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ABAE7" w14:textId="77777777" w:rsidR="001D29E6" w:rsidRDefault="001D29E6" w:rsidP="008D4234">
      <w:pPr>
        <w:widowControl w:val="0"/>
        <w:spacing w:line="240" w:lineRule="auto"/>
        <w:jc w:val="center"/>
        <w:rPr>
          <w:b/>
        </w:rPr>
      </w:pPr>
      <w:r>
        <w:rPr>
          <w:b/>
        </w:rPr>
        <w:t>SÚHRN CHARAKTERISTICKÝCH VLASTNOSTÍ LIEKU</w:t>
      </w:r>
    </w:p>
    <w:p w14:paraId="51E135E4" w14:textId="77777777" w:rsidR="009A170F" w:rsidRDefault="009A170F" w:rsidP="008D4234">
      <w:pPr>
        <w:widowControl w:val="0"/>
        <w:spacing w:line="240" w:lineRule="auto"/>
        <w:jc w:val="center"/>
        <w:rPr>
          <w:b/>
        </w:rPr>
      </w:pPr>
    </w:p>
    <w:p w14:paraId="47DD3CFA" w14:textId="77777777" w:rsidR="00C45C2C" w:rsidRPr="00C24D08" w:rsidRDefault="00C45C2C" w:rsidP="00C24D08">
      <w:pPr>
        <w:pStyle w:val="Nadpis1"/>
        <w:spacing w:line="240" w:lineRule="auto"/>
        <w:rPr>
          <w:szCs w:val="22"/>
        </w:rPr>
      </w:pPr>
    </w:p>
    <w:p w14:paraId="0D7911CC" w14:textId="77777777" w:rsidR="001D29E6" w:rsidRPr="00C24D08" w:rsidRDefault="001D29E6" w:rsidP="00C24D08">
      <w:pPr>
        <w:pStyle w:val="Nadpis1"/>
        <w:spacing w:line="240" w:lineRule="auto"/>
        <w:rPr>
          <w:szCs w:val="22"/>
        </w:rPr>
      </w:pPr>
      <w:r w:rsidRPr="00C24D08">
        <w:rPr>
          <w:szCs w:val="22"/>
        </w:rPr>
        <w:t>1.</w:t>
      </w:r>
      <w:r w:rsidRPr="00C24D08">
        <w:rPr>
          <w:szCs w:val="22"/>
        </w:rPr>
        <w:tab/>
        <w:t>NÁZOV LIEKU</w:t>
      </w:r>
    </w:p>
    <w:p w14:paraId="78AC83D1" w14:textId="77777777" w:rsidR="001D29E6" w:rsidRPr="00C24D08" w:rsidRDefault="001D29E6" w:rsidP="00C24D08">
      <w:pPr>
        <w:spacing w:line="240" w:lineRule="auto"/>
        <w:rPr>
          <w:iCs/>
          <w:szCs w:val="22"/>
        </w:rPr>
      </w:pPr>
    </w:p>
    <w:p w14:paraId="0D49D86C" w14:textId="5D86164B" w:rsidR="007C7C46" w:rsidRPr="00C24D08" w:rsidRDefault="00126BAA" w:rsidP="00C24D08">
      <w:pPr>
        <w:tabs>
          <w:tab w:val="clear" w:pos="567"/>
        </w:tabs>
        <w:autoSpaceDE w:val="0"/>
        <w:autoSpaceDN w:val="0"/>
        <w:adjustRightInd w:val="0"/>
        <w:spacing w:line="240" w:lineRule="auto"/>
        <w:rPr>
          <w:szCs w:val="22"/>
        </w:rPr>
      </w:pPr>
      <w:proofErr w:type="spellStart"/>
      <w:r w:rsidRPr="00C24D08">
        <w:rPr>
          <w:szCs w:val="22"/>
        </w:rPr>
        <w:t>Esogno</w:t>
      </w:r>
      <w:proofErr w:type="spellEnd"/>
      <w:r w:rsidR="00F33228" w:rsidRPr="00C24D08">
        <w:rPr>
          <w:szCs w:val="22"/>
        </w:rPr>
        <w:t xml:space="preserve"> 1 mg filmom </w:t>
      </w:r>
      <w:r w:rsidRPr="00C24D08">
        <w:rPr>
          <w:szCs w:val="22"/>
        </w:rPr>
        <w:t>obalené</w:t>
      </w:r>
      <w:r w:rsidR="00F33228" w:rsidRPr="00C24D08">
        <w:rPr>
          <w:szCs w:val="22"/>
        </w:rPr>
        <w:t xml:space="preserve"> tablety</w:t>
      </w:r>
    </w:p>
    <w:p w14:paraId="6500657F" w14:textId="6E1AF0D0" w:rsidR="007C7C46" w:rsidRPr="00C24D08" w:rsidRDefault="00126BAA" w:rsidP="00C24D08">
      <w:pPr>
        <w:tabs>
          <w:tab w:val="clear" w:pos="567"/>
        </w:tabs>
        <w:autoSpaceDE w:val="0"/>
        <w:autoSpaceDN w:val="0"/>
        <w:adjustRightInd w:val="0"/>
        <w:spacing w:line="240" w:lineRule="auto"/>
        <w:rPr>
          <w:szCs w:val="22"/>
          <w:highlight w:val="lightGray"/>
        </w:rPr>
      </w:pPr>
      <w:proofErr w:type="spellStart"/>
      <w:r w:rsidRPr="00C24D08">
        <w:rPr>
          <w:szCs w:val="22"/>
          <w:highlight w:val="lightGray"/>
        </w:rPr>
        <w:t>Esogno</w:t>
      </w:r>
      <w:proofErr w:type="spellEnd"/>
      <w:r w:rsidR="00F33228" w:rsidRPr="00C24D08">
        <w:rPr>
          <w:szCs w:val="22"/>
          <w:highlight w:val="lightGray"/>
        </w:rPr>
        <w:t xml:space="preserve"> 2 mg filmom </w:t>
      </w:r>
      <w:r w:rsidRPr="00C24D08">
        <w:rPr>
          <w:szCs w:val="22"/>
          <w:highlight w:val="lightGray"/>
        </w:rPr>
        <w:t>obalené</w:t>
      </w:r>
      <w:r w:rsidR="00F33228" w:rsidRPr="00C24D08">
        <w:rPr>
          <w:szCs w:val="22"/>
          <w:highlight w:val="lightGray"/>
        </w:rPr>
        <w:t xml:space="preserve"> tablety</w:t>
      </w:r>
    </w:p>
    <w:p w14:paraId="5B42B72A" w14:textId="0CEA36CB" w:rsidR="007C7C46" w:rsidRPr="00C24D08" w:rsidRDefault="00126BAA" w:rsidP="00C24D08">
      <w:pPr>
        <w:tabs>
          <w:tab w:val="clear" w:pos="567"/>
        </w:tabs>
        <w:autoSpaceDE w:val="0"/>
        <w:autoSpaceDN w:val="0"/>
        <w:adjustRightInd w:val="0"/>
        <w:spacing w:line="240" w:lineRule="auto"/>
        <w:rPr>
          <w:szCs w:val="22"/>
        </w:rPr>
      </w:pPr>
      <w:proofErr w:type="spellStart"/>
      <w:r w:rsidRPr="00C24D08">
        <w:rPr>
          <w:szCs w:val="22"/>
          <w:highlight w:val="lightGray"/>
        </w:rPr>
        <w:t>Esogno</w:t>
      </w:r>
      <w:proofErr w:type="spellEnd"/>
      <w:r w:rsidR="00F33228" w:rsidRPr="00C24D08">
        <w:rPr>
          <w:szCs w:val="22"/>
          <w:highlight w:val="lightGray"/>
        </w:rPr>
        <w:t xml:space="preserve"> 3 mg filmom </w:t>
      </w:r>
      <w:r w:rsidRPr="00C24D08">
        <w:rPr>
          <w:szCs w:val="22"/>
          <w:highlight w:val="lightGray"/>
        </w:rPr>
        <w:t>obalené</w:t>
      </w:r>
      <w:r w:rsidR="00F33228" w:rsidRPr="00C24D08">
        <w:rPr>
          <w:szCs w:val="22"/>
          <w:highlight w:val="lightGray"/>
        </w:rPr>
        <w:t xml:space="preserve"> tablety</w:t>
      </w:r>
    </w:p>
    <w:p w14:paraId="2979B408" w14:textId="77777777" w:rsidR="001D29E6" w:rsidRPr="00C24D08" w:rsidRDefault="001D29E6" w:rsidP="00C24D08">
      <w:pPr>
        <w:pStyle w:val="EMEAEnBodyText"/>
        <w:autoSpaceDE w:val="0"/>
        <w:autoSpaceDN w:val="0"/>
        <w:adjustRightInd w:val="0"/>
        <w:spacing w:before="0" w:after="0"/>
        <w:jc w:val="left"/>
        <w:rPr>
          <w:szCs w:val="22"/>
          <w:lang w:eastAsia="de-DE"/>
        </w:rPr>
      </w:pPr>
    </w:p>
    <w:p w14:paraId="3CFC4E5B" w14:textId="77777777" w:rsidR="00C620A3" w:rsidRPr="00C24D08" w:rsidRDefault="00C620A3" w:rsidP="00C24D08">
      <w:pPr>
        <w:pStyle w:val="EMEAEnBodyText"/>
        <w:autoSpaceDE w:val="0"/>
        <w:autoSpaceDN w:val="0"/>
        <w:adjustRightInd w:val="0"/>
        <w:spacing w:before="0" w:after="0"/>
        <w:jc w:val="left"/>
        <w:rPr>
          <w:szCs w:val="22"/>
          <w:lang w:eastAsia="de-DE"/>
        </w:rPr>
      </w:pPr>
    </w:p>
    <w:p w14:paraId="3656BC6C" w14:textId="77777777" w:rsidR="001D29E6" w:rsidRPr="00C24D08" w:rsidRDefault="001D29E6" w:rsidP="00C24D08">
      <w:pPr>
        <w:pStyle w:val="Nadpis1"/>
        <w:spacing w:line="240" w:lineRule="auto"/>
        <w:rPr>
          <w:szCs w:val="22"/>
        </w:rPr>
      </w:pPr>
      <w:r w:rsidRPr="00C24D08">
        <w:rPr>
          <w:szCs w:val="22"/>
        </w:rPr>
        <w:t>2.</w:t>
      </w:r>
      <w:r w:rsidRPr="00C24D08">
        <w:rPr>
          <w:szCs w:val="22"/>
        </w:rPr>
        <w:tab/>
        <w:t>KVALITATÍVNE A KVANTITATÍVNE ZLOŽENIE</w:t>
      </w:r>
    </w:p>
    <w:p w14:paraId="38873A06" w14:textId="77777777" w:rsidR="001D29E6" w:rsidRPr="00C24D08" w:rsidRDefault="001D29E6" w:rsidP="00C24D08">
      <w:pPr>
        <w:spacing w:line="240" w:lineRule="auto"/>
        <w:rPr>
          <w:szCs w:val="22"/>
        </w:rPr>
      </w:pPr>
    </w:p>
    <w:p w14:paraId="36C9DA43" w14:textId="6A9019AB" w:rsidR="007C7C46" w:rsidRPr="00C24D08" w:rsidRDefault="00126BAA" w:rsidP="00C24D08">
      <w:pPr>
        <w:pStyle w:val="EMEAEnBodyText"/>
        <w:autoSpaceDE w:val="0"/>
        <w:autoSpaceDN w:val="0"/>
        <w:adjustRightInd w:val="0"/>
        <w:spacing w:before="0" w:after="0"/>
        <w:jc w:val="left"/>
        <w:rPr>
          <w:i/>
          <w:szCs w:val="22"/>
        </w:rPr>
      </w:pPr>
      <w:proofErr w:type="spellStart"/>
      <w:r w:rsidRPr="00C24D08">
        <w:rPr>
          <w:i/>
          <w:szCs w:val="22"/>
        </w:rPr>
        <w:t>Esogno</w:t>
      </w:r>
      <w:proofErr w:type="spellEnd"/>
      <w:r w:rsidR="00F33228" w:rsidRPr="00C24D08">
        <w:rPr>
          <w:i/>
          <w:szCs w:val="22"/>
        </w:rPr>
        <w:t xml:space="preserve"> 1 mg filmom </w:t>
      </w:r>
      <w:r w:rsidRPr="00C24D08">
        <w:rPr>
          <w:i/>
          <w:szCs w:val="22"/>
        </w:rPr>
        <w:t xml:space="preserve">obalené </w:t>
      </w:r>
      <w:r w:rsidR="00F33228" w:rsidRPr="00C24D08">
        <w:rPr>
          <w:i/>
          <w:szCs w:val="22"/>
        </w:rPr>
        <w:t>tablety</w:t>
      </w:r>
    </w:p>
    <w:p w14:paraId="78C70D42" w14:textId="77777777" w:rsidR="007C7C46" w:rsidRPr="00C24D08" w:rsidRDefault="007C7C46" w:rsidP="00C24D08">
      <w:pPr>
        <w:pStyle w:val="EMEAEnBodyText"/>
        <w:autoSpaceDE w:val="0"/>
        <w:autoSpaceDN w:val="0"/>
        <w:adjustRightInd w:val="0"/>
        <w:spacing w:before="0" w:after="0"/>
        <w:jc w:val="left"/>
        <w:rPr>
          <w:szCs w:val="22"/>
          <w:u w:val="single"/>
        </w:rPr>
      </w:pPr>
      <w:r w:rsidRPr="00C24D08">
        <w:rPr>
          <w:szCs w:val="22"/>
        </w:rPr>
        <w:t xml:space="preserve">Každá filmom obalená tableta obsahuje 1 mg </w:t>
      </w:r>
      <w:proofErr w:type="spellStart"/>
      <w:r w:rsidRPr="00C24D08">
        <w:rPr>
          <w:szCs w:val="22"/>
        </w:rPr>
        <w:t>eszopiklónu</w:t>
      </w:r>
      <w:proofErr w:type="spellEnd"/>
      <w:r w:rsidRPr="00C24D08">
        <w:rPr>
          <w:szCs w:val="22"/>
        </w:rPr>
        <w:t>.</w:t>
      </w:r>
    </w:p>
    <w:p w14:paraId="0754A3C7" w14:textId="77777777" w:rsidR="00C620A3" w:rsidRPr="00C24D08" w:rsidRDefault="00C620A3" w:rsidP="00C24D08">
      <w:pPr>
        <w:pStyle w:val="EMEAEnBodyText"/>
        <w:autoSpaceDE w:val="0"/>
        <w:autoSpaceDN w:val="0"/>
        <w:adjustRightInd w:val="0"/>
        <w:spacing w:before="0" w:after="0"/>
        <w:jc w:val="left"/>
        <w:rPr>
          <w:szCs w:val="22"/>
          <w:u w:val="single"/>
        </w:rPr>
      </w:pPr>
    </w:p>
    <w:p w14:paraId="551BB413" w14:textId="2BB9B38E" w:rsidR="007C7C46" w:rsidRPr="00C24D08" w:rsidRDefault="00126BAA" w:rsidP="00C24D08">
      <w:pPr>
        <w:tabs>
          <w:tab w:val="clear" w:pos="567"/>
        </w:tabs>
        <w:autoSpaceDE w:val="0"/>
        <w:autoSpaceDN w:val="0"/>
        <w:adjustRightInd w:val="0"/>
        <w:spacing w:line="240" w:lineRule="auto"/>
        <w:rPr>
          <w:i/>
          <w:szCs w:val="22"/>
          <w:highlight w:val="lightGray"/>
        </w:rPr>
      </w:pPr>
      <w:proofErr w:type="spellStart"/>
      <w:r w:rsidRPr="00C24D08">
        <w:rPr>
          <w:i/>
          <w:szCs w:val="22"/>
          <w:highlight w:val="lightGray"/>
        </w:rPr>
        <w:t>Esogno</w:t>
      </w:r>
      <w:proofErr w:type="spellEnd"/>
      <w:r w:rsidR="00F33228" w:rsidRPr="00C24D08">
        <w:rPr>
          <w:i/>
          <w:szCs w:val="22"/>
          <w:highlight w:val="lightGray"/>
        </w:rPr>
        <w:t xml:space="preserve"> 2 mg filmom </w:t>
      </w:r>
      <w:r w:rsidRPr="00C24D08">
        <w:rPr>
          <w:i/>
          <w:szCs w:val="22"/>
          <w:highlight w:val="lightGray"/>
        </w:rPr>
        <w:t>obalené</w:t>
      </w:r>
      <w:r w:rsidR="00F33228" w:rsidRPr="00C24D08">
        <w:rPr>
          <w:i/>
          <w:szCs w:val="22"/>
          <w:highlight w:val="lightGray"/>
        </w:rPr>
        <w:t xml:space="preserve"> tablety</w:t>
      </w:r>
    </w:p>
    <w:p w14:paraId="22D8323E" w14:textId="77777777" w:rsidR="007C7C46" w:rsidRPr="00C24D08" w:rsidRDefault="007C7C46" w:rsidP="00C24D08">
      <w:pPr>
        <w:pStyle w:val="EMEAEnBodyText"/>
        <w:autoSpaceDE w:val="0"/>
        <w:autoSpaceDN w:val="0"/>
        <w:adjustRightInd w:val="0"/>
        <w:spacing w:before="0" w:after="0"/>
        <w:jc w:val="left"/>
        <w:rPr>
          <w:szCs w:val="22"/>
          <w:highlight w:val="lightGray"/>
          <w:u w:val="single"/>
        </w:rPr>
      </w:pPr>
      <w:r w:rsidRPr="00C24D08">
        <w:rPr>
          <w:szCs w:val="22"/>
          <w:highlight w:val="lightGray"/>
        </w:rPr>
        <w:t xml:space="preserve">Každá filmom obalená tableta obsahuje 2 mg </w:t>
      </w:r>
      <w:proofErr w:type="spellStart"/>
      <w:r w:rsidRPr="00C24D08">
        <w:rPr>
          <w:szCs w:val="22"/>
          <w:highlight w:val="lightGray"/>
        </w:rPr>
        <w:t>eszopiklónu</w:t>
      </w:r>
      <w:proofErr w:type="spellEnd"/>
      <w:r w:rsidRPr="00C24D08">
        <w:rPr>
          <w:szCs w:val="22"/>
          <w:highlight w:val="lightGray"/>
        </w:rPr>
        <w:t>.</w:t>
      </w:r>
    </w:p>
    <w:p w14:paraId="5B0C393B" w14:textId="77777777" w:rsidR="00C620A3" w:rsidRPr="00C24D08" w:rsidRDefault="00C620A3" w:rsidP="00C24D08">
      <w:pPr>
        <w:pStyle w:val="EMEAEnBodyText"/>
        <w:autoSpaceDE w:val="0"/>
        <w:autoSpaceDN w:val="0"/>
        <w:adjustRightInd w:val="0"/>
        <w:spacing w:before="0" w:after="0"/>
        <w:jc w:val="left"/>
        <w:rPr>
          <w:szCs w:val="22"/>
          <w:highlight w:val="lightGray"/>
          <w:u w:val="single"/>
        </w:rPr>
      </w:pPr>
    </w:p>
    <w:p w14:paraId="7EFC7BEC" w14:textId="3BF961B9" w:rsidR="007C7C46" w:rsidRPr="00C24D08" w:rsidRDefault="00126BAA" w:rsidP="00C24D08">
      <w:pPr>
        <w:tabs>
          <w:tab w:val="clear" w:pos="567"/>
        </w:tabs>
        <w:autoSpaceDE w:val="0"/>
        <w:autoSpaceDN w:val="0"/>
        <w:adjustRightInd w:val="0"/>
        <w:spacing w:line="240" w:lineRule="auto"/>
        <w:rPr>
          <w:i/>
          <w:szCs w:val="22"/>
          <w:highlight w:val="lightGray"/>
        </w:rPr>
      </w:pPr>
      <w:proofErr w:type="spellStart"/>
      <w:r w:rsidRPr="00C24D08">
        <w:rPr>
          <w:i/>
          <w:szCs w:val="22"/>
          <w:highlight w:val="lightGray"/>
        </w:rPr>
        <w:t>Esogno</w:t>
      </w:r>
      <w:proofErr w:type="spellEnd"/>
      <w:r w:rsidR="00F33228" w:rsidRPr="00C24D08">
        <w:rPr>
          <w:i/>
          <w:szCs w:val="22"/>
          <w:highlight w:val="lightGray"/>
        </w:rPr>
        <w:t xml:space="preserve"> 3 mg filmom </w:t>
      </w:r>
      <w:r w:rsidRPr="00C24D08">
        <w:rPr>
          <w:i/>
          <w:szCs w:val="22"/>
          <w:highlight w:val="lightGray"/>
        </w:rPr>
        <w:t>obalené</w:t>
      </w:r>
      <w:r w:rsidR="00F33228" w:rsidRPr="00C24D08">
        <w:rPr>
          <w:i/>
          <w:szCs w:val="22"/>
          <w:highlight w:val="lightGray"/>
        </w:rPr>
        <w:t xml:space="preserve"> tablety</w:t>
      </w:r>
    </w:p>
    <w:p w14:paraId="372B17BA" w14:textId="77777777" w:rsidR="007C7C46" w:rsidRPr="00C24D08" w:rsidRDefault="007C7C46" w:rsidP="00C24D08">
      <w:pPr>
        <w:pStyle w:val="EMEAEnBodyText"/>
        <w:autoSpaceDE w:val="0"/>
        <w:autoSpaceDN w:val="0"/>
        <w:adjustRightInd w:val="0"/>
        <w:spacing w:before="0" w:after="0"/>
        <w:jc w:val="left"/>
        <w:rPr>
          <w:szCs w:val="22"/>
          <w:u w:val="single"/>
        </w:rPr>
      </w:pPr>
      <w:r w:rsidRPr="00C24D08">
        <w:rPr>
          <w:szCs w:val="22"/>
          <w:highlight w:val="lightGray"/>
        </w:rPr>
        <w:t xml:space="preserve">Každá filmom obalená tableta obsahuje 3 mg </w:t>
      </w:r>
      <w:proofErr w:type="spellStart"/>
      <w:r w:rsidRPr="00C24D08">
        <w:rPr>
          <w:szCs w:val="22"/>
          <w:highlight w:val="lightGray"/>
        </w:rPr>
        <w:t>eszopiklónu</w:t>
      </w:r>
      <w:proofErr w:type="spellEnd"/>
      <w:r w:rsidRPr="00C24D08">
        <w:rPr>
          <w:szCs w:val="22"/>
          <w:highlight w:val="lightGray"/>
        </w:rPr>
        <w:t>.</w:t>
      </w:r>
    </w:p>
    <w:p w14:paraId="0B3A1251" w14:textId="77777777" w:rsidR="006A0CD6" w:rsidRPr="00C24D08" w:rsidRDefault="006A0CD6" w:rsidP="00C24D08">
      <w:pPr>
        <w:spacing w:line="240" w:lineRule="auto"/>
        <w:rPr>
          <w:szCs w:val="22"/>
        </w:rPr>
      </w:pPr>
    </w:p>
    <w:p w14:paraId="4DDD5570" w14:textId="77777777" w:rsidR="00C620A3" w:rsidRPr="00C24D08" w:rsidRDefault="00C620A3" w:rsidP="00C24D08">
      <w:pPr>
        <w:spacing w:line="240" w:lineRule="auto"/>
        <w:rPr>
          <w:szCs w:val="22"/>
        </w:rPr>
      </w:pPr>
      <w:r w:rsidRPr="00C24D08">
        <w:rPr>
          <w:szCs w:val="22"/>
        </w:rPr>
        <w:t>Úplný zoznam pomocných látok, pozri časť 6.1.</w:t>
      </w:r>
    </w:p>
    <w:p w14:paraId="3F238361" w14:textId="77777777" w:rsidR="00C620A3" w:rsidRPr="00C24D08" w:rsidRDefault="00C620A3" w:rsidP="00C24D08">
      <w:pPr>
        <w:pStyle w:val="EMEAEnBodyText"/>
        <w:autoSpaceDE w:val="0"/>
        <w:autoSpaceDN w:val="0"/>
        <w:adjustRightInd w:val="0"/>
        <w:spacing w:before="0" w:after="0"/>
        <w:jc w:val="left"/>
        <w:rPr>
          <w:szCs w:val="22"/>
          <w:u w:val="single"/>
          <w:lang w:val="pl-PL"/>
        </w:rPr>
      </w:pPr>
    </w:p>
    <w:p w14:paraId="5073E3F9" w14:textId="77777777" w:rsidR="001D29E6" w:rsidRPr="00C24D08" w:rsidRDefault="001D29E6" w:rsidP="00C24D08">
      <w:pPr>
        <w:spacing w:line="240" w:lineRule="auto"/>
        <w:rPr>
          <w:szCs w:val="22"/>
        </w:rPr>
      </w:pPr>
    </w:p>
    <w:p w14:paraId="08FDA918" w14:textId="77777777" w:rsidR="001D29E6" w:rsidRPr="00C24D08" w:rsidRDefault="001D29E6" w:rsidP="00C24D08">
      <w:pPr>
        <w:pStyle w:val="Nadpis1"/>
        <w:spacing w:line="240" w:lineRule="auto"/>
        <w:rPr>
          <w:szCs w:val="22"/>
        </w:rPr>
      </w:pPr>
      <w:r w:rsidRPr="00C24D08">
        <w:rPr>
          <w:szCs w:val="22"/>
        </w:rPr>
        <w:t>3.</w:t>
      </w:r>
      <w:r w:rsidRPr="00C24D08">
        <w:rPr>
          <w:szCs w:val="22"/>
        </w:rPr>
        <w:tab/>
        <w:t>LIEKOVÁ forma</w:t>
      </w:r>
    </w:p>
    <w:p w14:paraId="064CA4D6" w14:textId="77777777" w:rsidR="007D317B" w:rsidRPr="00C24D08" w:rsidRDefault="007D317B" w:rsidP="00C24D08">
      <w:pPr>
        <w:spacing w:line="240" w:lineRule="auto"/>
        <w:rPr>
          <w:szCs w:val="22"/>
          <w:lang w:val="es-ES" w:eastAsia="de-DE"/>
        </w:rPr>
      </w:pPr>
    </w:p>
    <w:p w14:paraId="455C522D" w14:textId="77777777" w:rsidR="007C7C46" w:rsidRPr="00C24D08" w:rsidRDefault="00C620A3" w:rsidP="00C24D08">
      <w:pPr>
        <w:spacing w:line="240" w:lineRule="auto"/>
        <w:rPr>
          <w:szCs w:val="22"/>
        </w:rPr>
      </w:pPr>
      <w:r w:rsidRPr="00C24D08">
        <w:rPr>
          <w:szCs w:val="22"/>
        </w:rPr>
        <w:t>Filmom obalená tableta.</w:t>
      </w:r>
    </w:p>
    <w:p w14:paraId="01C9572D" w14:textId="77777777" w:rsidR="007C7C46" w:rsidRPr="00C24D08" w:rsidRDefault="007C7C46" w:rsidP="00C24D08">
      <w:pPr>
        <w:spacing w:line="240" w:lineRule="auto"/>
        <w:rPr>
          <w:szCs w:val="22"/>
        </w:rPr>
      </w:pPr>
    </w:p>
    <w:p w14:paraId="2422101F" w14:textId="1C326E84" w:rsidR="00C620A3" w:rsidRPr="00C24D08" w:rsidRDefault="00126BAA" w:rsidP="00C24D08">
      <w:pPr>
        <w:pStyle w:val="EMEAEnBodyText"/>
        <w:autoSpaceDE w:val="0"/>
        <w:autoSpaceDN w:val="0"/>
        <w:adjustRightInd w:val="0"/>
        <w:spacing w:before="0" w:after="0"/>
        <w:jc w:val="left"/>
        <w:rPr>
          <w:i/>
          <w:szCs w:val="22"/>
        </w:rPr>
      </w:pPr>
      <w:proofErr w:type="spellStart"/>
      <w:r w:rsidRPr="00C24D08">
        <w:rPr>
          <w:i/>
          <w:szCs w:val="22"/>
        </w:rPr>
        <w:t>Esogno</w:t>
      </w:r>
      <w:proofErr w:type="spellEnd"/>
      <w:r w:rsidR="00F33228" w:rsidRPr="00C24D08">
        <w:rPr>
          <w:i/>
          <w:szCs w:val="22"/>
        </w:rPr>
        <w:t xml:space="preserve"> 1 mg filmom </w:t>
      </w:r>
      <w:r w:rsidRPr="00C24D08">
        <w:rPr>
          <w:i/>
          <w:szCs w:val="22"/>
        </w:rPr>
        <w:t>obalené</w:t>
      </w:r>
      <w:r w:rsidR="00F33228" w:rsidRPr="00C24D08">
        <w:rPr>
          <w:i/>
          <w:szCs w:val="22"/>
        </w:rPr>
        <w:t xml:space="preserve"> tablety</w:t>
      </w:r>
    </w:p>
    <w:p w14:paraId="49D146A3" w14:textId="365F0DB7" w:rsidR="0063641C" w:rsidRPr="00C24D08" w:rsidRDefault="0063641C" w:rsidP="00C24D08">
      <w:pPr>
        <w:pStyle w:val="EMEAEnBodyText"/>
        <w:autoSpaceDE w:val="0"/>
        <w:autoSpaceDN w:val="0"/>
        <w:adjustRightInd w:val="0"/>
        <w:spacing w:before="0" w:after="0"/>
        <w:jc w:val="left"/>
        <w:rPr>
          <w:szCs w:val="22"/>
        </w:rPr>
      </w:pPr>
      <w:r w:rsidRPr="00C24D08">
        <w:rPr>
          <w:szCs w:val="22"/>
        </w:rPr>
        <w:t xml:space="preserve">Bledomodré, okrúhle, bikonvexné filmom obalené tablety s vyrazeným označením „1“ </w:t>
      </w:r>
      <w:r w:rsidR="00126BAA" w:rsidRPr="00C24D08">
        <w:rPr>
          <w:szCs w:val="22"/>
        </w:rPr>
        <w:t xml:space="preserve">na jednej strane </w:t>
      </w:r>
      <w:r w:rsidRPr="00C24D08">
        <w:rPr>
          <w:szCs w:val="22"/>
        </w:rPr>
        <w:t xml:space="preserve">a </w:t>
      </w:r>
      <w:r w:rsidR="003901D5" w:rsidRPr="00C24D08">
        <w:rPr>
          <w:szCs w:val="22"/>
        </w:rPr>
        <w:t>stredným</w:t>
      </w:r>
      <w:r w:rsidRPr="00C24D08">
        <w:rPr>
          <w:szCs w:val="22"/>
        </w:rPr>
        <w:t xml:space="preserve"> priemerom </w:t>
      </w:r>
      <w:r w:rsidR="003901D5" w:rsidRPr="00C24D08">
        <w:rPr>
          <w:szCs w:val="22"/>
        </w:rPr>
        <w:t>asi</w:t>
      </w:r>
      <w:r w:rsidRPr="00C24D08">
        <w:rPr>
          <w:szCs w:val="22"/>
        </w:rPr>
        <w:t xml:space="preserve"> 6,5 mm.</w:t>
      </w:r>
    </w:p>
    <w:p w14:paraId="7C8FAFBB" w14:textId="77777777" w:rsidR="0063641C" w:rsidRPr="00C24D08" w:rsidRDefault="0063641C" w:rsidP="00C24D08">
      <w:pPr>
        <w:pStyle w:val="EMEAEnBodyText"/>
        <w:autoSpaceDE w:val="0"/>
        <w:autoSpaceDN w:val="0"/>
        <w:adjustRightInd w:val="0"/>
        <w:spacing w:before="0" w:after="0"/>
        <w:jc w:val="left"/>
        <w:rPr>
          <w:i/>
          <w:szCs w:val="22"/>
          <w:lang w:eastAsia="de-DE"/>
        </w:rPr>
      </w:pPr>
    </w:p>
    <w:p w14:paraId="2F5594F1" w14:textId="45B6DD2F" w:rsidR="00C620A3" w:rsidRPr="00C24D08" w:rsidRDefault="00126BAA" w:rsidP="00C24D08">
      <w:pPr>
        <w:tabs>
          <w:tab w:val="clear" w:pos="567"/>
        </w:tabs>
        <w:autoSpaceDE w:val="0"/>
        <w:autoSpaceDN w:val="0"/>
        <w:adjustRightInd w:val="0"/>
        <w:spacing w:line="240" w:lineRule="auto"/>
        <w:rPr>
          <w:i/>
          <w:szCs w:val="22"/>
          <w:highlight w:val="lightGray"/>
        </w:rPr>
      </w:pPr>
      <w:proofErr w:type="spellStart"/>
      <w:r w:rsidRPr="00C24D08">
        <w:rPr>
          <w:i/>
          <w:szCs w:val="22"/>
          <w:highlight w:val="lightGray"/>
        </w:rPr>
        <w:t>Esogno</w:t>
      </w:r>
      <w:proofErr w:type="spellEnd"/>
      <w:r w:rsidR="00F33228" w:rsidRPr="00C24D08">
        <w:rPr>
          <w:i/>
          <w:szCs w:val="22"/>
          <w:highlight w:val="lightGray"/>
        </w:rPr>
        <w:t xml:space="preserve"> 2 mg filmom </w:t>
      </w:r>
      <w:r w:rsidRPr="00C24D08">
        <w:rPr>
          <w:i/>
          <w:szCs w:val="22"/>
          <w:highlight w:val="lightGray"/>
        </w:rPr>
        <w:t>obalené</w:t>
      </w:r>
      <w:r w:rsidR="00F33228" w:rsidRPr="00C24D08">
        <w:rPr>
          <w:i/>
          <w:szCs w:val="22"/>
          <w:highlight w:val="lightGray"/>
        </w:rPr>
        <w:t xml:space="preserve"> tablety</w:t>
      </w:r>
    </w:p>
    <w:p w14:paraId="013FACB5" w14:textId="2060626C" w:rsidR="0063641C" w:rsidRPr="00C24D08" w:rsidRDefault="0063641C" w:rsidP="00C24D08">
      <w:pPr>
        <w:tabs>
          <w:tab w:val="clear" w:pos="567"/>
        </w:tabs>
        <w:autoSpaceDE w:val="0"/>
        <w:autoSpaceDN w:val="0"/>
        <w:adjustRightInd w:val="0"/>
        <w:spacing w:line="240" w:lineRule="auto"/>
        <w:rPr>
          <w:i/>
          <w:szCs w:val="22"/>
          <w:highlight w:val="lightGray"/>
        </w:rPr>
      </w:pPr>
      <w:r w:rsidRPr="00C24D08">
        <w:rPr>
          <w:szCs w:val="22"/>
          <w:highlight w:val="lightGray"/>
        </w:rPr>
        <w:t xml:space="preserve">Biele, okrúhle, bikonvexné filmom obalené tablety s vyrazeným označením „2“ </w:t>
      </w:r>
      <w:r w:rsidR="003901D5" w:rsidRPr="00C24D08">
        <w:rPr>
          <w:szCs w:val="22"/>
          <w:highlight w:val="lightGray"/>
        </w:rPr>
        <w:t xml:space="preserve">na jednej strane </w:t>
      </w:r>
      <w:r w:rsidRPr="00C24D08">
        <w:rPr>
          <w:szCs w:val="22"/>
          <w:highlight w:val="lightGray"/>
        </w:rPr>
        <w:t xml:space="preserve">a </w:t>
      </w:r>
      <w:r w:rsidR="003901D5" w:rsidRPr="00C24D08">
        <w:rPr>
          <w:szCs w:val="22"/>
          <w:highlight w:val="lightGray"/>
        </w:rPr>
        <w:t>stredným</w:t>
      </w:r>
      <w:r w:rsidRPr="00C24D08">
        <w:rPr>
          <w:szCs w:val="22"/>
          <w:highlight w:val="lightGray"/>
        </w:rPr>
        <w:t xml:space="preserve"> priemerom </w:t>
      </w:r>
      <w:r w:rsidR="003901D5" w:rsidRPr="00C24D08">
        <w:rPr>
          <w:szCs w:val="22"/>
          <w:highlight w:val="lightGray"/>
        </w:rPr>
        <w:t>asi</w:t>
      </w:r>
      <w:r w:rsidRPr="00C24D08">
        <w:rPr>
          <w:szCs w:val="22"/>
          <w:highlight w:val="lightGray"/>
        </w:rPr>
        <w:t xml:space="preserve"> 6,5 mm.</w:t>
      </w:r>
      <w:r w:rsidRPr="00C24D08">
        <w:rPr>
          <w:i/>
          <w:szCs w:val="22"/>
          <w:highlight w:val="lightGray"/>
        </w:rPr>
        <w:t xml:space="preserve"> </w:t>
      </w:r>
    </w:p>
    <w:p w14:paraId="02D1565A" w14:textId="77777777" w:rsidR="0063641C" w:rsidRPr="00C24D08" w:rsidRDefault="0063641C" w:rsidP="00C24D08">
      <w:pPr>
        <w:tabs>
          <w:tab w:val="clear" w:pos="567"/>
        </w:tabs>
        <w:autoSpaceDE w:val="0"/>
        <w:autoSpaceDN w:val="0"/>
        <w:adjustRightInd w:val="0"/>
        <w:spacing w:line="240" w:lineRule="auto"/>
        <w:rPr>
          <w:i/>
          <w:szCs w:val="22"/>
          <w:highlight w:val="lightGray"/>
          <w:lang w:eastAsia="de-DE"/>
        </w:rPr>
      </w:pPr>
    </w:p>
    <w:p w14:paraId="33EA6FD2" w14:textId="23D8E8AA" w:rsidR="00C620A3" w:rsidRPr="00C24D08" w:rsidRDefault="00126BAA" w:rsidP="00C24D08">
      <w:pPr>
        <w:tabs>
          <w:tab w:val="clear" w:pos="567"/>
        </w:tabs>
        <w:autoSpaceDE w:val="0"/>
        <w:autoSpaceDN w:val="0"/>
        <w:adjustRightInd w:val="0"/>
        <w:spacing w:line="240" w:lineRule="auto"/>
        <w:rPr>
          <w:i/>
          <w:szCs w:val="22"/>
          <w:highlight w:val="lightGray"/>
        </w:rPr>
      </w:pPr>
      <w:proofErr w:type="spellStart"/>
      <w:r w:rsidRPr="00C24D08">
        <w:rPr>
          <w:i/>
          <w:szCs w:val="22"/>
          <w:highlight w:val="lightGray"/>
        </w:rPr>
        <w:t>Esogno</w:t>
      </w:r>
      <w:proofErr w:type="spellEnd"/>
      <w:r w:rsidR="00F33228" w:rsidRPr="00C24D08">
        <w:rPr>
          <w:i/>
          <w:szCs w:val="22"/>
          <w:highlight w:val="lightGray"/>
        </w:rPr>
        <w:t xml:space="preserve"> 3 mg filmom </w:t>
      </w:r>
      <w:r w:rsidRPr="00C24D08">
        <w:rPr>
          <w:i/>
          <w:szCs w:val="22"/>
          <w:highlight w:val="lightGray"/>
        </w:rPr>
        <w:t>obalené</w:t>
      </w:r>
      <w:r w:rsidR="00F33228" w:rsidRPr="00C24D08">
        <w:rPr>
          <w:i/>
          <w:szCs w:val="22"/>
          <w:highlight w:val="lightGray"/>
        </w:rPr>
        <w:t xml:space="preserve"> tablety</w:t>
      </w:r>
    </w:p>
    <w:p w14:paraId="43D0A84F" w14:textId="53429C71" w:rsidR="00C620A3" w:rsidRPr="00C24D08" w:rsidRDefault="0063641C" w:rsidP="00C24D08">
      <w:pPr>
        <w:spacing w:line="240" w:lineRule="auto"/>
        <w:rPr>
          <w:szCs w:val="22"/>
        </w:rPr>
      </w:pPr>
      <w:r w:rsidRPr="00C24D08">
        <w:rPr>
          <w:szCs w:val="22"/>
          <w:highlight w:val="lightGray"/>
        </w:rPr>
        <w:t xml:space="preserve">Modré, okrúhle, bikonvexné filmom obalené tablety s vyrazeným označením „3“ </w:t>
      </w:r>
      <w:r w:rsidR="003901D5" w:rsidRPr="00C24D08">
        <w:rPr>
          <w:szCs w:val="22"/>
          <w:highlight w:val="lightGray"/>
        </w:rPr>
        <w:t xml:space="preserve">na jednej strane </w:t>
      </w:r>
      <w:r w:rsidRPr="00C24D08">
        <w:rPr>
          <w:szCs w:val="22"/>
          <w:highlight w:val="lightGray"/>
        </w:rPr>
        <w:t xml:space="preserve">a </w:t>
      </w:r>
      <w:r w:rsidR="003901D5" w:rsidRPr="00C24D08">
        <w:rPr>
          <w:szCs w:val="22"/>
          <w:highlight w:val="lightGray"/>
        </w:rPr>
        <w:t>stredným</w:t>
      </w:r>
      <w:r w:rsidRPr="00C24D08">
        <w:rPr>
          <w:szCs w:val="22"/>
          <w:highlight w:val="lightGray"/>
        </w:rPr>
        <w:t xml:space="preserve"> priemerom </w:t>
      </w:r>
      <w:r w:rsidR="003901D5" w:rsidRPr="00C24D08">
        <w:rPr>
          <w:szCs w:val="22"/>
          <w:highlight w:val="lightGray"/>
        </w:rPr>
        <w:t>asi</w:t>
      </w:r>
      <w:r w:rsidRPr="00C24D08">
        <w:rPr>
          <w:szCs w:val="22"/>
          <w:highlight w:val="lightGray"/>
        </w:rPr>
        <w:t xml:space="preserve"> 6,5 mm.</w:t>
      </w:r>
    </w:p>
    <w:p w14:paraId="36D5C829" w14:textId="77777777" w:rsidR="00C620A3" w:rsidRPr="00C24D08" w:rsidRDefault="00C620A3" w:rsidP="00C24D08">
      <w:pPr>
        <w:spacing w:line="240" w:lineRule="auto"/>
        <w:rPr>
          <w:szCs w:val="22"/>
        </w:rPr>
      </w:pPr>
    </w:p>
    <w:p w14:paraId="426CACCE" w14:textId="77777777" w:rsidR="001D29E6" w:rsidRPr="00C24D08" w:rsidRDefault="001D29E6" w:rsidP="00C24D08">
      <w:pPr>
        <w:spacing w:line="240" w:lineRule="auto"/>
        <w:rPr>
          <w:szCs w:val="22"/>
        </w:rPr>
      </w:pPr>
    </w:p>
    <w:p w14:paraId="5E2E217E" w14:textId="77777777" w:rsidR="001D29E6" w:rsidRPr="00C24D08" w:rsidRDefault="001D29E6" w:rsidP="00C24D08">
      <w:pPr>
        <w:pStyle w:val="Nadpis1"/>
        <w:spacing w:line="240" w:lineRule="auto"/>
        <w:rPr>
          <w:szCs w:val="22"/>
        </w:rPr>
      </w:pPr>
      <w:r w:rsidRPr="00C24D08">
        <w:rPr>
          <w:szCs w:val="22"/>
        </w:rPr>
        <w:t>4.</w:t>
      </w:r>
      <w:r w:rsidRPr="00C24D08">
        <w:rPr>
          <w:szCs w:val="22"/>
        </w:rPr>
        <w:tab/>
        <w:t>Klinické údaje</w:t>
      </w:r>
    </w:p>
    <w:p w14:paraId="2AC7C3A1" w14:textId="77777777" w:rsidR="001D29E6" w:rsidRPr="00C24D08" w:rsidRDefault="001D29E6" w:rsidP="00C24D08">
      <w:pPr>
        <w:spacing w:line="240" w:lineRule="auto"/>
        <w:rPr>
          <w:szCs w:val="22"/>
        </w:rPr>
      </w:pPr>
    </w:p>
    <w:p w14:paraId="4CA8BDB2" w14:textId="77777777" w:rsidR="001D29E6" w:rsidRPr="00C24D08" w:rsidRDefault="001D29E6" w:rsidP="00C24D08">
      <w:pPr>
        <w:pStyle w:val="Nadpis2"/>
        <w:rPr>
          <w:szCs w:val="22"/>
        </w:rPr>
      </w:pPr>
      <w:r w:rsidRPr="00C24D08">
        <w:rPr>
          <w:szCs w:val="22"/>
        </w:rPr>
        <w:t>4.1</w:t>
      </w:r>
      <w:r w:rsidRPr="00C24D08">
        <w:rPr>
          <w:szCs w:val="22"/>
        </w:rPr>
        <w:tab/>
        <w:t>Terapeutické indikácie</w:t>
      </w:r>
    </w:p>
    <w:p w14:paraId="00823713" w14:textId="77777777" w:rsidR="001166A5" w:rsidRPr="00C24D08" w:rsidRDefault="001166A5" w:rsidP="00C24D08">
      <w:pPr>
        <w:tabs>
          <w:tab w:val="clear" w:pos="567"/>
        </w:tabs>
        <w:spacing w:line="240" w:lineRule="auto"/>
        <w:rPr>
          <w:color w:val="000000"/>
          <w:szCs w:val="22"/>
        </w:rPr>
      </w:pPr>
    </w:p>
    <w:p w14:paraId="1E878C7A" w14:textId="032DCA9D" w:rsidR="00B57E6F" w:rsidRPr="00C24D08" w:rsidRDefault="003901D5" w:rsidP="00C24D08">
      <w:pPr>
        <w:tabs>
          <w:tab w:val="clear" w:pos="567"/>
        </w:tabs>
        <w:spacing w:line="240" w:lineRule="auto"/>
        <w:rPr>
          <w:color w:val="000000"/>
          <w:szCs w:val="22"/>
        </w:rPr>
      </w:pPr>
      <w:proofErr w:type="spellStart"/>
      <w:r w:rsidRPr="00C24D08">
        <w:rPr>
          <w:color w:val="000000"/>
          <w:szCs w:val="22"/>
        </w:rPr>
        <w:t>Esogno</w:t>
      </w:r>
      <w:proofErr w:type="spellEnd"/>
      <w:r w:rsidR="00F33228" w:rsidRPr="00C24D08">
        <w:rPr>
          <w:color w:val="000000"/>
          <w:szCs w:val="22"/>
        </w:rPr>
        <w:t xml:space="preserve"> je indikovan</w:t>
      </w:r>
      <w:r w:rsidRPr="00C24D08">
        <w:rPr>
          <w:color w:val="000000"/>
          <w:szCs w:val="22"/>
        </w:rPr>
        <w:t>é</w:t>
      </w:r>
      <w:r w:rsidR="00F33228" w:rsidRPr="00C24D08">
        <w:rPr>
          <w:color w:val="000000"/>
          <w:szCs w:val="22"/>
        </w:rPr>
        <w:t xml:space="preserve"> na liečbu nespavosti u dospelých, zvyčajne krátkodo</w:t>
      </w:r>
      <w:r w:rsidRPr="00C24D08">
        <w:rPr>
          <w:color w:val="000000"/>
          <w:szCs w:val="22"/>
        </w:rPr>
        <w:t>bého trvania</w:t>
      </w:r>
      <w:r w:rsidR="00F33228" w:rsidRPr="00C24D08">
        <w:rPr>
          <w:color w:val="000000"/>
          <w:szCs w:val="22"/>
        </w:rPr>
        <w:t>.</w:t>
      </w:r>
    </w:p>
    <w:p w14:paraId="5124DD1E" w14:textId="77777777" w:rsidR="000442A6" w:rsidRPr="00C24D08" w:rsidRDefault="000442A6" w:rsidP="00C24D08">
      <w:pPr>
        <w:tabs>
          <w:tab w:val="clear" w:pos="567"/>
        </w:tabs>
        <w:spacing w:line="240" w:lineRule="auto"/>
        <w:rPr>
          <w:color w:val="000000"/>
          <w:szCs w:val="22"/>
        </w:rPr>
      </w:pPr>
    </w:p>
    <w:p w14:paraId="0E43A11B" w14:textId="57523136" w:rsidR="002D17EC" w:rsidRPr="00C24D08" w:rsidRDefault="002D17EC" w:rsidP="00C24D08">
      <w:pPr>
        <w:spacing w:line="240" w:lineRule="auto"/>
        <w:rPr>
          <w:szCs w:val="22"/>
        </w:rPr>
      </w:pPr>
      <w:proofErr w:type="spellStart"/>
      <w:r w:rsidRPr="00C24D08">
        <w:rPr>
          <w:szCs w:val="22"/>
        </w:rPr>
        <w:t>Benzodiazepíny</w:t>
      </w:r>
      <w:proofErr w:type="spellEnd"/>
      <w:r w:rsidRPr="00C24D08">
        <w:rPr>
          <w:szCs w:val="22"/>
        </w:rPr>
        <w:t xml:space="preserve"> alebo látky podobné </w:t>
      </w:r>
      <w:proofErr w:type="spellStart"/>
      <w:r w:rsidRPr="00C24D08">
        <w:rPr>
          <w:szCs w:val="22"/>
        </w:rPr>
        <w:t>benzodiazepínom</w:t>
      </w:r>
      <w:proofErr w:type="spellEnd"/>
      <w:r w:rsidRPr="00C24D08">
        <w:rPr>
          <w:szCs w:val="22"/>
        </w:rPr>
        <w:t xml:space="preserve"> sú indikované iba vtedy, </w:t>
      </w:r>
      <w:r w:rsidR="003901D5" w:rsidRPr="00C24D08">
        <w:rPr>
          <w:szCs w:val="22"/>
        </w:rPr>
        <w:t>ak</w:t>
      </w:r>
      <w:r w:rsidRPr="00C24D08">
        <w:rPr>
          <w:szCs w:val="22"/>
        </w:rPr>
        <w:t xml:space="preserve"> je porucha závažná, obmedzujúca alebo ak je daná osoba vystavená mimoriadn</w:t>
      </w:r>
      <w:r w:rsidR="00E42643" w:rsidRPr="00C24D08">
        <w:rPr>
          <w:szCs w:val="22"/>
        </w:rPr>
        <w:t>ym</w:t>
      </w:r>
      <w:r w:rsidRPr="00C24D08">
        <w:rPr>
          <w:szCs w:val="22"/>
        </w:rPr>
        <w:t xml:space="preserve"> </w:t>
      </w:r>
      <w:r w:rsidR="00E42643" w:rsidRPr="00C24D08">
        <w:rPr>
          <w:szCs w:val="22"/>
        </w:rPr>
        <w:t>ťažkostiam</w:t>
      </w:r>
      <w:r w:rsidRPr="00C24D08">
        <w:rPr>
          <w:szCs w:val="22"/>
        </w:rPr>
        <w:t>.</w:t>
      </w:r>
    </w:p>
    <w:p w14:paraId="2B04FF22" w14:textId="77777777" w:rsidR="002D50B1" w:rsidRPr="00C24D08" w:rsidRDefault="002D50B1" w:rsidP="00C24D08">
      <w:pPr>
        <w:spacing w:line="240" w:lineRule="auto"/>
        <w:rPr>
          <w:szCs w:val="22"/>
        </w:rPr>
      </w:pPr>
    </w:p>
    <w:p w14:paraId="79BC9783" w14:textId="0736CE7F" w:rsidR="001D29E6" w:rsidRPr="00C24D08" w:rsidRDefault="001D29E6" w:rsidP="00C24D08">
      <w:pPr>
        <w:pStyle w:val="Nadpis2"/>
        <w:rPr>
          <w:szCs w:val="22"/>
        </w:rPr>
      </w:pPr>
      <w:r w:rsidRPr="00C24D08">
        <w:rPr>
          <w:szCs w:val="22"/>
        </w:rPr>
        <w:t xml:space="preserve">‌4.2 </w:t>
      </w:r>
      <w:r w:rsidR="00E42643" w:rsidRPr="00C24D08">
        <w:rPr>
          <w:szCs w:val="22"/>
        </w:rPr>
        <w:tab/>
      </w:r>
      <w:r w:rsidRPr="00C24D08">
        <w:rPr>
          <w:szCs w:val="22"/>
        </w:rPr>
        <w:t>Dávkovanie a spôsob podávania</w:t>
      </w:r>
    </w:p>
    <w:p w14:paraId="530D6676" w14:textId="77777777" w:rsidR="001D29E6" w:rsidRPr="00C24D08" w:rsidRDefault="001D29E6" w:rsidP="00C24D08">
      <w:pPr>
        <w:spacing w:line="240" w:lineRule="auto"/>
        <w:rPr>
          <w:szCs w:val="22"/>
        </w:rPr>
      </w:pPr>
    </w:p>
    <w:p w14:paraId="4420B008" w14:textId="77777777" w:rsidR="00C53ACC" w:rsidRPr="00C24D08" w:rsidRDefault="00C53ACC" w:rsidP="00C24D08">
      <w:pPr>
        <w:tabs>
          <w:tab w:val="clear" w:pos="567"/>
        </w:tabs>
        <w:spacing w:line="240" w:lineRule="auto"/>
        <w:rPr>
          <w:szCs w:val="22"/>
          <w:u w:val="single"/>
        </w:rPr>
      </w:pPr>
      <w:r w:rsidRPr="00C24D08">
        <w:rPr>
          <w:szCs w:val="22"/>
          <w:u w:val="single"/>
        </w:rPr>
        <w:t>Dávkovanie</w:t>
      </w:r>
    </w:p>
    <w:p w14:paraId="350E03B7" w14:textId="1B37883E" w:rsidR="00FD319C" w:rsidRPr="00C24D08" w:rsidRDefault="00FD319C" w:rsidP="00C24D08">
      <w:pPr>
        <w:tabs>
          <w:tab w:val="clear" w:pos="567"/>
        </w:tabs>
        <w:spacing w:line="240" w:lineRule="auto"/>
        <w:rPr>
          <w:szCs w:val="22"/>
        </w:rPr>
      </w:pPr>
      <w:r w:rsidRPr="00C24D08">
        <w:rPr>
          <w:i/>
          <w:szCs w:val="22"/>
        </w:rPr>
        <w:t>Dospelí:</w:t>
      </w:r>
      <w:r w:rsidRPr="00C24D08">
        <w:rPr>
          <w:szCs w:val="22"/>
        </w:rPr>
        <w:t xml:space="preserve"> Odporúčaná </w:t>
      </w:r>
      <w:r w:rsidR="00E42643" w:rsidRPr="00C24D08">
        <w:rPr>
          <w:szCs w:val="22"/>
        </w:rPr>
        <w:t>začiatočná</w:t>
      </w:r>
      <w:r w:rsidRPr="00C24D08">
        <w:rPr>
          <w:szCs w:val="22"/>
        </w:rPr>
        <w:t xml:space="preserve"> dávka je 1 mg. Ak je to klinicky indikované, dávka </w:t>
      </w:r>
      <w:r w:rsidR="00E42643" w:rsidRPr="00C24D08">
        <w:rPr>
          <w:szCs w:val="22"/>
        </w:rPr>
        <w:t>môže byť zvýšená</w:t>
      </w:r>
      <w:r w:rsidRPr="00C24D08">
        <w:rPr>
          <w:szCs w:val="22"/>
        </w:rPr>
        <w:t xml:space="preserve"> na 2 mg alebo 3 mg. Odporúča sa </w:t>
      </w:r>
      <w:r w:rsidR="00E42643" w:rsidRPr="00C24D08">
        <w:rPr>
          <w:szCs w:val="22"/>
        </w:rPr>
        <w:t>po</w:t>
      </w:r>
      <w:r w:rsidRPr="00C24D08">
        <w:rPr>
          <w:szCs w:val="22"/>
        </w:rPr>
        <w:t>uži</w:t>
      </w:r>
      <w:r w:rsidR="00E42643" w:rsidRPr="00C24D08">
        <w:rPr>
          <w:szCs w:val="22"/>
        </w:rPr>
        <w:t>ť</w:t>
      </w:r>
      <w:r w:rsidRPr="00C24D08">
        <w:rPr>
          <w:szCs w:val="22"/>
        </w:rPr>
        <w:t xml:space="preserve"> najnižš</w:t>
      </w:r>
      <w:r w:rsidR="00E42643" w:rsidRPr="00C24D08">
        <w:rPr>
          <w:szCs w:val="22"/>
        </w:rPr>
        <w:t>iu</w:t>
      </w:r>
      <w:r w:rsidRPr="00C24D08">
        <w:rPr>
          <w:szCs w:val="22"/>
        </w:rPr>
        <w:t xml:space="preserve"> </w:t>
      </w:r>
      <w:r w:rsidR="00E42643" w:rsidRPr="00C24D08">
        <w:rPr>
          <w:szCs w:val="22"/>
        </w:rPr>
        <w:t xml:space="preserve">možnú </w:t>
      </w:r>
      <w:r w:rsidRPr="00C24D08">
        <w:rPr>
          <w:szCs w:val="22"/>
        </w:rPr>
        <w:t>účinn</w:t>
      </w:r>
      <w:r w:rsidR="00E42643" w:rsidRPr="00C24D08">
        <w:rPr>
          <w:szCs w:val="22"/>
        </w:rPr>
        <w:t>ú</w:t>
      </w:r>
      <w:r w:rsidRPr="00C24D08">
        <w:rPr>
          <w:szCs w:val="22"/>
        </w:rPr>
        <w:t xml:space="preserve"> dávk</w:t>
      </w:r>
      <w:r w:rsidR="00E42643" w:rsidRPr="00C24D08">
        <w:rPr>
          <w:szCs w:val="22"/>
        </w:rPr>
        <w:t>u</w:t>
      </w:r>
      <w:r w:rsidRPr="00C24D08">
        <w:rPr>
          <w:szCs w:val="22"/>
        </w:rPr>
        <w:t xml:space="preserve"> </w:t>
      </w:r>
      <w:proofErr w:type="spellStart"/>
      <w:r w:rsidRPr="00C24D08">
        <w:rPr>
          <w:szCs w:val="22"/>
        </w:rPr>
        <w:t>eszopiklónu</w:t>
      </w:r>
      <w:proofErr w:type="spellEnd"/>
      <w:r w:rsidRPr="00C24D08">
        <w:rPr>
          <w:szCs w:val="22"/>
        </w:rPr>
        <w:t xml:space="preserve"> pre pacienta. Celková dávka </w:t>
      </w:r>
      <w:proofErr w:type="spellStart"/>
      <w:r w:rsidRPr="00C24D08">
        <w:rPr>
          <w:szCs w:val="22"/>
        </w:rPr>
        <w:t>eszopiklónu</w:t>
      </w:r>
      <w:proofErr w:type="spellEnd"/>
      <w:r w:rsidRPr="00C24D08">
        <w:rPr>
          <w:szCs w:val="22"/>
        </w:rPr>
        <w:t xml:space="preserve"> ne</w:t>
      </w:r>
      <w:r w:rsidR="00E42643" w:rsidRPr="00C24D08">
        <w:rPr>
          <w:szCs w:val="22"/>
        </w:rPr>
        <w:t>smie</w:t>
      </w:r>
      <w:r w:rsidRPr="00C24D08">
        <w:rPr>
          <w:szCs w:val="22"/>
        </w:rPr>
        <w:t xml:space="preserve"> prekročiť 3 mg.</w:t>
      </w:r>
    </w:p>
    <w:p w14:paraId="75B15107" w14:textId="77777777" w:rsidR="00BB443C" w:rsidRPr="00C24D08" w:rsidRDefault="00BB443C" w:rsidP="00C24D08">
      <w:pPr>
        <w:tabs>
          <w:tab w:val="clear" w:pos="567"/>
        </w:tabs>
        <w:spacing w:line="240" w:lineRule="auto"/>
        <w:rPr>
          <w:szCs w:val="22"/>
        </w:rPr>
      </w:pPr>
    </w:p>
    <w:p w14:paraId="2E7E79AC" w14:textId="77777777" w:rsidR="006B24F4" w:rsidRPr="00C24D08" w:rsidRDefault="00C22B4B" w:rsidP="00C24D08">
      <w:pPr>
        <w:tabs>
          <w:tab w:val="clear" w:pos="567"/>
        </w:tabs>
        <w:spacing w:line="240" w:lineRule="auto"/>
        <w:rPr>
          <w:szCs w:val="22"/>
        </w:rPr>
      </w:pPr>
      <w:proofErr w:type="spellStart"/>
      <w:r w:rsidRPr="00C24D08">
        <w:rPr>
          <w:szCs w:val="22"/>
        </w:rPr>
        <w:lastRenderedPageBreak/>
        <w:t>Eszopikló</w:t>
      </w:r>
      <w:r w:rsidR="006B24F4" w:rsidRPr="00C24D08">
        <w:rPr>
          <w:szCs w:val="22"/>
        </w:rPr>
        <w:t>n</w:t>
      </w:r>
      <w:proofErr w:type="spellEnd"/>
      <w:r w:rsidR="006B24F4" w:rsidRPr="00C24D08">
        <w:rPr>
          <w:szCs w:val="22"/>
        </w:rPr>
        <w:t xml:space="preserve"> sa má užiť v jedinej dávke tesne pred spaním a nesmie sa znovu užiť počas tej istej noci.</w:t>
      </w:r>
    </w:p>
    <w:p w14:paraId="450E8656" w14:textId="77777777" w:rsidR="00FD319C" w:rsidRPr="00C24D08" w:rsidRDefault="00FD319C" w:rsidP="00C24D08">
      <w:pPr>
        <w:tabs>
          <w:tab w:val="clear" w:pos="567"/>
        </w:tabs>
        <w:spacing w:line="240" w:lineRule="auto"/>
        <w:rPr>
          <w:szCs w:val="22"/>
        </w:rPr>
      </w:pPr>
    </w:p>
    <w:p w14:paraId="59447CB0" w14:textId="78B04178" w:rsidR="00AB25A7" w:rsidRPr="00C24D08" w:rsidRDefault="00AB25A7" w:rsidP="00C24D08">
      <w:pPr>
        <w:tabs>
          <w:tab w:val="clear" w:pos="567"/>
        </w:tabs>
        <w:spacing w:line="240" w:lineRule="auto"/>
        <w:rPr>
          <w:szCs w:val="22"/>
        </w:rPr>
      </w:pPr>
      <w:r w:rsidRPr="00C24D08">
        <w:rPr>
          <w:szCs w:val="22"/>
        </w:rPr>
        <w:t xml:space="preserve">Vo všetkých prípadoch </w:t>
      </w:r>
      <w:r w:rsidR="00193FB7" w:rsidRPr="00C24D08">
        <w:rPr>
          <w:szCs w:val="22"/>
        </w:rPr>
        <w:t>musí byť</w:t>
      </w:r>
      <w:r w:rsidRPr="00C24D08">
        <w:rPr>
          <w:szCs w:val="22"/>
        </w:rPr>
        <w:t xml:space="preserve"> dĺžka liečby minimálna potrebná na účinnú liečbu a </w:t>
      </w:r>
      <w:r w:rsidR="00193FB7" w:rsidRPr="00C24D08">
        <w:rPr>
          <w:szCs w:val="22"/>
        </w:rPr>
        <w:t>nesmie</w:t>
      </w:r>
      <w:r w:rsidRPr="00C24D08">
        <w:rPr>
          <w:szCs w:val="22"/>
        </w:rPr>
        <w:t xml:space="preserve"> prekročiť štyri týždne vrátane obdobia postupného vysadzovania lieku.</w:t>
      </w:r>
    </w:p>
    <w:p w14:paraId="337057E9" w14:textId="77777777" w:rsidR="00AB25A7" w:rsidRPr="00C24D08" w:rsidRDefault="00AB25A7" w:rsidP="00C24D08">
      <w:pPr>
        <w:tabs>
          <w:tab w:val="clear" w:pos="567"/>
        </w:tabs>
        <w:spacing w:line="240" w:lineRule="auto"/>
        <w:rPr>
          <w:szCs w:val="22"/>
        </w:rPr>
      </w:pPr>
    </w:p>
    <w:p w14:paraId="77E955AA" w14:textId="789264F2" w:rsidR="00AB25A7" w:rsidRPr="00C24D08" w:rsidRDefault="00AB25A7" w:rsidP="00C24D08">
      <w:pPr>
        <w:tabs>
          <w:tab w:val="clear" w:pos="567"/>
        </w:tabs>
        <w:spacing w:line="240" w:lineRule="auto"/>
        <w:rPr>
          <w:szCs w:val="22"/>
        </w:rPr>
      </w:pPr>
      <w:r w:rsidRPr="00C24D08">
        <w:rPr>
          <w:szCs w:val="22"/>
        </w:rPr>
        <w:t>V</w:t>
      </w:r>
      <w:r w:rsidR="00193FB7" w:rsidRPr="00C24D08">
        <w:rPr>
          <w:szCs w:val="22"/>
        </w:rPr>
        <w:t xml:space="preserve"> určitých</w:t>
      </w:r>
      <w:r w:rsidRPr="00C24D08">
        <w:rPr>
          <w:szCs w:val="22"/>
        </w:rPr>
        <w:t xml:space="preserve"> prípadoch, napríklad u pacientov s chronickou nespavosťou, môže byť potrebné predĺžiť obdobie liečby až na maximáln</w:t>
      </w:r>
      <w:r w:rsidR="00193FB7" w:rsidRPr="00C24D08">
        <w:rPr>
          <w:szCs w:val="22"/>
        </w:rPr>
        <w:t>e</w:t>
      </w:r>
      <w:r w:rsidRPr="00C24D08">
        <w:rPr>
          <w:szCs w:val="22"/>
        </w:rPr>
        <w:t xml:space="preserve"> 6 mesiacov (pozri časť 5.1). Vyžaduje si to pravidelné monitorovanie a hodnotenie stavu pacienta, pretože riziko zneužívania a závislosti sa zvyšuje s dobou liečby (pozri časť 4.4).</w:t>
      </w:r>
    </w:p>
    <w:p w14:paraId="4D885AA9" w14:textId="77777777" w:rsidR="00AB25A7" w:rsidRPr="00C24D08" w:rsidRDefault="00AB25A7" w:rsidP="00C24D08">
      <w:pPr>
        <w:tabs>
          <w:tab w:val="clear" w:pos="567"/>
        </w:tabs>
        <w:spacing w:line="240" w:lineRule="auto"/>
        <w:rPr>
          <w:szCs w:val="22"/>
        </w:rPr>
      </w:pPr>
    </w:p>
    <w:p w14:paraId="030AE1A3" w14:textId="24891C68" w:rsidR="006B24F4" w:rsidRPr="00C24D08" w:rsidRDefault="006B24F4" w:rsidP="00C24D08">
      <w:pPr>
        <w:tabs>
          <w:tab w:val="clear" w:pos="567"/>
        </w:tabs>
        <w:autoSpaceDE w:val="0"/>
        <w:autoSpaceDN w:val="0"/>
        <w:adjustRightInd w:val="0"/>
        <w:spacing w:line="240" w:lineRule="auto"/>
        <w:rPr>
          <w:i/>
          <w:szCs w:val="22"/>
        </w:rPr>
      </w:pPr>
      <w:r w:rsidRPr="00C24D08">
        <w:rPr>
          <w:i/>
          <w:szCs w:val="22"/>
        </w:rPr>
        <w:t xml:space="preserve">Interakcia </w:t>
      </w:r>
      <w:r w:rsidR="00193FB7" w:rsidRPr="00C24D08">
        <w:rPr>
          <w:i/>
          <w:szCs w:val="22"/>
        </w:rPr>
        <w:t xml:space="preserve">s </w:t>
      </w:r>
      <w:r w:rsidRPr="00C24D08">
        <w:rPr>
          <w:i/>
          <w:szCs w:val="22"/>
        </w:rPr>
        <w:t>liek</w:t>
      </w:r>
      <w:r w:rsidR="00193FB7" w:rsidRPr="00C24D08">
        <w:rPr>
          <w:i/>
          <w:szCs w:val="22"/>
        </w:rPr>
        <w:t>mi</w:t>
      </w:r>
    </w:p>
    <w:p w14:paraId="537ECE54" w14:textId="7EC665C1" w:rsidR="006B24F4" w:rsidRPr="00C24D08" w:rsidRDefault="006B24F4" w:rsidP="00C24D08">
      <w:pPr>
        <w:tabs>
          <w:tab w:val="clear" w:pos="567"/>
        </w:tabs>
        <w:autoSpaceDE w:val="0"/>
        <w:autoSpaceDN w:val="0"/>
        <w:adjustRightInd w:val="0"/>
        <w:spacing w:line="240" w:lineRule="auto"/>
        <w:rPr>
          <w:szCs w:val="22"/>
        </w:rPr>
      </w:pPr>
      <w:r w:rsidRPr="00C24D08">
        <w:rPr>
          <w:color w:val="000000"/>
          <w:szCs w:val="22"/>
        </w:rPr>
        <w:t>Dávka nesmie prekročiť 2 mg u</w:t>
      </w:r>
      <w:r w:rsidR="00756387">
        <w:rPr>
          <w:color w:val="000000"/>
          <w:szCs w:val="22"/>
        </w:rPr>
        <w:t xml:space="preserve"> dospelých</w:t>
      </w:r>
      <w:r w:rsidRPr="00C24D08">
        <w:rPr>
          <w:color w:val="000000"/>
          <w:szCs w:val="22"/>
        </w:rPr>
        <w:t xml:space="preserve"> pacientov, ktorí</w:t>
      </w:r>
      <w:r w:rsidR="00193FB7" w:rsidRPr="00C24D08">
        <w:rPr>
          <w:color w:val="000000"/>
          <w:szCs w:val="22"/>
        </w:rPr>
        <w:t xml:space="preserve"> nie sú starší a ktorí</w:t>
      </w:r>
      <w:r w:rsidRPr="00C24D08">
        <w:rPr>
          <w:color w:val="000000"/>
          <w:szCs w:val="22"/>
        </w:rPr>
        <w:t xml:space="preserve"> užívajú </w:t>
      </w:r>
      <w:proofErr w:type="spellStart"/>
      <w:r w:rsidRPr="00C24D08">
        <w:rPr>
          <w:color w:val="000000"/>
          <w:szCs w:val="22"/>
        </w:rPr>
        <w:t>ketokonazol</w:t>
      </w:r>
      <w:proofErr w:type="spellEnd"/>
      <w:r w:rsidRPr="00C24D08">
        <w:rPr>
          <w:color w:val="000000"/>
          <w:szCs w:val="22"/>
        </w:rPr>
        <w:t xml:space="preserve"> alebo iné silné inhibítory CYP3A4. U starších pacientov, ktorí súbežne užívajú silné inhibítory CYP3A4, je </w:t>
      </w:r>
      <w:proofErr w:type="spellStart"/>
      <w:r w:rsidRPr="00C24D08">
        <w:rPr>
          <w:color w:val="000000"/>
          <w:szCs w:val="22"/>
        </w:rPr>
        <w:t>eszopikl</w:t>
      </w:r>
      <w:r w:rsidR="00C37776">
        <w:rPr>
          <w:color w:val="000000"/>
          <w:szCs w:val="22"/>
        </w:rPr>
        <w:t>ó</w:t>
      </w:r>
      <w:r w:rsidRPr="00C24D08">
        <w:rPr>
          <w:color w:val="000000"/>
          <w:szCs w:val="22"/>
        </w:rPr>
        <w:t>n</w:t>
      </w:r>
      <w:proofErr w:type="spellEnd"/>
      <w:r w:rsidRPr="00C24D08">
        <w:rPr>
          <w:color w:val="000000"/>
          <w:szCs w:val="22"/>
        </w:rPr>
        <w:t xml:space="preserve"> kontraindikovaný (pozri časť 4.3). </w:t>
      </w:r>
      <w:r w:rsidRPr="00C24D08">
        <w:rPr>
          <w:szCs w:val="22"/>
        </w:rPr>
        <w:t xml:space="preserve">Okrem toho môže byť potrebné zníženie dávky </w:t>
      </w:r>
      <w:proofErr w:type="spellStart"/>
      <w:r w:rsidRPr="00C24D08">
        <w:rPr>
          <w:szCs w:val="22"/>
        </w:rPr>
        <w:t>eszopiklónu</w:t>
      </w:r>
      <w:proofErr w:type="spellEnd"/>
      <w:r w:rsidRPr="00C24D08">
        <w:rPr>
          <w:szCs w:val="22"/>
        </w:rPr>
        <w:t xml:space="preserve"> aj v prípade, ak sa podáva sú</w:t>
      </w:r>
      <w:r w:rsidR="00193FB7" w:rsidRPr="00C24D08">
        <w:rPr>
          <w:szCs w:val="22"/>
        </w:rPr>
        <w:t>bežne</w:t>
      </w:r>
      <w:r w:rsidRPr="00C24D08">
        <w:rPr>
          <w:szCs w:val="22"/>
        </w:rPr>
        <w:t xml:space="preserve"> s liekmi, ktoré majú známe účinky na tlmenie CNS (pozri časť 4.5).</w:t>
      </w:r>
    </w:p>
    <w:p w14:paraId="42BE5B7D" w14:textId="77777777" w:rsidR="006B24F4" w:rsidRPr="00C24D08" w:rsidRDefault="006B24F4" w:rsidP="00C24D08">
      <w:pPr>
        <w:tabs>
          <w:tab w:val="clear" w:pos="567"/>
        </w:tabs>
        <w:spacing w:line="240" w:lineRule="auto"/>
        <w:rPr>
          <w:szCs w:val="22"/>
        </w:rPr>
      </w:pPr>
    </w:p>
    <w:p w14:paraId="1BC89544" w14:textId="132FCA00" w:rsidR="00FD319C" w:rsidRPr="00C24D08" w:rsidRDefault="00F51A57" w:rsidP="00C24D08">
      <w:pPr>
        <w:tabs>
          <w:tab w:val="clear" w:pos="567"/>
        </w:tabs>
        <w:spacing w:line="240" w:lineRule="auto"/>
        <w:rPr>
          <w:i/>
          <w:szCs w:val="22"/>
        </w:rPr>
      </w:pPr>
      <w:r>
        <w:rPr>
          <w:i/>
          <w:szCs w:val="22"/>
        </w:rPr>
        <w:t>Osobitné</w:t>
      </w:r>
      <w:r w:rsidRPr="00C24D08">
        <w:rPr>
          <w:i/>
          <w:szCs w:val="22"/>
        </w:rPr>
        <w:t xml:space="preserve"> </w:t>
      </w:r>
      <w:r w:rsidR="00FD319C" w:rsidRPr="00C24D08">
        <w:rPr>
          <w:i/>
          <w:szCs w:val="22"/>
        </w:rPr>
        <w:t>populáci</w:t>
      </w:r>
      <w:r w:rsidR="00193FB7" w:rsidRPr="00C24D08">
        <w:rPr>
          <w:i/>
          <w:szCs w:val="22"/>
        </w:rPr>
        <w:t>e</w:t>
      </w:r>
    </w:p>
    <w:p w14:paraId="791316C9" w14:textId="77777777" w:rsidR="00FD319C" w:rsidRPr="00C24D08" w:rsidRDefault="00FD319C" w:rsidP="00C24D08">
      <w:pPr>
        <w:tabs>
          <w:tab w:val="clear" w:pos="567"/>
        </w:tabs>
        <w:spacing w:line="240" w:lineRule="auto"/>
        <w:rPr>
          <w:i/>
          <w:szCs w:val="22"/>
        </w:rPr>
      </w:pPr>
    </w:p>
    <w:p w14:paraId="6C5E08FD" w14:textId="225D5D37" w:rsidR="00FD319C" w:rsidRPr="00C24D08" w:rsidRDefault="00FD319C" w:rsidP="00C24D08">
      <w:pPr>
        <w:keepNext/>
        <w:tabs>
          <w:tab w:val="clear" w:pos="567"/>
        </w:tabs>
        <w:spacing w:line="240" w:lineRule="auto"/>
        <w:rPr>
          <w:i/>
          <w:szCs w:val="22"/>
        </w:rPr>
      </w:pPr>
      <w:r w:rsidRPr="00C24D08">
        <w:rPr>
          <w:i/>
          <w:szCs w:val="22"/>
        </w:rPr>
        <w:t>Starš</w:t>
      </w:r>
      <w:r w:rsidR="00193FB7" w:rsidRPr="00C24D08">
        <w:rPr>
          <w:i/>
          <w:szCs w:val="22"/>
        </w:rPr>
        <w:t>í</w:t>
      </w:r>
      <w:r w:rsidRPr="00C24D08">
        <w:rPr>
          <w:i/>
          <w:szCs w:val="22"/>
        </w:rPr>
        <w:t xml:space="preserve"> vo veku 65 a viac rokov: </w:t>
      </w:r>
    </w:p>
    <w:p w14:paraId="6E8BC85F" w14:textId="0814DAF2" w:rsidR="00FD319C" w:rsidRPr="00C24D08" w:rsidRDefault="00FD319C" w:rsidP="00C24D08">
      <w:pPr>
        <w:tabs>
          <w:tab w:val="clear" w:pos="567"/>
        </w:tabs>
        <w:spacing w:line="240" w:lineRule="auto"/>
        <w:rPr>
          <w:szCs w:val="22"/>
        </w:rPr>
      </w:pPr>
      <w:r w:rsidRPr="00C24D08">
        <w:rPr>
          <w:szCs w:val="22"/>
        </w:rPr>
        <w:t xml:space="preserve">Odporúčaná </w:t>
      </w:r>
      <w:r w:rsidR="00EA36DF" w:rsidRPr="00C24D08">
        <w:rPr>
          <w:szCs w:val="22"/>
        </w:rPr>
        <w:t>za</w:t>
      </w:r>
      <w:r w:rsidRPr="00C24D08">
        <w:rPr>
          <w:szCs w:val="22"/>
        </w:rPr>
        <w:t>čiatočná dávka pre starších pacientov je 1 mg bezprostredne pred spaním. U týchto pacientov sa môže dávka zvýšiť na 2 mg, ak je to klinicky indikované.</w:t>
      </w:r>
    </w:p>
    <w:p w14:paraId="0392C519" w14:textId="77777777" w:rsidR="00FD319C" w:rsidRPr="00C24D08" w:rsidRDefault="00FD319C" w:rsidP="00C24D08">
      <w:pPr>
        <w:tabs>
          <w:tab w:val="clear" w:pos="567"/>
        </w:tabs>
        <w:spacing w:line="240" w:lineRule="auto"/>
        <w:rPr>
          <w:szCs w:val="22"/>
        </w:rPr>
      </w:pPr>
    </w:p>
    <w:p w14:paraId="30A008CE" w14:textId="24BFC340" w:rsidR="00FD319C" w:rsidRPr="00C24D08" w:rsidRDefault="00FD319C" w:rsidP="00C24D08">
      <w:pPr>
        <w:tabs>
          <w:tab w:val="clear" w:pos="567"/>
        </w:tabs>
        <w:spacing w:line="240" w:lineRule="auto"/>
        <w:rPr>
          <w:szCs w:val="22"/>
        </w:rPr>
      </w:pPr>
      <w:r w:rsidRPr="00C24D08">
        <w:rPr>
          <w:szCs w:val="22"/>
        </w:rPr>
        <w:t xml:space="preserve">Odporúčaná dávka nesmie </w:t>
      </w:r>
      <w:r w:rsidR="00EA36DF" w:rsidRPr="00C24D08">
        <w:rPr>
          <w:szCs w:val="22"/>
        </w:rPr>
        <w:t xml:space="preserve">byť </w:t>
      </w:r>
      <w:r w:rsidRPr="00C24D08">
        <w:rPr>
          <w:szCs w:val="22"/>
        </w:rPr>
        <w:t>prekroč</w:t>
      </w:r>
      <w:r w:rsidR="00EA36DF" w:rsidRPr="00C24D08">
        <w:rPr>
          <w:szCs w:val="22"/>
        </w:rPr>
        <w:t>ená</w:t>
      </w:r>
      <w:r w:rsidRPr="00C24D08">
        <w:rPr>
          <w:szCs w:val="22"/>
        </w:rPr>
        <w:t xml:space="preserve"> (pozri časť 5.2).</w:t>
      </w:r>
    </w:p>
    <w:p w14:paraId="067E8D92" w14:textId="77777777" w:rsidR="00FD319C" w:rsidRPr="00C24D08" w:rsidRDefault="00FD319C" w:rsidP="00C24D08">
      <w:pPr>
        <w:tabs>
          <w:tab w:val="clear" w:pos="567"/>
        </w:tabs>
        <w:spacing w:line="240" w:lineRule="auto"/>
        <w:rPr>
          <w:szCs w:val="22"/>
        </w:rPr>
      </w:pPr>
    </w:p>
    <w:p w14:paraId="4009DF7F" w14:textId="6BB22A57" w:rsidR="00B16EFB" w:rsidRPr="00C24D08" w:rsidRDefault="00B16EFB" w:rsidP="00C24D08">
      <w:pPr>
        <w:tabs>
          <w:tab w:val="clear" w:pos="567"/>
        </w:tabs>
        <w:autoSpaceDE w:val="0"/>
        <w:autoSpaceDN w:val="0"/>
        <w:adjustRightInd w:val="0"/>
        <w:spacing w:line="240" w:lineRule="auto"/>
        <w:rPr>
          <w:i/>
          <w:iCs/>
          <w:szCs w:val="22"/>
        </w:rPr>
      </w:pPr>
      <w:r w:rsidRPr="00C24D08">
        <w:rPr>
          <w:i/>
          <w:iCs/>
          <w:szCs w:val="22"/>
        </w:rPr>
        <w:t>Poškodenie pečene</w:t>
      </w:r>
      <w:r w:rsidR="00EA36DF" w:rsidRPr="00C24D08">
        <w:rPr>
          <w:i/>
          <w:iCs/>
          <w:szCs w:val="22"/>
        </w:rPr>
        <w:t>:</w:t>
      </w:r>
    </w:p>
    <w:p w14:paraId="55CFF396" w14:textId="43DFA0E9" w:rsidR="00FD319C" w:rsidRPr="00C24D08" w:rsidRDefault="00B16EFB" w:rsidP="00C24D08">
      <w:pPr>
        <w:tabs>
          <w:tab w:val="clear" w:pos="567"/>
        </w:tabs>
        <w:autoSpaceDE w:val="0"/>
        <w:autoSpaceDN w:val="0"/>
        <w:adjustRightInd w:val="0"/>
        <w:spacing w:line="240" w:lineRule="auto"/>
        <w:rPr>
          <w:szCs w:val="22"/>
        </w:rPr>
      </w:pPr>
      <w:r w:rsidRPr="00C24D08">
        <w:rPr>
          <w:szCs w:val="22"/>
        </w:rPr>
        <w:t xml:space="preserve">U pacientov s </w:t>
      </w:r>
      <w:r w:rsidR="00F51A57">
        <w:rPr>
          <w:szCs w:val="22"/>
        </w:rPr>
        <w:t>ľahkým</w:t>
      </w:r>
      <w:r w:rsidR="00F51A57" w:rsidRPr="00C24D08">
        <w:rPr>
          <w:szCs w:val="22"/>
        </w:rPr>
        <w:t xml:space="preserve"> </w:t>
      </w:r>
      <w:r w:rsidRPr="00C24D08">
        <w:rPr>
          <w:szCs w:val="22"/>
        </w:rPr>
        <w:t xml:space="preserve">až stredne ťažkým poškodením pečene nie je potrebná úprava dávky (pozri časť 5.2). U pacientov s ťažkou </w:t>
      </w:r>
      <w:proofErr w:type="spellStart"/>
      <w:r w:rsidRPr="00C24D08">
        <w:rPr>
          <w:szCs w:val="22"/>
        </w:rPr>
        <w:t>hepatálnou</w:t>
      </w:r>
      <w:proofErr w:type="spellEnd"/>
      <w:r w:rsidRPr="00C24D08">
        <w:rPr>
          <w:szCs w:val="22"/>
        </w:rPr>
        <w:t xml:space="preserve"> </w:t>
      </w:r>
      <w:proofErr w:type="spellStart"/>
      <w:r w:rsidRPr="00C24D08">
        <w:rPr>
          <w:szCs w:val="22"/>
        </w:rPr>
        <w:t>insuficienciou</w:t>
      </w:r>
      <w:proofErr w:type="spellEnd"/>
      <w:r w:rsidRPr="00C24D08">
        <w:rPr>
          <w:szCs w:val="22"/>
        </w:rPr>
        <w:t xml:space="preserve"> je </w:t>
      </w:r>
      <w:proofErr w:type="spellStart"/>
      <w:r w:rsidRPr="00C24D08">
        <w:rPr>
          <w:szCs w:val="22"/>
        </w:rPr>
        <w:t>eszopikl</w:t>
      </w:r>
      <w:r w:rsidR="00EA36DF" w:rsidRPr="00C24D08">
        <w:rPr>
          <w:szCs w:val="22"/>
        </w:rPr>
        <w:t>ó</w:t>
      </w:r>
      <w:r w:rsidRPr="00C24D08">
        <w:rPr>
          <w:szCs w:val="22"/>
        </w:rPr>
        <w:t>n</w:t>
      </w:r>
      <w:proofErr w:type="spellEnd"/>
      <w:r w:rsidRPr="00C24D08">
        <w:rPr>
          <w:szCs w:val="22"/>
        </w:rPr>
        <w:t xml:space="preserve"> kontraindikovaný, pretože môže vyvolať </w:t>
      </w:r>
      <w:proofErr w:type="spellStart"/>
      <w:r w:rsidRPr="00C24D08">
        <w:rPr>
          <w:szCs w:val="22"/>
        </w:rPr>
        <w:t>encefalopatiu</w:t>
      </w:r>
      <w:proofErr w:type="spellEnd"/>
      <w:r w:rsidRPr="00C24D08">
        <w:rPr>
          <w:szCs w:val="22"/>
        </w:rPr>
        <w:t xml:space="preserve"> (pozri časť 4.3 a časť 5.2).</w:t>
      </w:r>
    </w:p>
    <w:p w14:paraId="25C0A347" w14:textId="77777777" w:rsidR="00B16EFB" w:rsidRPr="00C24D08" w:rsidRDefault="00B16EFB" w:rsidP="00C24D08">
      <w:pPr>
        <w:tabs>
          <w:tab w:val="clear" w:pos="567"/>
        </w:tabs>
        <w:autoSpaceDE w:val="0"/>
        <w:autoSpaceDN w:val="0"/>
        <w:adjustRightInd w:val="0"/>
        <w:spacing w:line="240" w:lineRule="auto"/>
        <w:rPr>
          <w:szCs w:val="22"/>
          <w:lang w:eastAsia="de-DE"/>
        </w:rPr>
      </w:pPr>
    </w:p>
    <w:p w14:paraId="6A448FD7" w14:textId="1A9A1B6D" w:rsidR="009F189A" w:rsidRPr="00C24D08" w:rsidRDefault="009F189A" w:rsidP="00C24D08">
      <w:pPr>
        <w:tabs>
          <w:tab w:val="clear" w:pos="567"/>
        </w:tabs>
        <w:autoSpaceDE w:val="0"/>
        <w:autoSpaceDN w:val="0"/>
        <w:adjustRightInd w:val="0"/>
        <w:spacing w:line="240" w:lineRule="auto"/>
        <w:rPr>
          <w:i/>
          <w:szCs w:val="22"/>
        </w:rPr>
      </w:pPr>
      <w:r w:rsidRPr="00C24D08">
        <w:rPr>
          <w:i/>
          <w:szCs w:val="22"/>
        </w:rPr>
        <w:t>Poškodenie obličiek</w:t>
      </w:r>
      <w:r w:rsidR="00EA36DF" w:rsidRPr="00C24D08">
        <w:rPr>
          <w:i/>
          <w:szCs w:val="22"/>
        </w:rPr>
        <w:t>:</w:t>
      </w:r>
    </w:p>
    <w:p w14:paraId="634F1C05" w14:textId="4575E384" w:rsidR="00DA7A8E" w:rsidRPr="00C24D08" w:rsidRDefault="009F189A" w:rsidP="00C24D08">
      <w:pPr>
        <w:tabs>
          <w:tab w:val="clear" w:pos="567"/>
        </w:tabs>
        <w:autoSpaceDE w:val="0"/>
        <w:autoSpaceDN w:val="0"/>
        <w:adjustRightInd w:val="0"/>
        <w:spacing w:line="240" w:lineRule="auto"/>
        <w:rPr>
          <w:szCs w:val="22"/>
        </w:rPr>
      </w:pPr>
      <w:r w:rsidRPr="00C24D08">
        <w:rPr>
          <w:szCs w:val="22"/>
        </w:rPr>
        <w:t>U pacientov s</w:t>
      </w:r>
      <w:r w:rsidR="00F51A57">
        <w:rPr>
          <w:szCs w:val="22"/>
        </w:rPr>
        <w:t xml:space="preserve"> ľahkým </w:t>
      </w:r>
      <w:r w:rsidRPr="00C24D08">
        <w:rPr>
          <w:szCs w:val="22"/>
        </w:rPr>
        <w:t xml:space="preserve">až stredne ťažkým poškodením obličiek nie je potrebná úprava dávky (pozri časť 5.2). </w:t>
      </w:r>
    </w:p>
    <w:p w14:paraId="6CF2E1C0" w14:textId="77777777" w:rsidR="00DA7A8E" w:rsidRPr="00C24D08" w:rsidRDefault="00DA7A8E" w:rsidP="00C24D08">
      <w:pPr>
        <w:tabs>
          <w:tab w:val="clear" w:pos="567"/>
        </w:tabs>
        <w:autoSpaceDE w:val="0"/>
        <w:autoSpaceDN w:val="0"/>
        <w:adjustRightInd w:val="0"/>
        <w:spacing w:line="240" w:lineRule="auto"/>
        <w:rPr>
          <w:szCs w:val="22"/>
          <w:lang w:eastAsia="de-DE"/>
        </w:rPr>
      </w:pPr>
    </w:p>
    <w:p w14:paraId="3CCB7F35" w14:textId="77777777" w:rsidR="009F189A" w:rsidRPr="00C24D08" w:rsidRDefault="004E2106" w:rsidP="00C24D08">
      <w:pPr>
        <w:tabs>
          <w:tab w:val="clear" w:pos="567"/>
        </w:tabs>
        <w:autoSpaceDE w:val="0"/>
        <w:autoSpaceDN w:val="0"/>
        <w:adjustRightInd w:val="0"/>
        <w:spacing w:line="240" w:lineRule="auto"/>
        <w:rPr>
          <w:szCs w:val="22"/>
        </w:rPr>
      </w:pPr>
      <w:r w:rsidRPr="00C24D08">
        <w:rPr>
          <w:szCs w:val="22"/>
        </w:rPr>
        <w:t xml:space="preserve">Maximálna odporúčaná dávka </w:t>
      </w:r>
      <w:proofErr w:type="spellStart"/>
      <w:r w:rsidRPr="00C24D08">
        <w:rPr>
          <w:szCs w:val="22"/>
        </w:rPr>
        <w:t>eszopiklónu</w:t>
      </w:r>
      <w:proofErr w:type="spellEnd"/>
      <w:r w:rsidRPr="00C24D08">
        <w:rPr>
          <w:szCs w:val="22"/>
        </w:rPr>
        <w:t xml:space="preserve"> u pacientov s ťažkým poškodením obličiek je 2 mg.</w:t>
      </w:r>
    </w:p>
    <w:p w14:paraId="65DBE2DA" w14:textId="77777777" w:rsidR="006C6238" w:rsidRPr="00C24D08" w:rsidRDefault="006C6238" w:rsidP="00C24D08">
      <w:pPr>
        <w:tabs>
          <w:tab w:val="clear" w:pos="567"/>
        </w:tabs>
        <w:autoSpaceDE w:val="0"/>
        <w:autoSpaceDN w:val="0"/>
        <w:adjustRightInd w:val="0"/>
        <w:spacing w:line="240" w:lineRule="auto"/>
        <w:rPr>
          <w:szCs w:val="22"/>
          <w:lang w:eastAsia="de-DE"/>
        </w:rPr>
      </w:pPr>
    </w:p>
    <w:p w14:paraId="3F9AB3CA" w14:textId="77777777" w:rsidR="00A049FF" w:rsidRPr="00C24D08" w:rsidRDefault="00F22F77" w:rsidP="00C24D08">
      <w:pPr>
        <w:tabs>
          <w:tab w:val="clear" w:pos="567"/>
        </w:tabs>
        <w:spacing w:line="240" w:lineRule="auto"/>
        <w:rPr>
          <w:bCs/>
          <w:i/>
          <w:iCs/>
          <w:szCs w:val="22"/>
        </w:rPr>
      </w:pPr>
      <w:r w:rsidRPr="00C24D08">
        <w:rPr>
          <w:bCs/>
          <w:i/>
          <w:iCs/>
          <w:szCs w:val="22"/>
        </w:rPr>
        <w:t xml:space="preserve">Pediatrická populácia: </w:t>
      </w:r>
    </w:p>
    <w:p w14:paraId="2CF02A1F" w14:textId="5AC7CC35" w:rsidR="00F22F77" w:rsidRPr="00C24D08" w:rsidRDefault="00C22B4B" w:rsidP="00C24D08">
      <w:pPr>
        <w:tabs>
          <w:tab w:val="clear" w:pos="567"/>
        </w:tabs>
        <w:spacing w:line="240" w:lineRule="auto"/>
        <w:rPr>
          <w:bCs/>
          <w:i/>
          <w:iCs/>
          <w:szCs w:val="22"/>
        </w:rPr>
      </w:pPr>
      <w:proofErr w:type="spellStart"/>
      <w:r w:rsidRPr="00C24D08">
        <w:rPr>
          <w:color w:val="000000"/>
          <w:szCs w:val="22"/>
        </w:rPr>
        <w:t>Eszopiklón</w:t>
      </w:r>
      <w:proofErr w:type="spellEnd"/>
      <w:r w:rsidRPr="00C24D08">
        <w:rPr>
          <w:color w:val="000000"/>
          <w:szCs w:val="22"/>
        </w:rPr>
        <w:t xml:space="preserve"> nie je určený </w:t>
      </w:r>
      <w:r w:rsidR="00EA36DF" w:rsidRPr="00C24D08">
        <w:rPr>
          <w:color w:val="000000"/>
          <w:szCs w:val="22"/>
        </w:rPr>
        <w:t>na použitie u</w:t>
      </w:r>
      <w:r w:rsidRPr="00C24D08">
        <w:rPr>
          <w:color w:val="000000"/>
          <w:szCs w:val="22"/>
        </w:rPr>
        <w:t xml:space="preserve"> det</w:t>
      </w:r>
      <w:r w:rsidR="00EA36DF" w:rsidRPr="00C24D08">
        <w:rPr>
          <w:color w:val="000000"/>
          <w:szCs w:val="22"/>
        </w:rPr>
        <w:t>í</w:t>
      </w:r>
      <w:r w:rsidR="00A049FF" w:rsidRPr="00C24D08">
        <w:rPr>
          <w:color w:val="000000"/>
          <w:szCs w:val="22"/>
        </w:rPr>
        <w:t xml:space="preserve"> a dospievajúcich mladších ako 18 rokov (pozri časť 4.3).</w:t>
      </w:r>
    </w:p>
    <w:p w14:paraId="148CA3A8" w14:textId="77777777" w:rsidR="00F22F77" w:rsidRPr="00C24D08" w:rsidRDefault="00F22F77" w:rsidP="00C24D08">
      <w:pPr>
        <w:tabs>
          <w:tab w:val="clear" w:pos="567"/>
        </w:tabs>
        <w:autoSpaceDE w:val="0"/>
        <w:autoSpaceDN w:val="0"/>
        <w:adjustRightInd w:val="0"/>
        <w:spacing w:line="240" w:lineRule="auto"/>
        <w:rPr>
          <w:szCs w:val="22"/>
        </w:rPr>
      </w:pPr>
      <w:r w:rsidRPr="00C24D08">
        <w:rPr>
          <w:szCs w:val="22"/>
        </w:rPr>
        <w:t xml:space="preserve">Bezpečnosť a účinnosť </w:t>
      </w:r>
      <w:proofErr w:type="spellStart"/>
      <w:r w:rsidRPr="00C24D08">
        <w:rPr>
          <w:szCs w:val="22"/>
        </w:rPr>
        <w:t>eszopiklónu</w:t>
      </w:r>
      <w:proofErr w:type="spellEnd"/>
      <w:r w:rsidRPr="00C24D08">
        <w:rPr>
          <w:szCs w:val="22"/>
        </w:rPr>
        <w:t xml:space="preserve"> u detí a dospievajúcich nebola stanovená.</w:t>
      </w:r>
    </w:p>
    <w:p w14:paraId="726F26F1" w14:textId="77777777" w:rsidR="00F22F77" w:rsidRPr="00C24D08" w:rsidRDefault="00F22F77" w:rsidP="00C24D08">
      <w:pPr>
        <w:tabs>
          <w:tab w:val="clear" w:pos="567"/>
        </w:tabs>
        <w:autoSpaceDE w:val="0"/>
        <w:autoSpaceDN w:val="0"/>
        <w:adjustRightInd w:val="0"/>
        <w:spacing w:line="240" w:lineRule="auto"/>
        <w:rPr>
          <w:szCs w:val="22"/>
        </w:rPr>
      </w:pPr>
    </w:p>
    <w:p w14:paraId="2D35CD42" w14:textId="77777777" w:rsidR="006C6238" w:rsidRPr="00C24D08" w:rsidRDefault="006C6238" w:rsidP="00C24D08">
      <w:pPr>
        <w:tabs>
          <w:tab w:val="clear" w:pos="567"/>
        </w:tabs>
        <w:autoSpaceDE w:val="0"/>
        <w:autoSpaceDN w:val="0"/>
        <w:adjustRightInd w:val="0"/>
        <w:spacing w:line="240" w:lineRule="auto"/>
        <w:rPr>
          <w:szCs w:val="22"/>
        </w:rPr>
      </w:pPr>
      <w:r w:rsidRPr="00C24D08">
        <w:rPr>
          <w:szCs w:val="22"/>
        </w:rPr>
        <w:t>Spôsob podávania</w:t>
      </w:r>
    </w:p>
    <w:p w14:paraId="0410316D" w14:textId="56A6199E" w:rsidR="006C6238" w:rsidRPr="00C24D08" w:rsidRDefault="00EA36DF" w:rsidP="00C24D08">
      <w:pPr>
        <w:tabs>
          <w:tab w:val="clear" w:pos="567"/>
        </w:tabs>
        <w:spacing w:line="240" w:lineRule="auto"/>
        <w:rPr>
          <w:szCs w:val="22"/>
        </w:rPr>
      </w:pPr>
      <w:proofErr w:type="spellStart"/>
      <w:r w:rsidRPr="00C24D08">
        <w:rPr>
          <w:iCs/>
          <w:szCs w:val="22"/>
        </w:rPr>
        <w:t>Esogno</w:t>
      </w:r>
      <w:proofErr w:type="spellEnd"/>
      <w:r w:rsidR="00F33228" w:rsidRPr="00C24D08">
        <w:rPr>
          <w:szCs w:val="22"/>
        </w:rPr>
        <w:t xml:space="preserve"> je na </w:t>
      </w:r>
      <w:r w:rsidRPr="00C24D08">
        <w:rPr>
          <w:szCs w:val="22"/>
        </w:rPr>
        <w:t xml:space="preserve">perorálne </w:t>
      </w:r>
      <w:r w:rsidR="00F51A57">
        <w:rPr>
          <w:szCs w:val="22"/>
        </w:rPr>
        <w:t>použitie</w:t>
      </w:r>
      <w:r w:rsidR="00F33228" w:rsidRPr="00C24D08">
        <w:rPr>
          <w:szCs w:val="22"/>
        </w:rPr>
        <w:t xml:space="preserve">. </w:t>
      </w:r>
    </w:p>
    <w:p w14:paraId="7C44CAE8" w14:textId="10B4DCEA" w:rsidR="006C6238" w:rsidRPr="00C24D08" w:rsidRDefault="006C6238" w:rsidP="00C24D08">
      <w:pPr>
        <w:tabs>
          <w:tab w:val="clear" w:pos="567"/>
        </w:tabs>
        <w:spacing w:line="240" w:lineRule="auto"/>
        <w:rPr>
          <w:szCs w:val="22"/>
        </w:rPr>
      </w:pPr>
      <w:r w:rsidRPr="00C24D08">
        <w:rPr>
          <w:szCs w:val="22"/>
        </w:rPr>
        <w:t xml:space="preserve">Tablety </w:t>
      </w:r>
      <w:r w:rsidR="00F51A57">
        <w:rPr>
          <w:szCs w:val="22"/>
        </w:rPr>
        <w:t xml:space="preserve">sa </w:t>
      </w:r>
      <w:r w:rsidRPr="00C24D08">
        <w:rPr>
          <w:szCs w:val="22"/>
        </w:rPr>
        <w:t xml:space="preserve">pred </w:t>
      </w:r>
      <w:r w:rsidR="00EA36DF" w:rsidRPr="00C24D08">
        <w:rPr>
          <w:szCs w:val="22"/>
        </w:rPr>
        <w:t>u</w:t>
      </w:r>
      <w:r w:rsidRPr="00C24D08">
        <w:rPr>
          <w:szCs w:val="22"/>
        </w:rPr>
        <w:t xml:space="preserve">žitím </w:t>
      </w:r>
      <w:r w:rsidR="00F51A57">
        <w:rPr>
          <w:szCs w:val="22"/>
        </w:rPr>
        <w:t xml:space="preserve">nesmú </w:t>
      </w:r>
      <w:r w:rsidR="00F51A57" w:rsidRPr="00C24D08">
        <w:rPr>
          <w:szCs w:val="22"/>
        </w:rPr>
        <w:t>drviť</w:t>
      </w:r>
      <w:r w:rsidRPr="00C24D08">
        <w:rPr>
          <w:szCs w:val="22"/>
        </w:rPr>
        <w:t xml:space="preserve"> ani lám</w:t>
      </w:r>
      <w:r w:rsidR="00F51A57">
        <w:rPr>
          <w:szCs w:val="22"/>
        </w:rPr>
        <w:t>ať</w:t>
      </w:r>
      <w:r w:rsidRPr="00C24D08">
        <w:rPr>
          <w:szCs w:val="22"/>
        </w:rPr>
        <w:t>, lebo účinná látka má horkú chuť.</w:t>
      </w:r>
    </w:p>
    <w:p w14:paraId="221E0729" w14:textId="77777777" w:rsidR="009F189A" w:rsidRPr="00C24D08" w:rsidRDefault="009F189A" w:rsidP="00C24D08">
      <w:pPr>
        <w:tabs>
          <w:tab w:val="clear" w:pos="567"/>
        </w:tabs>
        <w:autoSpaceDE w:val="0"/>
        <w:autoSpaceDN w:val="0"/>
        <w:adjustRightInd w:val="0"/>
        <w:spacing w:line="240" w:lineRule="auto"/>
        <w:rPr>
          <w:szCs w:val="22"/>
        </w:rPr>
      </w:pPr>
    </w:p>
    <w:p w14:paraId="750573B4" w14:textId="77777777" w:rsidR="001D29E6" w:rsidRPr="00C24D08" w:rsidRDefault="001D29E6" w:rsidP="00C24D08">
      <w:pPr>
        <w:pStyle w:val="Nadpis2"/>
        <w:rPr>
          <w:szCs w:val="22"/>
        </w:rPr>
      </w:pPr>
      <w:r w:rsidRPr="00C24D08">
        <w:rPr>
          <w:szCs w:val="22"/>
        </w:rPr>
        <w:t>4.3</w:t>
      </w:r>
      <w:r w:rsidRPr="00C24D08">
        <w:rPr>
          <w:szCs w:val="22"/>
        </w:rPr>
        <w:tab/>
        <w:t>Kontraindikácie</w:t>
      </w:r>
    </w:p>
    <w:p w14:paraId="6D34A8FD" w14:textId="77777777" w:rsidR="001D29E6" w:rsidRPr="00C24D08" w:rsidRDefault="001D29E6" w:rsidP="00C24D08">
      <w:pPr>
        <w:spacing w:line="240" w:lineRule="auto"/>
        <w:rPr>
          <w:szCs w:val="22"/>
        </w:rPr>
      </w:pPr>
    </w:p>
    <w:p w14:paraId="1843E1A2" w14:textId="3EDB3327" w:rsidR="001D29E6" w:rsidRPr="00C24D08" w:rsidRDefault="001D29E6" w:rsidP="00C24D08">
      <w:pPr>
        <w:pStyle w:val="Odsekzoznamu"/>
        <w:numPr>
          <w:ilvl w:val="0"/>
          <w:numId w:val="40"/>
        </w:numPr>
        <w:spacing w:line="240" w:lineRule="auto"/>
        <w:ind w:left="560" w:hanging="560"/>
        <w:rPr>
          <w:noProof/>
          <w:szCs w:val="22"/>
        </w:rPr>
      </w:pPr>
      <w:r w:rsidRPr="00C24D08">
        <w:rPr>
          <w:szCs w:val="22"/>
        </w:rPr>
        <w:t xml:space="preserve">Precitlivenosť na </w:t>
      </w:r>
      <w:r w:rsidR="00EA36DF" w:rsidRPr="00C24D08">
        <w:rPr>
          <w:szCs w:val="22"/>
        </w:rPr>
        <w:t>liečivo</w:t>
      </w:r>
      <w:r w:rsidRPr="00C24D08">
        <w:rPr>
          <w:szCs w:val="22"/>
        </w:rPr>
        <w:t xml:space="preserve">, na </w:t>
      </w:r>
      <w:proofErr w:type="spellStart"/>
      <w:r w:rsidRPr="00C24D08">
        <w:rPr>
          <w:szCs w:val="22"/>
        </w:rPr>
        <w:t>zopiklón</w:t>
      </w:r>
      <w:proofErr w:type="spellEnd"/>
      <w:r w:rsidRPr="00C24D08">
        <w:rPr>
          <w:szCs w:val="22"/>
        </w:rPr>
        <w:t xml:space="preserve"> alebo na niektorú z pomocných látok uvedených v časti 6.1.</w:t>
      </w:r>
    </w:p>
    <w:p w14:paraId="7F33B0BB" w14:textId="77777777" w:rsidR="00093AEE" w:rsidRPr="00C24D08" w:rsidRDefault="00093AEE" w:rsidP="00C24D08">
      <w:pPr>
        <w:pStyle w:val="Odsekzoznamu"/>
        <w:numPr>
          <w:ilvl w:val="0"/>
          <w:numId w:val="40"/>
        </w:numPr>
        <w:spacing w:line="240" w:lineRule="auto"/>
        <w:ind w:left="0" w:firstLine="0"/>
        <w:rPr>
          <w:noProof/>
          <w:szCs w:val="22"/>
        </w:rPr>
      </w:pPr>
      <w:proofErr w:type="spellStart"/>
      <w:r w:rsidRPr="00C24D08">
        <w:rPr>
          <w:szCs w:val="22"/>
        </w:rPr>
        <w:t>myasténia</w:t>
      </w:r>
      <w:proofErr w:type="spellEnd"/>
      <w:r w:rsidRPr="00C24D08">
        <w:rPr>
          <w:szCs w:val="22"/>
        </w:rPr>
        <w:t xml:space="preserve"> </w:t>
      </w:r>
      <w:proofErr w:type="spellStart"/>
      <w:r w:rsidRPr="00C24D08">
        <w:rPr>
          <w:szCs w:val="22"/>
        </w:rPr>
        <w:t>gravis</w:t>
      </w:r>
      <w:proofErr w:type="spellEnd"/>
    </w:p>
    <w:p w14:paraId="7D0FEE91" w14:textId="6E2C3F7B" w:rsidR="00093AEE" w:rsidRPr="00C24D08" w:rsidRDefault="00EA36DF" w:rsidP="00C24D08">
      <w:pPr>
        <w:pStyle w:val="Odsekzoznamu"/>
        <w:numPr>
          <w:ilvl w:val="0"/>
          <w:numId w:val="40"/>
        </w:numPr>
        <w:spacing w:line="240" w:lineRule="auto"/>
        <w:ind w:left="0" w:firstLine="0"/>
        <w:rPr>
          <w:noProof/>
          <w:szCs w:val="22"/>
        </w:rPr>
      </w:pPr>
      <w:r w:rsidRPr="00C24D08">
        <w:rPr>
          <w:szCs w:val="22"/>
        </w:rPr>
        <w:t>závažná</w:t>
      </w:r>
      <w:r w:rsidR="00093AEE" w:rsidRPr="00C24D08">
        <w:rPr>
          <w:szCs w:val="22"/>
        </w:rPr>
        <w:t xml:space="preserve"> respiračná </w:t>
      </w:r>
      <w:proofErr w:type="spellStart"/>
      <w:r w:rsidRPr="00C24D08">
        <w:rPr>
          <w:szCs w:val="22"/>
        </w:rPr>
        <w:t>insuficiencia</w:t>
      </w:r>
      <w:proofErr w:type="spellEnd"/>
    </w:p>
    <w:p w14:paraId="67401B99" w14:textId="301D6079" w:rsidR="004640E0" w:rsidRPr="00C24D08" w:rsidRDefault="00093AEE" w:rsidP="00C24D08">
      <w:pPr>
        <w:pStyle w:val="Odsekzoznamu"/>
        <w:numPr>
          <w:ilvl w:val="0"/>
          <w:numId w:val="40"/>
        </w:numPr>
        <w:spacing w:line="240" w:lineRule="auto"/>
        <w:ind w:left="0" w:firstLine="0"/>
        <w:rPr>
          <w:noProof/>
          <w:szCs w:val="22"/>
        </w:rPr>
      </w:pPr>
      <w:r w:rsidRPr="00C24D08">
        <w:rPr>
          <w:szCs w:val="22"/>
        </w:rPr>
        <w:t xml:space="preserve">syndróm závažnej spánkovej </w:t>
      </w:r>
      <w:proofErr w:type="spellStart"/>
      <w:r w:rsidRPr="00C24D08">
        <w:rPr>
          <w:szCs w:val="22"/>
        </w:rPr>
        <w:t>apnoe</w:t>
      </w:r>
      <w:proofErr w:type="spellEnd"/>
    </w:p>
    <w:p w14:paraId="216F9E37" w14:textId="77777777" w:rsidR="00814509" w:rsidRPr="00C24D08" w:rsidRDefault="00E23968" w:rsidP="00C24D08">
      <w:pPr>
        <w:pStyle w:val="Odsekzoznamu"/>
        <w:numPr>
          <w:ilvl w:val="0"/>
          <w:numId w:val="40"/>
        </w:numPr>
        <w:spacing w:line="240" w:lineRule="auto"/>
        <w:ind w:left="0" w:firstLine="0"/>
        <w:rPr>
          <w:noProof/>
          <w:szCs w:val="22"/>
        </w:rPr>
      </w:pPr>
      <w:r w:rsidRPr="00C24D08">
        <w:rPr>
          <w:szCs w:val="22"/>
        </w:rPr>
        <w:t xml:space="preserve">ťažká </w:t>
      </w:r>
      <w:proofErr w:type="spellStart"/>
      <w:r w:rsidRPr="00C24D08">
        <w:rPr>
          <w:szCs w:val="22"/>
        </w:rPr>
        <w:t>hepatálna</w:t>
      </w:r>
      <w:proofErr w:type="spellEnd"/>
      <w:r w:rsidRPr="00C24D08">
        <w:rPr>
          <w:szCs w:val="22"/>
        </w:rPr>
        <w:t xml:space="preserve"> nedostatočnosť</w:t>
      </w:r>
    </w:p>
    <w:p w14:paraId="52157175" w14:textId="77777777" w:rsidR="004640E0" w:rsidRPr="00C24D08" w:rsidRDefault="004640E0" w:rsidP="00C24D08">
      <w:pPr>
        <w:pStyle w:val="Odsekzoznamu"/>
        <w:numPr>
          <w:ilvl w:val="0"/>
          <w:numId w:val="40"/>
        </w:numPr>
        <w:spacing w:line="240" w:lineRule="auto"/>
        <w:ind w:left="567" w:hanging="567"/>
        <w:rPr>
          <w:noProof/>
          <w:szCs w:val="22"/>
        </w:rPr>
      </w:pPr>
      <w:r w:rsidRPr="00C24D08">
        <w:rPr>
          <w:szCs w:val="22"/>
        </w:rPr>
        <w:t>starší pacienti, ktorí súbežne užívajú silné inhibítory CYP3A4 (pozri časť 4.5)</w:t>
      </w:r>
    </w:p>
    <w:p w14:paraId="1BAE684D" w14:textId="77777777" w:rsidR="00F451F6" w:rsidRPr="00C24D08" w:rsidRDefault="00F451F6" w:rsidP="00C24D08">
      <w:pPr>
        <w:pStyle w:val="Odsekzoznamu"/>
        <w:numPr>
          <w:ilvl w:val="0"/>
          <w:numId w:val="40"/>
        </w:numPr>
        <w:spacing w:line="240" w:lineRule="auto"/>
        <w:ind w:left="0" w:firstLine="0"/>
        <w:rPr>
          <w:noProof/>
          <w:szCs w:val="22"/>
        </w:rPr>
      </w:pPr>
      <w:r w:rsidRPr="00C24D08">
        <w:rPr>
          <w:szCs w:val="22"/>
        </w:rPr>
        <w:t>deti a dospievajúci mladší ako 18 rokov</w:t>
      </w:r>
    </w:p>
    <w:p w14:paraId="26CB0F3F" w14:textId="77777777" w:rsidR="001D29E6" w:rsidRPr="00C24D08" w:rsidRDefault="001D29E6" w:rsidP="00C24D08">
      <w:pPr>
        <w:spacing w:line="240" w:lineRule="auto"/>
        <w:rPr>
          <w:szCs w:val="22"/>
        </w:rPr>
      </w:pPr>
    </w:p>
    <w:p w14:paraId="5714B542" w14:textId="185B525E" w:rsidR="001D29E6" w:rsidRPr="00C24D08" w:rsidRDefault="001D29E6" w:rsidP="00C24D08">
      <w:pPr>
        <w:pStyle w:val="Nadpis2"/>
        <w:rPr>
          <w:szCs w:val="22"/>
        </w:rPr>
      </w:pPr>
      <w:r w:rsidRPr="00C24D08">
        <w:rPr>
          <w:szCs w:val="22"/>
        </w:rPr>
        <w:t xml:space="preserve">4.4 </w:t>
      </w:r>
      <w:r w:rsidR="00EA36DF" w:rsidRPr="00C24D08">
        <w:rPr>
          <w:szCs w:val="22"/>
        </w:rPr>
        <w:tab/>
      </w:r>
      <w:r w:rsidRPr="00C24D08">
        <w:rPr>
          <w:szCs w:val="22"/>
        </w:rPr>
        <w:t>Osobitné upozornenia a opatrenia</w:t>
      </w:r>
    </w:p>
    <w:p w14:paraId="507A88DB" w14:textId="77777777" w:rsidR="007D317B" w:rsidRPr="00C24D08" w:rsidRDefault="007D317B" w:rsidP="00C24D08">
      <w:pPr>
        <w:spacing w:line="240" w:lineRule="auto"/>
        <w:rPr>
          <w:szCs w:val="22"/>
        </w:rPr>
      </w:pPr>
    </w:p>
    <w:p w14:paraId="07E11846" w14:textId="77777777" w:rsidR="00AD4E7C" w:rsidRPr="00C24D08" w:rsidRDefault="00AD4E7C" w:rsidP="00C24D08">
      <w:pPr>
        <w:spacing w:line="240" w:lineRule="auto"/>
        <w:rPr>
          <w:i/>
          <w:szCs w:val="22"/>
        </w:rPr>
      </w:pPr>
      <w:r w:rsidRPr="00C24D08">
        <w:rPr>
          <w:i/>
          <w:szCs w:val="22"/>
        </w:rPr>
        <w:lastRenderedPageBreak/>
        <w:t>Všeobecné informácie</w:t>
      </w:r>
    </w:p>
    <w:p w14:paraId="616CD952" w14:textId="59636037" w:rsidR="00AD4E7C" w:rsidRPr="00C24D08" w:rsidRDefault="00EA36DF" w:rsidP="00C24D08">
      <w:pPr>
        <w:tabs>
          <w:tab w:val="clear" w:pos="567"/>
          <w:tab w:val="left" w:pos="28"/>
        </w:tabs>
        <w:spacing w:line="240" w:lineRule="auto"/>
        <w:rPr>
          <w:szCs w:val="22"/>
        </w:rPr>
      </w:pPr>
      <w:r w:rsidRPr="00C24D08">
        <w:rPr>
          <w:szCs w:val="22"/>
        </w:rPr>
        <w:t>Ak je to možné, p</w:t>
      </w:r>
      <w:r w:rsidR="00AD4E7C" w:rsidRPr="00C24D08">
        <w:rPr>
          <w:szCs w:val="22"/>
        </w:rPr>
        <w:t>ríčina nespavosti sa m</w:t>
      </w:r>
      <w:r w:rsidRPr="00C24D08">
        <w:rPr>
          <w:szCs w:val="22"/>
        </w:rPr>
        <w:t>usí</w:t>
      </w:r>
      <w:r w:rsidR="00AD4E7C" w:rsidRPr="00C24D08">
        <w:rPr>
          <w:szCs w:val="22"/>
        </w:rPr>
        <w:t xml:space="preserve"> identifikovať. Sprievodné znaky </w:t>
      </w:r>
      <w:r w:rsidR="00F51A57">
        <w:rPr>
          <w:szCs w:val="22"/>
        </w:rPr>
        <w:t>sa majú</w:t>
      </w:r>
      <w:r w:rsidR="00AD4E7C" w:rsidRPr="00C24D08">
        <w:rPr>
          <w:szCs w:val="22"/>
        </w:rPr>
        <w:t xml:space="preserve"> liečiť ešte pred začatím liečby hypnotikami. Ak nespavosť neustúpi po 7 až 14 dňoch liečby, môže to naznačovať prítomnosť primárnej psychiatrickej alebo fyzickej poruchy a pacient </w:t>
      </w:r>
      <w:r w:rsidR="00F33BB0" w:rsidRPr="00C24D08">
        <w:rPr>
          <w:szCs w:val="22"/>
        </w:rPr>
        <w:t>musí</w:t>
      </w:r>
      <w:r w:rsidR="00AD4E7C" w:rsidRPr="00C24D08">
        <w:rPr>
          <w:szCs w:val="22"/>
        </w:rPr>
        <w:t xml:space="preserve"> byť v pravidelných intervaloch starostlivo prehodnocovaný.</w:t>
      </w:r>
    </w:p>
    <w:p w14:paraId="27D9F8DB" w14:textId="77777777" w:rsidR="00AD4E7C" w:rsidRPr="00C24D08" w:rsidRDefault="00AD4E7C" w:rsidP="00C24D08">
      <w:pPr>
        <w:tabs>
          <w:tab w:val="clear" w:pos="567"/>
          <w:tab w:val="left" w:pos="28"/>
        </w:tabs>
        <w:spacing w:line="240" w:lineRule="auto"/>
        <w:rPr>
          <w:szCs w:val="22"/>
        </w:rPr>
      </w:pPr>
    </w:p>
    <w:p w14:paraId="702CA9C5" w14:textId="77777777" w:rsidR="00AD4E7C" w:rsidRPr="00C24D08" w:rsidRDefault="00636483" w:rsidP="00C24D08">
      <w:pPr>
        <w:spacing w:line="240" w:lineRule="auto"/>
        <w:rPr>
          <w:i/>
          <w:szCs w:val="22"/>
        </w:rPr>
      </w:pPr>
      <w:r w:rsidRPr="00C24D08">
        <w:rPr>
          <w:i/>
          <w:szCs w:val="22"/>
        </w:rPr>
        <w:t>Chronické poškodenie dýchacích ciest</w:t>
      </w:r>
    </w:p>
    <w:p w14:paraId="7C79DDF4" w14:textId="22902B8C" w:rsidR="00AD4E7C" w:rsidRPr="00C24D08" w:rsidRDefault="00AD4E7C" w:rsidP="00C24D08">
      <w:pPr>
        <w:tabs>
          <w:tab w:val="clear" w:pos="567"/>
          <w:tab w:val="left" w:pos="28"/>
        </w:tabs>
        <w:spacing w:line="240" w:lineRule="auto"/>
        <w:rPr>
          <w:szCs w:val="22"/>
        </w:rPr>
      </w:pPr>
      <w:r w:rsidRPr="00C24D08">
        <w:rPr>
          <w:szCs w:val="22"/>
        </w:rPr>
        <w:t xml:space="preserve">Pri predpisovaní </w:t>
      </w:r>
      <w:proofErr w:type="spellStart"/>
      <w:r w:rsidRPr="00C24D08">
        <w:rPr>
          <w:szCs w:val="22"/>
        </w:rPr>
        <w:t>eszopiklónu</w:t>
      </w:r>
      <w:proofErr w:type="spellEnd"/>
      <w:r w:rsidRPr="00C24D08">
        <w:rPr>
          <w:szCs w:val="22"/>
        </w:rPr>
        <w:t xml:space="preserve"> pacientom s respiračnou </w:t>
      </w:r>
      <w:proofErr w:type="spellStart"/>
      <w:r w:rsidR="00F33BB0" w:rsidRPr="00C24D08">
        <w:rPr>
          <w:szCs w:val="22"/>
        </w:rPr>
        <w:t>insuficienciou</w:t>
      </w:r>
      <w:proofErr w:type="spellEnd"/>
      <w:r w:rsidRPr="00C24D08">
        <w:rPr>
          <w:szCs w:val="22"/>
        </w:rPr>
        <w:t xml:space="preserve"> je potrebná opatrnosť, pretože sa preukázalo, že </w:t>
      </w:r>
      <w:proofErr w:type="spellStart"/>
      <w:r w:rsidRPr="00C24D08">
        <w:rPr>
          <w:szCs w:val="22"/>
        </w:rPr>
        <w:t>benzodiazepíny</w:t>
      </w:r>
      <w:proofErr w:type="spellEnd"/>
      <w:r w:rsidRPr="00C24D08">
        <w:rPr>
          <w:szCs w:val="22"/>
        </w:rPr>
        <w:t xml:space="preserve"> a látky podobné </w:t>
      </w:r>
      <w:proofErr w:type="spellStart"/>
      <w:r w:rsidRPr="00C24D08">
        <w:rPr>
          <w:szCs w:val="22"/>
        </w:rPr>
        <w:t>benzodiazepínom</w:t>
      </w:r>
      <w:proofErr w:type="spellEnd"/>
      <w:r w:rsidRPr="00C24D08">
        <w:rPr>
          <w:szCs w:val="22"/>
        </w:rPr>
        <w:t xml:space="preserve"> zhoršujú dýchanie.</w:t>
      </w:r>
    </w:p>
    <w:p w14:paraId="6A44CF5A" w14:textId="77777777" w:rsidR="007D317B" w:rsidRPr="00C24D08" w:rsidRDefault="007D317B" w:rsidP="00C24D08">
      <w:pPr>
        <w:tabs>
          <w:tab w:val="clear" w:pos="567"/>
          <w:tab w:val="left" w:pos="28"/>
        </w:tabs>
        <w:spacing w:line="240" w:lineRule="auto"/>
        <w:rPr>
          <w:szCs w:val="22"/>
        </w:rPr>
      </w:pPr>
    </w:p>
    <w:p w14:paraId="6CD39752" w14:textId="77777777" w:rsidR="00AD4E7C" w:rsidRPr="00C24D08" w:rsidRDefault="00AD4E7C" w:rsidP="00C24D08">
      <w:pPr>
        <w:spacing w:line="240" w:lineRule="auto"/>
        <w:rPr>
          <w:i/>
          <w:szCs w:val="22"/>
        </w:rPr>
      </w:pPr>
      <w:r w:rsidRPr="00C24D08">
        <w:rPr>
          <w:i/>
          <w:szCs w:val="22"/>
        </w:rPr>
        <w:t xml:space="preserve">Riziko spojené so súbežným užívaním </w:t>
      </w:r>
      <w:proofErr w:type="spellStart"/>
      <w:r w:rsidRPr="00C24D08">
        <w:rPr>
          <w:i/>
          <w:szCs w:val="22"/>
        </w:rPr>
        <w:t>opioidov</w:t>
      </w:r>
      <w:proofErr w:type="spellEnd"/>
      <w:r w:rsidRPr="00C24D08">
        <w:rPr>
          <w:i/>
          <w:szCs w:val="22"/>
        </w:rPr>
        <w:t xml:space="preserve"> </w:t>
      </w:r>
    </w:p>
    <w:p w14:paraId="0C6106A6" w14:textId="42C8DF9D" w:rsidR="00AD4E7C" w:rsidRPr="00C24D08" w:rsidRDefault="00AD4E7C" w:rsidP="00C24D08">
      <w:pPr>
        <w:spacing w:line="240" w:lineRule="auto"/>
        <w:rPr>
          <w:szCs w:val="22"/>
        </w:rPr>
      </w:pPr>
      <w:r w:rsidRPr="00C24D08">
        <w:rPr>
          <w:szCs w:val="22"/>
        </w:rPr>
        <w:t xml:space="preserve">Súbežné užívanie </w:t>
      </w:r>
      <w:proofErr w:type="spellStart"/>
      <w:r w:rsidRPr="00C24D08">
        <w:rPr>
          <w:szCs w:val="22"/>
        </w:rPr>
        <w:t>eszopiklónu</w:t>
      </w:r>
      <w:proofErr w:type="spellEnd"/>
      <w:r w:rsidRPr="00C24D08">
        <w:rPr>
          <w:szCs w:val="22"/>
        </w:rPr>
        <w:t xml:space="preserve"> a </w:t>
      </w:r>
      <w:proofErr w:type="spellStart"/>
      <w:r w:rsidRPr="00C24D08">
        <w:rPr>
          <w:szCs w:val="22"/>
        </w:rPr>
        <w:t>opioidov</w:t>
      </w:r>
      <w:proofErr w:type="spellEnd"/>
      <w:r w:rsidRPr="00C24D08">
        <w:rPr>
          <w:szCs w:val="22"/>
        </w:rPr>
        <w:t xml:space="preserve"> môže mať za následok </w:t>
      </w:r>
      <w:proofErr w:type="spellStart"/>
      <w:r w:rsidRPr="00C24D08">
        <w:rPr>
          <w:szCs w:val="22"/>
        </w:rPr>
        <w:t>sedáciu</w:t>
      </w:r>
      <w:proofErr w:type="spellEnd"/>
      <w:r w:rsidRPr="00C24D08">
        <w:rPr>
          <w:szCs w:val="22"/>
        </w:rPr>
        <w:t xml:space="preserve">, útlm dýchania, kómu a smrť. </w:t>
      </w:r>
      <w:r w:rsidR="00F2328B" w:rsidRPr="00C24D08">
        <w:rPr>
          <w:szCs w:val="22"/>
        </w:rPr>
        <w:t>Vzhľadom na tieto</w:t>
      </w:r>
      <w:r w:rsidRPr="00C24D08">
        <w:rPr>
          <w:szCs w:val="22"/>
        </w:rPr>
        <w:t xml:space="preserve"> riz</w:t>
      </w:r>
      <w:r w:rsidR="00F2328B" w:rsidRPr="00C24D08">
        <w:rPr>
          <w:szCs w:val="22"/>
        </w:rPr>
        <w:t>iká</w:t>
      </w:r>
      <w:r w:rsidRPr="00C24D08">
        <w:rPr>
          <w:szCs w:val="22"/>
        </w:rPr>
        <w:t xml:space="preserve"> sa súbežné predpisovanie sedatívnych liekov, ako sú </w:t>
      </w:r>
      <w:proofErr w:type="spellStart"/>
      <w:r w:rsidRPr="00C24D08">
        <w:rPr>
          <w:szCs w:val="22"/>
        </w:rPr>
        <w:t>benzodiazepíny</w:t>
      </w:r>
      <w:proofErr w:type="spellEnd"/>
      <w:r w:rsidRPr="00C24D08">
        <w:rPr>
          <w:szCs w:val="22"/>
        </w:rPr>
        <w:t xml:space="preserve"> alebo príbuzné lieky, ako je napríklad </w:t>
      </w:r>
      <w:proofErr w:type="spellStart"/>
      <w:r w:rsidRPr="00C24D08">
        <w:rPr>
          <w:szCs w:val="22"/>
        </w:rPr>
        <w:t>eszopiklón</w:t>
      </w:r>
      <w:proofErr w:type="spellEnd"/>
      <w:r w:rsidRPr="00C24D08">
        <w:rPr>
          <w:szCs w:val="22"/>
        </w:rPr>
        <w:t xml:space="preserve"> s </w:t>
      </w:r>
      <w:proofErr w:type="spellStart"/>
      <w:r w:rsidRPr="00C24D08">
        <w:rPr>
          <w:szCs w:val="22"/>
        </w:rPr>
        <w:t>opioidmi</w:t>
      </w:r>
      <w:proofErr w:type="spellEnd"/>
      <w:r w:rsidRPr="00C24D08">
        <w:rPr>
          <w:szCs w:val="22"/>
        </w:rPr>
        <w:t>, m</w:t>
      </w:r>
      <w:r w:rsidR="00F2328B" w:rsidRPr="00C24D08">
        <w:rPr>
          <w:szCs w:val="22"/>
        </w:rPr>
        <w:t>usí</w:t>
      </w:r>
      <w:r w:rsidRPr="00C24D08">
        <w:rPr>
          <w:szCs w:val="22"/>
        </w:rPr>
        <w:t xml:space="preserve"> vyhradiť pre pacientov, pre ktorých nie sú možné alternatívne spôsoby liečby. Ak </w:t>
      </w:r>
      <w:r w:rsidR="00F2328B" w:rsidRPr="00C24D08">
        <w:rPr>
          <w:szCs w:val="22"/>
        </w:rPr>
        <w:t>je</w:t>
      </w:r>
      <w:r w:rsidRPr="00C24D08">
        <w:rPr>
          <w:szCs w:val="22"/>
        </w:rPr>
        <w:t xml:space="preserve"> rozhodnutie predpísať </w:t>
      </w:r>
      <w:proofErr w:type="spellStart"/>
      <w:r w:rsidRPr="00C24D08">
        <w:rPr>
          <w:szCs w:val="22"/>
        </w:rPr>
        <w:t>eszopiklón</w:t>
      </w:r>
      <w:proofErr w:type="spellEnd"/>
      <w:r w:rsidRPr="00C24D08">
        <w:rPr>
          <w:szCs w:val="22"/>
        </w:rPr>
        <w:t xml:space="preserve"> sú</w:t>
      </w:r>
      <w:r w:rsidR="00F2328B" w:rsidRPr="00C24D08">
        <w:rPr>
          <w:szCs w:val="22"/>
        </w:rPr>
        <w:t xml:space="preserve">bežne </w:t>
      </w:r>
      <w:r w:rsidRPr="00C24D08">
        <w:rPr>
          <w:szCs w:val="22"/>
        </w:rPr>
        <w:t xml:space="preserve">s </w:t>
      </w:r>
      <w:proofErr w:type="spellStart"/>
      <w:r w:rsidRPr="00C24D08">
        <w:rPr>
          <w:szCs w:val="22"/>
        </w:rPr>
        <w:t>opioidmi</w:t>
      </w:r>
      <w:proofErr w:type="spellEnd"/>
      <w:r w:rsidRPr="00C24D08">
        <w:rPr>
          <w:szCs w:val="22"/>
        </w:rPr>
        <w:t xml:space="preserve">, </w:t>
      </w:r>
      <w:r w:rsidR="00F2328B" w:rsidRPr="00C24D08">
        <w:rPr>
          <w:szCs w:val="22"/>
        </w:rPr>
        <w:t>má sa</w:t>
      </w:r>
      <w:r w:rsidRPr="00C24D08">
        <w:rPr>
          <w:szCs w:val="22"/>
        </w:rPr>
        <w:t xml:space="preserve"> použiť najnižši</w:t>
      </w:r>
      <w:r w:rsidR="00F2328B" w:rsidRPr="00C24D08">
        <w:rPr>
          <w:szCs w:val="22"/>
        </w:rPr>
        <w:t>a</w:t>
      </w:r>
      <w:r w:rsidRPr="00C24D08">
        <w:rPr>
          <w:szCs w:val="22"/>
        </w:rPr>
        <w:t xml:space="preserve"> účinn</w:t>
      </w:r>
      <w:r w:rsidR="00F2328B" w:rsidRPr="00C24D08">
        <w:rPr>
          <w:szCs w:val="22"/>
        </w:rPr>
        <w:t>á</w:t>
      </w:r>
      <w:r w:rsidRPr="00C24D08">
        <w:rPr>
          <w:szCs w:val="22"/>
        </w:rPr>
        <w:t xml:space="preserve"> dávk</w:t>
      </w:r>
      <w:r w:rsidR="00F2328B" w:rsidRPr="00C24D08">
        <w:rPr>
          <w:szCs w:val="22"/>
        </w:rPr>
        <w:t>a</w:t>
      </w:r>
      <w:r w:rsidRPr="00C24D08">
        <w:rPr>
          <w:szCs w:val="22"/>
        </w:rPr>
        <w:t xml:space="preserve"> a trvanie liečby </w:t>
      </w:r>
      <w:r w:rsidR="00F2328B" w:rsidRPr="00C24D08">
        <w:rPr>
          <w:szCs w:val="22"/>
        </w:rPr>
        <w:t>musí</w:t>
      </w:r>
      <w:r w:rsidRPr="00C24D08">
        <w:rPr>
          <w:szCs w:val="22"/>
        </w:rPr>
        <w:t xml:space="preserve"> byť čo najkratšie (pozri tiež všeobecné odporúčanie pre dávkovanie v časti 4.2). </w:t>
      </w:r>
    </w:p>
    <w:p w14:paraId="0148CA7A" w14:textId="77777777" w:rsidR="00AD4E7C" w:rsidRPr="00C24D08" w:rsidRDefault="00AD4E7C" w:rsidP="00C24D08">
      <w:pPr>
        <w:spacing w:line="240" w:lineRule="auto"/>
        <w:rPr>
          <w:szCs w:val="22"/>
        </w:rPr>
      </w:pPr>
    </w:p>
    <w:p w14:paraId="608C5853" w14:textId="77777777" w:rsidR="00AD4E7C" w:rsidRPr="00C24D08" w:rsidRDefault="00AD4E7C" w:rsidP="00C24D08">
      <w:pPr>
        <w:tabs>
          <w:tab w:val="clear" w:pos="567"/>
          <w:tab w:val="left" w:pos="28"/>
        </w:tabs>
        <w:spacing w:line="240" w:lineRule="auto"/>
        <w:rPr>
          <w:szCs w:val="22"/>
        </w:rPr>
      </w:pPr>
      <w:r w:rsidRPr="00C24D08">
        <w:rPr>
          <w:szCs w:val="22"/>
        </w:rPr>
        <w:t xml:space="preserve">Pacientov treba starostlivo sledovať kvôli prejavom a príznakom respiračnej depresie a </w:t>
      </w:r>
      <w:proofErr w:type="spellStart"/>
      <w:r w:rsidRPr="00C24D08">
        <w:rPr>
          <w:szCs w:val="22"/>
        </w:rPr>
        <w:t>sedácie</w:t>
      </w:r>
      <w:proofErr w:type="spellEnd"/>
      <w:r w:rsidRPr="00C24D08">
        <w:rPr>
          <w:szCs w:val="22"/>
        </w:rPr>
        <w:t>. Z tohto hľadiska sa dôrazne odporúča informovať pacientov a ich ošetrovateľov (ak je to možné), aby si boli týchto príznakov vedomí (pozri časť 4.5).</w:t>
      </w:r>
    </w:p>
    <w:p w14:paraId="0325563A" w14:textId="77777777" w:rsidR="007D317B" w:rsidRPr="00C24D08" w:rsidRDefault="007D317B" w:rsidP="00C24D08">
      <w:pPr>
        <w:tabs>
          <w:tab w:val="clear" w:pos="567"/>
          <w:tab w:val="left" w:pos="28"/>
        </w:tabs>
        <w:spacing w:line="240" w:lineRule="auto"/>
        <w:rPr>
          <w:szCs w:val="22"/>
        </w:rPr>
      </w:pPr>
    </w:p>
    <w:p w14:paraId="4A69A77E" w14:textId="77777777" w:rsidR="00A56E9E" w:rsidRPr="00C24D08" w:rsidRDefault="0088556E" w:rsidP="00C24D08">
      <w:pPr>
        <w:tabs>
          <w:tab w:val="clear" w:pos="567"/>
          <w:tab w:val="left" w:pos="0"/>
        </w:tabs>
        <w:spacing w:line="240" w:lineRule="auto"/>
        <w:rPr>
          <w:i/>
          <w:szCs w:val="22"/>
        </w:rPr>
      </w:pPr>
      <w:r w:rsidRPr="00C24D08">
        <w:rPr>
          <w:i/>
          <w:szCs w:val="22"/>
        </w:rPr>
        <w:t>Riziko závislosti</w:t>
      </w:r>
    </w:p>
    <w:p w14:paraId="524B5DFF" w14:textId="77777777" w:rsidR="008A66FA" w:rsidRPr="00C24D08" w:rsidRDefault="0088556E" w:rsidP="00C24D08">
      <w:pPr>
        <w:tabs>
          <w:tab w:val="clear" w:pos="567"/>
          <w:tab w:val="left" w:pos="0"/>
        </w:tabs>
        <w:spacing w:line="240" w:lineRule="auto"/>
        <w:rPr>
          <w:szCs w:val="22"/>
        </w:rPr>
      </w:pPr>
      <w:r w:rsidRPr="00C24D08">
        <w:rPr>
          <w:szCs w:val="22"/>
        </w:rPr>
        <w:t xml:space="preserve">Užívanie </w:t>
      </w:r>
      <w:proofErr w:type="spellStart"/>
      <w:r w:rsidRPr="00C24D08">
        <w:rPr>
          <w:szCs w:val="22"/>
        </w:rPr>
        <w:t>benzodiazepínov</w:t>
      </w:r>
      <w:proofErr w:type="spellEnd"/>
      <w:r w:rsidRPr="00C24D08">
        <w:rPr>
          <w:szCs w:val="22"/>
        </w:rPr>
        <w:t xml:space="preserve"> a látok podobných </w:t>
      </w:r>
      <w:proofErr w:type="spellStart"/>
      <w:r w:rsidRPr="00C24D08">
        <w:rPr>
          <w:szCs w:val="22"/>
        </w:rPr>
        <w:t>benzodiazepínom</w:t>
      </w:r>
      <w:proofErr w:type="spellEnd"/>
      <w:r w:rsidRPr="00C24D08">
        <w:rPr>
          <w:szCs w:val="22"/>
        </w:rPr>
        <w:t xml:space="preserve">, napríklad </w:t>
      </w:r>
      <w:proofErr w:type="spellStart"/>
      <w:r w:rsidRPr="00C24D08">
        <w:rPr>
          <w:szCs w:val="22"/>
        </w:rPr>
        <w:t>eszopiklónu</w:t>
      </w:r>
      <w:proofErr w:type="spellEnd"/>
      <w:r w:rsidRPr="00C24D08">
        <w:rPr>
          <w:szCs w:val="22"/>
        </w:rPr>
        <w:t xml:space="preserve">, môže viesť k rozvoju fyzickej a psychickej závislosti. </w:t>
      </w:r>
    </w:p>
    <w:p w14:paraId="3061EC95" w14:textId="77777777" w:rsidR="008A66FA" w:rsidRPr="00C24D08" w:rsidRDefault="0088556E" w:rsidP="00C24D08">
      <w:pPr>
        <w:tabs>
          <w:tab w:val="clear" w:pos="567"/>
          <w:tab w:val="left" w:pos="0"/>
        </w:tabs>
        <w:spacing w:line="240" w:lineRule="auto"/>
        <w:rPr>
          <w:szCs w:val="22"/>
        </w:rPr>
      </w:pPr>
      <w:r w:rsidRPr="00C24D08">
        <w:rPr>
          <w:szCs w:val="22"/>
        </w:rPr>
        <w:t xml:space="preserve">Riziko závislosti sa zvyšuje s: </w:t>
      </w:r>
    </w:p>
    <w:p w14:paraId="37BDEE04" w14:textId="2F7E1BA9" w:rsidR="008A66FA" w:rsidRPr="00C24D08" w:rsidRDefault="00F2328B" w:rsidP="00C24D08">
      <w:pPr>
        <w:pStyle w:val="Odsekzoznamu"/>
        <w:numPr>
          <w:ilvl w:val="0"/>
          <w:numId w:val="40"/>
        </w:numPr>
        <w:tabs>
          <w:tab w:val="clear" w:pos="567"/>
          <w:tab w:val="left" w:pos="0"/>
        </w:tabs>
        <w:spacing w:line="240" w:lineRule="auto"/>
        <w:rPr>
          <w:szCs w:val="22"/>
        </w:rPr>
      </w:pPr>
      <w:r w:rsidRPr="00C24D08">
        <w:rPr>
          <w:szCs w:val="22"/>
        </w:rPr>
        <w:t>d</w:t>
      </w:r>
      <w:r w:rsidR="005A5397" w:rsidRPr="00C24D08">
        <w:rPr>
          <w:szCs w:val="22"/>
        </w:rPr>
        <w:t xml:space="preserve">ávkou a trvaním liečby </w:t>
      </w:r>
    </w:p>
    <w:p w14:paraId="0C60D9C9" w14:textId="2966B48F" w:rsidR="008A66FA" w:rsidRPr="00C24D08" w:rsidRDefault="00F2328B" w:rsidP="00C24D08">
      <w:pPr>
        <w:pStyle w:val="Odsekzoznamu"/>
        <w:numPr>
          <w:ilvl w:val="0"/>
          <w:numId w:val="40"/>
        </w:numPr>
        <w:tabs>
          <w:tab w:val="clear" w:pos="567"/>
          <w:tab w:val="left" w:pos="0"/>
        </w:tabs>
        <w:spacing w:line="240" w:lineRule="auto"/>
        <w:rPr>
          <w:szCs w:val="22"/>
        </w:rPr>
      </w:pPr>
      <w:r w:rsidRPr="00C24D08">
        <w:rPr>
          <w:szCs w:val="22"/>
        </w:rPr>
        <w:t>j</w:t>
      </w:r>
      <w:r w:rsidR="00084F5D" w:rsidRPr="00C24D08">
        <w:rPr>
          <w:szCs w:val="22"/>
        </w:rPr>
        <w:t>e tiež väčšia u pacientov s anamnézou psychiatrických porúch a/alebo užívania alkoholu, návykových látok alebo drog</w:t>
      </w:r>
    </w:p>
    <w:p w14:paraId="7A8FAEAF" w14:textId="4675D4B4" w:rsidR="00A56E9E" w:rsidRPr="00C24D08" w:rsidRDefault="00F2328B" w:rsidP="00C24D08">
      <w:pPr>
        <w:pStyle w:val="Odsekzoznamu"/>
        <w:numPr>
          <w:ilvl w:val="0"/>
          <w:numId w:val="40"/>
        </w:numPr>
        <w:tabs>
          <w:tab w:val="clear" w:pos="567"/>
          <w:tab w:val="left" w:pos="0"/>
        </w:tabs>
        <w:spacing w:line="240" w:lineRule="auto"/>
        <w:rPr>
          <w:szCs w:val="22"/>
        </w:rPr>
      </w:pPr>
      <w:r w:rsidRPr="00C24D08">
        <w:rPr>
          <w:szCs w:val="22"/>
        </w:rPr>
        <w:t>u</w:t>
      </w:r>
      <w:r w:rsidR="005A5397" w:rsidRPr="00C24D08">
        <w:rPr>
          <w:szCs w:val="22"/>
        </w:rPr>
        <w:t xml:space="preserve"> pacientov, ktorí majú výrazné poruchy osobnosti</w:t>
      </w:r>
      <w:r w:rsidRPr="00C24D08">
        <w:rPr>
          <w:szCs w:val="22"/>
        </w:rPr>
        <w:t>.</w:t>
      </w:r>
    </w:p>
    <w:p w14:paraId="752D7864" w14:textId="77777777" w:rsidR="00A56E9E" w:rsidRPr="00C24D08" w:rsidRDefault="00A56E9E" w:rsidP="00C24D08">
      <w:pPr>
        <w:tabs>
          <w:tab w:val="clear" w:pos="567"/>
          <w:tab w:val="left" w:pos="0"/>
        </w:tabs>
        <w:spacing w:line="240" w:lineRule="auto"/>
        <w:rPr>
          <w:szCs w:val="22"/>
        </w:rPr>
      </w:pPr>
    </w:p>
    <w:p w14:paraId="6C70883D" w14:textId="77777777" w:rsidR="0088556E" w:rsidRPr="00C24D08" w:rsidRDefault="0088556E" w:rsidP="00C24D08">
      <w:pPr>
        <w:tabs>
          <w:tab w:val="clear" w:pos="567"/>
          <w:tab w:val="left" w:pos="0"/>
        </w:tabs>
        <w:spacing w:line="240" w:lineRule="auto"/>
        <w:rPr>
          <w:szCs w:val="22"/>
        </w:rPr>
      </w:pPr>
      <w:r w:rsidRPr="00C24D08">
        <w:rPr>
          <w:szCs w:val="22"/>
        </w:rPr>
        <w:t xml:space="preserve">Ak sa vyvinula fyzická závislosť, náhle ukončenie liečby bude sprevádzané abstinenčnými príznakmi. Môžu to byť bolesti hlavy, bolesti svalov, extrémna úzkosť, napätie, nepokoj, zmätenosť a podráždenosť. V závažných prípadoch sa môžu vyskytnúť tieto príznaky: </w:t>
      </w:r>
      <w:proofErr w:type="spellStart"/>
      <w:r w:rsidRPr="00C24D08">
        <w:rPr>
          <w:szCs w:val="22"/>
        </w:rPr>
        <w:t>derealizácia</w:t>
      </w:r>
      <w:proofErr w:type="spellEnd"/>
      <w:r w:rsidRPr="00C24D08">
        <w:rPr>
          <w:szCs w:val="22"/>
        </w:rPr>
        <w:t xml:space="preserve">, </w:t>
      </w:r>
      <w:proofErr w:type="spellStart"/>
      <w:r w:rsidRPr="00C24D08">
        <w:rPr>
          <w:szCs w:val="22"/>
        </w:rPr>
        <w:t>depersonalizácia</w:t>
      </w:r>
      <w:proofErr w:type="spellEnd"/>
      <w:r w:rsidRPr="00C24D08">
        <w:rPr>
          <w:szCs w:val="22"/>
        </w:rPr>
        <w:t xml:space="preserve">, </w:t>
      </w:r>
      <w:proofErr w:type="spellStart"/>
      <w:r w:rsidRPr="00C24D08">
        <w:rPr>
          <w:szCs w:val="22"/>
        </w:rPr>
        <w:t>hyperakúzia</w:t>
      </w:r>
      <w:proofErr w:type="spellEnd"/>
      <w:r w:rsidRPr="00C24D08">
        <w:rPr>
          <w:szCs w:val="22"/>
        </w:rPr>
        <w:t>, znecitlivenie a brnenie končatín, precitlivenosť na svetlo, hluk a fyzický kontakt, halucinácie alebo epileptické záchvaty.</w:t>
      </w:r>
    </w:p>
    <w:p w14:paraId="34278C5D" w14:textId="77777777" w:rsidR="00C15226" w:rsidRPr="00C24D08" w:rsidRDefault="00C15226" w:rsidP="00C24D08">
      <w:pPr>
        <w:tabs>
          <w:tab w:val="clear" w:pos="567"/>
          <w:tab w:val="left" w:pos="0"/>
        </w:tabs>
        <w:spacing w:line="240" w:lineRule="auto"/>
        <w:rPr>
          <w:szCs w:val="22"/>
        </w:rPr>
      </w:pPr>
    </w:p>
    <w:p w14:paraId="6C409D88" w14:textId="546EFC2A" w:rsidR="0088556E" w:rsidRPr="00C24D08" w:rsidRDefault="0088556E" w:rsidP="00C24D08">
      <w:pPr>
        <w:tabs>
          <w:tab w:val="clear" w:pos="567"/>
          <w:tab w:val="left" w:pos="0"/>
        </w:tabs>
        <w:spacing w:line="240" w:lineRule="auto"/>
        <w:rPr>
          <w:szCs w:val="22"/>
        </w:rPr>
      </w:pPr>
      <w:r w:rsidRPr="00C24D08">
        <w:rPr>
          <w:szCs w:val="22"/>
        </w:rPr>
        <w:t xml:space="preserve">Pacienti, ktorí vyžadujú predĺženú liečbu (pozri časť 4.2), </w:t>
      </w:r>
      <w:r w:rsidR="000613C6">
        <w:rPr>
          <w:szCs w:val="22"/>
        </w:rPr>
        <w:t>majú</w:t>
      </w:r>
      <w:r w:rsidRPr="00C24D08">
        <w:rPr>
          <w:szCs w:val="22"/>
        </w:rPr>
        <w:t xml:space="preserve"> byť pravidelne sledovaní a hodnotení z hľadiska možných pr</w:t>
      </w:r>
      <w:r w:rsidR="0076051B" w:rsidRPr="00C24D08">
        <w:rPr>
          <w:szCs w:val="22"/>
        </w:rPr>
        <w:t>ejavov</w:t>
      </w:r>
      <w:r w:rsidRPr="00C24D08">
        <w:rPr>
          <w:szCs w:val="22"/>
        </w:rPr>
        <w:t xml:space="preserve"> závislosti (napr. užívanie lieku vo väčšom množstve alebo počas dlhšieho obdobia, ako bolo plánované, pretrvávajúca túžba alebo neúspešné úsilie o zníženie alebo kontrolu užívania lieku) a spravovaní podľa klinickej potreby.</w:t>
      </w:r>
    </w:p>
    <w:p w14:paraId="05E84AC5" w14:textId="77777777" w:rsidR="007D7286" w:rsidRPr="00C24D08" w:rsidRDefault="007D7286" w:rsidP="00C24D08">
      <w:pPr>
        <w:tabs>
          <w:tab w:val="clear" w:pos="567"/>
          <w:tab w:val="left" w:pos="0"/>
        </w:tabs>
        <w:spacing w:line="240" w:lineRule="auto"/>
        <w:rPr>
          <w:szCs w:val="22"/>
        </w:rPr>
      </w:pPr>
    </w:p>
    <w:p w14:paraId="3B890B75" w14:textId="4A4353C4" w:rsidR="00334E98" w:rsidRPr="00C24D08" w:rsidRDefault="007D7286" w:rsidP="00C24D08">
      <w:pPr>
        <w:tabs>
          <w:tab w:val="clear" w:pos="567"/>
          <w:tab w:val="left" w:pos="0"/>
        </w:tabs>
        <w:spacing w:line="240" w:lineRule="auto"/>
        <w:rPr>
          <w:szCs w:val="22"/>
        </w:rPr>
      </w:pPr>
      <w:r w:rsidRPr="00C24D08">
        <w:rPr>
          <w:i/>
          <w:szCs w:val="22"/>
        </w:rPr>
        <w:t>Vysadenie lie</w:t>
      </w:r>
      <w:r w:rsidR="0076051B" w:rsidRPr="00C24D08">
        <w:rPr>
          <w:i/>
          <w:szCs w:val="22"/>
        </w:rPr>
        <w:t>čby</w:t>
      </w:r>
    </w:p>
    <w:p w14:paraId="13896192" w14:textId="77777777" w:rsidR="007D7286" w:rsidRPr="00C24D08" w:rsidRDefault="00334E98" w:rsidP="00C24D08">
      <w:pPr>
        <w:tabs>
          <w:tab w:val="clear" w:pos="567"/>
          <w:tab w:val="left" w:pos="0"/>
        </w:tabs>
        <w:spacing w:line="240" w:lineRule="auto"/>
        <w:rPr>
          <w:szCs w:val="22"/>
        </w:rPr>
      </w:pPr>
      <w:r w:rsidRPr="00C24D08">
        <w:rPr>
          <w:szCs w:val="22"/>
        </w:rPr>
        <w:t xml:space="preserve">Po ukončení liečby </w:t>
      </w:r>
      <w:proofErr w:type="spellStart"/>
      <w:r w:rsidRPr="00C24D08">
        <w:rPr>
          <w:szCs w:val="22"/>
        </w:rPr>
        <w:t>eszopiklónom</w:t>
      </w:r>
      <w:proofErr w:type="spellEnd"/>
      <w:r w:rsidRPr="00C24D08">
        <w:rPr>
          <w:szCs w:val="22"/>
        </w:rPr>
        <w:t xml:space="preserve"> boli hlásené abstinenčné príznaky (vrátane bolesti brucha, bolesti hlavy, zvýšenej chuti do jedla a nespavosti).</w:t>
      </w:r>
    </w:p>
    <w:p w14:paraId="1870DE41" w14:textId="77777777" w:rsidR="007D7286" w:rsidRPr="00C24D08" w:rsidRDefault="007D7286" w:rsidP="00C24D08">
      <w:pPr>
        <w:tabs>
          <w:tab w:val="clear" w:pos="567"/>
          <w:tab w:val="left" w:pos="0"/>
        </w:tabs>
        <w:spacing w:line="240" w:lineRule="auto"/>
        <w:rPr>
          <w:szCs w:val="22"/>
        </w:rPr>
      </w:pPr>
    </w:p>
    <w:p w14:paraId="3D0B30A4" w14:textId="77777777" w:rsidR="007D7286" w:rsidRPr="00C24D08" w:rsidRDefault="007D7286" w:rsidP="00C24D08">
      <w:pPr>
        <w:tabs>
          <w:tab w:val="clear" w:pos="567"/>
        </w:tabs>
        <w:spacing w:line="240" w:lineRule="auto"/>
        <w:rPr>
          <w:szCs w:val="22"/>
        </w:rPr>
      </w:pPr>
      <w:r w:rsidRPr="00C24D08">
        <w:rPr>
          <w:i/>
          <w:szCs w:val="22"/>
        </w:rPr>
        <w:t>Opätovná nespavosť</w:t>
      </w:r>
    </w:p>
    <w:p w14:paraId="7155D2ED" w14:textId="77777777" w:rsidR="0088556E" w:rsidRPr="00C24D08" w:rsidRDefault="007D7286" w:rsidP="00C24D08">
      <w:pPr>
        <w:tabs>
          <w:tab w:val="clear" w:pos="567"/>
        </w:tabs>
        <w:spacing w:line="240" w:lineRule="auto"/>
        <w:rPr>
          <w:szCs w:val="22"/>
        </w:rPr>
      </w:pPr>
      <w:r w:rsidRPr="00C24D08">
        <w:rPr>
          <w:szCs w:val="22"/>
        </w:rPr>
        <w:t xml:space="preserve">Po ukončení liečby </w:t>
      </w:r>
      <w:proofErr w:type="spellStart"/>
      <w:r w:rsidRPr="00C24D08">
        <w:rPr>
          <w:szCs w:val="22"/>
        </w:rPr>
        <w:t>eszopiklónom</w:t>
      </w:r>
      <w:proofErr w:type="spellEnd"/>
      <w:r w:rsidRPr="00C24D08">
        <w:rPr>
          <w:szCs w:val="22"/>
        </w:rPr>
        <w:t xml:space="preserve"> sa pozorovala opätovná nespavosť, ktorá sa prejavila zvýšením latencie spánku na jednu až dve noci. Tieto nepríjemnosti pominú bez zásahu. Je dôležité, aby si pacienti boli vedomí možnosti opätovného objavenia týchto fenoménov, čím sa minimalizuje úzkosť, ak by sa takéto príznaky objavili po ukončení liečby.</w:t>
      </w:r>
    </w:p>
    <w:p w14:paraId="0489B5A7" w14:textId="77777777" w:rsidR="007D7286" w:rsidRPr="00C24D08" w:rsidRDefault="007D7286" w:rsidP="00C24D08">
      <w:pPr>
        <w:spacing w:line="240" w:lineRule="auto"/>
        <w:rPr>
          <w:szCs w:val="22"/>
        </w:rPr>
      </w:pPr>
    </w:p>
    <w:p w14:paraId="320A7C58" w14:textId="77777777" w:rsidR="00BC006C" w:rsidRPr="00C24D08" w:rsidRDefault="007D7286" w:rsidP="00C24D08">
      <w:pPr>
        <w:spacing w:line="240" w:lineRule="auto"/>
        <w:rPr>
          <w:color w:val="D13438"/>
          <w:szCs w:val="22"/>
        </w:rPr>
      </w:pPr>
      <w:r w:rsidRPr="00C24D08">
        <w:rPr>
          <w:i/>
          <w:iCs/>
          <w:szCs w:val="22"/>
        </w:rPr>
        <w:t>Tolerancia</w:t>
      </w:r>
    </w:p>
    <w:p w14:paraId="57510A0B" w14:textId="52814480" w:rsidR="007D7286" w:rsidRPr="00C24D08" w:rsidRDefault="007D7286" w:rsidP="00C24D08">
      <w:pPr>
        <w:spacing w:line="240" w:lineRule="auto"/>
        <w:rPr>
          <w:szCs w:val="22"/>
        </w:rPr>
      </w:pPr>
      <w:r w:rsidRPr="00C24D08">
        <w:rPr>
          <w:szCs w:val="22"/>
        </w:rPr>
        <w:t xml:space="preserve">V klinických štúdiách s </w:t>
      </w:r>
      <w:proofErr w:type="spellStart"/>
      <w:r w:rsidRPr="00C24D08">
        <w:rPr>
          <w:szCs w:val="22"/>
        </w:rPr>
        <w:t>eszopiklónom</w:t>
      </w:r>
      <w:proofErr w:type="spellEnd"/>
      <w:r w:rsidRPr="00C24D08">
        <w:rPr>
          <w:szCs w:val="22"/>
        </w:rPr>
        <w:t xml:space="preserve"> sa nepozoroval vývoj tolerancie k žiadnemu parametru merania spánku počas obdobia liečby až do šiestich mesiacov (pozri časť 5.1).</w:t>
      </w:r>
    </w:p>
    <w:p w14:paraId="70DA8E90" w14:textId="77777777" w:rsidR="007D7286" w:rsidRPr="00C24D08" w:rsidRDefault="007D7286" w:rsidP="00C24D08">
      <w:pPr>
        <w:spacing w:line="240" w:lineRule="auto"/>
        <w:rPr>
          <w:szCs w:val="22"/>
        </w:rPr>
      </w:pPr>
    </w:p>
    <w:p w14:paraId="0B9C30D0" w14:textId="77777777" w:rsidR="00351922" w:rsidRPr="00C24D08" w:rsidRDefault="00AB26E1" w:rsidP="00C24D08">
      <w:pPr>
        <w:spacing w:line="240" w:lineRule="auto"/>
        <w:rPr>
          <w:i/>
          <w:iCs/>
          <w:szCs w:val="22"/>
        </w:rPr>
      </w:pPr>
      <w:r w:rsidRPr="00C24D08">
        <w:rPr>
          <w:i/>
          <w:iCs/>
          <w:szCs w:val="22"/>
        </w:rPr>
        <w:t xml:space="preserve">Porucha pamäti a </w:t>
      </w:r>
      <w:proofErr w:type="spellStart"/>
      <w:r w:rsidRPr="00C24D08">
        <w:rPr>
          <w:i/>
          <w:iCs/>
          <w:szCs w:val="22"/>
        </w:rPr>
        <w:t>psychomotoriky</w:t>
      </w:r>
      <w:proofErr w:type="spellEnd"/>
    </w:p>
    <w:p w14:paraId="020950D7" w14:textId="77777777" w:rsidR="00AB26E1" w:rsidRPr="00C24D08" w:rsidRDefault="00AB26E1" w:rsidP="00C24D08">
      <w:pPr>
        <w:spacing w:line="240" w:lineRule="auto"/>
        <w:rPr>
          <w:szCs w:val="22"/>
        </w:rPr>
      </w:pPr>
      <w:proofErr w:type="spellStart"/>
      <w:r w:rsidRPr="00C24D08">
        <w:rPr>
          <w:szCs w:val="22"/>
        </w:rPr>
        <w:t>Benzodiazepíny</w:t>
      </w:r>
      <w:proofErr w:type="spellEnd"/>
      <w:r w:rsidRPr="00C24D08">
        <w:rPr>
          <w:szCs w:val="22"/>
        </w:rPr>
        <w:t xml:space="preserve"> a látky podobné </w:t>
      </w:r>
      <w:proofErr w:type="spellStart"/>
      <w:r w:rsidRPr="00C24D08">
        <w:rPr>
          <w:szCs w:val="22"/>
        </w:rPr>
        <w:t>benzodiazepínom</w:t>
      </w:r>
      <w:proofErr w:type="spellEnd"/>
      <w:r w:rsidRPr="00C24D08">
        <w:rPr>
          <w:szCs w:val="22"/>
        </w:rPr>
        <w:t xml:space="preserve">, napríklad </w:t>
      </w:r>
      <w:proofErr w:type="spellStart"/>
      <w:r w:rsidRPr="00C24D08">
        <w:rPr>
          <w:szCs w:val="22"/>
        </w:rPr>
        <w:t>eszopiklón</w:t>
      </w:r>
      <w:proofErr w:type="spellEnd"/>
      <w:r w:rsidRPr="00C24D08">
        <w:rPr>
          <w:szCs w:val="22"/>
        </w:rPr>
        <w:t xml:space="preserve">, môžu vyvolať </w:t>
      </w:r>
      <w:proofErr w:type="spellStart"/>
      <w:r w:rsidRPr="00C24D08">
        <w:rPr>
          <w:szCs w:val="22"/>
        </w:rPr>
        <w:t>anterográdnu</w:t>
      </w:r>
      <w:proofErr w:type="spellEnd"/>
      <w:r w:rsidRPr="00C24D08">
        <w:rPr>
          <w:szCs w:val="22"/>
        </w:rPr>
        <w:t xml:space="preserve"> amnéziu a psychomotorickú poruchu vrátane náhodného zranenia a pádu. Najmä starší pacienti môžu byť zraniteľnejší voči pádom spôsobujúcim zranenia, ako sú zlomeniny bedra.</w:t>
      </w:r>
    </w:p>
    <w:p w14:paraId="3A6F0134" w14:textId="098D286B" w:rsidR="00A049FF" w:rsidRPr="00C24D08" w:rsidRDefault="00A049FF" w:rsidP="00C24D08">
      <w:pPr>
        <w:spacing w:line="240" w:lineRule="auto"/>
        <w:rPr>
          <w:szCs w:val="22"/>
        </w:rPr>
      </w:pPr>
      <w:r w:rsidRPr="00C24D08">
        <w:rPr>
          <w:szCs w:val="22"/>
        </w:rPr>
        <w:t xml:space="preserve">Amnézia sa zvyčajne vyskytuje niekoľko hodín po užití lieku. Pre zníženie rizika </w:t>
      </w:r>
      <w:r w:rsidR="000613C6">
        <w:rPr>
          <w:szCs w:val="22"/>
        </w:rPr>
        <w:t>majú</w:t>
      </w:r>
      <w:r w:rsidR="000613C6" w:rsidRPr="00C24D08">
        <w:rPr>
          <w:szCs w:val="22"/>
        </w:rPr>
        <w:t xml:space="preserve"> </w:t>
      </w:r>
      <w:r w:rsidRPr="00C24D08">
        <w:rPr>
          <w:szCs w:val="22"/>
        </w:rPr>
        <w:t>pacienti zabezpečiť, aby mohli mať nepretržitý spánok najmenej 8 hodín (pozri časť 4.8).</w:t>
      </w:r>
    </w:p>
    <w:p w14:paraId="4F8DEB1A" w14:textId="77777777" w:rsidR="00133171" w:rsidRPr="00C24D08" w:rsidRDefault="00133171" w:rsidP="00C24D08">
      <w:pPr>
        <w:pStyle w:val="MGGTextLeft"/>
        <w:rPr>
          <w:b/>
          <w:i/>
          <w:szCs w:val="22"/>
        </w:rPr>
      </w:pPr>
    </w:p>
    <w:p w14:paraId="128132AB" w14:textId="77777777" w:rsidR="00A049FF" w:rsidRPr="00C24D08" w:rsidRDefault="00A049FF" w:rsidP="00C24D08">
      <w:pPr>
        <w:pStyle w:val="MGGTextLeft"/>
        <w:rPr>
          <w:szCs w:val="22"/>
        </w:rPr>
      </w:pPr>
      <w:r w:rsidRPr="00C24D08">
        <w:rPr>
          <w:szCs w:val="22"/>
        </w:rPr>
        <w:t>Riziko psychomotorického poškodenia na druhý deň vrátane zhoršenej schopnosti viesť vozidlo sa zvyšuje, ak:</w:t>
      </w:r>
    </w:p>
    <w:p w14:paraId="01818505" w14:textId="77777777" w:rsidR="00A049FF" w:rsidRPr="00C24D08" w:rsidRDefault="00A049FF" w:rsidP="00C24D08">
      <w:pPr>
        <w:pStyle w:val="MGGTextLeft"/>
        <w:numPr>
          <w:ilvl w:val="0"/>
          <w:numId w:val="42"/>
        </w:numPr>
        <w:tabs>
          <w:tab w:val="left" w:pos="90"/>
          <w:tab w:val="left" w:pos="180"/>
        </w:tabs>
        <w:ind w:left="450"/>
        <w:rPr>
          <w:szCs w:val="22"/>
        </w:rPr>
      </w:pPr>
      <w:r w:rsidRPr="00C24D08">
        <w:rPr>
          <w:szCs w:val="22"/>
        </w:rPr>
        <w:t xml:space="preserve">sa </w:t>
      </w:r>
      <w:proofErr w:type="spellStart"/>
      <w:r w:rsidRPr="00C24D08">
        <w:rPr>
          <w:szCs w:val="22"/>
        </w:rPr>
        <w:t>eszopiklón</w:t>
      </w:r>
      <w:proofErr w:type="spellEnd"/>
      <w:r w:rsidRPr="00C24D08">
        <w:rPr>
          <w:szCs w:val="22"/>
        </w:rPr>
        <w:t xml:space="preserve"> užije menej ako 12 hodín pred vykonaním činností, ktoré si vyžadujú duševnú bdelosť (pozri časť 4.7)</w:t>
      </w:r>
    </w:p>
    <w:p w14:paraId="60D8BB73" w14:textId="7F6E7932" w:rsidR="00A049FF" w:rsidRPr="00C24D08" w:rsidRDefault="00982D91" w:rsidP="00C24D08">
      <w:pPr>
        <w:pStyle w:val="MGGTextLeft"/>
        <w:numPr>
          <w:ilvl w:val="0"/>
          <w:numId w:val="42"/>
        </w:numPr>
        <w:tabs>
          <w:tab w:val="left" w:pos="90"/>
          <w:tab w:val="left" w:pos="180"/>
        </w:tabs>
        <w:ind w:left="450"/>
        <w:rPr>
          <w:iCs/>
          <w:szCs w:val="22"/>
        </w:rPr>
      </w:pPr>
      <w:r w:rsidRPr="00C24D08">
        <w:rPr>
          <w:szCs w:val="22"/>
        </w:rPr>
        <w:t>použitá</w:t>
      </w:r>
      <w:r w:rsidR="00A049FF" w:rsidRPr="00C24D08">
        <w:rPr>
          <w:szCs w:val="22"/>
        </w:rPr>
        <w:t xml:space="preserve"> dávka </w:t>
      </w:r>
      <w:r w:rsidRPr="00C24D08">
        <w:rPr>
          <w:szCs w:val="22"/>
        </w:rPr>
        <w:t xml:space="preserve">je </w:t>
      </w:r>
      <w:r w:rsidR="00A049FF" w:rsidRPr="00C24D08">
        <w:rPr>
          <w:szCs w:val="22"/>
        </w:rPr>
        <w:t>vyššia ako odporúčaná dávka;</w:t>
      </w:r>
    </w:p>
    <w:p w14:paraId="759C122D" w14:textId="48456C24" w:rsidR="00A049FF" w:rsidRPr="00C24D08" w:rsidRDefault="00982D91" w:rsidP="00C24D08">
      <w:pPr>
        <w:pStyle w:val="MGGTextLeft"/>
        <w:numPr>
          <w:ilvl w:val="0"/>
          <w:numId w:val="42"/>
        </w:numPr>
        <w:tabs>
          <w:tab w:val="left" w:pos="90"/>
          <w:tab w:val="left" w:pos="180"/>
        </w:tabs>
        <w:ind w:left="450"/>
        <w:rPr>
          <w:iCs/>
          <w:szCs w:val="22"/>
        </w:rPr>
      </w:pPr>
      <w:r w:rsidRPr="00C24D08">
        <w:rPr>
          <w:szCs w:val="22"/>
        </w:rPr>
        <w:t xml:space="preserve">je </w:t>
      </w:r>
      <w:proofErr w:type="spellStart"/>
      <w:r w:rsidR="00A049FF" w:rsidRPr="00C24D08">
        <w:rPr>
          <w:szCs w:val="22"/>
        </w:rPr>
        <w:t>eszopiklón</w:t>
      </w:r>
      <w:proofErr w:type="spellEnd"/>
      <w:r w:rsidR="00A049FF" w:rsidRPr="00C24D08">
        <w:rPr>
          <w:szCs w:val="22"/>
        </w:rPr>
        <w:t xml:space="preserve"> pod</w:t>
      </w:r>
      <w:r w:rsidRPr="00C24D08">
        <w:rPr>
          <w:szCs w:val="22"/>
        </w:rPr>
        <w:t>aný</w:t>
      </w:r>
      <w:r w:rsidR="00A049FF" w:rsidRPr="00C24D08">
        <w:rPr>
          <w:szCs w:val="22"/>
        </w:rPr>
        <w:t xml:space="preserve"> súbežne s inými CNS tlmiacimi látkami alebo s inými liekmi, ktoré zvyšujú hladinu </w:t>
      </w:r>
      <w:proofErr w:type="spellStart"/>
      <w:r w:rsidR="00A049FF" w:rsidRPr="00C24D08">
        <w:rPr>
          <w:szCs w:val="22"/>
        </w:rPr>
        <w:t>eszopiklónu</w:t>
      </w:r>
      <w:proofErr w:type="spellEnd"/>
      <w:r w:rsidR="00A049FF" w:rsidRPr="00C24D08">
        <w:rPr>
          <w:szCs w:val="22"/>
        </w:rPr>
        <w:t xml:space="preserve"> v krvi alebo s alkoholom alebo nelegálnymi drogami (pozri časť 4.5).</w:t>
      </w:r>
    </w:p>
    <w:p w14:paraId="7F72471F" w14:textId="2C87A5C9" w:rsidR="00AB26E1" w:rsidRPr="00C24D08" w:rsidRDefault="00A049FF" w:rsidP="00C24D08">
      <w:pPr>
        <w:spacing w:line="240" w:lineRule="auto"/>
        <w:rPr>
          <w:szCs w:val="22"/>
        </w:rPr>
      </w:pPr>
      <w:proofErr w:type="spellStart"/>
      <w:r w:rsidRPr="00C24D08">
        <w:rPr>
          <w:szCs w:val="22"/>
        </w:rPr>
        <w:t>Eszopiklón</w:t>
      </w:r>
      <w:proofErr w:type="spellEnd"/>
      <w:r w:rsidRPr="00C24D08">
        <w:rPr>
          <w:szCs w:val="22"/>
        </w:rPr>
        <w:t xml:space="preserve"> sa má užiť v jednej dávke tesne pred spaním a nesmie sa znovu užiť počas tej istej noci.</w:t>
      </w:r>
    </w:p>
    <w:p w14:paraId="5E1F7D5A" w14:textId="77777777" w:rsidR="0079363C" w:rsidRPr="00C24D08" w:rsidRDefault="0079363C" w:rsidP="00C24D08">
      <w:pPr>
        <w:tabs>
          <w:tab w:val="clear" w:pos="567"/>
          <w:tab w:val="left" w:pos="28"/>
        </w:tabs>
        <w:spacing w:line="240" w:lineRule="auto"/>
        <w:rPr>
          <w:szCs w:val="22"/>
        </w:rPr>
      </w:pPr>
    </w:p>
    <w:p w14:paraId="7918C0BB" w14:textId="77777777" w:rsidR="002C6743" w:rsidRPr="00C24D08" w:rsidRDefault="002C6743" w:rsidP="00C24D08">
      <w:pPr>
        <w:tabs>
          <w:tab w:val="clear" w:pos="567"/>
          <w:tab w:val="left" w:pos="28"/>
        </w:tabs>
        <w:spacing w:line="240" w:lineRule="auto"/>
        <w:rPr>
          <w:i/>
          <w:iCs/>
          <w:szCs w:val="22"/>
        </w:rPr>
      </w:pPr>
      <w:r w:rsidRPr="00C24D08">
        <w:rPr>
          <w:i/>
          <w:iCs/>
          <w:szCs w:val="22"/>
        </w:rPr>
        <w:t>Depresia a samovražedné sklony</w:t>
      </w:r>
    </w:p>
    <w:p w14:paraId="45A6BA5F" w14:textId="24BEAF00" w:rsidR="00BE14C0" w:rsidRPr="00C24D08" w:rsidRDefault="00BE14C0" w:rsidP="00C24D08">
      <w:pPr>
        <w:tabs>
          <w:tab w:val="clear" w:pos="567"/>
          <w:tab w:val="left" w:pos="28"/>
        </w:tabs>
        <w:spacing w:line="240" w:lineRule="auto"/>
        <w:rPr>
          <w:szCs w:val="22"/>
        </w:rPr>
      </w:pPr>
      <w:proofErr w:type="spellStart"/>
      <w:r w:rsidRPr="00C24D08">
        <w:rPr>
          <w:szCs w:val="22"/>
        </w:rPr>
        <w:t>Eszopik</w:t>
      </w:r>
      <w:r w:rsidR="00C22B4B" w:rsidRPr="00C24D08">
        <w:rPr>
          <w:szCs w:val="22"/>
        </w:rPr>
        <w:t>l</w:t>
      </w:r>
      <w:r w:rsidRPr="00C24D08">
        <w:rPr>
          <w:szCs w:val="22"/>
        </w:rPr>
        <w:t>ón</w:t>
      </w:r>
      <w:proofErr w:type="spellEnd"/>
      <w:r w:rsidRPr="00C24D08">
        <w:rPr>
          <w:szCs w:val="22"/>
        </w:rPr>
        <w:t xml:space="preserve"> sa má podávať opatrne pacientom,</w:t>
      </w:r>
      <w:r w:rsidR="00982D91" w:rsidRPr="00C24D08">
        <w:rPr>
          <w:szCs w:val="22"/>
        </w:rPr>
        <w:t xml:space="preserve"> u</w:t>
      </w:r>
      <w:r w:rsidRPr="00C24D08">
        <w:rPr>
          <w:szCs w:val="22"/>
        </w:rPr>
        <w:t xml:space="preserve"> ktor</w:t>
      </w:r>
      <w:r w:rsidR="00982D91" w:rsidRPr="00C24D08">
        <w:rPr>
          <w:szCs w:val="22"/>
        </w:rPr>
        <w:t>ých</w:t>
      </w:r>
      <w:r w:rsidRPr="00C24D08">
        <w:rPr>
          <w:szCs w:val="22"/>
        </w:rPr>
        <w:t xml:space="preserve"> </w:t>
      </w:r>
      <w:r w:rsidR="00982D91" w:rsidRPr="00C24D08">
        <w:rPr>
          <w:szCs w:val="22"/>
        </w:rPr>
        <w:t>sa prejavujú</w:t>
      </w:r>
      <w:r w:rsidRPr="00C24D08">
        <w:rPr>
          <w:szCs w:val="22"/>
        </w:rPr>
        <w:t xml:space="preserve"> príznaky depresie.</w:t>
      </w:r>
    </w:p>
    <w:p w14:paraId="2848B2D8" w14:textId="77777777" w:rsidR="00084F5D" w:rsidRPr="00C24D08" w:rsidRDefault="002C6743" w:rsidP="00C24D08">
      <w:pPr>
        <w:tabs>
          <w:tab w:val="clear" w:pos="567"/>
          <w:tab w:val="left" w:pos="28"/>
        </w:tabs>
        <w:spacing w:line="240" w:lineRule="auto"/>
        <w:rPr>
          <w:szCs w:val="22"/>
        </w:rPr>
      </w:pPr>
      <w:proofErr w:type="spellStart"/>
      <w:r w:rsidRPr="00C24D08">
        <w:rPr>
          <w:szCs w:val="22"/>
        </w:rPr>
        <w:t>Benzodiazepíny</w:t>
      </w:r>
      <w:proofErr w:type="spellEnd"/>
      <w:r w:rsidRPr="00C24D08">
        <w:rPr>
          <w:szCs w:val="22"/>
        </w:rPr>
        <w:t xml:space="preserve"> a látky podobné </w:t>
      </w:r>
      <w:proofErr w:type="spellStart"/>
      <w:r w:rsidRPr="00C24D08">
        <w:rPr>
          <w:szCs w:val="22"/>
        </w:rPr>
        <w:t>benzodiazepínom</w:t>
      </w:r>
      <w:proofErr w:type="spellEnd"/>
      <w:r w:rsidRPr="00C24D08">
        <w:rPr>
          <w:szCs w:val="22"/>
        </w:rPr>
        <w:t xml:space="preserve">, napríklad </w:t>
      </w:r>
      <w:proofErr w:type="spellStart"/>
      <w:r w:rsidRPr="00C24D08">
        <w:rPr>
          <w:szCs w:val="22"/>
        </w:rPr>
        <w:t>eszopiklón</w:t>
      </w:r>
      <w:proofErr w:type="spellEnd"/>
      <w:r w:rsidRPr="00C24D08">
        <w:rPr>
          <w:szCs w:val="22"/>
        </w:rPr>
        <w:t>, sa nemajú používať bez primeranej liečby depresie alebo úzkosti spojenej s depresiou (u týcht</w:t>
      </w:r>
      <w:r w:rsidR="00C22B4B" w:rsidRPr="00C24D08">
        <w:rPr>
          <w:szCs w:val="22"/>
        </w:rPr>
        <w:t>o pacientov môže dôjsť k samovra</w:t>
      </w:r>
      <w:r w:rsidRPr="00C24D08">
        <w:rPr>
          <w:szCs w:val="22"/>
        </w:rPr>
        <w:t xml:space="preserve">žde). </w:t>
      </w:r>
    </w:p>
    <w:p w14:paraId="0801C444" w14:textId="77777777" w:rsidR="002C6743" w:rsidRPr="00C24D08" w:rsidRDefault="002C6743" w:rsidP="00C24D08">
      <w:pPr>
        <w:tabs>
          <w:tab w:val="clear" w:pos="567"/>
        </w:tabs>
        <w:autoSpaceDE w:val="0"/>
        <w:autoSpaceDN w:val="0"/>
        <w:adjustRightInd w:val="0"/>
        <w:spacing w:line="240" w:lineRule="auto"/>
        <w:rPr>
          <w:szCs w:val="22"/>
        </w:rPr>
      </w:pPr>
      <w:r w:rsidRPr="00C24D08">
        <w:rPr>
          <w:szCs w:val="22"/>
        </w:rPr>
        <w:t xml:space="preserve">Pretože tieto poruchy môžu byť spojené so samovražednými sklonmi, týmto pacientom sa kvôli možnosti úmyselného predávkovania musí podať najmenšie možné množstvo </w:t>
      </w:r>
      <w:proofErr w:type="spellStart"/>
      <w:r w:rsidRPr="00C24D08">
        <w:rPr>
          <w:szCs w:val="22"/>
        </w:rPr>
        <w:t>eszopiklónu</w:t>
      </w:r>
      <w:proofErr w:type="spellEnd"/>
      <w:r w:rsidRPr="00C24D08">
        <w:rPr>
          <w:szCs w:val="22"/>
        </w:rPr>
        <w:t xml:space="preserve"> (pozri časť 5.1). Počas užívania </w:t>
      </w:r>
      <w:proofErr w:type="spellStart"/>
      <w:r w:rsidRPr="00C24D08">
        <w:rPr>
          <w:szCs w:val="22"/>
        </w:rPr>
        <w:t>eszopiklónu</w:t>
      </w:r>
      <w:proofErr w:type="spellEnd"/>
      <w:r w:rsidRPr="00C24D08">
        <w:rPr>
          <w:szCs w:val="22"/>
        </w:rPr>
        <w:t xml:space="preserve"> môže byť odhalená už existujúca depresia.</w:t>
      </w:r>
    </w:p>
    <w:p w14:paraId="46D3163B" w14:textId="77777777" w:rsidR="007D317B" w:rsidRPr="00C24D08" w:rsidRDefault="007D317B" w:rsidP="00C24D08">
      <w:pPr>
        <w:tabs>
          <w:tab w:val="clear" w:pos="567"/>
        </w:tabs>
        <w:autoSpaceDE w:val="0"/>
        <w:autoSpaceDN w:val="0"/>
        <w:adjustRightInd w:val="0"/>
        <w:spacing w:line="240" w:lineRule="auto"/>
        <w:rPr>
          <w:szCs w:val="22"/>
        </w:rPr>
      </w:pPr>
    </w:p>
    <w:p w14:paraId="2B08B1BF" w14:textId="7F3BB0F4" w:rsidR="008D28AD" w:rsidRPr="00C24D08" w:rsidRDefault="008D28AD" w:rsidP="00C24D08">
      <w:pPr>
        <w:spacing w:line="240" w:lineRule="auto"/>
        <w:rPr>
          <w:szCs w:val="22"/>
        </w:rPr>
      </w:pPr>
      <w:r w:rsidRPr="00C24D08">
        <w:rPr>
          <w:szCs w:val="22"/>
        </w:rPr>
        <w:t>Niekoľko epidemiologických štúdií ukázalo zvýšen</w:t>
      </w:r>
      <w:r w:rsidR="00982D91" w:rsidRPr="00C24D08">
        <w:rPr>
          <w:szCs w:val="22"/>
        </w:rPr>
        <w:t>ú</w:t>
      </w:r>
      <w:r w:rsidRPr="00C24D08">
        <w:rPr>
          <w:szCs w:val="22"/>
        </w:rPr>
        <w:t xml:space="preserve"> </w:t>
      </w:r>
      <w:proofErr w:type="spellStart"/>
      <w:r w:rsidR="00982D91" w:rsidRPr="00C24D08">
        <w:rPr>
          <w:szCs w:val="22"/>
        </w:rPr>
        <w:t>incidenciu</w:t>
      </w:r>
      <w:proofErr w:type="spellEnd"/>
      <w:r w:rsidRPr="00C24D08">
        <w:rPr>
          <w:szCs w:val="22"/>
        </w:rPr>
        <w:t xml:space="preserve"> pokusov o samovraždu a samovrážd u pacientov s depresiou alebo bez depresie, ktorí boli liečení </w:t>
      </w:r>
      <w:proofErr w:type="spellStart"/>
      <w:r w:rsidRPr="00C24D08">
        <w:rPr>
          <w:szCs w:val="22"/>
        </w:rPr>
        <w:t>benzodiazepínmi</w:t>
      </w:r>
      <w:proofErr w:type="spellEnd"/>
      <w:r w:rsidRPr="00C24D08">
        <w:rPr>
          <w:szCs w:val="22"/>
        </w:rPr>
        <w:t xml:space="preserve"> alebo inými hypnotikami vrátane </w:t>
      </w:r>
      <w:proofErr w:type="spellStart"/>
      <w:r w:rsidRPr="00C24D08">
        <w:rPr>
          <w:szCs w:val="22"/>
        </w:rPr>
        <w:t>zopiklónu</w:t>
      </w:r>
      <w:proofErr w:type="spellEnd"/>
      <w:r w:rsidRPr="00C24D08">
        <w:rPr>
          <w:szCs w:val="22"/>
        </w:rPr>
        <w:t>. Príčinný vzťah nebol preukázaný.</w:t>
      </w:r>
    </w:p>
    <w:p w14:paraId="0797BDD6" w14:textId="77777777" w:rsidR="00A56E9E" w:rsidRPr="00C24D08" w:rsidRDefault="00A56E9E" w:rsidP="00C24D08">
      <w:pPr>
        <w:tabs>
          <w:tab w:val="clear" w:pos="567"/>
          <w:tab w:val="left" w:pos="28"/>
        </w:tabs>
        <w:spacing w:line="240" w:lineRule="auto"/>
        <w:rPr>
          <w:szCs w:val="22"/>
        </w:rPr>
      </w:pPr>
    </w:p>
    <w:p w14:paraId="635A7F3A" w14:textId="77777777" w:rsidR="002C6743" w:rsidRPr="00C24D08" w:rsidRDefault="002C6743" w:rsidP="00C24D08">
      <w:pPr>
        <w:tabs>
          <w:tab w:val="clear" w:pos="567"/>
          <w:tab w:val="left" w:pos="28"/>
        </w:tabs>
        <w:spacing w:line="240" w:lineRule="auto"/>
        <w:rPr>
          <w:i/>
          <w:iCs/>
          <w:szCs w:val="22"/>
        </w:rPr>
      </w:pPr>
      <w:r w:rsidRPr="00C24D08">
        <w:rPr>
          <w:i/>
          <w:iCs/>
          <w:szCs w:val="22"/>
        </w:rPr>
        <w:t>Závislosť od alkoholu, návykových látok a drog</w:t>
      </w:r>
    </w:p>
    <w:p w14:paraId="21CFAEA9" w14:textId="3BCA7CBC" w:rsidR="002C6743" w:rsidRPr="00C24D08" w:rsidRDefault="007F4DC2" w:rsidP="00C24D08">
      <w:pPr>
        <w:tabs>
          <w:tab w:val="clear" w:pos="567"/>
          <w:tab w:val="left" w:pos="28"/>
        </w:tabs>
        <w:spacing w:line="240" w:lineRule="auto"/>
        <w:rPr>
          <w:szCs w:val="22"/>
        </w:rPr>
      </w:pPr>
      <w:proofErr w:type="spellStart"/>
      <w:r w:rsidRPr="00C24D08">
        <w:rPr>
          <w:szCs w:val="22"/>
        </w:rPr>
        <w:t>Eszopiklón</w:t>
      </w:r>
      <w:proofErr w:type="spellEnd"/>
      <w:r w:rsidRPr="00C24D08">
        <w:rPr>
          <w:szCs w:val="22"/>
        </w:rPr>
        <w:t xml:space="preserve"> </w:t>
      </w:r>
      <w:r w:rsidR="00982D91" w:rsidRPr="00C24D08">
        <w:rPr>
          <w:szCs w:val="22"/>
        </w:rPr>
        <w:t>sa musí</w:t>
      </w:r>
      <w:r w:rsidRPr="00C24D08">
        <w:rPr>
          <w:szCs w:val="22"/>
        </w:rPr>
        <w:t xml:space="preserve"> používať s mimoriadnou opatrnosťou u pacientov s aktuálnou závislosťou alebo s anamnézou zneužívania alebo závislosti na alkohole, návykových látkach a/alebo drogách.</w:t>
      </w:r>
    </w:p>
    <w:p w14:paraId="376C5406" w14:textId="77777777" w:rsidR="002C6743" w:rsidRPr="00C24D08" w:rsidRDefault="002C6743" w:rsidP="00C24D08">
      <w:pPr>
        <w:tabs>
          <w:tab w:val="clear" w:pos="567"/>
          <w:tab w:val="left" w:pos="28"/>
        </w:tabs>
        <w:spacing w:line="240" w:lineRule="auto"/>
        <w:rPr>
          <w:szCs w:val="22"/>
        </w:rPr>
      </w:pPr>
    </w:p>
    <w:p w14:paraId="51E040B9" w14:textId="77777777" w:rsidR="002C6743" w:rsidRPr="00C24D08" w:rsidRDefault="00C22B4B" w:rsidP="00C24D08">
      <w:pPr>
        <w:tabs>
          <w:tab w:val="clear" w:pos="567"/>
          <w:tab w:val="left" w:pos="28"/>
        </w:tabs>
        <w:spacing w:line="240" w:lineRule="auto"/>
        <w:rPr>
          <w:i/>
          <w:iCs/>
          <w:szCs w:val="22"/>
        </w:rPr>
      </w:pPr>
      <w:r w:rsidRPr="00C24D08">
        <w:rPr>
          <w:i/>
          <w:iCs/>
          <w:szCs w:val="22"/>
        </w:rPr>
        <w:t>Psychi</w:t>
      </w:r>
      <w:r w:rsidR="002C6743" w:rsidRPr="00C24D08">
        <w:rPr>
          <w:i/>
          <w:iCs/>
          <w:szCs w:val="22"/>
        </w:rPr>
        <w:t>cké a „paradoxné“ reakcie</w:t>
      </w:r>
    </w:p>
    <w:p w14:paraId="231FCB2E" w14:textId="07544E77" w:rsidR="002C6743" w:rsidRPr="00C24D08" w:rsidRDefault="002C6743" w:rsidP="00C24D08">
      <w:pPr>
        <w:tabs>
          <w:tab w:val="clear" w:pos="567"/>
          <w:tab w:val="left" w:pos="28"/>
        </w:tabs>
        <w:spacing w:line="240" w:lineRule="auto"/>
        <w:rPr>
          <w:szCs w:val="22"/>
        </w:rPr>
      </w:pPr>
      <w:r w:rsidRPr="00C24D08">
        <w:rPr>
          <w:szCs w:val="22"/>
        </w:rPr>
        <w:t xml:space="preserve">Pri používaní </w:t>
      </w:r>
      <w:proofErr w:type="spellStart"/>
      <w:r w:rsidRPr="00C24D08">
        <w:rPr>
          <w:szCs w:val="22"/>
        </w:rPr>
        <w:t>benzodiazepínov</w:t>
      </w:r>
      <w:proofErr w:type="spellEnd"/>
      <w:r w:rsidRPr="00C24D08">
        <w:rPr>
          <w:szCs w:val="22"/>
        </w:rPr>
        <w:t xml:space="preserve"> alebo látok podobných </w:t>
      </w:r>
      <w:proofErr w:type="spellStart"/>
      <w:r w:rsidRPr="00C24D08">
        <w:rPr>
          <w:szCs w:val="22"/>
        </w:rPr>
        <w:t>benzodiazepínom</w:t>
      </w:r>
      <w:proofErr w:type="spellEnd"/>
      <w:r w:rsidRPr="00C24D08">
        <w:rPr>
          <w:szCs w:val="22"/>
        </w:rPr>
        <w:t xml:space="preserve"> sa vyskytujú reakcie ako nepokoj, zhoršená nespavosť, nepokoj, podráždenosť, agresivita, ilúzia, zlosť, nočné mory, </w:t>
      </w:r>
      <w:proofErr w:type="spellStart"/>
      <w:r w:rsidRPr="00C24D08">
        <w:rPr>
          <w:szCs w:val="22"/>
        </w:rPr>
        <w:t>parasomnia</w:t>
      </w:r>
      <w:proofErr w:type="spellEnd"/>
      <w:r w:rsidRPr="00C24D08">
        <w:rPr>
          <w:szCs w:val="22"/>
        </w:rPr>
        <w:t xml:space="preserve">, </w:t>
      </w:r>
      <w:proofErr w:type="spellStart"/>
      <w:r w:rsidRPr="00C24D08">
        <w:rPr>
          <w:szCs w:val="22"/>
        </w:rPr>
        <w:t>depersonalizácia</w:t>
      </w:r>
      <w:proofErr w:type="spellEnd"/>
      <w:r w:rsidRPr="00C24D08">
        <w:rPr>
          <w:szCs w:val="22"/>
        </w:rPr>
        <w:t xml:space="preserve">, halucinácie, psychózy, neprimerané správanie a iné nepriaznivé účinky na správanie. Môžu byť vyvolané liekmi, spontánneho pôvodu alebo dôsledkom psychickej alebo fyzickej poruchy. Tieto reakcie sa častejšie vyskytujú u starších ľudí. Akékoľvek nové prejavy alebo symptómy správania si vyžadujú starostlivé a okamžité vyhodnotenie a </w:t>
      </w:r>
      <w:r w:rsidR="001E0992">
        <w:rPr>
          <w:szCs w:val="22"/>
        </w:rPr>
        <w:t>má</w:t>
      </w:r>
      <w:r w:rsidRPr="00C24D08">
        <w:rPr>
          <w:szCs w:val="22"/>
        </w:rPr>
        <w:t xml:space="preserve"> sa zvážiť ukončenie liečby </w:t>
      </w:r>
      <w:proofErr w:type="spellStart"/>
      <w:r w:rsidRPr="00C24D08">
        <w:rPr>
          <w:szCs w:val="22"/>
        </w:rPr>
        <w:t>eszopik</w:t>
      </w:r>
      <w:r w:rsidR="004469C5">
        <w:rPr>
          <w:szCs w:val="22"/>
        </w:rPr>
        <w:t>l</w:t>
      </w:r>
      <w:r w:rsidRPr="00C24D08">
        <w:rPr>
          <w:szCs w:val="22"/>
        </w:rPr>
        <w:t>ónom</w:t>
      </w:r>
      <w:proofErr w:type="spellEnd"/>
      <w:r w:rsidRPr="00C24D08">
        <w:rPr>
          <w:szCs w:val="22"/>
        </w:rPr>
        <w:t>.</w:t>
      </w:r>
    </w:p>
    <w:p w14:paraId="15C2729D" w14:textId="77777777" w:rsidR="002C6743" w:rsidRPr="00C24D08" w:rsidRDefault="002C6743" w:rsidP="00C24D08">
      <w:pPr>
        <w:tabs>
          <w:tab w:val="clear" w:pos="567"/>
          <w:tab w:val="left" w:pos="28"/>
        </w:tabs>
        <w:spacing w:line="240" w:lineRule="auto"/>
        <w:rPr>
          <w:szCs w:val="22"/>
        </w:rPr>
      </w:pPr>
    </w:p>
    <w:p w14:paraId="5FB3AEC6" w14:textId="77777777" w:rsidR="00636483" w:rsidRPr="00C24D08" w:rsidRDefault="00636483" w:rsidP="00C24D08">
      <w:pPr>
        <w:tabs>
          <w:tab w:val="clear" w:pos="567"/>
          <w:tab w:val="left" w:pos="28"/>
        </w:tabs>
        <w:spacing w:line="240" w:lineRule="auto"/>
        <w:rPr>
          <w:i/>
          <w:szCs w:val="22"/>
        </w:rPr>
      </w:pPr>
      <w:r w:rsidRPr="00C24D08">
        <w:rPr>
          <w:i/>
          <w:szCs w:val="22"/>
        </w:rPr>
        <w:t>Námesačnosť a súvisiace správanie</w:t>
      </w:r>
    </w:p>
    <w:p w14:paraId="0B44D58C" w14:textId="77777777" w:rsidR="00D748F6" w:rsidRPr="00C24D08" w:rsidRDefault="00D748F6" w:rsidP="00C24D08">
      <w:pPr>
        <w:tabs>
          <w:tab w:val="clear" w:pos="567"/>
          <w:tab w:val="left" w:pos="28"/>
        </w:tabs>
        <w:spacing w:line="240" w:lineRule="auto"/>
        <w:rPr>
          <w:szCs w:val="22"/>
        </w:rPr>
      </w:pPr>
      <w:r w:rsidRPr="00C24D08">
        <w:rPr>
          <w:szCs w:val="22"/>
        </w:rPr>
        <w:t xml:space="preserve">U pacientov, ktorí užívali </w:t>
      </w:r>
      <w:proofErr w:type="spellStart"/>
      <w:r w:rsidRPr="00C24D08">
        <w:rPr>
          <w:szCs w:val="22"/>
        </w:rPr>
        <w:t>eszopiklón</w:t>
      </w:r>
      <w:proofErr w:type="spellEnd"/>
      <w:r w:rsidRPr="00C24D08">
        <w:rPr>
          <w:szCs w:val="22"/>
        </w:rPr>
        <w:t xml:space="preserve"> a neboli úplne prebudení bola hlásená námesačnosť a ďalšie súvisiace správanie, ako napríklad „jazda počas spánku“, príprava a konzumácia jedla alebo telefonovanie alebo sex s amnéziou na túto udalosť. </w:t>
      </w:r>
    </w:p>
    <w:p w14:paraId="6AC119BF" w14:textId="4852EA8B" w:rsidR="007D7286" w:rsidRPr="00C24D08" w:rsidRDefault="00D748F6" w:rsidP="00C24D08">
      <w:pPr>
        <w:tabs>
          <w:tab w:val="clear" w:pos="567"/>
          <w:tab w:val="left" w:pos="28"/>
        </w:tabs>
        <w:spacing w:line="240" w:lineRule="auto"/>
        <w:rPr>
          <w:szCs w:val="22"/>
        </w:rPr>
      </w:pPr>
      <w:r w:rsidRPr="00C24D08">
        <w:rPr>
          <w:szCs w:val="22"/>
        </w:rPr>
        <w:t xml:space="preserve">Užívanie alkoholu a iných látok tlmiacich CNS s </w:t>
      </w:r>
      <w:proofErr w:type="spellStart"/>
      <w:r w:rsidRPr="00C24D08">
        <w:rPr>
          <w:szCs w:val="22"/>
        </w:rPr>
        <w:t>eszopikl</w:t>
      </w:r>
      <w:r w:rsidR="00982D91" w:rsidRPr="00C24D08">
        <w:rPr>
          <w:szCs w:val="22"/>
        </w:rPr>
        <w:t>ó</w:t>
      </w:r>
      <w:r w:rsidRPr="00C24D08">
        <w:rPr>
          <w:szCs w:val="22"/>
        </w:rPr>
        <w:t>n</w:t>
      </w:r>
      <w:r w:rsidR="00982D91" w:rsidRPr="00C24D08">
        <w:rPr>
          <w:szCs w:val="22"/>
        </w:rPr>
        <w:t>o</w:t>
      </w:r>
      <w:r w:rsidRPr="00C24D08">
        <w:rPr>
          <w:szCs w:val="22"/>
        </w:rPr>
        <w:t>m</w:t>
      </w:r>
      <w:proofErr w:type="spellEnd"/>
      <w:r w:rsidRPr="00C24D08">
        <w:rPr>
          <w:szCs w:val="22"/>
        </w:rPr>
        <w:t xml:space="preserve"> zvyšuje riziko takéhoto správania, ako aj užívanie </w:t>
      </w:r>
      <w:proofErr w:type="spellStart"/>
      <w:r w:rsidRPr="00C24D08">
        <w:rPr>
          <w:szCs w:val="22"/>
        </w:rPr>
        <w:t>eszopiklónu</w:t>
      </w:r>
      <w:proofErr w:type="spellEnd"/>
      <w:r w:rsidRPr="00C24D08">
        <w:rPr>
          <w:szCs w:val="22"/>
        </w:rPr>
        <w:t xml:space="preserve"> v dávkach presahujúcich maximálnu odporúčanú dávku. U pacientov, u ktorých sa prejavuje takéto správanie, </w:t>
      </w:r>
      <w:r w:rsidR="001E0992">
        <w:rPr>
          <w:szCs w:val="22"/>
        </w:rPr>
        <w:t>sa má</w:t>
      </w:r>
      <w:r w:rsidRPr="00C24D08">
        <w:rPr>
          <w:szCs w:val="22"/>
        </w:rPr>
        <w:t xml:space="preserve"> dôsledne zvážiť ukončenie liečby </w:t>
      </w:r>
      <w:proofErr w:type="spellStart"/>
      <w:r w:rsidRPr="00C24D08">
        <w:rPr>
          <w:szCs w:val="22"/>
        </w:rPr>
        <w:t>eszopiklónom</w:t>
      </w:r>
      <w:proofErr w:type="spellEnd"/>
      <w:r w:rsidRPr="00C24D08">
        <w:rPr>
          <w:szCs w:val="22"/>
        </w:rPr>
        <w:t xml:space="preserve"> kvôli riziku, ktoré predstavuje pre pacienta a </w:t>
      </w:r>
      <w:r w:rsidR="00982D91" w:rsidRPr="00C24D08">
        <w:rPr>
          <w:szCs w:val="22"/>
        </w:rPr>
        <w:t>i</w:t>
      </w:r>
      <w:r w:rsidRPr="00C24D08">
        <w:rPr>
          <w:szCs w:val="22"/>
        </w:rPr>
        <w:t>ných (pozri časť 4.5 a časť 4.8).</w:t>
      </w:r>
    </w:p>
    <w:p w14:paraId="0D05B5F1" w14:textId="77777777" w:rsidR="00977C24" w:rsidRPr="00C24D08" w:rsidRDefault="00977C24" w:rsidP="00C24D08">
      <w:pPr>
        <w:spacing w:line="240" w:lineRule="auto"/>
        <w:rPr>
          <w:szCs w:val="22"/>
        </w:rPr>
      </w:pPr>
    </w:p>
    <w:p w14:paraId="2F219433" w14:textId="7BA2F007" w:rsidR="00C44DA4" w:rsidRPr="00C24D08" w:rsidRDefault="00982D91" w:rsidP="00C24D08">
      <w:pPr>
        <w:spacing w:line="240" w:lineRule="auto"/>
        <w:rPr>
          <w:szCs w:val="22"/>
          <w:u w:val="single"/>
        </w:rPr>
      </w:pPr>
      <w:proofErr w:type="spellStart"/>
      <w:r w:rsidRPr="00C24D08">
        <w:rPr>
          <w:szCs w:val="22"/>
          <w:u w:val="single"/>
        </w:rPr>
        <w:t>Esogno</w:t>
      </w:r>
      <w:proofErr w:type="spellEnd"/>
      <w:r w:rsidR="00F33228" w:rsidRPr="00C24D08">
        <w:rPr>
          <w:szCs w:val="22"/>
          <w:u w:val="single"/>
        </w:rPr>
        <w:t xml:space="preserve"> obsahuje sodík</w:t>
      </w:r>
    </w:p>
    <w:p w14:paraId="34325E33" w14:textId="7B2EBC1D" w:rsidR="00BB443C" w:rsidRDefault="002F0392" w:rsidP="00C24D08">
      <w:pPr>
        <w:spacing w:line="240" w:lineRule="auto"/>
        <w:rPr>
          <w:szCs w:val="22"/>
        </w:rPr>
      </w:pPr>
      <w:r w:rsidRPr="00C24D08">
        <w:rPr>
          <w:szCs w:val="22"/>
        </w:rPr>
        <w:t xml:space="preserve">Tento liek obsahuje menej ako 1 mmol sodíka (23 mg) </w:t>
      </w:r>
      <w:r w:rsidR="00982D91" w:rsidRPr="00C24D08">
        <w:rPr>
          <w:szCs w:val="22"/>
        </w:rPr>
        <w:t>v</w:t>
      </w:r>
      <w:r w:rsidRPr="00C24D08">
        <w:rPr>
          <w:szCs w:val="22"/>
        </w:rPr>
        <w:t xml:space="preserve"> tablet</w:t>
      </w:r>
      <w:r w:rsidR="00982D91" w:rsidRPr="00C24D08">
        <w:rPr>
          <w:szCs w:val="22"/>
        </w:rPr>
        <w:t>e</w:t>
      </w:r>
      <w:r w:rsidRPr="00C24D08">
        <w:rPr>
          <w:szCs w:val="22"/>
        </w:rPr>
        <w:t xml:space="preserve">, </w:t>
      </w:r>
      <w:proofErr w:type="spellStart"/>
      <w:r w:rsidR="00982D91" w:rsidRPr="00C24D08">
        <w:rPr>
          <w:szCs w:val="22"/>
        </w:rPr>
        <w:t>t.j</w:t>
      </w:r>
      <w:proofErr w:type="spellEnd"/>
      <w:r w:rsidR="00982D91" w:rsidRPr="00C24D08">
        <w:rPr>
          <w:szCs w:val="22"/>
        </w:rPr>
        <w:t xml:space="preserve">. </w:t>
      </w:r>
      <w:r w:rsidRPr="00C24D08">
        <w:rPr>
          <w:szCs w:val="22"/>
        </w:rPr>
        <w:t xml:space="preserve">v podstate </w:t>
      </w:r>
      <w:r w:rsidR="00982D91" w:rsidRPr="00C24D08">
        <w:rPr>
          <w:szCs w:val="22"/>
        </w:rPr>
        <w:t>zanedbateľné množstvo sodíka</w:t>
      </w:r>
      <w:r w:rsidR="001E0992">
        <w:rPr>
          <w:szCs w:val="22"/>
        </w:rPr>
        <w:t>.</w:t>
      </w:r>
    </w:p>
    <w:p w14:paraId="5CDC6F9F" w14:textId="77777777" w:rsidR="004E03C2" w:rsidRPr="00C24D08" w:rsidRDefault="004E03C2" w:rsidP="00C24D08">
      <w:pPr>
        <w:spacing w:line="240" w:lineRule="auto"/>
        <w:rPr>
          <w:szCs w:val="22"/>
        </w:rPr>
      </w:pPr>
    </w:p>
    <w:p w14:paraId="4915BD1D" w14:textId="1CC9B9D7" w:rsidR="001D29E6" w:rsidRPr="00C24D08" w:rsidRDefault="00C22B4B" w:rsidP="00C24D08">
      <w:pPr>
        <w:pStyle w:val="Nadpis2"/>
        <w:rPr>
          <w:szCs w:val="22"/>
        </w:rPr>
      </w:pPr>
      <w:r w:rsidRPr="00C24D08">
        <w:rPr>
          <w:szCs w:val="22"/>
        </w:rPr>
        <w:t xml:space="preserve">4.5 </w:t>
      </w:r>
      <w:r w:rsidR="00982D91" w:rsidRPr="00C24D08">
        <w:rPr>
          <w:szCs w:val="22"/>
        </w:rPr>
        <w:tab/>
        <w:t>Liekové a iné interakcie</w:t>
      </w:r>
    </w:p>
    <w:p w14:paraId="6204DDC5" w14:textId="77777777" w:rsidR="009F3DD5" w:rsidRPr="00C24D08" w:rsidRDefault="009F3DD5" w:rsidP="00C24D08">
      <w:pPr>
        <w:spacing w:line="240" w:lineRule="auto"/>
        <w:rPr>
          <w:szCs w:val="22"/>
        </w:rPr>
      </w:pPr>
    </w:p>
    <w:p w14:paraId="6FBCBF68" w14:textId="6DEC3694" w:rsidR="002B6CA3" w:rsidRPr="00C24D08" w:rsidRDefault="002C6C1F" w:rsidP="00C24D08">
      <w:pPr>
        <w:spacing w:line="240" w:lineRule="auto"/>
        <w:rPr>
          <w:szCs w:val="22"/>
        </w:rPr>
      </w:pPr>
      <w:r w:rsidRPr="00C24D08">
        <w:rPr>
          <w:szCs w:val="22"/>
        </w:rPr>
        <w:t>J</w:t>
      </w:r>
      <w:r w:rsidR="002B6CA3" w:rsidRPr="00C24D08">
        <w:rPr>
          <w:szCs w:val="22"/>
        </w:rPr>
        <w:t>e potrebné sa vyhnúť</w:t>
      </w:r>
      <w:r w:rsidRPr="00C24D08">
        <w:rPr>
          <w:szCs w:val="22"/>
        </w:rPr>
        <w:t xml:space="preserve"> súbežnému užitiu s alkoholom</w:t>
      </w:r>
      <w:r w:rsidR="002B6CA3" w:rsidRPr="00C24D08">
        <w:rPr>
          <w:szCs w:val="22"/>
        </w:rPr>
        <w:t xml:space="preserve">, pretože sedatívny účinok </w:t>
      </w:r>
      <w:proofErr w:type="spellStart"/>
      <w:r w:rsidR="002B6CA3" w:rsidRPr="00C24D08">
        <w:rPr>
          <w:szCs w:val="22"/>
        </w:rPr>
        <w:t>eszopiklónu</w:t>
      </w:r>
      <w:proofErr w:type="spellEnd"/>
      <w:r w:rsidR="002B6CA3" w:rsidRPr="00C24D08">
        <w:rPr>
          <w:szCs w:val="22"/>
        </w:rPr>
        <w:t xml:space="preserve"> sa môže zvýšiť (pozri časť 4.7). V kombinácii s inými látkami tlmiacimi centrálny nervový systém (CNS) (napr. </w:t>
      </w:r>
      <w:proofErr w:type="spellStart"/>
      <w:r w:rsidR="002B6CA3" w:rsidRPr="00C24D08">
        <w:rPr>
          <w:szCs w:val="22"/>
        </w:rPr>
        <w:t>antipsychotiká</w:t>
      </w:r>
      <w:proofErr w:type="spellEnd"/>
      <w:r w:rsidR="002B6CA3" w:rsidRPr="00C24D08">
        <w:rPr>
          <w:szCs w:val="22"/>
        </w:rPr>
        <w:t xml:space="preserve">, </w:t>
      </w:r>
      <w:proofErr w:type="spellStart"/>
      <w:r w:rsidR="002B6CA3" w:rsidRPr="00C24D08">
        <w:rPr>
          <w:szCs w:val="22"/>
        </w:rPr>
        <w:t>anxiolytiká</w:t>
      </w:r>
      <w:proofErr w:type="spellEnd"/>
      <w:r w:rsidR="002B6CA3" w:rsidRPr="00C24D08">
        <w:rPr>
          <w:szCs w:val="22"/>
        </w:rPr>
        <w:t xml:space="preserve">, svalové </w:t>
      </w:r>
      <w:proofErr w:type="spellStart"/>
      <w:r w:rsidR="002B6CA3" w:rsidRPr="00C24D08">
        <w:rPr>
          <w:szCs w:val="22"/>
        </w:rPr>
        <w:t>relaxanciá</w:t>
      </w:r>
      <w:proofErr w:type="spellEnd"/>
      <w:r w:rsidR="002B6CA3" w:rsidRPr="00C24D08">
        <w:rPr>
          <w:szCs w:val="22"/>
        </w:rPr>
        <w:t xml:space="preserve">, </w:t>
      </w:r>
      <w:proofErr w:type="spellStart"/>
      <w:r w:rsidR="002B6CA3" w:rsidRPr="00C24D08">
        <w:rPr>
          <w:szCs w:val="22"/>
        </w:rPr>
        <w:t>antiepileptiká</w:t>
      </w:r>
      <w:proofErr w:type="spellEnd"/>
      <w:r w:rsidR="002B6CA3" w:rsidRPr="00C24D08">
        <w:rPr>
          <w:szCs w:val="22"/>
        </w:rPr>
        <w:t xml:space="preserve"> a sedatívne </w:t>
      </w:r>
      <w:proofErr w:type="spellStart"/>
      <w:r w:rsidR="002B6CA3" w:rsidRPr="00C24D08">
        <w:rPr>
          <w:szCs w:val="22"/>
        </w:rPr>
        <w:t>antihistamíny</w:t>
      </w:r>
      <w:proofErr w:type="spellEnd"/>
      <w:r w:rsidR="002B6CA3" w:rsidRPr="00C24D08">
        <w:rPr>
          <w:szCs w:val="22"/>
        </w:rPr>
        <w:t>) sa môže</w:t>
      </w:r>
      <w:r w:rsidRPr="00C24D08">
        <w:rPr>
          <w:szCs w:val="22"/>
        </w:rPr>
        <w:t xml:space="preserve"> prejaviť</w:t>
      </w:r>
      <w:r w:rsidR="002B6CA3" w:rsidRPr="00C24D08">
        <w:rPr>
          <w:szCs w:val="22"/>
        </w:rPr>
        <w:t xml:space="preserve"> zvýš</w:t>
      </w:r>
      <w:r w:rsidRPr="00C24D08">
        <w:rPr>
          <w:szCs w:val="22"/>
        </w:rPr>
        <w:t>enie</w:t>
      </w:r>
      <w:r w:rsidR="002B6CA3" w:rsidRPr="00C24D08">
        <w:rPr>
          <w:szCs w:val="22"/>
        </w:rPr>
        <w:t xml:space="preserve"> centráln</w:t>
      </w:r>
      <w:r w:rsidRPr="00C24D08">
        <w:rPr>
          <w:szCs w:val="22"/>
        </w:rPr>
        <w:t>ej</w:t>
      </w:r>
      <w:r w:rsidR="002B6CA3" w:rsidRPr="00C24D08">
        <w:rPr>
          <w:szCs w:val="22"/>
        </w:rPr>
        <w:t xml:space="preserve"> </w:t>
      </w:r>
      <w:proofErr w:type="spellStart"/>
      <w:r w:rsidR="002B6CA3" w:rsidRPr="00C24D08">
        <w:rPr>
          <w:szCs w:val="22"/>
        </w:rPr>
        <w:t>sedáci</w:t>
      </w:r>
      <w:r w:rsidRPr="00C24D08">
        <w:rPr>
          <w:szCs w:val="22"/>
        </w:rPr>
        <w:t>e</w:t>
      </w:r>
      <w:proofErr w:type="spellEnd"/>
      <w:r w:rsidR="002B6CA3" w:rsidRPr="00C24D08">
        <w:rPr>
          <w:szCs w:val="22"/>
        </w:rPr>
        <w:t>.</w:t>
      </w:r>
      <w:r w:rsidR="002B6CA3" w:rsidRPr="00C24D08">
        <w:rPr>
          <w:i/>
          <w:szCs w:val="22"/>
        </w:rPr>
        <w:t xml:space="preserve"> </w:t>
      </w:r>
      <w:r w:rsidR="002B6CA3" w:rsidRPr="00C24D08">
        <w:rPr>
          <w:szCs w:val="22"/>
        </w:rPr>
        <w:t xml:space="preserve">Môže byť potrebné zníženie dávky </w:t>
      </w:r>
      <w:proofErr w:type="spellStart"/>
      <w:r w:rsidR="002B6CA3" w:rsidRPr="00C24D08">
        <w:rPr>
          <w:szCs w:val="22"/>
        </w:rPr>
        <w:t>eszopiklónu</w:t>
      </w:r>
      <w:proofErr w:type="spellEnd"/>
      <w:r w:rsidR="002B6CA3" w:rsidRPr="00C24D08">
        <w:rPr>
          <w:szCs w:val="22"/>
        </w:rPr>
        <w:t xml:space="preserve"> v príp</w:t>
      </w:r>
      <w:r w:rsidR="00C22B4B" w:rsidRPr="00C24D08">
        <w:rPr>
          <w:szCs w:val="22"/>
        </w:rPr>
        <w:t xml:space="preserve">ade, ak sa podáva súčasne s </w:t>
      </w:r>
      <w:r w:rsidRPr="00C24D08">
        <w:rPr>
          <w:szCs w:val="22"/>
        </w:rPr>
        <w:t>látkami</w:t>
      </w:r>
      <w:r w:rsidR="002B6CA3" w:rsidRPr="00C24D08">
        <w:rPr>
          <w:szCs w:val="22"/>
        </w:rPr>
        <w:t xml:space="preserve"> ktoré majú známe</w:t>
      </w:r>
      <w:r w:rsidRPr="00C24D08">
        <w:rPr>
          <w:szCs w:val="22"/>
        </w:rPr>
        <w:t xml:space="preserve"> CNS tlmiace</w:t>
      </w:r>
      <w:r w:rsidR="002B6CA3" w:rsidRPr="00C24D08">
        <w:rPr>
          <w:szCs w:val="22"/>
        </w:rPr>
        <w:t xml:space="preserve"> účinky, ako </w:t>
      </w:r>
      <w:r w:rsidRPr="00C24D08">
        <w:rPr>
          <w:szCs w:val="22"/>
        </w:rPr>
        <w:t>je</w:t>
      </w:r>
      <w:r w:rsidR="002B6CA3" w:rsidRPr="00C24D08">
        <w:rPr>
          <w:szCs w:val="22"/>
        </w:rPr>
        <w:t xml:space="preserve"> </w:t>
      </w:r>
      <w:proofErr w:type="spellStart"/>
      <w:r w:rsidR="002B6CA3" w:rsidRPr="00C24D08">
        <w:rPr>
          <w:szCs w:val="22"/>
        </w:rPr>
        <w:t>olanzapín</w:t>
      </w:r>
      <w:proofErr w:type="spellEnd"/>
      <w:r w:rsidR="002B6CA3" w:rsidRPr="00C24D08">
        <w:rPr>
          <w:szCs w:val="22"/>
        </w:rPr>
        <w:t>.</w:t>
      </w:r>
    </w:p>
    <w:p w14:paraId="3707E7C0" w14:textId="77777777" w:rsidR="002B6CA3" w:rsidRPr="00C24D08" w:rsidRDefault="002B6CA3" w:rsidP="00C24D08">
      <w:pPr>
        <w:spacing w:line="240" w:lineRule="auto"/>
        <w:rPr>
          <w:szCs w:val="22"/>
        </w:rPr>
      </w:pPr>
    </w:p>
    <w:p w14:paraId="45528B0A" w14:textId="55950D6C" w:rsidR="001C7B14" w:rsidRPr="00C24D08" w:rsidRDefault="002B6CA3" w:rsidP="00C24D08">
      <w:pPr>
        <w:spacing w:line="240" w:lineRule="auto"/>
        <w:rPr>
          <w:szCs w:val="22"/>
        </w:rPr>
      </w:pPr>
      <w:r w:rsidRPr="00C24D08">
        <w:rPr>
          <w:szCs w:val="22"/>
        </w:rPr>
        <w:t xml:space="preserve">CYP3A4 je hlavnou metabolickou cestou na elimináciu </w:t>
      </w:r>
      <w:proofErr w:type="spellStart"/>
      <w:r w:rsidRPr="00C24D08">
        <w:rPr>
          <w:szCs w:val="22"/>
        </w:rPr>
        <w:t>eszopiklónu</w:t>
      </w:r>
      <w:proofErr w:type="spellEnd"/>
      <w:r w:rsidRPr="00C24D08">
        <w:rPr>
          <w:szCs w:val="22"/>
        </w:rPr>
        <w:t xml:space="preserve"> so sekundárnym prispievaním CYP2E1. Pri súbežnom podaní </w:t>
      </w:r>
      <w:proofErr w:type="spellStart"/>
      <w:r w:rsidRPr="00C24D08">
        <w:rPr>
          <w:szCs w:val="22"/>
        </w:rPr>
        <w:t>ketokonazolu</w:t>
      </w:r>
      <w:proofErr w:type="spellEnd"/>
      <w:r w:rsidRPr="00C24D08">
        <w:rPr>
          <w:szCs w:val="22"/>
        </w:rPr>
        <w:t xml:space="preserve"> 400 mg, siln</w:t>
      </w:r>
      <w:r w:rsidR="005674CA" w:rsidRPr="00C24D08">
        <w:rPr>
          <w:szCs w:val="22"/>
        </w:rPr>
        <w:t>ého</w:t>
      </w:r>
      <w:r w:rsidRPr="00C24D08">
        <w:rPr>
          <w:szCs w:val="22"/>
        </w:rPr>
        <w:t xml:space="preserve"> inhibítor</w:t>
      </w:r>
      <w:r w:rsidR="005674CA" w:rsidRPr="00C24D08">
        <w:rPr>
          <w:szCs w:val="22"/>
        </w:rPr>
        <w:t>a</w:t>
      </w:r>
      <w:r w:rsidRPr="00C24D08">
        <w:rPr>
          <w:szCs w:val="22"/>
        </w:rPr>
        <w:t xml:space="preserve"> CYP3A4, denne počas 5 dní, sa expozícia </w:t>
      </w:r>
      <w:proofErr w:type="spellStart"/>
      <w:r w:rsidRPr="00C24D08">
        <w:rPr>
          <w:szCs w:val="22"/>
        </w:rPr>
        <w:t>eszopiklónu</w:t>
      </w:r>
      <w:proofErr w:type="spellEnd"/>
      <w:r w:rsidRPr="00C24D08">
        <w:rPr>
          <w:szCs w:val="22"/>
        </w:rPr>
        <w:t xml:space="preserve"> zvýšila približne dvojnásobne. Očakáva sa, že ďalšie silné inhibítory CYP3A4 (ako sú iné </w:t>
      </w:r>
      <w:proofErr w:type="spellStart"/>
      <w:r w:rsidRPr="00C24D08">
        <w:rPr>
          <w:szCs w:val="22"/>
        </w:rPr>
        <w:t>azolové</w:t>
      </w:r>
      <w:proofErr w:type="spellEnd"/>
      <w:r w:rsidRPr="00C24D08">
        <w:rPr>
          <w:szCs w:val="22"/>
        </w:rPr>
        <w:t xml:space="preserve"> antimykotiká, </w:t>
      </w:r>
      <w:proofErr w:type="spellStart"/>
      <w:r w:rsidRPr="00C24D08">
        <w:rPr>
          <w:szCs w:val="22"/>
        </w:rPr>
        <w:t>makrolidové</w:t>
      </w:r>
      <w:proofErr w:type="spellEnd"/>
      <w:r w:rsidRPr="00C24D08">
        <w:rPr>
          <w:szCs w:val="22"/>
        </w:rPr>
        <w:t xml:space="preserve"> antibiotiká, grapefruitová šťava) sa budú správať podobne. V dôsledku toho sa môže zvýšiť hypnotický účinok </w:t>
      </w:r>
      <w:proofErr w:type="spellStart"/>
      <w:r w:rsidRPr="00C24D08">
        <w:rPr>
          <w:szCs w:val="22"/>
        </w:rPr>
        <w:t>eszopiklónu</w:t>
      </w:r>
      <w:proofErr w:type="spellEnd"/>
      <w:r w:rsidRPr="00C24D08">
        <w:rPr>
          <w:szCs w:val="22"/>
        </w:rPr>
        <w:t xml:space="preserve"> (pozri časť 4.4). Pri súbežnom podávaní s inhibítormi CYP3A4 sa môže vyžadovať zníženie dávky </w:t>
      </w:r>
      <w:proofErr w:type="spellStart"/>
      <w:r w:rsidRPr="00C24D08">
        <w:rPr>
          <w:szCs w:val="22"/>
        </w:rPr>
        <w:t>eszopiklónu</w:t>
      </w:r>
      <w:proofErr w:type="spellEnd"/>
      <w:r w:rsidRPr="00C24D08">
        <w:rPr>
          <w:szCs w:val="22"/>
        </w:rPr>
        <w:t xml:space="preserve"> (pozri časť 4.2). U starších pacientov, ktorí súbežne užívajú silné inhibítory CYP3A4, je </w:t>
      </w:r>
      <w:proofErr w:type="spellStart"/>
      <w:r w:rsidRPr="00C24D08">
        <w:rPr>
          <w:szCs w:val="22"/>
        </w:rPr>
        <w:t>eszopiklón</w:t>
      </w:r>
      <w:proofErr w:type="spellEnd"/>
      <w:r w:rsidRPr="00C24D08">
        <w:rPr>
          <w:szCs w:val="22"/>
        </w:rPr>
        <w:t xml:space="preserve"> kontraindikovaný (pozri časť 4.3).</w:t>
      </w:r>
    </w:p>
    <w:p w14:paraId="0AACD3C1" w14:textId="58E77563" w:rsidR="002B6CA3" w:rsidRPr="00C24D08" w:rsidRDefault="002B6CA3" w:rsidP="00C24D08">
      <w:pPr>
        <w:spacing w:line="240" w:lineRule="auto"/>
        <w:rPr>
          <w:szCs w:val="22"/>
        </w:rPr>
      </w:pPr>
      <w:r w:rsidRPr="00C24D08">
        <w:rPr>
          <w:szCs w:val="22"/>
        </w:rPr>
        <w:t>Pri súbežnom po</w:t>
      </w:r>
      <w:r w:rsidR="004469C5">
        <w:rPr>
          <w:szCs w:val="22"/>
        </w:rPr>
        <w:t>u</w:t>
      </w:r>
      <w:r w:rsidRPr="00C24D08">
        <w:rPr>
          <w:szCs w:val="22"/>
        </w:rPr>
        <w:t xml:space="preserve">žití </w:t>
      </w:r>
      <w:proofErr w:type="spellStart"/>
      <w:r w:rsidRPr="00C24D08">
        <w:rPr>
          <w:szCs w:val="22"/>
        </w:rPr>
        <w:t>rifampicínu</w:t>
      </w:r>
      <w:proofErr w:type="spellEnd"/>
      <w:r w:rsidRPr="00C24D08">
        <w:rPr>
          <w:szCs w:val="22"/>
        </w:rPr>
        <w:t xml:space="preserve">, silného induktora CYP3A4, bola expozícia </w:t>
      </w:r>
      <w:proofErr w:type="spellStart"/>
      <w:r w:rsidRPr="00C24D08">
        <w:rPr>
          <w:szCs w:val="22"/>
        </w:rPr>
        <w:t>racemické</w:t>
      </w:r>
      <w:r w:rsidR="005674CA" w:rsidRPr="00C24D08">
        <w:rPr>
          <w:szCs w:val="22"/>
        </w:rPr>
        <w:t>ho</w:t>
      </w:r>
      <w:proofErr w:type="spellEnd"/>
      <w:r w:rsidRPr="00C24D08">
        <w:rPr>
          <w:szCs w:val="22"/>
        </w:rPr>
        <w:t xml:space="preserve"> </w:t>
      </w:r>
      <w:proofErr w:type="spellStart"/>
      <w:r w:rsidRPr="00C24D08">
        <w:rPr>
          <w:szCs w:val="22"/>
        </w:rPr>
        <w:t>zopiklónu</w:t>
      </w:r>
      <w:proofErr w:type="spellEnd"/>
      <w:r w:rsidRPr="00C24D08">
        <w:rPr>
          <w:szCs w:val="22"/>
        </w:rPr>
        <w:t xml:space="preserve"> znížená o 80%. Podobný účinok sa očakáva pri </w:t>
      </w:r>
      <w:proofErr w:type="spellStart"/>
      <w:r w:rsidRPr="00C24D08">
        <w:rPr>
          <w:szCs w:val="22"/>
        </w:rPr>
        <w:t>eszopiklóne</w:t>
      </w:r>
      <w:proofErr w:type="spellEnd"/>
      <w:r w:rsidRPr="00C24D08">
        <w:rPr>
          <w:szCs w:val="22"/>
        </w:rPr>
        <w:t xml:space="preserve"> a súbežnom po</w:t>
      </w:r>
      <w:r w:rsidR="004469C5">
        <w:rPr>
          <w:szCs w:val="22"/>
        </w:rPr>
        <w:t>u</w:t>
      </w:r>
      <w:r w:rsidRPr="00C24D08">
        <w:rPr>
          <w:szCs w:val="22"/>
        </w:rPr>
        <w:t xml:space="preserve">žití s inými silnými induktormi enzýmov </w:t>
      </w:r>
      <w:proofErr w:type="spellStart"/>
      <w:r w:rsidRPr="00C24D08">
        <w:rPr>
          <w:szCs w:val="22"/>
        </w:rPr>
        <w:t>cytochrómu</w:t>
      </w:r>
      <w:proofErr w:type="spellEnd"/>
      <w:r w:rsidRPr="00C24D08">
        <w:rPr>
          <w:szCs w:val="22"/>
        </w:rPr>
        <w:t xml:space="preserve"> P450, ako je </w:t>
      </w:r>
      <w:proofErr w:type="spellStart"/>
      <w:r w:rsidRPr="00C24D08">
        <w:rPr>
          <w:szCs w:val="22"/>
        </w:rPr>
        <w:t>karbamazepín</w:t>
      </w:r>
      <w:proofErr w:type="spellEnd"/>
      <w:r w:rsidRPr="00C24D08">
        <w:rPr>
          <w:szCs w:val="22"/>
        </w:rPr>
        <w:t xml:space="preserve">, </w:t>
      </w:r>
      <w:proofErr w:type="spellStart"/>
      <w:r w:rsidRPr="00C24D08">
        <w:rPr>
          <w:szCs w:val="22"/>
        </w:rPr>
        <w:t>fenytoín</w:t>
      </w:r>
      <w:proofErr w:type="spellEnd"/>
      <w:r w:rsidRPr="00C24D08">
        <w:rPr>
          <w:szCs w:val="22"/>
        </w:rPr>
        <w:t xml:space="preserve"> a ľubovník bodkovaný.</w:t>
      </w:r>
      <w:r w:rsidRPr="00C24D08">
        <w:rPr>
          <w:i/>
          <w:szCs w:val="22"/>
        </w:rPr>
        <w:t xml:space="preserve"> </w:t>
      </w:r>
    </w:p>
    <w:p w14:paraId="234453C7" w14:textId="77777777" w:rsidR="002B6CA3" w:rsidRPr="00C24D08" w:rsidRDefault="002B6CA3" w:rsidP="00C24D08">
      <w:pPr>
        <w:spacing w:line="240" w:lineRule="auto"/>
        <w:rPr>
          <w:szCs w:val="22"/>
        </w:rPr>
      </w:pPr>
    </w:p>
    <w:p w14:paraId="0F4EC9C5" w14:textId="77777777" w:rsidR="002B6CA3" w:rsidRPr="00C24D08" w:rsidRDefault="002B6CA3" w:rsidP="00C24D08">
      <w:pPr>
        <w:spacing w:line="240" w:lineRule="auto"/>
        <w:rPr>
          <w:szCs w:val="22"/>
        </w:rPr>
      </w:pPr>
      <w:proofErr w:type="spellStart"/>
      <w:r w:rsidRPr="00C24D08">
        <w:rPr>
          <w:szCs w:val="22"/>
        </w:rPr>
        <w:t>Eszopiklón</w:t>
      </w:r>
      <w:proofErr w:type="spellEnd"/>
      <w:r w:rsidRPr="00C24D08">
        <w:rPr>
          <w:szCs w:val="22"/>
        </w:rPr>
        <w:t xml:space="preserve"> neovplyvnil </w:t>
      </w:r>
      <w:proofErr w:type="spellStart"/>
      <w:r w:rsidRPr="00C24D08">
        <w:rPr>
          <w:szCs w:val="22"/>
        </w:rPr>
        <w:t>farmakokinetické</w:t>
      </w:r>
      <w:proofErr w:type="spellEnd"/>
      <w:r w:rsidRPr="00C24D08">
        <w:rPr>
          <w:szCs w:val="22"/>
        </w:rPr>
        <w:t xml:space="preserve"> ani </w:t>
      </w:r>
      <w:proofErr w:type="spellStart"/>
      <w:r w:rsidRPr="00C24D08">
        <w:rPr>
          <w:szCs w:val="22"/>
        </w:rPr>
        <w:t>farmakodynamické</w:t>
      </w:r>
      <w:proofErr w:type="spellEnd"/>
      <w:r w:rsidRPr="00C24D08">
        <w:rPr>
          <w:szCs w:val="22"/>
        </w:rPr>
        <w:t xml:space="preserve"> profily </w:t>
      </w:r>
      <w:proofErr w:type="spellStart"/>
      <w:r w:rsidRPr="00C24D08">
        <w:rPr>
          <w:szCs w:val="22"/>
        </w:rPr>
        <w:t>paroxetínu</w:t>
      </w:r>
      <w:proofErr w:type="spellEnd"/>
      <w:r w:rsidRPr="00C24D08">
        <w:rPr>
          <w:szCs w:val="22"/>
        </w:rPr>
        <w:t xml:space="preserve">, </w:t>
      </w:r>
      <w:proofErr w:type="spellStart"/>
      <w:r w:rsidRPr="00C24D08">
        <w:rPr>
          <w:szCs w:val="22"/>
        </w:rPr>
        <w:t>digoxínu</w:t>
      </w:r>
      <w:proofErr w:type="spellEnd"/>
      <w:r w:rsidRPr="00C24D08">
        <w:rPr>
          <w:szCs w:val="22"/>
        </w:rPr>
        <w:t xml:space="preserve">, </w:t>
      </w:r>
      <w:proofErr w:type="spellStart"/>
      <w:r w:rsidRPr="00C24D08">
        <w:rPr>
          <w:szCs w:val="22"/>
        </w:rPr>
        <w:t>warfarínu</w:t>
      </w:r>
      <w:proofErr w:type="spellEnd"/>
      <w:r w:rsidRPr="00C24D08">
        <w:rPr>
          <w:szCs w:val="22"/>
        </w:rPr>
        <w:t xml:space="preserve"> ani </w:t>
      </w:r>
      <w:proofErr w:type="spellStart"/>
      <w:r w:rsidRPr="00C24D08">
        <w:rPr>
          <w:szCs w:val="22"/>
        </w:rPr>
        <w:t>farmakodynamický</w:t>
      </w:r>
      <w:proofErr w:type="spellEnd"/>
      <w:r w:rsidRPr="00C24D08">
        <w:rPr>
          <w:szCs w:val="22"/>
        </w:rPr>
        <w:t xml:space="preserve"> profil </w:t>
      </w:r>
      <w:proofErr w:type="spellStart"/>
      <w:r w:rsidRPr="00C24D08">
        <w:rPr>
          <w:szCs w:val="22"/>
        </w:rPr>
        <w:t>lorazepamu</w:t>
      </w:r>
      <w:proofErr w:type="spellEnd"/>
      <w:r w:rsidRPr="00C24D08">
        <w:rPr>
          <w:szCs w:val="22"/>
        </w:rPr>
        <w:t>.</w:t>
      </w:r>
    </w:p>
    <w:p w14:paraId="5C9F4130" w14:textId="77777777" w:rsidR="002B6CA3" w:rsidRPr="00C24D08" w:rsidRDefault="002B6CA3" w:rsidP="00C24D08">
      <w:pPr>
        <w:spacing w:line="240" w:lineRule="auto"/>
        <w:rPr>
          <w:szCs w:val="22"/>
        </w:rPr>
      </w:pPr>
    </w:p>
    <w:p w14:paraId="6494B83C" w14:textId="2B192D0A" w:rsidR="002B6CA3" w:rsidRPr="00C24D08" w:rsidRDefault="002B6CA3" w:rsidP="00C24D08">
      <w:pPr>
        <w:spacing w:line="240" w:lineRule="auto"/>
        <w:rPr>
          <w:szCs w:val="22"/>
        </w:rPr>
      </w:pPr>
      <w:r w:rsidRPr="00C24D08">
        <w:rPr>
          <w:szCs w:val="22"/>
        </w:rPr>
        <w:t>U pacientov s poruchami nálady nemá sú</w:t>
      </w:r>
      <w:r w:rsidR="005674CA" w:rsidRPr="00C24D08">
        <w:rPr>
          <w:szCs w:val="22"/>
        </w:rPr>
        <w:t>bež</w:t>
      </w:r>
      <w:r w:rsidRPr="00C24D08">
        <w:rPr>
          <w:szCs w:val="22"/>
        </w:rPr>
        <w:t xml:space="preserve">né podávanie </w:t>
      </w:r>
      <w:proofErr w:type="spellStart"/>
      <w:r w:rsidRPr="00C24D08">
        <w:rPr>
          <w:szCs w:val="22"/>
        </w:rPr>
        <w:t>eszopiklónu</w:t>
      </w:r>
      <w:proofErr w:type="spellEnd"/>
      <w:r w:rsidRPr="00C24D08">
        <w:rPr>
          <w:szCs w:val="22"/>
        </w:rPr>
        <w:t xml:space="preserve"> s </w:t>
      </w:r>
      <w:proofErr w:type="spellStart"/>
      <w:r w:rsidRPr="00C24D08">
        <w:rPr>
          <w:szCs w:val="22"/>
        </w:rPr>
        <w:t>fluoxetínom</w:t>
      </w:r>
      <w:proofErr w:type="spellEnd"/>
      <w:r w:rsidRPr="00C24D08">
        <w:rPr>
          <w:szCs w:val="22"/>
        </w:rPr>
        <w:t xml:space="preserve"> alebo </w:t>
      </w:r>
      <w:proofErr w:type="spellStart"/>
      <w:r w:rsidRPr="00C24D08">
        <w:rPr>
          <w:szCs w:val="22"/>
        </w:rPr>
        <w:t>escitalopramom</w:t>
      </w:r>
      <w:proofErr w:type="spellEnd"/>
      <w:r w:rsidRPr="00C24D08">
        <w:rPr>
          <w:szCs w:val="22"/>
        </w:rPr>
        <w:t xml:space="preserve"> nepriaznivý vplyv na </w:t>
      </w:r>
      <w:proofErr w:type="spellStart"/>
      <w:r w:rsidRPr="00C24D08">
        <w:rPr>
          <w:szCs w:val="22"/>
        </w:rPr>
        <w:t>farmakodynamické</w:t>
      </w:r>
      <w:proofErr w:type="spellEnd"/>
      <w:r w:rsidRPr="00C24D08">
        <w:rPr>
          <w:szCs w:val="22"/>
        </w:rPr>
        <w:t xml:space="preserve"> účinky </w:t>
      </w:r>
      <w:proofErr w:type="spellStart"/>
      <w:r w:rsidRPr="00C24D08">
        <w:rPr>
          <w:szCs w:val="22"/>
        </w:rPr>
        <w:t>eszopiklónu</w:t>
      </w:r>
      <w:proofErr w:type="spellEnd"/>
      <w:r w:rsidRPr="00C24D08">
        <w:rPr>
          <w:szCs w:val="22"/>
        </w:rPr>
        <w:t xml:space="preserve"> alebo </w:t>
      </w:r>
      <w:proofErr w:type="spellStart"/>
      <w:r w:rsidRPr="00C24D08">
        <w:rPr>
          <w:szCs w:val="22"/>
        </w:rPr>
        <w:t>antidepresíva</w:t>
      </w:r>
      <w:proofErr w:type="spellEnd"/>
      <w:r w:rsidRPr="00C24D08">
        <w:rPr>
          <w:szCs w:val="22"/>
        </w:rPr>
        <w:t xml:space="preserve"> (pozri časť 5.1). </w:t>
      </w:r>
    </w:p>
    <w:p w14:paraId="386CC1EB" w14:textId="77777777" w:rsidR="002B6CA3" w:rsidRPr="00C24D08" w:rsidRDefault="002B6CA3" w:rsidP="00C24D08">
      <w:pPr>
        <w:spacing w:line="240" w:lineRule="auto"/>
        <w:rPr>
          <w:szCs w:val="22"/>
        </w:rPr>
      </w:pPr>
    </w:p>
    <w:p w14:paraId="3F583255" w14:textId="039C9522" w:rsidR="002B6CA3" w:rsidRPr="00C24D08" w:rsidRDefault="002B6CA3" w:rsidP="00C24D08">
      <w:pPr>
        <w:spacing w:line="240" w:lineRule="auto"/>
        <w:rPr>
          <w:szCs w:val="22"/>
        </w:rPr>
      </w:pPr>
      <w:r w:rsidRPr="00C24D08">
        <w:rPr>
          <w:szCs w:val="22"/>
        </w:rPr>
        <w:t xml:space="preserve">Súbežné podávanie </w:t>
      </w:r>
      <w:proofErr w:type="spellStart"/>
      <w:r w:rsidRPr="00C24D08">
        <w:rPr>
          <w:szCs w:val="22"/>
        </w:rPr>
        <w:t>benzodiazepínu</w:t>
      </w:r>
      <w:proofErr w:type="spellEnd"/>
      <w:r w:rsidRPr="00C24D08">
        <w:rPr>
          <w:szCs w:val="22"/>
        </w:rPr>
        <w:t xml:space="preserve"> alebo látok podobných </w:t>
      </w:r>
      <w:proofErr w:type="spellStart"/>
      <w:r w:rsidRPr="00C24D08">
        <w:rPr>
          <w:szCs w:val="22"/>
        </w:rPr>
        <w:t>benzodiazepínom</w:t>
      </w:r>
      <w:proofErr w:type="spellEnd"/>
      <w:r w:rsidRPr="00C24D08">
        <w:rPr>
          <w:szCs w:val="22"/>
        </w:rPr>
        <w:t xml:space="preserve"> s narkotickými analgetikami môže zvýšiť ich euforický účinok a m</w:t>
      </w:r>
      <w:r w:rsidR="005674CA" w:rsidRPr="00C24D08">
        <w:rPr>
          <w:szCs w:val="22"/>
        </w:rPr>
        <w:t>ôže</w:t>
      </w:r>
      <w:r w:rsidRPr="00C24D08">
        <w:rPr>
          <w:szCs w:val="22"/>
        </w:rPr>
        <w:t xml:space="preserve"> viesť k zvýšeniu fyzickej závislosti.</w:t>
      </w:r>
    </w:p>
    <w:p w14:paraId="358FB82D" w14:textId="77777777" w:rsidR="007D317B" w:rsidRPr="00C24D08" w:rsidRDefault="007D317B" w:rsidP="00C24D08">
      <w:pPr>
        <w:spacing w:line="240" w:lineRule="auto"/>
        <w:rPr>
          <w:szCs w:val="22"/>
        </w:rPr>
      </w:pPr>
    </w:p>
    <w:p w14:paraId="65997342" w14:textId="77777777" w:rsidR="00030C96" w:rsidRPr="00C24D08" w:rsidRDefault="00030C96" w:rsidP="00C24D08">
      <w:pPr>
        <w:spacing w:line="240" w:lineRule="auto"/>
        <w:rPr>
          <w:i/>
          <w:szCs w:val="22"/>
        </w:rPr>
      </w:pPr>
      <w:proofErr w:type="spellStart"/>
      <w:r w:rsidRPr="00C24D08">
        <w:rPr>
          <w:i/>
          <w:szCs w:val="22"/>
        </w:rPr>
        <w:t>Opioidy</w:t>
      </w:r>
      <w:proofErr w:type="spellEnd"/>
    </w:p>
    <w:p w14:paraId="4AE78DCE" w14:textId="292B5E38" w:rsidR="00030C96" w:rsidRPr="00C24D08" w:rsidRDefault="00030C96" w:rsidP="00C24D08">
      <w:pPr>
        <w:spacing w:line="240" w:lineRule="auto"/>
        <w:rPr>
          <w:szCs w:val="22"/>
        </w:rPr>
      </w:pPr>
      <w:r w:rsidRPr="00C24D08">
        <w:rPr>
          <w:szCs w:val="22"/>
        </w:rPr>
        <w:t xml:space="preserve">Súbežné užívanie sedatívnych liekov, ako sú </w:t>
      </w:r>
      <w:proofErr w:type="spellStart"/>
      <w:r w:rsidRPr="00C24D08">
        <w:rPr>
          <w:szCs w:val="22"/>
        </w:rPr>
        <w:t>benzodiazepíny</w:t>
      </w:r>
      <w:proofErr w:type="spellEnd"/>
      <w:r w:rsidRPr="00C24D08">
        <w:rPr>
          <w:szCs w:val="22"/>
        </w:rPr>
        <w:t xml:space="preserve"> alebo p</w:t>
      </w:r>
      <w:r w:rsidR="005674CA" w:rsidRPr="00C24D08">
        <w:rPr>
          <w:szCs w:val="22"/>
        </w:rPr>
        <w:t>odobné</w:t>
      </w:r>
      <w:r w:rsidRPr="00C24D08">
        <w:rPr>
          <w:szCs w:val="22"/>
        </w:rPr>
        <w:t xml:space="preserve"> lieky, ako je napríklad </w:t>
      </w:r>
      <w:proofErr w:type="spellStart"/>
      <w:r w:rsidRPr="00C24D08">
        <w:rPr>
          <w:szCs w:val="22"/>
        </w:rPr>
        <w:t>eszopiklón</w:t>
      </w:r>
      <w:proofErr w:type="spellEnd"/>
      <w:r w:rsidRPr="00C24D08">
        <w:rPr>
          <w:szCs w:val="22"/>
        </w:rPr>
        <w:t xml:space="preserve">, s </w:t>
      </w:r>
      <w:proofErr w:type="spellStart"/>
      <w:r w:rsidRPr="00C24D08">
        <w:rPr>
          <w:szCs w:val="22"/>
        </w:rPr>
        <w:t>opioidmi</w:t>
      </w:r>
      <w:proofErr w:type="spellEnd"/>
      <w:r w:rsidRPr="00C24D08">
        <w:rPr>
          <w:szCs w:val="22"/>
        </w:rPr>
        <w:t xml:space="preserve"> zvyšuje riziko </w:t>
      </w:r>
      <w:proofErr w:type="spellStart"/>
      <w:r w:rsidRPr="00C24D08">
        <w:rPr>
          <w:szCs w:val="22"/>
        </w:rPr>
        <w:t>sedácie</w:t>
      </w:r>
      <w:proofErr w:type="spellEnd"/>
      <w:r w:rsidRPr="00C24D08">
        <w:rPr>
          <w:szCs w:val="22"/>
        </w:rPr>
        <w:t>, útlmu dýchania, kómy a smrti z dôvodu aditívneho útlmu CNS. Dávka a trvanie súbežného užívania by mali byť obmedzené (pozri časť 4.4).</w:t>
      </w:r>
    </w:p>
    <w:p w14:paraId="709AC4D9" w14:textId="77777777" w:rsidR="00EF5E3C" w:rsidRPr="00C24D08" w:rsidRDefault="00EF5E3C" w:rsidP="00C24D08">
      <w:pPr>
        <w:spacing w:line="240" w:lineRule="auto"/>
        <w:rPr>
          <w:szCs w:val="22"/>
        </w:rPr>
      </w:pPr>
    </w:p>
    <w:p w14:paraId="7C7EB403" w14:textId="0ED164B7" w:rsidR="001D29E6" w:rsidRPr="00C24D08" w:rsidRDefault="001D29E6" w:rsidP="00C24D08">
      <w:pPr>
        <w:pStyle w:val="Nadpis2"/>
        <w:rPr>
          <w:szCs w:val="22"/>
        </w:rPr>
      </w:pPr>
      <w:r w:rsidRPr="00C24D08">
        <w:rPr>
          <w:szCs w:val="22"/>
        </w:rPr>
        <w:t>4.6</w:t>
      </w:r>
      <w:r w:rsidRPr="00C24D08">
        <w:rPr>
          <w:szCs w:val="22"/>
        </w:rPr>
        <w:tab/>
      </w:r>
      <w:proofErr w:type="spellStart"/>
      <w:r w:rsidR="00784358" w:rsidRPr="00C24D08">
        <w:rPr>
          <w:szCs w:val="22"/>
        </w:rPr>
        <w:t>Fertilita</w:t>
      </w:r>
      <w:proofErr w:type="spellEnd"/>
      <w:r w:rsidR="00784358" w:rsidRPr="00C24D08">
        <w:rPr>
          <w:szCs w:val="22"/>
        </w:rPr>
        <w:t>, gravidita a l</w:t>
      </w:r>
      <w:r w:rsidR="002439F8">
        <w:rPr>
          <w:szCs w:val="22"/>
        </w:rPr>
        <w:t>a</w:t>
      </w:r>
      <w:r w:rsidR="00784358" w:rsidRPr="00C24D08">
        <w:rPr>
          <w:szCs w:val="22"/>
        </w:rPr>
        <w:t>ktácia</w:t>
      </w:r>
    </w:p>
    <w:p w14:paraId="23CCC89C" w14:textId="77777777" w:rsidR="00C53ACC" w:rsidRPr="00C24D08" w:rsidRDefault="00C53ACC" w:rsidP="00C24D08">
      <w:pPr>
        <w:spacing w:line="240" w:lineRule="auto"/>
        <w:rPr>
          <w:i/>
          <w:szCs w:val="22"/>
        </w:rPr>
      </w:pPr>
    </w:p>
    <w:p w14:paraId="0238C358" w14:textId="46DE630B" w:rsidR="00072FDF" w:rsidRPr="00C24D08" w:rsidRDefault="00784358" w:rsidP="00C24D08">
      <w:pPr>
        <w:tabs>
          <w:tab w:val="clear" w:pos="567"/>
        </w:tabs>
        <w:spacing w:line="240" w:lineRule="auto"/>
        <w:rPr>
          <w:szCs w:val="22"/>
          <w:u w:val="single"/>
        </w:rPr>
      </w:pPr>
      <w:r w:rsidRPr="00C24D08">
        <w:rPr>
          <w:szCs w:val="22"/>
          <w:u w:val="single"/>
        </w:rPr>
        <w:t>Gravidita</w:t>
      </w:r>
    </w:p>
    <w:p w14:paraId="56AAC30F" w14:textId="7C27AB73" w:rsidR="00072FDF" w:rsidRPr="00C24D08" w:rsidRDefault="00C22B4B" w:rsidP="00C24D08">
      <w:pPr>
        <w:tabs>
          <w:tab w:val="clear" w:pos="567"/>
        </w:tabs>
        <w:spacing w:line="240" w:lineRule="auto"/>
        <w:rPr>
          <w:noProof/>
          <w:szCs w:val="22"/>
          <w:u w:val="single"/>
        </w:rPr>
      </w:pPr>
      <w:r w:rsidRPr="00C24D08">
        <w:rPr>
          <w:szCs w:val="22"/>
        </w:rPr>
        <w:t xml:space="preserve">Údaje o použití </w:t>
      </w:r>
      <w:proofErr w:type="spellStart"/>
      <w:r w:rsidRPr="00C24D08">
        <w:rPr>
          <w:szCs w:val="22"/>
        </w:rPr>
        <w:t>eszopiklónu</w:t>
      </w:r>
      <w:proofErr w:type="spellEnd"/>
      <w:r w:rsidRPr="00C24D08">
        <w:rPr>
          <w:szCs w:val="22"/>
        </w:rPr>
        <w:t xml:space="preserve"> u tehotných žien n</w:t>
      </w:r>
      <w:r w:rsidR="00072FDF" w:rsidRPr="00C24D08">
        <w:rPr>
          <w:szCs w:val="22"/>
        </w:rPr>
        <w:t xml:space="preserve">ie sú k dispozícii alebo sú obmedzené. Štúdie na zvieratách preukázali reprodukčnú toxicitu (pozri časť 5.3). Potenciálne riziko pre ľudí nie je známe. </w:t>
      </w:r>
      <w:proofErr w:type="spellStart"/>
      <w:r w:rsidR="00784358" w:rsidRPr="00C24D08">
        <w:rPr>
          <w:szCs w:val="22"/>
        </w:rPr>
        <w:t>Esogno</w:t>
      </w:r>
      <w:proofErr w:type="spellEnd"/>
      <w:r w:rsidR="00072FDF" w:rsidRPr="00C24D08">
        <w:rPr>
          <w:szCs w:val="22"/>
        </w:rPr>
        <w:t xml:space="preserve"> sa neodporúča počas gravidity a u žien v plodnom veku, ktoré neužívajú antikoncepciu.</w:t>
      </w:r>
    </w:p>
    <w:p w14:paraId="700A0A37" w14:textId="77777777" w:rsidR="003102F5" w:rsidRPr="00C24D08" w:rsidRDefault="003102F5" w:rsidP="00C24D08">
      <w:pPr>
        <w:tabs>
          <w:tab w:val="clear" w:pos="567"/>
        </w:tabs>
        <w:spacing w:line="240" w:lineRule="auto"/>
        <w:rPr>
          <w:szCs w:val="22"/>
          <w:lang w:val="nl-NL" w:eastAsia="nl-NL"/>
        </w:rPr>
      </w:pPr>
    </w:p>
    <w:p w14:paraId="4C36C2CF" w14:textId="77777777" w:rsidR="00670C59" w:rsidRPr="00C24D08" w:rsidRDefault="00BE70B9" w:rsidP="00C24D08">
      <w:pPr>
        <w:spacing w:line="240" w:lineRule="auto"/>
        <w:rPr>
          <w:szCs w:val="22"/>
          <w:u w:val="single"/>
        </w:rPr>
      </w:pPr>
      <w:r w:rsidRPr="00C24D08">
        <w:rPr>
          <w:szCs w:val="22"/>
        </w:rPr>
        <w:t xml:space="preserve">Ak sa </w:t>
      </w:r>
      <w:proofErr w:type="spellStart"/>
      <w:r w:rsidRPr="00C24D08">
        <w:rPr>
          <w:szCs w:val="22"/>
        </w:rPr>
        <w:t>racemický</w:t>
      </w:r>
      <w:proofErr w:type="spellEnd"/>
      <w:r w:rsidRPr="00C24D08">
        <w:rPr>
          <w:szCs w:val="22"/>
        </w:rPr>
        <w:t xml:space="preserve"> </w:t>
      </w:r>
      <w:proofErr w:type="spellStart"/>
      <w:r w:rsidRPr="00C24D08">
        <w:rPr>
          <w:szCs w:val="22"/>
        </w:rPr>
        <w:t>zopiklón</w:t>
      </w:r>
      <w:proofErr w:type="spellEnd"/>
      <w:r w:rsidRPr="00C24D08">
        <w:rPr>
          <w:szCs w:val="22"/>
        </w:rPr>
        <w:t xml:space="preserve"> užíva v neskorších štádiách gravidity, môžu sa u novorodencov vyskytnúť </w:t>
      </w:r>
      <w:proofErr w:type="spellStart"/>
      <w:r w:rsidRPr="00C24D08">
        <w:rPr>
          <w:szCs w:val="22"/>
        </w:rPr>
        <w:t>postnatálne</w:t>
      </w:r>
      <w:proofErr w:type="spellEnd"/>
      <w:r w:rsidRPr="00C24D08">
        <w:rPr>
          <w:szCs w:val="22"/>
        </w:rPr>
        <w:t xml:space="preserve"> abstinenčné príznaky. Počas posledného </w:t>
      </w:r>
      <w:proofErr w:type="spellStart"/>
      <w:r w:rsidRPr="00C24D08">
        <w:rPr>
          <w:szCs w:val="22"/>
        </w:rPr>
        <w:t>trimestra</w:t>
      </w:r>
      <w:proofErr w:type="spellEnd"/>
      <w:r w:rsidRPr="00C24D08">
        <w:rPr>
          <w:szCs w:val="22"/>
        </w:rPr>
        <w:t xml:space="preserve"> existuje riziko nepriaznivých farmakologických účinkov na plod a/alebo novorodenca, ako je hypotónia, útlm dýchania a hypotermia. </w:t>
      </w:r>
    </w:p>
    <w:p w14:paraId="4AB04860" w14:textId="77777777" w:rsidR="00784358" w:rsidRPr="00C24D08" w:rsidRDefault="00784358" w:rsidP="00C24D08">
      <w:pPr>
        <w:spacing w:line="240" w:lineRule="auto"/>
        <w:rPr>
          <w:szCs w:val="22"/>
          <w:u w:val="single"/>
        </w:rPr>
      </w:pPr>
    </w:p>
    <w:p w14:paraId="6BDC6F84" w14:textId="18E956B6" w:rsidR="00072FDF" w:rsidRPr="00C24D08" w:rsidRDefault="00072FDF" w:rsidP="00C24D08">
      <w:pPr>
        <w:spacing w:line="240" w:lineRule="auto"/>
        <w:rPr>
          <w:szCs w:val="22"/>
          <w:u w:val="single"/>
        </w:rPr>
      </w:pPr>
      <w:r w:rsidRPr="00C24D08">
        <w:rPr>
          <w:szCs w:val="22"/>
          <w:u w:val="single"/>
        </w:rPr>
        <w:t>Dojčenie</w:t>
      </w:r>
    </w:p>
    <w:p w14:paraId="02AEFF83" w14:textId="77777777" w:rsidR="00072FDF" w:rsidRPr="00C24D08" w:rsidRDefault="00072FDF" w:rsidP="00C24D08">
      <w:pPr>
        <w:tabs>
          <w:tab w:val="clear" w:pos="567"/>
        </w:tabs>
        <w:spacing w:line="240" w:lineRule="auto"/>
        <w:rPr>
          <w:szCs w:val="22"/>
        </w:rPr>
      </w:pPr>
      <w:r w:rsidRPr="00C24D08">
        <w:rPr>
          <w:szCs w:val="22"/>
        </w:rPr>
        <w:t xml:space="preserve">Nie je známe, či sa </w:t>
      </w:r>
      <w:proofErr w:type="spellStart"/>
      <w:r w:rsidRPr="00C24D08">
        <w:rPr>
          <w:szCs w:val="22"/>
        </w:rPr>
        <w:t>eszopiklón</w:t>
      </w:r>
      <w:proofErr w:type="spellEnd"/>
      <w:r w:rsidRPr="00C24D08">
        <w:rPr>
          <w:szCs w:val="22"/>
        </w:rPr>
        <w:t xml:space="preserve"> alebo </w:t>
      </w:r>
      <w:proofErr w:type="spellStart"/>
      <w:r w:rsidRPr="00C24D08">
        <w:rPr>
          <w:szCs w:val="22"/>
        </w:rPr>
        <w:t>metabolit</w:t>
      </w:r>
      <w:proofErr w:type="spellEnd"/>
      <w:r w:rsidRPr="00C24D08">
        <w:rPr>
          <w:szCs w:val="22"/>
        </w:rPr>
        <w:t xml:space="preserve"> (S)-N-</w:t>
      </w:r>
      <w:proofErr w:type="spellStart"/>
      <w:r w:rsidRPr="00C24D08">
        <w:rPr>
          <w:szCs w:val="22"/>
        </w:rPr>
        <w:t>desmetylzopiklónu</w:t>
      </w:r>
      <w:proofErr w:type="spellEnd"/>
      <w:r w:rsidRPr="00C24D08">
        <w:rPr>
          <w:szCs w:val="22"/>
        </w:rPr>
        <w:t xml:space="preserve"> vylučujú do materského mlieka. Štúdie s </w:t>
      </w:r>
      <w:proofErr w:type="spellStart"/>
      <w:r w:rsidRPr="00C24D08">
        <w:rPr>
          <w:szCs w:val="22"/>
        </w:rPr>
        <w:t>racemickým</w:t>
      </w:r>
      <w:proofErr w:type="spellEnd"/>
      <w:r w:rsidRPr="00C24D08">
        <w:rPr>
          <w:szCs w:val="22"/>
        </w:rPr>
        <w:t xml:space="preserve"> </w:t>
      </w:r>
      <w:proofErr w:type="spellStart"/>
      <w:r w:rsidRPr="00C24D08">
        <w:rPr>
          <w:szCs w:val="22"/>
        </w:rPr>
        <w:t>zopiklónom</w:t>
      </w:r>
      <w:proofErr w:type="spellEnd"/>
      <w:r w:rsidRPr="00C24D08">
        <w:rPr>
          <w:szCs w:val="22"/>
        </w:rPr>
        <w:t xml:space="preserve"> na ľuďoch a na zvieratách odhalili prenos do materského mlieka. Riziko pre dojčené dieťa sa nedá vylúčiť. </w:t>
      </w:r>
    </w:p>
    <w:p w14:paraId="0E8CEF14" w14:textId="6BB4F015" w:rsidR="00072FDF" w:rsidRPr="00C24D08" w:rsidRDefault="00784358" w:rsidP="00C24D08">
      <w:pPr>
        <w:tabs>
          <w:tab w:val="clear" w:pos="567"/>
        </w:tabs>
        <w:spacing w:line="240" w:lineRule="auto"/>
        <w:rPr>
          <w:noProof/>
          <w:szCs w:val="22"/>
          <w:u w:val="single"/>
        </w:rPr>
      </w:pPr>
      <w:proofErr w:type="spellStart"/>
      <w:r w:rsidRPr="00C24D08">
        <w:rPr>
          <w:szCs w:val="22"/>
        </w:rPr>
        <w:t>Esogno</w:t>
      </w:r>
      <w:proofErr w:type="spellEnd"/>
      <w:r w:rsidR="00BA257C" w:rsidRPr="00C24D08">
        <w:rPr>
          <w:szCs w:val="22"/>
        </w:rPr>
        <w:t xml:space="preserve"> sa nemá používať počas dojčenia.</w:t>
      </w:r>
    </w:p>
    <w:p w14:paraId="4FBC855E" w14:textId="77777777" w:rsidR="00072FDF" w:rsidRPr="00C24D08" w:rsidRDefault="00072FDF" w:rsidP="00C24D08">
      <w:pPr>
        <w:spacing w:line="240" w:lineRule="auto"/>
        <w:rPr>
          <w:szCs w:val="22"/>
        </w:rPr>
      </w:pPr>
    </w:p>
    <w:p w14:paraId="0E555359" w14:textId="32E7F143" w:rsidR="00072FDF" w:rsidRPr="00C24D08" w:rsidRDefault="00784358" w:rsidP="00C24D08">
      <w:pPr>
        <w:spacing w:line="240" w:lineRule="auto"/>
        <w:rPr>
          <w:szCs w:val="22"/>
          <w:u w:val="single"/>
        </w:rPr>
      </w:pPr>
      <w:proofErr w:type="spellStart"/>
      <w:r w:rsidRPr="00C24D08">
        <w:rPr>
          <w:szCs w:val="22"/>
          <w:u w:val="single"/>
        </w:rPr>
        <w:t>Fertilita</w:t>
      </w:r>
      <w:proofErr w:type="spellEnd"/>
    </w:p>
    <w:p w14:paraId="7A6B3BE5" w14:textId="6A667885" w:rsidR="00072FDF" w:rsidRPr="00C24D08" w:rsidRDefault="00072FDF" w:rsidP="00C24D08">
      <w:pPr>
        <w:tabs>
          <w:tab w:val="clear" w:pos="567"/>
        </w:tabs>
        <w:spacing w:line="240" w:lineRule="auto"/>
        <w:rPr>
          <w:szCs w:val="22"/>
        </w:rPr>
      </w:pPr>
      <w:r w:rsidRPr="00C24D08">
        <w:rPr>
          <w:szCs w:val="22"/>
        </w:rPr>
        <w:t xml:space="preserve">V klinických štúdiách na </w:t>
      </w:r>
      <w:r w:rsidR="00503934" w:rsidRPr="00C24D08">
        <w:rPr>
          <w:szCs w:val="22"/>
        </w:rPr>
        <w:t>ľuďoch</w:t>
      </w:r>
      <w:r w:rsidRPr="00C24D08">
        <w:rPr>
          <w:szCs w:val="22"/>
        </w:rPr>
        <w:t xml:space="preserve"> sa po liečbe trvajúcej </w:t>
      </w:r>
      <w:r w:rsidR="00784358" w:rsidRPr="00C24D08">
        <w:rPr>
          <w:szCs w:val="22"/>
        </w:rPr>
        <w:t>do</w:t>
      </w:r>
      <w:r w:rsidRPr="00C24D08">
        <w:rPr>
          <w:szCs w:val="22"/>
        </w:rPr>
        <w:t xml:space="preserve"> 6 mesiacov u mužov ani žien nepozoroval žiadny dôkaz o zníženej plodnosti.</w:t>
      </w:r>
    </w:p>
    <w:p w14:paraId="7EE5B3BA" w14:textId="43FBDFC5" w:rsidR="00072FDF" w:rsidRPr="00C24D08" w:rsidRDefault="00072FDF" w:rsidP="00C24D08">
      <w:pPr>
        <w:tabs>
          <w:tab w:val="clear" w:pos="567"/>
        </w:tabs>
        <w:spacing w:line="240" w:lineRule="auto"/>
        <w:rPr>
          <w:noProof/>
          <w:szCs w:val="22"/>
          <w:u w:val="single"/>
        </w:rPr>
      </w:pPr>
      <w:r w:rsidRPr="00C24D08">
        <w:rPr>
          <w:szCs w:val="22"/>
        </w:rPr>
        <w:t xml:space="preserve">Štúdie na zvieratách s </w:t>
      </w:r>
      <w:proofErr w:type="spellStart"/>
      <w:r w:rsidRPr="00C24D08">
        <w:rPr>
          <w:szCs w:val="22"/>
        </w:rPr>
        <w:t>eszopiklónom</w:t>
      </w:r>
      <w:proofErr w:type="spellEnd"/>
      <w:r w:rsidRPr="00C24D08">
        <w:rPr>
          <w:szCs w:val="22"/>
        </w:rPr>
        <w:t xml:space="preserve"> však preukázali zhoršenie mužskej a ženskej plodnosti u rôznych druhov (pozri časť 5.3). Vplyv </w:t>
      </w:r>
      <w:proofErr w:type="spellStart"/>
      <w:r w:rsidRPr="00C24D08">
        <w:rPr>
          <w:szCs w:val="22"/>
        </w:rPr>
        <w:t>eszopiklónu</w:t>
      </w:r>
      <w:proofErr w:type="spellEnd"/>
      <w:r w:rsidRPr="00C24D08">
        <w:rPr>
          <w:szCs w:val="22"/>
        </w:rPr>
        <w:t xml:space="preserve"> na plodnosť mužov a žensk</w:t>
      </w:r>
      <w:r w:rsidR="00145F22">
        <w:rPr>
          <w:szCs w:val="22"/>
        </w:rPr>
        <w:t>ý</w:t>
      </w:r>
      <w:r w:rsidRPr="00C24D08">
        <w:rPr>
          <w:szCs w:val="22"/>
        </w:rPr>
        <w:t xml:space="preserve"> </w:t>
      </w:r>
      <w:proofErr w:type="spellStart"/>
      <w:r w:rsidRPr="00C24D08">
        <w:rPr>
          <w:szCs w:val="22"/>
        </w:rPr>
        <w:t>estr</w:t>
      </w:r>
      <w:r w:rsidR="00145F22">
        <w:rPr>
          <w:szCs w:val="22"/>
        </w:rPr>
        <w:t>álny</w:t>
      </w:r>
      <w:proofErr w:type="spellEnd"/>
      <w:r w:rsidR="00145F22">
        <w:rPr>
          <w:szCs w:val="22"/>
        </w:rPr>
        <w:t xml:space="preserve"> cyklus</w:t>
      </w:r>
      <w:r w:rsidRPr="00C24D08">
        <w:rPr>
          <w:szCs w:val="22"/>
        </w:rPr>
        <w:t xml:space="preserve"> po chronickom podávaní (&gt; 6 mesiacov) u ľudí nie je známy.</w:t>
      </w:r>
    </w:p>
    <w:p w14:paraId="4F280578" w14:textId="77777777" w:rsidR="0020074E" w:rsidRPr="00C24D08" w:rsidRDefault="0020074E" w:rsidP="00C24D08">
      <w:pPr>
        <w:spacing w:line="240" w:lineRule="auto"/>
        <w:rPr>
          <w:szCs w:val="22"/>
        </w:rPr>
      </w:pPr>
    </w:p>
    <w:p w14:paraId="4D66A6F5" w14:textId="77777777" w:rsidR="00A049FF" w:rsidRPr="00C24D08" w:rsidRDefault="001D29E6" w:rsidP="00C24D08">
      <w:pPr>
        <w:pStyle w:val="Nadpis2"/>
        <w:rPr>
          <w:szCs w:val="22"/>
        </w:rPr>
      </w:pPr>
      <w:r w:rsidRPr="00C24D08">
        <w:rPr>
          <w:szCs w:val="22"/>
        </w:rPr>
        <w:t>4.7</w:t>
      </w:r>
      <w:r w:rsidRPr="00C24D08">
        <w:rPr>
          <w:szCs w:val="22"/>
        </w:rPr>
        <w:tab/>
        <w:t xml:space="preserve">Ovplyvnenie schopnosti viesť vozidlá a obsluhovať stroje </w:t>
      </w:r>
    </w:p>
    <w:p w14:paraId="761FE116" w14:textId="77777777" w:rsidR="00A049FF" w:rsidRPr="00C24D08" w:rsidRDefault="00A049FF" w:rsidP="00C24D08">
      <w:pPr>
        <w:spacing w:line="240" w:lineRule="auto"/>
        <w:rPr>
          <w:szCs w:val="22"/>
          <w:lang w:eastAsia="de-DE"/>
        </w:rPr>
      </w:pPr>
    </w:p>
    <w:p w14:paraId="400B1243" w14:textId="77777777" w:rsidR="009724BE" w:rsidRPr="00C24D08" w:rsidRDefault="00A94CCE" w:rsidP="00C24D08">
      <w:pPr>
        <w:spacing w:line="240" w:lineRule="auto"/>
        <w:rPr>
          <w:szCs w:val="22"/>
        </w:rPr>
      </w:pPr>
      <w:proofErr w:type="spellStart"/>
      <w:r w:rsidRPr="00C24D08">
        <w:rPr>
          <w:szCs w:val="22"/>
        </w:rPr>
        <w:t>Eszopiklón</w:t>
      </w:r>
      <w:proofErr w:type="spellEnd"/>
      <w:r w:rsidRPr="00C24D08">
        <w:rPr>
          <w:szCs w:val="22"/>
        </w:rPr>
        <w:t xml:space="preserve"> má veľký vplyv na schopnosť viesť vozidlá a obsluhovať stroje niekoľko hodín po užití. </w:t>
      </w:r>
      <w:proofErr w:type="spellStart"/>
      <w:r w:rsidRPr="00C24D08">
        <w:rPr>
          <w:szCs w:val="22"/>
        </w:rPr>
        <w:t>Sedácia</w:t>
      </w:r>
      <w:proofErr w:type="spellEnd"/>
      <w:r w:rsidRPr="00C24D08">
        <w:rPr>
          <w:szCs w:val="22"/>
        </w:rPr>
        <w:t xml:space="preserve">, amnézia, rozmazané videnie, narušená koncentrácia a zhoršená svalová funkcia môžu nepriaznivo ovplyvniť schopnosť viesť vozidlá alebo obsluhovať stroje. Ak dôjde k nedostatočnému trvaniu spánku, pravdepodobnosť zníženej bdelosti sa môže zvýšiť. </w:t>
      </w:r>
    </w:p>
    <w:p w14:paraId="03C86531" w14:textId="77777777" w:rsidR="001D29E6" w:rsidRPr="00C24D08" w:rsidRDefault="00A94CCE" w:rsidP="00C24D08">
      <w:pPr>
        <w:spacing w:line="240" w:lineRule="auto"/>
        <w:rPr>
          <w:szCs w:val="22"/>
        </w:rPr>
      </w:pPr>
      <w:r w:rsidRPr="00C24D08">
        <w:rPr>
          <w:szCs w:val="22"/>
        </w:rPr>
        <w:t xml:space="preserve">Pacientov treba poučiť, aby neviedli vozidlá ani neobsluhovali stroje, ak sa u nich vyskytne niektorý z týchto účinkov deň po liečbe </w:t>
      </w:r>
      <w:proofErr w:type="spellStart"/>
      <w:r w:rsidRPr="00C24D08">
        <w:rPr>
          <w:szCs w:val="22"/>
        </w:rPr>
        <w:t>eszopiklónom</w:t>
      </w:r>
      <w:proofErr w:type="spellEnd"/>
      <w:r w:rsidRPr="00C24D08">
        <w:rPr>
          <w:szCs w:val="22"/>
        </w:rPr>
        <w:t xml:space="preserve">. Medzi užívaním </w:t>
      </w:r>
      <w:proofErr w:type="spellStart"/>
      <w:r w:rsidRPr="00C24D08">
        <w:rPr>
          <w:szCs w:val="22"/>
        </w:rPr>
        <w:t>eszopiklónu</w:t>
      </w:r>
      <w:proofErr w:type="spellEnd"/>
      <w:r w:rsidRPr="00C24D08">
        <w:rPr>
          <w:szCs w:val="22"/>
        </w:rPr>
        <w:t xml:space="preserve"> a vedením vozidla, obsluhou strojov a prácou vo výškach sa odporúča dodržať odstup najmenej 12 hodín, aby sa minimalizovali uvedené účinky.</w:t>
      </w:r>
    </w:p>
    <w:p w14:paraId="39DEBBE7" w14:textId="77777777" w:rsidR="00BB215C" w:rsidRPr="00C24D08" w:rsidRDefault="00BB215C" w:rsidP="00C24D08">
      <w:pPr>
        <w:spacing w:line="240" w:lineRule="auto"/>
        <w:rPr>
          <w:szCs w:val="22"/>
        </w:rPr>
      </w:pPr>
    </w:p>
    <w:p w14:paraId="30DB621D" w14:textId="77777777" w:rsidR="00A049FF" w:rsidRPr="00C24D08" w:rsidRDefault="00A049FF" w:rsidP="00C24D08">
      <w:pPr>
        <w:pStyle w:val="MGGTextLeft"/>
        <w:rPr>
          <w:iCs/>
          <w:szCs w:val="22"/>
        </w:rPr>
      </w:pPr>
      <w:r w:rsidRPr="00C24D08">
        <w:rPr>
          <w:szCs w:val="22"/>
        </w:rPr>
        <w:t xml:space="preserve">Pri terapeutických dávkach, keď bol podávaný samotný </w:t>
      </w:r>
      <w:proofErr w:type="spellStart"/>
      <w:r w:rsidRPr="00C24D08">
        <w:rPr>
          <w:szCs w:val="22"/>
        </w:rPr>
        <w:t>eszopiklón</w:t>
      </w:r>
      <w:proofErr w:type="spellEnd"/>
      <w:r w:rsidRPr="00C24D08">
        <w:rPr>
          <w:szCs w:val="22"/>
        </w:rPr>
        <w:t xml:space="preserve">, sa vyskytlo zhoršenie schopnosti viesť vozidlo a správanie, ako je „jazda počas spánku“ (pozri časť 4.4). </w:t>
      </w:r>
    </w:p>
    <w:p w14:paraId="6B4FBA2A" w14:textId="77777777" w:rsidR="00A049FF" w:rsidRPr="00C24D08" w:rsidRDefault="00A049FF" w:rsidP="00C24D08">
      <w:pPr>
        <w:pStyle w:val="MGGTextLeft"/>
        <w:rPr>
          <w:szCs w:val="22"/>
        </w:rPr>
      </w:pPr>
    </w:p>
    <w:p w14:paraId="6CA5CFF8" w14:textId="77777777" w:rsidR="00A049FF" w:rsidRPr="00C24D08" w:rsidRDefault="00A049FF" w:rsidP="00C24D08">
      <w:pPr>
        <w:spacing w:line="240" w:lineRule="auto"/>
        <w:rPr>
          <w:szCs w:val="22"/>
        </w:rPr>
      </w:pPr>
      <w:r w:rsidRPr="00C24D08">
        <w:rPr>
          <w:szCs w:val="22"/>
        </w:rPr>
        <w:t xml:space="preserve">Súbežné podávanie </w:t>
      </w:r>
      <w:proofErr w:type="spellStart"/>
      <w:r w:rsidRPr="00C24D08">
        <w:rPr>
          <w:szCs w:val="22"/>
        </w:rPr>
        <w:t>eszopiklónu</w:t>
      </w:r>
      <w:proofErr w:type="spellEnd"/>
      <w:r w:rsidRPr="00C24D08">
        <w:rPr>
          <w:szCs w:val="22"/>
        </w:rPr>
        <w:t xml:space="preserve"> s alkoholom a inými látkami utlmujúcimi CNS zvyšuje riziko takéhoto správania (pozri časť 4.4 a 4.5). Pacientov treba upozorniť, aby pri užívaní </w:t>
      </w:r>
      <w:proofErr w:type="spellStart"/>
      <w:r w:rsidRPr="00C24D08">
        <w:rPr>
          <w:szCs w:val="22"/>
        </w:rPr>
        <w:t>eszopiklónu</w:t>
      </w:r>
      <w:proofErr w:type="spellEnd"/>
      <w:r w:rsidRPr="00C24D08">
        <w:rPr>
          <w:szCs w:val="22"/>
        </w:rPr>
        <w:t xml:space="preserve"> neužívali alkohol ani iné </w:t>
      </w:r>
      <w:proofErr w:type="spellStart"/>
      <w:r w:rsidRPr="00C24D08">
        <w:rPr>
          <w:szCs w:val="22"/>
        </w:rPr>
        <w:t>psychoaktívne</w:t>
      </w:r>
      <w:proofErr w:type="spellEnd"/>
      <w:r w:rsidRPr="00C24D08">
        <w:rPr>
          <w:szCs w:val="22"/>
        </w:rPr>
        <w:t xml:space="preserve"> látky.</w:t>
      </w:r>
    </w:p>
    <w:p w14:paraId="1819F827" w14:textId="77777777" w:rsidR="006C4582" w:rsidRPr="00C24D08" w:rsidRDefault="006C4582" w:rsidP="00C24D08">
      <w:pPr>
        <w:spacing w:line="240" w:lineRule="auto"/>
        <w:rPr>
          <w:szCs w:val="22"/>
        </w:rPr>
      </w:pPr>
    </w:p>
    <w:p w14:paraId="3751A42B" w14:textId="7D36DD1B" w:rsidR="001D29E6" w:rsidRPr="00C24D08" w:rsidRDefault="00D56FF5" w:rsidP="00C24D08">
      <w:pPr>
        <w:pStyle w:val="Nadpis2"/>
        <w:rPr>
          <w:szCs w:val="22"/>
        </w:rPr>
      </w:pPr>
      <w:r w:rsidRPr="00C24D08">
        <w:rPr>
          <w:szCs w:val="22"/>
        </w:rPr>
        <w:t xml:space="preserve">4.8 </w:t>
      </w:r>
      <w:r w:rsidR="00784358" w:rsidRPr="00C24D08">
        <w:rPr>
          <w:szCs w:val="22"/>
        </w:rPr>
        <w:tab/>
      </w:r>
      <w:r w:rsidRPr="00C24D08">
        <w:rPr>
          <w:szCs w:val="22"/>
        </w:rPr>
        <w:t>Nežiaduce účinky</w:t>
      </w:r>
    </w:p>
    <w:p w14:paraId="5213E1B5" w14:textId="77777777" w:rsidR="001D29E6" w:rsidRPr="00C24D08" w:rsidRDefault="001D29E6" w:rsidP="00C24D08">
      <w:pPr>
        <w:spacing w:line="240" w:lineRule="auto"/>
        <w:rPr>
          <w:szCs w:val="22"/>
        </w:rPr>
      </w:pPr>
    </w:p>
    <w:p w14:paraId="5FC6BFA8" w14:textId="139F29DC" w:rsidR="004E2C93" w:rsidRPr="00C24D08" w:rsidRDefault="004E2C93" w:rsidP="00C24D08">
      <w:pPr>
        <w:tabs>
          <w:tab w:val="clear" w:pos="567"/>
        </w:tabs>
        <w:autoSpaceDE w:val="0"/>
        <w:autoSpaceDN w:val="0"/>
        <w:adjustRightInd w:val="0"/>
        <w:spacing w:line="240" w:lineRule="auto"/>
        <w:rPr>
          <w:szCs w:val="22"/>
        </w:rPr>
      </w:pPr>
      <w:r w:rsidRPr="00C24D08">
        <w:rPr>
          <w:szCs w:val="22"/>
        </w:rPr>
        <w:t xml:space="preserve">Informácie o nežiaducich účinkoch sa zakladajú na skúsenostiach z klinických štúdií trvajúcich do 6 mesiacov s 1 až 3 mg </w:t>
      </w:r>
      <w:proofErr w:type="spellStart"/>
      <w:r w:rsidRPr="00C24D08">
        <w:rPr>
          <w:szCs w:val="22"/>
        </w:rPr>
        <w:t>eszopiklónu</w:t>
      </w:r>
      <w:proofErr w:type="spellEnd"/>
      <w:r w:rsidRPr="00C24D08">
        <w:rPr>
          <w:szCs w:val="22"/>
        </w:rPr>
        <w:t xml:space="preserve"> alebo placeba u</w:t>
      </w:r>
      <w:r w:rsidR="00145F22">
        <w:rPr>
          <w:szCs w:val="22"/>
        </w:rPr>
        <w:t> dospelých,</w:t>
      </w:r>
      <w:r w:rsidRPr="00C24D08">
        <w:rPr>
          <w:szCs w:val="22"/>
        </w:rPr>
        <w:t xml:space="preserve"> nie starších pacientov. V týchto klinických štúdiách užívalo </w:t>
      </w:r>
      <w:proofErr w:type="spellStart"/>
      <w:r w:rsidRPr="00C24D08">
        <w:rPr>
          <w:szCs w:val="22"/>
        </w:rPr>
        <w:t>eszopiklón</w:t>
      </w:r>
      <w:proofErr w:type="spellEnd"/>
      <w:r w:rsidRPr="00C24D08">
        <w:rPr>
          <w:szCs w:val="22"/>
        </w:rPr>
        <w:t xml:space="preserve"> celkom 1626 osôb a placebo užívalo 858 osôb. Najčastejšie hlásenou nežiaducou reakciou bola </w:t>
      </w:r>
      <w:proofErr w:type="spellStart"/>
      <w:r w:rsidRPr="00C24D08">
        <w:rPr>
          <w:szCs w:val="22"/>
        </w:rPr>
        <w:t>dysgeúzia</w:t>
      </w:r>
      <w:proofErr w:type="spellEnd"/>
      <w:r w:rsidRPr="00C24D08">
        <w:rPr>
          <w:szCs w:val="22"/>
        </w:rPr>
        <w:t xml:space="preserve"> (nepríjemná chuť v ústach). Bolesť hlavy, </w:t>
      </w:r>
      <w:proofErr w:type="spellStart"/>
      <w:r w:rsidRPr="00C24D08">
        <w:rPr>
          <w:szCs w:val="22"/>
        </w:rPr>
        <w:t>somnolencia</w:t>
      </w:r>
      <w:proofErr w:type="spellEnd"/>
      <w:r w:rsidRPr="00C24D08">
        <w:rPr>
          <w:szCs w:val="22"/>
        </w:rPr>
        <w:t>, sucho v ústach, závraty a nevoľnosť boli tiež často pozorované (&lt;10% pacientov).</w:t>
      </w:r>
    </w:p>
    <w:p w14:paraId="66B3873D" w14:textId="77777777" w:rsidR="00BC1A33" w:rsidRPr="00C24D08" w:rsidRDefault="00BC1A33" w:rsidP="00C24D08">
      <w:pPr>
        <w:tabs>
          <w:tab w:val="clear" w:pos="567"/>
        </w:tabs>
        <w:autoSpaceDE w:val="0"/>
        <w:autoSpaceDN w:val="0"/>
        <w:adjustRightInd w:val="0"/>
        <w:spacing w:line="240" w:lineRule="auto"/>
        <w:rPr>
          <w:szCs w:val="22"/>
          <w:lang w:eastAsia="de-DE"/>
        </w:rPr>
      </w:pPr>
    </w:p>
    <w:p w14:paraId="10582EFE" w14:textId="37546077" w:rsidR="004E2C93" w:rsidRPr="00C24D08" w:rsidRDefault="004E2C93" w:rsidP="00C24D08">
      <w:pPr>
        <w:tabs>
          <w:tab w:val="clear" w:pos="567"/>
        </w:tabs>
        <w:autoSpaceDE w:val="0"/>
        <w:autoSpaceDN w:val="0"/>
        <w:adjustRightInd w:val="0"/>
        <w:spacing w:line="240" w:lineRule="auto"/>
        <w:rPr>
          <w:szCs w:val="22"/>
        </w:rPr>
      </w:pPr>
      <w:r w:rsidRPr="00C24D08">
        <w:rPr>
          <w:szCs w:val="22"/>
        </w:rPr>
        <w:t xml:space="preserve">V nižšie uvedenej tabuľke sú nežiaduce reakcie, ktoré sa vyskytli </w:t>
      </w:r>
      <w:r w:rsidR="00DE79AC">
        <w:rPr>
          <w:szCs w:val="22"/>
        </w:rPr>
        <w:t>vo</w:t>
      </w:r>
      <w:r w:rsidR="00DE79AC" w:rsidRPr="00C24D08">
        <w:rPr>
          <w:szCs w:val="22"/>
        </w:rPr>
        <w:t xml:space="preserve"> </w:t>
      </w:r>
      <w:r w:rsidRPr="00C24D08">
        <w:rPr>
          <w:szCs w:val="22"/>
        </w:rPr>
        <w:t xml:space="preserve">výskyte vyššom ako </w:t>
      </w:r>
      <w:r w:rsidR="00DE79AC">
        <w:rPr>
          <w:szCs w:val="22"/>
        </w:rPr>
        <w:t>u</w:t>
      </w:r>
      <w:r w:rsidR="00DE79AC" w:rsidRPr="00C24D08">
        <w:rPr>
          <w:szCs w:val="22"/>
        </w:rPr>
        <w:t xml:space="preserve"> placeb</w:t>
      </w:r>
      <w:r w:rsidR="00DE79AC">
        <w:rPr>
          <w:szCs w:val="22"/>
        </w:rPr>
        <w:t>a</w:t>
      </w:r>
      <w:r w:rsidR="00DE79AC" w:rsidRPr="00C24D08">
        <w:rPr>
          <w:szCs w:val="22"/>
        </w:rPr>
        <w:t xml:space="preserve"> </w:t>
      </w:r>
      <w:r w:rsidRPr="00C24D08">
        <w:rPr>
          <w:szCs w:val="22"/>
        </w:rPr>
        <w:t xml:space="preserve">a najmenej </w:t>
      </w:r>
      <w:r w:rsidR="00DE79AC">
        <w:rPr>
          <w:szCs w:val="22"/>
        </w:rPr>
        <w:t>u</w:t>
      </w:r>
      <w:r w:rsidR="00DE79AC" w:rsidRPr="00C24D08">
        <w:rPr>
          <w:szCs w:val="22"/>
        </w:rPr>
        <w:t xml:space="preserve"> </w:t>
      </w:r>
      <w:r w:rsidRPr="00C24D08">
        <w:rPr>
          <w:szCs w:val="22"/>
        </w:rPr>
        <w:t>2 pacientov, zoradené podľa triedy orgánových systémov a frekvencie: veľmi časté (≥1/10), časté (≥1/100 až &lt;1/10 ), menej časté (≥1/1 000 až &lt;1/100) a zriedkavé (≥ 1/10 000 až &lt;1/1 000) a neznáme (z dostupných údajov sa nedajú odhadnúť). V rámci každej frekvenčnej skupiny sú nežiaduce reakcie usporiadané v poradí klesajúcej závažnosti.</w:t>
      </w:r>
    </w:p>
    <w:p w14:paraId="220F751B" w14:textId="77777777" w:rsidR="00A52339" w:rsidRPr="00C24D08" w:rsidRDefault="00A52339" w:rsidP="00C24D08">
      <w:pPr>
        <w:tabs>
          <w:tab w:val="clear" w:pos="567"/>
        </w:tabs>
        <w:autoSpaceDE w:val="0"/>
        <w:autoSpaceDN w:val="0"/>
        <w:adjustRightInd w:val="0"/>
        <w:spacing w:line="240" w:lineRule="auto"/>
        <w:rPr>
          <w:szCs w:val="22"/>
          <w:lang w:eastAsia="de-DE"/>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273"/>
      </w:tblGrid>
      <w:tr w:rsidR="001815D9" w:rsidRPr="00C24D08" w14:paraId="62103F67" w14:textId="77777777" w:rsidTr="003D6DE8">
        <w:tc>
          <w:tcPr>
            <w:tcW w:w="9071" w:type="dxa"/>
            <w:gridSpan w:val="2"/>
          </w:tcPr>
          <w:p w14:paraId="460C5471" w14:textId="77777777" w:rsidR="001815D9" w:rsidRPr="00C24D08" w:rsidRDefault="001815D9" w:rsidP="00C24D08">
            <w:pPr>
              <w:tabs>
                <w:tab w:val="clear" w:pos="567"/>
              </w:tabs>
              <w:autoSpaceDE w:val="0"/>
              <w:autoSpaceDN w:val="0"/>
              <w:adjustRightInd w:val="0"/>
              <w:spacing w:line="240" w:lineRule="auto"/>
              <w:rPr>
                <w:szCs w:val="22"/>
              </w:rPr>
            </w:pPr>
            <w:r w:rsidRPr="00C24D08">
              <w:rPr>
                <w:b/>
                <w:szCs w:val="22"/>
              </w:rPr>
              <w:t>Infekcie a nákazy</w:t>
            </w:r>
          </w:p>
        </w:tc>
      </w:tr>
      <w:tr w:rsidR="001815D9" w:rsidRPr="00C24D08" w14:paraId="3AD4778E" w14:textId="77777777" w:rsidTr="003D6DE8">
        <w:tc>
          <w:tcPr>
            <w:tcW w:w="1798" w:type="dxa"/>
          </w:tcPr>
          <w:p w14:paraId="245D2FC8" w14:textId="65AED9B9" w:rsidR="001815D9" w:rsidRPr="00C24D08" w:rsidRDefault="00787201" w:rsidP="00C24D08">
            <w:pPr>
              <w:tabs>
                <w:tab w:val="clear" w:pos="567"/>
              </w:tabs>
              <w:autoSpaceDE w:val="0"/>
              <w:autoSpaceDN w:val="0"/>
              <w:adjustRightInd w:val="0"/>
              <w:spacing w:line="240" w:lineRule="auto"/>
              <w:rPr>
                <w:szCs w:val="22"/>
              </w:rPr>
            </w:pPr>
            <w:r w:rsidRPr="00C24D08">
              <w:rPr>
                <w:szCs w:val="22"/>
              </w:rPr>
              <w:t>Menej časté</w:t>
            </w:r>
            <w:r w:rsidR="001815D9" w:rsidRPr="00C24D08">
              <w:rPr>
                <w:szCs w:val="22"/>
              </w:rPr>
              <w:t>:</w:t>
            </w:r>
          </w:p>
        </w:tc>
        <w:tc>
          <w:tcPr>
            <w:tcW w:w="7273" w:type="dxa"/>
          </w:tcPr>
          <w:p w14:paraId="25FECB92" w14:textId="54F2A550" w:rsidR="001815D9" w:rsidRPr="00C24D08" w:rsidRDefault="00787201" w:rsidP="00C24D08">
            <w:pPr>
              <w:tabs>
                <w:tab w:val="clear" w:pos="567"/>
              </w:tabs>
              <w:autoSpaceDE w:val="0"/>
              <w:autoSpaceDN w:val="0"/>
              <w:adjustRightInd w:val="0"/>
              <w:spacing w:line="240" w:lineRule="auto"/>
              <w:rPr>
                <w:szCs w:val="22"/>
              </w:rPr>
            </w:pPr>
            <w:r w:rsidRPr="00C24D08">
              <w:rPr>
                <w:szCs w:val="22"/>
              </w:rPr>
              <w:t>I</w:t>
            </w:r>
            <w:r w:rsidR="006A0CD6" w:rsidRPr="00C24D08">
              <w:rPr>
                <w:szCs w:val="22"/>
              </w:rPr>
              <w:t>nfekcia, vírusová infekcia</w:t>
            </w:r>
          </w:p>
        </w:tc>
      </w:tr>
      <w:tr w:rsidR="0095673E" w:rsidRPr="00C24D08" w14:paraId="15C0AEB6" w14:textId="77777777" w:rsidTr="003D6DE8">
        <w:tc>
          <w:tcPr>
            <w:tcW w:w="1798" w:type="dxa"/>
          </w:tcPr>
          <w:p w14:paraId="03FB626C" w14:textId="77777777" w:rsidR="0095673E" w:rsidRPr="00C24D08" w:rsidRDefault="0095673E" w:rsidP="00C24D08">
            <w:pPr>
              <w:tabs>
                <w:tab w:val="clear" w:pos="567"/>
              </w:tabs>
              <w:autoSpaceDE w:val="0"/>
              <w:autoSpaceDN w:val="0"/>
              <w:adjustRightInd w:val="0"/>
              <w:spacing w:line="240" w:lineRule="auto"/>
              <w:rPr>
                <w:szCs w:val="22"/>
                <w:lang w:val="en-US" w:eastAsia="de-DE"/>
              </w:rPr>
            </w:pPr>
          </w:p>
        </w:tc>
        <w:tc>
          <w:tcPr>
            <w:tcW w:w="7273" w:type="dxa"/>
          </w:tcPr>
          <w:p w14:paraId="5DFB88EC" w14:textId="77777777" w:rsidR="0095673E" w:rsidRPr="00C24D08" w:rsidRDefault="0095673E" w:rsidP="00C24D08">
            <w:pPr>
              <w:tabs>
                <w:tab w:val="clear" w:pos="567"/>
              </w:tabs>
              <w:autoSpaceDE w:val="0"/>
              <w:autoSpaceDN w:val="0"/>
              <w:adjustRightInd w:val="0"/>
              <w:spacing w:line="240" w:lineRule="auto"/>
              <w:rPr>
                <w:szCs w:val="22"/>
                <w:lang w:val="en-US" w:eastAsia="de-DE"/>
              </w:rPr>
            </w:pPr>
          </w:p>
        </w:tc>
      </w:tr>
      <w:tr w:rsidR="001815D9" w:rsidRPr="00C24D08" w14:paraId="111DEC35" w14:textId="77777777" w:rsidTr="003D6DE8">
        <w:tc>
          <w:tcPr>
            <w:tcW w:w="9071" w:type="dxa"/>
            <w:gridSpan w:val="2"/>
          </w:tcPr>
          <w:p w14:paraId="1BFB41F4" w14:textId="127D83A6" w:rsidR="001815D9" w:rsidRPr="00C24D08" w:rsidRDefault="001815D9" w:rsidP="00C24D08">
            <w:pPr>
              <w:tabs>
                <w:tab w:val="clear" w:pos="567"/>
              </w:tabs>
              <w:autoSpaceDE w:val="0"/>
              <w:autoSpaceDN w:val="0"/>
              <w:adjustRightInd w:val="0"/>
              <w:spacing w:line="240" w:lineRule="auto"/>
              <w:rPr>
                <w:szCs w:val="22"/>
              </w:rPr>
            </w:pPr>
            <w:r w:rsidRPr="00C24D08">
              <w:rPr>
                <w:b/>
                <w:szCs w:val="22"/>
              </w:rPr>
              <w:t>Poruchy krv</w:t>
            </w:r>
            <w:r w:rsidR="00787201" w:rsidRPr="00C24D08">
              <w:rPr>
                <w:b/>
                <w:szCs w:val="22"/>
              </w:rPr>
              <w:t>i</w:t>
            </w:r>
            <w:r w:rsidRPr="00C24D08">
              <w:rPr>
                <w:b/>
                <w:szCs w:val="22"/>
              </w:rPr>
              <w:t xml:space="preserve"> a lymfatického systému</w:t>
            </w:r>
          </w:p>
        </w:tc>
      </w:tr>
      <w:tr w:rsidR="001815D9" w:rsidRPr="00C24D08" w14:paraId="5F7A6F32" w14:textId="77777777" w:rsidTr="003D6DE8">
        <w:tc>
          <w:tcPr>
            <w:tcW w:w="1798" w:type="dxa"/>
          </w:tcPr>
          <w:p w14:paraId="43FB7A6E" w14:textId="04073163" w:rsidR="001815D9" w:rsidRPr="00C24D08" w:rsidRDefault="00787201" w:rsidP="00C24D08">
            <w:pPr>
              <w:tabs>
                <w:tab w:val="clear" w:pos="567"/>
              </w:tabs>
              <w:autoSpaceDE w:val="0"/>
              <w:autoSpaceDN w:val="0"/>
              <w:adjustRightInd w:val="0"/>
              <w:spacing w:line="240" w:lineRule="auto"/>
              <w:rPr>
                <w:szCs w:val="22"/>
              </w:rPr>
            </w:pPr>
            <w:r w:rsidRPr="00C24D08">
              <w:rPr>
                <w:szCs w:val="22"/>
              </w:rPr>
              <w:t>Menej časté</w:t>
            </w:r>
            <w:r w:rsidR="00995160" w:rsidRPr="00C24D08">
              <w:rPr>
                <w:szCs w:val="22"/>
              </w:rPr>
              <w:t>:</w:t>
            </w:r>
          </w:p>
        </w:tc>
        <w:tc>
          <w:tcPr>
            <w:tcW w:w="7273" w:type="dxa"/>
          </w:tcPr>
          <w:p w14:paraId="2194AB40" w14:textId="1055B519" w:rsidR="001815D9" w:rsidRPr="00C24D08" w:rsidRDefault="00787201" w:rsidP="00C24D08">
            <w:pPr>
              <w:tabs>
                <w:tab w:val="clear" w:pos="567"/>
              </w:tabs>
              <w:autoSpaceDE w:val="0"/>
              <w:autoSpaceDN w:val="0"/>
              <w:adjustRightInd w:val="0"/>
              <w:spacing w:line="240" w:lineRule="auto"/>
              <w:rPr>
                <w:szCs w:val="22"/>
              </w:rPr>
            </w:pPr>
            <w:proofErr w:type="spellStart"/>
            <w:r w:rsidRPr="00C24D08">
              <w:rPr>
                <w:szCs w:val="22"/>
              </w:rPr>
              <w:t>H</w:t>
            </w:r>
            <w:r w:rsidR="00B1348C" w:rsidRPr="00C24D08">
              <w:rPr>
                <w:szCs w:val="22"/>
              </w:rPr>
              <w:t>ypochromická</w:t>
            </w:r>
            <w:proofErr w:type="spellEnd"/>
            <w:r w:rsidR="00B1348C" w:rsidRPr="00C24D08">
              <w:rPr>
                <w:szCs w:val="22"/>
              </w:rPr>
              <w:t xml:space="preserve"> anémia, anémia, </w:t>
            </w:r>
            <w:proofErr w:type="spellStart"/>
            <w:r w:rsidR="00B1348C" w:rsidRPr="00C24D08">
              <w:rPr>
                <w:szCs w:val="22"/>
              </w:rPr>
              <w:t>leukopénia</w:t>
            </w:r>
            <w:proofErr w:type="spellEnd"/>
            <w:r w:rsidR="00B1348C" w:rsidRPr="00C24D08">
              <w:rPr>
                <w:szCs w:val="22"/>
              </w:rPr>
              <w:t xml:space="preserve">, </w:t>
            </w:r>
            <w:proofErr w:type="spellStart"/>
            <w:r w:rsidR="00B1348C" w:rsidRPr="00C24D08">
              <w:rPr>
                <w:szCs w:val="22"/>
              </w:rPr>
              <w:t>eozinofília</w:t>
            </w:r>
            <w:proofErr w:type="spellEnd"/>
            <w:r w:rsidR="00B1348C" w:rsidRPr="00C24D08">
              <w:rPr>
                <w:szCs w:val="22"/>
              </w:rPr>
              <w:t xml:space="preserve"> </w:t>
            </w:r>
          </w:p>
        </w:tc>
      </w:tr>
      <w:tr w:rsidR="0095673E" w:rsidRPr="00C24D08" w14:paraId="233B7B30" w14:textId="77777777" w:rsidTr="003D6DE8">
        <w:tc>
          <w:tcPr>
            <w:tcW w:w="1798" w:type="dxa"/>
          </w:tcPr>
          <w:p w14:paraId="7708ACCC" w14:textId="77777777" w:rsidR="0095673E" w:rsidRPr="00C24D08" w:rsidRDefault="0095673E" w:rsidP="00C24D08">
            <w:pPr>
              <w:tabs>
                <w:tab w:val="clear" w:pos="567"/>
              </w:tabs>
              <w:autoSpaceDE w:val="0"/>
              <w:autoSpaceDN w:val="0"/>
              <w:adjustRightInd w:val="0"/>
              <w:spacing w:line="240" w:lineRule="auto"/>
              <w:rPr>
                <w:szCs w:val="22"/>
                <w:lang w:eastAsia="de-DE"/>
              </w:rPr>
            </w:pPr>
          </w:p>
        </w:tc>
        <w:tc>
          <w:tcPr>
            <w:tcW w:w="7273" w:type="dxa"/>
          </w:tcPr>
          <w:p w14:paraId="22DA13EF" w14:textId="77777777" w:rsidR="0095673E" w:rsidRPr="00C24D08" w:rsidRDefault="0095673E" w:rsidP="00C24D08">
            <w:pPr>
              <w:tabs>
                <w:tab w:val="clear" w:pos="567"/>
              </w:tabs>
              <w:autoSpaceDE w:val="0"/>
              <w:autoSpaceDN w:val="0"/>
              <w:adjustRightInd w:val="0"/>
              <w:spacing w:line="240" w:lineRule="auto"/>
              <w:rPr>
                <w:szCs w:val="22"/>
                <w:lang w:eastAsia="de-DE"/>
              </w:rPr>
            </w:pPr>
          </w:p>
        </w:tc>
      </w:tr>
      <w:tr w:rsidR="001815D9" w:rsidRPr="00C24D08" w14:paraId="3F765627" w14:textId="77777777" w:rsidTr="003D6DE8">
        <w:tc>
          <w:tcPr>
            <w:tcW w:w="9071" w:type="dxa"/>
            <w:gridSpan w:val="2"/>
          </w:tcPr>
          <w:p w14:paraId="3BF19F3A" w14:textId="77777777" w:rsidR="001815D9" w:rsidRPr="00C24D08" w:rsidRDefault="001815D9" w:rsidP="00C24D08">
            <w:pPr>
              <w:tabs>
                <w:tab w:val="clear" w:pos="567"/>
              </w:tabs>
              <w:autoSpaceDE w:val="0"/>
              <w:autoSpaceDN w:val="0"/>
              <w:adjustRightInd w:val="0"/>
              <w:spacing w:line="240" w:lineRule="auto"/>
              <w:rPr>
                <w:szCs w:val="22"/>
              </w:rPr>
            </w:pPr>
            <w:r w:rsidRPr="00C24D08">
              <w:rPr>
                <w:b/>
                <w:szCs w:val="22"/>
              </w:rPr>
              <w:t xml:space="preserve">Poruchy imunitného systému </w:t>
            </w:r>
          </w:p>
        </w:tc>
      </w:tr>
      <w:tr w:rsidR="001815D9" w:rsidRPr="00C24D08" w14:paraId="0E303F75" w14:textId="77777777" w:rsidTr="003D6DE8">
        <w:tc>
          <w:tcPr>
            <w:tcW w:w="1798" w:type="dxa"/>
          </w:tcPr>
          <w:p w14:paraId="39D3E717" w14:textId="019745FC" w:rsidR="001815D9" w:rsidRPr="00C24D08" w:rsidRDefault="00787201" w:rsidP="00C24D08">
            <w:pPr>
              <w:tabs>
                <w:tab w:val="clear" w:pos="567"/>
              </w:tabs>
              <w:autoSpaceDE w:val="0"/>
              <w:autoSpaceDN w:val="0"/>
              <w:adjustRightInd w:val="0"/>
              <w:spacing w:line="240" w:lineRule="auto"/>
              <w:rPr>
                <w:szCs w:val="22"/>
              </w:rPr>
            </w:pPr>
            <w:r w:rsidRPr="00C24D08">
              <w:rPr>
                <w:szCs w:val="22"/>
              </w:rPr>
              <w:t>Menej časté</w:t>
            </w:r>
            <w:r w:rsidR="001815D9" w:rsidRPr="00C24D08">
              <w:rPr>
                <w:szCs w:val="22"/>
              </w:rPr>
              <w:t>:</w:t>
            </w:r>
            <w:r w:rsidR="001815D9" w:rsidRPr="00C24D08">
              <w:rPr>
                <w:szCs w:val="22"/>
              </w:rPr>
              <w:tab/>
            </w:r>
          </w:p>
        </w:tc>
        <w:tc>
          <w:tcPr>
            <w:tcW w:w="7273" w:type="dxa"/>
          </w:tcPr>
          <w:p w14:paraId="11553DCB" w14:textId="5F8A24F8" w:rsidR="001815D9" w:rsidRPr="00C24D08" w:rsidRDefault="00787201" w:rsidP="00C24D08">
            <w:pPr>
              <w:tabs>
                <w:tab w:val="clear" w:pos="567"/>
              </w:tabs>
              <w:autoSpaceDE w:val="0"/>
              <w:autoSpaceDN w:val="0"/>
              <w:adjustRightInd w:val="0"/>
              <w:spacing w:line="240" w:lineRule="auto"/>
              <w:rPr>
                <w:szCs w:val="22"/>
              </w:rPr>
            </w:pPr>
            <w:r w:rsidRPr="00C24D08">
              <w:rPr>
                <w:szCs w:val="22"/>
              </w:rPr>
              <w:t>A</w:t>
            </w:r>
            <w:r w:rsidR="00B1348C" w:rsidRPr="00C24D08">
              <w:rPr>
                <w:szCs w:val="22"/>
              </w:rPr>
              <w:t xml:space="preserve">lergická reakcia </w:t>
            </w:r>
          </w:p>
        </w:tc>
      </w:tr>
      <w:tr w:rsidR="008F37D3" w:rsidRPr="00C24D08" w14:paraId="06A584FE" w14:textId="77777777" w:rsidTr="003D6DE8">
        <w:tc>
          <w:tcPr>
            <w:tcW w:w="1798" w:type="dxa"/>
          </w:tcPr>
          <w:p w14:paraId="6BFF3382" w14:textId="77777777" w:rsidR="008F37D3" w:rsidRPr="00C24D08" w:rsidRDefault="008F37D3" w:rsidP="00C24D08">
            <w:pPr>
              <w:tabs>
                <w:tab w:val="clear" w:pos="567"/>
              </w:tabs>
              <w:autoSpaceDE w:val="0"/>
              <w:autoSpaceDN w:val="0"/>
              <w:adjustRightInd w:val="0"/>
              <w:spacing w:line="240" w:lineRule="auto"/>
              <w:rPr>
                <w:szCs w:val="22"/>
              </w:rPr>
            </w:pPr>
            <w:r w:rsidRPr="00C24D08">
              <w:rPr>
                <w:color w:val="000000"/>
                <w:szCs w:val="22"/>
              </w:rPr>
              <w:t xml:space="preserve">Zriedkavé: </w:t>
            </w:r>
          </w:p>
        </w:tc>
        <w:tc>
          <w:tcPr>
            <w:tcW w:w="7273" w:type="dxa"/>
          </w:tcPr>
          <w:p w14:paraId="3867F16C" w14:textId="4585E5A2" w:rsidR="008F37D3" w:rsidRPr="00C24D08" w:rsidRDefault="00787201" w:rsidP="00C24D08">
            <w:pPr>
              <w:tabs>
                <w:tab w:val="clear" w:pos="567"/>
              </w:tabs>
              <w:autoSpaceDE w:val="0"/>
              <w:autoSpaceDN w:val="0"/>
              <w:adjustRightInd w:val="0"/>
              <w:spacing w:line="240" w:lineRule="auto"/>
              <w:rPr>
                <w:szCs w:val="22"/>
              </w:rPr>
            </w:pPr>
            <w:proofErr w:type="spellStart"/>
            <w:r w:rsidRPr="00C24D08">
              <w:rPr>
                <w:color w:val="000000"/>
                <w:szCs w:val="22"/>
              </w:rPr>
              <w:t>A</w:t>
            </w:r>
            <w:r w:rsidR="008F37D3" w:rsidRPr="00C24D08">
              <w:rPr>
                <w:color w:val="000000"/>
                <w:szCs w:val="22"/>
              </w:rPr>
              <w:t>ngioedém</w:t>
            </w:r>
            <w:proofErr w:type="spellEnd"/>
            <w:r w:rsidR="008F37D3" w:rsidRPr="00C24D08">
              <w:rPr>
                <w:color w:val="000000"/>
                <w:szCs w:val="22"/>
              </w:rPr>
              <w:t xml:space="preserve">*, </w:t>
            </w:r>
            <w:proofErr w:type="spellStart"/>
            <w:r w:rsidR="008F37D3" w:rsidRPr="00C24D08">
              <w:rPr>
                <w:color w:val="000000"/>
                <w:szCs w:val="22"/>
              </w:rPr>
              <w:t>anafylaktická</w:t>
            </w:r>
            <w:proofErr w:type="spellEnd"/>
            <w:r w:rsidR="008F37D3" w:rsidRPr="00C24D08">
              <w:rPr>
                <w:color w:val="000000"/>
                <w:szCs w:val="22"/>
              </w:rPr>
              <w:t xml:space="preserve"> reakcia*</w:t>
            </w:r>
          </w:p>
        </w:tc>
      </w:tr>
      <w:tr w:rsidR="0074667F" w:rsidRPr="00C24D08" w14:paraId="6E1A19B8" w14:textId="77777777" w:rsidTr="003D6DE8">
        <w:tc>
          <w:tcPr>
            <w:tcW w:w="9071" w:type="dxa"/>
            <w:gridSpan w:val="2"/>
          </w:tcPr>
          <w:p w14:paraId="16EBC610" w14:textId="77777777" w:rsidR="0074667F" w:rsidRPr="00C24D08" w:rsidRDefault="0074667F" w:rsidP="00C24D08">
            <w:pPr>
              <w:tabs>
                <w:tab w:val="clear" w:pos="567"/>
              </w:tabs>
              <w:autoSpaceDE w:val="0"/>
              <w:autoSpaceDN w:val="0"/>
              <w:adjustRightInd w:val="0"/>
              <w:spacing w:line="240" w:lineRule="auto"/>
              <w:rPr>
                <w:b/>
                <w:szCs w:val="22"/>
                <w:lang w:val="en-US"/>
              </w:rPr>
            </w:pPr>
          </w:p>
        </w:tc>
      </w:tr>
      <w:tr w:rsidR="001815D9" w:rsidRPr="00C24D08" w14:paraId="5985A914" w14:textId="77777777" w:rsidTr="003D6DE8">
        <w:tc>
          <w:tcPr>
            <w:tcW w:w="9071" w:type="dxa"/>
            <w:gridSpan w:val="2"/>
          </w:tcPr>
          <w:p w14:paraId="7A5993BD" w14:textId="77777777" w:rsidR="001815D9" w:rsidRPr="00C24D08" w:rsidRDefault="001815D9" w:rsidP="00C24D08">
            <w:pPr>
              <w:tabs>
                <w:tab w:val="clear" w:pos="567"/>
              </w:tabs>
              <w:autoSpaceDE w:val="0"/>
              <w:autoSpaceDN w:val="0"/>
              <w:adjustRightInd w:val="0"/>
              <w:spacing w:line="240" w:lineRule="auto"/>
              <w:rPr>
                <w:szCs w:val="22"/>
              </w:rPr>
            </w:pPr>
            <w:r w:rsidRPr="00C24D08">
              <w:rPr>
                <w:b/>
                <w:szCs w:val="22"/>
              </w:rPr>
              <w:t>Poruchy endokrinného systému</w:t>
            </w:r>
          </w:p>
        </w:tc>
      </w:tr>
      <w:tr w:rsidR="001815D9" w:rsidRPr="00C24D08" w14:paraId="27A5C18A" w14:textId="77777777" w:rsidTr="003D6DE8">
        <w:tc>
          <w:tcPr>
            <w:tcW w:w="1798" w:type="dxa"/>
          </w:tcPr>
          <w:p w14:paraId="77B441FF" w14:textId="6CF541F5" w:rsidR="001815D9" w:rsidRPr="00C24D08" w:rsidRDefault="00787201" w:rsidP="00C24D08">
            <w:pPr>
              <w:tabs>
                <w:tab w:val="clear" w:pos="567"/>
              </w:tabs>
              <w:autoSpaceDE w:val="0"/>
              <w:autoSpaceDN w:val="0"/>
              <w:adjustRightInd w:val="0"/>
              <w:spacing w:line="240" w:lineRule="auto"/>
              <w:rPr>
                <w:szCs w:val="22"/>
              </w:rPr>
            </w:pPr>
            <w:r w:rsidRPr="00C24D08">
              <w:rPr>
                <w:szCs w:val="22"/>
              </w:rPr>
              <w:t>Menej časté</w:t>
            </w:r>
            <w:r w:rsidR="0042330A" w:rsidRPr="00C24D08">
              <w:rPr>
                <w:szCs w:val="22"/>
              </w:rPr>
              <w:t xml:space="preserve">: </w:t>
            </w:r>
          </w:p>
        </w:tc>
        <w:tc>
          <w:tcPr>
            <w:tcW w:w="7273" w:type="dxa"/>
          </w:tcPr>
          <w:p w14:paraId="5954DCC1" w14:textId="78237ADC" w:rsidR="001815D9" w:rsidRPr="00C24D08" w:rsidRDefault="00787201" w:rsidP="00C24D08">
            <w:pPr>
              <w:tabs>
                <w:tab w:val="clear" w:pos="567"/>
              </w:tabs>
              <w:autoSpaceDE w:val="0"/>
              <w:autoSpaceDN w:val="0"/>
              <w:adjustRightInd w:val="0"/>
              <w:spacing w:line="240" w:lineRule="auto"/>
              <w:rPr>
                <w:szCs w:val="22"/>
              </w:rPr>
            </w:pPr>
            <w:proofErr w:type="spellStart"/>
            <w:r w:rsidRPr="00C24D08">
              <w:rPr>
                <w:szCs w:val="22"/>
              </w:rPr>
              <w:t>H</w:t>
            </w:r>
            <w:r w:rsidR="00DD1D4F" w:rsidRPr="00C24D08">
              <w:rPr>
                <w:szCs w:val="22"/>
              </w:rPr>
              <w:t>ypertyreóza</w:t>
            </w:r>
            <w:proofErr w:type="spellEnd"/>
          </w:p>
        </w:tc>
      </w:tr>
      <w:tr w:rsidR="0095673E" w:rsidRPr="00C24D08" w14:paraId="598D7F8A" w14:textId="77777777" w:rsidTr="003D6DE8">
        <w:tc>
          <w:tcPr>
            <w:tcW w:w="1798" w:type="dxa"/>
          </w:tcPr>
          <w:p w14:paraId="1CFE946A" w14:textId="77777777" w:rsidR="0095673E" w:rsidRPr="00C24D08" w:rsidRDefault="0095673E" w:rsidP="00C24D08">
            <w:pPr>
              <w:tabs>
                <w:tab w:val="clear" w:pos="567"/>
              </w:tabs>
              <w:autoSpaceDE w:val="0"/>
              <w:autoSpaceDN w:val="0"/>
              <w:adjustRightInd w:val="0"/>
              <w:spacing w:line="240" w:lineRule="auto"/>
              <w:rPr>
                <w:szCs w:val="22"/>
                <w:lang w:val="en-US" w:eastAsia="de-DE"/>
              </w:rPr>
            </w:pPr>
          </w:p>
        </w:tc>
        <w:tc>
          <w:tcPr>
            <w:tcW w:w="7273" w:type="dxa"/>
          </w:tcPr>
          <w:p w14:paraId="6D9072B5" w14:textId="77777777" w:rsidR="0095673E" w:rsidRPr="00C24D08" w:rsidRDefault="0095673E" w:rsidP="00C24D08">
            <w:pPr>
              <w:tabs>
                <w:tab w:val="clear" w:pos="567"/>
              </w:tabs>
              <w:autoSpaceDE w:val="0"/>
              <w:autoSpaceDN w:val="0"/>
              <w:adjustRightInd w:val="0"/>
              <w:spacing w:line="240" w:lineRule="auto"/>
              <w:rPr>
                <w:szCs w:val="22"/>
                <w:lang w:val="en-US" w:eastAsia="de-DE"/>
              </w:rPr>
            </w:pPr>
          </w:p>
        </w:tc>
      </w:tr>
      <w:tr w:rsidR="001815D9" w:rsidRPr="00C24D08" w14:paraId="7B5F406E" w14:textId="77777777" w:rsidTr="003D6DE8">
        <w:tc>
          <w:tcPr>
            <w:tcW w:w="9071" w:type="dxa"/>
            <w:gridSpan w:val="2"/>
          </w:tcPr>
          <w:p w14:paraId="2462BFA7" w14:textId="77777777" w:rsidR="001815D9" w:rsidRPr="00C24D08" w:rsidRDefault="001815D9" w:rsidP="00C24D08">
            <w:pPr>
              <w:tabs>
                <w:tab w:val="clear" w:pos="567"/>
              </w:tabs>
              <w:autoSpaceDE w:val="0"/>
              <w:autoSpaceDN w:val="0"/>
              <w:adjustRightInd w:val="0"/>
              <w:spacing w:line="240" w:lineRule="auto"/>
              <w:rPr>
                <w:szCs w:val="22"/>
              </w:rPr>
            </w:pPr>
            <w:r w:rsidRPr="00C24D08">
              <w:rPr>
                <w:b/>
                <w:szCs w:val="22"/>
              </w:rPr>
              <w:t>Poruchy metabolizmu a výživy</w:t>
            </w:r>
          </w:p>
        </w:tc>
      </w:tr>
      <w:tr w:rsidR="0013384E" w:rsidRPr="00C24D08" w14:paraId="60B724B2" w14:textId="77777777" w:rsidTr="003D6DE8">
        <w:tc>
          <w:tcPr>
            <w:tcW w:w="1798" w:type="dxa"/>
          </w:tcPr>
          <w:p w14:paraId="1037C934" w14:textId="3034BC8F" w:rsidR="0013384E" w:rsidRPr="00C24D08" w:rsidRDefault="00787201" w:rsidP="00C24D08">
            <w:pPr>
              <w:tabs>
                <w:tab w:val="clear" w:pos="567"/>
              </w:tabs>
              <w:autoSpaceDE w:val="0"/>
              <w:autoSpaceDN w:val="0"/>
              <w:adjustRightInd w:val="0"/>
              <w:spacing w:line="240" w:lineRule="auto"/>
              <w:rPr>
                <w:szCs w:val="22"/>
              </w:rPr>
            </w:pPr>
            <w:r w:rsidRPr="00C24D08">
              <w:rPr>
                <w:szCs w:val="22"/>
              </w:rPr>
              <w:t>Menej časté</w:t>
            </w:r>
            <w:r w:rsidR="000D15E9" w:rsidRPr="00C24D08">
              <w:rPr>
                <w:szCs w:val="22"/>
              </w:rPr>
              <w:t>:</w:t>
            </w:r>
          </w:p>
        </w:tc>
        <w:tc>
          <w:tcPr>
            <w:tcW w:w="7273" w:type="dxa"/>
          </w:tcPr>
          <w:p w14:paraId="472E9280" w14:textId="14E75166" w:rsidR="0013384E" w:rsidRPr="00C24D08" w:rsidRDefault="00787201" w:rsidP="00C24D08">
            <w:pPr>
              <w:tabs>
                <w:tab w:val="clear" w:pos="567"/>
              </w:tabs>
              <w:autoSpaceDE w:val="0"/>
              <w:autoSpaceDN w:val="0"/>
              <w:adjustRightInd w:val="0"/>
              <w:spacing w:line="240" w:lineRule="auto"/>
              <w:rPr>
                <w:szCs w:val="22"/>
              </w:rPr>
            </w:pPr>
            <w:r w:rsidRPr="00C24D08">
              <w:rPr>
                <w:szCs w:val="22"/>
              </w:rPr>
              <w:t>P</w:t>
            </w:r>
            <w:r w:rsidR="009B1418" w:rsidRPr="00C24D08">
              <w:rPr>
                <w:szCs w:val="22"/>
              </w:rPr>
              <w:t xml:space="preserve">eriférny edém, </w:t>
            </w:r>
            <w:proofErr w:type="spellStart"/>
            <w:r w:rsidR="009B1418" w:rsidRPr="00C24D08">
              <w:rPr>
                <w:szCs w:val="22"/>
              </w:rPr>
              <w:t>anorexia</w:t>
            </w:r>
            <w:proofErr w:type="spellEnd"/>
            <w:r w:rsidR="009B1418" w:rsidRPr="00C24D08">
              <w:rPr>
                <w:szCs w:val="22"/>
              </w:rPr>
              <w:t xml:space="preserve">, smäd, zvýšená chuť do jedla, </w:t>
            </w:r>
            <w:proofErr w:type="spellStart"/>
            <w:r w:rsidR="009B1418" w:rsidRPr="00C24D08">
              <w:rPr>
                <w:szCs w:val="22"/>
              </w:rPr>
              <w:t>hypokaliémia</w:t>
            </w:r>
            <w:proofErr w:type="spellEnd"/>
          </w:p>
        </w:tc>
      </w:tr>
      <w:tr w:rsidR="0095673E" w:rsidRPr="00C24D08" w14:paraId="19D25121" w14:textId="77777777" w:rsidTr="003D6DE8">
        <w:tc>
          <w:tcPr>
            <w:tcW w:w="1798" w:type="dxa"/>
          </w:tcPr>
          <w:p w14:paraId="6D07A597" w14:textId="77777777" w:rsidR="0095673E" w:rsidRPr="00C24D08" w:rsidRDefault="0095673E" w:rsidP="00C24D08">
            <w:pPr>
              <w:tabs>
                <w:tab w:val="clear" w:pos="567"/>
              </w:tabs>
              <w:autoSpaceDE w:val="0"/>
              <w:autoSpaceDN w:val="0"/>
              <w:adjustRightInd w:val="0"/>
              <w:spacing w:line="240" w:lineRule="auto"/>
              <w:rPr>
                <w:szCs w:val="22"/>
                <w:lang w:eastAsia="de-DE"/>
              </w:rPr>
            </w:pPr>
          </w:p>
        </w:tc>
        <w:tc>
          <w:tcPr>
            <w:tcW w:w="7273" w:type="dxa"/>
          </w:tcPr>
          <w:p w14:paraId="59688565" w14:textId="77777777" w:rsidR="0095673E" w:rsidRPr="00C24D08" w:rsidRDefault="0095673E" w:rsidP="00C24D08">
            <w:pPr>
              <w:tabs>
                <w:tab w:val="clear" w:pos="567"/>
              </w:tabs>
              <w:autoSpaceDE w:val="0"/>
              <w:autoSpaceDN w:val="0"/>
              <w:adjustRightInd w:val="0"/>
              <w:spacing w:line="240" w:lineRule="auto"/>
              <w:rPr>
                <w:szCs w:val="22"/>
                <w:lang w:eastAsia="de-DE"/>
              </w:rPr>
            </w:pPr>
          </w:p>
        </w:tc>
      </w:tr>
      <w:tr w:rsidR="001815D9" w:rsidRPr="00C24D08" w14:paraId="0CDCAF69" w14:textId="77777777" w:rsidTr="003D6DE8">
        <w:tc>
          <w:tcPr>
            <w:tcW w:w="9071" w:type="dxa"/>
            <w:gridSpan w:val="2"/>
          </w:tcPr>
          <w:p w14:paraId="347F25DF" w14:textId="77777777" w:rsidR="001815D9" w:rsidRPr="00C24D08" w:rsidRDefault="001815D9" w:rsidP="00C24D08">
            <w:pPr>
              <w:tabs>
                <w:tab w:val="clear" w:pos="567"/>
              </w:tabs>
              <w:autoSpaceDE w:val="0"/>
              <w:autoSpaceDN w:val="0"/>
              <w:adjustRightInd w:val="0"/>
              <w:spacing w:line="240" w:lineRule="auto"/>
              <w:rPr>
                <w:szCs w:val="22"/>
              </w:rPr>
            </w:pPr>
            <w:r w:rsidRPr="00C24D08">
              <w:rPr>
                <w:b/>
                <w:szCs w:val="22"/>
              </w:rPr>
              <w:t>Psychické poruchy</w:t>
            </w:r>
          </w:p>
        </w:tc>
      </w:tr>
      <w:tr w:rsidR="001815D9" w:rsidRPr="00C24D08" w14:paraId="039A276D" w14:textId="77777777" w:rsidTr="003D6DE8">
        <w:tc>
          <w:tcPr>
            <w:tcW w:w="1798" w:type="dxa"/>
          </w:tcPr>
          <w:p w14:paraId="094208FE" w14:textId="73C8BB68" w:rsidR="001815D9" w:rsidRPr="00C24D08" w:rsidRDefault="00787201" w:rsidP="00C24D08">
            <w:pPr>
              <w:tabs>
                <w:tab w:val="clear" w:pos="567"/>
              </w:tabs>
              <w:autoSpaceDE w:val="0"/>
              <w:autoSpaceDN w:val="0"/>
              <w:adjustRightInd w:val="0"/>
              <w:spacing w:line="240" w:lineRule="auto"/>
              <w:rPr>
                <w:szCs w:val="22"/>
              </w:rPr>
            </w:pPr>
            <w:r w:rsidRPr="00C24D08">
              <w:rPr>
                <w:szCs w:val="22"/>
              </w:rPr>
              <w:t>Časté</w:t>
            </w:r>
            <w:r w:rsidR="001D2FB4" w:rsidRPr="00C24D08">
              <w:rPr>
                <w:szCs w:val="22"/>
              </w:rPr>
              <w:t>:</w:t>
            </w:r>
          </w:p>
        </w:tc>
        <w:tc>
          <w:tcPr>
            <w:tcW w:w="7273" w:type="dxa"/>
          </w:tcPr>
          <w:p w14:paraId="455FB471" w14:textId="12AA2B42" w:rsidR="001815D9" w:rsidRPr="00C24D08" w:rsidRDefault="00787201" w:rsidP="00C24D08">
            <w:pPr>
              <w:tabs>
                <w:tab w:val="clear" w:pos="567"/>
              </w:tabs>
              <w:autoSpaceDE w:val="0"/>
              <w:autoSpaceDN w:val="0"/>
              <w:adjustRightInd w:val="0"/>
              <w:spacing w:line="240" w:lineRule="auto"/>
              <w:rPr>
                <w:szCs w:val="22"/>
              </w:rPr>
            </w:pPr>
            <w:r w:rsidRPr="00C24D08">
              <w:rPr>
                <w:szCs w:val="22"/>
              </w:rPr>
              <w:t>N</w:t>
            </w:r>
            <w:r w:rsidR="001D2FB4" w:rsidRPr="00C24D08">
              <w:rPr>
                <w:szCs w:val="22"/>
              </w:rPr>
              <w:t>ervozita, depresia, úzkosť</w:t>
            </w:r>
          </w:p>
        </w:tc>
      </w:tr>
      <w:tr w:rsidR="001815D9" w:rsidRPr="00C24D08" w14:paraId="1A6B5D41" w14:textId="77777777" w:rsidTr="003D6DE8">
        <w:tc>
          <w:tcPr>
            <w:tcW w:w="1798" w:type="dxa"/>
          </w:tcPr>
          <w:p w14:paraId="4BE721F1" w14:textId="7FE0F383" w:rsidR="001815D9" w:rsidRPr="00C24D08" w:rsidRDefault="00787201" w:rsidP="00C24D08">
            <w:pPr>
              <w:tabs>
                <w:tab w:val="clear" w:pos="567"/>
              </w:tabs>
              <w:autoSpaceDE w:val="0"/>
              <w:autoSpaceDN w:val="0"/>
              <w:adjustRightInd w:val="0"/>
              <w:spacing w:line="240" w:lineRule="auto"/>
              <w:rPr>
                <w:szCs w:val="22"/>
              </w:rPr>
            </w:pPr>
            <w:r w:rsidRPr="00C24D08">
              <w:rPr>
                <w:szCs w:val="22"/>
              </w:rPr>
              <w:t>Menej časté</w:t>
            </w:r>
            <w:r w:rsidR="001815D9" w:rsidRPr="00C24D08">
              <w:rPr>
                <w:szCs w:val="22"/>
              </w:rPr>
              <w:t>:</w:t>
            </w:r>
          </w:p>
        </w:tc>
        <w:tc>
          <w:tcPr>
            <w:tcW w:w="7273" w:type="dxa"/>
          </w:tcPr>
          <w:p w14:paraId="7D0DEDDE" w14:textId="2E312E1F" w:rsidR="001815D9" w:rsidRPr="00C24D08" w:rsidRDefault="00787201" w:rsidP="00C24D08">
            <w:pPr>
              <w:tabs>
                <w:tab w:val="clear" w:pos="567"/>
              </w:tabs>
              <w:autoSpaceDE w:val="0"/>
              <w:autoSpaceDN w:val="0"/>
              <w:adjustRightInd w:val="0"/>
              <w:spacing w:line="240" w:lineRule="auto"/>
              <w:rPr>
                <w:szCs w:val="22"/>
              </w:rPr>
            </w:pPr>
            <w:r w:rsidRPr="00C24D08">
              <w:rPr>
                <w:szCs w:val="22"/>
              </w:rPr>
              <w:t>E</w:t>
            </w:r>
            <w:r w:rsidR="00CA084A" w:rsidRPr="00C24D08">
              <w:rPr>
                <w:szCs w:val="22"/>
              </w:rPr>
              <w:t>mocionálna labilita, znížené libido, zmätenosť, nepokoj, halucinácie, nespavosť, apatia, eufória</w:t>
            </w:r>
          </w:p>
        </w:tc>
      </w:tr>
      <w:tr w:rsidR="008F37D3" w:rsidRPr="00C24D08" w14:paraId="222A4921" w14:textId="77777777" w:rsidTr="003D6DE8">
        <w:tc>
          <w:tcPr>
            <w:tcW w:w="1798" w:type="dxa"/>
          </w:tcPr>
          <w:p w14:paraId="23E546FB" w14:textId="77777777" w:rsidR="008F37D3" w:rsidRPr="00C24D08" w:rsidRDefault="008F37D3" w:rsidP="00C24D08">
            <w:pPr>
              <w:tabs>
                <w:tab w:val="clear" w:pos="567"/>
              </w:tabs>
              <w:autoSpaceDE w:val="0"/>
              <w:autoSpaceDN w:val="0"/>
              <w:adjustRightInd w:val="0"/>
              <w:spacing w:line="240" w:lineRule="auto"/>
              <w:rPr>
                <w:szCs w:val="22"/>
              </w:rPr>
            </w:pPr>
            <w:r w:rsidRPr="00C24D08">
              <w:rPr>
                <w:color w:val="000000"/>
                <w:szCs w:val="22"/>
              </w:rPr>
              <w:t>Zriedkavé:</w:t>
            </w:r>
          </w:p>
        </w:tc>
        <w:tc>
          <w:tcPr>
            <w:tcW w:w="7273" w:type="dxa"/>
          </w:tcPr>
          <w:p w14:paraId="2DE0BFC9" w14:textId="6B0D63D4" w:rsidR="008F37D3" w:rsidRPr="00C24D08" w:rsidRDefault="00787201" w:rsidP="00C24D08">
            <w:pPr>
              <w:tabs>
                <w:tab w:val="left" w:pos="1276"/>
              </w:tabs>
              <w:autoSpaceDE w:val="0"/>
              <w:autoSpaceDN w:val="0"/>
              <w:adjustRightInd w:val="0"/>
              <w:spacing w:line="240" w:lineRule="auto"/>
              <w:rPr>
                <w:color w:val="000000"/>
                <w:szCs w:val="22"/>
              </w:rPr>
            </w:pPr>
            <w:r w:rsidRPr="00C24D08">
              <w:rPr>
                <w:color w:val="000000"/>
                <w:szCs w:val="22"/>
              </w:rPr>
              <w:t>P</w:t>
            </w:r>
            <w:r w:rsidR="008F37D3" w:rsidRPr="00C24D08">
              <w:rPr>
                <w:color w:val="000000"/>
                <w:szCs w:val="22"/>
              </w:rPr>
              <w:t>odráždenosť*, agresia*, nepokoj*, prelud*, hnev*, neobvyklé správanie (pravdepodobne spojené s amnéziou)* a námesačnosť (pozri časť 4.4)</w:t>
            </w:r>
          </w:p>
        </w:tc>
      </w:tr>
      <w:tr w:rsidR="008F37D3" w:rsidRPr="00C24D08" w14:paraId="66929434" w14:textId="77777777" w:rsidTr="003D6DE8">
        <w:tc>
          <w:tcPr>
            <w:tcW w:w="1798" w:type="dxa"/>
          </w:tcPr>
          <w:p w14:paraId="4B4438ED" w14:textId="77777777" w:rsidR="008F37D3" w:rsidRPr="00C24D08" w:rsidRDefault="008F37D3" w:rsidP="00C24D08">
            <w:pPr>
              <w:tabs>
                <w:tab w:val="clear" w:pos="567"/>
              </w:tabs>
              <w:autoSpaceDE w:val="0"/>
              <w:autoSpaceDN w:val="0"/>
              <w:adjustRightInd w:val="0"/>
              <w:spacing w:line="240" w:lineRule="auto"/>
              <w:rPr>
                <w:szCs w:val="22"/>
              </w:rPr>
            </w:pPr>
            <w:r w:rsidRPr="00C24D08">
              <w:rPr>
                <w:color w:val="000000"/>
                <w:szCs w:val="22"/>
              </w:rPr>
              <w:t>Neznáme:</w:t>
            </w:r>
          </w:p>
        </w:tc>
        <w:tc>
          <w:tcPr>
            <w:tcW w:w="7273" w:type="dxa"/>
          </w:tcPr>
          <w:p w14:paraId="1348AFF2" w14:textId="6825B0A5" w:rsidR="008F37D3" w:rsidRPr="00C24D08" w:rsidRDefault="00787201" w:rsidP="00C24D08">
            <w:pPr>
              <w:tabs>
                <w:tab w:val="clear" w:pos="567"/>
              </w:tabs>
              <w:autoSpaceDE w:val="0"/>
              <w:autoSpaceDN w:val="0"/>
              <w:adjustRightInd w:val="0"/>
              <w:spacing w:line="240" w:lineRule="auto"/>
              <w:rPr>
                <w:szCs w:val="22"/>
              </w:rPr>
            </w:pPr>
            <w:r w:rsidRPr="00C24D08">
              <w:rPr>
                <w:color w:val="000000"/>
                <w:szCs w:val="22"/>
              </w:rPr>
              <w:t>Z</w:t>
            </w:r>
            <w:r w:rsidR="008F37D3" w:rsidRPr="00C24D08">
              <w:rPr>
                <w:color w:val="000000"/>
                <w:szCs w:val="22"/>
              </w:rPr>
              <w:t>ávislosť (pozri časť 4.4), abstinenčný syndróm*, tlmené emócie*</w:t>
            </w:r>
          </w:p>
        </w:tc>
      </w:tr>
      <w:tr w:rsidR="0095673E" w:rsidRPr="00C24D08" w14:paraId="43A11A1E" w14:textId="77777777" w:rsidTr="003D6DE8">
        <w:tc>
          <w:tcPr>
            <w:tcW w:w="1798" w:type="dxa"/>
          </w:tcPr>
          <w:p w14:paraId="204C7F0F" w14:textId="77777777" w:rsidR="0095673E" w:rsidRPr="00C24D08" w:rsidRDefault="0095673E" w:rsidP="00C24D08">
            <w:pPr>
              <w:tabs>
                <w:tab w:val="clear" w:pos="567"/>
              </w:tabs>
              <w:autoSpaceDE w:val="0"/>
              <w:autoSpaceDN w:val="0"/>
              <w:adjustRightInd w:val="0"/>
              <w:spacing w:line="240" w:lineRule="auto"/>
              <w:rPr>
                <w:szCs w:val="22"/>
              </w:rPr>
            </w:pPr>
          </w:p>
        </w:tc>
        <w:tc>
          <w:tcPr>
            <w:tcW w:w="7273" w:type="dxa"/>
          </w:tcPr>
          <w:p w14:paraId="31B33911" w14:textId="77777777" w:rsidR="0095673E" w:rsidRPr="00C24D08" w:rsidRDefault="0095673E" w:rsidP="00C24D08">
            <w:pPr>
              <w:tabs>
                <w:tab w:val="clear" w:pos="567"/>
              </w:tabs>
              <w:autoSpaceDE w:val="0"/>
              <w:autoSpaceDN w:val="0"/>
              <w:adjustRightInd w:val="0"/>
              <w:spacing w:line="240" w:lineRule="auto"/>
              <w:rPr>
                <w:szCs w:val="22"/>
                <w:lang w:eastAsia="de-DE"/>
              </w:rPr>
            </w:pPr>
          </w:p>
        </w:tc>
      </w:tr>
      <w:tr w:rsidR="001815D9" w:rsidRPr="00C24D08" w14:paraId="70F3C053" w14:textId="77777777" w:rsidTr="003D6DE8">
        <w:tc>
          <w:tcPr>
            <w:tcW w:w="9071" w:type="dxa"/>
            <w:gridSpan w:val="2"/>
          </w:tcPr>
          <w:p w14:paraId="1673BBAE" w14:textId="77777777" w:rsidR="001815D9" w:rsidRPr="00C24D08" w:rsidRDefault="001815D9" w:rsidP="00C24D08">
            <w:pPr>
              <w:tabs>
                <w:tab w:val="clear" w:pos="567"/>
              </w:tabs>
              <w:autoSpaceDE w:val="0"/>
              <w:autoSpaceDN w:val="0"/>
              <w:adjustRightInd w:val="0"/>
              <w:spacing w:line="240" w:lineRule="auto"/>
              <w:rPr>
                <w:szCs w:val="22"/>
              </w:rPr>
            </w:pPr>
            <w:r w:rsidRPr="00C24D08">
              <w:rPr>
                <w:b/>
                <w:szCs w:val="22"/>
              </w:rPr>
              <w:t>Poruchy nervového systému</w:t>
            </w:r>
          </w:p>
        </w:tc>
      </w:tr>
      <w:tr w:rsidR="001815D9" w:rsidRPr="00C24D08" w14:paraId="4545C4D5" w14:textId="77777777" w:rsidTr="003D6DE8">
        <w:tc>
          <w:tcPr>
            <w:tcW w:w="1798" w:type="dxa"/>
          </w:tcPr>
          <w:p w14:paraId="5226203F" w14:textId="272226A3" w:rsidR="001815D9" w:rsidRPr="00C24D08" w:rsidRDefault="001815D9" w:rsidP="00C24D08">
            <w:pPr>
              <w:tabs>
                <w:tab w:val="clear" w:pos="567"/>
              </w:tabs>
              <w:autoSpaceDE w:val="0"/>
              <w:autoSpaceDN w:val="0"/>
              <w:adjustRightInd w:val="0"/>
              <w:spacing w:line="240" w:lineRule="auto"/>
              <w:rPr>
                <w:szCs w:val="22"/>
              </w:rPr>
            </w:pPr>
            <w:r w:rsidRPr="00C24D08">
              <w:rPr>
                <w:szCs w:val="22"/>
              </w:rPr>
              <w:t xml:space="preserve">Veľmi </w:t>
            </w:r>
            <w:r w:rsidR="00787201" w:rsidRPr="00C24D08">
              <w:rPr>
                <w:szCs w:val="22"/>
              </w:rPr>
              <w:t>časté</w:t>
            </w:r>
            <w:r w:rsidRPr="00C24D08">
              <w:rPr>
                <w:szCs w:val="22"/>
              </w:rPr>
              <w:t>:</w:t>
            </w:r>
          </w:p>
        </w:tc>
        <w:tc>
          <w:tcPr>
            <w:tcW w:w="7273" w:type="dxa"/>
          </w:tcPr>
          <w:p w14:paraId="1BAFE08A" w14:textId="380EA033" w:rsidR="001815D9" w:rsidRPr="00C24D08" w:rsidRDefault="00787201" w:rsidP="00C24D08">
            <w:pPr>
              <w:tabs>
                <w:tab w:val="clear" w:pos="567"/>
              </w:tabs>
              <w:autoSpaceDE w:val="0"/>
              <w:autoSpaceDN w:val="0"/>
              <w:adjustRightInd w:val="0"/>
              <w:spacing w:line="240" w:lineRule="auto"/>
              <w:rPr>
                <w:szCs w:val="22"/>
              </w:rPr>
            </w:pPr>
            <w:proofErr w:type="spellStart"/>
            <w:r w:rsidRPr="00C24D08">
              <w:rPr>
                <w:szCs w:val="22"/>
              </w:rPr>
              <w:t>D</w:t>
            </w:r>
            <w:r w:rsidR="001815D9" w:rsidRPr="00C24D08">
              <w:rPr>
                <w:szCs w:val="22"/>
              </w:rPr>
              <w:t>ysgeúzia</w:t>
            </w:r>
            <w:proofErr w:type="spellEnd"/>
            <w:r w:rsidR="001815D9" w:rsidRPr="00C24D08">
              <w:rPr>
                <w:szCs w:val="22"/>
              </w:rPr>
              <w:t xml:space="preserve"> (nepríjemná chuť v ústach) </w:t>
            </w:r>
          </w:p>
        </w:tc>
      </w:tr>
      <w:tr w:rsidR="001815D9" w:rsidRPr="00C24D08" w14:paraId="21315C5E" w14:textId="77777777" w:rsidTr="003D6DE8">
        <w:tc>
          <w:tcPr>
            <w:tcW w:w="1798" w:type="dxa"/>
          </w:tcPr>
          <w:p w14:paraId="209CE9C9" w14:textId="165F9919" w:rsidR="001815D9" w:rsidRPr="00C24D08" w:rsidRDefault="00787201" w:rsidP="00C24D08">
            <w:pPr>
              <w:tabs>
                <w:tab w:val="clear" w:pos="567"/>
              </w:tabs>
              <w:autoSpaceDE w:val="0"/>
              <w:autoSpaceDN w:val="0"/>
              <w:adjustRightInd w:val="0"/>
              <w:spacing w:line="240" w:lineRule="auto"/>
              <w:rPr>
                <w:szCs w:val="22"/>
              </w:rPr>
            </w:pPr>
            <w:r w:rsidRPr="00C24D08">
              <w:rPr>
                <w:szCs w:val="22"/>
              </w:rPr>
              <w:t>Časté</w:t>
            </w:r>
            <w:r w:rsidR="001815D9" w:rsidRPr="00C24D08">
              <w:rPr>
                <w:szCs w:val="22"/>
              </w:rPr>
              <w:t>:</w:t>
            </w:r>
          </w:p>
        </w:tc>
        <w:tc>
          <w:tcPr>
            <w:tcW w:w="7273" w:type="dxa"/>
          </w:tcPr>
          <w:p w14:paraId="3EC185A8" w14:textId="2AE7F8D1" w:rsidR="001D2FB4" w:rsidRPr="00C24D08" w:rsidRDefault="00787201" w:rsidP="00C24D08">
            <w:pPr>
              <w:tabs>
                <w:tab w:val="clear" w:pos="567"/>
              </w:tabs>
              <w:autoSpaceDE w:val="0"/>
              <w:autoSpaceDN w:val="0"/>
              <w:adjustRightInd w:val="0"/>
              <w:spacing w:line="240" w:lineRule="auto"/>
              <w:rPr>
                <w:szCs w:val="22"/>
              </w:rPr>
            </w:pPr>
            <w:r w:rsidRPr="00C24D08">
              <w:rPr>
                <w:szCs w:val="22"/>
              </w:rPr>
              <w:t>B</w:t>
            </w:r>
            <w:r w:rsidR="005234D1" w:rsidRPr="00C24D08">
              <w:rPr>
                <w:szCs w:val="22"/>
              </w:rPr>
              <w:t xml:space="preserve">olesť hlavy, ospalosť, závraty, abnormálne sny, zhoršenie pamäti, abnormálne myslenie </w:t>
            </w:r>
          </w:p>
        </w:tc>
      </w:tr>
      <w:tr w:rsidR="001815D9" w:rsidRPr="00C24D08" w14:paraId="2F79F733" w14:textId="77777777" w:rsidTr="003D6DE8">
        <w:tc>
          <w:tcPr>
            <w:tcW w:w="1798" w:type="dxa"/>
          </w:tcPr>
          <w:p w14:paraId="7DB14FEC" w14:textId="7AC063A0" w:rsidR="001815D9" w:rsidRPr="00C24D08" w:rsidRDefault="00787201" w:rsidP="00C24D08">
            <w:pPr>
              <w:tabs>
                <w:tab w:val="clear" w:pos="567"/>
              </w:tabs>
              <w:autoSpaceDE w:val="0"/>
              <w:autoSpaceDN w:val="0"/>
              <w:adjustRightInd w:val="0"/>
              <w:spacing w:line="240" w:lineRule="auto"/>
              <w:rPr>
                <w:szCs w:val="22"/>
              </w:rPr>
            </w:pPr>
            <w:r w:rsidRPr="00C24D08">
              <w:rPr>
                <w:szCs w:val="22"/>
              </w:rPr>
              <w:t>Menej časté</w:t>
            </w:r>
            <w:r w:rsidR="001815D9" w:rsidRPr="00C24D08">
              <w:rPr>
                <w:szCs w:val="22"/>
              </w:rPr>
              <w:t>:</w:t>
            </w:r>
          </w:p>
        </w:tc>
        <w:tc>
          <w:tcPr>
            <w:tcW w:w="7273" w:type="dxa"/>
          </w:tcPr>
          <w:p w14:paraId="1653FF68" w14:textId="7DC12233" w:rsidR="001815D9" w:rsidRPr="00C24D08" w:rsidRDefault="00787201" w:rsidP="00C24D08">
            <w:pPr>
              <w:tabs>
                <w:tab w:val="clear" w:pos="567"/>
              </w:tabs>
              <w:autoSpaceDE w:val="0"/>
              <w:autoSpaceDN w:val="0"/>
              <w:adjustRightInd w:val="0"/>
              <w:spacing w:line="240" w:lineRule="auto"/>
              <w:rPr>
                <w:szCs w:val="22"/>
              </w:rPr>
            </w:pPr>
            <w:proofErr w:type="spellStart"/>
            <w:r w:rsidRPr="00C24D08">
              <w:rPr>
                <w:szCs w:val="22"/>
              </w:rPr>
              <w:t>V</w:t>
            </w:r>
            <w:r w:rsidR="00172DFA" w:rsidRPr="00C24D08">
              <w:rPr>
                <w:szCs w:val="22"/>
              </w:rPr>
              <w:t>ertigo</w:t>
            </w:r>
            <w:proofErr w:type="spellEnd"/>
            <w:r w:rsidR="00172DFA" w:rsidRPr="00C24D08">
              <w:rPr>
                <w:szCs w:val="22"/>
              </w:rPr>
              <w:t xml:space="preserve">, </w:t>
            </w:r>
            <w:proofErr w:type="spellStart"/>
            <w:r w:rsidR="00172DFA" w:rsidRPr="00C24D08">
              <w:rPr>
                <w:szCs w:val="22"/>
              </w:rPr>
              <w:t>ataxia</w:t>
            </w:r>
            <w:proofErr w:type="spellEnd"/>
            <w:r w:rsidR="00172DFA" w:rsidRPr="00C24D08">
              <w:rPr>
                <w:szCs w:val="22"/>
              </w:rPr>
              <w:t xml:space="preserve">, abnormálna chôdza, </w:t>
            </w:r>
            <w:proofErr w:type="spellStart"/>
            <w:r w:rsidR="00172DFA" w:rsidRPr="00C24D08">
              <w:rPr>
                <w:szCs w:val="22"/>
              </w:rPr>
              <w:t>nekoordinácia</w:t>
            </w:r>
            <w:proofErr w:type="spellEnd"/>
            <w:r w:rsidR="00172DFA" w:rsidRPr="00C24D08">
              <w:rPr>
                <w:szCs w:val="22"/>
              </w:rPr>
              <w:t xml:space="preserve">, </w:t>
            </w:r>
            <w:proofErr w:type="spellStart"/>
            <w:r w:rsidR="00172DFA" w:rsidRPr="00C24D08">
              <w:rPr>
                <w:szCs w:val="22"/>
              </w:rPr>
              <w:t>hypokinéza</w:t>
            </w:r>
            <w:proofErr w:type="spellEnd"/>
            <w:r w:rsidR="00172DFA" w:rsidRPr="00C24D08">
              <w:rPr>
                <w:szCs w:val="22"/>
              </w:rPr>
              <w:t xml:space="preserve">, </w:t>
            </w:r>
            <w:proofErr w:type="spellStart"/>
            <w:r w:rsidR="00172DFA" w:rsidRPr="00C24D08">
              <w:rPr>
                <w:szCs w:val="22"/>
              </w:rPr>
              <w:t>parestézia</w:t>
            </w:r>
            <w:proofErr w:type="spellEnd"/>
            <w:r w:rsidR="00172DFA" w:rsidRPr="00C24D08">
              <w:rPr>
                <w:szCs w:val="22"/>
              </w:rPr>
              <w:t>, strnulosť, tras</w:t>
            </w:r>
          </w:p>
        </w:tc>
      </w:tr>
      <w:tr w:rsidR="001815D9" w:rsidRPr="00C24D08" w14:paraId="380E2692" w14:textId="77777777" w:rsidTr="003D6DE8">
        <w:tc>
          <w:tcPr>
            <w:tcW w:w="1798" w:type="dxa"/>
          </w:tcPr>
          <w:p w14:paraId="750D1EC4" w14:textId="77777777" w:rsidR="001815D9" w:rsidRPr="00C24D08" w:rsidRDefault="008603BB" w:rsidP="00C24D08">
            <w:pPr>
              <w:tabs>
                <w:tab w:val="clear" w:pos="567"/>
              </w:tabs>
              <w:autoSpaceDE w:val="0"/>
              <w:autoSpaceDN w:val="0"/>
              <w:adjustRightInd w:val="0"/>
              <w:spacing w:line="240" w:lineRule="auto"/>
              <w:rPr>
                <w:szCs w:val="22"/>
              </w:rPr>
            </w:pPr>
            <w:r w:rsidRPr="00C24D08">
              <w:rPr>
                <w:szCs w:val="22"/>
              </w:rPr>
              <w:t>Neznáme:</w:t>
            </w:r>
          </w:p>
        </w:tc>
        <w:tc>
          <w:tcPr>
            <w:tcW w:w="7273" w:type="dxa"/>
          </w:tcPr>
          <w:p w14:paraId="13622ABC" w14:textId="2F7F6322" w:rsidR="001815D9" w:rsidRPr="00C24D08" w:rsidRDefault="00787201" w:rsidP="00C24D08">
            <w:pPr>
              <w:tabs>
                <w:tab w:val="clear" w:pos="567"/>
              </w:tabs>
              <w:autoSpaceDE w:val="0"/>
              <w:autoSpaceDN w:val="0"/>
              <w:adjustRightInd w:val="0"/>
              <w:spacing w:line="240" w:lineRule="auto"/>
              <w:rPr>
                <w:szCs w:val="22"/>
              </w:rPr>
            </w:pPr>
            <w:r w:rsidRPr="00C24D08">
              <w:rPr>
                <w:szCs w:val="22"/>
              </w:rPr>
              <w:t>S</w:t>
            </w:r>
            <w:r w:rsidR="00B1348C" w:rsidRPr="00C24D08">
              <w:rPr>
                <w:szCs w:val="22"/>
              </w:rPr>
              <w:t xml:space="preserve">trata čuchu, </w:t>
            </w:r>
            <w:r w:rsidR="00B1348C" w:rsidRPr="00C24D08">
              <w:rPr>
                <w:color w:val="000000"/>
                <w:szCs w:val="22"/>
              </w:rPr>
              <w:t>narušenie pozornosti*, predĺžená reakčná doba*</w:t>
            </w:r>
          </w:p>
        </w:tc>
      </w:tr>
      <w:tr w:rsidR="0095673E" w:rsidRPr="00C24D08" w14:paraId="6A1CA171" w14:textId="77777777" w:rsidTr="003D6DE8">
        <w:tc>
          <w:tcPr>
            <w:tcW w:w="1798" w:type="dxa"/>
          </w:tcPr>
          <w:p w14:paraId="11EA7254" w14:textId="77777777" w:rsidR="0095673E" w:rsidRPr="00C24D08" w:rsidRDefault="0095673E" w:rsidP="00C24D08">
            <w:pPr>
              <w:tabs>
                <w:tab w:val="clear" w:pos="567"/>
              </w:tabs>
              <w:autoSpaceDE w:val="0"/>
              <w:autoSpaceDN w:val="0"/>
              <w:adjustRightInd w:val="0"/>
              <w:spacing w:line="240" w:lineRule="auto"/>
              <w:rPr>
                <w:szCs w:val="22"/>
              </w:rPr>
            </w:pPr>
          </w:p>
        </w:tc>
        <w:tc>
          <w:tcPr>
            <w:tcW w:w="7273" w:type="dxa"/>
          </w:tcPr>
          <w:p w14:paraId="6A30B856" w14:textId="77777777" w:rsidR="0095673E" w:rsidRPr="00C24D08" w:rsidRDefault="0095673E" w:rsidP="00C24D08">
            <w:pPr>
              <w:tabs>
                <w:tab w:val="clear" w:pos="567"/>
              </w:tabs>
              <w:autoSpaceDE w:val="0"/>
              <w:autoSpaceDN w:val="0"/>
              <w:adjustRightInd w:val="0"/>
              <w:spacing w:line="240" w:lineRule="auto"/>
              <w:rPr>
                <w:szCs w:val="22"/>
              </w:rPr>
            </w:pPr>
          </w:p>
        </w:tc>
      </w:tr>
      <w:tr w:rsidR="001815D9" w:rsidRPr="00C24D08" w14:paraId="77635B52" w14:textId="77777777" w:rsidTr="003D6DE8">
        <w:tc>
          <w:tcPr>
            <w:tcW w:w="9071" w:type="dxa"/>
            <w:gridSpan w:val="2"/>
          </w:tcPr>
          <w:p w14:paraId="676A62F6" w14:textId="0D50472E" w:rsidR="001815D9" w:rsidRPr="00C24D08" w:rsidRDefault="001815D9" w:rsidP="00C24D08">
            <w:pPr>
              <w:tabs>
                <w:tab w:val="clear" w:pos="567"/>
              </w:tabs>
              <w:autoSpaceDE w:val="0"/>
              <w:autoSpaceDN w:val="0"/>
              <w:adjustRightInd w:val="0"/>
              <w:spacing w:line="240" w:lineRule="auto"/>
              <w:rPr>
                <w:szCs w:val="22"/>
              </w:rPr>
            </w:pPr>
            <w:r w:rsidRPr="00C24D08">
              <w:rPr>
                <w:b/>
                <w:szCs w:val="22"/>
              </w:rPr>
              <w:t>Poruch</w:t>
            </w:r>
            <w:r w:rsidR="00787201" w:rsidRPr="00C24D08">
              <w:rPr>
                <w:b/>
                <w:szCs w:val="22"/>
              </w:rPr>
              <w:t>y</w:t>
            </w:r>
            <w:r w:rsidRPr="00C24D08">
              <w:rPr>
                <w:b/>
                <w:szCs w:val="22"/>
              </w:rPr>
              <w:t xml:space="preserve"> </w:t>
            </w:r>
            <w:r w:rsidR="00787201" w:rsidRPr="00C24D08">
              <w:rPr>
                <w:b/>
                <w:szCs w:val="22"/>
              </w:rPr>
              <w:t>oka</w:t>
            </w:r>
          </w:p>
        </w:tc>
      </w:tr>
      <w:tr w:rsidR="008F37D3" w:rsidRPr="00C24D08" w14:paraId="6A7F64E1" w14:textId="77777777" w:rsidTr="003D6DE8">
        <w:tc>
          <w:tcPr>
            <w:tcW w:w="1798" w:type="dxa"/>
          </w:tcPr>
          <w:p w14:paraId="39B33E78" w14:textId="7E2D2B44" w:rsidR="008F37D3" w:rsidRPr="00C24D08" w:rsidRDefault="00787201" w:rsidP="00C24D08">
            <w:pPr>
              <w:tabs>
                <w:tab w:val="clear" w:pos="567"/>
              </w:tabs>
              <w:autoSpaceDE w:val="0"/>
              <w:autoSpaceDN w:val="0"/>
              <w:adjustRightInd w:val="0"/>
              <w:spacing w:line="240" w:lineRule="auto"/>
              <w:rPr>
                <w:szCs w:val="22"/>
              </w:rPr>
            </w:pPr>
            <w:r w:rsidRPr="00C24D08">
              <w:rPr>
                <w:szCs w:val="22"/>
              </w:rPr>
              <w:t>Časté:</w:t>
            </w:r>
          </w:p>
        </w:tc>
        <w:tc>
          <w:tcPr>
            <w:tcW w:w="7273" w:type="dxa"/>
          </w:tcPr>
          <w:p w14:paraId="2C7047CE" w14:textId="234A7DED" w:rsidR="008F37D3" w:rsidRPr="00C24D08" w:rsidRDefault="00787201" w:rsidP="00C24D08">
            <w:pPr>
              <w:tabs>
                <w:tab w:val="clear" w:pos="567"/>
              </w:tabs>
              <w:autoSpaceDE w:val="0"/>
              <w:autoSpaceDN w:val="0"/>
              <w:adjustRightInd w:val="0"/>
              <w:spacing w:line="240" w:lineRule="auto"/>
              <w:rPr>
                <w:szCs w:val="22"/>
              </w:rPr>
            </w:pPr>
            <w:r w:rsidRPr="00C24D08">
              <w:rPr>
                <w:szCs w:val="22"/>
              </w:rPr>
              <w:t>R</w:t>
            </w:r>
            <w:r w:rsidR="008F37D3" w:rsidRPr="00C24D08">
              <w:rPr>
                <w:szCs w:val="22"/>
              </w:rPr>
              <w:t>ozmazané videnie (prevažne u starších pacientov)</w:t>
            </w:r>
          </w:p>
        </w:tc>
      </w:tr>
      <w:tr w:rsidR="008D0B80" w:rsidRPr="00C24D08" w14:paraId="619C32A4" w14:textId="77777777" w:rsidTr="003D6DE8">
        <w:tc>
          <w:tcPr>
            <w:tcW w:w="1798" w:type="dxa"/>
          </w:tcPr>
          <w:p w14:paraId="344DEAAC" w14:textId="7A3BAA56" w:rsidR="008D0B80" w:rsidRPr="00C24D08" w:rsidRDefault="00787201" w:rsidP="00C24D08">
            <w:pPr>
              <w:tabs>
                <w:tab w:val="clear" w:pos="567"/>
              </w:tabs>
              <w:autoSpaceDE w:val="0"/>
              <w:autoSpaceDN w:val="0"/>
              <w:adjustRightInd w:val="0"/>
              <w:spacing w:line="240" w:lineRule="auto"/>
              <w:rPr>
                <w:szCs w:val="22"/>
              </w:rPr>
            </w:pPr>
            <w:r w:rsidRPr="00C24D08">
              <w:rPr>
                <w:szCs w:val="22"/>
              </w:rPr>
              <w:t>Menej časté</w:t>
            </w:r>
            <w:r w:rsidR="000D15E9" w:rsidRPr="00C24D08">
              <w:rPr>
                <w:szCs w:val="22"/>
              </w:rPr>
              <w:t>:</w:t>
            </w:r>
          </w:p>
        </w:tc>
        <w:tc>
          <w:tcPr>
            <w:tcW w:w="7273" w:type="dxa"/>
          </w:tcPr>
          <w:p w14:paraId="2C30A7A5" w14:textId="1DAC7583" w:rsidR="008D0B80" w:rsidRPr="00C24D08" w:rsidRDefault="00787201" w:rsidP="00C24D08">
            <w:pPr>
              <w:tabs>
                <w:tab w:val="clear" w:pos="567"/>
              </w:tabs>
              <w:autoSpaceDE w:val="0"/>
              <w:autoSpaceDN w:val="0"/>
              <w:adjustRightInd w:val="0"/>
              <w:spacing w:line="240" w:lineRule="auto"/>
              <w:rPr>
                <w:szCs w:val="22"/>
              </w:rPr>
            </w:pPr>
            <w:r w:rsidRPr="00C24D08">
              <w:rPr>
                <w:szCs w:val="22"/>
              </w:rPr>
              <w:t>S</w:t>
            </w:r>
            <w:r w:rsidR="00B1348C" w:rsidRPr="00C24D08">
              <w:rPr>
                <w:szCs w:val="22"/>
              </w:rPr>
              <w:t>uché oči</w:t>
            </w:r>
          </w:p>
        </w:tc>
      </w:tr>
      <w:tr w:rsidR="0095673E" w:rsidRPr="00C24D08" w14:paraId="57D3F4A8" w14:textId="77777777" w:rsidTr="003D6DE8">
        <w:tc>
          <w:tcPr>
            <w:tcW w:w="1798" w:type="dxa"/>
          </w:tcPr>
          <w:p w14:paraId="404FA547" w14:textId="77777777" w:rsidR="0095673E" w:rsidRPr="00C24D08" w:rsidRDefault="008F37D3" w:rsidP="00C24D08">
            <w:pPr>
              <w:tabs>
                <w:tab w:val="clear" w:pos="567"/>
              </w:tabs>
              <w:autoSpaceDE w:val="0"/>
              <w:autoSpaceDN w:val="0"/>
              <w:adjustRightInd w:val="0"/>
              <w:spacing w:line="240" w:lineRule="auto"/>
              <w:rPr>
                <w:szCs w:val="22"/>
              </w:rPr>
            </w:pPr>
            <w:r w:rsidRPr="00C24D08">
              <w:rPr>
                <w:color w:val="000000"/>
                <w:szCs w:val="22"/>
              </w:rPr>
              <w:t>Neznáme:</w:t>
            </w:r>
          </w:p>
        </w:tc>
        <w:tc>
          <w:tcPr>
            <w:tcW w:w="7273" w:type="dxa"/>
          </w:tcPr>
          <w:p w14:paraId="4A847D9E" w14:textId="3CB5C092" w:rsidR="0095673E" w:rsidRPr="00C24D08" w:rsidRDefault="00787201" w:rsidP="00C24D08">
            <w:pPr>
              <w:tabs>
                <w:tab w:val="clear" w:pos="567"/>
              </w:tabs>
              <w:autoSpaceDE w:val="0"/>
              <w:autoSpaceDN w:val="0"/>
              <w:adjustRightInd w:val="0"/>
              <w:spacing w:line="240" w:lineRule="auto"/>
              <w:rPr>
                <w:szCs w:val="22"/>
              </w:rPr>
            </w:pPr>
            <w:r w:rsidRPr="00C24D08">
              <w:rPr>
                <w:color w:val="000000"/>
                <w:szCs w:val="22"/>
              </w:rPr>
              <w:t>D</w:t>
            </w:r>
            <w:r w:rsidR="008F37D3" w:rsidRPr="00C24D08">
              <w:rPr>
                <w:color w:val="000000"/>
                <w:szCs w:val="22"/>
              </w:rPr>
              <w:t>vojité videnie*</w:t>
            </w:r>
          </w:p>
        </w:tc>
      </w:tr>
      <w:tr w:rsidR="008F37D3" w:rsidRPr="00C24D08" w14:paraId="41DE10C1" w14:textId="77777777" w:rsidTr="003D6DE8">
        <w:tc>
          <w:tcPr>
            <w:tcW w:w="1798" w:type="dxa"/>
          </w:tcPr>
          <w:p w14:paraId="795DBE33" w14:textId="77777777" w:rsidR="008F37D3" w:rsidRPr="00C24D08" w:rsidRDefault="008F37D3" w:rsidP="00C24D08">
            <w:pPr>
              <w:tabs>
                <w:tab w:val="clear" w:pos="567"/>
              </w:tabs>
              <w:autoSpaceDE w:val="0"/>
              <w:autoSpaceDN w:val="0"/>
              <w:adjustRightInd w:val="0"/>
              <w:spacing w:line="240" w:lineRule="auto"/>
              <w:rPr>
                <w:color w:val="000000"/>
                <w:szCs w:val="22"/>
              </w:rPr>
            </w:pPr>
          </w:p>
        </w:tc>
        <w:tc>
          <w:tcPr>
            <w:tcW w:w="7273" w:type="dxa"/>
          </w:tcPr>
          <w:p w14:paraId="1C569D52" w14:textId="77777777" w:rsidR="008F37D3" w:rsidRPr="00C24D08" w:rsidRDefault="008F37D3" w:rsidP="00C24D08">
            <w:pPr>
              <w:tabs>
                <w:tab w:val="clear" w:pos="567"/>
              </w:tabs>
              <w:autoSpaceDE w:val="0"/>
              <w:autoSpaceDN w:val="0"/>
              <w:adjustRightInd w:val="0"/>
              <w:spacing w:line="240" w:lineRule="auto"/>
              <w:rPr>
                <w:color w:val="000000"/>
                <w:szCs w:val="22"/>
              </w:rPr>
            </w:pPr>
          </w:p>
        </w:tc>
      </w:tr>
      <w:tr w:rsidR="001815D9" w:rsidRPr="00C24D08" w14:paraId="470594F5" w14:textId="77777777" w:rsidTr="003D6DE8">
        <w:tc>
          <w:tcPr>
            <w:tcW w:w="9071" w:type="dxa"/>
            <w:gridSpan w:val="2"/>
          </w:tcPr>
          <w:p w14:paraId="7F359E44" w14:textId="183FAE4B" w:rsidR="001815D9" w:rsidRPr="00C24D08" w:rsidRDefault="001815D9" w:rsidP="00C24D08">
            <w:pPr>
              <w:tabs>
                <w:tab w:val="clear" w:pos="567"/>
              </w:tabs>
              <w:autoSpaceDE w:val="0"/>
              <w:autoSpaceDN w:val="0"/>
              <w:adjustRightInd w:val="0"/>
              <w:spacing w:line="240" w:lineRule="auto"/>
              <w:rPr>
                <w:szCs w:val="22"/>
              </w:rPr>
            </w:pPr>
            <w:r w:rsidRPr="00C24D08">
              <w:rPr>
                <w:b/>
                <w:szCs w:val="22"/>
              </w:rPr>
              <w:t xml:space="preserve">Poruchy </w:t>
            </w:r>
            <w:r w:rsidR="00787201" w:rsidRPr="00C24D08">
              <w:rPr>
                <w:b/>
                <w:szCs w:val="22"/>
              </w:rPr>
              <w:t>ucha a labyrintu</w:t>
            </w:r>
          </w:p>
        </w:tc>
      </w:tr>
      <w:tr w:rsidR="001815D9" w:rsidRPr="00C24D08" w14:paraId="70ECB2BF" w14:textId="77777777" w:rsidTr="003D6DE8">
        <w:tc>
          <w:tcPr>
            <w:tcW w:w="1798" w:type="dxa"/>
          </w:tcPr>
          <w:p w14:paraId="3C305764" w14:textId="067455AD" w:rsidR="001815D9" w:rsidRPr="00C24D08" w:rsidRDefault="00787201" w:rsidP="00C24D08">
            <w:pPr>
              <w:tabs>
                <w:tab w:val="clear" w:pos="567"/>
              </w:tabs>
              <w:autoSpaceDE w:val="0"/>
              <w:autoSpaceDN w:val="0"/>
              <w:adjustRightInd w:val="0"/>
              <w:spacing w:line="240" w:lineRule="auto"/>
              <w:rPr>
                <w:szCs w:val="22"/>
              </w:rPr>
            </w:pPr>
            <w:r w:rsidRPr="00C24D08">
              <w:rPr>
                <w:szCs w:val="22"/>
              </w:rPr>
              <w:t>Menej časté</w:t>
            </w:r>
            <w:r w:rsidR="008D0B80" w:rsidRPr="00C24D08">
              <w:rPr>
                <w:szCs w:val="22"/>
              </w:rPr>
              <w:t>:</w:t>
            </w:r>
          </w:p>
        </w:tc>
        <w:tc>
          <w:tcPr>
            <w:tcW w:w="7273" w:type="dxa"/>
          </w:tcPr>
          <w:p w14:paraId="25956FBF" w14:textId="12F91ED4" w:rsidR="001815D9" w:rsidRPr="00C24D08" w:rsidRDefault="00787201" w:rsidP="00C24D08">
            <w:pPr>
              <w:tabs>
                <w:tab w:val="clear" w:pos="567"/>
              </w:tabs>
              <w:autoSpaceDE w:val="0"/>
              <w:autoSpaceDN w:val="0"/>
              <w:adjustRightInd w:val="0"/>
              <w:spacing w:line="240" w:lineRule="auto"/>
              <w:rPr>
                <w:szCs w:val="22"/>
              </w:rPr>
            </w:pPr>
            <w:proofErr w:type="spellStart"/>
            <w:r w:rsidRPr="00C24D08">
              <w:rPr>
                <w:szCs w:val="22"/>
              </w:rPr>
              <w:t>T</w:t>
            </w:r>
            <w:r w:rsidR="00EE18B9" w:rsidRPr="00C24D08">
              <w:rPr>
                <w:szCs w:val="22"/>
              </w:rPr>
              <w:t>i</w:t>
            </w:r>
            <w:r w:rsidR="008D0B80" w:rsidRPr="00C24D08">
              <w:rPr>
                <w:szCs w:val="22"/>
              </w:rPr>
              <w:t>nnitus</w:t>
            </w:r>
            <w:proofErr w:type="spellEnd"/>
            <w:r w:rsidR="008D0B80" w:rsidRPr="00C24D08">
              <w:rPr>
                <w:szCs w:val="22"/>
              </w:rPr>
              <w:t>, bolesť ucha</w:t>
            </w:r>
          </w:p>
        </w:tc>
      </w:tr>
      <w:tr w:rsidR="0095673E" w:rsidRPr="00C24D08" w14:paraId="34D3C389" w14:textId="77777777" w:rsidTr="003D6DE8">
        <w:tc>
          <w:tcPr>
            <w:tcW w:w="1798" w:type="dxa"/>
          </w:tcPr>
          <w:p w14:paraId="43924AB7" w14:textId="77777777" w:rsidR="0095673E" w:rsidRPr="00C24D08" w:rsidRDefault="0095673E" w:rsidP="00C24D08">
            <w:pPr>
              <w:tabs>
                <w:tab w:val="clear" w:pos="567"/>
              </w:tabs>
              <w:autoSpaceDE w:val="0"/>
              <w:autoSpaceDN w:val="0"/>
              <w:adjustRightInd w:val="0"/>
              <w:spacing w:line="240" w:lineRule="auto"/>
              <w:rPr>
                <w:szCs w:val="22"/>
                <w:lang w:val="en-US" w:eastAsia="de-DE"/>
              </w:rPr>
            </w:pPr>
          </w:p>
        </w:tc>
        <w:tc>
          <w:tcPr>
            <w:tcW w:w="7273" w:type="dxa"/>
          </w:tcPr>
          <w:p w14:paraId="5E4915BC" w14:textId="77777777" w:rsidR="0095673E" w:rsidRPr="00C24D08" w:rsidRDefault="0095673E" w:rsidP="00C24D08">
            <w:pPr>
              <w:tabs>
                <w:tab w:val="clear" w:pos="567"/>
              </w:tabs>
              <w:autoSpaceDE w:val="0"/>
              <w:autoSpaceDN w:val="0"/>
              <w:adjustRightInd w:val="0"/>
              <w:spacing w:line="240" w:lineRule="auto"/>
              <w:rPr>
                <w:szCs w:val="22"/>
                <w:lang w:val="en-US" w:eastAsia="de-DE"/>
              </w:rPr>
            </w:pPr>
          </w:p>
        </w:tc>
      </w:tr>
      <w:tr w:rsidR="008D2D2B" w:rsidRPr="00C24D08" w14:paraId="36C362EB" w14:textId="77777777" w:rsidTr="003D6DE8">
        <w:tc>
          <w:tcPr>
            <w:tcW w:w="9071" w:type="dxa"/>
            <w:gridSpan w:val="2"/>
          </w:tcPr>
          <w:p w14:paraId="3B012A5F" w14:textId="77777777" w:rsidR="008D2D2B" w:rsidRPr="00C24D08" w:rsidRDefault="008D2D2B" w:rsidP="00C24D08">
            <w:pPr>
              <w:tabs>
                <w:tab w:val="clear" w:pos="567"/>
              </w:tabs>
              <w:autoSpaceDE w:val="0"/>
              <w:autoSpaceDN w:val="0"/>
              <w:adjustRightInd w:val="0"/>
              <w:spacing w:line="240" w:lineRule="auto"/>
              <w:rPr>
                <w:szCs w:val="22"/>
              </w:rPr>
            </w:pPr>
            <w:r w:rsidRPr="00C24D08">
              <w:rPr>
                <w:b/>
                <w:szCs w:val="22"/>
              </w:rPr>
              <w:t>Poruchy ciev</w:t>
            </w:r>
          </w:p>
        </w:tc>
      </w:tr>
      <w:tr w:rsidR="008D2D2B" w:rsidRPr="00C24D08" w14:paraId="603A71F3" w14:textId="77777777" w:rsidTr="003D6DE8">
        <w:tc>
          <w:tcPr>
            <w:tcW w:w="1798" w:type="dxa"/>
          </w:tcPr>
          <w:p w14:paraId="00B69423" w14:textId="37FC25F5" w:rsidR="008D2D2B" w:rsidRPr="00C24D08" w:rsidRDefault="00787201" w:rsidP="00C24D08">
            <w:pPr>
              <w:tabs>
                <w:tab w:val="clear" w:pos="567"/>
              </w:tabs>
              <w:autoSpaceDE w:val="0"/>
              <w:autoSpaceDN w:val="0"/>
              <w:adjustRightInd w:val="0"/>
              <w:spacing w:line="240" w:lineRule="auto"/>
              <w:rPr>
                <w:szCs w:val="22"/>
              </w:rPr>
            </w:pPr>
            <w:r w:rsidRPr="00C24D08">
              <w:rPr>
                <w:szCs w:val="22"/>
              </w:rPr>
              <w:t>Časté</w:t>
            </w:r>
            <w:r w:rsidR="008D2D2B" w:rsidRPr="00C24D08">
              <w:rPr>
                <w:szCs w:val="22"/>
              </w:rPr>
              <w:t>:</w:t>
            </w:r>
          </w:p>
        </w:tc>
        <w:tc>
          <w:tcPr>
            <w:tcW w:w="7273" w:type="dxa"/>
          </w:tcPr>
          <w:p w14:paraId="775DB01E" w14:textId="2CD6DA19" w:rsidR="008D2D2B" w:rsidRPr="00C24D08" w:rsidRDefault="00787201" w:rsidP="00C24D08">
            <w:pPr>
              <w:tabs>
                <w:tab w:val="clear" w:pos="567"/>
              </w:tabs>
              <w:autoSpaceDE w:val="0"/>
              <w:autoSpaceDN w:val="0"/>
              <w:adjustRightInd w:val="0"/>
              <w:spacing w:line="240" w:lineRule="auto"/>
              <w:rPr>
                <w:szCs w:val="22"/>
              </w:rPr>
            </w:pPr>
            <w:r w:rsidRPr="00C24D08">
              <w:rPr>
                <w:szCs w:val="22"/>
              </w:rPr>
              <w:t>M</w:t>
            </w:r>
            <w:r w:rsidR="00B1348C" w:rsidRPr="00C24D08">
              <w:rPr>
                <w:szCs w:val="22"/>
              </w:rPr>
              <w:t xml:space="preserve">igréna </w:t>
            </w:r>
          </w:p>
        </w:tc>
      </w:tr>
      <w:tr w:rsidR="008D2D2B" w:rsidRPr="00C24D08" w14:paraId="6A81BBDD" w14:textId="77777777" w:rsidTr="003D6DE8">
        <w:tc>
          <w:tcPr>
            <w:tcW w:w="1798" w:type="dxa"/>
          </w:tcPr>
          <w:p w14:paraId="3D3250D1" w14:textId="409164E7" w:rsidR="008D2D2B" w:rsidRPr="00C24D08" w:rsidRDefault="00787201" w:rsidP="00C24D08">
            <w:pPr>
              <w:tabs>
                <w:tab w:val="clear" w:pos="567"/>
              </w:tabs>
              <w:autoSpaceDE w:val="0"/>
              <w:autoSpaceDN w:val="0"/>
              <w:adjustRightInd w:val="0"/>
              <w:spacing w:line="240" w:lineRule="auto"/>
              <w:rPr>
                <w:szCs w:val="22"/>
              </w:rPr>
            </w:pPr>
            <w:r w:rsidRPr="00C24D08">
              <w:rPr>
                <w:szCs w:val="22"/>
              </w:rPr>
              <w:t>Menej časté</w:t>
            </w:r>
            <w:r w:rsidR="008D2D2B" w:rsidRPr="00C24D08">
              <w:rPr>
                <w:szCs w:val="22"/>
              </w:rPr>
              <w:t>:</w:t>
            </w:r>
          </w:p>
        </w:tc>
        <w:tc>
          <w:tcPr>
            <w:tcW w:w="7273" w:type="dxa"/>
          </w:tcPr>
          <w:p w14:paraId="4E533E16" w14:textId="5D5CB495" w:rsidR="008D2D2B" w:rsidRPr="00C24D08" w:rsidRDefault="00787201" w:rsidP="00C24D08">
            <w:pPr>
              <w:tabs>
                <w:tab w:val="clear" w:pos="567"/>
              </w:tabs>
              <w:autoSpaceDE w:val="0"/>
              <w:autoSpaceDN w:val="0"/>
              <w:adjustRightInd w:val="0"/>
              <w:spacing w:line="240" w:lineRule="auto"/>
              <w:rPr>
                <w:szCs w:val="22"/>
              </w:rPr>
            </w:pPr>
            <w:r w:rsidRPr="00C24D08">
              <w:rPr>
                <w:szCs w:val="22"/>
              </w:rPr>
              <w:t>V</w:t>
            </w:r>
            <w:r w:rsidR="00F16E0F" w:rsidRPr="00C24D08">
              <w:rPr>
                <w:szCs w:val="22"/>
              </w:rPr>
              <w:t xml:space="preserve">ysoký krvný tlak, synkopa </w:t>
            </w:r>
          </w:p>
        </w:tc>
      </w:tr>
      <w:tr w:rsidR="0095673E" w:rsidRPr="00C24D08" w14:paraId="174E0A28" w14:textId="77777777" w:rsidTr="003D6DE8">
        <w:tc>
          <w:tcPr>
            <w:tcW w:w="1798" w:type="dxa"/>
          </w:tcPr>
          <w:p w14:paraId="0E110061" w14:textId="77777777" w:rsidR="0095673E" w:rsidRPr="00C24D08" w:rsidRDefault="0095673E" w:rsidP="00C24D08">
            <w:pPr>
              <w:tabs>
                <w:tab w:val="clear" w:pos="567"/>
              </w:tabs>
              <w:autoSpaceDE w:val="0"/>
              <w:autoSpaceDN w:val="0"/>
              <w:adjustRightInd w:val="0"/>
              <w:spacing w:line="240" w:lineRule="auto"/>
              <w:rPr>
                <w:szCs w:val="22"/>
                <w:lang w:val="en-US"/>
              </w:rPr>
            </w:pPr>
          </w:p>
        </w:tc>
        <w:tc>
          <w:tcPr>
            <w:tcW w:w="7273" w:type="dxa"/>
          </w:tcPr>
          <w:p w14:paraId="3D483CB7" w14:textId="77777777" w:rsidR="0095673E" w:rsidRPr="00C24D08" w:rsidRDefault="0095673E" w:rsidP="00C24D08">
            <w:pPr>
              <w:tabs>
                <w:tab w:val="clear" w:pos="567"/>
              </w:tabs>
              <w:autoSpaceDE w:val="0"/>
              <w:autoSpaceDN w:val="0"/>
              <w:adjustRightInd w:val="0"/>
              <w:spacing w:line="240" w:lineRule="auto"/>
              <w:rPr>
                <w:szCs w:val="22"/>
                <w:lang w:val="en-US"/>
              </w:rPr>
            </w:pPr>
          </w:p>
        </w:tc>
      </w:tr>
      <w:tr w:rsidR="008D2D2B" w:rsidRPr="00C24D08" w14:paraId="16DA632D" w14:textId="77777777" w:rsidTr="003D6DE8">
        <w:tc>
          <w:tcPr>
            <w:tcW w:w="9071" w:type="dxa"/>
            <w:gridSpan w:val="2"/>
          </w:tcPr>
          <w:p w14:paraId="27E8538F" w14:textId="77777777" w:rsidR="008D2D2B" w:rsidRPr="00C24D08" w:rsidRDefault="008D2D2B" w:rsidP="00C24D08">
            <w:pPr>
              <w:tabs>
                <w:tab w:val="clear" w:pos="567"/>
              </w:tabs>
              <w:autoSpaceDE w:val="0"/>
              <w:autoSpaceDN w:val="0"/>
              <w:adjustRightInd w:val="0"/>
              <w:spacing w:line="240" w:lineRule="auto"/>
              <w:rPr>
                <w:szCs w:val="22"/>
              </w:rPr>
            </w:pPr>
            <w:r w:rsidRPr="00C24D08">
              <w:rPr>
                <w:b/>
                <w:szCs w:val="22"/>
              </w:rPr>
              <w:t xml:space="preserve">Poruchy dýchacej sústavy, hrudníka a </w:t>
            </w:r>
            <w:proofErr w:type="spellStart"/>
            <w:r w:rsidRPr="00C24D08">
              <w:rPr>
                <w:b/>
                <w:szCs w:val="22"/>
              </w:rPr>
              <w:t>mediastína</w:t>
            </w:r>
            <w:proofErr w:type="spellEnd"/>
          </w:p>
        </w:tc>
      </w:tr>
      <w:tr w:rsidR="008D2D2B" w:rsidRPr="00C24D08" w14:paraId="3848A61E" w14:textId="77777777" w:rsidTr="003D6DE8">
        <w:tc>
          <w:tcPr>
            <w:tcW w:w="1798" w:type="dxa"/>
          </w:tcPr>
          <w:p w14:paraId="531B8119" w14:textId="77E4EBAE" w:rsidR="008D2D2B" w:rsidRPr="00C24D08" w:rsidRDefault="00787201" w:rsidP="00C24D08">
            <w:pPr>
              <w:tabs>
                <w:tab w:val="clear" w:pos="567"/>
              </w:tabs>
              <w:autoSpaceDE w:val="0"/>
              <w:autoSpaceDN w:val="0"/>
              <w:adjustRightInd w:val="0"/>
              <w:spacing w:line="240" w:lineRule="auto"/>
              <w:rPr>
                <w:szCs w:val="22"/>
              </w:rPr>
            </w:pPr>
            <w:r w:rsidRPr="00C24D08">
              <w:rPr>
                <w:szCs w:val="22"/>
              </w:rPr>
              <w:t>Časté</w:t>
            </w:r>
            <w:r w:rsidR="00565CE0" w:rsidRPr="00C24D08">
              <w:rPr>
                <w:szCs w:val="22"/>
              </w:rPr>
              <w:t>:</w:t>
            </w:r>
          </w:p>
        </w:tc>
        <w:tc>
          <w:tcPr>
            <w:tcW w:w="7273" w:type="dxa"/>
          </w:tcPr>
          <w:p w14:paraId="61348E6C" w14:textId="6BEBEDF1" w:rsidR="008D2D2B" w:rsidRPr="00C24D08" w:rsidRDefault="00787201" w:rsidP="00C24D08">
            <w:pPr>
              <w:tabs>
                <w:tab w:val="clear" w:pos="567"/>
              </w:tabs>
              <w:autoSpaceDE w:val="0"/>
              <w:autoSpaceDN w:val="0"/>
              <w:adjustRightInd w:val="0"/>
              <w:spacing w:line="240" w:lineRule="auto"/>
              <w:rPr>
                <w:szCs w:val="22"/>
              </w:rPr>
            </w:pPr>
            <w:r w:rsidRPr="00C24D08">
              <w:rPr>
                <w:szCs w:val="22"/>
              </w:rPr>
              <w:t>Z</w:t>
            </w:r>
            <w:r w:rsidR="00B1348C" w:rsidRPr="00C24D08">
              <w:rPr>
                <w:szCs w:val="22"/>
              </w:rPr>
              <w:t xml:space="preserve">ápal hltanu </w:t>
            </w:r>
          </w:p>
        </w:tc>
      </w:tr>
      <w:tr w:rsidR="008D2D2B" w:rsidRPr="00C24D08" w14:paraId="628DA208" w14:textId="77777777" w:rsidTr="003D6DE8">
        <w:tc>
          <w:tcPr>
            <w:tcW w:w="1798" w:type="dxa"/>
          </w:tcPr>
          <w:p w14:paraId="5619A16B" w14:textId="0F880686" w:rsidR="008D2D2B" w:rsidRPr="00C24D08" w:rsidRDefault="00787201" w:rsidP="00C24D08">
            <w:pPr>
              <w:tabs>
                <w:tab w:val="clear" w:pos="567"/>
              </w:tabs>
              <w:autoSpaceDE w:val="0"/>
              <w:autoSpaceDN w:val="0"/>
              <w:adjustRightInd w:val="0"/>
              <w:spacing w:line="240" w:lineRule="auto"/>
              <w:rPr>
                <w:szCs w:val="22"/>
              </w:rPr>
            </w:pPr>
            <w:r w:rsidRPr="00C24D08">
              <w:rPr>
                <w:szCs w:val="22"/>
              </w:rPr>
              <w:t>Menej časté</w:t>
            </w:r>
            <w:r w:rsidR="00565CE0" w:rsidRPr="00C24D08">
              <w:rPr>
                <w:szCs w:val="22"/>
              </w:rPr>
              <w:t>:</w:t>
            </w:r>
          </w:p>
        </w:tc>
        <w:tc>
          <w:tcPr>
            <w:tcW w:w="7273" w:type="dxa"/>
          </w:tcPr>
          <w:p w14:paraId="30525B84" w14:textId="0237EADE" w:rsidR="008D2D2B" w:rsidRPr="00C24D08" w:rsidRDefault="00787201" w:rsidP="00C24D08">
            <w:pPr>
              <w:tabs>
                <w:tab w:val="clear" w:pos="567"/>
              </w:tabs>
              <w:autoSpaceDE w:val="0"/>
              <w:autoSpaceDN w:val="0"/>
              <w:adjustRightInd w:val="0"/>
              <w:spacing w:line="240" w:lineRule="auto"/>
              <w:rPr>
                <w:szCs w:val="22"/>
              </w:rPr>
            </w:pPr>
            <w:proofErr w:type="spellStart"/>
            <w:r w:rsidRPr="00C24D08">
              <w:rPr>
                <w:szCs w:val="22"/>
              </w:rPr>
              <w:t>D</w:t>
            </w:r>
            <w:r w:rsidR="00F72E52" w:rsidRPr="00C24D08">
              <w:rPr>
                <w:szCs w:val="22"/>
              </w:rPr>
              <w:t>yspnoe</w:t>
            </w:r>
            <w:proofErr w:type="spellEnd"/>
            <w:r w:rsidR="00F72E52" w:rsidRPr="00C24D08">
              <w:rPr>
                <w:szCs w:val="22"/>
              </w:rPr>
              <w:t xml:space="preserve">, nádcha, štikútanie </w:t>
            </w:r>
          </w:p>
        </w:tc>
      </w:tr>
      <w:tr w:rsidR="003D6DE8" w:rsidRPr="00C24D08" w14:paraId="26A78F9F" w14:textId="77777777" w:rsidTr="003D6DE8">
        <w:tc>
          <w:tcPr>
            <w:tcW w:w="1798" w:type="dxa"/>
          </w:tcPr>
          <w:p w14:paraId="6E8DE6E5" w14:textId="77777777" w:rsidR="003D6DE8" w:rsidRPr="00C24D08" w:rsidRDefault="003D6DE8" w:rsidP="00C24D08">
            <w:pPr>
              <w:tabs>
                <w:tab w:val="clear" w:pos="567"/>
              </w:tabs>
              <w:autoSpaceDE w:val="0"/>
              <w:autoSpaceDN w:val="0"/>
              <w:adjustRightInd w:val="0"/>
              <w:spacing w:line="240" w:lineRule="auto"/>
              <w:rPr>
                <w:szCs w:val="22"/>
              </w:rPr>
            </w:pPr>
            <w:r w:rsidRPr="00C24D08">
              <w:rPr>
                <w:color w:val="000000"/>
                <w:szCs w:val="22"/>
              </w:rPr>
              <w:t>Neznáme:</w:t>
            </w:r>
          </w:p>
        </w:tc>
        <w:tc>
          <w:tcPr>
            <w:tcW w:w="7273" w:type="dxa"/>
          </w:tcPr>
          <w:p w14:paraId="54DFBECD" w14:textId="1316D2D7" w:rsidR="003D6DE8" w:rsidRPr="00C24D08" w:rsidRDefault="00787201" w:rsidP="00C24D08">
            <w:pPr>
              <w:tabs>
                <w:tab w:val="clear" w:pos="567"/>
              </w:tabs>
              <w:autoSpaceDE w:val="0"/>
              <w:autoSpaceDN w:val="0"/>
              <w:adjustRightInd w:val="0"/>
              <w:spacing w:line="240" w:lineRule="auto"/>
              <w:rPr>
                <w:szCs w:val="22"/>
              </w:rPr>
            </w:pPr>
            <w:r w:rsidRPr="00C24D08">
              <w:rPr>
                <w:color w:val="000000"/>
                <w:szCs w:val="22"/>
              </w:rPr>
              <w:t>Ú</w:t>
            </w:r>
            <w:r w:rsidR="003D6DE8" w:rsidRPr="00C24D08">
              <w:rPr>
                <w:color w:val="000000"/>
                <w:szCs w:val="22"/>
              </w:rPr>
              <w:t>tlm dýchania (pozri časť 4.4)</w:t>
            </w:r>
            <w:r w:rsidR="00DE79AC">
              <w:rPr>
                <w:color w:val="000000"/>
              </w:rPr>
              <w:t xml:space="preserve"> *</w:t>
            </w:r>
          </w:p>
        </w:tc>
      </w:tr>
      <w:tr w:rsidR="0095673E" w:rsidRPr="00C24D08" w14:paraId="51CD5DA4" w14:textId="77777777" w:rsidTr="003D6DE8">
        <w:tc>
          <w:tcPr>
            <w:tcW w:w="1798" w:type="dxa"/>
          </w:tcPr>
          <w:p w14:paraId="053D95BD" w14:textId="77777777" w:rsidR="0095673E" w:rsidRPr="00C24D08" w:rsidRDefault="0095673E" w:rsidP="00C24D08">
            <w:pPr>
              <w:tabs>
                <w:tab w:val="clear" w:pos="567"/>
              </w:tabs>
              <w:autoSpaceDE w:val="0"/>
              <w:autoSpaceDN w:val="0"/>
              <w:adjustRightInd w:val="0"/>
              <w:spacing w:line="240" w:lineRule="auto"/>
              <w:rPr>
                <w:szCs w:val="22"/>
                <w:lang w:val="en-US" w:eastAsia="de-DE"/>
              </w:rPr>
            </w:pPr>
          </w:p>
        </w:tc>
        <w:tc>
          <w:tcPr>
            <w:tcW w:w="7273" w:type="dxa"/>
          </w:tcPr>
          <w:p w14:paraId="26A6385F" w14:textId="77777777" w:rsidR="0095673E" w:rsidRPr="00C24D08" w:rsidRDefault="0095673E" w:rsidP="00C24D08">
            <w:pPr>
              <w:tabs>
                <w:tab w:val="clear" w:pos="567"/>
              </w:tabs>
              <w:autoSpaceDE w:val="0"/>
              <w:autoSpaceDN w:val="0"/>
              <w:adjustRightInd w:val="0"/>
              <w:spacing w:line="240" w:lineRule="auto"/>
              <w:rPr>
                <w:szCs w:val="22"/>
                <w:lang w:val="en-US" w:eastAsia="de-DE"/>
              </w:rPr>
            </w:pPr>
          </w:p>
        </w:tc>
      </w:tr>
      <w:tr w:rsidR="008D2D2B" w:rsidRPr="00C24D08" w14:paraId="426865EC" w14:textId="77777777" w:rsidTr="003D6DE8">
        <w:tc>
          <w:tcPr>
            <w:tcW w:w="9071" w:type="dxa"/>
            <w:gridSpan w:val="2"/>
          </w:tcPr>
          <w:p w14:paraId="4E8E4135" w14:textId="0AE779AC" w:rsidR="008D2D2B" w:rsidRPr="00C24D08" w:rsidRDefault="008D2D2B" w:rsidP="00C24D08">
            <w:pPr>
              <w:tabs>
                <w:tab w:val="clear" w:pos="567"/>
              </w:tabs>
              <w:autoSpaceDE w:val="0"/>
              <w:autoSpaceDN w:val="0"/>
              <w:adjustRightInd w:val="0"/>
              <w:spacing w:line="240" w:lineRule="auto"/>
              <w:rPr>
                <w:szCs w:val="22"/>
              </w:rPr>
            </w:pPr>
            <w:r w:rsidRPr="00C24D08">
              <w:rPr>
                <w:b/>
                <w:szCs w:val="22"/>
              </w:rPr>
              <w:t xml:space="preserve">Poruchy </w:t>
            </w:r>
            <w:proofErr w:type="spellStart"/>
            <w:r w:rsidRPr="00C24D08">
              <w:rPr>
                <w:b/>
                <w:szCs w:val="22"/>
              </w:rPr>
              <w:t>gastrointestinálneho</w:t>
            </w:r>
            <w:proofErr w:type="spellEnd"/>
            <w:r w:rsidRPr="00C24D08">
              <w:rPr>
                <w:b/>
                <w:szCs w:val="22"/>
              </w:rPr>
              <w:t xml:space="preserve"> traktu</w:t>
            </w:r>
          </w:p>
        </w:tc>
      </w:tr>
      <w:tr w:rsidR="008D2D2B" w:rsidRPr="00C24D08" w14:paraId="3FACEE30" w14:textId="77777777" w:rsidTr="003D6DE8">
        <w:tc>
          <w:tcPr>
            <w:tcW w:w="1798" w:type="dxa"/>
          </w:tcPr>
          <w:p w14:paraId="3A1AD624" w14:textId="69452A61" w:rsidR="008D2D2B" w:rsidRPr="00C24D08" w:rsidRDefault="00787201" w:rsidP="00C24D08">
            <w:pPr>
              <w:tabs>
                <w:tab w:val="clear" w:pos="567"/>
              </w:tabs>
              <w:autoSpaceDE w:val="0"/>
              <w:autoSpaceDN w:val="0"/>
              <w:adjustRightInd w:val="0"/>
              <w:spacing w:line="240" w:lineRule="auto"/>
              <w:rPr>
                <w:szCs w:val="22"/>
              </w:rPr>
            </w:pPr>
            <w:r w:rsidRPr="00C24D08">
              <w:rPr>
                <w:szCs w:val="22"/>
              </w:rPr>
              <w:t>Časté</w:t>
            </w:r>
            <w:r w:rsidR="008D2D2B" w:rsidRPr="00C24D08">
              <w:rPr>
                <w:szCs w:val="22"/>
              </w:rPr>
              <w:t>:</w:t>
            </w:r>
          </w:p>
        </w:tc>
        <w:tc>
          <w:tcPr>
            <w:tcW w:w="7273" w:type="dxa"/>
          </w:tcPr>
          <w:p w14:paraId="329600E4" w14:textId="1A347FA4" w:rsidR="008D2D2B" w:rsidRPr="00C24D08" w:rsidRDefault="00077FF5" w:rsidP="00C24D08">
            <w:pPr>
              <w:tabs>
                <w:tab w:val="clear" w:pos="567"/>
              </w:tabs>
              <w:autoSpaceDE w:val="0"/>
              <w:autoSpaceDN w:val="0"/>
              <w:adjustRightInd w:val="0"/>
              <w:spacing w:line="240" w:lineRule="auto"/>
              <w:rPr>
                <w:szCs w:val="22"/>
              </w:rPr>
            </w:pPr>
            <w:r w:rsidRPr="00C24D08">
              <w:rPr>
                <w:szCs w:val="22"/>
              </w:rPr>
              <w:t>S</w:t>
            </w:r>
            <w:r w:rsidR="001144CE" w:rsidRPr="00C24D08">
              <w:rPr>
                <w:szCs w:val="22"/>
              </w:rPr>
              <w:t xml:space="preserve">ucho v ústach, hnačka, nevoľnosť, </w:t>
            </w:r>
            <w:proofErr w:type="spellStart"/>
            <w:r w:rsidR="001144CE" w:rsidRPr="00C24D08">
              <w:rPr>
                <w:szCs w:val="22"/>
              </w:rPr>
              <w:t>dyspepsia</w:t>
            </w:r>
            <w:proofErr w:type="spellEnd"/>
            <w:r w:rsidR="001144CE" w:rsidRPr="00C24D08">
              <w:rPr>
                <w:szCs w:val="22"/>
              </w:rPr>
              <w:t xml:space="preserve">, bolesť brucha, zvracanie </w:t>
            </w:r>
          </w:p>
        </w:tc>
      </w:tr>
      <w:tr w:rsidR="00031340" w:rsidRPr="00C24D08" w14:paraId="3FB6EE1C" w14:textId="77777777" w:rsidTr="003D6DE8">
        <w:tc>
          <w:tcPr>
            <w:tcW w:w="1798" w:type="dxa"/>
          </w:tcPr>
          <w:p w14:paraId="683A8C97" w14:textId="28C7FECD" w:rsidR="00031340" w:rsidRPr="00C24D08" w:rsidRDefault="00077FF5" w:rsidP="00C24D08">
            <w:pPr>
              <w:tabs>
                <w:tab w:val="clear" w:pos="567"/>
              </w:tabs>
              <w:autoSpaceDE w:val="0"/>
              <w:autoSpaceDN w:val="0"/>
              <w:adjustRightInd w:val="0"/>
              <w:spacing w:line="240" w:lineRule="auto"/>
              <w:rPr>
                <w:szCs w:val="22"/>
              </w:rPr>
            </w:pPr>
            <w:r w:rsidRPr="00C24D08">
              <w:rPr>
                <w:szCs w:val="22"/>
              </w:rPr>
              <w:t>Menej časté</w:t>
            </w:r>
            <w:r w:rsidR="00031340" w:rsidRPr="00C24D08">
              <w:rPr>
                <w:szCs w:val="22"/>
              </w:rPr>
              <w:t>:</w:t>
            </w:r>
          </w:p>
        </w:tc>
        <w:tc>
          <w:tcPr>
            <w:tcW w:w="7273" w:type="dxa"/>
          </w:tcPr>
          <w:p w14:paraId="29305EF0" w14:textId="17941BF3" w:rsidR="00031340" w:rsidRPr="00C24D08" w:rsidRDefault="00077FF5" w:rsidP="00C24D08">
            <w:pPr>
              <w:tabs>
                <w:tab w:val="clear" w:pos="567"/>
              </w:tabs>
              <w:autoSpaceDE w:val="0"/>
              <w:autoSpaceDN w:val="0"/>
              <w:adjustRightInd w:val="0"/>
              <w:spacing w:line="240" w:lineRule="auto"/>
              <w:rPr>
                <w:szCs w:val="22"/>
              </w:rPr>
            </w:pPr>
            <w:proofErr w:type="spellStart"/>
            <w:r w:rsidRPr="00C24D08">
              <w:rPr>
                <w:szCs w:val="22"/>
              </w:rPr>
              <w:t>H</w:t>
            </w:r>
            <w:r w:rsidR="00EE18B9" w:rsidRPr="00C24D08">
              <w:rPr>
                <w:szCs w:val="22"/>
              </w:rPr>
              <w:t>alitóza</w:t>
            </w:r>
            <w:proofErr w:type="spellEnd"/>
            <w:r w:rsidR="00EE18B9" w:rsidRPr="00C24D08">
              <w:rPr>
                <w:szCs w:val="22"/>
              </w:rPr>
              <w:t xml:space="preserve">, </w:t>
            </w:r>
            <w:proofErr w:type="spellStart"/>
            <w:r w:rsidR="00EE18B9" w:rsidRPr="00C24D08">
              <w:rPr>
                <w:szCs w:val="22"/>
              </w:rPr>
              <w:t>ulcerácia</w:t>
            </w:r>
            <w:proofErr w:type="spellEnd"/>
            <w:r w:rsidR="00EE18B9" w:rsidRPr="00C24D08">
              <w:rPr>
                <w:szCs w:val="22"/>
              </w:rPr>
              <w:t xml:space="preserve"> v ústnej dutine, </w:t>
            </w:r>
            <w:proofErr w:type="spellStart"/>
            <w:r w:rsidR="00EE18B9" w:rsidRPr="00C24D08">
              <w:rPr>
                <w:szCs w:val="22"/>
              </w:rPr>
              <w:t>kolitída</w:t>
            </w:r>
            <w:proofErr w:type="spellEnd"/>
            <w:r w:rsidR="00EE18B9" w:rsidRPr="00C24D08">
              <w:rPr>
                <w:szCs w:val="22"/>
              </w:rPr>
              <w:t xml:space="preserve">, </w:t>
            </w:r>
            <w:proofErr w:type="spellStart"/>
            <w:r w:rsidR="00EE18B9" w:rsidRPr="00C24D08">
              <w:rPr>
                <w:szCs w:val="22"/>
              </w:rPr>
              <w:t>gastroenteritída</w:t>
            </w:r>
            <w:proofErr w:type="spellEnd"/>
            <w:r w:rsidR="00EE18B9" w:rsidRPr="00C24D08">
              <w:rPr>
                <w:szCs w:val="22"/>
              </w:rPr>
              <w:t>, opuch jazyka</w:t>
            </w:r>
          </w:p>
        </w:tc>
      </w:tr>
      <w:tr w:rsidR="0095673E" w:rsidRPr="00C24D08" w14:paraId="6C093E9B" w14:textId="77777777" w:rsidTr="003D6DE8">
        <w:tc>
          <w:tcPr>
            <w:tcW w:w="1798" w:type="dxa"/>
          </w:tcPr>
          <w:p w14:paraId="67D9889A" w14:textId="77777777" w:rsidR="0095673E" w:rsidRPr="00C24D08" w:rsidRDefault="0095673E" w:rsidP="00C24D08">
            <w:pPr>
              <w:tabs>
                <w:tab w:val="clear" w:pos="567"/>
              </w:tabs>
              <w:autoSpaceDE w:val="0"/>
              <w:autoSpaceDN w:val="0"/>
              <w:adjustRightInd w:val="0"/>
              <w:spacing w:line="240" w:lineRule="auto"/>
              <w:rPr>
                <w:szCs w:val="22"/>
              </w:rPr>
            </w:pPr>
          </w:p>
        </w:tc>
        <w:tc>
          <w:tcPr>
            <w:tcW w:w="7273" w:type="dxa"/>
          </w:tcPr>
          <w:p w14:paraId="1F5A7362" w14:textId="77777777" w:rsidR="0095673E" w:rsidRPr="00C24D08" w:rsidRDefault="0095673E" w:rsidP="00C24D08">
            <w:pPr>
              <w:tabs>
                <w:tab w:val="clear" w:pos="567"/>
              </w:tabs>
              <w:autoSpaceDE w:val="0"/>
              <w:autoSpaceDN w:val="0"/>
              <w:adjustRightInd w:val="0"/>
              <w:spacing w:line="240" w:lineRule="auto"/>
              <w:rPr>
                <w:szCs w:val="22"/>
              </w:rPr>
            </w:pPr>
          </w:p>
        </w:tc>
      </w:tr>
      <w:tr w:rsidR="003D6DE8" w:rsidRPr="00C24D08" w14:paraId="3D60B09E" w14:textId="77777777" w:rsidTr="003D6DE8">
        <w:tc>
          <w:tcPr>
            <w:tcW w:w="9071" w:type="dxa"/>
            <w:gridSpan w:val="2"/>
          </w:tcPr>
          <w:p w14:paraId="39B3AF81" w14:textId="77777777" w:rsidR="003D6DE8" w:rsidRPr="00C24D08" w:rsidRDefault="003D6DE8" w:rsidP="00C24D08">
            <w:pPr>
              <w:tabs>
                <w:tab w:val="clear" w:pos="567"/>
              </w:tabs>
              <w:autoSpaceDE w:val="0"/>
              <w:autoSpaceDN w:val="0"/>
              <w:adjustRightInd w:val="0"/>
              <w:spacing w:line="240" w:lineRule="auto"/>
              <w:rPr>
                <w:szCs w:val="22"/>
              </w:rPr>
            </w:pPr>
            <w:r w:rsidRPr="00C24D08">
              <w:rPr>
                <w:b/>
                <w:szCs w:val="22"/>
              </w:rPr>
              <w:t>Poruchy pečene a žlčových ciest</w:t>
            </w:r>
          </w:p>
        </w:tc>
      </w:tr>
      <w:tr w:rsidR="003D6DE8" w:rsidRPr="00C24D08" w14:paraId="47CA35E3" w14:textId="77777777" w:rsidTr="003D6DE8">
        <w:tc>
          <w:tcPr>
            <w:tcW w:w="1798" w:type="dxa"/>
          </w:tcPr>
          <w:p w14:paraId="4164858D" w14:textId="77777777" w:rsidR="003D6DE8" w:rsidRPr="00C24D08" w:rsidRDefault="003D6DE8" w:rsidP="00C24D08">
            <w:pPr>
              <w:tabs>
                <w:tab w:val="clear" w:pos="567"/>
              </w:tabs>
              <w:autoSpaceDE w:val="0"/>
              <w:autoSpaceDN w:val="0"/>
              <w:adjustRightInd w:val="0"/>
              <w:spacing w:line="240" w:lineRule="auto"/>
              <w:rPr>
                <w:szCs w:val="22"/>
              </w:rPr>
            </w:pPr>
            <w:r w:rsidRPr="00C24D08">
              <w:rPr>
                <w:color w:val="000000"/>
                <w:szCs w:val="22"/>
              </w:rPr>
              <w:t>Veľmi zriedkavé:</w:t>
            </w:r>
          </w:p>
        </w:tc>
        <w:tc>
          <w:tcPr>
            <w:tcW w:w="7273" w:type="dxa"/>
          </w:tcPr>
          <w:p w14:paraId="48643821" w14:textId="5887C191" w:rsidR="003D6DE8" w:rsidRPr="00C24D08" w:rsidRDefault="00077FF5" w:rsidP="00C24D08">
            <w:pPr>
              <w:tabs>
                <w:tab w:val="clear" w:pos="567"/>
              </w:tabs>
              <w:autoSpaceDE w:val="0"/>
              <w:autoSpaceDN w:val="0"/>
              <w:adjustRightInd w:val="0"/>
              <w:spacing w:line="240" w:lineRule="auto"/>
              <w:rPr>
                <w:szCs w:val="22"/>
              </w:rPr>
            </w:pPr>
            <w:r w:rsidRPr="00C24D08">
              <w:rPr>
                <w:color w:val="000000"/>
                <w:szCs w:val="22"/>
              </w:rPr>
              <w:t>M</w:t>
            </w:r>
            <w:r w:rsidR="003D6DE8" w:rsidRPr="00C24D08">
              <w:rPr>
                <w:color w:val="000000"/>
                <w:szCs w:val="22"/>
              </w:rPr>
              <w:t xml:space="preserve">ierne až stredne zvýšená </w:t>
            </w:r>
            <w:proofErr w:type="spellStart"/>
            <w:r w:rsidR="003D6DE8" w:rsidRPr="00C24D08">
              <w:rPr>
                <w:color w:val="000000"/>
                <w:szCs w:val="22"/>
              </w:rPr>
              <w:t>transamináza</w:t>
            </w:r>
            <w:proofErr w:type="spellEnd"/>
            <w:r w:rsidR="003D6DE8" w:rsidRPr="00C24D08">
              <w:rPr>
                <w:color w:val="000000"/>
                <w:szCs w:val="22"/>
              </w:rPr>
              <w:t xml:space="preserve"> a/alebo alkalická </w:t>
            </w:r>
            <w:proofErr w:type="spellStart"/>
            <w:r w:rsidR="003D6DE8" w:rsidRPr="00C24D08">
              <w:rPr>
                <w:color w:val="000000"/>
                <w:szCs w:val="22"/>
              </w:rPr>
              <w:t>fosfatáza</w:t>
            </w:r>
            <w:proofErr w:type="spellEnd"/>
            <w:r w:rsidR="003D6DE8" w:rsidRPr="00C24D08">
              <w:rPr>
                <w:color w:val="000000"/>
                <w:szCs w:val="22"/>
              </w:rPr>
              <w:t>*</w:t>
            </w:r>
          </w:p>
        </w:tc>
      </w:tr>
      <w:tr w:rsidR="003D6DE8" w:rsidRPr="00C24D08" w14:paraId="3BB10F9C" w14:textId="77777777" w:rsidTr="003D6DE8">
        <w:tc>
          <w:tcPr>
            <w:tcW w:w="1798" w:type="dxa"/>
          </w:tcPr>
          <w:p w14:paraId="33820E85" w14:textId="77777777" w:rsidR="003D6DE8" w:rsidRPr="00C24D08" w:rsidRDefault="003D6DE8" w:rsidP="00C24D08">
            <w:pPr>
              <w:tabs>
                <w:tab w:val="clear" w:pos="567"/>
              </w:tabs>
              <w:autoSpaceDE w:val="0"/>
              <w:autoSpaceDN w:val="0"/>
              <w:adjustRightInd w:val="0"/>
              <w:spacing w:line="240" w:lineRule="auto"/>
              <w:rPr>
                <w:szCs w:val="22"/>
              </w:rPr>
            </w:pPr>
          </w:p>
        </w:tc>
        <w:tc>
          <w:tcPr>
            <w:tcW w:w="7273" w:type="dxa"/>
          </w:tcPr>
          <w:p w14:paraId="1F73E1FB" w14:textId="77777777" w:rsidR="003D6DE8" w:rsidRPr="00C24D08" w:rsidRDefault="003D6DE8" w:rsidP="00C24D08">
            <w:pPr>
              <w:tabs>
                <w:tab w:val="clear" w:pos="567"/>
              </w:tabs>
              <w:autoSpaceDE w:val="0"/>
              <w:autoSpaceDN w:val="0"/>
              <w:adjustRightInd w:val="0"/>
              <w:spacing w:line="240" w:lineRule="auto"/>
              <w:rPr>
                <w:szCs w:val="22"/>
              </w:rPr>
            </w:pPr>
          </w:p>
        </w:tc>
      </w:tr>
      <w:tr w:rsidR="008D2D2B" w:rsidRPr="00C24D08" w14:paraId="1C2BCCBA" w14:textId="77777777" w:rsidTr="003D6DE8">
        <w:tc>
          <w:tcPr>
            <w:tcW w:w="9071" w:type="dxa"/>
            <w:gridSpan w:val="2"/>
          </w:tcPr>
          <w:p w14:paraId="12B09AB5" w14:textId="77777777" w:rsidR="008D2D2B" w:rsidRPr="00C24D08" w:rsidRDefault="008D2D2B" w:rsidP="00C24D08">
            <w:pPr>
              <w:tabs>
                <w:tab w:val="clear" w:pos="567"/>
              </w:tabs>
              <w:autoSpaceDE w:val="0"/>
              <w:autoSpaceDN w:val="0"/>
              <w:adjustRightInd w:val="0"/>
              <w:spacing w:line="240" w:lineRule="auto"/>
              <w:rPr>
                <w:szCs w:val="22"/>
              </w:rPr>
            </w:pPr>
            <w:r w:rsidRPr="00C24D08">
              <w:rPr>
                <w:b/>
                <w:szCs w:val="22"/>
              </w:rPr>
              <w:t>Poruchy kože a podkožného tkaniva</w:t>
            </w:r>
          </w:p>
        </w:tc>
      </w:tr>
      <w:tr w:rsidR="0005596F" w:rsidRPr="00C24D08" w14:paraId="328E8208" w14:textId="77777777" w:rsidTr="003D6DE8">
        <w:tc>
          <w:tcPr>
            <w:tcW w:w="1798" w:type="dxa"/>
          </w:tcPr>
          <w:p w14:paraId="5759AD2C" w14:textId="650E0E0F" w:rsidR="0005596F" w:rsidRPr="00C24D08" w:rsidRDefault="00077FF5" w:rsidP="00C24D08">
            <w:pPr>
              <w:tabs>
                <w:tab w:val="clear" w:pos="567"/>
              </w:tabs>
              <w:autoSpaceDE w:val="0"/>
              <w:autoSpaceDN w:val="0"/>
              <w:adjustRightInd w:val="0"/>
              <w:spacing w:line="240" w:lineRule="auto"/>
              <w:rPr>
                <w:szCs w:val="22"/>
              </w:rPr>
            </w:pPr>
            <w:r w:rsidRPr="00C24D08">
              <w:rPr>
                <w:szCs w:val="22"/>
              </w:rPr>
              <w:t>Časté</w:t>
            </w:r>
            <w:r w:rsidR="0005596F" w:rsidRPr="00C24D08">
              <w:rPr>
                <w:szCs w:val="22"/>
              </w:rPr>
              <w:t>:</w:t>
            </w:r>
          </w:p>
        </w:tc>
        <w:tc>
          <w:tcPr>
            <w:tcW w:w="7273" w:type="dxa"/>
          </w:tcPr>
          <w:p w14:paraId="26555444" w14:textId="23409219" w:rsidR="0005596F" w:rsidRPr="00C24D08" w:rsidRDefault="00077FF5" w:rsidP="00C24D08">
            <w:pPr>
              <w:tabs>
                <w:tab w:val="clear" w:pos="567"/>
              </w:tabs>
              <w:autoSpaceDE w:val="0"/>
              <w:autoSpaceDN w:val="0"/>
              <w:adjustRightInd w:val="0"/>
              <w:spacing w:line="240" w:lineRule="auto"/>
              <w:rPr>
                <w:szCs w:val="22"/>
              </w:rPr>
            </w:pPr>
            <w:r w:rsidRPr="00C24D08">
              <w:rPr>
                <w:szCs w:val="22"/>
              </w:rPr>
              <w:t>V</w:t>
            </w:r>
            <w:r w:rsidR="0005596F" w:rsidRPr="00C24D08">
              <w:rPr>
                <w:szCs w:val="22"/>
              </w:rPr>
              <w:t xml:space="preserve">yrážky </w:t>
            </w:r>
          </w:p>
        </w:tc>
      </w:tr>
      <w:tr w:rsidR="008D2D2B" w:rsidRPr="00C24D08" w14:paraId="0C1B4A75" w14:textId="77777777" w:rsidTr="003D6DE8">
        <w:tc>
          <w:tcPr>
            <w:tcW w:w="1798" w:type="dxa"/>
          </w:tcPr>
          <w:p w14:paraId="201F31C5" w14:textId="6D71D233" w:rsidR="008D2D2B" w:rsidRPr="00C24D08" w:rsidRDefault="00077FF5" w:rsidP="00C24D08">
            <w:pPr>
              <w:tabs>
                <w:tab w:val="clear" w:pos="567"/>
              </w:tabs>
              <w:autoSpaceDE w:val="0"/>
              <w:autoSpaceDN w:val="0"/>
              <w:adjustRightInd w:val="0"/>
              <w:spacing w:line="240" w:lineRule="auto"/>
              <w:rPr>
                <w:szCs w:val="22"/>
              </w:rPr>
            </w:pPr>
            <w:r w:rsidRPr="00C24D08">
              <w:rPr>
                <w:szCs w:val="22"/>
              </w:rPr>
              <w:t>Menej časté</w:t>
            </w:r>
            <w:r w:rsidR="008D2D2B" w:rsidRPr="00C24D08">
              <w:rPr>
                <w:szCs w:val="22"/>
              </w:rPr>
              <w:t>:</w:t>
            </w:r>
          </w:p>
        </w:tc>
        <w:tc>
          <w:tcPr>
            <w:tcW w:w="7273" w:type="dxa"/>
          </w:tcPr>
          <w:p w14:paraId="67C50345" w14:textId="2B9AC80F" w:rsidR="008D2D2B" w:rsidRPr="00C24D08" w:rsidRDefault="00077FF5" w:rsidP="00C24D08">
            <w:pPr>
              <w:tabs>
                <w:tab w:val="clear" w:pos="567"/>
              </w:tabs>
              <w:autoSpaceDE w:val="0"/>
              <w:autoSpaceDN w:val="0"/>
              <w:adjustRightInd w:val="0"/>
              <w:spacing w:line="240" w:lineRule="auto"/>
              <w:rPr>
                <w:szCs w:val="22"/>
              </w:rPr>
            </w:pPr>
            <w:proofErr w:type="spellStart"/>
            <w:r w:rsidRPr="00C24D08">
              <w:rPr>
                <w:szCs w:val="22"/>
              </w:rPr>
              <w:t>F</w:t>
            </w:r>
            <w:r w:rsidR="008D2D2B" w:rsidRPr="00C24D08">
              <w:rPr>
                <w:szCs w:val="22"/>
              </w:rPr>
              <w:t>otosenzitívna</w:t>
            </w:r>
            <w:proofErr w:type="spellEnd"/>
            <w:r w:rsidR="008D2D2B" w:rsidRPr="00C24D08">
              <w:rPr>
                <w:szCs w:val="22"/>
              </w:rPr>
              <w:t xml:space="preserve"> reakcia, potenie, akné, suchá pokožka, ekzém</w:t>
            </w:r>
          </w:p>
        </w:tc>
      </w:tr>
      <w:tr w:rsidR="003D6DE8" w:rsidRPr="00C24D08" w14:paraId="773D8A06" w14:textId="77777777" w:rsidTr="003D6DE8">
        <w:tc>
          <w:tcPr>
            <w:tcW w:w="1798" w:type="dxa"/>
          </w:tcPr>
          <w:p w14:paraId="0E041C8F" w14:textId="77777777" w:rsidR="003D6DE8" w:rsidRPr="00C24D08" w:rsidRDefault="003D6DE8" w:rsidP="00C24D08">
            <w:pPr>
              <w:tabs>
                <w:tab w:val="clear" w:pos="567"/>
              </w:tabs>
              <w:autoSpaceDE w:val="0"/>
              <w:autoSpaceDN w:val="0"/>
              <w:adjustRightInd w:val="0"/>
              <w:spacing w:line="240" w:lineRule="auto"/>
              <w:rPr>
                <w:szCs w:val="22"/>
              </w:rPr>
            </w:pPr>
            <w:r w:rsidRPr="00C24D08">
              <w:rPr>
                <w:color w:val="000000"/>
                <w:szCs w:val="22"/>
              </w:rPr>
              <w:t>Zriedkavé:</w:t>
            </w:r>
          </w:p>
        </w:tc>
        <w:tc>
          <w:tcPr>
            <w:tcW w:w="7273" w:type="dxa"/>
          </w:tcPr>
          <w:p w14:paraId="4EC85A50" w14:textId="644E6A06" w:rsidR="003D6DE8" w:rsidRPr="00C24D08" w:rsidRDefault="00077FF5" w:rsidP="00C24D08">
            <w:pPr>
              <w:tabs>
                <w:tab w:val="clear" w:pos="567"/>
              </w:tabs>
              <w:autoSpaceDE w:val="0"/>
              <w:autoSpaceDN w:val="0"/>
              <w:adjustRightInd w:val="0"/>
              <w:spacing w:line="240" w:lineRule="auto"/>
              <w:rPr>
                <w:szCs w:val="22"/>
              </w:rPr>
            </w:pPr>
            <w:r w:rsidRPr="00C24D08">
              <w:rPr>
                <w:color w:val="000000"/>
                <w:szCs w:val="22"/>
              </w:rPr>
              <w:t>S</w:t>
            </w:r>
            <w:r w:rsidR="003D6DE8" w:rsidRPr="00C24D08">
              <w:rPr>
                <w:color w:val="000000"/>
                <w:szCs w:val="22"/>
              </w:rPr>
              <w:t>ilné svrbenie (bežné u starších pacientov)</w:t>
            </w:r>
          </w:p>
        </w:tc>
      </w:tr>
      <w:tr w:rsidR="0095673E" w:rsidRPr="00C24D08" w14:paraId="1935F307" w14:textId="77777777" w:rsidTr="003D6DE8">
        <w:tc>
          <w:tcPr>
            <w:tcW w:w="1798" w:type="dxa"/>
          </w:tcPr>
          <w:p w14:paraId="0EE4F5A7" w14:textId="77777777" w:rsidR="0095673E" w:rsidRPr="00C24D08" w:rsidRDefault="0095673E" w:rsidP="00C24D08">
            <w:pPr>
              <w:tabs>
                <w:tab w:val="clear" w:pos="567"/>
              </w:tabs>
              <w:autoSpaceDE w:val="0"/>
              <w:autoSpaceDN w:val="0"/>
              <w:adjustRightInd w:val="0"/>
              <w:spacing w:line="240" w:lineRule="auto"/>
              <w:rPr>
                <w:szCs w:val="22"/>
                <w:lang w:val="pl-PL"/>
              </w:rPr>
            </w:pPr>
          </w:p>
        </w:tc>
        <w:tc>
          <w:tcPr>
            <w:tcW w:w="7273" w:type="dxa"/>
          </w:tcPr>
          <w:p w14:paraId="00B0C9AF" w14:textId="77777777" w:rsidR="0095673E" w:rsidRPr="00C24D08" w:rsidRDefault="0095673E" w:rsidP="00C24D08">
            <w:pPr>
              <w:tabs>
                <w:tab w:val="clear" w:pos="567"/>
              </w:tabs>
              <w:autoSpaceDE w:val="0"/>
              <w:autoSpaceDN w:val="0"/>
              <w:adjustRightInd w:val="0"/>
              <w:spacing w:line="240" w:lineRule="auto"/>
              <w:rPr>
                <w:szCs w:val="22"/>
                <w:lang w:val="pl-PL"/>
              </w:rPr>
            </w:pPr>
          </w:p>
        </w:tc>
      </w:tr>
      <w:tr w:rsidR="008D2D2B" w:rsidRPr="00C24D08" w14:paraId="67299E29" w14:textId="77777777" w:rsidTr="003D6DE8">
        <w:tc>
          <w:tcPr>
            <w:tcW w:w="9071" w:type="dxa"/>
            <w:gridSpan w:val="2"/>
          </w:tcPr>
          <w:p w14:paraId="45B90CB7" w14:textId="77777777" w:rsidR="008D2D2B" w:rsidRPr="00C24D08" w:rsidRDefault="008D2D2B" w:rsidP="00C24D08">
            <w:pPr>
              <w:tabs>
                <w:tab w:val="clear" w:pos="567"/>
              </w:tabs>
              <w:autoSpaceDE w:val="0"/>
              <w:autoSpaceDN w:val="0"/>
              <w:adjustRightInd w:val="0"/>
              <w:spacing w:line="240" w:lineRule="auto"/>
              <w:rPr>
                <w:szCs w:val="22"/>
              </w:rPr>
            </w:pPr>
            <w:r w:rsidRPr="00C24D08">
              <w:rPr>
                <w:b/>
                <w:szCs w:val="22"/>
              </w:rPr>
              <w:t>Poruchy kostrovej a svalovej sústavy a spojivového tkaniva</w:t>
            </w:r>
          </w:p>
        </w:tc>
      </w:tr>
      <w:tr w:rsidR="008D2D2B" w:rsidRPr="00C24D08" w14:paraId="5434DF00" w14:textId="77777777" w:rsidTr="003D6DE8">
        <w:tc>
          <w:tcPr>
            <w:tcW w:w="1798" w:type="dxa"/>
          </w:tcPr>
          <w:p w14:paraId="42A56C9A" w14:textId="17CE622A" w:rsidR="008D2D2B" w:rsidRPr="00C24D08" w:rsidRDefault="00077FF5" w:rsidP="00C24D08">
            <w:pPr>
              <w:tabs>
                <w:tab w:val="clear" w:pos="567"/>
              </w:tabs>
              <w:autoSpaceDE w:val="0"/>
              <w:autoSpaceDN w:val="0"/>
              <w:adjustRightInd w:val="0"/>
              <w:spacing w:line="240" w:lineRule="auto"/>
              <w:rPr>
                <w:szCs w:val="22"/>
              </w:rPr>
            </w:pPr>
            <w:r w:rsidRPr="00C24D08">
              <w:rPr>
                <w:szCs w:val="22"/>
              </w:rPr>
              <w:t>Časté</w:t>
            </w:r>
            <w:r w:rsidR="008D2D2B" w:rsidRPr="00C24D08">
              <w:rPr>
                <w:szCs w:val="22"/>
              </w:rPr>
              <w:t>:</w:t>
            </w:r>
          </w:p>
        </w:tc>
        <w:tc>
          <w:tcPr>
            <w:tcW w:w="7273" w:type="dxa"/>
          </w:tcPr>
          <w:p w14:paraId="5F442463" w14:textId="6BDA962F" w:rsidR="008D2D2B" w:rsidRPr="00C24D08" w:rsidRDefault="00077FF5" w:rsidP="00C24D08">
            <w:pPr>
              <w:tabs>
                <w:tab w:val="clear" w:pos="567"/>
              </w:tabs>
              <w:autoSpaceDE w:val="0"/>
              <w:autoSpaceDN w:val="0"/>
              <w:adjustRightInd w:val="0"/>
              <w:spacing w:line="240" w:lineRule="auto"/>
              <w:rPr>
                <w:szCs w:val="22"/>
              </w:rPr>
            </w:pPr>
            <w:r w:rsidRPr="00C24D08">
              <w:rPr>
                <w:szCs w:val="22"/>
              </w:rPr>
              <w:t>B</w:t>
            </w:r>
            <w:r w:rsidR="00B1348C" w:rsidRPr="00C24D08">
              <w:rPr>
                <w:szCs w:val="22"/>
              </w:rPr>
              <w:t xml:space="preserve">olesť chrbta, </w:t>
            </w:r>
            <w:proofErr w:type="spellStart"/>
            <w:r w:rsidR="00B1348C" w:rsidRPr="00C24D08">
              <w:rPr>
                <w:szCs w:val="22"/>
              </w:rPr>
              <w:t>myalgia</w:t>
            </w:r>
            <w:proofErr w:type="spellEnd"/>
            <w:r w:rsidR="00B1348C" w:rsidRPr="00C24D08">
              <w:rPr>
                <w:szCs w:val="22"/>
              </w:rPr>
              <w:t xml:space="preserve"> </w:t>
            </w:r>
          </w:p>
        </w:tc>
      </w:tr>
      <w:tr w:rsidR="008D2D2B" w:rsidRPr="00C24D08" w14:paraId="6C2DB83A" w14:textId="77777777" w:rsidTr="003D6DE8">
        <w:tc>
          <w:tcPr>
            <w:tcW w:w="1798" w:type="dxa"/>
          </w:tcPr>
          <w:p w14:paraId="0B5BF891" w14:textId="025793DC" w:rsidR="008D2D2B" w:rsidRPr="00C24D08" w:rsidRDefault="00077FF5" w:rsidP="00C24D08">
            <w:pPr>
              <w:tabs>
                <w:tab w:val="clear" w:pos="567"/>
              </w:tabs>
              <w:autoSpaceDE w:val="0"/>
              <w:autoSpaceDN w:val="0"/>
              <w:adjustRightInd w:val="0"/>
              <w:spacing w:line="240" w:lineRule="auto"/>
              <w:rPr>
                <w:szCs w:val="22"/>
              </w:rPr>
            </w:pPr>
            <w:r w:rsidRPr="00C24D08">
              <w:rPr>
                <w:szCs w:val="22"/>
              </w:rPr>
              <w:t>Menej časté</w:t>
            </w:r>
            <w:r w:rsidR="00357CB1" w:rsidRPr="00C24D08">
              <w:rPr>
                <w:szCs w:val="22"/>
              </w:rPr>
              <w:t>:</w:t>
            </w:r>
          </w:p>
        </w:tc>
        <w:tc>
          <w:tcPr>
            <w:tcW w:w="7273" w:type="dxa"/>
          </w:tcPr>
          <w:p w14:paraId="625B85ED" w14:textId="3B057DE9" w:rsidR="008D2D2B" w:rsidRPr="00C24D08" w:rsidRDefault="00077FF5">
            <w:pPr>
              <w:tabs>
                <w:tab w:val="clear" w:pos="567"/>
              </w:tabs>
              <w:autoSpaceDE w:val="0"/>
              <w:autoSpaceDN w:val="0"/>
              <w:adjustRightInd w:val="0"/>
              <w:spacing w:line="240" w:lineRule="auto"/>
              <w:rPr>
                <w:szCs w:val="22"/>
              </w:rPr>
            </w:pPr>
            <w:r w:rsidRPr="00C24D08">
              <w:rPr>
                <w:szCs w:val="22"/>
              </w:rPr>
              <w:t>K</w:t>
            </w:r>
            <w:r w:rsidR="009B1418" w:rsidRPr="00C24D08">
              <w:rPr>
                <w:szCs w:val="22"/>
              </w:rPr>
              <w:t xml:space="preserve">ŕče nôh, </w:t>
            </w:r>
            <w:proofErr w:type="spellStart"/>
            <w:r w:rsidR="009B1418" w:rsidRPr="00C24D08">
              <w:rPr>
                <w:szCs w:val="22"/>
              </w:rPr>
              <w:t>zášklby</w:t>
            </w:r>
            <w:proofErr w:type="spellEnd"/>
            <w:r w:rsidR="009B1418" w:rsidRPr="00C24D08">
              <w:rPr>
                <w:szCs w:val="22"/>
              </w:rPr>
              <w:t xml:space="preserve"> svalov, </w:t>
            </w:r>
            <w:proofErr w:type="spellStart"/>
            <w:r w:rsidR="009B1418" w:rsidRPr="00C24D08">
              <w:rPr>
                <w:szCs w:val="22"/>
              </w:rPr>
              <w:t>mya</w:t>
            </w:r>
            <w:r w:rsidR="00DE79AC">
              <w:rPr>
                <w:szCs w:val="22"/>
              </w:rPr>
              <w:t>sténia</w:t>
            </w:r>
            <w:proofErr w:type="spellEnd"/>
            <w:r w:rsidR="009B1418" w:rsidRPr="00C24D08">
              <w:rPr>
                <w:szCs w:val="22"/>
              </w:rPr>
              <w:t>, problémy s kĺbmi</w:t>
            </w:r>
          </w:p>
        </w:tc>
      </w:tr>
      <w:tr w:rsidR="003D6DE8" w:rsidRPr="00C24D08" w14:paraId="2C89BF2C" w14:textId="77777777" w:rsidTr="003D6DE8">
        <w:tc>
          <w:tcPr>
            <w:tcW w:w="1798" w:type="dxa"/>
          </w:tcPr>
          <w:p w14:paraId="31016ED3" w14:textId="77777777" w:rsidR="003D6DE8" w:rsidRPr="00C24D08" w:rsidRDefault="003D6DE8" w:rsidP="00C24D08">
            <w:pPr>
              <w:tabs>
                <w:tab w:val="clear" w:pos="567"/>
              </w:tabs>
              <w:autoSpaceDE w:val="0"/>
              <w:autoSpaceDN w:val="0"/>
              <w:adjustRightInd w:val="0"/>
              <w:spacing w:line="240" w:lineRule="auto"/>
              <w:rPr>
                <w:szCs w:val="22"/>
              </w:rPr>
            </w:pPr>
            <w:r w:rsidRPr="00C24D08">
              <w:rPr>
                <w:color w:val="000000"/>
                <w:szCs w:val="22"/>
              </w:rPr>
              <w:t>Neznáme:</w:t>
            </w:r>
          </w:p>
        </w:tc>
        <w:tc>
          <w:tcPr>
            <w:tcW w:w="7273" w:type="dxa"/>
          </w:tcPr>
          <w:p w14:paraId="1F0561E8" w14:textId="6BB13534" w:rsidR="003D6DE8" w:rsidRPr="00C24D08" w:rsidRDefault="00077FF5" w:rsidP="00C24D08">
            <w:pPr>
              <w:tabs>
                <w:tab w:val="clear" w:pos="567"/>
              </w:tabs>
              <w:autoSpaceDE w:val="0"/>
              <w:autoSpaceDN w:val="0"/>
              <w:adjustRightInd w:val="0"/>
              <w:spacing w:line="240" w:lineRule="auto"/>
              <w:rPr>
                <w:szCs w:val="22"/>
              </w:rPr>
            </w:pPr>
            <w:r w:rsidRPr="00C24D08">
              <w:rPr>
                <w:color w:val="000000"/>
                <w:szCs w:val="22"/>
              </w:rPr>
              <w:t>S</w:t>
            </w:r>
            <w:r w:rsidR="003D6DE8" w:rsidRPr="00C24D08">
              <w:rPr>
                <w:color w:val="000000"/>
                <w:szCs w:val="22"/>
              </w:rPr>
              <w:t>valová slabosť*</w:t>
            </w:r>
          </w:p>
        </w:tc>
      </w:tr>
      <w:tr w:rsidR="0095673E" w:rsidRPr="00C24D08" w14:paraId="286ADF93" w14:textId="77777777" w:rsidTr="003D6DE8">
        <w:tc>
          <w:tcPr>
            <w:tcW w:w="1798" w:type="dxa"/>
          </w:tcPr>
          <w:p w14:paraId="3B77D62C" w14:textId="77777777" w:rsidR="0095673E" w:rsidRPr="00C24D08" w:rsidRDefault="0095673E" w:rsidP="00C24D08">
            <w:pPr>
              <w:tabs>
                <w:tab w:val="clear" w:pos="567"/>
              </w:tabs>
              <w:autoSpaceDE w:val="0"/>
              <w:autoSpaceDN w:val="0"/>
              <w:adjustRightInd w:val="0"/>
              <w:spacing w:line="240" w:lineRule="auto"/>
              <w:rPr>
                <w:szCs w:val="22"/>
                <w:lang w:val="en-US" w:eastAsia="de-DE"/>
              </w:rPr>
            </w:pPr>
          </w:p>
        </w:tc>
        <w:tc>
          <w:tcPr>
            <w:tcW w:w="7273" w:type="dxa"/>
          </w:tcPr>
          <w:p w14:paraId="7F6031FE" w14:textId="77777777" w:rsidR="0095673E" w:rsidRPr="00C24D08" w:rsidRDefault="0095673E" w:rsidP="00C24D08">
            <w:pPr>
              <w:tabs>
                <w:tab w:val="clear" w:pos="567"/>
              </w:tabs>
              <w:autoSpaceDE w:val="0"/>
              <w:autoSpaceDN w:val="0"/>
              <w:adjustRightInd w:val="0"/>
              <w:spacing w:line="240" w:lineRule="auto"/>
              <w:rPr>
                <w:szCs w:val="22"/>
                <w:lang w:val="en-US"/>
              </w:rPr>
            </w:pPr>
          </w:p>
        </w:tc>
      </w:tr>
      <w:tr w:rsidR="008D2D2B" w:rsidRPr="00C24D08" w14:paraId="26FBF879" w14:textId="77777777" w:rsidTr="003D6DE8">
        <w:tc>
          <w:tcPr>
            <w:tcW w:w="9071" w:type="dxa"/>
            <w:gridSpan w:val="2"/>
          </w:tcPr>
          <w:p w14:paraId="270FDF73" w14:textId="77777777" w:rsidR="008D2D2B" w:rsidRPr="00C24D08" w:rsidRDefault="008D2D2B" w:rsidP="00C24D08">
            <w:pPr>
              <w:tabs>
                <w:tab w:val="clear" w:pos="567"/>
              </w:tabs>
              <w:autoSpaceDE w:val="0"/>
              <w:autoSpaceDN w:val="0"/>
              <w:adjustRightInd w:val="0"/>
              <w:spacing w:line="240" w:lineRule="auto"/>
              <w:rPr>
                <w:szCs w:val="22"/>
              </w:rPr>
            </w:pPr>
            <w:r w:rsidRPr="00C24D08">
              <w:rPr>
                <w:b/>
                <w:szCs w:val="22"/>
              </w:rPr>
              <w:t>Poruchy obličiek a močových ciest</w:t>
            </w:r>
          </w:p>
        </w:tc>
      </w:tr>
      <w:tr w:rsidR="008D2D2B" w:rsidRPr="00C24D08" w14:paraId="37ACBFB3" w14:textId="77777777" w:rsidTr="003D6DE8">
        <w:tc>
          <w:tcPr>
            <w:tcW w:w="1798" w:type="dxa"/>
          </w:tcPr>
          <w:p w14:paraId="2B780E8D" w14:textId="284E4750" w:rsidR="008D2D2B" w:rsidRPr="00C24D08" w:rsidRDefault="00077FF5" w:rsidP="00C24D08">
            <w:pPr>
              <w:tabs>
                <w:tab w:val="clear" w:pos="567"/>
              </w:tabs>
              <w:autoSpaceDE w:val="0"/>
              <w:autoSpaceDN w:val="0"/>
              <w:adjustRightInd w:val="0"/>
              <w:spacing w:line="240" w:lineRule="auto"/>
              <w:rPr>
                <w:szCs w:val="22"/>
              </w:rPr>
            </w:pPr>
            <w:r w:rsidRPr="00C24D08">
              <w:rPr>
                <w:szCs w:val="22"/>
              </w:rPr>
              <w:t>Menej časté</w:t>
            </w:r>
            <w:r w:rsidR="008D2D2B" w:rsidRPr="00C24D08">
              <w:rPr>
                <w:szCs w:val="22"/>
              </w:rPr>
              <w:t>:</w:t>
            </w:r>
          </w:p>
        </w:tc>
        <w:tc>
          <w:tcPr>
            <w:tcW w:w="7273" w:type="dxa"/>
          </w:tcPr>
          <w:p w14:paraId="37D313D6" w14:textId="77777777" w:rsidR="008D2D2B" w:rsidRPr="00C24D08" w:rsidRDefault="007C272B" w:rsidP="00C24D08">
            <w:pPr>
              <w:tabs>
                <w:tab w:val="clear" w:pos="567"/>
              </w:tabs>
              <w:autoSpaceDE w:val="0"/>
              <w:autoSpaceDN w:val="0"/>
              <w:adjustRightInd w:val="0"/>
              <w:spacing w:line="240" w:lineRule="auto"/>
              <w:rPr>
                <w:szCs w:val="22"/>
              </w:rPr>
            </w:pPr>
            <w:r w:rsidRPr="00C24D08">
              <w:rPr>
                <w:szCs w:val="22"/>
              </w:rPr>
              <w:t xml:space="preserve">Zvýšená frekvencia močenia, infekcia močových ciest, bolesť obličiek, inkontinencia, obličkový kameň, </w:t>
            </w:r>
            <w:proofErr w:type="spellStart"/>
            <w:r w:rsidRPr="00C24D08">
              <w:rPr>
                <w:szCs w:val="22"/>
              </w:rPr>
              <w:t>albuminúria</w:t>
            </w:r>
            <w:proofErr w:type="spellEnd"/>
          </w:p>
        </w:tc>
      </w:tr>
      <w:tr w:rsidR="0095673E" w:rsidRPr="00C24D08" w14:paraId="3EC1CD7D" w14:textId="77777777" w:rsidTr="003D6DE8">
        <w:tc>
          <w:tcPr>
            <w:tcW w:w="1798" w:type="dxa"/>
          </w:tcPr>
          <w:p w14:paraId="79431063" w14:textId="77777777" w:rsidR="0095673E" w:rsidRPr="00C24D08" w:rsidRDefault="0095673E" w:rsidP="00C24D08">
            <w:pPr>
              <w:tabs>
                <w:tab w:val="clear" w:pos="567"/>
              </w:tabs>
              <w:autoSpaceDE w:val="0"/>
              <w:autoSpaceDN w:val="0"/>
              <w:adjustRightInd w:val="0"/>
              <w:spacing w:line="240" w:lineRule="auto"/>
              <w:rPr>
                <w:szCs w:val="22"/>
              </w:rPr>
            </w:pPr>
          </w:p>
        </w:tc>
        <w:tc>
          <w:tcPr>
            <w:tcW w:w="7273" w:type="dxa"/>
          </w:tcPr>
          <w:p w14:paraId="1CD8A86B" w14:textId="77777777" w:rsidR="0095673E" w:rsidRPr="00C24D08" w:rsidRDefault="0095673E" w:rsidP="00C24D08">
            <w:pPr>
              <w:tabs>
                <w:tab w:val="clear" w:pos="567"/>
              </w:tabs>
              <w:autoSpaceDE w:val="0"/>
              <w:autoSpaceDN w:val="0"/>
              <w:adjustRightInd w:val="0"/>
              <w:spacing w:line="240" w:lineRule="auto"/>
              <w:rPr>
                <w:szCs w:val="22"/>
                <w:lang w:eastAsia="de-DE"/>
              </w:rPr>
            </w:pPr>
          </w:p>
        </w:tc>
      </w:tr>
      <w:tr w:rsidR="008D2D2B" w:rsidRPr="00C24D08" w14:paraId="72E2E269" w14:textId="77777777" w:rsidTr="003D6DE8">
        <w:tc>
          <w:tcPr>
            <w:tcW w:w="9071" w:type="dxa"/>
            <w:gridSpan w:val="2"/>
          </w:tcPr>
          <w:p w14:paraId="2BF50C3A" w14:textId="77777777" w:rsidR="008D2D2B" w:rsidRPr="00C24D08" w:rsidRDefault="008D2D2B" w:rsidP="00C24D08">
            <w:pPr>
              <w:tabs>
                <w:tab w:val="clear" w:pos="567"/>
              </w:tabs>
              <w:autoSpaceDE w:val="0"/>
              <w:autoSpaceDN w:val="0"/>
              <w:adjustRightInd w:val="0"/>
              <w:spacing w:line="240" w:lineRule="auto"/>
              <w:rPr>
                <w:szCs w:val="22"/>
              </w:rPr>
            </w:pPr>
            <w:r w:rsidRPr="00C24D08">
              <w:rPr>
                <w:b/>
                <w:szCs w:val="22"/>
              </w:rPr>
              <w:t>Poruchy reprodukčného systému a prsníkov</w:t>
            </w:r>
          </w:p>
        </w:tc>
      </w:tr>
      <w:tr w:rsidR="00372F1A" w:rsidRPr="00C24D08" w14:paraId="512FB9BA" w14:textId="77777777" w:rsidTr="003D6DE8">
        <w:tc>
          <w:tcPr>
            <w:tcW w:w="1798" w:type="dxa"/>
          </w:tcPr>
          <w:p w14:paraId="0514D214" w14:textId="495E8BA9" w:rsidR="00372F1A" w:rsidRPr="00C24D08" w:rsidRDefault="00077FF5" w:rsidP="00C24D08">
            <w:pPr>
              <w:tabs>
                <w:tab w:val="clear" w:pos="567"/>
              </w:tabs>
              <w:autoSpaceDE w:val="0"/>
              <w:autoSpaceDN w:val="0"/>
              <w:adjustRightInd w:val="0"/>
              <w:spacing w:line="240" w:lineRule="auto"/>
              <w:rPr>
                <w:szCs w:val="22"/>
              </w:rPr>
            </w:pPr>
            <w:r w:rsidRPr="00C24D08">
              <w:rPr>
                <w:szCs w:val="22"/>
              </w:rPr>
              <w:t>Menej časté</w:t>
            </w:r>
            <w:r w:rsidR="00372F1A" w:rsidRPr="00C24D08">
              <w:rPr>
                <w:szCs w:val="22"/>
              </w:rPr>
              <w:t>:</w:t>
            </w:r>
          </w:p>
        </w:tc>
        <w:tc>
          <w:tcPr>
            <w:tcW w:w="7273" w:type="dxa"/>
          </w:tcPr>
          <w:p w14:paraId="0ACC0D87" w14:textId="3DE13DF6" w:rsidR="00372F1A" w:rsidRPr="00C24D08" w:rsidRDefault="00077FF5" w:rsidP="00C24D08">
            <w:pPr>
              <w:tabs>
                <w:tab w:val="clear" w:pos="567"/>
              </w:tabs>
              <w:autoSpaceDE w:val="0"/>
              <w:autoSpaceDN w:val="0"/>
              <w:adjustRightInd w:val="0"/>
              <w:spacing w:line="240" w:lineRule="auto"/>
              <w:rPr>
                <w:szCs w:val="22"/>
              </w:rPr>
            </w:pPr>
            <w:r w:rsidRPr="00C24D08">
              <w:rPr>
                <w:szCs w:val="22"/>
              </w:rPr>
              <w:t>B</w:t>
            </w:r>
            <w:r w:rsidR="00372F1A" w:rsidRPr="00C24D08">
              <w:rPr>
                <w:szCs w:val="22"/>
              </w:rPr>
              <w:t xml:space="preserve">olestivá menštruácia, </w:t>
            </w:r>
            <w:proofErr w:type="spellStart"/>
            <w:r w:rsidR="00372F1A" w:rsidRPr="00C24D08">
              <w:rPr>
                <w:szCs w:val="22"/>
              </w:rPr>
              <w:t>metrorágia</w:t>
            </w:r>
            <w:proofErr w:type="spellEnd"/>
            <w:r w:rsidR="00372F1A" w:rsidRPr="00C24D08">
              <w:rPr>
                <w:szCs w:val="22"/>
              </w:rPr>
              <w:t xml:space="preserve">, bolesť prsníkov, </w:t>
            </w:r>
            <w:proofErr w:type="spellStart"/>
            <w:r w:rsidR="00372F1A" w:rsidRPr="00C24D08">
              <w:rPr>
                <w:szCs w:val="22"/>
              </w:rPr>
              <w:t>hypomenorea</w:t>
            </w:r>
            <w:proofErr w:type="spellEnd"/>
            <w:r w:rsidR="00372F1A" w:rsidRPr="00C24D08">
              <w:rPr>
                <w:szCs w:val="22"/>
              </w:rPr>
              <w:t>, impotencia</w:t>
            </w:r>
          </w:p>
        </w:tc>
      </w:tr>
      <w:tr w:rsidR="0095673E" w:rsidRPr="00C24D08" w14:paraId="170A8A79" w14:textId="77777777" w:rsidTr="003D6DE8">
        <w:tc>
          <w:tcPr>
            <w:tcW w:w="1798" w:type="dxa"/>
          </w:tcPr>
          <w:p w14:paraId="2EF4EB90" w14:textId="77777777" w:rsidR="0095673E" w:rsidRPr="005B54CC" w:rsidRDefault="0095673E" w:rsidP="00C24D08">
            <w:pPr>
              <w:tabs>
                <w:tab w:val="clear" w:pos="567"/>
              </w:tabs>
              <w:autoSpaceDE w:val="0"/>
              <w:autoSpaceDN w:val="0"/>
              <w:adjustRightInd w:val="0"/>
              <w:spacing w:line="240" w:lineRule="auto"/>
              <w:rPr>
                <w:szCs w:val="22"/>
              </w:rPr>
            </w:pPr>
          </w:p>
        </w:tc>
        <w:tc>
          <w:tcPr>
            <w:tcW w:w="7273" w:type="dxa"/>
          </w:tcPr>
          <w:p w14:paraId="04FDC8BC" w14:textId="77777777" w:rsidR="0095673E" w:rsidRPr="005B54CC" w:rsidRDefault="0095673E" w:rsidP="00C24D08">
            <w:pPr>
              <w:tabs>
                <w:tab w:val="clear" w:pos="567"/>
              </w:tabs>
              <w:autoSpaceDE w:val="0"/>
              <w:autoSpaceDN w:val="0"/>
              <w:adjustRightInd w:val="0"/>
              <w:spacing w:line="240" w:lineRule="auto"/>
              <w:rPr>
                <w:szCs w:val="22"/>
              </w:rPr>
            </w:pPr>
          </w:p>
        </w:tc>
      </w:tr>
      <w:tr w:rsidR="008D2D2B" w:rsidRPr="00C24D08" w14:paraId="5FF73966" w14:textId="77777777" w:rsidTr="003D6DE8">
        <w:tc>
          <w:tcPr>
            <w:tcW w:w="9071" w:type="dxa"/>
            <w:gridSpan w:val="2"/>
          </w:tcPr>
          <w:p w14:paraId="0A6F03F3" w14:textId="2B22D5FE" w:rsidR="008D2D2B" w:rsidRPr="00C24D08" w:rsidRDefault="008D2D2B" w:rsidP="00C24D08">
            <w:pPr>
              <w:tabs>
                <w:tab w:val="clear" w:pos="567"/>
              </w:tabs>
              <w:autoSpaceDE w:val="0"/>
              <w:autoSpaceDN w:val="0"/>
              <w:adjustRightInd w:val="0"/>
              <w:spacing w:line="240" w:lineRule="auto"/>
              <w:rPr>
                <w:szCs w:val="22"/>
              </w:rPr>
            </w:pPr>
            <w:r w:rsidRPr="00C24D08">
              <w:rPr>
                <w:b/>
                <w:szCs w:val="22"/>
              </w:rPr>
              <w:t xml:space="preserve">Celkové poruchy a </w:t>
            </w:r>
            <w:r w:rsidR="00077FF5" w:rsidRPr="00C24D08">
              <w:rPr>
                <w:b/>
                <w:szCs w:val="22"/>
              </w:rPr>
              <w:t>reakcie</w:t>
            </w:r>
            <w:r w:rsidRPr="00C24D08">
              <w:rPr>
                <w:b/>
                <w:szCs w:val="22"/>
              </w:rPr>
              <w:t xml:space="preserve"> v mieste podania </w:t>
            </w:r>
          </w:p>
        </w:tc>
      </w:tr>
      <w:tr w:rsidR="008D2D2B" w:rsidRPr="00C24D08" w14:paraId="2AC677F1" w14:textId="77777777" w:rsidTr="003D6DE8">
        <w:tc>
          <w:tcPr>
            <w:tcW w:w="1798" w:type="dxa"/>
          </w:tcPr>
          <w:p w14:paraId="2A61D9C5" w14:textId="570BA29C" w:rsidR="008D2D2B" w:rsidRPr="00C24D08" w:rsidRDefault="00077FF5" w:rsidP="00C24D08">
            <w:pPr>
              <w:tabs>
                <w:tab w:val="clear" w:pos="567"/>
              </w:tabs>
              <w:autoSpaceDE w:val="0"/>
              <w:autoSpaceDN w:val="0"/>
              <w:adjustRightInd w:val="0"/>
              <w:spacing w:line="240" w:lineRule="auto"/>
              <w:rPr>
                <w:szCs w:val="22"/>
              </w:rPr>
            </w:pPr>
            <w:r w:rsidRPr="00C24D08">
              <w:rPr>
                <w:szCs w:val="22"/>
              </w:rPr>
              <w:t>Časté</w:t>
            </w:r>
            <w:r w:rsidR="008D2D2B" w:rsidRPr="00C24D08">
              <w:rPr>
                <w:szCs w:val="22"/>
              </w:rPr>
              <w:t>:</w:t>
            </w:r>
          </w:p>
        </w:tc>
        <w:tc>
          <w:tcPr>
            <w:tcW w:w="7273" w:type="dxa"/>
          </w:tcPr>
          <w:p w14:paraId="06EC1AA2" w14:textId="7A451DB8" w:rsidR="008D2D2B" w:rsidRPr="00C24D08" w:rsidRDefault="00077FF5" w:rsidP="00C24D08">
            <w:pPr>
              <w:tabs>
                <w:tab w:val="clear" w:pos="567"/>
              </w:tabs>
              <w:autoSpaceDE w:val="0"/>
              <w:autoSpaceDN w:val="0"/>
              <w:adjustRightInd w:val="0"/>
              <w:spacing w:line="240" w:lineRule="auto"/>
              <w:rPr>
                <w:szCs w:val="22"/>
              </w:rPr>
            </w:pPr>
            <w:r w:rsidRPr="00C24D08">
              <w:rPr>
                <w:szCs w:val="22"/>
              </w:rPr>
              <w:t>A</w:t>
            </w:r>
            <w:r w:rsidR="00F16E0F" w:rsidRPr="00C24D08">
              <w:rPr>
                <w:szCs w:val="22"/>
              </w:rPr>
              <w:t>sténia, bolesť</w:t>
            </w:r>
          </w:p>
        </w:tc>
      </w:tr>
      <w:tr w:rsidR="008D2D2B" w:rsidRPr="00C24D08" w14:paraId="691F88AB" w14:textId="77777777" w:rsidTr="003D6DE8">
        <w:tc>
          <w:tcPr>
            <w:tcW w:w="1798" w:type="dxa"/>
          </w:tcPr>
          <w:p w14:paraId="1AF43025" w14:textId="447FB2EB" w:rsidR="008D2D2B" w:rsidRPr="00C24D08" w:rsidRDefault="00077FF5" w:rsidP="00C24D08">
            <w:pPr>
              <w:tabs>
                <w:tab w:val="clear" w:pos="567"/>
              </w:tabs>
              <w:autoSpaceDE w:val="0"/>
              <w:autoSpaceDN w:val="0"/>
              <w:adjustRightInd w:val="0"/>
              <w:spacing w:line="240" w:lineRule="auto"/>
              <w:rPr>
                <w:szCs w:val="22"/>
              </w:rPr>
            </w:pPr>
            <w:r w:rsidRPr="00C24D08">
              <w:rPr>
                <w:szCs w:val="22"/>
              </w:rPr>
              <w:t>Menej časté</w:t>
            </w:r>
            <w:r w:rsidR="008D2D2B" w:rsidRPr="00C24D08">
              <w:rPr>
                <w:szCs w:val="22"/>
              </w:rPr>
              <w:t>:</w:t>
            </w:r>
          </w:p>
        </w:tc>
        <w:tc>
          <w:tcPr>
            <w:tcW w:w="7273" w:type="dxa"/>
          </w:tcPr>
          <w:p w14:paraId="24E7BBE2" w14:textId="256AEB37" w:rsidR="008D2D2B" w:rsidRPr="00C24D08" w:rsidRDefault="00077FF5" w:rsidP="00C24D08">
            <w:pPr>
              <w:tabs>
                <w:tab w:val="clear" w:pos="567"/>
              </w:tabs>
              <w:autoSpaceDE w:val="0"/>
              <w:autoSpaceDN w:val="0"/>
              <w:adjustRightInd w:val="0"/>
              <w:spacing w:line="240" w:lineRule="auto"/>
              <w:rPr>
                <w:szCs w:val="22"/>
              </w:rPr>
            </w:pPr>
            <w:r w:rsidRPr="00C24D08">
              <w:rPr>
                <w:szCs w:val="22"/>
              </w:rPr>
              <w:t>H</w:t>
            </w:r>
            <w:r w:rsidR="00B1348C" w:rsidRPr="00C24D08">
              <w:rPr>
                <w:szCs w:val="22"/>
              </w:rPr>
              <w:t xml:space="preserve">orúčka, </w:t>
            </w:r>
            <w:r w:rsidR="00B1348C" w:rsidRPr="00C24D08">
              <w:rPr>
                <w:color w:val="000000"/>
                <w:szCs w:val="22"/>
              </w:rPr>
              <w:t>únava*</w:t>
            </w:r>
          </w:p>
        </w:tc>
      </w:tr>
      <w:tr w:rsidR="00F10D71" w:rsidRPr="00C24D08" w14:paraId="4E6C3477" w14:textId="77777777" w:rsidTr="003D6DE8">
        <w:tc>
          <w:tcPr>
            <w:tcW w:w="1798" w:type="dxa"/>
          </w:tcPr>
          <w:p w14:paraId="79CAF178" w14:textId="77777777" w:rsidR="00F10D71" w:rsidRPr="00C24D08" w:rsidRDefault="00F10D71" w:rsidP="00C24D08">
            <w:pPr>
              <w:tabs>
                <w:tab w:val="clear" w:pos="567"/>
              </w:tabs>
              <w:autoSpaceDE w:val="0"/>
              <w:autoSpaceDN w:val="0"/>
              <w:adjustRightInd w:val="0"/>
              <w:spacing w:line="240" w:lineRule="auto"/>
              <w:rPr>
                <w:szCs w:val="22"/>
                <w:lang w:val="en-US"/>
              </w:rPr>
            </w:pPr>
          </w:p>
        </w:tc>
        <w:tc>
          <w:tcPr>
            <w:tcW w:w="7273" w:type="dxa"/>
          </w:tcPr>
          <w:p w14:paraId="799E7144" w14:textId="77777777" w:rsidR="00F10D71" w:rsidRPr="00C24D08" w:rsidRDefault="00F10D71" w:rsidP="00C24D08">
            <w:pPr>
              <w:tabs>
                <w:tab w:val="clear" w:pos="567"/>
              </w:tabs>
              <w:autoSpaceDE w:val="0"/>
              <w:autoSpaceDN w:val="0"/>
              <w:adjustRightInd w:val="0"/>
              <w:spacing w:line="240" w:lineRule="auto"/>
              <w:rPr>
                <w:szCs w:val="22"/>
                <w:lang w:val="en-US"/>
              </w:rPr>
            </w:pPr>
          </w:p>
        </w:tc>
      </w:tr>
      <w:tr w:rsidR="00646A69" w:rsidRPr="00C24D08" w14:paraId="43F831AD" w14:textId="77777777" w:rsidTr="00EA3636">
        <w:tc>
          <w:tcPr>
            <w:tcW w:w="9071" w:type="dxa"/>
            <w:gridSpan w:val="2"/>
          </w:tcPr>
          <w:p w14:paraId="28258F53" w14:textId="49151FDD" w:rsidR="00646A69" w:rsidRPr="00C24D08" w:rsidRDefault="00077FF5" w:rsidP="00C24D08">
            <w:pPr>
              <w:tabs>
                <w:tab w:val="clear" w:pos="567"/>
              </w:tabs>
              <w:autoSpaceDE w:val="0"/>
              <w:autoSpaceDN w:val="0"/>
              <w:adjustRightInd w:val="0"/>
              <w:spacing w:line="240" w:lineRule="auto"/>
              <w:rPr>
                <w:szCs w:val="22"/>
              </w:rPr>
            </w:pPr>
            <w:r w:rsidRPr="00C24D08">
              <w:rPr>
                <w:b/>
                <w:szCs w:val="22"/>
              </w:rPr>
              <w:t>Laboratórne a funkčné vyšetrenia</w:t>
            </w:r>
          </w:p>
        </w:tc>
      </w:tr>
      <w:tr w:rsidR="00646A69" w:rsidRPr="00C24D08" w14:paraId="55038DF1" w14:textId="77777777" w:rsidTr="00EA3636">
        <w:tc>
          <w:tcPr>
            <w:tcW w:w="1798" w:type="dxa"/>
          </w:tcPr>
          <w:p w14:paraId="2396A17A" w14:textId="7AB68041" w:rsidR="00646A69" w:rsidRPr="00C24D08" w:rsidRDefault="00077FF5" w:rsidP="00C24D08">
            <w:pPr>
              <w:tabs>
                <w:tab w:val="clear" w:pos="567"/>
              </w:tabs>
              <w:autoSpaceDE w:val="0"/>
              <w:autoSpaceDN w:val="0"/>
              <w:adjustRightInd w:val="0"/>
              <w:spacing w:line="240" w:lineRule="auto"/>
              <w:rPr>
                <w:szCs w:val="22"/>
              </w:rPr>
            </w:pPr>
            <w:r w:rsidRPr="00C24D08">
              <w:rPr>
                <w:szCs w:val="22"/>
              </w:rPr>
              <w:t>Menej časté</w:t>
            </w:r>
            <w:r w:rsidR="00646A69" w:rsidRPr="00C24D08">
              <w:rPr>
                <w:szCs w:val="22"/>
              </w:rPr>
              <w:t>:</w:t>
            </w:r>
          </w:p>
        </w:tc>
        <w:tc>
          <w:tcPr>
            <w:tcW w:w="7273" w:type="dxa"/>
          </w:tcPr>
          <w:p w14:paraId="64BD80D0" w14:textId="65984B81" w:rsidR="00646A69" w:rsidRPr="00C24D08" w:rsidRDefault="00077FF5" w:rsidP="00C24D08">
            <w:pPr>
              <w:tabs>
                <w:tab w:val="clear" w:pos="567"/>
              </w:tabs>
              <w:autoSpaceDE w:val="0"/>
              <w:autoSpaceDN w:val="0"/>
              <w:adjustRightInd w:val="0"/>
              <w:spacing w:line="240" w:lineRule="auto"/>
              <w:rPr>
                <w:szCs w:val="22"/>
              </w:rPr>
            </w:pPr>
            <w:r w:rsidRPr="00C24D08">
              <w:rPr>
                <w:szCs w:val="22"/>
              </w:rPr>
              <w:t>P</w:t>
            </w:r>
            <w:r w:rsidR="00646A69" w:rsidRPr="00C24D08">
              <w:rPr>
                <w:szCs w:val="22"/>
              </w:rPr>
              <w:t xml:space="preserve">rírastok na váhe, chudnutie </w:t>
            </w:r>
          </w:p>
        </w:tc>
      </w:tr>
      <w:tr w:rsidR="00646A69" w:rsidRPr="00C24D08" w14:paraId="7F5805B9" w14:textId="77777777" w:rsidTr="003D6DE8">
        <w:tc>
          <w:tcPr>
            <w:tcW w:w="1798" w:type="dxa"/>
          </w:tcPr>
          <w:p w14:paraId="0469435A" w14:textId="77777777" w:rsidR="00646A69" w:rsidRPr="00C24D08" w:rsidRDefault="00646A69" w:rsidP="00C24D08">
            <w:pPr>
              <w:tabs>
                <w:tab w:val="clear" w:pos="567"/>
              </w:tabs>
              <w:autoSpaceDE w:val="0"/>
              <w:autoSpaceDN w:val="0"/>
              <w:adjustRightInd w:val="0"/>
              <w:spacing w:line="240" w:lineRule="auto"/>
              <w:rPr>
                <w:szCs w:val="22"/>
                <w:lang w:val="en-US"/>
              </w:rPr>
            </w:pPr>
          </w:p>
        </w:tc>
        <w:tc>
          <w:tcPr>
            <w:tcW w:w="7273" w:type="dxa"/>
          </w:tcPr>
          <w:p w14:paraId="55497D48" w14:textId="77777777" w:rsidR="00646A69" w:rsidRPr="00C24D08" w:rsidRDefault="00646A69" w:rsidP="00C24D08">
            <w:pPr>
              <w:tabs>
                <w:tab w:val="clear" w:pos="567"/>
              </w:tabs>
              <w:autoSpaceDE w:val="0"/>
              <w:autoSpaceDN w:val="0"/>
              <w:adjustRightInd w:val="0"/>
              <w:spacing w:line="240" w:lineRule="auto"/>
              <w:rPr>
                <w:szCs w:val="22"/>
                <w:lang w:val="en-US"/>
              </w:rPr>
            </w:pPr>
          </w:p>
        </w:tc>
      </w:tr>
      <w:tr w:rsidR="00F10D71" w:rsidRPr="00C24D08" w14:paraId="3821E4C5" w14:textId="77777777" w:rsidTr="00FD2140">
        <w:tc>
          <w:tcPr>
            <w:tcW w:w="9071" w:type="dxa"/>
            <w:gridSpan w:val="2"/>
          </w:tcPr>
          <w:p w14:paraId="6EE090DA" w14:textId="3AD7DCBE" w:rsidR="00F10D71" w:rsidRPr="00C24D08" w:rsidRDefault="00077FF5" w:rsidP="00C24D08">
            <w:pPr>
              <w:tabs>
                <w:tab w:val="clear" w:pos="567"/>
              </w:tabs>
              <w:autoSpaceDE w:val="0"/>
              <w:autoSpaceDN w:val="0"/>
              <w:adjustRightInd w:val="0"/>
              <w:spacing w:line="240" w:lineRule="auto"/>
              <w:rPr>
                <w:szCs w:val="22"/>
              </w:rPr>
            </w:pPr>
            <w:r w:rsidRPr="00C24D08">
              <w:rPr>
                <w:b/>
                <w:szCs w:val="22"/>
              </w:rPr>
              <w:t>Úrazy, otravy a komplikácie liečebného postupu</w:t>
            </w:r>
          </w:p>
        </w:tc>
      </w:tr>
      <w:tr w:rsidR="00F10D71" w:rsidRPr="00C24D08" w14:paraId="0290A140" w14:textId="77777777" w:rsidTr="00FD2140">
        <w:tc>
          <w:tcPr>
            <w:tcW w:w="1798" w:type="dxa"/>
          </w:tcPr>
          <w:p w14:paraId="075230DD" w14:textId="77777777" w:rsidR="00F10D71" w:rsidRPr="00C24D08" w:rsidRDefault="00F10D71" w:rsidP="00C24D08">
            <w:pPr>
              <w:tabs>
                <w:tab w:val="clear" w:pos="567"/>
              </w:tabs>
              <w:autoSpaceDE w:val="0"/>
              <w:autoSpaceDN w:val="0"/>
              <w:adjustRightInd w:val="0"/>
              <w:spacing w:line="240" w:lineRule="auto"/>
              <w:rPr>
                <w:szCs w:val="22"/>
              </w:rPr>
            </w:pPr>
            <w:r w:rsidRPr="00C24D08">
              <w:rPr>
                <w:szCs w:val="22"/>
              </w:rPr>
              <w:t>Zriedkavé:</w:t>
            </w:r>
          </w:p>
        </w:tc>
        <w:tc>
          <w:tcPr>
            <w:tcW w:w="7273" w:type="dxa"/>
          </w:tcPr>
          <w:p w14:paraId="772932D9" w14:textId="4F2952BC" w:rsidR="00F10D71" w:rsidRPr="00C24D08" w:rsidRDefault="00077FF5" w:rsidP="00C24D08">
            <w:pPr>
              <w:tabs>
                <w:tab w:val="clear" w:pos="567"/>
              </w:tabs>
              <w:autoSpaceDE w:val="0"/>
              <w:autoSpaceDN w:val="0"/>
              <w:adjustRightInd w:val="0"/>
              <w:spacing w:line="240" w:lineRule="auto"/>
              <w:rPr>
                <w:szCs w:val="22"/>
              </w:rPr>
            </w:pPr>
            <w:r w:rsidRPr="00C24D08">
              <w:rPr>
                <w:szCs w:val="22"/>
              </w:rPr>
              <w:t>P</w:t>
            </w:r>
            <w:r w:rsidR="00F10D71" w:rsidRPr="00C24D08">
              <w:rPr>
                <w:szCs w:val="22"/>
              </w:rPr>
              <w:t>ády (prevažne u starších pacientov)*</w:t>
            </w:r>
          </w:p>
        </w:tc>
      </w:tr>
      <w:tr w:rsidR="0095673E" w:rsidRPr="00C24D08" w14:paraId="2B978A5B" w14:textId="77777777" w:rsidTr="003D6DE8">
        <w:tc>
          <w:tcPr>
            <w:tcW w:w="1798" w:type="dxa"/>
          </w:tcPr>
          <w:p w14:paraId="0186D5D1" w14:textId="77777777" w:rsidR="0095673E" w:rsidRPr="00C24D08" w:rsidRDefault="0095673E" w:rsidP="00C24D08">
            <w:pPr>
              <w:tabs>
                <w:tab w:val="clear" w:pos="567"/>
              </w:tabs>
              <w:autoSpaceDE w:val="0"/>
              <w:autoSpaceDN w:val="0"/>
              <w:adjustRightInd w:val="0"/>
              <w:spacing w:line="240" w:lineRule="auto"/>
              <w:rPr>
                <w:szCs w:val="22"/>
                <w:lang w:val="en-US"/>
              </w:rPr>
            </w:pPr>
          </w:p>
        </w:tc>
        <w:tc>
          <w:tcPr>
            <w:tcW w:w="7273" w:type="dxa"/>
          </w:tcPr>
          <w:p w14:paraId="2CC563EF" w14:textId="77777777" w:rsidR="0095673E" w:rsidRPr="00C24D08" w:rsidRDefault="0095673E" w:rsidP="00C24D08">
            <w:pPr>
              <w:tabs>
                <w:tab w:val="clear" w:pos="567"/>
              </w:tabs>
              <w:autoSpaceDE w:val="0"/>
              <w:autoSpaceDN w:val="0"/>
              <w:adjustRightInd w:val="0"/>
              <w:spacing w:line="240" w:lineRule="auto"/>
              <w:rPr>
                <w:szCs w:val="22"/>
                <w:lang w:val="en-US"/>
              </w:rPr>
            </w:pPr>
          </w:p>
        </w:tc>
      </w:tr>
      <w:tr w:rsidR="008D2D2B" w:rsidRPr="00C24D08" w14:paraId="71EA2C9C" w14:textId="77777777" w:rsidTr="003D6DE8">
        <w:tc>
          <w:tcPr>
            <w:tcW w:w="9071" w:type="dxa"/>
            <w:gridSpan w:val="2"/>
          </w:tcPr>
          <w:p w14:paraId="6FA39724" w14:textId="77777777" w:rsidR="008D2D2B" w:rsidRPr="00C24D08" w:rsidRDefault="008D2D2B" w:rsidP="00C24D08">
            <w:pPr>
              <w:tabs>
                <w:tab w:val="clear" w:pos="567"/>
              </w:tabs>
              <w:autoSpaceDE w:val="0"/>
              <w:autoSpaceDN w:val="0"/>
              <w:adjustRightInd w:val="0"/>
              <w:spacing w:line="240" w:lineRule="auto"/>
              <w:rPr>
                <w:szCs w:val="22"/>
                <w:lang w:val="en-US" w:eastAsia="de-DE"/>
              </w:rPr>
            </w:pPr>
          </w:p>
        </w:tc>
      </w:tr>
      <w:tr w:rsidR="008D2D2B" w:rsidRPr="00C24D08" w14:paraId="70FCFE7C" w14:textId="77777777" w:rsidTr="003D6DE8">
        <w:tc>
          <w:tcPr>
            <w:tcW w:w="1798" w:type="dxa"/>
          </w:tcPr>
          <w:p w14:paraId="3FBE4DE4" w14:textId="77777777" w:rsidR="008D2D2B" w:rsidRPr="00C24D08" w:rsidRDefault="008D2D2B" w:rsidP="00C24D08">
            <w:pPr>
              <w:tabs>
                <w:tab w:val="clear" w:pos="567"/>
              </w:tabs>
              <w:autoSpaceDE w:val="0"/>
              <w:autoSpaceDN w:val="0"/>
              <w:adjustRightInd w:val="0"/>
              <w:spacing w:line="240" w:lineRule="auto"/>
              <w:rPr>
                <w:szCs w:val="22"/>
                <w:lang w:val="en-US" w:eastAsia="de-DE"/>
              </w:rPr>
            </w:pPr>
          </w:p>
        </w:tc>
        <w:tc>
          <w:tcPr>
            <w:tcW w:w="7273" w:type="dxa"/>
          </w:tcPr>
          <w:p w14:paraId="02BEE8FE" w14:textId="77777777" w:rsidR="008D2D2B" w:rsidRPr="00C24D08" w:rsidRDefault="008D2D2B" w:rsidP="00C24D08">
            <w:pPr>
              <w:tabs>
                <w:tab w:val="clear" w:pos="567"/>
              </w:tabs>
              <w:autoSpaceDE w:val="0"/>
              <w:autoSpaceDN w:val="0"/>
              <w:adjustRightInd w:val="0"/>
              <w:spacing w:line="240" w:lineRule="auto"/>
              <w:rPr>
                <w:szCs w:val="22"/>
                <w:lang w:val="en-US" w:eastAsia="de-DE"/>
              </w:rPr>
            </w:pPr>
          </w:p>
        </w:tc>
      </w:tr>
      <w:tr w:rsidR="0095673E" w:rsidRPr="00C24D08" w14:paraId="273B7AC2" w14:textId="77777777" w:rsidTr="003D6DE8">
        <w:tc>
          <w:tcPr>
            <w:tcW w:w="1798" w:type="dxa"/>
          </w:tcPr>
          <w:p w14:paraId="34BBCD51" w14:textId="77777777" w:rsidR="0095673E" w:rsidRPr="00C24D08" w:rsidRDefault="0095673E" w:rsidP="00C24D08">
            <w:pPr>
              <w:tabs>
                <w:tab w:val="clear" w:pos="567"/>
              </w:tabs>
              <w:autoSpaceDE w:val="0"/>
              <w:autoSpaceDN w:val="0"/>
              <w:adjustRightInd w:val="0"/>
              <w:spacing w:line="240" w:lineRule="auto"/>
              <w:rPr>
                <w:szCs w:val="22"/>
                <w:lang w:val="en-US" w:eastAsia="de-DE"/>
              </w:rPr>
            </w:pPr>
          </w:p>
        </w:tc>
        <w:tc>
          <w:tcPr>
            <w:tcW w:w="7273" w:type="dxa"/>
          </w:tcPr>
          <w:p w14:paraId="23C066FB" w14:textId="77777777" w:rsidR="0095673E" w:rsidRPr="00C24D08" w:rsidRDefault="0095673E" w:rsidP="00C24D08">
            <w:pPr>
              <w:tabs>
                <w:tab w:val="clear" w:pos="567"/>
              </w:tabs>
              <w:autoSpaceDE w:val="0"/>
              <w:autoSpaceDN w:val="0"/>
              <w:adjustRightInd w:val="0"/>
              <w:spacing w:line="240" w:lineRule="auto"/>
              <w:rPr>
                <w:szCs w:val="22"/>
                <w:lang w:val="en-US" w:eastAsia="de-DE"/>
              </w:rPr>
            </w:pPr>
          </w:p>
        </w:tc>
      </w:tr>
    </w:tbl>
    <w:p w14:paraId="2FE13A92" w14:textId="77777777" w:rsidR="004B29CB" w:rsidRPr="00C24D08" w:rsidRDefault="004B29CB" w:rsidP="00C24D08">
      <w:pPr>
        <w:tabs>
          <w:tab w:val="clear" w:pos="567"/>
        </w:tabs>
        <w:autoSpaceDE w:val="0"/>
        <w:autoSpaceDN w:val="0"/>
        <w:adjustRightInd w:val="0"/>
        <w:spacing w:line="240" w:lineRule="auto"/>
        <w:rPr>
          <w:szCs w:val="22"/>
          <w:lang w:val="en-US"/>
        </w:rPr>
      </w:pPr>
    </w:p>
    <w:p w14:paraId="6E90C190" w14:textId="77777777" w:rsidR="008F37D3" w:rsidRPr="00C24D08" w:rsidRDefault="008F37D3" w:rsidP="00C24D08">
      <w:pPr>
        <w:tabs>
          <w:tab w:val="clear" w:pos="567"/>
        </w:tabs>
        <w:autoSpaceDE w:val="0"/>
        <w:autoSpaceDN w:val="0"/>
        <w:adjustRightInd w:val="0"/>
        <w:spacing w:line="240" w:lineRule="auto"/>
        <w:rPr>
          <w:szCs w:val="22"/>
        </w:rPr>
      </w:pPr>
      <w:r w:rsidRPr="00C24D08">
        <w:rPr>
          <w:szCs w:val="22"/>
        </w:rPr>
        <w:t xml:space="preserve">* Nežiaduce reakcie, ktoré neboli hlásené pri </w:t>
      </w:r>
      <w:proofErr w:type="spellStart"/>
      <w:r w:rsidRPr="00C24D08">
        <w:rPr>
          <w:szCs w:val="22"/>
        </w:rPr>
        <w:t>eszopiklóne</w:t>
      </w:r>
      <w:proofErr w:type="spellEnd"/>
      <w:r w:rsidRPr="00C24D08">
        <w:rPr>
          <w:szCs w:val="22"/>
        </w:rPr>
        <w:t xml:space="preserve">, ale pri </w:t>
      </w:r>
      <w:proofErr w:type="spellStart"/>
      <w:r w:rsidRPr="00C24D08">
        <w:rPr>
          <w:szCs w:val="22"/>
        </w:rPr>
        <w:t>racemickom</w:t>
      </w:r>
      <w:proofErr w:type="spellEnd"/>
      <w:r w:rsidRPr="00C24D08">
        <w:rPr>
          <w:szCs w:val="22"/>
        </w:rPr>
        <w:t xml:space="preserve"> </w:t>
      </w:r>
      <w:proofErr w:type="spellStart"/>
      <w:r w:rsidRPr="00C24D08">
        <w:rPr>
          <w:szCs w:val="22"/>
        </w:rPr>
        <w:t>zopiklóne</w:t>
      </w:r>
      <w:proofErr w:type="spellEnd"/>
      <w:r w:rsidRPr="00C24D08">
        <w:rPr>
          <w:szCs w:val="22"/>
        </w:rPr>
        <w:t>.</w:t>
      </w:r>
    </w:p>
    <w:p w14:paraId="425E98F0" w14:textId="77777777" w:rsidR="004E2C93" w:rsidRPr="00C24D08" w:rsidRDefault="004E2C93" w:rsidP="00C24D08">
      <w:pPr>
        <w:spacing w:line="240" w:lineRule="auto"/>
        <w:rPr>
          <w:szCs w:val="22"/>
          <w:u w:val="single"/>
        </w:rPr>
      </w:pPr>
    </w:p>
    <w:p w14:paraId="421E111E" w14:textId="77777777" w:rsidR="006F3899" w:rsidRPr="00C24D08" w:rsidRDefault="006F3899" w:rsidP="00C24D08">
      <w:pPr>
        <w:tabs>
          <w:tab w:val="clear" w:pos="567"/>
        </w:tabs>
        <w:autoSpaceDE w:val="0"/>
        <w:autoSpaceDN w:val="0"/>
        <w:adjustRightInd w:val="0"/>
        <w:spacing w:line="240" w:lineRule="auto"/>
        <w:rPr>
          <w:i/>
          <w:iCs/>
          <w:szCs w:val="22"/>
        </w:rPr>
      </w:pPr>
      <w:r w:rsidRPr="00C24D08">
        <w:rPr>
          <w:i/>
          <w:iCs/>
          <w:szCs w:val="22"/>
        </w:rPr>
        <w:t>Amnézia</w:t>
      </w:r>
    </w:p>
    <w:p w14:paraId="16839540" w14:textId="77777777" w:rsidR="006F3899" w:rsidRPr="00C24D08" w:rsidRDefault="006F3899" w:rsidP="00C24D08">
      <w:pPr>
        <w:tabs>
          <w:tab w:val="clear" w:pos="567"/>
        </w:tabs>
        <w:autoSpaceDE w:val="0"/>
        <w:autoSpaceDN w:val="0"/>
        <w:adjustRightInd w:val="0"/>
        <w:spacing w:line="240" w:lineRule="auto"/>
        <w:rPr>
          <w:szCs w:val="22"/>
        </w:rPr>
      </w:pPr>
      <w:r w:rsidRPr="00C24D08">
        <w:rPr>
          <w:szCs w:val="22"/>
        </w:rPr>
        <w:t xml:space="preserve">Pri odporúčaných terapeutických dávkach sa môže vyskytnúť </w:t>
      </w:r>
      <w:proofErr w:type="spellStart"/>
      <w:r w:rsidRPr="00C24D08">
        <w:rPr>
          <w:szCs w:val="22"/>
        </w:rPr>
        <w:t>anterográdna</w:t>
      </w:r>
      <w:proofErr w:type="spellEnd"/>
      <w:r w:rsidRPr="00C24D08">
        <w:rPr>
          <w:szCs w:val="22"/>
        </w:rPr>
        <w:t xml:space="preserve"> amnézia, riziko sa pri vyšších dávkach zvyšuje. </w:t>
      </w:r>
      <w:proofErr w:type="spellStart"/>
      <w:r w:rsidRPr="00C24D08">
        <w:rPr>
          <w:szCs w:val="22"/>
        </w:rPr>
        <w:t>Amnestické</w:t>
      </w:r>
      <w:proofErr w:type="spellEnd"/>
      <w:r w:rsidRPr="00C24D08">
        <w:rPr>
          <w:szCs w:val="22"/>
        </w:rPr>
        <w:t xml:space="preserve"> účinky môžu byť spojené s nevhodným správaním (pozri časť 4.4).</w:t>
      </w:r>
    </w:p>
    <w:p w14:paraId="51017A90" w14:textId="77777777" w:rsidR="006F3899" w:rsidRPr="00C24D08" w:rsidRDefault="006F3899" w:rsidP="00C24D08">
      <w:pPr>
        <w:tabs>
          <w:tab w:val="clear" w:pos="567"/>
        </w:tabs>
        <w:autoSpaceDE w:val="0"/>
        <w:autoSpaceDN w:val="0"/>
        <w:adjustRightInd w:val="0"/>
        <w:spacing w:line="240" w:lineRule="auto"/>
        <w:rPr>
          <w:szCs w:val="22"/>
          <w:highlight w:val="yellow"/>
          <w:lang w:eastAsia="de-DE"/>
        </w:rPr>
      </w:pPr>
    </w:p>
    <w:p w14:paraId="40C7B6A3" w14:textId="77777777" w:rsidR="006336E0" w:rsidRPr="00C24D08" w:rsidRDefault="006336E0" w:rsidP="00C24D08">
      <w:pPr>
        <w:tabs>
          <w:tab w:val="clear" w:pos="567"/>
        </w:tabs>
        <w:autoSpaceDE w:val="0"/>
        <w:autoSpaceDN w:val="0"/>
        <w:adjustRightInd w:val="0"/>
        <w:spacing w:line="240" w:lineRule="auto"/>
        <w:rPr>
          <w:i/>
          <w:iCs/>
          <w:szCs w:val="22"/>
        </w:rPr>
      </w:pPr>
      <w:r w:rsidRPr="00C24D08">
        <w:rPr>
          <w:i/>
          <w:iCs/>
          <w:szCs w:val="22"/>
        </w:rPr>
        <w:t>Depresia</w:t>
      </w:r>
    </w:p>
    <w:p w14:paraId="48B65A44" w14:textId="0D6F0D76" w:rsidR="006336E0" w:rsidRPr="00C24D08" w:rsidRDefault="006336E0" w:rsidP="00C24D08">
      <w:pPr>
        <w:tabs>
          <w:tab w:val="clear" w:pos="567"/>
        </w:tabs>
        <w:autoSpaceDE w:val="0"/>
        <w:autoSpaceDN w:val="0"/>
        <w:adjustRightInd w:val="0"/>
        <w:spacing w:line="240" w:lineRule="auto"/>
        <w:rPr>
          <w:szCs w:val="22"/>
          <w:highlight w:val="yellow"/>
        </w:rPr>
      </w:pPr>
      <w:r w:rsidRPr="00C24D08">
        <w:rPr>
          <w:szCs w:val="22"/>
        </w:rPr>
        <w:t xml:space="preserve">Počas užívania </w:t>
      </w:r>
      <w:proofErr w:type="spellStart"/>
      <w:r w:rsidRPr="00C24D08">
        <w:rPr>
          <w:szCs w:val="22"/>
        </w:rPr>
        <w:t>benzodiazepínu</w:t>
      </w:r>
      <w:proofErr w:type="spellEnd"/>
      <w:r w:rsidRPr="00C24D08">
        <w:rPr>
          <w:szCs w:val="22"/>
        </w:rPr>
        <w:t xml:space="preserve"> alebo </w:t>
      </w:r>
      <w:r w:rsidR="00137DE0" w:rsidRPr="00C24D08">
        <w:rPr>
          <w:szCs w:val="22"/>
        </w:rPr>
        <w:t>látok</w:t>
      </w:r>
      <w:r w:rsidRPr="00C24D08">
        <w:rPr>
          <w:szCs w:val="22"/>
        </w:rPr>
        <w:t xml:space="preserve"> podobných </w:t>
      </w:r>
      <w:proofErr w:type="spellStart"/>
      <w:r w:rsidRPr="00C24D08">
        <w:rPr>
          <w:szCs w:val="22"/>
        </w:rPr>
        <w:t>benzodiazepínom</w:t>
      </w:r>
      <w:proofErr w:type="spellEnd"/>
      <w:r w:rsidRPr="00C24D08">
        <w:rPr>
          <w:szCs w:val="22"/>
        </w:rPr>
        <w:t xml:space="preserve"> môže byť odhalená už existujúca depresia.</w:t>
      </w:r>
    </w:p>
    <w:p w14:paraId="16B1AE62" w14:textId="77777777" w:rsidR="006336E0" w:rsidRPr="00C24D08" w:rsidRDefault="006336E0" w:rsidP="00C24D08">
      <w:pPr>
        <w:tabs>
          <w:tab w:val="clear" w:pos="567"/>
        </w:tabs>
        <w:autoSpaceDE w:val="0"/>
        <w:autoSpaceDN w:val="0"/>
        <w:adjustRightInd w:val="0"/>
        <w:spacing w:line="240" w:lineRule="auto"/>
        <w:rPr>
          <w:szCs w:val="22"/>
          <w:highlight w:val="yellow"/>
          <w:lang w:eastAsia="de-DE"/>
        </w:rPr>
      </w:pPr>
    </w:p>
    <w:p w14:paraId="397BAA9C" w14:textId="77777777" w:rsidR="006F3899" w:rsidRPr="00C24D08" w:rsidRDefault="006F3899" w:rsidP="00C24D08">
      <w:pPr>
        <w:tabs>
          <w:tab w:val="clear" w:pos="567"/>
        </w:tabs>
        <w:autoSpaceDE w:val="0"/>
        <w:autoSpaceDN w:val="0"/>
        <w:adjustRightInd w:val="0"/>
        <w:spacing w:line="240" w:lineRule="auto"/>
        <w:rPr>
          <w:i/>
          <w:iCs/>
          <w:szCs w:val="22"/>
        </w:rPr>
      </w:pPr>
      <w:r w:rsidRPr="00C24D08">
        <w:rPr>
          <w:i/>
          <w:iCs/>
          <w:szCs w:val="22"/>
        </w:rPr>
        <w:t>Psychiatrické a „paradoxné“ reakcie</w:t>
      </w:r>
    </w:p>
    <w:p w14:paraId="584D07AD" w14:textId="77777777" w:rsidR="006F3899" w:rsidRPr="00C24D08" w:rsidRDefault="006F3899" w:rsidP="00C24D08">
      <w:pPr>
        <w:tabs>
          <w:tab w:val="clear" w:pos="567"/>
        </w:tabs>
        <w:autoSpaceDE w:val="0"/>
        <w:autoSpaceDN w:val="0"/>
        <w:adjustRightInd w:val="0"/>
        <w:spacing w:line="240" w:lineRule="auto"/>
        <w:rPr>
          <w:szCs w:val="22"/>
        </w:rPr>
      </w:pPr>
      <w:r w:rsidRPr="00C24D08">
        <w:rPr>
          <w:szCs w:val="22"/>
        </w:rPr>
        <w:t xml:space="preserve">Je známe, že pri používaní </w:t>
      </w:r>
      <w:proofErr w:type="spellStart"/>
      <w:r w:rsidRPr="00C24D08">
        <w:rPr>
          <w:szCs w:val="22"/>
        </w:rPr>
        <w:t>benzodiazepínov</w:t>
      </w:r>
      <w:proofErr w:type="spellEnd"/>
      <w:r w:rsidRPr="00C24D08">
        <w:rPr>
          <w:szCs w:val="22"/>
        </w:rPr>
        <w:t xml:space="preserve"> alebo iných látok podobných </w:t>
      </w:r>
      <w:proofErr w:type="spellStart"/>
      <w:r w:rsidRPr="00C24D08">
        <w:rPr>
          <w:szCs w:val="22"/>
        </w:rPr>
        <w:t>benzodiazepínom</w:t>
      </w:r>
      <w:proofErr w:type="spellEnd"/>
      <w:r w:rsidRPr="00C24D08">
        <w:rPr>
          <w:szCs w:val="22"/>
        </w:rPr>
        <w:t xml:space="preserve"> sa vyskytujú reakcie, ako sú nepokoj, podráždenosť, znížená inhibícia, agresivita, abnormálne myslenie, bludy, zlosť, nočné mory, </w:t>
      </w:r>
      <w:proofErr w:type="spellStart"/>
      <w:r w:rsidRPr="00C24D08">
        <w:rPr>
          <w:szCs w:val="22"/>
        </w:rPr>
        <w:t>depersonalizácia</w:t>
      </w:r>
      <w:proofErr w:type="spellEnd"/>
      <w:r w:rsidRPr="00C24D08">
        <w:rPr>
          <w:szCs w:val="22"/>
        </w:rPr>
        <w:t xml:space="preserve">, halucinácie, psychózy, neprimerané správanie, </w:t>
      </w:r>
      <w:proofErr w:type="spellStart"/>
      <w:r w:rsidRPr="00C24D08">
        <w:rPr>
          <w:szCs w:val="22"/>
        </w:rPr>
        <w:t>extroverzia</w:t>
      </w:r>
      <w:proofErr w:type="spellEnd"/>
      <w:r w:rsidRPr="00C24D08">
        <w:rPr>
          <w:szCs w:val="22"/>
        </w:rPr>
        <w:t>, ktorá sa vymyká povahe, a iné nevhodné správanie. Takéto reakcie sa častejšie vyskytujú u starších ľudí.</w:t>
      </w:r>
    </w:p>
    <w:p w14:paraId="1E2C4BFF" w14:textId="77777777" w:rsidR="006F3899" w:rsidRPr="00C24D08" w:rsidRDefault="006F3899" w:rsidP="00C24D08">
      <w:pPr>
        <w:tabs>
          <w:tab w:val="clear" w:pos="567"/>
        </w:tabs>
        <w:autoSpaceDE w:val="0"/>
        <w:autoSpaceDN w:val="0"/>
        <w:adjustRightInd w:val="0"/>
        <w:spacing w:line="240" w:lineRule="auto"/>
        <w:rPr>
          <w:szCs w:val="22"/>
          <w:lang w:eastAsia="de-DE"/>
        </w:rPr>
      </w:pPr>
    </w:p>
    <w:p w14:paraId="246C2871" w14:textId="77777777" w:rsidR="006F3899" w:rsidRPr="00C24D08" w:rsidRDefault="006F3899" w:rsidP="00C24D08">
      <w:pPr>
        <w:tabs>
          <w:tab w:val="clear" w:pos="567"/>
        </w:tabs>
        <w:autoSpaceDE w:val="0"/>
        <w:autoSpaceDN w:val="0"/>
        <w:adjustRightInd w:val="0"/>
        <w:spacing w:line="240" w:lineRule="auto"/>
        <w:rPr>
          <w:i/>
          <w:iCs/>
          <w:szCs w:val="22"/>
        </w:rPr>
      </w:pPr>
      <w:r w:rsidRPr="00C24D08">
        <w:rPr>
          <w:i/>
          <w:iCs/>
          <w:szCs w:val="22"/>
        </w:rPr>
        <w:t>Závislosť</w:t>
      </w:r>
    </w:p>
    <w:p w14:paraId="6458305E" w14:textId="77777777" w:rsidR="006F3899" w:rsidRPr="00C24D08" w:rsidRDefault="006F3899" w:rsidP="00C24D08">
      <w:pPr>
        <w:tabs>
          <w:tab w:val="clear" w:pos="567"/>
        </w:tabs>
        <w:autoSpaceDE w:val="0"/>
        <w:autoSpaceDN w:val="0"/>
        <w:adjustRightInd w:val="0"/>
        <w:spacing w:line="240" w:lineRule="auto"/>
        <w:rPr>
          <w:szCs w:val="22"/>
          <w:u w:val="single"/>
        </w:rPr>
      </w:pPr>
      <w:r w:rsidRPr="00C24D08">
        <w:rPr>
          <w:szCs w:val="22"/>
        </w:rPr>
        <w:t xml:space="preserve">Užívanie (aj v terapeutických dávkach) </w:t>
      </w:r>
      <w:proofErr w:type="spellStart"/>
      <w:r w:rsidRPr="00C24D08">
        <w:rPr>
          <w:szCs w:val="22"/>
        </w:rPr>
        <w:t>benzodiazepínov</w:t>
      </w:r>
      <w:proofErr w:type="spellEnd"/>
      <w:r w:rsidRPr="00C24D08">
        <w:rPr>
          <w:szCs w:val="22"/>
        </w:rPr>
        <w:t xml:space="preserve"> a látok podobných </w:t>
      </w:r>
      <w:proofErr w:type="spellStart"/>
      <w:r w:rsidRPr="00C24D08">
        <w:rPr>
          <w:szCs w:val="22"/>
        </w:rPr>
        <w:t>benzodiazepínom</w:t>
      </w:r>
      <w:proofErr w:type="spellEnd"/>
      <w:r w:rsidRPr="00C24D08">
        <w:rPr>
          <w:szCs w:val="22"/>
        </w:rPr>
        <w:t xml:space="preserve"> môže viesť k rozvoju fyzickej závislosti: prerušenie liečby môže mať za následok abstinenčné príznaky alebo </w:t>
      </w:r>
      <w:proofErr w:type="spellStart"/>
      <w:r w:rsidRPr="00C24D08">
        <w:rPr>
          <w:szCs w:val="22"/>
        </w:rPr>
        <w:t>rebound</w:t>
      </w:r>
      <w:proofErr w:type="spellEnd"/>
      <w:r w:rsidRPr="00C24D08">
        <w:rPr>
          <w:szCs w:val="22"/>
        </w:rPr>
        <w:t xml:space="preserve"> fenomény (pozri časť 4.4). Môže sa vyskytnúť psychologická závislosť. Bolo hlásené zneužívanie </w:t>
      </w:r>
      <w:proofErr w:type="spellStart"/>
      <w:r w:rsidRPr="00C24D08">
        <w:rPr>
          <w:szCs w:val="22"/>
        </w:rPr>
        <w:t>benzodiazepínov</w:t>
      </w:r>
      <w:proofErr w:type="spellEnd"/>
      <w:r w:rsidRPr="00C24D08">
        <w:rPr>
          <w:szCs w:val="22"/>
        </w:rPr>
        <w:t xml:space="preserve"> a látok podobných </w:t>
      </w:r>
      <w:proofErr w:type="spellStart"/>
      <w:r w:rsidRPr="00C24D08">
        <w:rPr>
          <w:szCs w:val="22"/>
        </w:rPr>
        <w:t>benzodiazepínom</w:t>
      </w:r>
      <w:proofErr w:type="spellEnd"/>
      <w:r w:rsidRPr="00C24D08">
        <w:rPr>
          <w:szCs w:val="22"/>
        </w:rPr>
        <w:t>.</w:t>
      </w:r>
    </w:p>
    <w:p w14:paraId="264484A1" w14:textId="77777777" w:rsidR="006F3899" w:rsidRPr="00C24D08" w:rsidRDefault="006F3899" w:rsidP="00C24D08">
      <w:pPr>
        <w:spacing w:line="240" w:lineRule="auto"/>
        <w:rPr>
          <w:szCs w:val="22"/>
          <w:u w:val="single"/>
        </w:rPr>
      </w:pPr>
    </w:p>
    <w:p w14:paraId="2DA0DF58" w14:textId="38C7DFF7" w:rsidR="00ED440A" w:rsidRPr="00C24D08" w:rsidRDefault="00ED440A" w:rsidP="00C24D08">
      <w:pPr>
        <w:spacing w:line="240" w:lineRule="auto"/>
        <w:rPr>
          <w:szCs w:val="22"/>
          <w:u w:val="single"/>
        </w:rPr>
      </w:pPr>
      <w:r w:rsidRPr="00C24D08">
        <w:rPr>
          <w:i/>
          <w:szCs w:val="22"/>
          <w:u w:val="single"/>
        </w:rPr>
        <w:t>Starš</w:t>
      </w:r>
      <w:r w:rsidR="00137DE0" w:rsidRPr="00C24D08">
        <w:rPr>
          <w:i/>
          <w:szCs w:val="22"/>
          <w:u w:val="single"/>
        </w:rPr>
        <w:t>ie osoby</w:t>
      </w:r>
    </w:p>
    <w:p w14:paraId="0FA4F80E" w14:textId="6ED2ED2B" w:rsidR="007C272B" w:rsidRPr="00C24D08" w:rsidRDefault="007C272B" w:rsidP="00C24D08">
      <w:pPr>
        <w:spacing w:line="240" w:lineRule="auto"/>
        <w:rPr>
          <w:szCs w:val="22"/>
        </w:rPr>
      </w:pPr>
      <w:r w:rsidRPr="00C24D08">
        <w:rPr>
          <w:szCs w:val="22"/>
        </w:rPr>
        <w:t>Profil nežiaducich reakcií v klinických skúšaniach so staršími pacientmi s nespavosťou je zvyčajne podobný profilu pozorovanému v klinických skúšaniach s nie staršími pacientmi s nespavosťou. Ďalšou nežiaducou reakciou hlásenou u starších pacientov bolo rozmazané videnie (časté). S</w:t>
      </w:r>
      <w:r w:rsidR="00137DE0" w:rsidRPr="00C24D08">
        <w:rPr>
          <w:szCs w:val="22"/>
        </w:rPr>
        <w:t>vrbenie sa vyskytovalo</w:t>
      </w:r>
      <w:r w:rsidRPr="00C24D08">
        <w:rPr>
          <w:szCs w:val="22"/>
        </w:rPr>
        <w:t xml:space="preserve"> čast</w:t>
      </w:r>
      <w:r w:rsidR="00137DE0" w:rsidRPr="00C24D08">
        <w:rPr>
          <w:szCs w:val="22"/>
        </w:rPr>
        <w:t>o</w:t>
      </w:r>
      <w:r w:rsidRPr="00C24D08">
        <w:rPr>
          <w:szCs w:val="22"/>
        </w:rPr>
        <w:t>.</w:t>
      </w:r>
    </w:p>
    <w:p w14:paraId="46CCF6B2" w14:textId="77777777" w:rsidR="00E549E1" w:rsidRPr="00C24D08" w:rsidRDefault="00E549E1" w:rsidP="00C24D08">
      <w:pPr>
        <w:spacing w:line="240" w:lineRule="auto"/>
        <w:rPr>
          <w:szCs w:val="22"/>
        </w:rPr>
      </w:pPr>
    </w:p>
    <w:p w14:paraId="4020DAB0" w14:textId="7B1838CE" w:rsidR="00F00876" w:rsidRPr="00C24D08" w:rsidRDefault="00F00876" w:rsidP="00C24D08">
      <w:pPr>
        <w:autoSpaceDE w:val="0"/>
        <w:autoSpaceDN w:val="0"/>
        <w:adjustRightInd w:val="0"/>
        <w:spacing w:line="240" w:lineRule="auto"/>
        <w:rPr>
          <w:szCs w:val="22"/>
          <w:u w:val="single"/>
        </w:rPr>
      </w:pPr>
      <w:r w:rsidRPr="00C24D08">
        <w:rPr>
          <w:szCs w:val="22"/>
          <w:u w:val="single"/>
        </w:rPr>
        <w:t xml:space="preserve">Hlásenie podozrení na nežiaduce </w:t>
      </w:r>
      <w:r w:rsidR="00137DE0" w:rsidRPr="00C24D08">
        <w:rPr>
          <w:szCs w:val="22"/>
          <w:u w:val="single"/>
        </w:rPr>
        <w:t>reakcie</w:t>
      </w:r>
    </w:p>
    <w:p w14:paraId="47726B7A" w14:textId="20E96576" w:rsidR="00F00876" w:rsidRPr="00C24D08" w:rsidRDefault="00F00876" w:rsidP="00C24D08">
      <w:pPr>
        <w:autoSpaceDE w:val="0"/>
        <w:autoSpaceDN w:val="0"/>
        <w:adjustRightInd w:val="0"/>
        <w:spacing w:line="240" w:lineRule="auto"/>
        <w:rPr>
          <w:noProof/>
          <w:szCs w:val="22"/>
        </w:rPr>
      </w:pPr>
      <w:r w:rsidRPr="00C24D08">
        <w:rPr>
          <w:szCs w:val="22"/>
        </w:rPr>
        <w:t xml:space="preserve">Hlásenie podozrení na nežiaduce reakcie po registrácii lieku je dôležité. Umožňuje </w:t>
      </w:r>
      <w:r w:rsidR="00137DE0" w:rsidRPr="00C24D08">
        <w:rPr>
          <w:szCs w:val="22"/>
        </w:rPr>
        <w:t>priebežné monitorovanie</w:t>
      </w:r>
      <w:r w:rsidRPr="00C24D08">
        <w:rPr>
          <w:szCs w:val="22"/>
        </w:rPr>
        <w:t xml:space="preserve"> pomeru prínosu a rizika lieku. Od zdravotníckych pracovníkov sa </w:t>
      </w:r>
      <w:r w:rsidR="00137DE0" w:rsidRPr="00C24D08">
        <w:rPr>
          <w:szCs w:val="22"/>
        </w:rPr>
        <w:t>vy</w:t>
      </w:r>
      <w:r w:rsidRPr="00C24D08">
        <w:rPr>
          <w:szCs w:val="22"/>
        </w:rPr>
        <w:t xml:space="preserve">žaduje, aby </w:t>
      </w:r>
      <w:r w:rsidR="00137DE0" w:rsidRPr="00C24D08">
        <w:rPr>
          <w:szCs w:val="22"/>
        </w:rPr>
        <w:t>hlásili akékoľvek</w:t>
      </w:r>
      <w:r w:rsidRPr="00C24D08">
        <w:rPr>
          <w:szCs w:val="22"/>
        </w:rPr>
        <w:t xml:space="preserve"> podozrenia na nežiaduce </w:t>
      </w:r>
      <w:r w:rsidR="00137DE0" w:rsidRPr="00C24D08">
        <w:rPr>
          <w:szCs w:val="22"/>
        </w:rPr>
        <w:t>reakcie na</w:t>
      </w:r>
      <w:r w:rsidRPr="00C24D08">
        <w:rPr>
          <w:szCs w:val="22"/>
        </w:rPr>
        <w:t xml:space="preserve"> </w:t>
      </w:r>
      <w:r w:rsidRPr="00C24D08">
        <w:rPr>
          <w:szCs w:val="22"/>
          <w:highlight w:val="lightGray"/>
        </w:rPr>
        <w:t xml:space="preserve">národné </w:t>
      </w:r>
      <w:r w:rsidR="00137DE0" w:rsidRPr="00C24D08">
        <w:rPr>
          <w:szCs w:val="22"/>
          <w:highlight w:val="lightGray"/>
        </w:rPr>
        <w:t>centrum</w:t>
      </w:r>
      <w:r w:rsidRPr="00C24D08">
        <w:rPr>
          <w:szCs w:val="22"/>
          <w:highlight w:val="lightGray"/>
        </w:rPr>
        <w:t xml:space="preserve"> </w:t>
      </w:r>
      <w:r w:rsidR="00137DE0" w:rsidRPr="00C24D08">
        <w:rPr>
          <w:szCs w:val="22"/>
          <w:highlight w:val="lightGray"/>
        </w:rPr>
        <w:t>hlásenia</w:t>
      </w:r>
      <w:r w:rsidRPr="00C24D08">
        <w:rPr>
          <w:szCs w:val="22"/>
          <w:highlight w:val="lightGray"/>
        </w:rPr>
        <w:t xml:space="preserve"> uvedené v </w:t>
      </w:r>
      <w:hyperlink r:id="rId12" w:history="1">
        <w:r w:rsidRPr="00C24D08">
          <w:rPr>
            <w:rStyle w:val="Hypertextovprepojenie"/>
            <w:szCs w:val="22"/>
            <w:highlight w:val="lightGray"/>
          </w:rPr>
          <w:t>Prílohe V</w:t>
        </w:r>
      </w:hyperlink>
      <w:r w:rsidRPr="00C24D08">
        <w:rPr>
          <w:szCs w:val="22"/>
        </w:rPr>
        <w:t>.</w:t>
      </w:r>
    </w:p>
    <w:p w14:paraId="7B9C6F8E" w14:textId="77777777" w:rsidR="00DC1818" w:rsidRPr="00C24D08" w:rsidRDefault="00DC1818" w:rsidP="00C24D08">
      <w:pPr>
        <w:spacing w:line="240" w:lineRule="auto"/>
        <w:rPr>
          <w:b/>
          <w:szCs w:val="22"/>
        </w:rPr>
      </w:pPr>
    </w:p>
    <w:p w14:paraId="3B708DAD" w14:textId="77777777" w:rsidR="001D29E6" w:rsidRPr="00C24D08" w:rsidRDefault="001D29E6" w:rsidP="00C24D08">
      <w:pPr>
        <w:pStyle w:val="Nadpis2"/>
        <w:rPr>
          <w:szCs w:val="22"/>
        </w:rPr>
      </w:pPr>
      <w:r w:rsidRPr="00C24D08">
        <w:rPr>
          <w:szCs w:val="22"/>
        </w:rPr>
        <w:t>4.9</w:t>
      </w:r>
      <w:r w:rsidRPr="00C24D08">
        <w:rPr>
          <w:szCs w:val="22"/>
        </w:rPr>
        <w:tab/>
        <w:t>Predávkovanie</w:t>
      </w:r>
    </w:p>
    <w:p w14:paraId="67F7FFAF" w14:textId="77777777" w:rsidR="001D29E6" w:rsidRPr="00C24D08" w:rsidRDefault="001D29E6" w:rsidP="00C24D08">
      <w:pPr>
        <w:spacing w:line="240" w:lineRule="auto"/>
        <w:rPr>
          <w:szCs w:val="22"/>
        </w:rPr>
      </w:pPr>
    </w:p>
    <w:p w14:paraId="3018D49C" w14:textId="77777777" w:rsidR="00CD37CD" w:rsidRPr="00C24D08" w:rsidRDefault="00CD37CD" w:rsidP="00C24D08">
      <w:pPr>
        <w:tabs>
          <w:tab w:val="clear" w:pos="567"/>
        </w:tabs>
        <w:spacing w:line="240" w:lineRule="auto"/>
        <w:rPr>
          <w:noProof/>
          <w:szCs w:val="22"/>
        </w:rPr>
      </w:pPr>
      <w:r w:rsidRPr="00C24D08">
        <w:rPr>
          <w:szCs w:val="22"/>
        </w:rPr>
        <w:t xml:space="preserve">Predávkovanie sa zvyčajne prejavuje rôznymi stupňami útlmu centrálneho nervového systému od ospalosti po kómu v závislosti od užitého množstva. </w:t>
      </w:r>
    </w:p>
    <w:p w14:paraId="43A13E10" w14:textId="77777777" w:rsidR="00CD37CD" w:rsidRPr="00C24D08" w:rsidRDefault="00CD37CD" w:rsidP="00C24D08">
      <w:pPr>
        <w:tabs>
          <w:tab w:val="clear" w:pos="567"/>
        </w:tabs>
        <w:spacing w:line="240" w:lineRule="auto"/>
        <w:rPr>
          <w:noProof/>
          <w:szCs w:val="22"/>
        </w:rPr>
      </w:pPr>
      <w:r w:rsidRPr="00C24D08">
        <w:rPr>
          <w:szCs w:val="22"/>
        </w:rPr>
        <w:t xml:space="preserve">Symptomatická a podporná liečba je indikovaná vo vhodnom klinickom prostredí. Osobitná pozornosť by sa mala venovať kardiovaskulárnym a respiračným funkciám. Výplach žalúdka je užitočný iba vtedy, keď sa vykoná krátko po užití. Hoci hemodialýza nebola hodnotená neočakáva sa, že by mala význam z dôvodu veľkého distribučného objemu </w:t>
      </w:r>
      <w:proofErr w:type="spellStart"/>
      <w:r w:rsidRPr="00C24D08">
        <w:rPr>
          <w:szCs w:val="22"/>
        </w:rPr>
        <w:t>eszopiklónu</w:t>
      </w:r>
      <w:proofErr w:type="spellEnd"/>
      <w:r w:rsidRPr="00C24D08">
        <w:rPr>
          <w:szCs w:val="22"/>
        </w:rPr>
        <w:t xml:space="preserve">. </w:t>
      </w:r>
      <w:proofErr w:type="spellStart"/>
      <w:r w:rsidRPr="00C24D08">
        <w:rPr>
          <w:szCs w:val="22"/>
        </w:rPr>
        <w:t>Flumazenil</w:t>
      </w:r>
      <w:proofErr w:type="spellEnd"/>
      <w:r w:rsidRPr="00C24D08">
        <w:rPr>
          <w:szCs w:val="22"/>
        </w:rPr>
        <w:t xml:space="preserve"> môže byť použitý ako užitočný protijed.</w:t>
      </w:r>
    </w:p>
    <w:p w14:paraId="1BD6BA0A" w14:textId="77777777" w:rsidR="00CD37CD" w:rsidRPr="00C24D08" w:rsidRDefault="00CD37CD" w:rsidP="00C24D08">
      <w:pPr>
        <w:tabs>
          <w:tab w:val="clear" w:pos="567"/>
        </w:tabs>
        <w:spacing w:line="240" w:lineRule="auto"/>
        <w:rPr>
          <w:noProof/>
          <w:szCs w:val="22"/>
        </w:rPr>
      </w:pPr>
    </w:p>
    <w:p w14:paraId="17ABDD63" w14:textId="77777777" w:rsidR="00CD37CD" w:rsidRPr="00C24D08" w:rsidRDefault="00CD37CD" w:rsidP="00C24D08">
      <w:pPr>
        <w:tabs>
          <w:tab w:val="clear" w:pos="567"/>
        </w:tabs>
        <w:spacing w:line="240" w:lineRule="auto"/>
        <w:rPr>
          <w:noProof/>
          <w:szCs w:val="22"/>
        </w:rPr>
      </w:pPr>
      <w:r w:rsidRPr="00C24D08">
        <w:rPr>
          <w:szCs w:val="22"/>
        </w:rPr>
        <w:t xml:space="preserve">V klinických štúdiách s </w:t>
      </w:r>
      <w:proofErr w:type="spellStart"/>
      <w:r w:rsidRPr="00C24D08">
        <w:rPr>
          <w:szCs w:val="22"/>
        </w:rPr>
        <w:t>eszopiklónom</w:t>
      </w:r>
      <w:proofErr w:type="spellEnd"/>
      <w:r w:rsidRPr="00C24D08">
        <w:rPr>
          <w:szCs w:val="22"/>
        </w:rPr>
        <w:t xml:space="preserve"> bol hlásený jeden prípad predávkovania s až 36 mg </w:t>
      </w:r>
      <w:proofErr w:type="spellStart"/>
      <w:r w:rsidRPr="00C24D08">
        <w:rPr>
          <w:szCs w:val="22"/>
        </w:rPr>
        <w:t>eszopiklónu</w:t>
      </w:r>
      <w:proofErr w:type="spellEnd"/>
      <w:r w:rsidRPr="00C24D08">
        <w:rPr>
          <w:szCs w:val="22"/>
        </w:rPr>
        <w:t xml:space="preserve">, pri ktorom sa subjekt úplne zotavil. Od začiatku komerčného marketingu boli hlásené spontánne prípady predávkovania až do 270 mg. </w:t>
      </w:r>
    </w:p>
    <w:p w14:paraId="3758EAF1" w14:textId="31A2B02F" w:rsidR="002826DD" w:rsidRPr="00C24D08" w:rsidRDefault="00CD37CD" w:rsidP="00C24D08">
      <w:pPr>
        <w:tabs>
          <w:tab w:val="clear" w:pos="567"/>
        </w:tabs>
        <w:spacing w:line="240" w:lineRule="auto"/>
        <w:rPr>
          <w:noProof/>
          <w:szCs w:val="22"/>
        </w:rPr>
      </w:pPr>
      <w:r w:rsidRPr="00C24D08">
        <w:rPr>
          <w:szCs w:val="22"/>
        </w:rPr>
        <w:t xml:space="preserve">Fatálne predávkovanie je pravdepodobnejšie, ak sa </w:t>
      </w:r>
      <w:proofErr w:type="spellStart"/>
      <w:r w:rsidRPr="00C24D08">
        <w:rPr>
          <w:szCs w:val="22"/>
        </w:rPr>
        <w:t>eszopiklón</w:t>
      </w:r>
      <w:proofErr w:type="spellEnd"/>
      <w:r w:rsidRPr="00C24D08">
        <w:rPr>
          <w:szCs w:val="22"/>
        </w:rPr>
        <w:t xml:space="preserve"> užíva v kombinácii s inými látkami utlmujúcimi CNS vrátane alkoholu. </w:t>
      </w:r>
      <w:r w:rsidR="00B10871" w:rsidRPr="00C24D08">
        <w:rPr>
          <w:szCs w:val="22"/>
        </w:rPr>
        <w:t>Osoby</w:t>
      </w:r>
      <w:r w:rsidRPr="00C24D08">
        <w:rPr>
          <w:szCs w:val="22"/>
        </w:rPr>
        <w:t xml:space="preserve"> sa zotavili z predávkovania </w:t>
      </w:r>
      <w:r w:rsidR="00B10871" w:rsidRPr="00C24D08">
        <w:rPr>
          <w:szCs w:val="22"/>
        </w:rPr>
        <w:t xml:space="preserve">z </w:t>
      </w:r>
      <w:r w:rsidRPr="00C24D08">
        <w:rPr>
          <w:szCs w:val="22"/>
        </w:rPr>
        <w:t>až</w:t>
      </w:r>
      <w:r w:rsidR="00B10871" w:rsidRPr="00C24D08">
        <w:rPr>
          <w:szCs w:val="22"/>
        </w:rPr>
        <w:t xml:space="preserve"> </w:t>
      </w:r>
      <w:r w:rsidRPr="00C24D08">
        <w:rPr>
          <w:szCs w:val="22"/>
        </w:rPr>
        <w:t xml:space="preserve">270 mg samotného </w:t>
      </w:r>
      <w:proofErr w:type="spellStart"/>
      <w:r w:rsidRPr="00C24D08">
        <w:rPr>
          <w:szCs w:val="22"/>
        </w:rPr>
        <w:t>eszopiklónu</w:t>
      </w:r>
      <w:proofErr w:type="spellEnd"/>
      <w:r w:rsidRPr="00C24D08">
        <w:rPr>
          <w:szCs w:val="22"/>
        </w:rPr>
        <w:t>.</w:t>
      </w:r>
    </w:p>
    <w:p w14:paraId="693A006E" w14:textId="77777777" w:rsidR="001D29E6" w:rsidRPr="00C24D08" w:rsidRDefault="001D29E6" w:rsidP="00C24D08">
      <w:pPr>
        <w:spacing w:line="240" w:lineRule="auto"/>
        <w:rPr>
          <w:szCs w:val="22"/>
        </w:rPr>
      </w:pPr>
    </w:p>
    <w:p w14:paraId="712F76D7" w14:textId="77777777" w:rsidR="00EF5E3C" w:rsidRPr="00C24D08" w:rsidRDefault="00EF5E3C" w:rsidP="00C24D08">
      <w:pPr>
        <w:spacing w:line="240" w:lineRule="auto"/>
        <w:rPr>
          <w:szCs w:val="22"/>
        </w:rPr>
      </w:pPr>
    </w:p>
    <w:p w14:paraId="44EF121D" w14:textId="77777777" w:rsidR="001D29E6" w:rsidRPr="00C24D08" w:rsidRDefault="001D29E6" w:rsidP="00C24D08">
      <w:pPr>
        <w:pStyle w:val="Nadpis1"/>
        <w:spacing w:line="240" w:lineRule="auto"/>
        <w:rPr>
          <w:szCs w:val="22"/>
        </w:rPr>
      </w:pPr>
      <w:r w:rsidRPr="00C24D08">
        <w:rPr>
          <w:szCs w:val="22"/>
        </w:rPr>
        <w:t>5.</w:t>
      </w:r>
      <w:r w:rsidRPr="00C24D08">
        <w:rPr>
          <w:szCs w:val="22"/>
        </w:rPr>
        <w:tab/>
        <w:t>FARMAKOLOGICKÉ VLASTNOSTI</w:t>
      </w:r>
    </w:p>
    <w:p w14:paraId="2296ADB1" w14:textId="77777777" w:rsidR="001D29E6" w:rsidRPr="00C24D08" w:rsidRDefault="001D29E6" w:rsidP="00C24D08">
      <w:pPr>
        <w:spacing w:line="240" w:lineRule="auto"/>
        <w:rPr>
          <w:b/>
          <w:szCs w:val="22"/>
        </w:rPr>
      </w:pPr>
    </w:p>
    <w:p w14:paraId="099219E6" w14:textId="77777777" w:rsidR="001D29E6" w:rsidRPr="00C24D08" w:rsidRDefault="001D29E6" w:rsidP="00C24D08">
      <w:pPr>
        <w:pStyle w:val="Nadpis2"/>
        <w:rPr>
          <w:szCs w:val="22"/>
        </w:rPr>
      </w:pPr>
      <w:r w:rsidRPr="00C24D08">
        <w:rPr>
          <w:szCs w:val="22"/>
        </w:rPr>
        <w:t>5.1</w:t>
      </w:r>
      <w:r w:rsidRPr="00C24D08">
        <w:rPr>
          <w:szCs w:val="22"/>
        </w:rPr>
        <w:tab/>
      </w:r>
      <w:proofErr w:type="spellStart"/>
      <w:r w:rsidRPr="00C24D08">
        <w:rPr>
          <w:szCs w:val="22"/>
        </w:rPr>
        <w:t>Farmakodynamické</w:t>
      </w:r>
      <w:proofErr w:type="spellEnd"/>
      <w:r w:rsidRPr="00C24D08">
        <w:rPr>
          <w:szCs w:val="22"/>
        </w:rPr>
        <w:t xml:space="preserve"> vlastnosti</w:t>
      </w:r>
    </w:p>
    <w:p w14:paraId="44F841AE" w14:textId="77777777" w:rsidR="001D29E6" w:rsidRPr="00C24D08" w:rsidRDefault="001D29E6" w:rsidP="00C24D08">
      <w:pPr>
        <w:spacing w:line="240" w:lineRule="auto"/>
        <w:rPr>
          <w:szCs w:val="22"/>
        </w:rPr>
      </w:pPr>
    </w:p>
    <w:p w14:paraId="02FC81BD" w14:textId="39CDB2E5" w:rsidR="00575454" w:rsidRPr="00C24D08" w:rsidRDefault="001D29E6" w:rsidP="00C24D08">
      <w:pPr>
        <w:spacing w:line="240" w:lineRule="auto"/>
        <w:rPr>
          <w:szCs w:val="22"/>
        </w:rPr>
      </w:pPr>
      <w:proofErr w:type="spellStart"/>
      <w:r w:rsidRPr="00C24D08">
        <w:rPr>
          <w:szCs w:val="22"/>
        </w:rPr>
        <w:t>Farmakoterapeutická</w:t>
      </w:r>
      <w:proofErr w:type="spellEnd"/>
      <w:r w:rsidRPr="00C24D08">
        <w:rPr>
          <w:szCs w:val="22"/>
        </w:rPr>
        <w:t xml:space="preserve"> skupina: </w:t>
      </w:r>
      <w:r w:rsidR="00C15230">
        <w:rPr>
          <w:szCs w:val="22"/>
        </w:rPr>
        <w:t>Centrálna nervová sústava</w:t>
      </w:r>
      <w:r w:rsidRPr="00C24D08">
        <w:rPr>
          <w:szCs w:val="22"/>
        </w:rPr>
        <w:t xml:space="preserve">; </w:t>
      </w:r>
      <w:proofErr w:type="spellStart"/>
      <w:r w:rsidRPr="00C24D08">
        <w:rPr>
          <w:szCs w:val="22"/>
        </w:rPr>
        <w:t>psycholeptiká</w:t>
      </w:r>
      <w:proofErr w:type="spellEnd"/>
      <w:r w:rsidRPr="00C24D08">
        <w:rPr>
          <w:szCs w:val="22"/>
        </w:rPr>
        <w:t xml:space="preserve">; hypnotiká a sedatíva; </w:t>
      </w:r>
      <w:r w:rsidR="00C15230">
        <w:rPr>
          <w:szCs w:val="22"/>
        </w:rPr>
        <w:t xml:space="preserve">liečivá príbuzné </w:t>
      </w:r>
      <w:proofErr w:type="spellStart"/>
      <w:r w:rsidR="00C15230">
        <w:rPr>
          <w:szCs w:val="22"/>
        </w:rPr>
        <w:t>benzodiazepínu</w:t>
      </w:r>
      <w:proofErr w:type="spellEnd"/>
      <w:r w:rsidRPr="00C24D08">
        <w:rPr>
          <w:szCs w:val="22"/>
        </w:rPr>
        <w:t xml:space="preserve"> </w:t>
      </w:r>
    </w:p>
    <w:p w14:paraId="2C09D4C0" w14:textId="77777777" w:rsidR="001D29E6" w:rsidRPr="00C24D08" w:rsidRDefault="00CB1F55" w:rsidP="00C24D08">
      <w:pPr>
        <w:spacing w:line="240" w:lineRule="auto"/>
        <w:rPr>
          <w:noProof/>
          <w:szCs w:val="22"/>
        </w:rPr>
      </w:pPr>
      <w:r w:rsidRPr="00C24D08">
        <w:rPr>
          <w:szCs w:val="22"/>
        </w:rPr>
        <w:t>ATC kód: N05CF04</w:t>
      </w:r>
    </w:p>
    <w:p w14:paraId="1033A039" w14:textId="77777777" w:rsidR="00777769" w:rsidRPr="00C24D08" w:rsidRDefault="00777769" w:rsidP="00C24D08">
      <w:pPr>
        <w:spacing w:line="240" w:lineRule="auto"/>
        <w:rPr>
          <w:szCs w:val="22"/>
        </w:rPr>
      </w:pPr>
    </w:p>
    <w:p w14:paraId="2796665A" w14:textId="77777777" w:rsidR="00C53ACC" w:rsidRPr="00C24D08" w:rsidRDefault="00C53ACC" w:rsidP="00C24D08">
      <w:pPr>
        <w:tabs>
          <w:tab w:val="clear" w:pos="567"/>
        </w:tabs>
        <w:autoSpaceDE w:val="0"/>
        <w:autoSpaceDN w:val="0"/>
        <w:adjustRightInd w:val="0"/>
        <w:spacing w:line="240" w:lineRule="auto"/>
        <w:rPr>
          <w:i/>
          <w:szCs w:val="22"/>
        </w:rPr>
      </w:pPr>
      <w:r w:rsidRPr="00C24D08">
        <w:rPr>
          <w:i/>
          <w:szCs w:val="22"/>
        </w:rPr>
        <w:t>Mechanizmus účinku</w:t>
      </w:r>
    </w:p>
    <w:p w14:paraId="4FE154A6" w14:textId="2E85C87E" w:rsidR="00CB1F55" w:rsidRPr="00C24D08" w:rsidRDefault="00CB1F55" w:rsidP="00C24D08">
      <w:pPr>
        <w:tabs>
          <w:tab w:val="clear" w:pos="567"/>
        </w:tabs>
        <w:autoSpaceDE w:val="0"/>
        <w:autoSpaceDN w:val="0"/>
        <w:adjustRightInd w:val="0"/>
        <w:spacing w:line="240" w:lineRule="auto"/>
        <w:rPr>
          <w:szCs w:val="22"/>
        </w:rPr>
      </w:pPr>
      <w:proofErr w:type="spellStart"/>
      <w:r w:rsidRPr="00C24D08">
        <w:rPr>
          <w:szCs w:val="22"/>
        </w:rPr>
        <w:t>Eszopiklón</w:t>
      </w:r>
      <w:proofErr w:type="spellEnd"/>
      <w:r w:rsidRPr="00C24D08">
        <w:rPr>
          <w:szCs w:val="22"/>
        </w:rPr>
        <w:t xml:space="preserve"> je </w:t>
      </w:r>
      <w:proofErr w:type="spellStart"/>
      <w:r w:rsidRPr="00C24D08">
        <w:rPr>
          <w:szCs w:val="22"/>
        </w:rPr>
        <w:t>nebenzodiazepínová</w:t>
      </w:r>
      <w:proofErr w:type="spellEnd"/>
      <w:r w:rsidRPr="00C24D08">
        <w:rPr>
          <w:szCs w:val="22"/>
        </w:rPr>
        <w:t xml:space="preserve"> hypnotická látka, ktorá je </w:t>
      </w:r>
      <w:proofErr w:type="spellStart"/>
      <w:r w:rsidRPr="00C24D08">
        <w:rPr>
          <w:szCs w:val="22"/>
        </w:rPr>
        <w:t>pyrrolopyrazínovým</w:t>
      </w:r>
      <w:proofErr w:type="spellEnd"/>
      <w:r w:rsidRPr="00C24D08">
        <w:rPr>
          <w:szCs w:val="22"/>
        </w:rPr>
        <w:t xml:space="preserve"> derivátom triedy </w:t>
      </w:r>
      <w:proofErr w:type="spellStart"/>
      <w:r w:rsidRPr="00C24D08">
        <w:rPr>
          <w:szCs w:val="22"/>
        </w:rPr>
        <w:t>cyklopyrrolonu</w:t>
      </w:r>
      <w:proofErr w:type="spellEnd"/>
      <w:r w:rsidRPr="00C24D08">
        <w:rPr>
          <w:szCs w:val="22"/>
        </w:rPr>
        <w:t xml:space="preserve"> s chemickou štruktúrou nesúvisiacou s </w:t>
      </w:r>
      <w:proofErr w:type="spellStart"/>
      <w:r w:rsidRPr="00C24D08">
        <w:rPr>
          <w:szCs w:val="22"/>
        </w:rPr>
        <w:t>pyrazolopyrimidínmi</w:t>
      </w:r>
      <w:proofErr w:type="spellEnd"/>
      <w:r w:rsidRPr="00C24D08">
        <w:rPr>
          <w:szCs w:val="22"/>
        </w:rPr>
        <w:t xml:space="preserve">, </w:t>
      </w:r>
      <w:proofErr w:type="spellStart"/>
      <w:r w:rsidRPr="00C24D08">
        <w:rPr>
          <w:szCs w:val="22"/>
        </w:rPr>
        <w:t>imidazopyridínmi</w:t>
      </w:r>
      <w:proofErr w:type="spellEnd"/>
      <w:r w:rsidRPr="00C24D08">
        <w:rPr>
          <w:szCs w:val="22"/>
        </w:rPr>
        <w:t xml:space="preserve">, </w:t>
      </w:r>
      <w:proofErr w:type="spellStart"/>
      <w:r w:rsidRPr="00C24D08">
        <w:rPr>
          <w:szCs w:val="22"/>
        </w:rPr>
        <w:t>benzodiazepínmi</w:t>
      </w:r>
      <w:proofErr w:type="spellEnd"/>
      <w:r w:rsidRPr="00C24D08">
        <w:rPr>
          <w:szCs w:val="22"/>
        </w:rPr>
        <w:t xml:space="preserve"> alebo barbiturátmi. Presný mechanizmus účinku </w:t>
      </w:r>
      <w:proofErr w:type="spellStart"/>
      <w:r w:rsidRPr="00C24D08">
        <w:rPr>
          <w:szCs w:val="22"/>
        </w:rPr>
        <w:t>eszopiklónu</w:t>
      </w:r>
      <w:proofErr w:type="spellEnd"/>
      <w:r w:rsidRPr="00C24D08">
        <w:rPr>
          <w:szCs w:val="22"/>
        </w:rPr>
        <w:t xml:space="preserve"> nie je známy, ale jeho účinok je pravdepodobne výsledkom modulácie makromolekulárnych komplexov </w:t>
      </w:r>
      <w:r w:rsidR="00C15230" w:rsidRPr="00C24D08">
        <w:rPr>
          <w:szCs w:val="22"/>
        </w:rPr>
        <w:t xml:space="preserve">(GABA)-A-receptorov </w:t>
      </w:r>
      <w:r w:rsidRPr="00C24D08">
        <w:rPr>
          <w:szCs w:val="22"/>
        </w:rPr>
        <w:t>kyseliny gama-</w:t>
      </w:r>
      <w:proofErr w:type="spellStart"/>
      <w:r w:rsidRPr="00C24D08">
        <w:rPr>
          <w:szCs w:val="22"/>
        </w:rPr>
        <w:t>aminomaslovej</w:t>
      </w:r>
      <w:proofErr w:type="spellEnd"/>
      <w:r w:rsidR="00C15230">
        <w:rPr>
          <w:szCs w:val="22"/>
        </w:rPr>
        <w:t>,</w:t>
      </w:r>
      <w:r w:rsidRPr="00C24D08">
        <w:rPr>
          <w:szCs w:val="22"/>
        </w:rPr>
        <w:t xml:space="preserve"> obsahujúcich alfa-1, alfa-2, alfa-3 a alfa-5-sub-jednotky. Predpokladá sa, že zvýšená GABA </w:t>
      </w:r>
      <w:r w:rsidR="00C15230" w:rsidRPr="00C24D08">
        <w:rPr>
          <w:szCs w:val="22"/>
        </w:rPr>
        <w:t>vyvol</w:t>
      </w:r>
      <w:r w:rsidR="00C15230">
        <w:rPr>
          <w:szCs w:val="22"/>
        </w:rPr>
        <w:t>á</w:t>
      </w:r>
      <w:r w:rsidR="00C15230" w:rsidRPr="00C24D08">
        <w:rPr>
          <w:szCs w:val="22"/>
        </w:rPr>
        <w:t xml:space="preserve"> </w:t>
      </w:r>
      <w:proofErr w:type="spellStart"/>
      <w:r w:rsidRPr="00C24D08">
        <w:rPr>
          <w:szCs w:val="22"/>
        </w:rPr>
        <w:t>chloridovú</w:t>
      </w:r>
      <w:proofErr w:type="spellEnd"/>
      <w:r w:rsidRPr="00C24D08">
        <w:rPr>
          <w:szCs w:val="22"/>
        </w:rPr>
        <w:t xml:space="preserve"> vodivosť, čo </w:t>
      </w:r>
      <w:r w:rsidR="00C15230">
        <w:rPr>
          <w:szCs w:val="22"/>
        </w:rPr>
        <w:t>vedie</w:t>
      </w:r>
      <w:r w:rsidR="00C15230" w:rsidRPr="00C24D08">
        <w:rPr>
          <w:szCs w:val="22"/>
        </w:rPr>
        <w:t xml:space="preserve"> </w:t>
      </w:r>
      <w:r w:rsidRPr="00C24D08">
        <w:rPr>
          <w:szCs w:val="22"/>
        </w:rPr>
        <w:t xml:space="preserve">k neurónovej </w:t>
      </w:r>
      <w:proofErr w:type="spellStart"/>
      <w:r w:rsidRPr="00C24D08">
        <w:rPr>
          <w:szCs w:val="22"/>
        </w:rPr>
        <w:t>hyperpolarizácii</w:t>
      </w:r>
      <w:proofErr w:type="spellEnd"/>
      <w:r w:rsidRPr="00C24D08">
        <w:rPr>
          <w:szCs w:val="22"/>
        </w:rPr>
        <w:t>, a tým k inhibícii prenosu neurónov a navodeni</w:t>
      </w:r>
      <w:r w:rsidR="008F44B6" w:rsidRPr="00C24D08">
        <w:rPr>
          <w:szCs w:val="22"/>
        </w:rPr>
        <w:t>u</w:t>
      </w:r>
      <w:r w:rsidRPr="00C24D08">
        <w:rPr>
          <w:szCs w:val="22"/>
        </w:rPr>
        <w:t xml:space="preserve"> spánku.</w:t>
      </w:r>
    </w:p>
    <w:p w14:paraId="127948DD" w14:textId="77777777" w:rsidR="00CB1F55" w:rsidRPr="00C24D08" w:rsidRDefault="00CB1F55" w:rsidP="00C24D08">
      <w:pPr>
        <w:tabs>
          <w:tab w:val="clear" w:pos="567"/>
        </w:tabs>
        <w:autoSpaceDE w:val="0"/>
        <w:autoSpaceDN w:val="0"/>
        <w:adjustRightInd w:val="0"/>
        <w:spacing w:line="240" w:lineRule="auto"/>
        <w:rPr>
          <w:szCs w:val="22"/>
          <w:u w:val="single"/>
        </w:rPr>
      </w:pPr>
    </w:p>
    <w:p w14:paraId="51ECF09E" w14:textId="77777777" w:rsidR="00CB1F55" w:rsidRPr="00C24D08" w:rsidRDefault="00CB1F55" w:rsidP="00C24D08">
      <w:pPr>
        <w:tabs>
          <w:tab w:val="clear" w:pos="567"/>
        </w:tabs>
        <w:autoSpaceDE w:val="0"/>
        <w:autoSpaceDN w:val="0"/>
        <w:adjustRightInd w:val="0"/>
        <w:spacing w:line="240" w:lineRule="auto"/>
        <w:rPr>
          <w:i/>
          <w:szCs w:val="22"/>
        </w:rPr>
      </w:pPr>
      <w:r w:rsidRPr="00C24D08">
        <w:rPr>
          <w:i/>
          <w:szCs w:val="22"/>
        </w:rPr>
        <w:t>Prechodná nespavosť</w:t>
      </w:r>
    </w:p>
    <w:p w14:paraId="09D7CF4B" w14:textId="77777777" w:rsidR="00CB1F55" w:rsidRPr="00C24D08" w:rsidRDefault="00CB1F55" w:rsidP="00C24D08">
      <w:pPr>
        <w:tabs>
          <w:tab w:val="clear" w:pos="567"/>
        </w:tabs>
        <w:autoSpaceDE w:val="0"/>
        <w:autoSpaceDN w:val="0"/>
        <w:adjustRightInd w:val="0"/>
        <w:spacing w:line="240" w:lineRule="auto"/>
        <w:rPr>
          <w:szCs w:val="22"/>
        </w:rPr>
      </w:pPr>
      <w:r w:rsidRPr="00C24D08">
        <w:rPr>
          <w:szCs w:val="22"/>
        </w:rPr>
        <w:t xml:space="preserve">V jednodňovom modeli prechodnej nespavosti u zdravých dospelých dobrovoľníkov bola dávka 3 mg </w:t>
      </w:r>
      <w:proofErr w:type="spellStart"/>
      <w:r w:rsidRPr="00C24D08">
        <w:rPr>
          <w:szCs w:val="22"/>
        </w:rPr>
        <w:t>eszopiklónu</w:t>
      </w:r>
      <w:proofErr w:type="spellEnd"/>
      <w:r w:rsidRPr="00C24D08">
        <w:rPr>
          <w:szCs w:val="22"/>
        </w:rPr>
        <w:t xml:space="preserve"> lepšia ako placebo pri meraní nástupu spánku a udržiavania spánku pomocou objektívnej </w:t>
      </w:r>
      <w:proofErr w:type="spellStart"/>
      <w:r w:rsidRPr="00C24D08">
        <w:rPr>
          <w:szCs w:val="22"/>
        </w:rPr>
        <w:t>polysomnografie</w:t>
      </w:r>
      <w:proofErr w:type="spellEnd"/>
      <w:r w:rsidRPr="00C24D08">
        <w:rPr>
          <w:szCs w:val="22"/>
        </w:rPr>
        <w:t xml:space="preserve">. Okrem toho, skóre kvality pre spánok a hĺbku spánku, ktoré udali sami pacienti, bolo pri </w:t>
      </w:r>
      <w:proofErr w:type="spellStart"/>
      <w:r w:rsidRPr="00C24D08">
        <w:rPr>
          <w:szCs w:val="22"/>
        </w:rPr>
        <w:t>eszopiklóne</w:t>
      </w:r>
      <w:proofErr w:type="spellEnd"/>
      <w:r w:rsidRPr="00C24D08">
        <w:rPr>
          <w:szCs w:val="22"/>
        </w:rPr>
        <w:t xml:space="preserve"> v porovnaní s placebom významne lepšie.</w:t>
      </w:r>
    </w:p>
    <w:p w14:paraId="37382752" w14:textId="77777777" w:rsidR="00CB1F55" w:rsidRPr="00C24D08" w:rsidRDefault="00CB1F55" w:rsidP="00C24D08">
      <w:pPr>
        <w:tabs>
          <w:tab w:val="clear" w:pos="567"/>
        </w:tabs>
        <w:autoSpaceDE w:val="0"/>
        <w:autoSpaceDN w:val="0"/>
        <w:adjustRightInd w:val="0"/>
        <w:spacing w:line="240" w:lineRule="auto"/>
        <w:rPr>
          <w:szCs w:val="22"/>
        </w:rPr>
      </w:pPr>
    </w:p>
    <w:p w14:paraId="00493BAD" w14:textId="77777777" w:rsidR="00E270B0" w:rsidRPr="00C24D08" w:rsidRDefault="00CB1F55" w:rsidP="00C24D08">
      <w:pPr>
        <w:tabs>
          <w:tab w:val="clear" w:pos="567"/>
        </w:tabs>
        <w:autoSpaceDE w:val="0"/>
        <w:autoSpaceDN w:val="0"/>
        <w:adjustRightInd w:val="0"/>
        <w:spacing w:line="240" w:lineRule="auto"/>
        <w:rPr>
          <w:szCs w:val="22"/>
        </w:rPr>
      </w:pPr>
      <w:r w:rsidRPr="00C24D08">
        <w:rPr>
          <w:i/>
          <w:szCs w:val="22"/>
        </w:rPr>
        <w:t>Primárna nespavosť</w:t>
      </w:r>
    </w:p>
    <w:p w14:paraId="148308E2" w14:textId="5796A2FE" w:rsidR="00CB1F55" w:rsidRPr="00C24D08" w:rsidRDefault="00CB1F55" w:rsidP="00C24D08">
      <w:pPr>
        <w:tabs>
          <w:tab w:val="clear" w:pos="567"/>
        </w:tabs>
        <w:autoSpaceDE w:val="0"/>
        <w:autoSpaceDN w:val="0"/>
        <w:adjustRightInd w:val="0"/>
        <w:spacing w:line="240" w:lineRule="auto"/>
        <w:rPr>
          <w:szCs w:val="22"/>
        </w:rPr>
      </w:pPr>
      <w:r w:rsidRPr="00C24D08">
        <w:rPr>
          <w:szCs w:val="22"/>
        </w:rPr>
        <w:t xml:space="preserve">V placebom kontrolovaných štúdiách trvajúcich až do 6 mesiacov u </w:t>
      </w:r>
      <w:r w:rsidR="002172C6" w:rsidRPr="00C24D08">
        <w:rPr>
          <w:szCs w:val="22"/>
        </w:rPr>
        <w:t>osôb</w:t>
      </w:r>
      <w:r w:rsidRPr="00C24D08">
        <w:rPr>
          <w:szCs w:val="22"/>
        </w:rPr>
        <w:t xml:space="preserve"> s chronickou nespavosťou preukázal</w:t>
      </w:r>
      <w:r w:rsidR="002172C6" w:rsidRPr="00C24D08">
        <w:rPr>
          <w:szCs w:val="22"/>
        </w:rPr>
        <w:t xml:space="preserve"> </w:t>
      </w:r>
      <w:proofErr w:type="spellStart"/>
      <w:r w:rsidRPr="00C24D08">
        <w:rPr>
          <w:szCs w:val="22"/>
        </w:rPr>
        <w:t>eszopiklón</w:t>
      </w:r>
      <w:proofErr w:type="spellEnd"/>
      <w:r w:rsidRPr="00C24D08">
        <w:rPr>
          <w:szCs w:val="22"/>
        </w:rPr>
        <w:t xml:space="preserve"> nepretržité zlepšovanie nástupu spánku a nočného prebudenia, zlepšenie celkového času spánku a kvality spánku (</w:t>
      </w:r>
      <w:proofErr w:type="spellStart"/>
      <w:r w:rsidRPr="00C24D08">
        <w:rPr>
          <w:szCs w:val="22"/>
        </w:rPr>
        <w:t>restoratívny</w:t>
      </w:r>
      <w:proofErr w:type="spellEnd"/>
      <w:r w:rsidRPr="00C24D08">
        <w:rPr>
          <w:szCs w:val="22"/>
        </w:rPr>
        <w:t xml:space="preserve"> spánok) počas trvania liečby, merané objektívnou </w:t>
      </w:r>
      <w:proofErr w:type="spellStart"/>
      <w:r w:rsidRPr="00C24D08">
        <w:rPr>
          <w:szCs w:val="22"/>
        </w:rPr>
        <w:t>polysomnografiou</w:t>
      </w:r>
      <w:proofErr w:type="spellEnd"/>
      <w:r w:rsidRPr="00C24D08">
        <w:rPr>
          <w:szCs w:val="22"/>
        </w:rPr>
        <w:t xml:space="preserve"> a meraniami subjektívneho výsledku. Výkonnosť nasledujúceho dňa sa zlepšila podaním </w:t>
      </w:r>
      <w:proofErr w:type="spellStart"/>
      <w:r w:rsidRPr="00C24D08">
        <w:rPr>
          <w:szCs w:val="22"/>
        </w:rPr>
        <w:t>eszopiklónu</w:t>
      </w:r>
      <w:proofErr w:type="spellEnd"/>
      <w:r w:rsidRPr="00C24D08">
        <w:rPr>
          <w:szCs w:val="22"/>
        </w:rPr>
        <w:t>, čo potvrdilo niekoľk</w:t>
      </w:r>
      <w:r w:rsidR="002172C6" w:rsidRPr="00C24D08">
        <w:rPr>
          <w:szCs w:val="22"/>
        </w:rPr>
        <w:t>o</w:t>
      </w:r>
      <w:r w:rsidRPr="00C24D08">
        <w:rPr>
          <w:szCs w:val="22"/>
        </w:rPr>
        <w:t xml:space="preserve"> meraní. V placebom kontrolovaných štúdiách sa nepozoroval žiadny vývoj tolerancie u jedincov s chronickou nespavosťou liečených </w:t>
      </w:r>
      <w:proofErr w:type="spellStart"/>
      <w:r w:rsidRPr="00C24D08">
        <w:rPr>
          <w:szCs w:val="22"/>
        </w:rPr>
        <w:t>eszopiklónom</w:t>
      </w:r>
      <w:proofErr w:type="spellEnd"/>
      <w:r w:rsidRPr="00C24D08">
        <w:rPr>
          <w:szCs w:val="22"/>
        </w:rPr>
        <w:t xml:space="preserve"> po dobu až </w:t>
      </w:r>
      <w:r w:rsidR="002172C6" w:rsidRPr="00C24D08">
        <w:rPr>
          <w:szCs w:val="22"/>
        </w:rPr>
        <w:t xml:space="preserve">do </w:t>
      </w:r>
      <w:r w:rsidRPr="00C24D08">
        <w:rPr>
          <w:szCs w:val="22"/>
        </w:rPr>
        <w:t xml:space="preserve">6 mesiacov a u </w:t>
      </w:r>
      <w:bookmarkStart w:id="0" w:name="_Hlk23144871"/>
      <w:r w:rsidRPr="00C24D08">
        <w:rPr>
          <w:szCs w:val="22"/>
        </w:rPr>
        <w:t xml:space="preserve">jedincov s nespavosťou alebo </w:t>
      </w:r>
      <w:proofErr w:type="spellStart"/>
      <w:r w:rsidRPr="00C24D08">
        <w:rPr>
          <w:szCs w:val="22"/>
        </w:rPr>
        <w:t>komorbidnými</w:t>
      </w:r>
      <w:proofErr w:type="spellEnd"/>
      <w:r w:rsidRPr="00C24D08">
        <w:rPr>
          <w:szCs w:val="22"/>
        </w:rPr>
        <w:t xml:space="preserve"> stavmi depresie</w:t>
      </w:r>
      <w:bookmarkEnd w:id="0"/>
      <w:r w:rsidRPr="00C24D08">
        <w:rPr>
          <w:szCs w:val="22"/>
        </w:rPr>
        <w:t xml:space="preserve">, úzkosti alebo bolesti liečených </w:t>
      </w:r>
      <w:proofErr w:type="spellStart"/>
      <w:r w:rsidRPr="00C24D08">
        <w:rPr>
          <w:szCs w:val="22"/>
        </w:rPr>
        <w:t>eszopiklónom</w:t>
      </w:r>
      <w:proofErr w:type="spellEnd"/>
      <w:r w:rsidRPr="00C24D08">
        <w:rPr>
          <w:szCs w:val="22"/>
        </w:rPr>
        <w:t xml:space="preserve"> až </w:t>
      </w:r>
      <w:r w:rsidR="002172C6" w:rsidRPr="00C24D08">
        <w:rPr>
          <w:szCs w:val="22"/>
        </w:rPr>
        <w:t xml:space="preserve">do </w:t>
      </w:r>
      <w:r w:rsidRPr="00C24D08">
        <w:rPr>
          <w:szCs w:val="22"/>
        </w:rPr>
        <w:t>8 týždňov. Je potrebné poznamenať, že dávka 1 mg u dospelých preukázala pri meraniach nekonzistentnú účinnosť pri zlepšovaní nástupu spánku alebo nočného prebudenia, ale nezlepšila celkový čas spánku v žiadnej štúdii. Očakáva sa teda, že zvyčajná účinná dávka bude pre dospelých 2 alebo 3 mg.</w:t>
      </w:r>
    </w:p>
    <w:p w14:paraId="01F87FF4" w14:textId="77777777" w:rsidR="00CB1F55" w:rsidRPr="00C24D08" w:rsidRDefault="00CB1F55" w:rsidP="00C24D08">
      <w:pPr>
        <w:tabs>
          <w:tab w:val="clear" w:pos="567"/>
        </w:tabs>
        <w:autoSpaceDE w:val="0"/>
        <w:autoSpaceDN w:val="0"/>
        <w:adjustRightInd w:val="0"/>
        <w:spacing w:line="240" w:lineRule="auto"/>
        <w:rPr>
          <w:szCs w:val="22"/>
        </w:rPr>
      </w:pPr>
    </w:p>
    <w:p w14:paraId="355157D0" w14:textId="77777777" w:rsidR="00CB1F55" w:rsidRPr="00C24D08" w:rsidRDefault="00CB1F55" w:rsidP="00C24D08">
      <w:pPr>
        <w:tabs>
          <w:tab w:val="clear" w:pos="567"/>
        </w:tabs>
        <w:autoSpaceDE w:val="0"/>
        <w:autoSpaceDN w:val="0"/>
        <w:adjustRightInd w:val="0"/>
        <w:spacing w:line="240" w:lineRule="auto"/>
        <w:rPr>
          <w:i/>
          <w:szCs w:val="22"/>
        </w:rPr>
      </w:pPr>
      <w:proofErr w:type="spellStart"/>
      <w:r w:rsidRPr="00C24D08">
        <w:rPr>
          <w:i/>
          <w:szCs w:val="22"/>
        </w:rPr>
        <w:t>Komorbidná</w:t>
      </w:r>
      <w:proofErr w:type="spellEnd"/>
      <w:r w:rsidRPr="00C24D08">
        <w:rPr>
          <w:i/>
          <w:szCs w:val="22"/>
        </w:rPr>
        <w:t xml:space="preserve"> nespavosť</w:t>
      </w:r>
    </w:p>
    <w:p w14:paraId="0CA29DFE" w14:textId="5D695F0A" w:rsidR="00CB1F55" w:rsidRPr="00C24D08" w:rsidRDefault="00CB1F55" w:rsidP="00C24D08">
      <w:pPr>
        <w:tabs>
          <w:tab w:val="clear" w:pos="567"/>
        </w:tabs>
        <w:autoSpaceDE w:val="0"/>
        <w:autoSpaceDN w:val="0"/>
        <w:adjustRightInd w:val="0"/>
        <w:spacing w:line="240" w:lineRule="auto"/>
        <w:rPr>
          <w:szCs w:val="22"/>
        </w:rPr>
      </w:pPr>
      <w:r w:rsidRPr="00C24D08">
        <w:rPr>
          <w:szCs w:val="22"/>
        </w:rPr>
        <w:t xml:space="preserve">U </w:t>
      </w:r>
      <w:r w:rsidR="002172C6" w:rsidRPr="00C24D08">
        <w:rPr>
          <w:szCs w:val="22"/>
        </w:rPr>
        <w:t>osôb</w:t>
      </w:r>
      <w:r w:rsidRPr="00C24D08">
        <w:rPr>
          <w:szCs w:val="22"/>
        </w:rPr>
        <w:t xml:space="preserve"> s nespavosťou, ktorá je </w:t>
      </w:r>
      <w:proofErr w:type="spellStart"/>
      <w:r w:rsidRPr="00C24D08">
        <w:rPr>
          <w:szCs w:val="22"/>
        </w:rPr>
        <w:t>komorbidná</w:t>
      </w:r>
      <w:proofErr w:type="spellEnd"/>
      <w:r w:rsidRPr="00C24D08">
        <w:rPr>
          <w:szCs w:val="22"/>
        </w:rPr>
        <w:t xml:space="preserve"> s depresiou alebo úzkosťou, sú</w:t>
      </w:r>
      <w:r w:rsidR="002172C6" w:rsidRPr="00C24D08">
        <w:rPr>
          <w:szCs w:val="22"/>
        </w:rPr>
        <w:t>bež</w:t>
      </w:r>
      <w:r w:rsidRPr="00C24D08">
        <w:rPr>
          <w:szCs w:val="22"/>
        </w:rPr>
        <w:t xml:space="preserve">né podávanie </w:t>
      </w:r>
      <w:proofErr w:type="spellStart"/>
      <w:r w:rsidRPr="00C24D08">
        <w:rPr>
          <w:szCs w:val="22"/>
        </w:rPr>
        <w:t>eszopiklónu</w:t>
      </w:r>
      <w:proofErr w:type="spellEnd"/>
      <w:r w:rsidRPr="00C24D08">
        <w:rPr>
          <w:szCs w:val="22"/>
        </w:rPr>
        <w:t xml:space="preserve"> so selektívnym inhibítorom spätného vychytávania </w:t>
      </w:r>
      <w:proofErr w:type="spellStart"/>
      <w:r w:rsidRPr="00C24D08">
        <w:rPr>
          <w:szCs w:val="22"/>
        </w:rPr>
        <w:t>s</w:t>
      </w:r>
      <w:r w:rsidR="002B71C7">
        <w:rPr>
          <w:szCs w:val="22"/>
        </w:rPr>
        <w:t>é</w:t>
      </w:r>
      <w:r w:rsidRPr="00C24D08">
        <w:rPr>
          <w:szCs w:val="22"/>
        </w:rPr>
        <w:t>rotonínu</w:t>
      </w:r>
      <w:proofErr w:type="spellEnd"/>
      <w:r w:rsidRPr="00C24D08">
        <w:rPr>
          <w:szCs w:val="22"/>
        </w:rPr>
        <w:t xml:space="preserve"> (SSRI) počas 8 týždňov preukázalo významné zlepšenie spánku, ako aj určité klinicky relevantné kritériá týkajúce sa </w:t>
      </w:r>
      <w:proofErr w:type="spellStart"/>
      <w:r w:rsidRPr="00C24D08">
        <w:rPr>
          <w:szCs w:val="22"/>
        </w:rPr>
        <w:t>antidepresív</w:t>
      </w:r>
      <w:proofErr w:type="spellEnd"/>
      <w:r w:rsidRPr="00C24D08">
        <w:rPr>
          <w:szCs w:val="22"/>
        </w:rPr>
        <w:t xml:space="preserve"> a </w:t>
      </w:r>
      <w:proofErr w:type="spellStart"/>
      <w:r w:rsidRPr="00C24D08">
        <w:rPr>
          <w:szCs w:val="22"/>
        </w:rPr>
        <w:t>anxiolytickej</w:t>
      </w:r>
      <w:proofErr w:type="spellEnd"/>
      <w:r w:rsidRPr="00C24D08">
        <w:rPr>
          <w:szCs w:val="22"/>
        </w:rPr>
        <w:t xml:space="preserve"> odpovede (napr. </w:t>
      </w:r>
      <w:proofErr w:type="spellStart"/>
      <w:r w:rsidRPr="00C24D08">
        <w:rPr>
          <w:szCs w:val="22"/>
        </w:rPr>
        <w:t>Hamiltonova</w:t>
      </w:r>
      <w:proofErr w:type="spellEnd"/>
      <w:r w:rsidRPr="00C24D08">
        <w:rPr>
          <w:szCs w:val="22"/>
        </w:rPr>
        <w:t xml:space="preserve"> depresia a stupnice hodnotenia úzkosti) v porovnaní s podaním </w:t>
      </w:r>
      <w:proofErr w:type="spellStart"/>
      <w:r w:rsidRPr="00C24D08">
        <w:rPr>
          <w:szCs w:val="22"/>
        </w:rPr>
        <w:t>monoterapie</w:t>
      </w:r>
      <w:proofErr w:type="spellEnd"/>
      <w:r w:rsidRPr="00C24D08">
        <w:rPr>
          <w:szCs w:val="22"/>
        </w:rPr>
        <w:t xml:space="preserve"> SSRI. V 4-týždňových štúdiách nespavosti </w:t>
      </w:r>
      <w:proofErr w:type="spellStart"/>
      <w:r w:rsidRPr="00C24D08">
        <w:rPr>
          <w:szCs w:val="22"/>
        </w:rPr>
        <w:t>komorbidnej</w:t>
      </w:r>
      <w:proofErr w:type="spellEnd"/>
      <w:r w:rsidRPr="00C24D08">
        <w:rPr>
          <w:szCs w:val="22"/>
        </w:rPr>
        <w:t xml:space="preserve"> s </w:t>
      </w:r>
      <w:proofErr w:type="spellStart"/>
      <w:r w:rsidRPr="00C24D08">
        <w:rPr>
          <w:szCs w:val="22"/>
        </w:rPr>
        <w:t>reumatoidnou</w:t>
      </w:r>
      <w:proofErr w:type="spellEnd"/>
      <w:r w:rsidRPr="00C24D08">
        <w:rPr>
          <w:szCs w:val="22"/>
        </w:rPr>
        <w:t xml:space="preserve"> artritídou alebo </w:t>
      </w:r>
      <w:proofErr w:type="spellStart"/>
      <w:r w:rsidRPr="00C24D08">
        <w:rPr>
          <w:szCs w:val="22"/>
        </w:rPr>
        <w:t>perimenopauzálnymi</w:t>
      </w:r>
      <w:proofErr w:type="spellEnd"/>
      <w:r w:rsidRPr="00C24D08">
        <w:rPr>
          <w:szCs w:val="22"/>
        </w:rPr>
        <w:t xml:space="preserve"> symptómami preukázal </w:t>
      </w:r>
      <w:proofErr w:type="spellStart"/>
      <w:r w:rsidRPr="00C24D08">
        <w:rPr>
          <w:szCs w:val="22"/>
        </w:rPr>
        <w:t>eszopiklón</w:t>
      </w:r>
      <w:proofErr w:type="spellEnd"/>
      <w:r w:rsidRPr="00C24D08">
        <w:rPr>
          <w:szCs w:val="22"/>
        </w:rPr>
        <w:t xml:space="preserve"> významné zlepšenie spánku (nástup a udržanie spánku) počas trvania štúdie. V týchto štúdiách sa zaznamenalo aj zlepšenie vnímania bolesti u pacientov s </w:t>
      </w:r>
      <w:proofErr w:type="spellStart"/>
      <w:r w:rsidRPr="00C24D08">
        <w:rPr>
          <w:szCs w:val="22"/>
        </w:rPr>
        <w:t>reumatoidnou</w:t>
      </w:r>
      <w:proofErr w:type="spellEnd"/>
      <w:r w:rsidRPr="00C24D08">
        <w:rPr>
          <w:szCs w:val="22"/>
        </w:rPr>
        <w:t xml:space="preserve"> artritídou a zlepšenie symptómov súvisiacich s náladou a </w:t>
      </w:r>
      <w:proofErr w:type="spellStart"/>
      <w:r w:rsidRPr="00C24D08">
        <w:rPr>
          <w:szCs w:val="22"/>
        </w:rPr>
        <w:t>menopauzou</w:t>
      </w:r>
      <w:proofErr w:type="spellEnd"/>
      <w:r w:rsidRPr="00C24D08">
        <w:rPr>
          <w:szCs w:val="22"/>
        </w:rPr>
        <w:t xml:space="preserve"> u </w:t>
      </w:r>
      <w:proofErr w:type="spellStart"/>
      <w:r w:rsidRPr="00C24D08">
        <w:rPr>
          <w:szCs w:val="22"/>
        </w:rPr>
        <w:t>perimenopauzálnych</w:t>
      </w:r>
      <w:proofErr w:type="spellEnd"/>
      <w:r w:rsidRPr="00C24D08">
        <w:rPr>
          <w:szCs w:val="22"/>
        </w:rPr>
        <w:t xml:space="preserve"> a </w:t>
      </w:r>
      <w:proofErr w:type="spellStart"/>
      <w:r w:rsidRPr="00C24D08">
        <w:rPr>
          <w:szCs w:val="22"/>
        </w:rPr>
        <w:t>menopauzálnych</w:t>
      </w:r>
      <w:proofErr w:type="spellEnd"/>
      <w:r w:rsidRPr="00C24D08">
        <w:rPr>
          <w:szCs w:val="22"/>
        </w:rPr>
        <w:t xml:space="preserve"> žien liečených </w:t>
      </w:r>
      <w:proofErr w:type="spellStart"/>
      <w:r w:rsidRPr="00C24D08">
        <w:rPr>
          <w:szCs w:val="22"/>
        </w:rPr>
        <w:t>eszopiklónom</w:t>
      </w:r>
      <w:proofErr w:type="spellEnd"/>
      <w:r w:rsidRPr="00C24D08">
        <w:rPr>
          <w:szCs w:val="22"/>
        </w:rPr>
        <w:t>.</w:t>
      </w:r>
    </w:p>
    <w:p w14:paraId="5593C43E" w14:textId="77777777" w:rsidR="00CB1F55" w:rsidRPr="00C24D08" w:rsidRDefault="00CB1F55" w:rsidP="00C24D08">
      <w:pPr>
        <w:tabs>
          <w:tab w:val="clear" w:pos="567"/>
        </w:tabs>
        <w:autoSpaceDE w:val="0"/>
        <w:autoSpaceDN w:val="0"/>
        <w:adjustRightInd w:val="0"/>
        <w:spacing w:line="240" w:lineRule="auto"/>
        <w:rPr>
          <w:szCs w:val="22"/>
        </w:rPr>
      </w:pPr>
    </w:p>
    <w:p w14:paraId="20DC721A" w14:textId="600CE8E0" w:rsidR="005847F2" w:rsidRPr="00C24D08" w:rsidRDefault="005847F2" w:rsidP="00C24D08">
      <w:pPr>
        <w:tabs>
          <w:tab w:val="clear" w:pos="567"/>
        </w:tabs>
        <w:autoSpaceDE w:val="0"/>
        <w:autoSpaceDN w:val="0"/>
        <w:adjustRightInd w:val="0"/>
        <w:spacing w:line="240" w:lineRule="auto"/>
        <w:rPr>
          <w:szCs w:val="22"/>
        </w:rPr>
      </w:pPr>
      <w:r w:rsidRPr="00C24D08">
        <w:rPr>
          <w:i/>
          <w:szCs w:val="22"/>
        </w:rPr>
        <w:t>Starš</w:t>
      </w:r>
      <w:r w:rsidR="002172C6" w:rsidRPr="00C24D08">
        <w:rPr>
          <w:i/>
          <w:szCs w:val="22"/>
        </w:rPr>
        <w:t>ie osoby</w:t>
      </w:r>
    </w:p>
    <w:p w14:paraId="44121D12" w14:textId="51FCC35F" w:rsidR="00C91148" w:rsidRPr="00C24D08" w:rsidRDefault="005847F2" w:rsidP="00C24D08">
      <w:pPr>
        <w:tabs>
          <w:tab w:val="clear" w:pos="567"/>
        </w:tabs>
        <w:autoSpaceDE w:val="0"/>
        <w:autoSpaceDN w:val="0"/>
        <w:adjustRightInd w:val="0"/>
        <w:spacing w:line="240" w:lineRule="auto"/>
        <w:rPr>
          <w:szCs w:val="22"/>
        </w:rPr>
      </w:pPr>
      <w:r w:rsidRPr="00C24D08">
        <w:rPr>
          <w:szCs w:val="22"/>
        </w:rPr>
        <w:t xml:space="preserve">Expozícia </w:t>
      </w:r>
      <w:proofErr w:type="spellStart"/>
      <w:r w:rsidRPr="00C24D08">
        <w:rPr>
          <w:szCs w:val="22"/>
        </w:rPr>
        <w:t>eszopiklónu</w:t>
      </w:r>
      <w:proofErr w:type="spellEnd"/>
      <w:r w:rsidRPr="00C24D08">
        <w:rPr>
          <w:szCs w:val="22"/>
        </w:rPr>
        <w:t xml:space="preserve"> sa zvyšuje u</w:t>
      </w:r>
      <w:r w:rsidR="002172C6" w:rsidRPr="00C24D08">
        <w:rPr>
          <w:szCs w:val="22"/>
        </w:rPr>
        <w:t xml:space="preserve"> starších </w:t>
      </w:r>
      <w:r w:rsidRPr="00C24D08">
        <w:rPr>
          <w:szCs w:val="22"/>
        </w:rPr>
        <w:t xml:space="preserve">pacientov vo veku 65 rokov a starších (pozri časť 5.2) a celková denná dávka </w:t>
      </w:r>
      <w:proofErr w:type="spellStart"/>
      <w:r w:rsidRPr="00C24D08">
        <w:rPr>
          <w:szCs w:val="22"/>
        </w:rPr>
        <w:t>eszopiklónu</w:t>
      </w:r>
      <w:proofErr w:type="spellEnd"/>
      <w:r w:rsidRPr="00C24D08">
        <w:rPr>
          <w:szCs w:val="22"/>
        </w:rPr>
        <w:t xml:space="preserve"> nesmie u starších pacientov prekročiť 2 mg. Počas trvania štúdie, v </w:t>
      </w:r>
      <w:proofErr w:type="spellStart"/>
      <w:r w:rsidRPr="00C24D08">
        <w:rPr>
          <w:szCs w:val="22"/>
        </w:rPr>
        <w:t>randomizovaných</w:t>
      </w:r>
      <w:proofErr w:type="spellEnd"/>
      <w:r w:rsidRPr="00C24D08">
        <w:rPr>
          <w:szCs w:val="22"/>
        </w:rPr>
        <w:t xml:space="preserve">, dvojito zaslepených, placebom kontrolovaných štúdiách u starších pacientov s chronickou nespavosťou do 12 týždňov, 2 mg </w:t>
      </w:r>
      <w:proofErr w:type="spellStart"/>
      <w:r w:rsidRPr="00C24D08">
        <w:rPr>
          <w:szCs w:val="22"/>
        </w:rPr>
        <w:t>eszopiklónu</w:t>
      </w:r>
      <w:proofErr w:type="spellEnd"/>
      <w:r w:rsidRPr="00C24D08">
        <w:rPr>
          <w:szCs w:val="22"/>
        </w:rPr>
        <w:t xml:space="preserve"> jedenkrát pred spaním preukázal významné zlepšenie kvality spánku (nástup a udržanie spánku).</w:t>
      </w:r>
    </w:p>
    <w:p w14:paraId="05F21C46" w14:textId="77777777" w:rsidR="005847F2" w:rsidRPr="00C24D08" w:rsidRDefault="005847F2" w:rsidP="00C24D08">
      <w:pPr>
        <w:tabs>
          <w:tab w:val="clear" w:pos="567"/>
        </w:tabs>
        <w:autoSpaceDE w:val="0"/>
        <w:autoSpaceDN w:val="0"/>
        <w:adjustRightInd w:val="0"/>
        <w:spacing w:line="240" w:lineRule="auto"/>
        <w:rPr>
          <w:szCs w:val="22"/>
        </w:rPr>
      </w:pPr>
    </w:p>
    <w:p w14:paraId="34337003" w14:textId="77777777" w:rsidR="001D29E6" w:rsidRPr="00C24D08" w:rsidRDefault="00E82DD0" w:rsidP="00C24D08">
      <w:pPr>
        <w:spacing w:line="240" w:lineRule="auto"/>
        <w:rPr>
          <w:i/>
          <w:szCs w:val="22"/>
        </w:rPr>
      </w:pPr>
      <w:r w:rsidRPr="00C24D08">
        <w:rPr>
          <w:i/>
          <w:szCs w:val="22"/>
        </w:rPr>
        <w:t>Pediatrická populácia</w:t>
      </w:r>
    </w:p>
    <w:p w14:paraId="345D00FA" w14:textId="187A70D1" w:rsidR="00E82DD0" w:rsidRPr="00C24D08" w:rsidRDefault="00E82DD0" w:rsidP="00C24D08">
      <w:pPr>
        <w:tabs>
          <w:tab w:val="clear" w:pos="567"/>
        </w:tabs>
        <w:autoSpaceDE w:val="0"/>
        <w:autoSpaceDN w:val="0"/>
        <w:adjustRightInd w:val="0"/>
        <w:spacing w:line="240" w:lineRule="auto"/>
        <w:rPr>
          <w:szCs w:val="22"/>
        </w:rPr>
      </w:pPr>
      <w:r w:rsidRPr="00C24D08">
        <w:rPr>
          <w:szCs w:val="22"/>
        </w:rPr>
        <w:t xml:space="preserve">Európska agentúra pre lieky </w:t>
      </w:r>
      <w:r w:rsidR="00EC2CC7">
        <w:rPr>
          <w:szCs w:val="22"/>
        </w:rPr>
        <w:t>udelila odklad z</w:t>
      </w:r>
      <w:r w:rsidR="00EC2CC7" w:rsidRPr="00C24D08">
        <w:rPr>
          <w:szCs w:val="22"/>
        </w:rPr>
        <w:t xml:space="preserve"> </w:t>
      </w:r>
      <w:r w:rsidRPr="00C24D08">
        <w:rPr>
          <w:szCs w:val="22"/>
        </w:rPr>
        <w:t>povinnos</w:t>
      </w:r>
      <w:r w:rsidR="00EC2CC7">
        <w:rPr>
          <w:szCs w:val="22"/>
        </w:rPr>
        <w:t>ti</w:t>
      </w:r>
      <w:r w:rsidRPr="00C24D08">
        <w:rPr>
          <w:szCs w:val="22"/>
        </w:rPr>
        <w:t xml:space="preserve"> predložiť výsledky štúdií s </w:t>
      </w:r>
      <w:proofErr w:type="spellStart"/>
      <w:r w:rsidRPr="00C24D08">
        <w:rPr>
          <w:szCs w:val="22"/>
        </w:rPr>
        <w:t>eszopiklónom</w:t>
      </w:r>
      <w:proofErr w:type="spellEnd"/>
      <w:r w:rsidRPr="00C24D08">
        <w:rPr>
          <w:szCs w:val="22"/>
        </w:rPr>
        <w:t xml:space="preserve"> vo všetkých podskupinách detskej populácie pri liečbe nespavosti. Informácie o pediatrickom použití sú uvedené v časti 4.2. </w:t>
      </w:r>
    </w:p>
    <w:p w14:paraId="37FF2FD6" w14:textId="77777777" w:rsidR="00EF5E3C" w:rsidRPr="00C24D08" w:rsidRDefault="00EF5E3C" w:rsidP="00C24D08">
      <w:pPr>
        <w:spacing w:line="240" w:lineRule="auto"/>
        <w:rPr>
          <w:szCs w:val="22"/>
        </w:rPr>
      </w:pPr>
    </w:p>
    <w:p w14:paraId="53DB0746" w14:textId="77777777" w:rsidR="001D29E6" w:rsidRPr="00C24D08" w:rsidRDefault="001D29E6" w:rsidP="00C24D08">
      <w:pPr>
        <w:pStyle w:val="Nadpis2"/>
        <w:rPr>
          <w:szCs w:val="22"/>
        </w:rPr>
      </w:pPr>
      <w:r w:rsidRPr="00C24D08">
        <w:rPr>
          <w:szCs w:val="22"/>
        </w:rPr>
        <w:t>‌5.2</w:t>
      </w:r>
      <w:r w:rsidRPr="00C24D08">
        <w:rPr>
          <w:szCs w:val="22"/>
        </w:rPr>
        <w:tab/>
      </w:r>
      <w:proofErr w:type="spellStart"/>
      <w:r w:rsidRPr="00C24D08">
        <w:rPr>
          <w:szCs w:val="22"/>
        </w:rPr>
        <w:t>Farmakokinetické</w:t>
      </w:r>
      <w:proofErr w:type="spellEnd"/>
      <w:r w:rsidRPr="00C24D08">
        <w:rPr>
          <w:szCs w:val="22"/>
        </w:rPr>
        <w:t xml:space="preserve"> vlastnosti</w:t>
      </w:r>
    </w:p>
    <w:p w14:paraId="14B2DCCD" w14:textId="77777777" w:rsidR="00C53ACC" w:rsidRPr="00C24D08" w:rsidRDefault="00C53ACC" w:rsidP="00C24D08">
      <w:pPr>
        <w:spacing w:line="240" w:lineRule="auto"/>
        <w:rPr>
          <w:szCs w:val="22"/>
        </w:rPr>
      </w:pPr>
    </w:p>
    <w:p w14:paraId="2CCD6C2E" w14:textId="77777777" w:rsidR="00777769" w:rsidRPr="00C24D08" w:rsidRDefault="00777769" w:rsidP="00C24D08">
      <w:pPr>
        <w:numPr>
          <w:ilvl w:val="12"/>
          <w:numId w:val="0"/>
        </w:numPr>
        <w:spacing w:line="240" w:lineRule="auto"/>
        <w:ind w:right="-2"/>
        <w:rPr>
          <w:iCs/>
          <w:noProof/>
          <w:szCs w:val="22"/>
          <w:u w:val="single"/>
        </w:rPr>
      </w:pPr>
      <w:r w:rsidRPr="00C24D08">
        <w:rPr>
          <w:iCs/>
          <w:szCs w:val="22"/>
          <w:u w:val="single"/>
        </w:rPr>
        <w:t>Absorpcia</w:t>
      </w:r>
    </w:p>
    <w:p w14:paraId="5FBBF408" w14:textId="2C46B94D" w:rsidR="00FA3116" w:rsidRPr="00C24D08" w:rsidRDefault="00FA3116" w:rsidP="00C24D08">
      <w:pPr>
        <w:numPr>
          <w:ilvl w:val="12"/>
          <w:numId w:val="0"/>
        </w:numPr>
        <w:spacing w:line="240" w:lineRule="auto"/>
        <w:ind w:right="-2"/>
        <w:rPr>
          <w:iCs/>
          <w:noProof/>
          <w:szCs w:val="22"/>
        </w:rPr>
      </w:pPr>
      <w:proofErr w:type="spellStart"/>
      <w:r w:rsidRPr="00C24D08">
        <w:rPr>
          <w:szCs w:val="22"/>
        </w:rPr>
        <w:t>Eszopiklón</w:t>
      </w:r>
      <w:proofErr w:type="spellEnd"/>
      <w:r w:rsidRPr="00C24D08">
        <w:rPr>
          <w:szCs w:val="22"/>
        </w:rPr>
        <w:t xml:space="preserve"> sa po perorálnom podaní rýchlo vstrebáva. Maximálne plazmatické koncentrácie sa dosiahnu do 1 hodiny po perorálnom podaní.</w:t>
      </w:r>
    </w:p>
    <w:p w14:paraId="488DB025" w14:textId="77777777" w:rsidR="00FA3116" w:rsidRPr="00C24D08" w:rsidRDefault="00FA3116" w:rsidP="00C24D08">
      <w:pPr>
        <w:numPr>
          <w:ilvl w:val="12"/>
          <w:numId w:val="0"/>
        </w:numPr>
        <w:spacing w:line="240" w:lineRule="auto"/>
        <w:ind w:right="-2"/>
        <w:rPr>
          <w:iCs/>
          <w:noProof/>
          <w:szCs w:val="22"/>
          <w:u w:val="single"/>
        </w:rPr>
      </w:pPr>
    </w:p>
    <w:p w14:paraId="7EAB6217" w14:textId="77777777" w:rsidR="00777769" w:rsidRPr="00C24D08" w:rsidRDefault="00777769" w:rsidP="00C24D08">
      <w:pPr>
        <w:numPr>
          <w:ilvl w:val="12"/>
          <w:numId w:val="0"/>
        </w:numPr>
        <w:spacing w:line="240" w:lineRule="auto"/>
        <w:ind w:right="-2"/>
        <w:rPr>
          <w:iCs/>
          <w:noProof/>
          <w:szCs w:val="22"/>
          <w:u w:val="single"/>
        </w:rPr>
      </w:pPr>
      <w:r w:rsidRPr="00C24D08">
        <w:rPr>
          <w:iCs/>
          <w:szCs w:val="22"/>
          <w:u w:val="single"/>
        </w:rPr>
        <w:t>Distribúcia</w:t>
      </w:r>
    </w:p>
    <w:p w14:paraId="0FDF06B7" w14:textId="77777777" w:rsidR="00FA3116" w:rsidRPr="00C24D08" w:rsidRDefault="00FA3116" w:rsidP="00C24D08">
      <w:pPr>
        <w:numPr>
          <w:ilvl w:val="12"/>
          <w:numId w:val="0"/>
        </w:numPr>
        <w:spacing w:line="240" w:lineRule="auto"/>
        <w:ind w:right="-2"/>
        <w:rPr>
          <w:iCs/>
          <w:noProof/>
          <w:szCs w:val="22"/>
        </w:rPr>
      </w:pPr>
      <w:proofErr w:type="spellStart"/>
      <w:r w:rsidRPr="00C24D08">
        <w:rPr>
          <w:szCs w:val="22"/>
        </w:rPr>
        <w:t>Eszopiklón</w:t>
      </w:r>
      <w:proofErr w:type="spellEnd"/>
      <w:r w:rsidRPr="00C24D08">
        <w:rPr>
          <w:szCs w:val="22"/>
        </w:rPr>
        <w:t xml:space="preserve"> sa slabo viaže na plazmatické bielkoviny (52 - 59%). Preto je nepravdepodobné, že by dispozícia </w:t>
      </w:r>
      <w:proofErr w:type="spellStart"/>
      <w:r w:rsidRPr="00C24D08">
        <w:rPr>
          <w:szCs w:val="22"/>
        </w:rPr>
        <w:t>eszopiklónu</w:t>
      </w:r>
      <w:proofErr w:type="spellEnd"/>
      <w:r w:rsidRPr="00C24D08">
        <w:rPr>
          <w:szCs w:val="22"/>
        </w:rPr>
        <w:t xml:space="preserve"> bola ovplyvnená interakciami liečivo-liečivo spôsobenými väzbou proteínov. Pomer krv - plazma pri </w:t>
      </w:r>
      <w:proofErr w:type="spellStart"/>
      <w:r w:rsidRPr="00C24D08">
        <w:rPr>
          <w:szCs w:val="22"/>
        </w:rPr>
        <w:t>eszopiklóne</w:t>
      </w:r>
      <w:proofErr w:type="spellEnd"/>
      <w:r w:rsidRPr="00C24D08">
        <w:rPr>
          <w:szCs w:val="22"/>
        </w:rPr>
        <w:t xml:space="preserve"> je menší ako jeden, čo naznačuje, že červené krvinky nevykazujú selektívne vychytávanie.</w:t>
      </w:r>
    </w:p>
    <w:p w14:paraId="7A1165C8" w14:textId="77777777" w:rsidR="00FA3116" w:rsidRPr="00C24D08" w:rsidRDefault="00FA3116" w:rsidP="00C24D08">
      <w:pPr>
        <w:numPr>
          <w:ilvl w:val="12"/>
          <w:numId w:val="0"/>
        </w:numPr>
        <w:spacing w:line="240" w:lineRule="auto"/>
        <w:ind w:right="-2"/>
        <w:rPr>
          <w:iCs/>
          <w:noProof/>
          <w:szCs w:val="22"/>
          <w:u w:val="single"/>
        </w:rPr>
      </w:pPr>
    </w:p>
    <w:p w14:paraId="087A988E" w14:textId="77777777" w:rsidR="00FA3116" w:rsidRPr="00C24D08" w:rsidRDefault="00FA3116" w:rsidP="00C24D08">
      <w:pPr>
        <w:tabs>
          <w:tab w:val="clear" w:pos="567"/>
        </w:tabs>
        <w:autoSpaceDE w:val="0"/>
        <w:autoSpaceDN w:val="0"/>
        <w:adjustRightInd w:val="0"/>
        <w:spacing w:line="240" w:lineRule="auto"/>
        <w:rPr>
          <w:szCs w:val="22"/>
          <w:u w:val="single"/>
        </w:rPr>
      </w:pPr>
      <w:r w:rsidRPr="00C24D08">
        <w:rPr>
          <w:szCs w:val="22"/>
          <w:u w:val="single"/>
        </w:rPr>
        <w:t>Metabolizmus</w:t>
      </w:r>
    </w:p>
    <w:p w14:paraId="623B2C77" w14:textId="77777777" w:rsidR="00FA3116" w:rsidRPr="00C24D08" w:rsidRDefault="00FA3116" w:rsidP="00C24D08">
      <w:pPr>
        <w:tabs>
          <w:tab w:val="clear" w:pos="567"/>
        </w:tabs>
        <w:autoSpaceDE w:val="0"/>
        <w:autoSpaceDN w:val="0"/>
        <w:adjustRightInd w:val="0"/>
        <w:spacing w:line="240" w:lineRule="auto"/>
        <w:rPr>
          <w:szCs w:val="22"/>
        </w:rPr>
      </w:pPr>
      <w:r w:rsidRPr="00C24D08">
        <w:rPr>
          <w:szCs w:val="22"/>
        </w:rPr>
        <w:t xml:space="preserve">Po perorálnom podaní sa </w:t>
      </w:r>
      <w:proofErr w:type="spellStart"/>
      <w:r w:rsidRPr="00C24D08">
        <w:rPr>
          <w:szCs w:val="22"/>
        </w:rPr>
        <w:t>eszopiklón</w:t>
      </w:r>
      <w:proofErr w:type="spellEnd"/>
      <w:r w:rsidRPr="00C24D08">
        <w:rPr>
          <w:szCs w:val="22"/>
        </w:rPr>
        <w:t xml:space="preserve"> značne metabolizuje oxidáciou a </w:t>
      </w:r>
      <w:proofErr w:type="spellStart"/>
      <w:r w:rsidRPr="00C24D08">
        <w:rPr>
          <w:szCs w:val="22"/>
        </w:rPr>
        <w:t>demetyláciou</w:t>
      </w:r>
      <w:proofErr w:type="spellEnd"/>
      <w:r w:rsidRPr="00C24D08">
        <w:rPr>
          <w:szCs w:val="22"/>
        </w:rPr>
        <w:t xml:space="preserve">. Primárne plazmatické </w:t>
      </w:r>
      <w:proofErr w:type="spellStart"/>
      <w:r w:rsidRPr="00C24D08">
        <w:rPr>
          <w:szCs w:val="22"/>
        </w:rPr>
        <w:t>metabolity</w:t>
      </w:r>
      <w:proofErr w:type="spellEnd"/>
      <w:r w:rsidRPr="00C24D08">
        <w:rPr>
          <w:szCs w:val="22"/>
        </w:rPr>
        <w:t xml:space="preserve"> sú (S)-</w:t>
      </w:r>
      <w:proofErr w:type="spellStart"/>
      <w:r w:rsidRPr="00C24D08">
        <w:rPr>
          <w:szCs w:val="22"/>
        </w:rPr>
        <w:t>zopiklón</w:t>
      </w:r>
      <w:proofErr w:type="spellEnd"/>
      <w:r w:rsidRPr="00C24D08">
        <w:rPr>
          <w:szCs w:val="22"/>
        </w:rPr>
        <w:t>-N-oxid a (S)-N-</w:t>
      </w:r>
      <w:proofErr w:type="spellStart"/>
      <w:r w:rsidRPr="00C24D08">
        <w:rPr>
          <w:szCs w:val="22"/>
        </w:rPr>
        <w:t>desmetylzopiklón</w:t>
      </w:r>
      <w:proofErr w:type="spellEnd"/>
      <w:r w:rsidRPr="00C24D08">
        <w:rPr>
          <w:szCs w:val="22"/>
        </w:rPr>
        <w:t xml:space="preserve">. </w:t>
      </w:r>
    </w:p>
    <w:p w14:paraId="1325C9DE" w14:textId="77777777" w:rsidR="00FA3116" w:rsidRPr="00C24D08" w:rsidRDefault="00FA3116" w:rsidP="00C24D08">
      <w:pPr>
        <w:tabs>
          <w:tab w:val="clear" w:pos="567"/>
        </w:tabs>
        <w:autoSpaceDE w:val="0"/>
        <w:autoSpaceDN w:val="0"/>
        <w:adjustRightInd w:val="0"/>
        <w:spacing w:line="240" w:lineRule="auto"/>
        <w:rPr>
          <w:szCs w:val="22"/>
        </w:rPr>
      </w:pPr>
      <w:r w:rsidRPr="00C24D08">
        <w:rPr>
          <w:szCs w:val="22"/>
        </w:rPr>
        <w:t xml:space="preserve">Štúdie </w:t>
      </w:r>
      <w:r w:rsidRPr="00C24D08">
        <w:rPr>
          <w:i/>
          <w:iCs/>
          <w:szCs w:val="22"/>
        </w:rPr>
        <w:t xml:space="preserve">in vitro </w:t>
      </w:r>
      <w:r w:rsidRPr="00C24D08">
        <w:rPr>
          <w:szCs w:val="22"/>
        </w:rPr>
        <w:t xml:space="preserve">ukázali, že enzýmy CYP3A4 a CYP2E1 sa podieľajú na metabolizme </w:t>
      </w:r>
      <w:proofErr w:type="spellStart"/>
      <w:r w:rsidRPr="00C24D08">
        <w:rPr>
          <w:szCs w:val="22"/>
        </w:rPr>
        <w:t>eszopiklónu</w:t>
      </w:r>
      <w:proofErr w:type="spellEnd"/>
      <w:r w:rsidRPr="00C24D08">
        <w:rPr>
          <w:szCs w:val="22"/>
        </w:rPr>
        <w:t xml:space="preserve">. Zistenia z </w:t>
      </w:r>
      <w:r w:rsidRPr="00C24D08">
        <w:rPr>
          <w:i/>
          <w:iCs/>
          <w:szCs w:val="22"/>
        </w:rPr>
        <w:t>in vitro</w:t>
      </w:r>
      <w:r w:rsidRPr="00C24D08">
        <w:rPr>
          <w:szCs w:val="22"/>
        </w:rPr>
        <w:t xml:space="preserve"> štúdií ľudských </w:t>
      </w:r>
      <w:proofErr w:type="spellStart"/>
      <w:r w:rsidRPr="00C24D08">
        <w:rPr>
          <w:szCs w:val="22"/>
        </w:rPr>
        <w:t>hepatocytov</w:t>
      </w:r>
      <w:proofErr w:type="spellEnd"/>
      <w:r w:rsidRPr="00C24D08">
        <w:rPr>
          <w:szCs w:val="22"/>
        </w:rPr>
        <w:t xml:space="preserve"> s </w:t>
      </w:r>
      <w:proofErr w:type="spellStart"/>
      <w:r w:rsidRPr="00C24D08">
        <w:rPr>
          <w:szCs w:val="22"/>
        </w:rPr>
        <w:t>eszopiklónom</w:t>
      </w:r>
      <w:proofErr w:type="spellEnd"/>
      <w:r w:rsidRPr="00C24D08">
        <w:rPr>
          <w:szCs w:val="22"/>
        </w:rPr>
        <w:t xml:space="preserve"> ukázali, že sa nepozorovala žiadna inhibícia enzýmov CYP450 1A2, 2A6, 2C9, 2C19, 2D6, 2E1 a 3A4. U ľudí viedlo súbežné podávanie s </w:t>
      </w:r>
      <w:proofErr w:type="spellStart"/>
      <w:r w:rsidRPr="00C24D08">
        <w:rPr>
          <w:szCs w:val="22"/>
        </w:rPr>
        <w:t>ketokonazolom</w:t>
      </w:r>
      <w:proofErr w:type="spellEnd"/>
      <w:r w:rsidRPr="00C24D08">
        <w:rPr>
          <w:szCs w:val="22"/>
        </w:rPr>
        <w:t xml:space="preserve"> k zvýšenej expozícii </w:t>
      </w:r>
      <w:proofErr w:type="spellStart"/>
      <w:r w:rsidRPr="00C24D08">
        <w:rPr>
          <w:szCs w:val="22"/>
        </w:rPr>
        <w:t>eszopiklónu</w:t>
      </w:r>
      <w:proofErr w:type="spellEnd"/>
      <w:r w:rsidRPr="00C24D08">
        <w:rPr>
          <w:szCs w:val="22"/>
        </w:rPr>
        <w:t xml:space="preserve">. Od silných induktorov CYP3A4 sa očakáva, že znížia systémovú expozíciu </w:t>
      </w:r>
      <w:proofErr w:type="spellStart"/>
      <w:r w:rsidRPr="00C24D08">
        <w:rPr>
          <w:szCs w:val="22"/>
        </w:rPr>
        <w:t>eszopiklónu</w:t>
      </w:r>
      <w:proofErr w:type="spellEnd"/>
      <w:r w:rsidRPr="00C24D08">
        <w:rPr>
          <w:szCs w:val="22"/>
        </w:rPr>
        <w:t>.</w:t>
      </w:r>
    </w:p>
    <w:p w14:paraId="2BBE0E0F" w14:textId="77777777" w:rsidR="00FA3116" w:rsidRPr="00C24D08" w:rsidRDefault="00FA3116" w:rsidP="00C24D08">
      <w:pPr>
        <w:tabs>
          <w:tab w:val="clear" w:pos="567"/>
        </w:tabs>
        <w:autoSpaceDE w:val="0"/>
        <w:autoSpaceDN w:val="0"/>
        <w:adjustRightInd w:val="0"/>
        <w:spacing w:line="240" w:lineRule="auto"/>
        <w:rPr>
          <w:szCs w:val="22"/>
          <w:lang w:eastAsia="de-DE"/>
        </w:rPr>
      </w:pPr>
    </w:p>
    <w:p w14:paraId="352E2912" w14:textId="77777777" w:rsidR="005A1886" w:rsidRPr="00C24D08" w:rsidRDefault="00777769" w:rsidP="00C24D08">
      <w:pPr>
        <w:numPr>
          <w:ilvl w:val="12"/>
          <w:numId w:val="0"/>
        </w:numPr>
        <w:spacing w:line="240" w:lineRule="auto"/>
        <w:ind w:right="-2"/>
        <w:rPr>
          <w:iCs/>
          <w:noProof/>
          <w:szCs w:val="22"/>
          <w:u w:val="single"/>
        </w:rPr>
      </w:pPr>
      <w:r w:rsidRPr="00C24D08">
        <w:rPr>
          <w:iCs/>
          <w:szCs w:val="22"/>
          <w:u w:val="single"/>
        </w:rPr>
        <w:t>Eliminácia</w:t>
      </w:r>
    </w:p>
    <w:p w14:paraId="46EA664A" w14:textId="114B60A2" w:rsidR="005A1886" w:rsidRPr="00C24D08" w:rsidRDefault="005A1886" w:rsidP="00C24D08">
      <w:pPr>
        <w:numPr>
          <w:ilvl w:val="12"/>
          <w:numId w:val="0"/>
        </w:numPr>
        <w:spacing w:line="240" w:lineRule="auto"/>
        <w:ind w:right="-2"/>
        <w:rPr>
          <w:iCs/>
          <w:noProof/>
          <w:szCs w:val="22"/>
        </w:rPr>
      </w:pPr>
      <w:r w:rsidRPr="00C24D08">
        <w:rPr>
          <w:szCs w:val="22"/>
        </w:rPr>
        <w:t xml:space="preserve">Po perorálnom podaní sa </w:t>
      </w:r>
      <w:proofErr w:type="spellStart"/>
      <w:r w:rsidRPr="00C24D08">
        <w:rPr>
          <w:szCs w:val="22"/>
        </w:rPr>
        <w:t>eszopikl</w:t>
      </w:r>
      <w:r w:rsidR="00643F8B" w:rsidRPr="00C24D08">
        <w:rPr>
          <w:szCs w:val="22"/>
        </w:rPr>
        <w:t>ó</w:t>
      </w:r>
      <w:r w:rsidRPr="00C24D08">
        <w:rPr>
          <w:szCs w:val="22"/>
        </w:rPr>
        <w:t>n</w:t>
      </w:r>
      <w:proofErr w:type="spellEnd"/>
      <w:r w:rsidRPr="00C24D08">
        <w:rPr>
          <w:szCs w:val="22"/>
        </w:rPr>
        <w:t xml:space="preserve"> vylučuje s priemerným t1/2 približne 6 hodín. Až 75% perorálnej dávky </w:t>
      </w:r>
      <w:proofErr w:type="spellStart"/>
      <w:r w:rsidRPr="00C24D08">
        <w:rPr>
          <w:szCs w:val="22"/>
        </w:rPr>
        <w:t>racemického</w:t>
      </w:r>
      <w:proofErr w:type="spellEnd"/>
      <w:r w:rsidRPr="00C24D08">
        <w:rPr>
          <w:szCs w:val="22"/>
        </w:rPr>
        <w:t xml:space="preserve"> </w:t>
      </w:r>
      <w:proofErr w:type="spellStart"/>
      <w:r w:rsidRPr="00C24D08">
        <w:rPr>
          <w:szCs w:val="22"/>
        </w:rPr>
        <w:t>zopiklónu</w:t>
      </w:r>
      <w:proofErr w:type="spellEnd"/>
      <w:r w:rsidRPr="00C24D08">
        <w:rPr>
          <w:szCs w:val="22"/>
        </w:rPr>
        <w:t xml:space="preserve"> sa vylučuje močom predovšetkým ako </w:t>
      </w:r>
      <w:proofErr w:type="spellStart"/>
      <w:r w:rsidRPr="00C24D08">
        <w:rPr>
          <w:szCs w:val="22"/>
        </w:rPr>
        <w:t>metabolity</w:t>
      </w:r>
      <w:proofErr w:type="spellEnd"/>
      <w:r w:rsidRPr="00C24D08">
        <w:rPr>
          <w:szCs w:val="22"/>
        </w:rPr>
        <w:t xml:space="preserve">. Podobný profil vylučovania sa očakáva pre </w:t>
      </w:r>
      <w:proofErr w:type="spellStart"/>
      <w:r w:rsidRPr="00C24D08">
        <w:rPr>
          <w:szCs w:val="22"/>
        </w:rPr>
        <w:t>eszopiklón</w:t>
      </w:r>
      <w:proofErr w:type="spellEnd"/>
      <w:r w:rsidRPr="00C24D08">
        <w:rPr>
          <w:szCs w:val="22"/>
        </w:rPr>
        <w:t xml:space="preserve">, S-izomér </w:t>
      </w:r>
      <w:proofErr w:type="spellStart"/>
      <w:r w:rsidRPr="00C24D08">
        <w:rPr>
          <w:szCs w:val="22"/>
        </w:rPr>
        <w:t>racemického</w:t>
      </w:r>
      <w:proofErr w:type="spellEnd"/>
      <w:r w:rsidRPr="00C24D08">
        <w:rPr>
          <w:szCs w:val="22"/>
        </w:rPr>
        <w:t xml:space="preserve"> </w:t>
      </w:r>
      <w:proofErr w:type="spellStart"/>
      <w:r w:rsidRPr="00C24D08">
        <w:rPr>
          <w:szCs w:val="22"/>
        </w:rPr>
        <w:t>zopiklónu</w:t>
      </w:r>
      <w:proofErr w:type="spellEnd"/>
      <w:r w:rsidRPr="00C24D08">
        <w:rPr>
          <w:szCs w:val="22"/>
        </w:rPr>
        <w:t xml:space="preserve">. Menej ako 10% perorálne podanej dávky </w:t>
      </w:r>
      <w:proofErr w:type="spellStart"/>
      <w:r w:rsidRPr="00C24D08">
        <w:rPr>
          <w:szCs w:val="22"/>
        </w:rPr>
        <w:t>eszopiklónu</w:t>
      </w:r>
      <w:proofErr w:type="spellEnd"/>
      <w:r w:rsidRPr="00C24D08">
        <w:rPr>
          <w:szCs w:val="22"/>
        </w:rPr>
        <w:t xml:space="preserve"> sa vylučuje močom v nezmenenej forme.</w:t>
      </w:r>
    </w:p>
    <w:p w14:paraId="2962FB0D" w14:textId="77777777" w:rsidR="005A1886" w:rsidRPr="00C24D08" w:rsidRDefault="005A1886" w:rsidP="00C24D08">
      <w:pPr>
        <w:numPr>
          <w:ilvl w:val="12"/>
          <w:numId w:val="0"/>
        </w:numPr>
        <w:spacing w:line="240" w:lineRule="auto"/>
        <w:ind w:right="-2"/>
        <w:rPr>
          <w:iCs/>
          <w:noProof/>
          <w:szCs w:val="22"/>
        </w:rPr>
      </w:pPr>
    </w:p>
    <w:p w14:paraId="5545F737" w14:textId="77777777" w:rsidR="004F4965" w:rsidRPr="00C24D08" w:rsidRDefault="004F4965" w:rsidP="00C24D08">
      <w:pPr>
        <w:numPr>
          <w:ilvl w:val="12"/>
          <w:numId w:val="0"/>
        </w:numPr>
        <w:spacing w:line="240" w:lineRule="auto"/>
        <w:ind w:right="-2"/>
        <w:rPr>
          <w:iCs/>
          <w:noProof/>
          <w:szCs w:val="22"/>
          <w:u w:val="single"/>
        </w:rPr>
      </w:pPr>
      <w:r w:rsidRPr="00C24D08">
        <w:rPr>
          <w:iCs/>
          <w:szCs w:val="22"/>
          <w:u w:val="single"/>
        </w:rPr>
        <w:t>Vplyv jedla</w:t>
      </w:r>
    </w:p>
    <w:p w14:paraId="7829DC7B" w14:textId="77777777" w:rsidR="004F4965" w:rsidRPr="00C24D08" w:rsidRDefault="004F4965" w:rsidP="00C24D08">
      <w:pPr>
        <w:numPr>
          <w:ilvl w:val="12"/>
          <w:numId w:val="0"/>
        </w:numPr>
        <w:spacing w:line="240" w:lineRule="auto"/>
        <w:ind w:right="-2"/>
        <w:rPr>
          <w:iCs/>
          <w:noProof/>
          <w:szCs w:val="22"/>
        </w:rPr>
      </w:pPr>
      <w:r w:rsidRPr="00C24D08">
        <w:rPr>
          <w:szCs w:val="22"/>
        </w:rPr>
        <w:t xml:space="preserve">U zdravých dospelých neprinieslo podanie </w:t>
      </w:r>
      <w:proofErr w:type="spellStart"/>
      <w:r w:rsidRPr="00C24D08">
        <w:rPr>
          <w:szCs w:val="22"/>
        </w:rPr>
        <w:t>eszopiklónu</w:t>
      </w:r>
      <w:proofErr w:type="spellEnd"/>
      <w:r w:rsidRPr="00C24D08">
        <w:rPr>
          <w:szCs w:val="22"/>
        </w:rPr>
        <w:t xml:space="preserve"> po jedle s vysokým obsahom tuku žiadnu zmenu AUC, priemerné </w:t>
      </w:r>
      <w:proofErr w:type="spellStart"/>
      <w:r w:rsidRPr="00C24D08">
        <w:rPr>
          <w:szCs w:val="22"/>
        </w:rPr>
        <w:t>C</w:t>
      </w:r>
      <w:r w:rsidRPr="00C24D08">
        <w:rPr>
          <w:iCs/>
          <w:szCs w:val="22"/>
          <w:vertAlign w:val="subscript"/>
        </w:rPr>
        <w:t>max</w:t>
      </w:r>
      <w:proofErr w:type="spellEnd"/>
      <w:r w:rsidRPr="00C24D08">
        <w:rPr>
          <w:szCs w:val="22"/>
        </w:rPr>
        <w:t xml:space="preserve"> sa znížilo o 21% a </w:t>
      </w:r>
      <w:proofErr w:type="spellStart"/>
      <w:r w:rsidRPr="00C24D08">
        <w:rPr>
          <w:szCs w:val="22"/>
        </w:rPr>
        <w:t>t</w:t>
      </w:r>
      <w:r w:rsidRPr="00C24D08">
        <w:rPr>
          <w:iCs/>
          <w:szCs w:val="22"/>
          <w:vertAlign w:val="subscript"/>
        </w:rPr>
        <w:t>max</w:t>
      </w:r>
      <w:proofErr w:type="spellEnd"/>
      <w:r w:rsidRPr="00C24D08">
        <w:rPr>
          <w:szCs w:val="22"/>
        </w:rPr>
        <w:t xml:space="preserve"> sa oneskorilo približne o 1 hodinu. Polčas rozpadu zostal nezmenený, približne 6 hodín. Účinky </w:t>
      </w:r>
      <w:proofErr w:type="spellStart"/>
      <w:r w:rsidRPr="00C24D08">
        <w:rPr>
          <w:szCs w:val="22"/>
        </w:rPr>
        <w:t>eszopiklónu</w:t>
      </w:r>
      <w:proofErr w:type="spellEnd"/>
      <w:r w:rsidRPr="00C24D08">
        <w:rPr>
          <w:szCs w:val="22"/>
        </w:rPr>
        <w:t xml:space="preserve"> na nástup spánku sa môžu mierne znížiť, ak sa užijú spolu s jedlom s vysokým obsahom tuku alebo veľkou porciou jedla alebo bezprostredne po ňom.</w:t>
      </w:r>
    </w:p>
    <w:p w14:paraId="78FC6346" w14:textId="77777777" w:rsidR="004F4965" w:rsidRPr="00C24D08" w:rsidRDefault="004F4965" w:rsidP="00C24D08">
      <w:pPr>
        <w:numPr>
          <w:ilvl w:val="12"/>
          <w:numId w:val="0"/>
        </w:numPr>
        <w:spacing w:line="240" w:lineRule="auto"/>
        <w:ind w:right="-2"/>
        <w:rPr>
          <w:iCs/>
          <w:noProof/>
          <w:szCs w:val="22"/>
        </w:rPr>
      </w:pPr>
    </w:p>
    <w:p w14:paraId="057979BB" w14:textId="77777777" w:rsidR="00777769" w:rsidRPr="00C24D08" w:rsidRDefault="00777769" w:rsidP="00C24D08">
      <w:pPr>
        <w:numPr>
          <w:ilvl w:val="12"/>
          <w:numId w:val="0"/>
        </w:numPr>
        <w:spacing w:line="240" w:lineRule="auto"/>
        <w:ind w:right="-2"/>
        <w:rPr>
          <w:iCs/>
          <w:noProof/>
          <w:szCs w:val="22"/>
        </w:rPr>
      </w:pPr>
      <w:proofErr w:type="spellStart"/>
      <w:r w:rsidRPr="00C24D08">
        <w:rPr>
          <w:iCs/>
          <w:szCs w:val="22"/>
          <w:u w:val="single"/>
        </w:rPr>
        <w:t>Linearita</w:t>
      </w:r>
      <w:proofErr w:type="spellEnd"/>
      <w:r w:rsidRPr="00C24D08">
        <w:rPr>
          <w:iCs/>
          <w:szCs w:val="22"/>
          <w:u w:val="single"/>
        </w:rPr>
        <w:t>/</w:t>
      </w:r>
      <w:proofErr w:type="spellStart"/>
      <w:r w:rsidRPr="00C24D08">
        <w:rPr>
          <w:iCs/>
          <w:szCs w:val="22"/>
          <w:u w:val="single"/>
        </w:rPr>
        <w:t>nelinearita</w:t>
      </w:r>
      <w:proofErr w:type="spellEnd"/>
    </w:p>
    <w:p w14:paraId="203FB3CE" w14:textId="13C6F0BC" w:rsidR="009F4BA4" w:rsidRPr="00C24D08" w:rsidRDefault="000C593C" w:rsidP="00C24D08">
      <w:pPr>
        <w:spacing w:line="240" w:lineRule="auto"/>
        <w:rPr>
          <w:iCs/>
          <w:noProof/>
          <w:szCs w:val="22"/>
        </w:rPr>
      </w:pPr>
      <w:r w:rsidRPr="00C24D08">
        <w:rPr>
          <w:szCs w:val="22"/>
        </w:rPr>
        <w:t xml:space="preserve">U zdravých dospelých sa </w:t>
      </w:r>
      <w:proofErr w:type="spellStart"/>
      <w:r w:rsidRPr="00C24D08">
        <w:rPr>
          <w:szCs w:val="22"/>
        </w:rPr>
        <w:t>eszopiklón</w:t>
      </w:r>
      <w:proofErr w:type="spellEnd"/>
      <w:r w:rsidRPr="00C24D08">
        <w:rPr>
          <w:szCs w:val="22"/>
        </w:rPr>
        <w:t xml:space="preserve"> nehromadí pri podávaní jedenkrát denne a jeho expozícia je úmerná dávke v rozmedzí 1 až 6 mg.</w:t>
      </w:r>
    </w:p>
    <w:p w14:paraId="46E1BA81" w14:textId="77777777" w:rsidR="003964AC" w:rsidRPr="00C24D08" w:rsidRDefault="003964AC" w:rsidP="00C24D08">
      <w:pPr>
        <w:spacing w:line="240" w:lineRule="auto"/>
        <w:rPr>
          <w:iCs/>
          <w:noProof/>
          <w:szCs w:val="22"/>
        </w:rPr>
      </w:pPr>
    </w:p>
    <w:p w14:paraId="5CBCCA71" w14:textId="0E6C8810" w:rsidR="003964AC" w:rsidRPr="00C24D08" w:rsidRDefault="00EC2CC7" w:rsidP="00C24D08">
      <w:pPr>
        <w:spacing w:line="240" w:lineRule="auto"/>
        <w:rPr>
          <w:iCs/>
          <w:noProof/>
          <w:szCs w:val="22"/>
          <w:u w:val="single"/>
        </w:rPr>
      </w:pPr>
      <w:r>
        <w:rPr>
          <w:iCs/>
          <w:szCs w:val="22"/>
          <w:u w:val="single"/>
        </w:rPr>
        <w:t>Osobitné</w:t>
      </w:r>
      <w:r w:rsidRPr="00C24D08">
        <w:rPr>
          <w:iCs/>
          <w:szCs w:val="22"/>
          <w:u w:val="single"/>
        </w:rPr>
        <w:t xml:space="preserve"> </w:t>
      </w:r>
      <w:r w:rsidR="003964AC" w:rsidRPr="00C24D08">
        <w:rPr>
          <w:iCs/>
          <w:szCs w:val="22"/>
          <w:u w:val="single"/>
        </w:rPr>
        <w:t>populáci</w:t>
      </w:r>
      <w:r w:rsidR="00643F8B" w:rsidRPr="00C24D08">
        <w:rPr>
          <w:iCs/>
          <w:szCs w:val="22"/>
          <w:u w:val="single"/>
        </w:rPr>
        <w:t>e</w:t>
      </w:r>
    </w:p>
    <w:p w14:paraId="545FF0C1" w14:textId="77777777" w:rsidR="00EC2CC7" w:rsidRDefault="00EC2CC7" w:rsidP="00C24D08">
      <w:pPr>
        <w:spacing w:line="240" w:lineRule="auto"/>
        <w:rPr>
          <w:i/>
          <w:iCs/>
          <w:szCs w:val="22"/>
        </w:rPr>
      </w:pPr>
    </w:p>
    <w:p w14:paraId="51AF3A40" w14:textId="79F06FF2" w:rsidR="009C5AD6" w:rsidRPr="00C24D08" w:rsidRDefault="009C5AD6" w:rsidP="00C24D08">
      <w:pPr>
        <w:spacing w:line="240" w:lineRule="auto"/>
        <w:rPr>
          <w:iCs/>
          <w:noProof/>
          <w:szCs w:val="22"/>
        </w:rPr>
      </w:pPr>
      <w:r w:rsidRPr="00C24D08">
        <w:rPr>
          <w:i/>
          <w:iCs/>
          <w:szCs w:val="22"/>
        </w:rPr>
        <w:t>Starš</w:t>
      </w:r>
      <w:r w:rsidR="00643F8B" w:rsidRPr="00C24D08">
        <w:rPr>
          <w:i/>
          <w:iCs/>
          <w:szCs w:val="22"/>
        </w:rPr>
        <w:t>í</w:t>
      </w:r>
      <w:r w:rsidR="00EC2CC7">
        <w:rPr>
          <w:i/>
          <w:iCs/>
          <w:szCs w:val="22"/>
        </w:rPr>
        <w:t xml:space="preserve"> ľudia</w:t>
      </w:r>
    </w:p>
    <w:p w14:paraId="4A5A83FD" w14:textId="7C642E27" w:rsidR="003964AC" w:rsidRPr="00C24D08" w:rsidRDefault="003964AC" w:rsidP="00C24D08">
      <w:pPr>
        <w:spacing w:line="240" w:lineRule="auto"/>
        <w:rPr>
          <w:iCs/>
          <w:noProof/>
          <w:szCs w:val="22"/>
        </w:rPr>
      </w:pPr>
      <w:r w:rsidRPr="00C24D08">
        <w:rPr>
          <w:szCs w:val="22"/>
        </w:rPr>
        <w:t xml:space="preserve">V porovnaní s dospelými, ktorí nemali viac ako 65 rokov, mali </w:t>
      </w:r>
      <w:r w:rsidR="00643F8B" w:rsidRPr="00C24D08">
        <w:rPr>
          <w:szCs w:val="22"/>
        </w:rPr>
        <w:t>osoby</w:t>
      </w:r>
      <w:r w:rsidRPr="00C24D08">
        <w:rPr>
          <w:szCs w:val="22"/>
        </w:rPr>
        <w:t xml:space="preserve"> vo veku 65 rokov a viac zvýšenú expozíci</w:t>
      </w:r>
      <w:r w:rsidR="00643F8B" w:rsidRPr="00C24D08">
        <w:rPr>
          <w:szCs w:val="22"/>
        </w:rPr>
        <w:t>u</w:t>
      </w:r>
      <w:r w:rsidRPr="00C24D08">
        <w:rPr>
          <w:szCs w:val="22"/>
        </w:rPr>
        <w:t xml:space="preserve"> (AUC) o 41% a mierne predĺženú elimináciu </w:t>
      </w:r>
      <w:proofErr w:type="spellStart"/>
      <w:r w:rsidRPr="00C24D08">
        <w:rPr>
          <w:szCs w:val="22"/>
        </w:rPr>
        <w:t>eszopiklónu</w:t>
      </w:r>
      <w:proofErr w:type="spellEnd"/>
      <w:r w:rsidRPr="00C24D08">
        <w:rPr>
          <w:szCs w:val="22"/>
        </w:rPr>
        <w:t xml:space="preserve"> (t</w:t>
      </w:r>
      <w:r w:rsidRPr="00C24D08">
        <w:rPr>
          <w:iCs/>
          <w:szCs w:val="22"/>
          <w:vertAlign w:val="subscript"/>
        </w:rPr>
        <w:t xml:space="preserve">1/2 </w:t>
      </w:r>
      <w:r w:rsidRPr="00C24D08">
        <w:rPr>
          <w:szCs w:val="22"/>
        </w:rPr>
        <w:t xml:space="preserve">približne 9 hodín). </w:t>
      </w:r>
      <w:proofErr w:type="spellStart"/>
      <w:r w:rsidRPr="00C24D08">
        <w:rPr>
          <w:szCs w:val="22"/>
        </w:rPr>
        <w:t>C</w:t>
      </w:r>
      <w:r w:rsidRPr="00C24D08">
        <w:rPr>
          <w:iCs/>
          <w:szCs w:val="22"/>
          <w:vertAlign w:val="subscript"/>
        </w:rPr>
        <w:t>max</w:t>
      </w:r>
      <w:proofErr w:type="spellEnd"/>
      <w:r w:rsidRPr="00C24D08">
        <w:rPr>
          <w:szCs w:val="22"/>
        </w:rPr>
        <w:t xml:space="preserve"> ostalo nezmenené. U starších pacientov preto dávka </w:t>
      </w:r>
      <w:proofErr w:type="spellStart"/>
      <w:r w:rsidRPr="00C24D08">
        <w:rPr>
          <w:szCs w:val="22"/>
        </w:rPr>
        <w:t>eszopiklónu</w:t>
      </w:r>
      <w:proofErr w:type="spellEnd"/>
      <w:r w:rsidRPr="00C24D08">
        <w:rPr>
          <w:szCs w:val="22"/>
        </w:rPr>
        <w:t xml:space="preserve"> nesmie prekročiť 2 mg.</w:t>
      </w:r>
    </w:p>
    <w:p w14:paraId="0D86597B" w14:textId="77777777" w:rsidR="003964AC" w:rsidRPr="00C24D08" w:rsidRDefault="003964AC" w:rsidP="00C24D08">
      <w:pPr>
        <w:spacing w:line="240" w:lineRule="auto"/>
        <w:rPr>
          <w:iCs/>
          <w:noProof/>
          <w:szCs w:val="22"/>
        </w:rPr>
      </w:pPr>
    </w:p>
    <w:p w14:paraId="76236B9E" w14:textId="77777777" w:rsidR="00D40189" w:rsidRPr="00C24D08" w:rsidRDefault="003964AC" w:rsidP="00C24D08">
      <w:pPr>
        <w:spacing w:line="240" w:lineRule="auto"/>
        <w:rPr>
          <w:iCs/>
          <w:noProof/>
          <w:szCs w:val="22"/>
        </w:rPr>
      </w:pPr>
      <w:r w:rsidRPr="00C24D08">
        <w:rPr>
          <w:i/>
          <w:iCs/>
          <w:szCs w:val="22"/>
        </w:rPr>
        <w:t>Pohlavie</w:t>
      </w:r>
    </w:p>
    <w:p w14:paraId="47E4857B" w14:textId="77777777" w:rsidR="003964AC" w:rsidRPr="00C24D08" w:rsidRDefault="003964AC" w:rsidP="00C24D08">
      <w:pPr>
        <w:spacing w:line="240" w:lineRule="auto"/>
        <w:rPr>
          <w:iCs/>
          <w:noProof/>
          <w:szCs w:val="22"/>
        </w:rPr>
      </w:pPr>
      <w:proofErr w:type="spellStart"/>
      <w:r w:rsidRPr="00C24D08">
        <w:rPr>
          <w:szCs w:val="22"/>
        </w:rPr>
        <w:t>Farmakokinetika</w:t>
      </w:r>
      <w:proofErr w:type="spellEnd"/>
      <w:r w:rsidRPr="00C24D08">
        <w:rPr>
          <w:szCs w:val="22"/>
        </w:rPr>
        <w:t xml:space="preserve"> </w:t>
      </w:r>
      <w:proofErr w:type="spellStart"/>
      <w:r w:rsidRPr="00C24D08">
        <w:rPr>
          <w:szCs w:val="22"/>
        </w:rPr>
        <w:t>eszopiklónu</w:t>
      </w:r>
      <w:proofErr w:type="spellEnd"/>
      <w:r w:rsidRPr="00C24D08">
        <w:rPr>
          <w:szCs w:val="22"/>
        </w:rPr>
        <w:t xml:space="preserve"> u mužov a žien je podobná.</w:t>
      </w:r>
    </w:p>
    <w:p w14:paraId="24E1ADE8" w14:textId="77777777" w:rsidR="003964AC" w:rsidRPr="00C24D08" w:rsidRDefault="003964AC" w:rsidP="00C24D08">
      <w:pPr>
        <w:spacing w:line="240" w:lineRule="auto"/>
        <w:rPr>
          <w:iCs/>
          <w:noProof/>
          <w:szCs w:val="22"/>
        </w:rPr>
      </w:pPr>
    </w:p>
    <w:p w14:paraId="00D9582E" w14:textId="77777777" w:rsidR="00D40189" w:rsidRPr="00C24D08" w:rsidRDefault="00650F74" w:rsidP="00C24D08">
      <w:pPr>
        <w:spacing w:line="240" w:lineRule="auto"/>
        <w:rPr>
          <w:iCs/>
          <w:noProof/>
          <w:szCs w:val="22"/>
        </w:rPr>
      </w:pPr>
      <w:r w:rsidRPr="00C24D08">
        <w:rPr>
          <w:i/>
          <w:iCs/>
          <w:szCs w:val="22"/>
        </w:rPr>
        <w:t>Etnická príslušnosť</w:t>
      </w:r>
    </w:p>
    <w:p w14:paraId="2D188759" w14:textId="77777777" w:rsidR="003964AC" w:rsidRPr="00C24D08" w:rsidRDefault="003964AC" w:rsidP="00C24D08">
      <w:pPr>
        <w:spacing w:line="240" w:lineRule="auto"/>
        <w:rPr>
          <w:iCs/>
          <w:noProof/>
          <w:szCs w:val="22"/>
        </w:rPr>
      </w:pPr>
      <w:proofErr w:type="spellStart"/>
      <w:r w:rsidRPr="00C24D08">
        <w:rPr>
          <w:szCs w:val="22"/>
        </w:rPr>
        <w:t>Farmakokinetika</w:t>
      </w:r>
      <w:proofErr w:type="spellEnd"/>
      <w:r w:rsidRPr="00C24D08">
        <w:rPr>
          <w:szCs w:val="22"/>
        </w:rPr>
        <w:t xml:space="preserve"> všetkých študovaných etnických skupín je podobná.</w:t>
      </w:r>
    </w:p>
    <w:p w14:paraId="210D2260" w14:textId="77777777" w:rsidR="007D317B" w:rsidRPr="00C24D08" w:rsidRDefault="007D317B" w:rsidP="00C24D08">
      <w:pPr>
        <w:spacing w:line="240" w:lineRule="auto"/>
        <w:rPr>
          <w:iCs/>
          <w:noProof/>
          <w:szCs w:val="22"/>
        </w:rPr>
      </w:pPr>
    </w:p>
    <w:p w14:paraId="0FEC6EF8" w14:textId="77777777" w:rsidR="00D40189" w:rsidRPr="00C24D08" w:rsidRDefault="003964AC" w:rsidP="00C24D08">
      <w:pPr>
        <w:spacing w:line="240" w:lineRule="auto"/>
        <w:rPr>
          <w:iCs/>
          <w:noProof/>
          <w:szCs w:val="22"/>
        </w:rPr>
      </w:pPr>
      <w:r w:rsidRPr="00C24D08">
        <w:rPr>
          <w:i/>
          <w:iCs/>
          <w:szCs w:val="22"/>
        </w:rPr>
        <w:t>Poškodenie pečene</w:t>
      </w:r>
      <w:r w:rsidRPr="00C24D08">
        <w:rPr>
          <w:szCs w:val="22"/>
        </w:rPr>
        <w:t xml:space="preserve"> </w:t>
      </w:r>
    </w:p>
    <w:p w14:paraId="7C69D0C2" w14:textId="2DAD61E6" w:rsidR="003964AC" w:rsidRPr="00C24D08" w:rsidRDefault="003964AC" w:rsidP="00C24D08">
      <w:pPr>
        <w:spacing w:line="240" w:lineRule="auto"/>
        <w:rPr>
          <w:iCs/>
          <w:noProof/>
          <w:szCs w:val="22"/>
        </w:rPr>
      </w:pPr>
      <w:proofErr w:type="spellStart"/>
      <w:r w:rsidRPr="00C24D08">
        <w:rPr>
          <w:szCs w:val="22"/>
        </w:rPr>
        <w:t>Farmakokinetika</w:t>
      </w:r>
      <w:proofErr w:type="spellEnd"/>
      <w:r w:rsidRPr="00C24D08">
        <w:rPr>
          <w:szCs w:val="22"/>
        </w:rPr>
        <w:t xml:space="preserve"> 2 mg dávky sa hodnotila u </w:t>
      </w:r>
      <w:r w:rsidR="00643F8B" w:rsidRPr="00C24D08">
        <w:rPr>
          <w:szCs w:val="22"/>
        </w:rPr>
        <w:t>osôb</w:t>
      </w:r>
      <w:r w:rsidRPr="00C24D08">
        <w:rPr>
          <w:szCs w:val="22"/>
        </w:rPr>
        <w:t xml:space="preserve"> s </w:t>
      </w:r>
      <w:r w:rsidR="00EC2CC7">
        <w:rPr>
          <w:szCs w:val="22"/>
        </w:rPr>
        <w:t>ľahkým</w:t>
      </w:r>
      <w:r w:rsidRPr="00C24D08">
        <w:rPr>
          <w:szCs w:val="22"/>
        </w:rPr>
        <w:t xml:space="preserve">, stredne ťažkým a </w:t>
      </w:r>
      <w:r w:rsidR="00EC2CC7">
        <w:rPr>
          <w:szCs w:val="22"/>
        </w:rPr>
        <w:t>ťažkým</w:t>
      </w:r>
      <w:r w:rsidR="00EC2CC7" w:rsidRPr="00C24D08">
        <w:rPr>
          <w:szCs w:val="22"/>
        </w:rPr>
        <w:t xml:space="preserve"> </w:t>
      </w:r>
      <w:r w:rsidRPr="00C24D08">
        <w:rPr>
          <w:szCs w:val="22"/>
        </w:rPr>
        <w:t xml:space="preserve">ochorením pečene a porovnávala sa so zdravými dobrovoľníkmi. Expozícia </w:t>
      </w:r>
      <w:proofErr w:type="spellStart"/>
      <w:r w:rsidRPr="00C24D08">
        <w:rPr>
          <w:szCs w:val="22"/>
        </w:rPr>
        <w:t>eszopiklónu</w:t>
      </w:r>
      <w:proofErr w:type="spellEnd"/>
      <w:r w:rsidRPr="00C24D08">
        <w:rPr>
          <w:szCs w:val="22"/>
        </w:rPr>
        <w:t xml:space="preserve"> sa u pacientov s ťažkým poškodením v porovnaní so zdravými dobrovoľníkmi zvýšila dvojnásobne. Zistená maximálna koncentrácia (</w:t>
      </w:r>
      <w:proofErr w:type="spellStart"/>
      <w:r w:rsidRPr="00C24D08">
        <w:rPr>
          <w:szCs w:val="22"/>
        </w:rPr>
        <w:t>C</w:t>
      </w:r>
      <w:r w:rsidRPr="00C24D08">
        <w:rPr>
          <w:iCs/>
          <w:szCs w:val="22"/>
          <w:vertAlign w:val="subscript"/>
        </w:rPr>
        <w:t>max</w:t>
      </w:r>
      <w:proofErr w:type="spellEnd"/>
      <w:r w:rsidRPr="00C24D08">
        <w:rPr>
          <w:szCs w:val="22"/>
        </w:rPr>
        <w:t>) a jej čas výskytu (</w:t>
      </w:r>
      <w:proofErr w:type="spellStart"/>
      <w:r w:rsidRPr="00C24D08">
        <w:rPr>
          <w:szCs w:val="22"/>
        </w:rPr>
        <w:t>t</w:t>
      </w:r>
      <w:r w:rsidRPr="00C24D08">
        <w:rPr>
          <w:iCs/>
          <w:szCs w:val="22"/>
          <w:vertAlign w:val="subscript"/>
        </w:rPr>
        <w:t>max</w:t>
      </w:r>
      <w:proofErr w:type="spellEnd"/>
      <w:r w:rsidRPr="00C24D08">
        <w:rPr>
          <w:szCs w:val="22"/>
        </w:rPr>
        <w:t xml:space="preserve">) sa nezmenili. </w:t>
      </w:r>
      <w:proofErr w:type="spellStart"/>
      <w:r w:rsidRPr="00C24D08">
        <w:rPr>
          <w:szCs w:val="22"/>
        </w:rPr>
        <w:t>Eszopiklón</w:t>
      </w:r>
      <w:proofErr w:type="spellEnd"/>
      <w:r w:rsidRPr="00C24D08">
        <w:rPr>
          <w:szCs w:val="22"/>
        </w:rPr>
        <w:t xml:space="preserve"> je kontraindikovaný u pacientov s ťažkým poškodením pečene. U pacientov s </w:t>
      </w:r>
      <w:r w:rsidR="00EC2CC7">
        <w:rPr>
          <w:szCs w:val="22"/>
        </w:rPr>
        <w:t>ľahkým</w:t>
      </w:r>
      <w:r w:rsidR="00EC2CC7" w:rsidRPr="00C24D08">
        <w:rPr>
          <w:szCs w:val="22"/>
        </w:rPr>
        <w:t xml:space="preserve"> </w:t>
      </w:r>
      <w:r w:rsidRPr="00C24D08">
        <w:rPr>
          <w:szCs w:val="22"/>
        </w:rPr>
        <w:t>až stredne ťažkým poškodením pečene nie je potrebná žiadna úprava dávky.</w:t>
      </w:r>
    </w:p>
    <w:p w14:paraId="027A8E91" w14:textId="77777777" w:rsidR="003964AC" w:rsidRPr="00C24D08" w:rsidRDefault="003964AC" w:rsidP="00C24D08">
      <w:pPr>
        <w:spacing w:line="240" w:lineRule="auto"/>
        <w:rPr>
          <w:iCs/>
          <w:noProof/>
          <w:szCs w:val="22"/>
        </w:rPr>
      </w:pPr>
    </w:p>
    <w:p w14:paraId="32BBF1B8" w14:textId="77777777" w:rsidR="00D40189" w:rsidRPr="00C24D08" w:rsidRDefault="003964AC" w:rsidP="00C24D08">
      <w:pPr>
        <w:spacing w:line="240" w:lineRule="auto"/>
        <w:rPr>
          <w:iCs/>
          <w:noProof/>
          <w:szCs w:val="22"/>
        </w:rPr>
      </w:pPr>
      <w:r w:rsidRPr="00C24D08">
        <w:rPr>
          <w:i/>
          <w:iCs/>
          <w:szCs w:val="22"/>
        </w:rPr>
        <w:t>Poškodenie obličiek</w:t>
      </w:r>
      <w:r w:rsidRPr="00C24D08">
        <w:rPr>
          <w:szCs w:val="22"/>
        </w:rPr>
        <w:t xml:space="preserve"> </w:t>
      </w:r>
    </w:p>
    <w:p w14:paraId="6F34FDA7" w14:textId="3F696ECA" w:rsidR="003964AC" w:rsidRPr="00C24D08" w:rsidRDefault="003964AC" w:rsidP="00C24D08">
      <w:pPr>
        <w:spacing w:line="240" w:lineRule="auto"/>
        <w:rPr>
          <w:iCs/>
          <w:noProof/>
          <w:szCs w:val="22"/>
        </w:rPr>
      </w:pPr>
      <w:proofErr w:type="spellStart"/>
      <w:r w:rsidRPr="00C24D08">
        <w:rPr>
          <w:szCs w:val="22"/>
        </w:rPr>
        <w:t>Farmakokinetika</w:t>
      </w:r>
      <w:proofErr w:type="spellEnd"/>
      <w:r w:rsidRPr="00C24D08">
        <w:rPr>
          <w:szCs w:val="22"/>
        </w:rPr>
        <w:t xml:space="preserve"> </w:t>
      </w:r>
      <w:proofErr w:type="spellStart"/>
      <w:r w:rsidRPr="00C24D08">
        <w:rPr>
          <w:szCs w:val="22"/>
        </w:rPr>
        <w:t>eszopiklónu</w:t>
      </w:r>
      <w:proofErr w:type="spellEnd"/>
      <w:r w:rsidRPr="00C24D08">
        <w:rPr>
          <w:szCs w:val="22"/>
        </w:rPr>
        <w:t xml:space="preserve"> sa študovala u </w:t>
      </w:r>
      <w:r w:rsidR="00643F8B" w:rsidRPr="00C24D08">
        <w:rPr>
          <w:szCs w:val="22"/>
        </w:rPr>
        <w:t>osôb</w:t>
      </w:r>
      <w:r w:rsidRPr="00C24D08">
        <w:rPr>
          <w:szCs w:val="22"/>
        </w:rPr>
        <w:t xml:space="preserve"> s </w:t>
      </w:r>
      <w:r w:rsidR="00EC2CC7">
        <w:rPr>
          <w:szCs w:val="22"/>
        </w:rPr>
        <w:t>ľahkým</w:t>
      </w:r>
      <w:r w:rsidRPr="00C24D08">
        <w:rPr>
          <w:szCs w:val="22"/>
        </w:rPr>
        <w:t xml:space="preserve">, stredne ťažkým alebo ťažkým poškodením obličiek. V porovnaní so zdravými </w:t>
      </w:r>
      <w:r w:rsidR="00643F8B" w:rsidRPr="00C24D08">
        <w:rPr>
          <w:szCs w:val="22"/>
        </w:rPr>
        <w:t>osobami</w:t>
      </w:r>
      <w:r w:rsidRPr="00C24D08">
        <w:rPr>
          <w:szCs w:val="22"/>
        </w:rPr>
        <w:t xml:space="preserve"> sa u </w:t>
      </w:r>
      <w:r w:rsidR="00643F8B" w:rsidRPr="00C24D08">
        <w:rPr>
          <w:szCs w:val="22"/>
        </w:rPr>
        <w:t>osôb</w:t>
      </w:r>
      <w:r w:rsidRPr="00C24D08">
        <w:rPr>
          <w:szCs w:val="22"/>
        </w:rPr>
        <w:t xml:space="preserve"> s ťažkým poškodením obličiek zvýšila expozícia (AUC) o 47%. Maximálna odporúčaná dávka </w:t>
      </w:r>
      <w:proofErr w:type="spellStart"/>
      <w:r w:rsidRPr="00C24D08">
        <w:rPr>
          <w:szCs w:val="22"/>
        </w:rPr>
        <w:t>eszopiklónu</w:t>
      </w:r>
      <w:proofErr w:type="spellEnd"/>
      <w:r w:rsidRPr="00C24D08">
        <w:rPr>
          <w:szCs w:val="22"/>
        </w:rPr>
        <w:t xml:space="preserve"> u pacientov s ťažkým poškodením obličiek je 2 mg. U pacientov s </w:t>
      </w:r>
      <w:r w:rsidR="00EC2CC7">
        <w:rPr>
          <w:szCs w:val="22"/>
        </w:rPr>
        <w:t>ľahkým</w:t>
      </w:r>
      <w:r w:rsidR="00EC2CC7" w:rsidRPr="00C24D08">
        <w:rPr>
          <w:szCs w:val="22"/>
        </w:rPr>
        <w:t xml:space="preserve"> </w:t>
      </w:r>
      <w:r w:rsidRPr="00C24D08">
        <w:rPr>
          <w:szCs w:val="22"/>
        </w:rPr>
        <w:t>až stredne ťažkým poškodením obličiek nie je potrebná žiadna úprava dávky.</w:t>
      </w:r>
    </w:p>
    <w:p w14:paraId="4F5A2EED" w14:textId="77777777" w:rsidR="001D29E6" w:rsidRPr="00C24D08" w:rsidRDefault="001D29E6" w:rsidP="00C24D08">
      <w:pPr>
        <w:spacing w:line="240" w:lineRule="auto"/>
        <w:rPr>
          <w:b/>
          <w:szCs w:val="22"/>
        </w:rPr>
      </w:pPr>
    </w:p>
    <w:p w14:paraId="51C72AF0" w14:textId="4F0F8DCA" w:rsidR="001D29E6" w:rsidRPr="00C24D08" w:rsidRDefault="001D29E6" w:rsidP="00C24D08">
      <w:pPr>
        <w:pStyle w:val="Nadpis2"/>
        <w:rPr>
          <w:szCs w:val="22"/>
        </w:rPr>
      </w:pPr>
      <w:r w:rsidRPr="00C24D08">
        <w:rPr>
          <w:szCs w:val="22"/>
        </w:rPr>
        <w:t>5.3</w:t>
      </w:r>
      <w:r w:rsidRPr="00C24D08">
        <w:rPr>
          <w:szCs w:val="22"/>
        </w:rPr>
        <w:tab/>
        <w:t>Predklinické údaje</w:t>
      </w:r>
      <w:r w:rsidR="00643F8B" w:rsidRPr="00C24D08">
        <w:rPr>
          <w:szCs w:val="22"/>
        </w:rPr>
        <w:t xml:space="preserve"> o bezpečnosti</w:t>
      </w:r>
    </w:p>
    <w:p w14:paraId="60C72828" w14:textId="77777777" w:rsidR="001D29E6" w:rsidRPr="00C24D08" w:rsidRDefault="001D29E6" w:rsidP="00C24D08">
      <w:pPr>
        <w:spacing w:line="240" w:lineRule="auto"/>
        <w:rPr>
          <w:szCs w:val="22"/>
        </w:rPr>
      </w:pPr>
    </w:p>
    <w:p w14:paraId="19F84D8A" w14:textId="20B9BF1D" w:rsidR="00367129" w:rsidRPr="00C24D08" w:rsidRDefault="00367129" w:rsidP="00C24D08">
      <w:pPr>
        <w:tabs>
          <w:tab w:val="clear" w:pos="567"/>
        </w:tabs>
        <w:spacing w:line="240" w:lineRule="auto"/>
        <w:rPr>
          <w:szCs w:val="22"/>
        </w:rPr>
      </w:pPr>
      <w:r w:rsidRPr="00C24D08">
        <w:rPr>
          <w:szCs w:val="22"/>
        </w:rPr>
        <w:t>Účinky v predklinických štúdiách sa pozorovali iba pri expozíciách považovaných za dostatočne prevyšujúce</w:t>
      </w:r>
      <w:r w:rsidR="00643F8B" w:rsidRPr="00C24D08">
        <w:rPr>
          <w:szCs w:val="22"/>
        </w:rPr>
        <w:t xml:space="preserve"> </w:t>
      </w:r>
      <w:r w:rsidRPr="00C24D08">
        <w:rPr>
          <w:szCs w:val="22"/>
        </w:rPr>
        <w:t>maximálnu expozíciu u ľudí, čo naznačuje malý význam pre klinické použitie.</w:t>
      </w:r>
    </w:p>
    <w:p w14:paraId="65C36BEA" w14:textId="77777777" w:rsidR="00046093" w:rsidRPr="00C24D08" w:rsidRDefault="00046093" w:rsidP="00C24D08">
      <w:pPr>
        <w:spacing w:line="240" w:lineRule="auto"/>
        <w:rPr>
          <w:szCs w:val="22"/>
          <w:u w:val="single"/>
        </w:rPr>
      </w:pPr>
    </w:p>
    <w:p w14:paraId="150FE679" w14:textId="77777777" w:rsidR="00F72C28" w:rsidRPr="00C24D08" w:rsidRDefault="00F72C28" w:rsidP="00C24D08">
      <w:pPr>
        <w:spacing w:line="240" w:lineRule="auto"/>
        <w:rPr>
          <w:szCs w:val="22"/>
          <w:u w:val="single"/>
        </w:rPr>
      </w:pPr>
      <w:proofErr w:type="spellStart"/>
      <w:r w:rsidRPr="00C24D08">
        <w:rPr>
          <w:szCs w:val="22"/>
          <w:u w:val="single"/>
        </w:rPr>
        <w:t>Genotoxicita</w:t>
      </w:r>
      <w:proofErr w:type="spellEnd"/>
      <w:r w:rsidRPr="00C24D08">
        <w:rPr>
          <w:szCs w:val="22"/>
          <w:u w:val="single"/>
        </w:rPr>
        <w:t xml:space="preserve"> a karcinogenita</w:t>
      </w:r>
    </w:p>
    <w:p w14:paraId="1E096A1B" w14:textId="77777777" w:rsidR="00F72C28" w:rsidRPr="00C24D08" w:rsidRDefault="00F72C28" w:rsidP="00C24D08">
      <w:pPr>
        <w:spacing w:line="240" w:lineRule="auto"/>
        <w:rPr>
          <w:b/>
          <w:szCs w:val="22"/>
        </w:rPr>
      </w:pPr>
      <w:proofErr w:type="spellStart"/>
      <w:r w:rsidRPr="00C24D08">
        <w:rPr>
          <w:szCs w:val="22"/>
        </w:rPr>
        <w:t>Eszopiklón</w:t>
      </w:r>
      <w:proofErr w:type="spellEnd"/>
      <w:r w:rsidRPr="00C24D08">
        <w:rPr>
          <w:szCs w:val="22"/>
        </w:rPr>
        <w:t xml:space="preserve"> a farmakologicky aktívny </w:t>
      </w:r>
      <w:proofErr w:type="spellStart"/>
      <w:r w:rsidRPr="00C24D08">
        <w:rPr>
          <w:szCs w:val="22"/>
        </w:rPr>
        <w:t>metabolit</w:t>
      </w:r>
      <w:proofErr w:type="spellEnd"/>
      <w:r w:rsidRPr="00C24D08">
        <w:rPr>
          <w:szCs w:val="22"/>
        </w:rPr>
        <w:t xml:space="preserve"> (S)-DMZ nepredstavujú v štúdiách na zvieratách mutagénne ani karcinogénne riziko.</w:t>
      </w:r>
    </w:p>
    <w:p w14:paraId="6A383F7C" w14:textId="77777777" w:rsidR="00BB443C" w:rsidRPr="00C24D08" w:rsidRDefault="00BB443C" w:rsidP="00C24D08">
      <w:pPr>
        <w:spacing w:line="240" w:lineRule="auto"/>
        <w:rPr>
          <w:b/>
          <w:szCs w:val="22"/>
        </w:rPr>
      </w:pPr>
    </w:p>
    <w:p w14:paraId="0AE8624C" w14:textId="74C71094" w:rsidR="00F72C28" w:rsidRPr="00C24D08" w:rsidRDefault="00F72C28" w:rsidP="00C24D08">
      <w:pPr>
        <w:spacing w:line="240" w:lineRule="auto"/>
        <w:rPr>
          <w:szCs w:val="22"/>
          <w:u w:val="single"/>
        </w:rPr>
      </w:pPr>
      <w:r w:rsidRPr="00C24D08">
        <w:rPr>
          <w:szCs w:val="22"/>
          <w:u w:val="single"/>
        </w:rPr>
        <w:t>Reprodukčná a výv</w:t>
      </w:r>
      <w:r w:rsidR="000A58A4" w:rsidRPr="00C24D08">
        <w:rPr>
          <w:szCs w:val="22"/>
          <w:u w:val="single"/>
        </w:rPr>
        <w:t>inová</w:t>
      </w:r>
      <w:r w:rsidRPr="00C24D08">
        <w:rPr>
          <w:szCs w:val="22"/>
          <w:u w:val="single"/>
        </w:rPr>
        <w:t xml:space="preserve"> toxicita</w:t>
      </w:r>
    </w:p>
    <w:p w14:paraId="100FC6D1" w14:textId="1E48FEAE" w:rsidR="00F72C28" w:rsidRPr="00C24D08" w:rsidRDefault="00A2555C" w:rsidP="00C24D08">
      <w:pPr>
        <w:spacing w:line="240" w:lineRule="auto"/>
        <w:rPr>
          <w:szCs w:val="22"/>
        </w:rPr>
      </w:pPr>
      <w:proofErr w:type="spellStart"/>
      <w:r w:rsidRPr="00C24D08">
        <w:rPr>
          <w:szCs w:val="22"/>
        </w:rPr>
        <w:t>Eszopiklón</w:t>
      </w:r>
      <w:proofErr w:type="spellEnd"/>
      <w:r w:rsidRPr="00C24D08">
        <w:rPr>
          <w:szCs w:val="22"/>
        </w:rPr>
        <w:t xml:space="preserve"> nebol </w:t>
      </w:r>
      <w:proofErr w:type="spellStart"/>
      <w:r w:rsidRPr="00C24D08">
        <w:rPr>
          <w:szCs w:val="22"/>
        </w:rPr>
        <w:t>teratogénny</w:t>
      </w:r>
      <w:proofErr w:type="spellEnd"/>
      <w:r w:rsidRPr="00C24D08">
        <w:rPr>
          <w:szCs w:val="22"/>
        </w:rPr>
        <w:t xml:space="preserve"> v štúdiách toxicity po opakovaných dávkach a reprodukčných a výv</w:t>
      </w:r>
      <w:r w:rsidR="000A58A4" w:rsidRPr="00C24D08">
        <w:rPr>
          <w:szCs w:val="22"/>
        </w:rPr>
        <w:t>ino</w:t>
      </w:r>
      <w:r w:rsidRPr="00C24D08">
        <w:rPr>
          <w:szCs w:val="22"/>
        </w:rPr>
        <w:t xml:space="preserve">vých štúdiách uskutočňovaných na myšiach, potkanoch, králikoch a psoch. </w:t>
      </w:r>
      <w:proofErr w:type="spellStart"/>
      <w:r w:rsidRPr="00C24D08">
        <w:rPr>
          <w:szCs w:val="22"/>
        </w:rPr>
        <w:t>Eszopiklón</w:t>
      </w:r>
      <w:proofErr w:type="spellEnd"/>
      <w:r w:rsidRPr="00C24D08">
        <w:rPr>
          <w:szCs w:val="22"/>
        </w:rPr>
        <w:t xml:space="preserve"> a farmakologicky aktívny </w:t>
      </w:r>
      <w:proofErr w:type="spellStart"/>
      <w:r w:rsidRPr="00C24D08">
        <w:rPr>
          <w:szCs w:val="22"/>
        </w:rPr>
        <w:t>metabolit</w:t>
      </w:r>
      <w:proofErr w:type="spellEnd"/>
      <w:r w:rsidRPr="00C24D08">
        <w:rPr>
          <w:szCs w:val="22"/>
        </w:rPr>
        <w:t xml:space="preserve"> (S)-N-</w:t>
      </w:r>
      <w:proofErr w:type="spellStart"/>
      <w:r w:rsidRPr="00C24D08">
        <w:rPr>
          <w:szCs w:val="22"/>
        </w:rPr>
        <w:t>desmetylzopiklón</w:t>
      </w:r>
      <w:proofErr w:type="spellEnd"/>
      <w:r w:rsidRPr="00C24D08">
        <w:rPr>
          <w:szCs w:val="22"/>
        </w:rPr>
        <w:t xml:space="preserve"> vykazovali degeneráciu samčích reprodukčných orgánov (semenníky, </w:t>
      </w:r>
      <w:proofErr w:type="spellStart"/>
      <w:r w:rsidRPr="00C24D08">
        <w:rPr>
          <w:szCs w:val="22"/>
        </w:rPr>
        <w:t>epididymidy</w:t>
      </w:r>
      <w:proofErr w:type="spellEnd"/>
      <w:r w:rsidRPr="00C24D08">
        <w:rPr>
          <w:szCs w:val="22"/>
        </w:rPr>
        <w:t xml:space="preserve">), znížili ukazovatele plodnosti v oboch pohlaviach, narušili </w:t>
      </w:r>
      <w:proofErr w:type="spellStart"/>
      <w:r w:rsidRPr="00C24D08">
        <w:rPr>
          <w:szCs w:val="22"/>
        </w:rPr>
        <w:t>estrálnu</w:t>
      </w:r>
      <w:proofErr w:type="spellEnd"/>
      <w:r w:rsidRPr="00C24D08">
        <w:rPr>
          <w:szCs w:val="22"/>
        </w:rPr>
        <w:t xml:space="preserve"> cyklickosť (potkan) a zrýchlili čas nástupu reprodukčného starnutia (potkan) v dávkach presahujúcich maximálnu klinickú dávku (na základe plochy povrchu tela</w:t>
      </w:r>
      <w:r w:rsidR="00CA6350">
        <w:rPr>
          <w:szCs w:val="22"/>
        </w:rPr>
        <w:t xml:space="preserve"> </w:t>
      </w:r>
      <w:r w:rsidRPr="00C24D08">
        <w:rPr>
          <w:szCs w:val="22"/>
        </w:rPr>
        <w:t xml:space="preserve">16 x v prípade samcov a 13 x v prípade samíc). Všetky zistenia preukazujú </w:t>
      </w:r>
      <w:proofErr w:type="spellStart"/>
      <w:r w:rsidRPr="00C24D08">
        <w:rPr>
          <w:szCs w:val="22"/>
        </w:rPr>
        <w:t>reverzibilitu</w:t>
      </w:r>
      <w:proofErr w:type="spellEnd"/>
      <w:r w:rsidRPr="00C24D08">
        <w:rPr>
          <w:szCs w:val="22"/>
        </w:rPr>
        <w:t xml:space="preserve"> po zotavení.</w:t>
      </w:r>
    </w:p>
    <w:p w14:paraId="484B0529" w14:textId="77777777" w:rsidR="00F72C28" w:rsidRPr="00C24D08" w:rsidRDefault="00F72C28" w:rsidP="00C24D08">
      <w:pPr>
        <w:spacing w:line="240" w:lineRule="auto"/>
        <w:rPr>
          <w:szCs w:val="22"/>
        </w:rPr>
      </w:pPr>
      <w:r w:rsidRPr="00C24D08">
        <w:rPr>
          <w:szCs w:val="22"/>
        </w:rPr>
        <w:t xml:space="preserve">Pozorovalo sa oneskorenie </w:t>
      </w:r>
      <w:proofErr w:type="spellStart"/>
      <w:r w:rsidRPr="00C24D08">
        <w:rPr>
          <w:szCs w:val="22"/>
        </w:rPr>
        <w:t>fetálneho</w:t>
      </w:r>
      <w:proofErr w:type="spellEnd"/>
      <w:r w:rsidRPr="00C24D08">
        <w:rPr>
          <w:szCs w:val="22"/>
        </w:rPr>
        <w:t xml:space="preserve"> vnútromaternicového vývoja u potkanov a králikov a znížené </w:t>
      </w:r>
      <w:proofErr w:type="spellStart"/>
      <w:r w:rsidRPr="00C24D08">
        <w:rPr>
          <w:szCs w:val="22"/>
        </w:rPr>
        <w:t>postnatálne</w:t>
      </w:r>
      <w:proofErr w:type="spellEnd"/>
      <w:r w:rsidRPr="00C24D08">
        <w:rPr>
          <w:szCs w:val="22"/>
        </w:rPr>
        <w:t xml:space="preserve"> prežitie počas obdobia pred odstavom u potkanov sprevádzané toxicitou matky.</w:t>
      </w:r>
    </w:p>
    <w:p w14:paraId="0111C972" w14:textId="77777777" w:rsidR="00F72C28" w:rsidRPr="00C24D08" w:rsidRDefault="00F72C28" w:rsidP="00C24D08">
      <w:pPr>
        <w:spacing w:line="240" w:lineRule="auto"/>
        <w:rPr>
          <w:szCs w:val="22"/>
        </w:rPr>
      </w:pPr>
    </w:p>
    <w:p w14:paraId="2269BBD6" w14:textId="77777777" w:rsidR="003964AC" w:rsidRPr="00C24D08" w:rsidRDefault="003964AC" w:rsidP="00C24D08">
      <w:pPr>
        <w:spacing w:line="240" w:lineRule="auto"/>
        <w:rPr>
          <w:szCs w:val="22"/>
        </w:rPr>
      </w:pPr>
    </w:p>
    <w:p w14:paraId="4D57B4AB" w14:textId="77777777" w:rsidR="001D29E6" w:rsidRPr="00C24D08" w:rsidRDefault="001D29E6" w:rsidP="00C24D08">
      <w:pPr>
        <w:pStyle w:val="Nadpis1"/>
        <w:spacing w:line="240" w:lineRule="auto"/>
        <w:rPr>
          <w:szCs w:val="22"/>
        </w:rPr>
      </w:pPr>
      <w:r w:rsidRPr="00C24D08">
        <w:rPr>
          <w:szCs w:val="22"/>
        </w:rPr>
        <w:t>6.</w:t>
      </w:r>
      <w:r w:rsidRPr="00C24D08">
        <w:rPr>
          <w:szCs w:val="22"/>
        </w:rPr>
        <w:tab/>
        <w:t>FARMACEUTICKÉ INFORMÁCIE</w:t>
      </w:r>
    </w:p>
    <w:p w14:paraId="38BAE4BE" w14:textId="77777777" w:rsidR="001D29E6" w:rsidRPr="00C24D08" w:rsidRDefault="001D29E6" w:rsidP="00C24D08">
      <w:pPr>
        <w:spacing w:line="240" w:lineRule="auto"/>
        <w:rPr>
          <w:szCs w:val="22"/>
        </w:rPr>
      </w:pPr>
    </w:p>
    <w:p w14:paraId="74E61C4B" w14:textId="77777777" w:rsidR="001D29E6" w:rsidRPr="00C24D08" w:rsidRDefault="001D29E6" w:rsidP="00C24D08">
      <w:pPr>
        <w:pStyle w:val="Nadpis2"/>
        <w:rPr>
          <w:szCs w:val="22"/>
        </w:rPr>
      </w:pPr>
      <w:r w:rsidRPr="00C24D08">
        <w:rPr>
          <w:szCs w:val="22"/>
        </w:rPr>
        <w:t>‌6.1</w:t>
      </w:r>
      <w:r w:rsidRPr="00C24D08">
        <w:rPr>
          <w:szCs w:val="22"/>
        </w:rPr>
        <w:tab/>
        <w:t>Zoznam pomocných látok</w:t>
      </w:r>
    </w:p>
    <w:p w14:paraId="3AD87031" w14:textId="77777777" w:rsidR="001D29E6" w:rsidRPr="00C24D08" w:rsidRDefault="001D29E6" w:rsidP="00C24D08">
      <w:pPr>
        <w:spacing w:line="240" w:lineRule="auto"/>
        <w:rPr>
          <w:szCs w:val="22"/>
        </w:rPr>
      </w:pPr>
    </w:p>
    <w:p w14:paraId="1C54E6E3" w14:textId="77777777" w:rsidR="00772128" w:rsidRPr="00C24D08" w:rsidRDefault="00772128" w:rsidP="00C24D08">
      <w:pPr>
        <w:spacing w:line="240" w:lineRule="auto"/>
        <w:rPr>
          <w:i/>
          <w:noProof/>
          <w:szCs w:val="22"/>
        </w:rPr>
      </w:pPr>
      <w:r w:rsidRPr="00C24D08">
        <w:rPr>
          <w:i/>
          <w:szCs w:val="22"/>
        </w:rPr>
        <w:t>Jadro tablety</w:t>
      </w:r>
    </w:p>
    <w:p w14:paraId="002A5934" w14:textId="53CA55F7" w:rsidR="002F0392" w:rsidRPr="00C24D08" w:rsidRDefault="000A1E8F" w:rsidP="00C24D08">
      <w:pPr>
        <w:spacing w:line="240" w:lineRule="auto"/>
        <w:rPr>
          <w:noProof/>
          <w:szCs w:val="22"/>
        </w:rPr>
      </w:pPr>
      <w:r w:rsidRPr="00C24D08">
        <w:rPr>
          <w:szCs w:val="22"/>
        </w:rPr>
        <w:t>celulóza, mikrokryštalická</w:t>
      </w:r>
    </w:p>
    <w:p w14:paraId="73ACBEFC" w14:textId="4ACC1380" w:rsidR="002F0392" w:rsidRPr="00C24D08" w:rsidRDefault="000A1E8F" w:rsidP="00C24D08">
      <w:pPr>
        <w:spacing w:line="240" w:lineRule="auto"/>
        <w:rPr>
          <w:noProof/>
          <w:szCs w:val="22"/>
        </w:rPr>
      </w:pPr>
      <w:proofErr w:type="spellStart"/>
      <w:r w:rsidRPr="00C24D08">
        <w:rPr>
          <w:szCs w:val="22"/>
        </w:rPr>
        <w:t>hydrog</w:t>
      </w:r>
      <w:r w:rsidR="004D235B">
        <w:rPr>
          <w:szCs w:val="22"/>
        </w:rPr>
        <w:t>e</w:t>
      </w:r>
      <w:r w:rsidRPr="00C24D08">
        <w:rPr>
          <w:szCs w:val="22"/>
        </w:rPr>
        <w:t>nfosforečnan</w:t>
      </w:r>
      <w:proofErr w:type="spellEnd"/>
      <w:r w:rsidRPr="00C24D08">
        <w:rPr>
          <w:szCs w:val="22"/>
        </w:rPr>
        <w:t xml:space="preserve"> vápenatý</w:t>
      </w:r>
    </w:p>
    <w:p w14:paraId="4527B200" w14:textId="3023B349" w:rsidR="002F0392" w:rsidRPr="00C24D08" w:rsidRDefault="000A1E8F" w:rsidP="00C24D08">
      <w:pPr>
        <w:spacing w:line="240" w:lineRule="auto"/>
        <w:rPr>
          <w:noProof/>
          <w:szCs w:val="22"/>
        </w:rPr>
      </w:pPr>
      <w:proofErr w:type="spellStart"/>
      <w:r w:rsidRPr="00C24D08">
        <w:rPr>
          <w:szCs w:val="22"/>
        </w:rPr>
        <w:t>kroskarmelóz</w:t>
      </w:r>
      <w:r w:rsidR="000A58A4" w:rsidRPr="00C24D08">
        <w:rPr>
          <w:szCs w:val="22"/>
        </w:rPr>
        <w:t>a</w:t>
      </w:r>
      <w:proofErr w:type="spellEnd"/>
      <w:r w:rsidR="000A58A4" w:rsidRPr="00C24D08">
        <w:rPr>
          <w:szCs w:val="22"/>
        </w:rPr>
        <w:t>, sodná soľ</w:t>
      </w:r>
    </w:p>
    <w:p w14:paraId="1EE473CF" w14:textId="33FA24DC" w:rsidR="002F0392" w:rsidRPr="00C24D08" w:rsidRDefault="000A1E8F" w:rsidP="00C24D08">
      <w:pPr>
        <w:spacing w:line="240" w:lineRule="auto"/>
        <w:rPr>
          <w:noProof/>
          <w:szCs w:val="22"/>
        </w:rPr>
      </w:pPr>
      <w:r w:rsidRPr="00C24D08">
        <w:rPr>
          <w:szCs w:val="22"/>
        </w:rPr>
        <w:t>oxid kremičitý, koloidný</w:t>
      </w:r>
      <w:r w:rsidR="000A58A4" w:rsidRPr="00C24D08">
        <w:rPr>
          <w:szCs w:val="22"/>
        </w:rPr>
        <w:t>,</w:t>
      </w:r>
      <w:r w:rsidRPr="00C24D08">
        <w:rPr>
          <w:szCs w:val="22"/>
        </w:rPr>
        <w:t xml:space="preserve"> bezvodý</w:t>
      </w:r>
    </w:p>
    <w:p w14:paraId="3D3B7C74" w14:textId="77777777" w:rsidR="002F0392" w:rsidRPr="00C24D08" w:rsidRDefault="000A1E8F" w:rsidP="00C24D08">
      <w:pPr>
        <w:spacing w:line="240" w:lineRule="auto"/>
        <w:rPr>
          <w:noProof/>
          <w:szCs w:val="22"/>
        </w:rPr>
      </w:pPr>
      <w:proofErr w:type="spellStart"/>
      <w:r w:rsidRPr="00C24D08">
        <w:rPr>
          <w:szCs w:val="22"/>
        </w:rPr>
        <w:t>stearát</w:t>
      </w:r>
      <w:proofErr w:type="spellEnd"/>
      <w:r w:rsidRPr="00C24D08">
        <w:rPr>
          <w:szCs w:val="22"/>
        </w:rPr>
        <w:t xml:space="preserve"> </w:t>
      </w:r>
      <w:proofErr w:type="spellStart"/>
      <w:r w:rsidRPr="00C24D08">
        <w:rPr>
          <w:szCs w:val="22"/>
        </w:rPr>
        <w:t>horečnatý</w:t>
      </w:r>
      <w:proofErr w:type="spellEnd"/>
    </w:p>
    <w:p w14:paraId="2E224715" w14:textId="77777777" w:rsidR="00772128" w:rsidRPr="00C24D08" w:rsidRDefault="00772128" w:rsidP="00C24D08">
      <w:pPr>
        <w:spacing w:line="240" w:lineRule="auto"/>
        <w:rPr>
          <w:szCs w:val="22"/>
          <w:lang w:eastAsia="de-DE"/>
        </w:rPr>
      </w:pPr>
    </w:p>
    <w:p w14:paraId="740DBB68" w14:textId="7BA9FD1F" w:rsidR="00772128" w:rsidRPr="00C24D08" w:rsidRDefault="00772128" w:rsidP="00C24D08">
      <w:pPr>
        <w:tabs>
          <w:tab w:val="clear" w:pos="567"/>
        </w:tabs>
        <w:autoSpaceDE w:val="0"/>
        <w:autoSpaceDN w:val="0"/>
        <w:adjustRightInd w:val="0"/>
        <w:spacing w:line="240" w:lineRule="auto"/>
        <w:rPr>
          <w:i/>
          <w:szCs w:val="22"/>
        </w:rPr>
      </w:pPr>
      <w:r w:rsidRPr="00C24D08">
        <w:rPr>
          <w:i/>
          <w:szCs w:val="22"/>
        </w:rPr>
        <w:t>Film</w:t>
      </w:r>
      <w:r w:rsidR="006D431F">
        <w:rPr>
          <w:i/>
          <w:szCs w:val="22"/>
        </w:rPr>
        <w:t>ový poťah</w:t>
      </w:r>
    </w:p>
    <w:p w14:paraId="4DDB6942" w14:textId="77777777" w:rsidR="00772128" w:rsidRPr="00C24D08" w:rsidRDefault="000A1E8F" w:rsidP="00C24D08">
      <w:pPr>
        <w:tabs>
          <w:tab w:val="clear" w:pos="567"/>
        </w:tabs>
        <w:autoSpaceDE w:val="0"/>
        <w:autoSpaceDN w:val="0"/>
        <w:adjustRightInd w:val="0"/>
        <w:spacing w:line="240" w:lineRule="auto"/>
        <w:rPr>
          <w:szCs w:val="22"/>
        </w:rPr>
      </w:pPr>
      <w:proofErr w:type="spellStart"/>
      <w:r w:rsidRPr="00C24D08">
        <w:rPr>
          <w:szCs w:val="22"/>
        </w:rPr>
        <w:t>hypromelóza</w:t>
      </w:r>
      <w:proofErr w:type="spellEnd"/>
    </w:p>
    <w:p w14:paraId="7561F924" w14:textId="77777777" w:rsidR="002F0392" w:rsidRPr="00C24D08" w:rsidRDefault="002F0392" w:rsidP="00C24D08">
      <w:pPr>
        <w:tabs>
          <w:tab w:val="clear" w:pos="567"/>
        </w:tabs>
        <w:autoSpaceDE w:val="0"/>
        <w:autoSpaceDN w:val="0"/>
        <w:adjustRightInd w:val="0"/>
        <w:spacing w:line="240" w:lineRule="auto"/>
        <w:rPr>
          <w:szCs w:val="22"/>
        </w:rPr>
      </w:pPr>
      <w:r w:rsidRPr="00C24D08">
        <w:rPr>
          <w:szCs w:val="22"/>
        </w:rPr>
        <w:t>mastenec</w:t>
      </w:r>
    </w:p>
    <w:p w14:paraId="4A9FD70F" w14:textId="77777777" w:rsidR="002F0392" w:rsidRPr="00C24D08" w:rsidRDefault="002F0392" w:rsidP="00C24D08">
      <w:pPr>
        <w:tabs>
          <w:tab w:val="clear" w:pos="567"/>
        </w:tabs>
        <w:autoSpaceDE w:val="0"/>
        <w:autoSpaceDN w:val="0"/>
        <w:adjustRightInd w:val="0"/>
        <w:spacing w:line="240" w:lineRule="auto"/>
        <w:rPr>
          <w:szCs w:val="22"/>
        </w:rPr>
      </w:pPr>
      <w:r w:rsidRPr="00C24D08">
        <w:rPr>
          <w:szCs w:val="22"/>
        </w:rPr>
        <w:t xml:space="preserve">oxid </w:t>
      </w:r>
      <w:proofErr w:type="spellStart"/>
      <w:r w:rsidRPr="00C24D08">
        <w:rPr>
          <w:szCs w:val="22"/>
        </w:rPr>
        <w:t>titaničitý</w:t>
      </w:r>
      <w:proofErr w:type="spellEnd"/>
      <w:r w:rsidRPr="00C24D08">
        <w:rPr>
          <w:szCs w:val="22"/>
        </w:rPr>
        <w:t xml:space="preserve"> (E171)</w:t>
      </w:r>
    </w:p>
    <w:p w14:paraId="710A3363" w14:textId="7D8D9974" w:rsidR="002F0392" w:rsidRPr="00C24D08" w:rsidRDefault="00772128" w:rsidP="00C24D08">
      <w:pPr>
        <w:tabs>
          <w:tab w:val="clear" w:pos="567"/>
        </w:tabs>
        <w:autoSpaceDE w:val="0"/>
        <w:autoSpaceDN w:val="0"/>
        <w:adjustRightInd w:val="0"/>
        <w:spacing w:line="240" w:lineRule="auto"/>
        <w:rPr>
          <w:szCs w:val="22"/>
        </w:rPr>
      </w:pPr>
      <w:proofErr w:type="spellStart"/>
      <w:r w:rsidRPr="00C24D08">
        <w:rPr>
          <w:szCs w:val="22"/>
        </w:rPr>
        <w:t>makrogol</w:t>
      </w:r>
      <w:proofErr w:type="spellEnd"/>
      <w:r w:rsidRPr="00C24D08">
        <w:rPr>
          <w:szCs w:val="22"/>
        </w:rPr>
        <w:t xml:space="preserve"> 3350</w:t>
      </w:r>
    </w:p>
    <w:p w14:paraId="2F624E1C" w14:textId="77777777" w:rsidR="005062DB" w:rsidRPr="00C24D08" w:rsidRDefault="000A1E8F" w:rsidP="00C24D08">
      <w:pPr>
        <w:tabs>
          <w:tab w:val="clear" w:pos="567"/>
        </w:tabs>
        <w:autoSpaceDE w:val="0"/>
        <w:autoSpaceDN w:val="0"/>
        <w:adjustRightInd w:val="0"/>
        <w:spacing w:line="240" w:lineRule="auto"/>
        <w:rPr>
          <w:i/>
          <w:szCs w:val="22"/>
        </w:rPr>
      </w:pPr>
      <w:proofErr w:type="spellStart"/>
      <w:r w:rsidRPr="00C24D08">
        <w:rPr>
          <w:szCs w:val="22"/>
          <w:highlight w:val="lightGray"/>
        </w:rPr>
        <w:t>indigokarmínové</w:t>
      </w:r>
      <w:proofErr w:type="spellEnd"/>
      <w:r w:rsidRPr="00C24D08">
        <w:rPr>
          <w:szCs w:val="22"/>
          <w:highlight w:val="lightGray"/>
        </w:rPr>
        <w:t xml:space="preserve"> hlinité farbivo (E132)</w:t>
      </w:r>
      <w:r w:rsidRPr="00C24D08">
        <w:rPr>
          <w:i/>
          <w:szCs w:val="22"/>
          <w:highlight w:val="lightGray"/>
        </w:rPr>
        <w:t xml:space="preserve"> </w:t>
      </w:r>
      <w:r w:rsidRPr="00C24D08">
        <w:rPr>
          <w:szCs w:val="22"/>
          <w:highlight w:val="lightGray"/>
        </w:rPr>
        <w:t>(1 mg a 3 mg)</w:t>
      </w:r>
    </w:p>
    <w:p w14:paraId="6DAA0E5A" w14:textId="77777777" w:rsidR="00EF5E3C" w:rsidRPr="00C24D08" w:rsidRDefault="00EF5E3C" w:rsidP="00C24D08">
      <w:pPr>
        <w:spacing w:line="240" w:lineRule="auto"/>
        <w:rPr>
          <w:szCs w:val="22"/>
          <w:lang w:val="pt-PT"/>
        </w:rPr>
      </w:pPr>
    </w:p>
    <w:p w14:paraId="2FF58077" w14:textId="3C44EF8D" w:rsidR="001D29E6" w:rsidRPr="00C24D08" w:rsidRDefault="001D29E6" w:rsidP="00C24D08">
      <w:pPr>
        <w:pStyle w:val="Nadpis2"/>
        <w:rPr>
          <w:szCs w:val="22"/>
        </w:rPr>
      </w:pPr>
      <w:r w:rsidRPr="00C24D08">
        <w:rPr>
          <w:szCs w:val="22"/>
        </w:rPr>
        <w:t xml:space="preserve">6.2 </w:t>
      </w:r>
      <w:r w:rsidR="00063E52" w:rsidRPr="00C24D08">
        <w:rPr>
          <w:szCs w:val="22"/>
        </w:rPr>
        <w:tab/>
      </w:r>
      <w:r w:rsidRPr="00C24D08">
        <w:rPr>
          <w:szCs w:val="22"/>
        </w:rPr>
        <w:t>Inkompatibility</w:t>
      </w:r>
    </w:p>
    <w:p w14:paraId="784E331D" w14:textId="77777777" w:rsidR="001D29E6" w:rsidRPr="00C24D08" w:rsidRDefault="001D29E6" w:rsidP="00C24D08">
      <w:pPr>
        <w:spacing w:line="240" w:lineRule="auto"/>
        <w:rPr>
          <w:szCs w:val="22"/>
        </w:rPr>
      </w:pPr>
    </w:p>
    <w:p w14:paraId="6B0BD03A" w14:textId="77777777" w:rsidR="001D29E6" w:rsidRPr="00C24D08" w:rsidRDefault="001D29E6" w:rsidP="00C24D08">
      <w:pPr>
        <w:spacing w:line="240" w:lineRule="auto"/>
        <w:rPr>
          <w:szCs w:val="22"/>
        </w:rPr>
      </w:pPr>
      <w:r w:rsidRPr="00C24D08">
        <w:rPr>
          <w:szCs w:val="22"/>
        </w:rPr>
        <w:t>Neaplikovateľné.</w:t>
      </w:r>
    </w:p>
    <w:p w14:paraId="3F40221A" w14:textId="77777777" w:rsidR="001D29E6" w:rsidRPr="00C24D08" w:rsidRDefault="001D29E6" w:rsidP="00C24D08">
      <w:pPr>
        <w:spacing w:line="240" w:lineRule="auto"/>
        <w:rPr>
          <w:szCs w:val="22"/>
        </w:rPr>
      </w:pPr>
    </w:p>
    <w:p w14:paraId="4E494830" w14:textId="3D1B775F" w:rsidR="001D29E6" w:rsidRPr="00C24D08" w:rsidRDefault="001D29E6" w:rsidP="00C24D08">
      <w:pPr>
        <w:pStyle w:val="Nadpis2"/>
        <w:rPr>
          <w:szCs w:val="22"/>
        </w:rPr>
      </w:pPr>
      <w:r w:rsidRPr="00C24D08">
        <w:rPr>
          <w:szCs w:val="22"/>
        </w:rPr>
        <w:t>‌6.3</w:t>
      </w:r>
      <w:r w:rsidRPr="00C24D08">
        <w:rPr>
          <w:szCs w:val="22"/>
        </w:rPr>
        <w:tab/>
      </w:r>
      <w:r w:rsidR="00063E52" w:rsidRPr="00C24D08">
        <w:rPr>
          <w:szCs w:val="22"/>
        </w:rPr>
        <w:t>Čas</w:t>
      </w:r>
      <w:r w:rsidRPr="00C24D08">
        <w:rPr>
          <w:szCs w:val="22"/>
        </w:rPr>
        <w:t xml:space="preserve"> použiteľnosti</w:t>
      </w:r>
    </w:p>
    <w:p w14:paraId="6C634781" w14:textId="77777777" w:rsidR="001D29E6" w:rsidRPr="00C24D08" w:rsidRDefault="001D29E6" w:rsidP="00C24D08">
      <w:pPr>
        <w:spacing w:line="240" w:lineRule="auto"/>
        <w:rPr>
          <w:szCs w:val="22"/>
        </w:rPr>
      </w:pPr>
    </w:p>
    <w:p w14:paraId="37BB198C" w14:textId="77777777" w:rsidR="009755DA" w:rsidRPr="00C24D08" w:rsidRDefault="00DC74BE" w:rsidP="00C24D08">
      <w:pPr>
        <w:spacing w:line="240" w:lineRule="auto"/>
        <w:rPr>
          <w:szCs w:val="22"/>
        </w:rPr>
      </w:pPr>
      <w:bookmarkStart w:id="1" w:name="_Hlk19698082"/>
      <w:r w:rsidRPr="00C24D08">
        <w:rPr>
          <w:szCs w:val="22"/>
        </w:rPr>
        <w:t>2 roky</w:t>
      </w:r>
    </w:p>
    <w:bookmarkEnd w:id="1"/>
    <w:p w14:paraId="062E4ABD" w14:textId="77777777" w:rsidR="005F0956" w:rsidRPr="00C24D08" w:rsidRDefault="005F0956" w:rsidP="00C24D08">
      <w:pPr>
        <w:spacing w:line="240" w:lineRule="auto"/>
        <w:rPr>
          <w:szCs w:val="22"/>
        </w:rPr>
      </w:pPr>
    </w:p>
    <w:p w14:paraId="38F5E24B" w14:textId="77777777" w:rsidR="001D29E6" w:rsidRDefault="001D29E6" w:rsidP="00C24D08">
      <w:pPr>
        <w:pStyle w:val="Nadpis2"/>
        <w:rPr>
          <w:szCs w:val="22"/>
        </w:rPr>
      </w:pPr>
      <w:r w:rsidRPr="00C24D08">
        <w:rPr>
          <w:szCs w:val="22"/>
        </w:rPr>
        <w:t>6.4</w:t>
      </w:r>
      <w:r w:rsidRPr="00C24D08">
        <w:rPr>
          <w:szCs w:val="22"/>
        </w:rPr>
        <w:tab/>
        <w:t>Špeciálne opatrenia na skladovanie</w:t>
      </w:r>
    </w:p>
    <w:p w14:paraId="0FB31E47" w14:textId="77777777" w:rsidR="004E03C2" w:rsidRPr="004E03C2" w:rsidRDefault="004E03C2" w:rsidP="004E03C2">
      <w:bookmarkStart w:id="2" w:name="_GoBack"/>
      <w:bookmarkEnd w:id="2"/>
    </w:p>
    <w:p w14:paraId="4BF72279" w14:textId="22EBE96C" w:rsidR="001D29E6" w:rsidRPr="00C24D08" w:rsidRDefault="003820DE" w:rsidP="00C24D08">
      <w:pPr>
        <w:spacing w:line="240" w:lineRule="auto"/>
        <w:rPr>
          <w:i/>
          <w:iCs/>
          <w:szCs w:val="22"/>
        </w:rPr>
      </w:pPr>
      <w:r w:rsidRPr="00C24D08">
        <w:rPr>
          <w:i/>
          <w:iCs/>
          <w:szCs w:val="22"/>
        </w:rPr>
        <w:t>[</w:t>
      </w:r>
      <w:r w:rsidR="00063E52" w:rsidRPr="00C24D08">
        <w:rPr>
          <w:i/>
          <w:iCs/>
          <w:szCs w:val="22"/>
        </w:rPr>
        <w:t>Pre</w:t>
      </w:r>
      <w:r w:rsidRPr="00C24D08">
        <w:rPr>
          <w:i/>
          <w:iCs/>
          <w:szCs w:val="22"/>
        </w:rPr>
        <w:t xml:space="preserve"> 1 mg balen</w:t>
      </w:r>
      <w:r w:rsidR="00063E52" w:rsidRPr="00C24D08">
        <w:rPr>
          <w:i/>
          <w:iCs/>
          <w:szCs w:val="22"/>
        </w:rPr>
        <w:t>ia</w:t>
      </w:r>
      <w:r w:rsidRPr="00C24D08">
        <w:rPr>
          <w:i/>
          <w:iCs/>
          <w:szCs w:val="22"/>
        </w:rPr>
        <w:t xml:space="preserve"> v PVC/PCTFE-</w:t>
      </w:r>
      <w:proofErr w:type="spellStart"/>
      <w:r w:rsidR="00063E52" w:rsidRPr="00C24D08">
        <w:rPr>
          <w:i/>
          <w:iCs/>
          <w:szCs w:val="22"/>
        </w:rPr>
        <w:t>Aluminium</w:t>
      </w:r>
      <w:proofErr w:type="spellEnd"/>
      <w:r w:rsidRPr="00C24D08">
        <w:rPr>
          <w:i/>
          <w:iCs/>
          <w:szCs w:val="22"/>
        </w:rPr>
        <w:t xml:space="preserve"> a OPA/</w:t>
      </w:r>
      <w:proofErr w:type="spellStart"/>
      <w:r w:rsidR="00063E52" w:rsidRPr="00C24D08">
        <w:rPr>
          <w:i/>
          <w:iCs/>
          <w:szCs w:val="22"/>
        </w:rPr>
        <w:t>Alu</w:t>
      </w:r>
      <w:proofErr w:type="spellEnd"/>
      <w:r w:rsidRPr="00C24D08">
        <w:rPr>
          <w:i/>
          <w:iCs/>
          <w:szCs w:val="22"/>
        </w:rPr>
        <w:t>/PVC-</w:t>
      </w:r>
      <w:proofErr w:type="spellStart"/>
      <w:r w:rsidR="00063E52" w:rsidRPr="00C24D08">
        <w:rPr>
          <w:i/>
          <w:iCs/>
          <w:szCs w:val="22"/>
        </w:rPr>
        <w:t>Aluminium</w:t>
      </w:r>
      <w:proofErr w:type="spellEnd"/>
      <w:r w:rsidRPr="00C24D08">
        <w:rPr>
          <w:i/>
          <w:iCs/>
          <w:szCs w:val="22"/>
        </w:rPr>
        <w:t xml:space="preserve"> </w:t>
      </w:r>
      <w:proofErr w:type="spellStart"/>
      <w:r w:rsidRPr="00C24D08">
        <w:rPr>
          <w:i/>
          <w:iCs/>
          <w:szCs w:val="22"/>
        </w:rPr>
        <w:t>blistroch</w:t>
      </w:r>
      <w:proofErr w:type="spellEnd"/>
      <w:r w:rsidRPr="00C24D08">
        <w:rPr>
          <w:i/>
          <w:iCs/>
          <w:szCs w:val="22"/>
        </w:rPr>
        <w:t xml:space="preserve"> a </w:t>
      </w:r>
      <w:r w:rsidR="00063E52" w:rsidRPr="00C24D08">
        <w:rPr>
          <w:i/>
          <w:iCs/>
          <w:szCs w:val="22"/>
        </w:rPr>
        <w:t>pre</w:t>
      </w:r>
      <w:r w:rsidRPr="00C24D08">
        <w:rPr>
          <w:i/>
          <w:iCs/>
          <w:szCs w:val="22"/>
        </w:rPr>
        <w:t xml:space="preserve"> 2 mg a 3 </w:t>
      </w:r>
      <w:r w:rsidR="00EE18B9" w:rsidRPr="00C24D08">
        <w:rPr>
          <w:i/>
          <w:iCs/>
          <w:szCs w:val="22"/>
        </w:rPr>
        <w:t>mg balen</w:t>
      </w:r>
      <w:r w:rsidR="00063E52" w:rsidRPr="00C24D08">
        <w:rPr>
          <w:i/>
          <w:iCs/>
          <w:szCs w:val="22"/>
        </w:rPr>
        <w:t>ia</w:t>
      </w:r>
      <w:r w:rsidR="00EE18B9" w:rsidRPr="00C24D08">
        <w:rPr>
          <w:i/>
          <w:iCs/>
          <w:szCs w:val="22"/>
        </w:rPr>
        <w:t xml:space="preserve"> v PVC/PCTFE-</w:t>
      </w:r>
      <w:proofErr w:type="spellStart"/>
      <w:r w:rsidR="00063E52" w:rsidRPr="00C24D08">
        <w:rPr>
          <w:i/>
          <w:iCs/>
          <w:szCs w:val="22"/>
        </w:rPr>
        <w:t>Aluminium</w:t>
      </w:r>
      <w:proofErr w:type="spellEnd"/>
      <w:r w:rsidRPr="00C24D08">
        <w:rPr>
          <w:i/>
          <w:iCs/>
          <w:szCs w:val="22"/>
        </w:rPr>
        <w:t>, OPA/</w:t>
      </w:r>
      <w:proofErr w:type="spellStart"/>
      <w:r w:rsidR="00063E52" w:rsidRPr="00C24D08">
        <w:rPr>
          <w:i/>
          <w:iCs/>
          <w:szCs w:val="22"/>
        </w:rPr>
        <w:t>Alu</w:t>
      </w:r>
      <w:proofErr w:type="spellEnd"/>
      <w:r w:rsidRPr="00C24D08">
        <w:rPr>
          <w:i/>
          <w:iCs/>
          <w:szCs w:val="22"/>
        </w:rPr>
        <w:t>/PVC-</w:t>
      </w:r>
      <w:proofErr w:type="spellStart"/>
      <w:r w:rsidR="00063E52" w:rsidRPr="00C24D08">
        <w:rPr>
          <w:i/>
          <w:iCs/>
          <w:szCs w:val="22"/>
        </w:rPr>
        <w:t>Aluminium</w:t>
      </w:r>
      <w:proofErr w:type="spellEnd"/>
      <w:r w:rsidRPr="00C24D08">
        <w:rPr>
          <w:i/>
          <w:iCs/>
          <w:szCs w:val="22"/>
        </w:rPr>
        <w:t xml:space="preserve"> a PVC/</w:t>
      </w:r>
      <w:proofErr w:type="spellStart"/>
      <w:r w:rsidRPr="00C24D08">
        <w:rPr>
          <w:i/>
          <w:iCs/>
          <w:szCs w:val="22"/>
        </w:rPr>
        <w:t>PVdC</w:t>
      </w:r>
      <w:proofErr w:type="spellEnd"/>
      <w:r w:rsidRPr="00C24D08">
        <w:rPr>
          <w:i/>
          <w:iCs/>
          <w:szCs w:val="22"/>
        </w:rPr>
        <w:t>/PVC-</w:t>
      </w:r>
      <w:proofErr w:type="spellStart"/>
      <w:r w:rsidR="00063E52" w:rsidRPr="00C24D08">
        <w:rPr>
          <w:i/>
          <w:iCs/>
          <w:szCs w:val="22"/>
        </w:rPr>
        <w:t>Aluminium</w:t>
      </w:r>
      <w:proofErr w:type="spellEnd"/>
      <w:r w:rsidR="00063E52" w:rsidRPr="00C24D08">
        <w:rPr>
          <w:i/>
          <w:iCs/>
          <w:szCs w:val="22"/>
        </w:rPr>
        <w:t xml:space="preserve"> </w:t>
      </w:r>
      <w:proofErr w:type="spellStart"/>
      <w:r w:rsidR="00063E52" w:rsidRPr="00C24D08">
        <w:rPr>
          <w:i/>
          <w:iCs/>
          <w:szCs w:val="22"/>
        </w:rPr>
        <w:t>blistroch</w:t>
      </w:r>
      <w:proofErr w:type="spellEnd"/>
      <w:r w:rsidR="00063E52" w:rsidRPr="00C24D08">
        <w:rPr>
          <w:i/>
          <w:iCs/>
          <w:szCs w:val="22"/>
        </w:rPr>
        <w:t>]</w:t>
      </w:r>
    </w:p>
    <w:p w14:paraId="62F263E1" w14:textId="0996FBF7" w:rsidR="00772128" w:rsidRPr="00C24D08" w:rsidRDefault="00493AB5" w:rsidP="00C24D08">
      <w:pPr>
        <w:spacing w:line="240" w:lineRule="auto"/>
        <w:rPr>
          <w:szCs w:val="22"/>
        </w:rPr>
      </w:pPr>
      <w:r w:rsidRPr="00C24D08">
        <w:rPr>
          <w:szCs w:val="22"/>
        </w:rPr>
        <w:t>Tento liek nevyžaduje žiadne zvláštne podmienky</w:t>
      </w:r>
      <w:r w:rsidR="00063E52" w:rsidRPr="00C24D08">
        <w:rPr>
          <w:szCs w:val="22"/>
        </w:rPr>
        <w:t xml:space="preserve"> na skladovanie</w:t>
      </w:r>
      <w:r w:rsidRPr="00C24D08">
        <w:rPr>
          <w:szCs w:val="22"/>
        </w:rPr>
        <w:t>.</w:t>
      </w:r>
    </w:p>
    <w:p w14:paraId="07EEAC79" w14:textId="77777777" w:rsidR="005115CE" w:rsidRPr="00C24D08" w:rsidRDefault="005115CE" w:rsidP="00C24D08">
      <w:pPr>
        <w:spacing w:line="240" w:lineRule="auto"/>
        <w:rPr>
          <w:i/>
          <w:iCs/>
          <w:szCs w:val="22"/>
        </w:rPr>
      </w:pPr>
    </w:p>
    <w:p w14:paraId="6A5B497D" w14:textId="09A95621" w:rsidR="003820DE" w:rsidRPr="00C24D08" w:rsidRDefault="003820DE" w:rsidP="00C24D08">
      <w:pPr>
        <w:spacing w:line="240" w:lineRule="auto"/>
        <w:rPr>
          <w:szCs w:val="22"/>
          <w:highlight w:val="lightGray"/>
        </w:rPr>
      </w:pPr>
      <w:r w:rsidRPr="00C24D08">
        <w:rPr>
          <w:i/>
          <w:iCs/>
          <w:szCs w:val="22"/>
          <w:highlight w:val="lightGray"/>
        </w:rPr>
        <w:t>[</w:t>
      </w:r>
      <w:r w:rsidR="00063E52" w:rsidRPr="00C24D08">
        <w:rPr>
          <w:i/>
          <w:iCs/>
          <w:szCs w:val="22"/>
          <w:highlight w:val="lightGray"/>
        </w:rPr>
        <w:t>Pre</w:t>
      </w:r>
      <w:r w:rsidRPr="00C24D08">
        <w:rPr>
          <w:i/>
          <w:iCs/>
          <w:szCs w:val="22"/>
          <w:highlight w:val="lightGray"/>
        </w:rPr>
        <w:t xml:space="preserve"> 1 mg balen</w:t>
      </w:r>
      <w:r w:rsidR="00063E52" w:rsidRPr="00C24D08">
        <w:rPr>
          <w:i/>
          <w:iCs/>
          <w:szCs w:val="22"/>
          <w:highlight w:val="lightGray"/>
        </w:rPr>
        <w:t>ie</w:t>
      </w:r>
      <w:r w:rsidRPr="00C24D08">
        <w:rPr>
          <w:i/>
          <w:iCs/>
          <w:szCs w:val="22"/>
          <w:highlight w:val="lightGray"/>
        </w:rPr>
        <w:t xml:space="preserve"> v PVC/</w:t>
      </w:r>
      <w:proofErr w:type="spellStart"/>
      <w:r w:rsidRPr="00C24D08">
        <w:rPr>
          <w:i/>
          <w:iCs/>
          <w:szCs w:val="22"/>
          <w:highlight w:val="lightGray"/>
        </w:rPr>
        <w:t>PVdC</w:t>
      </w:r>
      <w:proofErr w:type="spellEnd"/>
      <w:r w:rsidRPr="00C24D08">
        <w:rPr>
          <w:i/>
          <w:iCs/>
          <w:szCs w:val="22"/>
          <w:highlight w:val="lightGray"/>
        </w:rPr>
        <w:t>/PVC-</w:t>
      </w:r>
      <w:proofErr w:type="spellStart"/>
      <w:r w:rsidR="00063E52" w:rsidRPr="00C24D08">
        <w:rPr>
          <w:i/>
          <w:iCs/>
          <w:szCs w:val="22"/>
          <w:highlight w:val="lightGray"/>
        </w:rPr>
        <w:t>Aluminium</w:t>
      </w:r>
      <w:proofErr w:type="spellEnd"/>
      <w:r w:rsidRPr="00C24D08">
        <w:rPr>
          <w:i/>
          <w:iCs/>
          <w:szCs w:val="22"/>
          <w:highlight w:val="lightGray"/>
        </w:rPr>
        <w:t xml:space="preserve"> </w:t>
      </w:r>
      <w:proofErr w:type="spellStart"/>
      <w:r w:rsidRPr="00C24D08">
        <w:rPr>
          <w:i/>
          <w:iCs/>
          <w:szCs w:val="22"/>
          <w:highlight w:val="lightGray"/>
        </w:rPr>
        <w:t>blistroch</w:t>
      </w:r>
      <w:proofErr w:type="spellEnd"/>
      <w:r w:rsidRPr="00C24D08">
        <w:rPr>
          <w:i/>
          <w:iCs/>
          <w:szCs w:val="22"/>
          <w:highlight w:val="lightGray"/>
        </w:rPr>
        <w:t>]</w:t>
      </w:r>
    </w:p>
    <w:p w14:paraId="4B1F2EB4" w14:textId="1214E05B" w:rsidR="005D6847" w:rsidRPr="00C24D08" w:rsidRDefault="00596373" w:rsidP="00C24D08">
      <w:pPr>
        <w:spacing w:line="240" w:lineRule="auto"/>
        <w:rPr>
          <w:szCs w:val="22"/>
        </w:rPr>
      </w:pPr>
      <w:r>
        <w:rPr>
          <w:szCs w:val="22"/>
          <w:highlight w:val="lightGray"/>
        </w:rPr>
        <w:t>Uchovávajte</w:t>
      </w:r>
      <w:r w:rsidRPr="00C24D08">
        <w:rPr>
          <w:szCs w:val="22"/>
          <w:highlight w:val="lightGray"/>
        </w:rPr>
        <w:t xml:space="preserve"> </w:t>
      </w:r>
      <w:r w:rsidR="003820DE" w:rsidRPr="00C24D08">
        <w:rPr>
          <w:szCs w:val="22"/>
          <w:highlight w:val="lightGray"/>
        </w:rPr>
        <w:t>pri teplote do 30 °C</w:t>
      </w:r>
      <w:r w:rsidR="00063E52" w:rsidRPr="00C24D08">
        <w:rPr>
          <w:szCs w:val="22"/>
        </w:rPr>
        <w:t>.</w:t>
      </w:r>
    </w:p>
    <w:p w14:paraId="064F979F" w14:textId="77777777" w:rsidR="000F1EB8" w:rsidRPr="00C24D08" w:rsidRDefault="000F1EB8" w:rsidP="00C24D08">
      <w:pPr>
        <w:spacing w:line="240" w:lineRule="auto"/>
        <w:rPr>
          <w:szCs w:val="22"/>
        </w:rPr>
      </w:pPr>
    </w:p>
    <w:p w14:paraId="36785547" w14:textId="540AB74E" w:rsidR="001D29E6" w:rsidRPr="00C24D08" w:rsidRDefault="00D56FF5" w:rsidP="00C24D08">
      <w:pPr>
        <w:pStyle w:val="Nadpis2"/>
        <w:rPr>
          <w:szCs w:val="22"/>
        </w:rPr>
      </w:pPr>
      <w:r w:rsidRPr="00C24D08">
        <w:rPr>
          <w:szCs w:val="22"/>
        </w:rPr>
        <w:t xml:space="preserve">‌6.5 </w:t>
      </w:r>
      <w:r w:rsidR="00063E52" w:rsidRPr="00C24D08">
        <w:rPr>
          <w:szCs w:val="22"/>
        </w:rPr>
        <w:tab/>
      </w:r>
      <w:r w:rsidRPr="00C24D08">
        <w:rPr>
          <w:szCs w:val="22"/>
        </w:rPr>
        <w:t>Druh obalu a obsah balenia</w:t>
      </w:r>
    </w:p>
    <w:p w14:paraId="416C4635" w14:textId="77777777" w:rsidR="001D29E6" w:rsidRPr="00C24D08" w:rsidRDefault="001D29E6" w:rsidP="00C24D08">
      <w:pPr>
        <w:spacing w:line="240" w:lineRule="auto"/>
        <w:rPr>
          <w:szCs w:val="22"/>
        </w:rPr>
      </w:pPr>
    </w:p>
    <w:p w14:paraId="71CE28AE" w14:textId="45EFC824" w:rsidR="00144ED0" w:rsidRPr="00C24D08" w:rsidRDefault="004D235B" w:rsidP="00C24D08">
      <w:pPr>
        <w:spacing w:line="240" w:lineRule="auto"/>
        <w:rPr>
          <w:szCs w:val="22"/>
        </w:rPr>
      </w:pPr>
      <w:r w:rsidRPr="00D863AC">
        <w:t>PVC/</w:t>
      </w:r>
      <w:proofErr w:type="spellStart"/>
      <w:r w:rsidRPr="00D863AC">
        <w:t>PVdC</w:t>
      </w:r>
      <w:proofErr w:type="spellEnd"/>
      <w:r w:rsidRPr="00D863AC">
        <w:t>/PVC</w:t>
      </w:r>
      <w:r w:rsidRPr="00C24D08" w:rsidDel="004D235B">
        <w:rPr>
          <w:szCs w:val="22"/>
        </w:rPr>
        <w:t xml:space="preserve"> </w:t>
      </w:r>
      <w:r w:rsidR="00144ED0" w:rsidRPr="00C24D08">
        <w:rPr>
          <w:szCs w:val="22"/>
        </w:rPr>
        <w:t>-</w:t>
      </w:r>
      <w:proofErr w:type="spellStart"/>
      <w:r w:rsidR="00063E52" w:rsidRPr="00C24D08">
        <w:rPr>
          <w:szCs w:val="22"/>
        </w:rPr>
        <w:t>Aluminium</w:t>
      </w:r>
      <w:proofErr w:type="spellEnd"/>
      <w:r w:rsidR="00144ED0" w:rsidRPr="00C24D08">
        <w:rPr>
          <w:szCs w:val="22"/>
        </w:rPr>
        <w:t xml:space="preserve"> </w:t>
      </w:r>
      <w:proofErr w:type="spellStart"/>
      <w:r w:rsidR="00144ED0" w:rsidRPr="00C24D08">
        <w:rPr>
          <w:szCs w:val="22"/>
        </w:rPr>
        <w:t>blistre</w:t>
      </w:r>
      <w:proofErr w:type="spellEnd"/>
      <w:r w:rsidR="00144ED0" w:rsidRPr="00C24D08">
        <w:rPr>
          <w:szCs w:val="22"/>
        </w:rPr>
        <w:t>, PVC/PCTFE-</w:t>
      </w:r>
      <w:proofErr w:type="spellStart"/>
      <w:r w:rsidR="00063E52" w:rsidRPr="00C24D08">
        <w:rPr>
          <w:szCs w:val="22"/>
        </w:rPr>
        <w:t>Aluminium</w:t>
      </w:r>
      <w:proofErr w:type="spellEnd"/>
      <w:r w:rsidR="00144ED0" w:rsidRPr="00C24D08">
        <w:rPr>
          <w:szCs w:val="22"/>
        </w:rPr>
        <w:t xml:space="preserve"> </w:t>
      </w:r>
      <w:proofErr w:type="spellStart"/>
      <w:r w:rsidR="00144ED0" w:rsidRPr="00C24D08">
        <w:rPr>
          <w:szCs w:val="22"/>
        </w:rPr>
        <w:t>blistre</w:t>
      </w:r>
      <w:proofErr w:type="spellEnd"/>
      <w:r w:rsidR="00144ED0" w:rsidRPr="00C24D08">
        <w:rPr>
          <w:szCs w:val="22"/>
        </w:rPr>
        <w:t xml:space="preserve"> alebo OPA/</w:t>
      </w:r>
      <w:proofErr w:type="spellStart"/>
      <w:r w:rsidR="00063E52" w:rsidRPr="00C24D08">
        <w:rPr>
          <w:szCs w:val="22"/>
        </w:rPr>
        <w:t>Alu</w:t>
      </w:r>
      <w:proofErr w:type="spellEnd"/>
      <w:r w:rsidR="00144ED0" w:rsidRPr="00C24D08">
        <w:rPr>
          <w:szCs w:val="22"/>
        </w:rPr>
        <w:t>/PVC-</w:t>
      </w:r>
      <w:proofErr w:type="spellStart"/>
      <w:r w:rsidR="00063E52" w:rsidRPr="00C24D08">
        <w:rPr>
          <w:szCs w:val="22"/>
        </w:rPr>
        <w:t>Aluminium</w:t>
      </w:r>
      <w:proofErr w:type="spellEnd"/>
      <w:r w:rsidR="00144ED0" w:rsidRPr="00C24D08">
        <w:rPr>
          <w:szCs w:val="22"/>
        </w:rPr>
        <w:t xml:space="preserve"> </w:t>
      </w:r>
      <w:proofErr w:type="spellStart"/>
      <w:r w:rsidR="00144ED0" w:rsidRPr="00C24D08">
        <w:rPr>
          <w:szCs w:val="22"/>
        </w:rPr>
        <w:t>blistre</w:t>
      </w:r>
      <w:proofErr w:type="spellEnd"/>
      <w:r w:rsidR="00063E52" w:rsidRPr="00C24D08">
        <w:rPr>
          <w:szCs w:val="22"/>
        </w:rPr>
        <w:t>.</w:t>
      </w:r>
    </w:p>
    <w:p w14:paraId="0CFB9BB7" w14:textId="77777777" w:rsidR="00F85A91" w:rsidRPr="00C24D08" w:rsidRDefault="00F85A91" w:rsidP="00C24D08">
      <w:pPr>
        <w:spacing w:line="240" w:lineRule="auto"/>
        <w:rPr>
          <w:szCs w:val="22"/>
        </w:rPr>
      </w:pPr>
    </w:p>
    <w:p w14:paraId="2B9182BD" w14:textId="1DF0EFB0" w:rsidR="002E3A4D" w:rsidRPr="00C24D08" w:rsidRDefault="005F0956" w:rsidP="00C24D08">
      <w:pPr>
        <w:spacing w:line="240" w:lineRule="auto"/>
        <w:rPr>
          <w:szCs w:val="22"/>
        </w:rPr>
      </w:pPr>
      <w:r w:rsidRPr="00C24D08">
        <w:rPr>
          <w:szCs w:val="22"/>
        </w:rPr>
        <w:t>Veľkosti balenia: 7, 10, 14, 20, 28, 30, 50, 56, 98 alebo 100 filmom obalených tabliet.</w:t>
      </w:r>
    </w:p>
    <w:p w14:paraId="08515C8A" w14:textId="21339CC5" w:rsidR="001D29E6" w:rsidRPr="00C24D08" w:rsidRDefault="001D29E6" w:rsidP="00C24D08">
      <w:pPr>
        <w:spacing w:line="240" w:lineRule="auto"/>
        <w:rPr>
          <w:szCs w:val="22"/>
        </w:rPr>
      </w:pPr>
      <w:r w:rsidRPr="00C24D08">
        <w:rPr>
          <w:szCs w:val="22"/>
        </w:rPr>
        <w:t>N</w:t>
      </w:r>
      <w:r w:rsidR="00063E52" w:rsidRPr="00C24D08">
        <w:rPr>
          <w:szCs w:val="22"/>
        </w:rPr>
        <w:t>a trh nemusia byť uvedené</w:t>
      </w:r>
      <w:r w:rsidRPr="00C24D08">
        <w:rPr>
          <w:szCs w:val="22"/>
        </w:rPr>
        <w:t xml:space="preserve"> všetky veľkosti balenia.</w:t>
      </w:r>
    </w:p>
    <w:p w14:paraId="3457BF60" w14:textId="77777777" w:rsidR="001D29E6" w:rsidRPr="00C24D08" w:rsidRDefault="001D29E6" w:rsidP="00C24D08">
      <w:pPr>
        <w:spacing w:line="240" w:lineRule="auto"/>
        <w:rPr>
          <w:szCs w:val="22"/>
        </w:rPr>
      </w:pPr>
    </w:p>
    <w:p w14:paraId="255583EB" w14:textId="77777777" w:rsidR="001D29E6" w:rsidRPr="00C24D08" w:rsidRDefault="001D29E6" w:rsidP="00C24D08">
      <w:pPr>
        <w:spacing w:line="240" w:lineRule="auto"/>
        <w:rPr>
          <w:szCs w:val="22"/>
        </w:rPr>
      </w:pPr>
    </w:p>
    <w:p w14:paraId="5CB29121" w14:textId="77777777" w:rsidR="001D29E6" w:rsidRPr="00C24D08" w:rsidRDefault="001D29E6" w:rsidP="00C24D08">
      <w:pPr>
        <w:pStyle w:val="Nadpis2"/>
        <w:rPr>
          <w:szCs w:val="22"/>
        </w:rPr>
      </w:pPr>
      <w:r w:rsidRPr="00C24D08">
        <w:rPr>
          <w:szCs w:val="22"/>
        </w:rPr>
        <w:t>6.6</w:t>
      </w:r>
      <w:r w:rsidRPr="00C24D08">
        <w:rPr>
          <w:szCs w:val="22"/>
        </w:rPr>
        <w:tab/>
        <w:t xml:space="preserve">Špeciálne opatrenia na likvidáciu </w:t>
      </w:r>
    </w:p>
    <w:p w14:paraId="4976991F" w14:textId="77777777" w:rsidR="001D29E6" w:rsidRPr="00C24D08" w:rsidRDefault="001D29E6" w:rsidP="00C24D08">
      <w:pPr>
        <w:spacing w:line="240" w:lineRule="auto"/>
        <w:rPr>
          <w:szCs w:val="22"/>
        </w:rPr>
      </w:pPr>
    </w:p>
    <w:p w14:paraId="65DD16F2" w14:textId="2F5E3FAB" w:rsidR="00F331F2" w:rsidRPr="00C24D08" w:rsidRDefault="00C24D08" w:rsidP="00C24D08">
      <w:pPr>
        <w:spacing w:line="240" w:lineRule="auto"/>
        <w:rPr>
          <w:szCs w:val="22"/>
        </w:rPr>
      </w:pPr>
      <w:r w:rsidRPr="00C24D08">
        <w:rPr>
          <w:szCs w:val="22"/>
        </w:rPr>
        <w:t>Všetok n</w:t>
      </w:r>
      <w:r w:rsidR="00F331F2" w:rsidRPr="00C24D08">
        <w:rPr>
          <w:szCs w:val="22"/>
        </w:rPr>
        <w:t xml:space="preserve">epoužitý liek alebo odpad vzniknutý z lieku </w:t>
      </w:r>
      <w:r w:rsidRPr="00C24D08">
        <w:rPr>
          <w:szCs w:val="22"/>
        </w:rPr>
        <w:t>sa má</w:t>
      </w:r>
      <w:r w:rsidR="00F331F2" w:rsidRPr="00C24D08">
        <w:rPr>
          <w:szCs w:val="22"/>
        </w:rPr>
        <w:t xml:space="preserve"> zlikvidovať v súlade s národnými požiadavkami.</w:t>
      </w:r>
    </w:p>
    <w:p w14:paraId="6DC63633" w14:textId="77777777" w:rsidR="001D29E6" w:rsidRPr="00C24D08" w:rsidRDefault="001D29E6" w:rsidP="00C24D08">
      <w:pPr>
        <w:spacing w:line="240" w:lineRule="auto"/>
        <w:rPr>
          <w:szCs w:val="22"/>
        </w:rPr>
      </w:pPr>
    </w:p>
    <w:p w14:paraId="681A3F22" w14:textId="77777777" w:rsidR="007A7609" w:rsidRPr="00C24D08" w:rsidRDefault="007A7609" w:rsidP="00C24D08">
      <w:pPr>
        <w:spacing w:line="240" w:lineRule="auto"/>
        <w:rPr>
          <w:szCs w:val="22"/>
        </w:rPr>
      </w:pPr>
    </w:p>
    <w:p w14:paraId="51F4D7E3" w14:textId="77777777" w:rsidR="001D29E6" w:rsidRPr="00C24D08" w:rsidRDefault="001D29E6" w:rsidP="00C24D08">
      <w:pPr>
        <w:pStyle w:val="Nadpis1"/>
        <w:spacing w:line="240" w:lineRule="auto"/>
        <w:rPr>
          <w:szCs w:val="22"/>
        </w:rPr>
      </w:pPr>
      <w:r w:rsidRPr="00C24D08">
        <w:rPr>
          <w:szCs w:val="22"/>
        </w:rPr>
        <w:t>7.</w:t>
      </w:r>
      <w:r w:rsidRPr="00C24D08">
        <w:rPr>
          <w:szCs w:val="22"/>
        </w:rPr>
        <w:tab/>
        <w:t>DRŽITEĽ ROZHODNUTIA O REGISTRÁCII</w:t>
      </w:r>
    </w:p>
    <w:p w14:paraId="390B05D1" w14:textId="77777777" w:rsidR="001D29E6" w:rsidRPr="00C24D08" w:rsidRDefault="001D29E6" w:rsidP="00C24D08">
      <w:pPr>
        <w:spacing w:line="240" w:lineRule="auto"/>
        <w:rPr>
          <w:szCs w:val="22"/>
        </w:rPr>
      </w:pPr>
    </w:p>
    <w:p w14:paraId="213BE635" w14:textId="51CA6DC4" w:rsidR="00C24D08" w:rsidRPr="00C24D08" w:rsidRDefault="00C24D08" w:rsidP="00C24D08">
      <w:pPr>
        <w:spacing w:line="240" w:lineRule="auto"/>
        <w:rPr>
          <w:szCs w:val="22"/>
        </w:rPr>
      </w:pPr>
      <w:r w:rsidRPr="00C24D08">
        <w:rPr>
          <w:szCs w:val="22"/>
        </w:rPr>
        <w:t xml:space="preserve">G.L. </w:t>
      </w:r>
      <w:proofErr w:type="spellStart"/>
      <w:r w:rsidRPr="00C24D08">
        <w:rPr>
          <w:szCs w:val="22"/>
        </w:rPr>
        <w:t>Pharma</w:t>
      </w:r>
      <w:proofErr w:type="spellEnd"/>
      <w:r w:rsidRPr="00C24D08">
        <w:rPr>
          <w:szCs w:val="22"/>
        </w:rPr>
        <w:t xml:space="preserve"> </w:t>
      </w:r>
      <w:proofErr w:type="spellStart"/>
      <w:r w:rsidRPr="00C24D08">
        <w:rPr>
          <w:szCs w:val="22"/>
        </w:rPr>
        <w:t>GmbH</w:t>
      </w:r>
      <w:proofErr w:type="spellEnd"/>
      <w:r w:rsidRPr="00C24D08">
        <w:rPr>
          <w:szCs w:val="22"/>
        </w:rPr>
        <w:t xml:space="preserve">, </w:t>
      </w:r>
      <w:proofErr w:type="spellStart"/>
      <w:r w:rsidRPr="00C24D08">
        <w:rPr>
          <w:szCs w:val="22"/>
        </w:rPr>
        <w:t>Schlossplatz</w:t>
      </w:r>
      <w:proofErr w:type="spellEnd"/>
      <w:r w:rsidRPr="00C24D08">
        <w:rPr>
          <w:szCs w:val="22"/>
        </w:rPr>
        <w:t xml:space="preserve"> 1, 8502 </w:t>
      </w:r>
      <w:proofErr w:type="spellStart"/>
      <w:r w:rsidRPr="00C24D08">
        <w:rPr>
          <w:szCs w:val="22"/>
        </w:rPr>
        <w:t>Lannach</w:t>
      </w:r>
      <w:proofErr w:type="spellEnd"/>
      <w:r w:rsidRPr="00C24D08">
        <w:rPr>
          <w:szCs w:val="22"/>
        </w:rPr>
        <w:t>, Rakúsko</w:t>
      </w:r>
    </w:p>
    <w:p w14:paraId="30A1F4DC" w14:textId="77777777" w:rsidR="001D29E6" w:rsidRPr="00C24D08" w:rsidRDefault="001D29E6" w:rsidP="00C24D08">
      <w:pPr>
        <w:spacing w:line="240" w:lineRule="auto"/>
        <w:rPr>
          <w:szCs w:val="22"/>
        </w:rPr>
      </w:pPr>
    </w:p>
    <w:p w14:paraId="503B5BFC" w14:textId="77777777" w:rsidR="001D29E6" w:rsidRPr="00C24D08" w:rsidRDefault="001D29E6" w:rsidP="00C24D08">
      <w:pPr>
        <w:spacing w:line="240" w:lineRule="auto"/>
        <w:rPr>
          <w:szCs w:val="22"/>
        </w:rPr>
      </w:pPr>
    </w:p>
    <w:p w14:paraId="1044B801" w14:textId="77777777" w:rsidR="001D29E6" w:rsidRPr="00C24D08" w:rsidRDefault="001D29E6" w:rsidP="00C24D08">
      <w:pPr>
        <w:pStyle w:val="Nadpis1"/>
        <w:spacing w:line="240" w:lineRule="auto"/>
        <w:rPr>
          <w:szCs w:val="22"/>
        </w:rPr>
      </w:pPr>
      <w:r w:rsidRPr="00C24D08">
        <w:rPr>
          <w:szCs w:val="22"/>
        </w:rPr>
        <w:t>8.</w:t>
      </w:r>
      <w:r w:rsidRPr="00C24D08">
        <w:rPr>
          <w:szCs w:val="22"/>
        </w:rPr>
        <w:tab/>
        <w:t xml:space="preserve">REGISTRAČNÉ ČÍSLO </w:t>
      </w:r>
    </w:p>
    <w:p w14:paraId="3753AF98" w14:textId="77777777" w:rsidR="001D29E6" w:rsidRPr="00C24D08" w:rsidRDefault="001D29E6" w:rsidP="00C24D08">
      <w:pPr>
        <w:spacing w:line="240" w:lineRule="auto"/>
        <w:rPr>
          <w:i/>
          <w:szCs w:val="22"/>
        </w:rPr>
      </w:pPr>
    </w:p>
    <w:p w14:paraId="73C3C314" w14:textId="2EA1E38F" w:rsidR="00CC6C83" w:rsidRPr="00C24D08" w:rsidRDefault="00CC6C83" w:rsidP="00CC6C83">
      <w:pPr>
        <w:tabs>
          <w:tab w:val="clear" w:pos="567"/>
        </w:tabs>
        <w:autoSpaceDE w:val="0"/>
        <w:autoSpaceDN w:val="0"/>
        <w:adjustRightInd w:val="0"/>
        <w:spacing w:line="240" w:lineRule="auto"/>
        <w:rPr>
          <w:szCs w:val="22"/>
        </w:rPr>
      </w:pPr>
      <w:proofErr w:type="spellStart"/>
      <w:r w:rsidRPr="00C24D08">
        <w:rPr>
          <w:szCs w:val="22"/>
        </w:rPr>
        <w:t>Esogno</w:t>
      </w:r>
      <w:proofErr w:type="spellEnd"/>
      <w:r w:rsidRPr="00C24D08">
        <w:rPr>
          <w:szCs w:val="22"/>
        </w:rPr>
        <w:t xml:space="preserve"> 1 mg filmom obalené tablety</w:t>
      </w:r>
      <w:r>
        <w:rPr>
          <w:szCs w:val="22"/>
        </w:rPr>
        <w:t>:</w:t>
      </w:r>
      <w:r>
        <w:rPr>
          <w:szCs w:val="22"/>
        </w:rPr>
        <w:tab/>
        <w:t>57/0074/20-S</w:t>
      </w:r>
    </w:p>
    <w:p w14:paraId="381FC22A" w14:textId="087FAF3A" w:rsidR="00CC6C83" w:rsidRPr="000866D7" w:rsidRDefault="00CC6C83" w:rsidP="00CC6C83">
      <w:pPr>
        <w:tabs>
          <w:tab w:val="clear" w:pos="567"/>
        </w:tabs>
        <w:autoSpaceDE w:val="0"/>
        <w:autoSpaceDN w:val="0"/>
        <w:adjustRightInd w:val="0"/>
        <w:spacing w:line="240" w:lineRule="auto"/>
        <w:rPr>
          <w:szCs w:val="22"/>
        </w:rPr>
      </w:pPr>
      <w:proofErr w:type="spellStart"/>
      <w:r w:rsidRPr="000866D7">
        <w:rPr>
          <w:szCs w:val="22"/>
        </w:rPr>
        <w:t>Esogno</w:t>
      </w:r>
      <w:proofErr w:type="spellEnd"/>
      <w:r w:rsidRPr="000866D7">
        <w:rPr>
          <w:szCs w:val="22"/>
        </w:rPr>
        <w:t xml:space="preserve"> 2 mg filmom obalené tablety</w:t>
      </w:r>
      <w:r>
        <w:rPr>
          <w:szCs w:val="22"/>
        </w:rPr>
        <w:t>:</w:t>
      </w:r>
      <w:r>
        <w:rPr>
          <w:szCs w:val="22"/>
        </w:rPr>
        <w:tab/>
        <w:t>57/0075/20-S</w:t>
      </w:r>
    </w:p>
    <w:p w14:paraId="35688E50" w14:textId="23029723" w:rsidR="00CC6C83" w:rsidRPr="00C24D08" w:rsidRDefault="00CC6C83" w:rsidP="00CC6C83">
      <w:pPr>
        <w:tabs>
          <w:tab w:val="clear" w:pos="567"/>
        </w:tabs>
        <w:autoSpaceDE w:val="0"/>
        <w:autoSpaceDN w:val="0"/>
        <w:adjustRightInd w:val="0"/>
        <w:spacing w:line="240" w:lineRule="auto"/>
        <w:rPr>
          <w:szCs w:val="22"/>
        </w:rPr>
      </w:pPr>
      <w:proofErr w:type="spellStart"/>
      <w:r w:rsidRPr="000866D7">
        <w:rPr>
          <w:szCs w:val="22"/>
        </w:rPr>
        <w:t>Esogno</w:t>
      </w:r>
      <w:proofErr w:type="spellEnd"/>
      <w:r w:rsidRPr="000866D7">
        <w:rPr>
          <w:szCs w:val="22"/>
        </w:rPr>
        <w:t xml:space="preserve"> 3 mg filmom obalené tablety</w:t>
      </w:r>
      <w:r>
        <w:rPr>
          <w:szCs w:val="22"/>
        </w:rPr>
        <w:t>:</w:t>
      </w:r>
      <w:r>
        <w:rPr>
          <w:szCs w:val="22"/>
        </w:rPr>
        <w:tab/>
        <w:t>57/0076/20-S</w:t>
      </w:r>
    </w:p>
    <w:p w14:paraId="20841AA9" w14:textId="5C0E2699" w:rsidR="001D29E6" w:rsidRPr="000866D7" w:rsidRDefault="001D29E6" w:rsidP="00C24D08">
      <w:pPr>
        <w:spacing w:line="240" w:lineRule="auto"/>
        <w:rPr>
          <w:iCs/>
          <w:szCs w:val="22"/>
        </w:rPr>
      </w:pPr>
    </w:p>
    <w:p w14:paraId="06FF80F7" w14:textId="77777777" w:rsidR="001D29E6" w:rsidRPr="00C24D08" w:rsidRDefault="001D29E6" w:rsidP="00C24D08">
      <w:pPr>
        <w:spacing w:line="240" w:lineRule="auto"/>
        <w:rPr>
          <w:szCs w:val="22"/>
        </w:rPr>
      </w:pPr>
    </w:p>
    <w:p w14:paraId="130346B8" w14:textId="77777777" w:rsidR="001D29E6" w:rsidRPr="00C24D08" w:rsidRDefault="001D29E6" w:rsidP="00C24D08">
      <w:pPr>
        <w:spacing w:line="240" w:lineRule="auto"/>
        <w:rPr>
          <w:szCs w:val="22"/>
        </w:rPr>
      </w:pPr>
    </w:p>
    <w:p w14:paraId="7FBCC327" w14:textId="77777777" w:rsidR="001D29E6" w:rsidRPr="00C24D08" w:rsidRDefault="001D29E6" w:rsidP="00C24D08">
      <w:pPr>
        <w:pStyle w:val="Nadpis1"/>
        <w:spacing w:line="240" w:lineRule="auto"/>
        <w:rPr>
          <w:szCs w:val="22"/>
        </w:rPr>
      </w:pPr>
      <w:r w:rsidRPr="00C24D08">
        <w:rPr>
          <w:szCs w:val="22"/>
        </w:rPr>
        <w:t>9.</w:t>
      </w:r>
      <w:r w:rsidRPr="00C24D08">
        <w:rPr>
          <w:szCs w:val="22"/>
        </w:rPr>
        <w:tab/>
        <w:t>DÁTUM PRVEJ REGISTRÁCIE/ PREDĹŽENIA REGISTRÁCIE</w:t>
      </w:r>
    </w:p>
    <w:p w14:paraId="0797A5DC" w14:textId="77777777" w:rsidR="001D29E6" w:rsidRPr="00C24D08" w:rsidRDefault="001D29E6" w:rsidP="00C24D08">
      <w:pPr>
        <w:spacing w:line="240" w:lineRule="auto"/>
        <w:rPr>
          <w:i/>
          <w:szCs w:val="22"/>
        </w:rPr>
      </w:pPr>
    </w:p>
    <w:p w14:paraId="5FC2919B" w14:textId="1C79C781" w:rsidR="001D29E6" w:rsidRPr="00C24D08" w:rsidRDefault="00C24D08" w:rsidP="00C24D08">
      <w:pPr>
        <w:spacing w:line="240" w:lineRule="auto"/>
        <w:rPr>
          <w:szCs w:val="22"/>
        </w:rPr>
      </w:pPr>
      <w:r w:rsidRPr="00C24D08">
        <w:rPr>
          <w:szCs w:val="22"/>
        </w:rPr>
        <w:t xml:space="preserve">Dátum prvej registrácie: </w:t>
      </w:r>
    </w:p>
    <w:p w14:paraId="4658D959" w14:textId="77777777" w:rsidR="001D29E6" w:rsidRPr="00C24D08" w:rsidRDefault="001D29E6" w:rsidP="00C24D08">
      <w:pPr>
        <w:spacing w:line="240" w:lineRule="auto"/>
        <w:rPr>
          <w:szCs w:val="22"/>
        </w:rPr>
      </w:pPr>
    </w:p>
    <w:p w14:paraId="599716B4" w14:textId="77777777" w:rsidR="001D29E6" w:rsidRPr="00C24D08" w:rsidRDefault="001D29E6" w:rsidP="00C24D08">
      <w:pPr>
        <w:spacing w:line="240" w:lineRule="auto"/>
        <w:rPr>
          <w:szCs w:val="22"/>
        </w:rPr>
      </w:pPr>
    </w:p>
    <w:p w14:paraId="144EDC66" w14:textId="77777777" w:rsidR="001D29E6" w:rsidRPr="00C24D08" w:rsidRDefault="001D29E6" w:rsidP="00C24D08">
      <w:pPr>
        <w:pStyle w:val="Nadpis1"/>
        <w:spacing w:line="240" w:lineRule="auto"/>
        <w:rPr>
          <w:szCs w:val="22"/>
        </w:rPr>
      </w:pPr>
      <w:r w:rsidRPr="00C24D08">
        <w:rPr>
          <w:szCs w:val="22"/>
        </w:rPr>
        <w:t>10.</w:t>
      </w:r>
      <w:r w:rsidRPr="00C24D08">
        <w:rPr>
          <w:szCs w:val="22"/>
        </w:rPr>
        <w:tab/>
        <w:t>‌DÁTUM REVÍZIE TEXTU</w:t>
      </w:r>
    </w:p>
    <w:p w14:paraId="3069E2D6" w14:textId="77777777" w:rsidR="001D29E6" w:rsidRPr="00C24D08" w:rsidRDefault="001D29E6" w:rsidP="00C24D08">
      <w:pPr>
        <w:numPr>
          <w:ilvl w:val="12"/>
          <w:numId w:val="0"/>
        </w:numPr>
        <w:spacing w:line="240" w:lineRule="auto"/>
        <w:ind w:right="-2"/>
        <w:rPr>
          <w:iCs/>
          <w:szCs w:val="22"/>
        </w:rPr>
      </w:pPr>
    </w:p>
    <w:p w14:paraId="693004E8" w14:textId="1ADDF90D" w:rsidR="001D29E6" w:rsidRPr="00C24D08" w:rsidRDefault="003103AE" w:rsidP="00C24D08">
      <w:pPr>
        <w:numPr>
          <w:ilvl w:val="12"/>
          <w:numId w:val="0"/>
        </w:numPr>
        <w:spacing w:line="240" w:lineRule="auto"/>
        <w:ind w:right="-2"/>
        <w:rPr>
          <w:iCs/>
          <w:szCs w:val="22"/>
        </w:rPr>
      </w:pPr>
      <w:r>
        <w:rPr>
          <w:iCs/>
          <w:szCs w:val="22"/>
        </w:rPr>
        <w:t>04</w:t>
      </w:r>
      <w:r w:rsidR="00C24D08" w:rsidRPr="00C24D08">
        <w:rPr>
          <w:iCs/>
          <w:szCs w:val="22"/>
        </w:rPr>
        <w:t>/2020</w:t>
      </w:r>
    </w:p>
    <w:p w14:paraId="723917F6" w14:textId="77777777" w:rsidR="001D29E6" w:rsidRDefault="001D29E6" w:rsidP="008D4234">
      <w:pPr>
        <w:tabs>
          <w:tab w:val="clear" w:pos="567"/>
        </w:tabs>
        <w:spacing w:line="240" w:lineRule="auto"/>
        <w:rPr>
          <w:noProof/>
        </w:rPr>
      </w:pPr>
    </w:p>
    <w:sectPr w:rsidR="001D29E6" w:rsidSect="003310A3">
      <w:headerReference w:type="default" r:id="rId13"/>
      <w:footerReference w:type="default" r:id="rId14"/>
      <w:headerReference w:type="first" r:id="rId15"/>
      <w:footerReference w:type="first" r:id="rId16"/>
      <w:endnotePr>
        <w:numFmt w:val="decimal"/>
      </w:endnotePr>
      <w:pgSz w:w="11907" w:h="16840" w:code="9"/>
      <w:pgMar w:top="851" w:right="1418" w:bottom="1134" w:left="1418" w:header="737" w:footer="737"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9C4CFC" w16cid:durableId="223052E5"/>
  <w16cid:commentId w16cid:paraId="11852B93" w16cid:durableId="223053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5F655" w14:textId="77777777" w:rsidR="00DD14B5" w:rsidRDefault="00DD14B5">
      <w:r>
        <w:separator/>
      </w:r>
    </w:p>
  </w:endnote>
  <w:endnote w:type="continuationSeparator" w:id="0">
    <w:p w14:paraId="6A6987F1" w14:textId="77777777" w:rsidR="00DD14B5" w:rsidRDefault="00DD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032D7" w14:textId="77777777" w:rsidR="00C30698" w:rsidRPr="000C1913" w:rsidRDefault="00C30698">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slostrany"/>
        <w:rFonts w:ascii="Arial" w:hAnsi="Arial" w:cs="Arial"/>
      </w:rPr>
      <w:fldChar w:fldCharType="begin"/>
    </w:r>
    <w:r w:rsidRPr="000C1913">
      <w:rPr>
        <w:rStyle w:val="slostrany"/>
        <w:rFonts w:ascii="Arial" w:hAnsi="Arial" w:cs="Arial"/>
      </w:rPr>
      <w:instrText xml:space="preserve">PAGE  </w:instrText>
    </w:r>
    <w:r w:rsidRPr="000C1913">
      <w:rPr>
        <w:rStyle w:val="slostrany"/>
        <w:rFonts w:ascii="Arial" w:hAnsi="Arial" w:cs="Arial"/>
      </w:rPr>
      <w:fldChar w:fldCharType="separate"/>
    </w:r>
    <w:r w:rsidR="004E03C2">
      <w:rPr>
        <w:rStyle w:val="slostrany"/>
        <w:rFonts w:ascii="Arial" w:hAnsi="Arial" w:cs="Arial"/>
        <w:noProof/>
      </w:rPr>
      <w:t>11</w:t>
    </w:r>
    <w:r w:rsidRPr="000C1913">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7188F" w14:textId="77777777" w:rsidR="00C30698" w:rsidRPr="000C1913" w:rsidRDefault="00C30698">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Pr="000C1913">
      <w:rPr>
        <w:rStyle w:val="slostrany"/>
        <w:rFonts w:ascii="Arial" w:hAnsi="Arial" w:cs="Arial"/>
      </w:rPr>
      <w:instrText xml:space="preserve">PAGE  </w:instrText>
    </w:r>
    <w:r w:rsidRPr="007710EC">
      <w:rPr>
        <w:rStyle w:val="slostrany"/>
        <w:rFonts w:ascii="Arial" w:hAnsi="Arial" w:cs="Arial"/>
      </w:rPr>
      <w:fldChar w:fldCharType="separate"/>
    </w:r>
    <w:r>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3F7D0" w14:textId="77777777" w:rsidR="00DD14B5" w:rsidRDefault="00DD14B5">
      <w:r>
        <w:separator/>
      </w:r>
    </w:p>
  </w:footnote>
  <w:footnote w:type="continuationSeparator" w:id="0">
    <w:p w14:paraId="235C13A9" w14:textId="77777777" w:rsidR="00DD14B5" w:rsidRDefault="00DD1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C5216" w14:textId="0C5E0C15" w:rsidR="00C30698" w:rsidRDefault="00C30698" w:rsidP="00C24D08">
    <w:pPr>
      <w:pStyle w:val="Hlavika"/>
      <w:rPr>
        <w:rFonts w:ascii="Times New Roman" w:hAnsi="Times New Roman"/>
        <w:sz w:val="18"/>
        <w:szCs w:val="18"/>
      </w:rPr>
    </w:pPr>
    <w:r w:rsidRPr="00C24D08">
      <w:rPr>
        <w:rFonts w:ascii="Times New Roman" w:hAnsi="Times New Roman"/>
        <w:sz w:val="18"/>
        <w:szCs w:val="18"/>
      </w:rPr>
      <w:t>Schválený text k rozhodnutiu o registrácii, ev. č.: 2018/05343-REG, 2018/05344-REG, 2018/05345-REG</w:t>
    </w:r>
  </w:p>
  <w:p w14:paraId="0F024943" w14:textId="77777777" w:rsidR="00C30698" w:rsidRPr="00C24D08" w:rsidRDefault="00C30698" w:rsidP="00C24D08">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BD998" w14:textId="374EADF3" w:rsidR="00C30698" w:rsidRPr="00126BAA" w:rsidRDefault="00C30698" w:rsidP="00126BAA">
    <w:pPr>
      <w:pStyle w:val="Hlavika"/>
      <w:rPr>
        <w:rFonts w:ascii="Times New Roman" w:hAnsi="Times New Roman"/>
        <w:sz w:val="18"/>
        <w:szCs w:val="18"/>
      </w:rPr>
    </w:pPr>
    <w:r w:rsidRPr="00126BAA">
      <w:rPr>
        <w:rFonts w:ascii="Times New Roman" w:hAnsi="Times New Roman"/>
        <w:sz w:val="18"/>
        <w:szCs w:val="18"/>
      </w:rPr>
      <w:t>Schválený text k rozhodnutiu o registrácii, ev. č.: 2018/05343-REG, 2018/05344-REG, 2018/05345-REG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96643CA"/>
    <w:multiLevelType w:val="hybridMultilevel"/>
    <w:tmpl w:val="B01CC174"/>
    <w:lvl w:ilvl="0" w:tplc="D32E4A12">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0B6E92"/>
    <w:multiLevelType w:val="hybridMultilevel"/>
    <w:tmpl w:val="46EE7EBA"/>
    <w:lvl w:ilvl="0" w:tplc="D32E4A12">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A98537C"/>
    <w:multiLevelType w:val="hybridMultilevel"/>
    <w:tmpl w:val="223008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0"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A7843C1"/>
    <w:multiLevelType w:val="hybridMultilevel"/>
    <w:tmpl w:val="E89C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6C7D518F"/>
    <w:multiLevelType w:val="hybridMultilevel"/>
    <w:tmpl w:val="0CCC3A7C"/>
    <w:lvl w:ilvl="0" w:tplc="D32E4A12">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7"/>
  </w:num>
  <w:num w:numId="4">
    <w:abstractNumId w:val="35"/>
  </w:num>
  <w:num w:numId="5">
    <w:abstractNumId w:val="13"/>
  </w:num>
  <w:num w:numId="6">
    <w:abstractNumId w:val="23"/>
  </w:num>
  <w:num w:numId="7">
    <w:abstractNumId w:val="22"/>
  </w:num>
  <w:num w:numId="8">
    <w:abstractNumId w:val="8"/>
  </w:num>
  <w:num w:numId="9">
    <w:abstractNumId w:val="32"/>
  </w:num>
  <w:num w:numId="10">
    <w:abstractNumId w:val="34"/>
  </w:num>
  <w:num w:numId="11">
    <w:abstractNumId w:val="18"/>
  </w:num>
  <w:num w:numId="12">
    <w:abstractNumId w:val="15"/>
  </w:num>
  <w:num w:numId="13">
    <w:abstractNumId w:val="2"/>
  </w:num>
  <w:num w:numId="14">
    <w:abstractNumId w:val="31"/>
  </w:num>
  <w:num w:numId="15">
    <w:abstractNumId w:val="20"/>
  </w:num>
  <w:num w:numId="16">
    <w:abstractNumId w:val="38"/>
  </w:num>
  <w:num w:numId="17">
    <w:abstractNumId w:val="9"/>
  </w:num>
  <w:num w:numId="18">
    <w:abstractNumId w:val="1"/>
  </w:num>
  <w:num w:numId="19">
    <w:abstractNumId w:val="19"/>
  </w:num>
  <w:num w:numId="20">
    <w:abstractNumId w:val="3"/>
  </w:num>
  <w:num w:numId="21">
    <w:abstractNumId w:val="7"/>
  </w:num>
  <w:num w:numId="22">
    <w:abstractNumId w:val="26"/>
  </w:num>
  <w:num w:numId="23">
    <w:abstractNumId w:val="30"/>
  </w:num>
  <w:num w:numId="24">
    <w:abstractNumId w:val="25"/>
  </w:num>
  <w:num w:numId="25">
    <w:abstractNumId w:val="14"/>
  </w:num>
  <w:num w:numId="26">
    <w:abstractNumId w:val="11"/>
  </w:num>
  <w:num w:numId="27">
    <w:abstractNumId w:val="21"/>
  </w:num>
  <w:num w:numId="28">
    <w:abstractNumId w:val="24"/>
  </w:num>
  <w:num w:numId="29">
    <w:abstractNumId w:val="16"/>
  </w:num>
  <w:num w:numId="30">
    <w:abstractNumId w:val="10"/>
  </w:num>
  <w:num w:numId="31">
    <w:abstractNumId w:val="28"/>
  </w:num>
  <w:num w:numId="32">
    <w:abstractNumId w:val="29"/>
  </w:num>
  <w:num w:numId="33">
    <w:abstractNumId w:val="27"/>
  </w:num>
  <w:num w:numId="34">
    <w:abstractNumId w:val="17"/>
  </w:num>
  <w:num w:numId="35">
    <w:abstractNumId w:val="4"/>
  </w:num>
  <w:num w:numId="36">
    <w:abstractNumId w:val="39"/>
  </w:num>
  <w:num w:numId="37">
    <w:abstractNumId w:val="0"/>
    <w:lvlOverride w:ilvl="0">
      <w:lvl w:ilvl="0">
        <w:start w:val="1"/>
        <w:numFmt w:val="bullet"/>
        <w:lvlText w:val="-"/>
        <w:legacy w:legacy="1" w:legacySpace="0" w:legacyIndent="360"/>
        <w:lvlJc w:val="left"/>
        <w:pPr>
          <w:ind w:left="360" w:hanging="360"/>
        </w:pPr>
      </w:lvl>
    </w:lvlOverride>
  </w:num>
  <w:num w:numId="38">
    <w:abstractNumId w:val="36"/>
  </w:num>
  <w:num w:numId="39">
    <w:abstractNumId w:val="5"/>
  </w:num>
  <w:num w:numId="40">
    <w:abstractNumId w:val="6"/>
  </w:num>
  <w:num w:numId="41">
    <w:abstractNumId w:val="12"/>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0MDcAAiMjE3MDMyUdpeDU4uLM/DyQAsNaAJloLQ4sAAAA"/>
    <w:docVar w:name="Registered" w:val="-1"/>
    <w:docVar w:name="Version" w:val="0"/>
  </w:docVars>
  <w:rsids>
    <w:rsidRoot w:val="00C53ACC"/>
    <w:rsid w:val="00001844"/>
    <w:rsid w:val="000064E6"/>
    <w:rsid w:val="000131C2"/>
    <w:rsid w:val="00021C84"/>
    <w:rsid w:val="000244A6"/>
    <w:rsid w:val="00030C96"/>
    <w:rsid w:val="00031340"/>
    <w:rsid w:val="00034DD2"/>
    <w:rsid w:val="00040D61"/>
    <w:rsid w:val="000416E8"/>
    <w:rsid w:val="00041B3D"/>
    <w:rsid w:val="00041DA7"/>
    <w:rsid w:val="000425D4"/>
    <w:rsid w:val="00043B8F"/>
    <w:rsid w:val="000442A6"/>
    <w:rsid w:val="00046093"/>
    <w:rsid w:val="00053137"/>
    <w:rsid w:val="0005596F"/>
    <w:rsid w:val="000613C6"/>
    <w:rsid w:val="00061E2F"/>
    <w:rsid w:val="00063E52"/>
    <w:rsid w:val="000673AD"/>
    <w:rsid w:val="0006763A"/>
    <w:rsid w:val="00067D17"/>
    <w:rsid w:val="00072FDF"/>
    <w:rsid w:val="00073348"/>
    <w:rsid w:val="00074387"/>
    <w:rsid w:val="00074AFF"/>
    <w:rsid w:val="00077FF5"/>
    <w:rsid w:val="000801E7"/>
    <w:rsid w:val="000802DD"/>
    <w:rsid w:val="0008296F"/>
    <w:rsid w:val="00083518"/>
    <w:rsid w:val="00084F5D"/>
    <w:rsid w:val="000866D7"/>
    <w:rsid w:val="00086803"/>
    <w:rsid w:val="0009129B"/>
    <w:rsid w:val="00093AEE"/>
    <w:rsid w:val="00095C1C"/>
    <w:rsid w:val="000A1E8F"/>
    <w:rsid w:val="000A4447"/>
    <w:rsid w:val="000A58A4"/>
    <w:rsid w:val="000B5951"/>
    <w:rsid w:val="000C1913"/>
    <w:rsid w:val="000C593C"/>
    <w:rsid w:val="000D15E9"/>
    <w:rsid w:val="000D3AC6"/>
    <w:rsid w:val="000D3DCD"/>
    <w:rsid w:val="000D3EE1"/>
    <w:rsid w:val="000D42EB"/>
    <w:rsid w:val="000D7AA6"/>
    <w:rsid w:val="000F06B0"/>
    <w:rsid w:val="000F1EB8"/>
    <w:rsid w:val="000F39DD"/>
    <w:rsid w:val="00101D15"/>
    <w:rsid w:val="00107CFF"/>
    <w:rsid w:val="00112847"/>
    <w:rsid w:val="00113517"/>
    <w:rsid w:val="001144CE"/>
    <w:rsid w:val="001166A5"/>
    <w:rsid w:val="0012589A"/>
    <w:rsid w:val="00126BAA"/>
    <w:rsid w:val="001319C8"/>
    <w:rsid w:val="001326DA"/>
    <w:rsid w:val="00133171"/>
    <w:rsid w:val="0013384E"/>
    <w:rsid w:val="00137DE0"/>
    <w:rsid w:val="001416A7"/>
    <w:rsid w:val="00142116"/>
    <w:rsid w:val="00144ED0"/>
    <w:rsid w:val="00145F22"/>
    <w:rsid w:val="00146F00"/>
    <w:rsid w:val="00147DAA"/>
    <w:rsid w:val="001520C4"/>
    <w:rsid w:val="00152CC5"/>
    <w:rsid w:val="00152E50"/>
    <w:rsid w:val="00157551"/>
    <w:rsid w:val="00161AC1"/>
    <w:rsid w:val="00162AAE"/>
    <w:rsid w:val="001659FC"/>
    <w:rsid w:val="00167629"/>
    <w:rsid w:val="00172388"/>
    <w:rsid w:val="0017243E"/>
    <w:rsid w:val="00172DFA"/>
    <w:rsid w:val="00174869"/>
    <w:rsid w:val="00174DE8"/>
    <w:rsid w:val="00177084"/>
    <w:rsid w:val="001808BE"/>
    <w:rsid w:val="001815D9"/>
    <w:rsid w:val="00185256"/>
    <w:rsid w:val="00193FB7"/>
    <w:rsid w:val="00197D0B"/>
    <w:rsid w:val="001A5866"/>
    <w:rsid w:val="001A5CAB"/>
    <w:rsid w:val="001B53D9"/>
    <w:rsid w:val="001B7372"/>
    <w:rsid w:val="001C15F8"/>
    <w:rsid w:val="001C3B29"/>
    <w:rsid w:val="001C7A30"/>
    <w:rsid w:val="001C7B14"/>
    <w:rsid w:val="001D139A"/>
    <w:rsid w:val="001D215E"/>
    <w:rsid w:val="001D29E6"/>
    <w:rsid w:val="001D2F20"/>
    <w:rsid w:val="001D2FB4"/>
    <w:rsid w:val="001E0992"/>
    <w:rsid w:val="001E3123"/>
    <w:rsid w:val="001E58BE"/>
    <w:rsid w:val="001E7299"/>
    <w:rsid w:val="001E75DD"/>
    <w:rsid w:val="001F3539"/>
    <w:rsid w:val="001F69D3"/>
    <w:rsid w:val="0020074E"/>
    <w:rsid w:val="002071D1"/>
    <w:rsid w:val="002074BB"/>
    <w:rsid w:val="00211969"/>
    <w:rsid w:val="00211F4D"/>
    <w:rsid w:val="002171D6"/>
    <w:rsid w:val="002172C6"/>
    <w:rsid w:val="002175C2"/>
    <w:rsid w:val="00221A31"/>
    <w:rsid w:val="0022295C"/>
    <w:rsid w:val="00222E95"/>
    <w:rsid w:val="00224308"/>
    <w:rsid w:val="002257AA"/>
    <w:rsid w:val="00232029"/>
    <w:rsid w:val="00233B2F"/>
    <w:rsid w:val="0023799A"/>
    <w:rsid w:val="00242FBE"/>
    <w:rsid w:val="002439F8"/>
    <w:rsid w:val="00244DF9"/>
    <w:rsid w:val="00246C7F"/>
    <w:rsid w:val="00251790"/>
    <w:rsid w:val="00251FAF"/>
    <w:rsid w:val="002541E4"/>
    <w:rsid w:val="002578BA"/>
    <w:rsid w:val="002607FA"/>
    <w:rsid w:val="00261343"/>
    <w:rsid w:val="00264854"/>
    <w:rsid w:val="00276569"/>
    <w:rsid w:val="002826DD"/>
    <w:rsid w:val="002836E2"/>
    <w:rsid w:val="002839CF"/>
    <w:rsid w:val="00284354"/>
    <w:rsid w:val="002922FE"/>
    <w:rsid w:val="00292751"/>
    <w:rsid w:val="0029721A"/>
    <w:rsid w:val="002A13EE"/>
    <w:rsid w:val="002A1404"/>
    <w:rsid w:val="002A5586"/>
    <w:rsid w:val="002B0AE1"/>
    <w:rsid w:val="002B57B9"/>
    <w:rsid w:val="002B6CA3"/>
    <w:rsid w:val="002B71C7"/>
    <w:rsid w:val="002C2D1A"/>
    <w:rsid w:val="002C6743"/>
    <w:rsid w:val="002C6C1F"/>
    <w:rsid w:val="002D013D"/>
    <w:rsid w:val="002D17EC"/>
    <w:rsid w:val="002D4551"/>
    <w:rsid w:val="002D50B1"/>
    <w:rsid w:val="002D7050"/>
    <w:rsid w:val="002E1F29"/>
    <w:rsid w:val="002E3A4D"/>
    <w:rsid w:val="002E7B0B"/>
    <w:rsid w:val="002F0392"/>
    <w:rsid w:val="002F18E6"/>
    <w:rsid w:val="002F20FB"/>
    <w:rsid w:val="00303190"/>
    <w:rsid w:val="00303EA3"/>
    <w:rsid w:val="003102F5"/>
    <w:rsid w:val="003103AE"/>
    <w:rsid w:val="0031220F"/>
    <w:rsid w:val="00320D40"/>
    <w:rsid w:val="0032286E"/>
    <w:rsid w:val="00323D49"/>
    <w:rsid w:val="00324A74"/>
    <w:rsid w:val="0032701D"/>
    <w:rsid w:val="003271A1"/>
    <w:rsid w:val="0032720A"/>
    <w:rsid w:val="00327566"/>
    <w:rsid w:val="003310A3"/>
    <w:rsid w:val="00332D51"/>
    <w:rsid w:val="00334E98"/>
    <w:rsid w:val="00336BE6"/>
    <w:rsid w:val="0034005B"/>
    <w:rsid w:val="003412BF"/>
    <w:rsid w:val="00351922"/>
    <w:rsid w:val="003521B2"/>
    <w:rsid w:val="00356E3C"/>
    <w:rsid w:val="00357CB1"/>
    <w:rsid w:val="00360D3F"/>
    <w:rsid w:val="00360E03"/>
    <w:rsid w:val="003627CD"/>
    <w:rsid w:val="00366F40"/>
    <w:rsid w:val="00367129"/>
    <w:rsid w:val="003715F5"/>
    <w:rsid w:val="00372F1A"/>
    <w:rsid w:val="003820DE"/>
    <w:rsid w:val="00385947"/>
    <w:rsid w:val="003901D5"/>
    <w:rsid w:val="003964AC"/>
    <w:rsid w:val="003A52F7"/>
    <w:rsid w:val="003A5872"/>
    <w:rsid w:val="003A6134"/>
    <w:rsid w:val="003B2FF3"/>
    <w:rsid w:val="003B3D77"/>
    <w:rsid w:val="003B3FFA"/>
    <w:rsid w:val="003B5FF8"/>
    <w:rsid w:val="003B78D9"/>
    <w:rsid w:val="003C1974"/>
    <w:rsid w:val="003C5400"/>
    <w:rsid w:val="003C570D"/>
    <w:rsid w:val="003C5EFD"/>
    <w:rsid w:val="003D212C"/>
    <w:rsid w:val="003D6DE8"/>
    <w:rsid w:val="003D7032"/>
    <w:rsid w:val="003E355A"/>
    <w:rsid w:val="003E3C52"/>
    <w:rsid w:val="003E4A44"/>
    <w:rsid w:val="003E72DE"/>
    <w:rsid w:val="00402B93"/>
    <w:rsid w:val="00406D92"/>
    <w:rsid w:val="00412E4E"/>
    <w:rsid w:val="004158DF"/>
    <w:rsid w:val="00415992"/>
    <w:rsid w:val="00415E11"/>
    <w:rsid w:val="00417F1C"/>
    <w:rsid w:val="00421A9E"/>
    <w:rsid w:val="0042330A"/>
    <w:rsid w:val="004272B1"/>
    <w:rsid w:val="0043538D"/>
    <w:rsid w:val="004364A1"/>
    <w:rsid w:val="004469C5"/>
    <w:rsid w:val="00450595"/>
    <w:rsid w:val="004640E0"/>
    <w:rsid w:val="00466491"/>
    <w:rsid w:val="00473FEC"/>
    <w:rsid w:val="00482C2C"/>
    <w:rsid w:val="00493AB5"/>
    <w:rsid w:val="00495170"/>
    <w:rsid w:val="00496C6E"/>
    <w:rsid w:val="004A5069"/>
    <w:rsid w:val="004B29CB"/>
    <w:rsid w:val="004B2A5D"/>
    <w:rsid w:val="004B4AC3"/>
    <w:rsid w:val="004C04C9"/>
    <w:rsid w:val="004C33C5"/>
    <w:rsid w:val="004C408E"/>
    <w:rsid w:val="004C582F"/>
    <w:rsid w:val="004D108E"/>
    <w:rsid w:val="004D235B"/>
    <w:rsid w:val="004D28B2"/>
    <w:rsid w:val="004E02A0"/>
    <w:rsid w:val="004E03C2"/>
    <w:rsid w:val="004E2106"/>
    <w:rsid w:val="004E2759"/>
    <w:rsid w:val="004E2C93"/>
    <w:rsid w:val="004E675C"/>
    <w:rsid w:val="004F27A8"/>
    <w:rsid w:val="004F4965"/>
    <w:rsid w:val="005022DB"/>
    <w:rsid w:val="00503934"/>
    <w:rsid w:val="005062DB"/>
    <w:rsid w:val="00510625"/>
    <w:rsid w:val="005115CE"/>
    <w:rsid w:val="0051722D"/>
    <w:rsid w:val="00521F11"/>
    <w:rsid w:val="005234D1"/>
    <w:rsid w:val="005429D3"/>
    <w:rsid w:val="00546729"/>
    <w:rsid w:val="00546A82"/>
    <w:rsid w:val="00546E2D"/>
    <w:rsid w:val="00547410"/>
    <w:rsid w:val="00557B66"/>
    <w:rsid w:val="00565CE0"/>
    <w:rsid w:val="005674CA"/>
    <w:rsid w:val="0056769B"/>
    <w:rsid w:val="00567735"/>
    <w:rsid w:val="0057238E"/>
    <w:rsid w:val="00575454"/>
    <w:rsid w:val="0058029D"/>
    <w:rsid w:val="00581ED5"/>
    <w:rsid w:val="005847F2"/>
    <w:rsid w:val="00587689"/>
    <w:rsid w:val="005932C4"/>
    <w:rsid w:val="00593400"/>
    <w:rsid w:val="0059608B"/>
    <w:rsid w:val="00596373"/>
    <w:rsid w:val="005966FD"/>
    <w:rsid w:val="005A099B"/>
    <w:rsid w:val="005A1886"/>
    <w:rsid w:val="005A37D4"/>
    <w:rsid w:val="005A5397"/>
    <w:rsid w:val="005A54C8"/>
    <w:rsid w:val="005B54CC"/>
    <w:rsid w:val="005C298D"/>
    <w:rsid w:val="005C3041"/>
    <w:rsid w:val="005C6B1C"/>
    <w:rsid w:val="005D5343"/>
    <w:rsid w:val="005D60A5"/>
    <w:rsid w:val="005D6847"/>
    <w:rsid w:val="005E6A94"/>
    <w:rsid w:val="005F0956"/>
    <w:rsid w:val="005F3604"/>
    <w:rsid w:val="005F7B5B"/>
    <w:rsid w:val="006009ED"/>
    <w:rsid w:val="006035D4"/>
    <w:rsid w:val="00607091"/>
    <w:rsid w:val="006077D3"/>
    <w:rsid w:val="00610A79"/>
    <w:rsid w:val="00610B88"/>
    <w:rsid w:val="00613EA2"/>
    <w:rsid w:val="00616BCA"/>
    <w:rsid w:val="00626181"/>
    <w:rsid w:val="00626DB8"/>
    <w:rsid w:val="0063119E"/>
    <w:rsid w:val="006336E0"/>
    <w:rsid w:val="006348AB"/>
    <w:rsid w:val="0063641C"/>
    <w:rsid w:val="00636483"/>
    <w:rsid w:val="00642E0C"/>
    <w:rsid w:val="00643F8B"/>
    <w:rsid w:val="00646A69"/>
    <w:rsid w:val="00650F74"/>
    <w:rsid w:val="00651587"/>
    <w:rsid w:val="00651AE1"/>
    <w:rsid w:val="00656DE4"/>
    <w:rsid w:val="00661426"/>
    <w:rsid w:val="00670C59"/>
    <w:rsid w:val="00672B80"/>
    <w:rsid w:val="00674393"/>
    <w:rsid w:val="006759BA"/>
    <w:rsid w:val="006835B8"/>
    <w:rsid w:val="0068497B"/>
    <w:rsid w:val="00685AA6"/>
    <w:rsid w:val="00691AA9"/>
    <w:rsid w:val="006949C2"/>
    <w:rsid w:val="006A0CD6"/>
    <w:rsid w:val="006A3174"/>
    <w:rsid w:val="006A5078"/>
    <w:rsid w:val="006A7175"/>
    <w:rsid w:val="006B24F4"/>
    <w:rsid w:val="006B3373"/>
    <w:rsid w:val="006B34C1"/>
    <w:rsid w:val="006C4582"/>
    <w:rsid w:val="006C5957"/>
    <w:rsid w:val="006C6238"/>
    <w:rsid w:val="006D431F"/>
    <w:rsid w:val="006F3899"/>
    <w:rsid w:val="006F7BC3"/>
    <w:rsid w:val="00701E45"/>
    <w:rsid w:val="00713B52"/>
    <w:rsid w:val="007166EF"/>
    <w:rsid w:val="007220C0"/>
    <w:rsid w:val="007229D1"/>
    <w:rsid w:val="00722DCE"/>
    <w:rsid w:val="0072727D"/>
    <w:rsid w:val="0073003D"/>
    <w:rsid w:val="00731E34"/>
    <w:rsid w:val="00733F58"/>
    <w:rsid w:val="00743F24"/>
    <w:rsid w:val="00744840"/>
    <w:rsid w:val="0074667F"/>
    <w:rsid w:val="00746CCF"/>
    <w:rsid w:val="00753D72"/>
    <w:rsid w:val="00756387"/>
    <w:rsid w:val="00760459"/>
    <w:rsid w:val="0076051B"/>
    <w:rsid w:val="0076464F"/>
    <w:rsid w:val="007710EC"/>
    <w:rsid w:val="00772128"/>
    <w:rsid w:val="007723E4"/>
    <w:rsid w:val="0077461E"/>
    <w:rsid w:val="007772C9"/>
    <w:rsid w:val="00777769"/>
    <w:rsid w:val="00782755"/>
    <w:rsid w:val="00784358"/>
    <w:rsid w:val="00787201"/>
    <w:rsid w:val="00787F28"/>
    <w:rsid w:val="00791312"/>
    <w:rsid w:val="00792E53"/>
    <w:rsid w:val="0079363C"/>
    <w:rsid w:val="00794C87"/>
    <w:rsid w:val="00795C18"/>
    <w:rsid w:val="007A0234"/>
    <w:rsid w:val="007A49EF"/>
    <w:rsid w:val="007A7609"/>
    <w:rsid w:val="007B33CE"/>
    <w:rsid w:val="007C128A"/>
    <w:rsid w:val="007C272B"/>
    <w:rsid w:val="007C67BC"/>
    <w:rsid w:val="007C7BA3"/>
    <w:rsid w:val="007C7C46"/>
    <w:rsid w:val="007D2EBD"/>
    <w:rsid w:val="007D317B"/>
    <w:rsid w:val="007D3315"/>
    <w:rsid w:val="007D34E2"/>
    <w:rsid w:val="007D4FEA"/>
    <w:rsid w:val="007D57AC"/>
    <w:rsid w:val="007D7286"/>
    <w:rsid w:val="007D7403"/>
    <w:rsid w:val="007E1D86"/>
    <w:rsid w:val="007E213F"/>
    <w:rsid w:val="007E74E3"/>
    <w:rsid w:val="007E76E2"/>
    <w:rsid w:val="007F0479"/>
    <w:rsid w:val="007F42B2"/>
    <w:rsid w:val="007F4DC2"/>
    <w:rsid w:val="007F5C25"/>
    <w:rsid w:val="007F7E38"/>
    <w:rsid w:val="008024BE"/>
    <w:rsid w:val="008032EB"/>
    <w:rsid w:val="0080583A"/>
    <w:rsid w:val="00814509"/>
    <w:rsid w:val="00815E6E"/>
    <w:rsid w:val="00822ACD"/>
    <w:rsid w:val="008238CA"/>
    <w:rsid w:val="00825CF6"/>
    <w:rsid w:val="008328C2"/>
    <w:rsid w:val="00834B21"/>
    <w:rsid w:val="0084157A"/>
    <w:rsid w:val="0084172C"/>
    <w:rsid w:val="0084213D"/>
    <w:rsid w:val="00842FB6"/>
    <w:rsid w:val="008436EA"/>
    <w:rsid w:val="008446A7"/>
    <w:rsid w:val="0084485A"/>
    <w:rsid w:val="00847026"/>
    <w:rsid w:val="0085380E"/>
    <w:rsid w:val="008603BB"/>
    <w:rsid w:val="00867B16"/>
    <w:rsid w:val="008700CA"/>
    <w:rsid w:val="00870AF3"/>
    <w:rsid w:val="00873477"/>
    <w:rsid w:val="00873B06"/>
    <w:rsid w:val="0087542F"/>
    <w:rsid w:val="008807F8"/>
    <w:rsid w:val="008834FA"/>
    <w:rsid w:val="008849BD"/>
    <w:rsid w:val="008854C8"/>
    <w:rsid w:val="0088556E"/>
    <w:rsid w:val="00887CC8"/>
    <w:rsid w:val="008903B0"/>
    <w:rsid w:val="00892AF0"/>
    <w:rsid w:val="00893649"/>
    <w:rsid w:val="008A3D6B"/>
    <w:rsid w:val="008A66FA"/>
    <w:rsid w:val="008B25D2"/>
    <w:rsid w:val="008B2D42"/>
    <w:rsid w:val="008B50D5"/>
    <w:rsid w:val="008B5FBB"/>
    <w:rsid w:val="008B7A41"/>
    <w:rsid w:val="008C1BCA"/>
    <w:rsid w:val="008C1F23"/>
    <w:rsid w:val="008C24B6"/>
    <w:rsid w:val="008C3B1D"/>
    <w:rsid w:val="008C3DC6"/>
    <w:rsid w:val="008C533C"/>
    <w:rsid w:val="008C5649"/>
    <w:rsid w:val="008D0B80"/>
    <w:rsid w:val="008D28AD"/>
    <w:rsid w:val="008D2D2B"/>
    <w:rsid w:val="008D4234"/>
    <w:rsid w:val="008E42B7"/>
    <w:rsid w:val="008E48A8"/>
    <w:rsid w:val="008F37D3"/>
    <w:rsid w:val="008F44B6"/>
    <w:rsid w:val="008F7943"/>
    <w:rsid w:val="009004CC"/>
    <w:rsid w:val="009066CE"/>
    <w:rsid w:val="00913844"/>
    <w:rsid w:val="00915EB7"/>
    <w:rsid w:val="00917BE8"/>
    <w:rsid w:val="0092273B"/>
    <w:rsid w:val="00923816"/>
    <w:rsid w:val="00926C31"/>
    <w:rsid w:val="00930293"/>
    <w:rsid w:val="009339FC"/>
    <w:rsid w:val="009373DF"/>
    <w:rsid w:val="00942D16"/>
    <w:rsid w:val="009473C1"/>
    <w:rsid w:val="00947B5C"/>
    <w:rsid w:val="009520FE"/>
    <w:rsid w:val="0095673E"/>
    <w:rsid w:val="00962267"/>
    <w:rsid w:val="009623D3"/>
    <w:rsid w:val="00964E3D"/>
    <w:rsid w:val="009667E4"/>
    <w:rsid w:val="009724BE"/>
    <w:rsid w:val="00972A76"/>
    <w:rsid w:val="009755DA"/>
    <w:rsid w:val="00977C24"/>
    <w:rsid w:val="0098250B"/>
    <w:rsid w:val="00982D91"/>
    <w:rsid w:val="00984261"/>
    <w:rsid w:val="00984DE0"/>
    <w:rsid w:val="009914FC"/>
    <w:rsid w:val="0099472E"/>
    <w:rsid w:val="00995160"/>
    <w:rsid w:val="009964FD"/>
    <w:rsid w:val="0099714A"/>
    <w:rsid w:val="009A170F"/>
    <w:rsid w:val="009A5E19"/>
    <w:rsid w:val="009A675C"/>
    <w:rsid w:val="009B1418"/>
    <w:rsid w:val="009B25D4"/>
    <w:rsid w:val="009B3E34"/>
    <w:rsid w:val="009B4F61"/>
    <w:rsid w:val="009B6FAB"/>
    <w:rsid w:val="009C5AD6"/>
    <w:rsid w:val="009D147D"/>
    <w:rsid w:val="009F189A"/>
    <w:rsid w:val="009F3DD5"/>
    <w:rsid w:val="009F4A01"/>
    <w:rsid w:val="009F4BA4"/>
    <w:rsid w:val="009F7AD2"/>
    <w:rsid w:val="009F7C3C"/>
    <w:rsid w:val="00A0248D"/>
    <w:rsid w:val="00A049FF"/>
    <w:rsid w:val="00A12F66"/>
    <w:rsid w:val="00A2041C"/>
    <w:rsid w:val="00A20993"/>
    <w:rsid w:val="00A24F3D"/>
    <w:rsid w:val="00A2555C"/>
    <w:rsid w:val="00A302E3"/>
    <w:rsid w:val="00A358E5"/>
    <w:rsid w:val="00A359C3"/>
    <w:rsid w:val="00A364B2"/>
    <w:rsid w:val="00A412A9"/>
    <w:rsid w:val="00A42EDB"/>
    <w:rsid w:val="00A45EBE"/>
    <w:rsid w:val="00A50657"/>
    <w:rsid w:val="00A52339"/>
    <w:rsid w:val="00A527AC"/>
    <w:rsid w:val="00A54618"/>
    <w:rsid w:val="00A56E9E"/>
    <w:rsid w:val="00A57054"/>
    <w:rsid w:val="00A616D3"/>
    <w:rsid w:val="00A61D57"/>
    <w:rsid w:val="00A62132"/>
    <w:rsid w:val="00A700BD"/>
    <w:rsid w:val="00A70596"/>
    <w:rsid w:val="00A70A18"/>
    <w:rsid w:val="00A70B50"/>
    <w:rsid w:val="00A76A64"/>
    <w:rsid w:val="00A811D2"/>
    <w:rsid w:val="00A8254A"/>
    <w:rsid w:val="00A8317C"/>
    <w:rsid w:val="00A831A5"/>
    <w:rsid w:val="00A85A85"/>
    <w:rsid w:val="00A86889"/>
    <w:rsid w:val="00A87CD8"/>
    <w:rsid w:val="00A92DA2"/>
    <w:rsid w:val="00A9344B"/>
    <w:rsid w:val="00A94CCE"/>
    <w:rsid w:val="00AB25A7"/>
    <w:rsid w:val="00AB26E1"/>
    <w:rsid w:val="00AB7199"/>
    <w:rsid w:val="00AB768F"/>
    <w:rsid w:val="00AC2464"/>
    <w:rsid w:val="00AC3E02"/>
    <w:rsid w:val="00AD02D8"/>
    <w:rsid w:val="00AD052A"/>
    <w:rsid w:val="00AD18C2"/>
    <w:rsid w:val="00AD3566"/>
    <w:rsid w:val="00AD4E7C"/>
    <w:rsid w:val="00AD6C39"/>
    <w:rsid w:val="00AE192C"/>
    <w:rsid w:val="00AE6ECD"/>
    <w:rsid w:val="00AF0A54"/>
    <w:rsid w:val="00AF1343"/>
    <w:rsid w:val="00AF48FD"/>
    <w:rsid w:val="00AF50CD"/>
    <w:rsid w:val="00AF7490"/>
    <w:rsid w:val="00B00610"/>
    <w:rsid w:val="00B019D5"/>
    <w:rsid w:val="00B02B79"/>
    <w:rsid w:val="00B0393A"/>
    <w:rsid w:val="00B10871"/>
    <w:rsid w:val="00B11BEA"/>
    <w:rsid w:val="00B1348C"/>
    <w:rsid w:val="00B16EFB"/>
    <w:rsid w:val="00B2696C"/>
    <w:rsid w:val="00B31967"/>
    <w:rsid w:val="00B34869"/>
    <w:rsid w:val="00B41BA2"/>
    <w:rsid w:val="00B461D0"/>
    <w:rsid w:val="00B5169A"/>
    <w:rsid w:val="00B51EDF"/>
    <w:rsid w:val="00B52856"/>
    <w:rsid w:val="00B54AFE"/>
    <w:rsid w:val="00B550FC"/>
    <w:rsid w:val="00B560C5"/>
    <w:rsid w:val="00B57E6F"/>
    <w:rsid w:val="00B607C6"/>
    <w:rsid w:val="00B61CB3"/>
    <w:rsid w:val="00B620F0"/>
    <w:rsid w:val="00B63D0E"/>
    <w:rsid w:val="00B663D1"/>
    <w:rsid w:val="00B806BF"/>
    <w:rsid w:val="00B81426"/>
    <w:rsid w:val="00B85AEA"/>
    <w:rsid w:val="00B904CD"/>
    <w:rsid w:val="00B92A25"/>
    <w:rsid w:val="00B93404"/>
    <w:rsid w:val="00B9535F"/>
    <w:rsid w:val="00BA257C"/>
    <w:rsid w:val="00BA6F17"/>
    <w:rsid w:val="00BB215C"/>
    <w:rsid w:val="00BB443C"/>
    <w:rsid w:val="00BB4C55"/>
    <w:rsid w:val="00BB4DD3"/>
    <w:rsid w:val="00BC006C"/>
    <w:rsid w:val="00BC0DE9"/>
    <w:rsid w:val="00BC1A33"/>
    <w:rsid w:val="00BC3662"/>
    <w:rsid w:val="00BC6BC1"/>
    <w:rsid w:val="00BD1081"/>
    <w:rsid w:val="00BD4F80"/>
    <w:rsid w:val="00BD58D6"/>
    <w:rsid w:val="00BE14C0"/>
    <w:rsid w:val="00BE69D3"/>
    <w:rsid w:val="00BE70B9"/>
    <w:rsid w:val="00BF06E5"/>
    <w:rsid w:val="00BF0E70"/>
    <w:rsid w:val="00BF68E3"/>
    <w:rsid w:val="00C01983"/>
    <w:rsid w:val="00C05071"/>
    <w:rsid w:val="00C05D4F"/>
    <w:rsid w:val="00C1337A"/>
    <w:rsid w:val="00C15226"/>
    <w:rsid w:val="00C15230"/>
    <w:rsid w:val="00C154E1"/>
    <w:rsid w:val="00C16953"/>
    <w:rsid w:val="00C22B4B"/>
    <w:rsid w:val="00C2397E"/>
    <w:rsid w:val="00C24D08"/>
    <w:rsid w:val="00C30698"/>
    <w:rsid w:val="00C30A5C"/>
    <w:rsid w:val="00C31259"/>
    <w:rsid w:val="00C320C1"/>
    <w:rsid w:val="00C32ADA"/>
    <w:rsid w:val="00C33A8F"/>
    <w:rsid w:val="00C33D5F"/>
    <w:rsid w:val="00C342B0"/>
    <w:rsid w:val="00C353F6"/>
    <w:rsid w:val="00C37776"/>
    <w:rsid w:val="00C405A1"/>
    <w:rsid w:val="00C40C6B"/>
    <w:rsid w:val="00C423E4"/>
    <w:rsid w:val="00C44DA4"/>
    <w:rsid w:val="00C450C0"/>
    <w:rsid w:val="00C45C2C"/>
    <w:rsid w:val="00C53ACC"/>
    <w:rsid w:val="00C56AB5"/>
    <w:rsid w:val="00C60C48"/>
    <w:rsid w:val="00C620A3"/>
    <w:rsid w:val="00C75789"/>
    <w:rsid w:val="00C7713C"/>
    <w:rsid w:val="00C807FB"/>
    <w:rsid w:val="00C815C0"/>
    <w:rsid w:val="00C82BE1"/>
    <w:rsid w:val="00C90543"/>
    <w:rsid w:val="00C91148"/>
    <w:rsid w:val="00C9145E"/>
    <w:rsid w:val="00C9230B"/>
    <w:rsid w:val="00C93260"/>
    <w:rsid w:val="00C94844"/>
    <w:rsid w:val="00C96FB0"/>
    <w:rsid w:val="00CA084A"/>
    <w:rsid w:val="00CA1ED1"/>
    <w:rsid w:val="00CA5DA0"/>
    <w:rsid w:val="00CA6350"/>
    <w:rsid w:val="00CB087F"/>
    <w:rsid w:val="00CB0CD8"/>
    <w:rsid w:val="00CB1F55"/>
    <w:rsid w:val="00CB327B"/>
    <w:rsid w:val="00CC6C83"/>
    <w:rsid w:val="00CC7459"/>
    <w:rsid w:val="00CD37CD"/>
    <w:rsid w:val="00CD494C"/>
    <w:rsid w:val="00CD6CB9"/>
    <w:rsid w:val="00CD758F"/>
    <w:rsid w:val="00CE55B1"/>
    <w:rsid w:val="00CE5E4E"/>
    <w:rsid w:val="00CF17C3"/>
    <w:rsid w:val="00D02A15"/>
    <w:rsid w:val="00D02BD3"/>
    <w:rsid w:val="00D03050"/>
    <w:rsid w:val="00D0498C"/>
    <w:rsid w:val="00D116BA"/>
    <w:rsid w:val="00D160C3"/>
    <w:rsid w:val="00D16BB2"/>
    <w:rsid w:val="00D20048"/>
    <w:rsid w:val="00D21BC6"/>
    <w:rsid w:val="00D224E3"/>
    <w:rsid w:val="00D259FB"/>
    <w:rsid w:val="00D272D3"/>
    <w:rsid w:val="00D33CE7"/>
    <w:rsid w:val="00D37718"/>
    <w:rsid w:val="00D37B85"/>
    <w:rsid w:val="00D40189"/>
    <w:rsid w:val="00D4345C"/>
    <w:rsid w:val="00D43772"/>
    <w:rsid w:val="00D452CE"/>
    <w:rsid w:val="00D455C7"/>
    <w:rsid w:val="00D45674"/>
    <w:rsid w:val="00D46961"/>
    <w:rsid w:val="00D50CB0"/>
    <w:rsid w:val="00D51F7C"/>
    <w:rsid w:val="00D52919"/>
    <w:rsid w:val="00D5355D"/>
    <w:rsid w:val="00D53E04"/>
    <w:rsid w:val="00D56578"/>
    <w:rsid w:val="00D569C1"/>
    <w:rsid w:val="00D56FF5"/>
    <w:rsid w:val="00D570BC"/>
    <w:rsid w:val="00D61681"/>
    <w:rsid w:val="00D720AA"/>
    <w:rsid w:val="00D74541"/>
    <w:rsid w:val="00D748F6"/>
    <w:rsid w:val="00D77AB8"/>
    <w:rsid w:val="00D8358A"/>
    <w:rsid w:val="00D85D87"/>
    <w:rsid w:val="00D863AC"/>
    <w:rsid w:val="00D9705B"/>
    <w:rsid w:val="00DA0A96"/>
    <w:rsid w:val="00DA2FDF"/>
    <w:rsid w:val="00DA38D5"/>
    <w:rsid w:val="00DA529D"/>
    <w:rsid w:val="00DA7A8E"/>
    <w:rsid w:val="00DB7FF7"/>
    <w:rsid w:val="00DC0989"/>
    <w:rsid w:val="00DC1818"/>
    <w:rsid w:val="00DC1E0C"/>
    <w:rsid w:val="00DC2D03"/>
    <w:rsid w:val="00DC3835"/>
    <w:rsid w:val="00DC74BE"/>
    <w:rsid w:val="00DD14B5"/>
    <w:rsid w:val="00DD1D4F"/>
    <w:rsid w:val="00DD3124"/>
    <w:rsid w:val="00DD49C5"/>
    <w:rsid w:val="00DD5336"/>
    <w:rsid w:val="00DE012E"/>
    <w:rsid w:val="00DE4D68"/>
    <w:rsid w:val="00DE5133"/>
    <w:rsid w:val="00DE6422"/>
    <w:rsid w:val="00DE79AC"/>
    <w:rsid w:val="00DF1F16"/>
    <w:rsid w:val="00DF4CFC"/>
    <w:rsid w:val="00DF6B18"/>
    <w:rsid w:val="00DF7D34"/>
    <w:rsid w:val="00E044A8"/>
    <w:rsid w:val="00E04EA0"/>
    <w:rsid w:val="00E1335F"/>
    <w:rsid w:val="00E1376F"/>
    <w:rsid w:val="00E14F00"/>
    <w:rsid w:val="00E20F55"/>
    <w:rsid w:val="00E21F1C"/>
    <w:rsid w:val="00E23968"/>
    <w:rsid w:val="00E26E06"/>
    <w:rsid w:val="00E270B0"/>
    <w:rsid w:val="00E272CB"/>
    <w:rsid w:val="00E351F9"/>
    <w:rsid w:val="00E4120D"/>
    <w:rsid w:val="00E41667"/>
    <w:rsid w:val="00E42643"/>
    <w:rsid w:val="00E428F2"/>
    <w:rsid w:val="00E43E06"/>
    <w:rsid w:val="00E463DC"/>
    <w:rsid w:val="00E478E2"/>
    <w:rsid w:val="00E52D3D"/>
    <w:rsid w:val="00E532EE"/>
    <w:rsid w:val="00E53ED4"/>
    <w:rsid w:val="00E549E1"/>
    <w:rsid w:val="00E56A13"/>
    <w:rsid w:val="00E64E3C"/>
    <w:rsid w:val="00E65EF4"/>
    <w:rsid w:val="00E67E54"/>
    <w:rsid w:val="00E70E83"/>
    <w:rsid w:val="00E74980"/>
    <w:rsid w:val="00E75995"/>
    <w:rsid w:val="00E814CF"/>
    <w:rsid w:val="00E82DD0"/>
    <w:rsid w:val="00E912EE"/>
    <w:rsid w:val="00E94C73"/>
    <w:rsid w:val="00EA195F"/>
    <w:rsid w:val="00EA3636"/>
    <w:rsid w:val="00EA36DF"/>
    <w:rsid w:val="00EA553E"/>
    <w:rsid w:val="00EA6E0E"/>
    <w:rsid w:val="00EA76AE"/>
    <w:rsid w:val="00EB07AB"/>
    <w:rsid w:val="00EB20FC"/>
    <w:rsid w:val="00EB4CB3"/>
    <w:rsid w:val="00EB68FF"/>
    <w:rsid w:val="00EC2CC7"/>
    <w:rsid w:val="00EC655A"/>
    <w:rsid w:val="00ED04A2"/>
    <w:rsid w:val="00ED440A"/>
    <w:rsid w:val="00EE0264"/>
    <w:rsid w:val="00EE02C4"/>
    <w:rsid w:val="00EE18B9"/>
    <w:rsid w:val="00EE1A32"/>
    <w:rsid w:val="00EE33C0"/>
    <w:rsid w:val="00EE6140"/>
    <w:rsid w:val="00EF04B5"/>
    <w:rsid w:val="00EF5E3C"/>
    <w:rsid w:val="00F00876"/>
    <w:rsid w:val="00F01A6D"/>
    <w:rsid w:val="00F029B6"/>
    <w:rsid w:val="00F10D71"/>
    <w:rsid w:val="00F150BE"/>
    <w:rsid w:val="00F16E0F"/>
    <w:rsid w:val="00F210F9"/>
    <w:rsid w:val="00F21E8C"/>
    <w:rsid w:val="00F22F77"/>
    <w:rsid w:val="00F2328B"/>
    <w:rsid w:val="00F264A0"/>
    <w:rsid w:val="00F331F2"/>
    <w:rsid w:val="00F33228"/>
    <w:rsid w:val="00F339BB"/>
    <w:rsid w:val="00F33BB0"/>
    <w:rsid w:val="00F352A0"/>
    <w:rsid w:val="00F37A43"/>
    <w:rsid w:val="00F408D6"/>
    <w:rsid w:val="00F42CEA"/>
    <w:rsid w:val="00F44ABC"/>
    <w:rsid w:val="00F451F6"/>
    <w:rsid w:val="00F5191E"/>
    <w:rsid w:val="00F51A57"/>
    <w:rsid w:val="00F52235"/>
    <w:rsid w:val="00F52A8E"/>
    <w:rsid w:val="00F63D30"/>
    <w:rsid w:val="00F63D62"/>
    <w:rsid w:val="00F706D8"/>
    <w:rsid w:val="00F72C28"/>
    <w:rsid w:val="00F72DA8"/>
    <w:rsid w:val="00F72E52"/>
    <w:rsid w:val="00F77001"/>
    <w:rsid w:val="00F7756A"/>
    <w:rsid w:val="00F843C6"/>
    <w:rsid w:val="00F846E3"/>
    <w:rsid w:val="00F84D44"/>
    <w:rsid w:val="00F85A91"/>
    <w:rsid w:val="00F87E05"/>
    <w:rsid w:val="00F96B2D"/>
    <w:rsid w:val="00FA2782"/>
    <w:rsid w:val="00FA3116"/>
    <w:rsid w:val="00FA36CA"/>
    <w:rsid w:val="00FA5574"/>
    <w:rsid w:val="00FA68D6"/>
    <w:rsid w:val="00FB22BA"/>
    <w:rsid w:val="00FB4225"/>
    <w:rsid w:val="00FB4BB4"/>
    <w:rsid w:val="00FB7397"/>
    <w:rsid w:val="00FC0A45"/>
    <w:rsid w:val="00FD2140"/>
    <w:rsid w:val="00FD258E"/>
    <w:rsid w:val="00FD319C"/>
    <w:rsid w:val="00FD4510"/>
    <w:rsid w:val="00FE3A9B"/>
    <w:rsid w:val="00FF094E"/>
    <w:rsid w:val="00FF1CA9"/>
    <w:rsid w:val="00FF4D1C"/>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030B9"/>
  <w15:docId w15:val="{05D7328B-1D0D-4520-82A7-C38325F9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3D72"/>
    <w:pPr>
      <w:tabs>
        <w:tab w:val="left" w:pos="567"/>
      </w:tabs>
      <w:spacing w:line="260" w:lineRule="exact"/>
    </w:pPr>
    <w:rPr>
      <w:sz w:val="22"/>
      <w:lang w:eastAsia="en-US"/>
    </w:rPr>
  </w:style>
  <w:style w:type="paragraph" w:styleId="Nadpis1">
    <w:name w:val="heading 1"/>
    <w:basedOn w:val="Normlny"/>
    <w:next w:val="Normlny"/>
    <w:qFormat/>
    <w:rsid w:val="00D56FF5"/>
    <w:pPr>
      <w:ind w:left="357" w:hanging="357"/>
      <w:outlineLvl w:val="0"/>
    </w:pPr>
    <w:rPr>
      <w:b/>
      <w:caps/>
    </w:rPr>
  </w:style>
  <w:style w:type="paragraph" w:styleId="Nadpis2">
    <w:name w:val="heading 2"/>
    <w:basedOn w:val="Normlny"/>
    <w:next w:val="Normlny"/>
    <w:qFormat/>
    <w:rsid w:val="00D56FF5"/>
    <w:pPr>
      <w:keepNext/>
      <w:spacing w:line="240" w:lineRule="auto"/>
      <w:outlineLvl w:val="1"/>
    </w:pPr>
    <w:rPr>
      <w:b/>
    </w:rPr>
  </w:style>
  <w:style w:type="paragraph" w:styleId="Nadpis3">
    <w:name w:val="heading 3"/>
    <w:basedOn w:val="Normlny"/>
    <w:next w:val="Normlny"/>
    <w:qFormat/>
    <w:rsid w:val="00753D72"/>
    <w:pPr>
      <w:keepNext/>
      <w:keepLines/>
      <w:spacing w:before="120" w:after="80"/>
      <w:outlineLvl w:val="2"/>
    </w:pPr>
    <w:rPr>
      <w:b/>
      <w:kern w:val="28"/>
      <w:sz w:val="24"/>
    </w:rPr>
  </w:style>
  <w:style w:type="paragraph" w:styleId="Nadpis4">
    <w:name w:val="heading 4"/>
    <w:basedOn w:val="Normlny"/>
    <w:next w:val="Normlny"/>
    <w:qFormat/>
    <w:rsid w:val="00753D72"/>
    <w:pPr>
      <w:keepNext/>
      <w:jc w:val="both"/>
      <w:outlineLvl w:val="3"/>
    </w:pPr>
    <w:rPr>
      <w:b/>
      <w:noProof/>
    </w:rPr>
  </w:style>
  <w:style w:type="paragraph" w:styleId="Nadpis5">
    <w:name w:val="heading 5"/>
    <w:basedOn w:val="Normlny"/>
    <w:next w:val="Normlny"/>
    <w:qFormat/>
    <w:rsid w:val="00753D72"/>
    <w:pPr>
      <w:keepNext/>
      <w:jc w:val="both"/>
      <w:outlineLvl w:val="4"/>
    </w:pPr>
    <w:rPr>
      <w:noProof/>
    </w:rPr>
  </w:style>
  <w:style w:type="paragraph" w:styleId="Nadpis6">
    <w:name w:val="heading 6"/>
    <w:basedOn w:val="Normlny"/>
    <w:next w:val="Normlny"/>
    <w:qFormat/>
    <w:rsid w:val="00753D72"/>
    <w:pPr>
      <w:keepNext/>
      <w:tabs>
        <w:tab w:val="left" w:pos="-720"/>
        <w:tab w:val="left" w:pos="4536"/>
      </w:tabs>
      <w:suppressAutoHyphens/>
      <w:outlineLvl w:val="5"/>
    </w:pPr>
    <w:rPr>
      <w:i/>
    </w:rPr>
  </w:style>
  <w:style w:type="paragraph" w:styleId="Nadpis7">
    <w:name w:val="heading 7"/>
    <w:basedOn w:val="Normlny"/>
    <w:next w:val="Normlny"/>
    <w:qFormat/>
    <w:rsid w:val="00753D72"/>
    <w:pPr>
      <w:keepNext/>
      <w:tabs>
        <w:tab w:val="left" w:pos="-720"/>
        <w:tab w:val="left" w:pos="4536"/>
      </w:tabs>
      <w:suppressAutoHyphens/>
      <w:jc w:val="both"/>
      <w:outlineLvl w:val="6"/>
    </w:pPr>
    <w:rPr>
      <w:i/>
    </w:rPr>
  </w:style>
  <w:style w:type="paragraph" w:styleId="Nadpis8">
    <w:name w:val="heading 8"/>
    <w:basedOn w:val="Normlny"/>
    <w:next w:val="Normlny"/>
    <w:qFormat/>
    <w:rsid w:val="00753D72"/>
    <w:pPr>
      <w:keepNext/>
      <w:ind w:left="567" w:hanging="567"/>
      <w:jc w:val="both"/>
      <w:outlineLvl w:val="7"/>
    </w:pPr>
    <w:rPr>
      <w:b/>
      <w:i/>
    </w:rPr>
  </w:style>
  <w:style w:type="paragraph" w:styleId="Nadpis9">
    <w:name w:val="heading 9"/>
    <w:basedOn w:val="Normlny"/>
    <w:next w:val="Normlny"/>
    <w:qFormat/>
    <w:rsid w:val="00753D72"/>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753D72"/>
    <w:pPr>
      <w:tabs>
        <w:tab w:val="center" w:pos="4153"/>
        <w:tab w:val="right" w:pos="8306"/>
      </w:tabs>
      <w:spacing w:line="240" w:lineRule="auto"/>
    </w:pPr>
    <w:rPr>
      <w:rFonts w:ascii="Helvetica" w:hAnsi="Helvetica"/>
      <w:sz w:val="20"/>
    </w:rPr>
  </w:style>
  <w:style w:type="paragraph" w:styleId="Pta">
    <w:name w:val="footer"/>
    <w:basedOn w:val="Normlny"/>
    <w:rsid w:val="00753D72"/>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753D72"/>
  </w:style>
  <w:style w:type="paragraph" w:styleId="Zarkazkladnhotextu">
    <w:name w:val="Body Text Indent"/>
    <w:basedOn w:val="Normlny"/>
    <w:rsid w:val="00753D72"/>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753D72"/>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753D7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753D72"/>
    <w:pPr>
      <w:tabs>
        <w:tab w:val="clear" w:pos="567"/>
      </w:tabs>
      <w:spacing w:line="240" w:lineRule="auto"/>
    </w:pPr>
    <w:rPr>
      <w:i/>
      <w:color w:val="008000"/>
    </w:rPr>
  </w:style>
  <w:style w:type="paragraph" w:styleId="Zkladntext2">
    <w:name w:val="Body Text 2"/>
    <w:basedOn w:val="Normlny"/>
    <w:rsid w:val="00753D7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753D72"/>
    <w:rPr>
      <w:sz w:val="16"/>
      <w:szCs w:val="16"/>
    </w:rPr>
  </w:style>
  <w:style w:type="paragraph" w:styleId="Textkomentra">
    <w:name w:val="annotation text"/>
    <w:basedOn w:val="Normlny"/>
    <w:link w:val="TextkomentraChar"/>
    <w:rsid w:val="00753D72"/>
    <w:rPr>
      <w:sz w:val="20"/>
    </w:rPr>
  </w:style>
  <w:style w:type="paragraph" w:customStyle="1" w:styleId="EMEAEnBodyText">
    <w:name w:val="EMEA En Body Text"/>
    <w:basedOn w:val="Normlny"/>
    <w:rsid w:val="00753D72"/>
    <w:pPr>
      <w:tabs>
        <w:tab w:val="clear" w:pos="567"/>
      </w:tabs>
      <w:spacing w:before="120" w:after="120" w:line="240" w:lineRule="auto"/>
      <w:jc w:val="both"/>
    </w:pPr>
  </w:style>
  <w:style w:type="paragraph" w:styleId="truktradokumentu">
    <w:name w:val="Document Map"/>
    <w:basedOn w:val="Normlny"/>
    <w:semiHidden/>
    <w:rsid w:val="00753D72"/>
    <w:pPr>
      <w:shd w:val="clear" w:color="auto" w:fill="000080"/>
    </w:pPr>
    <w:rPr>
      <w:rFonts w:ascii="Tahoma" w:hAnsi="Tahoma" w:cs="Tahoma"/>
    </w:rPr>
  </w:style>
  <w:style w:type="character" w:styleId="Hypertextovprepojenie">
    <w:name w:val="Hyperlink"/>
    <w:rsid w:val="00753D72"/>
    <w:rPr>
      <w:color w:val="0000FF"/>
      <w:u w:val="single"/>
    </w:rPr>
  </w:style>
  <w:style w:type="paragraph" w:customStyle="1" w:styleId="AHeader1">
    <w:name w:val="AHeader 1"/>
    <w:basedOn w:val="Normlny"/>
    <w:rsid w:val="00753D72"/>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753D72"/>
    <w:pPr>
      <w:numPr>
        <w:ilvl w:val="1"/>
      </w:numPr>
      <w:tabs>
        <w:tab w:val="clear" w:pos="709"/>
        <w:tab w:val="num" w:pos="360"/>
      </w:tabs>
    </w:pPr>
    <w:rPr>
      <w:sz w:val="22"/>
    </w:rPr>
  </w:style>
  <w:style w:type="paragraph" w:customStyle="1" w:styleId="AHeader3">
    <w:name w:val="AHeader 3"/>
    <w:basedOn w:val="AHeader2"/>
    <w:rsid w:val="00753D72"/>
    <w:pPr>
      <w:numPr>
        <w:ilvl w:val="2"/>
      </w:numPr>
      <w:tabs>
        <w:tab w:val="clear" w:pos="1276"/>
        <w:tab w:val="num" w:pos="360"/>
      </w:tabs>
    </w:pPr>
  </w:style>
  <w:style w:type="paragraph" w:customStyle="1" w:styleId="AHeader2abc">
    <w:name w:val="AHeader 2 abc"/>
    <w:basedOn w:val="AHeader3"/>
    <w:rsid w:val="00753D72"/>
    <w:pPr>
      <w:numPr>
        <w:ilvl w:val="3"/>
      </w:numPr>
      <w:tabs>
        <w:tab w:val="clear" w:pos="1276"/>
        <w:tab w:val="num" w:pos="360"/>
      </w:tabs>
      <w:jc w:val="both"/>
    </w:pPr>
    <w:rPr>
      <w:b w:val="0"/>
      <w:bCs w:val="0"/>
    </w:rPr>
  </w:style>
  <w:style w:type="paragraph" w:customStyle="1" w:styleId="AHeader3abc">
    <w:name w:val="AHeader 3 abc"/>
    <w:basedOn w:val="AHeader2abc"/>
    <w:rsid w:val="00753D72"/>
    <w:pPr>
      <w:numPr>
        <w:ilvl w:val="4"/>
      </w:numPr>
      <w:tabs>
        <w:tab w:val="clear" w:pos="1701"/>
        <w:tab w:val="num" w:pos="360"/>
      </w:tabs>
    </w:pPr>
  </w:style>
  <w:style w:type="paragraph" w:styleId="Zarkazkladnhotextu3">
    <w:name w:val="Body Text Indent 3"/>
    <w:basedOn w:val="Normlny"/>
    <w:rsid w:val="00753D72"/>
    <w:pPr>
      <w:tabs>
        <w:tab w:val="left" w:pos="1134"/>
      </w:tabs>
      <w:autoSpaceDE w:val="0"/>
      <w:autoSpaceDN w:val="0"/>
      <w:adjustRightInd w:val="0"/>
      <w:ind w:left="633"/>
      <w:jc w:val="both"/>
    </w:pPr>
    <w:rPr>
      <w:szCs w:val="21"/>
    </w:rPr>
  </w:style>
  <w:style w:type="character" w:styleId="PouitHypertextovPrepojenie">
    <w:name w:val="FollowedHyperlink"/>
    <w:rsid w:val="00753D72"/>
    <w:rPr>
      <w:color w:val="800080"/>
      <w:u w:val="single"/>
    </w:rPr>
  </w:style>
  <w:style w:type="paragraph" w:customStyle="1" w:styleId="Default">
    <w:name w:val="Default"/>
    <w:rsid w:val="00753D72"/>
    <w:pPr>
      <w:autoSpaceDE w:val="0"/>
      <w:autoSpaceDN w:val="0"/>
      <w:adjustRightInd w:val="0"/>
    </w:pPr>
    <w:rPr>
      <w:lang w:eastAsia="en-US"/>
    </w:rPr>
  </w:style>
  <w:style w:type="paragraph" w:styleId="Textbubliny">
    <w:name w:val="Balloon Text"/>
    <w:basedOn w:val="Normlny"/>
    <w:semiHidden/>
    <w:rsid w:val="00753D72"/>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Revzia">
    <w:name w:val="Revision"/>
    <w:hidden/>
    <w:uiPriority w:val="99"/>
    <w:semiHidden/>
    <w:rsid w:val="004272B1"/>
    <w:rPr>
      <w:sz w:val="22"/>
      <w:lang w:eastAsia="en-US"/>
    </w:rPr>
  </w:style>
  <w:style w:type="paragraph" w:styleId="Odsekzoznamu">
    <w:name w:val="List Paragraph"/>
    <w:basedOn w:val="Normlny"/>
    <w:uiPriority w:val="34"/>
    <w:qFormat/>
    <w:rsid w:val="00093AEE"/>
    <w:pPr>
      <w:ind w:left="720"/>
      <w:contextualSpacing/>
    </w:pPr>
  </w:style>
  <w:style w:type="table" w:styleId="Mriekatabuky">
    <w:name w:val="Table Grid"/>
    <w:basedOn w:val="Normlnatabuka"/>
    <w:rsid w:val="00181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GTextLeft">
    <w:name w:val="MGG Text Left"/>
    <w:basedOn w:val="Zkladntext"/>
    <w:rsid w:val="00977C24"/>
    <w:rPr>
      <w:i w:val="0"/>
      <w:color w:val="auto"/>
      <w:szCs w:val="24"/>
    </w:rPr>
  </w:style>
  <w:style w:type="character" w:customStyle="1" w:styleId="TextkomentraChar">
    <w:name w:val="Text komentára Char"/>
    <w:link w:val="Textkomentra"/>
    <w:rsid w:val="008D28AD"/>
    <w:rPr>
      <w:lang w:val="sk-SK" w:eastAsia="en-US"/>
    </w:rPr>
  </w:style>
  <w:style w:type="paragraph" w:styleId="PredformtovanHTML">
    <w:name w:val="HTML Preformatted"/>
    <w:basedOn w:val="Normlny"/>
    <w:link w:val="PredformtovanHTMLChar"/>
    <w:uiPriority w:val="99"/>
    <w:unhideWhenUsed/>
    <w:rsid w:val="00E4120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en-GB"/>
    </w:rPr>
  </w:style>
  <w:style w:type="character" w:customStyle="1" w:styleId="PredformtovanHTMLChar">
    <w:name w:val="Predformátované HTML Char"/>
    <w:basedOn w:val="Predvolenpsmoodseku"/>
    <w:link w:val="PredformtovanHTML"/>
    <w:uiPriority w:val="99"/>
    <w:rsid w:val="00E4120D"/>
    <w:rPr>
      <w:rFonts w:ascii="Courier New" w:hAnsi="Courier New" w:cs="Courier New"/>
      <w:lang w:val="sk-S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2934">
      <w:bodyDiv w:val="1"/>
      <w:marLeft w:val="0"/>
      <w:marRight w:val="0"/>
      <w:marTop w:val="0"/>
      <w:marBottom w:val="0"/>
      <w:divBdr>
        <w:top w:val="none" w:sz="0" w:space="0" w:color="auto"/>
        <w:left w:val="none" w:sz="0" w:space="0" w:color="auto"/>
        <w:bottom w:val="none" w:sz="0" w:space="0" w:color="auto"/>
        <w:right w:val="none" w:sz="0" w:space="0" w:color="auto"/>
      </w:divBdr>
    </w:div>
    <w:div w:id="475726063">
      <w:bodyDiv w:val="1"/>
      <w:marLeft w:val="0"/>
      <w:marRight w:val="0"/>
      <w:marTop w:val="0"/>
      <w:marBottom w:val="0"/>
      <w:divBdr>
        <w:top w:val="none" w:sz="0" w:space="0" w:color="auto"/>
        <w:left w:val="none" w:sz="0" w:space="0" w:color="auto"/>
        <w:bottom w:val="none" w:sz="0" w:space="0" w:color="auto"/>
        <w:right w:val="none" w:sz="0" w:space="0" w:color="auto"/>
      </w:divBdr>
    </w:div>
    <w:div w:id="773328481">
      <w:bodyDiv w:val="1"/>
      <w:marLeft w:val="0"/>
      <w:marRight w:val="0"/>
      <w:marTop w:val="0"/>
      <w:marBottom w:val="0"/>
      <w:divBdr>
        <w:top w:val="none" w:sz="0" w:space="0" w:color="auto"/>
        <w:left w:val="none" w:sz="0" w:space="0" w:color="auto"/>
        <w:bottom w:val="none" w:sz="0" w:space="0" w:color="auto"/>
        <w:right w:val="none" w:sz="0" w:space="0" w:color="auto"/>
      </w:divBdr>
      <w:divsChild>
        <w:div w:id="22025042">
          <w:marLeft w:val="0"/>
          <w:marRight w:val="0"/>
          <w:marTop w:val="0"/>
          <w:marBottom w:val="0"/>
          <w:divBdr>
            <w:top w:val="none" w:sz="0" w:space="0" w:color="auto"/>
            <w:left w:val="none" w:sz="0" w:space="0" w:color="auto"/>
            <w:bottom w:val="none" w:sz="0" w:space="0" w:color="auto"/>
            <w:right w:val="none" w:sz="0" w:space="0" w:color="auto"/>
          </w:divBdr>
        </w:div>
        <w:div w:id="80178580">
          <w:marLeft w:val="0"/>
          <w:marRight w:val="0"/>
          <w:marTop w:val="0"/>
          <w:marBottom w:val="0"/>
          <w:divBdr>
            <w:top w:val="none" w:sz="0" w:space="0" w:color="auto"/>
            <w:left w:val="none" w:sz="0" w:space="0" w:color="auto"/>
            <w:bottom w:val="none" w:sz="0" w:space="0" w:color="auto"/>
            <w:right w:val="none" w:sz="0" w:space="0" w:color="auto"/>
          </w:divBdr>
        </w:div>
        <w:div w:id="281348463">
          <w:marLeft w:val="0"/>
          <w:marRight w:val="0"/>
          <w:marTop w:val="0"/>
          <w:marBottom w:val="0"/>
          <w:divBdr>
            <w:top w:val="none" w:sz="0" w:space="0" w:color="auto"/>
            <w:left w:val="none" w:sz="0" w:space="0" w:color="auto"/>
            <w:bottom w:val="none" w:sz="0" w:space="0" w:color="auto"/>
            <w:right w:val="none" w:sz="0" w:space="0" w:color="auto"/>
          </w:divBdr>
        </w:div>
        <w:div w:id="1000499758">
          <w:marLeft w:val="0"/>
          <w:marRight w:val="0"/>
          <w:marTop w:val="0"/>
          <w:marBottom w:val="0"/>
          <w:divBdr>
            <w:top w:val="none" w:sz="0" w:space="0" w:color="auto"/>
            <w:left w:val="none" w:sz="0" w:space="0" w:color="auto"/>
            <w:bottom w:val="none" w:sz="0" w:space="0" w:color="auto"/>
            <w:right w:val="none" w:sz="0" w:space="0" w:color="auto"/>
          </w:divBdr>
        </w:div>
        <w:div w:id="2127114168">
          <w:marLeft w:val="0"/>
          <w:marRight w:val="0"/>
          <w:marTop w:val="0"/>
          <w:marBottom w:val="0"/>
          <w:divBdr>
            <w:top w:val="none" w:sz="0" w:space="0" w:color="auto"/>
            <w:left w:val="none" w:sz="0" w:space="0" w:color="auto"/>
            <w:bottom w:val="none" w:sz="0" w:space="0" w:color="auto"/>
            <w:right w:val="none" w:sz="0" w:space="0" w:color="auto"/>
          </w:divBdr>
        </w:div>
      </w:divsChild>
    </w:div>
    <w:div w:id="1650859015">
      <w:bodyDiv w:val="1"/>
      <w:marLeft w:val="0"/>
      <w:marRight w:val="0"/>
      <w:marTop w:val="0"/>
      <w:marBottom w:val="0"/>
      <w:divBdr>
        <w:top w:val="none" w:sz="0" w:space="0" w:color="auto"/>
        <w:left w:val="none" w:sz="0" w:space="0" w:color="auto"/>
        <w:bottom w:val="none" w:sz="0" w:space="0" w:color="auto"/>
        <w:right w:val="none" w:sz="0" w:space="0" w:color="auto"/>
      </w:divBdr>
    </w:div>
    <w:div w:id="1743914132">
      <w:bodyDiv w:val="1"/>
      <w:marLeft w:val="0"/>
      <w:marRight w:val="0"/>
      <w:marTop w:val="0"/>
      <w:marBottom w:val="0"/>
      <w:divBdr>
        <w:top w:val="none" w:sz="0" w:space="0" w:color="auto"/>
        <w:left w:val="none" w:sz="0" w:space="0" w:color="auto"/>
        <w:bottom w:val="none" w:sz="0" w:space="0" w:color="auto"/>
        <w:right w:val="none" w:sz="0" w:space="0" w:color="auto"/>
      </w:divBdr>
    </w:div>
    <w:div w:id="21409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0441C0BDD2C4794B5427F3AF27ABA" ma:contentTypeVersion="0" ma:contentTypeDescription="Create a new document." ma:contentTypeScope="" ma:versionID="d63cd3ad74a83850b0e24f1a7d72ea4e">
  <xsd:schema xmlns:xsd="http://www.w3.org/2001/XMLSchema" xmlns:xs="http://www.w3.org/2001/XMLSchema" xmlns:p="http://schemas.microsoft.com/office/2006/metadata/properties" xmlns:ns2="79fb0f74-f3a3-46af-b26f-c89feccff915" targetNamespace="http://schemas.microsoft.com/office/2006/metadata/properties" ma:root="true" ma:fieldsID="02c2e9eb0904ee70e80c847a510fd6ef" ns2:_="">
    <xsd:import namespace="79fb0f74-f3a3-46af-b26f-c89feccff9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b0f74-f3a3-46af-b26f-c89feccff9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9fb0f74-f3a3-46af-b26f-c89feccff915">AETFIRM-86-2230</_dlc_DocId>
    <_dlc_DocIdUrl xmlns="79fb0f74-f3a3-46af-b26f-c89feccff915">
      <Url>https://myaet.com/firm/_layouts/DocIdRedir.aspx?ID=AETFIRM-86-2230</Url>
      <Description>AETFIRM-86-2230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C9DA9-99F3-4918-B35D-88A362DC1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b0f74-f3a3-46af-b26f-c89feccff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54416-3D28-4ED0-8EB8-B71C0206BF92}">
  <ds:schemaRefs>
    <ds:schemaRef ds:uri="http://schemas.microsoft.com/office/2006/metadata/properties"/>
    <ds:schemaRef ds:uri="http://schemas.microsoft.com/office/infopath/2007/PartnerControls"/>
    <ds:schemaRef ds:uri="79fb0f74-f3a3-46af-b26f-c89feccff915"/>
  </ds:schemaRefs>
</ds:datastoreItem>
</file>

<file path=customXml/itemProps3.xml><?xml version="1.0" encoding="utf-8"?>
<ds:datastoreItem xmlns:ds="http://schemas.openxmlformats.org/officeDocument/2006/customXml" ds:itemID="{59C12A17-84EC-46AE-97EC-4C92038CD350}">
  <ds:schemaRefs>
    <ds:schemaRef ds:uri="http://schemas.microsoft.com/sharepoint/v3/contenttype/forms"/>
  </ds:schemaRefs>
</ds:datastoreItem>
</file>

<file path=customXml/itemProps4.xml><?xml version="1.0" encoding="utf-8"?>
<ds:datastoreItem xmlns:ds="http://schemas.openxmlformats.org/officeDocument/2006/customXml" ds:itemID="{F9A61092-85EC-4094-8530-F3E83575F44F}">
  <ds:schemaRefs>
    <ds:schemaRef ds:uri="http://schemas.microsoft.com/sharepoint/events"/>
  </ds:schemaRefs>
</ds:datastoreItem>
</file>

<file path=customXml/itemProps5.xml><?xml version="1.0" encoding="utf-8"?>
<ds:datastoreItem xmlns:ds="http://schemas.openxmlformats.org/officeDocument/2006/customXml" ds:itemID="{AEC40DF2-A154-4804-A2EC-8D7B1664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4369</Words>
  <Characters>28195</Characters>
  <Application>Microsoft Office Word</Application>
  <DocSecurity>0</DocSecurity>
  <Lines>234</Lines>
  <Paragraphs>64</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
      <vt:lpstr/>
      <vt:lpstr>Hreferralspccleanen</vt:lpstr>
    </vt:vector>
  </TitlesOfParts>
  <Company>EMEA</Company>
  <LinksUpToDate>false</LinksUpToDate>
  <CharactersWithSpaces>32500</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General-EMA/53548/2010</dc:subject>
  <dc:creator>European Medicines Agency</dc:creator>
  <cp:keywords/>
  <dc:description/>
  <cp:lastModifiedBy>Kristína Ráczová</cp:lastModifiedBy>
  <cp:revision>7</cp:revision>
  <cp:lastPrinted>2019-05-12T16:31:00Z</cp:lastPrinted>
  <dcterms:created xsi:type="dcterms:W3CDTF">2020-04-02T10:03:00Z</dcterms:created>
  <dcterms:modified xsi:type="dcterms:W3CDTF">2020-04-08T05:05:00Z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General-EMA/53548/2010</vt:lpwstr>
  </property>
  <property fmtid="{D5CDD505-2E9C-101B-9397-08002B2CF9AE}" pid="30" name="DM_Version">
    <vt:lpwstr>CURRENT,1.3</vt:lpwstr>
  </property>
  <property fmtid="{D5CDD505-2E9C-101B-9397-08002B2CF9AE}" pid="31" name="DM_Name">
    <vt:lpwstr>Hreferralspccleanen</vt:lpwstr>
  </property>
  <property fmtid="{D5CDD505-2E9C-101B-9397-08002B2CF9AE}" pid="32" name="DM_Creation_Date">
    <vt:lpwstr>05/02/2016 17:09:34</vt:lpwstr>
  </property>
  <property fmtid="{D5CDD505-2E9C-101B-9397-08002B2CF9AE}" pid="33" name="DM_Modify_Date">
    <vt:lpwstr>05/02/2016 17:10:00</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EMA/64179/2016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templates/08 H Referral template v 4.0 February16</vt:lpwstr>
  </property>
  <property fmtid="{D5CDD505-2E9C-101B-9397-08002B2CF9AE}" pid="40" name="DM_emea_doc_ref_id">
    <vt:lpwstr>EMA/64179/2016</vt:lpwstr>
  </property>
  <property fmtid="{D5CDD505-2E9C-101B-9397-08002B2CF9AE}" pid="41" name="DM_Modifer_Name">
    <vt:lpwstr>Akhtar Tia</vt:lpwstr>
  </property>
  <property fmtid="{D5CDD505-2E9C-101B-9397-08002B2CF9AE}" pid="42" name="DM_Modified_Date">
    <vt:lpwstr>05/02/2016 17:10:00</vt:lpwstr>
  </property>
  <property fmtid="{D5CDD505-2E9C-101B-9397-08002B2CF9AE}" pid="43" name="ContentTypeId">
    <vt:lpwstr>0x0101006950441C0BDD2C4794B5427F3AF27ABA</vt:lpwstr>
  </property>
  <property fmtid="{D5CDD505-2E9C-101B-9397-08002B2CF9AE}" pid="44" name="_dlc_DocIdItemGuid">
    <vt:lpwstr>8657bebf-78b6-4e8c-98e3-dba17c776cb7</vt:lpwstr>
  </property>
</Properties>
</file>