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46C20" w14:textId="77777777" w:rsidR="00C26DB3" w:rsidRPr="00443ABC" w:rsidRDefault="00C26DB3">
      <w:pPr>
        <w:pStyle w:val="Nzov"/>
        <w:ind w:left="0" w:firstLine="0"/>
        <w:rPr>
          <w:sz w:val="22"/>
        </w:rPr>
      </w:pPr>
      <w:r w:rsidRPr="00443ABC">
        <w:rPr>
          <w:sz w:val="22"/>
        </w:rPr>
        <w:t>SÚHRN CHARAKTERISTICKÝCH VLASTNOSTÍ LIEKU</w:t>
      </w:r>
    </w:p>
    <w:p w14:paraId="5274FD30" w14:textId="77777777" w:rsidR="00C26DB3" w:rsidRPr="00443ABC" w:rsidRDefault="00C26DB3">
      <w:pPr>
        <w:ind w:left="850" w:hanging="850"/>
        <w:jc w:val="both"/>
        <w:rPr>
          <w:color w:val="000000"/>
          <w:spacing w:val="-3"/>
          <w:sz w:val="22"/>
        </w:rPr>
      </w:pPr>
    </w:p>
    <w:p w14:paraId="6D21F40D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4A9C79DA" w14:textId="77777777" w:rsidR="00C26DB3" w:rsidRPr="00443ABC" w:rsidRDefault="00C26DB3">
      <w:pPr>
        <w:ind w:left="567" w:hanging="567"/>
        <w:rPr>
          <w:b/>
          <w:caps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1.</w:t>
      </w:r>
      <w:r w:rsidRPr="00443ABC">
        <w:rPr>
          <w:b/>
          <w:color w:val="000000"/>
          <w:spacing w:val="-3"/>
          <w:sz w:val="22"/>
        </w:rPr>
        <w:tab/>
      </w:r>
      <w:r w:rsidRPr="00443ABC">
        <w:rPr>
          <w:b/>
          <w:caps/>
          <w:color w:val="000000"/>
          <w:spacing w:val="-3"/>
          <w:sz w:val="22"/>
        </w:rPr>
        <w:t>NÁZOV LIEKU</w:t>
      </w:r>
    </w:p>
    <w:p w14:paraId="6FFB8605" w14:textId="77777777" w:rsidR="00C26DB3" w:rsidRPr="00443ABC" w:rsidRDefault="00C26DB3">
      <w:pPr>
        <w:ind w:left="567" w:hanging="567"/>
        <w:rPr>
          <w:color w:val="000000"/>
          <w:spacing w:val="-3"/>
          <w:sz w:val="22"/>
        </w:rPr>
      </w:pPr>
    </w:p>
    <w:p w14:paraId="1F516840" w14:textId="77777777" w:rsidR="00C26DB3" w:rsidRPr="00443ABC" w:rsidRDefault="00C26DB3">
      <w:pPr>
        <w:tabs>
          <w:tab w:val="left" w:pos="567"/>
        </w:tabs>
        <w:rPr>
          <w:sz w:val="22"/>
          <w:szCs w:val="22"/>
        </w:rPr>
      </w:pPr>
      <w:r w:rsidRPr="00443ABC">
        <w:rPr>
          <w:color w:val="000000"/>
          <w:spacing w:val="-3"/>
          <w:sz w:val="22"/>
        </w:rPr>
        <w:t xml:space="preserve">Navirel </w:t>
      </w:r>
    </w:p>
    <w:p w14:paraId="11193173" w14:textId="77777777" w:rsidR="00C26DB3" w:rsidRPr="00443ABC" w:rsidRDefault="00C26DB3">
      <w:pPr>
        <w:ind w:firstLine="1"/>
        <w:jc w:val="both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10 mg/ml infúzny koncentrát</w:t>
      </w:r>
    </w:p>
    <w:p w14:paraId="0E8AC639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7CE32A15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31D25C5E" w14:textId="77777777" w:rsidR="00C26DB3" w:rsidRPr="00443ABC" w:rsidRDefault="00C26DB3">
      <w:pPr>
        <w:ind w:left="567" w:hanging="567"/>
        <w:rPr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2.</w:t>
      </w:r>
      <w:r w:rsidRPr="00443ABC">
        <w:rPr>
          <w:b/>
          <w:color w:val="000000"/>
          <w:spacing w:val="-3"/>
          <w:sz w:val="22"/>
        </w:rPr>
        <w:tab/>
      </w:r>
      <w:r w:rsidRPr="00443ABC">
        <w:rPr>
          <w:b/>
          <w:caps/>
          <w:color w:val="000000"/>
          <w:spacing w:val="-3"/>
          <w:sz w:val="22"/>
        </w:rPr>
        <w:t>KVALITATÍVNE A KVANTITATÍVNE ZLOŽENIE</w:t>
      </w:r>
    </w:p>
    <w:p w14:paraId="6E2E5BD6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03860AD8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Vinorelbín (vo forme tartarátu) 10 mg/ml</w:t>
      </w:r>
    </w:p>
    <w:p w14:paraId="485ABBBD" w14:textId="4D335739" w:rsidR="00C26DB3" w:rsidRPr="00443ABC" w:rsidRDefault="00C26DB3">
      <w:pPr>
        <w:jc w:val="both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Každá 1 ml </w:t>
      </w:r>
      <w:r w:rsidRPr="00443ABC">
        <w:rPr>
          <w:sz w:val="22"/>
          <w:szCs w:val="22"/>
        </w:rPr>
        <w:t xml:space="preserve">injekčná </w:t>
      </w:r>
      <w:r w:rsidRPr="00443ABC">
        <w:rPr>
          <w:color w:val="000000"/>
          <w:spacing w:val="-3"/>
          <w:sz w:val="22"/>
        </w:rPr>
        <w:t xml:space="preserve">liekovka obsahuje </w:t>
      </w:r>
      <w:r w:rsidRPr="00443ABC">
        <w:rPr>
          <w:color w:val="000000"/>
          <w:spacing w:val="-3"/>
          <w:sz w:val="22"/>
          <w:szCs w:val="22"/>
        </w:rPr>
        <w:t>celkove</w:t>
      </w:r>
      <w:r w:rsidRPr="00443ABC">
        <w:rPr>
          <w:color w:val="000000"/>
          <w:spacing w:val="-3"/>
          <w:sz w:val="22"/>
        </w:rPr>
        <w:t xml:space="preserve"> 10 mg vinorelbínu (vo forme tartarátu</w:t>
      </w:r>
      <w:r w:rsidRPr="00443ABC">
        <w:rPr>
          <w:color w:val="000000"/>
          <w:spacing w:val="-3"/>
          <w:sz w:val="22"/>
          <w:szCs w:val="22"/>
        </w:rPr>
        <w:t>)</w:t>
      </w:r>
      <w:r w:rsidR="00BB5332">
        <w:rPr>
          <w:color w:val="000000"/>
          <w:spacing w:val="-3"/>
          <w:sz w:val="22"/>
          <w:szCs w:val="22"/>
        </w:rPr>
        <w:t>.</w:t>
      </w:r>
    </w:p>
    <w:p w14:paraId="5BE10F22" w14:textId="45A60F5B" w:rsidR="00C26DB3" w:rsidRPr="00443ABC" w:rsidRDefault="00C26DB3">
      <w:pPr>
        <w:jc w:val="both"/>
        <w:rPr>
          <w:b/>
          <w:i/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Každá 5 ml </w:t>
      </w:r>
      <w:r w:rsidRPr="00443ABC">
        <w:rPr>
          <w:sz w:val="22"/>
          <w:szCs w:val="22"/>
        </w:rPr>
        <w:t xml:space="preserve">injekčná </w:t>
      </w:r>
      <w:r w:rsidRPr="00443ABC">
        <w:rPr>
          <w:color w:val="000000"/>
          <w:spacing w:val="-3"/>
          <w:sz w:val="22"/>
        </w:rPr>
        <w:t xml:space="preserve">liekovka obsahuje </w:t>
      </w:r>
      <w:r w:rsidRPr="00443ABC">
        <w:rPr>
          <w:color w:val="000000"/>
          <w:spacing w:val="-3"/>
          <w:sz w:val="22"/>
          <w:szCs w:val="22"/>
        </w:rPr>
        <w:t>celkove</w:t>
      </w:r>
      <w:r w:rsidRPr="00443ABC">
        <w:rPr>
          <w:color w:val="000000"/>
          <w:spacing w:val="-3"/>
          <w:sz w:val="22"/>
        </w:rPr>
        <w:t xml:space="preserve"> 50 mg vinorelbínu (vo forme tartarátu</w:t>
      </w:r>
      <w:r w:rsidRPr="00443ABC">
        <w:rPr>
          <w:color w:val="000000"/>
          <w:spacing w:val="-3"/>
          <w:sz w:val="22"/>
          <w:szCs w:val="22"/>
        </w:rPr>
        <w:t>)</w:t>
      </w:r>
      <w:r w:rsidR="00BB5332">
        <w:rPr>
          <w:color w:val="000000"/>
          <w:spacing w:val="-3"/>
          <w:sz w:val="22"/>
          <w:szCs w:val="22"/>
        </w:rPr>
        <w:t>.</w:t>
      </w:r>
    </w:p>
    <w:p w14:paraId="640E8482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Úplný zoznam pomocných látok, pozri časť</w:t>
      </w:r>
      <w:r w:rsidRPr="00443ABC">
        <w:rPr>
          <w:color w:val="000000"/>
          <w:spacing w:val="-3"/>
          <w:sz w:val="22"/>
          <w:szCs w:val="22"/>
        </w:rPr>
        <w:t> </w:t>
      </w:r>
      <w:r w:rsidRPr="00443ABC">
        <w:rPr>
          <w:color w:val="000000"/>
          <w:spacing w:val="-3"/>
          <w:sz w:val="22"/>
        </w:rPr>
        <w:t>6.1.</w:t>
      </w:r>
    </w:p>
    <w:p w14:paraId="1BFE646B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095F13A6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1F817251" w14:textId="77777777" w:rsidR="00C26DB3" w:rsidRPr="00443ABC" w:rsidRDefault="00C26DB3">
      <w:pPr>
        <w:ind w:left="567" w:hanging="567"/>
        <w:rPr>
          <w:b/>
          <w:caps/>
          <w:color w:val="000000"/>
          <w:spacing w:val="-3"/>
          <w:sz w:val="22"/>
        </w:rPr>
      </w:pPr>
      <w:r w:rsidRPr="00443ABC">
        <w:rPr>
          <w:b/>
          <w:caps/>
          <w:color w:val="000000"/>
          <w:spacing w:val="-3"/>
          <w:sz w:val="22"/>
        </w:rPr>
        <w:t>3.</w:t>
      </w:r>
      <w:r w:rsidRPr="00443ABC">
        <w:rPr>
          <w:b/>
          <w:caps/>
          <w:color w:val="000000"/>
          <w:spacing w:val="-3"/>
          <w:sz w:val="22"/>
        </w:rPr>
        <w:tab/>
        <w:t>LIEKOVÁ FORMA</w:t>
      </w:r>
    </w:p>
    <w:p w14:paraId="440B4AF1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0046DE44" w14:textId="77777777" w:rsidR="00C26DB3" w:rsidRPr="00443ABC" w:rsidRDefault="00C26DB3">
      <w:pPr>
        <w:ind w:firstLine="1"/>
        <w:jc w:val="both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Infúzny koncentrát (sterilný koncentrát)</w:t>
      </w:r>
    </w:p>
    <w:p w14:paraId="39C97A98" w14:textId="77777777" w:rsidR="00C26DB3" w:rsidRPr="00443ABC" w:rsidRDefault="00C26DB3">
      <w:pPr>
        <w:ind w:firstLine="1"/>
        <w:jc w:val="both"/>
        <w:rPr>
          <w:color w:val="000000"/>
          <w:spacing w:val="-3"/>
          <w:sz w:val="22"/>
        </w:rPr>
      </w:pPr>
    </w:p>
    <w:p w14:paraId="0170F34A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Jasný</w:t>
      </w:r>
      <w:r w:rsidRPr="00443ABC">
        <w:rPr>
          <w:color w:val="000000"/>
          <w:spacing w:val="-3"/>
          <w:sz w:val="22"/>
        </w:rPr>
        <w:t>, bezfarebný až svetložltý roztok.</w:t>
      </w:r>
    </w:p>
    <w:p w14:paraId="6532061E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4B219B7E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Jednorazová dávka.</w:t>
      </w:r>
    </w:p>
    <w:p w14:paraId="635719F9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1F8C4033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628796BA" w14:textId="77777777" w:rsidR="00C26DB3" w:rsidRPr="00443ABC" w:rsidRDefault="00C26DB3">
      <w:pPr>
        <w:ind w:left="567" w:hanging="567"/>
        <w:rPr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4.</w:t>
      </w:r>
      <w:r w:rsidRPr="00443ABC">
        <w:rPr>
          <w:b/>
          <w:color w:val="000000"/>
          <w:spacing w:val="-3"/>
          <w:sz w:val="22"/>
        </w:rPr>
        <w:tab/>
        <w:t>KLINICKÉ ÚDAJE</w:t>
      </w:r>
    </w:p>
    <w:p w14:paraId="06AE523D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68959A84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  <w:szCs w:val="22"/>
        </w:rPr>
        <w:t>4.1</w:t>
      </w:r>
      <w:r w:rsidRPr="00443ABC">
        <w:rPr>
          <w:b/>
          <w:color w:val="000000"/>
          <w:spacing w:val="-3"/>
          <w:sz w:val="22"/>
          <w:szCs w:val="22"/>
        </w:rPr>
        <w:tab/>
      </w:r>
      <w:r w:rsidRPr="00443ABC">
        <w:rPr>
          <w:b/>
          <w:color w:val="000000"/>
          <w:spacing w:val="-3"/>
          <w:sz w:val="22"/>
        </w:rPr>
        <w:t>Terapeutické indikácie</w:t>
      </w:r>
    </w:p>
    <w:p w14:paraId="4E55A82C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4721813E" w14:textId="77777777" w:rsidR="00C26DB3" w:rsidRPr="00443ABC" w:rsidRDefault="00C26DB3">
      <w:pPr>
        <w:tabs>
          <w:tab w:val="left" w:pos="567"/>
        </w:tabs>
        <w:ind w:left="567" w:hanging="567"/>
        <w:rPr>
          <w:sz w:val="22"/>
          <w:szCs w:val="22"/>
        </w:rPr>
      </w:pPr>
      <w:r w:rsidRPr="00443ABC">
        <w:rPr>
          <w:sz w:val="22"/>
          <w:szCs w:val="22"/>
        </w:rPr>
        <w:t>•</w:t>
      </w:r>
      <w:r w:rsidRPr="00443ABC">
        <w:rPr>
          <w:sz w:val="22"/>
          <w:szCs w:val="22"/>
        </w:rPr>
        <w:tab/>
      </w:r>
      <w:r w:rsidRPr="00443ABC">
        <w:rPr>
          <w:spacing w:val="-3"/>
          <w:sz w:val="22"/>
          <w:szCs w:val="22"/>
        </w:rPr>
        <w:t>Ako</w:t>
      </w:r>
      <w:r w:rsidRPr="00443ABC">
        <w:rPr>
          <w:spacing w:val="-3"/>
          <w:sz w:val="22"/>
        </w:rPr>
        <w:t xml:space="preserve"> monoterapia u pacientov s metastázujúcim karcinómom prsníka (4. stupeň), </w:t>
      </w:r>
      <w:r w:rsidRPr="00443ABC">
        <w:rPr>
          <w:spacing w:val="-3"/>
          <w:sz w:val="22"/>
          <w:szCs w:val="22"/>
        </w:rPr>
        <w:t>u ktorých</w:t>
      </w:r>
      <w:r w:rsidRPr="00443ABC">
        <w:rPr>
          <w:spacing w:val="-3"/>
          <w:sz w:val="22"/>
        </w:rPr>
        <w:t xml:space="preserve"> chemoterapia </w:t>
      </w:r>
      <w:r w:rsidRPr="00443ABC">
        <w:rPr>
          <w:spacing w:val="-3"/>
          <w:sz w:val="22"/>
          <w:szCs w:val="22"/>
        </w:rPr>
        <w:t xml:space="preserve">s </w:t>
      </w:r>
      <w:r w:rsidRPr="00443ABC">
        <w:rPr>
          <w:spacing w:val="-3"/>
          <w:sz w:val="22"/>
        </w:rPr>
        <w:t>antracyklínom a</w:t>
      </w:r>
      <w:r w:rsidRPr="00443ABC">
        <w:rPr>
          <w:spacing w:val="-3"/>
          <w:sz w:val="22"/>
          <w:szCs w:val="22"/>
        </w:rPr>
        <w:t xml:space="preserve"> </w:t>
      </w:r>
      <w:r w:rsidRPr="00443ABC">
        <w:rPr>
          <w:spacing w:val="-3"/>
          <w:sz w:val="22"/>
        </w:rPr>
        <w:t>taxánom zlyhala alebo je nevhodná</w:t>
      </w:r>
      <w:r w:rsidRPr="00443ABC">
        <w:rPr>
          <w:spacing w:val="-3"/>
          <w:sz w:val="22"/>
          <w:szCs w:val="22"/>
        </w:rPr>
        <w:t>.</w:t>
      </w:r>
    </w:p>
    <w:p w14:paraId="6B67F885" w14:textId="77777777" w:rsidR="00C26DB3" w:rsidRPr="00443ABC" w:rsidRDefault="00C26DB3">
      <w:pPr>
        <w:rPr>
          <w:sz w:val="22"/>
          <w:szCs w:val="22"/>
        </w:rPr>
      </w:pPr>
    </w:p>
    <w:p w14:paraId="0EB5EDB9" w14:textId="77777777" w:rsidR="00C26DB3" w:rsidRPr="00443ABC" w:rsidRDefault="00C26DB3">
      <w:pPr>
        <w:tabs>
          <w:tab w:val="left" w:pos="567"/>
        </w:tabs>
        <w:rPr>
          <w:strike/>
          <w:sz w:val="22"/>
        </w:rPr>
      </w:pPr>
      <w:r w:rsidRPr="00443ABC">
        <w:rPr>
          <w:sz w:val="22"/>
          <w:szCs w:val="22"/>
        </w:rPr>
        <w:t>•</w:t>
      </w:r>
      <w:r w:rsidRPr="00443ABC">
        <w:rPr>
          <w:sz w:val="22"/>
          <w:szCs w:val="22"/>
        </w:rPr>
        <w:tab/>
        <w:t>Nemalobunkový karcinóm pľúc (3. alebo 4. stupeň).</w:t>
      </w:r>
    </w:p>
    <w:p w14:paraId="746D78CB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26BFF27E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4.2</w:t>
      </w:r>
      <w:r w:rsidRPr="00443ABC">
        <w:rPr>
          <w:b/>
          <w:color w:val="000000"/>
          <w:spacing w:val="-3"/>
          <w:sz w:val="22"/>
        </w:rPr>
        <w:tab/>
        <w:t>Dávkovanie a spôsob podávania</w:t>
      </w:r>
    </w:p>
    <w:p w14:paraId="2CC69115" w14:textId="77777777" w:rsidR="00C26DB3" w:rsidRPr="00443ABC" w:rsidRDefault="00C26DB3">
      <w:pPr>
        <w:rPr>
          <w:color w:val="000000"/>
          <w:spacing w:val="-3"/>
          <w:sz w:val="22"/>
          <w:u w:val="single"/>
        </w:rPr>
      </w:pPr>
    </w:p>
    <w:p w14:paraId="58B8AD24" w14:textId="77777777" w:rsidR="00C26DB3" w:rsidRPr="00443ABC" w:rsidRDefault="00C26DB3">
      <w:pPr>
        <w:rPr>
          <w:sz w:val="22"/>
          <w:szCs w:val="22"/>
          <w:u w:val="single"/>
        </w:rPr>
      </w:pPr>
      <w:r w:rsidRPr="00443ABC">
        <w:rPr>
          <w:sz w:val="22"/>
          <w:szCs w:val="22"/>
          <w:u w:val="single"/>
        </w:rPr>
        <w:t>Dávkovanie</w:t>
      </w:r>
    </w:p>
    <w:p w14:paraId="3FD7281A" w14:textId="77777777" w:rsidR="00C26DB3" w:rsidRPr="00443ABC" w:rsidRDefault="00C26DB3">
      <w:pPr>
        <w:rPr>
          <w:strike/>
          <w:color w:val="000000"/>
          <w:spacing w:val="-3"/>
          <w:sz w:val="22"/>
          <w:szCs w:val="22"/>
        </w:rPr>
      </w:pPr>
    </w:p>
    <w:p w14:paraId="3C2A481C" w14:textId="554B4468" w:rsidR="00C26DB3" w:rsidRPr="00443ABC" w:rsidRDefault="00C26DB3">
      <w:pPr>
        <w:tabs>
          <w:tab w:val="left" w:pos="567"/>
        </w:tabs>
        <w:rPr>
          <w:color w:val="000000"/>
          <w:spacing w:val="-3"/>
          <w:sz w:val="22"/>
        </w:rPr>
      </w:pPr>
      <w:r w:rsidRPr="00443ABC">
        <w:rPr>
          <w:sz w:val="22"/>
          <w:szCs w:val="22"/>
        </w:rPr>
        <w:t>•</w:t>
      </w:r>
      <w:r w:rsidRPr="00443ABC">
        <w:rPr>
          <w:sz w:val="22"/>
          <w:szCs w:val="22"/>
        </w:rPr>
        <w:tab/>
      </w:r>
      <w:r w:rsidRPr="00443ABC">
        <w:rPr>
          <w:color w:val="000000"/>
          <w:spacing w:val="-3"/>
          <w:sz w:val="22"/>
        </w:rPr>
        <w:t xml:space="preserve">Vinorelbín sa </w:t>
      </w:r>
      <w:r w:rsidRPr="00443ABC">
        <w:rPr>
          <w:color w:val="000000"/>
          <w:spacing w:val="-3"/>
          <w:sz w:val="22"/>
          <w:szCs w:val="22"/>
        </w:rPr>
        <w:t>obvykle</w:t>
      </w:r>
      <w:r w:rsidRPr="00443ABC">
        <w:rPr>
          <w:color w:val="000000"/>
          <w:spacing w:val="-3"/>
          <w:sz w:val="22"/>
        </w:rPr>
        <w:t xml:space="preserve"> podáva v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>dávke 25</w:t>
      </w:r>
      <w:r w:rsidRPr="00443ABC">
        <w:rPr>
          <w:color w:val="000000"/>
          <w:spacing w:val="-3"/>
          <w:sz w:val="22"/>
          <w:szCs w:val="22"/>
        </w:rPr>
        <w:t>–</w:t>
      </w:r>
      <w:r w:rsidRPr="00443ABC">
        <w:rPr>
          <w:color w:val="000000"/>
          <w:spacing w:val="-3"/>
          <w:sz w:val="22"/>
        </w:rPr>
        <w:t xml:space="preserve">30 mg/m² </w:t>
      </w:r>
      <w:r w:rsidR="00456CF8">
        <w:rPr>
          <w:color w:val="000000"/>
          <w:spacing w:val="-3"/>
          <w:sz w:val="22"/>
        </w:rPr>
        <w:t xml:space="preserve">povrchu tela </w:t>
      </w:r>
      <w:r w:rsidRPr="00443ABC">
        <w:rPr>
          <w:color w:val="000000"/>
          <w:spacing w:val="-3"/>
          <w:sz w:val="22"/>
          <w:szCs w:val="22"/>
        </w:rPr>
        <w:t>raz</w:t>
      </w:r>
      <w:r w:rsidRPr="00443ABC">
        <w:rPr>
          <w:color w:val="000000"/>
          <w:spacing w:val="-3"/>
          <w:sz w:val="22"/>
        </w:rPr>
        <w:t xml:space="preserve"> týždenne.</w:t>
      </w:r>
    </w:p>
    <w:p w14:paraId="3D1D2BC5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2324F6FD" w14:textId="77777777" w:rsidR="00C26DB3" w:rsidRPr="00443ABC" w:rsidRDefault="00C26DB3">
      <w:pPr>
        <w:rPr>
          <w:sz w:val="22"/>
        </w:rPr>
      </w:pPr>
      <w:r w:rsidRPr="00443ABC">
        <w:rPr>
          <w:sz w:val="22"/>
        </w:rPr>
        <w:t>V kombinácii s inými cytostatikami sa presná dávka musí určiť na základe liečebného protokolu.</w:t>
      </w:r>
    </w:p>
    <w:p w14:paraId="5C241A41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7610B076" w14:textId="77777777" w:rsidR="00456CF8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</w:rPr>
        <w:t xml:space="preserve">Vinorelbín </w:t>
      </w:r>
      <w:r w:rsidRPr="00443ABC">
        <w:rPr>
          <w:color w:val="000000"/>
          <w:spacing w:val="-3"/>
          <w:sz w:val="22"/>
          <w:szCs w:val="22"/>
        </w:rPr>
        <w:t>sa môže</w:t>
      </w:r>
      <w:r w:rsidRPr="00443ABC">
        <w:rPr>
          <w:color w:val="000000"/>
          <w:spacing w:val="-3"/>
          <w:sz w:val="22"/>
        </w:rPr>
        <w:t xml:space="preserve"> podávať </w:t>
      </w:r>
      <w:r w:rsidRPr="00443ABC">
        <w:rPr>
          <w:color w:val="000000"/>
          <w:spacing w:val="-3"/>
          <w:sz w:val="22"/>
          <w:szCs w:val="22"/>
        </w:rPr>
        <w:t xml:space="preserve">ako </w:t>
      </w:r>
    </w:p>
    <w:p w14:paraId="460A202A" w14:textId="62C540E5" w:rsidR="00456CF8" w:rsidRDefault="00467A89" w:rsidP="00C627D0">
      <w:pPr>
        <w:ind w:left="709" w:hanging="709"/>
        <w:rPr>
          <w:color w:val="000000"/>
          <w:spacing w:val="-3"/>
          <w:sz w:val="22"/>
        </w:rPr>
      </w:pPr>
      <w:r w:rsidRPr="00443ABC">
        <w:rPr>
          <w:sz w:val="22"/>
          <w:szCs w:val="22"/>
        </w:rPr>
        <w:t>•</w:t>
      </w:r>
      <w:r w:rsidRPr="00443ABC">
        <w:rPr>
          <w:sz w:val="22"/>
          <w:szCs w:val="22"/>
        </w:rPr>
        <w:tab/>
      </w:r>
      <w:r w:rsidR="00C26DB3" w:rsidRPr="00443ABC">
        <w:rPr>
          <w:color w:val="000000"/>
          <w:spacing w:val="-3"/>
          <w:sz w:val="22"/>
          <w:szCs w:val="22"/>
        </w:rPr>
        <w:t>pomalá bolusová injekcia</w:t>
      </w:r>
      <w:r w:rsidR="00C26DB3" w:rsidRPr="00443ABC">
        <w:rPr>
          <w:color w:val="000000"/>
          <w:spacing w:val="-3"/>
          <w:sz w:val="22"/>
        </w:rPr>
        <w:t xml:space="preserve"> (6</w:t>
      </w:r>
      <w:r w:rsidR="00C26DB3" w:rsidRPr="00443ABC">
        <w:rPr>
          <w:color w:val="000000"/>
          <w:spacing w:val="-3"/>
          <w:sz w:val="22"/>
          <w:szCs w:val="22"/>
        </w:rPr>
        <w:noBreakHyphen/>
        <w:t>–</w:t>
      </w:r>
      <w:r w:rsidR="00C26DB3" w:rsidRPr="00443ABC">
        <w:rPr>
          <w:color w:val="000000"/>
          <w:spacing w:val="-3"/>
          <w:sz w:val="22"/>
        </w:rPr>
        <w:t xml:space="preserve">10 minút) po </w:t>
      </w:r>
      <w:r w:rsidR="00C26DB3" w:rsidRPr="00443ABC">
        <w:rPr>
          <w:color w:val="000000"/>
          <w:spacing w:val="-3"/>
          <w:sz w:val="22"/>
          <w:szCs w:val="22"/>
        </w:rPr>
        <w:t xml:space="preserve">nariedení s </w:t>
      </w:r>
      <w:r w:rsidR="00C26DB3" w:rsidRPr="00443ABC">
        <w:rPr>
          <w:color w:val="000000"/>
          <w:spacing w:val="-3"/>
          <w:sz w:val="22"/>
        </w:rPr>
        <w:t>20</w:t>
      </w:r>
      <w:r w:rsidR="00C26DB3" w:rsidRPr="00443ABC">
        <w:rPr>
          <w:color w:val="000000"/>
          <w:spacing w:val="-3"/>
          <w:sz w:val="22"/>
          <w:szCs w:val="22"/>
        </w:rPr>
        <w:t>–</w:t>
      </w:r>
      <w:r w:rsidR="00C26DB3" w:rsidRPr="00443ABC">
        <w:rPr>
          <w:color w:val="000000"/>
          <w:spacing w:val="-3"/>
          <w:sz w:val="22"/>
          <w:szCs w:val="22"/>
        </w:rPr>
        <w:noBreakHyphen/>
      </w:r>
      <w:r w:rsidR="00C26DB3" w:rsidRPr="00443ABC">
        <w:rPr>
          <w:color w:val="000000"/>
          <w:spacing w:val="-3"/>
          <w:sz w:val="22"/>
        </w:rPr>
        <w:t xml:space="preserve">50 ml </w:t>
      </w:r>
      <w:r w:rsidR="00C26DB3" w:rsidRPr="00443ABC">
        <w:rPr>
          <w:color w:val="000000"/>
          <w:spacing w:val="-3"/>
          <w:sz w:val="22"/>
          <w:szCs w:val="22"/>
        </w:rPr>
        <w:t>injekčného</w:t>
      </w:r>
      <w:r w:rsidR="00C26DB3" w:rsidRPr="00443ABC">
        <w:rPr>
          <w:color w:val="000000"/>
          <w:spacing w:val="-3"/>
          <w:sz w:val="22"/>
        </w:rPr>
        <w:t xml:space="preserve"> </w:t>
      </w:r>
      <w:r w:rsidR="00C26DB3" w:rsidRPr="00443ABC">
        <w:rPr>
          <w:sz w:val="22"/>
        </w:rPr>
        <w:t xml:space="preserve">roztoku </w:t>
      </w:r>
      <w:r w:rsidR="00C26DB3" w:rsidRPr="00443ABC">
        <w:rPr>
          <w:sz w:val="22"/>
          <w:szCs w:val="22"/>
        </w:rPr>
        <w:t xml:space="preserve">chloridu sodného 9 mg/ml (0,9 %) </w:t>
      </w:r>
      <w:r w:rsidR="00C26DB3" w:rsidRPr="00443ABC">
        <w:rPr>
          <w:sz w:val="22"/>
        </w:rPr>
        <w:t xml:space="preserve">alebo </w:t>
      </w:r>
      <w:r>
        <w:rPr>
          <w:sz w:val="22"/>
          <w:szCs w:val="22"/>
        </w:rPr>
        <w:t xml:space="preserve">v </w:t>
      </w:r>
      <w:r w:rsidR="00C26DB3" w:rsidRPr="00443ABC">
        <w:rPr>
          <w:sz w:val="22"/>
          <w:szCs w:val="22"/>
        </w:rPr>
        <w:t>5% (w/v) injekčn</w:t>
      </w:r>
      <w:r w:rsidR="00456CF8">
        <w:rPr>
          <w:sz w:val="22"/>
          <w:szCs w:val="22"/>
        </w:rPr>
        <w:t>om</w:t>
      </w:r>
      <w:r w:rsidR="00C26DB3" w:rsidRPr="00443ABC">
        <w:rPr>
          <w:sz w:val="22"/>
          <w:szCs w:val="22"/>
        </w:rPr>
        <w:t xml:space="preserve"> </w:t>
      </w:r>
      <w:r w:rsidR="00C26DB3" w:rsidRPr="00443ABC">
        <w:rPr>
          <w:sz w:val="22"/>
        </w:rPr>
        <w:t xml:space="preserve">roztoku glukózy </w:t>
      </w:r>
      <w:r w:rsidR="00C26DB3" w:rsidRPr="00443ABC">
        <w:rPr>
          <w:color w:val="000000"/>
          <w:spacing w:val="-3"/>
          <w:sz w:val="22"/>
        </w:rPr>
        <w:t xml:space="preserve">alebo </w:t>
      </w:r>
    </w:p>
    <w:p w14:paraId="19F1CCDF" w14:textId="4B0A22DD" w:rsidR="00456CF8" w:rsidRDefault="00467A89" w:rsidP="00C627D0">
      <w:pPr>
        <w:ind w:left="709" w:hanging="709"/>
        <w:rPr>
          <w:color w:val="000000"/>
          <w:spacing w:val="-3"/>
          <w:sz w:val="22"/>
        </w:rPr>
      </w:pPr>
      <w:r w:rsidRPr="00443ABC">
        <w:rPr>
          <w:sz w:val="22"/>
          <w:szCs w:val="22"/>
        </w:rPr>
        <w:t>•</w:t>
      </w:r>
      <w:r w:rsidRPr="00443ABC">
        <w:rPr>
          <w:sz w:val="22"/>
          <w:szCs w:val="22"/>
        </w:rPr>
        <w:tab/>
      </w:r>
      <w:r w:rsidR="00C26DB3" w:rsidRPr="00443ABC">
        <w:rPr>
          <w:color w:val="000000"/>
          <w:spacing w:val="-3"/>
          <w:sz w:val="22"/>
          <w:szCs w:val="22"/>
        </w:rPr>
        <w:t>ako krátka infúzia</w:t>
      </w:r>
      <w:r w:rsidR="00C26DB3" w:rsidRPr="00443ABC">
        <w:rPr>
          <w:color w:val="000000"/>
          <w:spacing w:val="-3"/>
          <w:sz w:val="22"/>
        </w:rPr>
        <w:t xml:space="preserve"> (20</w:t>
      </w:r>
      <w:r w:rsidR="00C26DB3" w:rsidRPr="00443ABC">
        <w:rPr>
          <w:color w:val="000000"/>
          <w:spacing w:val="-3"/>
          <w:sz w:val="22"/>
          <w:szCs w:val="22"/>
        </w:rPr>
        <w:t>–</w:t>
      </w:r>
      <w:r w:rsidR="00C26DB3" w:rsidRPr="00443ABC">
        <w:rPr>
          <w:color w:val="000000"/>
          <w:spacing w:val="-3"/>
          <w:sz w:val="22"/>
          <w:szCs w:val="22"/>
        </w:rPr>
        <w:noBreakHyphen/>
      </w:r>
      <w:r w:rsidR="00C26DB3" w:rsidRPr="00443ABC">
        <w:rPr>
          <w:color w:val="000000"/>
          <w:spacing w:val="-3"/>
          <w:sz w:val="22"/>
        </w:rPr>
        <w:t xml:space="preserve">30 minút) po </w:t>
      </w:r>
      <w:r w:rsidR="00C26DB3" w:rsidRPr="00443ABC">
        <w:rPr>
          <w:color w:val="000000"/>
          <w:spacing w:val="-3"/>
          <w:sz w:val="22"/>
          <w:szCs w:val="22"/>
        </w:rPr>
        <w:t>nariedení s</w:t>
      </w:r>
      <w:r w:rsidR="00C26DB3" w:rsidRPr="00443ABC">
        <w:rPr>
          <w:color w:val="000000"/>
          <w:spacing w:val="-3"/>
          <w:sz w:val="22"/>
        </w:rPr>
        <w:t xml:space="preserve"> 125 ml </w:t>
      </w:r>
      <w:r w:rsidR="00C26DB3" w:rsidRPr="00443ABC">
        <w:rPr>
          <w:color w:val="000000"/>
          <w:spacing w:val="-3"/>
          <w:sz w:val="22"/>
          <w:szCs w:val="22"/>
        </w:rPr>
        <w:t>injekčného</w:t>
      </w:r>
      <w:r w:rsidR="00C26DB3" w:rsidRPr="00443ABC">
        <w:rPr>
          <w:color w:val="000000"/>
          <w:spacing w:val="-3"/>
          <w:sz w:val="22"/>
        </w:rPr>
        <w:t xml:space="preserve"> roztoku </w:t>
      </w:r>
      <w:r w:rsidR="00C26DB3" w:rsidRPr="00443ABC">
        <w:rPr>
          <w:sz w:val="22"/>
          <w:szCs w:val="22"/>
        </w:rPr>
        <w:t>chloridu sodného 9 mg/ml (0,9 %) alebo</w:t>
      </w:r>
      <w:r w:rsidR="009B5BF5">
        <w:rPr>
          <w:sz w:val="22"/>
          <w:szCs w:val="22"/>
        </w:rPr>
        <w:t xml:space="preserve"> </w:t>
      </w:r>
      <w:r w:rsidR="00456CF8">
        <w:rPr>
          <w:sz w:val="22"/>
          <w:szCs w:val="22"/>
        </w:rPr>
        <w:t>v</w:t>
      </w:r>
      <w:r w:rsidR="00C26DB3" w:rsidRPr="00443ABC">
        <w:rPr>
          <w:sz w:val="22"/>
          <w:szCs w:val="22"/>
        </w:rPr>
        <w:t xml:space="preserve"> 5% (w/v) injekčn</w:t>
      </w:r>
      <w:r w:rsidR="00512978">
        <w:rPr>
          <w:sz w:val="22"/>
          <w:szCs w:val="22"/>
        </w:rPr>
        <w:t>om</w:t>
      </w:r>
      <w:r w:rsidR="00C26DB3" w:rsidRPr="00443ABC">
        <w:rPr>
          <w:sz w:val="22"/>
          <w:szCs w:val="22"/>
        </w:rPr>
        <w:t xml:space="preserve"> </w:t>
      </w:r>
      <w:r w:rsidR="00C26DB3" w:rsidRPr="00443ABC">
        <w:rPr>
          <w:sz w:val="22"/>
        </w:rPr>
        <w:t>roztoku glukózy</w:t>
      </w:r>
      <w:r w:rsidR="00C26DB3" w:rsidRPr="00443ABC">
        <w:rPr>
          <w:color w:val="000000"/>
          <w:spacing w:val="-3"/>
          <w:sz w:val="22"/>
          <w:szCs w:val="22"/>
        </w:rPr>
        <w:t>.</w:t>
      </w:r>
      <w:r w:rsidR="00C26DB3" w:rsidRPr="00443ABC">
        <w:rPr>
          <w:color w:val="000000"/>
          <w:spacing w:val="-3"/>
          <w:sz w:val="22"/>
        </w:rPr>
        <w:t xml:space="preserve"> </w:t>
      </w:r>
    </w:p>
    <w:p w14:paraId="690ED5DA" w14:textId="77777777" w:rsidR="00456CF8" w:rsidRDefault="00456CF8">
      <w:pPr>
        <w:rPr>
          <w:color w:val="000000"/>
          <w:spacing w:val="-3"/>
          <w:sz w:val="22"/>
        </w:rPr>
      </w:pPr>
    </w:p>
    <w:p w14:paraId="7010215A" w14:textId="6C4D359E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Po podaní </w:t>
      </w:r>
      <w:r w:rsidRPr="00443ABC">
        <w:rPr>
          <w:color w:val="000000"/>
          <w:spacing w:val="-3"/>
          <w:sz w:val="22"/>
          <w:szCs w:val="22"/>
        </w:rPr>
        <w:t>musí</w:t>
      </w:r>
      <w:r w:rsidRPr="00443ABC">
        <w:rPr>
          <w:color w:val="000000"/>
          <w:spacing w:val="-3"/>
          <w:sz w:val="22"/>
        </w:rPr>
        <w:t xml:space="preserve"> vždy </w:t>
      </w:r>
      <w:r w:rsidRPr="00443ABC">
        <w:rPr>
          <w:color w:val="000000"/>
          <w:spacing w:val="-3"/>
          <w:sz w:val="22"/>
          <w:szCs w:val="22"/>
        </w:rPr>
        <w:t xml:space="preserve">nasledovať infúzia </w:t>
      </w:r>
      <w:r w:rsidRPr="00443ABC">
        <w:rPr>
          <w:sz w:val="22"/>
          <w:szCs w:val="22"/>
        </w:rPr>
        <w:t xml:space="preserve">chloridu sodného 9 mg/ml (0,9 %), a to </w:t>
      </w:r>
      <w:r w:rsidRPr="00443ABC">
        <w:rPr>
          <w:color w:val="000000"/>
          <w:spacing w:val="-3"/>
          <w:sz w:val="22"/>
          <w:szCs w:val="22"/>
        </w:rPr>
        <w:t>najmenej 250 ml, ktorou sa prepláchne žila (pozri časť 6.6).</w:t>
      </w:r>
    </w:p>
    <w:p w14:paraId="35DC6F8F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64B09026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Maximálna tolerovaná dávka pri jednotlivom podaní: 35,4 mg/m² telesného povrchu</w:t>
      </w:r>
      <w:r w:rsidRPr="00443ABC">
        <w:rPr>
          <w:color w:val="000000"/>
          <w:spacing w:val="-3"/>
          <w:sz w:val="22"/>
        </w:rPr>
        <w:t>.</w:t>
      </w:r>
    </w:p>
    <w:p w14:paraId="6496DB6B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0A6C7B01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</w:rPr>
        <w:t xml:space="preserve">Maximálna celková dávka </w:t>
      </w:r>
      <w:r w:rsidRPr="00443ABC">
        <w:rPr>
          <w:color w:val="000000"/>
          <w:spacing w:val="-3"/>
          <w:sz w:val="22"/>
          <w:szCs w:val="22"/>
        </w:rPr>
        <w:t>pri jednotlivom podaní: 60 mg.</w:t>
      </w:r>
    </w:p>
    <w:p w14:paraId="7EB794C0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63D27D36" w14:textId="77777777" w:rsidR="00C26DB3" w:rsidRPr="00443ABC" w:rsidRDefault="00C26DB3">
      <w:pPr>
        <w:keepNext/>
        <w:keepLines/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lastRenderedPageBreak/>
        <w:t>Modifikácie dávkovania</w:t>
      </w:r>
    </w:p>
    <w:p w14:paraId="1D1A7D60" w14:textId="77777777" w:rsidR="00C26DB3" w:rsidRPr="00443ABC" w:rsidRDefault="00C26DB3">
      <w:pPr>
        <w:keepNext/>
        <w:keepLines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Metabolizmus a klírens vinorelbínu je </w:t>
      </w:r>
      <w:r w:rsidRPr="00443ABC">
        <w:rPr>
          <w:color w:val="000000"/>
          <w:spacing w:val="-3"/>
          <w:sz w:val="22"/>
          <w:szCs w:val="22"/>
        </w:rPr>
        <w:t>prevažne hepatický: len</w:t>
      </w:r>
      <w:r w:rsidRPr="00443ABC">
        <w:rPr>
          <w:color w:val="000000"/>
          <w:spacing w:val="-3"/>
          <w:sz w:val="22"/>
        </w:rPr>
        <w:t xml:space="preserve"> 18,5 % </w:t>
      </w:r>
      <w:r w:rsidRPr="00443ABC">
        <w:rPr>
          <w:color w:val="000000"/>
          <w:spacing w:val="-3"/>
          <w:sz w:val="22"/>
          <w:szCs w:val="22"/>
        </w:rPr>
        <w:t xml:space="preserve">dávky </w:t>
      </w:r>
      <w:r w:rsidRPr="00443ABC">
        <w:rPr>
          <w:color w:val="000000"/>
          <w:spacing w:val="-3"/>
          <w:sz w:val="22"/>
        </w:rPr>
        <w:t xml:space="preserve">sa </w:t>
      </w:r>
      <w:r w:rsidRPr="00443ABC">
        <w:rPr>
          <w:color w:val="000000"/>
          <w:spacing w:val="-3"/>
          <w:sz w:val="22"/>
          <w:szCs w:val="22"/>
        </w:rPr>
        <w:t>vylúči</w:t>
      </w:r>
      <w:r w:rsidRPr="00443ABC">
        <w:rPr>
          <w:color w:val="000000"/>
          <w:spacing w:val="-3"/>
          <w:sz w:val="22"/>
        </w:rPr>
        <w:t xml:space="preserve"> v nezmenenej forme močom. </w:t>
      </w:r>
      <w:r w:rsidRPr="00443ABC">
        <w:rPr>
          <w:color w:val="000000"/>
          <w:spacing w:val="-3"/>
          <w:sz w:val="22"/>
          <w:szCs w:val="22"/>
        </w:rPr>
        <w:t>Zatiaľ nie</w:t>
      </w:r>
      <w:r w:rsidRPr="00443ABC">
        <w:rPr>
          <w:color w:val="000000"/>
          <w:spacing w:val="-3"/>
          <w:sz w:val="22"/>
        </w:rPr>
        <w:t xml:space="preserve"> je k dispozícii žiadna prospektívna štúdia týkajúca sa farmakodynamických účinkov </w:t>
      </w:r>
      <w:r w:rsidRPr="00443ABC">
        <w:rPr>
          <w:color w:val="000000"/>
          <w:spacing w:val="-3"/>
          <w:sz w:val="22"/>
          <w:szCs w:val="22"/>
        </w:rPr>
        <w:t>pri zmenenom metabolizme liečiva, ktorá by poskytla</w:t>
      </w:r>
      <w:r w:rsidRPr="00443ABC">
        <w:rPr>
          <w:color w:val="000000"/>
          <w:spacing w:val="-3"/>
          <w:sz w:val="22"/>
        </w:rPr>
        <w:t xml:space="preserve"> návod na zníženie dávky vinorelbínu u pacientov s</w:t>
      </w:r>
      <w:r w:rsidRPr="00443ABC">
        <w:rPr>
          <w:color w:val="000000"/>
          <w:spacing w:val="-3"/>
          <w:sz w:val="22"/>
          <w:szCs w:val="22"/>
        </w:rPr>
        <w:t xml:space="preserve"> funkčnou poruchou</w:t>
      </w:r>
      <w:r w:rsidRPr="00443ABC">
        <w:rPr>
          <w:color w:val="000000"/>
          <w:spacing w:val="-3"/>
          <w:sz w:val="22"/>
        </w:rPr>
        <w:t xml:space="preserve"> pečene alebo obličiek.</w:t>
      </w:r>
    </w:p>
    <w:p w14:paraId="1C488FEA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26C5B4CA" w14:textId="77777777" w:rsidR="00C26DB3" w:rsidRPr="00443ABC" w:rsidRDefault="00C26DB3">
      <w:pPr>
        <w:rPr>
          <w:i/>
          <w:color w:val="000000"/>
          <w:spacing w:val="-3"/>
          <w:sz w:val="22"/>
        </w:rPr>
      </w:pPr>
      <w:r w:rsidRPr="00443ABC">
        <w:rPr>
          <w:i/>
          <w:color w:val="000000"/>
          <w:spacing w:val="-3"/>
          <w:sz w:val="22"/>
          <w:szCs w:val="22"/>
        </w:rPr>
        <w:t>Porucha</w:t>
      </w:r>
      <w:r w:rsidRPr="00443ABC">
        <w:rPr>
          <w:i/>
          <w:color w:val="000000"/>
          <w:spacing w:val="-3"/>
          <w:sz w:val="22"/>
        </w:rPr>
        <w:t xml:space="preserve"> funkcie pečene</w:t>
      </w:r>
    </w:p>
    <w:p w14:paraId="09B56661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>U pacientov, ktorí sa vyznačujú</w:t>
      </w:r>
      <w:r w:rsidRPr="00443ABC">
        <w:rPr>
          <w:color w:val="000000"/>
          <w:spacing w:val="-3"/>
          <w:sz w:val="22"/>
        </w:rPr>
        <w:t xml:space="preserve"> stredne </w:t>
      </w:r>
      <w:r w:rsidRPr="00443ABC">
        <w:rPr>
          <w:color w:val="000000"/>
          <w:spacing w:val="-3"/>
          <w:sz w:val="22"/>
          <w:szCs w:val="22"/>
        </w:rPr>
        <w:t>závažnou alebo ťažkou poruchou</w:t>
      </w:r>
      <w:r w:rsidRPr="00443ABC">
        <w:rPr>
          <w:color w:val="000000"/>
          <w:spacing w:val="-3"/>
          <w:sz w:val="22"/>
        </w:rPr>
        <w:t xml:space="preserve"> pečene</w:t>
      </w:r>
      <w:r w:rsidRPr="00443ABC">
        <w:rPr>
          <w:color w:val="000000"/>
          <w:spacing w:val="-3"/>
          <w:sz w:val="22"/>
          <w:szCs w:val="22"/>
        </w:rPr>
        <w:t>, sa farmakokinetika</w:t>
      </w:r>
      <w:r w:rsidRPr="00443ABC">
        <w:rPr>
          <w:color w:val="000000"/>
          <w:spacing w:val="-3"/>
          <w:sz w:val="22"/>
        </w:rPr>
        <w:t xml:space="preserve"> vinorelbínu nemení.</w:t>
      </w:r>
    </w:p>
    <w:p w14:paraId="0F25452C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 xml:space="preserve">Napriek tomu sa u pacientov s ťažkou poruchou pečene odporúča ako preventívne opatrenie znížená dávka 20 mg/m² a dôsledné sledovanie hematologických parametrov (pozri časti 4.4 a 5.2). </w:t>
      </w:r>
    </w:p>
    <w:p w14:paraId="23DB69B9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3373B5A6" w14:textId="77777777" w:rsidR="00C26DB3" w:rsidRPr="00443ABC" w:rsidRDefault="00C26DB3">
      <w:pPr>
        <w:rPr>
          <w:i/>
          <w:color w:val="000000"/>
          <w:spacing w:val="-3"/>
          <w:sz w:val="22"/>
          <w:szCs w:val="22"/>
        </w:rPr>
      </w:pPr>
      <w:r w:rsidRPr="00443ABC">
        <w:rPr>
          <w:i/>
          <w:color w:val="000000"/>
          <w:spacing w:val="-3"/>
          <w:sz w:val="22"/>
          <w:szCs w:val="22"/>
        </w:rPr>
        <w:t>Porucha funkcie obličiek</w:t>
      </w:r>
    </w:p>
    <w:p w14:paraId="790C7A2B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Vzhľadom na nevýznamnú exkréciu vinorelbínu obličkami</w:t>
      </w:r>
      <w:r w:rsidRPr="00443ABC">
        <w:rPr>
          <w:color w:val="000000"/>
          <w:spacing w:val="-3"/>
          <w:sz w:val="22"/>
        </w:rPr>
        <w:t xml:space="preserve"> nie je z</w:t>
      </w:r>
      <w:r w:rsidRPr="00443ABC">
        <w:rPr>
          <w:color w:val="000000"/>
          <w:spacing w:val="-3"/>
          <w:sz w:val="22"/>
          <w:szCs w:val="22"/>
        </w:rPr>
        <w:t xml:space="preserve"> farmakokinetického </w:t>
      </w:r>
      <w:r w:rsidRPr="00443ABC">
        <w:rPr>
          <w:color w:val="000000"/>
          <w:spacing w:val="-3"/>
          <w:sz w:val="22"/>
        </w:rPr>
        <w:t xml:space="preserve">hľadiska </w:t>
      </w:r>
      <w:r w:rsidRPr="00443ABC">
        <w:rPr>
          <w:color w:val="000000"/>
          <w:spacing w:val="-3"/>
          <w:sz w:val="22"/>
          <w:szCs w:val="22"/>
        </w:rPr>
        <w:t>žiaden</w:t>
      </w:r>
      <w:r w:rsidRPr="00443ABC">
        <w:rPr>
          <w:color w:val="000000"/>
          <w:spacing w:val="-3"/>
          <w:sz w:val="22"/>
        </w:rPr>
        <w:t xml:space="preserve"> dôvod </w:t>
      </w:r>
      <w:r w:rsidRPr="00443ABC">
        <w:rPr>
          <w:color w:val="000000"/>
          <w:spacing w:val="-3"/>
          <w:sz w:val="22"/>
          <w:szCs w:val="22"/>
        </w:rPr>
        <w:t>pre</w:t>
      </w:r>
      <w:r w:rsidRPr="00443ABC">
        <w:rPr>
          <w:color w:val="000000"/>
          <w:spacing w:val="-3"/>
          <w:sz w:val="22"/>
        </w:rPr>
        <w:t xml:space="preserve"> zníženie </w:t>
      </w:r>
      <w:r w:rsidRPr="00443ABC">
        <w:rPr>
          <w:color w:val="000000"/>
          <w:spacing w:val="-3"/>
          <w:sz w:val="22"/>
          <w:szCs w:val="22"/>
        </w:rPr>
        <w:t>dávky</w:t>
      </w:r>
      <w:r w:rsidRPr="00443ABC">
        <w:rPr>
          <w:color w:val="000000"/>
          <w:spacing w:val="-3"/>
          <w:sz w:val="22"/>
        </w:rPr>
        <w:t xml:space="preserve"> vinorelbínu</w:t>
      </w:r>
      <w:r w:rsidRPr="00443ABC">
        <w:rPr>
          <w:color w:val="000000"/>
          <w:spacing w:val="-3"/>
          <w:sz w:val="22"/>
          <w:szCs w:val="22"/>
        </w:rPr>
        <w:t xml:space="preserve"> u</w:t>
      </w:r>
      <w:r w:rsidRPr="00443ABC">
        <w:rPr>
          <w:color w:val="000000"/>
          <w:spacing w:val="-3"/>
          <w:sz w:val="22"/>
        </w:rPr>
        <w:t xml:space="preserve"> pacientov s </w:t>
      </w:r>
      <w:r w:rsidRPr="00443ABC">
        <w:rPr>
          <w:color w:val="000000"/>
          <w:spacing w:val="-3"/>
          <w:sz w:val="22"/>
          <w:szCs w:val="22"/>
        </w:rPr>
        <w:t>poruchou</w:t>
      </w:r>
      <w:r w:rsidRPr="00443ABC">
        <w:rPr>
          <w:color w:val="000000"/>
          <w:spacing w:val="-3"/>
          <w:sz w:val="22"/>
        </w:rPr>
        <w:t xml:space="preserve"> funkcie obličiek.</w:t>
      </w:r>
    </w:p>
    <w:p w14:paraId="6EB7ADCB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17932D6C" w14:textId="77777777" w:rsidR="00C26DB3" w:rsidRPr="00443ABC" w:rsidRDefault="00C26DB3">
      <w:pPr>
        <w:rPr>
          <w:i/>
          <w:color w:val="000000"/>
          <w:spacing w:val="-3"/>
          <w:sz w:val="22"/>
        </w:rPr>
      </w:pPr>
      <w:r w:rsidRPr="00443ABC">
        <w:rPr>
          <w:i/>
          <w:color w:val="000000"/>
          <w:spacing w:val="-3"/>
          <w:sz w:val="22"/>
        </w:rPr>
        <w:t>Starší pacienti</w:t>
      </w:r>
    </w:p>
    <w:p w14:paraId="044258A3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>Klinická skúsenosť nedetegovala žiadne významné rozdiely medzi staršími pacientmi pokiaľ ide o rýchlosť reakcie, hoci u niektorých z týchto pacientov nemožno vylúčiť zvýšenú senzibilitu. Vekom sa farmakokinetika vinorelbínu nemení (pozri časť 5.2).</w:t>
      </w:r>
    </w:p>
    <w:p w14:paraId="004F14E0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74E07691" w14:textId="77777777" w:rsidR="00C26DB3" w:rsidRPr="00443ABC" w:rsidRDefault="00C26DB3">
      <w:pPr>
        <w:rPr>
          <w:i/>
          <w:color w:val="000000"/>
          <w:spacing w:val="-3"/>
          <w:sz w:val="22"/>
          <w:szCs w:val="22"/>
        </w:rPr>
      </w:pPr>
      <w:r w:rsidRPr="00443ABC">
        <w:rPr>
          <w:i/>
          <w:color w:val="000000"/>
          <w:spacing w:val="-3"/>
          <w:sz w:val="22"/>
          <w:szCs w:val="22"/>
        </w:rPr>
        <w:t>Pediatrická populácia</w:t>
      </w:r>
    </w:p>
    <w:p w14:paraId="6231846C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Bezpečnosť a účinnosť u detí neboli stanovené, a preto sa podávanie tohto lieku deťom neodporúča.</w:t>
      </w:r>
    </w:p>
    <w:p w14:paraId="20B2131B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6A93AD8D" w14:textId="77777777" w:rsidR="00C26DB3" w:rsidRPr="00443ABC" w:rsidRDefault="00C26DB3">
      <w:pPr>
        <w:rPr>
          <w:sz w:val="22"/>
          <w:szCs w:val="22"/>
          <w:u w:val="single"/>
        </w:rPr>
      </w:pPr>
      <w:r w:rsidRPr="00443ABC">
        <w:rPr>
          <w:sz w:val="22"/>
          <w:szCs w:val="22"/>
          <w:u w:val="single"/>
        </w:rPr>
        <w:t>Spôsob</w:t>
      </w:r>
      <w:r w:rsidRPr="00443ABC">
        <w:rPr>
          <w:noProof/>
          <w:sz w:val="22"/>
          <w:szCs w:val="22"/>
          <w:u w:val="single"/>
        </w:rPr>
        <w:t xml:space="preserve"> podávania</w:t>
      </w:r>
    </w:p>
    <w:p w14:paraId="3E75E3A6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Výlučne intravenóznym podaním po náležitom zriedení.</w:t>
      </w:r>
    </w:p>
    <w:p w14:paraId="4BAB2096" w14:textId="77777777" w:rsidR="00C26DB3" w:rsidRPr="00443ABC" w:rsidRDefault="00C26DB3">
      <w:pPr>
        <w:rPr>
          <w:color w:val="000000"/>
          <w:spacing w:val="-3"/>
          <w:sz w:val="22"/>
          <w:szCs w:val="22"/>
          <w:u w:val="single"/>
        </w:rPr>
      </w:pPr>
    </w:p>
    <w:p w14:paraId="7F0DE6B1" w14:textId="5EE86455" w:rsidR="00C26DB3" w:rsidRPr="00443ABC" w:rsidRDefault="00C26DB3">
      <w:pPr>
        <w:rPr>
          <w:strike/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  <w:u w:val="single"/>
        </w:rPr>
        <w:t>Podanie vinorelbínu</w:t>
      </w:r>
      <w:r w:rsidRPr="00443ABC">
        <w:rPr>
          <w:color w:val="000000"/>
          <w:spacing w:val="-3"/>
          <w:sz w:val="22"/>
          <w:u w:val="single"/>
        </w:rPr>
        <w:t xml:space="preserve"> intratekálnou cestou </w:t>
      </w:r>
      <w:r w:rsidRPr="00443ABC">
        <w:rPr>
          <w:color w:val="000000"/>
          <w:spacing w:val="-3"/>
          <w:sz w:val="22"/>
          <w:szCs w:val="22"/>
          <w:u w:val="single"/>
        </w:rPr>
        <w:t>môže byť fatálne</w:t>
      </w:r>
      <w:r w:rsidR="000F2D8E">
        <w:rPr>
          <w:color w:val="000000"/>
          <w:spacing w:val="-3"/>
          <w:sz w:val="22"/>
          <w:u w:val="single"/>
        </w:rPr>
        <w:t>!</w:t>
      </w:r>
    </w:p>
    <w:p w14:paraId="53580A16" w14:textId="77777777" w:rsidR="00C26DB3" w:rsidRPr="00443ABC" w:rsidRDefault="00C26DB3">
      <w:pPr>
        <w:rPr>
          <w:strike/>
          <w:color w:val="000000"/>
          <w:spacing w:val="-3"/>
          <w:sz w:val="22"/>
          <w:szCs w:val="22"/>
        </w:rPr>
      </w:pPr>
    </w:p>
    <w:p w14:paraId="7387DC82" w14:textId="77777777" w:rsidR="00C26DB3" w:rsidRPr="00443ABC" w:rsidRDefault="00C26DB3">
      <w:pPr>
        <w:rPr>
          <w:i/>
          <w:noProof/>
          <w:sz w:val="22"/>
          <w:szCs w:val="22"/>
        </w:rPr>
      </w:pPr>
      <w:r w:rsidRPr="00443ABC">
        <w:rPr>
          <w:i/>
          <w:sz w:val="22"/>
          <w:szCs w:val="22"/>
        </w:rPr>
        <w:t>Opatrenia pred zaobchádzaním alebo podaním lieku</w:t>
      </w:r>
    </w:p>
    <w:p w14:paraId="3E23645B" w14:textId="77777777" w:rsidR="00C26DB3" w:rsidRPr="00443ABC" w:rsidRDefault="00C26DB3">
      <w:pPr>
        <w:autoSpaceDE w:val="0"/>
        <w:autoSpaceDN w:val="0"/>
        <w:adjustRightInd w:val="0"/>
        <w:rPr>
          <w:sz w:val="22"/>
          <w:szCs w:val="22"/>
        </w:rPr>
      </w:pPr>
      <w:r w:rsidRPr="00443ABC">
        <w:rPr>
          <w:sz w:val="22"/>
          <w:szCs w:val="22"/>
        </w:rPr>
        <w:t>Pokyny na riedenie lieku pred podaním, pozri časť 6.6.</w:t>
      </w:r>
    </w:p>
    <w:p w14:paraId="6ECDDDEF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6AC802B9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  <w:u w:val="single"/>
        </w:rPr>
      </w:pPr>
      <w:r w:rsidRPr="00443ABC">
        <w:rPr>
          <w:b/>
          <w:color w:val="000000"/>
          <w:spacing w:val="-3"/>
          <w:sz w:val="22"/>
        </w:rPr>
        <w:t>4.3</w:t>
      </w:r>
      <w:r w:rsidRPr="00443ABC">
        <w:rPr>
          <w:b/>
          <w:color w:val="000000"/>
          <w:spacing w:val="-3"/>
          <w:sz w:val="22"/>
        </w:rPr>
        <w:tab/>
        <w:t>Kontraindikácie</w:t>
      </w:r>
    </w:p>
    <w:p w14:paraId="161D5870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</w:p>
    <w:p w14:paraId="7ED68372" w14:textId="71952B6D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660CB3">
        <w:rPr>
          <w:sz w:val="22"/>
          <w:szCs w:val="22"/>
        </w:rPr>
        <w:t>•</w:t>
      </w:r>
      <w:r w:rsidRPr="00660CB3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Precitlivenosť na liečivo alebo iné alkaloidy z rodu Vinca alebo na ktorúkoľvek z pomocných látok uvedených v časti 6.1.</w:t>
      </w:r>
      <w:r w:rsidR="00C26DB3" w:rsidRPr="00443ABC">
        <w:rPr>
          <w:color w:val="000000"/>
          <w:sz w:val="22"/>
          <w:szCs w:val="22"/>
        </w:rPr>
        <w:t xml:space="preserve"> </w:t>
      </w:r>
    </w:p>
    <w:p w14:paraId="067DA68D" w14:textId="02AFF780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660CB3">
        <w:rPr>
          <w:sz w:val="22"/>
          <w:szCs w:val="22"/>
        </w:rPr>
        <w:t>•</w:t>
      </w:r>
      <w:r w:rsidRPr="00660CB3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 xml:space="preserve">Počet </w:t>
      </w:r>
      <w:proofErr w:type="spellStart"/>
      <w:r w:rsidR="00C26DB3" w:rsidRPr="00443ABC">
        <w:rPr>
          <w:sz w:val="22"/>
          <w:szCs w:val="22"/>
        </w:rPr>
        <w:t>neutrofilov</w:t>
      </w:r>
      <w:proofErr w:type="spellEnd"/>
      <w:r w:rsidR="00C26DB3" w:rsidRPr="00443ABC">
        <w:rPr>
          <w:color w:val="000000"/>
          <w:sz w:val="22"/>
        </w:rPr>
        <w:t xml:space="preserve"> &lt; </w:t>
      </w:r>
      <w:r w:rsidR="00C26DB3" w:rsidRPr="00443ABC">
        <w:rPr>
          <w:color w:val="000000"/>
          <w:sz w:val="22"/>
          <w:szCs w:val="22"/>
        </w:rPr>
        <w:t>1500</w:t>
      </w:r>
      <w:r w:rsidR="00C26DB3" w:rsidRPr="00443ABC">
        <w:rPr>
          <w:color w:val="000000"/>
          <w:sz w:val="22"/>
        </w:rPr>
        <w:t>/mm³ alebo závažná súbežná alebo nedávna infekcia (počas posledných 2</w:t>
      </w:r>
      <w:r w:rsidR="00C26DB3" w:rsidRPr="00443ABC">
        <w:rPr>
          <w:color w:val="000000"/>
          <w:sz w:val="22"/>
          <w:szCs w:val="22"/>
        </w:rPr>
        <w:t> </w:t>
      </w:r>
      <w:r w:rsidR="00C26DB3" w:rsidRPr="00443ABC">
        <w:rPr>
          <w:color w:val="000000"/>
          <w:sz w:val="22"/>
        </w:rPr>
        <w:t>týždňov</w:t>
      </w:r>
      <w:r w:rsidR="00C26DB3" w:rsidRPr="00443ABC">
        <w:rPr>
          <w:color w:val="000000"/>
          <w:sz w:val="22"/>
          <w:szCs w:val="22"/>
        </w:rPr>
        <w:t>)</w:t>
      </w:r>
    </w:p>
    <w:p w14:paraId="1D6B258C" w14:textId="33B6A991" w:rsidR="00C26DB3" w:rsidRPr="00443ABC" w:rsidRDefault="005E1782">
      <w:pPr>
        <w:tabs>
          <w:tab w:val="left" w:pos="567"/>
        </w:tabs>
        <w:rPr>
          <w:sz w:val="22"/>
          <w:szCs w:val="22"/>
        </w:rPr>
      </w:pPr>
      <w:r w:rsidRPr="00660CB3">
        <w:rPr>
          <w:sz w:val="22"/>
          <w:szCs w:val="22"/>
        </w:rPr>
        <w:t>•</w:t>
      </w:r>
      <w:r w:rsidRPr="00660CB3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 xml:space="preserve">Počet trombocytov &lt; 100 000/mm³ </w:t>
      </w:r>
    </w:p>
    <w:p w14:paraId="328C39C9" w14:textId="0193DEC6" w:rsidR="00C26DB3" w:rsidRPr="00443ABC" w:rsidRDefault="005E1782">
      <w:pPr>
        <w:tabs>
          <w:tab w:val="left" w:pos="567"/>
        </w:tabs>
        <w:rPr>
          <w:color w:val="000000"/>
          <w:sz w:val="22"/>
        </w:rPr>
      </w:pPr>
      <w:r w:rsidRPr="00660CB3">
        <w:rPr>
          <w:sz w:val="22"/>
          <w:szCs w:val="22"/>
        </w:rPr>
        <w:t>•</w:t>
      </w:r>
      <w:r w:rsidRPr="00660CB3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Závažná porucha funkcie pečene nesúvisiaca s nádorovým procesom</w:t>
      </w:r>
    </w:p>
    <w:p w14:paraId="4891AA43" w14:textId="20D5F3CD" w:rsidR="00C26DB3" w:rsidRPr="00443ABC" w:rsidRDefault="005E1782">
      <w:pPr>
        <w:tabs>
          <w:tab w:val="left" w:pos="567"/>
        </w:tabs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Kombinácia s vakcínou žltej zimnice (pozri časť 4.5)</w:t>
      </w:r>
    </w:p>
    <w:p w14:paraId="173DA8CE" w14:textId="3FB41ECF" w:rsidR="00C26DB3" w:rsidRPr="00443ABC" w:rsidRDefault="005E1782" w:rsidP="005E1782">
      <w:pPr>
        <w:ind w:left="567" w:hanging="567"/>
        <w:rPr>
          <w:sz w:val="22"/>
          <w:szCs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Gravidita (pozri časť 4.6)</w:t>
      </w:r>
    </w:p>
    <w:p w14:paraId="33819FDC" w14:textId="4AF6B6D8" w:rsidR="00C26DB3" w:rsidRPr="00443ABC" w:rsidRDefault="005E1782">
      <w:pPr>
        <w:tabs>
          <w:tab w:val="left" w:pos="567"/>
        </w:tabs>
        <w:rPr>
          <w:color w:val="000000"/>
          <w:spacing w:val="-3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Laktácia (pozri časť 4.6)</w:t>
      </w:r>
    </w:p>
    <w:p w14:paraId="0EDE772B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078E6199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  <w:u w:val="single"/>
        </w:rPr>
      </w:pPr>
      <w:r w:rsidRPr="00443ABC">
        <w:rPr>
          <w:b/>
          <w:color w:val="000000"/>
          <w:spacing w:val="-3"/>
          <w:sz w:val="22"/>
        </w:rPr>
        <w:t>4.4</w:t>
      </w:r>
      <w:r w:rsidRPr="00443ABC">
        <w:rPr>
          <w:b/>
          <w:color w:val="000000"/>
          <w:spacing w:val="-3"/>
          <w:sz w:val="22"/>
        </w:rPr>
        <w:tab/>
        <w:t>Osobitné upozornenia a</w:t>
      </w:r>
      <w:r w:rsidRPr="00443ABC">
        <w:rPr>
          <w:b/>
          <w:color w:val="000000"/>
          <w:spacing w:val="-3"/>
          <w:sz w:val="22"/>
          <w:szCs w:val="22"/>
        </w:rPr>
        <w:t> </w:t>
      </w:r>
      <w:r w:rsidRPr="00443ABC">
        <w:rPr>
          <w:b/>
          <w:color w:val="000000"/>
          <w:spacing w:val="-3"/>
          <w:sz w:val="22"/>
        </w:rPr>
        <w:t>opatrenia pri používaní</w:t>
      </w:r>
    </w:p>
    <w:p w14:paraId="7C42EE2A" w14:textId="77777777" w:rsidR="00C26DB3" w:rsidRPr="00443ABC" w:rsidRDefault="00C26DB3">
      <w:pPr>
        <w:tabs>
          <w:tab w:val="left" w:pos="5430"/>
        </w:tabs>
        <w:rPr>
          <w:color w:val="000000"/>
          <w:spacing w:val="-3"/>
          <w:sz w:val="22"/>
          <w:szCs w:val="22"/>
        </w:rPr>
      </w:pPr>
    </w:p>
    <w:p w14:paraId="2EB7BB51" w14:textId="77777777" w:rsidR="00C26DB3" w:rsidRPr="00443ABC" w:rsidRDefault="00C26DB3">
      <w:pPr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Osobitné upozornenia</w:t>
      </w:r>
    </w:p>
    <w:p w14:paraId="5999E838" w14:textId="77777777" w:rsidR="00C26DB3" w:rsidRPr="00443ABC" w:rsidRDefault="00C26DB3">
      <w:pPr>
        <w:rPr>
          <w:color w:val="000000"/>
          <w:spacing w:val="-3"/>
          <w:sz w:val="22"/>
          <w:u w:val="single"/>
        </w:rPr>
      </w:pPr>
    </w:p>
    <w:p w14:paraId="006E855D" w14:textId="75D16AB9" w:rsidR="00C26DB3" w:rsidRPr="00443ABC" w:rsidRDefault="005E1782">
      <w:pPr>
        <w:tabs>
          <w:tab w:val="left" w:pos="567"/>
        </w:tabs>
        <w:ind w:left="567" w:hanging="567"/>
        <w:rPr>
          <w:sz w:val="22"/>
          <w:szCs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proofErr w:type="spellStart"/>
      <w:r w:rsidR="00C26DB3" w:rsidRPr="00443ABC">
        <w:rPr>
          <w:sz w:val="22"/>
          <w:szCs w:val="22"/>
        </w:rPr>
        <w:t>Vinorelbín</w:t>
      </w:r>
      <w:proofErr w:type="spellEnd"/>
      <w:r w:rsidR="00C26DB3" w:rsidRPr="00443ABC">
        <w:rPr>
          <w:sz w:val="22"/>
          <w:szCs w:val="22"/>
        </w:rPr>
        <w:t xml:space="preserve"> sa má podávať pod dozorom lekára, ktorý má skúsenosti s používaním chemoterapie.</w:t>
      </w:r>
    </w:p>
    <w:p w14:paraId="2AFEEC2C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10B70DFC" w14:textId="7DF83317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proofErr w:type="spellStart"/>
      <w:r w:rsidR="00C26DB3" w:rsidRPr="00443ABC">
        <w:rPr>
          <w:sz w:val="22"/>
          <w:szCs w:val="22"/>
        </w:rPr>
        <w:t>Vinorelbín</w:t>
      </w:r>
      <w:proofErr w:type="spellEnd"/>
      <w:r w:rsidR="00C26DB3" w:rsidRPr="00443ABC">
        <w:rPr>
          <w:sz w:val="22"/>
          <w:szCs w:val="22"/>
        </w:rPr>
        <w:t xml:space="preserve"> sa smie podávať len intravenózne.</w:t>
      </w:r>
      <w:r w:rsidR="00C26DB3" w:rsidRPr="00443ABC">
        <w:rPr>
          <w:color w:val="000000"/>
          <w:sz w:val="22"/>
        </w:rPr>
        <w:t xml:space="preserve"> Použitie </w:t>
      </w:r>
      <w:r w:rsidR="00C26DB3" w:rsidRPr="00443ABC">
        <w:rPr>
          <w:color w:val="000000"/>
          <w:sz w:val="22"/>
          <w:szCs w:val="22"/>
        </w:rPr>
        <w:t>intratekálnej cesty</w:t>
      </w:r>
      <w:r w:rsidR="00C26DB3" w:rsidRPr="00443ABC">
        <w:rPr>
          <w:color w:val="000000"/>
          <w:sz w:val="22"/>
        </w:rPr>
        <w:t xml:space="preserve"> je kontraindikované. Po podaní </w:t>
      </w:r>
      <w:r w:rsidR="00C26DB3" w:rsidRPr="00443ABC">
        <w:rPr>
          <w:color w:val="000000"/>
          <w:sz w:val="22"/>
          <w:szCs w:val="22"/>
        </w:rPr>
        <w:t xml:space="preserve">musí vždy nasledovať infúzia </w:t>
      </w:r>
      <w:r w:rsidR="00C26DB3" w:rsidRPr="00443ABC">
        <w:rPr>
          <w:sz w:val="22"/>
          <w:szCs w:val="22"/>
        </w:rPr>
        <w:t>chloridu sodného 9 mg/ml (0,9 %)</w:t>
      </w:r>
      <w:r w:rsidR="00C26DB3" w:rsidRPr="00443ABC">
        <w:rPr>
          <w:color w:val="000000"/>
          <w:sz w:val="22"/>
          <w:szCs w:val="22"/>
        </w:rPr>
        <w:t>, ktorým sa prepláchne žila</w:t>
      </w:r>
      <w:r w:rsidR="00C26DB3" w:rsidRPr="00443ABC">
        <w:rPr>
          <w:color w:val="000000"/>
          <w:sz w:val="22"/>
        </w:rPr>
        <w:t>.</w:t>
      </w:r>
    </w:p>
    <w:p w14:paraId="59A02BCA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70BCBF28" w14:textId="35CCEB2C" w:rsidR="00C26DB3" w:rsidRPr="00443ABC" w:rsidRDefault="005E1782" w:rsidP="000216EC">
      <w:pPr>
        <w:keepNext/>
        <w:keepLines/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lastRenderedPageBreak/>
        <w:t>•</w:t>
      </w:r>
      <w:r w:rsidRPr="00A706A5">
        <w:rPr>
          <w:sz w:val="22"/>
          <w:szCs w:val="22"/>
        </w:rPr>
        <w:tab/>
      </w:r>
      <w:proofErr w:type="spellStart"/>
      <w:r w:rsidR="00C26DB3" w:rsidRPr="00443ABC">
        <w:rPr>
          <w:sz w:val="22"/>
          <w:u w:val="single"/>
        </w:rPr>
        <w:t>Vinorelbín</w:t>
      </w:r>
      <w:proofErr w:type="spellEnd"/>
      <w:r w:rsidR="00C26DB3" w:rsidRPr="00443ABC">
        <w:rPr>
          <w:sz w:val="22"/>
          <w:u w:val="single"/>
        </w:rPr>
        <w:t xml:space="preserve"> sa musí podávať intravenózne s veľkou presnosťou:</w:t>
      </w:r>
      <w:r w:rsidR="00C26DB3" w:rsidRPr="00443ABC">
        <w:rPr>
          <w:color w:val="000000"/>
          <w:sz w:val="22"/>
        </w:rPr>
        <w:t xml:space="preserve"> Je dôležité </w:t>
      </w:r>
      <w:r w:rsidR="00C26DB3" w:rsidRPr="00443ABC">
        <w:rPr>
          <w:color w:val="000000"/>
          <w:sz w:val="22"/>
          <w:szCs w:val="22"/>
        </w:rPr>
        <w:t>presvedčiť</w:t>
      </w:r>
      <w:r w:rsidR="00C26DB3" w:rsidRPr="00443ABC">
        <w:rPr>
          <w:color w:val="000000"/>
          <w:sz w:val="22"/>
        </w:rPr>
        <w:t xml:space="preserve"> sa pred začiatkom infúzie vinorelbínu</w:t>
      </w:r>
      <w:r w:rsidR="00C26DB3" w:rsidRPr="00443ABC">
        <w:rPr>
          <w:color w:val="000000"/>
          <w:sz w:val="22"/>
          <w:szCs w:val="22"/>
        </w:rPr>
        <w:t>, že</w:t>
      </w:r>
      <w:r w:rsidR="00C26DB3" w:rsidRPr="00443ABC">
        <w:rPr>
          <w:color w:val="000000"/>
          <w:sz w:val="22"/>
        </w:rPr>
        <w:t xml:space="preserve"> kanyla </w:t>
      </w:r>
      <w:r w:rsidR="00C26DB3" w:rsidRPr="00443ABC">
        <w:rPr>
          <w:color w:val="000000"/>
          <w:sz w:val="22"/>
          <w:szCs w:val="22"/>
        </w:rPr>
        <w:t xml:space="preserve">je </w:t>
      </w:r>
      <w:r w:rsidR="00C26DB3" w:rsidRPr="00443ABC">
        <w:rPr>
          <w:color w:val="000000"/>
          <w:sz w:val="22"/>
        </w:rPr>
        <w:t>presne zavedená do žily. Ak vinorelbín počas intravenózneho podania unikne mimo žily</w:t>
      </w:r>
      <w:r w:rsidR="00C26DB3" w:rsidRPr="00443ABC">
        <w:rPr>
          <w:color w:val="000000"/>
          <w:sz w:val="22"/>
          <w:szCs w:val="22"/>
        </w:rPr>
        <w:t xml:space="preserve"> (extravazácia),</w:t>
      </w:r>
      <w:r w:rsidR="00C26DB3" w:rsidRPr="00443ABC">
        <w:rPr>
          <w:color w:val="000000"/>
          <w:sz w:val="22"/>
        </w:rPr>
        <w:t xml:space="preserve"> môže to spôsobiť značné lokálne podráždenie. V takomto prípade sa musí infúzia okamžite </w:t>
      </w:r>
      <w:r w:rsidR="00C26DB3" w:rsidRPr="00443ABC">
        <w:rPr>
          <w:color w:val="000000"/>
          <w:sz w:val="22"/>
          <w:szCs w:val="22"/>
        </w:rPr>
        <w:t>prerušiť</w:t>
      </w:r>
      <w:r w:rsidR="00C26DB3" w:rsidRPr="00443ABC">
        <w:rPr>
          <w:color w:val="000000"/>
          <w:sz w:val="22"/>
        </w:rPr>
        <w:t xml:space="preserve">, žila prepláchnuť roztokom </w:t>
      </w:r>
      <w:r w:rsidR="00C26DB3" w:rsidRPr="00443ABC">
        <w:rPr>
          <w:sz w:val="22"/>
          <w:szCs w:val="22"/>
        </w:rPr>
        <w:t>chloridu sodného 9 mg/ml (0,9 %)</w:t>
      </w:r>
      <w:r w:rsidR="00C26DB3" w:rsidRPr="00443ABC">
        <w:rPr>
          <w:color w:val="000000"/>
          <w:sz w:val="22"/>
        </w:rPr>
        <w:t xml:space="preserve"> a zvyšok dávky sa </w:t>
      </w:r>
      <w:r w:rsidR="00C26DB3" w:rsidRPr="00443ABC">
        <w:rPr>
          <w:color w:val="000000"/>
          <w:sz w:val="22"/>
          <w:szCs w:val="22"/>
        </w:rPr>
        <w:t>musí</w:t>
      </w:r>
      <w:r w:rsidR="00C26DB3" w:rsidRPr="00443ABC">
        <w:rPr>
          <w:color w:val="000000"/>
          <w:sz w:val="22"/>
        </w:rPr>
        <w:t xml:space="preserve"> podať do inej žily. V prípade extravazácie možno intravenózne podať glukokortikoidy</w:t>
      </w:r>
      <w:r w:rsidR="00C26DB3" w:rsidRPr="00443ABC">
        <w:rPr>
          <w:color w:val="000000"/>
          <w:sz w:val="22"/>
          <w:szCs w:val="22"/>
        </w:rPr>
        <w:t xml:space="preserve">, aby sa znížilo </w:t>
      </w:r>
      <w:r w:rsidR="00C26DB3" w:rsidRPr="00443ABC">
        <w:rPr>
          <w:color w:val="000000"/>
          <w:sz w:val="22"/>
        </w:rPr>
        <w:t>riziko flebitídy.</w:t>
      </w:r>
    </w:p>
    <w:p w14:paraId="13FE50CE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1E6E9846" w14:textId="1166CD88" w:rsidR="00C26DB3" w:rsidRPr="00443ABC" w:rsidRDefault="005E1782" w:rsidP="008A1599">
      <w:pPr>
        <w:keepNext/>
        <w:keepLines/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Liečbu musí sprevádzať dôsledné</w:t>
      </w:r>
      <w:r w:rsidR="00C26DB3" w:rsidRPr="00443ABC">
        <w:rPr>
          <w:sz w:val="22"/>
        </w:rPr>
        <w:t xml:space="preserve"> hematologické sledovanie (</w:t>
      </w:r>
      <w:r w:rsidR="00C26DB3" w:rsidRPr="00443ABC">
        <w:rPr>
          <w:sz w:val="22"/>
          <w:szCs w:val="22"/>
        </w:rPr>
        <w:t>pred každou ďalšou injekciou sa musí stanoviť hladina</w:t>
      </w:r>
      <w:r w:rsidR="00C26DB3" w:rsidRPr="00443ABC">
        <w:rPr>
          <w:sz w:val="22"/>
        </w:rPr>
        <w:t xml:space="preserve"> hemoglobínu a </w:t>
      </w:r>
      <w:r w:rsidR="00C26DB3" w:rsidRPr="00443ABC">
        <w:rPr>
          <w:sz w:val="22"/>
          <w:szCs w:val="22"/>
        </w:rPr>
        <w:t>počet</w:t>
      </w:r>
      <w:r w:rsidR="00C26DB3" w:rsidRPr="00443ABC">
        <w:rPr>
          <w:sz w:val="22"/>
        </w:rPr>
        <w:t xml:space="preserve"> leukocytov, granulocytov a </w:t>
      </w:r>
      <w:r w:rsidR="00C26DB3" w:rsidRPr="00443ABC">
        <w:rPr>
          <w:sz w:val="22"/>
          <w:szCs w:val="22"/>
        </w:rPr>
        <w:t>trombocytov).</w:t>
      </w:r>
      <w:r w:rsidR="00C26DB3" w:rsidRPr="00443ABC">
        <w:rPr>
          <w:color w:val="000000"/>
          <w:sz w:val="22"/>
          <w:szCs w:val="22"/>
        </w:rPr>
        <w:t xml:space="preserve"> Nežiaducou reakciou, ktorá limituje dávku, je predovšetkým neutropénia. Tento účinok nie je kumulatívny, keďže má svoj nadir (najnižšiu hodnotu) medzi 7 a 14 dňami po podaní a je rýchlo reverzibilná v priebehu 5 až 7 dní.</w:t>
      </w:r>
      <w:r w:rsidR="00C26DB3" w:rsidRPr="00443ABC">
        <w:rPr>
          <w:color w:val="000000"/>
          <w:sz w:val="22"/>
        </w:rPr>
        <w:t xml:space="preserve"> Ak je počet neutrofilov &lt;</w:t>
      </w:r>
      <w:r w:rsidR="00C26DB3" w:rsidRPr="00443ABC">
        <w:rPr>
          <w:color w:val="000000"/>
          <w:sz w:val="22"/>
          <w:szCs w:val="22"/>
        </w:rPr>
        <w:t>1 500</w:t>
      </w:r>
      <w:r w:rsidR="00C26DB3" w:rsidRPr="00443ABC">
        <w:rPr>
          <w:color w:val="000000"/>
          <w:sz w:val="22"/>
        </w:rPr>
        <w:t xml:space="preserve">/mm³ a/alebo počet trombocytov </w:t>
      </w:r>
      <w:r w:rsidR="00C26DB3" w:rsidRPr="00443ABC">
        <w:rPr>
          <w:color w:val="000000"/>
          <w:sz w:val="22"/>
          <w:szCs w:val="22"/>
        </w:rPr>
        <w:t>klesne pod 100</w:t>
      </w:r>
      <w:r w:rsidR="00C26DB3" w:rsidRPr="00443ABC">
        <w:rPr>
          <w:color w:val="000000"/>
          <w:sz w:val="22"/>
        </w:rPr>
        <w:t xml:space="preserve"> 000/mm³, </w:t>
      </w:r>
      <w:r w:rsidR="00C26DB3" w:rsidRPr="00443ABC">
        <w:rPr>
          <w:color w:val="000000"/>
          <w:sz w:val="22"/>
          <w:szCs w:val="22"/>
        </w:rPr>
        <w:t>je nutné liečbu pozastaviť, až kým sa hodnoty neupravia, pričom pacienta je treba dôsledne sledovať. Predpokladá sa, že približne u 35 % liečebných programov sa podávanie tohto lieku pozastaví o 1</w:t>
      </w:r>
      <w:r w:rsidR="008A1599" w:rsidRPr="00443ABC">
        <w:rPr>
          <w:color w:val="000000"/>
          <w:sz w:val="22"/>
          <w:szCs w:val="22"/>
        </w:rPr>
        <w:t> </w:t>
      </w:r>
      <w:r w:rsidR="00C26DB3" w:rsidRPr="00443ABC">
        <w:rPr>
          <w:color w:val="000000"/>
          <w:sz w:val="22"/>
          <w:szCs w:val="22"/>
        </w:rPr>
        <w:t>týždeň.</w:t>
      </w:r>
    </w:p>
    <w:p w14:paraId="13D47A11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595BA056" w14:textId="2FE78604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</w:rPr>
        <w:t xml:space="preserve">Ak </w:t>
      </w:r>
      <w:r w:rsidR="00C26DB3" w:rsidRPr="00443ABC">
        <w:rPr>
          <w:sz w:val="22"/>
          <w:szCs w:val="22"/>
        </w:rPr>
        <w:t>sa</w:t>
      </w:r>
      <w:r w:rsidR="00C26DB3" w:rsidRPr="00443ABC">
        <w:rPr>
          <w:sz w:val="22"/>
        </w:rPr>
        <w:t xml:space="preserve"> u pacientov </w:t>
      </w:r>
      <w:r w:rsidR="00C26DB3" w:rsidRPr="00443ABC">
        <w:rPr>
          <w:sz w:val="22"/>
          <w:szCs w:val="22"/>
        </w:rPr>
        <w:t>prejavia</w:t>
      </w:r>
      <w:r w:rsidR="00C26DB3" w:rsidRPr="00443ABC">
        <w:rPr>
          <w:sz w:val="22"/>
        </w:rPr>
        <w:t xml:space="preserve"> znaky alebo </w:t>
      </w:r>
      <w:r w:rsidR="00C26DB3" w:rsidRPr="00443ABC">
        <w:rPr>
          <w:sz w:val="22"/>
          <w:szCs w:val="22"/>
        </w:rPr>
        <w:t>symptómy črtajúcej sa infekcie, musí byť pacient okamžite vyšetrený.</w:t>
      </w:r>
      <w:r w:rsidR="00C26DB3" w:rsidRPr="00443ABC">
        <w:rPr>
          <w:color w:val="000000"/>
          <w:sz w:val="22"/>
          <w:szCs w:val="22"/>
        </w:rPr>
        <w:t xml:space="preserve"> </w:t>
      </w:r>
    </w:p>
    <w:p w14:paraId="2B22EBFE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75C44690" w14:textId="600D165A" w:rsidR="00C26DB3" w:rsidRPr="00443ABC" w:rsidRDefault="005E1782">
      <w:pPr>
        <w:tabs>
          <w:tab w:val="left" w:pos="567"/>
        </w:tabs>
        <w:ind w:left="567" w:hanging="567"/>
        <w:rPr>
          <w:sz w:val="22"/>
          <w:szCs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proofErr w:type="spellStart"/>
      <w:r w:rsidR="00C26DB3" w:rsidRPr="00443ABC">
        <w:rPr>
          <w:sz w:val="22"/>
          <w:szCs w:val="22"/>
        </w:rPr>
        <w:t>Intersticiálne</w:t>
      </w:r>
      <w:proofErr w:type="spellEnd"/>
      <w:r w:rsidR="00C26DB3" w:rsidRPr="00443ABC">
        <w:rPr>
          <w:sz w:val="22"/>
          <w:szCs w:val="22"/>
        </w:rPr>
        <w:t xml:space="preserve"> choroby pľúc boli častejšie pozorované u japonskej populácie. Preto je treba tejto špecifickej populácii venovať osobitnú pozornosť.</w:t>
      </w:r>
    </w:p>
    <w:p w14:paraId="05D3F39C" w14:textId="77777777" w:rsidR="00C26DB3" w:rsidRPr="00443ABC" w:rsidRDefault="00C26DB3">
      <w:pPr>
        <w:ind w:left="567"/>
        <w:rPr>
          <w:sz w:val="22"/>
          <w:szCs w:val="22"/>
        </w:rPr>
      </w:pPr>
    </w:p>
    <w:p w14:paraId="2F354D5D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  <w:u w:val="single"/>
        </w:rPr>
        <w:t>Osobitné bezpečnostné opatrenia pri používaní</w:t>
      </w:r>
    </w:p>
    <w:p w14:paraId="2AE5AA46" w14:textId="77777777" w:rsidR="00C26DB3" w:rsidRPr="00443ABC" w:rsidRDefault="00C26DB3">
      <w:pPr>
        <w:ind w:left="567"/>
        <w:rPr>
          <w:sz w:val="22"/>
          <w:szCs w:val="22"/>
        </w:rPr>
      </w:pPr>
    </w:p>
    <w:p w14:paraId="47C20FD4" w14:textId="711F5ECC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U pacientov so závažnou poruchou</w:t>
      </w:r>
      <w:r w:rsidR="00C26DB3" w:rsidRPr="00443ABC">
        <w:rPr>
          <w:sz w:val="22"/>
        </w:rPr>
        <w:t xml:space="preserve"> pečene </w:t>
      </w:r>
      <w:r w:rsidR="00C26DB3" w:rsidRPr="00443ABC">
        <w:rPr>
          <w:sz w:val="22"/>
          <w:szCs w:val="22"/>
        </w:rPr>
        <w:t>je nutné</w:t>
      </w:r>
      <w:r w:rsidR="00C26DB3" w:rsidRPr="00443ABC">
        <w:rPr>
          <w:sz w:val="22"/>
        </w:rPr>
        <w:t xml:space="preserve"> znížiť</w:t>
      </w:r>
      <w:r w:rsidR="00C26DB3" w:rsidRPr="00443ABC">
        <w:rPr>
          <w:sz w:val="22"/>
          <w:szCs w:val="22"/>
        </w:rPr>
        <w:t xml:space="preserve"> dávku</w:t>
      </w:r>
      <w:r w:rsidR="00C26DB3" w:rsidRPr="00443ABC">
        <w:rPr>
          <w:sz w:val="22"/>
        </w:rPr>
        <w:t xml:space="preserve">: odporúča sa opatrnosť a starostlivé sledovanie hematologických parametrov (pozri </w:t>
      </w:r>
      <w:r w:rsidR="00C26DB3" w:rsidRPr="00443ABC">
        <w:rPr>
          <w:sz w:val="22"/>
          <w:szCs w:val="22"/>
        </w:rPr>
        <w:t>časť </w:t>
      </w:r>
      <w:r w:rsidR="00C26DB3" w:rsidRPr="00443ABC">
        <w:rPr>
          <w:sz w:val="22"/>
        </w:rPr>
        <w:t>4</w:t>
      </w:r>
      <w:r w:rsidR="00C26DB3" w:rsidRPr="00443ABC">
        <w:rPr>
          <w:sz w:val="22"/>
          <w:szCs w:val="22"/>
        </w:rPr>
        <w:t>.2 a 5</w:t>
      </w:r>
      <w:r w:rsidR="00C26DB3" w:rsidRPr="00443ABC">
        <w:rPr>
          <w:sz w:val="22"/>
        </w:rPr>
        <w:t>.2).</w:t>
      </w:r>
    </w:p>
    <w:p w14:paraId="7AE60E08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66B536D3" w14:textId="5B84ABB9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</w:rPr>
        <w:t xml:space="preserve">V prípade </w:t>
      </w:r>
      <w:r w:rsidR="00C26DB3" w:rsidRPr="00443ABC">
        <w:rPr>
          <w:sz w:val="22"/>
          <w:szCs w:val="22"/>
        </w:rPr>
        <w:t>poruchy</w:t>
      </w:r>
      <w:r w:rsidR="00C26DB3" w:rsidRPr="00443ABC">
        <w:rPr>
          <w:sz w:val="22"/>
        </w:rPr>
        <w:t xml:space="preserve"> funkcie obličiek nie je </w:t>
      </w:r>
      <w:r w:rsidR="00C26DB3" w:rsidRPr="00443ABC">
        <w:rPr>
          <w:sz w:val="22"/>
          <w:szCs w:val="22"/>
        </w:rPr>
        <w:t>potrebné vzhľadom na nízku úroveň renálnej</w:t>
      </w:r>
      <w:r w:rsidR="00C26DB3" w:rsidRPr="00443ABC">
        <w:rPr>
          <w:sz w:val="22"/>
        </w:rPr>
        <w:t xml:space="preserve"> exkrécie </w:t>
      </w:r>
      <w:r w:rsidR="00C26DB3" w:rsidRPr="00443ABC">
        <w:rPr>
          <w:sz w:val="22"/>
          <w:szCs w:val="22"/>
        </w:rPr>
        <w:t>meniť dávku</w:t>
      </w:r>
      <w:r w:rsidR="00C26DB3" w:rsidRPr="00443ABC">
        <w:rPr>
          <w:sz w:val="22"/>
        </w:rPr>
        <w:t xml:space="preserve"> (pozri časť 4.2 a 5.2).</w:t>
      </w:r>
    </w:p>
    <w:p w14:paraId="51052879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4DEE9268" w14:textId="0BBCBC8A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proofErr w:type="spellStart"/>
      <w:r w:rsidR="00C26DB3" w:rsidRPr="00443ABC">
        <w:rPr>
          <w:sz w:val="22"/>
          <w:szCs w:val="22"/>
        </w:rPr>
        <w:t>Vinorelbín</w:t>
      </w:r>
      <w:proofErr w:type="spellEnd"/>
      <w:r w:rsidR="00C26DB3" w:rsidRPr="00443ABC">
        <w:rPr>
          <w:sz w:val="22"/>
          <w:szCs w:val="22"/>
        </w:rPr>
        <w:t xml:space="preserve"> sa nesmie podávať súčasne s rádioterapiou, ak pole liečby zasahuje pečeň.</w:t>
      </w:r>
    </w:p>
    <w:p w14:paraId="54738190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6E3E4CB9" w14:textId="6299B5EC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</w:rPr>
        <w:t xml:space="preserve">Silné inhibítory alebo induktory CYP3A4 </w:t>
      </w:r>
      <w:r w:rsidR="00C26DB3" w:rsidRPr="00443ABC">
        <w:rPr>
          <w:sz w:val="22"/>
          <w:szCs w:val="22"/>
        </w:rPr>
        <w:t>sa musia podávať opatrne vzhľadom na riziko, že ovplyvnia</w:t>
      </w:r>
      <w:r w:rsidR="00C26DB3" w:rsidRPr="00443ABC">
        <w:rPr>
          <w:sz w:val="22"/>
        </w:rPr>
        <w:t xml:space="preserve"> koncentráciu vinorelbínu (pozri časť 4.5).</w:t>
      </w:r>
    </w:p>
    <w:p w14:paraId="6712461F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43190946" w14:textId="3DE51CFD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</w:rPr>
        <w:t xml:space="preserve">Tento </w:t>
      </w:r>
      <w:r w:rsidR="00C26DB3" w:rsidRPr="00443ABC">
        <w:rPr>
          <w:sz w:val="22"/>
          <w:szCs w:val="22"/>
        </w:rPr>
        <w:t>produkt</w:t>
      </w:r>
      <w:r w:rsidR="00C26DB3" w:rsidRPr="00443ABC">
        <w:rPr>
          <w:sz w:val="22"/>
        </w:rPr>
        <w:t xml:space="preserve"> sa </w:t>
      </w:r>
      <w:r w:rsidR="00C26DB3" w:rsidRPr="00443ABC">
        <w:rPr>
          <w:sz w:val="22"/>
          <w:szCs w:val="22"/>
        </w:rPr>
        <w:t>vo všeobecnosti</w:t>
      </w:r>
      <w:r w:rsidR="00C26DB3" w:rsidRPr="00443ABC">
        <w:rPr>
          <w:sz w:val="22"/>
        </w:rPr>
        <w:t xml:space="preserve"> neodporúča podávať </w:t>
      </w:r>
      <w:r w:rsidR="00C26DB3" w:rsidRPr="00443ABC">
        <w:rPr>
          <w:sz w:val="22"/>
          <w:szCs w:val="22"/>
        </w:rPr>
        <w:t>v kombinácii</w:t>
      </w:r>
      <w:r w:rsidR="00C26DB3" w:rsidRPr="00443ABC">
        <w:rPr>
          <w:sz w:val="22"/>
        </w:rPr>
        <w:t xml:space="preserve"> s itrakonazolom </w:t>
      </w:r>
      <w:r w:rsidR="00C26DB3" w:rsidRPr="00443ABC">
        <w:rPr>
          <w:sz w:val="22"/>
          <w:szCs w:val="22"/>
        </w:rPr>
        <w:t xml:space="preserve">(ako u všetkých alkaloidov z rodu Vinca) </w:t>
      </w:r>
      <w:r w:rsidR="00C26DB3" w:rsidRPr="00443ABC">
        <w:rPr>
          <w:sz w:val="22"/>
        </w:rPr>
        <w:t>a fenytoínom (</w:t>
      </w:r>
      <w:r w:rsidR="00C26DB3" w:rsidRPr="00443ABC">
        <w:rPr>
          <w:sz w:val="22"/>
          <w:szCs w:val="22"/>
        </w:rPr>
        <w:t>ako u všetkých cytotoxických látok) (pozri časť 4.5).</w:t>
      </w:r>
    </w:p>
    <w:p w14:paraId="32859F7E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4B446F2D" w14:textId="1995F239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Tento produkt je zvlášť kontraindikovaný s vakcínou žltej horúčky a jeho súčasné použitie s inými živými oslabenými vakcínami sa neodporúča (</w:t>
      </w:r>
      <w:r w:rsidR="00C26DB3" w:rsidRPr="00443ABC">
        <w:rPr>
          <w:sz w:val="22"/>
        </w:rPr>
        <w:t>pozri časť 4.5).</w:t>
      </w:r>
    </w:p>
    <w:p w14:paraId="1B69F95A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4B8FA9AB" w14:textId="287A4628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Aby sa predišlo vzniku</w:t>
      </w:r>
      <w:r w:rsidR="00C26DB3" w:rsidRPr="00443ABC">
        <w:rPr>
          <w:sz w:val="22"/>
        </w:rPr>
        <w:t xml:space="preserve"> bronchospazmu –</w:t>
      </w:r>
      <w:r w:rsidR="00C26DB3" w:rsidRPr="00443ABC">
        <w:rPr>
          <w:sz w:val="22"/>
          <w:szCs w:val="22"/>
        </w:rPr>
        <w:t> najmä</w:t>
      </w:r>
      <w:r w:rsidR="00C26DB3" w:rsidRPr="00443ABC">
        <w:rPr>
          <w:sz w:val="22"/>
        </w:rPr>
        <w:t xml:space="preserve"> pri </w:t>
      </w:r>
      <w:r w:rsidR="00C26DB3" w:rsidRPr="00443ABC">
        <w:rPr>
          <w:sz w:val="22"/>
          <w:szCs w:val="22"/>
        </w:rPr>
        <w:t>kombinovanej liečbe</w:t>
      </w:r>
      <w:r w:rsidR="00C26DB3" w:rsidRPr="00443ABC">
        <w:rPr>
          <w:sz w:val="22"/>
        </w:rPr>
        <w:t xml:space="preserve"> s</w:t>
      </w:r>
      <w:r w:rsidR="00C26DB3" w:rsidRPr="00443ABC">
        <w:rPr>
          <w:sz w:val="22"/>
          <w:szCs w:val="22"/>
        </w:rPr>
        <w:t xml:space="preserve"> </w:t>
      </w:r>
      <w:r w:rsidR="00C26DB3" w:rsidRPr="00443ABC">
        <w:rPr>
          <w:sz w:val="22"/>
        </w:rPr>
        <w:t>mitomycínom</w:t>
      </w:r>
      <w:r w:rsidR="00C26DB3" w:rsidRPr="00443ABC">
        <w:rPr>
          <w:sz w:val="22"/>
          <w:szCs w:val="22"/>
        </w:rPr>
        <w:t xml:space="preserve"> </w:t>
      </w:r>
      <w:r w:rsidR="00C26DB3" w:rsidRPr="00443ABC">
        <w:rPr>
          <w:sz w:val="22"/>
        </w:rPr>
        <w:t>C –</w:t>
      </w:r>
      <w:r w:rsidR="00C26DB3" w:rsidRPr="00443ABC">
        <w:rPr>
          <w:sz w:val="22"/>
          <w:szCs w:val="22"/>
        </w:rPr>
        <w:t> je nutné uvažovať o vhodných preventívnych opatreniach.</w:t>
      </w:r>
      <w:r w:rsidR="00C26DB3" w:rsidRPr="00443ABC">
        <w:rPr>
          <w:color w:val="000000"/>
          <w:sz w:val="22"/>
          <w:szCs w:val="22"/>
        </w:rPr>
        <w:t xml:space="preserve"> Ambulantní</w:t>
      </w:r>
      <w:r w:rsidR="00C26DB3" w:rsidRPr="00443ABC">
        <w:rPr>
          <w:color w:val="000000"/>
          <w:sz w:val="22"/>
        </w:rPr>
        <w:t xml:space="preserve"> pacienti musia byť informovaní, že v prípade dyspnoe </w:t>
      </w:r>
      <w:r w:rsidR="00C26DB3" w:rsidRPr="00443ABC">
        <w:rPr>
          <w:color w:val="000000"/>
          <w:sz w:val="22"/>
          <w:szCs w:val="22"/>
        </w:rPr>
        <w:t xml:space="preserve">sa </w:t>
      </w:r>
      <w:r w:rsidR="00C26DB3" w:rsidRPr="00443ABC">
        <w:rPr>
          <w:color w:val="000000"/>
          <w:sz w:val="22"/>
        </w:rPr>
        <w:t xml:space="preserve">musia </w:t>
      </w:r>
      <w:r w:rsidR="00C26DB3" w:rsidRPr="00443ABC">
        <w:rPr>
          <w:color w:val="000000"/>
          <w:sz w:val="22"/>
          <w:szCs w:val="22"/>
        </w:rPr>
        <w:t>ihneď spojiť so svojím lekárom</w:t>
      </w:r>
      <w:r w:rsidR="00C26DB3" w:rsidRPr="00443ABC">
        <w:rPr>
          <w:color w:val="000000"/>
          <w:sz w:val="22"/>
        </w:rPr>
        <w:t>.</w:t>
      </w:r>
    </w:p>
    <w:p w14:paraId="616CD2E5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26E389DD" w14:textId="75E23103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Odporúča sa, aby osobitná</w:t>
      </w:r>
      <w:r w:rsidR="00C26DB3" w:rsidRPr="00443ABC">
        <w:rPr>
          <w:sz w:val="22"/>
        </w:rPr>
        <w:t xml:space="preserve"> pozornosť</w:t>
      </w:r>
      <w:r w:rsidR="00C26DB3" w:rsidRPr="00443ABC">
        <w:rPr>
          <w:sz w:val="22"/>
          <w:szCs w:val="22"/>
        </w:rPr>
        <w:t xml:space="preserve"> bola venovaná</w:t>
      </w:r>
      <w:r w:rsidR="00C26DB3" w:rsidRPr="00443ABC">
        <w:rPr>
          <w:sz w:val="22"/>
        </w:rPr>
        <w:t xml:space="preserve"> pacientom</w:t>
      </w:r>
      <w:r w:rsidR="00C26DB3" w:rsidRPr="00443ABC">
        <w:rPr>
          <w:sz w:val="22"/>
          <w:szCs w:val="22"/>
        </w:rPr>
        <w:t xml:space="preserve">, ktorí majú </w:t>
      </w:r>
      <w:r w:rsidR="00C26DB3" w:rsidRPr="00443ABC">
        <w:rPr>
          <w:sz w:val="22"/>
        </w:rPr>
        <w:t>v anamnéze</w:t>
      </w:r>
      <w:r w:rsidR="00C26DB3" w:rsidRPr="00443ABC">
        <w:rPr>
          <w:sz w:val="22"/>
          <w:szCs w:val="22"/>
        </w:rPr>
        <w:t xml:space="preserve"> ischemickú chorobu srdca (pozri časť 4.8).</w:t>
      </w:r>
    </w:p>
    <w:p w14:paraId="022CA1A1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054155C3" w14:textId="017F410C" w:rsidR="00C26DB3" w:rsidRPr="00443ABC" w:rsidRDefault="005E1782">
      <w:pPr>
        <w:tabs>
          <w:tab w:val="left" w:pos="567"/>
        </w:tabs>
        <w:ind w:left="567" w:hanging="567"/>
        <w:rPr>
          <w:sz w:val="22"/>
          <w:szCs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Je nutné vyhýbať sa akýmkoľvek kontaktom s očami: v prípade, že sa tento liek vstrekne do očí pod tlakom, hrozí nebezpečenstvo závažného podráždenia a dokonca ulcerácie rohovky.</w:t>
      </w:r>
      <w:r w:rsidR="00C26DB3" w:rsidRPr="00443ABC">
        <w:rPr>
          <w:color w:val="000000"/>
          <w:sz w:val="22"/>
          <w:szCs w:val="22"/>
        </w:rPr>
        <w:t xml:space="preserve"> Ak by došlo ku</w:t>
      </w:r>
      <w:r w:rsidR="00C26DB3" w:rsidRPr="00443ABC">
        <w:rPr>
          <w:color w:val="000000"/>
          <w:sz w:val="22"/>
        </w:rPr>
        <w:t xml:space="preserve"> kontaktu</w:t>
      </w:r>
      <w:r w:rsidR="00C26DB3" w:rsidRPr="00443ABC">
        <w:rPr>
          <w:color w:val="000000"/>
          <w:sz w:val="22"/>
          <w:szCs w:val="22"/>
        </w:rPr>
        <w:t>, je treba</w:t>
      </w:r>
      <w:r w:rsidR="00C26DB3" w:rsidRPr="00443ABC">
        <w:rPr>
          <w:color w:val="000000"/>
          <w:sz w:val="22"/>
        </w:rPr>
        <w:t xml:space="preserve"> oči </w:t>
      </w:r>
      <w:r w:rsidR="00C26DB3" w:rsidRPr="00443ABC">
        <w:rPr>
          <w:color w:val="000000"/>
          <w:sz w:val="22"/>
          <w:szCs w:val="22"/>
        </w:rPr>
        <w:t>okamžite výdatne prepláchnuť</w:t>
      </w:r>
      <w:r w:rsidR="00C26DB3" w:rsidRPr="00443ABC">
        <w:rPr>
          <w:color w:val="000000"/>
          <w:sz w:val="22"/>
        </w:rPr>
        <w:t xml:space="preserve"> roztokom </w:t>
      </w:r>
      <w:r w:rsidR="00C26DB3" w:rsidRPr="00443ABC">
        <w:rPr>
          <w:sz w:val="22"/>
          <w:szCs w:val="22"/>
        </w:rPr>
        <w:t>chloridu sodného 9 mg/ml (0,9 %)</w:t>
      </w:r>
      <w:r w:rsidR="00C26DB3" w:rsidRPr="00443ABC">
        <w:rPr>
          <w:color w:val="000000"/>
          <w:sz w:val="22"/>
        </w:rPr>
        <w:t>.</w:t>
      </w:r>
    </w:p>
    <w:p w14:paraId="3683DD21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7BC709CE" w14:textId="77777777" w:rsidR="00C26DB3" w:rsidRPr="00443ABC" w:rsidRDefault="00C26DB3" w:rsidP="000216EC">
      <w:pPr>
        <w:keepNext/>
        <w:keepLines/>
        <w:ind w:left="567" w:hanging="567"/>
        <w:jc w:val="both"/>
        <w:rPr>
          <w:b/>
          <w:color w:val="000000"/>
          <w:spacing w:val="-3"/>
          <w:sz w:val="22"/>
          <w:u w:val="single"/>
        </w:rPr>
      </w:pPr>
      <w:r w:rsidRPr="00443ABC">
        <w:rPr>
          <w:b/>
          <w:color w:val="000000"/>
          <w:spacing w:val="-3"/>
          <w:sz w:val="22"/>
        </w:rPr>
        <w:lastRenderedPageBreak/>
        <w:t>4.5</w:t>
      </w:r>
      <w:r w:rsidRPr="00443ABC">
        <w:rPr>
          <w:b/>
          <w:color w:val="000000"/>
          <w:spacing w:val="-3"/>
          <w:sz w:val="22"/>
        </w:rPr>
        <w:tab/>
        <w:t>Liekové a iné interakcie</w:t>
      </w:r>
    </w:p>
    <w:p w14:paraId="1DD01FB2" w14:textId="77777777" w:rsidR="00C26DB3" w:rsidRPr="00443ABC" w:rsidRDefault="00C26DB3" w:rsidP="000216EC">
      <w:pPr>
        <w:keepNext/>
        <w:keepLines/>
        <w:rPr>
          <w:color w:val="000000"/>
          <w:spacing w:val="-3"/>
          <w:sz w:val="22"/>
        </w:rPr>
      </w:pPr>
    </w:p>
    <w:p w14:paraId="545CACE1" w14:textId="77777777" w:rsidR="00C26DB3" w:rsidRPr="00443ABC" w:rsidRDefault="00C26DB3" w:rsidP="000216EC">
      <w:pPr>
        <w:keepNext/>
        <w:keepLines/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Interakcie bežné u všetkých cytotoxík</w:t>
      </w:r>
    </w:p>
    <w:p w14:paraId="02611CF1" w14:textId="77777777" w:rsidR="00C26DB3" w:rsidRPr="00443ABC" w:rsidRDefault="00C26DB3" w:rsidP="000216EC">
      <w:pPr>
        <w:keepNext/>
        <w:keepLines/>
        <w:rPr>
          <w:sz w:val="22"/>
          <w:szCs w:val="22"/>
        </w:rPr>
      </w:pPr>
    </w:p>
    <w:p w14:paraId="629FFDED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Nakoľko v prípade nádorových onemocnení sa zvyšuje riziko trombózy, často sa používa antikoagulačná liečba. Ak je pacient podrobený antikoagulačnej liečbe, musí sa zvýšiť frekvencia monitorovania INR (International Normalized Ratio = medzinárodný normalizovaný pomer) kvôli vysokej interindividuálnej variabilite zrážanlivosti a možnosti interakcie medzi perorálnymi antikoagulanciami a protinádorovou chemoterapiou.</w:t>
      </w:r>
    </w:p>
    <w:p w14:paraId="2EDD45AB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79C6700F" w14:textId="77777777" w:rsidR="00C26DB3" w:rsidRPr="00443ABC" w:rsidRDefault="00C26DB3">
      <w:pPr>
        <w:keepNext/>
        <w:keepLines/>
        <w:rPr>
          <w:i/>
          <w:color w:val="000000"/>
          <w:sz w:val="22"/>
          <w:szCs w:val="22"/>
        </w:rPr>
      </w:pPr>
      <w:r w:rsidRPr="00443ABC">
        <w:rPr>
          <w:i/>
          <w:color w:val="000000"/>
          <w:sz w:val="22"/>
          <w:szCs w:val="22"/>
        </w:rPr>
        <w:t>Súčasné použitie sa neodporúča</w:t>
      </w:r>
    </w:p>
    <w:p w14:paraId="4CC5DF77" w14:textId="77777777" w:rsidR="00C26DB3" w:rsidRPr="00443ABC" w:rsidRDefault="00C26DB3">
      <w:pPr>
        <w:keepNext/>
        <w:keepLines/>
        <w:rPr>
          <w:color w:val="000000"/>
          <w:sz w:val="22"/>
          <w:szCs w:val="22"/>
        </w:rPr>
      </w:pPr>
      <w:r w:rsidRPr="00443ABC">
        <w:rPr>
          <w:color w:val="000000"/>
          <w:sz w:val="22"/>
          <w:szCs w:val="22"/>
        </w:rPr>
        <w:t xml:space="preserve">Vzhľadom na riziko generalizovanej, eventuálne fatálnej choroby vyvolanej danou vakcínou sa obvykle neodporúča podávať tento produkt v kombinácii so živými oslabenými vakcínami. Toto nebezpečenstvo je zvýšené u pacientov, ktorí sú imunosuprimovaní už svojou základnou chorobou. Odporúča sa používať inaktivovanú vakcínu, ak existuje (poliomyelitis) (pozri časť 4.4). </w:t>
      </w:r>
    </w:p>
    <w:p w14:paraId="5E1AC759" w14:textId="77777777" w:rsidR="00C26DB3" w:rsidRPr="00443ABC" w:rsidRDefault="00C26DB3">
      <w:pPr>
        <w:rPr>
          <w:color w:val="000000"/>
          <w:sz w:val="22"/>
          <w:szCs w:val="22"/>
        </w:rPr>
      </w:pPr>
    </w:p>
    <w:p w14:paraId="445E897B" w14:textId="77777777" w:rsidR="00C26DB3" w:rsidRPr="00443ABC" w:rsidRDefault="00C26DB3">
      <w:pPr>
        <w:rPr>
          <w:i/>
          <w:color w:val="000000"/>
          <w:sz w:val="22"/>
          <w:szCs w:val="22"/>
        </w:rPr>
      </w:pPr>
      <w:r w:rsidRPr="00443ABC">
        <w:rPr>
          <w:i/>
          <w:color w:val="000000"/>
          <w:sz w:val="22"/>
          <w:szCs w:val="22"/>
        </w:rPr>
        <w:t>Kontraindikácia súbežného použitia</w:t>
      </w:r>
    </w:p>
    <w:p w14:paraId="79CD1FF4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z w:val="22"/>
          <w:szCs w:val="22"/>
        </w:rPr>
        <w:t>U vakcíny žltej zimnice je súčasné používanie s vinorelbínom kontraindikované (pozri časť 4.3).</w:t>
      </w:r>
    </w:p>
    <w:p w14:paraId="4D4FBF89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0773DA31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Fenytoín: riziko exacerbácie konvulzií v dôsledku zníženia absorpcie fenytoínu v tráviacom trakte cytotoxickými liekmi alebo nebezpečenstvo zvýšenia toxicity alebo strata účinnosti cytotoxických liekov v dôsledku zvýšenia hepatálneho metabolizmu fenytoínom.</w:t>
      </w:r>
    </w:p>
    <w:p w14:paraId="0286411A" w14:textId="77777777" w:rsidR="00C26DB3" w:rsidRPr="00443ABC" w:rsidRDefault="00C26DB3">
      <w:pPr>
        <w:rPr>
          <w:sz w:val="22"/>
          <w:szCs w:val="22"/>
        </w:rPr>
      </w:pPr>
    </w:p>
    <w:p w14:paraId="737C37DE" w14:textId="77777777" w:rsidR="00C26DB3" w:rsidRPr="00443ABC" w:rsidRDefault="00C26DB3">
      <w:pPr>
        <w:rPr>
          <w:i/>
          <w:color w:val="000000"/>
          <w:sz w:val="22"/>
          <w:szCs w:val="22"/>
        </w:rPr>
      </w:pPr>
      <w:r w:rsidRPr="00443ABC">
        <w:rPr>
          <w:i/>
          <w:color w:val="000000"/>
          <w:sz w:val="22"/>
          <w:szCs w:val="22"/>
        </w:rPr>
        <w:t>Vziať do úvahy súbežné použitie</w:t>
      </w:r>
    </w:p>
    <w:p w14:paraId="7F782D0B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Ciklosporín, takrolimus: Je treba vziať do úvahy aj rozsiahlu imunosupresiu s rizikom lymfoproliferácie.</w:t>
      </w:r>
    </w:p>
    <w:p w14:paraId="4064F742" w14:textId="77777777" w:rsidR="00C26DB3" w:rsidRPr="00443ABC" w:rsidRDefault="00C26DB3">
      <w:pPr>
        <w:rPr>
          <w:sz w:val="22"/>
          <w:szCs w:val="22"/>
        </w:rPr>
      </w:pPr>
    </w:p>
    <w:p w14:paraId="7C6E66FB" w14:textId="77777777" w:rsidR="00C26DB3" w:rsidRPr="00443ABC" w:rsidRDefault="00C26DB3">
      <w:pPr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Interakcie špecifické pre alkaloidy z rodu Vinca</w:t>
      </w:r>
    </w:p>
    <w:p w14:paraId="32719A61" w14:textId="77777777" w:rsidR="00C26DB3" w:rsidRPr="00443ABC" w:rsidRDefault="00C26DB3">
      <w:pPr>
        <w:rPr>
          <w:sz w:val="22"/>
          <w:szCs w:val="22"/>
        </w:rPr>
      </w:pPr>
    </w:p>
    <w:p w14:paraId="4B3C43FE" w14:textId="77777777" w:rsidR="00C26DB3" w:rsidRPr="00443ABC" w:rsidRDefault="00C26DB3">
      <w:pPr>
        <w:rPr>
          <w:i/>
          <w:color w:val="000000"/>
          <w:sz w:val="22"/>
          <w:szCs w:val="22"/>
        </w:rPr>
      </w:pPr>
      <w:r w:rsidRPr="00443ABC">
        <w:rPr>
          <w:i/>
          <w:color w:val="000000"/>
          <w:sz w:val="22"/>
        </w:rPr>
        <w:t xml:space="preserve">Súbežné </w:t>
      </w:r>
      <w:r w:rsidRPr="00443ABC">
        <w:rPr>
          <w:i/>
          <w:color w:val="000000"/>
          <w:sz w:val="22"/>
          <w:szCs w:val="22"/>
        </w:rPr>
        <w:t>použitie sa neodporúča</w:t>
      </w:r>
    </w:p>
    <w:p w14:paraId="62094F6C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Itrakonazol sa nesmie podávať súčasne s vinorelbínom, nakoľko je tu riziko zvýšenej neurotoxicity v dôsledku zníženia ich hepatálneho metabolizmu.</w:t>
      </w:r>
    </w:p>
    <w:p w14:paraId="1A38CE82" w14:textId="77777777" w:rsidR="00C26DB3" w:rsidRPr="00443ABC" w:rsidRDefault="00C26DB3">
      <w:pPr>
        <w:rPr>
          <w:sz w:val="22"/>
          <w:szCs w:val="22"/>
        </w:rPr>
      </w:pPr>
    </w:p>
    <w:p w14:paraId="105716C3" w14:textId="77777777" w:rsidR="00C26DB3" w:rsidRPr="00443ABC" w:rsidRDefault="00C26DB3">
      <w:pPr>
        <w:rPr>
          <w:i/>
          <w:color w:val="000000"/>
          <w:sz w:val="22"/>
          <w:szCs w:val="22"/>
        </w:rPr>
      </w:pPr>
      <w:r w:rsidRPr="00443ABC">
        <w:rPr>
          <w:i/>
          <w:color w:val="000000"/>
          <w:sz w:val="22"/>
          <w:szCs w:val="22"/>
        </w:rPr>
        <w:t>Vziať do úvahy súbežné použitie</w:t>
      </w:r>
    </w:p>
    <w:p w14:paraId="7810FFE4" w14:textId="77777777" w:rsidR="00C26DB3" w:rsidRPr="00443ABC" w:rsidRDefault="00C26DB3">
      <w:pPr>
        <w:rPr>
          <w:sz w:val="22"/>
        </w:rPr>
      </w:pPr>
      <w:r w:rsidRPr="00443ABC">
        <w:rPr>
          <w:sz w:val="22"/>
          <w:szCs w:val="22"/>
        </w:rPr>
        <w:t xml:space="preserve">Súčasné použitie </w:t>
      </w:r>
      <w:r w:rsidRPr="00443ABC">
        <w:rPr>
          <w:sz w:val="22"/>
        </w:rPr>
        <w:t>alkaloidov z</w:t>
      </w:r>
      <w:r w:rsidRPr="00443ABC">
        <w:rPr>
          <w:sz w:val="22"/>
          <w:szCs w:val="22"/>
        </w:rPr>
        <w:t xml:space="preserve"> </w:t>
      </w:r>
      <w:r w:rsidRPr="00443ABC">
        <w:rPr>
          <w:sz w:val="22"/>
        </w:rPr>
        <w:t>rodu Vinca a mitomycínu</w:t>
      </w:r>
      <w:r w:rsidRPr="00443ABC">
        <w:rPr>
          <w:sz w:val="22"/>
          <w:szCs w:val="22"/>
        </w:rPr>
        <w:t xml:space="preserve"> </w:t>
      </w:r>
      <w:r w:rsidRPr="00443ABC">
        <w:rPr>
          <w:sz w:val="22"/>
        </w:rPr>
        <w:t xml:space="preserve">C zvyšuje riziko bronchospazmu a dyspnoe. V zriedkavých prípadoch, najmä v kombinácii s mitomycínom, </w:t>
      </w:r>
      <w:r w:rsidRPr="00443ABC">
        <w:rPr>
          <w:sz w:val="22"/>
          <w:szCs w:val="22"/>
        </w:rPr>
        <w:t>bola pozorovaná</w:t>
      </w:r>
      <w:r w:rsidRPr="00443ABC">
        <w:rPr>
          <w:sz w:val="22"/>
        </w:rPr>
        <w:t xml:space="preserve"> intersticiálna pneumonitída.</w:t>
      </w:r>
    </w:p>
    <w:p w14:paraId="3F35D1DA" w14:textId="77777777" w:rsidR="00C26DB3" w:rsidRPr="00443ABC" w:rsidRDefault="00C26DB3">
      <w:pPr>
        <w:rPr>
          <w:sz w:val="22"/>
        </w:rPr>
      </w:pPr>
    </w:p>
    <w:p w14:paraId="0EC073FC" w14:textId="77777777" w:rsidR="00C26DB3" w:rsidRPr="00443ABC" w:rsidRDefault="00C26DB3">
      <w:pPr>
        <w:rPr>
          <w:b/>
          <w:i/>
          <w:sz w:val="22"/>
        </w:rPr>
      </w:pPr>
      <w:r w:rsidRPr="00443ABC">
        <w:rPr>
          <w:sz w:val="22"/>
        </w:rPr>
        <w:t xml:space="preserve">Vinorelbín je </w:t>
      </w:r>
      <w:r w:rsidRPr="00443ABC">
        <w:rPr>
          <w:sz w:val="22"/>
          <w:szCs w:val="22"/>
        </w:rPr>
        <w:t>substrát</w:t>
      </w:r>
      <w:r w:rsidRPr="00443ABC">
        <w:rPr>
          <w:sz w:val="22"/>
        </w:rPr>
        <w:t xml:space="preserve"> P-glykoproteínu a súbežné </w:t>
      </w:r>
      <w:r w:rsidRPr="00443ABC">
        <w:rPr>
          <w:sz w:val="22"/>
          <w:szCs w:val="22"/>
        </w:rPr>
        <w:t xml:space="preserve">užívanie inhibítorov </w:t>
      </w:r>
      <w:r w:rsidRPr="00443ABC">
        <w:rPr>
          <w:sz w:val="22"/>
        </w:rPr>
        <w:t xml:space="preserve">(napr. </w:t>
      </w:r>
      <w:r w:rsidRPr="00443ABC">
        <w:rPr>
          <w:sz w:val="22"/>
          <w:szCs w:val="22"/>
        </w:rPr>
        <w:t>verapramil, ciklosporín</w:t>
      </w:r>
      <w:r w:rsidRPr="00443ABC">
        <w:rPr>
          <w:sz w:val="22"/>
        </w:rPr>
        <w:t xml:space="preserve"> a chinidín) alebo </w:t>
      </w:r>
      <w:r w:rsidRPr="00443ABC">
        <w:rPr>
          <w:sz w:val="22"/>
          <w:szCs w:val="22"/>
        </w:rPr>
        <w:t>induktorov</w:t>
      </w:r>
      <w:r w:rsidRPr="00443ABC">
        <w:rPr>
          <w:sz w:val="22"/>
        </w:rPr>
        <w:t xml:space="preserve"> tohto transportného proteínu môže ovplyvniť koncentráciu vinorelbínu.</w:t>
      </w:r>
    </w:p>
    <w:p w14:paraId="082E5195" w14:textId="77777777" w:rsidR="00C26DB3" w:rsidRPr="00443ABC" w:rsidRDefault="00C26DB3">
      <w:pPr>
        <w:rPr>
          <w:sz w:val="22"/>
        </w:rPr>
      </w:pPr>
    </w:p>
    <w:p w14:paraId="73FC7C18" w14:textId="77777777" w:rsidR="00C26DB3" w:rsidRPr="00443ABC" w:rsidRDefault="00C26DB3">
      <w:pPr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Špecifické interakcie vinorelbínu</w:t>
      </w:r>
    </w:p>
    <w:p w14:paraId="3831A30C" w14:textId="77777777" w:rsidR="00C26DB3" w:rsidRPr="00443ABC" w:rsidRDefault="00C26DB3">
      <w:pPr>
        <w:rPr>
          <w:sz w:val="22"/>
          <w:szCs w:val="22"/>
        </w:rPr>
      </w:pPr>
    </w:p>
    <w:p w14:paraId="6348E6A3" w14:textId="77777777" w:rsidR="00C26DB3" w:rsidRPr="00443ABC" w:rsidRDefault="00C26DB3">
      <w:pPr>
        <w:rPr>
          <w:sz w:val="22"/>
        </w:rPr>
      </w:pPr>
      <w:r w:rsidRPr="00443ABC">
        <w:rPr>
          <w:sz w:val="22"/>
          <w:szCs w:val="22"/>
        </w:rPr>
        <w:t>Kombinácie vinorelbínu s inými liekmi so známou toxicitou kostnej drene pravdepodobne zhoršia myelosupresívne nežiaduce reakcie.</w:t>
      </w:r>
    </w:p>
    <w:p w14:paraId="7EC4EEE7" w14:textId="77777777" w:rsidR="00C26DB3" w:rsidRPr="00443ABC" w:rsidRDefault="00C26DB3">
      <w:pPr>
        <w:rPr>
          <w:sz w:val="22"/>
        </w:rPr>
      </w:pPr>
    </w:p>
    <w:p w14:paraId="640DFF23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</w:rPr>
        <w:t xml:space="preserve">Keďže </w:t>
      </w:r>
      <w:r w:rsidRPr="00443ABC">
        <w:rPr>
          <w:sz w:val="22"/>
          <w:szCs w:val="22"/>
        </w:rPr>
        <w:t xml:space="preserve">do metabolizmu vinorelbínu je zapojený predovšetkým CYP 3A4, kombinácia so silnými inhibítormi tohto izoenzýmu (napr. itrakonazolom, ketokonazolom, klaritromycínom, erytromycínom a ritonavirom) by mohla zvýšiť koncentrácie vinorelbínu v krvi a kombinácia so silnými induktormi tohto izoenzýmu (napr. rifampicínom, fenytoínom, fenobarbitalom, karbamazepínom a ľubovníkom bodkovaným) môže znížiť koncentrácie vinorelbínu v krvi. </w:t>
      </w:r>
    </w:p>
    <w:p w14:paraId="0801DF39" w14:textId="77777777" w:rsidR="00C26DB3" w:rsidRPr="00443ABC" w:rsidRDefault="00C26DB3">
      <w:pPr>
        <w:rPr>
          <w:sz w:val="22"/>
          <w:szCs w:val="22"/>
        </w:rPr>
      </w:pPr>
    </w:p>
    <w:p w14:paraId="4ADD4AB3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Kombinácie vinorelbínu a cisplatiny (ktorá je veľmi častá) nemá na farmakokinetické parametre žiaden vplyv. No v prípade kombinácie vinorelbínu a cisplatiny je častejší výskyt granulocytopénie než v prípade monoterapie vinorelbínom.</w:t>
      </w:r>
    </w:p>
    <w:p w14:paraId="26878953" w14:textId="77777777" w:rsidR="00C26DB3" w:rsidRPr="00443ABC" w:rsidRDefault="00C26DB3">
      <w:pPr>
        <w:ind w:left="850" w:hanging="850"/>
        <w:rPr>
          <w:b/>
          <w:color w:val="000000"/>
          <w:spacing w:val="-3"/>
          <w:sz w:val="22"/>
          <w:szCs w:val="22"/>
        </w:rPr>
      </w:pPr>
    </w:p>
    <w:p w14:paraId="38ABF5E4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lastRenderedPageBreak/>
        <w:t>Keď v jednej štúdii klinickej fázy I spojili podávanie intravenózneho vinorelbínu a lapatinibu, výsledky naznačovali zvýšený výskyt neutropénie 3/4 stupňa. V tejto štúdii bola pri kombinácii s dennou dávkou lapatinibu 1 000 mg odporúčaná dávka intravenóznej formy vinorelbínu v 3</w:t>
      </w:r>
      <w:r w:rsidRPr="00443ABC">
        <w:rPr>
          <w:color w:val="000000"/>
          <w:spacing w:val="-3"/>
          <w:sz w:val="22"/>
          <w:szCs w:val="22"/>
        </w:rPr>
        <w:noBreakHyphen/>
        <w:t>týždňovom rozvrhu v 1. deň a 8. deň 22,5 mg/m². Tento typ kombinácie sa musí podávať s veľkou opatrnosťou.</w:t>
      </w:r>
    </w:p>
    <w:p w14:paraId="38050345" w14:textId="77777777" w:rsidR="00C26DB3" w:rsidRPr="00443ABC" w:rsidRDefault="00C26DB3">
      <w:pPr>
        <w:ind w:left="850" w:hanging="850"/>
        <w:rPr>
          <w:b/>
          <w:color w:val="000000"/>
          <w:spacing w:val="-3"/>
          <w:sz w:val="22"/>
          <w:szCs w:val="22"/>
        </w:rPr>
      </w:pPr>
    </w:p>
    <w:p w14:paraId="335B46EF" w14:textId="77777777" w:rsidR="00C26DB3" w:rsidRPr="00443ABC" w:rsidRDefault="00C26DB3">
      <w:pPr>
        <w:keepNext/>
        <w:keepLines/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4.6</w:t>
      </w:r>
      <w:r w:rsidRPr="00443ABC">
        <w:rPr>
          <w:b/>
          <w:color w:val="000000"/>
          <w:spacing w:val="-3"/>
          <w:sz w:val="22"/>
        </w:rPr>
        <w:tab/>
      </w:r>
      <w:r w:rsidRPr="00443ABC">
        <w:rPr>
          <w:b/>
          <w:color w:val="000000"/>
          <w:spacing w:val="-3"/>
          <w:sz w:val="22"/>
          <w:szCs w:val="22"/>
        </w:rPr>
        <w:t>Fertilita, gravidita</w:t>
      </w:r>
      <w:r w:rsidRPr="00443ABC">
        <w:rPr>
          <w:b/>
          <w:color w:val="000000"/>
          <w:spacing w:val="-3"/>
          <w:sz w:val="22"/>
        </w:rPr>
        <w:t xml:space="preserve"> a laktácia</w:t>
      </w:r>
    </w:p>
    <w:p w14:paraId="4FBD02A2" w14:textId="77777777" w:rsidR="00C26DB3" w:rsidRPr="00443ABC" w:rsidRDefault="00C26DB3">
      <w:pPr>
        <w:keepNext/>
        <w:keepLines/>
        <w:ind w:left="567" w:hanging="567"/>
        <w:jc w:val="both"/>
        <w:rPr>
          <w:b/>
          <w:color w:val="000000"/>
          <w:spacing w:val="-3"/>
          <w:sz w:val="22"/>
          <w:szCs w:val="22"/>
          <w:u w:val="single"/>
        </w:rPr>
      </w:pPr>
    </w:p>
    <w:p w14:paraId="211AE974" w14:textId="77777777" w:rsidR="00C26DB3" w:rsidRPr="00443ABC" w:rsidRDefault="00C26DB3">
      <w:pPr>
        <w:keepNext/>
        <w:keepLines/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Gravidita</w:t>
      </w:r>
    </w:p>
    <w:p w14:paraId="207AD07F" w14:textId="77777777" w:rsidR="00C26DB3" w:rsidRPr="00F0289A" w:rsidRDefault="00C26DB3">
      <w:pPr>
        <w:pStyle w:val="NormalInterligneAumoins12pt"/>
        <w:keepNext/>
        <w:keepLines/>
        <w:spacing w:line="240" w:lineRule="auto"/>
        <w:rPr>
          <w:szCs w:val="22"/>
        </w:rPr>
      </w:pPr>
      <w:r w:rsidRPr="00443ABC">
        <w:rPr>
          <w:szCs w:val="22"/>
        </w:rPr>
        <w:t>Nie sú k</w:t>
      </w:r>
      <w:r w:rsidRPr="00F0289A">
        <w:rPr>
          <w:szCs w:val="22"/>
        </w:rPr>
        <w:t> dispozícii alebo je iba obmedzené množstvo údajov o použití vinorelbínu u gravidných žien. Štúdie na zvieratách preukázali embryotoxicitu a teratogenicitu (pozri časť 5.3). Na základe výsledkov štúdií na zvieratách a farmakologického účinku vinorelbínu existuje podozrenie</w:t>
      </w:r>
      <w:r w:rsidRPr="00F0289A">
        <w:rPr>
          <w:noProof w:val="0"/>
          <w:szCs w:val="22"/>
        </w:rPr>
        <w:t xml:space="preserve">, že </w:t>
      </w:r>
      <w:r w:rsidRPr="00F0289A">
        <w:rPr>
          <w:szCs w:val="22"/>
        </w:rPr>
        <w:t>tento liek</w:t>
      </w:r>
      <w:r w:rsidRPr="00F0289A">
        <w:rPr>
          <w:i/>
          <w:szCs w:val="22"/>
        </w:rPr>
        <w:t xml:space="preserve"> </w:t>
      </w:r>
      <w:r w:rsidRPr="00F0289A">
        <w:rPr>
          <w:szCs w:val="22"/>
        </w:rPr>
        <w:t xml:space="preserve">spôsobuje vrodené malformácie, keď je podávaný počas gravidity. </w:t>
      </w:r>
    </w:p>
    <w:p w14:paraId="229D6B4F" w14:textId="77777777" w:rsidR="00415BFF" w:rsidRPr="00F0289A" w:rsidRDefault="00415BFF">
      <w:pPr>
        <w:pStyle w:val="NormalInterligneAumoins12pt"/>
        <w:rPr>
          <w:noProof w:val="0"/>
          <w:szCs w:val="22"/>
        </w:rPr>
      </w:pPr>
    </w:p>
    <w:p w14:paraId="0C2A8101" w14:textId="32ED698A" w:rsidR="00C26DB3" w:rsidRPr="00F0289A" w:rsidRDefault="00C26DB3">
      <w:pPr>
        <w:pStyle w:val="NormalInterligneAumoins12pt"/>
        <w:rPr>
          <w:noProof w:val="0"/>
          <w:szCs w:val="22"/>
        </w:rPr>
      </w:pPr>
      <w:r w:rsidRPr="00F0289A">
        <w:rPr>
          <w:noProof w:val="0"/>
          <w:szCs w:val="22"/>
        </w:rPr>
        <w:t xml:space="preserve">Navirel je kontraindikovaný počas gravidity (pozri časť 4.3). </w:t>
      </w:r>
      <w:r w:rsidRPr="00F0289A">
        <w:rPr>
          <w:noProof w:val="0"/>
          <w:spacing w:val="-3"/>
          <w:szCs w:val="22"/>
        </w:rPr>
        <w:t xml:space="preserve">Ženy </w:t>
      </w:r>
      <w:r w:rsidR="00557BF6" w:rsidRPr="00F0289A">
        <w:rPr>
          <w:noProof w:val="0"/>
          <w:spacing w:val="-3"/>
          <w:szCs w:val="22"/>
        </w:rPr>
        <w:t xml:space="preserve">počas liečby </w:t>
      </w:r>
      <w:proofErr w:type="spellStart"/>
      <w:r w:rsidR="00557BF6" w:rsidRPr="00F0289A">
        <w:rPr>
          <w:noProof w:val="0"/>
          <w:spacing w:val="-3"/>
          <w:szCs w:val="22"/>
        </w:rPr>
        <w:t>vinorelbínom</w:t>
      </w:r>
      <w:proofErr w:type="spellEnd"/>
      <w:r w:rsidR="00557BF6" w:rsidRPr="00F0289A">
        <w:rPr>
          <w:noProof w:val="0"/>
          <w:spacing w:val="-3"/>
          <w:szCs w:val="22"/>
        </w:rPr>
        <w:t xml:space="preserve"> ne</w:t>
      </w:r>
      <w:r w:rsidR="00317D22">
        <w:rPr>
          <w:noProof w:val="0"/>
          <w:spacing w:val="-3"/>
          <w:szCs w:val="22"/>
        </w:rPr>
        <w:t>smú</w:t>
      </w:r>
      <w:r w:rsidR="00557BF6" w:rsidRPr="00F0289A">
        <w:rPr>
          <w:noProof w:val="0"/>
          <w:spacing w:val="-3"/>
          <w:szCs w:val="22"/>
        </w:rPr>
        <w:t xml:space="preserve"> otehotnieť</w:t>
      </w:r>
      <w:r w:rsidRPr="00F0289A">
        <w:rPr>
          <w:noProof w:val="0"/>
          <w:spacing w:val="-3"/>
          <w:szCs w:val="22"/>
        </w:rPr>
        <w:t>.</w:t>
      </w:r>
    </w:p>
    <w:p w14:paraId="55A3CBE5" w14:textId="77777777" w:rsidR="00C26DB3" w:rsidRPr="00F0289A" w:rsidRDefault="00C26DB3">
      <w:pPr>
        <w:rPr>
          <w:spacing w:val="-3"/>
          <w:sz w:val="22"/>
          <w:szCs w:val="22"/>
        </w:rPr>
      </w:pPr>
      <w:r w:rsidRPr="00F0289A">
        <w:rPr>
          <w:sz w:val="22"/>
          <w:szCs w:val="22"/>
        </w:rPr>
        <w:t>V prípade životne dôležitej indikácie liečby gravidnej pacientky sa má vykonať lekárska konzultácia týkajúca sa rizika škodlivých účinkov na dieťa.</w:t>
      </w:r>
    </w:p>
    <w:p w14:paraId="07D1E371" w14:textId="77777777" w:rsidR="00C26DB3" w:rsidRPr="00F0289A" w:rsidRDefault="00C26DB3">
      <w:pPr>
        <w:pStyle w:val="NormalInterligneAumoins12pt"/>
        <w:keepNext/>
        <w:keepLines/>
        <w:spacing w:line="240" w:lineRule="auto"/>
        <w:rPr>
          <w:szCs w:val="22"/>
        </w:rPr>
      </w:pPr>
      <w:r w:rsidRPr="00F0289A">
        <w:rPr>
          <w:spacing w:val="-3"/>
          <w:szCs w:val="22"/>
        </w:rPr>
        <w:t xml:space="preserve">Ak dôjde počas liečby k otehotneniu, </w:t>
      </w:r>
      <w:r w:rsidRPr="00F0289A">
        <w:rPr>
          <w:noProof w:val="0"/>
          <w:szCs w:val="22"/>
        </w:rPr>
        <w:t>t</w:t>
      </w:r>
      <w:r w:rsidRPr="00F0289A">
        <w:rPr>
          <w:szCs w:val="22"/>
        </w:rPr>
        <w:t>reba zvážiť možnosť genetickej konzultácie.</w:t>
      </w:r>
      <w:r w:rsidRPr="00F0289A">
        <w:rPr>
          <w:i/>
          <w:szCs w:val="22"/>
        </w:rPr>
        <w:t xml:space="preserve"> </w:t>
      </w:r>
    </w:p>
    <w:p w14:paraId="1A0F11F6" w14:textId="77777777" w:rsidR="00C26DB3" w:rsidRPr="00F0289A" w:rsidRDefault="00C26DB3">
      <w:pPr>
        <w:rPr>
          <w:color w:val="000000"/>
          <w:spacing w:val="-3"/>
          <w:sz w:val="22"/>
          <w:szCs w:val="22"/>
        </w:rPr>
      </w:pPr>
    </w:p>
    <w:p w14:paraId="4F30CEC7" w14:textId="77777777" w:rsidR="00C26DB3" w:rsidRPr="00443ABC" w:rsidRDefault="00C26DB3">
      <w:pPr>
        <w:rPr>
          <w:color w:val="000000"/>
          <w:spacing w:val="-3"/>
          <w:sz w:val="22"/>
          <w:szCs w:val="22"/>
          <w:u w:val="single"/>
        </w:rPr>
      </w:pPr>
      <w:r w:rsidRPr="00F0289A">
        <w:rPr>
          <w:color w:val="000000"/>
          <w:spacing w:val="-3"/>
          <w:sz w:val="22"/>
          <w:szCs w:val="22"/>
          <w:u w:val="single"/>
        </w:rPr>
        <w:t xml:space="preserve">Ženy </w:t>
      </w:r>
      <w:r w:rsidR="00B2198A" w:rsidRPr="000216EC">
        <w:rPr>
          <w:sz w:val="22"/>
          <w:szCs w:val="22"/>
          <w:u w:val="single"/>
        </w:rPr>
        <w:t xml:space="preserve">vo fertilnom </w:t>
      </w:r>
      <w:r w:rsidRPr="00443ABC">
        <w:rPr>
          <w:color w:val="000000"/>
          <w:spacing w:val="-3"/>
          <w:sz w:val="22"/>
          <w:szCs w:val="22"/>
          <w:u w:val="single"/>
        </w:rPr>
        <w:t>veku</w:t>
      </w:r>
    </w:p>
    <w:p w14:paraId="1E797BEA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 xml:space="preserve">Ženy vo fertilnom veku musia </w:t>
      </w:r>
      <w:r w:rsidRPr="00443ABC">
        <w:rPr>
          <w:noProof/>
          <w:sz w:val="22"/>
          <w:szCs w:val="22"/>
        </w:rPr>
        <w:t>používať účinnú anti</w:t>
      </w:r>
      <w:r w:rsidRPr="00F0289A">
        <w:rPr>
          <w:noProof/>
          <w:sz w:val="22"/>
          <w:szCs w:val="22"/>
        </w:rPr>
        <w:t>koncepciu</w:t>
      </w:r>
      <w:r w:rsidRPr="00F0289A">
        <w:rPr>
          <w:color w:val="000000"/>
          <w:spacing w:val="-3"/>
          <w:sz w:val="22"/>
          <w:szCs w:val="22"/>
        </w:rPr>
        <w:t xml:space="preserve"> počas liečby a </w:t>
      </w:r>
      <w:r w:rsidRPr="00F0289A">
        <w:rPr>
          <w:noProof/>
          <w:sz w:val="22"/>
          <w:szCs w:val="22"/>
        </w:rPr>
        <w:t xml:space="preserve">až do </w:t>
      </w:r>
      <w:r w:rsidRPr="00F0289A">
        <w:rPr>
          <w:color w:val="000000"/>
          <w:spacing w:val="-3"/>
          <w:sz w:val="22"/>
          <w:szCs w:val="22"/>
        </w:rPr>
        <w:t xml:space="preserve">troch mesiacov po liečbe a </w:t>
      </w:r>
      <w:r w:rsidR="00B2198A" w:rsidRPr="00443ABC">
        <w:rPr>
          <w:sz w:val="22"/>
          <w:szCs w:val="22"/>
        </w:rPr>
        <w:t xml:space="preserve">musia byť poučené, </w:t>
      </w:r>
      <w:r w:rsidRPr="00443ABC">
        <w:rPr>
          <w:color w:val="000000"/>
          <w:spacing w:val="-3"/>
          <w:sz w:val="22"/>
          <w:szCs w:val="22"/>
        </w:rPr>
        <w:t xml:space="preserve">aby v prípade otehotnenia informovali svojho ošetrujúceho lekára. </w:t>
      </w:r>
    </w:p>
    <w:p w14:paraId="35938EC2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78D87EA4" w14:textId="77777777" w:rsidR="00C26DB3" w:rsidRPr="00443ABC" w:rsidRDefault="00C26DB3">
      <w:pPr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Dojčenie</w:t>
      </w:r>
    </w:p>
    <w:p w14:paraId="247F5570" w14:textId="15CB8A2C" w:rsidR="00C26DB3" w:rsidRPr="00443ABC" w:rsidRDefault="00C26DB3">
      <w:pPr>
        <w:rPr>
          <w:sz w:val="22"/>
        </w:rPr>
      </w:pPr>
      <w:r w:rsidRPr="00443ABC">
        <w:rPr>
          <w:sz w:val="22"/>
          <w:szCs w:val="22"/>
        </w:rPr>
        <w:t>Nie je známe, či sa vinorelbín vylučuje do ľudského</w:t>
      </w:r>
      <w:r w:rsidRPr="00443ABC">
        <w:rPr>
          <w:sz w:val="22"/>
        </w:rPr>
        <w:t xml:space="preserve"> mlieka</w:t>
      </w:r>
      <w:r w:rsidRPr="00443ABC">
        <w:rPr>
          <w:sz w:val="22"/>
          <w:szCs w:val="22"/>
        </w:rPr>
        <w:t>. Vylučovanie vinorelbínu do</w:t>
      </w:r>
      <w:r w:rsidR="001B3639" w:rsidRPr="00443ABC">
        <w:rPr>
          <w:sz w:val="22"/>
          <w:szCs w:val="22"/>
        </w:rPr>
        <w:t xml:space="preserve"> </w:t>
      </w:r>
      <w:r w:rsidRPr="00443ABC">
        <w:rPr>
          <w:sz w:val="22"/>
          <w:szCs w:val="22"/>
        </w:rPr>
        <w:t xml:space="preserve">mlieka zatiaľ nebolo predmetom zvieracích štúdií. Riziko </w:t>
      </w:r>
      <w:r w:rsidRPr="00443ABC">
        <w:rPr>
          <w:rFonts w:eastAsia="SimSun"/>
          <w:color w:val="000000"/>
          <w:sz w:val="22"/>
          <w:szCs w:val="22"/>
          <w:lang w:eastAsia="zh-CN"/>
        </w:rPr>
        <w:t>u novorodencov/</w:t>
      </w:r>
      <w:r w:rsidRPr="00443ABC">
        <w:rPr>
          <w:sz w:val="22"/>
          <w:szCs w:val="22"/>
        </w:rPr>
        <w:t xml:space="preserve">dojčiat nemôže byť vylúčené. </w:t>
      </w:r>
      <w:r w:rsidR="00267CBF">
        <w:rPr>
          <w:sz w:val="22"/>
          <w:szCs w:val="22"/>
        </w:rPr>
        <w:t xml:space="preserve">Navirel je kontraindikovaný počas </w:t>
      </w:r>
      <w:r w:rsidR="00C52B66">
        <w:rPr>
          <w:sz w:val="22"/>
          <w:szCs w:val="22"/>
        </w:rPr>
        <w:t>laktácie</w:t>
      </w:r>
      <w:r w:rsidR="00267CBF">
        <w:rPr>
          <w:sz w:val="22"/>
          <w:szCs w:val="22"/>
        </w:rPr>
        <w:t xml:space="preserve"> (pozri časť 4.3).</w:t>
      </w:r>
      <w:r w:rsidR="001B3639" w:rsidRPr="00443ABC">
        <w:rPr>
          <w:sz w:val="22"/>
          <w:szCs w:val="22"/>
        </w:rPr>
        <w:t xml:space="preserve"> </w:t>
      </w:r>
      <w:r w:rsidRPr="00443ABC">
        <w:rPr>
          <w:sz w:val="22"/>
          <w:szCs w:val="22"/>
        </w:rPr>
        <w:t xml:space="preserve">Laktácia musí byť </w:t>
      </w:r>
      <w:r w:rsidRPr="00443ABC">
        <w:rPr>
          <w:sz w:val="22"/>
        </w:rPr>
        <w:t xml:space="preserve">pred začiatkom liečby </w:t>
      </w:r>
      <w:r w:rsidRPr="00443ABC">
        <w:rPr>
          <w:sz w:val="22"/>
          <w:szCs w:val="22"/>
        </w:rPr>
        <w:t xml:space="preserve">vinorelbínom ukončená (pozri časť 4.3). </w:t>
      </w:r>
    </w:p>
    <w:p w14:paraId="43FD66E7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6B61951D" w14:textId="77777777" w:rsidR="00C26DB3" w:rsidRPr="00443ABC" w:rsidRDefault="00C26DB3">
      <w:pPr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Fertilita</w:t>
      </w:r>
    </w:p>
    <w:p w14:paraId="19A27AA4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 xml:space="preserve">Mužom, ktorí sú liečení vinorelbínom, sa neodporúča počas liečby a po dobu 6 mesiacov po jej skončení splodiť dieťa. Vzhľadom na </w:t>
      </w:r>
      <w:r w:rsidR="00F65ADF" w:rsidRPr="00443ABC">
        <w:rPr>
          <w:color w:val="000000"/>
          <w:spacing w:val="-3"/>
          <w:sz w:val="22"/>
          <w:szCs w:val="22"/>
        </w:rPr>
        <w:t>riziko</w:t>
      </w:r>
      <w:r w:rsidRPr="00443ABC">
        <w:rPr>
          <w:color w:val="000000"/>
          <w:spacing w:val="-3"/>
          <w:sz w:val="22"/>
          <w:szCs w:val="22"/>
        </w:rPr>
        <w:t>, že v dôsledku liečby vinorelbínom sa pacient stane ireverzibilne neplodným, je treba mu poradiť, aby si našiel možnosť konzervovať svoje sperma.</w:t>
      </w:r>
    </w:p>
    <w:p w14:paraId="094797DC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1A9981D4" w14:textId="77777777" w:rsidR="00C26DB3" w:rsidRPr="00443ABC" w:rsidRDefault="00C26DB3">
      <w:pPr>
        <w:ind w:left="567" w:hanging="567"/>
        <w:jc w:val="both"/>
        <w:rPr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4.7</w:t>
      </w:r>
      <w:r w:rsidRPr="00443ABC">
        <w:rPr>
          <w:b/>
          <w:color w:val="000000"/>
          <w:spacing w:val="-3"/>
          <w:sz w:val="22"/>
        </w:rPr>
        <w:tab/>
        <w:t>Ovplyvnenie schopnosti viesť vozidlá a</w:t>
      </w:r>
      <w:r w:rsidRPr="00443ABC">
        <w:rPr>
          <w:b/>
          <w:color w:val="000000"/>
          <w:spacing w:val="-3"/>
          <w:sz w:val="22"/>
          <w:szCs w:val="22"/>
        </w:rPr>
        <w:t> </w:t>
      </w:r>
      <w:r w:rsidRPr="00443ABC">
        <w:rPr>
          <w:b/>
          <w:color w:val="000000"/>
          <w:spacing w:val="-3"/>
          <w:sz w:val="22"/>
        </w:rPr>
        <w:t>obsluhovať stroje</w:t>
      </w:r>
    </w:p>
    <w:p w14:paraId="0E16709E" w14:textId="77777777" w:rsidR="00C26DB3" w:rsidRPr="00443ABC" w:rsidRDefault="00C26DB3">
      <w:pPr>
        <w:ind w:left="850" w:hanging="850"/>
        <w:jc w:val="both"/>
        <w:rPr>
          <w:color w:val="000000"/>
          <w:spacing w:val="-3"/>
          <w:sz w:val="22"/>
        </w:rPr>
      </w:pPr>
    </w:p>
    <w:p w14:paraId="0DEB25A2" w14:textId="58F6AC7C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Neuskutočnili sa žiadne štúdie </w:t>
      </w:r>
      <w:r w:rsidRPr="00443ABC">
        <w:rPr>
          <w:color w:val="000000"/>
          <w:spacing w:val="-3"/>
          <w:sz w:val="22"/>
          <w:szCs w:val="22"/>
        </w:rPr>
        <w:t xml:space="preserve">schopnosti viesť vozidlá a obsluhovať stroje, </w:t>
      </w:r>
      <w:r w:rsidRPr="00443ABC">
        <w:rPr>
          <w:sz w:val="22"/>
          <w:szCs w:val="22"/>
        </w:rPr>
        <w:t xml:space="preserve">no na základe farmakodynamického profilu Navirelu možno usudzovať, že toto liečivo nemá žiadny alebo </w:t>
      </w:r>
      <w:r w:rsidRPr="00443ABC">
        <w:rPr>
          <w:noProof/>
          <w:sz w:val="22"/>
          <w:szCs w:val="22"/>
        </w:rPr>
        <w:t>má</w:t>
      </w:r>
      <w:r w:rsidRPr="00443ABC">
        <w:rPr>
          <w:sz w:val="22"/>
          <w:szCs w:val="22"/>
        </w:rPr>
        <w:t xml:space="preserve"> zanedbateľný vplyv na schopnosť viesť vozidlá a obsluhovať stroje. Ak však berieme do úvahy niektoré nežiaduce </w:t>
      </w:r>
      <w:r w:rsidR="00267CBF">
        <w:rPr>
          <w:sz w:val="22"/>
          <w:szCs w:val="22"/>
        </w:rPr>
        <w:t>reakcie</w:t>
      </w:r>
      <w:r w:rsidR="00267CBF" w:rsidRPr="00443ABC">
        <w:rPr>
          <w:sz w:val="22"/>
          <w:szCs w:val="22"/>
        </w:rPr>
        <w:t xml:space="preserve"> </w:t>
      </w:r>
      <w:proofErr w:type="spellStart"/>
      <w:r w:rsidRPr="00443ABC">
        <w:rPr>
          <w:sz w:val="22"/>
          <w:szCs w:val="22"/>
        </w:rPr>
        <w:t>vinorelbínu</w:t>
      </w:r>
      <w:proofErr w:type="spellEnd"/>
      <w:r w:rsidRPr="00443ABC">
        <w:rPr>
          <w:sz w:val="22"/>
          <w:szCs w:val="22"/>
        </w:rPr>
        <w:t xml:space="preserve">, je u pacientov liečených týmto liekom nutná istá opatrnosť. </w:t>
      </w:r>
    </w:p>
    <w:p w14:paraId="110F6F3A" w14:textId="77777777" w:rsidR="00C26DB3" w:rsidRPr="00443ABC" w:rsidRDefault="00C26DB3">
      <w:pPr>
        <w:ind w:left="850" w:hanging="850"/>
        <w:jc w:val="both"/>
        <w:rPr>
          <w:color w:val="000000"/>
          <w:spacing w:val="-3"/>
          <w:sz w:val="22"/>
        </w:rPr>
      </w:pPr>
    </w:p>
    <w:p w14:paraId="182AC077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4.8</w:t>
      </w:r>
      <w:r w:rsidRPr="00443ABC">
        <w:rPr>
          <w:b/>
          <w:color w:val="000000"/>
          <w:spacing w:val="-3"/>
          <w:sz w:val="22"/>
        </w:rPr>
        <w:tab/>
        <w:t>Nežiaduce účinky</w:t>
      </w:r>
    </w:p>
    <w:p w14:paraId="3B265824" w14:textId="77777777" w:rsidR="00C26DB3" w:rsidRPr="00443ABC" w:rsidRDefault="00C26DB3">
      <w:pPr>
        <w:ind w:left="850" w:hanging="850"/>
        <w:jc w:val="both"/>
        <w:rPr>
          <w:color w:val="000000"/>
          <w:spacing w:val="-3"/>
          <w:sz w:val="22"/>
        </w:rPr>
      </w:pPr>
    </w:p>
    <w:p w14:paraId="49103EC9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sz w:val="22"/>
          <w:szCs w:val="22"/>
        </w:rPr>
        <w:t xml:space="preserve">Najčastejšie pozorované nežiaduce účinky sú: útlm kostnej drene s neutropéniou, anémia, neurologické poruchy a gastrointestinálna toxicita s nauzeou, vracaním, stomatitídou a zápchou, prechodné zvýšenia testov pečeňových funkcií, alopécia a lokálna flebitída. </w:t>
      </w:r>
    </w:p>
    <w:p w14:paraId="0F457978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Pri kombinovanej chemoterapii vinorelbínom s inými </w:t>
      </w:r>
      <w:r w:rsidRPr="00443ABC">
        <w:rPr>
          <w:color w:val="000000"/>
          <w:spacing w:val="-3"/>
          <w:sz w:val="22"/>
          <w:szCs w:val="22"/>
        </w:rPr>
        <w:t>protinádorovými liekmi je treba</w:t>
      </w:r>
      <w:r w:rsidRPr="00443ABC">
        <w:rPr>
          <w:color w:val="000000"/>
          <w:spacing w:val="-3"/>
          <w:sz w:val="22"/>
        </w:rPr>
        <w:t xml:space="preserve"> vziať do úvahy, že uvedené nežiaduce účinky </w:t>
      </w:r>
      <w:r w:rsidRPr="00443ABC">
        <w:rPr>
          <w:color w:val="000000"/>
          <w:spacing w:val="-3"/>
          <w:sz w:val="22"/>
          <w:szCs w:val="22"/>
        </w:rPr>
        <w:t>sa môžu vyskytnúť</w:t>
      </w:r>
      <w:r w:rsidRPr="00443ABC">
        <w:rPr>
          <w:color w:val="000000"/>
          <w:spacing w:val="-3"/>
          <w:sz w:val="22"/>
        </w:rPr>
        <w:t xml:space="preserve"> častejšie a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>môžu byť závažnejšie</w:t>
      </w:r>
      <w:r w:rsidRPr="00443ABC">
        <w:rPr>
          <w:color w:val="000000"/>
          <w:spacing w:val="-3"/>
          <w:sz w:val="22"/>
          <w:szCs w:val="22"/>
        </w:rPr>
        <w:t>,</w:t>
      </w:r>
      <w:r w:rsidRPr="00443ABC">
        <w:rPr>
          <w:color w:val="000000"/>
          <w:spacing w:val="-3"/>
          <w:sz w:val="22"/>
        </w:rPr>
        <w:t xml:space="preserve"> ako nežiaduce účinky pozorované počas </w:t>
      </w:r>
      <w:r w:rsidRPr="00443ABC">
        <w:rPr>
          <w:color w:val="000000"/>
          <w:spacing w:val="-3"/>
          <w:sz w:val="22"/>
          <w:szCs w:val="22"/>
        </w:rPr>
        <w:t xml:space="preserve">a </w:t>
      </w:r>
      <w:r w:rsidRPr="00443ABC">
        <w:rPr>
          <w:color w:val="000000"/>
          <w:spacing w:val="-3"/>
          <w:sz w:val="22"/>
        </w:rPr>
        <w:t xml:space="preserve">po </w:t>
      </w:r>
      <w:r w:rsidRPr="00443ABC">
        <w:rPr>
          <w:color w:val="000000"/>
          <w:spacing w:val="-3"/>
          <w:sz w:val="22"/>
          <w:szCs w:val="22"/>
        </w:rPr>
        <w:t>monoterapii. Popri tom je treba vziať do úvahy</w:t>
      </w:r>
      <w:r w:rsidRPr="00443ABC">
        <w:rPr>
          <w:color w:val="000000"/>
          <w:spacing w:val="-3"/>
          <w:sz w:val="22"/>
        </w:rPr>
        <w:t xml:space="preserve"> aj </w:t>
      </w:r>
      <w:r w:rsidRPr="00443ABC">
        <w:rPr>
          <w:color w:val="000000"/>
          <w:spacing w:val="-3"/>
          <w:sz w:val="22"/>
          <w:szCs w:val="22"/>
        </w:rPr>
        <w:t>ďalšie</w:t>
      </w:r>
      <w:r w:rsidRPr="00443ABC">
        <w:rPr>
          <w:color w:val="000000"/>
          <w:spacing w:val="-3"/>
          <w:sz w:val="22"/>
        </w:rPr>
        <w:t xml:space="preserve"> špecifické nežiaduce účinky </w:t>
      </w:r>
      <w:r w:rsidRPr="00443ABC">
        <w:rPr>
          <w:color w:val="000000"/>
          <w:spacing w:val="-3"/>
          <w:sz w:val="22"/>
          <w:szCs w:val="22"/>
        </w:rPr>
        <w:t>iných</w:t>
      </w:r>
      <w:r w:rsidRPr="00443ABC">
        <w:rPr>
          <w:color w:val="000000"/>
          <w:spacing w:val="-3"/>
          <w:sz w:val="22"/>
        </w:rPr>
        <w:t xml:space="preserve"> liekov.</w:t>
      </w:r>
      <w:r w:rsidRPr="00443ABC">
        <w:rPr>
          <w:color w:val="FF0000"/>
          <w:spacing w:val="-3"/>
          <w:sz w:val="22"/>
          <w:szCs w:val="22"/>
        </w:rPr>
        <w:t xml:space="preserve"> </w:t>
      </w:r>
    </w:p>
    <w:p w14:paraId="775198E7" w14:textId="77777777" w:rsidR="00C26DB3" w:rsidRPr="00443ABC" w:rsidRDefault="00C26DB3">
      <w:pPr>
        <w:pStyle w:val="Nadpis7"/>
        <w:tabs>
          <w:tab w:val="clear" w:pos="158"/>
        </w:tabs>
        <w:ind w:left="0"/>
        <w:jc w:val="both"/>
        <w:rPr>
          <w:b w:val="0"/>
          <w:color w:val="000000"/>
          <w:spacing w:val="-3"/>
          <w:sz w:val="22"/>
        </w:rPr>
      </w:pPr>
    </w:p>
    <w:p w14:paraId="15512668" w14:textId="68DF5FB5" w:rsidR="00267CBF" w:rsidRPr="00C627D0" w:rsidRDefault="00267CBF">
      <w:pPr>
        <w:rPr>
          <w:sz w:val="22"/>
          <w:szCs w:val="22"/>
          <w:u w:val="single"/>
        </w:rPr>
      </w:pPr>
      <w:r w:rsidRPr="00C627D0">
        <w:rPr>
          <w:sz w:val="22"/>
          <w:szCs w:val="22"/>
          <w:u w:val="single"/>
        </w:rPr>
        <w:t>Tabuľka nežiaducich reakcií</w:t>
      </w:r>
    </w:p>
    <w:p w14:paraId="1063CB7C" w14:textId="1404C047" w:rsidR="00C26DB3" w:rsidRPr="00443ABC" w:rsidRDefault="00C26DB3">
      <w:pPr>
        <w:rPr>
          <w:b/>
          <w:bCs/>
          <w:sz w:val="22"/>
          <w:szCs w:val="22"/>
        </w:rPr>
      </w:pPr>
      <w:r w:rsidRPr="00443ABC">
        <w:rPr>
          <w:sz w:val="22"/>
          <w:szCs w:val="22"/>
        </w:rPr>
        <w:t>V nasledujúcom zozname usporiadanom podľa triedy orgánových systémov a podľa frekvencie sú uvedené nežiaduce reakcie, ktoré boli zaznamenané častejšie než ojedinelé prípady. Frekvencie sú definované nasledovne:</w:t>
      </w:r>
    </w:p>
    <w:p w14:paraId="1F393033" w14:textId="0A43EEF9" w:rsidR="00056CE4" w:rsidRDefault="00056CE4">
      <w:pPr>
        <w:rPr>
          <w:color w:val="000000"/>
          <w:spacing w:val="-3"/>
          <w:sz w:val="22"/>
        </w:rPr>
      </w:pPr>
      <w:r>
        <w:rPr>
          <w:color w:val="000000"/>
          <w:spacing w:val="-3"/>
          <w:sz w:val="22"/>
          <w:szCs w:val="22"/>
        </w:rPr>
        <w:t>v</w:t>
      </w:r>
      <w:r w:rsidR="00C26DB3" w:rsidRPr="00443ABC">
        <w:rPr>
          <w:color w:val="000000"/>
          <w:spacing w:val="-3"/>
          <w:sz w:val="22"/>
          <w:szCs w:val="22"/>
        </w:rPr>
        <w:t>eľmi</w:t>
      </w:r>
      <w:r w:rsidR="00C26DB3" w:rsidRPr="00443ABC">
        <w:rPr>
          <w:color w:val="000000"/>
          <w:spacing w:val="-3"/>
          <w:sz w:val="22"/>
        </w:rPr>
        <w:t xml:space="preserve"> časté (≥ 1/10), </w:t>
      </w:r>
    </w:p>
    <w:p w14:paraId="7B5FE8C9" w14:textId="77777777" w:rsidR="00056CE4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časté (≥ 1/100 až &lt; 1/10), </w:t>
      </w:r>
    </w:p>
    <w:p w14:paraId="2508A638" w14:textId="77777777" w:rsidR="00056CE4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lastRenderedPageBreak/>
        <w:t xml:space="preserve">menej časté (≥ 1/1 000 až &lt; 1/100), </w:t>
      </w:r>
    </w:p>
    <w:p w14:paraId="63B79989" w14:textId="77777777" w:rsidR="00056CE4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zriedkavé (≥ 1/10</w:t>
      </w:r>
      <w:r w:rsidRPr="00443ABC">
        <w:rPr>
          <w:color w:val="000000"/>
          <w:spacing w:val="-3"/>
          <w:sz w:val="22"/>
          <w:szCs w:val="22"/>
        </w:rPr>
        <w:t> </w:t>
      </w:r>
      <w:r w:rsidRPr="00443ABC">
        <w:rPr>
          <w:color w:val="000000"/>
          <w:spacing w:val="-3"/>
          <w:sz w:val="22"/>
        </w:rPr>
        <w:t xml:space="preserve">000 až &lt; 1/1 000), </w:t>
      </w:r>
    </w:p>
    <w:p w14:paraId="5F82075F" w14:textId="57DD66A4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veľmi zriedkavé (&lt; 1/10</w:t>
      </w:r>
      <w:r w:rsidRPr="00443ABC">
        <w:rPr>
          <w:color w:val="000000"/>
          <w:spacing w:val="-3"/>
          <w:sz w:val="22"/>
          <w:szCs w:val="22"/>
        </w:rPr>
        <w:t> </w:t>
      </w:r>
      <w:r w:rsidRPr="00443ABC">
        <w:rPr>
          <w:color w:val="000000"/>
          <w:spacing w:val="-3"/>
          <w:sz w:val="22"/>
        </w:rPr>
        <w:t>000).</w:t>
      </w:r>
    </w:p>
    <w:p w14:paraId="6D69BAEE" w14:textId="77777777" w:rsidR="00056CE4" w:rsidRDefault="00056CE4">
      <w:pPr>
        <w:rPr>
          <w:sz w:val="22"/>
          <w:szCs w:val="22"/>
        </w:rPr>
      </w:pPr>
    </w:p>
    <w:p w14:paraId="1A61B19D" w14:textId="158A158F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 xml:space="preserve">Ďalšie nežiaduce reakcie z postmarketingových pozorovaní sú pridané podľa klasifikácie MedDRA s frekvenciou </w:t>
      </w:r>
      <w:r w:rsidR="00B05250" w:rsidRPr="00443ABC">
        <w:rPr>
          <w:i/>
          <w:sz w:val="22"/>
          <w:szCs w:val="22"/>
        </w:rPr>
        <w:t>n</w:t>
      </w:r>
      <w:r w:rsidRPr="00443ABC">
        <w:rPr>
          <w:i/>
          <w:sz w:val="22"/>
          <w:szCs w:val="22"/>
        </w:rPr>
        <w:t>eznáme (z dostupných údajov).</w:t>
      </w:r>
      <w:r w:rsidRPr="00443ABC">
        <w:rPr>
          <w:sz w:val="22"/>
          <w:szCs w:val="22"/>
        </w:rPr>
        <w:t xml:space="preserve"> </w:t>
      </w:r>
    </w:p>
    <w:p w14:paraId="30E78F4E" w14:textId="77777777" w:rsidR="00C26DB3" w:rsidRPr="00443ABC" w:rsidRDefault="00C26DB3">
      <w:pPr>
        <w:rPr>
          <w:sz w:val="22"/>
          <w:szCs w:val="22"/>
        </w:rPr>
      </w:pPr>
    </w:p>
    <w:p w14:paraId="3E7170D0" w14:textId="77777777" w:rsidR="00C26DB3" w:rsidRPr="00443ABC" w:rsidRDefault="00C26DB3">
      <w:pPr>
        <w:rPr>
          <w:color w:val="000000"/>
          <w:sz w:val="22"/>
          <w:szCs w:val="22"/>
        </w:rPr>
      </w:pPr>
      <w:r w:rsidRPr="00443ABC">
        <w:rPr>
          <w:sz w:val="22"/>
          <w:szCs w:val="22"/>
        </w:rPr>
        <w:t>Podrobná informácia o nežiaducich reakciách: Reakcie sú popisované s použitím klasifikácie W.H.O (1. stupeň = G1; 2. stupeň = G2; 3. stupeň = G3; 4. stupeň = G4; 1.-4. stupeň = G1</w:t>
      </w:r>
      <w:r w:rsidRPr="00443ABC">
        <w:rPr>
          <w:sz w:val="22"/>
          <w:szCs w:val="22"/>
        </w:rPr>
        <w:noBreakHyphen/>
        <w:t>4); 1.-2. stupeň = G1</w:t>
      </w:r>
      <w:r w:rsidRPr="00443ABC">
        <w:rPr>
          <w:sz w:val="22"/>
          <w:szCs w:val="22"/>
        </w:rPr>
        <w:noBreakHyphen/>
        <w:t>2; 3.-4. stupeň = G3</w:t>
      </w:r>
      <w:r w:rsidRPr="00443ABC">
        <w:rPr>
          <w:sz w:val="22"/>
          <w:szCs w:val="22"/>
        </w:rPr>
        <w:noBreakHyphen/>
        <w:t>4).</w:t>
      </w:r>
    </w:p>
    <w:p w14:paraId="2101AE5C" w14:textId="77777777" w:rsidR="00C26DB3" w:rsidRPr="00443ABC" w:rsidRDefault="00C26DB3">
      <w:pPr>
        <w:ind w:left="851"/>
        <w:rPr>
          <w:sz w:val="22"/>
          <w:szCs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5217"/>
      </w:tblGrid>
      <w:tr w:rsidR="00C26DB3" w:rsidRPr="00443ABC" w14:paraId="13FA9BFF" w14:textId="77777777">
        <w:tc>
          <w:tcPr>
            <w:tcW w:w="3396" w:type="dxa"/>
          </w:tcPr>
          <w:p w14:paraId="588ACE3F" w14:textId="77777777" w:rsidR="00C26DB3" w:rsidRPr="00443ABC" w:rsidRDefault="00C26DB3">
            <w:pPr>
              <w:keepNext/>
              <w:keepLines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>Infekcie a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  <w:r w:rsidRPr="00443ABC">
              <w:rPr>
                <w:color w:val="000000"/>
                <w:sz w:val="22"/>
              </w:rPr>
              <w:t>nákazy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17" w:type="dxa"/>
          </w:tcPr>
          <w:p w14:paraId="60172405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Časté</w:t>
            </w:r>
          </w:p>
          <w:p w14:paraId="72CDCB8D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</w:rPr>
            </w:pPr>
            <w:r w:rsidRPr="00443ABC">
              <w:rPr>
                <w:sz w:val="22"/>
                <w:szCs w:val="22"/>
              </w:rPr>
              <w:t>Bakteriálne, vírové alebo fungálne infekcie na rôznych miestach (dýchací, močový, GI trakt), ľahké až stredne závažné a obvykle reverzibilné pri vhodnej liečbe.</w:t>
            </w:r>
          </w:p>
          <w:p w14:paraId="5C06C41A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</w:rPr>
            </w:pPr>
          </w:p>
          <w:p w14:paraId="0A9DF83C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Menej časté</w:t>
            </w:r>
          </w:p>
          <w:p w14:paraId="6948C0A7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>Ťažké sepsy s inými viscerálnymi zlyhaniami, septikémia</w:t>
            </w:r>
          </w:p>
          <w:p w14:paraId="2713C2FA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</w:p>
          <w:p w14:paraId="3C2BB169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Veľmi zriedkavé</w:t>
            </w:r>
          </w:p>
          <w:p w14:paraId="7341D2A5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</w:rPr>
              <w:t xml:space="preserve">Komplikovaná septikémia, </w:t>
            </w:r>
            <w:r w:rsidRPr="00443ABC">
              <w:rPr>
                <w:color w:val="000000"/>
                <w:sz w:val="22"/>
                <w:szCs w:val="22"/>
              </w:rPr>
              <w:t>fatálna</w:t>
            </w:r>
            <w:r w:rsidRPr="00443ABC">
              <w:rPr>
                <w:color w:val="000000"/>
                <w:sz w:val="22"/>
              </w:rPr>
              <w:t xml:space="preserve"> septikémia</w:t>
            </w:r>
            <w:r w:rsidRPr="00443ABC">
              <w:rPr>
                <w:color w:val="000000"/>
                <w:sz w:val="22"/>
                <w:szCs w:val="22"/>
              </w:rPr>
              <w:t>.</w:t>
            </w:r>
          </w:p>
          <w:p w14:paraId="3F3B0B6A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  <w:szCs w:val="22"/>
              </w:rPr>
            </w:pPr>
          </w:p>
          <w:p w14:paraId="5731A491" w14:textId="77777777" w:rsidR="00C26DB3" w:rsidRPr="00443ABC" w:rsidRDefault="00C26DB3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443ABC">
              <w:rPr>
                <w:sz w:val="22"/>
                <w:szCs w:val="22"/>
                <w:u w:val="single"/>
              </w:rPr>
              <w:t xml:space="preserve">Neznáme </w:t>
            </w:r>
          </w:p>
          <w:p w14:paraId="26833E52" w14:textId="77777777" w:rsidR="00C26DB3" w:rsidRPr="00443ABC" w:rsidRDefault="00C26DB3">
            <w:pPr>
              <w:keepNext/>
              <w:keepLines/>
              <w:rPr>
                <w:color w:val="000000"/>
                <w:sz w:val="22"/>
              </w:rPr>
            </w:pPr>
            <w:r w:rsidRPr="00443ABC">
              <w:rPr>
                <w:sz w:val="22"/>
                <w:szCs w:val="22"/>
              </w:rPr>
              <w:t>Neutropenická sepsa (s možným fatálnym výsledkom v 1,2 % prípadov).</w:t>
            </w:r>
          </w:p>
        </w:tc>
      </w:tr>
      <w:tr w:rsidR="00C26DB3" w:rsidRPr="00443ABC" w14:paraId="6D8D69C0" w14:textId="77777777">
        <w:tc>
          <w:tcPr>
            <w:tcW w:w="3396" w:type="dxa"/>
          </w:tcPr>
          <w:p w14:paraId="103F2EB3" w14:textId="77777777" w:rsidR="00C26DB3" w:rsidRPr="00443ABC" w:rsidRDefault="00C26DB3">
            <w:pPr>
              <w:keepNext/>
              <w:keepLines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>Poruchy krvi a</w:t>
            </w:r>
            <w:r w:rsidRPr="00443ABC">
              <w:rPr>
                <w:color w:val="000000"/>
                <w:sz w:val="22"/>
                <w:szCs w:val="22"/>
              </w:rPr>
              <w:t> </w:t>
            </w:r>
            <w:r w:rsidRPr="00443ABC">
              <w:rPr>
                <w:color w:val="000000"/>
                <w:sz w:val="22"/>
              </w:rPr>
              <w:t>lymfatického systému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17" w:type="dxa"/>
          </w:tcPr>
          <w:p w14:paraId="62EF512E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Veľmi časté</w:t>
            </w:r>
          </w:p>
          <w:p w14:paraId="120A4ED8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>Útlm kostnej drene ústiaci zväčša do neutropénie (G3</w:t>
            </w:r>
            <w:r w:rsidRPr="00443ABC">
              <w:rPr>
                <w:color w:val="000000"/>
                <w:sz w:val="22"/>
              </w:rPr>
              <w:t xml:space="preserve">: 24,3 % a </w:t>
            </w:r>
            <w:r w:rsidRPr="00443ABC">
              <w:rPr>
                <w:color w:val="000000"/>
                <w:sz w:val="22"/>
                <w:szCs w:val="22"/>
              </w:rPr>
              <w:t>G4</w:t>
            </w:r>
            <w:r w:rsidRPr="00443ABC">
              <w:rPr>
                <w:color w:val="000000"/>
                <w:sz w:val="22"/>
              </w:rPr>
              <w:t xml:space="preserve">: 27,8 % </w:t>
            </w:r>
            <w:r w:rsidRPr="00443ABC">
              <w:rPr>
                <w:color w:val="000000"/>
                <w:sz w:val="22"/>
                <w:szCs w:val="22"/>
              </w:rPr>
              <w:t>u monoterapie) reverzibilná v priebehu 5 až 7 dní a nekumulatívna v priebehu času,</w:t>
            </w:r>
            <w:r w:rsidRPr="00443ABC">
              <w:rPr>
                <w:color w:val="000000"/>
                <w:sz w:val="22"/>
              </w:rPr>
              <w:t xml:space="preserve"> anémia (</w:t>
            </w:r>
            <w:r w:rsidRPr="00443ABC">
              <w:rPr>
                <w:color w:val="000000"/>
                <w:sz w:val="22"/>
                <w:szCs w:val="22"/>
              </w:rPr>
              <w:t>G3</w:t>
            </w:r>
            <w:r w:rsidRPr="00443ABC">
              <w:rPr>
                <w:color w:val="000000"/>
                <w:sz w:val="22"/>
                <w:szCs w:val="22"/>
              </w:rPr>
              <w:noBreakHyphen/>
              <w:t>4: 7,</w:t>
            </w:r>
            <w:r w:rsidRPr="00443ABC">
              <w:rPr>
                <w:color w:val="000000"/>
                <w:sz w:val="22"/>
              </w:rPr>
              <w:t>4</w:t>
            </w:r>
            <w:r w:rsidRPr="00443ABC">
              <w:rPr>
                <w:color w:val="000000"/>
                <w:sz w:val="22"/>
                <w:szCs w:val="22"/>
              </w:rPr>
              <w:t> % u monoterapie).</w:t>
            </w:r>
          </w:p>
          <w:p w14:paraId="307F74FC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</w:rPr>
            </w:pPr>
          </w:p>
          <w:p w14:paraId="24B7AA16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Časté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3504CCDC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</w:rPr>
              <w:t>Trombocytopénia (</w:t>
            </w:r>
            <w:r w:rsidRPr="00443ABC">
              <w:rPr>
                <w:color w:val="000000"/>
                <w:sz w:val="22"/>
                <w:szCs w:val="22"/>
              </w:rPr>
              <w:t>G34</w:t>
            </w:r>
            <w:r w:rsidRPr="00443ABC">
              <w:rPr>
                <w:color w:val="000000"/>
                <w:sz w:val="22"/>
              </w:rPr>
              <w:t>: 2,5 </w:t>
            </w:r>
            <w:r w:rsidRPr="00443ABC">
              <w:rPr>
                <w:color w:val="000000"/>
                <w:sz w:val="22"/>
                <w:szCs w:val="22"/>
              </w:rPr>
              <w:t xml:space="preserve">%) – môže sa vyskytnúť, no zriedka je ťažká. </w:t>
            </w:r>
          </w:p>
          <w:p w14:paraId="1433D69C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  <w:szCs w:val="22"/>
              </w:rPr>
            </w:pPr>
          </w:p>
          <w:p w14:paraId="23BCEB7A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  <w:szCs w:val="22"/>
                <w:u w:val="single"/>
              </w:rPr>
            </w:pPr>
            <w:r w:rsidRPr="00443ABC">
              <w:rPr>
                <w:color w:val="000000"/>
                <w:sz w:val="22"/>
                <w:szCs w:val="22"/>
                <w:u w:val="single"/>
              </w:rPr>
              <w:t>Neznáme</w:t>
            </w:r>
          </w:p>
          <w:p w14:paraId="21A261C4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>Febrilná</w:t>
            </w:r>
            <w:r w:rsidRPr="00443ABC">
              <w:rPr>
                <w:color w:val="000000"/>
                <w:sz w:val="22"/>
              </w:rPr>
              <w:t xml:space="preserve"> neutropénia, </w:t>
            </w:r>
            <w:r w:rsidRPr="00443ABC">
              <w:rPr>
                <w:color w:val="000000"/>
                <w:sz w:val="22"/>
                <w:szCs w:val="22"/>
              </w:rPr>
              <w:t>pancytopénia.</w:t>
            </w:r>
          </w:p>
        </w:tc>
      </w:tr>
      <w:tr w:rsidR="00C26DB3" w:rsidRPr="00443ABC" w14:paraId="306D79EC" w14:textId="77777777">
        <w:tc>
          <w:tcPr>
            <w:tcW w:w="3396" w:type="dxa"/>
          </w:tcPr>
          <w:p w14:paraId="651EEAE0" w14:textId="77777777" w:rsidR="00C26DB3" w:rsidRPr="00443ABC" w:rsidRDefault="00C26DB3">
            <w:pPr>
              <w:rPr>
                <w:b/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>Poruchy imunitného systému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17" w:type="dxa"/>
          </w:tcPr>
          <w:p w14:paraId="6E258470" w14:textId="77777777" w:rsidR="00C26DB3" w:rsidRPr="00443ABC" w:rsidRDefault="00C26DB3">
            <w:pPr>
              <w:pStyle w:val="Syreaspc"/>
              <w:ind w:left="215" w:hanging="215"/>
              <w:rPr>
                <w:b/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Časté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3056C090" w14:textId="77777777" w:rsidR="00C26DB3" w:rsidRPr="00443ABC" w:rsidRDefault="00C26DB3">
            <w:pPr>
              <w:pStyle w:val="Syreaspc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>Alergické reakcie (kožné reakcie, respiračné reakcie</w:t>
            </w:r>
            <w:r w:rsidRPr="00443ABC">
              <w:rPr>
                <w:color w:val="000000"/>
                <w:sz w:val="22"/>
                <w:szCs w:val="22"/>
              </w:rPr>
              <w:t>).</w:t>
            </w:r>
          </w:p>
          <w:p w14:paraId="0B26222B" w14:textId="77777777" w:rsidR="00C26DB3" w:rsidRPr="00443ABC" w:rsidRDefault="00C26DB3">
            <w:pPr>
              <w:pStyle w:val="Syreaspc"/>
              <w:rPr>
                <w:color w:val="000000"/>
                <w:sz w:val="22"/>
              </w:rPr>
            </w:pPr>
          </w:p>
          <w:p w14:paraId="50F97488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  <w:u w:val="single"/>
              </w:rPr>
            </w:pPr>
            <w:r w:rsidRPr="00443ABC">
              <w:rPr>
                <w:color w:val="000000"/>
                <w:sz w:val="22"/>
                <w:szCs w:val="22"/>
                <w:u w:val="single"/>
              </w:rPr>
              <w:t>Neznáme</w:t>
            </w:r>
          </w:p>
          <w:p w14:paraId="0CF865FE" w14:textId="77777777" w:rsidR="00C26DB3" w:rsidRPr="00443ABC" w:rsidRDefault="00C26DB3">
            <w:pPr>
              <w:pStyle w:val="Syreaspc"/>
              <w:rPr>
                <w:b/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>Systémové alergické reakcie (</w:t>
            </w:r>
            <w:r w:rsidRPr="00443ABC">
              <w:rPr>
                <w:color w:val="000000"/>
                <w:sz w:val="22"/>
                <w:szCs w:val="22"/>
              </w:rPr>
              <w:t>anafylaktické reakcie alebo šok, anafylaktoidné reakcie</w:t>
            </w:r>
            <w:r w:rsidRPr="00443ABC">
              <w:rPr>
                <w:color w:val="000000"/>
                <w:sz w:val="22"/>
              </w:rPr>
              <w:t>, angioedém</w:t>
            </w:r>
            <w:r w:rsidRPr="00443ABC">
              <w:rPr>
                <w:color w:val="000000"/>
                <w:sz w:val="22"/>
                <w:szCs w:val="22"/>
              </w:rPr>
              <w:t>).</w:t>
            </w:r>
          </w:p>
        </w:tc>
      </w:tr>
      <w:tr w:rsidR="00C26DB3" w:rsidRPr="00443ABC" w14:paraId="7503EBE8" w14:textId="77777777">
        <w:tc>
          <w:tcPr>
            <w:tcW w:w="3396" w:type="dxa"/>
          </w:tcPr>
          <w:p w14:paraId="72EB127F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 xml:space="preserve">Poruchy </w:t>
            </w:r>
            <w:r w:rsidRPr="00443ABC">
              <w:rPr>
                <w:color w:val="000000"/>
                <w:sz w:val="22"/>
                <w:szCs w:val="22"/>
              </w:rPr>
              <w:t>endokrinného systému</w:t>
            </w:r>
          </w:p>
        </w:tc>
        <w:tc>
          <w:tcPr>
            <w:tcW w:w="5217" w:type="dxa"/>
          </w:tcPr>
          <w:p w14:paraId="3F318214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  <w:u w:val="single"/>
              </w:rPr>
              <w:t>Neznáme</w:t>
            </w:r>
          </w:p>
          <w:p w14:paraId="69582157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u w:val="single"/>
              </w:rPr>
            </w:pPr>
            <w:r w:rsidRPr="00443ABC">
              <w:rPr>
                <w:color w:val="000000"/>
                <w:sz w:val="22"/>
                <w:szCs w:val="22"/>
              </w:rPr>
              <w:t>Neprimeraná sekrécia</w:t>
            </w:r>
            <w:r w:rsidRPr="00443ABC">
              <w:rPr>
                <w:color w:val="000000"/>
                <w:sz w:val="22"/>
              </w:rPr>
              <w:t xml:space="preserve"> antidiuretického hormónu (SIADH</w:t>
            </w:r>
            <w:r w:rsidRPr="00443ABC">
              <w:rPr>
                <w:color w:val="000000"/>
                <w:sz w:val="22"/>
                <w:szCs w:val="22"/>
              </w:rPr>
              <w:t>).</w:t>
            </w:r>
          </w:p>
        </w:tc>
      </w:tr>
      <w:tr w:rsidR="00C26DB3" w:rsidRPr="00443ABC" w14:paraId="338FCACA" w14:textId="77777777">
        <w:tc>
          <w:tcPr>
            <w:tcW w:w="3396" w:type="dxa"/>
          </w:tcPr>
          <w:p w14:paraId="327E134D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 xml:space="preserve">Poruchy </w:t>
            </w:r>
            <w:r w:rsidRPr="00443ABC">
              <w:rPr>
                <w:color w:val="000000"/>
                <w:sz w:val="22"/>
                <w:szCs w:val="22"/>
              </w:rPr>
              <w:t xml:space="preserve">metabolizmu a výživy </w:t>
            </w:r>
          </w:p>
        </w:tc>
        <w:tc>
          <w:tcPr>
            <w:tcW w:w="5217" w:type="dxa"/>
          </w:tcPr>
          <w:p w14:paraId="29B739BB" w14:textId="77777777" w:rsidR="00C26DB3" w:rsidRPr="00443ABC" w:rsidRDefault="00C26DB3">
            <w:pPr>
              <w:pStyle w:val="Syreaspc"/>
              <w:rPr>
                <w:b/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Zriedkavé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752E7CB8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 xml:space="preserve">Ťažká hyponatriémia. </w:t>
            </w:r>
          </w:p>
          <w:p w14:paraId="13738B1E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</w:p>
          <w:p w14:paraId="52ACC382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  <w:u w:val="single"/>
              </w:rPr>
            </w:pPr>
            <w:r w:rsidRPr="00443ABC">
              <w:rPr>
                <w:color w:val="000000"/>
                <w:sz w:val="22"/>
                <w:szCs w:val="22"/>
                <w:u w:val="single"/>
              </w:rPr>
              <w:t>Neznáme</w:t>
            </w:r>
          </w:p>
          <w:p w14:paraId="48D52240" w14:textId="77777777" w:rsidR="00C26DB3" w:rsidRPr="00443ABC" w:rsidRDefault="00C26DB3">
            <w:pPr>
              <w:pStyle w:val="Syreaspc"/>
              <w:rPr>
                <w:b/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>Anorexia</w:t>
            </w:r>
          </w:p>
        </w:tc>
      </w:tr>
      <w:tr w:rsidR="00C26DB3" w:rsidRPr="00443ABC" w14:paraId="3A4EDB22" w14:textId="77777777">
        <w:tc>
          <w:tcPr>
            <w:tcW w:w="3396" w:type="dxa"/>
          </w:tcPr>
          <w:p w14:paraId="2E63838C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 xml:space="preserve">Poruchy </w:t>
            </w:r>
            <w:r w:rsidRPr="00443ABC">
              <w:rPr>
                <w:color w:val="000000"/>
                <w:sz w:val="22"/>
                <w:szCs w:val="22"/>
              </w:rPr>
              <w:t xml:space="preserve">nervového systému </w:t>
            </w:r>
          </w:p>
        </w:tc>
        <w:tc>
          <w:tcPr>
            <w:tcW w:w="5217" w:type="dxa"/>
          </w:tcPr>
          <w:p w14:paraId="3ABA555F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 xml:space="preserve">Veľmi </w:t>
            </w:r>
            <w:r w:rsidRPr="00443ABC">
              <w:rPr>
                <w:color w:val="000000"/>
                <w:sz w:val="22"/>
                <w:szCs w:val="22"/>
                <w:u w:val="single"/>
              </w:rPr>
              <w:t>časté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1969EA3E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 xml:space="preserve">Neurologické poruchy (G3: 2,6 %; G4: 0,1 %) vrátane straty hlbokých šľachových reflexov. </w:t>
            </w:r>
            <w:r w:rsidRPr="00443ABC">
              <w:rPr>
                <w:sz w:val="22"/>
                <w:szCs w:val="22"/>
              </w:rPr>
              <w:t>Po predĺženej chemoterapii bola zaznamenaná slabosť dolných končatín.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0F4C0001" w14:textId="77777777" w:rsidR="00C26DB3" w:rsidRPr="00443ABC" w:rsidRDefault="00C26DB3">
            <w:pPr>
              <w:pStyle w:val="Syreaspc"/>
              <w:rPr>
                <w:color w:val="000000"/>
                <w:sz w:val="22"/>
              </w:rPr>
            </w:pPr>
          </w:p>
          <w:p w14:paraId="71A8D1AB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  <w:r w:rsidRPr="00443ABC">
              <w:rPr>
                <w:sz w:val="22"/>
                <w:szCs w:val="22"/>
                <w:u w:val="single"/>
              </w:rPr>
              <w:t>Menej časté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74808CDF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>Ťažká parestézia so senzorickými a motorickými príznakmi.</w:t>
            </w:r>
          </w:p>
          <w:p w14:paraId="02A93BAE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</w:p>
          <w:p w14:paraId="31632EA5" w14:textId="77777777" w:rsidR="00C26DB3" w:rsidRPr="00443ABC" w:rsidRDefault="00C26DB3">
            <w:pPr>
              <w:pStyle w:val="Syreaspc"/>
              <w:rPr>
                <w:color w:val="000000"/>
              </w:rPr>
            </w:pPr>
            <w:r w:rsidRPr="00443ABC">
              <w:rPr>
                <w:color w:val="000000"/>
                <w:sz w:val="22"/>
                <w:szCs w:val="22"/>
              </w:rPr>
              <w:t>Tieto účinky sú väčšinou reverzibilné.</w:t>
            </w:r>
            <w:r w:rsidRPr="00443ABC">
              <w:rPr>
                <w:color w:val="000000"/>
              </w:rPr>
              <w:t xml:space="preserve"> </w:t>
            </w:r>
          </w:p>
          <w:p w14:paraId="45013EC5" w14:textId="77777777" w:rsidR="00C26DB3" w:rsidRPr="00443ABC" w:rsidRDefault="00C26DB3">
            <w:pPr>
              <w:pStyle w:val="Syreaspc"/>
              <w:rPr>
                <w:color w:val="000000"/>
              </w:rPr>
            </w:pPr>
          </w:p>
          <w:p w14:paraId="5BD1D957" w14:textId="77777777" w:rsidR="00C26DB3" w:rsidRPr="00443ABC" w:rsidRDefault="00C26DB3">
            <w:pPr>
              <w:pStyle w:val="Syreaspc"/>
              <w:ind w:left="215" w:hanging="215"/>
              <w:rPr>
                <w:sz w:val="22"/>
                <w:szCs w:val="22"/>
              </w:rPr>
            </w:pPr>
            <w:r w:rsidRPr="00443ABC">
              <w:rPr>
                <w:sz w:val="22"/>
                <w:szCs w:val="22"/>
                <w:u w:val="single"/>
              </w:rPr>
              <w:t>Veľmi zriedkavé</w:t>
            </w:r>
          </w:p>
          <w:p w14:paraId="1C8BCD47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sz w:val="22"/>
                <w:szCs w:val="22"/>
              </w:rPr>
              <w:t>Guillainov-Barrého syndróm.</w:t>
            </w:r>
          </w:p>
        </w:tc>
      </w:tr>
      <w:tr w:rsidR="00C26DB3" w:rsidRPr="00443ABC" w14:paraId="2B59D01F" w14:textId="77777777">
        <w:tc>
          <w:tcPr>
            <w:tcW w:w="3396" w:type="dxa"/>
          </w:tcPr>
          <w:p w14:paraId="7E3985FC" w14:textId="77777777" w:rsidR="00C26DB3" w:rsidRPr="00443ABC" w:rsidRDefault="00C26DB3">
            <w:pPr>
              <w:keepNext/>
              <w:keepLines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lastRenderedPageBreak/>
              <w:t xml:space="preserve">Poruchy </w:t>
            </w:r>
            <w:r w:rsidRPr="00443ABC">
              <w:rPr>
                <w:color w:val="000000"/>
                <w:sz w:val="22"/>
                <w:szCs w:val="22"/>
              </w:rPr>
              <w:t>srdca a srdcovej činnosti</w:t>
            </w:r>
            <w:r w:rsidRPr="00443ABC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217" w:type="dxa"/>
          </w:tcPr>
          <w:p w14:paraId="7FD5FE31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Zriedkavé</w:t>
            </w:r>
            <w:r w:rsidRPr="00443ABC">
              <w:rPr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4F85A259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  <w:szCs w:val="22"/>
              </w:rPr>
            </w:pPr>
            <w:r w:rsidRPr="00443ABC">
              <w:rPr>
                <w:sz w:val="22"/>
                <w:szCs w:val="22"/>
              </w:rPr>
              <w:t>Ischemické choroby srdca ako angina pectoris, prechodné zmeny elektrokardiogramu, infarkt myokardu, v niektorých prípadoch fatálny.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54B2169C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</w:rPr>
            </w:pPr>
          </w:p>
          <w:p w14:paraId="4F1A3630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Veľmi zriedkavé</w:t>
            </w:r>
          </w:p>
          <w:p w14:paraId="3B9DAF45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 xml:space="preserve">Tachykardia, palpitácie a poruchy srdcového rytmu. </w:t>
            </w:r>
          </w:p>
        </w:tc>
      </w:tr>
      <w:tr w:rsidR="00C26DB3" w:rsidRPr="00443ABC" w14:paraId="02BCF1E8" w14:textId="77777777">
        <w:tc>
          <w:tcPr>
            <w:tcW w:w="3396" w:type="dxa"/>
          </w:tcPr>
          <w:p w14:paraId="2F91F7E0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>Poruchy ciev</w:t>
            </w:r>
          </w:p>
        </w:tc>
        <w:tc>
          <w:tcPr>
            <w:tcW w:w="5217" w:type="dxa"/>
          </w:tcPr>
          <w:p w14:paraId="0DDF1236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u w:val="single"/>
              </w:rPr>
              <w:t>Menej časté</w:t>
            </w:r>
          </w:p>
          <w:p w14:paraId="41CA602F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>Hypotenzia, hypertenzia, sčervenanie a periférny chlad.</w:t>
            </w:r>
          </w:p>
          <w:p w14:paraId="0BD8B841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</w:p>
          <w:p w14:paraId="14214C8A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Zriedkavé</w:t>
            </w:r>
          </w:p>
          <w:p w14:paraId="5C820314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>Ťažká hypotenzia, kolaps.</w:t>
            </w:r>
          </w:p>
        </w:tc>
      </w:tr>
      <w:tr w:rsidR="00C26DB3" w:rsidRPr="00443ABC" w14:paraId="252B2197" w14:textId="77777777">
        <w:tc>
          <w:tcPr>
            <w:tcW w:w="3396" w:type="dxa"/>
          </w:tcPr>
          <w:p w14:paraId="25990A61" w14:textId="77777777" w:rsidR="00C26DB3" w:rsidRPr="00443ABC" w:rsidRDefault="00C26DB3">
            <w:pPr>
              <w:keepNext/>
              <w:keepLines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 xml:space="preserve">Poruchy dýchacej sústavy, hrudníka a mediastína </w:t>
            </w:r>
          </w:p>
        </w:tc>
        <w:tc>
          <w:tcPr>
            <w:tcW w:w="5217" w:type="dxa"/>
          </w:tcPr>
          <w:p w14:paraId="7B2FEE73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Menej časté</w:t>
            </w:r>
            <w:r w:rsidRPr="00443ABC">
              <w:rPr>
                <w:color w:val="000000"/>
                <w:sz w:val="22"/>
              </w:rPr>
              <w:t xml:space="preserve"> </w:t>
            </w:r>
          </w:p>
          <w:p w14:paraId="78DB9FFE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>V spojitosti s liečbou vinorelbínom ako aj inými alkaloidmi z rodu Vinca sa môže vyskytnúť dyspnoe a bronchospazmus.</w:t>
            </w:r>
          </w:p>
          <w:p w14:paraId="1C95DAF9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</w:p>
          <w:p w14:paraId="3BFE3423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Zriedkavé</w:t>
            </w:r>
            <w:r w:rsidRPr="00443ABC">
              <w:rPr>
                <w:color w:val="000000"/>
                <w:sz w:val="22"/>
              </w:rPr>
              <w:t xml:space="preserve"> </w:t>
            </w:r>
          </w:p>
          <w:p w14:paraId="2222E69A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>Bola zaznamenaná intersticiálna choroba pľúc, v niektorých prípadoch s fatálnym koncom.</w:t>
            </w:r>
          </w:p>
          <w:p w14:paraId="2FF56B27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</w:p>
          <w:p w14:paraId="751C7C66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Veľmi zriedkavé</w:t>
            </w:r>
          </w:p>
          <w:p w14:paraId="60DD4EF6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b/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>Respiračná insuficiencia.</w:t>
            </w:r>
          </w:p>
        </w:tc>
      </w:tr>
      <w:tr w:rsidR="00C26DB3" w:rsidRPr="00443ABC" w14:paraId="73BE05BC" w14:textId="77777777">
        <w:tc>
          <w:tcPr>
            <w:tcW w:w="3396" w:type="dxa"/>
          </w:tcPr>
          <w:p w14:paraId="02B458C1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 xml:space="preserve">Poruchy gastrointestinálneho traktu </w:t>
            </w:r>
          </w:p>
        </w:tc>
        <w:tc>
          <w:tcPr>
            <w:tcW w:w="5217" w:type="dxa"/>
          </w:tcPr>
          <w:p w14:paraId="5BBD8EBF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Veľmi časté</w:t>
            </w:r>
            <w:r w:rsidRPr="00443ABC">
              <w:rPr>
                <w:color w:val="000000"/>
                <w:sz w:val="22"/>
              </w:rPr>
              <w:t xml:space="preserve"> </w:t>
            </w:r>
          </w:p>
          <w:p w14:paraId="121A1CCB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>Hlavným symptómom je zápcha (G3-4: 2,7 %), ktorá zriedkavo progreduje do paralytického ilea pri monoterapii s vinorelbínom (G3</w:t>
            </w:r>
            <w:r w:rsidRPr="00443ABC">
              <w:rPr>
                <w:color w:val="000000"/>
                <w:sz w:val="22"/>
                <w:szCs w:val="22"/>
              </w:rPr>
              <w:noBreakHyphen/>
              <w:t>4: 4,1 %) a v kombinácii vinorelbínu s inými chemoterapeutikami. Nauzea a vracanie (G1-2: 30,4 %, G3</w:t>
            </w:r>
            <w:r w:rsidRPr="00443ABC">
              <w:rPr>
                <w:color w:val="000000"/>
                <w:sz w:val="22"/>
                <w:szCs w:val="22"/>
              </w:rPr>
              <w:noBreakHyphen/>
              <w:t>4: 2,2 % u monoterapie, antiemetická terapia môže znížiť ich výskyt), stomatitída (G1-4: 15 % u monoterapie), ezofagitída.</w:t>
            </w:r>
          </w:p>
          <w:p w14:paraId="0ECF5557" w14:textId="77777777" w:rsidR="00C26DB3" w:rsidRPr="00443ABC" w:rsidRDefault="00C26DB3">
            <w:pPr>
              <w:pStyle w:val="Syreaspc"/>
              <w:rPr>
                <w:color w:val="000000"/>
                <w:sz w:val="22"/>
              </w:rPr>
            </w:pPr>
          </w:p>
          <w:p w14:paraId="4309A9EC" w14:textId="77777777" w:rsidR="00C26DB3" w:rsidRPr="00443ABC" w:rsidRDefault="00C26DB3">
            <w:pPr>
              <w:pStyle w:val="Syreaspc"/>
              <w:rPr>
                <w:color w:val="000000"/>
                <w:sz w:val="22"/>
                <w:u w:val="single"/>
              </w:rPr>
            </w:pPr>
            <w:r w:rsidRPr="00443ABC">
              <w:rPr>
                <w:color w:val="000000"/>
                <w:sz w:val="22"/>
                <w:u w:val="single"/>
              </w:rPr>
              <w:t>Časté</w:t>
            </w:r>
          </w:p>
          <w:p w14:paraId="64C888DE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>Hnačka (obvykle ľahká až mierna).</w:t>
            </w:r>
          </w:p>
          <w:p w14:paraId="7C378715" w14:textId="77777777" w:rsidR="00C26DB3" w:rsidRPr="00443ABC" w:rsidRDefault="00C26DB3">
            <w:pPr>
              <w:pStyle w:val="Syreaspc"/>
              <w:rPr>
                <w:color w:val="000000"/>
                <w:sz w:val="22"/>
              </w:rPr>
            </w:pPr>
          </w:p>
          <w:p w14:paraId="79463A0B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Zriedkavé</w:t>
            </w:r>
          </w:p>
          <w:p w14:paraId="162DBD26" w14:textId="77777777" w:rsidR="00C26DB3" w:rsidRPr="00443ABC" w:rsidRDefault="00C26DB3">
            <w:pPr>
              <w:pStyle w:val="Syreaspc"/>
              <w:rPr>
                <w:b/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>Paralytický ileus; liečba môže pokračovať po obnovení normálnej črevnej mobility, pankreatitída.</w:t>
            </w:r>
          </w:p>
        </w:tc>
      </w:tr>
      <w:tr w:rsidR="00C26DB3" w:rsidRPr="00443ABC" w14:paraId="4F9D076A" w14:textId="77777777">
        <w:tc>
          <w:tcPr>
            <w:tcW w:w="3396" w:type="dxa"/>
          </w:tcPr>
          <w:p w14:paraId="5BEF0092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 xml:space="preserve">Poruchy pečene a žlčových ciest </w:t>
            </w:r>
          </w:p>
        </w:tc>
        <w:tc>
          <w:tcPr>
            <w:tcW w:w="5217" w:type="dxa"/>
          </w:tcPr>
          <w:p w14:paraId="7AF5C3DE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Veľmi časté</w:t>
            </w:r>
            <w:r w:rsidRPr="00443ABC">
              <w:rPr>
                <w:color w:val="000000"/>
                <w:sz w:val="22"/>
              </w:rPr>
              <w:t xml:space="preserve"> </w:t>
            </w:r>
          </w:p>
          <w:p w14:paraId="14BCC6DB" w14:textId="77777777" w:rsidR="00C26DB3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sz w:val="22"/>
                <w:szCs w:val="22"/>
              </w:rPr>
              <w:t>Boli zaznamenané prechodné zvýšenia funkčných pečeňových testov (G1-2) bez klinických symptómov (zvýšený celkový bilirubín, zvýšená alkalická fosfatáza, aspartát-aminotransferáza zvýšená u 27,6 %, alaninaminotransferáza zvýšená u 29,3 %).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41680BE4" w14:textId="77777777" w:rsidR="00BB5332" w:rsidRPr="00443ABC" w:rsidRDefault="00BB5332">
            <w:pPr>
              <w:pStyle w:val="Syreaspc"/>
              <w:rPr>
                <w:color w:val="000000"/>
                <w:sz w:val="22"/>
              </w:rPr>
            </w:pPr>
          </w:p>
        </w:tc>
      </w:tr>
      <w:tr w:rsidR="00C26DB3" w:rsidRPr="00443ABC" w14:paraId="2460CF7C" w14:textId="77777777">
        <w:tc>
          <w:tcPr>
            <w:tcW w:w="3396" w:type="dxa"/>
          </w:tcPr>
          <w:p w14:paraId="56324253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 xml:space="preserve">Poruchy kože a podkožného tkaniva </w:t>
            </w:r>
          </w:p>
        </w:tc>
        <w:tc>
          <w:tcPr>
            <w:tcW w:w="5217" w:type="dxa"/>
          </w:tcPr>
          <w:p w14:paraId="61275BAB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Veľmi časté</w:t>
            </w:r>
            <w:r w:rsidRPr="00443ABC">
              <w:rPr>
                <w:color w:val="000000"/>
                <w:sz w:val="22"/>
              </w:rPr>
              <w:t xml:space="preserve"> </w:t>
            </w:r>
          </w:p>
          <w:p w14:paraId="3DF49014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lastRenderedPageBreak/>
              <w:t>Alopécia obvykle ľahkého charakteru (G3-4: 4,1 % u monoterapie).</w:t>
            </w:r>
          </w:p>
          <w:p w14:paraId="6A482AC0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</w:p>
          <w:p w14:paraId="6D9CFFA2" w14:textId="77777777" w:rsidR="00C26DB3" w:rsidRPr="00443ABC" w:rsidRDefault="00C26DB3">
            <w:pPr>
              <w:pStyle w:val="Syreaspc"/>
              <w:ind w:left="215" w:hanging="215"/>
              <w:rPr>
                <w:sz w:val="22"/>
                <w:u w:val="single"/>
              </w:rPr>
            </w:pPr>
            <w:r w:rsidRPr="00443ABC">
              <w:rPr>
                <w:sz w:val="22"/>
                <w:u w:val="single"/>
              </w:rPr>
              <w:t>Zriedkavé</w:t>
            </w:r>
          </w:p>
          <w:p w14:paraId="3B07DBAB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  <w:r w:rsidRPr="00443ABC">
              <w:rPr>
                <w:sz w:val="22"/>
                <w:szCs w:val="22"/>
              </w:rPr>
              <w:t xml:space="preserve">Celkové kožné reakcie. </w:t>
            </w:r>
          </w:p>
          <w:p w14:paraId="378305AA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  <w:u w:val="single"/>
              </w:rPr>
            </w:pPr>
          </w:p>
          <w:p w14:paraId="387D1CBB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  <w:r w:rsidRPr="00443ABC">
              <w:rPr>
                <w:sz w:val="22"/>
                <w:szCs w:val="22"/>
                <w:u w:val="single"/>
              </w:rPr>
              <w:t>Neznáme</w:t>
            </w:r>
            <w:r w:rsidRPr="00443ABC">
              <w:rPr>
                <w:sz w:val="22"/>
                <w:szCs w:val="22"/>
              </w:rPr>
              <w:t>: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32C400D6" w14:textId="77777777" w:rsidR="00C26DB3" w:rsidRPr="00443ABC" w:rsidRDefault="00C26DB3">
            <w:pPr>
              <w:pStyle w:val="Syreaspc"/>
              <w:ind w:left="215" w:hanging="215"/>
              <w:rPr>
                <w:b/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>Syndróm palmárno-plantárnej erytrodyzestézie.</w:t>
            </w:r>
          </w:p>
        </w:tc>
      </w:tr>
      <w:tr w:rsidR="00C26DB3" w:rsidRPr="00443ABC" w14:paraId="51C21AF8" w14:textId="77777777">
        <w:tc>
          <w:tcPr>
            <w:tcW w:w="3396" w:type="dxa"/>
          </w:tcPr>
          <w:p w14:paraId="3104954D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lastRenderedPageBreak/>
              <w:t xml:space="preserve">Poruchy kostrovej a svalovej sústavy a spojivového tkaniva </w:t>
            </w:r>
          </w:p>
        </w:tc>
        <w:tc>
          <w:tcPr>
            <w:tcW w:w="5217" w:type="dxa"/>
          </w:tcPr>
          <w:p w14:paraId="17E068DE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Časté</w:t>
            </w:r>
            <w:r w:rsidRPr="00443ABC">
              <w:rPr>
                <w:color w:val="000000"/>
                <w:sz w:val="22"/>
              </w:rPr>
              <w:t xml:space="preserve"> </w:t>
            </w:r>
          </w:p>
          <w:p w14:paraId="1723C17A" w14:textId="77777777" w:rsidR="00C26DB3" w:rsidRPr="00443ABC" w:rsidRDefault="00C26DB3">
            <w:pPr>
              <w:pStyle w:val="Syreaspc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 xml:space="preserve">Myalgia, artralgia, bolesť čeľuste. </w:t>
            </w:r>
          </w:p>
        </w:tc>
      </w:tr>
      <w:tr w:rsidR="00C26DB3" w:rsidRPr="00443ABC" w14:paraId="577D06F2" w14:textId="77777777">
        <w:tc>
          <w:tcPr>
            <w:tcW w:w="3396" w:type="dxa"/>
          </w:tcPr>
          <w:p w14:paraId="1E917808" w14:textId="77777777" w:rsidR="00C26DB3" w:rsidRPr="00443ABC" w:rsidRDefault="00C26DB3">
            <w:pPr>
              <w:rPr>
                <w:color w:val="000000"/>
                <w:sz w:val="22"/>
                <w:szCs w:val="22"/>
              </w:rPr>
            </w:pPr>
            <w:r w:rsidRPr="00443ABC">
              <w:rPr>
                <w:sz w:val="22"/>
                <w:szCs w:val="22"/>
              </w:rPr>
              <w:t>Poruchy obličiek a močových ciest</w:t>
            </w:r>
          </w:p>
        </w:tc>
        <w:tc>
          <w:tcPr>
            <w:tcW w:w="5217" w:type="dxa"/>
          </w:tcPr>
          <w:p w14:paraId="4DB69FE0" w14:textId="77777777" w:rsidR="00C26DB3" w:rsidRPr="00443ABC" w:rsidRDefault="00C26DB3">
            <w:pPr>
              <w:pStyle w:val="Syreaspc"/>
              <w:ind w:left="215" w:hanging="215"/>
              <w:rPr>
                <w:sz w:val="22"/>
                <w:szCs w:val="22"/>
              </w:rPr>
            </w:pPr>
            <w:r w:rsidRPr="00443ABC">
              <w:rPr>
                <w:sz w:val="22"/>
                <w:szCs w:val="22"/>
                <w:u w:val="single"/>
              </w:rPr>
              <w:t>Časté</w:t>
            </w:r>
          </w:p>
          <w:p w14:paraId="72202D76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u w:val="single"/>
              </w:rPr>
            </w:pPr>
            <w:r w:rsidRPr="00443ABC">
              <w:rPr>
                <w:sz w:val="22"/>
                <w:szCs w:val="22"/>
              </w:rPr>
              <w:t>Zvýšená hladina kreatinínu.</w:t>
            </w:r>
          </w:p>
        </w:tc>
      </w:tr>
      <w:tr w:rsidR="00C26DB3" w:rsidRPr="00443ABC" w14:paraId="014C90C8" w14:textId="77777777">
        <w:tblPrEx>
          <w:tblCellMar>
            <w:left w:w="70" w:type="dxa"/>
            <w:right w:w="70" w:type="dxa"/>
          </w:tblCellMar>
        </w:tblPrEx>
        <w:tc>
          <w:tcPr>
            <w:tcW w:w="3396" w:type="dxa"/>
          </w:tcPr>
          <w:p w14:paraId="72804E26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>Celkové poruchy a reakcie v</w:t>
            </w:r>
            <w:r w:rsidRPr="00443ABC">
              <w:rPr>
                <w:color w:val="000000"/>
                <w:sz w:val="22"/>
                <w:szCs w:val="22"/>
              </w:rPr>
              <w:t> </w:t>
            </w:r>
            <w:r w:rsidRPr="00443ABC">
              <w:rPr>
                <w:color w:val="000000"/>
                <w:sz w:val="22"/>
              </w:rPr>
              <w:t xml:space="preserve">mieste podania </w:t>
            </w:r>
          </w:p>
        </w:tc>
        <w:tc>
          <w:tcPr>
            <w:tcW w:w="5217" w:type="dxa"/>
          </w:tcPr>
          <w:p w14:paraId="3F42F8A6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Veľmi časté</w:t>
            </w:r>
            <w:r w:rsidRPr="00443ABC">
              <w:rPr>
                <w:color w:val="000000"/>
                <w:sz w:val="22"/>
              </w:rPr>
              <w:t xml:space="preserve"> </w:t>
            </w:r>
          </w:p>
          <w:p w14:paraId="0749C0EA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sz w:val="22"/>
                <w:szCs w:val="22"/>
              </w:rPr>
              <w:t>Asténia, únava, horúčka, bolesť na rôznych miestach vrátane bolesti v hrudi a bolesti v mieste lokalizácie nádoru.</w:t>
            </w:r>
          </w:p>
          <w:p w14:paraId="337A84DC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sz w:val="22"/>
                <w:szCs w:val="22"/>
              </w:rPr>
              <w:t>Reakcie v mieste podania injekcie môžu zahrňovať erytém, pálčivá bolesť, zmenu sfarbenia žily a lokálnu flebitídu (G3-4: 3,7 % pri monoterapii vinorelbínom).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7E47BA12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</w:p>
          <w:p w14:paraId="20BA2FB0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Zriedkavé</w:t>
            </w:r>
            <w:r w:rsidRPr="00443ABC">
              <w:rPr>
                <w:color w:val="000000"/>
                <w:sz w:val="22"/>
              </w:rPr>
              <w:t xml:space="preserve"> </w:t>
            </w:r>
          </w:p>
          <w:p w14:paraId="21C4430A" w14:textId="77777777" w:rsidR="00C26DB3" w:rsidRPr="00443ABC" w:rsidRDefault="00C26DB3">
            <w:pPr>
              <w:pStyle w:val="Syreaspc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 xml:space="preserve">Nekróza v mieste podania injekcie </w:t>
            </w:r>
            <w:r w:rsidRPr="00443ABC">
              <w:rPr>
                <w:color w:val="000000"/>
                <w:sz w:val="22"/>
                <w:szCs w:val="22"/>
              </w:rPr>
              <w:t xml:space="preserve">(tento účinok sa dá obmedziť správnym umiestnením intravenóznej ihly alebo katétra a dostatočným prepláchnutím žily po podaní bolusovej </w:t>
            </w:r>
            <w:r w:rsidRPr="00443ABC">
              <w:rPr>
                <w:color w:val="000000"/>
                <w:sz w:val="22"/>
              </w:rPr>
              <w:t>injekcie</w:t>
            </w:r>
            <w:r w:rsidRPr="00443ABC">
              <w:rPr>
                <w:color w:val="000000"/>
                <w:sz w:val="22"/>
                <w:szCs w:val="22"/>
              </w:rPr>
              <w:t>).</w:t>
            </w:r>
          </w:p>
        </w:tc>
      </w:tr>
    </w:tbl>
    <w:p w14:paraId="715AFA55" w14:textId="77777777" w:rsidR="00C26DB3" w:rsidRPr="00443ABC" w:rsidRDefault="00C26DB3">
      <w:pPr>
        <w:ind w:left="850" w:hanging="850"/>
        <w:jc w:val="both"/>
        <w:rPr>
          <w:color w:val="000000"/>
          <w:spacing w:val="-3"/>
          <w:sz w:val="22"/>
          <w:szCs w:val="22"/>
        </w:rPr>
      </w:pPr>
    </w:p>
    <w:p w14:paraId="3367C37D" w14:textId="77777777" w:rsidR="00BB5332" w:rsidRPr="00C627D0" w:rsidRDefault="00BB5332" w:rsidP="00BB5332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C627D0">
        <w:rPr>
          <w:noProof/>
          <w:sz w:val="22"/>
          <w:szCs w:val="22"/>
          <w:u w:val="single"/>
        </w:rPr>
        <w:t>Hlásenie podozrení na nežiaduce reakcie</w:t>
      </w:r>
    </w:p>
    <w:p w14:paraId="363743C5" w14:textId="59452989" w:rsidR="0000243A" w:rsidRPr="00BB5332" w:rsidRDefault="00BB5332" w:rsidP="0000243A">
      <w:pPr>
        <w:pStyle w:val="Normlnywebov"/>
        <w:spacing w:before="0" w:beforeAutospacing="0" w:after="0" w:afterAutospacing="0"/>
        <w:rPr>
          <w:sz w:val="22"/>
          <w:szCs w:val="22"/>
          <w:lang w:val="pt-PT"/>
        </w:rPr>
      </w:pPr>
      <w:r w:rsidRPr="00C627D0">
        <w:rPr>
          <w:noProof/>
          <w:sz w:val="22"/>
          <w:szCs w:val="22"/>
        </w:rPr>
        <w:t>Hlásenie podozrení na nežiaduce reakcie po registrácii lieku je dôležité.</w:t>
      </w:r>
      <w:r w:rsidRPr="00C627D0">
        <w:rPr>
          <w:sz w:val="22"/>
          <w:szCs w:val="22"/>
        </w:rPr>
        <w:t xml:space="preserve"> </w:t>
      </w:r>
      <w:r w:rsidRPr="00C627D0">
        <w:rPr>
          <w:noProof/>
          <w:sz w:val="22"/>
          <w:szCs w:val="22"/>
        </w:rPr>
        <w:t>Umožňuje priebežné monitorovanie pomeru prínosu a rizika lieku.</w:t>
      </w:r>
      <w:r w:rsidRPr="00C627D0">
        <w:rPr>
          <w:sz w:val="22"/>
          <w:szCs w:val="22"/>
        </w:rPr>
        <w:t xml:space="preserve"> Od </w:t>
      </w:r>
      <w:r w:rsidRPr="00C627D0">
        <w:rPr>
          <w:noProof/>
          <w:sz w:val="22"/>
          <w:szCs w:val="22"/>
        </w:rPr>
        <w:t xml:space="preserve">zdravotníckych pracovníkov sa vyžaduje, aby hlásili akékoľvek podozrenia na nežiaduce reakcie na </w:t>
      </w:r>
      <w:r w:rsidRPr="00C627D0">
        <w:rPr>
          <w:noProof/>
          <w:sz w:val="22"/>
          <w:szCs w:val="22"/>
          <w:highlight w:val="lightGray"/>
        </w:rPr>
        <w:t>národné centrum hlásenia uvedené v</w:t>
      </w:r>
      <w:r>
        <w:rPr>
          <w:noProof/>
          <w:sz w:val="22"/>
          <w:szCs w:val="22"/>
          <w:highlight w:val="lightGray"/>
        </w:rPr>
        <w:t> </w:t>
      </w:r>
      <w:hyperlink r:id="rId7" w:history="1">
        <w:r w:rsidRPr="00BB5332">
          <w:rPr>
            <w:rStyle w:val="Hypertextovprepojenie"/>
            <w:noProof/>
            <w:sz w:val="22"/>
            <w:szCs w:val="22"/>
            <w:highlight w:val="lightGray"/>
          </w:rPr>
          <w:t>Prílohe</w:t>
        </w:r>
        <w:r>
          <w:rPr>
            <w:rStyle w:val="Hypertextovprepojenie"/>
            <w:noProof/>
            <w:sz w:val="22"/>
            <w:szCs w:val="22"/>
            <w:highlight w:val="lightGray"/>
          </w:rPr>
          <w:t> </w:t>
        </w:r>
        <w:r w:rsidRPr="00C627D0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C627D0">
        <w:rPr>
          <w:noProof/>
          <w:sz w:val="22"/>
          <w:szCs w:val="22"/>
        </w:rPr>
        <w:t>.</w:t>
      </w:r>
    </w:p>
    <w:p w14:paraId="732DBBBB" w14:textId="291A81B7" w:rsidR="00753ADF" w:rsidRPr="00D94873" w:rsidRDefault="00753ADF">
      <w:pPr>
        <w:autoSpaceDE w:val="0"/>
        <w:autoSpaceDN w:val="0"/>
        <w:adjustRightInd w:val="0"/>
        <w:rPr>
          <w:color w:val="000000"/>
          <w:spacing w:val="-3"/>
          <w:sz w:val="22"/>
        </w:rPr>
      </w:pPr>
    </w:p>
    <w:p w14:paraId="439556C3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4.9</w:t>
      </w:r>
      <w:r w:rsidRPr="00443ABC">
        <w:rPr>
          <w:b/>
          <w:color w:val="000000"/>
          <w:spacing w:val="-3"/>
          <w:sz w:val="22"/>
        </w:rPr>
        <w:tab/>
        <w:t>Predávkovanie</w:t>
      </w:r>
    </w:p>
    <w:p w14:paraId="532E51F4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330AD2AF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 xml:space="preserve">U ľudí </w:t>
      </w:r>
      <w:r w:rsidRPr="00443ABC">
        <w:rPr>
          <w:b/>
          <w:color w:val="000000"/>
          <w:spacing w:val="-3"/>
          <w:sz w:val="22"/>
          <w:szCs w:val="22"/>
        </w:rPr>
        <w:t>boli zaznamenané</w:t>
      </w:r>
      <w:r w:rsidRPr="00443ABC">
        <w:rPr>
          <w:b/>
          <w:color w:val="000000"/>
          <w:spacing w:val="-3"/>
          <w:sz w:val="22"/>
        </w:rPr>
        <w:t xml:space="preserve"> prípady náhodného akútneho predávkovania: </w:t>
      </w:r>
      <w:r w:rsidRPr="00443ABC">
        <w:rPr>
          <w:color w:val="000000"/>
          <w:spacing w:val="-3"/>
          <w:sz w:val="22"/>
        </w:rPr>
        <w:t xml:space="preserve">Takéto prípady môžu </w:t>
      </w:r>
      <w:r w:rsidRPr="00443ABC">
        <w:rPr>
          <w:color w:val="000000"/>
          <w:spacing w:val="-3"/>
          <w:sz w:val="22"/>
          <w:szCs w:val="22"/>
        </w:rPr>
        <w:t>vyústiť do hypoplázie</w:t>
      </w:r>
      <w:r w:rsidRPr="00443ABC">
        <w:rPr>
          <w:color w:val="000000"/>
          <w:spacing w:val="-3"/>
          <w:sz w:val="22"/>
        </w:rPr>
        <w:t xml:space="preserve"> kostnej drene a </w:t>
      </w:r>
      <w:r w:rsidRPr="00443ABC">
        <w:rPr>
          <w:color w:val="000000"/>
          <w:spacing w:val="-3"/>
          <w:sz w:val="22"/>
          <w:szCs w:val="22"/>
        </w:rPr>
        <w:t xml:space="preserve">sú </w:t>
      </w:r>
      <w:r w:rsidRPr="00443ABC">
        <w:rPr>
          <w:color w:val="000000"/>
          <w:spacing w:val="-3"/>
          <w:sz w:val="22"/>
        </w:rPr>
        <w:t xml:space="preserve">niekedy spojené s infekciou, horúčkou a paralytickým ileom. Lekár </w:t>
      </w:r>
      <w:r w:rsidRPr="00443ABC">
        <w:rPr>
          <w:color w:val="000000"/>
          <w:spacing w:val="-3"/>
          <w:sz w:val="22"/>
          <w:szCs w:val="22"/>
        </w:rPr>
        <w:t>obvykle podľa svojho názoru iniciuje</w:t>
      </w:r>
      <w:r w:rsidRPr="00443ABC">
        <w:rPr>
          <w:color w:val="000000"/>
          <w:spacing w:val="-3"/>
          <w:sz w:val="22"/>
        </w:rPr>
        <w:t xml:space="preserve"> podpornú liečbu, ako je transfúzia krvi</w:t>
      </w:r>
      <w:r w:rsidRPr="00443ABC">
        <w:rPr>
          <w:color w:val="000000"/>
          <w:spacing w:val="-3"/>
          <w:sz w:val="22"/>
          <w:szCs w:val="22"/>
        </w:rPr>
        <w:t>, rastové faktory</w:t>
      </w:r>
      <w:r w:rsidRPr="00443ABC">
        <w:rPr>
          <w:color w:val="000000"/>
          <w:spacing w:val="-3"/>
          <w:sz w:val="22"/>
        </w:rPr>
        <w:t xml:space="preserve"> alebo </w:t>
      </w:r>
      <w:r w:rsidRPr="00443ABC">
        <w:rPr>
          <w:color w:val="000000"/>
          <w:spacing w:val="-3"/>
          <w:sz w:val="22"/>
          <w:szCs w:val="22"/>
        </w:rPr>
        <w:t xml:space="preserve">širokospektrálna antibiotická </w:t>
      </w:r>
      <w:r w:rsidRPr="00443ABC">
        <w:rPr>
          <w:color w:val="000000"/>
          <w:spacing w:val="-3"/>
          <w:sz w:val="22"/>
        </w:rPr>
        <w:t>liečba</w:t>
      </w:r>
      <w:r w:rsidRPr="00443ABC">
        <w:rPr>
          <w:color w:val="000000"/>
          <w:spacing w:val="-3"/>
          <w:sz w:val="22"/>
          <w:szCs w:val="22"/>
        </w:rPr>
        <w:t>.</w:t>
      </w:r>
      <w:r w:rsidRPr="00443ABC">
        <w:rPr>
          <w:color w:val="000000"/>
          <w:spacing w:val="-3"/>
          <w:sz w:val="22"/>
        </w:rPr>
        <w:t xml:space="preserve"> Nie je známe žiadne antidotum.</w:t>
      </w:r>
    </w:p>
    <w:p w14:paraId="414163A2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04981273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Nakoľko nejestvuje</w:t>
      </w:r>
      <w:r w:rsidRPr="00443ABC">
        <w:rPr>
          <w:color w:val="000000"/>
          <w:spacing w:val="-3"/>
          <w:sz w:val="22"/>
        </w:rPr>
        <w:t xml:space="preserve"> špecifické antidotum </w:t>
      </w:r>
      <w:r w:rsidRPr="00443ABC">
        <w:rPr>
          <w:color w:val="000000"/>
          <w:spacing w:val="-3"/>
          <w:sz w:val="22"/>
          <w:szCs w:val="22"/>
        </w:rPr>
        <w:t>pre</w:t>
      </w:r>
      <w:r w:rsidRPr="00443ABC">
        <w:rPr>
          <w:color w:val="000000"/>
          <w:spacing w:val="-3"/>
          <w:sz w:val="22"/>
        </w:rPr>
        <w:t xml:space="preserve"> predávkovanie intravenózne</w:t>
      </w:r>
      <w:r w:rsidRPr="00443ABC">
        <w:rPr>
          <w:color w:val="000000"/>
          <w:spacing w:val="-3"/>
          <w:sz w:val="22"/>
          <w:szCs w:val="22"/>
        </w:rPr>
        <w:t xml:space="preserve"> podaného vinorelbínu, sú </w:t>
      </w:r>
      <w:r w:rsidRPr="00443ABC">
        <w:rPr>
          <w:color w:val="000000"/>
          <w:spacing w:val="-3"/>
          <w:sz w:val="22"/>
        </w:rPr>
        <w:t xml:space="preserve">v prípade predávkovania </w:t>
      </w:r>
      <w:r w:rsidRPr="00443ABC">
        <w:rPr>
          <w:color w:val="000000"/>
          <w:spacing w:val="-3"/>
          <w:sz w:val="22"/>
          <w:szCs w:val="22"/>
        </w:rPr>
        <w:t>nutné</w:t>
      </w:r>
      <w:r w:rsidRPr="00443ABC">
        <w:rPr>
          <w:color w:val="000000"/>
          <w:spacing w:val="-3"/>
          <w:sz w:val="22"/>
        </w:rPr>
        <w:t xml:space="preserve"> symptomatické opatrenia, napr.:</w:t>
      </w:r>
    </w:p>
    <w:p w14:paraId="59087C06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358ADF80" w14:textId="4D574ACE" w:rsidR="00C26DB3" w:rsidRPr="00443ABC" w:rsidRDefault="009B5BF5" w:rsidP="005A5F8B">
      <w:pPr>
        <w:tabs>
          <w:tab w:val="left" w:pos="567"/>
        </w:tabs>
        <w:rPr>
          <w:color w:val="000000"/>
          <w:spacing w:val="-3"/>
          <w:sz w:val="22"/>
        </w:rPr>
      </w:pPr>
      <w:r w:rsidRPr="009B5BF5">
        <w:rPr>
          <w:sz w:val="22"/>
          <w:szCs w:val="22"/>
        </w:rPr>
        <w:t>•</w:t>
      </w:r>
      <w:r w:rsidRPr="009B5BF5">
        <w:rPr>
          <w:sz w:val="22"/>
          <w:szCs w:val="22"/>
        </w:rPr>
        <w:tab/>
      </w:r>
      <w:r w:rsidR="00C26DB3" w:rsidRPr="00443ABC">
        <w:rPr>
          <w:color w:val="000000"/>
          <w:spacing w:val="-3"/>
          <w:sz w:val="22"/>
          <w:szCs w:val="22"/>
        </w:rPr>
        <w:t>Priebežná</w:t>
      </w:r>
      <w:r w:rsidR="00C26DB3" w:rsidRPr="00443ABC">
        <w:rPr>
          <w:color w:val="000000"/>
          <w:spacing w:val="-3"/>
          <w:sz w:val="22"/>
        </w:rPr>
        <w:t xml:space="preserve"> kontrola vitálnych </w:t>
      </w:r>
      <w:r w:rsidR="00C26DB3" w:rsidRPr="00443ABC">
        <w:rPr>
          <w:color w:val="000000"/>
          <w:spacing w:val="-3"/>
          <w:sz w:val="22"/>
          <w:szCs w:val="22"/>
        </w:rPr>
        <w:t>funkcií</w:t>
      </w:r>
      <w:r w:rsidR="00C26DB3" w:rsidRPr="00443ABC">
        <w:rPr>
          <w:color w:val="000000"/>
          <w:spacing w:val="-3"/>
          <w:sz w:val="22"/>
        </w:rPr>
        <w:t xml:space="preserve"> a </w:t>
      </w:r>
      <w:r w:rsidR="00C26DB3" w:rsidRPr="00443ABC">
        <w:rPr>
          <w:color w:val="000000"/>
          <w:spacing w:val="-3"/>
          <w:sz w:val="22"/>
          <w:szCs w:val="22"/>
        </w:rPr>
        <w:t>dôsledné</w:t>
      </w:r>
      <w:r w:rsidR="00C26DB3" w:rsidRPr="00443ABC">
        <w:rPr>
          <w:color w:val="000000"/>
          <w:spacing w:val="-3"/>
          <w:sz w:val="22"/>
        </w:rPr>
        <w:t xml:space="preserve"> sledovanie pacienta.</w:t>
      </w:r>
    </w:p>
    <w:p w14:paraId="2BAD0BDD" w14:textId="28DD991A" w:rsidR="00C26DB3" w:rsidRPr="00443ABC" w:rsidRDefault="009B5BF5" w:rsidP="005A5F8B">
      <w:pPr>
        <w:tabs>
          <w:tab w:val="left" w:pos="567"/>
        </w:tabs>
        <w:ind w:left="567" w:hanging="567"/>
        <w:rPr>
          <w:sz w:val="22"/>
          <w:szCs w:val="22"/>
        </w:rPr>
      </w:pPr>
      <w:r w:rsidRPr="009B5BF5">
        <w:rPr>
          <w:sz w:val="22"/>
          <w:szCs w:val="22"/>
        </w:rPr>
        <w:t>•</w:t>
      </w:r>
      <w:r w:rsidRPr="009B5BF5">
        <w:rPr>
          <w:sz w:val="22"/>
          <w:szCs w:val="22"/>
        </w:rPr>
        <w:tab/>
      </w:r>
      <w:r w:rsidR="00C26DB3" w:rsidRPr="00443ABC">
        <w:rPr>
          <w:color w:val="000000"/>
          <w:spacing w:val="-3"/>
          <w:sz w:val="22"/>
          <w:szCs w:val="22"/>
        </w:rPr>
        <w:t>Denná</w:t>
      </w:r>
      <w:r w:rsidR="00C26DB3" w:rsidRPr="00443ABC">
        <w:rPr>
          <w:color w:val="000000"/>
          <w:spacing w:val="-3"/>
          <w:sz w:val="22"/>
        </w:rPr>
        <w:t xml:space="preserve"> kontrola krvného obrazu</w:t>
      </w:r>
      <w:r w:rsidR="00C26DB3" w:rsidRPr="00443ABC">
        <w:rPr>
          <w:color w:val="000000"/>
          <w:spacing w:val="-3"/>
          <w:sz w:val="22"/>
          <w:szCs w:val="22"/>
        </w:rPr>
        <w:t>, aby sa zistila potreba krvných</w:t>
      </w:r>
      <w:r w:rsidR="00C26DB3" w:rsidRPr="00443ABC">
        <w:rPr>
          <w:color w:val="000000"/>
          <w:spacing w:val="-3"/>
          <w:sz w:val="22"/>
        </w:rPr>
        <w:t xml:space="preserve"> transfúzií, rastových faktorov a </w:t>
      </w:r>
      <w:r w:rsidR="00C26DB3" w:rsidRPr="00443ABC">
        <w:rPr>
          <w:color w:val="000000"/>
          <w:spacing w:val="-3"/>
          <w:sz w:val="22"/>
          <w:szCs w:val="22"/>
        </w:rPr>
        <w:t>detegovala potreba</w:t>
      </w:r>
      <w:r w:rsidR="00C26DB3" w:rsidRPr="00443ABC">
        <w:rPr>
          <w:color w:val="000000"/>
          <w:spacing w:val="-3"/>
          <w:sz w:val="22"/>
        </w:rPr>
        <w:t xml:space="preserve"> intenzívnej starostlivosti a </w:t>
      </w:r>
      <w:r w:rsidR="00C26DB3" w:rsidRPr="00443ABC">
        <w:rPr>
          <w:color w:val="000000"/>
          <w:spacing w:val="-3"/>
          <w:sz w:val="22"/>
          <w:szCs w:val="22"/>
        </w:rPr>
        <w:t>minimalizovalo riziko</w:t>
      </w:r>
      <w:r w:rsidR="00C26DB3" w:rsidRPr="00443ABC">
        <w:rPr>
          <w:color w:val="000000"/>
          <w:spacing w:val="-3"/>
          <w:sz w:val="22"/>
        </w:rPr>
        <w:t xml:space="preserve"> infekcií.</w:t>
      </w:r>
    </w:p>
    <w:p w14:paraId="28ACF960" w14:textId="5847533C" w:rsidR="00C26DB3" w:rsidRPr="00443ABC" w:rsidRDefault="009B5BF5" w:rsidP="005A5F8B">
      <w:pPr>
        <w:tabs>
          <w:tab w:val="left" w:pos="567"/>
        </w:tabs>
        <w:rPr>
          <w:color w:val="000000"/>
          <w:spacing w:val="-3"/>
          <w:sz w:val="22"/>
        </w:rPr>
      </w:pPr>
      <w:r w:rsidRPr="009B5BF5">
        <w:rPr>
          <w:sz w:val="22"/>
          <w:szCs w:val="22"/>
        </w:rPr>
        <w:t>•</w:t>
      </w:r>
      <w:r w:rsidRPr="009B5BF5">
        <w:rPr>
          <w:sz w:val="22"/>
          <w:szCs w:val="22"/>
        </w:rPr>
        <w:tab/>
      </w:r>
      <w:r w:rsidR="00C26DB3" w:rsidRPr="00443ABC">
        <w:rPr>
          <w:color w:val="000000"/>
          <w:spacing w:val="-3"/>
          <w:sz w:val="22"/>
          <w:szCs w:val="22"/>
        </w:rPr>
        <w:t>Preventívne opatrenia</w:t>
      </w:r>
      <w:r w:rsidR="00C26DB3" w:rsidRPr="00443ABC">
        <w:rPr>
          <w:color w:val="000000"/>
          <w:spacing w:val="-3"/>
          <w:sz w:val="22"/>
        </w:rPr>
        <w:t xml:space="preserve"> alebo </w:t>
      </w:r>
      <w:r w:rsidR="00C26DB3" w:rsidRPr="00443ABC">
        <w:rPr>
          <w:color w:val="000000"/>
          <w:spacing w:val="-3"/>
          <w:sz w:val="22"/>
          <w:szCs w:val="22"/>
        </w:rPr>
        <w:t>terapia</w:t>
      </w:r>
      <w:r w:rsidR="00C26DB3" w:rsidRPr="00443ABC">
        <w:rPr>
          <w:color w:val="000000"/>
          <w:spacing w:val="-3"/>
          <w:sz w:val="22"/>
        </w:rPr>
        <w:t xml:space="preserve"> paralytického ilea.</w:t>
      </w:r>
    </w:p>
    <w:p w14:paraId="0EE7946C" w14:textId="43510801" w:rsidR="00C26DB3" w:rsidRPr="00443ABC" w:rsidRDefault="009B5BF5" w:rsidP="005A5F8B">
      <w:pPr>
        <w:tabs>
          <w:tab w:val="left" w:pos="567"/>
        </w:tabs>
        <w:rPr>
          <w:color w:val="000000"/>
          <w:spacing w:val="-3"/>
          <w:sz w:val="22"/>
        </w:rPr>
      </w:pPr>
      <w:r w:rsidRPr="009B5BF5">
        <w:rPr>
          <w:sz w:val="22"/>
          <w:szCs w:val="22"/>
        </w:rPr>
        <w:t>•</w:t>
      </w:r>
      <w:r w:rsidRPr="009B5BF5">
        <w:rPr>
          <w:sz w:val="22"/>
          <w:szCs w:val="22"/>
        </w:rPr>
        <w:tab/>
      </w:r>
      <w:r w:rsidR="00C26DB3" w:rsidRPr="00443ABC">
        <w:rPr>
          <w:color w:val="000000"/>
          <w:spacing w:val="-3"/>
          <w:sz w:val="22"/>
        </w:rPr>
        <w:t>Kontrola obehového systému a funkcie pečene.</w:t>
      </w:r>
      <w:r w:rsidR="00C26DB3" w:rsidRPr="00443ABC">
        <w:rPr>
          <w:color w:val="000000"/>
          <w:spacing w:val="-3"/>
          <w:sz w:val="22"/>
          <w:szCs w:val="22"/>
        </w:rPr>
        <w:t xml:space="preserve"> </w:t>
      </w:r>
    </w:p>
    <w:p w14:paraId="65359DB7" w14:textId="16ACD4B9" w:rsidR="00C26DB3" w:rsidRPr="00443ABC" w:rsidRDefault="009B5BF5" w:rsidP="00C627D0">
      <w:pPr>
        <w:keepNext/>
        <w:keepLines/>
        <w:tabs>
          <w:tab w:val="left" w:pos="567"/>
        </w:tabs>
        <w:ind w:left="567" w:hanging="567"/>
        <w:rPr>
          <w:color w:val="000000"/>
          <w:spacing w:val="-3"/>
          <w:sz w:val="22"/>
        </w:rPr>
      </w:pPr>
      <w:r w:rsidRPr="009B5BF5">
        <w:rPr>
          <w:sz w:val="22"/>
          <w:szCs w:val="22"/>
        </w:rPr>
        <w:t>•</w:t>
      </w:r>
      <w:r w:rsidRPr="009B5BF5">
        <w:rPr>
          <w:sz w:val="22"/>
          <w:szCs w:val="22"/>
        </w:rPr>
        <w:tab/>
      </w:r>
      <w:r w:rsidR="00C26DB3" w:rsidRPr="00443ABC">
        <w:rPr>
          <w:color w:val="000000"/>
          <w:spacing w:val="-3"/>
          <w:sz w:val="22"/>
        </w:rPr>
        <w:t>V prípade komplikácií spôsobených infekciami môže byť potrebná liečba širokospektrálnymi antibiotikami. V prípade paralytického ilea môže byť potrebná dekompresia sondou.</w:t>
      </w:r>
    </w:p>
    <w:p w14:paraId="54F0754F" w14:textId="77777777" w:rsidR="00C26DB3" w:rsidRPr="00443ABC" w:rsidRDefault="00C26DB3">
      <w:pPr>
        <w:rPr>
          <w:strike/>
          <w:color w:val="000000"/>
          <w:spacing w:val="-3"/>
          <w:sz w:val="22"/>
        </w:rPr>
      </w:pPr>
    </w:p>
    <w:p w14:paraId="27D12CE5" w14:textId="77777777" w:rsidR="00C26DB3" w:rsidRPr="00443ABC" w:rsidRDefault="00C26DB3">
      <w:pPr>
        <w:rPr>
          <w:strike/>
          <w:color w:val="000000"/>
          <w:spacing w:val="-3"/>
          <w:sz w:val="22"/>
        </w:rPr>
      </w:pPr>
    </w:p>
    <w:p w14:paraId="1EB414D3" w14:textId="77777777" w:rsidR="00C26DB3" w:rsidRPr="00443ABC" w:rsidRDefault="00C26DB3">
      <w:pPr>
        <w:keepNext/>
        <w:keepLines/>
        <w:ind w:left="567" w:hanging="567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lastRenderedPageBreak/>
        <w:t>5.</w:t>
      </w:r>
      <w:r w:rsidRPr="00443ABC">
        <w:rPr>
          <w:b/>
          <w:color w:val="000000"/>
          <w:spacing w:val="-3"/>
          <w:sz w:val="22"/>
        </w:rPr>
        <w:tab/>
        <w:t>FARMAKOLOGICKÉ VLASTNOSTI</w:t>
      </w:r>
    </w:p>
    <w:p w14:paraId="7D8FAF00" w14:textId="77777777" w:rsidR="00C26DB3" w:rsidRPr="00443ABC" w:rsidRDefault="00C26DB3">
      <w:pPr>
        <w:keepNext/>
        <w:keepLines/>
        <w:jc w:val="both"/>
        <w:rPr>
          <w:color w:val="000000"/>
          <w:spacing w:val="-3"/>
          <w:sz w:val="22"/>
        </w:rPr>
      </w:pPr>
    </w:p>
    <w:p w14:paraId="0C3996BA" w14:textId="77777777" w:rsidR="00C26DB3" w:rsidRPr="00443ABC" w:rsidRDefault="00C26DB3">
      <w:pPr>
        <w:keepNext/>
        <w:keepLines/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5.1</w:t>
      </w:r>
      <w:r w:rsidRPr="00443ABC">
        <w:rPr>
          <w:b/>
          <w:color w:val="000000"/>
          <w:spacing w:val="-3"/>
          <w:sz w:val="22"/>
          <w:szCs w:val="22"/>
        </w:rPr>
        <w:t>.</w:t>
      </w:r>
      <w:r w:rsidRPr="00443ABC">
        <w:rPr>
          <w:b/>
          <w:color w:val="000000"/>
          <w:spacing w:val="-3"/>
          <w:sz w:val="22"/>
        </w:rPr>
        <w:tab/>
        <w:t>Farmakodynamické vlastnosti</w:t>
      </w:r>
    </w:p>
    <w:p w14:paraId="18581D7D" w14:textId="77777777" w:rsidR="00C26DB3" w:rsidRPr="00443ABC" w:rsidRDefault="00C26DB3">
      <w:pPr>
        <w:keepNext/>
        <w:keepLines/>
        <w:rPr>
          <w:color w:val="000000"/>
          <w:spacing w:val="-3"/>
          <w:sz w:val="22"/>
        </w:rPr>
      </w:pPr>
    </w:p>
    <w:p w14:paraId="076FF591" w14:textId="703329DA" w:rsidR="00C26DB3" w:rsidRPr="00443ABC" w:rsidRDefault="00C26DB3">
      <w:pPr>
        <w:keepNext/>
        <w:keepLines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Farmakoterapeutická skupina: </w:t>
      </w:r>
      <w:r w:rsidR="00B35766">
        <w:rPr>
          <w:color w:val="000000"/>
          <w:spacing w:val="-3"/>
          <w:sz w:val="22"/>
        </w:rPr>
        <w:t>Cytostatiká</w:t>
      </w:r>
      <w:r w:rsidRPr="00443ABC">
        <w:rPr>
          <w:color w:val="000000"/>
          <w:spacing w:val="-3"/>
          <w:sz w:val="22"/>
        </w:rPr>
        <w:t xml:space="preserve"> a imunomodulátory, alkaloidy z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>rodu Vinca</w:t>
      </w:r>
      <w:r w:rsidRPr="00443ABC">
        <w:rPr>
          <w:color w:val="000000"/>
          <w:spacing w:val="-3"/>
          <w:sz w:val="22"/>
          <w:szCs w:val="22"/>
        </w:rPr>
        <w:t xml:space="preserve"> (zimozeleň) a ich analógy</w:t>
      </w:r>
      <w:r w:rsidRPr="00443ABC">
        <w:rPr>
          <w:color w:val="000000"/>
          <w:spacing w:val="-3"/>
          <w:sz w:val="22"/>
        </w:rPr>
        <w:t>.</w:t>
      </w:r>
    </w:p>
    <w:p w14:paraId="6D2C7525" w14:textId="77777777" w:rsidR="00C26DB3" w:rsidRPr="00443ABC" w:rsidRDefault="00C26DB3">
      <w:pPr>
        <w:keepNext/>
        <w:keepLines/>
        <w:rPr>
          <w:b/>
          <w:i/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ATC kód: L 01 CA 04</w:t>
      </w:r>
    </w:p>
    <w:p w14:paraId="5D96F27E" w14:textId="77777777" w:rsidR="00C26DB3" w:rsidRPr="00443ABC" w:rsidRDefault="00C26DB3">
      <w:pPr>
        <w:keepNext/>
        <w:keepLines/>
        <w:rPr>
          <w:b/>
          <w:i/>
          <w:color w:val="000000"/>
          <w:spacing w:val="-3"/>
          <w:sz w:val="22"/>
        </w:rPr>
      </w:pPr>
    </w:p>
    <w:p w14:paraId="02E1B4C1" w14:textId="77777777" w:rsidR="00C26DB3" w:rsidRPr="00443ABC" w:rsidRDefault="00C26DB3">
      <w:pPr>
        <w:keepNext/>
        <w:keepLines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Vinorelbín je </w:t>
      </w:r>
      <w:r w:rsidRPr="00443ABC">
        <w:rPr>
          <w:color w:val="000000"/>
          <w:spacing w:val="-3"/>
          <w:sz w:val="22"/>
          <w:szCs w:val="22"/>
        </w:rPr>
        <w:t>cytostatické</w:t>
      </w:r>
      <w:r w:rsidRPr="00443ABC">
        <w:rPr>
          <w:bCs/>
          <w:iCs/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  <w:szCs w:val="22"/>
        </w:rPr>
        <w:t>liečivo – alkaloid</w:t>
      </w:r>
      <w:r w:rsidRPr="00443ABC">
        <w:rPr>
          <w:color w:val="000000"/>
          <w:spacing w:val="-3"/>
          <w:sz w:val="22"/>
        </w:rPr>
        <w:t xml:space="preserve"> z rodu Vinca, no na rozdiel od všetkých ostatných alkaloidov z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 xml:space="preserve">rodu Vinca má </w:t>
      </w:r>
      <w:r w:rsidRPr="00443ABC">
        <w:rPr>
          <w:color w:val="000000"/>
          <w:spacing w:val="-3"/>
          <w:sz w:val="22"/>
          <w:szCs w:val="22"/>
        </w:rPr>
        <w:t>jeho katarantínová časť</w:t>
      </w:r>
      <w:r w:rsidRPr="00443ABC">
        <w:rPr>
          <w:color w:val="000000"/>
          <w:spacing w:val="-3"/>
          <w:sz w:val="22"/>
        </w:rPr>
        <w:t xml:space="preserve"> zmenenú štruktúru. Na molekulárnej úrovni pôsobí na dynamickú rovnováhu tubulínu v mikrotubulárnom systéme bunky. </w:t>
      </w:r>
    </w:p>
    <w:p w14:paraId="27DFEF96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54F70C0F" w14:textId="77777777" w:rsidR="00C26DB3" w:rsidRPr="00443ABC" w:rsidRDefault="00C26DB3">
      <w:pPr>
        <w:rPr>
          <w:color w:val="000000"/>
          <w:spacing w:val="-3"/>
          <w:sz w:val="22"/>
          <w:u w:val="single"/>
        </w:rPr>
      </w:pPr>
      <w:r w:rsidRPr="00443ABC">
        <w:rPr>
          <w:color w:val="000000"/>
          <w:spacing w:val="-3"/>
          <w:sz w:val="22"/>
          <w:u w:val="single"/>
        </w:rPr>
        <w:t>Mechanizmus účinku</w:t>
      </w:r>
    </w:p>
    <w:p w14:paraId="24967FA1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Vinorelbín inhibuje polymerizáciu tubulínu a prednostne sa viaže na mitotické mikrotubuly, </w:t>
      </w:r>
      <w:r w:rsidRPr="00443ABC">
        <w:rPr>
          <w:color w:val="000000"/>
          <w:spacing w:val="-3"/>
          <w:sz w:val="22"/>
          <w:szCs w:val="22"/>
        </w:rPr>
        <w:t xml:space="preserve">pričom </w:t>
      </w:r>
      <w:r w:rsidRPr="00443ABC">
        <w:rPr>
          <w:color w:val="000000"/>
          <w:spacing w:val="-3"/>
          <w:sz w:val="22"/>
        </w:rPr>
        <w:t>na axonálne mikrotubuly pôsobí až pri vysokých koncentráciách. Jeho schopnosť špiralizovať tubulín je nižšia než u vinkristínu. Vinorelbín blokuje mitózu vo fáze G2</w:t>
      </w:r>
      <w:r w:rsidRPr="00443ABC">
        <w:rPr>
          <w:color w:val="000000"/>
          <w:spacing w:val="-3"/>
          <w:sz w:val="22"/>
          <w:szCs w:val="22"/>
        </w:rPr>
        <w:t>–</w:t>
      </w:r>
      <w:r w:rsidRPr="00443ABC">
        <w:rPr>
          <w:color w:val="000000"/>
          <w:spacing w:val="-3"/>
          <w:sz w:val="22"/>
        </w:rPr>
        <w:t>M a spôsobuje usmrtenie bunky v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 xml:space="preserve">interfáze alebo </w:t>
      </w:r>
      <w:r w:rsidRPr="00443ABC">
        <w:rPr>
          <w:color w:val="000000"/>
          <w:spacing w:val="-3"/>
          <w:sz w:val="22"/>
          <w:szCs w:val="22"/>
        </w:rPr>
        <w:t>pri</w:t>
      </w:r>
      <w:r w:rsidRPr="00443ABC">
        <w:rPr>
          <w:color w:val="000000"/>
          <w:spacing w:val="-3"/>
          <w:sz w:val="22"/>
        </w:rPr>
        <w:t xml:space="preserve"> nasledujúcom mitotickom delení.</w:t>
      </w:r>
    </w:p>
    <w:p w14:paraId="3CAB17B5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0AB95AE4" w14:textId="77777777" w:rsidR="00C26DB3" w:rsidRPr="00443ABC" w:rsidRDefault="00C26DB3">
      <w:pPr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Pediatrická populácia</w:t>
      </w:r>
    </w:p>
    <w:p w14:paraId="03E09208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Bezpečnosť a účinnosť vinorelbínu</w:t>
      </w:r>
      <w:r w:rsidRPr="00443ABC">
        <w:rPr>
          <w:position w:val="8"/>
          <w:sz w:val="22"/>
          <w:szCs w:val="22"/>
          <w:vertAlign w:val="superscript"/>
        </w:rPr>
        <w:t xml:space="preserve"> </w:t>
      </w:r>
      <w:r w:rsidRPr="00443ABC">
        <w:rPr>
          <w:sz w:val="22"/>
          <w:szCs w:val="22"/>
        </w:rPr>
        <w:t>u pediatrických pacientov neboli stanovené. Klinické dáta z dvoch jednoramenných štúdií fázy</w:t>
      </w:r>
      <w:r w:rsidR="003E0AB4" w:rsidRPr="00443ABC">
        <w:rPr>
          <w:sz w:val="22"/>
          <w:szCs w:val="22"/>
        </w:rPr>
        <w:t> </w:t>
      </w:r>
      <w:r w:rsidRPr="00443ABC">
        <w:rPr>
          <w:sz w:val="22"/>
          <w:szCs w:val="22"/>
        </w:rPr>
        <w:t>II použitia intravenózneho vinorelbínu u 33 a 46 pediatrických pacientov s rekurentným solídnym nádorom vrátane rabdomyosarkómu, iných sarkómov mäkkých tkanív, Ewingovho sarkómu, liposarkómu, synoviálneho sarkómu, fibrosarkómu, nádoru centrálneho nervového systému, osteosarkómu, neuroblastómu pri dávkach od 30 do 33,75 mg/m² D1 a D8 každé 3 týždne alebo raz týždenne po dobu 6 týždňov každých 8 týždňov ukázali nie významnú klinickú účinnosť. Profil toxicity bol podobný profilu zaznamenanému u dospelých pacientov (pozri časť 4.2).</w:t>
      </w:r>
    </w:p>
    <w:p w14:paraId="594EEF08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4434F39A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5.2</w:t>
      </w:r>
      <w:r w:rsidRPr="00443ABC">
        <w:rPr>
          <w:b/>
          <w:color w:val="000000"/>
          <w:spacing w:val="-3"/>
          <w:sz w:val="22"/>
        </w:rPr>
        <w:tab/>
        <w:t>Farmakokinetické vlastnosti</w:t>
      </w:r>
    </w:p>
    <w:p w14:paraId="3E7231CA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3DECD9DD" w14:textId="77777777" w:rsidR="00C26DB3" w:rsidRPr="00443ABC" w:rsidRDefault="00C26DB3">
      <w:pPr>
        <w:rPr>
          <w:color w:val="000000"/>
          <w:spacing w:val="-3"/>
          <w:sz w:val="22"/>
          <w:u w:val="single"/>
        </w:rPr>
      </w:pPr>
      <w:r w:rsidRPr="00443ABC">
        <w:rPr>
          <w:color w:val="000000"/>
          <w:spacing w:val="-3"/>
          <w:sz w:val="22"/>
          <w:u w:val="single"/>
        </w:rPr>
        <w:t>Distribúcia</w:t>
      </w:r>
    </w:p>
    <w:p w14:paraId="426ED810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sz w:val="22"/>
          <w:szCs w:val="22"/>
        </w:rPr>
        <w:t xml:space="preserve">Liečivo sa vo veľkej miere distribuuje v organizme s distribučným objemom v rozmedzí 25,4 – </w:t>
      </w:r>
      <w:r w:rsidRPr="00443ABC">
        <w:rPr>
          <w:color w:val="000000"/>
          <w:sz w:val="22"/>
          <w:szCs w:val="22"/>
        </w:rPr>
        <w:t>40</w:t>
      </w:r>
      <w:r w:rsidRPr="00443ABC">
        <w:rPr>
          <w:color w:val="000000"/>
          <w:sz w:val="22"/>
        </w:rPr>
        <w:t>,1 l/kg</w:t>
      </w:r>
      <w:r w:rsidRPr="00443ABC">
        <w:rPr>
          <w:sz w:val="22"/>
          <w:szCs w:val="22"/>
        </w:rPr>
        <w:t xml:space="preserve">). </w:t>
      </w:r>
      <w:r w:rsidRPr="00443ABC">
        <w:rPr>
          <w:color w:val="000000"/>
          <w:sz w:val="22"/>
        </w:rPr>
        <w:t>V štúdii zahŕňajúcej chirurgickú biopsiu sa zistila významná penetrácia vinorelbínu do pľúcneho tkaniva pri pomeroch koncentrácií tkanivo/plazma vyšších ako 300.</w:t>
      </w:r>
      <w:r w:rsidRPr="00443ABC">
        <w:rPr>
          <w:color w:val="000000"/>
          <w:spacing w:val="-3"/>
          <w:sz w:val="22"/>
        </w:rPr>
        <w:t xml:space="preserve"> Väzba na plazmatické </w:t>
      </w:r>
      <w:r w:rsidRPr="00443ABC">
        <w:rPr>
          <w:color w:val="000000"/>
          <w:spacing w:val="-3"/>
          <w:sz w:val="22"/>
          <w:szCs w:val="22"/>
        </w:rPr>
        <w:t>proteíny</w:t>
      </w:r>
      <w:r w:rsidRPr="00443ABC">
        <w:rPr>
          <w:color w:val="000000"/>
          <w:spacing w:val="-3"/>
          <w:sz w:val="22"/>
        </w:rPr>
        <w:t xml:space="preserve"> je </w:t>
      </w:r>
      <w:r w:rsidRPr="00443ABC">
        <w:rPr>
          <w:color w:val="000000"/>
          <w:spacing w:val="-3"/>
          <w:sz w:val="22"/>
          <w:szCs w:val="22"/>
        </w:rPr>
        <w:t>mierna</w:t>
      </w:r>
      <w:r w:rsidRPr="00443ABC">
        <w:rPr>
          <w:color w:val="000000"/>
          <w:spacing w:val="-3"/>
          <w:sz w:val="22"/>
        </w:rPr>
        <w:t xml:space="preserve"> (13,5 </w:t>
      </w:r>
      <w:r w:rsidRPr="00443ABC">
        <w:rPr>
          <w:color w:val="000000"/>
          <w:spacing w:val="-3"/>
          <w:sz w:val="22"/>
          <w:szCs w:val="22"/>
        </w:rPr>
        <w:t>%)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 xml:space="preserve">ale na trombocyty silná (78 %). Pri intravenóznom </w:t>
      </w:r>
      <w:r w:rsidRPr="00443ABC">
        <w:rPr>
          <w:color w:val="000000"/>
          <w:spacing w:val="-3"/>
          <w:sz w:val="22"/>
          <w:szCs w:val="22"/>
        </w:rPr>
        <w:t>podaní</w:t>
      </w:r>
      <w:r w:rsidRPr="00443ABC">
        <w:rPr>
          <w:color w:val="000000"/>
          <w:spacing w:val="-3"/>
          <w:sz w:val="22"/>
        </w:rPr>
        <w:t xml:space="preserve"> vinorelbínu v dávke do 45 mg/m² bola farmakokinetika lineárna.</w:t>
      </w:r>
    </w:p>
    <w:p w14:paraId="3163C36B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5B4C9F09" w14:textId="77777777" w:rsidR="00C26DB3" w:rsidRPr="00443ABC" w:rsidRDefault="00C26DB3">
      <w:pPr>
        <w:rPr>
          <w:color w:val="000000"/>
          <w:spacing w:val="-3"/>
          <w:sz w:val="22"/>
        </w:rPr>
      </w:pPr>
      <w:r w:rsidRPr="000216EC">
        <w:rPr>
          <w:color w:val="000000"/>
          <w:spacing w:val="-3"/>
          <w:sz w:val="22"/>
          <w:u w:val="single"/>
        </w:rPr>
        <w:t>Biotransformácia</w:t>
      </w:r>
    </w:p>
    <w:p w14:paraId="257DFAD5" w14:textId="77777777" w:rsidR="00C26DB3" w:rsidRPr="00443ABC" w:rsidRDefault="00C26DB3">
      <w:pPr>
        <w:rPr>
          <w:strike/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Vinorelbín </w:t>
      </w:r>
      <w:r w:rsidRPr="00443ABC">
        <w:rPr>
          <w:color w:val="000000"/>
          <w:spacing w:val="-3"/>
          <w:sz w:val="22"/>
          <w:szCs w:val="22"/>
        </w:rPr>
        <w:t>je metabolizovaný</w:t>
      </w:r>
      <w:r w:rsidRPr="00443ABC">
        <w:rPr>
          <w:color w:val="000000"/>
          <w:spacing w:val="-3"/>
          <w:sz w:val="22"/>
        </w:rPr>
        <w:t xml:space="preserve"> predovšetkým CYP3A4 cytochrómu P450. </w:t>
      </w:r>
      <w:r w:rsidRPr="00443ABC">
        <w:rPr>
          <w:color w:val="000000"/>
          <w:spacing w:val="-3"/>
          <w:sz w:val="22"/>
          <w:szCs w:val="22"/>
        </w:rPr>
        <w:t>Všetky</w:t>
      </w:r>
      <w:r w:rsidRPr="00443ABC">
        <w:rPr>
          <w:color w:val="000000"/>
          <w:spacing w:val="-3"/>
          <w:sz w:val="22"/>
        </w:rPr>
        <w:t xml:space="preserve"> metabolity </w:t>
      </w:r>
      <w:r w:rsidRPr="00443ABC">
        <w:rPr>
          <w:color w:val="000000"/>
          <w:spacing w:val="-3"/>
          <w:sz w:val="22"/>
          <w:szCs w:val="22"/>
        </w:rPr>
        <w:t xml:space="preserve">boli identifikované </w:t>
      </w:r>
      <w:r w:rsidRPr="00443ABC">
        <w:rPr>
          <w:color w:val="000000"/>
          <w:spacing w:val="-3"/>
          <w:sz w:val="22"/>
        </w:rPr>
        <w:t xml:space="preserve">a žiaden z nich nie je </w:t>
      </w:r>
      <w:r w:rsidRPr="00443ABC">
        <w:rPr>
          <w:color w:val="000000"/>
          <w:spacing w:val="-3"/>
          <w:sz w:val="22"/>
          <w:szCs w:val="22"/>
        </w:rPr>
        <w:t>účinný</w:t>
      </w:r>
      <w:r w:rsidRPr="00443ABC">
        <w:rPr>
          <w:color w:val="000000"/>
          <w:spacing w:val="-3"/>
          <w:sz w:val="22"/>
        </w:rPr>
        <w:t xml:space="preserve"> s výnimkou 4</w:t>
      </w:r>
      <w:r w:rsidRPr="00443ABC">
        <w:rPr>
          <w:color w:val="000000"/>
          <w:spacing w:val="-3"/>
          <w:sz w:val="22"/>
          <w:szCs w:val="22"/>
        </w:rPr>
        <w:noBreakHyphen/>
      </w:r>
      <w:r w:rsidRPr="00443ABC">
        <w:rPr>
          <w:color w:val="000000"/>
          <w:spacing w:val="-3"/>
          <w:sz w:val="22"/>
        </w:rPr>
        <w:t xml:space="preserve">O-deacetylvinorelbínu, </w:t>
      </w:r>
      <w:r w:rsidRPr="00443ABC">
        <w:rPr>
          <w:color w:val="000000"/>
          <w:spacing w:val="-3"/>
          <w:sz w:val="22"/>
          <w:szCs w:val="22"/>
        </w:rPr>
        <w:t>ktorý</w:t>
      </w:r>
      <w:r w:rsidRPr="00443ABC">
        <w:rPr>
          <w:color w:val="000000"/>
          <w:spacing w:val="-3"/>
          <w:sz w:val="22"/>
        </w:rPr>
        <w:t xml:space="preserve"> je </w:t>
      </w:r>
      <w:r w:rsidRPr="00443ABC">
        <w:rPr>
          <w:color w:val="000000"/>
          <w:spacing w:val="-3"/>
          <w:sz w:val="22"/>
          <w:szCs w:val="22"/>
        </w:rPr>
        <w:t>hlavným metabolitom</w:t>
      </w:r>
      <w:r w:rsidRPr="00443ABC">
        <w:rPr>
          <w:color w:val="000000"/>
          <w:spacing w:val="-3"/>
          <w:sz w:val="22"/>
        </w:rPr>
        <w:t xml:space="preserve"> v krvi.</w:t>
      </w:r>
    </w:p>
    <w:p w14:paraId="6D0C79B2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12A583F9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0216EC">
        <w:rPr>
          <w:color w:val="000000"/>
          <w:spacing w:val="-3"/>
          <w:sz w:val="22"/>
          <w:szCs w:val="22"/>
          <w:u w:val="single"/>
        </w:rPr>
        <w:t>Eliminácia</w:t>
      </w:r>
    </w:p>
    <w:p w14:paraId="72C4A6EB" w14:textId="77777777" w:rsidR="00C26DB3" w:rsidRPr="00443ABC" w:rsidRDefault="00C26DB3">
      <w:pPr>
        <w:rPr>
          <w:b/>
          <w:i/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Po intravenóznej bolusovej injekcii alebo infúzii u pacientov</w:t>
      </w:r>
      <w:r w:rsidRPr="00443ABC">
        <w:rPr>
          <w:color w:val="000000"/>
          <w:spacing w:val="-3"/>
          <w:sz w:val="22"/>
          <w:szCs w:val="22"/>
        </w:rPr>
        <w:t xml:space="preserve"> je</w:t>
      </w:r>
      <w:r w:rsidRPr="00443ABC">
        <w:rPr>
          <w:color w:val="000000"/>
          <w:spacing w:val="-3"/>
          <w:sz w:val="22"/>
        </w:rPr>
        <w:t xml:space="preserve"> plazmatická koncentrácia vinorelbínu charakterizovaná trojfázovou exponenciálnou eliminačnou krivkou. Terminálna fáza </w:t>
      </w:r>
      <w:r w:rsidRPr="00443ABC">
        <w:rPr>
          <w:color w:val="000000"/>
          <w:spacing w:val="-3"/>
          <w:sz w:val="22"/>
          <w:szCs w:val="22"/>
        </w:rPr>
        <w:t>eliminácie odráža dlhý</w:t>
      </w:r>
      <w:r w:rsidRPr="00443ABC">
        <w:rPr>
          <w:color w:val="000000"/>
          <w:spacing w:val="-3"/>
          <w:sz w:val="22"/>
        </w:rPr>
        <w:t xml:space="preserve"> polčas</w:t>
      </w:r>
      <w:r w:rsidRPr="00443ABC">
        <w:rPr>
          <w:color w:val="000000"/>
          <w:spacing w:val="-3"/>
          <w:sz w:val="22"/>
          <w:szCs w:val="22"/>
        </w:rPr>
        <w:t>, presahujúci</w:t>
      </w:r>
      <w:r w:rsidRPr="00443ABC">
        <w:rPr>
          <w:color w:val="000000"/>
          <w:spacing w:val="-3"/>
          <w:sz w:val="22"/>
        </w:rPr>
        <w:t xml:space="preserve"> 40 hodín. Celkový klírens vinorelbínu je vysoký (0,97</w:t>
      </w:r>
      <w:r w:rsidRPr="00443ABC">
        <w:rPr>
          <w:color w:val="000000"/>
          <w:spacing w:val="-3"/>
          <w:sz w:val="22"/>
          <w:szCs w:val="22"/>
        </w:rPr>
        <w:t> </w:t>
      </w:r>
      <w:r w:rsidRPr="00443ABC">
        <w:rPr>
          <w:sz w:val="22"/>
          <w:szCs w:val="22"/>
        </w:rPr>
        <w:t>– </w:t>
      </w:r>
      <w:r w:rsidRPr="00443ABC">
        <w:rPr>
          <w:color w:val="000000"/>
          <w:spacing w:val="-3"/>
          <w:sz w:val="22"/>
        </w:rPr>
        <w:t>1,26 l/h/kg).</w:t>
      </w:r>
    </w:p>
    <w:p w14:paraId="7D447FCD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47E7D408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Renálna eliminácia</w:t>
      </w:r>
      <w:r w:rsidRPr="00443ABC">
        <w:rPr>
          <w:color w:val="000000"/>
          <w:spacing w:val="-3"/>
          <w:sz w:val="22"/>
        </w:rPr>
        <w:t xml:space="preserve"> je nízka (&lt; 20 % dávky). U ľudí sa zistili nízke koncentrácie deacetylvinorelbínu, no vinorelbín sa v moči spravidla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zistí v nezmenenej forme. Eliminácia liečiva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 xml:space="preserve">prebieha </w:t>
      </w:r>
      <w:r w:rsidRPr="00443ABC">
        <w:rPr>
          <w:color w:val="000000"/>
          <w:spacing w:val="-3"/>
          <w:sz w:val="22"/>
          <w:szCs w:val="22"/>
        </w:rPr>
        <w:t>prevažne žlčou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 xml:space="preserve">a pozostáva z metabolitov a </w:t>
      </w:r>
      <w:r w:rsidRPr="00443ABC">
        <w:rPr>
          <w:color w:val="000000"/>
          <w:spacing w:val="-3"/>
          <w:sz w:val="22"/>
          <w:szCs w:val="22"/>
        </w:rPr>
        <w:t>hlavne</w:t>
      </w:r>
      <w:r w:rsidRPr="00443ABC">
        <w:rPr>
          <w:color w:val="000000"/>
          <w:spacing w:val="-3"/>
          <w:sz w:val="22"/>
        </w:rPr>
        <w:t xml:space="preserve"> nezmeneného vinorelbínu.</w:t>
      </w:r>
    </w:p>
    <w:p w14:paraId="23BE1ACA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4F166FBA" w14:textId="77777777" w:rsidR="00C26DB3" w:rsidRPr="00443ABC" w:rsidRDefault="00C26DB3" w:rsidP="000216EC">
      <w:pPr>
        <w:keepNext/>
        <w:keepLines/>
        <w:rPr>
          <w:strike/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lastRenderedPageBreak/>
        <w:t>Vplyv</w:t>
      </w:r>
      <w:r w:rsidRPr="00443ABC">
        <w:rPr>
          <w:color w:val="000000"/>
          <w:spacing w:val="-3"/>
          <w:sz w:val="22"/>
        </w:rPr>
        <w:t xml:space="preserve"> dysfunkcie obličiek na farmakokinetiku vinorelbínu</w:t>
      </w:r>
      <w:r w:rsidRPr="00443ABC">
        <w:rPr>
          <w:color w:val="000000"/>
          <w:spacing w:val="-3"/>
          <w:sz w:val="22"/>
          <w:szCs w:val="22"/>
        </w:rPr>
        <w:t xml:space="preserve"> nebol študovaný, no</w:t>
      </w:r>
      <w:r w:rsidRPr="00443ABC">
        <w:rPr>
          <w:color w:val="000000"/>
          <w:spacing w:val="-3"/>
          <w:sz w:val="22"/>
        </w:rPr>
        <w:t xml:space="preserve"> zníženie dávky </w:t>
      </w:r>
      <w:r w:rsidRPr="00443ABC">
        <w:rPr>
          <w:color w:val="000000"/>
          <w:spacing w:val="-3"/>
          <w:sz w:val="22"/>
          <w:szCs w:val="22"/>
        </w:rPr>
        <w:t>nie je</w:t>
      </w:r>
      <w:r w:rsidRPr="00443ABC">
        <w:rPr>
          <w:b/>
          <w:i/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  <w:szCs w:val="22"/>
        </w:rPr>
        <w:t>pre nízky stupeň</w:t>
      </w:r>
      <w:r w:rsidRPr="00443ABC">
        <w:rPr>
          <w:color w:val="000000"/>
          <w:spacing w:val="-3"/>
          <w:sz w:val="22"/>
        </w:rPr>
        <w:t xml:space="preserve"> renálnej exkrécie</w:t>
      </w:r>
      <w:r w:rsidRPr="00443ABC">
        <w:rPr>
          <w:color w:val="000000"/>
          <w:spacing w:val="-3"/>
          <w:sz w:val="22"/>
          <w:szCs w:val="22"/>
        </w:rPr>
        <w:t xml:space="preserve"> indikované</w:t>
      </w:r>
      <w:r w:rsidRPr="00443ABC">
        <w:rPr>
          <w:color w:val="000000"/>
          <w:spacing w:val="-3"/>
          <w:sz w:val="22"/>
        </w:rPr>
        <w:t>. U pacientov s metastázami v pečeni sa zmeny vyskytli iba v priemernom klírense vinorelbínu, keď bolo postihnutých viac ako 75 % pečene. U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6 pacientov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s rakovinou so stredne závažnou dysfunkciou pečene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(bilirubín</w:t>
      </w:r>
      <w:r w:rsidRPr="00443ABC">
        <w:rPr>
          <w:color w:val="000000"/>
          <w:spacing w:val="-3"/>
          <w:sz w:val="22"/>
          <w:szCs w:val="22"/>
        </w:rPr>
        <w:t> ≤</w:t>
      </w:r>
      <w:r w:rsidRPr="00443ABC">
        <w:rPr>
          <w:color w:val="000000"/>
          <w:spacing w:val="-3"/>
          <w:sz w:val="22"/>
        </w:rPr>
        <w:t xml:space="preserve"> 2 x ULN a aminotransferázy </w:t>
      </w:r>
      <w:r w:rsidRPr="00443ABC">
        <w:rPr>
          <w:color w:val="000000"/>
          <w:spacing w:val="-3"/>
          <w:sz w:val="22"/>
          <w:szCs w:val="22"/>
        </w:rPr>
        <w:t>≤</w:t>
      </w:r>
      <w:r w:rsidRPr="00443ABC">
        <w:rPr>
          <w:color w:val="000000"/>
          <w:spacing w:val="-3"/>
          <w:sz w:val="22"/>
        </w:rPr>
        <w:t> 5 x ULN) liečených dávkami do 25 mg/m² a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>u 8 pacientov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s rakovinou so závažnou dysfunkciou pečene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(bilirubín &gt; 2 x ULN a/alebo aminotransferázy &gt; 5 x ULN) liečených dávkami do 20 mg/m</w:t>
      </w:r>
      <w:r w:rsidRPr="00443ABC">
        <w:rPr>
          <w:color w:val="000000"/>
          <w:spacing w:val="-3"/>
          <w:sz w:val="22"/>
          <w:szCs w:val="22"/>
        </w:rPr>
        <w:t>²,</w:t>
      </w:r>
      <w:r w:rsidRPr="00443ABC">
        <w:rPr>
          <w:color w:val="000000"/>
          <w:spacing w:val="-3"/>
          <w:sz w:val="22"/>
        </w:rPr>
        <w:t xml:space="preserve"> bol priemerný celkový klírens </w:t>
      </w:r>
      <w:r w:rsidRPr="00443ABC">
        <w:rPr>
          <w:color w:val="000000"/>
          <w:spacing w:val="-3"/>
          <w:sz w:val="22"/>
          <w:szCs w:val="22"/>
        </w:rPr>
        <w:t xml:space="preserve">u </w:t>
      </w:r>
      <w:r w:rsidRPr="00443ABC">
        <w:rPr>
          <w:color w:val="000000"/>
          <w:spacing w:val="-3"/>
          <w:sz w:val="22"/>
        </w:rPr>
        <w:t xml:space="preserve">oboch </w:t>
      </w:r>
      <w:r w:rsidRPr="00443ABC">
        <w:rPr>
          <w:color w:val="000000"/>
          <w:spacing w:val="-3"/>
          <w:sz w:val="22"/>
          <w:szCs w:val="22"/>
        </w:rPr>
        <w:t>skupín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podobný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  <w:szCs w:val="22"/>
        </w:rPr>
        <w:t>klírensu</w:t>
      </w:r>
      <w:r w:rsidRPr="00443ABC">
        <w:rPr>
          <w:color w:val="000000"/>
          <w:spacing w:val="-3"/>
          <w:sz w:val="22"/>
        </w:rPr>
        <w:t xml:space="preserve"> pacientov s normálnou funkciou pečene. Tieto údaje však nemusia byť reprezentatívne pre pacientov so zníženou schopnosťou vylučovať liečivo prostredníctvom pečene, a preto sa u pacientov so závažným poškodením pečene odporúča opatrnosť a starostlivé </w:t>
      </w:r>
      <w:r w:rsidRPr="00443ABC">
        <w:rPr>
          <w:color w:val="000000"/>
          <w:spacing w:val="-3"/>
          <w:sz w:val="22"/>
          <w:szCs w:val="22"/>
        </w:rPr>
        <w:t>monitorovanie</w:t>
      </w:r>
      <w:r w:rsidRPr="00443ABC">
        <w:rPr>
          <w:color w:val="000000"/>
          <w:spacing w:val="-3"/>
          <w:sz w:val="22"/>
        </w:rPr>
        <w:t xml:space="preserve"> hematologických parametrov (pozri</w:t>
      </w:r>
      <w:r w:rsidRPr="00443ABC">
        <w:rPr>
          <w:color w:val="000000"/>
          <w:spacing w:val="-3"/>
          <w:sz w:val="22"/>
          <w:szCs w:val="22"/>
        </w:rPr>
        <w:t xml:space="preserve"> časti</w:t>
      </w:r>
      <w:r w:rsidR="003E0AB4" w:rsidRPr="00443ABC">
        <w:rPr>
          <w:color w:val="000000"/>
          <w:spacing w:val="-3"/>
          <w:sz w:val="22"/>
        </w:rPr>
        <w:t> </w:t>
      </w:r>
      <w:r w:rsidRPr="00443ABC">
        <w:rPr>
          <w:color w:val="000000"/>
          <w:spacing w:val="-3"/>
          <w:sz w:val="22"/>
        </w:rPr>
        <w:t>4.2 a 4.4).</w:t>
      </w:r>
    </w:p>
    <w:p w14:paraId="2AC92330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0157C281" w14:textId="77777777" w:rsidR="00C26DB3" w:rsidRPr="00443ABC" w:rsidRDefault="00C26DB3">
      <w:pPr>
        <w:keepNext/>
        <w:keepLines/>
        <w:autoSpaceDE w:val="0"/>
        <w:autoSpaceDN w:val="0"/>
        <w:adjustRightInd w:val="0"/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Starší pacienti</w:t>
      </w:r>
    </w:p>
    <w:p w14:paraId="1ECD8F14" w14:textId="77777777" w:rsidR="00C26DB3" w:rsidRPr="00443ABC" w:rsidRDefault="00C26DB3">
      <w:pPr>
        <w:keepNext/>
        <w:keepLines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V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>štúdii uskutočnenej s originálnym liekom, v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>ktorej sa vinorelbín podával starším pacientom (≥</w:t>
      </w:r>
      <w:r w:rsidRPr="00443ABC">
        <w:rPr>
          <w:color w:val="000000"/>
          <w:spacing w:val="-3"/>
          <w:sz w:val="22"/>
          <w:szCs w:val="22"/>
        </w:rPr>
        <w:t> </w:t>
      </w:r>
      <w:r w:rsidRPr="00443ABC">
        <w:rPr>
          <w:color w:val="000000"/>
          <w:spacing w:val="-3"/>
          <w:sz w:val="22"/>
        </w:rPr>
        <w:t>70</w:t>
      </w:r>
      <w:r w:rsidRPr="00443ABC">
        <w:rPr>
          <w:color w:val="000000"/>
          <w:spacing w:val="-3"/>
          <w:sz w:val="22"/>
          <w:szCs w:val="22"/>
        </w:rPr>
        <w:t> </w:t>
      </w:r>
      <w:r w:rsidRPr="00443ABC">
        <w:rPr>
          <w:color w:val="000000"/>
          <w:spacing w:val="-3"/>
          <w:sz w:val="22"/>
        </w:rPr>
        <w:t>rokov) s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 xml:space="preserve">nemalobunkovým karcinómom pľúc sa preukázalo, že farmakokinetika vinorelbínu nebola ovplyvnená vekom. Keďže </w:t>
      </w:r>
      <w:r w:rsidRPr="00443ABC">
        <w:rPr>
          <w:color w:val="000000"/>
          <w:spacing w:val="-3"/>
          <w:sz w:val="22"/>
          <w:szCs w:val="22"/>
        </w:rPr>
        <w:t>starší</w:t>
      </w:r>
      <w:r w:rsidRPr="00443ABC">
        <w:rPr>
          <w:color w:val="000000"/>
          <w:spacing w:val="-3"/>
          <w:sz w:val="22"/>
        </w:rPr>
        <w:t xml:space="preserve"> pacienti </w:t>
      </w:r>
      <w:r w:rsidRPr="00443ABC">
        <w:rPr>
          <w:color w:val="000000"/>
          <w:spacing w:val="-3"/>
          <w:sz w:val="22"/>
          <w:szCs w:val="22"/>
        </w:rPr>
        <w:t>sú</w:t>
      </w:r>
      <w:r w:rsidRPr="00443ABC">
        <w:rPr>
          <w:color w:val="000000"/>
          <w:spacing w:val="-3"/>
          <w:sz w:val="22"/>
        </w:rPr>
        <w:t xml:space="preserve"> slabší, pri zvyšovaní dávky vinorelbínu je potrebná opatrnosť</w:t>
      </w:r>
      <w:r w:rsidRPr="00443ABC">
        <w:rPr>
          <w:color w:val="000000"/>
          <w:spacing w:val="-3"/>
          <w:sz w:val="22"/>
          <w:szCs w:val="22"/>
        </w:rPr>
        <w:t xml:space="preserve"> (</w:t>
      </w:r>
      <w:r w:rsidRPr="00443ABC">
        <w:rPr>
          <w:color w:val="000000"/>
          <w:spacing w:val="-3"/>
          <w:sz w:val="22"/>
        </w:rPr>
        <w:t>pozri časť 4.2</w:t>
      </w:r>
      <w:r w:rsidRPr="00443ABC">
        <w:rPr>
          <w:color w:val="000000"/>
          <w:spacing w:val="-3"/>
          <w:sz w:val="22"/>
          <w:szCs w:val="22"/>
        </w:rPr>
        <w:t>).</w:t>
      </w:r>
    </w:p>
    <w:p w14:paraId="4EF6BF4B" w14:textId="77777777" w:rsidR="00C26DB3" w:rsidRPr="00443ABC" w:rsidRDefault="00C26DB3">
      <w:pPr>
        <w:rPr>
          <w:b/>
          <w:color w:val="000000"/>
          <w:spacing w:val="-3"/>
          <w:sz w:val="22"/>
        </w:rPr>
      </w:pPr>
    </w:p>
    <w:p w14:paraId="6B157B18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5.3</w:t>
      </w:r>
      <w:r w:rsidRPr="00443ABC">
        <w:rPr>
          <w:b/>
          <w:color w:val="000000"/>
          <w:spacing w:val="-3"/>
          <w:sz w:val="22"/>
        </w:rPr>
        <w:tab/>
        <w:t>Predklinické údaje o bezpečnosti</w:t>
      </w:r>
    </w:p>
    <w:p w14:paraId="32203DF5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19F5AB9C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Limitujúcou toxicitou u zvierat je útlm kostnej drene. V štúdiách na zvieratách vinorelbín indukoval aneuploidiu a polyploidiu. </w:t>
      </w:r>
    </w:p>
    <w:p w14:paraId="00C53DB7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Dá</w:t>
      </w:r>
      <w:r w:rsidRPr="00443ABC">
        <w:rPr>
          <w:color w:val="000000"/>
          <w:spacing w:val="-3"/>
          <w:sz w:val="22"/>
        </w:rPr>
        <w:t xml:space="preserve"> sa</w:t>
      </w:r>
      <w:r w:rsidRPr="00443ABC">
        <w:rPr>
          <w:color w:val="000000"/>
          <w:spacing w:val="-3"/>
          <w:sz w:val="22"/>
          <w:szCs w:val="22"/>
        </w:rPr>
        <w:t xml:space="preserve"> predpokladať</w:t>
      </w:r>
      <w:r w:rsidRPr="00443ABC">
        <w:rPr>
          <w:color w:val="000000"/>
          <w:spacing w:val="-3"/>
          <w:sz w:val="22"/>
        </w:rPr>
        <w:t xml:space="preserve">, že vinorelbín môže </w:t>
      </w:r>
      <w:r w:rsidRPr="00443ABC">
        <w:rPr>
          <w:color w:val="000000"/>
          <w:spacing w:val="-3"/>
          <w:sz w:val="22"/>
          <w:szCs w:val="22"/>
        </w:rPr>
        <w:t>mať tiež</w:t>
      </w:r>
      <w:r w:rsidRPr="00443ABC">
        <w:rPr>
          <w:color w:val="000000"/>
          <w:spacing w:val="-3"/>
          <w:sz w:val="22"/>
        </w:rPr>
        <w:t xml:space="preserve"> genotoxické účinky </w:t>
      </w:r>
      <w:r w:rsidRPr="00443ABC">
        <w:rPr>
          <w:color w:val="000000"/>
          <w:spacing w:val="-3"/>
          <w:sz w:val="22"/>
          <w:szCs w:val="22"/>
        </w:rPr>
        <w:t>na človeka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(indukcia aneuploidie a polyploidie).</w:t>
      </w:r>
    </w:p>
    <w:p w14:paraId="29DD583E" w14:textId="77777777" w:rsidR="00C26DB3" w:rsidRPr="00443ABC" w:rsidRDefault="00C26DB3">
      <w:pPr>
        <w:rPr>
          <w:strike/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Výsledky štúdií karcinogénneho potenciálu na myšiach a potkanoch boli síce negatívne, ale testovali sa iba nízke dávky.</w:t>
      </w:r>
      <w:r w:rsidRPr="00443ABC">
        <w:rPr>
          <w:strike/>
          <w:color w:val="000000"/>
          <w:spacing w:val="-3"/>
          <w:sz w:val="22"/>
        </w:rPr>
        <w:t xml:space="preserve"> </w:t>
      </w:r>
    </w:p>
    <w:p w14:paraId="2B8F164C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V reprodukčných štúdiách na zvieratách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  <w:szCs w:val="22"/>
        </w:rPr>
        <w:t>boli</w:t>
      </w:r>
      <w:r w:rsidRPr="00443ABC">
        <w:rPr>
          <w:color w:val="000000"/>
          <w:spacing w:val="-3"/>
          <w:sz w:val="22"/>
        </w:rPr>
        <w:t xml:space="preserve"> účinky </w:t>
      </w:r>
      <w:r w:rsidRPr="00443ABC">
        <w:rPr>
          <w:color w:val="000000"/>
          <w:spacing w:val="-3"/>
          <w:sz w:val="22"/>
          <w:szCs w:val="22"/>
        </w:rPr>
        <w:t>pozorované</w:t>
      </w:r>
      <w:r w:rsidRPr="00443ABC">
        <w:rPr>
          <w:color w:val="000000"/>
          <w:spacing w:val="-3"/>
          <w:sz w:val="22"/>
        </w:rPr>
        <w:t xml:space="preserve"> pri subterapeutických dávkach. </w:t>
      </w:r>
      <w:r w:rsidRPr="00443ABC">
        <w:rPr>
          <w:color w:val="000000"/>
          <w:spacing w:val="-3"/>
          <w:sz w:val="22"/>
          <w:szCs w:val="22"/>
        </w:rPr>
        <w:t>Bola pozorovaná</w:t>
      </w:r>
      <w:r w:rsidRPr="00443ABC">
        <w:rPr>
          <w:color w:val="000000"/>
          <w:spacing w:val="-3"/>
          <w:sz w:val="22"/>
        </w:rPr>
        <w:t xml:space="preserve"> embryotoxicita a fetotoxicita, ako je retardácia </w:t>
      </w:r>
      <w:r w:rsidRPr="00443ABC">
        <w:rPr>
          <w:color w:val="000000"/>
          <w:spacing w:val="-3"/>
          <w:sz w:val="22"/>
          <w:szCs w:val="22"/>
        </w:rPr>
        <w:t xml:space="preserve">intrauterinného </w:t>
      </w:r>
      <w:r w:rsidRPr="00443ABC">
        <w:rPr>
          <w:color w:val="000000"/>
          <w:spacing w:val="-3"/>
          <w:sz w:val="22"/>
        </w:rPr>
        <w:t xml:space="preserve">rastu a oneskorená osifikácia. </w:t>
      </w:r>
      <w:r w:rsidRPr="00443ABC">
        <w:rPr>
          <w:color w:val="000000"/>
          <w:spacing w:val="-3"/>
          <w:sz w:val="22"/>
          <w:szCs w:val="22"/>
        </w:rPr>
        <w:t>Pri dávkach toxických pre matku bola pozorovaná teratogenita (zrastanie</w:t>
      </w:r>
      <w:r w:rsidRPr="00443ABC">
        <w:rPr>
          <w:color w:val="000000"/>
          <w:spacing w:val="-3"/>
          <w:sz w:val="22"/>
        </w:rPr>
        <w:t xml:space="preserve"> stavcov chrbtice, chýbajúce rebrá</w:t>
      </w:r>
      <w:r w:rsidRPr="00443ABC">
        <w:rPr>
          <w:color w:val="000000"/>
          <w:spacing w:val="-3"/>
          <w:sz w:val="22"/>
          <w:szCs w:val="22"/>
        </w:rPr>
        <w:t>).</w:t>
      </w:r>
      <w:r w:rsidRPr="00443ABC">
        <w:rPr>
          <w:color w:val="000000"/>
          <w:spacing w:val="-3"/>
          <w:sz w:val="22"/>
        </w:rPr>
        <w:t xml:space="preserve"> Okrem toho sa znížila spermatogenéza, sekrécia prostaty a semenných mechúrikov, no fertilita sa u potkanov neznížila.</w:t>
      </w:r>
    </w:p>
    <w:p w14:paraId="2B57236F" w14:textId="77777777" w:rsidR="00C26DB3" w:rsidRPr="00443ABC" w:rsidRDefault="00C26DB3">
      <w:pPr>
        <w:rPr>
          <w:strike/>
          <w:color w:val="000000"/>
          <w:spacing w:val="-3"/>
          <w:sz w:val="22"/>
        </w:rPr>
      </w:pPr>
    </w:p>
    <w:p w14:paraId="48F735E6" w14:textId="77777777" w:rsidR="00C26DB3" w:rsidRPr="00443ABC" w:rsidRDefault="00C26DB3">
      <w:pPr>
        <w:rPr>
          <w:strike/>
          <w:color w:val="000000"/>
          <w:spacing w:val="-3"/>
          <w:sz w:val="22"/>
        </w:rPr>
      </w:pPr>
    </w:p>
    <w:p w14:paraId="4EDB8F35" w14:textId="77777777" w:rsidR="00C26DB3" w:rsidRPr="00443ABC" w:rsidRDefault="00C26DB3">
      <w:pPr>
        <w:ind w:left="567" w:hanging="567"/>
        <w:rPr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6.</w:t>
      </w:r>
      <w:r w:rsidRPr="00443ABC">
        <w:rPr>
          <w:b/>
          <w:color w:val="000000"/>
          <w:spacing w:val="-3"/>
          <w:sz w:val="22"/>
        </w:rPr>
        <w:tab/>
        <w:t>FARMACEUTICKÉ INFORMÁCIE</w:t>
      </w:r>
    </w:p>
    <w:p w14:paraId="5811D3E5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3EFAEAC2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6.1</w:t>
      </w:r>
      <w:r w:rsidRPr="00443ABC">
        <w:rPr>
          <w:b/>
          <w:color w:val="000000"/>
          <w:spacing w:val="-3"/>
          <w:sz w:val="22"/>
        </w:rPr>
        <w:tab/>
        <w:t>Zoznam pomocných látok</w:t>
      </w:r>
    </w:p>
    <w:p w14:paraId="3B0CE3E7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788FDD12" w14:textId="75D98588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Voda na injekci</w:t>
      </w:r>
      <w:r w:rsidR="00B35766">
        <w:rPr>
          <w:color w:val="000000"/>
          <w:spacing w:val="-3"/>
          <w:sz w:val="22"/>
        </w:rPr>
        <w:t>e</w:t>
      </w:r>
      <w:r w:rsidRPr="00443ABC">
        <w:rPr>
          <w:color w:val="000000"/>
          <w:spacing w:val="-3"/>
          <w:sz w:val="22"/>
        </w:rPr>
        <w:t>.</w:t>
      </w:r>
    </w:p>
    <w:p w14:paraId="4220F8AB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05F09F00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6.2</w:t>
      </w:r>
      <w:r w:rsidRPr="00443ABC">
        <w:rPr>
          <w:b/>
          <w:color w:val="000000"/>
          <w:spacing w:val="-3"/>
          <w:sz w:val="22"/>
          <w:szCs w:val="22"/>
        </w:rPr>
        <w:t>.</w:t>
      </w:r>
      <w:r w:rsidRPr="00443ABC">
        <w:rPr>
          <w:b/>
          <w:color w:val="000000"/>
          <w:spacing w:val="-3"/>
          <w:sz w:val="22"/>
        </w:rPr>
        <w:tab/>
        <w:t>Inkompatibility</w:t>
      </w:r>
    </w:p>
    <w:p w14:paraId="7B108588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43DFBDFF" w14:textId="7F69862F" w:rsidR="00C26DB3" w:rsidRPr="00443ABC" w:rsidRDefault="00BB5332" w:rsidP="00C627D0">
      <w:pPr>
        <w:tabs>
          <w:tab w:val="left" w:pos="567"/>
        </w:tabs>
        <w:rPr>
          <w:color w:val="000000"/>
          <w:spacing w:val="-3"/>
          <w:sz w:val="22"/>
        </w:rPr>
      </w:pPr>
      <w:r w:rsidRPr="00BB5332">
        <w:rPr>
          <w:sz w:val="22"/>
          <w:szCs w:val="22"/>
        </w:rPr>
        <w:t>•</w:t>
      </w:r>
      <w:r w:rsidRPr="00BB5332">
        <w:rPr>
          <w:sz w:val="22"/>
          <w:szCs w:val="22"/>
        </w:rPr>
        <w:tab/>
      </w:r>
      <w:proofErr w:type="spellStart"/>
      <w:r w:rsidR="00C26DB3" w:rsidRPr="00443ABC">
        <w:rPr>
          <w:color w:val="000000"/>
          <w:spacing w:val="-3"/>
          <w:sz w:val="22"/>
        </w:rPr>
        <w:t>Navirel</w:t>
      </w:r>
      <w:proofErr w:type="spellEnd"/>
      <w:r w:rsidR="00C26DB3" w:rsidRPr="00443ABC">
        <w:rPr>
          <w:color w:val="000000"/>
          <w:spacing w:val="-3"/>
          <w:sz w:val="22"/>
        </w:rPr>
        <w:t xml:space="preserve"> 10 mg/ml infúzny koncentrát sa nemá riediť alkalickými roztokmi (riziko zrážania).</w:t>
      </w:r>
    </w:p>
    <w:p w14:paraId="7988C8C2" w14:textId="77777777" w:rsidR="00C26DB3" w:rsidRPr="00443ABC" w:rsidRDefault="00C26DB3" w:rsidP="00C627D0">
      <w:pPr>
        <w:ind w:left="567" w:hanging="567"/>
        <w:rPr>
          <w:color w:val="000000"/>
          <w:spacing w:val="-3"/>
          <w:sz w:val="22"/>
        </w:rPr>
      </w:pPr>
    </w:p>
    <w:p w14:paraId="0F8AB49D" w14:textId="0E4DB622" w:rsidR="00C26DB3" w:rsidRPr="00443ABC" w:rsidRDefault="00BB5332" w:rsidP="00C627D0">
      <w:pPr>
        <w:tabs>
          <w:tab w:val="left" w:pos="567"/>
        </w:tabs>
        <w:rPr>
          <w:color w:val="000000"/>
          <w:spacing w:val="-3"/>
          <w:sz w:val="22"/>
        </w:rPr>
      </w:pPr>
      <w:r w:rsidRPr="00BB5332">
        <w:rPr>
          <w:sz w:val="22"/>
          <w:szCs w:val="22"/>
        </w:rPr>
        <w:t>•</w:t>
      </w:r>
      <w:r w:rsidRPr="00BB5332">
        <w:rPr>
          <w:sz w:val="22"/>
          <w:szCs w:val="22"/>
        </w:rPr>
        <w:tab/>
      </w:r>
      <w:r w:rsidR="00C26DB3" w:rsidRPr="00443ABC">
        <w:rPr>
          <w:color w:val="000000"/>
          <w:spacing w:val="-3"/>
          <w:sz w:val="22"/>
        </w:rPr>
        <w:t>Tento liek sa nesmie miešať</w:t>
      </w:r>
      <w:r w:rsidR="00C26DB3" w:rsidRPr="00443ABC">
        <w:rPr>
          <w:b/>
          <w:i/>
          <w:color w:val="000000"/>
          <w:spacing w:val="-3"/>
          <w:sz w:val="22"/>
        </w:rPr>
        <w:t xml:space="preserve"> </w:t>
      </w:r>
      <w:r w:rsidR="00C26DB3" w:rsidRPr="00443ABC">
        <w:rPr>
          <w:color w:val="000000"/>
          <w:spacing w:val="-3"/>
          <w:sz w:val="22"/>
        </w:rPr>
        <w:t>s inými liekmi</w:t>
      </w:r>
      <w:r w:rsidR="00C26DB3" w:rsidRPr="00443ABC">
        <w:rPr>
          <w:b/>
          <w:i/>
          <w:color w:val="000000"/>
          <w:spacing w:val="-3"/>
          <w:sz w:val="22"/>
        </w:rPr>
        <w:t xml:space="preserve"> </w:t>
      </w:r>
      <w:r w:rsidR="00C26DB3" w:rsidRPr="00443ABC">
        <w:rPr>
          <w:color w:val="000000"/>
          <w:spacing w:val="-3"/>
          <w:sz w:val="22"/>
        </w:rPr>
        <w:t>okrem tých, ktoré sú uvedené v</w:t>
      </w:r>
      <w:r w:rsidR="00C26DB3" w:rsidRPr="00443ABC">
        <w:rPr>
          <w:color w:val="000000"/>
          <w:spacing w:val="-3"/>
          <w:sz w:val="22"/>
          <w:szCs w:val="22"/>
        </w:rPr>
        <w:t xml:space="preserve"> </w:t>
      </w:r>
      <w:r w:rsidR="00C26DB3" w:rsidRPr="00443ABC">
        <w:rPr>
          <w:color w:val="000000"/>
          <w:spacing w:val="-3"/>
          <w:sz w:val="22"/>
        </w:rPr>
        <w:t>časti 6.6.</w:t>
      </w:r>
    </w:p>
    <w:p w14:paraId="573FA15B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3F1E1459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  <w:u w:val="single"/>
        </w:rPr>
      </w:pPr>
      <w:r w:rsidRPr="00443ABC">
        <w:rPr>
          <w:b/>
          <w:color w:val="000000"/>
          <w:spacing w:val="-3"/>
          <w:sz w:val="22"/>
        </w:rPr>
        <w:t>6.3</w:t>
      </w:r>
      <w:r w:rsidRPr="00443ABC">
        <w:rPr>
          <w:b/>
          <w:color w:val="000000"/>
          <w:spacing w:val="-3"/>
          <w:sz w:val="22"/>
        </w:rPr>
        <w:tab/>
        <w:t>Čas použiteľnosti</w:t>
      </w:r>
    </w:p>
    <w:p w14:paraId="7FFF7092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</w:p>
    <w:p w14:paraId="058E93DE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V neotvorenom obale: 3 roky.</w:t>
      </w:r>
    </w:p>
    <w:p w14:paraId="49CB64AB" w14:textId="77777777" w:rsidR="003E0AB4" w:rsidRPr="00443ABC" w:rsidRDefault="003E0AB4">
      <w:pPr>
        <w:ind w:firstLine="1"/>
        <w:rPr>
          <w:color w:val="000000"/>
          <w:spacing w:val="-3"/>
          <w:sz w:val="22"/>
        </w:rPr>
      </w:pPr>
    </w:p>
    <w:p w14:paraId="1AE1D6BB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Po otvorení a zriedení:</w:t>
      </w:r>
    </w:p>
    <w:p w14:paraId="64F778E8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Po otvorení a zriedení sa musí liek ihneď použiť. Len na jednorazové použitie.</w:t>
      </w:r>
    </w:p>
    <w:p w14:paraId="04E6463C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</w:p>
    <w:p w14:paraId="11211922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Chemická a fyzikálna stabilita </w:t>
      </w:r>
      <w:r w:rsidRPr="00443ABC">
        <w:rPr>
          <w:color w:val="000000"/>
          <w:spacing w:val="-3"/>
          <w:sz w:val="22"/>
          <w:szCs w:val="22"/>
        </w:rPr>
        <w:t>počas používania bola dokázaná</w:t>
      </w:r>
      <w:r w:rsidRPr="00443ABC">
        <w:rPr>
          <w:color w:val="000000"/>
          <w:spacing w:val="-3"/>
          <w:sz w:val="22"/>
        </w:rPr>
        <w:t xml:space="preserve"> počas 24 hodín pri 2</w:t>
      </w:r>
      <w:r w:rsidRPr="00443ABC">
        <w:rPr>
          <w:color w:val="000000"/>
          <w:spacing w:val="-3"/>
          <w:sz w:val="22"/>
          <w:szCs w:val="22"/>
        </w:rPr>
        <w:t>-</w:t>
      </w:r>
      <w:r w:rsidRPr="00443ABC">
        <w:rPr>
          <w:color w:val="000000"/>
          <w:spacing w:val="-3"/>
          <w:sz w:val="22"/>
        </w:rPr>
        <w:t>8 °C a pri 25 °C.</w:t>
      </w:r>
    </w:p>
    <w:p w14:paraId="3DCDDCB5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</w:p>
    <w:p w14:paraId="1D98DDCE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Z</w:t>
      </w:r>
      <w:r w:rsidRPr="00443ABC">
        <w:rPr>
          <w:color w:val="000000"/>
          <w:spacing w:val="-3"/>
          <w:sz w:val="22"/>
          <w:szCs w:val="22"/>
        </w:rPr>
        <w:t> </w:t>
      </w:r>
      <w:r w:rsidRPr="00443ABC">
        <w:rPr>
          <w:color w:val="000000"/>
          <w:spacing w:val="-3"/>
          <w:sz w:val="22"/>
        </w:rPr>
        <w:t xml:space="preserve">mikrobiologického hľadiska </w:t>
      </w:r>
      <w:r w:rsidRPr="00443ABC">
        <w:rPr>
          <w:color w:val="000000"/>
          <w:spacing w:val="-3"/>
          <w:sz w:val="22"/>
          <w:szCs w:val="22"/>
        </w:rPr>
        <w:t xml:space="preserve">by </w:t>
      </w:r>
      <w:r w:rsidRPr="00443ABC">
        <w:rPr>
          <w:color w:val="000000"/>
          <w:spacing w:val="-3"/>
          <w:sz w:val="22"/>
        </w:rPr>
        <w:t xml:space="preserve">sa </w:t>
      </w:r>
      <w:r w:rsidRPr="00443ABC">
        <w:rPr>
          <w:color w:val="000000"/>
          <w:spacing w:val="-3"/>
          <w:sz w:val="22"/>
          <w:szCs w:val="22"/>
        </w:rPr>
        <w:t>produkt mal</w:t>
      </w:r>
      <w:r w:rsidRPr="00443ABC">
        <w:rPr>
          <w:color w:val="000000"/>
          <w:spacing w:val="-3"/>
          <w:sz w:val="22"/>
        </w:rPr>
        <w:t xml:space="preserve"> okamžite použiť. Ak sa </w:t>
      </w:r>
      <w:r w:rsidRPr="00443ABC">
        <w:rPr>
          <w:color w:val="000000"/>
          <w:spacing w:val="-3"/>
          <w:sz w:val="22"/>
          <w:szCs w:val="22"/>
        </w:rPr>
        <w:t>prípravok</w:t>
      </w:r>
      <w:r w:rsidRPr="00443ABC">
        <w:rPr>
          <w:color w:val="000000"/>
          <w:spacing w:val="-3"/>
          <w:sz w:val="22"/>
        </w:rPr>
        <w:t xml:space="preserve"> nepoužije</w:t>
      </w:r>
      <w:r w:rsidRPr="00443ABC">
        <w:rPr>
          <w:color w:val="000000"/>
          <w:spacing w:val="-3"/>
          <w:sz w:val="22"/>
          <w:szCs w:val="22"/>
        </w:rPr>
        <w:t xml:space="preserve"> okamžite</w:t>
      </w:r>
      <w:r w:rsidRPr="00443ABC">
        <w:rPr>
          <w:color w:val="000000"/>
          <w:spacing w:val="-3"/>
          <w:sz w:val="22"/>
        </w:rPr>
        <w:t xml:space="preserve">, za čas a podmienky uchovávania </w:t>
      </w:r>
      <w:r w:rsidRPr="00443ABC">
        <w:rPr>
          <w:color w:val="000000"/>
          <w:spacing w:val="-3"/>
          <w:sz w:val="22"/>
          <w:szCs w:val="22"/>
        </w:rPr>
        <w:t xml:space="preserve">lieku </w:t>
      </w:r>
      <w:r w:rsidRPr="00443ABC">
        <w:rPr>
          <w:color w:val="000000"/>
          <w:spacing w:val="-3"/>
          <w:sz w:val="22"/>
        </w:rPr>
        <w:t xml:space="preserve">pred použitím zodpovedá používateľ a pokiaľ sa </w:t>
      </w:r>
      <w:r w:rsidRPr="00443ABC">
        <w:rPr>
          <w:color w:val="000000"/>
          <w:spacing w:val="-3"/>
          <w:sz w:val="22"/>
          <w:szCs w:val="22"/>
        </w:rPr>
        <w:t>riedenie</w:t>
      </w:r>
      <w:r w:rsidRPr="00443ABC">
        <w:rPr>
          <w:color w:val="000000"/>
          <w:spacing w:val="-3"/>
          <w:sz w:val="22"/>
        </w:rPr>
        <w:t xml:space="preserve"> neuskutočnilo </w:t>
      </w:r>
      <w:r w:rsidRPr="00443ABC">
        <w:rPr>
          <w:color w:val="000000"/>
          <w:spacing w:val="-3"/>
          <w:sz w:val="22"/>
          <w:szCs w:val="22"/>
        </w:rPr>
        <w:t>za</w:t>
      </w:r>
      <w:r w:rsidRPr="00443ABC">
        <w:rPr>
          <w:color w:val="000000"/>
          <w:spacing w:val="-3"/>
          <w:sz w:val="22"/>
        </w:rPr>
        <w:t xml:space="preserve"> kontrolovaných a validovaných aseptických </w:t>
      </w:r>
      <w:r w:rsidRPr="00443ABC">
        <w:rPr>
          <w:color w:val="000000"/>
          <w:spacing w:val="-3"/>
          <w:sz w:val="22"/>
          <w:szCs w:val="22"/>
        </w:rPr>
        <w:t>podmienok, by obvykle nemal presiahnuť 24 hod pri teplote 2–8 °C</w:t>
      </w:r>
      <w:r w:rsidRPr="00443ABC">
        <w:rPr>
          <w:color w:val="000000"/>
          <w:spacing w:val="-3"/>
          <w:sz w:val="22"/>
        </w:rPr>
        <w:t>.</w:t>
      </w:r>
    </w:p>
    <w:p w14:paraId="0C81D758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</w:p>
    <w:p w14:paraId="6C2F0496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  <w:u w:val="single"/>
        </w:rPr>
      </w:pPr>
      <w:r w:rsidRPr="00443ABC">
        <w:rPr>
          <w:b/>
          <w:color w:val="000000"/>
          <w:spacing w:val="-3"/>
          <w:sz w:val="22"/>
        </w:rPr>
        <w:t>6.4</w:t>
      </w:r>
      <w:r w:rsidRPr="00443ABC">
        <w:rPr>
          <w:b/>
          <w:color w:val="000000"/>
          <w:spacing w:val="-3"/>
          <w:sz w:val="22"/>
          <w:szCs w:val="22"/>
        </w:rPr>
        <w:t>.</w:t>
      </w:r>
      <w:r w:rsidRPr="00443ABC">
        <w:rPr>
          <w:b/>
          <w:color w:val="000000"/>
          <w:spacing w:val="-3"/>
          <w:sz w:val="22"/>
        </w:rPr>
        <w:tab/>
        <w:t>Špeciálne upozornenia na uchovávanie</w:t>
      </w:r>
    </w:p>
    <w:p w14:paraId="62CFE27B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</w:p>
    <w:p w14:paraId="5C30696A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Uchovávajte v chladničke (2 </w:t>
      </w:r>
      <w:r w:rsidRPr="00443ABC">
        <w:rPr>
          <w:color w:val="000000"/>
          <w:spacing w:val="-3"/>
          <w:sz w:val="22"/>
          <w:szCs w:val="22"/>
        </w:rPr>
        <w:t>°</w:t>
      </w:r>
      <w:r w:rsidRPr="00443ABC">
        <w:rPr>
          <w:color w:val="000000"/>
          <w:spacing w:val="-3"/>
          <w:sz w:val="22"/>
        </w:rPr>
        <w:t>C </w:t>
      </w:r>
      <w:r w:rsidRPr="00443ABC">
        <w:rPr>
          <w:color w:val="000000"/>
          <w:spacing w:val="-3"/>
          <w:sz w:val="22"/>
          <w:szCs w:val="22"/>
        </w:rPr>
        <w:t>– </w:t>
      </w:r>
      <w:r w:rsidRPr="00443ABC">
        <w:rPr>
          <w:color w:val="000000"/>
          <w:spacing w:val="-3"/>
          <w:sz w:val="22"/>
        </w:rPr>
        <w:t>8</w:t>
      </w:r>
      <w:r w:rsidRPr="00443ABC">
        <w:rPr>
          <w:color w:val="000000"/>
          <w:spacing w:val="-3"/>
          <w:sz w:val="22"/>
          <w:szCs w:val="22"/>
        </w:rPr>
        <w:t> °</w:t>
      </w:r>
      <w:r w:rsidRPr="00443ABC">
        <w:rPr>
          <w:color w:val="000000"/>
          <w:spacing w:val="-3"/>
          <w:sz w:val="22"/>
        </w:rPr>
        <w:t>C).</w:t>
      </w:r>
    </w:p>
    <w:p w14:paraId="4848F474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Neuchovávajte v mrazničke.</w:t>
      </w:r>
    </w:p>
    <w:p w14:paraId="31D6E407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</w:p>
    <w:p w14:paraId="1BF6AAE0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Uchovávajte v pôvodnom obale na ochranu pred svetlom.</w:t>
      </w:r>
    </w:p>
    <w:p w14:paraId="61060E0B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40559E74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>Podmienky na uchovávanie po riedení lieku, pozri časť 6.3.</w:t>
      </w:r>
    </w:p>
    <w:p w14:paraId="2FAC958B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0AF1C154" w14:textId="77777777" w:rsidR="00C26DB3" w:rsidRPr="00443ABC" w:rsidRDefault="00C26DB3">
      <w:pPr>
        <w:keepNext/>
        <w:keepLines/>
        <w:ind w:left="567" w:hanging="567"/>
        <w:jc w:val="both"/>
        <w:rPr>
          <w:b/>
          <w:color w:val="000000"/>
          <w:spacing w:val="-3"/>
          <w:sz w:val="22"/>
          <w:u w:val="single"/>
        </w:rPr>
      </w:pPr>
      <w:r w:rsidRPr="00443ABC">
        <w:rPr>
          <w:b/>
          <w:color w:val="000000"/>
          <w:spacing w:val="-3"/>
          <w:sz w:val="22"/>
        </w:rPr>
        <w:t>6.5</w:t>
      </w:r>
      <w:r w:rsidRPr="00443ABC">
        <w:rPr>
          <w:b/>
          <w:color w:val="000000"/>
          <w:spacing w:val="-3"/>
          <w:sz w:val="22"/>
        </w:rPr>
        <w:tab/>
        <w:t>Druh obalu a obsah balenia</w:t>
      </w:r>
    </w:p>
    <w:p w14:paraId="77926018" w14:textId="77777777" w:rsidR="00C26DB3" w:rsidRPr="00443ABC" w:rsidRDefault="00C26DB3">
      <w:pPr>
        <w:keepNext/>
        <w:keepLines/>
        <w:rPr>
          <w:color w:val="000000"/>
          <w:spacing w:val="-3"/>
          <w:sz w:val="22"/>
        </w:rPr>
      </w:pPr>
    </w:p>
    <w:p w14:paraId="457D7BD8" w14:textId="77777777" w:rsidR="00C26DB3" w:rsidRPr="00443ABC" w:rsidRDefault="00C26DB3">
      <w:pPr>
        <w:keepNext/>
        <w:keepLines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Sklená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injekčná liekovka typu I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 xml:space="preserve">s fluórpolymérom </w:t>
      </w:r>
      <w:r w:rsidRPr="00443ABC">
        <w:rPr>
          <w:color w:val="000000"/>
          <w:spacing w:val="-3"/>
          <w:sz w:val="22"/>
          <w:szCs w:val="22"/>
        </w:rPr>
        <w:t xml:space="preserve">potiahnutou bromobutylovou gumovou zátkou </w:t>
      </w:r>
      <w:r w:rsidRPr="00443ABC">
        <w:rPr>
          <w:color w:val="000000"/>
          <w:spacing w:val="-3"/>
          <w:sz w:val="22"/>
        </w:rPr>
        <w:t>a hliníkovým viečkom.</w:t>
      </w:r>
    </w:p>
    <w:p w14:paraId="7A04E25C" w14:textId="77777777" w:rsidR="00C26DB3" w:rsidRPr="00443ABC" w:rsidRDefault="00C26DB3">
      <w:pPr>
        <w:keepNext/>
        <w:keepLines/>
        <w:rPr>
          <w:color w:val="000000"/>
          <w:spacing w:val="-3"/>
          <w:sz w:val="22"/>
        </w:rPr>
      </w:pPr>
    </w:p>
    <w:p w14:paraId="0FEBB4B5" w14:textId="77777777" w:rsidR="005A5F8B" w:rsidRDefault="00C26DB3">
      <w:pPr>
        <w:keepNext/>
        <w:keepLines/>
        <w:rPr>
          <w:color w:val="000000"/>
          <w:sz w:val="22"/>
          <w:szCs w:val="22"/>
        </w:rPr>
      </w:pPr>
      <w:r w:rsidRPr="00443ABC">
        <w:rPr>
          <w:color w:val="000000"/>
          <w:spacing w:val="-3"/>
          <w:sz w:val="22"/>
        </w:rPr>
        <w:t>Veľkosti balenia:</w:t>
      </w:r>
      <w:r w:rsidRPr="00443ABC">
        <w:rPr>
          <w:color w:val="000000"/>
          <w:sz w:val="22"/>
        </w:rPr>
        <w:t xml:space="preserve"> 1 ml alebo 5 ml </w:t>
      </w:r>
      <w:r w:rsidRPr="00443ABC">
        <w:rPr>
          <w:color w:val="000000"/>
          <w:sz w:val="22"/>
          <w:szCs w:val="22"/>
        </w:rPr>
        <w:t>koncentrát</w:t>
      </w:r>
      <w:r w:rsidRPr="00443ABC">
        <w:rPr>
          <w:color w:val="000000"/>
          <w:sz w:val="22"/>
        </w:rPr>
        <w:t xml:space="preserve"> v balení po 1 alebo 10 injekčných </w:t>
      </w:r>
      <w:r w:rsidRPr="00443ABC">
        <w:rPr>
          <w:color w:val="000000"/>
          <w:sz w:val="22"/>
          <w:szCs w:val="22"/>
        </w:rPr>
        <w:t>liekovkách.</w:t>
      </w:r>
    </w:p>
    <w:p w14:paraId="286CDBE9" w14:textId="5650EFF8" w:rsidR="00EC1447" w:rsidRDefault="00EC1447">
      <w:pPr>
        <w:keepNext/>
        <w:keepLines/>
        <w:rPr>
          <w:color w:val="000000"/>
          <w:sz w:val="22"/>
          <w:szCs w:val="22"/>
        </w:rPr>
      </w:pPr>
      <w:r w:rsidRPr="00EC1447">
        <w:rPr>
          <w:color w:val="000000"/>
          <w:sz w:val="22"/>
          <w:szCs w:val="22"/>
        </w:rPr>
        <w:t xml:space="preserve">Tiež dostupné ako </w:t>
      </w:r>
      <w:proofErr w:type="spellStart"/>
      <w:r w:rsidRPr="00EC1447">
        <w:rPr>
          <w:color w:val="000000"/>
          <w:sz w:val="22"/>
          <w:szCs w:val="22"/>
        </w:rPr>
        <w:t>multibalenia</w:t>
      </w:r>
      <w:proofErr w:type="spellEnd"/>
      <w:r w:rsidRPr="00EC1447">
        <w:rPr>
          <w:color w:val="000000"/>
          <w:sz w:val="22"/>
          <w:szCs w:val="22"/>
        </w:rPr>
        <w:t xml:space="preserve"> so 10 baleniami, z ktorých každé obsahuje 1 injekčnú liekovku.</w:t>
      </w:r>
    </w:p>
    <w:p w14:paraId="733D301D" w14:textId="77777777" w:rsidR="00C26DB3" w:rsidRPr="00443ABC" w:rsidRDefault="00C26DB3">
      <w:pPr>
        <w:keepNext/>
        <w:keepLines/>
        <w:rPr>
          <w:color w:val="000000"/>
          <w:spacing w:val="-3"/>
          <w:sz w:val="22"/>
        </w:rPr>
      </w:pPr>
      <w:r w:rsidRPr="00443ABC">
        <w:rPr>
          <w:color w:val="000000"/>
          <w:sz w:val="22"/>
          <w:szCs w:val="22"/>
        </w:rPr>
        <w:t xml:space="preserve">Na trh nemusia byť uvedené </w:t>
      </w:r>
      <w:r w:rsidRPr="00443ABC">
        <w:rPr>
          <w:color w:val="000000"/>
          <w:sz w:val="22"/>
        </w:rPr>
        <w:t>všetky veľkosti balenia.</w:t>
      </w:r>
    </w:p>
    <w:p w14:paraId="0D6BCAC4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7B4E68D6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  <w:u w:val="single"/>
        </w:rPr>
      </w:pPr>
      <w:r w:rsidRPr="00443ABC">
        <w:rPr>
          <w:b/>
          <w:color w:val="000000"/>
          <w:spacing w:val="-3"/>
          <w:sz w:val="22"/>
        </w:rPr>
        <w:t>6.6</w:t>
      </w:r>
      <w:r w:rsidRPr="00443ABC">
        <w:rPr>
          <w:b/>
          <w:color w:val="000000"/>
          <w:spacing w:val="-3"/>
          <w:sz w:val="22"/>
        </w:rPr>
        <w:tab/>
        <w:t>Špeciálne opatrenia na likvidáciu a iné zaobchádzanie s liekom</w:t>
      </w:r>
    </w:p>
    <w:p w14:paraId="0A18DD52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76EF44C3" w14:textId="77777777" w:rsidR="00C26DB3" w:rsidRPr="00443ABC" w:rsidRDefault="00C26DB3">
      <w:pPr>
        <w:rPr>
          <w:color w:val="000000"/>
          <w:sz w:val="22"/>
        </w:rPr>
      </w:pPr>
      <w:r w:rsidRPr="00443ABC">
        <w:rPr>
          <w:color w:val="000000"/>
          <w:spacing w:val="-3"/>
          <w:sz w:val="22"/>
        </w:rPr>
        <w:t xml:space="preserve">Prípravu a podanie vinorelbínu </w:t>
      </w:r>
      <w:r w:rsidRPr="00443ABC">
        <w:rPr>
          <w:color w:val="000000"/>
          <w:spacing w:val="-3"/>
          <w:sz w:val="22"/>
          <w:szCs w:val="22"/>
        </w:rPr>
        <w:t>musí</w:t>
      </w:r>
      <w:r w:rsidRPr="00443ABC">
        <w:rPr>
          <w:color w:val="000000"/>
          <w:spacing w:val="-3"/>
          <w:sz w:val="22"/>
        </w:rPr>
        <w:t xml:space="preserve"> vykonávať </w:t>
      </w:r>
      <w:r w:rsidRPr="00443ABC">
        <w:rPr>
          <w:color w:val="000000"/>
          <w:spacing w:val="-3"/>
          <w:sz w:val="22"/>
          <w:szCs w:val="22"/>
        </w:rPr>
        <w:t>len</w:t>
      </w:r>
      <w:r w:rsidRPr="00443ABC">
        <w:rPr>
          <w:color w:val="000000"/>
          <w:spacing w:val="-3"/>
          <w:sz w:val="22"/>
        </w:rPr>
        <w:t xml:space="preserve"> zaškolený personál. Musia sa </w:t>
      </w:r>
      <w:r w:rsidRPr="00443ABC">
        <w:rPr>
          <w:color w:val="000000"/>
          <w:spacing w:val="-3"/>
          <w:sz w:val="22"/>
          <w:szCs w:val="22"/>
        </w:rPr>
        <w:t>používať</w:t>
      </w:r>
      <w:r w:rsidRPr="00443ABC">
        <w:rPr>
          <w:color w:val="000000"/>
          <w:spacing w:val="-3"/>
          <w:sz w:val="22"/>
        </w:rPr>
        <w:t xml:space="preserve"> vhodné ochranné okuliare, jednorazové rukavice</w:t>
      </w:r>
      <w:r w:rsidRPr="00443ABC">
        <w:rPr>
          <w:spacing w:val="-3"/>
          <w:sz w:val="22"/>
          <w:szCs w:val="22"/>
        </w:rPr>
        <w:t>, tvárová maska</w:t>
      </w:r>
      <w:r w:rsidRPr="00443ABC">
        <w:rPr>
          <w:color w:val="000000"/>
          <w:spacing w:val="-3"/>
          <w:sz w:val="22"/>
        </w:rPr>
        <w:t xml:space="preserve"> a jednorazový odev. Rozliaty a uniknutý roztok sa musí poutierať.</w:t>
      </w:r>
      <w:r w:rsidRPr="00443ABC">
        <w:rPr>
          <w:color w:val="000000"/>
          <w:spacing w:val="-3"/>
          <w:sz w:val="22"/>
          <w:szCs w:val="22"/>
        </w:rPr>
        <w:t xml:space="preserve"> </w:t>
      </w:r>
    </w:p>
    <w:p w14:paraId="542DF2F6" w14:textId="77777777" w:rsidR="00C26DB3" w:rsidRPr="00443ABC" w:rsidRDefault="00C26DB3">
      <w:pPr>
        <w:rPr>
          <w:color w:val="000000"/>
          <w:sz w:val="22"/>
        </w:rPr>
      </w:pPr>
      <w:r w:rsidRPr="00443ABC">
        <w:rPr>
          <w:color w:val="000000"/>
          <w:sz w:val="22"/>
        </w:rPr>
        <w:t xml:space="preserve">Je nevyhnutné vyhnúť sa akémukoľvek kontaktu </w:t>
      </w:r>
      <w:r w:rsidRPr="00443ABC">
        <w:rPr>
          <w:color w:val="000000"/>
          <w:sz w:val="22"/>
          <w:szCs w:val="22"/>
        </w:rPr>
        <w:t xml:space="preserve">liečiva </w:t>
      </w:r>
      <w:r w:rsidRPr="00443ABC">
        <w:rPr>
          <w:color w:val="000000"/>
          <w:sz w:val="22"/>
        </w:rPr>
        <w:t xml:space="preserve">s očami. Ak sa roztok dostane do </w:t>
      </w:r>
      <w:r w:rsidRPr="00443ABC">
        <w:rPr>
          <w:color w:val="000000"/>
          <w:sz w:val="22"/>
          <w:szCs w:val="22"/>
        </w:rPr>
        <w:t>styku</w:t>
      </w:r>
      <w:r w:rsidRPr="00443ABC">
        <w:rPr>
          <w:color w:val="000000"/>
          <w:sz w:val="22"/>
        </w:rPr>
        <w:t xml:space="preserve"> s očami, okamžite sa musia vypláchnuť veľkým množstvom roztoku </w:t>
      </w:r>
      <w:r w:rsidRPr="00443ABC">
        <w:rPr>
          <w:sz w:val="22"/>
          <w:szCs w:val="22"/>
        </w:rPr>
        <w:t>chloridu sodného 9 mg/ml (0,9 %)</w:t>
      </w:r>
      <w:r w:rsidRPr="00443ABC">
        <w:rPr>
          <w:color w:val="000000"/>
          <w:sz w:val="22"/>
        </w:rPr>
        <w:t>.</w:t>
      </w:r>
      <w:r w:rsidRPr="00443ABC">
        <w:rPr>
          <w:color w:val="000000"/>
          <w:sz w:val="22"/>
          <w:szCs w:val="22"/>
        </w:rPr>
        <w:t xml:space="preserve"> </w:t>
      </w:r>
    </w:p>
    <w:p w14:paraId="01CEA675" w14:textId="77777777" w:rsidR="00C26DB3" w:rsidRPr="00443ABC" w:rsidRDefault="00C26DB3">
      <w:pPr>
        <w:rPr>
          <w:color w:val="000000"/>
          <w:sz w:val="22"/>
        </w:rPr>
      </w:pPr>
    </w:p>
    <w:p w14:paraId="6FD476DF" w14:textId="77777777" w:rsidR="00C26DB3" w:rsidRPr="00443ABC" w:rsidRDefault="00C26DB3">
      <w:pPr>
        <w:rPr>
          <w:color w:val="000000"/>
          <w:sz w:val="22"/>
        </w:rPr>
      </w:pPr>
      <w:r w:rsidRPr="00443ABC">
        <w:rPr>
          <w:color w:val="000000"/>
          <w:sz w:val="22"/>
          <w:szCs w:val="22"/>
        </w:rPr>
        <w:t>Každý exponovaný povrch</w:t>
      </w:r>
      <w:r w:rsidRPr="00443ABC">
        <w:rPr>
          <w:color w:val="000000"/>
          <w:sz w:val="22"/>
        </w:rPr>
        <w:t xml:space="preserve"> sa </w:t>
      </w:r>
      <w:r w:rsidRPr="00443ABC">
        <w:rPr>
          <w:color w:val="000000"/>
          <w:sz w:val="22"/>
          <w:szCs w:val="22"/>
        </w:rPr>
        <w:t xml:space="preserve">musí </w:t>
      </w:r>
      <w:r w:rsidRPr="00443ABC">
        <w:rPr>
          <w:color w:val="000000"/>
          <w:sz w:val="22"/>
        </w:rPr>
        <w:t>po príprave dôkladne očistiť</w:t>
      </w:r>
      <w:r w:rsidRPr="00443ABC">
        <w:rPr>
          <w:color w:val="000000"/>
          <w:sz w:val="22"/>
          <w:szCs w:val="22"/>
        </w:rPr>
        <w:t xml:space="preserve"> a</w:t>
      </w:r>
      <w:r w:rsidRPr="00443ABC">
        <w:rPr>
          <w:color w:val="000000"/>
          <w:sz w:val="22"/>
        </w:rPr>
        <w:t xml:space="preserve"> ruky a</w:t>
      </w:r>
      <w:r w:rsidRPr="00443ABC">
        <w:rPr>
          <w:color w:val="000000"/>
          <w:sz w:val="22"/>
          <w:szCs w:val="22"/>
        </w:rPr>
        <w:t xml:space="preserve"> </w:t>
      </w:r>
      <w:r w:rsidRPr="00443ABC">
        <w:rPr>
          <w:color w:val="000000"/>
          <w:sz w:val="22"/>
        </w:rPr>
        <w:t>tvár sa musia umyť.</w:t>
      </w:r>
      <w:r w:rsidRPr="00443ABC">
        <w:rPr>
          <w:color w:val="000000"/>
          <w:sz w:val="22"/>
          <w:szCs w:val="22"/>
        </w:rPr>
        <w:t xml:space="preserve"> </w:t>
      </w:r>
    </w:p>
    <w:p w14:paraId="44E134D6" w14:textId="77777777" w:rsidR="00C26DB3" w:rsidRPr="00443ABC" w:rsidRDefault="00C26DB3">
      <w:pPr>
        <w:rPr>
          <w:color w:val="000000"/>
          <w:sz w:val="22"/>
        </w:rPr>
      </w:pPr>
    </w:p>
    <w:p w14:paraId="0EB4CED6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sz w:val="22"/>
          <w:szCs w:val="22"/>
        </w:rPr>
        <w:t xml:space="preserve">Neexistuje žiadna inkompatibilita medzi obsahom a obalom pre </w:t>
      </w:r>
      <w:r w:rsidRPr="00443ABC">
        <w:rPr>
          <w:color w:val="000000"/>
          <w:spacing w:val="-3"/>
          <w:sz w:val="22"/>
          <w:szCs w:val="22"/>
        </w:rPr>
        <w:t>Navirel 10 mg/ml infúzny koncentrát</w:t>
      </w:r>
      <w:r w:rsidRPr="00443ABC">
        <w:rPr>
          <w:color w:val="000000"/>
          <w:spacing w:val="-3"/>
          <w:sz w:val="22"/>
        </w:rPr>
        <w:t xml:space="preserve"> a neutrálnou sklenenou fľašou, PVC vakom, vinylacetátovým vakom alebo infúznou súpravou </w:t>
      </w:r>
      <w:r w:rsidRPr="00443ABC">
        <w:rPr>
          <w:color w:val="000000"/>
          <w:spacing w:val="-3"/>
          <w:sz w:val="22"/>
          <w:szCs w:val="22"/>
        </w:rPr>
        <w:t>a</w:t>
      </w:r>
      <w:r w:rsidRPr="00443ABC">
        <w:rPr>
          <w:color w:val="000000"/>
          <w:spacing w:val="-3"/>
          <w:sz w:val="22"/>
        </w:rPr>
        <w:t xml:space="preserve"> hadičkami</w:t>
      </w:r>
      <w:r w:rsidRPr="00443ABC">
        <w:rPr>
          <w:color w:val="000000"/>
          <w:spacing w:val="-3"/>
          <w:sz w:val="22"/>
          <w:szCs w:val="22"/>
        </w:rPr>
        <w:t xml:space="preserve"> z PVC. </w:t>
      </w:r>
    </w:p>
    <w:p w14:paraId="496F9A18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6D54B6AD" w14:textId="77777777" w:rsidR="00317D22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Vinorelbín</w:t>
      </w:r>
      <w:r w:rsidRPr="00443ABC">
        <w:rPr>
          <w:color w:val="000000"/>
          <w:spacing w:val="-3"/>
          <w:sz w:val="22"/>
        </w:rPr>
        <w:t xml:space="preserve"> sa </w:t>
      </w:r>
      <w:r w:rsidRPr="00443ABC">
        <w:rPr>
          <w:color w:val="000000"/>
          <w:spacing w:val="-3"/>
          <w:sz w:val="22"/>
          <w:szCs w:val="22"/>
        </w:rPr>
        <w:t xml:space="preserve">odporúča </w:t>
      </w:r>
      <w:r w:rsidRPr="00443ABC">
        <w:rPr>
          <w:color w:val="000000"/>
          <w:spacing w:val="-3"/>
          <w:sz w:val="22"/>
        </w:rPr>
        <w:t>podávať</w:t>
      </w:r>
    </w:p>
    <w:p w14:paraId="67900E17" w14:textId="7A12F114" w:rsidR="00317D22" w:rsidRPr="00C627D0" w:rsidRDefault="005A5F8B" w:rsidP="00C627D0">
      <w:pPr>
        <w:tabs>
          <w:tab w:val="left" w:pos="567"/>
        </w:tabs>
        <w:ind w:left="567" w:hanging="567"/>
        <w:rPr>
          <w:color w:val="000000"/>
          <w:sz w:val="22"/>
        </w:rPr>
      </w:pPr>
      <w:r w:rsidRPr="005A5F8B">
        <w:rPr>
          <w:color w:val="000000"/>
          <w:spacing w:val="-3"/>
          <w:sz w:val="22"/>
        </w:rPr>
        <w:t>•</w:t>
      </w:r>
      <w:r w:rsidRPr="005A5F8B">
        <w:rPr>
          <w:color w:val="000000"/>
          <w:spacing w:val="-3"/>
          <w:sz w:val="22"/>
        </w:rPr>
        <w:tab/>
      </w:r>
      <w:r w:rsidR="00C26DB3" w:rsidRPr="00C627D0">
        <w:rPr>
          <w:color w:val="000000"/>
          <w:spacing w:val="-3"/>
          <w:sz w:val="22"/>
          <w:szCs w:val="22"/>
        </w:rPr>
        <w:t xml:space="preserve">ako infúzia v priebehu </w:t>
      </w:r>
      <w:r w:rsidR="00C26DB3" w:rsidRPr="00C627D0">
        <w:rPr>
          <w:color w:val="000000"/>
          <w:spacing w:val="-3"/>
          <w:sz w:val="22"/>
        </w:rPr>
        <w:t>6</w:t>
      </w:r>
      <w:r w:rsidR="00C26DB3" w:rsidRPr="00C627D0">
        <w:rPr>
          <w:color w:val="000000"/>
          <w:spacing w:val="-3"/>
          <w:sz w:val="22"/>
          <w:szCs w:val="22"/>
        </w:rPr>
        <w:t>–</w:t>
      </w:r>
      <w:r w:rsidR="00C26DB3" w:rsidRPr="00C627D0">
        <w:rPr>
          <w:color w:val="000000"/>
          <w:spacing w:val="-3"/>
          <w:sz w:val="22"/>
        </w:rPr>
        <w:t>10</w:t>
      </w:r>
      <w:r w:rsidR="00C26DB3" w:rsidRPr="00C627D0">
        <w:rPr>
          <w:color w:val="000000"/>
          <w:spacing w:val="-3"/>
          <w:sz w:val="22"/>
          <w:szCs w:val="22"/>
        </w:rPr>
        <w:t xml:space="preserve"> </w:t>
      </w:r>
      <w:r w:rsidR="00C26DB3" w:rsidRPr="00C627D0">
        <w:rPr>
          <w:color w:val="000000"/>
          <w:spacing w:val="-3"/>
          <w:sz w:val="22"/>
        </w:rPr>
        <w:t xml:space="preserve">minút po </w:t>
      </w:r>
      <w:r w:rsidR="00C26DB3" w:rsidRPr="00C627D0">
        <w:rPr>
          <w:color w:val="000000"/>
          <w:spacing w:val="-3"/>
          <w:sz w:val="22"/>
          <w:szCs w:val="22"/>
        </w:rPr>
        <w:t>nariedení s</w:t>
      </w:r>
      <w:r w:rsidR="00C26DB3" w:rsidRPr="00C627D0">
        <w:rPr>
          <w:color w:val="000000"/>
          <w:spacing w:val="-3"/>
          <w:sz w:val="22"/>
        </w:rPr>
        <w:t xml:space="preserve"> </w:t>
      </w:r>
      <w:r w:rsidR="00C26DB3" w:rsidRPr="00C627D0">
        <w:rPr>
          <w:sz w:val="22"/>
          <w:szCs w:val="22"/>
        </w:rPr>
        <w:t>20–</w:t>
      </w:r>
      <w:r w:rsidR="00C26DB3" w:rsidRPr="00C627D0">
        <w:rPr>
          <w:sz w:val="22"/>
          <w:szCs w:val="22"/>
        </w:rPr>
        <w:noBreakHyphen/>
        <w:t xml:space="preserve">50 ml injekčného roztoku chloridu sodného 9 mg/ml (0,9 %) alebo 5 % (w/v) injekčného roztoku glukózy </w:t>
      </w:r>
      <w:r w:rsidR="00C26DB3" w:rsidRPr="00C627D0">
        <w:rPr>
          <w:color w:val="000000"/>
          <w:sz w:val="22"/>
        </w:rPr>
        <w:t xml:space="preserve">alebo </w:t>
      </w:r>
    </w:p>
    <w:p w14:paraId="6C64650C" w14:textId="77777777" w:rsidR="005A5F8B" w:rsidRDefault="005A5F8B" w:rsidP="00C627D0">
      <w:pPr>
        <w:tabs>
          <w:tab w:val="left" w:pos="567"/>
        </w:tabs>
        <w:ind w:left="567" w:hanging="567"/>
        <w:rPr>
          <w:color w:val="000000"/>
          <w:sz w:val="22"/>
        </w:rPr>
      </w:pPr>
      <w:r w:rsidRPr="005A5F8B">
        <w:rPr>
          <w:color w:val="000000"/>
          <w:sz w:val="22"/>
          <w:szCs w:val="22"/>
        </w:rPr>
        <w:t>•</w:t>
      </w:r>
      <w:r w:rsidRPr="005A5F8B">
        <w:rPr>
          <w:color w:val="000000"/>
          <w:sz w:val="22"/>
          <w:szCs w:val="22"/>
        </w:rPr>
        <w:tab/>
      </w:r>
      <w:r w:rsidR="00C26DB3" w:rsidRPr="00C627D0">
        <w:rPr>
          <w:color w:val="000000"/>
          <w:sz w:val="22"/>
          <w:szCs w:val="22"/>
        </w:rPr>
        <w:t>ako krátka infúzia</w:t>
      </w:r>
      <w:r w:rsidR="00C26DB3" w:rsidRPr="00C627D0">
        <w:rPr>
          <w:color w:val="000000"/>
          <w:sz w:val="22"/>
        </w:rPr>
        <w:t xml:space="preserve"> (20</w:t>
      </w:r>
      <w:r w:rsidR="00C26DB3" w:rsidRPr="00C627D0">
        <w:rPr>
          <w:color w:val="000000"/>
          <w:sz w:val="22"/>
          <w:szCs w:val="22"/>
        </w:rPr>
        <w:t>–</w:t>
      </w:r>
      <w:r w:rsidR="00C26DB3" w:rsidRPr="00C627D0">
        <w:rPr>
          <w:color w:val="000000"/>
          <w:sz w:val="22"/>
          <w:szCs w:val="22"/>
        </w:rPr>
        <w:noBreakHyphen/>
      </w:r>
      <w:r w:rsidR="00C26DB3" w:rsidRPr="00C627D0">
        <w:rPr>
          <w:color w:val="000000"/>
          <w:sz w:val="22"/>
        </w:rPr>
        <w:t xml:space="preserve">30 minút) po </w:t>
      </w:r>
      <w:r w:rsidR="00C26DB3" w:rsidRPr="00C627D0">
        <w:rPr>
          <w:color w:val="000000"/>
          <w:sz w:val="22"/>
          <w:szCs w:val="22"/>
        </w:rPr>
        <w:t>nariedení s</w:t>
      </w:r>
      <w:r w:rsidR="00C26DB3" w:rsidRPr="00C627D0">
        <w:rPr>
          <w:color w:val="000000"/>
          <w:sz w:val="22"/>
        </w:rPr>
        <w:t xml:space="preserve"> 125 ml </w:t>
      </w:r>
      <w:r w:rsidR="00C26DB3" w:rsidRPr="00C627D0">
        <w:rPr>
          <w:color w:val="000000"/>
          <w:sz w:val="22"/>
          <w:szCs w:val="22"/>
        </w:rPr>
        <w:t>injekčného</w:t>
      </w:r>
      <w:r w:rsidR="00C26DB3" w:rsidRPr="00C627D0">
        <w:rPr>
          <w:color w:val="000000"/>
          <w:sz w:val="22"/>
        </w:rPr>
        <w:t xml:space="preserve"> roztoku </w:t>
      </w:r>
      <w:r w:rsidR="00C26DB3" w:rsidRPr="00C627D0">
        <w:rPr>
          <w:color w:val="000000"/>
          <w:sz w:val="22"/>
          <w:szCs w:val="22"/>
        </w:rPr>
        <w:t xml:space="preserve">chloridu sodného 9 mg/ml (0,9 %) </w:t>
      </w:r>
      <w:r w:rsidR="00C26DB3" w:rsidRPr="00C627D0">
        <w:rPr>
          <w:color w:val="000000"/>
          <w:sz w:val="22"/>
        </w:rPr>
        <w:t xml:space="preserve">alebo </w:t>
      </w:r>
      <w:r w:rsidR="00C26DB3" w:rsidRPr="00C627D0">
        <w:rPr>
          <w:color w:val="000000"/>
          <w:sz w:val="22"/>
          <w:szCs w:val="22"/>
        </w:rPr>
        <w:t xml:space="preserve">5 % (w/v) injekčného </w:t>
      </w:r>
      <w:r w:rsidR="00C26DB3" w:rsidRPr="00C627D0">
        <w:rPr>
          <w:color w:val="000000"/>
          <w:sz w:val="22"/>
        </w:rPr>
        <w:t>roztoku glukózy</w:t>
      </w:r>
      <w:r w:rsidR="00C26DB3" w:rsidRPr="00C627D0">
        <w:rPr>
          <w:sz w:val="22"/>
          <w:szCs w:val="22"/>
        </w:rPr>
        <w:t>.</w:t>
      </w:r>
      <w:r w:rsidR="00C26DB3" w:rsidRPr="00C627D0">
        <w:rPr>
          <w:color w:val="000000"/>
          <w:sz w:val="22"/>
        </w:rPr>
        <w:t xml:space="preserve"> </w:t>
      </w:r>
    </w:p>
    <w:p w14:paraId="49AAF1FD" w14:textId="77777777" w:rsidR="005A5F8B" w:rsidRDefault="005A5F8B" w:rsidP="00C627D0">
      <w:pPr>
        <w:tabs>
          <w:tab w:val="left" w:pos="567"/>
        </w:tabs>
        <w:ind w:left="567" w:hanging="567"/>
        <w:rPr>
          <w:color w:val="000000"/>
          <w:sz w:val="22"/>
        </w:rPr>
      </w:pPr>
    </w:p>
    <w:p w14:paraId="597766F4" w14:textId="628576D1" w:rsidR="00C26DB3" w:rsidRPr="00C627D0" w:rsidRDefault="00C26DB3" w:rsidP="00C627D0">
      <w:pPr>
        <w:tabs>
          <w:tab w:val="left" w:pos="0"/>
        </w:tabs>
        <w:rPr>
          <w:sz w:val="22"/>
          <w:szCs w:val="22"/>
        </w:rPr>
      </w:pPr>
      <w:r w:rsidRPr="00C627D0">
        <w:rPr>
          <w:sz w:val="22"/>
          <w:szCs w:val="22"/>
        </w:rPr>
        <w:t>Po podaní sa žila musí dôkladne prepláchnuť aspoň 250 ml roztoku chloridu sodného 9 mg/ml (0,9 %).</w:t>
      </w:r>
    </w:p>
    <w:p w14:paraId="54B58F7B" w14:textId="18AD305D" w:rsidR="00C26DB3" w:rsidRPr="00443ABC" w:rsidRDefault="00C26DB3">
      <w:pPr>
        <w:rPr>
          <w:sz w:val="22"/>
          <w:szCs w:val="22"/>
        </w:rPr>
      </w:pPr>
      <w:proofErr w:type="spellStart"/>
      <w:r w:rsidRPr="00443ABC">
        <w:rPr>
          <w:sz w:val="22"/>
          <w:szCs w:val="22"/>
        </w:rPr>
        <w:t>Vinorelbín</w:t>
      </w:r>
      <w:proofErr w:type="spellEnd"/>
      <w:r w:rsidRPr="00443ABC">
        <w:rPr>
          <w:sz w:val="22"/>
          <w:szCs w:val="22"/>
        </w:rPr>
        <w:t xml:space="preserve"> sa musí podávať dôsledne intravenózne. Je veľmi dôležité presvedčiť sa ešte pred začiatkom infúzie vinorelbínu, že kanyla je umiestnená presne do žily. Ak počas podania dôjde k extravazácii lieku do okolitého tkaniva, môže to spôsobiť významné miestne podráždenie. V takom prípade sa musí podanie okamžite prerušiť, žila prepláchnuť roztokom chloridu sodného 9 mg/ml (0,9 %) a zvyšok dávky sa musí podať do inej žily.</w:t>
      </w:r>
    </w:p>
    <w:p w14:paraId="544E50A7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Aby sa znížilo riziko flebitídy, mali by sa v prípade extravazácie okamžite intravenózne podať glukokortikoidy.</w:t>
      </w:r>
    </w:p>
    <w:p w14:paraId="5B78F0E1" w14:textId="77777777" w:rsidR="00C26DB3" w:rsidRPr="00443ABC" w:rsidRDefault="00C26DB3">
      <w:pPr>
        <w:rPr>
          <w:color w:val="000000"/>
          <w:sz w:val="22"/>
          <w:szCs w:val="22"/>
        </w:rPr>
      </w:pPr>
    </w:p>
    <w:p w14:paraId="49BDDC40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Všetok nepoužitý liek</w:t>
      </w:r>
      <w:r w:rsidRPr="00443ABC">
        <w:rPr>
          <w:color w:val="000000"/>
          <w:spacing w:val="-3"/>
          <w:sz w:val="22"/>
        </w:rPr>
        <w:t xml:space="preserve"> alebo odpad vzniknutý z </w:t>
      </w:r>
      <w:r w:rsidRPr="00443ABC">
        <w:rPr>
          <w:color w:val="000000"/>
          <w:spacing w:val="-3"/>
          <w:sz w:val="22"/>
          <w:szCs w:val="22"/>
        </w:rPr>
        <w:t xml:space="preserve">lieku </w:t>
      </w:r>
      <w:r w:rsidRPr="00443ABC">
        <w:rPr>
          <w:sz w:val="22"/>
          <w:szCs w:val="22"/>
        </w:rPr>
        <w:t>sa má zlikvidovať v súlade s národnými požiadavkami</w:t>
      </w:r>
      <w:r w:rsidRPr="00443ABC">
        <w:rPr>
          <w:color w:val="000000"/>
          <w:spacing w:val="-3"/>
          <w:sz w:val="22"/>
        </w:rPr>
        <w:t>.</w:t>
      </w:r>
    </w:p>
    <w:p w14:paraId="13B76E67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7F130F26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19392BAE" w14:textId="77777777" w:rsidR="00C26DB3" w:rsidRPr="00443ABC" w:rsidRDefault="00C26DB3" w:rsidP="000216EC">
      <w:pPr>
        <w:keepNext/>
        <w:keepLines/>
        <w:ind w:left="567" w:hanging="567"/>
        <w:rPr>
          <w:b/>
          <w:color w:val="000000"/>
          <w:sz w:val="22"/>
        </w:rPr>
      </w:pPr>
      <w:r w:rsidRPr="00443ABC">
        <w:rPr>
          <w:b/>
          <w:color w:val="000000"/>
          <w:sz w:val="22"/>
        </w:rPr>
        <w:lastRenderedPageBreak/>
        <w:t>7.</w:t>
      </w:r>
      <w:r w:rsidRPr="00443ABC">
        <w:rPr>
          <w:b/>
          <w:color w:val="000000"/>
          <w:sz w:val="22"/>
        </w:rPr>
        <w:tab/>
      </w:r>
      <w:r w:rsidRPr="00443ABC">
        <w:rPr>
          <w:b/>
          <w:caps/>
          <w:color w:val="000000"/>
          <w:spacing w:val="-3"/>
          <w:sz w:val="22"/>
        </w:rPr>
        <w:t>DRŽITEĽ ROZHODNUTIA O REGISTRÁCII</w:t>
      </w:r>
      <w:r w:rsidRPr="00443ABC">
        <w:rPr>
          <w:b/>
          <w:caps/>
          <w:color w:val="000000"/>
          <w:spacing w:val="-3"/>
          <w:sz w:val="22"/>
          <w:szCs w:val="22"/>
        </w:rPr>
        <w:t xml:space="preserve"> </w:t>
      </w:r>
    </w:p>
    <w:p w14:paraId="414D63E3" w14:textId="77777777" w:rsidR="00C26DB3" w:rsidRPr="00443ABC" w:rsidRDefault="00C26DB3" w:rsidP="000216EC">
      <w:pPr>
        <w:keepNext/>
        <w:keepLines/>
        <w:tabs>
          <w:tab w:val="left" w:pos="-1440"/>
          <w:tab w:val="left" w:pos="0"/>
        </w:tabs>
        <w:rPr>
          <w:color w:val="000000"/>
          <w:sz w:val="22"/>
        </w:rPr>
      </w:pPr>
    </w:p>
    <w:p w14:paraId="50FDE5B6" w14:textId="77777777" w:rsidR="00C26DB3" w:rsidRPr="00443ABC" w:rsidRDefault="00C26DB3" w:rsidP="000216EC">
      <w:pPr>
        <w:keepNext/>
        <w:keepLines/>
        <w:tabs>
          <w:tab w:val="left" w:pos="0"/>
        </w:tabs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>medac</w:t>
      </w:r>
    </w:p>
    <w:p w14:paraId="376266B0" w14:textId="77777777" w:rsidR="00C26DB3" w:rsidRPr="00443ABC" w:rsidRDefault="00C26DB3" w:rsidP="000216EC">
      <w:pPr>
        <w:keepNext/>
        <w:keepLines/>
        <w:tabs>
          <w:tab w:val="left" w:pos="0"/>
        </w:tabs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Gesellschaft</w:t>
      </w:r>
      <w:r w:rsidRPr="00443ABC">
        <w:rPr>
          <w:color w:val="000000"/>
          <w:spacing w:val="-3"/>
          <w:sz w:val="22"/>
        </w:rPr>
        <w:t xml:space="preserve"> für klinische</w:t>
      </w:r>
    </w:p>
    <w:p w14:paraId="550A332C" w14:textId="77777777" w:rsidR="00C26DB3" w:rsidRPr="00443ABC" w:rsidRDefault="00C26DB3" w:rsidP="000216EC">
      <w:pPr>
        <w:keepNext/>
        <w:keepLines/>
        <w:tabs>
          <w:tab w:val="left" w:pos="0"/>
        </w:tabs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Spezialpräparate mbH</w:t>
      </w:r>
    </w:p>
    <w:p w14:paraId="0359F289" w14:textId="77777777" w:rsidR="00C26DB3" w:rsidRPr="00443ABC" w:rsidRDefault="00C26DB3" w:rsidP="000216EC">
      <w:pPr>
        <w:keepNext/>
        <w:keepLines/>
        <w:tabs>
          <w:tab w:val="left" w:pos="0"/>
        </w:tabs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>Theaterstr. 6</w:t>
      </w:r>
    </w:p>
    <w:p w14:paraId="2CBA1330" w14:textId="77777777" w:rsidR="00C26DB3" w:rsidRPr="00443ABC" w:rsidRDefault="00C26DB3" w:rsidP="000216EC">
      <w:pPr>
        <w:keepNext/>
        <w:keepLines/>
        <w:tabs>
          <w:tab w:val="left" w:pos="0"/>
        </w:tabs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>22880 Wedel</w:t>
      </w:r>
    </w:p>
    <w:p w14:paraId="797EF2B9" w14:textId="77777777" w:rsidR="00C26DB3" w:rsidRPr="00443ABC" w:rsidRDefault="00C26DB3" w:rsidP="000216EC">
      <w:pPr>
        <w:keepNext/>
        <w:keepLines/>
        <w:tabs>
          <w:tab w:val="left" w:pos="0"/>
        </w:tabs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Nemecko</w:t>
      </w:r>
    </w:p>
    <w:p w14:paraId="16329EB1" w14:textId="77777777" w:rsidR="00C26DB3" w:rsidRPr="00443ABC" w:rsidRDefault="00C26DB3" w:rsidP="000216EC">
      <w:pPr>
        <w:keepNext/>
        <w:keepLines/>
        <w:numPr>
          <w:ilvl w:val="12"/>
          <w:numId w:val="0"/>
        </w:numPr>
        <w:tabs>
          <w:tab w:val="left" w:pos="851"/>
        </w:tabs>
        <w:ind w:right="-2"/>
        <w:rPr>
          <w:sz w:val="22"/>
          <w:szCs w:val="22"/>
        </w:rPr>
      </w:pPr>
      <w:r w:rsidRPr="00443ABC">
        <w:rPr>
          <w:sz w:val="22"/>
          <w:szCs w:val="22"/>
        </w:rPr>
        <w:t>Telefón: +49 4103 8006-0</w:t>
      </w:r>
    </w:p>
    <w:p w14:paraId="2EFEACF7" w14:textId="77777777" w:rsidR="00C26DB3" w:rsidRPr="00443ABC" w:rsidRDefault="00C26DB3" w:rsidP="000216EC">
      <w:pPr>
        <w:keepNext/>
        <w:keepLines/>
        <w:numPr>
          <w:ilvl w:val="12"/>
          <w:numId w:val="0"/>
        </w:numPr>
        <w:tabs>
          <w:tab w:val="left" w:pos="851"/>
        </w:tabs>
        <w:ind w:right="-2"/>
        <w:rPr>
          <w:color w:val="000000"/>
          <w:spacing w:val="-3"/>
          <w:sz w:val="22"/>
        </w:rPr>
      </w:pPr>
      <w:r w:rsidRPr="00443ABC">
        <w:rPr>
          <w:sz w:val="22"/>
          <w:szCs w:val="22"/>
        </w:rPr>
        <w:t>Fax: +49 4103 8006-100</w:t>
      </w:r>
    </w:p>
    <w:p w14:paraId="7B3E5033" w14:textId="77777777" w:rsidR="00C26DB3" w:rsidRPr="00443ABC" w:rsidRDefault="00C26DB3">
      <w:pPr>
        <w:tabs>
          <w:tab w:val="left" w:pos="0"/>
        </w:tabs>
        <w:rPr>
          <w:color w:val="000000"/>
          <w:sz w:val="22"/>
        </w:rPr>
      </w:pPr>
    </w:p>
    <w:p w14:paraId="2097B7E1" w14:textId="77777777" w:rsidR="00C26DB3" w:rsidRPr="00443ABC" w:rsidRDefault="00C26DB3">
      <w:pPr>
        <w:tabs>
          <w:tab w:val="left" w:pos="0"/>
        </w:tabs>
        <w:rPr>
          <w:color w:val="000000"/>
          <w:sz w:val="22"/>
        </w:rPr>
      </w:pPr>
    </w:p>
    <w:p w14:paraId="7775F63F" w14:textId="77777777" w:rsidR="00C26DB3" w:rsidRPr="00443ABC" w:rsidRDefault="00C26DB3">
      <w:pPr>
        <w:ind w:left="567" w:hanging="567"/>
        <w:rPr>
          <w:b/>
          <w:color w:val="000000"/>
          <w:sz w:val="22"/>
        </w:rPr>
      </w:pPr>
      <w:r w:rsidRPr="00443ABC">
        <w:rPr>
          <w:b/>
          <w:color w:val="000000"/>
          <w:sz w:val="22"/>
        </w:rPr>
        <w:t>8.</w:t>
      </w:r>
      <w:r w:rsidRPr="00443ABC">
        <w:rPr>
          <w:b/>
          <w:color w:val="000000"/>
          <w:sz w:val="22"/>
        </w:rPr>
        <w:tab/>
        <w:t>REGISTRAČNÉ ČÍSLO</w:t>
      </w:r>
    </w:p>
    <w:p w14:paraId="0374C1FB" w14:textId="77777777" w:rsidR="00C26DB3" w:rsidRPr="00443ABC" w:rsidRDefault="00C26DB3">
      <w:pPr>
        <w:tabs>
          <w:tab w:val="left" w:pos="567"/>
        </w:tabs>
        <w:rPr>
          <w:sz w:val="22"/>
          <w:szCs w:val="22"/>
        </w:rPr>
      </w:pPr>
    </w:p>
    <w:p w14:paraId="31426DA9" w14:textId="4DF01192" w:rsidR="00C26DB3" w:rsidRPr="00443ABC" w:rsidRDefault="00C26DB3">
      <w:pPr>
        <w:tabs>
          <w:tab w:val="left" w:pos="567"/>
        </w:tabs>
        <w:rPr>
          <w:sz w:val="22"/>
          <w:szCs w:val="22"/>
        </w:rPr>
      </w:pPr>
      <w:r w:rsidRPr="00443ABC">
        <w:rPr>
          <w:sz w:val="22"/>
          <w:szCs w:val="22"/>
        </w:rPr>
        <w:t>44/0065/06-S</w:t>
      </w:r>
    </w:p>
    <w:p w14:paraId="5C75BE11" w14:textId="77777777" w:rsidR="00C26DB3" w:rsidRPr="00443ABC" w:rsidRDefault="00C26DB3">
      <w:pPr>
        <w:jc w:val="both"/>
        <w:rPr>
          <w:color w:val="000000"/>
          <w:sz w:val="22"/>
        </w:rPr>
      </w:pPr>
    </w:p>
    <w:p w14:paraId="2C096B91" w14:textId="77777777" w:rsidR="00C26DB3" w:rsidRPr="00443ABC" w:rsidRDefault="00C26DB3">
      <w:pPr>
        <w:jc w:val="both"/>
        <w:rPr>
          <w:color w:val="000000"/>
          <w:sz w:val="22"/>
        </w:rPr>
      </w:pPr>
    </w:p>
    <w:p w14:paraId="007067E8" w14:textId="77777777" w:rsidR="00C26DB3" w:rsidRPr="00443ABC" w:rsidRDefault="00C26DB3">
      <w:pPr>
        <w:keepNext/>
        <w:keepLines/>
        <w:ind w:left="567" w:hanging="567"/>
        <w:rPr>
          <w:color w:val="000000"/>
          <w:sz w:val="22"/>
        </w:rPr>
      </w:pPr>
      <w:r w:rsidRPr="00443ABC">
        <w:rPr>
          <w:b/>
          <w:color w:val="000000"/>
          <w:sz w:val="22"/>
        </w:rPr>
        <w:t>9.</w:t>
      </w:r>
      <w:r w:rsidRPr="00443ABC">
        <w:rPr>
          <w:b/>
          <w:color w:val="000000"/>
          <w:sz w:val="22"/>
        </w:rPr>
        <w:tab/>
        <w:t>DÁTUM PRVEJ REGISTRÁCIE/PREDĹŽENIA REGISTRÁCIE</w:t>
      </w:r>
    </w:p>
    <w:p w14:paraId="734ED4AB" w14:textId="77777777" w:rsidR="00C26DB3" w:rsidRPr="00443ABC" w:rsidRDefault="00C26DB3">
      <w:pPr>
        <w:keepNext/>
        <w:keepLines/>
        <w:ind w:left="567" w:hanging="567"/>
        <w:jc w:val="both"/>
        <w:rPr>
          <w:color w:val="000000"/>
          <w:sz w:val="22"/>
        </w:rPr>
      </w:pPr>
    </w:p>
    <w:p w14:paraId="32419677" w14:textId="0DDEE76F" w:rsidR="00C26DB3" w:rsidRDefault="00753ADF">
      <w:pPr>
        <w:keepNext/>
        <w:keepLines/>
        <w:tabs>
          <w:tab w:val="left" w:pos="567"/>
        </w:tabs>
        <w:rPr>
          <w:sz w:val="22"/>
          <w:szCs w:val="22"/>
        </w:rPr>
      </w:pPr>
      <w:r w:rsidRPr="0097397D">
        <w:rPr>
          <w:sz w:val="22"/>
          <w:szCs w:val="22"/>
        </w:rPr>
        <w:t xml:space="preserve">Dátum prvej registrácie: </w:t>
      </w:r>
      <w:r w:rsidR="00C26DB3" w:rsidRPr="002D2B6E">
        <w:rPr>
          <w:sz w:val="22"/>
          <w:szCs w:val="22"/>
        </w:rPr>
        <w:t>31.1.2006</w:t>
      </w:r>
    </w:p>
    <w:p w14:paraId="1936194B" w14:textId="4E8A37F2" w:rsidR="008C406A" w:rsidRPr="002D2B6E" w:rsidRDefault="008C406A">
      <w:pPr>
        <w:keepNext/>
        <w:keepLines/>
        <w:tabs>
          <w:tab w:val="left" w:pos="567"/>
        </w:tabs>
        <w:rPr>
          <w:sz w:val="22"/>
          <w:szCs w:val="22"/>
        </w:rPr>
      </w:pPr>
      <w:r w:rsidRPr="00F8533E">
        <w:rPr>
          <w:noProof/>
          <w:sz w:val="22"/>
          <w:szCs w:val="22"/>
        </w:rPr>
        <w:t>Dátum posledného predĺženia registrácie:</w:t>
      </w:r>
      <w:r>
        <w:rPr>
          <w:noProof/>
          <w:sz w:val="22"/>
          <w:szCs w:val="22"/>
        </w:rPr>
        <w:t xml:space="preserve"> 15.10.2010</w:t>
      </w:r>
    </w:p>
    <w:p w14:paraId="4B74FF5A" w14:textId="77777777" w:rsidR="00C26DB3" w:rsidRDefault="00C26DB3">
      <w:pPr>
        <w:tabs>
          <w:tab w:val="left" w:pos="567"/>
        </w:tabs>
        <w:rPr>
          <w:sz w:val="22"/>
          <w:szCs w:val="22"/>
        </w:rPr>
      </w:pPr>
    </w:p>
    <w:p w14:paraId="73B7649E" w14:textId="77777777" w:rsidR="00296B7E" w:rsidRPr="00443ABC" w:rsidRDefault="00296B7E">
      <w:pPr>
        <w:tabs>
          <w:tab w:val="left" w:pos="567"/>
        </w:tabs>
        <w:rPr>
          <w:sz w:val="22"/>
          <w:szCs w:val="22"/>
        </w:rPr>
      </w:pPr>
    </w:p>
    <w:p w14:paraId="627506DF" w14:textId="77777777" w:rsidR="00C26DB3" w:rsidRPr="00443ABC" w:rsidRDefault="00C26DB3">
      <w:pPr>
        <w:numPr>
          <w:ilvl w:val="0"/>
          <w:numId w:val="25"/>
        </w:numPr>
        <w:tabs>
          <w:tab w:val="clear" w:pos="570"/>
          <w:tab w:val="left" w:pos="567"/>
        </w:tabs>
        <w:ind w:left="0" w:firstLine="0"/>
        <w:rPr>
          <w:b/>
          <w:sz w:val="22"/>
          <w:szCs w:val="22"/>
        </w:rPr>
      </w:pPr>
      <w:r w:rsidRPr="00443ABC">
        <w:rPr>
          <w:b/>
          <w:caps/>
          <w:color w:val="000000"/>
          <w:sz w:val="22"/>
        </w:rPr>
        <w:t>DÁTUM REVÍZIE</w:t>
      </w:r>
      <w:r w:rsidRPr="00443ABC">
        <w:rPr>
          <w:b/>
          <w:caps/>
          <w:sz w:val="22"/>
        </w:rPr>
        <w:t xml:space="preserve"> TEXTU</w:t>
      </w:r>
    </w:p>
    <w:p w14:paraId="3E95776C" w14:textId="77777777" w:rsidR="00C26DB3" w:rsidRPr="00443ABC" w:rsidRDefault="00C26DB3">
      <w:pPr>
        <w:tabs>
          <w:tab w:val="left" w:pos="567"/>
        </w:tabs>
        <w:rPr>
          <w:b/>
          <w:sz w:val="22"/>
          <w:szCs w:val="22"/>
        </w:rPr>
      </w:pPr>
    </w:p>
    <w:p w14:paraId="07133EFB" w14:textId="749D1D71" w:rsidR="00C26DB3" w:rsidRPr="00443ABC" w:rsidRDefault="00BB5332" w:rsidP="0064227D">
      <w:pPr>
        <w:ind w:left="567" w:hanging="567"/>
        <w:rPr>
          <w:snapToGrid w:val="0"/>
          <w:sz w:val="22"/>
          <w:szCs w:val="22"/>
        </w:rPr>
      </w:pPr>
      <w:r>
        <w:rPr>
          <w:sz w:val="22"/>
          <w:szCs w:val="22"/>
        </w:rPr>
        <w:t>0</w:t>
      </w:r>
      <w:r w:rsidR="00296B7E">
        <w:rPr>
          <w:sz w:val="22"/>
          <w:szCs w:val="22"/>
        </w:rPr>
        <w:t>4</w:t>
      </w:r>
      <w:r>
        <w:rPr>
          <w:sz w:val="22"/>
          <w:szCs w:val="22"/>
        </w:rPr>
        <w:t>/2020</w:t>
      </w:r>
    </w:p>
    <w:sectPr w:rsidR="00C26DB3" w:rsidRPr="00443ABC" w:rsidSect="00173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197BC" w14:textId="77777777" w:rsidR="00FB7051" w:rsidRDefault="00FB7051">
      <w:r>
        <w:separator/>
      </w:r>
    </w:p>
  </w:endnote>
  <w:endnote w:type="continuationSeparator" w:id="0">
    <w:p w14:paraId="6E22541C" w14:textId="77777777" w:rsidR="00FB7051" w:rsidRDefault="00FB7051">
      <w:r>
        <w:continuationSeparator/>
      </w:r>
    </w:p>
  </w:endnote>
  <w:endnote w:type="continuationNotice" w:id="1">
    <w:p w14:paraId="784BAED0" w14:textId="77777777" w:rsidR="00FB7051" w:rsidRDefault="00FB7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CB146" w14:textId="77777777" w:rsidR="00C26DB3" w:rsidRDefault="00C26DB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18971FE" w14:textId="77777777" w:rsidR="00C26DB3" w:rsidRDefault="00C26DB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C20E5" w14:textId="1159FBEE" w:rsidR="00C26DB3" w:rsidRDefault="00C26DB3">
    <w:pPr>
      <w:pStyle w:val="Pta"/>
      <w:ind w:right="360"/>
      <w:rPr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856AA" w14:textId="77777777" w:rsidR="00C26DB3" w:rsidRDefault="00C26DB3">
    <w:pPr>
      <w:pStyle w:val="Pta"/>
      <w:pBdr>
        <w:top w:val="single" w:sz="4" w:space="1" w:color="auto"/>
      </w:pBdr>
      <w:ind w:right="360"/>
      <w:rPr>
        <w:sz w:val="20"/>
        <w:szCs w:val="20"/>
      </w:rPr>
    </w:pPr>
    <w:r>
      <w:rPr>
        <w:sz w:val="20"/>
      </w:rPr>
      <w:t>spc (</w:t>
    </w:r>
    <w:r>
      <w:rPr>
        <w:sz w:val="20"/>
        <w:szCs w:val="20"/>
      </w:rPr>
      <w:t>SK</w:t>
    </w:r>
    <w:r>
      <w:rPr>
        <w:sz w:val="20"/>
      </w:rPr>
      <w:t>) Navirel 10 mg/ml concentrate for solution for infusion</w:t>
    </w:r>
  </w:p>
  <w:p w14:paraId="0031925A" w14:textId="77777777" w:rsidR="00C26DB3" w:rsidRDefault="00C26DB3">
    <w:pPr>
      <w:pStyle w:val="Pta"/>
      <w:ind w:right="360"/>
      <w:rPr>
        <w:sz w:val="20"/>
      </w:rPr>
    </w:pPr>
    <w:r>
      <w:rPr>
        <w:sz w:val="20"/>
        <w:szCs w:val="20"/>
      </w:rPr>
      <w:t xml:space="preserve">National version: </w:t>
    </w:r>
    <w:r w:rsidR="00F65ADF" w:rsidRPr="00F65ADF">
      <w:rPr>
        <w:sz w:val="20"/>
      </w:rPr>
      <w:t>0</w:t>
    </w:r>
    <w:r w:rsidR="0077579C">
      <w:rPr>
        <w:sz w:val="20"/>
      </w:rPr>
      <w:t>4</w:t>
    </w:r>
    <w:r w:rsidR="00F65ADF" w:rsidRPr="00F65ADF">
      <w:rPr>
        <w:sz w:val="20"/>
      </w:rPr>
      <w:t>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B9239" w14:textId="77777777" w:rsidR="00FB7051" w:rsidRDefault="00FB7051">
      <w:r>
        <w:separator/>
      </w:r>
    </w:p>
  </w:footnote>
  <w:footnote w:type="continuationSeparator" w:id="0">
    <w:p w14:paraId="34453050" w14:textId="77777777" w:rsidR="00FB7051" w:rsidRDefault="00FB7051">
      <w:r>
        <w:continuationSeparator/>
      </w:r>
    </w:p>
  </w:footnote>
  <w:footnote w:type="continuationNotice" w:id="1">
    <w:p w14:paraId="11D2DC8F" w14:textId="77777777" w:rsidR="00FB7051" w:rsidRDefault="00FB70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A748B" w14:textId="77777777" w:rsidR="00506D2F" w:rsidRDefault="00506D2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028F4" w14:textId="3E54F21C" w:rsidR="002D2B6E" w:rsidRPr="00C627D0" w:rsidRDefault="00296B7E">
    <w:pPr>
      <w:pStyle w:val="Hlavika"/>
      <w:rPr>
        <w:sz w:val="18"/>
        <w:szCs w:val="18"/>
      </w:rPr>
    </w:pPr>
    <w:r w:rsidRPr="00C627D0">
      <w:rPr>
        <w:sz w:val="18"/>
        <w:szCs w:val="18"/>
      </w:rPr>
      <w:t>Schválený text k rozhodnutiu o zmene, ev. č.: 2019/04914-ZME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F6073" w14:textId="77777777" w:rsidR="00506D2F" w:rsidRDefault="00506D2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2893"/>
    <w:multiLevelType w:val="multilevel"/>
    <w:tmpl w:val="8AEC1146"/>
    <w:lvl w:ilvl="0">
      <w:start w:val="6"/>
      <w:numFmt w:val="decimal"/>
      <w:lvlText w:val="%1"/>
      <w:lvlJc w:val="left"/>
      <w:pPr>
        <w:tabs>
          <w:tab w:val="num" w:pos="779"/>
        </w:tabs>
        <w:ind w:left="779" w:hanging="8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79"/>
        </w:tabs>
        <w:ind w:left="779" w:hanging="8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79"/>
        </w:tabs>
        <w:ind w:left="779" w:hanging="8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79"/>
        </w:tabs>
        <w:ind w:left="779" w:hanging="8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04"/>
        </w:tabs>
        <w:ind w:left="100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13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4"/>
        </w:tabs>
        <w:ind w:left="136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800"/>
      </w:pPr>
      <w:rPr>
        <w:rFonts w:cs="Times New Roman" w:hint="default"/>
      </w:rPr>
    </w:lvl>
  </w:abstractNum>
  <w:abstractNum w:abstractNumId="1" w15:restartNumberingAfterBreak="0">
    <w:nsid w:val="0556621F"/>
    <w:multiLevelType w:val="singleLevel"/>
    <w:tmpl w:val="D1925B16"/>
    <w:lvl w:ilvl="0">
      <w:numFmt w:val="bullet"/>
      <w:lvlText w:val="-"/>
      <w:lvlJc w:val="left"/>
      <w:pPr>
        <w:tabs>
          <w:tab w:val="num" w:pos="1306"/>
        </w:tabs>
        <w:ind w:left="1306" w:hanging="450"/>
      </w:pPr>
      <w:rPr>
        <w:rFonts w:hint="default"/>
      </w:rPr>
    </w:lvl>
  </w:abstractNum>
  <w:abstractNum w:abstractNumId="2" w15:restartNumberingAfterBreak="0">
    <w:nsid w:val="076B4724"/>
    <w:multiLevelType w:val="hybridMultilevel"/>
    <w:tmpl w:val="ECA2A1C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168DF"/>
    <w:multiLevelType w:val="singleLevel"/>
    <w:tmpl w:val="7CD8D1D0"/>
    <w:lvl w:ilvl="0">
      <w:numFmt w:val="bullet"/>
      <w:lvlText w:val="-"/>
      <w:lvlJc w:val="left"/>
      <w:pPr>
        <w:tabs>
          <w:tab w:val="num" w:pos="1306"/>
        </w:tabs>
        <w:ind w:left="1306" w:hanging="450"/>
      </w:pPr>
      <w:rPr>
        <w:rFonts w:hint="default"/>
      </w:rPr>
    </w:lvl>
  </w:abstractNum>
  <w:abstractNum w:abstractNumId="4" w15:restartNumberingAfterBreak="0">
    <w:nsid w:val="1C022B2A"/>
    <w:multiLevelType w:val="singleLevel"/>
    <w:tmpl w:val="8C8C396E"/>
    <w:lvl w:ilvl="0">
      <w:numFmt w:val="bullet"/>
      <w:lvlText w:val="-"/>
      <w:lvlJc w:val="left"/>
      <w:pPr>
        <w:tabs>
          <w:tab w:val="num" w:pos="1306"/>
        </w:tabs>
        <w:ind w:left="1306" w:hanging="450"/>
      </w:pPr>
      <w:rPr>
        <w:rFonts w:hint="default"/>
      </w:rPr>
    </w:lvl>
  </w:abstractNum>
  <w:abstractNum w:abstractNumId="5" w15:restartNumberingAfterBreak="0">
    <w:nsid w:val="21114131"/>
    <w:multiLevelType w:val="hybridMultilevel"/>
    <w:tmpl w:val="91AAC0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F3559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34684060"/>
    <w:multiLevelType w:val="singleLevel"/>
    <w:tmpl w:val="B93A9D9C"/>
    <w:lvl w:ilvl="0">
      <w:start w:val="3"/>
      <w:numFmt w:val="decimal"/>
      <w:pStyle w:val="Nadpis9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8" w15:restartNumberingAfterBreak="0">
    <w:nsid w:val="3473583B"/>
    <w:multiLevelType w:val="hybridMultilevel"/>
    <w:tmpl w:val="42983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044A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A34B29"/>
    <w:multiLevelType w:val="multilevel"/>
    <w:tmpl w:val="C718801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3749281F"/>
    <w:multiLevelType w:val="singleLevel"/>
    <w:tmpl w:val="759688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3FFA1897"/>
    <w:multiLevelType w:val="singleLevel"/>
    <w:tmpl w:val="43407EDA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2451969"/>
    <w:multiLevelType w:val="multilevel"/>
    <w:tmpl w:val="F17A88AE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4" w15:restartNumberingAfterBreak="0">
    <w:nsid w:val="43E436CC"/>
    <w:multiLevelType w:val="singleLevel"/>
    <w:tmpl w:val="5E229D32"/>
    <w:lvl w:ilvl="0">
      <w:start w:val="4"/>
      <w:numFmt w:val="bullet"/>
      <w:lvlText w:val="-"/>
      <w:lvlJc w:val="left"/>
      <w:pPr>
        <w:tabs>
          <w:tab w:val="num" w:pos="1301"/>
        </w:tabs>
        <w:ind w:left="1301" w:hanging="450"/>
      </w:pPr>
      <w:rPr>
        <w:rFonts w:hint="default"/>
      </w:rPr>
    </w:lvl>
  </w:abstractNum>
  <w:abstractNum w:abstractNumId="15" w15:restartNumberingAfterBreak="0">
    <w:nsid w:val="47A5530A"/>
    <w:multiLevelType w:val="singleLevel"/>
    <w:tmpl w:val="D1925B16"/>
    <w:lvl w:ilvl="0">
      <w:numFmt w:val="bullet"/>
      <w:lvlText w:val="-"/>
      <w:lvlJc w:val="left"/>
      <w:pPr>
        <w:tabs>
          <w:tab w:val="num" w:pos="1306"/>
        </w:tabs>
        <w:ind w:left="1306" w:hanging="450"/>
      </w:pPr>
      <w:rPr>
        <w:rFonts w:hint="default"/>
      </w:rPr>
    </w:lvl>
  </w:abstractNum>
  <w:abstractNum w:abstractNumId="16" w15:restartNumberingAfterBreak="0">
    <w:nsid w:val="49E81CD3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4B6C3E09"/>
    <w:multiLevelType w:val="hybridMultilevel"/>
    <w:tmpl w:val="20D28A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65358"/>
    <w:multiLevelType w:val="singleLevel"/>
    <w:tmpl w:val="77D2300E"/>
    <w:lvl w:ilvl="0">
      <w:numFmt w:val="bullet"/>
      <w:lvlText w:val="-"/>
      <w:lvlJc w:val="left"/>
      <w:pPr>
        <w:tabs>
          <w:tab w:val="num" w:pos="1306"/>
        </w:tabs>
        <w:ind w:left="1306" w:hanging="450"/>
      </w:pPr>
      <w:rPr>
        <w:rFonts w:hint="default"/>
      </w:rPr>
    </w:lvl>
  </w:abstractNum>
  <w:abstractNum w:abstractNumId="19" w15:restartNumberingAfterBreak="0">
    <w:nsid w:val="4E7F1EF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0" w15:restartNumberingAfterBreak="0">
    <w:nsid w:val="51765BF6"/>
    <w:multiLevelType w:val="hybridMultilevel"/>
    <w:tmpl w:val="7C30A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440C4"/>
    <w:multiLevelType w:val="singleLevel"/>
    <w:tmpl w:val="E620E13A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2" w15:restartNumberingAfterBreak="0">
    <w:nsid w:val="5F0C1CE6"/>
    <w:multiLevelType w:val="hybridMultilevel"/>
    <w:tmpl w:val="046A9F4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5F6D1770"/>
    <w:multiLevelType w:val="singleLevel"/>
    <w:tmpl w:val="C2C8F696"/>
    <w:lvl w:ilvl="0">
      <w:numFmt w:val="bullet"/>
      <w:lvlText w:val="-"/>
      <w:lvlJc w:val="left"/>
      <w:pPr>
        <w:tabs>
          <w:tab w:val="num" w:pos="1306"/>
        </w:tabs>
        <w:ind w:left="1306" w:hanging="450"/>
      </w:pPr>
      <w:rPr>
        <w:rFonts w:hint="default"/>
      </w:rPr>
    </w:lvl>
  </w:abstractNum>
  <w:abstractNum w:abstractNumId="24" w15:restartNumberingAfterBreak="0">
    <w:nsid w:val="61BF248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 w15:restartNumberingAfterBreak="0">
    <w:nsid w:val="62C15A9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43F02D4"/>
    <w:multiLevelType w:val="multilevel"/>
    <w:tmpl w:val="A754BABC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BAB4D14"/>
    <w:multiLevelType w:val="hybridMultilevel"/>
    <w:tmpl w:val="39641670"/>
    <w:lvl w:ilvl="0" w:tplc="C2C8F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E22B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792E1D45"/>
    <w:multiLevelType w:val="hybridMultilevel"/>
    <w:tmpl w:val="525A9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3"/>
  </w:num>
  <w:num w:numId="4">
    <w:abstractNumId w:val="18"/>
  </w:num>
  <w:num w:numId="5">
    <w:abstractNumId w:val="3"/>
  </w:num>
  <w:num w:numId="6">
    <w:abstractNumId w:val="1"/>
  </w:num>
  <w:num w:numId="7">
    <w:abstractNumId w:val="4"/>
  </w:num>
  <w:num w:numId="8">
    <w:abstractNumId w:val="13"/>
  </w:num>
  <w:num w:numId="9">
    <w:abstractNumId w:val="26"/>
  </w:num>
  <w:num w:numId="10">
    <w:abstractNumId w:val="0"/>
  </w:num>
  <w:num w:numId="11">
    <w:abstractNumId w:val="12"/>
  </w:num>
  <w:num w:numId="12">
    <w:abstractNumId w:val="16"/>
  </w:num>
  <w:num w:numId="13">
    <w:abstractNumId w:val="6"/>
  </w:num>
  <w:num w:numId="14">
    <w:abstractNumId w:val="24"/>
  </w:num>
  <w:num w:numId="15">
    <w:abstractNumId w:val="28"/>
  </w:num>
  <w:num w:numId="16">
    <w:abstractNumId w:val="19"/>
  </w:num>
  <w:num w:numId="17">
    <w:abstractNumId w:val="11"/>
  </w:num>
  <w:num w:numId="18">
    <w:abstractNumId w:val="9"/>
  </w:num>
  <w:num w:numId="19">
    <w:abstractNumId w:val="15"/>
  </w:num>
  <w:num w:numId="20">
    <w:abstractNumId w:val="25"/>
  </w:num>
  <w:num w:numId="21">
    <w:abstractNumId w:val="5"/>
  </w:num>
  <w:num w:numId="22">
    <w:abstractNumId w:val="25"/>
  </w:num>
  <w:num w:numId="23">
    <w:abstractNumId w:val="17"/>
  </w:num>
  <w:num w:numId="24">
    <w:abstractNumId w:val="2"/>
  </w:num>
  <w:num w:numId="25">
    <w:abstractNumId w:val="21"/>
  </w:num>
  <w:num w:numId="26">
    <w:abstractNumId w:val="10"/>
  </w:num>
  <w:num w:numId="27">
    <w:abstractNumId w:val="27"/>
  </w:num>
  <w:num w:numId="28">
    <w:abstractNumId w:val="29"/>
  </w:num>
  <w:num w:numId="29">
    <w:abstractNumId w:val="20"/>
  </w:num>
  <w:num w:numId="30">
    <w:abstractNumId w:val="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s_autosavelastposition1624745" w:val="27926"/>
  </w:docVars>
  <w:rsids>
    <w:rsidRoot w:val="008A1599"/>
    <w:rsid w:val="0000243A"/>
    <w:rsid w:val="00013F0B"/>
    <w:rsid w:val="000216EC"/>
    <w:rsid w:val="0004698A"/>
    <w:rsid w:val="00056CE4"/>
    <w:rsid w:val="000D2587"/>
    <w:rsid w:val="000F2D8E"/>
    <w:rsid w:val="0010288C"/>
    <w:rsid w:val="00110131"/>
    <w:rsid w:val="001155EA"/>
    <w:rsid w:val="00173765"/>
    <w:rsid w:val="001B3639"/>
    <w:rsid w:val="00267CBF"/>
    <w:rsid w:val="002731C0"/>
    <w:rsid w:val="002818AD"/>
    <w:rsid w:val="00296B7E"/>
    <w:rsid w:val="002C55FF"/>
    <w:rsid w:val="002D2B6E"/>
    <w:rsid w:val="002F45ED"/>
    <w:rsid w:val="00317D22"/>
    <w:rsid w:val="00394371"/>
    <w:rsid w:val="003E0AB4"/>
    <w:rsid w:val="00415BFF"/>
    <w:rsid w:val="0044023D"/>
    <w:rsid w:val="00443ABC"/>
    <w:rsid w:val="00456CF8"/>
    <w:rsid w:val="00467A89"/>
    <w:rsid w:val="004761A9"/>
    <w:rsid w:val="004C5DC8"/>
    <w:rsid w:val="004D3111"/>
    <w:rsid w:val="00506D2F"/>
    <w:rsid w:val="00512978"/>
    <w:rsid w:val="00512DD3"/>
    <w:rsid w:val="00516A0E"/>
    <w:rsid w:val="00530DFE"/>
    <w:rsid w:val="00557BF6"/>
    <w:rsid w:val="00566323"/>
    <w:rsid w:val="0057184D"/>
    <w:rsid w:val="00574471"/>
    <w:rsid w:val="005A5F8B"/>
    <w:rsid w:val="005D10D7"/>
    <w:rsid w:val="005E1782"/>
    <w:rsid w:val="00617A08"/>
    <w:rsid w:val="0064227D"/>
    <w:rsid w:val="006503E5"/>
    <w:rsid w:val="006708DD"/>
    <w:rsid w:val="006B0928"/>
    <w:rsid w:val="006D6040"/>
    <w:rsid w:val="006E0FAF"/>
    <w:rsid w:val="006E214A"/>
    <w:rsid w:val="00703446"/>
    <w:rsid w:val="0072570D"/>
    <w:rsid w:val="00753ADF"/>
    <w:rsid w:val="00757868"/>
    <w:rsid w:val="00770D5A"/>
    <w:rsid w:val="0077579C"/>
    <w:rsid w:val="007B784A"/>
    <w:rsid w:val="00834FC3"/>
    <w:rsid w:val="008435BD"/>
    <w:rsid w:val="00884A12"/>
    <w:rsid w:val="008941CA"/>
    <w:rsid w:val="008A1599"/>
    <w:rsid w:val="008C406A"/>
    <w:rsid w:val="008F669E"/>
    <w:rsid w:val="00916C31"/>
    <w:rsid w:val="00943F90"/>
    <w:rsid w:val="0097397D"/>
    <w:rsid w:val="0098698F"/>
    <w:rsid w:val="009B3DB2"/>
    <w:rsid w:val="009B5BF5"/>
    <w:rsid w:val="009E6766"/>
    <w:rsid w:val="00A13F59"/>
    <w:rsid w:val="00A3795C"/>
    <w:rsid w:val="00AB6C7D"/>
    <w:rsid w:val="00AC1A57"/>
    <w:rsid w:val="00B05250"/>
    <w:rsid w:val="00B16A10"/>
    <w:rsid w:val="00B2198A"/>
    <w:rsid w:val="00B35766"/>
    <w:rsid w:val="00B74B18"/>
    <w:rsid w:val="00B77A3E"/>
    <w:rsid w:val="00B80954"/>
    <w:rsid w:val="00BA0946"/>
    <w:rsid w:val="00BB5332"/>
    <w:rsid w:val="00C16D36"/>
    <w:rsid w:val="00C26DB3"/>
    <w:rsid w:val="00C34095"/>
    <w:rsid w:val="00C50A0A"/>
    <w:rsid w:val="00C52B66"/>
    <w:rsid w:val="00C627D0"/>
    <w:rsid w:val="00C94B8A"/>
    <w:rsid w:val="00CA3CA1"/>
    <w:rsid w:val="00D05CF0"/>
    <w:rsid w:val="00D7685D"/>
    <w:rsid w:val="00D855C2"/>
    <w:rsid w:val="00D94873"/>
    <w:rsid w:val="00DF277D"/>
    <w:rsid w:val="00DF2CA4"/>
    <w:rsid w:val="00E25965"/>
    <w:rsid w:val="00E27822"/>
    <w:rsid w:val="00E33941"/>
    <w:rsid w:val="00E43A0F"/>
    <w:rsid w:val="00E44F16"/>
    <w:rsid w:val="00E8133E"/>
    <w:rsid w:val="00E960D6"/>
    <w:rsid w:val="00EA02D2"/>
    <w:rsid w:val="00EC1447"/>
    <w:rsid w:val="00F0289A"/>
    <w:rsid w:val="00F16701"/>
    <w:rsid w:val="00F3507C"/>
    <w:rsid w:val="00F65ADF"/>
    <w:rsid w:val="00F81DF4"/>
    <w:rsid w:val="00FA38E8"/>
    <w:rsid w:val="00FB431C"/>
    <w:rsid w:val="00FB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E3A085"/>
  <w15:docId w15:val="{84DAFC15-338A-494E-85F2-03C5C21D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line="288" w:lineRule="auto"/>
      <w:ind w:left="567" w:hanging="567"/>
      <w:outlineLvl w:val="1"/>
    </w:pPr>
    <w:rPr>
      <w:u w:val="single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spacing w:line="288" w:lineRule="auto"/>
      <w:jc w:val="both"/>
      <w:outlineLvl w:val="2"/>
    </w:pPr>
    <w:rPr>
      <w:u w:val="single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tabs>
        <w:tab w:val="left" w:pos="0"/>
        <w:tab w:val="left" w:pos="915"/>
        <w:tab w:val="left" w:pos="1132"/>
        <w:tab w:val="left" w:pos="2551"/>
        <w:tab w:val="left" w:pos="3400"/>
        <w:tab w:val="left" w:pos="3968"/>
        <w:tab w:val="left" w:pos="4534"/>
        <w:tab w:val="left" w:pos="5668"/>
        <w:tab w:val="left" w:pos="6802"/>
        <w:tab w:val="left" w:pos="7936"/>
        <w:tab w:val="left" w:pos="9069"/>
      </w:tabs>
      <w:ind w:left="915"/>
      <w:outlineLvl w:val="3"/>
    </w:pPr>
    <w:rPr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ind w:left="851" w:firstLine="1"/>
      <w:jc w:val="both"/>
      <w:outlineLvl w:val="5"/>
    </w:pPr>
    <w:rPr>
      <w:b/>
      <w:bCs/>
      <w:i/>
      <w:iCs/>
      <w:color w:val="000000"/>
      <w:spacing w:val="-3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tabs>
        <w:tab w:val="left" w:pos="158"/>
        <w:tab w:val="left" w:pos="567"/>
      </w:tabs>
      <w:ind w:left="851"/>
      <w:outlineLvl w:val="6"/>
    </w:pPr>
    <w:rPr>
      <w:b/>
      <w:bCs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numPr>
        <w:ilvl w:val="7"/>
        <w:numId w:val="1"/>
      </w:numPr>
      <w:tabs>
        <w:tab w:val="clear" w:pos="705"/>
        <w:tab w:val="left" w:pos="709"/>
        <w:tab w:val="left" w:pos="1559"/>
      </w:tabs>
      <w:outlineLvl w:val="7"/>
    </w:pPr>
    <w:rPr>
      <w:b/>
      <w:b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8"/>
        <w:numId w:val="1"/>
      </w:numPr>
      <w:tabs>
        <w:tab w:val="left" w:pos="0"/>
      </w:tabs>
      <w:suppressAutoHyphens/>
      <w:ind w:left="1582" w:hanging="1582"/>
      <w:outlineLvl w:val="8"/>
    </w:pPr>
    <w:rPr>
      <w:b/>
      <w:bCs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Pr>
      <w:sz w:val="24"/>
      <w:szCs w:val="24"/>
      <w:u w:val="single"/>
      <w:lang w:val="sk-SK" w:eastAsia="sk-SK"/>
    </w:rPr>
  </w:style>
  <w:style w:type="character" w:customStyle="1" w:styleId="Nadpis3Char">
    <w:name w:val="Nadpis 3 Char"/>
    <w:link w:val="Nadpis3"/>
    <w:uiPriority w:val="99"/>
    <w:locked/>
    <w:rPr>
      <w:sz w:val="24"/>
      <w:szCs w:val="24"/>
      <w:u w:val="single"/>
      <w:lang w:val="sk-SK" w:eastAsia="sk-SK"/>
    </w:rPr>
  </w:style>
  <w:style w:type="character" w:customStyle="1" w:styleId="Nadpis4Char">
    <w:name w:val="Nadpis 4 Char"/>
    <w:link w:val="Nadpis4"/>
    <w:uiPriority w:val="99"/>
    <w:locked/>
    <w:rPr>
      <w:sz w:val="24"/>
      <w:szCs w:val="24"/>
      <w:u w:val="single"/>
      <w:lang w:val="sk-SK" w:eastAsia="sk-SK"/>
    </w:rPr>
  </w:style>
  <w:style w:type="character" w:customStyle="1" w:styleId="Nadpis5Char">
    <w:name w:val="Nadpis 5 Char"/>
    <w:link w:val="Nadpis5"/>
    <w:uiPriority w:val="99"/>
    <w:locked/>
    <w:rPr>
      <w:b/>
      <w:bCs/>
      <w:sz w:val="24"/>
      <w:szCs w:val="24"/>
      <w:lang w:val="sk-SK" w:eastAsia="sk-SK"/>
    </w:rPr>
  </w:style>
  <w:style w:type="character" w:customStyle="1" w:styleId="Nadpis6Char">
    <w:name w:val="Nadpis 6 Char"/>
    <w:link w:val="Nadpis6"/>
    <w:uiPriority w:val="99"/>
    <w:locked/>
    <w:rPr>
      <w:b/>
      <w:bCs/>
      <w:i/>
      <w:iCs/>
      <w:color w:val="000000"/>
      <w:spacing w:val="-3"/>
      <w:sz w:val="24"/>
      <w:szCs w:val="24"/>
      <w:lang w:val="sk-SK" w:eastAsia="sk-SK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hAnsi="Calibri" w:cs="Times New Roman"/>
      <w:sz w:val="24"/>
      <w:lang w:val="sk-SK" w:eastAsia="sk-SK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hAnsi="Calibri" w:cs="Times New Roman"/>
      <w:i/>
      <w:sz w:val="24"/>
      <w:lang w:val="sk-SK" w:eastAsia="sk-SK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hAnsi="Cambria" w:cs="Times New Roman"/>
      <w:lang w:val="sk-SK" w:eastAsia="sk-SK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uiPriority w:val="99"/>
    <w:locked/>
    <w:rPr>
      <w:sz w:val="24"/>
      <w:szCs w:val="24"/>
      <w:u w:val="single"/>
      <w:lang w:val="sk-SK"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sz w:val="24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pPr>
      <w:ind w:left="5670" w:hanging="5216"/>
    </w:pPr>
  </w:style>
  <w:style w:type="character" w:customStyle="1" w:styleId="PtaChar">
    <w:name w:val="Päta Char"/>
    <w:link w:val="Pta"/>
    <w:uiPriority w:val="99"/>
    <w:locked/>
    <w:rPr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pPr>
      <w:ind w:left="5670" w:hanging="5670"/>
    </w:pPr>
  </w:style>
  <w:style w:type="character" w:customStyle="1" w:styleId="ZarkazkladnhotextuChar">
    <w:name w:val="Zarážka základného textu Char"/>
    <w:link w:val="Zarkazkladnhotextu"/>
    <w:uiPriority w:val="99"/>
    <w:locked/>
    <w:rPr>
      <w:sz w:val="24"/>
      <w:szCs w:val="24"/>
      <w:lang w:val="sk-SK" w:eastAsia="sk-SK"/>
    </w:rPr>
  </w:style>
  <w:style w:type="paragraph" w:styleId="Zkladntext3">
    <w:name w:val="Body Text 3"/>
    <w:basedOn w:val="Normlny"/>
    <w:link w:val="Zkladntext3Char"/>
    <w:uiPriority w:val="99"/>
    <w:pPr>
      <w:spacing w:line="288" w:lineRule="auto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lang w:val="sk-SK" w:eastAsia="sk-SK"/>
    </w:rPr>
  </w:style>
  <w:style w:type="character" w:styleId="Odkaznakomentr">
    <w:name w:val="annotation reference"/>
    <w:uiPriority w:val="99"/>
    <w:semiHidden/>
    <w:rPr>
      <w:rFonts w:cs="Times New Roman"/>
      <w:sz w:val="16"/>
      <w:lang w:val="sk-SK" w:eastAsia="sk-SK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rPr>
      <w:color w:val="FF0000"/>
    </w:rPr>
  </w:style>
  <w:style w:type="paragraph" w:styleId="Nzov">
    <w:name w:val="Title"/>
    <w:basedOn w:val="Normlny"/>
    <w:link w:val="NzovChar"/>
    <w:uiPriority w:val="99"/>
    <w:qFormat/>
    <w:pPr>
      <w:ind w:left="850" w:hanging="850"/>
      <w:jc w:val="center"/>
    </w:pPr>
    <w:rPr>
      <w:b/>
      <w:bCs/>
      <w:spacing w:val="-3"/>
    </w:rPr>
  </w:style>
  <w:style w:type="character" w:customStyle="1" w:styleId="ZkladntextChar">
    <w:name w:val="Základný text Char"/>
    <w:link w:val="Zkladntext"/>
    <w:uiPriority w:val="99"/>
    <w:locked/>
    <w:rPr>
      <w:color w:val="FF0000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pPr>
      <w:ind w:left="284"/>
    </w:pPr>
    <w:rPr>
      <w:spacing w:val="-3"/>
    </w:rPr>
  </w:style>
  <w:style w:type="character" w:customStyle="1" w:styleId="NzovChar">
    <w:name w:val="Názov Char"/>
    <w:link w:val="Nzov"/>
    <w:uiPriority w:val="99"/>
    <w:locked/>
    <w:rPr>
      <w:b/>
      <w:bCs/>
      <w:spacing w:val="-3"/>
      <w:sz w:val="24"/>
      <w:szCs w:val="24"/>
      <w:lang w:val="sk-SK" w:eastAsia="sk-SK"/>
    </w:rPr>
  </w:style>
  <w:style w:type="character" w:styleId="slostrany">
    <w:name w:val="page number"/>
    <w:uiPriority w:val="99"/>
    <w:rPr>
      <w:rFonts w:cs="Times New Roman"/>
      <w:lang w:val="sk-SK" w:eastAsia="sk-SK"/>
    </w:rPr>
  </w:style>
  <w:style w:type="character" w:customStyle="1" w:styleId="Zarkazkladnhotextu3Char">
    <w:name w:val="Zarážka základného textu 3 Char"/>
    <w:link w:val="Zarkazkladnhotextu3"/>
    <w:uiPriority w:val="99"/>
    <w:locked/>
    <w:rPr>
      <w:spacing w:val="-3"/>
      <w:sz w:val="24"/>
      <w:szCs w:val="24"/>
      <w:lang w:val="sk-SK" w:eastAsia="sk-SK"/>
    </w:rPr>
  </w:style>
  <w:style w:type="paragraph" w:customStyle="1" w:styleId="Syreaspc">
    <w:name w:val="Syrea spc"/>
    <w:basedOn w:val="Normlny"/>
    <w:uiPriority w:val="99"/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locked/>
    <w:rPr>
      <w:lang w:val="sk-SK" w:eastAsia="sk-SK"/>
    </w:rPr>
  </w:style>
  <w:style w:type="paragraph" w:customStyle="1" w:styleId="berarbeitung1">
    <w:name w:val="Überarbeitung1"/>
    <w:hidden/>
    <w:uiPriority w:val="99"/>
    <w:semiHidden/>
    <w:rPr>
      <w:sz w:val="24"/>
      <w:szCs w:val="24"/>
      <w:lang w:val="sk-SK" w:eastAsia="sk-SK"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b/>
      <w:bCs/>
      <w:lang w:val="sk-SK" w:eastAsia="sk-SK"/>
    </w:rPr>
  </w:style>
  <w:style w:type="paragraph" w:customStyle="1" w:styleId="NormalInterligneAumoins12pt">
    <w:name w:val="Normal + Interligne : Au moins 12 pt"/>
    <w:basedOn w:val="Normlny"/>
    <w:pPr>
      <w:tabs>
        <w:tab w:val="left" w:pos="567"/>
      </w:tabs>
      <w:spacing w:line="260" w:lineRule="exact"/>
    </w:pPr>
    <w:rPr>
      <w:noProof/>
      <w:sz w:val="22"/>
      <w:szCs w:val="20"/>
    </w:rPr>
  </w:style>
  <w:style w:type="character" w:styleId="Hypertextovprepojenie">
    <w:name w:val="Hyperlink"/>
    <w:uiPriority w:val="99"/>
    <w:rPr>
      <w:rFonts w:cs="Times New Roman"/>
      <w:color w:val="0000FF"/>
      <w:u w:val="single"/>
      <w:lang w:val="sk-SK" w:eastAsia="sk-SK"/>
    </w:rPr>
  </w:style>
  <w:style w:type="character" w:customStyle="1" w:styleId="ZchnZchn13">
    <w:name w:val="Zchn Zchn13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ZchnZchn12">
    <w:name w:val="Zchn Zchn1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ZchnZchn11">
    <w:name w:val="Zchn Zchn11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cs-CZ"/>
    </w:rPr>
  </w:style>
  <w:style w:type="character" w:customStyle="1" w:styleId="ZchnZchn10">
    <w:name w:val="Zchn Zchn10"/>
    <w:uiPriority w:val="99"/>
    <w:semiHidden/>
    <w:locked/>
    <w:rPr>
      <w:rFonts w:ascii="Calibri" w:hAnsi="Calibri" w:cs="Times New Roman"/>
      <w:b/>
      <w:bCs/>
      <w:sz w:val="28"/>
      <w:szCs w:val="28"/>
      <w:lang w:val="x-none" w:eastAsia="cs-CZ"/>
    </w:rPr>
  </w:style>
  <w:style w:type="character" w:customStyle="1" w:styleId="ZchnZchn9">
    <w:name w:val="Zchn Zchn9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ZchnZchn8">
    <w:name w:val="Zchn Zchn8"/>
    <w:uiPriority w:val="99"/>
    <w:semiHidden/>
    <w:locked/>
    <w:rPr>
      <w:rFonts w:ascii="Calibri" w:hAnsi="Calibri" w:cs="Times New Roman"/>
      <w:b/>
      <w:bCs/>
      <w:lang w:val="x-none" w:eastAsia="cs-CZ"/>
    </w:rPr>
  </w:style>
  <w:style w:type="character" w:customStyle="1" w:styleId="ZchnZchn7">
    <w:name w:val="Zchn Zchn7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cs-CZ"/>
    </w:rPr>
  </w:style>
  <w:style w:type="character" w:customStyle="1" w:styleId="ZchnZchn6">
    <w:name w:val="Zchn Zchn6"/>
    <w:uiPriority w:val="99"/>
    <w:semiHidden/>
    <w:locked/>
    <w:rPr>
      <w:rFonts w:cs="Times New Roman"/>
      <w:sz w:val="24"/>
      <w:szCs w:val="24"/>
      <w:lang w:val="x-none" w:eastAsia="cs-CZ"/>
    </w:rPr>
  </w:style>
  <w:style w:type="character" w:customStyle="1" w:styleId="ZchnZchn5">
    <w:name w:val="Zchn Zchn5"/>
    <w:uiPriority w:val="99"/>
    <w:semiHidden/>
    <w:locked/>
    <w:rPr>
      <w:rFonts w:cs="Times New Roman"/>
      <w:sz w:val="24"/>
      <w:szCs w:val="24"/>
      <w:lang w:val="x-none" w:eastAsia="cs-CZ"/>
    </w:rPr>
  </w:style>
  <w:style w:type="character" w:customStyle="1" w:styleId="ZchnZchn4">
    <w:name w:val="Zchn Zchn4"/>
    <w:uiPriority w:val="99"/>
    <w:semiHidden/>
    <w:locked/>
    <w:rPr>
      <w:rFonts w:cs="Times New Roman"/>
      <w:sz w:val="16"/>
      <w:szCs w:val="16"/>
      <w:lang w:val="x-none" w:eastAsia="cs-CZ"/>
    </w:rPr>
  </w:style>
  <w:style w:type="character" w:customStyle="1" w:styleId="ZchnZchn3">
    <w:name w:val="Zchn Zchn3"/>
    <w:uiPriority w:val="99"/>
    <w:semiHidden/>
    <w:locked/>
    <w:rPr>
      <w:rFonts w:cs="Times New Roman"/>
      <w:sz w:val="24"/>
      <w:szCs w:val="24"/>
      <w:lang w:val="x-none" w:eastAsia="cs-CZ"/>
    </w:rPr>
  </w:style>
  <w:style w:type="character" w:customStyle="1" w:styleId="ZchnZchn2">
    <w:name w:val="Zchn Zchn2"/>
    <w:uiPriority w:val="99"/>
    <w:semiHidden/>
    <w:locked/>
    <w:rPr>
      <w:rFonts w:cs="Times New Roman"/>
      <w:sz w:val="24"/>
      <w:szCs w:val="24"/>
      <w:lang w:val="x-none" w:eastAsia="cs-CZ"/>
    </w:rPr>
  </w:style>
  <w:style w:type="character" w:customStyle="1" w:styleId="ZchnZchn1">
    <w:name w:val="Zchn Zchn1"/>
    <w:uiPriority w:val="99"/>
    <w:semiHidden/>
    <w:locked/>
    <w:rPr>
      <w:rFonts w:cs="Times New Roman"/>
      <w:sz w:val="24"/>
      <w:szCs w:val="24"/>
      <w:lang w:val="x-none" w:eastAsia="cs-CZ"/>
    </w:rPr>
  </w:style>
  <w:style w:type="character" w:customStyle="1" w:styleId="ZchnZchn">
    <w:name w:val="Zchn Zchn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paragraph" w:customStyle="1" w:styleId="berarbeitung2">
    <w:name w:val="Überarbeitung2"/>
    <w:hidden/>
    <w:uiPriority w:val="99"/>
    <w:semiHidden/>
    <w:rsid w:val="002F45ED"/>
    <w:rPr>
      <w:sz w:val="24"/>
      <w:szCs w:val="24"/>
      <w:lang w:val="sk-SK" w:eastAsia="sk-SK"/>
    </w:rPr>
  </w:style>
  <w:style w:type="paragraph" w:styleId="Revzia">
    <w:name w:val="Revision"/>
    <w:hidden/>
    <w:uiPriority w:val="99"/>
    <w:semiHidden/>
    <w:rsid w:val="00F0289A"/>
    <w:rPr>
      <w:sz w:val="24"/>
      <w:szCs w:val="24"/>
      <w:lang w:val="sk-SK" w:eastAsia="sk-SK"/>
    </w:rPr>
  </w:style>
  <w:style w:type="character" w:customStyle="1" w:styleId="tw4winError">
    <w:name w:val="tw4winError"/>
    <w:uiPriority w:val="99"/>
    <w:rsid w:val="00753ADF"/>
    <w:rPr>
      <w:rFonts w:ascii="Courier New" w:hAnsi="Courier New"/>
      <w:color w:val="00FF00"/>
      <w:sz w:val="4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00243A"/>
    <w:pPr>
      <w:spacing w:before="100" w:beforeAutospacing="1" w:after="100" w:afterAutospacing="1"/>
    </w:pPr>
    <w:rPr>
      <w:lang w:val="de-DE" w:eastAsia="de-DE"/>
    </w:rPr>
  </w:style>
  <w:style w:type="paragraph" w:styleId="Odsekzoznamu">
    <w:name w:val="List Paragraph"/>
    <w:basedOn w:val="Normlny"/>
    <w:uiPriority w:val="34"/>
    <w:qFormat/>
    <w:rsid w:val="00317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4159</Words>
  <Characters>23707</Characters>
  <Application>Microsoft Office Word</Application>
  <DocSecurity>0</DocSecurity>
  <Lines>197</Lines>
  <Paragraphs>55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Outer packaging</vt:lpstr>
      <vt:lpstr>Outer packaging</vt:lpstr>
      <vt:lpstr>Outer packaging</vt:lpstr>
    </vt:vector>
  </TitlesOfParts>
  <Company>Meddoc ApS</Company>
  <LinksUpToDate>false</LinksUpToDate>
  <CharactersWithSpaces>27811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packaging</dc:title>
  <dc:subject/>
  <dc:creator>Jørn Schiøtz</dc:creator>
  <cp:keywords/>
  <dc:description/>
  <cp:lastModifiedBy>Bolebruchová Monika</cp:lastModifiedBy>
  <cp:revision>4</cp:revision>
  <cp:lastPrinted>2020-04-09T07:28:00Z</cp:lastPrinted>
  <dcterms:created xsi:type="dcterms:W3CDTF">2020-04-09T07:29:00Z</dcterms:created>
  <dcterms:modified xsi:type="dcterms:W3CDTF">2020-04-09T07:43:00Z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8/22/2017 10:59:24 AM</vt:lpwstr>
  </property>
  <property fmtid="{D5CDD505-2E9C-101B-9397-08002B2CF9AE}" pid="3" name="OS_LastOpenUser">
    <vt:lpwstr>SPRINGJ</vt:lpwstr>
  </property>
  <property fmtid="{D5CDD505-2E9C-101B-9397-08002B2CF9AE}" pid="4" name="OS_LastSave">
    <vt:lpwstr>8/21/2017 12:55:18 PM</vt:lpwstr>
  </property>
  <property fmtid="{D5CDD505-2E9C-101B-9397-08002B2CF9AE}" pid="5" name="OS_LastSaveUser">
    <vt:lpwstr>NEUMANNS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