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1F415" w14:textId="77777777" w:rsidR="009E3661" w:rsidRPr="00456BFF" w:rsidRDefault="009E3661" w:rsidP="009E3661">
      <w:pPr>
        <w:suppressAutoHyphens/>
        <w:spacing w:line="240" w:lineRule="auto"/>
        <w:ind w:left="567" w:hanging="567"/>
        <w:rPr>
          <w:b/>
          <w:bCs/>
          <w:szCs w:val="22"/>
          <w:lang w:val="sk-SK"/>
        </w:rPr>
      </w:pPr>
    </w:p>
    <w:p w14:paraId="722D978D" w14:textId="30C20680" w:rsidR="009E3661" w:rsidRPr="00456BFF" w:rsidRDefault="005E79D1" w:rsidP="009E3661">
      <w:pPr>
        <w:suppressAutoHyphens/>
        <w:spacing w:line="240" w:lineRule="auto"/>
        <w:ind w:left="567" w:hanging="567"/>
        <w:rPr>
          <w:b/>
          <w:bCs/>
          <w:szCs w:val="22"/>
          <w:lang w:val="sk-SK"/>
        </w:rPr>
      </w:pPr>
      <w:r w:rsidRPr="00456BFF">
        <w:rPr>
          <w:b/>
          <w:bCs/>
          <w:szCs w:val="22"/>
          <w:lang w:val="sk-SK"/>
        </w:rPr>
        <w:t>SÚHRN CHARAKTERISTICKÝCH VLASTNOSTÍ LIEKU</w:t>
      </w:r>
    </w:p>
    <w:p w14:paraId="5A1BF8D4" w14:textId="77777777" w:rsidR="009E3661" w:rsidRPr="00456BFF" w:rsidRDefault="009E3661" w:rsidP="009E3661">
      <w:pPr>
        <w:spacing w:line="240" w:lineRule="auto"/>
        <w:rPr>
          <w:szCs w:val="22"/>
          <w:lang w:val="sk-SK"/>
        </w:rPr>
      </w:pPr>
    </w:p>
    <w:p w14:paraId="7E25B98C" w14:textId="77777777" w:rsidR="009E3661" w:rsidRPr="00456BFF" w:rsidRDefault="009E3661" w:rsidP="009E3661">
      <w:pPr>
        <w:suppressAutoHyphens/>
        <w:spacing w:line="240" w:lineRule="auto"/>
        <w:ind w:left="567" w:hanging="567"/>
        <w:rPr>
          <w:noProof/>
          <w:szCs w:val="22"/>
          <w:lang w:val="sk-SK"/>
        </w:rPr>
      </w:pPr>
      <w:r w:rsidRPr="00456BFF">
        <w:rPr>
          <w:b/>
          <w:noProof/>
          <w:szCs w:val="22"/>
          <w:lang w:val="sk-SK"/>
        </w:rPr>
        <w:t>1.</w:t>
      </w:r>
      <w:r w:rsidRPr="00456BFF">
        <w:rPr>
          <w:b/>
          <w:noProof/>
          <w:szCs w:val="22"/>
          <w:lang w:val="sk-SK"/>
        </w:rPr>
        <w:tab/>
      </w:r>
      <w:r w:rsidRPr="00456BFF">
        <w:rPr>
          <w:b/>
          <w:lang w:val="sk-SK"/>
        </w:rPr>
        <w:t>NÁZOV LIEKU</w:t>
      </w:r>
    </w:p>
    <w:p w14:paraId="084C3C94" w14:textId="77777777" w:rsidR="009E3661" w:rsidRPr="00456BFF" w:rsidRDefault="009E3661" w:rsidP="009E3661">
      <w:pPr>
        <w:spacing w:line="240" w:lineRule="auto"/>
        <w:rPr>
          <w:iCs/>
          <w:noProof/>
          <w:szCs w:val="22"/>
          <w:lang w:val="sk-SK"/>
        </w:rPr>
      </w:pPr>
    </w:p>
    <w:p w14:paraId="6FBCB209" w14:textId="58CC9FF7" w:rsidR="009E3661" w:rsidRPr="00456BFF" w:rsidRDefault="009E3661" w:rsidP="009E3661">
      <w:pPr>
        <w:spacing w:line="240" w:lineRule="auto"/>
        <w:rPr>
          <w:iCs/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Levothyroxine Accord 12,5</w:t>
      </w:r>
      <w:r w:rsidRPr="00456BFF">
        <w:rPr>
          <w:lang w:val="sk-SK"/>
        </w:rPr>
        <w:t xml:space="preserve"> </w:t>
      </w:r>
      <w:r w:rsidR="008F5665">
        <w:rPr>
          <w:szCs w:val="22"/>
          <w:lang w:val="sk-SK"/>
        </w:rPr>
        <w:t xml:space="preserve">mikrogramov </w:t>
      </w:r>
      <w:r w:rsidRPr="00456BFF">
        <w:rPr>
          <w:noProof/>
          <w:szCs w:val="22"/>
          <w:lang w:val="sk-SK"/>
        </w:rPr>
        <w:t>tablety</w:t>
      </w:r>
    </w:p>
    <w:p w14:paraId="3506ECEB" w14:textId="3D21B793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 xml:space="preserve">Levothyroxine Accord 25 </w:t>
      </w:r>
      <w:r w:rsidR="008F5665">
        <w:rPr>
          <w:szCs w:val="22"/>
          <w:lang w:val="sk-SK"/>
        </w:rPr>
        <w:t xml:space="preserve">mikrogramov </w:t>
      </w:r>
      <w:r w:rsidRPr="00456BFF">
        <w:rPr>
          <w:noProof/>
          <w:szCs w:val="22"/>
          <w:lang w:val="sk-SK"/>
        </w:rPr>
        <w:t>tablety</w:t>
      </w:r>
    </w:p>
    <w:p w14:paraId="65BBD1B4" w14:textId="518C4B02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Levothyroxine Accord 50</w:t>
      </w:r>
      <w:r w:rsidRPr="00456BFF">
        <w:rPr>
          <w:lang w:val="sk-SK"/>
        </w:rPr>
        <w:t xml:space="preserve"> </w:t>
      </w:r>
      <w:r w:rsidR="008F5665">
        <w:rPr>
          <w:szCs w:val="22"/>
          <w:lang w:val="sk-SK"/>
        </w:rPr>
        <w:t xml:space="preserve">mikrogramov </w:t>
      </w:r>
      <w:r w:rsidRPr="00456BFF">
        <w:rPr>
          <w:noProof/>
          <w:szCs w:val="22"/>
          <w:lang w:val="sk-SK"/>
        </w:rPr>
        <w:t>tablety</w:t>
      </w:r>
    </w:p>
    <w:p w14:paraId="7168DA87" w14:textId="0E2665F2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Levothyroxine Accord 75</w:t>
      </w:r>
      <w:r w:rsidRPr="00456BFF">
        <w:rPr>
          <w:lang w:val="sk-SK"/>
        </w:rPr>
        <w:t xml:space="preserve"> </w:t>
      </w:r>
      <w:r w:rsidR="008F5665">
        <w:rPr>
          <w:szCs w:val="22"/>
          <w:lang w:val="sk-SK"/>
        </w:rPr>
        <w:t xml:space="preserve">mikrogramov </w:t>
      </w:r>
      <w:r w:rsidRPr="00456BFF">
        <w:rPr>
          <w:noProof/>
          <w:szCs w:val="22"/>
          <w:lang w:val="sk-SK"/>
        </w:rPr>
        <w:t>tablety</w:t>
      </w:r>
    </w:p>
    <w:p w14:paraId="5E945BB6" w14:textId="72219CB3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Levothyroxine Accord 88</w:t>
      </w:r>
      <w:r w:rsidRPr="00456BFF">
        <w:rPr>
          <w:lang w:val="sk-SK"/>
        </w:rPr>
        <w:t xml:space="preserve"> </w:t>
      </w:r>
      <w:r w:rsidR="008F5665">
        <w:rPr>
          <w:szCs w:val="22"/>
          <w:lang w:val="sk-SK"/>
        </w:rPr>
        <w:t xml:space="preserve">mikrogramov </w:t>
      </w:r>
      <w:r w:rsidRPr="00456BFF">
        <w:rPr>
          <w:noProof/>
          <w:szCs w:val="22"/>
          <w:lang w:val="sk-SK"/>
        </w:rPr>
        <w:t>tablety</w:t>
      </w:r>
    </w:p>
    <w:p w14:paraId="7C8F39E4" w14:textId="0E856A2E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Levothyroxine Accord 100</w:t>
      </w:r>
      <w:r w:rsidRPr="00456BFF">
        <w:rPr>
          <w:lang w:val="sk-SK"/>
        </w:rPr>
        <w:t xml:space="preserve"> </w:t>
      </w:r>
      <w:r w:rsidR="008F5665">
        <w:rPr>
          <w:szCs w:val="22"/>
          <w:lang w:val="sk-SK"/>
        </w:rPr>
        <w:t xml:space="preserve">mikrogramov </w:t>
      </w:r>
      <w:r w:rsidRPr="00456BFF">
        <w:rPr>
          <w:noProof/>
          <w:szCs w:val="22"/>
          <w:lang w:val="sk-SK"/>
        </w:rPr>
        <w:t>tablety</w:t>
      </w:r>
    </w:p>
    <w:p w14:paraId="1DACEBCC" w14:textId="2F471099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Levothyroxine Accord 112</w:t>
      </w:r>
      <w:r w:rsidRPr="00456BFF">
        <w:rPr>
          <w:lang w:val="sk-SK"/>
        </w:rPr>
        <w:t xml:space="preserve"> </w:t>
      </w:r>
      <w:r w:rsidR="008F5665">
        <w:rPr>
          <w:szCs w:val="22"/>
          <w:lang w:val="sk-SK"/>
        </w:rPr>
        <w:t xml:space="preserve">mikrogramov </w:t>
      </w:r>
      <w:r w:rsidRPr="00456BFF">
        <w:rPr>
          <w:noProof/>
          <w:szCs w:val="22"/>
          <w:lang w:val="sk-SK"/>
        </w:rPr>
        <w:t>tablety</w:t>
      </w:r>
    </w:p>
    <w:p w14:paraId="0DDEB047" w14:textId="545485AA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Levothyroxine Accord 125</w:t>
      </w:r>
      <w:r w:rsidRPr="00456BFF">
        <w:rPr>
          <w:lang w:val="sk-SK"/>
        </w:rPr>
        <w:t xml:space="preserve"> </w:t>
      </w:r>
      <w:r w:rsidR="008F5665">
        <w:rPr>
          <w:szCs w:val="22"/>
          <w:lang w:val="sk-SK"/>
        </w:rPr>
        <w:t xml:space="preserve">mikrogramov </w:t>
      </w:r>
      <w:r w:rsidRPr="00456BFF">
        <w:rPr>
          <w:noProof/>
          <w:szCs w:val="22"/>
          <w:lang w:val="sk-SK"/>
        </w:rPr>
        <w:t>tablety</w:t>
      </w:r>
    </w:p>
    <w:p w14:paraId="331D4BFE" w14:textId="49989A8E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Levothyroxine Accord 137</w:t>
      </w:r>
      <w:r w:rsidRPr="00456BFF">
        <w:rPr>
          <w:lang w:val="sk-SK"/>
        </w:rPr>
        <w:t xml:space="preserve"> </w:t>
      </w:r>
      <w:r w:rsidR="008F5665">
        <w:rPr>
          <w:szCs w:val="22"/>
          <w:lang w:val="sk-SK"/>
        </w:rPr>
        <w:t xml:space="preserve">mikrogramov </w:t>
      </w:r>
      <w:r w:rsidRPr="00456BFF">
        <w:rPr>
          <w:noProof/>
          <w:szCs w:val="22"/>
          <w:lang w:val="sk-SK"/>
        </w:rPr>
        <w:t>tablety</w:t>
      </w:r>
    </w:p>
    <w:p w14:paraId="05F90B98" w14:textId="7E6E2494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Levothyroxine Accord 150</w:t>
      </w:r>
      <w:r w:rsidRPr="00456BFF">
        <w:rPr>
          <w:lang w:val="sk-SK"/>
        </w:rPr>
        <w:t xml:space="preserve"> </w:t>
      </w:r>
      <w:r w:rsidR="008F5665">
        <w:rPr>
          <w:szCs w:val="22"/>
          <w:lang w:val="sk-SK"/>
        </w:rPr>
        <w:t xml:space="preserve">mikrogramov </w:t>
      </w:r>
      <w:r w:rsidRPr="00456BFF">
        <w:rPr>
          <w:noProof/>
          <w:szCs w:val="22"/>
          <w:lang w:val="sk-SK"/>
        </w:rPr>
        <w:t>tablety</w:t>
      </w:r>
    </w:p>
    <w:p w14:paraId="3E3E8229" w14:textId="627E50A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Levothyroxine Accord 175</w:t>
      </w:r>
      <w:r w:rsidRPr="00456BFF">
        <w:rPr>
          <w:lang w:val="sk-SK"/>
        </w:rPr>
        <w:t xml:space="preserve"> </w:t>
      </w:r>
      <w:r w:rsidR="008F5665">
        <w:rPr>
          <w:szCs w:val="22"/>
          <w:lang w:val="sk-SK"/>
        </w:rPr>
        <w:t xml:space="preserve">mikrogramov </w:t>
      </w:r>
      <w:r w:rsidRPr="00456BFF">
        <w:rPr>
          <w:noProof/>
          <w:szCs w:val="22"/>
          <w:lang w:val="sk-SK"/>
        </w:rPr>
        <w:t>tablety</w:t>
      </w:r>
    </w:p>
    <w:p w14:paraId="7F1444B8" w14:textId="22E8FF7F" w:rsidR="009E3661" w:rsidRPr="00456BFF" w:rsidRDefault="009E3661" w:rsidP="009E3661">
      <w:pPr>
        <w:spacing w:line="240" w:lineRule="auto"/>
        <w:rPr>
          <w:iCs/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Levothyroxine Accord 200</w:t>
      </w:r>
      <w:r w:rsidRPr="00456BFF">
        <w:rPr>
          <w:lang w:val="sk-SK"/>
        </w:rPr>
        <w:t xml:space="preserve"> </w:t>
      </w:r>
      <w:r w:rsidR="008F5665">
        <w:rPr>
          <w:szCs w:val="22"/>
          <w:lang w:val="sk-SK"/>
        </w:rPr>
        <w:t xml:space="preserve">mikrogramov </w:t>
      </w:r>
      <w:r w:rsidRPr="00456BFF">
        <w:rPr>
          <w:noProof/>
          <w:szCs w:val="22"/>
          <w:lang w:val="sk-SK"/>
        </w:rPr>
        <w:t>tablety</w:t>
      </w:r>
    </w:p>
    <w:p w14:paraId="479D4147" w14:textId="77777777" w:rsidR="009E3661" w:rsidRPr="00456BFF" w:rsidRDefault="009E3661" w:rsidP="009E3661">
      <w:pPr>
        <w:spacing w:line="240" w:lineRule="auto"/>
        <w:rPr>
          <w:iCs/>
          <w:noProof/>
          <w:szCs w:val="22"/>
          <w:lang w:val="sk-SK"/>
        </w:rPr>
      </w:pPr>
    </w:p>
    <w:p w14:paraId="76DE1323" w14:textId="77777777" w:rsidR="009E3661" w:rsidRPr="00456BFF" w:rsidRDefault="009E3661" w:rsidP="009E3661">
      <w:pPr>
        <w:spacing w:line="240" w:lineRule="auto"/>
        <w:rPr>
          <w:iCs/>
          <w:noProof/>
          <w:szCs w:val="22"/>
          <w:lang w:val="sk-SK"/>
        </w:rPr>
      </w:pPr>
    </w:p>
    <w:p w14:paraId="40911775" w14:textId="77777777" w:rsidR="009E3661" w:rsidRPr="00456BFF" w:rsidRDefault="009E3661" w:rsidP="009E3661">
      <w:pPr>
        <w:suppressAutoHyphens/>
        <w:spacing w:line="240" w:lineRule="auto"/>
        <w:ind w:left="567" w:hanging="567"/>
        <w:rPr>
          <w:noProof/>
          <w:szCs w:val="22"/>
          <w:lang w:val="sk-SK"/>
        </w:rPr>
      </w:pPr>
      <w:r w:rsidRPr="00456BFF">
        <w:rPr>
          <w:b/>
          <w:noProof/>
          <w:szCs w:val="22"/>
          <w:lang w:val="sk-SK"/>
        </w:rPr>
        <w:t>2.</w:t>
      </w:r>
      <w:r w:rsidRPr="00456BFF">
        <w:rPr>
          <w:b/>
          <w:noProof/>
          <w:szCs w:val="22"/>
          <w:lang w:val="sk-SK"/>
        </w:rPr>
        <w:tab/>
      </w:r>
      <w:r w:rsidRPr="00456BFF">
        <w:rPr>
          <w:b/>
          <w:lang w:val="sk-SK"/>
        </w:rPr>
        <w:t>KVALITATÍVNE A</w:t>
      </w:r>
      <w:r w:rsidRPr="00456BFF">
        <w:rPr>
          <w:b/>
          <w:noProof/>
          <w:lang w:val="sk-SK"/>
        </w:rPr>
        <w:t> </w:t>
      </w:r>
      <w:r w:rsidRPr="00456BFF">
        <w:rPr>
          <w:b/>
          <w:lang w:val="sk-SK"/>
        </w:rPr>
        <w:t>KVANTITATÍVNE ZLOŽENIE</w:t>
      </w:r>
    </w:p>
    <w:p w14:paraId="193DB328" w14:textId="77777777" w:rsidR="009E3661" w:rsidRPr="00456BFF" w:rsidRDefault="009E3661" w:rsidP="009E3661">
      <w:pPr>
        <w:spacing w:line="240" w:lineRule="auto"/>
        <w:rPr>
          <w:iCs/>
          <w:noProof/>
          <w:szCs w:val="22"/>
          <w:lang w:val="sk-SK"/>
        </w:rPr>
      </w:pPr>
    </w:p>
    <w:p w14:paraId="6F0EBC3A" w14:textId="5A4A1713" w:rsidR="009E3661" w:rsidRPr="00456BFF" w:rsidRDefault="009E3661" w:rsidP="009E3661">
      <w:pPr>
        <w:spacing w:line="240" w:lineRule="auto"/>
        <w:outlineLvl w:val="0"/>
        <w:rPr>
          <w:szCs w:val="22"/>
          <w:lang w:val="sk-SK"/>
        </w:rPr>
      </w:pPr>
      <w:bookmarkStart w:id="0" w:name="_Hlk29828188"/>
      <w:r w:rsidRPr="00456BFF">
        <w:rPr>
          <w:szCs w:val="22"/>
          <w:lang w:val="sk-SK"/>
        </w:rPr>
        <w:t>Jedna 12,5</w:t>
      </w:r>
      <w:r w:rsidR="008F5665">
        <w:rPr>
          <w:szCs w:val="22"/>
          <w:lang w:val="sk-SK"/>
        </w:rPr>
        <w:t xml:space="preserve"> mikrogramov</w:t>
      </w:r>
      <w:r w:rsidRPr="00456BFF">
        <w:rPr>
          <w:szCs w:val="22"/>
          <w:lang w:val="sk-SK"/>
        </w:rPr>
        <w:t xml:space="preserve"> tableta obsahuje 12,5 mikrogramov </w:t>
      </w:r>
      <w:r w:rsidRPr="005D49C8">
        <w:rPr>
          <w:szCs w:val="22"/>
          <w:lang w:val="sk-SK"/>
        </w:rPr>
        <w:t>sodnej soli levotyroxínu</w:t>
      </w:r>
      <w:bookmarkEnd w:id="0"/>
      <w:r w:rsidRPr="00456BFF">
        <w:rPr>
          <w:szCs w:val="22"/>
          <w:lang w:val="sk-SK"/>
        </w:rPr>
        <w:t xml:space="preserve">. </w:t>
      </w:r>
    </w:p>
    <w:p w14:paraId="2357EDD7" w14:textId="3576B33C" w:rsidR="009E3661" w:rsidRPr="00456BFF" w:rsidRDefault="009E3661" w:rsidP="009E3661">
      <w:pPr>
        <w:spacing w:line="240" w:lineRule="auto"/>
        <w:outlineLvl w:val="0"/>
        <w:rPr>
          <w:szCs w:val="22"/>
          <w:lang w:val="sk-SK"/>
        </w:rPr>
      </w:pPr>
      <w:r w:rsidRPr="00456BFF">
        <w:rPr>
          <w:szCs w:val="22"/>
          <w:lang w:val="sk-SK"/>
        </w:rPr>
        <w:t>Jedna 25</w:t>
      </w:r>
      <w:r w:rsidR="008F5665">
        <w:rPr>
          <w:szCs w:val="22"/>
          <w:lang w:val="sk-SK"/>
        </w:rPr>
        <w:t xml:space="preserve"> mikrogramov</w:t>
      </w:r>
      <w:r w:rsidRPr="00456BFF">
        <w:rPr>
          <w:szCs w:val="22"/>
          <w:lang w:val="sk-SK"/>
        </w:rPr>
        <w:t xml:space="preserve"> tableta obsahuje 25 mikrogramov sodnej soli levotyroxínu. </w:t>
      </w:r>
    </w:p>
    <w:p w14:paraId="7F4C12D0" w14:textId="5974A398" w:rsidR="009E3661" w:rsidRPr="00456BFF" w:rsidRDefault="009E3661" w:rsidP="009E3661">
      <w:pPr>
        <w:spacing w:line="240" w:lineRule="auto"/>
        <w:outlineLvl w:val="0"/>
        <w:rPr>
          <w:szCs w:val="22"/>
          <w:lang w:val="sk-SK"/>
        </w:rPr>
      </w:pPr>
      <w:r w:rsidRPr="00456BFF">
        <w:rPr>
          <w:szCs w:val="22"/>
          <w:lang w:val="sk-SK"/>
        </w:rPr>
        <w:t>Jedna 50</w:t>
      </w:r>
      <w:r w:rsidR="008F5665">
        <w:rPr>
          <w:szCs w:val="22"/>
          <w:lang w:val="sk-SK"/>
        </w:rPr>
        <w:t xml:space="preserve"> mikrogramov</w:t>
      </w:r>
      <w:r w:rsidRPr="00456BFF">
        <w:rPr>
          <w:szCs w:val="22"/>
          <w:lang w:val="sk-SK"/>
        </w:rPr>
        <w:t xml:space="preserve"> tableta obsahuje 50 mikrogramov sodnej soli levotyroxínu.</w:t>
      </w:r>
    </w:p>
    <w:p w14:paraId="247AC13B" w14:textId="36530ED0" w:rsidR="009E3661" w:rsidRPr="00456BFF" w:rsidRDefault="009E3661" w:rsidP="009E3661">
      <w:pPr>
        <w:spacing w:line="240" w:lineRule="auto"/>
        <w:outlineLvl w:val="0"/>
        <w:rPr>
          <w:szCs w:val="22"/>
          <w:lang w:val="sk-SK"/>
        </w:rPr>
      </w:pPr>
      <w:r w:rsidRPr="00456BFF">
        <w:rPr>
          <w:szCs w:val="22"/>
          <w:lang w:val="sk-SK"/>
        </w:rPr>
        <w:t>Jedna 75</w:t>
      </w:r>
      <w:r w:rsidR="008F5665">
        <w:rPr>
          <w:szCs w:val="22"/>
          <w:lang w:val="sk-SK"/>
        </w:rPr>
        <w:t xml:space="preserve"> mikrogramov</w:t>
      </w:r>
      <w:r w:rsidRPr="00456BFF">
        <w:rPr>
          <w:szCs w:val="22"/>
          <w:lang w:val="sk-SK"/>
        </w:rPr>
        <w:t xml:space="preserve"> tableta obsahuje 75 mikrogramov sodnej soli levotyroxínu. </w:t>
      </w:r>
    </w:p>
    <w:p w14:paraId="1453BE17" w14:textId="6BC062F8" w:rsidR="009E3661" w:rsidRPr="00456BFF" w:rsidRDefault="009E3661" w:rsidP="009E3661">
      <w:pPr>
        <w:spacing w:line="240" w:lineRule="auto"/>
        <w:outlineLvl w:val="0"/>
        <w:rPr>
          <w:szCs w:val="22"/>
          <w:lang w:val="sk-SK"/>
        </w:rPr>
      </w:pPr>
      <w:r w:rsidRPr="00456BFF">
        <w:rPr>
          <w:szCs w:val="22"/>
          <w:lang w:val="sk-SK"/>
        </w:rPr>
        <w:t>Jedna 88</w:t>
      </w:r>
      <w:r w:rsidR="008F5665">
        <w:rPr>
          <w:szCs w:val="22"/>
          <w:lang w:val="sk-SK"/>
        </w:rPr>
        <w:t xml:space="preserve"> mikrogramov</w:t>
      </w:r>
      <w:r w:rsidRPr="00456BFF">
        <w:rPr>
          <w:szCs w:val="22"/>
          <w:lang w:val="sk-SK"/>
        </w:rPr>
        <w:t xml:space="preserve"> tableta obsahuje 88 mikrogramov sodnej soli levotyroxínu.</w:t>
      </w:r>
    </w:p>
    <w:p w14:paraId="6BB04109" w14:textId="2D117F16" w:rsidR="009E3661" w:rsidRPr="00456BFF" w:rsidRDefault="009E3661" w:rsidP="009E3661">
      <w:pPr>
        <w:spacing w:line="240" w:lineRule="auto"/>
        <w:outlineLvl w:val="0"/>
        <w:rPr>
          <w:szCs w:val="22"/>
          <w:lang w:val="sk-SK"/>
        </w:rPr>
      </w:pPr>
      <w:r w:rsidRPr="00456BFF">
        <w:rPr>
          <w:szCs w:val="22"/>
          <w:lang w:val="sk-SK"/>
        </w:rPr>
        <w:t>Jedna 100</w:t>
      </w:r>
      <w:r w:rsidR="008F5665">
        <w:rPr>
          <w:szCs w:val="22"/>
          <w:lang w:val="sk-SK"/>
        </w:rPr>
        <w:t xml:space="preserve"> mikrogramov</w:t>
      </w:r>
      <w:r w:rsidRPr="00456BFF">
        <w:rPr>
          <w:szCs w:val="22"/>
          <w:lang w:val="sk-SK"/>
        </w:rPr>
        <w:t xml:space="preserve"> tableta obsahuje 100 mikrogramov sodnej soli levotyroxínu.</w:t>
      </w:r>
    </w:p>
    <w:p w14:paraId="63BBD773" w14:textId="619F1EF4" w:rsidR="009E3661" w:rsidRPr="00456BFF" w:rsidRDefault="009E3661" w:rsidP="009E3661">
      <w:pPr>
        <w:spacing w:line="240" w:lineRule="auto"/>
        <w:outlineLvl w:val="0"/>
        <w:rPr>
          <w:szCs w:val="22"/>
          <w:lang w:val="sk-SK"/>
        </w:rPr>
      </w:pPr>
      <w:r w:rsidRPr="00456BFF">
        <w:rPr>
          <w:szCs w:val="22"/>
          <w:lang w:val="sk-SK"/>
        </w:rPr>
        <w:t>Jedna 112</w:t>
      </w:r>
      <w:r w:rsidR="008F5665">
        <w:rPr>
          <w:szCs w:val="22"/>
          <w:lang w:val="sk-SK"/>
        </w:rPr>
        <w:t xml:space="preserve"> mikrogramov </w:t>
      </w:r>
      <w:r w:rsidRPr="00456BFF">
        <w:rPr>
          <w:szCs w:val="22"/>
          <w:lang w:val="sk-SK"/>
        </w:rPr>
        <w:t>tableta obsahuje 112 mikrogramov sodnej soli levotyroxínu.</w:t>
      </w:r>
    </w:p>
    <w:p w14:paraId="3845473F" w14:textId="57611CA0" w:rsidR="009E3661" w:rsidRPr="00456BFF" w:rsidRDefault="009E3661" w:rsidP="009E3661">
      <w:pPr>
        <w:spacing w:line="240" w:lineRule="auto"/>
        <w:outlineLvl w:val="0"/>
        <w:rPr>
          <w:szCs w:val="22"/>
          <w:lang w:val="sk-SK"/>
        </w:rPr>
      </w:pPr>
      <w:r w:rsidRPr="00456BFF">
        <w:rPr>
          <w:szCs w:val="22"/>
          <w:lang w:val="sk-SK"/>
        </w:rPr>
        <w:t>Jedna 125</w:t>
      </w:r>
      <w:r w:rsidR="008F5665">
        <w:rPr>
          <w:szCs w:val="22"/>
          <w:lang w:val="sk-SK"/>
        </w:rPr>
        <w:t xml:space="preserve"> mikrogramov</w:t>
      </w:r>
      <w:r w:rsidRPr="00456BFF">
        <w:rPr>
          <w:szCs w:val="22"/>
          <w:lang w:val="sk-SK"/>
        </w:rPr>
        <w:t xml:space="preserve"> tableta obsahuje 125 mikrogramov sodnej soli levotyroxínu.</w:t>
      </w:r>
    </w:p>
    <w:p w14:paraId="54CB0803" w14:textId="1FEC371D" w:rsidR="009E3661" w:rsidRPr="00456BFF" w:rsidRDefault="009E3661" w:rsidP="009E3661">
      <w:pPr>
        <w:spacing w:line="240" w:lineRule="auto"/>
        <w:outlineLvl w:val="0"/>
        <w:rPr>
          <w:szCs w:val="22"/>
          <w:lang w:val="sk-SK"/>
        </w:rPr>
      </w:pPr>
      <w:r w:rsidRPr="00456BFF">
        <w:rPr>
          <w:szCs w:val="22"/>
          <w:lang w:val="sk-SK"/>
        </w:rPr>
        <w:t>Jedna 137</w:t>
      </w:r>
      <w:r w:rsidR="008F5665">
        <w:rPr>
          <w:szCs w:val="22"/>
          <w:lang w:val="sk-SK"/>
        </w:rPr>
        <w:t xml:space="preserve"> mikrogramov</w:t>
      </w:r>
      <w:r w:rsidRPr="00456BFF">
        <w:rPr>
          <w:szCs w:val="22"/>
          <w:lang w:val="sk-SK"/>
        </w:rPr>
        <w:t xml:space="preserve"> tableta obsahuje 137 mikrogramov sodnej soli levotyroxínu.</w:t>
      </w:r>
    </w:p>
    <w:p w14:paraId="0BFF49EA" w14:textId="759A5573" w:rsidR="009E3661" w:rsidRPr="00456BFF" w:rsidRDefault="009E3661" w:rsidP="009E3661">
      <w:pPr>
        <w:spacing w:line="240" w:lineRule="auto"/>
        <w:outlineLvl w:val="0"/>
        <w:rPr>
          <w:szCs w:val="22"/>
          <w:lang w:val="sk-SK"/>
        </w:rPr>
      </w:pPr>
      <w:r w:rsidRPr="00456BFF">
        <w:rPr>
          <w:szCs w:val="22"/>
          <w:lang w:val="sk-SK"/>
        </w:rPr>
        <w:t>Jedna 150</w:t>
      </w:r>
      <w:r w:rsidR="008F5665">
        <w:rPr>
          <w:szCs w:val="22"/>
          <w:lang w:val="sk-SK"/>
        </w:rPr>
        <w:t xml:space="preserve"> mikrogramov</w:t>
      </w:r>
      <w:r w:rsidRPr="00456BFF">
        <w:rPr>
          <w:szCs w:val="22"/>
          <w:lang w:val="sk-SK"/>
        </w:rPr>
        <w:t xml:space="preserve"> tableta obsahuje 150 mikrogramov sodnej soli levotyroxínu.</w:t>
      </w:r>
    </w:p>
    <w:p w14:paraId="4409F59E" w14:textId="3F6F2996" w:rsidR="008F5665" w:rsidRPr="00456BFF" w:rsidRDefault="008F5665" w:rsidP="008F5665">
      <w:pPr>
        <w:spacing w:line="240" w:lineRule="auto"/>
        <w:outlineLvl w:val="0"/>
        <w:rPr>
          <w:szCs w:val="22"/>
          <w:lang w:val="sk-SK"/>
        </w:rPr>
      </w:pPr>
      <w:r>
        <w:rPr>
          <w:szCs w:val="22"/>
          <w:lang w:val="sk-SK"/>
        </w:rPr>
        <w:t>Jedna 175 mikrogramov</w:t>
      </w:r>
      <w:r w:rsidRPr="00456BFF">
        <w:rPr>
          <w:szCs w:val="22"/>
          <w:lang w:val="sk-SK"/>
        </w:rPr>
        <w:t xml:space="preserve"> tableta obsahuje 1</w:t>
      </w:r>
      <w:r>
        <w:rPr>
          <w:szCs w:val="22"/>
          <w:lang w:val="sk-SK"/>
        </w:rPr>
        <w:t>7</w:t>
      </w:r>
      <w:r w:rsidRPr="00456BFF">
        <w:rPr>
          <w:szCs w:val="22"/>
          <w:lang w:val="sk-SK"/>
        </w:rPr>
        <w:t>5 mikrogramov sodnej soli levotyroxínu.</w:t>
      </w:r>
    </w:p>
    <w:p w14:paraId="5BC33BEC" w14:textId="2239EDD0" w:rsidR="009E3661" w:rsidRPr="00456BFF" w:rsidRDefault="009E3661" w:rsidP="009E3661">
      <w:pPr>
        <w:spacing w:line="240" w:lineRule="auto"/>
        <w:outlineLvl w:val="0"/>
        <w:rPr>
          <w:szCs w:val="22"/>
          <w:lang w:val="sk-SK"/>
        </w:rPr>
      </w:pPr>
      <w:r w:rsidRPr="00456BFF">
        <w:rPr>
          <w:szCs w:val="22"/>
          <w:lang w:val="sk-SK"/>
        </w:rPr>
        <w:t>Jedna 200</w:t>
      </w:r>
      <w:r w:rsidR="008F5665">
        <w:rPr>
          <w:szCs w:val="22"/>
          <w:lang w:val="sk-SK"/>
        </w:rPr>
        <w:t xml:space="preserve"> mikrogramov</w:t>
      </w:r>
      <w:r w:rsidRPr="00456BFF">
        <w:rPr>
          <w:szCs w:val="22"/>
          <w:lang w:val="sk-SK"/>
        </w:rPr>
        <w:t xml:space="preserve"> tableta obsahuje 200 mikrogramov sodnej soli levotyroxínu.</w:t>
      </w:r>
    </w:p>
    <w:p w14:paraId="6BDEA320" w14:textId="77777777" w:rsidR="009E3661" w:rsidRPr="00456BFF" w:rsidRDefault="009E3661" w:rsidP="009E3661">
      <w:pPr>
        <w:spacing w:line="240" w:lineRule="auto"/>
        <w:outlineLvl w:val="0"/>
        <w:rPr>
          <w:szCs w:val="22"/>
          <w:lang w:val="sk-SK"/>
        </w:rPr>
      </w:pPr>
    </w:p>
    <w:p w14:paraId="5724ED06" w14:textId="77777777" w:rsidR="009E3661" w:rsidRPr="00456BFF" w:rsidRDefault="009E3661" w:rsidP="009E3661">
      <w:pPr>
        <w:spacing w:line="240" w:lineRule="auto"/>
        <w:outlineLvl w:val="0"/>
        <w:rPr>
          <w:szCs w:val="22"/>
          <w:lang w:val="sk-SK"/>
        </w:rPr>
      </w:pPr>
    </w:p>
    <w:p w14:paraId="3EA5D652" w14:textId="77777777" w:rsidR="009E3661" w:rsidRPr="00456BFF" w:rsidRDefault="009E3661" w:rsidP="009E3661">
      <w:pPr>
        <w:spacing w:line="240" w:lineRule="auto"/>
        <w:outlineLvl w:val="0"/>
        <w:rPr>
          <w:szCs w:val="22"/>
          <w:lang w:val="sk-SK"/>
        </w:rPr>
      </w:pPr>
      <w:r w:rsidRPr="00456BFF">
        <w:rPr>
          <w:szCs w:val="22"/>
          <w:lang w:val="sk-SK"/>
        </w:rPr>
        <w:t>Pomocné látky so známym účinkom:</w:t>
      </w:r>
    </w:p>
    <w:p w14:paraId="7B1BEB24" w14:textId="77777777" w:rsidR="009E3661" w:rsidRPr="00456BFF" w:rsidRDefault="009E3661" w:rsidP="009E3661">
      <w:pPr>
        <w:rPr>
          <w:noProof/>
          <w:szCs w:val="22"/>
          <w:u w:val="single"/>
          <w:lang w:val="sk-SK"/>
        </w:rPr>
      </w:pPr>
      <w:r w:rsidRPr="00456BFF">
        <w:rPr>
          <w:noProof/>
          <w:szCs w:val="22"/>
          <w:u w:val="single"/>
          <w:lang w:val="sk-SK"/>
        </w:rPr>
        <w:t>25 mikrogramov</w:t>
      </w:r>
    </w:p>
    <w:p w14:paraId="7918BEBC" w14:textId="2AE370F2" w:rsidR="009E3661" w:rsidRPr="00456BFF" w:rsidRDefault="009E3661" w:rsidP="009E3661">
      <w:pPr>
        <w:rPr>
          <w:lang w:val="sk-SK"/>
        </w:rPr>
      </w:pPr>
      <w:r w:rsidRPr="00456BFF">
        <w:rPr>
          <w:lang w:val="sk-SK"/>
        </w:rPr>
        <w:t>H</w:t>
      </w:r>
      <w:r w:rsidRPr="00456BFF">
        <w:rPr>
          <w:noProof/>
          <w:szCs w:val="22"/>
          <w:lang w:val="sk-SK"/>
        </w:rPr>
        <w:t xml:space="preserve">liníkový lak </w:t>
      </w:r>
      <w:r w:rsidR="008F5665">
        <w:rPr>
          <w:rStyle w:val="st1"/>
          <w:color w:val="3C4043"/>
          <w:szCs w:val="22"/>
        </w:rPr>
        <w:t xml:space="preserve">oranžovej </w:t>
      </w:r>
      <w:r w:rsidR="008F5665">
        <w:rPr>
          <w:rStyle w:val="Zvraznenie"/>
          <w:i w:val="0"/>
          <w:color w:val="3C4043"/>
          <w:szCs w:val="22"/>
        </w:rPr>
        <w:t xml:space="preserve">žlti </w:t>
      </w:r>
      <w:r w:rsidRPr="00456BFF">
        <w:rPr>
          <w:noProof/>
          <w:szCs w:val="22"/>
          <w:lang w:val="sk-SK"/>
        </w:rPr>
        <w:t>FCF (E110) (0,250 mg/tableta)</w:t>
      </w:r>
    </w:p>
    <w:p w14:paraId="455A1979" w14:textId="77777777" w:rsidR="009E3661" w:rsidRPr="00456BFF" w:rsidRDefault="009E3661" w:rsidP="009E3661">
      <w:pPr>
        <w:rPr>
          <w:noProof/>
          <w:szCs w:val="22"/>
          <w:lang w:val="sk-SK"/>
        </w:rPr>
      </w:pPr>
    </w:p>
    <w:p w14:paraId="2C901571" w14:textId="77777777" w:rsidR="009E3661" w:rsidRPr="00456BFF" w:rsidRDefault="009E3661" w:rsidP="009E3661">
      <w:pPr>
        <w:rPr>
          <w:noProof/>
          <w:szCs w:val="22"/>
          <w:u w:val="single"/>
          <w:lang w:val="sk-SK"/>
        </w:rPr>
      </w:pPr>
      <w:r w:rsidRPr="00456BFF">
        <w:rPr>
          <w:noProof/>
          <w:szCs w:val="22"/>
          <w:u w:val="single"/>
          <w:lang w:val="sk-SK"/>
        </w:rPr>
        <w:t>75 mikrogramov</w:t>
      </w:r>
    </w:p>
    <w:p w14:paraId="2E936BC4" w14:textId="77777777" w:rsidR="009E3661" w:rsidRPr="00456BFF" w:rsidRDefault="009E3661" w:rsidP="009E3661">
      <w:pPr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 xml:space="preserve">Hliníkový lak </w:t>
      </w:r>
      <w:r w:rsidRPr="00800F2E">
        <w:rPr>
          <w:noProof/>
          <w:szCs w:val="22"/>
          <w:lang w:val="sk-SK"/>
        </w:rPr>
        <w:t>červene allúrovej</w:t>
      </w:r>
      <w:r w:rsidRPr="00456BFF">
        <w:rPr>
          <w:noProof/>
          <w:szCs w:val="22"/>
          <w:lang w:val="sk-SK"/>
        </w:rPr>
        <w:t xml:space="preserve"> AC (E129) (0,14 mg/tableta)</w:t>
      </w:r>
    </w:p>
    <w:p w14:paraId="6899FE44" w14:textId="77777777" w:rsidR="009E3661" w:rsidRPr="00456BFF" w:rsidRDefault="009E3661" w:rsidP="009E3661">
      <w:pPr>
        <w:rPr>
          <w:noProof/>
          <w:szCs w:val="22"/>
          <w:lang w:val="sk-SK"/>
        </w:rPr>
      </w:pPr>
    </w:p>
    <w:p w14:paraId="76BC5C27" w14:textId="77777777" w:rsidR="009E3661" w:rsidRPr="00456BFF" w:rsidRDefault="009E3661" w:rsidP="009E3661">
      <w:pPr>
        <w:rPr>
          <w:noProof/>
          <w:szCs w:val="22"/>
          <w:u w:val="single"/>
          <w:lang w:val="sk-SK"/>
        </w:rPr>
      </w:pPr>
      <w:r w:rsidRPr="00456BFF">
        <w:rPr>
          <w:noProof/>
          <w:szCs w:val="22"/>
          <w:u w:val="single"/>
          <w:lang w:val="sk-SK"/>
        </w:rPr>
        <w:t>88 mikrogramov</w:t>
      </w:r>
    </w:p>
    <w:p w14:paraId="33284220" w14:textId="77777777" w:rsidR="009E3661" w:rsidRPr="00456BFF" w:rsidRDefault="009E3661" w:rsidP="009E3661">
      <w:pPr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 xml:space="preserve">Hliníkový lak </w:t>
      </w:r>
      <w:r w:rsidRPr="00800F2E">
        <w:rPr>
          <w:noProof/>
          <w:szCs w:val="22"/>
          <w:lang w:val="sk-SK"/>
        </w:rPr>
        <w:t>tartrazínu</w:t>
      </w:r>
      <w:r w:rsidRPr="00456BFF">
        <w:rPr>
          <w:noProof/>
          <w:szCs w:val="22"/>
          <w:lang w:val="sk-SK"/>
        </w:rPr>
        <w:t xml:space="preserve"> (E102) (0,280 mg/tableta)</w:t>
      </w:r>
    </w:p>
    <w:p w14:paraId="2A7D8624" w14:textId="77777777" w:rsidR="009E3661" w:rsidRPr="00456BFF" w:rsidRDefault="009E3661" w:rsidP="009E3661">
      <w:pPr>
        <w:rPr>
          <w:noProof/>
          <w:szCs w:val="22"/>
          <w:u w:val="single"/>
          <w:lang w:val="sk-SK"/>
        </w:rPr>
      </w:pPr>
    </w:p>
    <w:p w14:paraId="2C8FD59E" w14:textId="77777777" w:rsidR="009E3661" w:rsidRPr="00456BFF" w:rsidRDefault="009E3661" w:rsidP="009E3661">
      <w:pPr>
        <w:rPr>
          <w:noProof/>
          <w:szCs w:val="22"/>
          <w:u w:val="single"/>
          <w:lang w:val="sk-SK"/>
        </w:rPr>
      </w:pPr>
      <w:r w:rsidRPr="00456BFF">
        <w:rPr>
          <w:noProof/>
          <w:szCs w:val="22"/>
          <w:u w:val="single"/>
          <w:lang w:val="sk-SK"/>
        </w:rPr>
        <w:t>100 mikrogramov</w:t>
      </w:r>
    </w:p>
    <w:p w14:paraId="2502CD44" w14:textId="77777777" w:rsidR="009E3661" w:rsidRPr="00456BFF" w:rsidRDefault="009E3661" w:rsidP="009E3661">
      <w:pPr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Hliníkový lak tartrazínu (E102) (0,380 mg/tableta)</w:t>
      </w:r>
    </w:p>
    <w:p w14:paraId="77896C63" w14:textId="7270CC8D" w:rsidR="009E3661" w:rsidRPr="00456BFF" w:rsidRDefault="009E3661" w:rsidP="009E3661">
      <w:pPr>
        <w:rPr>
          <w:lang w:val="sk-SK"/>
        </w:rPr>
      </w:pPr>
      <w:r w:rsidRPr="00456BFF">
        <w:rPr>
          <w:lang w:val="sk-SK"/>
        </w:rPr>
        <w:t xml:space="preserve">Hliníkový lak </w:t>
      </w:r>
      <w:r w:rsidR="008F5665">
        <w:rPr>
          <w:rStyle w:val="st1"/>
          <w:color w:val="3C4043"/>
          <w:szCs w:val="22"/>
        </w:rPr>
        <w:t xml:space="preserve">oranžovej </w:t>
      </w:r>
      <w:r w:rsidR="008F5665">
        <w:rPr>
          <w:rStyle w:val="Zvraznenie"/>
          <w:i w:val="0"/>
          <w:color w:val="3C4043"/>
          <w:szCs w:val="22"/>
        </w:rPr>
        <w:t xml:space="preserve">žlti </w:t>
      </w:r>
      <w:r w:rsidRPr="00456BFF">
        <w:rPr>
          <w:lang w:val="sk-SK"/>
        </w:rPr>
        <w:t xml:space="preserve">FCF </w:t>
      </w:r>
      <w:r w:rsidRPr="00456BFF">
        <w:rPr>
          <w:noProof/>
          <w:szCs w:val="22"/>
          <w:lang w:val="sk-SK"/>
        </w:rPr>
        <w:t>(E110) (0,020 mg/tableta)</w:t>
      </w:r>
    </w:p>
    <w:p w14:paraId="6E100521" w14:textId="77777777" w:rsidR="009E3661" w:rsidRPr="00456BFF" w:rsidRDefault="009E3661" w:rsidP="009E3661">
      <w:pPr>
        <w:rPr>
          <w:noProof/>
          <w:szCs w:val="22"/>
          <w:lang w:val="sk-SK"/>
        </w:rPr>
      </w:pPr>
    </w:p>
    <w:p w14:paraId="77A1A3DE" w14:textId="77777777" w:rsidR="009E3661" w:rsidRPr="00456BFF" w:rsidRDefault="009E3661" w:rsidP="009E3661">
      <w:pPr>
        <w:rPr>
          <w:noProof/>
          <w:szCs w:val="22"/>
          <w:u w:val="single"/>
          <w:lang w:val="sk-SK"/>
        </w:rPr>
      </w:pPr>
      <w:r w:rsidRPr="00456BFF">
        <w:rPr>
          <w:noProof/>
          <w:szCs w:val="22"/>
          <w:u w:val="single"/>
          <w:lang w:val="sk-SK"/>
        </w:rPr>
        <w:t>112 mikrogramov</w:t>
      </w:r>
    </w:p>
    <w:p w14:paraId="0F18769C" w14:textId="77777777" w:rsidR="009E3661" w:rsidRPr="00456BFF" w:rsidRDefault="009E3661" w:rsidP="009E3661">
      <w:pPr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Hliníkový lak červene allúrovej FCF (E129) (0,0125 mg/tableta)</w:t>
      </w:r>
    </w:p>
    <w:p w14:paraId="388AF4FF" w14:textId="77777777" w:rsidR="009E3661" w:rsidRPr="00456BFF" w:rsidRDefault="009E3661" w:rsidP="009E3661">
      <w:pPr>
        <w:rPr>
          <w:noProof/>
          <w:szCs w:val="22"/>
          <w:u w:val="single"/>
          <w:lang w:val="sk-SK"/>
        </w:rPr>
      </w:pPr>
    </w:p>
    <w:p w14:paraId="45E5A890" w14:textId="77777777" w:rsidR="009E3661" w:rsidRPr="00456BFF" w:rsidRDefault="009E3661" w:rsidP="009E3661">
      <w:pPr>
        <w:rPr>
          <w:noProof/>
          <w:szCs w:val="22"/>
          <w:u w:val="single"/>
          <w:lang w:val="sk-SK"/>
        </w:rPr>
      </w:pPr>
      <w:r w:rsidRPr="00456BFF">
        <w:rPr>
          <w:noProof/>
          <w:szCs w:val="22"/>
          <w:u w:val="single"/>
          <w:lang w:val="sk-SK"/>
        </w:rPr>
        <w:t>125 mikrogramov</w:t>
      </w:r>
    </w:p>
    <w:p w14:paraId="1680728F" w14:textId="6C6438DA" w:rsidR="009E3661" w:rsidRPr="00456BFF" w:rsidRDefault="009E3661" w:rsidP="009E3661">
      <w:pPr>
        <w:rPr>
          <w:lang w:val="sk-SK"/>
        </w:rPr>
      </w:pPr>
      <w:r w:rsidRPr="00456BFF">
        <w:rPr>
          <w:lang w:val="sk-SK"/>
        </w:rPr>
        <w:t xml:space="preserve">Hliníkový lak </w:t>
      </w:r>
      <w:r w:rsidR="008F5665">
        <w:rPr>
          <w:rStyle w:val="st1"/>
          <w:color w:val="3C4043"/>
          <w:szCs w:val="22"/>
        </w:rPr>
        <w:t xml:space="preserve">oranžovej </w:t>
      </w:r>
      <w:r w:rsidR="008F5665">
        <w:rPr>
          <w:rStyle w:val="Zvraznenie"/>
          <w:i w:val="0"/>
          <w:color w:val="3C4043"/>
          <w:szCs w:val="22"/>
        </w:rPr>
        <w:t xml:space="preserve">žlti </w:t>
      </w:r>
      <w:r w:rsidR="008F5665" w:rsidRPr="00456BFF">
        <w:rPr>
          <w:noProof/>
          <w:szCs w:val="22"/>
          <w:lang w:val="sk-SK"/>
        </w:rPr>
        <w:t xml:space="preserve">FCF </w:t>
      </w:r>
      <w:r w:rsidRPr="00456BFF">
        <w:rPr>
          <w:noProof/>
          <w:szCs w:val="22"/>
          <w:lang w:val="sk-SK"/>
        </w:rPr>
        <w:t>(E110) (0,135 mg/tableta)</w:t>
      </w:r>
    </w:p>
    <w:p w14:paraId="58B78E0C" w14:textId="77777777" w:rsidR="009E3661" w:rsidRPr="00456BFF" w:rsidRDefault="009E3661" w:rsidP="009E3661">
      <w:pPr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Hliníkový lak červene allúrovej AC (E129) (0,0825 mg/tableta)</w:t>
      </w:r>
    </w:p>
    <w:p w14:paraId="14D141BF" w14:textId="77777777" w:rsidR="009E3661" w:rsidRPr="00456BFF" w:rsidRDefault="009E3661" w:rsidP="009E3661">
      <w:pPr>
        <w:rPr>
          <w:noProof/>
          <w:szCs w:val="22"/>
          <w:u w:val="single"/>
          <w:lang w:val="sk-SK"/>
        </w:rPr>
      </w:pPr>
    </w:p>
    <w:p w14:paraId="3AD3F8A1" w14:textId="77777777" w:rsidR="009E3661" w:rsidRPr="00456BFF" w:rsidRDefault="009E3661" w:rsidP="009E3661">
      <w:pPr>
        <w:rPr>
          <w:noProof/>
          <w:szCs w:val="22"/>
          <w:u w:val="single"/>
          <w:lang w:val="sk-SK"/>
        </w:rPr>
      </w:pPr>
      <w:r w:rsidRPr="00456BFF">
        <w:rPr>
          <w:noProof/>
          <w:szCs w:val="22"/>
          <w:u w:val="single"/>
          <w:lang w:val="sk-SK"/>
        </w:rPr>
        <w:lastRenderedPageBreak/>
        <w:t>200 mikrogramov</w:t>
      </w:r>
    </w:p>
    <w:p w14:paraId="70F613D3" w14:textId="77777777" w:rsidR="009E3661" w:rsidRPr="00456BFF" w:rsidRDefault="009E3661" w:rsidP="009E3661">
      <w:pPr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Hliníkový lak červene allúrovej AC (E129) (0,300 mg/tableta)</w:t>
      </w:r>
    </w:p>
    <w:p w14:paraId="2B636F9A" w14:textId="77777777" w:rsidR="009E3661" w:rsidRPr="00456BFF" w:rsidRDefault="009E3661" w:rsidP="009E3661">
      <w:pPr>
        <w:spacing w:line="240" w:lineRule="auto"/>
        <w:outlineLvl w:val="0"/>
        <w:rPr>
          <w:szCs w:val="22"/>
          <w:lang w:val="sk-SK"/>
        </w:rPr>
      </w:pPr>
    </w:p>
    <w:p w14:paraId="20BD3ACB" w14:textId="77777777" w:rsidR="009E3661" w:rsidRPr="00456BFF" w:rsidRDefault="009E3661" w:rsidP="009E3661">
      <w:pPr>
        <w:spacing w:line="240" w:lineRule="auto"/>
        <w:outlineLvl w:val="0"/>
        <w:rPr>
          <w:noProof/>
          <w:szCs w:val="22"/>
          <w:lang w:val="sk-SK"/>
        </w:rPr>
      </w:pPr>
      <w:r w:rsidRPr="00456BFF">
        <w:rPr>
          <w:lang w:val="sk-SK"/>
        </w:rPr>
        <w:t>Úplný zoznam pomocných látok, pozri časť 6.1</w:t>
      </w:r>
      <w:r w:rsidRPr="00456BFF">
        <w:rPr>
          <w:szCs w:val="22"/>
          <w:lang w:val="sk-SK"/>
        </w:rPr>
        <w:t>.</w:t>
      </w:r>
    </w:p>
    <w:p w14:paraId="16853B0A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1036B871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1E4E774F" w14:textId="77777777" w:rsidR="009E3661" w:rsidRPr="00456BFF" w:rsidRDefault="009E3661" w:rsidP="009E3661">
      <w:pPr>
        <w:suppressAutoHyphens/>
        <w:spacing w:line="240" w:lineRule="auto"/>
        <w:ind w:left="567" w:hanging="567"/>
        <w:rPr>
          <w:caps/>
          <w:noProof/>
          <w:szCs w:val="22"/>
          <w:lang w:val="sk-SK"/>
        </w:rPr>
      </w:pPr>
      <w:r w:rsidRPr="00456BFF">
        <w:rPr>
          <w:b/>
          <w:noProof/>
          <w:szCs w:val="22"/>
          <w:lang w:val="sk-SK"/>
        </w:rPr>
        <w:t>3.</w:t>
      </w:r>
      <w:r w:rsidRPr="00456BFF">
        <w:rPr>
          <w:b/>
          <w:noProof/>
          <w:szCs w:val="22"/>
          <w:lang w:val="sk-SK"/>
        </w:rPr>
        <w:tab/>
      </w:r>
      <w:r w:rsidRPr="00456BFF">
        <w:rPr>
          <w:b/>
          <w:lang w:val="sk-SK"/>
        </w:rPr>
        <w:t>LIEKOVÁ FORMA</w:t>
      </w:r>
    </w:p>
    <w:p w14:paraId="4343C447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19CDA293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Tableta</w:t>
      </w:r>
    </w:p>
    <w:p w14:paraId="00E29F86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110E7B0D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 xml:space="preserve">12,5 </w:t>
      </w:r>
      <w:r w:rsidRPr="00456BFF">
        <w:rPr>
          <w:szCs w:val="22"/>
          <w:lang w:val="sk-SK"/>
        </w:rPr>
        <w:t>mikrogramov</w:t>
      </w:r>
    </w:p>
    <w:p w14:paraId="73934B02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szCs w:val="22"/>
          <w:lang w:val="sk-SK"/>
        </w:rPr>
        <w:t>Biele okrúhle ploché nepotiahnuté tablety s vyrazeným nápisom „P“ a „13“ na jednej strane a hladké na strane druhej.</w:t>
      </w:r>
      <w:r w:rsidRPr="00456BFF">
        <w:rPr>
          <w:rFonts w:ascii="Times" w:hAnsi="Times" w:cs="Times"/>
          <w:szCs w:val="22"/>
          <w:lang w:val="sk-SK"/>
        </w:rPr>
        <w:t xml:space="preserve"> Priemer tablety je približne 7 mm.</w:t>
      </w:r>
    </w:p>
    <w:p w14:paraId="74B17449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56C713F9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bookmarkStart w:id="1" w:name="_Hlk32957977"/>
      <w:r w:rsidRPr="00456BFF">
        <w:rPr>
          <w:noProof/>
          <w:szCs w:val="22"/>
          <w:lang w:val="sk-SK"/>
        </w:rPr>
        <w:t xml:space="preserve">25 </w:t>
      </w:r>
      <w:r w:rsidRPr="00456BFF">
        <w:rPr>
          <w:szCs w:val="22"/>
          <w:lang w:val="sk-SK"/>
        </w:rPr>
        <w:t>mikrogramov</w:t>
      </w:r>
    </w:p>
    <w:p w14:paraId="2E561040" w14:textId="77777777" w:rsidR="009E3661" w:rsidRPr="00456BFF" w:rsidRDefault="009E3661" w:rsidP="009E3661">
      <w:pPr>
        <w:spacing w:line="240" w:lineRule="auto"/>
        <w:rPr>
          <w:iCs/>
          <w:szCs w:val="22"/>
          <w:lang w:val="sk-SK"/>
        </w:rPr>
      </w:pPr>
      <w:r w:rsidRPr="00456BFF">
        <w:rPr>
          <w:rFonts w:ascii="Times" w:hAnsi="Times" w:cs="Times"/>
          <w:szCs w:val="22"/>
          <w:lang w:val="sk-SK"/>
        </w:rPr>
        <w:t>Oranžové okrúhle ploché nepotiahnuté tablety</w:t>
      </w:r>
      <w:r w:rsidRPr="00456BFF">
        <w:rPr>
          <w:lang w:val="sk-SK"/>
        </w:rPr>
        <w:t xml:space="preserve"> </w:t>
      </w:r>
      <w:r w:rsidRPr="00456BFF">
        <w:rPr>
          <w:rFonts w:ascii="Times" w:hAnsi="Times" w:cs="Times"/>
          <w:szCs w:val="22"/>
          <w:lang w:val="sk-SK"/>
        </w:rPr>
        <w:t>s deliacou ryhou na oboch stranách a s vyrazeným nápisom „P“ a „1“ na jednej strane a hladké na strane druhej. Priemer tablety je približne 7 mm.</w:t>
      </w:r>
    </w:p>
    <w:p w14:paraId="36BA2418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Tableta sa môže rozdeliť na rovnaké dávky.</w:t>
      </w:r>
    </w:p>
    <w:p w14:paraId="1E077314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1ED68F40" w14:textId="77777777" w:rsidR="009E3661" w:rsidRPr="00456BFF" w:rsidRDefault="009E3661" w:rsidP="009E3661">
      <w:pPr>
        <w:spacing w:line="240" w:lineRule="auto"/>
        <w:rPr>
          <w:szCs w:val="22"/>
          <w:lang w:val="sk-SK"/>
        </w:rPr>
      </w:pPr>
      <w:r w:rsidRPr="00456BFF">
        <w:rPr>
          <w:noProof/>
          <w:szCs w:val="22"/>
          <w:lang w:val="sk-SK"/>
        </w:rPr>
        <w:t xml:space="preserve">50 </w:t>
      </w:r>
      <w:r w:rsidRPr="00456BFF">
        <w:rPr>
          <w:szCs w:val="22"/>
          <w:lang w:val="sk-SK"/>
        </w:rPr>
        <w:t>mikrogramov</w:t>
      </w:r>
    </w:p>
    <w:p w14:paraId="28423A95" w14:textId="77777777" w:rsidR="009E3661" w:rsidRPr="00456BFF" w:rsidRDefault="009E3661" w:rsidP="009E3661">
      <w:pPr>
        <w:spacing w:line="240" w:lineRule="auto"/>
        <w:rPr>
          <w:iCs/>
          <w:szCs w:val="22"/>
          <w:lang w:val="sk-SK"/>
        </w:rPr>
      </w:pPr>
      <w:r w:rsidRPr="00456BFF">
        <w:rPr>
          <w:rFonts w:ascii="Times" w:hAnsi="Times" w:cs="Times"/>
          <w:szCs w:val="22"/>
          <w:lang w:val="sk-SK"/>
        </w:rPr>
        <w:t>Biele okrúhle ploché nepotiahnuté tablety s deliacou ryhou na oboch stranách a s vyrazeným nápisom „P“ a „2“ na jednej strane a hladké na strane druhej. Priemer tablety je približne 7 mm.</w:t>
      </w:r>
    </w:p>
    <w:p w14:paraId="0FCE1FAD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Tableta sa môže rozdeliť na rovnaké dávky.</w:t>
      </w:r>
    </w:p>
    <w:p w14:paraId="71A1F681" w14:textId="77777777" w:rsidR="009E3661" w:rsidRPr="00456BFF" w:rsidRDefault="009E3661" w:rsidP="009E3661">
      <w:pPr>
        <w:spacing w:line="240" w:lineRule="auto"/>
        <w:rPr>
          <w:szCs w:val="22"/>
          <w:lang w:val="sk-SK"/>
        </w:rPr>
      </w:pPr>
    </w:p>
    <w:p w14:paraId="6D7A97B7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 xml:space="preserve">75 </w:t>
      </w:r>
      <w:r w:rsidRPr="00456BFF">
        <w:rPr>
          <w:szCs w:val="22"/>
          <w:lang w:val="sk-SK"/>
        </w:rPr>
        <w:t>mikrogramov</w:t>
      </w:r>
    </w:p>
    <w:p w14:paraId="131B3434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Fialové okrúhle ploché nepotiahnuté tablety s deliacou ryhou na oboch stranách a s vyrazeným nápisom „P“ a „3“ na jednej strane a hladké na strane druhej. Priemer tablety je približne 7 mm.</w:t>
      </w:r>
    </w:p>
    <w:p w14:paraId="15AE77F3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Tableta sa môže rozdeliť na rovnaké dávky.</w:t>
      </w:r>
    </w:p>
    <w:p w14:paraId="613C5C93" w14:textId="77777777" w:rsidR="009E3661" w:rsidRPr="00456BFF" w:rsidRDefault="009E3661" w:rsidP="009E3661">
      <w:pPr>
        <w:spacing w:line="240" w:lineRule="auto"/>
        <w:rPr>
          <w:noProof/>
          <w:szCs w:val="22"/>
          <w:highlight w:val="yellow"/>
          <w:lang w:val="sk-SK"/>
        </w:rPr>
      </w:pPr>
    </w:p>
    <w:p w14:paraId="63B84F30" w14:textId="77777777" w:rsidR="009E3661" w:rsidRPr="00456BFF" w:rsidRDefault="009E3661" w:rsidP="009E3661">
      <w:pPr>
        <w:spacing w:line="240" w:lineRule="auto"/>
        <w:rPr>
          <w:szCs w:val="22"/>
          <w:lang w:val="sk-SK"/>
        </w:rPr>
      </w:pPr>
      <w:r w:rsidRPr="00456BFF">
        <w:rPr>
          <w:noProof/>
          <w:szCs w:val="22"/>
          <w:lang w:val="sk-SK"/>
        </w:rPr>
        <w:t xml:space="preserve">88 </w:t>
      </w:r>
      <w:r w:rsidRPr="00456BFF">
        <w:rPr>
          <w:szCs w:val="22"/>
          <w:lang w:val="sk-SK"/>
        </w:rPr>
        <w:t>mikrogramov</w:t>
      </w:r>
    </w:p>
    <w:p w14:paraId="30C2D1D6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Olivovo sfarbené okrúhle ploché nepotiahnuté tablety s deliacou ryhou na oboch stranách a s vyrazeným nápisom „P“ a „4“ na jednej strane a hladké na strane druhej. Priemer tablety je približne 7 mm.</w:t>
      </w:r>
    </w:p>
    <w:p w14:paraId="3CF8B9B6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Tableta sa môže rozdeliť na rovnaké dávky.</w:t>
      </w:r>
    </w:p>
    <w:p w14:paraId="2CF95316" w14:textId="77777777" w:rsidR="009E3661" w:rsidRPr="00456BFF" w:rsidRDefault="009E3661" w:rsidP="009E3661">
      <w:pPr>
        <w:spacing w:line="240" w:lineRule="auto"/>
        <w:rPr>
          <w:noProof/>
          <w:szCs w:val="22"/>
          <w:highlight w:val="yellow"/>
          <w:lang w:val="sk-SK"/>
        </w:rPr>
      </w:pPr>
    </w:p>
    <w:p w14:paraId="73F52FE8" w14:textId="77777777" w:rsidR="009E3661" w:rsidRPr="00456BFF" w:rsidRDefault="009E3661" w:rsidP="009E3661">
      <w:pPr>
        <w:spacing w:line="240" w:lineRule="auto"/>
        <w:rPr>
          <w:noProof/>
          <w:szCs w:val="22"/>
          <w:highlight w:val="yellow"/>
          <w:lang w:val="sk-SK"/>
        </w:rPr>
      </w:pPr>
      <w:r w:rsidRPr="00456BFF">
        <w:rPr>
          <w:noProof/>
          <w:szCs w:val="22"/>
          <w:lang w:val="sk-SK"/>
        </w:rPr>
        <w:t xml:space="preserve">100 </w:t>
      </w:r>
      <w:r w:rsidRPr="00456BFF">
        <w:rPr>
          <w:szCs w:val="22"/>
          <w:lang w:val="sk-SK"/>
        </w:rPr>
        <w:t>mikrogramov</w:t>
      </w:r>
    </w:p>
    <w:p w14:paraId="203BCAF9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Žlté okrúhle ploché nepotiahnuté tablety s deliacou ryhou na oboch stranách a s vyrazeným nápisom „P“ a „14“ na jednej strane a hladké na strane druhej. Priemer tablety je približne 7 mm.</w:t>
      </w:r>
    </w:p>
    <w:p w14:paraId="30E67751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Tableta sa môže rozdeliť na rovnaké dávky.</w:t>
      </w:r>
    </w:p>
    <w:p w14:paraId="147C357F" w14:textId="77777777" w:rsidR="009E3661" w:rsidRPr="00456BFF" w:rsidRDefault="009E3661" w:rsidP="009E3661">
      <w:pPr>
        <w:spacing w:line="240" w:lineRule="auto"/>
        <w:rPr>
          <w:noProof/>
          <w:szCs w:val="22"/>
          <w:highlight w:val="yellow"/>
          <w:lang w:val="sk-SK"/>
        </w:rPr>
      </w:pPr>
    </w:p>
    <w:p w14:paraId="7C1CFF28" w14:textId="77777777" w:rsidR="009E3661" w:rsidRPr="00456BFF" w:rsidRDefault="009E3661" w:rsidP="009E3661">
      <w:pPr>
        <w:spacing w:line="240" w:lineRule="auto"/>
        <w:rPr>
          <w:noProof/>
          <w:szCs w:val="22"/>
          <w:highlight w:val="yellow"/>
          <w:lang w:val="sk-SK"/>
        </w:rPr>
      </w:pPr>
      <w:r w:rsidRPr="00456BFF">
        <w:rPr>
          <w:noProof/>
          <w:szCs w:val="22"/>
          <w:lang w:val="sk-SK"/>
        </w:rPr>
        <w:t xml:space="preserve">112 </w:t>
      </w:r>
      <w:r w:rsidRPr="00456BFF">
        <w:rPr>
          <w:szCs w:val="22"/>
          <w:lang w:val="sk-SK"/>
        </w:rPr>
        <w:t>mikrogramov</w:t>
      </w:r>
    </w:p>
    <w:p w14:paraId="7F75A04E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800F2E">
        <w:rPr>
          <w:noProof/>
          <w:szCs w:val="22"/>
          <w:lang w:val="sk-SK"/>
        </w:rPr>
        <w:t>Svetloružové</w:t>
      </w:r>
      <w:r w:rsidRPr="00456BFF">
        <w:rPr>
          <w:noProof/>
          <w:szCs w:val="22"/>
          <w:lang w:val="sk-SK"/>
        </w:rPr>
        <w:t xml:space="preserve"> okrúhle ploché nepotiahnuté tablety s deliacou ryhou na oboch stranách a s vyrazeným nápisom „P“ a „6“ na jednej strane a hladké na strane druhej. Priemer tablety je približne 7 mm.</w:t>
      </w:r>
    </w:p>
    <w:p w14:paraId="5E93DD6D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Tableta sa môže rozdeliť na rovnaké dávky.</w:t>
      </w:r>
    </w:p>
    <w:p w14:paraId="69A279A2" w14:textId="77777777" w:rsidR="009E3661" w:rsidRPr="00456BFF" w:rsidRDefault="009E3661" w:rsidP="009E3661">
      <w:pPr>
        <w:spacing w:line="240" w:lineRule="auto"/>
        <w:rPr>
          <w:noProof/>
          <w:szCs w:val="22"/>
          <w:highlight w:val="yellow"/>
          <w:lang w:val="sk-SK"/>
        </w:rPr>
      </w:pPr>
    </w:p>
    <w:p w14:paraId="1921304B" w14:textId="77777777" w:rsidR="009E3661" w:rsidRPr="00456BFF" w:rsidRDefault="009E3661" w:rsidP="009E3661">
      <w:pPr>
        <w:spacing w:line="240" w:lineRule="auto"/>
        <w:rPr>
          <w:szCs w:val="22"/>
          <w:lang w:val="sk-SK"/>
        </w:rPr>
      </w:pPr>
      <w:r w:rsidRPr="00456BFF">
        <w:rPr>
          <w:noProof/>
          <w:szCs w:val="22"/>
          <w:lang w:val="sk-SK"/>
        </w:rPr>
        <w:t xml:space="preserve">125 </w:t>
      </w:r>
      <w:r w:rsidRPr="00456BFF">
        <w:rPr>
          <w:szCs w:val="22"/>
          <w:lang w:val="sk-SK"/>
        </w:rPr>
        <w:t>mikrogramov</w:t>
      </w:r>
    </w:p>
    <w:p w14:paraId="29466B10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Hnedé okrúhle ploché nepotiahnuté tablety s deliacou ryhou na oboch stranách a s vyrazeným nápisom „P“ a „7“ na jednej strane a hladké na strane druhej. Priemer tablety je približne 7 mm.</w:t>
      </w:r>
    </w:p>
    <w:p w14:paraId="0D861909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Tableta sa môže rozdeliť na rovnaké dávky.</w:t>
      </w:r>
    </w:p>
    <w:p w14:paraId="6C7B2809" w14:textId="77777777" w:rsidR="009E3661" w:rsidRPr="00456BFF" w:rsidRDefault="009E3661" w:rsidP="009E3661">
      <w:pPr>
        <w:spacing w:line="240" w:lineRule="auto"/>
        <w:rPr>
          <w:noProof/>
          <w:szCs w:val="22"/>
          <w:highlight w:val="yellow"/>
          <w:lang w:val="sk-SK"/>
        </w:rPr>
      </w:pPr>
    </w:p>
    <w:p w14:paraId="4BBBE332" w14:textId="77777777" w:rsidR="009E3661" w:rsidRPr="00456BFF" w:rsidRDefault="009E3661" w:rsidP="009E3661">
      <w:pPr>
        <w:spacing w:line="240" w:lineRule="auto"/>
        <w:rPr>
          <w:szCs w:val="22"/>
          <w:lang w:val="sk-SK"/>
        </w:rPr>
      </w:pPr>
      <w:r w:rsidRPr="00456BFF">
        <w:rPr>
          <w:noProof/>
          <w:szCs w:val="22"/>
          <w:lang w:val="sk-SK"/>
        </w:rPr>
        <w:t xml:space="preserve">137 </w:t>
      </w:r>
      <w:r w:rsidRPr="00456BFF">
        <w:rPr>
          <w:szCs w:val="22"/>
          <w:lang w:val="sk-SK"/>
        </w:rPr>
        <w:t>mikrogramov</w:t>
      </w:r>
    </w:p>
    <w:p w14:paraId="0207CDCF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Tyrkysové okrúhle ploché nepotiahnuté tablety s deliacou ryhou na oboch stranách a s vyrazeným nápisom „P“ a „8“ na jednej strane a hladké na strane druhej. Priemer tablety je približne 7 mm.</w:t>
      </w:r>
    </w:p>
    <w:p w14:paraId="006F2D1C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Tableta sa môže rozdeliť na rovnaké dávky.</w:t>
      </w:r>
    </w:p>
    <w:p w14:paraId="44223369" w14:textId="77777777" w:rsidR="009E3661" w:rsidRPr="00456BFF" w:rsidRDefault="009E3661" w:rsidP="009E3661">
      <w:pPr>
        <w:spacing w:line="240" w:lineRule="auto"/>
        <w:rPr>
          <w:szCs w:val="22"/>
          <w:lang w:val="sk-SK"/>
        </w:rPr>
      </w:pPr>
    </w:p>
    <w:p w14:paraId="6F1B225F" w14:textId="77777777" w:rsidR="009E3661" w:rsidRPr="00456BFF" w:rsidRDefault="009E3661" w:rsidP="009E3661">
      <w:pPr>
        <w:keepNext/>
        <w:spacing w:line="240" w:lineRule="auto"/>
        <w:rPr>
          <w:szCs w:val="22"/>
          <w:lang w:val="sk-SK"/>
        </w:rPr>
      </w:pPr>
      <w:r w:rsidRPr="00456BFF">
        <w:rPr>
          <w:noProof/>
          <w:szCs w:val="22"/>
          <w:lang w:val="sk-SK"/>
        </w:rPr>
        <w:lastRenderedPageBreak/>
        <w:t xml:space="preserve">150 </w:t>
      </w:r>
      <w:r w:rsidRPr="00456BFF">
        <w:rPr>
          <w:szCs w:val="22"/>
          <w:lang w:val="sk-SK"/>
        </w:rPr>
        <w:t>mikrogramov</w:t>
      </w:r>
    </w:p>
    <w:p w14:paraId="7F027E6F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Modré okrúhle ploché nepotiahnuté tablety s deliacou ryhou na oboch stranách a s vyrazeným nápisom „P“ a „9“ na jednej strane a hladké na strane druhej. Priemer tablety je približne 7 mm.</w:t>
      </w:r>
    </w:p>
    <w:p w14:paraId="1DB96622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Tableta sa môže rozdeliť na rovnaké dávky.</w:t>
      </w:r>
    </w:p>
    <w:p w14:paraId="6C8FD8ED" w14:textId="77777777" w:rsidR="009E3661" w:rsidRPr="00456BFF" w:rsidRDefault="009E3661" w:rsidP="009E3661">
      <w:pPr>
        <w:spacing w:line="240" w:lineRule="auto"/>
        <w:rPr>
          <w:szCs w:val="22"/>
          <w:lang w:val="sk-SK"/>
        </w:rPr>
      </w:pPr>
    </w:p>
    <w:p w14:paraId="6581ED3D" w14:textId="77777777" w:rsidR="009E3661" w:rsidRPr="00456BFF" w:rsidRDefault="009E3661" w:rsidP="009E3661">
      <w:pPr>
        <w:spacing w:line="240" w:lineRule="auto"/>
        <w:rPr>
          <w:szCs w:val="22"/>
          <w:lang w:val="sk-SK"/>
        </w:rPr>
      </w:pPr>
      <w:r w:rsidRPr="00456BFF">
        <w:rPr>
          <w:noProof/>
          <w:szCs w:val="22"/>
          <w:lang w:val="sk-SK"/>
        </w:rPr>
        <w:t xml:space="preserve">175 </w:t>
      </w:r>
      <w:r w:rsidRPr="00456BFF">
        <w:rPr>
          <w:szCs w:val="22"/>
          <w:lang w:val="sk-SK"/>
        </w:rPr>
        <w:t>mikrogramov</w:t>
      </w:r>
    </w:p>
    <w:p w14:paraId="447721CA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800F2E">
        <w:rPr>
          <w:noProof/>
          <w:szCs w:val="22"/>
          <w:lang w:val="sk-SK"/>
        </w:rPr>
        <w:t>Svetlofialové</w:t>
      </w:r>
      <w:r w:rsidRPr="00456BFF">
        <w:rPr>
          <w:noProof/>
          <w:szCs w:val="22"/>
          <w:lang w:val="sk-SK"/>
        </w:rPr>
        <w:t xml:space="preserve"> okrúhle ploché nepotiahnuté tablety s deliacou ryhou na oboch stranách a s vyrazeným nápisom „P“ a „10“ na jednej strane a hladké na strane druhej. Priemer tablety je približne 7 mm.</w:t>
      </w:r>
    </w:p>
    <w:p w14:paraId="29581A0D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Tableta sa môže rozdeliť na rovnaké dávky.</w:t>
      </w:r>
    </w:p>
    <w:p w14:paraId="33EC2C21" w14:textId="77777777" w:rsidR="009E3661" w:rsidRPr="00456BFF" w:rsidRDefault="009E3661" w:rsidP="009E3661">
      <w:pPr>
        <w:spacing w:line="240" w:lineRule="auto"/>
        <w:rPr>
          <w:szCs w:val="22"/>
          <w:lang w:val="sk-SK"/>
        </w:rPr>
      </w:pPr>
    </w:p>
    <w:p w14:paraId="0665CBCD" w14:textId="77777777" w:rsidR="009E3661" w:rsidRPr="00456BFF" w:rsidRDefault="009E3661" w:rsidP="009E3661">
      <w:pPr>
        <w:spacing w:line="240" w:lineRule="auto"/>
        <w:rPr>
          <w:szCs w:val="22"/>
          <w:lang w:val="sk-SK"/>
        </w:rPr>
      </w:pPr>
      <w:r w:rsidRPr="00456BFF">
        <w:rPr>
          <w:noProof/>
          <w:szCs w:val="22"/>
          <w:lang w:val="sk-SK"/>
        </w:rPr>
        <w:t xml:space="preserve">200 </w:t>
      </w:r>
      <w:r w:rsidRPr="00456BFF">
        <w:rPr>
          <w:szCs w:val="22"/>
          <w:lang w:val="sk-SK"/>
        </w:rPr>
        <w:t>mikrogramov</w:t>
      </w:r>
    </w:p>
    <w:p w14:paraId="0A483AD6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Ružové okrúhle ploché nepotiahnuté tablety s deliacou ryhou na oboch stranách a s vyrazeným nápisom „P“ a „11“ na jednej strane a hladké na strane druhej. Priemer tablety je približne 7 mm.</w:t>
      </w:r>
    </w:p>
    <w:p w14:paraId="1005E289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Tableta sa môže rozdeliť na rovnaké dávky.</w:t>
      </w:r>
      <w:bookmarkEnd w:id="1"/>
    </w:p>
    <w:p w14:paraId="4CD05D7D" w14:textId="77777777" w:rsidR="009E3661" w:rsidRPr="00456BFF" w:rsidRDefault="009E3661" w:rsidP="009E3661">
      <w:pPr>
        <w:spacing w:line="240" w:lineRule="auto"/>
        <w:rPr>
          <w:noProof/>
          <w:szCs w:val="22"/>
          <w:highlight w:val="yellow"/>
          <w:lang w:val="sk-SK"/>
        </w:rPr>
      </w:pPr>
    </w:p>
    <w:p w14:paraId="709F5554" w14:textId="77777777" w:rsidR="009E3661" w:rsidRPr="00456BFF" w:rsidRDefault="009E3661" w:rsidP="009E3661">
      <w:pPr>
        <w:spacing w:line="240" w:lineRule="auto"/>
        <w:rPr>
          <w:noProof/>
          <w:szCs w:val="22"/>
          <w:highlight w:val="yellow"/>
          <w:lang w:val="sk-SK"/>
        </w:rPr>
      </w:pPr>
    </w:p>
    <w:p w14:paraId="2B997E50" w14:textId="77777777" w:rsidR="009E3661" w:rsidRPr="00456BFF" w:rsidRDefault="009E3661" w:rsidP="009E3661">
      <w:pPr>
        <w:suppressAutoHyphens/>
        <w:spacing w:line="240" w:lineRule="auto"/>
        <w:ind w:left="567" w:hanging="567"/>
        <w:rPr>
          <w:caps/>
          <w:noProof/>
          <w:szCs w:val="22"/>
          <w:lang w:val="sk-SK"/>
        </w:rPr>
      </w:pPr>
      <w:r w:rsidRPr="00456BFF">
        <w:rPr>
          <w:b/>
          <w:caps/>
          <w:noProof/>
          <w:szCs w:val="22"/>
          <w:lang w:val="sk-SK"/>
        </w:rPr>
        <w:t>4.</w:t>
      </w:r>
      <w:r w:rsidRPr="00456BFF">
        <w:rPr>
          <w:b/>
          <w:caps/>
          <w:noProof/>
          <w:szCs w:val="22"/>
          <w:lang w:val="sk-SK"/>
        </w:rPr>
        <w:tab/>
      </w:r>
      <w:r w:rsidRPr="00456BFF">
        <w:rPr>
          <w:b/>
          <w:noProof/>
          <w:szCs w:val="22"/>
          <w:lang w:val="sk-SK"/>
        </w:rPr>
        <w:t>KLINICKÉ ÚDAJE</w:t>
      </w:r>
    </w:p>
    <w:p w14:paraId="3A8F9436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3135AA98" w14:textId="77777777" w:rsidR="009E3661" w:rsidRPr="00456BFF" w:rsidRDefault="009E3661" w:rsidP="009E3661">
      <w:pPr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456BFF">
        <w:rPr>
          <w:b/>
          <w:noProof/>
          <w:szCs w:val="22"/>
          <w:lang w:val="sk-SK"/>
        </w:rPr>
        <w:t>4.1</w:t>
      </w:r>
      <w:r w:rsidRPr="00456BFF">
        <w:rPr>
          <w:b/>
          <w:noProof/>
          <w:szCs w:val="22"/>
          <w:lang w:val="sk-SK"/>
        </w:rPr>
        <w:tab/>
      </w:r>
      <w:r w:rsidRPr="00456BFF">
        <w:rPr>
          <w:b/>
          <w:lang w:val="sk-SK" w:eastAsia="sk-SK" w:bidi="sk-SK"/>
        </w:rPr>
        <w:t>Terapeutické indikácie</w:t>
      </w:r>
    </w:p>
    <w:p w14:paraId="72DE4DED" w14:textId="77777777" w:rsidR="009E3661" w:rsidRPr="00456BFF" w:rsidRDefault="009E3661" w:rsidP="009E3661">
      <w:pPr>
        <w:spacing w:line="240" w:lineRule="auto"/>
        <w:rPr>
          <w:noProof/>
          <w:szCs w:val="22"/>
          <w:highlight w:val="yellow"/>
          <w:lang w:val="sk-SK"/>
        </w:rPr>
      </w:pPr>
    </w:p>
    <w:p w14:paraId="55606C97" w14:textId="5BE5F84F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 xml:space="preserve">Levothyroxine Accord 25–200 </w:t>
      </w:r>
      <w:r w:rsidR="009F1DCC" w:rsidRPr="006B1F83">
        <w:rPr>
          <w:noProof/>
          <w:szCs w:val="22"/>
          <w:lang w:val="sk-SK"/>
        </w:rPr>
        <w:t>mikrogramov</w:t>
      </w:r>
      <w:r w:rsidRPr="006B1F83">
        <w:rPr>
          <w:noProof/>
          <w:szCs w:val="22"/>
          <w:lang w:val="sk-SK"/>
        </w:rPr>
        <w:t>:</w:t>
      </w:r>
    </w:p>
    <w:p w14:paraId="6F32C17B" w14:textId="77777777" w:rsidR="009E3661" w:rsidRPr="00456BFF" w:rsidRDefault="009E3661" w:rsidP="009E3661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360"/>
        <w:rPr>
          <w:rFonts w:eastAsia="SimSun"/>
          <w:szCs w:val="22"/>
          <w:lang w:val="sk-SK"/>
        </w:rPr>
      </w:pPr>
      <w:r w:rsidRPr="00456BFF">
        <w:rPr>
          <w:rFonts w:eastAsia="SimSun"/>
          <w:szCs w:val="22"/>
          <w:lang w:val="sk-SK"/>
        </w:rPr>
        <w:t>liečba benígnej eutyreoidnej strumy</w:t>
      </w:r>
    </w:p>
    <w:p w14:paraId="093589B7" w14:textId="77777777" w:rsidR="009E3661" w:rsidRPr="00456BFF" w:rsidRDefault="009E3661" w:rsidP="009E3661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360"/>
        <w:rPr>
          <w:rFonts w:eastAsia="SimSun"/>
          <w:szCs w:val="22"/>
          <w:lang w:val="sk-SK"/>
        </w:rPr>
      </w:pPr>
      <w:r w:rsidRPr="00456BFF">
        <w:rPr>
          <w:rFonts w:eastAsia="SimSun"/>
          <w:szCs w:val="22"/>
          <w:lang w:val="sk-SK"/>
        </w:rPr>
        <w:t>profylaxia relapsov po operácii eutyreoidnej strumy, v závislosti od pooperačného hormonálneho stavu</w:t>
      </w:r>
    </w:p>
    <w:p w14:paraId="65F0F909" w14:textId="7DDFB64E" w:rsidR="009E3661" w:rsidRPr="00456BFF" w:rsidRDefault="009E3661" w:rsidP="009E3661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360"/>
        <w:rPr>
          <w:rFonts w:eastAsia="SimSun"/>
          <w:szCs w:val="22"/>
          <w:lang w:val="sk-SK"/>
        </w:rPr>
      </w:pPr>
      <w:r w:rsidRPr="00456BFF">
        <w:rPr>
          <w:rFonts w:eastAsia="SimSun"/>
          <w:szCs w:val="22"/>
          <w:lang w:val="sk-SK"/>
        </w:rPr>
        <w:t xml:space="preserve">substitučná liečba hypotyreózy </w:t>
      </w:r>
    </w:p>
    <w:p w14:paraId="688EBA04" w14:textId="77777777" w:rsidR="009E3661" w:rsidRPr="00456BFF" w:rsidRDefault="009E3661" w:rsidP="009E3661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360"/>
        <w:rPr>
          <w:rFonts w:eastAsia="SimSun"/>
          <w:szCs w:val="22"/>
          <w:lang w:val="sk-SK"/>
        </w:rPr>
      </w:pPr>
      <w:r w:rsidRPr="00456BFF">
        <w:rPr>
          <w:rFonts w:eastAsia="SimSun"/>
          <w:szCs w:val="22"/>
          <w:lang w:val="sk-SK"/>
        </w:rPr>
        <w:t>supresívna liečba rakoviny štítnej žľazy</w:t>
      </w:r>
    </w:p>
    <w:p w14:paraId="46830CEF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2C9412BA" w14:textId="0A61CA6C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 xml:space="preserve">Levothyroxine Accord 25–100 </w:t>
      </w:r>
      <w:r w:rsidR="008F5665">
        <w:rPr>
          <w:szCs w:val="22"/>
          <w:lang w:val="sk-SK"/>
        </w:rPr>
        <w:t>mikrogramov</w:t>
      </w:r>
      <w:r w:rsidRPr="00456BFF">
        <w:rPr>
          <w:noProof/>
          <w:szCs w:val="22"/>
          <w:lang w:val="sk-SK"/>
        </w:rPr>
        <w:t>:</w:t>
      </w:r>
    </w:p>
    <w:p w14:paraId="479F449C" w14:textId="77777777" w:rsidR="009E3661" w:rsidRPr="00456BFF" w:rsidRDefault="009E3661" w:rsidP="009E3661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360"/>
        <w:rPr>
          <w:noProof/>
          <w:szCs w:val="22"/>
          <w:lang w:val="sk-SK"/>
        </w:rPr>
      </w:pPr>
      <w:r w:rsidRPr="00456BFF">
        <w:rPr>
          <w:rFonts w:eastAsia="SimSun"/>
          <w:szCs w:val="22"/>
          <w:lang w:val="sk-SK"/>
        </w:rPr>
        <w:t>sprievodná liečba počas liečby hypertyreózy tyreostatikami</w:t>
      </w:r>
    </w:p>
    <w:p w14:paraId="4417E2BF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63629D90" w14:textId="649F3CEA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 xml:space="preserve">Levothyroxine Accord 100/150/200 </w:t>
      </w:r>
      <w:r w:rsidR="008F5665">
        <w:rPr>
          <w:szCs w:val="22"/>
          <w:lang w:val="sk-SK"/>
        </w:rPr>
        <w:t>mikrogramov</w:t>
      </w:r>
      <w:r w:rsidRPr="00456BFF">
        <w:rPr>
          <w:noProof/>
          <w:szCs w:val="22"/>
          <w:lang w:val="sk-SK"/>
        </w:rPr>
        <w:t>:</w:t>
      </w:r>
    </w:p>
    <w:p w14:paraId="594397E5" w14:textId="77777777" w:rsidR="009E3661" w:rsidRPr="00456BFF" w:rsidRDefault="009E3661" w:rsidP="009E3661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360"/>
        <w:rPr>
          <w:noProof/>
          <w:szCs w:val="22"/>
          <w:lang w:val="sk-SK"/>
        </w:rPr>
      </w:pPr>
      <w:r w:rsidRPr="00456BFF">
        <w:rPr>
          <w:rStyle w:val="Zvraznenie"/>
          <w:i w:val="0"/>
          <w:iCs w:val="0"/>
          <w:szCs w:val="22"/>
          <w:shd w:val="clear" w:color="auto" w:fill="FFFFFF"/>
          <w:lang w:val="sk-SK"/>
        </w:rPr>
        <w:t>diagnostické</w:t>
      </w:r>
      <w:r w:rsidRPr="00456BFF">
        <w:rPr>
          <w:szCs w:val="22"/>
          <w:shd w:val="clear" w:color="auto" w:fill="FFFFFF"/>
          <w:lang w:val="sk-SK"/>
        </w:rPr>
        <w:t xml:space="preserve"> použitie na </w:t>
      </w:r>
      <w:r w:rsidRPr="00456BFF">
        <w:rPr>
          <w:noProof/>
          <w:szCs w:val="22"/>
          <w:lang w:val="sk-SK"/>
        </w:rPr>
        <w:t>supresný test štítnej žľazy</w:t>
      </w:r>
    </w:p>
    <w:p w14:paraId="11270C54" w14:textId="77777777" w:rsidR="009E3661" w:rsidRPr="00456BFF" w:rsidRDefault="009E3661" w:rsidP="009E3661">
      <w:pPr>
        <w:spacing w:line="240" w:lineRule="auto"/>
        <w:rPr>
          <w:noProof/>
          <w:szCs w:val="22"/>
          <w:highlight w:val="yellow"/>
          <w:lang w:val="sk-SK"/>
        </w:rPr>
      </w:pPr>
    </w:p>
    <w:p w14:paraId="2210A7B8" w14:textId="4BF0D93D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 xml:space="preserve">Levothyroxine Accord 12,5 </w:t>
      </w:r>
      <w:r w:rsidR="008F5665">
        <w:rPr>
          <w:szCs w:val="22"/>
          <w:lang w:val="sk-SK"/>
        </w:rPr>
        <w:t>mikrogramov</w:t>
      </w:r>
      <w:r w:rsidRPr="00456BFF">
        <w:rPr>
          <w:noProof/>
          <w:szCs w:val="22"/>
          <w:lang w:val="sk-SK"/>
        </w:rPr>
        <w:t>:</w:t>
      </w:r>
    </w:p>
    <w:p w14:paraId="1648EACB" w14:textId="77777777" w:rsidR="009E3661" w:rsidRPr="00456BFF" w:rsidRDefault="009E3661" w:rsidP="009E3661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360"/>
        <w:rPr>
          <w:noProof/>
          <w:szCs w:val="22"/>
          <w:lang w:val="sk-SK"/>
        </w:rPr>
      </w:pPr>
      <w:r w:rsidRPr="003C55B9">
        <w:rPr>
          <w:noProof/>
          <w:szCs w:val="22"/>
          <w:lang w:val="sk-SK"/>
        </w:rPr>
        <w:t xml:space="preserve">u detí ako </w:t>
      </w:r>
      <w:r>
        <w:rPr>
          <w:noProof/>
          <w:szCs w:val="22"/>
          <w:lang w:val="sk-SK"/>
        </w:rPr>
        <w:t>po</w:t>
      </w:r>
      <w:r w:rsidRPr="003C55B9">
        <w:rPr>
          <w:noProof/>
          <w:szCs w:val="22"/>
          <w:lang w:val="sk-SK"/>
        </w:rPr>
        <w:t>čiatočná dávka substitučnej liečby hormónmi štítnej žľazy pri hypotyreóze</w:t>
      </w:r>
      <w:r w:rsidRPr="00456BFF">
        <w:rPr>
          <w:noProof/>
          <w:szCs w:val="22"/>
          <w:lang w:val="sk-SK"/>
        </w:rPr>
        <w:t>,</w:t>
      </w:r>
    </w:p>
    <w:p w14:paraId="06641E3B" w14:textId="71CAD924" w:rsidR="009E3661" w:rsidRPr="00456BFF" w:rsidRDefault="009E3661" w:rsidP="009E3661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360"/>
        <w:rPr>
          <w:noProof/>
          <w:szCs w:val="22"/>
          <w:lang w:val="sk-SK"/>
        </w:rPr>
      </w:pPr>
      <w:r>
        <w:rPr>
          <w:noProof/>
          <w:szCs w:val="22"/>
        </w:rPr>
        <w:t xml:space="preserve">u starších pacientov, pacientov s ochorením koronárnych artérií a u pacientov s ťažkou alebo chronickou hypotyreózou ako nízka počiatočná dávka, ktorá sa neskôr pomaly a v dlhších intervaloch zvyšuje (napr. postupné zvyšovanie dávky po </w:t>
      </w:r>
      <w:r w:rsidR="009F1DCC">
        <w:rPr>
          <w:noProof/>
          <w:szCs w:val="22"/>
        </w:rPr>
        <w:t>12,5</w:t>
      </w:r>
      <w:r>
        <w:rPr>
          <w:noProof/>
          <w:szCs w:val="22"/>
        </w:rPr>
        <w:t> µg každých 14 dní) s častým sledovaním hodnôt hormónov štítnej žľazy</w:t>
      </w:r>
      <w:r w:rsidRPr="00456BFF">
        <w:rPr>
          <w:noProof/>
          <w:szCs w:val="22"/>
          <w:lang w:val="sk-SK"/>
        </w:rPr>
        <w:t>,</w:t>
      </w:r>
    </w:p>
    <w:p w14:paraId="49E85E8D" w14:textId="77777777" w:rsidR="009E3661" w:rsidRPr="00456BFF" w:rsidRDefault="009E3661" w:rsidP="009E3661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360"/>
        <w:rPr>
          <w:noProof/>
          <w:szCs w:val="22"/>
          <w:lang w:val="sk-SK"/>
        </w:rPr>
      </w:pPr>
      <w:r w:rsidRPr="003C55B9">
        <w:rPr>
          <w:noProof/>
          <w:szCs w:val="22"/>
          <w:lang w:val="sk-SK"/>
        </w:rPr>
        <w:t>u ktoréhokoľvek pacienta, ktorý vyžaduje postupné zvyšovanie dávky levotyroxínu</w:t>
      </w:r>
      <w:r>
        <w:rPr>
          <w:noProof/>
          <w:szCs w:val="22"/>
          <w:lang w:val="sk-SK"/>
        </w:rPr>
        <w:t>.</w:t>
      </w:r>
    </w:p>
    <w:p w14:paraId="72802C00" w14:textId="77777777" w:rsidR="009E3661" w:rsidRPr="00456BFF" w:rsidRDefault="009E3661" w:rsidP="009E3661">
      <w:pPr>
        <w:spacing w:line="240" w:lineRule="auto"/>
        <w:rPr>
          <w:noProof/>
          <w:szCs w:val="22"/>
          <w:highlight w:val="yellow"/>
          <w:lang w:val="sk-SK"/>
        </w:rPr>
      </w:pPr>
    </w:p>
    <w:p w14:paraId="3A24E19A" w14:textId="77777777" w:rsidR="009E3661" w:rsidRPr="00456BFF" w:rsidRDefault="009E3661" w:rsidP="009E3661">
      <w:pPr>
        <w:spacing w:line="240" w:lineRule="auto"/>
        <w:outlineLvl w:val="0"/>
        <w:rPr>
          <w:b/>
          <w:noProof/>
          <w:szCs w:val="22"/>
          <w:lang w:val="sk-SK"/>
        </w:rPr>
      </w:pPr>
      <w:r w:rsidRPr="00456BFF">
        <w:rPr>
          <w:b/>
          <w:noProof/>
          <w:szCs w:val="22"/>
          <w:lang w:val="sk-SK"/>
        </w:rPr>
        <w:t>4.2</w:t>
      </w:r>
      <w:r w:rsidRPr="00456BFF">
        <w:rPr>
          <w:b/>
          <w:noProof/>
          <w:szCs w:val="22"/>
          <w:lang w:val="sk-SK"/>
        </w:rPr>
        <w:tab/>
      </w:r>
      <w:r w:rsidRPr="00DE6D00">
        <w:rPr>
          <w:b/>
          <w:noProof/>
          <w:szCs w:val="22"/>
          <w:lang w:val="sk-SK"/>
        </w:rPr>
        <w:t>Dávkovanie a spôsob podávania</w:t>
      </w:r>
    </w:p>
    <w:p w14:paraId="33EFB679" w14:textId="77777777" w:rsidR="009E3661" w:rsidRPr="00456BFF" w:rsidRDefault="009E3661" w:rsidP="009E3661">
      <w:pPr>
        <w:spacing w:line="240" w:lineRule="auto"/>
        <w:rPr>
          <w:szCs w:val="22"/>
          <w:lang w:val="sk-SK"/>
        </w:rPr>
      </w:pPr>
    </w:p>
    <w:p w14:paraId="0E381E85" w14:textId="77777777" w:rsidR="009E3661" w:rsidRPr="00456BFF" w:rsidRDefault="009E3661" w:rsidP="009E3661">
      <w:pPr>
        <w:spacing w:line="240" w:lineRule="auto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Dávkovanie</w:t>
      </w:r>
    </w:p>
    <w:p w14:paraId="19F790A3" w14:textId="77777777" w:rsidR="009E3661" w:rsidRPr="00456BFF" w:rsidRDefault="009E3661" w:rsidP="009E3661">
      <w:pPr>
        <w:spacing w:line="240" w:lineRule="auto"/>
        <w:jc w:val="both"/>
        <w:rPr>
          <w:bCs/>
          <w:iCs/>
          <w:szCs w:val="22"/>
          <w:lang w:val="sk-SK"/>
        </w:rPr>
      </w:pPr>
    </w:p>
    <w:p w14:paraId="49747928" w14:textId="77777777" w:rsidR="009E3661" w:rsidRPr="00DE6D00" w:rsidRDefault="009E3661" w:rsidP="009E3661">
      <w:pPr>
        <w:spacing w:line="240" w:lineRule="auto"/>
        <w:rPr>
          <w:bCs/>
          <w:iCs/>
          <w:szCs w:val="22"/>
          <w:lang w:val="sk-SK"/>
        </w:rPr>
      </w:pPr>
      <w:r w:rsidRPr="00DE6D00">
        <w:rPr>
          <w:bCs/>
          <w:iCs/>
          <w:szCs w:val="22"/>
          <w:lang w:val="sk-SK"/>
        </w:rPr>
        <w:t xml:space="preserve">Na dosiahnutie individuálnych potrieb liečby každého pacienta sú k dispozícii </w:t>
      </w:r>
      <w:r>
        <w:rPr>
          <w:bCs/>
          <w:iCs/>
          <w:szCs w:val="22"/>
          <w:lang w:val="sk-SK"/>
        </w:rPr>
        <w:t>tablety</w:t>
      </w:r>
      <w:r w:rsidRPr="00DE6D00">
        <w:rPr>
          <w:bCs/>
          <w:iCs/>
          <w:szCs w:val="22"/>
          <w:lang w:val="sk-SK"/>
        </w:rPr>
        <w:t xml:space="preserve"> </w:t>
      </w:r>
      <w:r w:rsidRPr="007C308A">
        <w:rPr>
          <w:bCs/>
          <w:iCs/>
          <w:szCs w:val="22"/>
          <w:lang w:val="sk-SK"/>
        </w:rPr>
        <w:t xml:space="preserve">s obsahom sodnej soli levotyroxínu v rozsahu </w:t>
      </w:r>
      <w:r>
        <w:rPr>
          <w:bCs/>
          <w:iCs/>
          <w:szCs w:val="22"/>
          <w:lang w:val="sk-SK"/>
        </w:rPr>
        <w:t>od 12,5</w:t>
      </w:r>
      <w:r w:rsidRPr="00DE6D00">
        <w:rPr>
          <w:bCs/>
          <w:iCs/>
          <w:szCs w:val="22"/>
          <w:lang w:val="sk-SK"/>
        </w:rPr>
        <w:t> do 200 mikrogramov.</w:t>
      </w:r>
      <w:r w:rsidRPr="007C308A">
        <w:t xml:space="preserve"> </w:t>
      </w:r>
      <w:r w:rsidRPr="007C308A">
        <w:rPr>
          <w:bCs/>
          <w:iCs/>
          <w:szCs w:val="22"/>
          <w:lang w:val="sk-SK"/>
        </w:rPr>
        <w:t>Pacientom preto zvyčajne stačí užiť jednu tabletu denne.</w:t>
      </w:r>
    </w:p>
    <w:p w14:paraId="1458D95D" w14:textId="77777777" w:rsidR="009E3661" w:rsidRPr="00DE6D00" w:rsidRDefault="009E3661" w:rsidP="009E3661">
      <w:pPr>
        <w:spacing w:line="240" w:lineRule="auto"/>
        <w:rPr>
          <w:bCs/>
          <w:iCs/>
          <w:szCs w:val="22"/>
          <w:lang w:val="sk-SK"/>
        </w:rPr>
      </w:pPr>
    </w:p>
    <w:p w14:paraId="2F97727E" w14:textId="77777777" w:rsidR="009E3661" w:rsidRPr="00DE6D00" w:rsidRDefault="009E3661" w:rsidP="009E3661">
      <w:pPr>
        <w:spacing w:line="240" w:lineRule="auto"/>
        <w:rPr>
          <w:bCs/>
          <w:iCs/>
          <w:szCs w:val="22"/>
          <w:lang w:val="sk-SK"/>
        </w:rPr>
      </w:pPr>
      <w:r w:rsidRPr="00DE6D00">
        <w:rPr>
          <w:bCs/>
          <w:iCs/>
          <w:szCs w:val="22"/>
          <w:lang w:val="sk-SK"/>
        </w:rPr>
        <w:t xml:space="preserve">Odporúčané dávkovanie </w:t>
      </w:r>
      <w:r>
        <w:rPr>
          <w:bCs/>
          <w:iCs/>
          <w:szCs w:val="22"/>
          <w:lang w:val="sk-SK"/>
        </w:rPr>
        <w:t>je</w:t>
      </w:r>
      <w:r w:rsidRPr="00DE6D00">
        <w:rPr>
          <w:bCs/>
          <w:iCs/>
          <w:szCs w:val="22"/>
          <w:lang w:val="sk-SK"/>
        </w:rPr>
        <w:t xml:space="preserve"> uvedené </w:t>
      </w:r>
      <w:r>
        <w:rPr>
          <w:bCs/>
          <w:iCs/>
          <w:szCs w:val="22"/>
          <w:lang w:val="sk-SK"/>
        </w:rPr>
        <w:t>iba</w:t>
      </w:r>
      <w:r w:rsidRPr="00DE6D00">
        <w:rPr>
          <w:bCs/>
          <w:iCs/>
          <w:szCs w:val="22"/>
          <w:lang w:val="sk-SK"/>
        </w:rPr>
        <w:t xml:space="preserve"> ako </w:t>
      </w:r>
      <w:r w:rsidRPr="00800F2E">
        <w:rPr>
          <w:bCs/>
          <w:iCs/>
          <w:szCs w:val="22"/>
          <w:lang w:val="sk-SK"/>
        </w:rPr>
        <w:t>príklad.</w:t>
      </w:r>
    </w:p>
    <w:p w14:paraId="60101DF8" w14:textId="77777777" w:rsidR="009E3661" w:rsidRPr="00DE6D00" w:rsidRDefault="009E3661" w:rsidP="009E3661">
      <w:pPr>
        <w:spacing w:line="240" w:lineRule="auto"/>
        <w:rPr>
          <w:bCs/>
          <w:iCs/>
          <w:szCs w:val="22"/>
          <w:lang w:val="sk-SK"/>
        </w:rPr>
      </w:pPr>
    </w:p>
    <w:p w14:paraId="655A96E5" w14:textId="77777777" w:rsidR="009E3661" w:rsidRPr="00DE6D00" w:rsidRDefault="009E3661" w:rsidP="009E3661">
      <w:pPr>
        <w:spacing w:line="240" w:lineRule="auto"/>
        <w:rPr>
          <w:bCs/>
          <w:iCs/>
          <w:szCs w:val="22"/>
          <w:lang w:val="sk-SK"/>
        </w:rPr>
      </w:pPr>
      <w:r w:rsidRPr="00DE6D00">
        <w:rPr>
          <w:bCs/>
          <w:iCs/>
          <w:szCs w:val="22"/>
          <w:lang w:val="sk-SK"/>
        </w:rPr>
        <w:t>Individuálna denná dávka sa má stanoviť na základe diagnostických laboratórnych testov a klinických vyšetrení.</w:t>
      </w:r>
    </w:p>
    <w:p w14:paraId="5F5BCD4B" w14:textId="77777777" w:rsidR="009E3661" w:rsidRPr="00DE6D00" w:rsidRDefault="009E3661" w:rsidP="009E3661">
      <w:pPr>
        <w:spacing w:line="240" w:lineRule="auto"/>
        <w:rPr>
          <w:bCs/>
          <w:iCs/>
          <w:szCs w:val="22"/>
          <w:lang w:val="sk-SK"/>
        </w:rPr>
      </w:pPr>
    </w:p>
    <w:p w14:paraId="5FDFAAFC" w14:textId="77777777" w:rsidR="009E3661" w:rsidRDefault="009E3661" w:rsidP="009E3661">
      <w:pPr>
        <w:spacing w:line="240" w:lineRule="auto"/>
        <w:rPr>
          <w:bCs/>
          <w:iCs/>
          <w:szCs w:val="22"/>
          <w:lang w:val="sk-SK"/>
        </w:rPr>
      </w:pPr>
      <w:r w:rsidRPr="00DE6D00">
        <w:rPr>
          <w:bCs/>
          <w:iCs/>
          <w:szCs w:val="22"/>
          <w:lang w:val="sk-SK"/>
        </w:rPr>
        <w:lastRenderedPageBreak/>
        <w:t>Vzhľadom na to, že niektorí pacienti majú zvýšené koncentrácie T</w:t>
      </w:r>
      <w:r w:rsidRPr="00DE6D00">
        <w:rPr>
          <w:bCs/>
          <w:iCs/>
          <w:szCs w:val="22"/>
          <w:vertAlign w:val="subscript"/>
          <w:lang w:val="sk-SK"/>
        </w:rPr>
        <w:t>4</w:t>
      </w:r>
      <w:r w:rsidRPr="00DE6D00">
        <w:rPr>
          <w:bCs/>
          <w:iCs/>
          <w:szCs w:val="22"/>
          <w:lang w:val="sk-SK"/>
        </w:rPr>
        <w:t xml:space="preserve"> a fT</w:t>
      </w:r>
      <w:r w:rsidRPr="00DE6D00">
        <w:rPr>
          <w:bCs/>
          <w:iCs/>
          <w:szCs w:val="22"/>
          <w:vertAlign w:val="subscript"/>
          <w:lang w:val="sk-SK"/>
        </w:rPr>
        <w:t>4</w:t>
      </w:r>
      <w:r w:rsidRPr="00DE6D00">
        <w:rPr>
          <w:bCs/>
          <w:iCs/>
          <w:szCs w:val="22"/>
          <w:lang w:val="sk-SK"/>
        </w:rPr>
        <w:t>, spoľahlivejším ukazovateľom pre ďalší priebeh liečby je bazálna sérová koncentrácia TSH (thyrotropin-stimulating hormone, tyreotropný hormón).</w:t>
      </w:r>
    </w:p>
    <w:p w14:paraId="22AF5F3D" w14:textId="77777777" w:rsidR="009E3661" w:rsidRDefault="009E3661" w:rsidP="009E3661">
      <w:pPr>
        <w:spacing w:line="240" w:lineRule="auto"/>
        <w:rPr>
          <w:bCs/>
          <w:iCs/>
          <w:szCs w:val="22"/>
          <w:lang w:val="sk-SK"/>
        </w:rPr>
      </w:pPr>
    </w:p>
    <w:p w14:paraId="3CE56AE5" w14:textId="77777777" w:rsidR="009E3661" w:rsidRPr="00974A5F" w:rsidRDefault="009E3661" w:rsidP="009E3661">
      <w:pPr>
        <w:spacing w:after="160" w:line="259" w:lineRule="auto"/>
        <w:rPr>
          <w:szCs w:val="22"/>
          <w:lang w:val="sk-SK"/>
        </w:rPr>
      </w:pPr>
      <w:r w:rsidRPr="00A938DC">
        <w:rPr>
          <w:szCs w:val="22"/>
          <w:lang w:val="sk-SK"/>
        </w:rPr>
        <w:t>Liečba hormónom štítnej žľazy sa má začať nízkou dávkou, ktorú je potrebné postupne zvyšovať každé 2 až 4 týždne, pokiaľ sa nedosiahne plná substitučná dávka.</w:t>
      </w:r>
    </w:p>
    <w:p w14:paraId="4842B4D3" w14:textId="77777777" w:rsidR="009E3661" w:rsidRPr="004C45E1" w:rsidRDefault="009E3661" w:rsidP="009E3661">
      <w:pPr>
        <w:tabs>
          <w:tab w:val="clear" w:pos="567"/>
        </w:tabs>
        <w:spacing w:line="240" w:lineRule="exact"/>
        <w:jc w:val="both"/>
        <w:rPr>
          <w:i/>
          <w:noProof/>
          <w:szCs w:val="22"/>
          <w:lang w:val="sk-SK"/>
        </w:rPr>
      </w:pPr>
      <w:r w:rsidRPr="004C45E1">
        <w:rPr>
          <w:i/>
          <w:noProof/>
          <w:szCs w:val="22"/>
          <w:lang w:val="sk-SK"/>
        </w:rPr>
        <w:t>Pediatrická populácia</w:t>
      </w:r>
    </w:p>
    <w:p w14:paraId="421FD021" w14:textId="77777777" w:rsidR="009E3661" w:rsidRPr="00DE6D00" w:rsidRDefault="009E3661" w:rsidP="009E3661">
      <w:pPr>
        <w:spacing w:line="240" w:lineRule="auto"/>
        <w:rPr>
          <w:bCs/>
          <w:iCs/>
          <w:szCs w:val="22"/>
          <w:lang w:val="sk-SK"/>
        </w:rPr>
      </w:pPr>
      <w:r w:rsidRPr="004C45E1">
        <w:rPr>
          <w:bCs/>
          <w:iCs/>
          <w:szCs w:val="22"/>
          <w:lang w:val="sk-SK"/>
        </w:rPr>
        <w:t>Pre novorodencov a deti s vroden</w:t>
      </w:r>
      <w:r>
        <w:rPr>
          <w:bCs/>
          <w:iCs/>
          <w:szCs w:val="22"/>
          <w:lang w:val="sk-SK"/>
        </w:rPr>
        <w:t>ou</w:t>
      </w:r>
      <w:r w:rsidRPr="004C45E1">
        <w:rPr>
          <w:bCs/>
          <w:iCs/>
          <w:szCs w:val="22"/>
          <w:lang w:val="sk-SK"/>
        </w:rPr>
        <w:t xml:space="preserve"> hypotyre</w:t>
      </w:r>
      <w:r>
        <w:rPr>
          <w:bCs/>
          <w:iCs/>
          <w:szCs w:val="22"/>
          <w:lang w:val="sk-SK"/>
        </w:rPr>
        <w:t xml:space="preserve">ózou, </w:t>
      </w:r>
      <w:r w:rsidRPr="00B71982">
        <w:rPr>
          <w:bCs/>
          <w:iCs/>
          <w:szCs w:val="22"/>
          <w:lang w:val="sk-SK"/>
        </w:rPr>
        <w:t>kde je dôležitá rýchla substitúcia, je odporúčaná počiatočná dávka 10 až 15 mikrogramov na kg telesnej hmotnosti počas prvých 3 mesiacov. Následne sa odporúča individuálne upraviť dávku na základe klinických nálezov a hodnôt hormónov štítnej žľazy a TSH.</w:t>
      </w:r>
    </w:p>
    <w:p w14:paraId="598054C8" w14:textId="77777777" w:rsidR="009E3661" w:rsidRDefault="009E3661" w:rsidP="009E3661">
      <w:pPr>
        <w:spacing w:line="240" w:lineRule="auto"/>
        <w:rPr>
          <w:bCs/>
          <w:iCs/>
          <w:szCs w:val="22"/>
          <w:lang w:val="sk-SK"/>
        </w:rPr>
      </w:pPr>
    </w:p>
    <w:p w14:paraId="2B4171D8" w14:textId="77777777" w:rsidR="009E3661" w:rsidRDefault="009E3661" w:rsidP="009E3661">
      <w:pPr>
        <w:spacing w:line="240" w:lineRule="auto"/>
        <w:rPr>
          <w:bCs/>
          <w:iCs/>
          <w:szCs w:val="22"/>
          <w:lang w:val="sk-SK"/>
        </w:rPr>
      </w:pPr>
      <w:r w:rsidRPr="00C30F78">
        <w:rPr>
          <w:bCs/>
          <w:iCs/>
          <w:szCs w:val="22"/>
          <w:lang w:val="sk-SK"/>
        </w:rPr>
        <w:t>Pre deti so získan</w:t>
      </w:r>
      <w:r>
        <w:rPr>
          <w:bCs/>
          <w:iCs/>
          <w:szCs w:val="22"/>
          <w:lang w:val="sk-SK"/>
        </w:rPr>
        <w:t xml:space="preserve">ou </w:t>
      </w:r>
      <w:r w:rsidRPr="00C30F78">
        <w:rPr>
          <w:bCs/>
          <w:iCs/>
          <w:szCs w:val="22"/>
          <w:lang w:val="sk-SK"/>
        </w:rPr>
        <w:t>hypotyreózo</w:t>
      </w:r>
      <w:r>
        <w:rPr>
          <w:bCs/>
          <w:iCs/>
          <w:szCs w:val="22"/>
          <w:lang w:val="sk-SK"/>
        </w:rPr>
        <w:t>u</w:t>
      </w:r>
      <w:r w:rsidRPr="00C30F78">
        <w:rPr>
          <w:bCs/>
          <w:iCs/>
          <w:szCs w:val="22"/>
          <w:lang w:val="sk-SK"/>
        </w:rPr>
        <w:t xml:space="preserve"> je odporúčaná počiatočná dávka 12,5 </w:t>
      </w:r>
      <w:r>
        <w:rPr>
          <w:bCs/>
          <w:iCs/>
          <w:szCs w:val="22"/>
          <w:lang w:val="sk-SK"/>
        </w:rPr>
        <w:t>až</w:t>
      </w:r>
      <w:r w:rsidRPr="00C30F78">
        <w:rPr>
          <w:bCs/>
          <w:iCs/>
          <w:szCs w:val="22"/>
          <w:lang w:val="sk-SK"/>
        </w:rPr>
        <w:t xml:space="preserve"> 50 mikrogramov levotyroxínu</w:t>
      </w:r>
      <w:r>
        <w:rPr>
          <w:bCs/>
          <w:iCs/>
          <w:szCs w:val="22"/>
          <w:lang w:val="sk-SK"/>
        </w:rPr>
        <w:t xml:space="preserve"> na </w:t>
      </w:r>
      <w:r w:rsidRPr="00C30F78">
        <w:rPr>
          <w:bCs/>
          <w:iCs/>
          <w:szCs w:val="22"/>
          <w:lang w:val="sk-SK"/>
        </w:rPr>
        <w:t xml:space="preserve">deň. Dávka sa má zvyšovať postupne každé 2 </w:t>
      </w:r>
      <w:r>
        <w:rPr>
          <w:bCs/>
          <w:iCs/>
          <w:szCs w:val="22"/>
          <w:lang w:val="sk-SK"/>
        </w:rPr>
        <w:t>až</w:t>
      </w:r>
      <w:r w:rsidRPr="00C30F78">
        <w:rPr>
          <w:bCs/>
          <w:iCs/>
          <w:szCs w:val="22"/>
          <w:lang w:val="sk-SK"/>
        </w:rPr>
        <w:t xml:space="preserve"> 4 týždne na základe klinického nálezu a hladín tyreoidálnych hormónov a TSH, až kým sa nedosiahne dávka na úplnú substitúciu</w:t>
      </w:r>
      <w:r>
        <w:rPr>
          <w:bCs/>
          <w:iCs/>
          <w:szCs w:val="22"/>
          <w:lang w:val="sk-SK"/>
        </w:rPr>
        <w:t>.</w:t>
      </w:r>
    </w:p>
    <w:p w14:paraId="08B9489C" w14:textId="77777777" w:rsidR="009E3661" w:rsidRDefault="009E3661" w:rsidP="009E3661">
      <w:pPr>
        <w:spacing w:line="240" w:lineRule="auto"/>
        <w:rPr>
          <w:bCs/>
          <w:iCs/>
          <w:szCs w:val="22"/>
          <w:lang w:val="sk-SK"/>
        </w:rPr>
      </w:pPr>
    </w:p>
    <w:p w14:paraId="472333AE" w14:textId="77777777" w:rsidR="009E3661" w:rsidRDefault="009E3661" w:rsidP="009E3661">
      <w:pPr>
        <w:spacing w:line="240" w:lineRule="auto"/>
        <w:rPr>
          <w:bCs/>
          <w:iCs/>
          <w:szCs w:val="22"/>
          <w:lang w:val="sk-SK"/>
        </w:rPr>
      </w:pPr>
      <w:r>
        <w:rPr>
          <w:bCs/>
          <w:iCs/>
          <w:szCs w:val="22"/>
          <w:lang w:val="sk-SK"/>
        </w:rPr>
        <w:t xml:space="preserve">Tablety o sile 12,5 a 50 mikrogramov, ktoré </w:t>
      </w:r>
      <w:r w:rsidRPr="00C30F78">
        <w:rPr>
          <w:bCs/>
          <w:iCs/>
          <w:szCs w:val="22"/>
          <w:lang w:val="sk-SK"/>
        </w:rPr>
        <w:t>sa uprednostňujú</w:t>
      </w:r>
      <w:r>
        <w:rPr>
          <w:bCs/>
          <w:iCs/>
          <w:szCs w:val="22"/>
          <w:lang w:val="sk-SK"/>
        </w:rPr>
        <w:t xml:space="preserve"> pre pediatrickú populáciu, neobsahujú žiadne farbivá. </w:t>
      </w:r>
    </w:p>
    <w:p w14:paraId="2C827E18" w14:textId="77777777" w:rsidR="009E3661" w:rsidRPr="00DE6D00" w:rsidRDefault="009E3661" w:rsidP="009E3661">
      <w:pPr>
        <w:spacing w:line="240" w:lineRule="auto"/>
        <w:rPr>
          <w:bCs/>
          <w:iCs/>
          <w:szCs w:val="22"/>
          <w:lang w:val="sk-SK"/>
        </w:rPr>
      </w:pPr>
    </w:p>
    <w:p w14:paraId="252C1711" w14:textId="77777777" w:rsidR="009E3661" w:rsidRPr="009731DE" w:rsidRDefault="009E3661" w:rsidP="009E3661">
      <w:pPr>
        <w:spacing w:line="240" w:lineRule="auto"/>
        <w:rPr>
          <w:bCs/>
          <w:i/>
          <w:szCs w:val="22"/>
          <w:lang w:val="sk-SK"/>
        </w:rPr>
      </w:pPr>
      <w:r w:rsidRPr="009731DE">
        <w:rPr>
          <w:bCs/>
          <w:i/>
          <w:szCs w:val="22"/>
          <w:lang w:val="sk-SK"/>
        </w:rPr>
        <w:t>Starší ľudia</w:t>
      </w:r>
    </w:p>
    <w:p w14:paraId="277DB16E" w14:textId="77777777" w:rsidR="009E3661" w:rsidRPr="00DE6D00" w:rsidRDefault="009E3661" w:rsidP="009E3661">
      <w:pPr>
        <w:spacing w:line="240" w:lineRule="auto"/>
        <w:rPr>
          <w:bCs/>
          <w:iCs/>
          <w:szCs w:val="22"/>
          <w:lang w:val="sk-SK"/>
        </w:rPr>
      </w:pPr>
      <w:r w:rsidRPr="005C55F0">
        <w:rPr>
          <w:bCs/>
          <w:iCs/>
          <w:szCs w:val="22"/>
          <w:lang w:val="sk-SK"/>
        </w:rPr>
        <w:t xml:space="preserve">U starších </w:t>
      </w:r>
      <w:r w:rsidRPr="00DE6D00">
        <w:rPr>
          <w:bCs/>
          <w:iCs/>
          <w:szCs w:val="22"/>
          <w:lang w:val="sk-SK"/>
        </w:rPr>
        <w:t>paciento</w:t>
      </w:r>
      <w:r>
        <w:rPr>
          <w:bCs/>
          <w:iCs/>
          <w:szCs w:val="22"/>
          <w:lang w:val="sk-SK"/>
        </w:rPr>
        <w:t>v</w:t>
      </w:r>
      <w:r w:rsidRPr="00DE6D00">
        <w:rPr>
          <w:bCs/>
          <w:iCs/>
          <w:szCs w:val="22"/>
          <w:lang w:val="sk-SK"/>
        </w:rPr>
        <w:t>, paciento</w:t>
      </w:r>
      <w:r>
        <w:rPr>
          <w:bCs/>
          <w:iCs/>
          <w:szCs w:val="22"/>
          <w:lang w:val="sk-SK"/>
        </w:rPr>
        <w:t>v</w:t>
      </w:r>
      <w:r w:rsidRPr="00DE6D00">
        <w:rPr>
          <w:bCs/>
          <w:iCs/>
          <w:szCs w:val="22"/>
          <w:lang w:val="sk-SK"/>
        </w:rPr>
        <w:t xml:space="preserve"> s </w:t>
      </w:r>
      <w:r w:rsidRPr="005C55F0">
        <w:rPr>
          <w:bCs/>
          <w:iCs/>
          <w:szCs w:val="22"/>
          <w:lang w:val="sk-SK"/>
        </w:rPr>
        <w:t xml:space="preserve">ischemickou chorobou srdca </w:t>
      </w:r>
      <w:r w:rsidRPr="00DE6D00">
        <w:rPr>
          <w:bCs/>
          <w:iCs/>
          <w:szCs w:val="22"/>
          <w:lang w:val="sk-SK"/>
        </w:rPr>
        <w:t>a paciento</w:t>
      </w:r>
      <w:r>
        <w:rPr>
          <w:bCs/>
          <w:iCs/>
          <w:szCs w:val="22"/>
          <w:lang w:val="sk-SK"/>
        </w:rPr>
        <w:t>v</w:t>
      </w:r>
      <w:r w:rsidRPr="00DE6D00">
        <w:rPr>
          <w:bCs/>
          <w:iCs/>
          <w:szCs w:val="22"/>
          <w:lang w:val="sk-SK"/>
        </w:rPr>
        <w:t xml:space="preserve"> so závažnou alebo dlhotrvajúcou hypotyreózou je potrebné venovať zvláštnu pozornosť na začiatku liečby hormónmi štítnej žľazy</w:t>
      </w:r>
      <w:r>
        <w:rPr>
          <w:bCs/>
          <w:iCs/>
          <w:szCs w:val="22"/>
          <w:lang w:val="sk-SK"/>
        </w:rPr>
        <w:t>, t.j.</w:t>
      </w:r>
      <w:r w:rsidRPr="00DE6D00">
        <w:rPr>
          <w:bCs/>
          <w:iCs/>
          <w:szCs w:val="22"/>
          <w:lang w:val="sk-SK"/>
        </w:rPr>
        <w:t xml:space="preserve"> podať nízk</w:t>
      </w:r>
      <w:r>
        <w:rPr>
          <w:bCs/>
          <w:iCs/>
          <w:szCs w:val="22"/>
          <w:lang w:val="sk-SK"/>
        </w:rPr>
        <w:t>u</w:t>
      </w:r>
      <w:r w:rsidRPr="00DE6D00">
        <w:rPr>
          <w:bCs/>
          <w:iCs/>
          <w:szCs w:val="22"/>
          <w:lang w:val="sk-SK"/>
        </w:rPr>
        <w:t xml:space="preserve"> počiatočn</w:t>
      </w:r>
      <w:r>
        <w:rPr>
          <w:bCs/>
          <w:iCs/>
          <w:szCs w:val="22"/>
          <w:lang w:val="sk-SK"/>
        </w:rPr>
        <w:t>ú</w:t>
      </w:r>
      <w:r w:rsidRPr="00DE6D00">
        <w:rPr>
          <w:bCs/>
          <w:iCs/>
          <w:szCs w:val="22"/>
          <w:lang w:val="sk-SK"/>
        </w:rPr>
        <w:t xml:space="preserve"> dávk</w:t>
      </w:r>
      <w:r>
        <w:rPr>
          <w:bCs/>
          <w:iCs/>
          <w:szCs w:val="22"/>
          <w:lang w:val="sk-SK"/>
        </w:rPr>
        <w:t>u</w:t>
      </w:r>
      <w:r w:rsidRPr="00DE6D00">
        <w:rPr>
          <w:bCs/>
          <w:iCs/>
          <w:szCs w:val="22"/>
          <w:lang w:val="sk-SK"/>
        </w:rPr>
        <w:t xml:space="preserve"> (napr. </w:t>
      </w:r>
      <w:r>
        <w:rPr>
          <w:bCs/>
          <w:iCs/>
          <w:szCs w:val="22"/>
          <w:lang w:val="sk-SK"/>
        </w:rPr>
        <w:t>12,5</w:t>
      </w:r>
      <w:r w:rsidRPr="00DE6D00">
        <w:rPr>
          <w:bCs/>
          <w:iCs/>
          <w:szCs w:val="22"/>
          <w:lang w:val="sk-SK"/>
        </w:rPr>
        <w:t> mikrogramov/deň) a </w:t>
      </w:r>
      <w:r>
        <w:rPr>
          <w:bCs/>
          <w:iCs/>
          <w:szCs w:val="22"/>
          <w:lang w:val="sk-SK"/>
        </w:rPr>
        <w:t>tú</w:t>
      </w:r>
      <w:r w:rsidRPr="00DE6D00">
        <w:rPr>
          <w:bCs/>
          <w:iCs/>
          <w:szCs w:val="22"/>
          <w:lang w:val="sk-SK"/>
        </w:rPr>
        <w:t xml:space="preserve">to </w:t>
      </w:r>
      <w:r>
        <w:rPr>
          <w:bCs/>
          <w:iCs/>
          <w:szCs w:val="22"/>
          <w:lang w:val="sk-SK"/>
        </w:rPr>
        <w:t>dávku</w:t>
      </w:r>
      <w:r w:rsidRPr="00DE6D00">
        <w:rPr>
          <w:bCs/>
          <w:iCs/>
          <w:szCs w:val="22"/>
          <w:lang w:val="sk-SK"/>
        </w:rPr>
        <w:t xml:space="preserve"> pomaly zvyšovať v dlhších intervaloch (napr. postupné zvyšovanie dennej dávky o</w:t>
      </w:r>
      <w:r>
        <w:rPr>
          <w:bCs/>
          <w:iCs/>
          <w:szCs w:val="22"/>
          <w:lang w:val="sk-SK"/>
        </w:rPr>
        <w:t> 12,5</w:t>
      </w:r>
      <w:r w:rsidRPr="00DE6D00">
        <w:rPr>
          <w:bCs/>
          <w:iCs/>
          <w:szCs w:val="22"/>
          <w:lang w:val="sk-SK"/>
        </w:rPr>
        <w:t> mikrogramov</w:t>
      </w:r>
      <w:r w:rsidRPr="005C55F0">
        <w:rPr>
          <w:bCs/>
          <w:iCs/>
          <w:szCs w:val="22"/>
          <w:lang w:val="sk-SK"/>
        </w:rPr>
        <w:t>/deň</w:t>
      </w:r>
      <w:r w:rsidRPr="00DE6D00">
        <w:rPr>
          <w:bCs/>
          <w:iCs/>
          <w:szCs w:val="22"/>
          <w:lang w:val="sk-SK"/>
        </w:rPr>
        <w:t xml:space="preserve"> každých 14 dní) pri častom monitorovaní hladín hormónov štítnej žľazy. </w:t>
      </w:r>
      <w:r w:rsidRPr="00F32312">
        <w:rPr>
          <w:bCs/>
          <w:iCs/>
          <w:szCs w:val="22"/>
          <w:lang w:val="sk-SK"/>
        </w:rPr>
        <w:t>Je vhodné zvážiť podanie nižšej než optimálnej dávky poskytujúcej úplnú substitučnú liečbu, po ktorej nenasleduje kompletná úprava hladiny TSH.</w:t>
      </w:r>
    </w:p>
    <w:p w14:paraId="1C0CA307" w14:textId="77777777" w:rsidR="009E3661" w:rsidRPr="00DE6D00" w:rsidRDefault="009E3661" w:rsidP="009E3661">
      <w:pPr>
        <w:spacing w:line="240" w:lineRule="auto"/>
        <w:rPr>
          <w:bCs/>
          <w:iCs/>
          <w:szCs w:val="22"/>
          <w:lang w:val="sk-SK"/>
        </w:rPr>
      </w:pPr>
    </w:p>
    <w:p w14:paraId="2BD703C2" w14:textId="77777777" w:rsidR="009E3661" w:rsidRPr="00C30F78" w:rsidRDefault="009E3661" w:rsidP="009E3661">
      <w:pPr>
        <w:spacing w:line="240" w:lineRule="auto"/>
        <w:rPr>
          <w:bCs/>
          <w:iCs/>
          <w:szCs w:val="22"/>
          <w:lang w:val="sk-SK"/>
        </w:rPr>
      </w:pPr>
      <w:r w:rsidRPr="00DE6D00">
        <w:rPr>
          <w:bCs/>
          <w:iCs/>
          <w:szCs w:val="22"/>
          <w:lang w:val="sk-SK"/>
        </w:rPr>
        <w:t xml:space="preserve">Skúsenosť ukázala, </w:t>
      </w:r>
      <w:r w:rsidRPr="005B0989">
        <w:rPr>
          <w:bCs/>
          <w:iCs/>
          <w:szCs w:val="22"/>
          <w:lang w:val="sk-SK"/>
        </w:rPr>
        <w:t>že nižšia dávka je dostatočná u pacientov s nižšou hmotnosťou a u pacientov s veľkou nodulárnou strumou</w:t>
      </w:r>
      <w:r w:rsidRPr="00DE6D00">
        <w:rPr>
          <w:bCs/>
          <w:iCs/>
          <w:szCs w:val="22"/>
          <w:lang w:val="sk-SK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1512"/>
        <w:gridCol w:w="1182"/>
        <w:gridCol w:w="1182"/>
        <w:gridCol w:w="1167"/>
        <w:gridCol w:w="1167"/>
      </w:tblGrid>
      <w:tr w:rsidR="009E3661" w:rsidRPr="00456BFF" w14:paraId="2A28E162" w14:textId="77777777" w:rsidTr="00591695">
        <w:tc>
          <w:tcPr>
            <w:tcW w:w="3267" w:type="dxa"/>
          </w:tcPr>
          <w:p w14:paraId="72B7F680" w14:textId="77777777" w:rsidR="009E3661" w:rsidRPr="00456BFF" w:rsidRDefault="009E3661" w:rsidP="00591695">
            <w:pPr>
              <w:spacing w:line="240" w:lineRule="auto"/>
              <w:rPr>
                <w:b/>
                <w:szCs w:val="22"/>
                <w:lang w:val="sk-SK"/>
              </w:rPr>
            </w:pPr>
            <w:r>
              <w:rPr>
                <w:b/>
                <w:noProof/>
                <w:szCs w:val="22"/>
              </w:rPr>
              <w:t>Indikácia</w:t>
            </w:r>
          </w:p>
        </w:tc>
        <w:tc>
          <w:tcPr>
            <w:tcW w:w="6316" w:type="dxa"/>
            <w:gridSpan w:val="5"/>
          </w:tcPr>
          <w:p w14:paraId="16788237" w14:textId="77777777" w:rsidR="009E3661" w:rsidRDefault="009E3661" w:rsidP="00591695">
            <w:pPr>
              <w:pStyle w:val="Zarkazkladnhotextu"/>
              <w:spacing w:line="240" w:lineRule="exact"/>
              <w:ind w:left="0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Odporúčaná dávka</w:t>
            </w:r>
          </w:p>
          <w:p w14:paraId="2828393F" w14:textId="77777777" w:rsidR="009E3661" w:rsidRPr="00BC596B" w:rsidRDefault="009E3661" w:rsidP="00591695">
            <w:pPr>
              <w:pStyle w:val="Zarkazkladnhotextu"/>
              <w:spacing w:after="0" w:line="240" w:lineRule="exact"/>
              <w:ind w:left="0"/>
              <w:rPr>
                <w:b/>
                <w:noProof/>
                <w:szCs w:val="22"/>
              </w:rPr>
            </w:pPr>
            <w:r w:rsidRPr="00BC596B">
              <w:rPr>
                <w:bCs/>
                <w:noProof/>
                <w:szCs w:val="22"/>
              </w:rPr>
              <w:t>(množstvo mikrogramov sodnej soli levotyroxínu</w:t>
            </w:r>
            <w:r>
              <w:rPr>
                <w:bCs/>
                <w:noProof/>
                <w:szCs w:val="22"/>
              </w:rPr>
              <w:t xml:space="preserve"> na </w:t>
            </w:r>
            <w:r w:rsidRPr="00BC596B">
              <w:rPr>
                <w:bCs/>
                <w:noProof/>
                <w:szCs w:val="22"/>
              </w:rPr>
              <w:t>deň)</w:t>
            </w:r>
          </w:p>
        </w:tc>
      </w:tr>
      <w:tr w:rsidR="009E3661" w:rsidRPr="00456BFF" w14:paraId="7756A81C" w14:textId="77777777" w:rsidTr="00591695">
        <w:tc>
          <w:tcPr>
            <w:tcW w:w="3267" w:type="dxa"/>
          </w:tcPr>
          <w:p w14:paraId="7D5B289E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  <w:r>
              <w:rPr>
                <w:noProof/>
                <w:szCs w:val="22"/>
              </w:rPr>
              <w:t>Liečba benígnej eutyreoidnej strumy</w:t>
            </w:r>
          </w:p>
        </w:tc>
        <w:tc>
          <w:tcPr>
            <w:tcW w:w="6316" w:type="dxa"/>
            <w:gridSpan w:val="5"/>
            <w:shd w:val="clear" w:color="auto" w:fill="auto"/>
          </w:tcPr>
          <w:p w14:paraId="2D322232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  <w:r w:rsidRPr="00456BFF">
              <w:rPr>
                <w:szCs w:val="22"/>
                <w:lang w:val="sk-SK"/>
              </w:rPr>
              <w:t>75</w:t>
            </w:r>
            <w:r w:rsidRPr="00BC596B">
              <w:rPr>
                <w:szCs w:val="22"/>
                <w:lang w:val="sk-SK"/>
              </w:rPr>
              <w:t>–</w:t>
            </w:r>
            <w:r w:rsidRPr="00456BFF">
              <w:rPr>
                <w:szCs w:val="22"/>
                <w:lang w:val="sk-SK"/>
              </w:rPr>
              <w:t>200</w:t>
            </w:r>
          </w:p>
        </w:tc>
      </w:tr>
      <w:tr w:rsidR="009E3661" w:rsidRPr="00456BFF" w14:paraId="756EE298" w14:textId="77777777" w:rsidTr="00591695">
        <w:tc>
          <w:tcPr>
            <w:tcW w:w="3267" w:type="dxa"/>
          </w:tcPr>
          <w:p w14:paraId="527C331B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  <w:r>
              <w:rPr>
                <w:noProof/>
                <w:szCs w:val="22"/>
              </w:rPr>
              <w:t xml:space="preserve">Profylaxia relapsu po operácii eutyreoidnej strumy </w:t>
            </w:r>
          </w:p>
        </w:tc>
        <w:tc>
          <w:tcPr>
            <w:tcW w:w="6316" w:type="dxa"/>
            <w:gridSpan w:val="5"/>
            <w:shd w:val="clear" w:color="auto" w:fill="auto"/>
          </w:tcPr>
          <w:p w14:paraId="01C1733F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  <w:r w:rsidRPr="00456BFF">
              <w:rPr>
                <w:szCs w:val="22"/>
                <w:lang w:val="sk-SK"/>
              </w:rPr>
              <w:t>75</w:t>
            </w:r>
            <w:r w:rsidRPr="00BC596B">
              <w:rPr>
                <w:szCs w:val="22"/>
                <w:lang w:val="sk-SK"/>
              </w:rPr>
              <w:t>–</w:t>
            </w:r>
            <w:r w:rsidRPr="00456BFF">
              <w:rPr>
                <w:szCs w:val="22"/>
                <w:lang w:val="sk-SK"/>
              </w:rPr>
              <w:t>200</w:t>
            </w:r>
          </w:p>
        </w:tc>
      </w:tr>
      <w:tr w:rsidR="009E3661" w:rsidRPr="00456BFF" w14:paraId="553C03CA" w14:textId="77777777" w:rsidTr="00591695">
        <w:tc>
          <w:tcPr>
            <w:tcW w:w="3267" w:type="dxa"/>
          </w:tcPr>
          <w:p w14:paraId="39F7CF97" w14:textId="77777777" w:rsidR="009E3661" w:rsidRDefault="009E3661" w:rsidP="00591695">
            <w:pPr>
              <w:pStyle w:val="Zarkazkladnhotextu"/>
              <w:spacing w:line="240" w:lineRule="exact"/>
              <w:ind w:left="0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Substitučná liečba hypotyreózy u dospelých</w:t>
            </w:r>
          </w:p>
          <w:p w14:paraId="72E3B3B0" w14:textId="77777777" w:rsidR="009E3661" w:rsidRDefault="009E3661" w:rsidP="00591695">
            <w:pPr>
              <w:pStyle w:val="Zarkazkladnhotextu"/>
              <w:spacing w:after="0" w:line="240" w:lineRule="exact"/>
              <w:ind w:left="0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- počiatočná dávka</w:t>
            </w:r>
          </w:p>
          <w:p w14:paraId="24714CFE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  <w:r>
              <w:rPr>
                <w:noProof/>
                <w:szCs w:val="22"/>
              </w:rPr>
              <w:t>- udržiavacia dávka</w:t>
            </w:r>
          </w:p>
        </w:tc>
        <w:tc>
          <w:tcPr>
            <w:tcW w:w="6316" w:type="dxa"/>
            <w:gridSpan w:val="5"/>
            <w:shd w:val="clear" w:color="auto" w:fill="auto"/>
          </w:tcPr>
          <w:p w14:paraId="29A36F09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</w:p>
          <w:p w14:paraId="7DE78009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  <w:r w:rsidRPr="00456BFF">
              <w:rPr>
                <w:szCs w:val="22"/>
                <w:lang w:val="sk-SK"/>
              </w:rPr>
              <w:t>25</w:t>
            </w:r>
            <w:r w:rsidRPr="00BC596B">
              <w:rPr>
                <w:szCs w:val="22"/>
                <w:lang w:val="sk-SK"/>
              </w:rPr>
              <w:t>–</w:t>
            </w:r>
            <w:r w:rsidRPr="00456BFF">
              <w:rPr>
                <w:szCs w:val="22"/>
                <w:lang w:val="sk-SK"/>
              </w:rPr>
              <w:t>50</w:t>
            </w:r>
          </w:p>
          <w:p w14:paraId="3527DC52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  <w:r w:rsidRPr="00456BFF">
              <w:rPr>
                <w:szCs w:val="22"/>
                <w:lang w:val="sk-SK"/>
              </w:rPr>
              <w:t>100</w:t>
            </w:r>
            <w:r w:rsidRPr="00BC596B">
              <w:rPr>
                <w:szCs w:val="22"/>
                <w:lang w:val="sk-SK"/>
              </w:rPr>
              <w:t>–</w:t>
            </w:r>
            <w:r w:rsidRPr="00456BFF">
              <w:rPr>
                <w:szCs w:val="22"/>
                <w:lang w:val="sk-SK"/>
              </w:rPr>
              <w:t>200</w:t>
            </w:r>
          </w:p>
        </w:tc>
      </w:tr>
      <w:tr w:rsidR="009E3661" w:rsidRPr="00456BFF" w14:paraId="2D244222" w14:textId="77777777" w:rsidTr="00591695">
        <w:tc>
          <w:tcPr>
            <w:tcW w:w="3267" w:type="dxa"/>
          </w:tcPr>
          <w:p w14:paraId="7A6A3997" w14:textId="77777777" w:rsidR="009E3661" w:rsidRDefault="009E3661" w:rsidP="00591695">
            <w:pPr>
              <w:pStyle w:val="Zarkazkladnhotextu"/>
              <w:spacing w:line="240" w:lineRule="exact"/>
              <w:ind w:left="0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Substitučná liečba hypotyreózy u detí</w:t>
            </w:r>
          </w:p>
          <w:p w14:paraId="5830548F" w14:textId="77777777" w:rsidR="009E3661" w:rsidRDefault="009E3661" w:rsidP="00591695">
            <w:pPr>
              <w:pStyle w:val="Zarkazkladnhotextu"/>
              <w:tabs>
                <w:tab w:val="clear" w:pos="567"/>
              </w:tabs>
              <w:spacing w:after="0" w:line="240" w:lineRule="exact"/>
              <w:ind w:left="0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 xml:space="preserve">- počiatočná dávka </w:t>
            </w:r>
          </w:p>
          <w:p w14:paraId="5128D1C8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  <w:r>
              <w:rPr>
                <w:noProof/>
                <w:szCs w:val="22"/>
              </w:rPr>
              <w:t>- udržiavacia dávka</w:t>
            </w:r>
          </w:p>
        </w:tc>
        <w:tc>
          <w:tcPr>
            <w:tcW w:w="6316" w:type="dxa"/>
            <w:gridSpan w:val="5"/>
            <w:shd w:val="clear" w:color="auto" w:fill="auto"/>
          </w:tcPr>
          <w:p w14:paraId="2604CBB6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</w:p>
          <w:p w14:paraId="2107C7BB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  <w:r w:rsidRPr="00456BFF">
              <w:rPr>
                <w:szCs w:val="22"/>
                <w:lang w:val="sk-SK"/>
              </w:rPr>
              <w:t>12</w:t>
            </w:r>
            <w:r>
              <w:rPr>
                <w:szCs w:val="22"/>
                <w:lang w:val="sk-SK"/>
              </w:rPr>
              <w:t>,</w:t>
            </w:r>
            <w:r w:rsidRPr="00456BFF">
              <w:rPr>
                <w:szCs w:val="22"/>
                <w:lang w:val="sk-SK"/>
              </w:rPr>
              <w:t>5</w:t>
            </w:r>
            <w:r w:rsidRPr="00BC596B">
              <w:rPr>
                <w:szCs w:val="22"/>
                <w:lang w:val="sk-SK"/>
              </w:rPr>
              <w:t>–</w:t>
            </w:r>
            <w:r w:rsidRPr="00456BFF">
              <w:rPr>
                <w:szCs w:val="22"/>
                <w:lang w:val="sk-SK"/>
              </w:rPr>
              <w:t>50</w:t>
            </w:r>
          </w:p>
          <w:p w14:paraId="428616C4" w14:textId="2B6922E9" w:rsidR="009E3661" w:rsidRPr="00456BFF" w:rsidRDefault="009E3661" w:rsidP="008F5665">
            <w:pPr>
              <w:spacing w:line="240" w:lineRule="auto"/>
              <w:rPr>
                <w:szCs w:val="22"/>
                <w:lang w:val="sk-SK"/>
              </w:rPr>
            </w:pPr>
            <w:r w:rsidRPr="00456BFF">
              <w:rPr>
                <w:szCs w:val="22"/>
                <w:lang w:val="sk-SK"/>
              </w:rPr>
              <w:t>100</w:t>
            </w:r>
            <w:r w:rsidRPr="00BC596B">
              <w:rPr>
                <w:szCs w:val="22"/>
                <w:lang w:val="sk-SK"/>
              </w:rPr>
              <w:t>–</w:t>
            </w:r>
            <w:r w:rsidRPr="00456BFF">
              <w:rPr>
                <w:szCs w:val="22"/>
                <w:lang w:val="sk-SK"/>
              </w:rPr>
              <w:t xml:space="preserve">150 </w:t>
            </w:r>
            <w:r w:rsidR="008F5665" w:rsidRPr="008F5665">
              <w:rPr>
                <w:szCs w:val="22"/>
                <w:lang w:val="sk-SK"/>
              </w:rPr>
              <w:t>mikrogramov</w:t>
            </w:r>
            <w:r w:rsidRPr="008F5665">
              <w:rPr>
                <w:szCs w:val="22"/>
                <w:lang w:val="sk-SK"/>
              </w:rPr>
              <w:t xml:space="preserve">/m² </w:t>
            </w:r>
            <w:r w:rsidR="008F5665" w:rsidRPr="006B1F83">
              <w:rPr>
                <w:szCs w:val="22"/>
                <w:lang w:val="sk-SK"/>
              </w:rPr>
              <w:t>plochy povrchu tela</w:t>
            </w:r>
          </w:p>
        </w:tc>
      </w:tr>
      <w:tr w:rsidR="009E3661" w:rsidRPr="00456BFF" w14:paraId="4D1244D3" w14:textId="77777777" w:rsidTr="00591695">
        <w:tc>
          <w:tcPr>
            <w:tcW w:w="3267" w:type="dxa"/>
          </w:tcPr>
          <w:p w14:paraId="6309DF87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  <w:r>
              <w:rPr>
                <w:noProof/>
                <w:szCs w:val="22"/>
              </w:rPr>
              <w:t>Sprievodná substitúcia v priebehu liečby hypertyreózy tyreostatikami</w:t>
            </w:r>
          </w:p>
        </w:tc>
        <w:tc>
          <w:tcPr>
            <w:tcW w:w="6316" w:type="dxa"/>
            <w:gridSpan w:val="5"/>
            <w:shd w:val="clear" w:color="auto" w:fill="auto"/>
          </w:tcPr>
          <w:p w14:paraId="0CD11B55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  <w:r w:rsidRPr="00456BFF">
              <w:rPr>
                <w:szCs w:val="22"/>
                <w:lang w:val="sk-SK"/>
              </w:rPr>
              <w:t>50</w:t>
            </w:r>
            <w:r w:rsidRPr="00BC596B">
              <w:rPr>
                <w:szCs w:val="22"/>
                <w:lang w:val="sk-SK"/>
              </w:rPr>
              <w:t>–</w:t>
            </w:r>
            <w:r w:rsidRPr="00456BFF">
              <w:rPr>
                <w:szCs w:val="22"/>
                <w:lang w:val="sk-SK"/>
              </w:rPr>
              <w:t>100</w:t>
            </w:r>
          </w:p>
        </w:tc>
      </w:tr>
      <w:tr w:rsidR="009E3661" w:rsidRPr="00456BFF" w14:paraId="05CB6F2F" w14:textId="77777777" w:rsidTr="00591695">
        <w:tc>
          <w:tcPr>
            <w:tcW w:w="3267" w:type="dxa"/>
          </w:tcPr>
          <w:p w14:paraId="50E72E4A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  <w:r>
              <w:rPr>
                <w:noProof/>
                <w:szCs w:val="22"/>
              </w:rPr>
              <w:t xml:space="preserve">Supresívna liečba pri </w:t>
            </w:r>
            <w:r w:rsidRPr="00800F2E">
              <w:rPr>
                <w:noProof/>
                <w:szCs w:val="22"/>
              </w:rPr>
              <w:t>malígnom nádore</w:t>
            </w:r>
            <w:r>
              <w:rPr>
                <w:noProof/>
                <w:szCs w:val="22"/>
              </w:rPr>
              <w:t xml:space="preserve"> štítnej žľazy</w:t>
            </w:r>
          </w:p>
        </w:tc>
        <w:tc>
          <w:tcPr>
            <w:tcW w:w="6316" w:type="dxa"/>
            <w:gridSpan w:val="5"/>
            <w:shd w:val="clear" w:color="auto" w:fill="auto"/>
          </w:tcPr>
          <w:p w14:paraId="4FE7AC57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  <w:r w:rsidRPr="00456BFF">
              <w:rPr>
                <w:szCs w:val="22"/>
                <w:lang w:val="sk-SK"/>
              </w:rPr>
              <w:t>150</w:t>
            </w:r>
            <w:r w:rsidRPr="00BC596B">
              <w:rPr>
                <w:szCs w:val="22"/>
                <w:lang w:val="sk-SK"/>
              </w:rPr>
              <w:t>–</w:t>
            </w:r>
            <w:r w:rsidRPr="00456BFF">
              <w:rPr>
                <w:szCs w:val="22"/>
                <w:lang w:val="sk-SK"/>
              </w:rPr>
              <w:t>300</w:t>
            </w:r>
          </w:p>
        </w:tc>
      </w:tr>
      <w:tr w:rsidR="009E3661" w:rsidRPr="00456BFF" w14:paraId="263939A3" w14:textId="77777777" w:rsidTr="00591695">
        <w:tc>
          <w:tcPr>
            <w:tcW w:w="3267" w:type="dxa"/>
            <w:vMerge w:val="restart"/>
          </w:tcPr>
          <w:p w14:paraId="68750EED" w14:textId="77777777" w:rsidR="009E3661" w:rsidRDefault="009E3661" w:rsidP="00591695">
            <w:pPr>
              <w:pStyle w:val="Zarkazkladnhotextu"/>
              <w:spacing w:line="240" w:lineRule="exact"/>
              <w:ind w:left="0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 xml:space="preserve">Diagnostické použitie na supresný test štítnej žľazy </w:t>
            </w:r>
          </w:p>
          <w:p w14:paraId="6DCA846B" w14:textId="77777777" w:rsidR="009E3661" w:rsidRDefault="009E3661" w:rsidP="00591695">
            <w:pPr>
              <w:pStyle w:val="Zarkazkladnhotextu"/>
              <w:spacing w:line="240" w:lineRule="exact"/>
              <w:ind w:left="0"/>
              <w:rPr>
                <w:noProof/>
                <w:szCs w:val="22"/>
              </w:rPr>
            </w:pPr>
          </w:p>
          <w:p w14:paraId="0D46F369" w14:textId="77777777" w:rsidR="009E3661" w:rsidRDefault="009E3661" w:rsidP="00591695">
            <w:pPr>
              <w:pStyle w:val="Zarkazkladnhotextu"/>
              <w:spacing w:line="240" w:lineRule="exact"/>
              <w:ind w:left="0"/>
              <w:rPr>
                <w:noProof/>
                <w:szCs w:val="22"/>
              </w:rPr>
            </w:pPr>
          </w:p>
          <w:p w14:paraId="75F4C467" w14:textId="77777777" w:rsidR="009E3661" w:rsidRDefault="009E3661" w:rsidP="00591695">
            <w:pPr>
              <w:pStyle w:val="Zarkazkladnhotextu"/>
              <w:spacing w:line="240" w:lineRule="exact"/>
              <w:ind w:left="0"/>
              <w:rPr>
                <w:noProof/>
                <w:szCs w:val="22"/>
              </w:rPr>
            </w:pPr>
          </w:p>
          <w:p w14:paraId="4A1FABA3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512" w:type="dxa"/>
            <w:shd w:val="clear" w:color="auto" w:fill="auto"/>
          </w:tcPr>
          <w:p w14:paraId="3C086EBF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209" w:type="dxa"/>
            <w:shd w:val="clear" w:color="auto" w:fill="auto"/>
          </w:tcPr>
          <w:p w14:paraId="2A8D69C2" w14:textId="77777777" w:rsidR="009E3661" w:rsidRPr="0029769E" w:rsidRDefault="009E3661" w:rsidP="00591695">
            <w:pPr>
              <w:spacing w:line="240" w:lineRule="auto"/>
              <w:rPr>
                <w:szCs w:val="22"/>
                <w:lang w:val="sk-SK"/>
              </w:rPr>
            </w:pPr>
            <w:r w:rsidRPr="0029769E">
              <w:rPr>
                <w:szCs w:val="22"/>
                <w:lang w:val="sk-SK"/>
              </w:rPr>
              <w:t>4. týždeň</w:t>
            </w:r>
          </w:p>
          <w:p w14:paraId="0E1EFF30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  <w:r w:rsidRPr="0029769E">
              <w:rPr>
                <w:szCs w:val="22"/>
                <w:lang w:val="sk-SK"/>
              </w:rPr>
              <w:t>pred testom</w:t>
            </w:r>
          </w:p>
        </w:tc>
        <w:tc>
          <w:tcPr>
            <w:tcW w:w="1209" w:type="dxa"/>
            <w:shd w:val="clear" w:color="auto" w:fill="auto"/>
          </w:tcPr>
          <w:p w14:paraId="56308165" w14:textId="77777777" w:rsidR="009E3661" w:rsidRPr="0029769E" w:rsidRDefault="009E3661" w:rsidP="00591695">
            <w:pPr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3</w:t>
            </w:r>
            <w:r w:rsidRPr="0029769E">
              <w:rPr>
                <w:szCs w:val="22"/>
                <w:lang w:val="sk-SK"/>
              </w:rPr>
              <w:t>. týždeň</w:t>
            </w:r>
          </w:p>
          <w:p w14:paraId="1DE0D8EF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  <w:r w:rsidRPr="0029769E">
              <w:rPr>
                <w:szCs w:val="22"/>
                <w:lang w:val="sk-SK"/>
              </w:rPr>
              <w:t>pred testom</w:t>
            </w:r>
          </w:p>
        </w:tc>
        <w:tc>
          <w:tcPr>
            <w:tcW w:w="1193" w:type="dxa"/>
            <w:shd w:val="clear" w:color="auto" w:fill="auto"/>
          </w:tcPr>
          <w:p w14:paraId="55EF091D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2</w:t>
            </w:r>
            <w:r w:rsidRPr="00A938DC">
              <w:rPr>
                <w:szCs w:val="22"/>
                <w:lang w:val="sk-SK"/>
              </w:rPr>
              <w:t>. týždeň</w:t>
            </w:r>
            <w:r w:rsidRPr="00A938DC">
              <w:rPr>
                <w:szCs w:val="22"/>
                <w:lang w:val="sk-SK"/>
              </w:rPr>
              <w:br/>
              <w:t>pred testom</w:t>
            </w:r>
          </w:p>
        </w:tc>
        <w:tc>
          <w:tcPr>
            <w:tcW w:w="1193" w:type="dxa"/>
            <w:shd w:val="clear" w:color="auto" w:fill="auto"/>
          </w:tcPr>
          <w:p w14:paraId="4E3D7187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1. týždeň pred testom</w:t>
            </w:r>
          </w:p>
        </w:tc>
      </w:tr>
      <w:tr w:rsidR="009E3661" w:rsidRPr="00456BFF" w14:paraId="40BF824F" w14:textId="77777777" w:rsidTr="00591695">
        <w:tc>
          <w:tcPr>
            <w:tcW w:w="3267" w:type="dxa"/>
            <w:vMerge/>
            <w:shd w:val="clear" w:color="auto" w:fill="auto"/>
          </w:tcPr>
          <w:p w14:paraId="7C64E3C6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512" w:type="dxa"/>
            <w:shd w:val="clear" w:color="auto" w:fill="auto"/>
          </w:tcPr>
          <w:p w14:paraId="458320A9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  <w:r w:rsidRPr="00E92D8E">
              <w:rPr>
                <w:szCs w:val="22"/>
                <w:lang w:val="sk-SK"/>
              </w:rPr>
              <w:t xml:space="preserve">Levothyroxine Accord </w:t>
            </w:r>
            <w:r w:rsidRPr="00456BFF">
              <w:rPr>
                <w:szCs w:val="22"/>
                <w:lang w:val="sk-SK"/>
              </w:rPr>
              <w:t>200 mikrogram</w:t>
            </w:r>
            <w:r>
              <w:rPr>
                <w:szCs w:val="22"/>
                <w:lang w:val="sk-SK"/>
              </w:rPr>
              <w:t>ov</w:t>
            </w:r>
          </w:p>
        </w:tc>
        <w:tc>
          <w:tcPr>
            <w:tcW w:w="1209" w:type="dxa"/>
            <w:shd w:val="clear" w:color="auto" w:fill="auto"/>
          </w:tcPr>
          <w:p w14:paraId="5288C571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  <w:r w:rsidRPr="00456BFF">
              <w:rPr>
                <w:szCs w:val="22"/>
                <w:lang w:val="sk-SK"/>
              </w:rPr>
              <w:t>--</w:t>
            </w:r>
          </w:p>
        </w:tc>
        <w:tc>
          <w:tcPr>
            <w:tcW w:w="1209" w:type="dxa"/>
            <w:shd w:val="clear" w:color="auto" w:fill="auto"/>
          </w:tcPr>
          <w:p w14:paraId="640B55EB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  <w:r w:rsidRPr="00456BFF">
              <w:rPr>
                <w:szCs w:val="22"/>
                <w:lang w:val="sk-SK"/>
              </w:rPr>
              <w:t>--</w:t>
            </w:r>
          </w:p>
        </w:tc>
        <w:tc>
          <w:tcPr>
            <w:tcW w:w="1193" w:type="dxa"/>
            <w:shd w:val="clear" w:color="auto" w:fill="auto"/>
          </w:tcPr>
          <w:p w14:paraId="21EBF85B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  <w:r w:rsidRPr="00456BFF">
              <w:rPr>
                <w:szCs w:val="22"/>
                <w:lang w:val="sk-SK"/>
              </w:rPr>
              <w:t xml:space="preserve">1 </w:t>
            </w:r>
            <w:r>
              <w:rPr>
                <w:szCs w:val="22"/>
                <w:lang w:val="sk-SK"/>
              </w:rPr>
              <w:t>tableta denne</w:t>
            </w:r>
          </w:p>
        </w:tc>
        <w:tc>
          <w:tcPr>
            <w:tcW w:w="1193" w:type="dxa"/>
            <w:shd w:val="clear" w:color="auto" w:fill="auto"/>
          </w:tcPr>
          <w:p w14:paraId="74A388AE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1 tableta denne</w:t>
            </w:r>
          </w:p>
        </w:tc>
      </w:tr>
      <w:tr w:rsidR="009E3661" w:rsidRPr="00456BFF" w14:paraId="669CAF38" w14:textId="77777777" w:rsidTr="00591695">
        <w:tc>
          <w:tcPr>
            <w:tcW w:w="3267" w:type="dxa"/>
            <w:vMerge/>
            <w:shd w:val="clear" w:color="auto" w:fill="auto"/>
          </w:tcPr>
          <w:p w14:paraId="0DF6D75C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512" w:type="dxa"/>
            <w:shd w:val="clear" w:color="auto" w:fill="auto"/>
          </w:tcPr>
          <w:p w14:paraId="51B0A2E9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  <w:r w:rsidRPr="00E92D8E">
              <w:rPr>
                <w:szCs w:val="22"/>
                <w:lang w:val="sk-SK"/>
              </w:rPr>
              <w:t xml:space="preserve">Levothyroxine Accord </w:t>
            </w:r>
            <w:r w:rsidRPr="00456BFF">
              <w:rPr>
                <w:szCs w:val="22"/>
                <w:lang w:val="sk-SK"/>
              </w:rPr>
              <w:t>100 mikrogram</w:t>
            </w:r>
            <w:r>
              <w:rPr>
                <w:szCs w:val="22"/>
                <w:lang w:val="sk-SK"/>
              </w:rPr>
              <w:t>ov</w:t>
            </w:r>
          </w:p>
        </w:tc>
        <w:tc>
          <w:tcPr>
            <w:tcW w:w="1209" w:type="dxa"/>
            <w:shd w:val="clear" w:color="auto" w:fill="auto"/>
          </w:tcPr>
          <w:p w14:paraId="0066B138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209" w:type="dxa"/>
            <w:shd w:val="clear" w:color="auto" w:fill="auto"/>
          </w:tcPr>
          <w:p w14:paraId="7EA96C62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193" w:type="dxa"/>
            <w:shd w:val="clear" w:color="auto" w:fill="auto"/>
          </w:tcPr>
          <w:p w14:paraId="44AFF0E7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  <w:r w:rsidRPr="00456BFF">
              <w:rPr>
                <w:szCs w:val="22"/>
                <w:lang w:val="sk-SK"/>
              </w:rPr>
              <w:t xml:space="preserve">2 </w:t>
            </w:r>
            <w:r>
              <w:rPr>
                <w:szCs w:val="22"/>
                <w:lang w:val="sk-SK"/>
              </w:rPr>
              <w:t>tablety denne</w:t>
            </w:r>
          </w:p>
        </w:tc>
        <w:tc>
          <w:tcPr>
            <w:tcW w:w="1193" w:type="dxa"/>
            <w:shd w:val="clear" w:color="auto" w:fill="auto"/>
          </w:tcPr>
          <w:p w14:paraId="2CB9952D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  <w:r w:rsidRPr="00456BFF">
              <w:rPr>
                <w:szCs w:val="22"/>
                <w:lang w:val="sk-SK"/>
              </w:rPr>
              <w:t xml:space="preserve">2 </w:t>
            </w:r>
            <w:r>
              <w:rPr>
                <w:szCs w:val="22"/>
                <w:lang w:val="sk-SK"/>
              </w:rPr>
              <w:t>tablety denne</w:t>
            </w:r>
          </w:p>
        </w:tc>
      </w:tr>
      <w:tr w:rsidR="009E3661" w:rsidRPr="00456BFF" w14:paraId="5C5F11AA" w14:textId="77777777" w:rsidTr="00591695">
        <w:tc>
          <w:tcPr>
            <w:tcW w:w="3267" w:type="dxa"/>
            <w:vMerge/>
            <w:shd w:val="clear" w:color="auto" w:fill="auto"/>
          </w:tcPr>
          <w:p w14:paraId="23FAE950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512" w:type="dxa"/>
            <w:shd w:val="clear" w:color="auto" w:fill="auto"/>
          </w:tcPr>
          <w:p w14:paraId="6BD5601A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  <w:r w:rsidRPr="00E92D8E">
              <w:rPr>
                <w:szCs w:val="22"/>
                <w:lang w:val="sk-SK"/>
              </w:rPr>
              <w:t xml:space="preserve">Levothyroxine Accord </w:t>
            </w:r>
            <w:r w:rsidRPr="00456BFF">
              <w:rPr>
                <w:szCs w:val="22"/>
                <w:lang w:val="sk-SK"/>
              </w:rPr>
              <w:t>150 mikrogram</w:t>
            </w:r>
            <w:r>
              <w:rPr>
                <w:szCs w:val="22"/>
                <w:lang w:val="sk-SK"/>
              </w:rPr>
              <w:t>ov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D4AE91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  <w:r w:rsidRPr="00A938DC">
              <w:rPr>
                <w:szCs w:val="22"/>
                <w:lang w:val="sk-SK"/>
              </w:rPr>
              <w:t>½ t</w:t>
            </w:r>
            <w:r>
              <w:rPr>
                <w:szCs w:val="22"/>
                <w:lang w:val="sk-SK"/>
              </w:rPr>
              <w:t>ablety</w:t>
            </w:r>
            <w:r w:rsidRPr="00A938DC">
              <w:rPr>
                <w:szCs w:val="22"/>
                <w:lang w:val="sk-SK"/>
              </w:rPr>
              <w:br/>
              <w:t>de</w:t>
            </w:r>
            <w:r>
              <w:rPr>
                <w:szCs w:val="22"/>
                <w:lang w:val="sk-SK"/>
              </w:rPr>
              <w:t>nne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39EAE2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  <w:r w:rsidRPr="00A938DC">
              <w:rPr>
                <w:szCs w:val="22"/>
                <w:lang w:val="sk-SK"/>
              </w:rPr>
              <w:t xml:space="preserve">½ </w:t>
            </w:r>
            <w:r>
              <w:rPr>
                <w:szCs w:val="22"/>
                <w:lang w:val="sk-SK"/>
              </w:rPr>
              <w:t>tablety denne</w:t>
            </w:r>
          </w:p>
        </w:tc>
        <w:tc>
          <w:tcPr>
            <w:tcW w:w="1193" w:type="dxa"/>
            <w:shd w:val="clear" w:color="auto" w:fill="auto"/>
          </w:tcPr>
          <w:p w14:paraId="65F4C3D4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  <w:r w:rsidRPr="00456BFF">
              <w:rPr>
                <w:szCs w:val="22"/>
                <w:lang w:val="sk-SK"/>
              </w:rPr>
              <w:t xml:space="preserve">1 </w:t>
            </w:r>
            <w:r>
              <w:rPr>
                <w:szCs w:val="22"/>
                <w:lang w:val="sk-SK"/>
              </w:rPr>
              <w:t xml:space="preserve">tableta denne </w:t>
            </w:r>
          </w:p>
        </w:tc>
        <w:tc>
          <w:tcPr>
            <w:tcW w:w="1193" w:type="dxa"/>
            <w:shd w:val="clear" w:color="auto" w:fill="auto"/>
          </w:tcPr>
          <w:p w14:paraId="7A099326" w14:textId="77777777" w:rsidR="009E3661" w:rsidRPr="00456BFF" w:rsidRDefault="009E3661" w:rsidP="00591695">
            <w:pPr>
              <w:spacing w:line="240" w:lineRule="auto"/>
              <w:rPr>
                <w:szCs w:val="22"/>
                <w:lang w:val="sk-SK"/>
              </w:rPr>
            </w:pPr>
            <w:r w:rsidRPr="00456BFF">
              <w:rPr>
                <w:szCs w:val="22"/>
                <w:lang w:val="sk-SK"/>
              </w:rPr>
              <w:t xml:space="preserve">1 </w:t>
            </w:r>
            <w:r>
              <w:rPr>
                <w:szCs w:val="22"/>
                <w:lang w:val="sk-SK"/>
              </w:rPr>
              <w:t>tableta denne</w:t>
            </w:r>
          </w:p>
        </w:tc>
      </w:tr>
    </w:tbl>
    <w:p w14:paraId="46358026" w14:textId="77777777" w:rsidR="009E3661" w:rsidRPr="00456BFF" w:rsidRDefault="009E3661" w:rsidP="009E3661">
      <w:pPr>
        <w:spacing w:line="240" w:lineRule="auto"/>
        <w:rPr>
          <w:szCs w:val="22"/>
          <w:lang w:val="sk-SK"/>
        </w:rPr>
      </w:pPr>
    </w:p>
    <w:p w14:paraId="0D820009" w14:textId="77777777" w:rsidR="009E3661" w:rsidRPr="00456BFF" w:rsidRDefault="009E3661" w:rsidP="009E3661">
      <w:pPr>
        <w:spacing w:line="240" w:lineRule="auto"/>
        <w:rPr>
          <w:i/>
          <w:szCs w:val="22"/>
          <w:u w:val="single"/>
          <w:lang w:val="sk-SK"/>
        </w:rPr>
      </w:pPr>
      <w:r w:rsidRPr="004D6E16">
        <w:rPr>
          <w:i/>
          <w:szCs w:val="22"/>
          <w:u w:val="single"/>
          <w:lang w:val="sk-SK"/>
        </w:rPr>
        <w:t>Spôsob podávania</w:t>
      </w:r>
    </w:p>
    <w:p w14:paraId="4F47FEA8" w14:textId="77777777" w:rsidR="009E3661" w:rsidRPr="00456BFF" w:rsidRDefault="009E3661" w:rsidP="009E3661">
      <w:pPr>
        <w:spacing w:line="240" w:lineRule="auto"/>
        <w:rPr>
          <w:szCs w:val="22"/>
          <w:lang w:val="sk-SK"/>
        </w:rPr>
      </w:pPr>
      <w:r w:rsidRPr="004D6E16">
        <w:rPr>
          <w:szCs w:val="22"/>
          <w:lang w:val="sk-SK"/>
        </w:rPr>
        <w:t>Celkov</w:t>
      </w:r>
      <w:r>
        <w:rPr>
          <w:szCs w:val="22"/>
          <w:lang w:val="sk-SK"/>
        </w:rPr>
        <w:t>é</w:t>
      </w:r>
      <w:r w:rsidRPr="004D6E16">
        <w:rPr>
          <w:szCs w:val="22"/>
          <w:lang w:val="sk-SK"/>
        </w:rPr>
        <w:t xml:space="preserve"> denn</w:t>
      </w:r>
      <w:r>
        <w:rPr>
          <w:szCs w:val="22"/>
          <w:lang w:val="sk-SK"/>
        </w:rPr>
        <w:t>é</w:t>
      </w:r>
      <w:r w:rsidRPr="004D6E16">
        <w:rPr>
          <w:szCs w:val="22"/>
          <w:lang w:val="sk-SK"/>
        </w:rPr>
        <w:t xml:space="preserve"> dávk</w:t>
      </w:r>
      <w:r>
        <w:rPr>
          <w:szCs w:val="22"/>
          <w:lang w:val="sk-SK"/>
        </w:rPr>
        <w:t>y</w:t>
      </w:r>
      <w:r w:rsidRPr="004D6E16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sa </w:t>
      </w:r>
      <w:r w:rsidRPr="004D6E16">
        <w:rPr>
          <w:szCs w:val="22"/>
          <w:lang w:val="sk-SK"/>
        </w:rPr>
        <w:t>môž</w:t>
      </w:r>
      <w:r>
        <w:rPr>
          <w:szCs w:val="22"/>
          <w:lang w:val="sk-SK"/>
        </w:rPr>
        <w:t>u</w:t>
      </w:r>
      <w:r w:rsidRPr="004D6E16">
        <w:rPr>
          <w:szCs w:val="22"/>
          <w:lang w:val="sk-SK"/>
        </w:rPr>
        <w:t xml:space="preserve"> </w:t>
      </w:r>
      <w:r w:rsidRPr="004B4455">
        <w:rPr>
          <w:szCs w:val="22"/>
          <w:lang w:val="sk-SK"/>
        </w:rPr>
        <w:t xml:space="preserve">podať </w:t>
      </w:r>
      <w:r w:rsidRPr="004D6E16">
        <w:rPr>
          <w:szCs w:val="22"/>
          <w:lang w:val="sk-SK"/>
        </w:rPr>
        <w:t>jednorazovo</w:t>
      </w:r>
      <w:r w:rsidRPr="00456BFF">
        <w:rPr>
          <w:szCs w:val="22"/>
          <w:lang w:val="sk-SK"/>
        </w:rPr>
        <w:t>.</w:t>
      </w:r>
    </w:p>
    <w:p w14:paraId="18016560" w14:textId="77777777" w:rsidR="009E3661" w:rsidRPr="00456BFF" w:rsidRDefault="009E3661" w:rsidP="009E3661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Užívanie</w:t>
      </w:r>
      <w:r w:rsidRPr="00456BFF">
        <w:rPr>
          <w:szCs w:val="22"/>
          <w:lang w:val="sk-SK"/>
        </w:rPr>
        <w:t xml:space="preserve">: </w:t>
      </w:r>
      <w:r w:rsidRPr="004D6E16">
        <w:rPr>
          <w:szCs w:val="22"/>
          <w:lang w:val="sk-SK"/>
        </w:rPr>
        <w:t xml:space="preserve">ako </w:t>
      </w:r>
      <w:r>
        <w:rPr>
          <w:szCs w:val="22"/>
          <w:lang w:val="sk-SK"/>
        </w:rPr>
        <w:t>jedna</w:t>
      </w:r>
      <w:r w:rsidRPr="004D6E16">
        <w:rPr>
          <w:szCs w:val="22"/>
          <w:lang w:val="sk-SK"/>
        </w:rPr>
        <w:t xml:space="preserve"> denná dávka ráno nalačno</w:t>
      </w:r>
      <w:r w:rsidRPr="00456BFF">
        <w:rPr>
          <w:szCs w:val="22"/>
          <w:lang w:val="sk-SK"/>
        </w:rPr>
        <w:t xml:space="preserve">, </w:t>
      </w:r>
      <w:r w:rsidRPr="00902A23">
        <w:rPr>
          <w:szCs w:val="22"/>
          <w:lang w:val="sk-SK"/>
        </w:rPr>
        <w:t>polhodiny pred raňajkami</w:t>
      </w:r>
      <w:r w:rsidRPr="00456BFF">
        <w:rPr>
          <w:szCs w:val="22"/>
          <w:lang w:val="sk-SK"/>
        </w:rPr>
        <w:t xml:space="preserve">, </w:t>
      </w:r>
      <w:r w:rsidRPr="00902A23">
        <w:rPr>
          <w:szCs w:val="22"/>
          <w:lang w:val="sk-SK"/>
        </w:rPr>
        <w:t>najlepšie s malým množstvom tekutiny</w:t>
      </w:r>
      <w:r>
        <w:rPr>
          <w:szCs w:val="22"/>
          <w:lang w:val="sk-SK"/>
        </w:rPr>
        <w:t xml:space="preserve"> (</w:t>
      </w:r>
      <w:r w:rsidRPr="00902A23">
        <w:rPr>
          <w:szCs w:val="22"/>
          <w:lang w:val="sk-SK"/>
        </w:rPr>
        <w:t>napr. pol pohárom vody</w:t>
      </w:r>
      <w:r w:rsidRPr="00456BFF">
        <w:rPr>
          <w:szCs w:val="22"/>
          <w:lang w:val="sk-SK"/>
        </w:rPr>
        <w:t>).</w:t>
      </w:r>
    </w:p>
    <w:p w14:paraId="089ACE66" w14:textId="77777777" w:rsidR="009E3661" w:rsidRPr="00456BFF" w:rsidRDefault="009E3661" w:rsidP="009E3661">
      <w:pPr>
        <w:spacing w:line="240" w:lineRule="auto"/>
        <w:rPr>
          <w:szCs w:val="22"/>
          <w:lang w:val="sk-SK"/>
        </w:rPr>
      </w:pPr>
    </w:p>
    <w:p w14:paraId="35ECCD36" w14:textId="77777777" w:rsidR="009E3661" w:rsidRPr="00456BFF" w:rsidRDefault="009E3661" w:rsidP="009E3661">
      <w:pPr>
        <w:spacing w:line="240" w:lineRule="auto"/>
        <w:rPr>
          <w:szCs w:val="22"/>
          <w:lang w:val="sk-SK"/>
        </w:rPr>
      </w:pPr>
      <w:r w:rsidRPr="00F06861">
        <w:rPr>
          <w:szCs w:val="22"/>
          <w:lang w:val="sk-SK"/>
        </w:rPr>
        <w:t>Deti môžu dostať celú dávku najmenej 30 minút pred prvým jedlom dňa.</w:t>
      </w:r>
      <w:r>
        <w:rPr>
          <w:szCs w:val="22"/>
          <w:lang w:val="sk-SK"/>
        </w:rPr>
        <w:t xml:space="preserve"> Tablety sa majú</w:t>
      </w:r>
      <w:r w:rsidRPr="00F06861">
        <w:rPr>
          <w:szCs w:val="22"/>
          <w:lang w:val="sk-SK"/>
        </w:rPr>
        <w:t xml:space="preserve"> nechať </w:t>
      </w:r>
      <w:r>
        <w:rPr>
          <w:szCs w:val="22"/>
          <w:lang w:val="sk-SK"/>
        </w:rPr>
        <w:t>rozpustiť</w:t>
      </w:r>
      <w:r w:rsidRPr="00F06861">
        <w:rPr>
          <w:szCs w:val="22"/>
          <w:lang w:val="sk-SK"/>
        </w:rPr>
        <w:t xml:space="preserve"> v malom množstve vody a</w:t>
      </w:r>
      <w:r>
        <w:rPr>
          <w:szCs w:val="22"/>
          <w:lang w:val="sk-SK"/>
        </w:rPr>
        <w:t xml:space="preserve"> takto </w:t>
      </w:r>
      <w:r w:rsidRPr="00F06861">
        <w:rPr>
          <w:szCs w:val="22"/>
          <w:lang w:val="sk-SK"/>
        </w:rPr>
        <w:t>vzniknutá suspenzia</w:t>
      </w:r>
      <w:r>
        <w:rPr>
          <w:szCs w:val="22"/>
          <w:lang w:val="sk-SK"/>
        </w:rPr>
        <w:t xml:space="preserve">, </w:t>
      </w:r>
      <w:r w:rsidRPr="00CD6A5C">
        <w:rPr>
          <w:szCs w:val="22"/>
          <w:lang w:val="sk-SK"/>
        </w:rPr>
        <w:t>ktorú je potrebné vždy čerstvo pripraviť</w:t>
      </w:r>
      <w:r>
        <w:rPr>
          <w:szCs w:val="22"/>
          <w:lang w:val="sk-SK"/>
        </w:rPr>
        <w:t xml:space="preserve">, sa </w:t>
      </w:r>
      <w:r w:rsidRPr="00CD6A5C">
        <w:rPr>
          <w:szCs w:val="22"/>
          <w:lang w:val="sk-SK"/>
        </w:rPr>
        <w:t>podá s malým množstvom tekutiny</w:t>
      </w:r>
      <w:r>
        <w:rPr>
          <w:szCs w:val="22"/>
          <w:lang w:val="sk-SK"/>
        </w:rPr>
        <w:t>.</w:t>
      </w:r>
    </w:p>
    <w:p w14:paraId="58896642" w14:textId="77777777" w:rsidR="009E3661" w:rsidRPr="00456BFF" w:rsidRDefault="009E3661" w:rsidP="009E3661">
      <w:pPr>
        <w:spacing w:line="240" w:lineRule="auto"/>
        <w:rPr>
          <w:szCs w:val="22"/>
          <w:lang w:val="sk-SK"/>
        </w:rPr>
      </w:pPr>
    </w:p>
    <w:p w14:paraId="2A24E36B" w14:textId="369AF05E" w:rsidR="009E3661" w:rsidRPr="00456BFF" w:rsidRDefault="009E3661" w:rsidP="009E3661">
      <w:pPr>
        <w:spacing w:line="240" w:lineRule="auto"/>
        <w:rPr>
          <w:szCs w:val="22"/>
          <w:lang w:val="sk-SK"/>
        </w:rPr>
      </w:pPr>
      <w:r w:rsidRPr="00BD0E0C">
        <w:rPr>
          <w:szCs w:val="22"/>
          <w:lang w:val="sk-SK"/>
        </w:rPr>
        <w:t xml:space="preserve">Dĺžka </w:t>
      </w:r>
      <w:r>
        <w:rPr>
          <w:szCs w:val="22"/>
          <w:lang w:val="sk-SK"/>
        </w:rPr>
        <w:t>liečby je</w:t>
      </w:r>
      <w:r w:rsidRPr="00BD0E0C">
        <w:rPr>
          <w:szCs w:val="22"/>
          <w:lang w:val="sk-SK"/>
        </w:rPr>
        <w:t xml:space="preserve"> </w:t>
      </w:r>
      <w:r w:rsidR="00F41504">
        <w:rPr>
          <w:szCs w:val="22"/>
          <w:lang w:val="sk-SK"/>
        </w:rPr>
        <w:t xml:space="preserve">v prípade substitúcie </w:t>
      </w:r>
      <w:r>
        <w:rPr>
          <w:szCs w:val="22"/>
          <w:lang w:val="sk-SK"/>
        </w:rPr>
        <w:t>p</w:t>
      </w:r>
      <w:r w:rsidRPr="00BD0E0C">
        <w:rPr>
          <w:szCs w:val="22"/>
          <w:lang w:val="sk-SK"/>
        </w:rPr>
        <w:t>ri hypotyreóze, po strumektómii alebo tyreoidektómii a pri profylaxii relapsu po odstránení eutyreoidnej strumy zvyčajne celoživotná. Sprievodná liečba hypertyreózy po dosiahnutí eutyreoidného stavu je indikovaná na obdobie, počas ktorého sa podávajú tyreostatiká</w:t>
      </w:r>
      <w:r>
        <w:rPr>
          <w:szCs w:val="22"/>
          <w:lang w:val="sk-SK"/>
        </w:rPr>
        <w:t>.</w:t>
      </w:r>
    </w:p>
    <w:p w14:paraId="643559DC" w14:textId="77777777" w:rsidR="009E3661" w:rsidRPr="00456BFF" w:rsidRDefault="009E3661" w:rsidP="009E3661">
      <w:pPr>
        <w:spacing w:line="240" w:lineRule="auto"/>
        <w:rPr>
          <w:szCs w:val="22"/>
          <w:lang w:val="sk-SK"/>
        </w:rPr>
      </w:pPr>
    </w:p>
    <w:p w14:paraId="6DC52C87" w14:textId="77777777" w:rsidR="009E3661" w:rsidRPr="00456BFF" w:rsidRDefault="009E3661" w:rsidP="009E3661">
      <w:pPr>
        <w:spacing w:line="240" w:lineRule="auto"/>
        <w:rPr>
          <w:szCs w:val="22"/>
          <w:lang w:val="sk-SK"/>
        </w:rPr>
      </w:pPr>
      <w:r w:rsidRPr="008F02A1">
        <w:rPr>
          <w:szCs w:val="22"/>
          <w:lang w:val="sk-SK"/>
        </w:rPr>
        <w:t xml:space="preserve">Pri benígnej eutyreoidnej strume je potrebná dĺžka liečby 6 mesiacov až 2 roky. </w:t>
      </w:r>
      <w:r>
        <w:rPr>
          <w:szCs w:val="22"/>
          <w:lang w:val="sk-SK"/>
        </w:rPr>
        <w:t>N</w:t>
      </w:r>
      <w:r w:rsidRPr="00FC2E39">
        <w:rPr>
          <w:szCs w:val="22"/>
          <w:lang w:val="sk-SK"/>
        </w:rPr>
        <w:t xml:space="preserve">a prevenciu rekurentnej strumy </w:t>
      </w:r>
      <w:r>
        <w:rPr>
          <w:szCs w:val="22"/>
          <w:lang w:val="sk-SK"/>
        </w:rPr>
        <w:t xml:space="preserve">sa odporúča profylaxia </w:t>
      </w:r>
      <w:r w:rsidRPr="00FC2E39">
        <w:rPr>
          <w:szCs w:val="22"/>
          <w:lang w:val="sk-SK"/>
        </w:rPr>
        <w:t>nízkou dávkou jódu</w:t>
      </w:r>
      <w:r>
        <w:rPr>
          <w:szCs w:val="22"/>
          <w:lang w:val="sk-SK"/>
        </w:rPr>
        <w:t xml:space="preserve"> (100</w:t>
      </w:r>
      <w:r w:rsidRPr="00FC2E39">
        <w:rPr>
          <w:szCs w:val="22"/>
          <w:lang w:val="sk-SK"/>
        </w:rPr>
        <w:t>–</w:t>
      </w:r>
      <w:r>
        <w:rPr>
          <w:szCs w:val="22"/>
          <w:lang w:val="sk-SK"/>
        </w:rPr>
        <w:t xml:space="preserve">200 mikrogramov na deň) po zmenšení strumy. </w:t>
      </w:r>
      <w:r w:rsidRPr="008F02A1">
        <w:rPr>
          <w:szCs w:val="22"/>
          <w:lang w:val="sk-SK"/>
        </w:rPr>
        <w:t>Ak nebola medikamentózna liečba počas tohto obdobia dostatočne účinná, je potrebné zvážiť chirurgickú liečbu strumy alebo liečbu rádiojódom</w:t>
      </w:r>
      <w:r>
        <w:rPr>
          <w:szCs w:val="22"/>
          <w:lang w:val="sk-SK"/>
        </w:rPr>
        <w:t>.</w:t>
      </w:r>
    </w:p>
    <w:p w14:paraId="404A2E8E" w14:textId="77777777" w:rsidR="009E3661" w:rsidRPr="00456BFF" w:rsidRDefault="009E3661" w:rsidP="009E3661">
      <w:pPr>
        <w:spacing w:line="240" w:lineRule="auto"/>
        <w:rPr>
          <w:i/>
          <w:szCs w:val="22"/>
          <w:u w:val="single"/>
          <w:lang w:val="sk-SK"/>
        </w:rPr>
      </w:pPr>
    </w:p>
    <w:p w14:paraId="78E8CCA2" w14:textId="77777777" w:rsidR="009E3661" w:rsidRPr="00456BFF" w:rsidRDefault="009E3661" w:rsidP="009E3661">
      <w:pPr>
        <w:spacing w:line="240" w:lineRule="auto"/>
        <w:ind w:left="567" w:hanging="567"/>
        <w:rPr>
          <w:noProof/>
          <w:szCs w:val="22"/>
          <w:lang w:val="sk-SK"/>
        </w:rPr>
      </w:pPr>
      <w:r w:rsidRPr="00456BFF">
        <w:rPr>
          <w:b/>
          <w:noProof/>
          <w:szCs w:val="22"/>
          <w:lang w:val="sk-SK"/>
        </w:rPr>
        <w:t>4.3</w:t>
      </w:r>
      <w:r w:rsidRPr="00456BFF">
        <w:rPr>
          <w:b/>
          <w:noProof/>
          <w:szCs w:val="22"/>
          <w:lang w:val="sk-SK"/>
        </w:rPr>
        <w:tab/>
      </w:r>
      <w:r>
        <w:rPr>
          <w:b/>
          <w:noProof/>
          <w:szCs w:val="22"/>
        </w:rPr>
        <w:t>Kontraindikácie</w:t>
      </w:r>
    </w:p>
    <w:p w14:paraId="15FF54E5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7F689A59" w14:textId="77777777" w:rsidR="009E3661" w:rsidRPr="00456BFF" w:rsidRDefault="009E3661" w:rsidP="009E3661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360"/>
        <w:rPr>
          <w:rFonts w:eastAsia="SimSun"/>
          <w:szCs w:val="22"/>
          <w:lang w:val="sk-SK"/>
        </w:rPr>
      </w:pPr>
      <w:r w:rsidRPr="00246E0D">
        <w:rPr>
          <w:rFonts w:eastAsia="SimSun"/>
          <w:szCs w:val="22"/>
          <w:lang w:val="sk-SK"/>
        </w:rPr>
        <w:t xml:space="preserve">Precitlivenosť na liečivo alebo na ktorúkoľvek z pomocných látok uvedených v časti </w:t>
      </w:r>
      <w:r w:rsidRPr="00456BFF">
        <w:rPr>
          <w:rFonts w:eastAsia="SimSun"/>
          <w:szCs w:val="22"/>
          <w:lang w:val="sk-SK"/>
        </w:rPr>
        <w:t xml:space="preserve">6.1. </w:t>
      </w:r>
    </w:p>
    <w:p w14:paraId="6AF63B45" w14:textId="77777777" w:rsidR="009E3661" w:rsidRPr="00456BFF" w:rsidRDefault="009E3661" w:rsidP="009E3661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360"/>
        <w:rPr>
          <w:rFonts w:eastAsia="SimSun"/>
          <w:szCs w:val="22"/>
          <w:lang w:val="sk-SK"/>
        </w:rPr>
      </w:pPr>
      <w:r w:rsidRPr="00246E0D">
        <w:rPr>
          <w:rFonts w:eastAsia="SimSun"/>
          <w:szCs w:val="22"/>
          <w:lang w:val="sk-SK"/>
        </w:rPr>
        <w:t xml:space="preserve">Neliečená insuficiencia nadobličiek, neliečená insuficiencia hypofýzy a neliečená </w:t>
      </w:r>
      <w:r w:rsidRPr="00C10FB4">
        <w:rPr>
          <w:rFonts w:eastAsia="SimSun"/>
          <w:szCs w:val="22"/>
          <w:lang w:val="sk-SK"/>
        </w:rPr>
        <w:t>hypertyreóza</w:t>
      </w:r>
      <w:r w:rsidRPr="00456BFF">
        <w:rPr>
          <w:rFonts w:eastAsia="SimSun"/>
          <w:szCs w:val="22"/>
          <w:lang w:val="sk-SK"/>
        </w:rPr>
        <w:t>.</w:t>
      </w:r>
    </w:p>
    <w:p w14:paraId="034CB87C" w14:textId="7B6D0B39" w:rsidR="009E3661" w:rsidRPr="00456BFF" w:rsidRDefault="009E3661" w:rsidP="009E3661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360"/>
        <w:rPr>
          <w:rFonts w:eastAsia="SimSun"/>
          <w:szCs w:val="22"/>
          <w:lang w:val="sk-SK"/>
        </w:rPr>
      </w:pPr>
      <w:r w:rsidRPr="00246E0D">
        <w:rPr>
          <w:rFonts w:eastAsia="SimSun"/>
          <w:szCs w:val="22"/>
          <w:lang w:val="sk-SK"/>
        </w:rPr>
        <w:t xml:space="preserve">Liečba </w:t>
      </w:r>
      <w:r>
        <w:rPr>
          <w:rFonts w:eastAsia="SimSun"/>
          <w:szCs w:val="22"/>
          <w:lang w:val="sk-SK"/>
        </w:rPr>
        <w:t xml:space="preserve">liekom </w:t>
      </w:r>
      <w:r w:rsidRPr="00246E0D">
        <w:rPr>
          <w:rFonts w:eastAsia="SimSun"/>
          <w:szCs w:val="22"/>
          <w:lang w:val="sk-SK"/>
        </w:rPr>
        <w:t>Levothyroxine Accord sa nesmie začať pri akútnom infarkte myokardu, akútnej myokarditíde a akútnej pankarditíde</w:t>
      </w:r>
      <w:r w:rsidRPr="00456BFF">
        <w:rPr>
          <w:rFonts w:eastAsia="SimSun"/>
          <w:szCs w:val="22"/>
          <w:lang w:val="sk-SK"/>
        </w:rPr>
        <w:t>.</w:t>
      </w:r>
    </w:p>
    <w:p w14:paraId="314E2E9C" w14:textId="77777777" w:rsidR="009E3661" w:rsidRPr="00456BFF" w:rsidRDefault="009E3661" w:rsidP="009E3661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360"/>
        <w:rPr>
          <w:rFonts w:eastAsia="SimSun"/>
          <w:szCs w:val="22"/>
          <w:lang w:val="sk-SK"/>
        </w:rPr>
      </w:pPr>
      <w:r w:rsidRPr="00246E0D">
        <w:rPr>
          <w:rFonts w:eastAsia="SimSun"/>
          <w:szCs w:val="22"/>
          <w:lang w:val="sk-SK"/>
        </w:rPr>
        <w:t>Kombinovaná liečba hypertyreózy levotyroxínom a tyreostatikami nie je indikovaná počas tehotenstva</w:t>
      </w:r>
      <w:r w:rsidRPr="00456BFF">
        <w:rPr>
          <w:rFonts w:eastAsia="SimSun"/>
          <w:szCs w:val="22"/>
          <w:lang w:val="sk-SK"/>
        </w:rPr>
        <w:t xml:space="preserve"> (</w:t>
      </w:r>
      <w:r w:rsidRPr="00246E0D">
        <w:rPr>
          <w:rFonts w:eastAsia="SimSun"/>
          <w:szCs w:val="22"/>
          <w:lang w:val="sk-SK"/>
        </w:rPr>
        <w:t xml:space="preserve">pozri časť </w:t>
      </w:r>
      <w:r w:rsidRPr="00456BFF">
        <w:rPr>
          <w:rFonts w:eastAsia="SimSun"/>
          <w:szCs w:val="22"/>
          <w:lang w:val="sk-SK"/>
        </w:rPr>
        <w:t>4.6).</w:t>
      </w:r>
    </w:p>
    <w:p w14:paraId="1F5EEE0B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17DEDE89" w14:textId="77777777" w:rsidR="009E3661" w:rsidRPr="00456BFF" w:rsidRDefault="009E3661" w:rsidP="009E3661">
      <w:pPr>
        <w:spacing w:line="240" w:lineRule="auto"/>
        <w:ind w:left="567" w:hanging="567"/>
        <w:rPr>
          <w:b/>
          <w:noProof/>
          <w:szCs w:val="22"/>
          <w:lang w:val="sk-SK"/>
        </w:rPr>
      </w:pPr>
      <w:r w:rsidRPr="00456BFF">
        <w:rPr>
          <w:b/>
          <w:noProof/>
          <w:szCs w:val="22"/>
          <w:lang w:val="sk-SK"/>
        </w:rPr>
        <w:t>4.4</w:t>
      </w:r>
      <w:r w:rsidRPr="00456BFF">
        <w:rPr>
          <w:b/>
          <w:noProof/>
          <w:szCs w:val="22"/>
          <w:lang w:val="sk-SK"/>
        </w:rPr>
        <w:tab/>
      </w:r>
      <w:r w:rsidRPr="003E68C9">
        <w:rPr>
          <w:b/>
          <w:noProof/>
          <w:szCs w:val="22"/>
          <w:lang w:val="sk-SK"/>
        </w:rPr>
        <w:t>Osobitné upozornenia a opatrenia pri používaní</w:t>
      </w:r>
    </w:p>
    <w:p w14:paraId="5C0BECA2" w14:textId="77777777" w:rsidR="009E3661" w:rsidRPr="00456BFF" w:rsidRDefault="009E3661" w:rsidP="009E3661">
      <w:pPr>
        <w:spacing w:line="240" w:lineRule="auto"/>
        <w:ind w:left="567" w:hanging="567"/>
        <w:rPr>
          <w:b/>
          <w:noProof/>
          <w:szCs w:val="22"/>
          <w:lang w:val="sk-SK"/>
        </w:rPr>
      </w:pPr>
    </w:p>
    <w:p w14:paraId="5081EBE6" w14:textId="77777777" w:rsidR="009E3661" w:rsidRPr="007E5A34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  <w:r w:rsidRPr="007E5A34">
        <w:rPr>
          <w:rFonts w:eastAsia="SimSun"/>
          <w:szCs w:val="22"/>
          <w:lang w:val="sk-SK"/>
        </w:rPr>
        <w:t>Pred začatím liečby hormónmi štítnej žľazy alebo pred vykonaním supresného testu štítnej žľazy je potrebné vylúčiť alebo liečiť nasledujúce ochorenia alebo zdravotné stavy: koronárna insuficiencia, ang</w:t>
      </w:r>
      <w:r>
        <w:rPr>
          <w:rFonts w:eastAsia="SimSun"/>
          <w:szCs w:val="22"/>
          <w:lang w:val="sk-SK"/>
        </w:rPr>
        <w:t>i</w:t>
      </w:r>
      <w:r w:rsidRPr="007E5A34">
        <w:rPr>
          <w:rFonts w:eastAsia="SimSun"/>
          <w:szCs w:val="22"/>
          <w:lang w:val="sk-SK"/>
        </w:rPr>
        <w:t>na pektoris, artérioskleróza, hypertenzia, hypopituitarizmus a insuficiencia nadobličiek. Pred podaním liečby hormónmi štítnej žľazy je potrebné tiež vylúčiť alebo vyliečiť tyreoidálnu autonómiu.</w:t>
      </w:r>
    </w:p>
    <w:p w14:paraId="2343C9B9" w14:textId="77777777" w:rsidR="009E3661" w:rsidRPr="007E5A34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</w:p>
    <w:p w14:paraId="7A9E78A6" w14:textId="77777777" w:rsidR="009E3661" w:rsidRPr="007E5A34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  <w:r w:rsidRPr="007E5A34">
        <w:rPr>
          <w:rFonts w:eastAsia="SimSun"/>
          <w:szCs w:val="22"/>
          <w:lang w:val="sk-SK"/>
        </w:rPr>
        <w:t>Pri začatí liečby levotyroxínom u pacientov s rizikom psychotických</w:t>
      </w:r>
      <w:r w:rsidRPr="007E5A34" w:rsidDel="00A52AC9">
        <w:rPr>
          <w:rFonts w:eastAsia="SimSun"/>
          <w:szCs w:val="22"/>
          <w:lang w:val="sk-SK"/>
        </w:rPr>
        <w:t xml:space="preserve"> </w:t>
      </w:r>
      <w:r w:rsidRPr="007E5A34">
        <w:rPr>
          <w:rFonts w:eastAsia="SimSun"/>
          <w:szCs w:val="22"/>
          <w:lang w:val="sk-SK"/>
        </w:rPr>
        <w:t>porúch sa odporúča začať liečbu nízkou dávkou levotyroxínu a na začiatku liečby ju pomaly zvyšovať. Odporúča sa pacienta sledovať. Ak sa vyskytnú prejavy psychotických porúch, je potrebné zvážiť úpravu dávky levotyroxínu.</w:t>
      </w:r>
    </w:p>
    <w:p w14:paraId="2C876C38" w14:textId="77777777" w:rsidR="009E3661" w:rsidRPr="007E5A34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</w:p>
    <w:p w14:paraId="624F7A2E" w14:textId="77777777" w:rsidR="009E3661" w:rsidRPr="007E5A34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  <w:r w:rsidRPr="007E5A34">
        <w:rPr>
          <w:rFonts w:eastAsia="SimSun"/>
          <w:szCs w:val="22"/>
          <w:lang w:val="sk-SK"/>
        </w:rPr>
        <w:t>U pacientov s </w:t>
      </w:r>
      <w:r w:rsidRPr="00800F2E">
        <w:rPr>
          <w:rFonts w:eastAsia="SimSun"/>
          <w:szCs w:val="22"/>
          <w:lang w:val="sk-SK"/>
        </w:rPr>
        <w:t>koronárnou insuficienciou</w:t>
      </w:r>
      <w:r w:rsidRPr="007E5A34">
        <w:rPr>
          <w:rFonts w:eastAsia="SimSun"/>
          <w:szCs w:val="22"/>
          <w:lang w:val="sk-SK"/>
        </w:rPr>
        <w:t xml:space="preserve">, </w:t>
      </w:r>
      <w:r w:rsidRPr="008B4910">
        <w:rPr>
          <w:rFonts w:eastAsia="SimSun"/>
          <w:szCs w:val="22"/>
          <w:lang w:val="sk-SK"/>
        </w:rPr>
        <w:t xml:space="preserve">srdcovou nedostatočnosťou </w:t>
      </w:r>
      <w:r w:rsidRPr="007E5A34">
        <w:rPr>
          <w:rFonts w:eastAsia="SimSun"/>
          <w:szCs w:val="22"/>
          <w:lang w:val="sk-SK"/>
        </w:rPr>
        <w:t>alebo s tachykardickými arytmiami je potrebné sa vyhnúť aj miernej</w:t>
      </w:r>
      <w:r>
        <w:rPr>
          <w:rFonts w:eastAsia="SimSun"/>
          <w:szCs w:val="22"/>
          <w:lang w:val="sk-SK"/>
        </w:rPr>
        <w:t>,</w:t>
      </w:r>
      <w:r w:rsidRPr="007E5A34">
        <w:rPr>
          <w:rFonts w:eastAsia="SimSun"/>
          <w:szCs w:val="22"/>
          <w:lang w:val="sk-SK"/>
        </w:rPr>
        <w:t xml:space="preserve"> liekmi indukovanej hypertyreóze. V týchto prípadoch sú preto potrebné časté kontroly hladín hormónov štítnej žľazy.</w:t>
      </w:r>
    </w:p>
    <w:p w14:paraId="1E0F2EC0" w14:textId="77777777" w:rsidR="009E3661" w:rsidRPr="007E5A34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</w:p>
    <w:p w14:paraId="47812EC7" w14:textId="77777777" w:rsidR="009E3661" w:rsidRPr="007E5A34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  <w:r w:rsidRPr="007E5A34">
        <w:rPr>
          <w:rFonts w:eastAsia="SimSun"/>
          <w:szCs w:val="22"/>
          <w:lang w:val="sk-SK"/>
        </w:rPr>
        <w:t>V prípade sekundárnej hypotyreózy je potrebné pred podaním substitučnej liečby najprv stanoviť príčinu</w:t>
      </w:r>
      <w:r>
        <w:rPr>
          <w:rFonts w:eastAsia="SimSun"/>
          <w:szCs w:val="22"/>
          <w:lang w:val="sk-SK"/>
        </w:rPr>
        <w:t xml:space="preserve"> a</w:t>
      </w:r>
      <w:r w:rsidRPr="007E5A34">
        <w:rPr>
          <w:rFonts w:eastAsia="SimSun"/>
          <w:szCs w:val="22"/>
          <w:lang w:val="sk-SK"/>
        </w:rPr>
        <w:t xml:space="preserve"> </w:t>
      </w:r>
      <w:r>
        <w:rPr>
          <w:rFonts w:eastAsia="SimSun"/>
          <w:szCs w:val="22"/>
          <w:lang w:val="sk-SK"/>
        </w:rPr>
        <w:t>v</w:t>
      </w:r>
      <w:r w:rsidRPr="007E5A34">
        <w:rPr>
          <w:rFonts w:eastAsia="SimSun"/>
          <w:szCs w:val="22"/>
          <w:lang w:val="sk-SK"/>
        </w:rPr>
        <w:t xml:space="preserve"> prípade </w:t>
      </w:r>
      <w:r w:rsidRPr="00CD6A5C">
        <w:rPr>
          <w:rFonts w:eastAsia="SimSun"/>
          <w:szCs w:val="22"/>
          <w:lang w:val="sk-SK"/>
        </w:rPr>
        <w:t>potreby začať substitučnú liečbu kompenzovanej insuficiencie nadobličie</w:t>
      </w:r>
      <w:r>
        <w:rPr>
          <w:rFonts w:eastAsia="SimSun"/>
          <w:szCs w:val="22"/>
          <w:lang w:val="sk-SK"/>
        </w:rPr>
        <w:t>k</w:t>
      </w:r>
      <w:r w:rsidRPr="007E5A34">
        <w:rPr>
          <w:rFonts w:eastAsia="SimSun"/>
          <w:szCs w:val="22"/>
          <w:lang w:val="sk-SK"/>
        </w:rPr>
        <w:t>.</w:t>
      </w:r>
    </w:p>
    <w:p w14:paraId="41EC5685" w14:textId="77777777" w:rsidR="009E3661" w:rsidRPr="007E5A34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</w:p>
    <w:p w14:paraId="22BFF812" w14:textId="77777777" w:rsidR="009E3661" w:rsidRPr="007E5A34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  <w:r w:rsidRPr="007E5A34">
        <w:rPr>
          <w:rFonts w:eastAsia="SimSun"/>
          <w:szCs w:val="22"/>
          <w:lang w:val="sk-SK"/>
        </w:rPr>
        <w:t>Pri podozrení na tyreoidálnu autonómiu sa má pred liečbou vykonať TRH test alebo supresný scintigram.</w:t>
      </w:r>
    </w:p>
    <w:p w14:paraId="399C9684" w14:textId="77777777" w:rsidR="009E3661" w:rsidRPr="007E5A34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</w:p>
    <w:p w14:paraId="474726D6" w14:textId="77777777" w:rsidR="009E3661" w:rsidRPr="007E5A34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  <w:r w:rsidRPr="007E5A34">
        <w:rPr>
          <w:rFonts w:eastAsia="SimSun"/>
          <w:szCs w:val="22"/>
          <w:lang w:val="sk-SK"/>
        </w:rPr>
        <w:lastRenderedPageBreak/>
        <w:t>U postmenopauzálnych žien s hypotyreózou a so zvýšeným rizikom osteoporózy</w:t>
      </w:r>
      <w:r>
        <w:rPr>
          <w:rFonts w:eastAsia="SimSun"/>
          <w:szCs w:val="22"/>
          <w:lang w:val="sk-SK"/>
        </w:rPr>
        <w:t xml:space="preserve"> </w:t>
      </w:r>
      <w:r w:rsidRPr="007E5A34">
        <w:rPr>
          <w:rFonts w:eastAsia="SimSun"/>
          <w:szCs w:val="22"/>
          <w:lang w:val="sk-SK"/>
        </w:rPr>
        <w:t>je potrebné starostlivo sledovať činnosť štítnej žľazy, aby sa predišlo suprafyziologickej koncentrácii levotyroxínu v krvi.</w:t>
      </w:r>
    </w:p>
    <w:p w14:paraId="0FA9B444" w14:textId="77777777" w:rsidR="009E3661" w:rsidRPr="007E5A34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</w:p>
    <w:p w14:paraId="7C7543FB" w14:textId="77777777" w:rsidR="009E3661" w:rsidRPr="007E5A34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  <w:r w:rsidRPr="007E5A34">
        <w:rPr>
          <w:rFonts w:eastAsia="SimSun"/>
          <w:szCs w:val="22"/>
          <w:lang w:val="sk-SK"/>
        </w:rPr>
        <w:t>Levotyroxín sa ne</w:t>
      </w:r>
      <w:r>
        <w:rPr>
          <w:rFonts w:eastAsia="SimSun"/>
          <w:szCs w:val="22"/>
          <w:lang w:val="sk-SK"/>
        </w:rPr>
        <w:t>má</w:t>
      </w:r>
      <w:r w:rsidRPr="007E5A34">
        <w:rPr>
          <w:rFonts w:eastAsia="SimSun"/>
          <w:szCs w:val="22"/>
          <w:lang w:val="sk-SK"/>
        </w:rPr>
        <w:t xml:space="preserve"> podávať pri hypertyroidných stavoch, s výnimkou </w:t>
      </w:r>
      <w:r w:rsidRPr="000229FE">
        <w:rPr>
          <w:rFonts w:eastAsia="SimSun"/>
          <w:szCs w:val="22"/>
          <w:lang w:val="sk-SK"/>
        </w:rPr>
        <w:t>sprievodnej suplementácie v priebehu liečby hypertyreózy tyreostatikami</w:t>
      </w:r>
      <w:r w:rsidRPr="007E5A34">
        <w:rPr>
          <w:rFonts w:eastAsia="SimSun"/>
          <w:szCs w:val="22"/>
          <w:lang w:val="sk-SK"/>
        </w:rPr>
        <w:t>.</w:t>
      </w:r>
    </w:p>
    <w:p w14:paraId="39BDE5A0" w14:textId="77777777" w:rsidR="009E3661" w:rsidRPr="007E5A34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</w:p>
    <w:p w14:paraId="451F0544" w14:textId="43D6BA68" w:rsidR="009E3661" w:rsidRPr="007E5A34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  <w:r w:rsidRPr="007E5A34">
        <w:rPr>
          <w:rFonts w:eastAsia="SimSun"/>
          <w:szCs w:val="22"/>
          <w:lang w:val="sk-SK"/>
        </w:rPr>
        <w:t xml:space="preserve">Hormóny štítnej žľazy sa nemajú </w:t>
      </w:r>
      <w:r>
        <w:rPr>
          <w:rFonts w:eastAsia="SimSun"/>
          <w:szCs w:val="22"/>
          <w:lang w:val="sk-SK"/>
        </w:rPr>
        <w:t>užíva</w:t>
      </w:r>
      <w:r w:rsidRPr="007E5A34">
        <w:rPr>
          <w:rFonts w:eastAsia="SimSun"/>
          <w:szCs w:val="22"/>
          <w:lang w:val="sk-SK"/>
        </w:rPr>
        <w:t>ť na znižovanie telesnej hmotnosti. U eutyreoidných pacientov liečba levotyroxínom nespôsobuje redukciu telesnej hmotnosti. Vysoké dávky môžu vyvolať závažné</w:t>
      </w:r>
      <w:r>
        <w:rPr>
          <w:rFonts w:eastAsia="SimSun"/>
          <w:szCs w:val="22"/>
          <w:lang w:val="sk-SK"/>
        </w:rPr>
        <w:t>,</w:t>
      </w:r>
      <w:r w:rsidRPr="007E5A34">
        <w:rPr>
          <w:rFonts w:eastAsia="SimSun"/>
          <w:szCs w:val="22"/>
          <w:lang w:val="sk-SK"/>
        </w:rPr>
        <w:t xml:space="preserve"> alebo dokonca život ohrozujúce nežiaduce účinky</w:t>
      </w:r>
      <w:r>
        <w:rPr>
          <w:rFonts w:eastAsia="SimSun"/>
          <w:szCs w:val="22"/>
          <w:lang w:val="sk-SK"/>
        </w:rPr>
        <w:t xml:space="preserve">, </w:t>
      </w:r>
      <w:r w:rsidRPr="00710C73">
        <w:rPr>
          <w:rFonts w:eastAsia="SimSun"/>
          <w:color w:val="000000"/>
          <w:szCs w:val="22"/>
          <w:lang w:val="sk-SK" w:eastAsia="en-GB"/>
        </w:rPr>
        <w:t xml:space="preserve">najmä </w:t>
      </w:r>
      <w:r>
        <w:rPr>
          <w:rFonts w:eastAsia="SimSun"/>
          <w:color w:val="000000"/>
          <w:szCs w:val="22"/>
          <w:lang w:val="sk-SK" w:eastAsia="en-GB"/>
        </w:rPr>
        <w:t>ak sa užívajú</w:t>
      </w:r>
      <w:r w:rsidRPr="00E91DBD">
        <w:rPr>
          <w:rFonts w:eastAsia="SimSun"/>
          <w:szCs w:val="22"/>
          <w:lang w:val="sk-SK"/>
        </w:rPr>
        <w:t xml:space="preserve"> s určitými liekmi na zníženie telesnej hmotnosti </w:t>
      </w:r>
      <w:r w:rsidRPr="007E5A34">
        <w:rPr>
          <w:rFonts w:eastAsia="SimSun"/>
          <w:szCs w:val="22"/>
          <w:lang w:val="sk-SK"/>
        </w:rPr>
        <w:t>telesnej hmotnosti</w:t>
      </w:r>
      <w:r>
        <w:rPr>
          <w:rFonts w:eastAsia="SimSun"/>
          <w:szCs w:val="22"/>
          <w:lang w:val="sk-SK"/>
        </w:rPr>
        <w:t xml:space="preserve"> a </w:t>
      </w:r>
      <w:r w:rsidRPr="00FB1B52">
        <w:rPr>
          <w:rFonts w:eastAsia="SimSun"/>
          <w:szCs w:val="22"/>
          <w:lang w:val="sk-SK"/>
        </w:rPr>
        <w:t xml:space="preserve">zvlášť </w:t>
      </w:r>
      <w:r w:rsidRPr="006B1F83">
        <w:rPr>
          <w:rFonts w:eastAsia="SimSun"/>
          <w:szCs w:val="22"/>
          <w:lang w:val="sk-SK"/>
        </w:rPr>
        <w:t>so sympatikomimetickými amín</w:t>
      </w:r>
      <w:r w:rsidR="008F5665" w:rsidRPr="006B1F83">
        <w:rPr>
          <w:rFonts w:eastAsia="SimSun"/>
          <w:szCs w:val="22"/>
          <w:lang w:val="sk-SK"/>
        </w:rPr>
        <w:t>mi</w:t>
      </w:r>
      <w:r w:rsidRPr="006B1F83">
        <w:rPr>
          <w:rFonts w:eastAsia="SimSun"/>
          <w:szCs w:val="22"/>
          <w:lang w:val="sk-SK"/>
        </w:rPr>
        <w:t>.</w:t>
      </w:r>
      <w:bookmarkStart w:id="2" w:name="_GoBack"/>
      <w:bookmarkEnd w:id="2"/>
    </w:p>
    <w:p w14:paraId="5219C8E2" w14:textId="77777777" w:rsidR="009E3661" w:rsidRPr="007E5A34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</w:p>
    <w:p w14:paraId="423C755F" w14:textId="77777777" w:rsidR="009E3661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2F6C44">
        <w:rPr>
          <w:rFonts w:eastAsia="SimSun"/>
          <w:szCs w:val="22"/>
          <w:lang w:val="sk-SK"/>
        </w:rPr>
        <w:t xml:space="preserve">V prípade zmeny liečby na iný liek </w:t>
      </w:r>
      <w:r w:rsidRPr="007E5A34">
        <w:rPr>
          <w:rFonts w:eastAsia="SimSun"/>
          <w:szCs w:val="22"/>
          <w:lang w:val="sk-SK"/>
        </w:rPr>
        <w:t>sa u pacientov so zavedenou liečbou levotyroxínom</w:t>
      </w:r>
      <w:r>
        <w:rPr>
          <w:rFonts w:eastAsia="SimSun"/>
          <w:szCs w:val="22"/>
          <w:lang w:val="sk-SK"/>
        </w:rPr>
        <w:t xml:space="preserve"> odporúča</w:t>
      </w:r>
      <w:r w:rsidRPr="007E5A34">
        <w:rPr>
          <w:rFonts w:eastAsia="SimSun"/>
          <w:szCs w:val="22"/>
          <w:lang w:val="sk-SK"/>
        </w:rPr>
        <w:t xml:space="preserve"> </w:t>
      </w:r>
      <w:r>
        <w:rPr>
          <w:rFonts w:eastAsia="SimSun"/>
          <w:szCs w:val="22"/>
          <w:lang w:val="sk-SK"/>
        </w:rPr>
        <w:t>uprav</w:t>
      </w:r>
      <w:r w:rsidRPr="007E5A34">
        <w:rPr>
          <w:rFonts w:eastAsia="SimSun"/>
          <w:szCs w:val="22"/>
          <w:lang w:val="sk-SK"/>
        </w:rPr>
        <w:t>iť dávkovanie podľa klinickej odpovede pacienta a výsledkov laboratórnych vyšetrení.</w:t>
      </w:r>
      <w:r w:rsidRPr="002F6C44">
        <w:t xml:space="preserve"> </w:t>
      </w:r>
    </w:p>
    <w:p w14:paraId="246F8D3D" w14:textId="77777777" w:rsidR="009E3661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668A1AD3" w14:textId="77777777" w:rsidR="009E3661" w:rsidRPr="007E5A34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  <w:r w:rsidRPr="00A938DC">
        <w:rPr>
          <w:szCs w:val="22"/>
          <w:lang w:val="sk-SK"/>
        </w:rPr>
        <w:t>V prípade zmeny liečby na iný liek s obsahom levotyroxínu je potrebné vykonať dôkladné vyšetrenie vrátane klinického a biologického monitorovania počas prechodného obdobia z dôvodu potencionálneho rizika nerovnováhy hladiny hormónov štítnej žľazy. U niektorých pacientov môže byť potrebná úprava dávky</w:t>
      </w:r>
      <w:r>
        <w:rPr>
          <w:szCs w:val="22"/>
          <w:lang w:val="sk-SK"/>
        </w:rPr>
        <w:t>.</w:t>
      </w:r>
    </w:p>
    <w:p w14:paraId="5B33FD4C" w14:textId="77777777" w:rsidR="009E3661" w:rsidRPr="007E5A34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</w:p>
    <w:p w14:paraId="748934FB" w14:textId="77777777" w:rsidR="009E3661" w:rsidRPr="007E5A34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  <w:r w:rsidRPr="0053601B">
        <w:rPr>
          <w:rFonts w:eastAsia="SimSun"/>
          <w:szCs w:val="22"/>
          <w:lang w:val="sk-SK"/>
        </w:rPr>
        <w:t>Keď sa súbežne užíva orlistat a</w:t>
      </w:r>
      <w:r>
        <w:rPr>
          <w:rFonts w:eastAsia="SimSun"/>
          <w:szCs w:val="22"/>
          <w:lang w:val="sk-SK"/>
        </w:rPr>
        <w:t> </w:t>
      </w:r>
      <w:r w:rsidRPr="0053601B">
        <w:rPr>
          <w:rFonts w:eastAsia="SimSun"/>
          <w:szCs w:val="22"/>
          <w:lang w:val="sk-SK"/>
        </w:rPr>
        <w:t>levotyroxín</w:t>
      </w:r>
      <w:r>
        <w:rPr>
          <w:rFonts w:eastAsia="SimSun"/>
          <w:szCs w:val="22"/>
          <w:lang w:val="sk-SK"/>
        </w:rPr>
        <w:t>,</w:t>
      </w:r>
      <w:r w:rsidRPr="0053601B">
        <w:rPr>
          <w:rFonts w:eastAsia="SimSun"/>
          <w:szCs w:val="22"/>
          <w:lang w:val="sk-SK"/>
        </w:rPr>
        <w:t xml:space="preserve"> môže sa vyskytnúť hypotyroizmus a/alebo zníženie kontroly hypotyroizmu (pozri časť 4.5). Pacientom užívajúcim levotyroxín je vhodné odporučiť, aby sa predtým, ako začnú alebo prestanú užívať orlistat, alebo keď zmenia liečbu orlistatom, poradili s lekárom, pretože užívanie orlistatu a levotyroxínu bude nutné v inom čase a dávku levotyroxínu môže byť potrebné upraviť. Ďalej sa odporúča kontrolovať u pacienta sérové hladiny hormónov</w:t>
      </w:r>
      <w:r w:rsidRPr="007E5A34">
        <w:rPr>
          <w:rFonts w:eastAsia="SimSun"/>
          <w:szCs w:val="22"/>
          <w:lang w:val="sk-SK"/>
        </w:rPr>
        <w:t>.</w:t>
      </w:r>
    </w:p>
    <w:p w14:paraId="4EC2825C" w14:textId="77777777" w:rsidR="009E3661" w:rsidRPr="007E5A34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</w:p>
    <w:p w14:paraId="170FE2F5" w14:textId="77777777" w:rsidR="009E3661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  <w:r w:rsidRPr="003213E7">
        <w:rPr>
          <w:rFonts w:eastAsia="SimSun"/>
          <w:szCs w:val="22"/>
          <w:lang w:val="sk-SK"/>
        </w:rPr>
        <w:t>Informácie</w:t>
      </w:r>
      <w:r w:rsidRPr="007E5A34">
        <w:rPr>
          <w:rFonts w:eastAsia="SimSun"/>
          <w:szCs w:val="22"/>
          <w:lang w:val="sk-SK"/>
        </w:rPr>
        <w:t xml:space="preserve"> o diabetických pacientoch a pacientoch s antikoagulačnou liečbou </w:t>
      </w:r>
      <w:r>
        <w:rPr>
          <w:rFonts w:eastAsia="SimSun"/>
          <w:szCs w:val="22"/>
          <w:lang w:val="sk-SK"/>
        </w:rPr>
        <w:t>sú uvedené v </w:t>
      </w:r>
      <w:r w:rsidRPr="007E5A34">
        <w:rPr>
          <w:rFonts w:eastAsia="SimSun"/>
          <w:szCs w:val="22"/>
          <w:lang w:val="sk-SK"/>
        </w:rPr>
        <w:t>čas</w:t>
      </w:r>
      <w:r>
        <w:rPr>
          <w:rFonts w:eastAsia="SimSun"/>
          <w:szCs w:val="22"/>
          <w:lang w:val="sk-SK"/>
        </w:rPr>
        <w:t xml:space="preserve">ti </w:t>
      </w:r>
      <w:r w:rsidRPr="007E5A34">
        <w:rPr>
          <w:rFonts w:eastAsia="SimSun"/>
          <w:szCs w:val="22"/>
          <w:lang w:val="sk-SK"/>
        </w:rPr>
        <w:t>4.5</w:t>
      </w:r>
      <w:r w:rsidRPr="00456BFF">
        <w:rPr>
          <w:rFonts w:eastAsia="SimSun"/>
          <w:szCs w:val="22"/>
          <w:lang w:val="sk-SK"/>
        </w:rPr>
        <w:t>.</w:t>
      </w:r>
    </w:p>
    <w:p w14:paraId="57829B2F" w14:textId="77777777" w:rsidR="009E3661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</w:p>
    <w:p w14:paraId="48882D2B" w14:textId="77777777" w:rsidR="009E3661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  <w:r>
        <w:rPr>
          <w:rFonts w:eastAsia="SimSun"/>
          <w:szCs w:val="22"/>
          <w:lang w:val="sk-SK"/>
        </w:rPr>
        <w:t>Prípadná a</w:t>
      </w:r>
      <w:r w:rsidRPr="00165F13">
        <w:rPr>
          <w:rFonts w:eastAsia="SimSun"/>
          <w:szCs w:val="22"/>
          <w:lang w:val="sk-SK"/>
        </w:rPr>
        <w:t>drenokortikáln</w:t>
      </w:r>
      <w:r>
        <w:rPr>
          <w:rFonts w:eastAsia="SimSun"/>
          <w:szCs w:val="22"/>
          <w:lang w:val="sk-SK"/>
        </w:rPr>
        <w:t>a</w:t>
      </w:r>
      <w:r w:rsidRPr="00165F13">
        <w:rPr>
          <w:rFonts w:eastAsia="SimSun"/>
          <w:szCs w:val="22"/>
          <w:lang w:val="sk-SK"/>
        </w:rPr>
        <w:t xml:space="preserve"> </w:t>
      </w:r>
      <w:r>
        <w:rPr>
          <w:rFonts w:eastAsia="SimSun"/>
          <w:szCs w:val="22"/>
          <w:lang w:val="sk-SK"/>
        </w:rPr>
        <w:t xml:space="preserve">dysfunkcia má </w:t>
      </w:r>
      <w:r w:rsidRPr="00165F13">
        <w:rPr>
          <w:rFonts w:eastAsia="SimSun"/>
          <w:szCs w:val="22"/>
          <w:lang w:val="sk-SK"/>
        </w:rPr>
        <w:t xml:space="preserve">byť </w:t>
      </w:r>
      <w:r>
        <w:rPr>
          <w:rFonts w:eastAsia="SimSun"/>
          <w:szCs w:val="22"/>
          <w:lang w:val="sk-SK"/>
        </w:rPr>
        <w:t xml:space="preserve">liečená </w:t>
      </w:r>
      <w:r w:rsidRPr="00165F13">
        <w:rPr>
          <w:rFonts w:eastAsia="SimSun"/>
          <w:szCs w:val="22"/>
          <w:lang w:val="sk-SK"/>
        </w:rPr>
        <w:t>pred začatím liečby</w:t>
      </w:r>
      <w:r>
        <w:rPr>
          <w:rFonts w:eastAsia="SimSun"/>
          <w:szCs w:val="22"/>
          <w:lang w:val="sk-SK"/>
        </w:rPr>
        <w:t xml:space="preserve"> levotyroxínom adekvátnou substitučnou liečbou, aby sa predišlo v</w:t>
      </w:r>
      <w:r w:rsidRPr="0095477A">
        <w:rPr>
          <w:rFonts w:eastAsia="SimSun"/>
          <w:szCs w:val="22"/>
          <w:lang w:val="sk-SK"/>
        </w:rPr>
        <w:t xml:space="preserve">zniku akútnej adrenálnej insuficiencie </w:t>
      </w:r>
      <w:r>
        <w:rPr>
          <w:rFonts w:eastAsia="SimSun"/>
          <w:szCs w:val="22"/>
          <w:lang w:val="sk-SK"/>
        </w:rPr>
        <w:t>(pozri časť 4.3).</w:t>
      </w:r>
    </w:p>
    <w:p w14:paraId="2B39B552" w14:textId="77777777" w:rsidR="009E3661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</w:p>
    <w:p w14:paraId="5FEDD770" w14:textId="77777777" w:rsidR="009E3661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  <w:r w:rsidRPr="00165F13">
        <w:rPr>
          <w:rFonts w:eastAsia="SimSun"/>
          <w:szCs w:val="22"/>
          <w:lang w:val="sk-SK"/>
        </w:rPr>
        <w:t>Pri začatí liečby levotyroxínom u predčasne narodených novorodencov s veľmi nízkou pôrodnou hmotnosťou sa majú sledovať hemodynamické parametre, pretože v dôsledku nezrelej adrenálnej funkcie môže dôjsť ku kolapsu cirkulácie.</w:t>
      </w:r>
    </w:p>
    <w:p w14:paraId="426EDCEC" w14:textId="77777777" w:rsidR="009E3661" w:rsidRPr="00456BFF" w:rsidRDefault="009E3661" w:rsidP="009E3661">
      <w:pPr>
        <w:rPr>
          <w:noProof/>
          <w:lang w:val="sk-SK"/>
        </w:rPr>
      </w:pPr>
    </w:p>
    <w:p w14:paraId="321E1F87" w14:textId="77777777" w:rsidR="009E3661" w:rsidRPr="00456BFF" w:rsidRDefault="009E3661" w:rsidP="009E3661">
      <w:pPr>
        <w:rPr>
          <w:noProof/>
          <w:u w:val="single"/>
          <w:lang w:val="sk-SK"/>
        </w:rPr>
      </w:pPr>
      <w:r>
        <w:rPr>
          <w:noProof/>
          <w:u w:val="single"/>
          <w:lang w:val="sk-SK"/>
        </w:rPr>
        <w:t>Pomocné látky</w:t>
      </w:r>
    </w:p>
    <w:p w14:paraId="48AC570F" w14:textId="7F77B206" w:rsidR="009E3661" w:rsidRPr="004E730B" w:rsidRDefault="009E3661" w:rsidP="009E3661">
      <w:pPr>
        <w:rPr>
          <w:noProof/>
          <w:lang w:val="sk-SK"/>
        </w:rPr>
      </w:pPr>
      <w:r w:rsidRPr="004E730B">
        <w:rPr>
          <w:noProof/>
          <w:lang w:val="sk-SK"/>
        </w:rPr>
        <w:t xml:space="preserve">25 </w:t>
      </w:r>
      <w:r w:rsidR="008F5665">
        <w:rPr>
          <w:szCs w:val="22"/>
          <w:lang w:val="sk-SK"/>
        </w:rPr>
        <w:t xml:space="preserve">mikrogramov </w:t>
      </w:r>
      <w:r w:rsidRPr="004E730B">
        <w:rPr>
          <w:noProof/>
          <w:lang w:val="sk-SK"/>
        </w:rPr>
        <w:t xml:space="preserve">tableta: Tento liek obsahuje </w:t>
      </w:r>
      <w:r w:rsidR="008F5665">
        <w:rPr>
          <w:rStyle w:val="st1"/>
          <w:color w:val="3C4043"/>
          <w:szCs w:val="22"/>
        </w:rPr>
        <w:t xml:space="preserve">oranžovú </w:t>
      </w:r>
      <w:r w:rsidR="008F5665">
        <w:rPr>
          <w:rStyle w:val="Zvraznenie"/>
          <w:i w:val="0"/>
          <w:color w:val="3C4043"/>
          <w:szCs w:val="22"/>
        </w:rPr>
        <w:t>žlť</w:t>
      </w:r>
      <w:r w:rsidRPr="004E730B">
        <w:rPr>
          <w:noProof/>
          <w:lang w:val="sk-SK"/>
        </w:rPr>
        <w:t xml:space="preserve">, ktorá môže spôsobovať alergické reakcie. </w:t>
      </w:r>
    </w:p>
    <w:p w14:paraId="1694AC33" w14:textId="2DF59B3F" w:rsidR="009E3661" w:rsidRPr="004E730B" w:rsidRDefault="009E3661" w:rsidP="009E3661">
      <w:pPr>
        <w:rPr>
          <w:noProof/>
          <w:lang w:val="sk-SK"/>
        </w:rPr>
      </w:pPr>
      <w:r w:rsidRPr="004E730B">
        <w:rPr>
          <w:noProof/>
          <w:lang w:val="sk-SK"/>
        </w:rPr>
        <w:t xml:space="preserve">75/112/200 </w:t>
      </w:r>
      <w:r w:rsidR="008F5665">
        <w:rPr>
          <w:szCs w:val="22"/>
          <w:lang w:val="sk-SK"/>
        </w:rPr>
        <w:t xml:space="preserve">mikrogramov </w:t>
      </w:r>
      <w:r w:rsidRPr="004E730B">
        <w:rPr>
          <w:noProof/>
          <w:lang w:val="sk-SK"/>
        </w:rPr>
        <w:t xml:space="preserve">tablety: Tento liek obsahuje červeň allúrovú, ktorá môže spôsobovať alergické reakcie. </w:t>
      </w:r>
    </w:p>
    <w:p w14:paraId="609EDA85" w14:textId="42519E85" w:rsidR="009E3661" w:rsidRPr="004E730B" w:rsidRDefault="009E3661" w:rsidP="009E3661">
      <w:pPr>
        <w:rPr>
          <w:noProof/>
          <w:lang w:val="sk-SK"/>
        </w:rPr>
      </w:pPr>
      <w:r w:rsidRPr="004E730B">
        <w:rPr>
          <w:noProof/>
          <w:lang w:val="sk-SK"/>
        </w:rPr>
        <w:t xml:space="preserve">88 </w:t>
      </w:r>
      <w:r w:rsidR="008F5665">
        <w:rPr>
          <w:szCs w:val="22"/>
          <w:lang w:val="sk-SK"/>
        </w:rPr>
        <w:t xml:space="preserve">mikrogramov </w:t>
      </w:r>
      <w:r w:rsidRPr="004E730B">
        <w:rPr>
          <w:noProof/>
          <w:lang w:val="sk-SK"/>
        </w:rPr>
        <w:t xml:space="preserve">tableta: Tento liek obsahuje tartrazín, ktorý môže spôsobovať alergické reakcie. </w:t>
      </w:r>
    </w:p>
    <w:p w14:paraId="493210C9" w14:textId="503B3DF7" w:rsidR="009E3661" w:rsidRPr="004E730B" w:rsidRDefault="009E3661" w:rsidP="009E3661">
      <w:pPr>
        <w:rPr>
          <w:noProof/>
          <w:lang w:val="sk-SK"/>
        </w:rPr>
      </w:pPr>
      <w:r w:rsidRPr="004E730B">
        <w:rPr>
          <w:noProof/>
          <w:lang w:val="sk-SK"/>
        </w:rPr>
        <w:t xml:space="preserve">100 </w:t>
      </w:r>
      <w:r w:rsidR="008F5665">
        <w:rPr>
          <w:szCs w:val="22"/>
          <w:lang w:val="sk-SK"/>
        </w:rPr>
        <w:t xml:space="preserve">mikrogramov </w:t>
      </w:r>
      <w:r w:rsidRPr="004E730B">
        <w:rPr>
          <w:noProof/>
          <w:lang w:val="sk-SK"/>
        </w:rPr>
        <w:t xml:space="preserve">tableta: Tento liek obsahuje tartrazín a chinolinovú žlť, ktoré môžu spôsobovať alergické reakcie. </w:t>
      </w:r>
    </w:p>
    <w:p w14:paraId="20BABB26" w14:textId="0BC50AEB" w:rsidR="009E3661" w:rsidRPr="004E730B" w:rsidRDefault="009E3661" w:rsidP="009E3661">
      <w:pPr>
        <w:rPr>
          <w:bCs/>
          <w:noProof/>
          <w:lang w:val="sk-SK"/>
        </w:rPr>
      </w:pPr>
      <w:r w:rsidRPr="004E730B">
        <w:rPr>
          <w:noProof/>
          <w:lang w:val="sk-SK"/>
        </w:rPr>
        <w:t xml:space="preserve">125 </w:t>
      </w:r>
      <w:r w:rsidR="008F5665">
        <w:rPr>
          <w:szCs w:val="22"/>
          <w:lang w:val="sk-SK"/>
        </w:rPr>
        <w:t xml:space="preserve">mikrogramov </w:t>
      </w:r>
      <w:r w:rsidRPr="004E730B">
        <w:rPr>
          <w:noProof/>
          <w:lang w:val="sk-SK"/>
        </w:rPr>
        <w:t>tableta: Tento liek obsahuje chinolinovú žlť a červeň allúrovú, ktoré môžu spôsobovať alergické reakcie.</w:t>
      </w:r>
    </w:p>
    <w:p w14:paraId="36AA6943" w14:textId="77777777" w:rsidR="009E3661" w:rsidRPr="004E730B" w:rsidRDefault="009E3661" w:rsidP="009E3661">
      <w:pPr>
        <w:rPr>
          <w:bCs/>
          <w:noProof/>
          <w:lang w:val="sk-SK"/>
        </w:rPr>
      </w:pPr>
    </w:p>
    <w:p w14:paraId="4294FB9E" w14:textId="77777777" w:rsidR="009E3661" w:rsidRPr="004E730B" w:rsidRDefault="009E3661" w:rsidP="009E3661">
      <w:pPr>
        <w:rPr>
          <w:bCs/>
          <w:noProof/>
          <w:lang w:val="sk-SK"/>
        </w:rPr>
      </w:pPr>
      <w:r w:rsidRPr="004E730B">
        <w:rPr>
          <w:bCs/>
          <w:noProof/>
          <w:lang w:val="sk-SK"/>
        </w:rPr>
        <w:t>Tento liek obsahuje menej ako 1 mmol sodíka (23 mg) v jednej tablete, t.j. v podstate zanedbateľné množstvo sodíka.</w:t>
      </w:r>
    </w:p>
    <w:p w14:paraId="6885B2CA" w14:textId="77777777" w:rsidR="009E3661" w:rsidRPr="00456BFF" w:rsidRDefault="009E3661" w:rsidP="009E3661">
      <w:pPr>
        <w:rPr>
          <w:noProof/>
          <w:lang w:val="sk-SK"/>
        </w:rPr>
      </w:pPr>
    </w:p>
    <w:p w14:paraId="6C28D9C7" w14:textId="77777777" w:rsidR="009E3661" w:rsidRPr="00456BFF" w:rsidRDefault="009E3661" w:rsidP="009E3661">
      <w:pPr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456BFF">
        <w:rPr>
          <w:b/>
          <w:noProof/>
          <w:szCs w:val="22"/>
          <w:lang w:val="sk-SK"/>
        </w:rPr>
        <w:t>4.5</w:t>
      </w:r>
      <w:r w:rsidRPr="00456BFF">
        <w:rPr>
          <w:b/>
          <w:noProof/>
          <w:szCs w:val="22"/>
          <w:lang w:val="sk-SK"/>
        </w:rPr>
        <w:tab/>
      </w:r>
      <w:r w:rsidRPr="0017714F">
        <w:rPr>
          <w:b/>
          <w:noProof/>
          <w:szCs w:val="22"/>
          <w:lang w:val="sk-SK"/>
        </w:rPr>
        <w:t>Liekové a iné interakcie</w:t>
      </w:r>
    </w:p>
    <w:p w14:paraId="7637A4CB" w14:textId="77777777" w:rsidR="009E3661" w:rsidRPr="00456BFF" w:rsidRDefault="009E3661" w:rsidP="009E3661">
      <w:pPr>
        <w:spacing w:line="240" w:lineRule="auto"/>
        <w:rPr>
          <w:noProof/>
          <w:szCs w:val="22"/>
          <w:highlight w:val="yellow"/>
          <w:lang w:val="sk-SK"/>
        </w:rPr>
      </w:pPr>
    </w:p>
    <w:p w14:paraId="4FBA098A" w14:textId="77777777" w:rsidR="009E3661" w:rsidRPr="0017714F" w:rsidRDefault="009E3661" w:rsidP="009E3661">
      <w:pPr>
        <w:tabs>
          <w:tab w:val="clear" w:pos="567"/>
        </w:tabs>
        <w:spacing w:line="240" w:lineRule="exact"/>
        <w:jc w:val="both"/>
        <w:rPr>
          <w:i/>
          <w:noProof/>
          <w:szCs w:val="22"/>
          <w:lang w:val="sk-SK"/>
        </w:rPr>
      </w:pPr>
      <w:r w:rsidRPr="0017714F">
        <w:rPr>
          <w:i/>
          <w:noProof/>
          <w:szCs w:val="22"/>
          <w:lang w:val="sk-SK"/>
        </w:rPr>
        <w:t>Antidiabetiká:</w:t>
      </w:r>
    </w:p>
    <w:p w14:paraId="2F0CCE79" w14:textId="77777777" w:rsidR="009E3661" w:rsidRDefault="009E3661" w:rsidP="009E3661">
      <w:pPr>
        <w:tabs>
          <w:tab w:val="clear" w:pos="567"/>
        </w:tabs>
        <w:spacing w:line="240" w:lineRule="exact"/>
        <w:jc w:val="both"/>
        <w:rPr>
          <w:noProof/>
          <w:szCs w:val="22"/>
          <w:lang w:val="sk-SK"/>
        </w:rPr>
      </w:pPr>
    </w:p>
    <w:p w14:paraId="1959BB8C" w14:textId="77777777" w:rsidR="009E3661" w:rsidRPr="0017714F" w:rsidRDefault="009E3661" w:rsidP="009E3661">
      <w:pPr>
        <w:tabs>
          <w:tab w:val="clear" w:pos="567"/>
        </w:tabs>
        <w:spacing w:line="240" w:lineRule="exact"/>
        <w:jc w:val="both"/>
        <w:rPr>
          <w:noProof/>
          <w:szCs w:val="22"/>
          <w:lang w:val="sk-SK"/>
        </w:rPr>
      </w:pPr>
      <w:r w:rsidRPr="0017714F">
        <w:rPr>
          <w:noProof/>
          <w:szCs w:val="22"/>
          <w:lang w:val="sk-SK"/>
        </w:rPr>
        <w:t>Levotyroxín môže znižovať účinok antidiabetík. Z tohto dôvodu je na začiatku liečby hormónmi štítnej žľazy potrebné pravidelne kontrolovať hladiny glukózy v krvi a v prípade potreby prispôsobiť dávkovanie antidiabetického lieku.</w:t>
      </w:r>
    </w:p>
    <w:p w14:paraId="227C9731" w14:textId="77777777" w:rsidR="009E3661" w:rsidRPr="0017714F" w:rsidRDefault="009E3661" w:rsidP="009E3661">
      <w:pPr>
        <w:tabs>
          <w:tab w:val="clear" w:pos="567"/>
        </w:tabs>
        <w:spacing w:line="240" w:lineRule="exact"/>
        <w:jc w:val="both"/>
        <w:rPr>
          <w:noProof/>
          <w:szCs w:val="22"/>
          <w:lang w:val="sk-SK"/>
        </w:rPr>
      </w:pPr>
    </w:p>
    <w:p w14:paraId="20C10885" w14:textId="77777777" w:rsidR="009E3661" w:rsidRPr="0017714F" w:rsidRDefault="009E3661" w:rsidP="009E3661">
      <w:pPr>
        <w:tabs>
          <w:tab w:val="clear" w:pos="567"/>
        </w:tabs>
        <w:spacing w:line="240" w:lineRule="exact"/>
        <w:jc w:val="both"/>
        <w:rPr>
          <w:noProof/>
          <w:szCs w:val="22"/>
          <w:lang w:val="sk-SK"/>
        </w:rPr>
      </w:pPr>
      <w:r w:rsidRPr="0017714F">
        <w:rPr>
          <w:i/>
          <w:noProof/>
          <w:szCs w:val="22"/>
          <w:lang w:val="sk-SK"/>
        </w:rPr>
        <w:t>Kumarínové deriváty:</w:t>
      </w:r>
    </w:p>
    <w:p w14:paraId="2870A85D" w14:textId="77777777" w:rsidR="009E3661" w:rsidRDefault="009E3661" w:rsidP="009E3661">
      <w:pPr>
        <w:tabs>
          <w:tab w:val="clear" w:pos="567"/>
        </w:tabs>
        <w:spacing w:line="240" w:lineRule="exact"/>
        <w:jc w:val="both"/>
        <w:rPr>
          <w:noProof/>
          <w:szCs w:val="22"/>
          <w:lang w:val="sk-SK"/>
        </w:rPr>
      </w:pPr>
    </w:p>
    <w:p w14:paraId="04F7CDA8" w14:textId="77777777" w:rsidR="009E3661" w:rsidRDefault="009E3661" w:rsidP="009E3661">
      <w:pPr>
        <w:tabs>
          <w:tab w:val="clear" w:pos="567"/>
        </w:tabs>
        <w:spacing w:line="240" w:lineRule="exact"/>
        <w:jc w:val="both"/>
        <w:rPr>
          <w:noProof/>
          <w:szCs w:val="22"/>
          <w:lang w:val="sk-SK"/>
        </w:rPr>
      </w:pPr>
      <w:r w:rsidRPr="0017714F">
        <w:rPr>
          <w:noProof/>
          <w:szCs w:val="22"/>
          <w:lang w:val="sk-SK"/>
        </w:rPr>
        <w:t>Účinok antikoagulačnej liečby sa môže zvýšiť, pretože levotyroxín vytesňuje antikoagulanciá z väzby na plazmatické bielkoviny</w:t>
      </w:r>
      <w:r>
        <w:rPr>
          <w:noProof/>
          <w:szCs w:val="22"/>
          <w:lang w:val="sk-SK"/>
        </w:rPr>
        <w:t xml:space="preserve">, </w:t>
      </w:r>
      <w:r w:rsidRPr="0017714F">
        <w:rPr>
          <w:noProof/>
          <w:szCs w:val="22"/>
          <w:lang w:val="sk-SK"/>
        </w:rPr>
        <w:t xml:space="preserve">čo môže zvýšiť riziko krvácania, napr. do CNS alebo </w:t>
      </w:r>
      <w:r w:rsidRPr="0053601B">
        <w:rPr>
          <w:noProof/>
          <w:szCs w:val="22"/>
          <w:lang w:val="sk-SK"/>
        </w:rPr>
        <w:t>gastrointestinálneho</w:t>
      </w:r>
      <w:r w:rsidRPr="0017714F">
        <w:rPr>
          <w:noProof/>
          <w:szCs w:val="22"/>
          <w:lang w:val="sk-SK"/>
        </w:rPr>
        <w:t xml:space="preserve"> traktu, najmä u starších pacientov. </w:t>
      </w:r>
      <w:r w:rsidRPr="0053601B">
        <w:rPr>
          <w:noProof/>
          <w:szCs w:val="22"/>
          <w:lang w:val="sk-SK"/>
        </w:rPr>
        <w:t>Preto je nevyhnutné na začiatku a počas konkomitantnej liečby koagulačné parametre pravidelne kontrolovať. V prípade nutnosti je potrebné dávku antikoagulancia prispôsobiť</w:t>
      </w:r>
      <w:r w:rsidRPr="0017714F">
        <w:rPr>
          <w:noProof/>
          <w:szCs w:val="22"/>
          <w:lang w:val="sk-SK"/>
        </w:rPr>
        <w:t>.</w:t>
      </w:r>
    </w:p>
    <w:p w14:paraId="31995FA7" w14:textId="77777777" w:rsidR="009E3661" w:rsidRDefault="009E3661" w:rsidP="009E3661">
      <w:pPr>
        <w:tabs>
          <w:tab w:val="clear" w:pos="567"/>
        </w:tabs>
        <w:spacing w:line="240" w:lineRule="exact"/>
        <w:jc w:val="both"/>
        <w:rPr>
          <w:noProof/>
          <w:szCs w:val="22"/>
          <w:lang w:val="sk-SK"/>
        </w:rPr>
      </w:pPr>
    </w:p>
    <w:p w14:paraId="63F7574B" w14:textId="77777777" w:rsidR="009E3661" w:rsidRDefault="009E3661" w:rsidP="009E3661">
      <w:pPr>
        <w:tabs>
          <w:tab w:val="clear" w:pos="567"/>
        </w:tabs>
        <w:spacing w:line="240" w:lineRule="exact"/>
        <w:jc w:val="both"/>
        <w:rPr>
          <w:i/>
          <w:noProof/>
          <w:szCs w:val="22"/>
          <w:lang w:val="sk-SK"/>
        </w:rPr>
      </w:pPr>
      <w:r w:rsidRPr="0017714F">
        <w:rPr>
          <w:i/>
          <w:noProof/>
          <w:szCs w:val="22"/>
          <w:lang w:val="sk-SK"/>
        </w:rPr>
        <w:t>Inhibítory proteáz:</w:t>
      </w:r>
    </w:p>
    <w:p w14:paraId="22DCB8FB" w14:textId="77777777" w:rsidR="009E3661" w:rsidRPr="0017714F" w:rsidRDefault="009E3661" w:rsidP="009E3661">
      <w:pPr>
        <w:tabs>
          <w:tab w:val="clear" w:pos="567"/>
        </w:tabs>
        <w:spacing w:line="240" w:lineRule="exact"/>
        <w:jc w:val="both"/>
        <w:rPr>
          <w:i/>
          <w:noProof/>
          <w:szCs w:val="22"/>
          <w:lang w:val="sk-SK"/>
        </w:rPr>
      </w:pPr>
    </w:p>
    <w:p w14:paraId="08B13BC5" w14:textId="77777777" w:rsidR="009E3661" w:rsidRDefault="009E3661" w:rsidP="009E3661">
      <w:pPr>
        <w:tabs>
          <w:tab w:val="clear" w:pos="567"/>
        </w:tabs>
        <w:spacing w:line="240" w:lineRule="exact"/>
        <w:jc w:val="both"/>
        <w:rPr>
          <w:noProof/>
          <w:szCs w:val="22"/>
          <w:lang w:val="sk-SK"/>
        </w:rPr>
      </w:pPr>
      <w:r w:rsidRPr="00E35D16">
        <w:rPr>
          <w:noProof/>
          <w:szCs w:val="22"/>
          <w:lang w:val="sk-SK"/>
        </w:rPr>
        <w:t xml:space="preserve">Inhibítory proteáz </w:t>
      </w:r>
      <w:r>
        <w:rPr>
          <w:noProof/>
          <w:szCs w:val="22"/>
          <w:lang w:val="sk-SK"/>
        </w:rPr>
        <w:t>(napr.</w:t>
      </w:r>
      <w:r w:rsidRPr="00E35D16">
        <w:rPr>
          <w:noProof/>
          <w:szCs w:val="22"/>
          <w:lang w:val="sk-SK"/>
        </w:rPr>
        <w:t xml:space="preserve"> ritonavir</w:t>
      </w:r>
      <w:r>
        <w:rPr>
          <w:noProof/>
          <w:szCs w:val="22"/>
          <w:lang w:val="sk-SK"/>
        </w:rPr>
        <w:t>, indinavir, lopinavir)</w:t>
      </w:r>
      <w:r w:rsidRPr="00E35D16">
        <w:rPr>
          <w:noProof/>
          <w:szCs w:val="22"/>
          <w:lang w:val="sk-SK"/>
        </w:rPr>
        <w:t xml:space="preserve"> môžu ovplyvniť účinnosť</w:t>
      </w:r>
      <w:r>
        <w:rPr>
          <w:noProof/>
          <w:szCs w:val="22"/>
          <w:lang w:val="sk-SK"/>
        </w:rPr>
        <w:t xml:space="preserve"> </w:t>
      </w:r>
      <w:r w:rsidRPr="00E35D16">
        <w:rPr>
          <w:noProof/>
          <w:szCs w:val="22"/>
          <w:lang w:val="sk-SK"/>
        </w:rPr>
        <w:t xml:space="preserve">levotyroxínu. </w:t>
      </w:r>
      <w:r>
        <w:rPr>
          <w:noProof/>
          <w:szCs w:val="22"/>
          <w:lang w:val="sk-SK"/>
        </w:rPr>
        <w:t>O</w:t>
      </w:r>
      <w:r w:rsidRPr="00E35D16">
        <w:rPr>
          <w:noProof/>
          <w:szCs w:val="22"/>
          <w:lang w:val="sk-SK"/>
        </w:rPr>
        <w:t xml:space="preserve">dporúča </w:t>
      </w:r>
      <w:r>
        <w:rPr>
          <w:noProof/>
          <w:szCs w:val="22"/>
          <w:lang w:val="sk-SK"/>
        </w:rPr>
        <w:t xml:space="preserve">sa </w:t>
      </w:r>
      <w:r w:rsidRPr="0053601B">
        <w:rPr>
          <w:noProof/>
          <w:szCs w:val="22"/>
          <w:lang w:val="sk-SK"/>
        </w:rPr>
        <w:t>dôkladné</w:t>
      </w:r>
      <w:r w:rsidRPr="00E35D16">
        <w:rPr>
          <w:noProof/>
          <w:szCs w:val="22"/>
          <w:lang w:val="sk-SK"/>
        </w:rPr>
        <w:t xml:space="preserve"> monitorovanie </w:t>
      </w:r>
      <w:r>
        <w:rPr>
          <w:noProof/>
          <w:szCs w:val="22"/>
          <w:lang w:val="sk-SK"/>
        </w:rPr>
        <w:t>parametrov hormónov</w:t>
      </w:r>
      <w:r w:rsidRPr="00E35D16">
        <w:rPr>
          <w:noProof/>
          <w:szCs w:val="22"/>
          <w:lang w:val="sk-SK"/>
        </w:rPr>
        <w:t xml:space="preserve"> štítnej žľazy</w:t>
      </w:r>
      <w:r>
        <w:rPr>
          <w:noProof/>
          <w:szCs w:val="22"/>
          <w:lang w:val="sk-SK"/>
        </w:rPr>
        <w:t xml:space="preserve">. </w:t>
      </w:r>
      <w:r w:rsidRPr="0053601B">
        <w:rPr>
          <w:noProof/>
          <w:szCs w:val="22"/>
          <w:lang w:val="sk-SK"/>
        </w:rPr>
        <w:t>V prípade potreby môže byť dávka levotyroxínu upravená.</w:t>
      </w:r>
    </w:p>
    <w:p w14:paraId="124EAC17" w14:textId="77777777" w:rsidR="009E3661" w:rsidRDefault="009E3661" w:rsidP="009E3661">
      <w:pPr>
        <w:tabs>
          <w:tab w:val="clear" w:pos="567"/>
        </w:tabs>
        <w:spacing w:line="240" w:lineRule="exact"/>
        <w:jc w:val="both"/>
        <w:rPr>
          <w:noProof/>
          <w:szCs w:val="22"/>
          <w:lang w:val="sk-SK"/>
        </w:rPr>
      </w:pPr>
    </w:p>
    <w:p w14:paraId="6F2CB8AF" w14:textId="77777777" w:rsidR="009E3661" w:rsidRDefault="009E3661" w:rsidP="009E3661">
      <w:pPr>
        <w:tabs>
          <w:tab w:val="clear" w:pos="567"/>
        </w:tabs>
        <w:spacing w:line="240" w:lineRule="exact"/>
        <w:jc w:val="both"/>
        <w:rPr>
          <w:noProof/>
          <w:szCs w:val="22"/>
          <w:lang w:val="sk-SK"/>
        </w:rPr>
      </w:pPr>
      <w:r w:rsidRPr="00012CE8">
        <w:rPr>
          <w:i/>
          <w:iCs/>
          <w:noProof/>
          <w:szCs w:val="22"/>
          <w:lang w:val="sk-SK"/>
        </w:rPr>
        <w:t>F</w:t>
      </w:r>
      <w:r w:rsidRPr="0017714F">
        <w:rPr>
          <w:i/>
          <w:iCs/>
          <w:noProof/>
          <w:szCs w:val="22"/>
          <w:lang w:val="sk-SK"/>
        </w:rPr>
        <w:t>enytoín</w:t>
      </w:r>
      <w:r>
        <w:rPr>
          <w:noProof/>
          <w:szCs w:val="22"/>
          <w:lang w:val="sk-SK"/>
        </w:rPr>
        <w:t>:</w:t>
      </w:r>
    </w:p>
    <w:p w14:paraId="21B5F29C" w14:textId="77777777" w:rsidR="009E3661" w:rsidRDefault="009E3661" w:rsidP="009E3661">
      <w:pPr>
        <w:tabs>
          <w:tab w:val="clear" w:pos="567"/>
        </w:tabs>
        <w:spacing w:line="240" w:lineRule="exact"/>
        <w:jc w:val="both"/>
        <w:rPr>
          <w:noProof/>
          <w:szCs w:val="22"/>
          <w:lang w:val="sk-SK"/>
        </w:rPr>
      </w:pPr>
    </w:p>
    <w:p w14:paraId="5C2906D7" w14:textId="77777777" w:rsidR="009E3661" w:rsidRPr="0017714F" w:rsidRDefault="009E3661" w:rsidP="009E3661">
      <w:pPr>
        <w:tabs>
          <w:tab w:val="clear" w:pos="567"/>
        </w:tabs>
        <w:spacing w:line="240" w:lineRule="exact"/>
        <w:jc w:val="both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 xml:space="preserve">Fenytoín </w:t>
      </w:r>
      <w:r w:rsidRPr="0017714F">
        <w:rPr>
          <w:noProof/>
          <w:szCs w:val="22"/>
          <w:lang w:val="sk-SK"/>
        </w:rPr>
        <w:t>môž</w:t>
      </w:r>
      <w:r>
        <w:rPr>
          <w:noProof/>
          <w:szCs w:val="22"/>
          <w:lang w:val="sk-SK"/>
        </w:rPr>
        <w:t>e</w:t>
      </w:r>
      <w:r w:rsidRPr="0017714F">
        <w:rPr>
          <w:noProof/>
          <w:szCs w:val="22"/>
          <w:lang w:val="sk-SK"/>
        </w:rPr>
        <w:t xml:space="preserve"> </w:t>
      </w:r>
      <w:r w:rsidRPr="00012CE8">
        <w:rPr>
          <w:noProof/>
          <w:szCs w:val="22"/>
          <w:lang w:val="sk-SK"/>
        </w:rPr>
        <w:t xml:space="preserve">ovplyvniť účinnosť levotyroxínu </w:t>
      </w:r>
      <w:r w:rsidRPr="0017714F">
        <w:rPr>
          <w:noProof/>
          <w:szCs w:val="22"/>
          <w:lang w:val="sk-SK"/>
        </w:rPr>
        <w:t>vytesn</w:t>
      </w:r>
      <w:r>
        <w:rPr>
          <w:noProof/>
          <w:szCs w:val="22"/>
          <w:lang w:val="sk-SK"/>
        </w:rPr>
        <w:t>ením</w:t>
      </w:r>
      <w:r w:rsidRPr="0017714F">
        <w:rPr>
          <w:noProof/>
          <w:szCs w:val="22"/>
          <w:lang w:val="sk-SK"/>
        </w:rPr>
        <w:t xml:space="preserve"> levotyroxín</w:t>
      </w:r>
      <w:r>
        <w:rPr>
          <w:noProof/>
          <w:szCs w:val="22"/>
          <w:lang w:val="sk-SK"/>
        </w:rPr>
        <w:t>u</w:t>
      </w:r>
      <w:r w:rsidRPr="0017714F">
        <w:rPr>
          <w:noProof/>
          <w:szCs w:val="22"/>
          <w:lang w:val="sk-SK"/>
        </w:rPr>
        <w:t xml:space="preserve"> z</w:t>
      </w:r>
      <w:r w:rsidRPr="008C2E78">
        <w:rPr>
          <w:noProof/>
          <w:szCs w:val="22"/>
          <w:lang w:val="sk-SK"/>
        </w:rPr>
        <w:t xml:space="preserve"> plazmatických bielkovín</w:t>
      </w:r>
      <w:r w:rsidRPr="0017714F">
        <w:rPr>
          <w:noProof/>
          <w:szCs w:val="22"/>
          <w:lang w:val="sk-SK"/>
        </w:rPr>
        <w:t xml:space="preserve">, </w:t>
      </w:r>
      <w:r w:rsidRPr="008C2E78">
        <w:rPr>
          <w:noProof/>
          <w:szCs w:val="22"/>
          <w:lang w:val="sk-SK"/>
        </w:rPr>
        <w:t xml:space="preserve">čo vedie ku zvýšeným hodnotám frakcií </w:t>
      </w:r>
      <w:r w:rsidRPr="0017714F">
        <w:rPr>
          <w:noProof/>
          <w:szCs w:val="22"/>
          <w:lang w:val="sk-SK"/>
        </w:rPr>
        <w:t>fT</w:t>
      </w:r>
      <w:r w:rsidRPr="0017714F">
        <w:rPr>
          <w:noProof/>
          <w:szCs w:val="22"/>
          <w:vertAlign w:val="subscript"/>
          <w:lang w:val="sk-SK"/>
        </w:rPr>
        <w:t>4</w:t>
      </w:r>
      <w:r>
        <w:rPr>
          <w:noProof/>
          <w:szCs w:val="22"/>
          <w:lang w:val="sk-SK"/>
        </w:rPr>
        <w:t xml:space="preserve"> a </w:t>
      </w:r>
      <w:r w:rsidRPr="0017714F">
        <w:rPr>
          <w:noProof/>
          <w:szCs w:val="22"/>
          <w:lang w:val="sk-SK"/>
        </w:rPr>
        <w:t>fT</w:t>
      </w:r>
      <w:r>
        <w:rPr>
          <w:noProof/>
          <w:szCs w:val="22"/>
          <w:vertAlign w:val="subscript"/>
          <w:lang w:val="sk-SK"/>
        </w:rPr>
        <w:t>3</w:t>
      </w:r>
      <w:r w:rsidRPr="0017714F">
        <w:rPr>
          <w:noProof/>
          <w:szCs w:val="22"/>
          <w:lang w:val="sk-SK"/>
        </w:rPr>
        <w:t>.</w:t>
      </w:r>
      <w:r>
        <w:rPr>
          <w:noProof/>
          <w:szCs w:val="22"/>
          <w:lang w:val="sk-SK"/>
        </w:rPr>
        <w:t xml:space="preserve"> </w:t>
      </w:r>
      <w:r w:rsidRPr="008C2E78">
        <w:rPr>
          <w:noProof/>
          <w:szCs w:val="22"/>
          <w:lang w:val="sk-SK"/>
        </w:rPr>
        <w:t>Na druhej strane fenytoín zvyšuje metabolizmus levotyroxínu v pečeni</w:t>
      </w:r>
      <w:r>
        <w:rPr>
          <w:noProof/>
          <w:szCs w:val="22"/>
          <w:lang w:val="sk-SK"/>
        </w:rPr>
        <w:t xml:space="preserve">. </w:t>
      </w:r>
      <w:r w:rsidRPr="00C62613">
        <w:rPr>
          <w:noProof/>
          <w:szCs w:val="22"/>
          <w:lang w:val="sk-SK"/>
        </w:rPr>
        <w:t>Odporúča sa dôsledné monitorovanie parametrov hormónov štítnej žľazy</w:t>
      </w:r>
      <w:r>
        <w:rPr>
          <w:noProof/>
          <w:szCs w:val="22"/>
          <w:lang w:val="sk-SK"/>
        </w:rPr>
        <w:t>.</w:t>
      </w:r>
    </w:p>
    <w:p w14:paraId="2CF83A7A" w14:textId="77777777" w:rsidR="009E3661" w:rsidRPr="0017714F" w:rsidRDefault="009E3661" w:rsidP="009E3661">
      <w:pPr>
        <w:tabs>
          <w:tab w:val="clear" w:pos="567"/>
        </w:tabs>
        <w:spacing w:line="240" w:lineRule="exact"/>
        <w:jc w:val="both"/>
        <w:rPr>
          <w:noProof/>
          <w:szCs w:val="22"/>
          <w:lang w:val="sk-SK"/>
        </w:rPr>
      </w:pPr>
    </w:p>
    <w:p w14:paraId="49E82207" w14:textId="77777777" w:rsidR="009E3661" w:rsidRPr="0017714F" w:rsidRDefault="009E3661" w:rsidP="009E3661">
      <w:pPr>
        <w:tabs>
          <w:tab w:val="clear" w:pos="567"/>
        </w:tabs>
        <w:spacing w:line="240" w:lineRule="exact"/>
        <w:jc w:val="both"/>
        <w:rPr>
          <w:i/>
          <w:noProof/>
          <w:szCs w:val="22"/>
          <w:lang w:val="sk-SK"/>
        </w:rPr>
      </w:pPr>
      <w:r>
        <w:rPr>
          <w:i/>
          <w:noProof/>
          <w:szCs w:val="22"/>
          <w:lang w:val="sk-SK"/>
        </w:rPr>
        <w:t>Ch</w:t>
      </w:r>
      <w:r w:rsidRPr="0017714F">
        <w:rPr>
          <w:i/>
          <w:noProof/>
          <w:szCs w:val="22"/>
          <w:lang w:val="sk-SK"/>
        </w:rPr>
        <w:t>olestyramín, kolestipol:</w:t>
      </w:r>
    </w:p>
    <w:p w14:paraId="696E39DC" w14:textId="77777777" w:rsidR="009E3661" w:rsidRDefault="009E3661" w:rsidP="009E3661">
      <w:pPr>
        <w:tabs>
          <w:tab w:val="clear" w:pos="567"/>
        </w:tabs>
        <w:spacing w:line="240" w:lineRule="exact"/>
        <w:jc w:val="both"/>
        <w:rPr>
          <w:noProof/>
          <w:szCs w:val="22"/>
          <w:lang w:val="sk-SK"/>
        </w:rPr>
      </w:pPr>
    </w:p>
    <w:p w14:paraId="44AEAC86" w14:textId="77777777" w:rsidR="009E3661" w:rsidRPr="0017714F" w:rsidRDefault="009E3661" w:rsidP="009E3661">
      <w:pPr>
        <w:tabs>
          <w:tab w:val="clear" w:pos="567"/>
        </w:tabs>
        <w:spacing w:line="240" w:lineRule="exact"/>
        <w:jc w:val="both"/>
        <w:rPr>
          <w:noProof/>
          <w:szCs w:val="22"/>
          <w:lang w:val="sk-SK"/>
        </w:rPr>
      </w:pPr>
      <w:r w:rsidRPr="00331780">
        <w:rPr>
          <w:noProof/>
          <w:szCs w:val="22"/>
          <w:lang w:val="sk-SK"/>
        </w:rPr>
        <w:t>Požitie živíc s vlastnosťami ionomeničov, ako je cholestyramín a kolestipol, inhibuje absorpciu sodnej soli levotyroxínu. Sodná soľ levotyroxínu sa má preto užiť 4 až 5 hodín pred podaním takýchto prípravkov</w:t>
      </w:r>
      <w:r w:rsidRPr="0017714F">
        <w:rPr>
          <w:noProof/>
          <w:szCs w:val="22"/>
          <w:lang w:val="sk-SK"/>
        </w:rPr>
        <w:t>.</w:t>
      </w:r>
    </w:p>
    <w:p w14:paraId="7C1D7754" w14:textId="77777777" w:rsidR="009E3661" w:rsidRPr="0017714F" w:rsidRDefault="009E3661" w:rsidP="009E3661">
      <w:pPr>
        <w:tabs>
          <w:tab w:val="clear" w:pos="567"/>
        </w:tabs>
        <w:spacing w:line="240" w:lineRule="exact"/>
        <w:jc w:val="both"/>
        <w:rPr>
          <w:i/>
          <w:noProof/>
          <w:szCs w:val="22"/>
          <w:lang w:val="sk-SK"/>
        </w:rPr>
      </w:pPr>
    </w:p>
    <w:p w14:paraId="1177CBE0" w14:textId="46427D2A" w:rsidR="009E3661" w:rsidRPr="0017714F" w:rsidRDefault="009E3661" w:rsidP="009E3661">
      <w:pPr>
        <w:tabs>
          <w:tab w:val="clear" w:pos="567"/>
        </w:tabs>
        <w:spacing w:line="240" w:lineRule="exact"/>
        <w:jc w:val="both"/>
        <w:rPr>
          <w:i/>
          <w:noProof/>
          <w:szCs w:val="22"/>
          <w:lang w:val="sk-SK"/>
        </w:rPr>
      </w:pPr>
      <w:r w:rsidRPr="0017714F">
        <w:rPr>
          <w:i/>
          <w:noProof/>
          <w:szCs w:val="22"/>
          <w:lang w:val="sk-SK"/>
        </w:rPr>
        <w:t>Lieky obsahujúce hliník</w:t>
      </w:r>
      <w:r w:rsidR="008C0492">
        <w:rPr>
          <w:i/>
          <w:noProof/>
          <w:szCs w:val="22"/>
          <w:lang w:val="sk-SK"/>
        </w:rPr>
        <w:t>,</w:t>
      </w:r>
      <w:r w:rsidRPr="0017714F">
        <w:rPr>
          <w:i/>
          <w:noProof/>
          <w:szCs w:val="22"/>
          <w:lang w:val="sk-SK"/>
        </w:rPr>
        <w:t xml:space="preserve"> železo</w:t>
      </w:r>
      <w:r w:rsidR="008C0492">
        <w:rPr>
          <w:i/>
          <w:noProof/>
          <w:szCs w:val="22"/>
          <w:lang w:val="sk-SK"/>
        </w:rPr>
        <w:t xml:space="preserve"> a</w:t>
      </w:r>
      <w:r w:rsidRPr="0017714F">
        <w:rPr>
          <w:i/>
          <w:noProof/>
          <w:szCs w:val="22"/>
          <w:lang w:val="sk-SK"/>
        </w:rPr>
        <w:t xml:space="preserve"> uhličitan vápenatý:</w:t>
      </w:r>
    </w:p>
    <w:p w14:paraId="3BD51BAE" w14:textId="77777777" w:rsidR="009E3661" w:rsidRDefault="009E3661" w:rsidP="009E3661">
      <w:pPr>
        <w:tabs>
          <w:tab w:val="clear" w:pos="567"/>
        </w:tabs>
        <w:spacing w:line="240" w:lineRule="exact"/>
        <w:jc w:val="both"/>
        <w:rPr>
          <w:noProof/>
          <w:szCs w:val="22"/>
          <w:lang w:val="sk-SK"/>
        </w:rPr>
      </w:pPr>
    </w:p>
    <w:p w14:paraId="7993AABD" w14:textId="77777777" w:rsidR="009E3661" w:rsidRPr="0017714F" w:rsidRDefault="009E3661" w:rsidP="009E3661">
      <w:pPr>
        <w:tabs>
          <w:tab w:val="clear" w:pos="567"/>
        </w:tabs>
        <w:spacing w:line="240" w:lineRule="exact"/>
        <w:jc w:val="both"/>
        <w:rPr>
          <w:noProof/>
          <w:szCs w:val="22"/>
          <w:lang w:val="sk-SK"/>
        </w:rPr>
      </w:pPr>
      <w:r w:rsidRPr="0017714F">
        <w:rPr>
          <w:noProof/>
          <w:szCs w:val="22"/>
          <w:lang w:val="sk-SK"/>
        </w:rPr>
        <w:t>O liekoch obsahujúcich hliník (antacidá, sukralfát) sa v relevantnej literatúre uvádza, že môžu znižovať účinok levotyroxínu. Lieky obsahujúce levotyroxín sa preto majú podávať najmenej 2 hodiny pred podaním liekov obsahujúcich hliník. To isté platí pre lieky obsahujúce železo a soli vápnika.</w:t>
      </w:r>
    </w:p>
    <w:p w14:paraId="310A0E45" w14:textId="77777777" w:rsidR="009E3661" w:rsidRPr="0017714F" w:rsidRDefault="009E3661" w:rsidP="009E3661">
      <w:pPr>
        <w:tabs>
          <w:tab w:val="clear" w:pos="567"/>
        </w:tabs>
        <w:spacing w:line="240" w:lineRule="exact"/>
        <w:jc w:val="both"/>
        <w:rPr>
          <w:i/>
          <w:noProof/>
          <w:szCs w:val="22"/>
          <w:lang w:val="sk-SK"/>
        </w:rPr>
      </w:pPr>
    </w:p>
    <w:p w14:paraId="69D23F69" w14:textId="77777777" w:rsidR="009E3661" w:rsidRPr="00331780" w:rsidRDefault="009E3661" w:rsidP="009E3661">
      <w:pPr>
        <w:tabs>
          <w:tab w:val="clear" w:pos="567"/>
        </w:tabs>
        <w:spacing w:after="160" w:line="259" w:lineRule="auto"/>
        <w:rPr>
          <w:rFonts w:eastAsia="Calibri"/>
          <w:szCs w:val="22"/>
          <w:lang w:val="sk-SK"/>
        </w:rPr>
      </w:pPr>
      <w:r w:rsidRPr="00331780">
        <w:rPr>
          <w:rFonts w:eastAsia="Calibri"/>
          <w:i/>
          <w:iCs/>
          <w:szCs w:val="22"/>
          <w:lang w:val="sk-SK"/>
        </w:rPr>
        <w:t>Salicyláty, dikumarol, furosemid, klofibrát</w:t>
      </w:r>
      <w:r>
        <w:rPr>
          <w:rFonts w:eastAsia="Calibri"/>
          <w:i/>
          <w:iCs/>
          <w:szCs w:val="22"/>
          <w:lang w:val="sk-SK"/>
        </w:rPr>
        <w:t>:</w:t>
      </w:r>
    </w:p>
    <w:p w14:paraId="41D790E3" w14:textId="77777777" w:rsidR="009E3661" w:rsidRPr="00331780" w:rsidRDefault="009E3661" w:rsidP="009E3661">
      <w:pPr>
        <w:tabs>
          <w:tab w:val="clear" w:pos="567"/>
        </w:tabs>
        <w:spacing w:after="160" w:line="259" w:lineRule="auto"/>
        <w:rPr>
          <w:rFonts w:eastAsia="Calibri"/>
          <w:szCs w:val="22"/>
          <w:lang w:val="sk-SK"/>
        </w:rPr>
      </w:pPr>
      <w:r w:rsidRPr="00331780">
        <w:rPr>
          <w:rFonts w:eastAsia="Calibri"/>
          <w:szCs w:val="22"/>
          <w:lang w:val="sk-SK"/>
        </w:rPr>
        <w:t>Salicyláty, dikumarol, furosemid vo vysokých dávkach (250 mg), klofibrát a ďalšie látky môžu vytesniť sodnú soľ levotyroxínu z väzby na plazmatické bielkoviny, následkom čoho stúpne frakcia fT4.</w:t>
      </w:r>
    </w:p>
    <w:p w14:paraId="05DE23F8" w14:textId="77777777" w:rsidR="009E3661" w:rsidRPr="00331780" w:rsidRDefault="009E3661" w:rsidP="009E3661">
      <w:pPr>
        <w:tabs>
          <w:tab w:val="clear" w:pos="567"/>
        </w:tabs>
        <w:spacing w:after="160" w:line="259" w:lineRule="auto"/>
        <w:rPr>
          <w:rFonts w:eastAsia="Calibri"/>
          <w:szCs w:val="22"/>
          <w:lang w:val="sk-SK"/>
        </w:rPr>
      </w:pPr>
      <w:r w:rsidRPr="00331780">
        <w:rPr>
          <w:rFonts w:eastAsia="Calibri"/>
          <w:i/>
          <w:iCs/>
          <w:szCs w:val="22"/>
          <w:lang w:val="sk-SK"/>
        </w:rPr>
        <w:t>Orlistat</w:t>
      </w:r>
      <w:r>
        <w:rPr>
          <w:rFonts w:eastAsia="Calibri"/>
          <w:i/>
          <w:iCs/>
          <w:szCs w:val="22"/>
          <w:lang w:val="sk-SK"/>
        </w:rPr>
        <w:t>:</w:t>
      </w:r>
    </w:p>
    <w:p w14:paraId="361689DB" w14:textId="77777777" w:rsidR="009E3661" w:rsidRPr="00331780" w:rsidRDefault="009E3661" w:rsidP="009E3661">
      <w:pPr>
        <w:tabs>
          <w:tab w:val="clear" w:pos="567"/>
        </w:tabs>
        <w:spacing w:after="160" w:line="259" w:lineRule="auto"/>
        <w:rPr>
          <w:rFonts w:eastAsia="Calibri"/>
          <w:szCs w:val="22"/>
          <w:lang w:val="sk-SK"/>
        </w:rPr>
      </w:pPr>
      <w:r w:rsidRPr="00331780">
        <w:rPr>
          <w:rFonts w:eastAsia="Calibri"/>
          <w:szCs w:val="22"/>
          <w:lang w:val="sk-SK"/>
        </w:rPr>
        <w:t>Keď sa užíva orlistat a levotyroxín v rovnakom čase, môže sa vyskytnúť hypotyreóza a/alebo zníženie kontroly hypotyreózy. Môže ísť o dôsledok zníženej absorpcie solí jódu a/alebo levotyroxínu.</w:t>
      </w:r>
    </w:p>
    <w:p w14:paraId="19B36935" w14:textId="77777777" w:rsidR="009E3661" w:rsidRPr="00331780" w:rsidRDefault="009E3661" w:rsidP="009E3661">
      <w:pPr>
        <w:tabs>
          <w:tab w:val="clear" w:pos="567"/>
        </w:tabs>
        <w:spacing w:after="160" w:line="259" w:lineRule="auto"/>
        <w:rPr>
          <w:rFonts w:eastAsia="Calibri"/>
          <w:szCs w:val="22"/>
          <w:lang w:val="sk-SK"/>
        </w:rPr>
      </w:pPr>
      <w:r w:rsidRPr="00331780">
        <w:rPr>
          <w:rFonts w:eastAsia="Calibri"/>
          <w:i/>
          <w:iCs/>
          <w:szCs w:val="22"/>
          <w:lang w:val="sk-SK"/>
        </w:rPr>
        <w:t>Sevelamer</w:t>
      </w:r>
      <w:r>
        <w:rPr>
          <w:rFonts w:eastAsia="Calibri"/>
          <w:i/>
          <w:iCs/>
          <w:szCs w:val="22"/>
          <w:lang w:val="sk-SK"/>
        </w:rPr>
        <w:t>:</w:t>
      </w:r>
    </w:p>
    <w:p w14:paraId="12D7D725" w14:textId="77777777" w:rsidR="009E3661" w:rsidRPr="00331780" w:rsidRDefault="009E3661" w:rsidP="009E3661">
      <w:pPr>
        <w:tabs>
          <w:tab w:val="clear" w:pos="567"/>
        </w:tabs>
        <w:spacing w:after="160" w:line="259" w:lineRule="auto"/>
        <w:rPr>
          <w:rFonts w:eastAsia="Calibri"/>
          <w:szCs w:val="22"/>
          <w:lang w:val="sk-SK"/>
        </w:rPr>
      </w:pPr>
      <w:r w:rsidRPr="00331780">
        <w:rPr>
          <w:rFonts w:eastAsia="Calibri"/>
          <w:szCs w:val="22"/>
          <w:lang w:val="sk-SK"/>
        </w:rPr>
        <w:t>Sevelamer môže znižovať absorpciu levotyroxínu. Preto sa odporúča monitorovať zmeny funkcie štítnej žľazy pacientov na začiatku alebo konci súbežnej liečby. V prípade potreby sa má dávka levotyroxínu upraviť. </w:t>
      </w:r>
    </w:p>
    <w:p w14:paraId="7D656574" w14:textId="77777777" w:rsidR="009E3661" w:rsidRPr="00331780" w:rsidRDefault="009E3661" w:rsidP="009E3661">
      <w:pPr>
        <w:tabs>
          <w:tab w:val="clear" w:pos="567"/>
        </w:tabs>
        <w:spacing w:after="160" w:line="259" w:lineRule="auto"/>
        <w:rPr>
          <w:rFonts w:eastAsia="Calibri"/>
          <w:szCs w:val="22"/>
          <w:lang w:val="sk-SK"/>
        </w:rPr>
      </w:pPr>
      <w:r w:rsidRPr="00331780">
        <w:rPr>
          <w:rFonts w:eastAsia="Calibri"/>
          <w:i/>
          <w:iCs/>
          <w:szCs w:val="22"/>
          <w:lang w:val="sk-SK"/>
        </w:rPr>
        <w:t>Inhibítory tyrozínkinázy</w:t>
      </w:r>
      <w:r>
        <w:rPr>
          <w:rFonts w:eastAsia="Calibri"/>
          <w:i/>
          <w:iCs/>
          <w:szCs w:val="22"/>
          <w:lang w:val="sk-SK"/>
        </w:rPr>
        <w:t>:</w:t>
      </w:r>
    </w:p>
    <w:p w14:paraId="35F20A21" w14:textId="77777777" w:rsidR="009E3661" w:rsidRPr="00331780" w:rsidRDefault="009E3661" w:rsidP="009E3661">
      <w:pPr>
        <w:tabs>
          <w:tab w:val="clear" w:pos="567"/>
        </w:tabs>
        <w:spacing w:after="160" w:line="259" w:lineRule="auto"/>
        <w:rPr>
          <w:rFonts w:eastAsia="Calibri"/>
          <w:szCs w:val="22"/>
          <w:lang w:val="sk-SK"/>
        </w:rPr>
      </w:pPr>
      <w:r w:rsidRPr="00331780">
        <w:rPr>
          <w:rFonts w:eastAsia="Calibri"/>
          <w:szCs w:val="22"/>
          <w:lang w:val="sk-SK"/>
        </w:rPr>
        <w:t>Inhibítory tyrozínkinázy (napr. imatinib, sunitinib) môžu znižovať účinok levotyroxínu. Preto sa odporúča monitorovať zmeny funkcie štítnej žľazy pacientov na začiatku alebo konci súbežnej liečby. V prípade potreby sa má dávka levotyroxínu upraviť. </w:t>
      </w:r>
    </w:p>
    <w:p w14:paraId="217B588D" w14:textId="77777777" w:rsidR="009E3661" w:rsidRPr="00331780" w:rsidRDefault="009E3661" w:rsidP="009E3661">
      <w:pPr>
        <w:tabs>
          <w:tab w:val="clear" w:pos="567"/>
        </w:tabs>
        <w:spacing w:after="160" w:line="259" w:lineRule="auto"/>
        <w:rPr>
          <w:rFonts w:eastAsia="Calibri"/>
          <w:szCs w:val="22"/>
          <w:lang w:val="sk-SK"/>
        </w:rPr>
      </w:pPr>
      <w:r w:rsidRPr="00331780">
        <w:rPr>
          <w:rFonts w:eastAsia="Calibri"/>
          <w:i/>
          <w:iCs/>
          <w:szCs w:val="22"/>
          <w:lang w:val="sk-SK"/>
        </w:rPr>
        <w:t>Propyltiouracyl, glukokortikoidy, beta-blokátory, amiodarón a jód obsahujúce kontrastné látky</w:t>
      </w:r>
      <w:r>
        <w:rPr>
          <w:rFonts w:eastAsia="Calibri"/>
          <w:i/>
          <w:iCs/>
          <w:szCs w:val="22"/>
          <w:lang w:val="sk-SK"/>
        </w:rPr>
        <w:t>:</w:t>
      </w:r>
    </w:p>
    <w:p w14:paraId="1400D46B" w14:textId="77777777" w:rsidR="009E3661" w:rsidRDefault="009E3661" w:rsidP="009E3661">
      <w:pPr>
        <w:tabs>
          <w:tab w:val="clear" w:pos="567"/>
        </w:tabs>
        <w:spacing w:line="259" w:lineRule="auto"/>
        <w:rPr>
          <w:rFonts w:eastAsia="Calibri"/>
          <w:szCs w:val="22"/>
          <w:lang w:val="sk-SK"/>
        </w:rPr>
      </w:pPr>
      <w:r w:rsidRPr="00331780">
        <w:rPr>
          <w:rFonts w:eastAsia="Calibri"/>
          <w:szCs w:val="22"/>
          <w:lang w:val="sk-SK"/>
        </w:rPr>
        <w:t>Tieto látky inhibujú periférnu konverziu T4 na T3.</w:t>
      </w:r>
    </w:p>
    <w:p w14:paraId="7EE1D360" w14:textId="77777777" w:rsidR="009E3661" w:rsidRDefault="009E3661" w:rsidP="009E3661">
      <w:pPr>
        <w:tabs>
          <w:tab w:val="clear" w:pos="567"/>
        </w:tabs>
        <w:spacing w:line="259" w:lineRule="auto"/>
        <w:rPr>
          <w:rFonts w:eastAsia="Calibri"/>
          <w:szCs w:val="22"/>
          <w:lang w:val="sk-SK"/>
        </w:rPr>
      </w:pPr>
      <w:r w:rsidRPr="00331780">
        <w:rPr>
          <w:rFonts w:eastAsia="Calibri"/>
          <w:szCs w:val="22"/>
          <w:lang w:val="sk-SK"/>
        </w:rPr>
        <w:t>Vzhľadom na vysoký obsah jódu môže amiodarón spôsobiť hypertyreózu ako aj hypotyreózu. Zvláštna pozornosť sa odporúča v prípade nodulárnej strumy s možnou nerozpoznanou autonómiou.</w:t>
      </w:r>
    </w:p>
    <w:p w14:paraId="38770728" w14:textId="77777777" w:rsidR="009E3661" w:rsidRPr="00331780" w:rsidRDefault="009E3661" w:rsidP="009E3661">
      <w:pPr>
        <w:tabs>
          <w:tab w:val="clear" w:pos="567"/>
        </w:tabs>
        <w:spacing w:line="259" w:lineRule="auto"/>
        <w:rPr>
          <w:rFonts w:eastAsia="Calibri"/>
          <w:szCs w:val="22"/>
          <w:lang w:val="sk-SK"/>
        </w:rPr>
      </w:pPr>
    </w:p>
    <w:p w14:paraId="495A57FB" w14:textId="77777777" w:rsidR="009E3661" w:rsidRPr="00331780" w:rsidRDefault="009E3661" w:rsidP="009E3661">
      <w:pPr>
        <w:tabs>
          <w:tab w:val="clear" w:pos="567"/>
        </w:tabs>
        <w:spacing w:after="160" w:line="259" w:lineRule="auto"/>
        <w:rPr>
          <w:rFonts w:eastAsia="Calibri"/>
          <w:szCs w:val="22"/>
          <w:lang w:val="sk-SK"/>
        </w:rPr>
      </w:pPr>
      <w:r w:rsidRPr="00331780">
        <w:rPr>
          <w:rFonts w:eastAsia="Calibri"/>
          <w:i/>
          <w:iCs/>
          <w:szCs w:val="22"/>
          <w:lang w:val="sk-SK"/>
        </w:rPr>
        <w:t>Sertralín, chlorochín/proguanil</w:t>
      </w:r>
      <w:r>
        <w:rPr>
          <w:rFonts w:eastAsia="Calibri"/>
          <w:i/>
          <w:iCs/>
          <w:szCs w:val="22"/>
          <w:lang w:val="sk-SK"/>
        </w:rPr>
        <w:t>:</w:t>
      </w:r>
    </w:p>
    <w:p w14:paraId="29EE18D8" w14:textId="77777777" w:rsidR="009E3661" w:rsidRPr="00331780" w:rsidRDefault="009E3661" w:rsidP="009E3661">
      <w:pPr>
        <w:tabs>
          <w:tab w:val="clear" w:pos="567"/>
        </w:tabs>
        <w:spacing w:after="160" w:line="259" w:lineRule="auto"/>
        <w:rPr>
          <w:rFonts w:eastAsia="Calibri"/>
          <w:szCs w:val="22"/>
          <w:lang w:val="sk-SK"/>
        </w:rPr>
      </w:pPr>
      <w:r w:rsidRPr="00331780">
        <w:rPr>
          <w:rFonts w:eastAsia="Calibri"/>
          <w:szCs w:val="22"/>
          <w:lang w:val="sk-SK"/>
        </w:rPr>
        <w:t>Tieto látky znižujú účinnosť levotyroxínu a zvyšujú hladinu TSH v sére.</w:t>
      </w:r>
    </w:p>
    <w:p w14:paraId="2E3BD616" w14:textId="77777777" w:rsidR="009E3661" w:rsidRPr="00331780" w:rsidRDefault="009E3661" w:rsidP="009E3661">
      <w:pPr>
        <w:tabs>
          <w:tab w:val="clear" w:pos="567"/>
        </w:tabs>
        <w:spacing w:after="160" w:line="259" w:lineRule="auto"/>
        <w:rPr>
          <w:rFonts w:eastAsia="Calibri"/>
          <w:szCs w:val="22"/>
          <w:lang w:val="sk-SK"/>
        </w:rPr>
      </w:pPr>
      <w:r w:rsidRPr="00331780">
        <w:rPr>
          <w:rFonts w:eastAsia="Calibri"/>
          <w:i/>
          <w:iCs/>
          <w:szCs w:val="22"/>
          <w:lang w:val="sk-SK"/>
        </w:rPr>
        <w:lastRenderedPageBreak/>
        <w:t>Liečivá indukujúce enzýmy</w:t>
      </w:r>
      <w:r>
        <w:rPr>
          <w:rFonts w:eastAsia="Calibri"/>
          <w:i/>
          <w:iCs/>
          <w:szCs w:val="22"/>
          <w:lang w:val="sk-SK"/>
        </w:rPr>
        <w:t>:</w:t>
      </w:r>
    </w:p>
    <w:p w14:paraId="4890C5A3" w14:textId="77777777" w:rsidR="009E3661" w:rsidRPr="00331780" w:rsidRDefault="009E3661" w:rsidP="009E3661">
      <w:pPr>
        <w:tabs>
          <w:tab w:val="clear" w:pos="567"/>
        </w:tabs>
        <w:spacing w:after="160" w:line="259" w:lineRule="auto"/>
        <w:rPr>
          <w:rFonts w:eastAsia="Calibri"/>
          <w:szCs w:val="22"/>
          <w:lang w:val="sk-SK"/>
        </w:rPr>
      </w:pPr>
      <w:r w:rsidRPr="00331780">
        <w:rPr>
          <w:rFonts w:eastAsia="Calibri"/>
          <w:szCs w:val="22"/>
          <w:lang w:val="sk-SK"/>
        </w:rPr>
        <w:t>Liečivá indukujúce enzýmy ako barbituráty alebo karbamazepín môžu zvýšiť hepatálny klírens levotyroxínu.</w:t>
      </w:r>
    </w:p>
    <w:p w14:paraId="74FAC82B" w14:textId="77777777" w:rsidR="009E3661" w:rsidRPr="00331780" w:rsidRDefault="009E3661" w:rsidP="009E3661">
      <w:pPr>
        <w:tabs>
          <w:tab w:val="clear" w:pos="567"/>
        </w:tabs>
        <w:spacing w:after="160" w:line="259" w:lineRule="auto"/>
        <w:rPr>
          <w:rFonts w:eastAsia="Calibri"/>
          <w:szCs w:val="22"/>
          <w:lang w:val="sk-SK"/>
        </w:rPr>
      </w:pPr>
      <w:r w:rsidRPr="00331780">
        <w:rPr>
          <w:rFonts w:eastAsia="Calibri"/>
          <w:i/>
          <w:iCs/>
          <w:szCs w:val="22"/>
          <w:lang w:val="sk-SK"/>
        </w:rPr>
        <w:t>Estrogény</w:t>
      </w:r>
      <w:r>
        <w:rPr>
          <w:rFonts w:eastAsia="Calibri"/>
          <w:i/>
          <w:iCs/>
          <w:szCs w:val="22"/>
          <w:lang w:val="sk-SK"/>
        </w:rPr>
        <w:t>:</w:t>
      </w:r>
    </w:p>
    <w:p w14:paraId="53DDFE2D" w14:textId="77777777" w:rsidR="009E3661" w:rsidRPr="00331780" w:rsidRDefault="009E3661" w:rsidP="009E3661">
      <w:pPr>
        <w:tabs>
          <w:tab w:val="clear" w:pos="567"/>
        </w:tabs>
        <w:spacing w:after="160" w:line="259" w:lineRule="auto"/>
        <w:rPr>
          <w:rFonts w:eastAsia="Calibri"/>
          <w:szCs w:val="22"/>
          <w:lang w:val="sk-SK"/>
        </w:rPr>
      </w:pPr>
      <w:r w:rsidRPr="00331780">
        <w:rPr>
          <w:rFonts w:eastAsia="Calibri"/>
          <w:szCs w:val="22"/>
          <w:lang w:val="sk-SK"/>
        </w:rPr>
        <w:t>Ženy užívajúce antikoncepčné lieky s obsahom estrogénu alebo ženy po menopauze užívajúce hormonálnu substitučnú liečbu môžu mať zvýšenú potrebu levotyroxínu.</w:t>
      </w:r>
    </w:p>
    <w:p w14:paraId="066CD533" w14:textId="77777777" w:rsidR="009E3661" w:rsidRPr="00331780" w:rsidRDefault="009E3661" w:rsidP="009E3661">
      <w:pPr>
        <w:tabs>
          <w:tab w:val="clear" w:pos="567"/>
        </w:tabs>
        <w:spacing w:after="160" w:line="259" w:lineRule="auto"/>
        <w:rPr>
          <w:rFonts w:eastAsia="Calibri"/>
          <w:szCs w:val="22"/>
          <w:lang w:val="sk-SK"/>
        </w:rPr>
      </w:pPr>
      <w:r w:rsidRPr="00331780">
        <w:rPr>
          <w:rFonts w:eastAsia="Calibri"/>
          <w:i/>
          <w:iCs/>
          <w:szCs w:val="22"/>
          <w:lang w:val="sk-SK"/>
        </w:rPr>
        <w:t>Látky s obsahom sóje</w:t>
      </w:r>
      <w:r>
        <w:rPr>
          <w:rFonts w:eastAsia="Calibri"/>
          <w:i/>
          <w:iCs/>
          <w:szCs w:val="22"/>
          <w:lang w:val="sk-SK"/>
        </w:rPr>
        <w:t>:</w:t>
      </w:r>
    </w:p>
    <w:p w14:paraId="183BB8A2" w14:textId="77777777" w:rsidR="009E3661" w:rsidRPr="0017714F" w:rsidRDefault="009E3661" w:rsidP="009E3661">
      <w:pPr>
        <w:tabs>
          <w:tab w:val="clear" w:pos="567"/>
        </w:tabs>
        <w:spacing w:line="240" w:lineRule="exact"/>
        <w:jc w:val="both"/>
        <w:rPr>
          <w:noProof/>
          <w:szCs w:val="22"/>
          <w:lang w:val="sk-SK"/>
        </w:rPr>
      </w:pPr>
      <w:r w:rsidRPr="00331780">
        <w:rPr>
          <w:rFonts w:eastAsia="Calibri"/>
          <w:szCs w:val="22"/>
          <w:lang w:val="sk-SK"/>
        </w:rPr>
        <w:t xml:space="preserve">Látky s obsahom sóje môžu znižovať intestinálnu absorpciu levotyroxínu. Môže byť preto potrebná úprava dávky lieku </w:t>
      </w:r>
      <w:r w:rsidRPr="00C722F0">
        <w:rPr>
          <w:rFonts w:eastAsia="Calibri"/>
          <w:szCs w:val="22"/>
          <w:lang w:val="sk-SK"/>
        </w:rPr>
        <w:t>Levothyroxine Accord</w:t>
      </w:r>
      <w:r w:rsidRPr="00331780">
        <w:rPr>
          <w:rFonts w:eastAsia="Calibri"/>
          <w:szCs w:val="22"/>
          <w:lang w:val="sk-SK"/>
        </w:rPr>
        <w:t>, obzvlášť na začiatku alebo po ukončení užívania doplnkov výživy s obsahom sóje.</w:t>
      </w:r>
      <w:r w:rsidRPr="0017714F">
        <w:rPr>
          <w:noProof/>
          <w:szCs w:val="22"/>
          <w:lang w:val="sk-SK"/>
        </w:rPr>
        <w:t xml:space="preserve"> </w:t>
      </w:r>
    </w:p>
    <w:p w14:paraId="59AD7A34" w14:textId="77777777" w:rsidR="009E3661" w:rsidRPr="00456BFF" w:rsidRDefault="009E3661" w:rsidP="009E3661">
      <w:pPr>
        <w:spacing w:line="240" w:lineRule="auto"/>
        <w:rPr>
          <w:szCs w:val="22"/>
          <w:highlight w:val="yellow"/>
          <w:lang w:val="sk-SK"/>
        </w:rPr>
      </w:pPr>
    </w:p>
    <w:p w14:paraId="6F360F9A" w14:textId="77777777" w:rsidR="009E3661" w:rsidRPr="00456BFF" w:rsidRDefault="009E3661" w:rsidP="009E3661">
      <w:pPr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456BFF">
        <w:rPr>
          <w:b/>
          <w:noProof/>
          <w:szCs w:val="22"/>
          <w:lang w:val="sk-SK"/>
        </w:rPr>
        <w:t>4.6</w:t>
      </w:r>
      <w:r w:rsidRPr="00456BFF">
        <w:rPr>
          <w:b/>
          <w:noProof/>
          <w:szCs w:val="22"/>
          <w:lang w:val="sk-SK"/>
        </w:rPr>
        <w:tab/>
      </w:r>
      <w:r>
        <w:rPr>
          <w:b/>
          <w:noProof/>
          <w:szCs w:val="22"/>
        </w:rPr>
        <w:t>Fertilita, gravidita a laktácia</w:t>
      </w:r>
    </w:p>
    <w:p w14:paraId="08018AAC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3E31A88C" w14:textId="77777777" w:rsidR="009E3661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 w:rsidRPr="00B10DE1">
        <w:rPr>
          <w:noProof/>
          <w:szCs w:val="22"/>
          <w:lang w:val="sk-SK"/>
        </w:rPr>
        <w:t>Liečba levotyroxínom sa má predovšetkým počas gravidity a dojčenia vykonávať veľmi dôsledne. Požiadavky na dávkovanie sa môžu počas gravidity dokonca zvýšiť. Vzhľadom na to, že zvýšenie TSH v sére sa môže objaviť už v priebehu prvých 4 týždňov gravidity, u gravidných žien užívajúcich levotyroxín sa má v každom trimestri sledovať TSH, aby sa potvrdilo, že hodnoty TSH materského séra sú v referenčnom rozsahu pre daný trimester gravidity. Zvýšená hladina TSH v sére sa má upraviť zvýšením dávky levotyroxínu. Vzhľadom k tomu, že hladiny TSH po pôrode sú podobné hodnotám pred graviditou, dávka levotyroxínu sa má vrátiť k dávke pred graviditou ihneď po pôrode. Hladina TSH v sére sa má skontrolovať 6</w:t>
      </w:r>
      <w:r>
        <w:rPr>
          <w:noProof/>
          <w:szCs w:val="22"/>
          <w:lang w:val="sk-SK"/>
        </w:rPr>
        <w:t>–</w:t>
      </w:r>
      <w:r w:rsidRPr="00B10DE1">
        <w:rPr>
          <w:noProof/>
          <w:szCs w:val="22"/>
          <w:lang w:val="sk-SK"/>
        </w:rPr>
        <w:t>8 týždňov po pôrode.</w:t>
      </w:r>
    </w:p>
    <w:p w14:paraId="121BE851" w14:textId="77777777" w:rsidR="009E3661" w:rsidRPr="00B10DE1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</w:p>
    <w:p w14:paraId="53AC1CA7" w14:textId="77777777" w:rsidR="009E3661" w:rsidRPr="00B10DE1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 w:rsidRPr="00B10DE1">
        <w:rPr>
          <w:noProof/>
          <w:szCs w:val="22"/>
          <w:u w:val="single"/>
          <w:lang w:val="sk-SK"/>
        </w:rPr>
        <w:t>Gravidita</w:t>
      </w:r>
    </w:p>
    <w:p w14:paraId="0CD41979" w14:textId="77777777" w:rsidR="009E3661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 w:rsidRPr="00B10DE1">
        <w:rPr>
          <w:noProof/>
          <w:szCs w:val="22"/>
          <w:lang w:val="sk-SK"/>
        </w:rPr>
        <w:t xml:space="preserve">Neonatálny vývin závisí od činnosti štítnej žľazy matky. Tyroxín je nevyhnutný pre vývin mozgu </w:t>
      </w:r>
      <w:r w:rsidRPr="00800F2E">
        <w:rPr>
          <w:noProof/>
          <w:szCs w:val="22"/>
          <w:lang w:val="sk-SK"/>
        </w:rPr>
        <w:t>dojčaťa</w:t>
      </w:r>
      <w:r w:rsidRPr="00B10DE1">
        <w:rPr>
          <w:noProof/>
          <w:szCs w:val="22"/>
          <w:lang w:val="sk-SK"/>
        </w:rPr>
        <w:t>. Z tohto dôvodu sa v neprerušovanej liečbe hormónmi štítnej žľazy musí pokračovať najmä v tehotenstve. Počas tehotenstva môže byť potrebné dávku zvýšiť.</w:t>
      </w:r>
      <w:r w:rsidRPr="00C244CB">
        <w:t xml:space="preserve"> </w:t>
      </w:r>
      <w:r w:rsidRPr="00C244CB">
        <w:rPr>
          <w:noProof/>
          <w:szCs w:val="22"/>
          <w:lang w:val="sk-SK"/>
        </w:rPr>
        <w:t xml:space="preserve">K dnešnému dňu </w:t>
      </w:r>
      <w:r>
        <w:rPr>
          <w:noProof/>
          <w:szCs w:val="22"/>
          <w:lang w:val="sk-SK"/>
        </w:rPr>
        <w:t xml:space="preserve">nebolo po jeho </w:t>
      </w:r>
      <w:r w:rsidRPr="00C244CB">
        <w:rPr>
          <w:noProof/>
          <w:szCs w:val="22"/>
          <w:lang w:val="sk-SK"/>
        </w:rPr>
        <w:t>rozsiahl</w:t>
      </w:r>
      <w:r>
        <w:rPr>
          <w:noProof/>
          <w:szCs w:val="22"/>
          <w:lang w:val="sk-SK"/>
        </w:rPr>
        <w:t>om</w:t>
      </w:r>
      <w:r w:rsidRPr="00C244CB">
        <w:rPr>
          <w:noProof/>
          <w:szCs w:val="22"/>
          <w:lang w:val="sk-SK"/>
        </w:rPr>
        <w:t xml:space="preserve"> užívan</w:t>
      </w:r>
      <w:r>
        <w:rPr>
          <w:noProof/>
          <w:szCs w:val="22"/>
          <w:lang w:val="sk-SK"/>
        </w:rPr>
        <w:t>í počas tehotenstva hlásené žiadne riziko.</w:t>
      </w:r>
    </w:p>
    <w:p w14:paraId="3FE1F286" w14:textId="77777777" w:rsidR="009E3661" w:rsidRPr="00B10DE1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</w:p>
    <w:p w14:paraId="5A21E807" w14:textId="77777777" w:rsidR="009E3661" w:rsidRPr="00B10DE1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 w:rsidRPr="00B10DE1">
        <w:rPr>
          <w:noProof/>
          <w:szCs w:val="22"/>
          <w:u w:val="single"/>
          <w:lang w:val="sk-SK"/>
        </w:rPr>
        <w:t>Dojčenie</w:t>
      </w:r>
    </w:p>
    <w:p w14:paraId="61CF3D37" w14:textId="77777777" w:rsidR="009E3661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eastAsia="SimSun" w:hAnsi="TimesNewRomanPSMT" w:cs="TimesNewRomanPSMT"/>
          <w:szCs w:val="22"/>
          <w:lang w:val="sk-SK"/>
        </w:rPr>
      </w:pPr>
      <w:r w:rsidRPr="00B10DE1">
        <w:rPr>
          <w:noProof/>
          <w:szCs w:val="22"/>
          <w:lang w:val="sk-SK"/>
        </w:rPr>
        <w:t>Levotyroxín sa počas dojčenia vylučuje do materského mlieka, ale koncentrácie dosiahnuté pri odporúčanej terapeutickej hladine nie sú dostatočné na vyvolanie hypertyreózy alebo supresie sekrécie TSH u </w:t>
      </w:r>
      <w:r w:rsidRPr="00C10FB4">
        <w:rPr>
          <w:noProof/>
          <w:szCs w:val="22"/>
          <w:lang w:val="sk-SK"/>
        </w:rPr>
        <w:t>dieťaťa</w:t>
      </w:r>
      <w:r w:rsidRPr="00456BFF">
        <w:rPr>
          <w:rFonts w:ascii="TimesNewRomanPSMT" w:eastAsia="SimSun" w:hAnsi="TimesNewRomanPSMT" w:cs="TimesNewRomanPSMT"/>
          <w:szCs w:val="22"/>
          <w:lang w:val="sk-SK"/>
        </w:rPr>
        <w:t>.</w:t>
      </w:r>
    </w:p>
    <w:p w14:paraId="666C5DAA" w14:textId="77777777" w:rsidR="009E3661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eastAsia="SimSun" w:hAnsi="TimesNewRomanPSMT" w:cs="TimesNewRomanPSMT"/>
          <w:szCs w:val="22"/>
          <w:lang w:val="sk-SK"/>
        </w:rPr>
      </w:pPr>
    </w:p>
    <w:p w14:paraId="6652382B" w14:textId="77777777" w:rsidR="009E3661" w:rsidRPr="006B1F83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  <w:r w:rsidRPr="006B1F83">
        <w:rPr>
          <w:rFonts w:eastAsia="SimSun"/>
          <w:szCs w:val="22"/>
          <w:lang w:val="sk-SK"/>
        </w:rPr>
        <w:t xml:space="preserve">Použitie ako </w:t>
      </w:r>
      <w:r w:rsidRPr="006B1F83">
        <w:rPr>
          <w:rFonts w:eastAsia="SimSun" w:hint="eastAsia"/>
          <w:szCs w:val="22"/>
          <w:lang w:val="sk-SK"/>
        </w:rPr>
        <w:t>podporná</w:t>
      </w:r>
      <w:r w:rsidRPr="006B1F83">
        <w:rPr>
          <w:rFonts w:eastAsia="SimSun"/>
          <w:szCs w:val="22"/>
          <w:lang w:val="sk-SK"/>
        </w:rPr>
        <w:t xml:space="preserve"> liečba s tyreostatikami</w:t>
      </w:r>
    </w:p>
    <w:p w14:paraId="7B41BBA9" w14:textId="44D42902" w:rsidR="009E3661" w:rsidRPr="006B1F83" w:rsidRDefault="008F5665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  <w:r w:rsidRPr="00B1106B">
        <w:rPr>
          <w:noProof/>
          <w:szCs w:val="22"/>
          <w:lang w:val="sk-SK"/>
        </w:rPr>
        <w:t xml:space="preserve">Levotyroxín sa nemá podávať spolu s </w:t>
      </w:r>
      <w:r w:rsidRPr="006B1F83">
        <w:rPr>
          <w:rFonts w:eastAsia="SimSun"/>
          <w:szCs w:val="22"/>
          <w:lang w:val="sk-SK"/>
        </w:rPr>
        <w:t>tyreostatikami</w:t>
      </w:r>
      <w:r w:rsidRPr="00B1106B">
        <w:rPr>
          <w:rFonts w:eastAsia="SimSun"/>
          <w:szCs w:val="22"/>
          <w:lang w:val="sk-SK"/>
        </w:rPr>
        <w:t xml:space="preserve"> </w:t>
      </w:r>
      <w:r w:rsidR="00B1106B" w:rsidRPr="00B1106B">
        <w:rPr>
          <w:rFonts w:eastAsia="SimSun"/>
          <w:szCs w:val="22"/>
          <w:lang w:val="sk-SK"/>
        </w:rPr>
        <w:t xml:space="preserve">na liečbu </w:t>
      </w:r>
      <w:r w:rsidR="009E3661" w:rsidRPr="006B1F83">
        <w:rPr>
          <w:rFonts w:eastAsia="SimSun" w:hint="eastAsia"/>
          <w:szCs w:val="22"/>
          <w:lang w:val="sk-SK"/>
        </w:rPr>
        <w:t>hypertyreózy</w:t>
      </w:r>
      <w:r w:rsidR="009E3661" w:rsidRPr="006B1F83">
        <w:rPr>
          <w:rFonts w:eastAsia="SimSun"/>
          <w:szCs w:val="22"/>
          <w:lang w:val="sk-SK"/>
        </w:rPr>
        <w:t xml:space="preserve"> počas </w:t>
      </w:r>
      <w:r w:rsidR="00B1106B" w:rsidRPr="006B1F83">
        <w:rPr>
          <w:rFonts w:eastAsia="SimSun"/>
          <w:szCs w:val="22"/>
          <w:lang w:val="sk-SK"/>
        </w:rPr>
        <w:t>gravidity a dojčenia</w:t>
      </w:r>
      <w:r w:rsidR="009E3661" w:rsidRPr="006B1F83">
        <w:rPr>
          <w:rFonts w:eastAsia="SimSun"/>
          <w:szCs w:val="22"/>
          <w:lang w:val="sk-SK"/>
        </w:rPr>
        <w:t>. Levotyrox</w:t>
      </w:r>
      <w:r w:rsidR="009E3661" w:rsidRPr="006B1F83">
        <w:rPr>
          <w:rFonts w:eastAsia="SimSun" w:hint="eastAsia"/>
          <w:szCs w:val="22"/>
          <w:lang w:val="sk-SK"/>
        </w:rPr>
        <w:t>í</w:t>
      </w:r>
      <w:r w:rsidR="009E3661" w:rsidRPr="006B1F83">
        <w:rPr>
          <w:rFonts w:eastAsia="SimSun"/>
          <w:szCs w:val="22"/>
          <w:lang w:val="sk-SK"/>
        </w:rPr>
        <w:t>n zvyšuje potrebn</w:t>
      </w:r>
      <w:r w:rsidR="009E3661" w:rsidRPr="006B1F83">
        <w:rPr>
          <w:rFonts w:eastAsia="SimSun" w:hint="eastAsia"/>
          <w:szCs w:val="22"/>
          <w:lang w:val="sk-SK"/>
        </w:rPr>
        <w:t>ú</w:t>
      </w:r>
      <w:r w:rsidR="009E3661" w:rsidRPr="006B1F83">
        <w:rPr>
          <w:rFonts w:eastAsia="SimSun"/>
          <w:szCs w:val="22"/>
          <w:lang w:val="sk-SK"/>
        </w:rPr>
        <w:t xml:space="preserve"> d</w:t>
      </w:r>
      <w:r w:rsidR="009E3661" w:rsidRPr="006B1F83">
        <w:rPr>
          <w:rFonts w:eastAsia="SimSun" w:hint="eastAsia"/>
          <w:szCs w:val="22"/>
          <w:lang w:val="sk-SK"/>
        </w:rPr>
        <w:t>á</w:t>
      </w:r>
      <w:r w:rsidR="009E3661" w:rsidRPr="006B1F83">
        <w:rPr>
          <w:rFonts w:eastAsia="SimSun"/>
          <w:szCs w:val="22"/>
          <w:lang w:val="sk-SK"/>
        </w:rPr>
        <w:t>vku tyreostat</w:t>
      </w:r>
      <w:r w:rsidR="009E3661" w:rsidRPr="006B1F83">
        <w:rPr>
          <w:rFonts w:eastAsia="SimSun" w:hint="eastAsia"/>
          <w:szCs w:val="22"/>
          <w:lang w:val="sk-SK"/>
        </w:rPr>
        <w:t>í</w:t>
      </w:r>
      <w:r w:rsidR="009E3661" w:rsidRPr="006B1F83">
        <w:rPr>
          <w:rFonts w:eastAsia="SimSun"/>
          <w:szCs w:val="22"/>
          <w:lang w:val="sk-SK"/>
        </w:rPr>
        <w:t>k. Keďže tyreostatik</w:t>
      </w:r>
      <w:r w:rsidR="009E3661" w:rsidRPr="006B1F83">
        <w:rPr>
          <w:rFonts w:eastAsia="SimSun" w:hint="eastAsia"/>
          <w:szCs w:val="22"/>
          <w:lang w:val="sk-SK"/>
        </w:rPr>
        <w:t>á</w:t>
      </w:r>
      <w:r w:rsidR="009E3661" w:rsidRPr="006B1F83">
        <w:rPr>
          <w:rFonts w:eastAsia="SimSun"/>
          <w:szCs w:val="22"/>
          <w:lang w:val="sk-SK"/>
        </w:rPr>
        <w:t xml:space="preserve"> prech</w:t>
      </w:r>
      <w:r w:rsidR="009E3661" w:rsidRPr="006B1F83">
        <w:rPr>
          <w:rFonts w:eastAsia="SimSun" w:hint="eastAsia"/>
          <w:szCs w:val="22"/>
          <w:lang w:val="sk-SK"/>
        </w:rPr>
        <w:t>á</w:t>
      </w:r>
      <w:r w:rsidR="009E3661" w:rsidRPr="006B1F83">
        <w:rPr>
          <w:rFonts w:eastAsia="SimSun"/>
          <w:szCs w:val="22"/>
          <w:lang w:val="sk-SK"/>
        </w:rPr>
        <w:t>dzaj</w:t>
      </w:r>
      <w:r w:rsidR="009E3661" w:rsidRPr="006B1F83">
        <w:rPr>
          <w:rFonts w:eastAsia="SimSun" w:hint="eastAsia"/>
          <w:szCs w:val="22"/>
          <w:lang w:val="sk-SK"/>
        </w:rPr>
        <w:t>ú</w:t>
      </w:r>
      <w:r w:rsidR="009E3661" w:rsidRPr="006B1F83">
        <w:rPr>
          <w:rFonts w:eastAsia="SimSun"/>
          <w:szCs w:val="22"/>
          <w:lang w:val="sk-SK"/>
        </w:rPr>
        <w:t xml:space="preserve"> placentou ľahšie ako levotyrox</w:t>
      </w:r>
      <w:r w:rsidR="009E3661" w:rsidRPr="006B1F83">
        <w:rPr>
          <w:rFonts w:eastAsia="SimSun" w:hint="eastAsia"/>
          <w:szCs w:val="22"/>
          <w:lang w:val="sk-SK"/>
        </w:rPr>
        <w:t>í</w:t>
      </w:r>
      <w:r w:rsidR="009E3661" w:rsidRPr="006B1F83">
        <w:rPr>
          <w:rFonts w:eastAsia="SimSun"/>
          <w:szCs w:val="22"/>
          <w:lang w:val="sk-SK"/>
        </w:rPr>
        <w:t>n, kombinovan</w:t>
      </w:r>
      <w:r w:rsidR="009E3661" w:rsidRPr="006B1F83">
        <w:rPr>
          <w:rFonts w:eastAsia="SimSun" w:hint="eastAsia"/>
          <w:szCs w:val="22"/>
          <w:lang w:val="sk-SK"/>
        </w:rPr>
        <w:t>á</w:t>
      </w:r>
      <w:r w:rsidR="009E3661" w:rsidRPr="006B1F83">
        <w:rPr>
          <w:rFonts w:eastAsia="SimSun"/>
          <w:szCs w:val="22"/>
          <w:lang w:val="sk-SK"/>
        </w:rPr>
        <w:t xml:space="preserve"> liečba môže vyvolať hypotyre</w:t>
      </w:r>
      <w:r w:rsidR="009E3661" w:rsidRPr="006B1F83">
        <w:rPr>
          <w:rFonts w:eastAsia="SimSun" w:hint="eastAsia"/>
          <w:szCs w:val="22"/>
          <w:lang w:val="sk-SK"/>
        </w:rPr>
        <w:t>ó</w:t>
      </w:r>
      <w:r w:rsidR="009E3661" w:rsidRPr="006B1F83">
        <w:rPr>
          <w:rFonts w:eastAsia="SimSun"/>
          <w:szCs w:val="22"/>
          <w:lang w:val="sk-SK"/>
        </w:rPr>
        <w:t>zu u plodu. Preto sa na liečbu hypertyre</w:t>
      </w:r>
      <w:r w:rsidR="009E3661" w:rsidRPr="006B1F83">
        <w:rPr>
          <w:rFonts w:eastAsia="SimSun" w:hint="eastAsia"/>
          <w:szCs w:val="22"/>
          <w:lang w:val="sk-SK"/>
        </w:rPr>
        <w:t>ó</w:t>
      </w:r>
      <w:r w:rsidR="009E3661" w:rsidRPr="006B1F83">
        <w:rPr>
          <w:rFonts w:eastAsia="SimSun"/>
          <w:szCs w:val="22"/>
          <w:lang w:val="sk-SK"/>
        </w:rPr>
        <w:t>zy maj</w:t>
      </w:r>
      <w:r w:rsidR="009E3661" w:rsidRPr="006B1F83">
        <w:rPr>
          <w:rFonts w:eastAsia="SimSun" w:hint="eastAsia"/>
          <w:szCs w:val="22"/>
          <w:lang w:val="sk-SK"/>
        </w:rPr>
        <w:t>ú</w:t>
      </w:r>
      <w:r w:rsidR="009E3661" w:rsidRPr="006B1F83">
        <w:rPr>
          <w:rFonts w:eastAsia="SimSun"/>
          <w:szCs w:val="22"/>
          <w:lang w:val="sk-SK"/>
        </w:rPr>
        <w:t xml:space="preserve"> počas tehotenstva použ</w:t>
      </w:r>
      <w:r w:rsidR="009E3661" w:rsidRPr="006B1F83">
        <w:rPr>
          <w:rFonts w:eastAsia="SimSun" w:hint="eastAsia"/>
          <w:szCs w:val="22"/>
          <w:lang w:val="sk-SK"/>
        </w:rPr>
        <w:t>í</w:t>
      </w:r>
      <w:r w:rsidR="009E3661" w:rsidRPr="006B1F83">
        <w:rPr>
          <w:rFonts w:eastAsia="SimSun"/>
          <w:szCs w:val="22"/>
          <w:lang w:val="sk-SK"/>
        </w:rPr>
        <w:t>vať iba tyreostatik</w:t>
      </w:r>
      <w:r w:rsidR="009E3661" w:rsidRPr="006B1F83">
        <w:rPr>
          <w:rFonts w:eastAsia="SimSun" w:hint="eastAsia"/>
          <w:szCs w:val="22"/>
          <w:lang w:val="sk-SK"/>
        </w:rPr>
        <w:t>á</w:t>
      </w:r>
      <w:r w:rsidR="009E3661" w:rsidRPr="006B1F83">
        <w:rPr>
          <w:rFonts w:eastAsia="SimSun"/>
          <w:szCs w:val="22"/>
          <w:lang w:val="sk-SK"/>
        </w:rPr>
        <w:t xml:space="preserve">. </w:t>
      </w:r>
    </w:p>
    <w:p w14:paraId="77ED9D47" w14:textId="77777777" w:rsidR="009E3661" w:rsidRPr="00456BFF" w:rsidRDefault="009E3661" w:rsidP="009E3661">
      <w:pPr>
        <w:spacing w:line="240" w:lineRule="auto"/>
        <w:rPr>
          <w:i/>
          <w:noProof/>
          <w:szCs w:val="22"/>
          <w:highlight w:val="yellow"/>
          <w:lang w:val="sk-SK"/>
        </w:rPr>
      </w:pPr>
    </w:p>
    <w:p w14:paraId="71B7AE44" w14:textId="77777777" w:rsidR="009E3661" w:rsidRPr="00456BFF" w:rsidRDefault="009E3661" w:rsidP="009E3661">
      <w:pPr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456BFF">
        <w:rPr>
          <w:b/>
          <w:noProof/>
          <w:szCs w:val="22"/>
          <w:lang w:val="sk-SK"/>
        </w:rPr>
        <w:t>4.7</w:t>
      </w:r>
      <w:r w:rsidRPr="00456BFF">
        <w:rPr>
          <w:b/>
          <w:noProof/>
          <w:szCs w:val="22"/>
          <w:lang w:val="sk-SK"/>
        </w:rPr>
        <w:tab/>
      </w:r>
      <w:r w:rsidRPr="009E4AD9">
        <w:rPr>
          <w:b/>
          <w:noProof/>
          <w:szCs w:val="22"/>
          <w:lang w:val="sk-SK"/>
        </w:rPr>
        <w:t>Ovplyvnenie schopnosti viesť vozidlá a obsluhovať stroje</w:t>
      </w:r>
    </w:p>
    <w:p w14:paraId="2EA5621D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19B1AC4F" w14:textId="77777777" w:rsidR="009E3661" w:rsidRPr="00456BFF" w:rsidRDefault="009E3661" w:rsidP="009E3661">
      <w:pPr>
        <w:spacing w:line="240" w:lineRule="auto"/>
        <w:rPr>
          <w:szCs w:val="22"/>
          <w:lang w:val="sk-SK"/>
        </w:rPr>
      </w:pPr>
      <w:r w:rsidRPr="00456BFF">
        <w:rPr>
          <w:szCs w:val="22"/>
          <w:lang w:val="sk-SK"/>
        </w:rPr>
        <w:t>Levotyrox</w:t>
      </w:r>
      <w:r>
        <w:rPr>
          <w:szCs w:val="22"/>
          <w:lang w:val="sk-SK"/>
        </w:rPr>
        <w:t>ín</w:t>
      </w:r>
      <w:r w:rsidRPr="00456BFF">
        <w:rPr>
          <w:szCs w:val="22"/>
          <w:lang w:val="sk-SK"/>
        </w:rPr>
        <w:t xml:space="preserve"> </w:t>
      </w:r>
      <w:r>
        <w:rPr>
          <w:szCs w:val="22"/>
          <w:lang w:val="sk-SK"/>
        </w:rPr>
        <w:t>n</w:t>
      </w:r>
      <w:r w:rsidRPr="009E4AD9">
        <w:rPr>
          <w:szCs w:val="22"/>
          <w:lang w:val="sk-SK"/>
        </w:rPr>
        <w:t>emá žiadny alebo len zanedbateľný vplyv na schopnosť viesť vozidlá a obsluhovať stroje</w:t>
      </w:r>
      <w:r w:rsidRPr="00456BFF">
        <w:rPr>
          <w:szCs w:val="22"/>
          <w:lang w:val="sk-SK"/>
        </w:rPr>
        <w:t xml:space="preserve">. </w:t>
      </w:r>
    </w:p>
    <w:p w14:paraId="502C07E6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4437DB0C" w14:textId="77777777" w:rsidR="009E3661" w:rsidRPr="00456BFF" w:rsidRDefault="009E3661" w:rsidP="009E3661">
      <w:pPr>
        <w:spacing w:line="240" w:lineRule="auto"/>
        <w:outlineLvl w:val="0"/>
        <w:rPr>
          <w:b/>
          <w:noProof/>
          <w:szCs w:val="22"/>
          <w:lang w:val="sk-SK"/>
        </w:rPr>
      </w:pPr>
      <w:r w:rsidRPr="00456BFF">
        <w:rPr>
          <w:b/>
          <w:noProof/>
          <w:szCs w:val="22"/>
          <w:lang w:val="sk-SK"/>
        </w:rPr>
        <w:t>4.8</w:t>
      </w:r>
      <w:r w:rsidRPr="00456BFF">
        <w:rPr>
          <w:b/>
          <w:noProof/>
          <w:szCs w:val="22"/>
          <w:lang w:val="sk-SK"/>
        </w:rPr>
        <w:tab/>
      </w:r>
      <w:r w:rsidRPr="00656F20">
        <w:rPr>
          <w:b/>
          <w:noProof/>
          <w:szCs w:val="22"/>
          <w:lang w:val="sk-SK"/>
        </w:rPr>
        <w:t>Nežiaduce účinky</w:t>
      </w:r>
    </w:p>
    <w:p w14:paraId="2DDB22B1" w14:textId="77777777" w:rsidR="009E3661" w:rsidRPr="00456BFF" w:rsidRDefault="009E3661" w:rsidP="009E3661">
      <w:pPr>
        <w:autoSpaceDE w:val="0"/>
        <w:autoSpaceDN w:val="0"/>
        <w:adjustRightInd w:val="0"/>
        <w:spacing w:line="240" w:lineRule="auto"/>
        <w:jc w:val="both"/>
        <w:rPr>
          <w:noProof/>
          <w:szCs w:val="22"/>
          <w:highlight w:val="yellow"/>
          <w:lang w:val="sk-SK"/>
        </w:rPr>
      </w:pPr>
    </w:p>
    <w:p w14:paraId="4ACEB724" w14:textId="77777777" w:rsidR="009E3661" w:rsidRPr="00456BFF" w:rsidRDefault="009E3661" w:rsidP="009E3661">
      <w:pPr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>V</w:t>
      </w:r>
      <w:r w:rsidRPr="0030315F">
        <w:rPr>
          <w:szCs w:val="22"/>
          <w:lang w:val="sk-SK"/>
        </w:rPr>
        <w:t>šetky nežiaduce reakcie</w:t>
      </w:r>
      <w:r>
        <w:rPr>
          <w:szCs w:val="22"/>
          <w:lang w:val="sk-SK"/>
        </w:rPr>
        <w:t xml:space="preserve"> sú </w:t>
      </w:r>
      <w:r w:rsidRPr="0030315F">
        <w:rPr>
          <w:szCs w:val="22"/>
          <w:lang w:val="sk-SK"/>
        </w:rPr>
        <w:t>zoradené podľa triedy orgánových systémov a frekvencie</w:t>
      </w:r>
      <w:r w:rsidRPr="00456BFF">
        <w:rPr>
          <w:szCs w:val="22"/>
          <w:lang w:val="sk-SK"/>
        </w:rPr>
        <w:t xml:space="preserve">; </w:t>
      </w:r>
      <w:r>
        <w:rPr>
          <w:szCs w:val="22"/>
          <w:lang w:val="sk-SK"/>
        </w:rPr>
        <w:t>z</w:t>
      </w:r>
      <w:r w:rsidRPr="0030315F">
        <w:rPr>
          <w:szCs w:val="22"/>
          <w:lang w:val="sk-SK"/>
        </w:rPr>
        <w:t>riedkavé</w:t>
      </w:r>
      <w:r w:rsidRPr="00456BFF">
        <w:rPr>
          <w:szCs w:val="22"/>
          <w:lang w:val="sk-SK"/>
        </w:rPr>
        <w:t xml:space="preserve"> (≥</w:t>
      </w:r>
      <w:r>
        <w:rPr>
          <w:szCs w:val="22"/>
          <w:lang w:val="sk-SK"/>
        </w:rPr>
        <w:t xml:space="preserve"> </w:t>
      </w:r>
      <w:r w:rsidRPr="00456BFF">
        <w:rPr>
          <w:szCs w:val="22"/>
          <w:lang w:val="sk-SK"/>
        </w:rPr>
        <w:t>1/10</w:t>
      </w:r>
      <w:r>
        <w:rPr>
          <w:szCs w:val="22"/>
          <w:lang w:val="sk-SK"/>
        </w:rPr>
        <w:t xml:space="preserve"> </w:t>
      </w:r>
      <w:r w:rsidRPr="00456BFF">
        <w:rPr>
          <w:szCs w:val="22"/>
          <w:lang w:val="sk-SK"/>
        </w:rPr>
        <w:t xml:space="preserve">000 </w:t>
      </w:r>
      <w:r>
        <w:rPr>
          <w:szCs w:val="22"/>
          <w:lang w:val="sk-SK"/>
        </w:rPr>
        <w:t>až</w:t>
      </w:r>
      <w:r w:rsidRPr="00456BFF">
        <w:rPr>
          <w:szCs w:val="22"/>
          <w:lang w:val="sk-SK"/>
        </w:rPr>
        <w:t xml:space="preserve"> &lt;</w:t>
      </w:r>
      <w:r>
        <w:rPr>
          <w:szCs w:val="22"/>
          <w:lang w:val="sk-SK"/>
        </w:rPr>
        <w:t xml:space="preserve"> </w:t>
      </w:r>
      <w:r w:rsidRPr="00456BFF">
        <w:rPr>
          <w:szCs w:val="22"/>
          <w:lang w:val="sk-SK"/>
        </w:rPr>
        <w:t>1/1</w:t>
      </w:r>
      <w:r>
        <w:rPr>
          <w:szCs w:val="22"/>
          <w:lang w:val="sk-SK"/>
        </w:rPr>
        <w:t xml:space="preserve"> </w:t>
      </w:r>
      <w:r w:rsidRPr="00456BFF">
        <w:rPr>
          <w:szCs w:val="22"/>
          <w:lang w:val="sk-SK"/>
        </w:rPr>
        <w:t xml:space="preserve">000) </w:t>
      </w:r>
      <w:r>
        <w:rPr>
          <w:szCs w:val="22"/>
          <w:lang w:val="sk-SK"/>
        </w:rPr>
        <w:t>a neznáme</w:t>
      </w:r>
      <w:r w:rsidRPr="00456BFF">
        <w:rPr>
          <w:szCs w:val="22"/>
          <w:lang w:val="sk-SK"/>
        </w:rPr>
        <w:t xml:space="preserve"> (</w:t>
      </w:r>
      <w:r w:rsidRPr="0030315F">
        <w:rPr>
          <w:szCs w:val="22"/>
          <w:lang w:val="sk-SK"/>
        </w:rPr>
        <w:t>z dostupných údajov</w:t>
      </w:r>
      <w:r w:rsidRPr="00456BFF">
        <w:rPr>
          <w:szCs w:val="22"/>
          <w:lang w:val="sk-SK"/>
        </w:rPr>
        <w:t>).</w:t>
      </w:r>
    </w:p>
    <w:p w14:paraId="7754CDEC" w14:textId="77777777" w:rsidR="009E3661" w:rsidRPr="00456BFF" w:rsidRDefault="009E3661" w:rsidP="009E3661">
      <w:pPr>
        <w:autoSpaceDE w:val="0"/>
        <w:autoSpaceDN w:val="0"/>
        <w:adjustRightInd w:val="0"/>
        <w:spacing w:line="240" w:lineRule="auto"/>
        <w:jc w:val="both"/>
        <w:rPr>
          <w:b/>
          <w:szCs w:val="22"/>
          <w:highlight w:val="yellow"/>
          <w:lang w:val="sk-SK"/>
        </w:rPr>
      </w:pPr>
    </w:p>
    <w:p w14:paraId="0B6CBB84" w14:textId="77777777" w:rsidR="009E3661" w:rsidRPr="00456BFF" w:rsidRDefault="009E3661" w:rsidP="009E3661">
      <w:pPr>
        <w:rPr>
          <w:lang w:val="sk-SK"/>
        </w:rPr>
      </w:pPr>
      <w:r w:rsidRPr="00456BFF">
        <w:rPr>
          <w:lang w:val="sk-SK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1517"/>
        <w:gridCol w:w="5416"/>
      </w:tblGrid>
      <w:tr w:rsidR="009E3661" w:rsidRPr="00456BFF" w14:paraId="1E02BFCA" w14:textId="77777777" w:rsidTr="00591695">
        <w:tc>
          <w:tcPr>
            <w:tcW w:w="2448" w:type="dxa"/>
          </w:tcPr>
          <w:p w14:paraId="65627644" w14:textId="77777777" w:rsidR="009E3661" w:rsidRPr="00456BFF" w:rsidRDefault="009E3661" w:rsidP="00591695">
            <w:pPr>
              <w:pStyle w:val="Default"/>
              <w:jc w:val="both"/>
              <w:rPr>
                <w:b/>
                <w:szCs w:val="22"/>
                <w:highlight w:val="yellow"/>
                <w:lang w:val="sk-SK"/>
              </w:rPr>
            </w:pPr>
            <w:r w:rsidRPr="005A408A">
              <w:rPr>
                <w:b/>
                <w:bCs/>
                <w:sz w:val="22"/>
                <w:szCs w:val="22"/>
                <w:lang w:val="sk-SK"/>
              </w:rPr>
              <w:lastRenderedPageBreak/>
              <w:t>Trieda orgánových systémov</w:t>
            </w:r>
          </w:p>
        </w:tc>
        <w:tc>
          <w:tcPr>
            <w:tcW w:w="1530" w:type="dxa"/>
          </w:tcPr>
          <w:p w14:paraId="0D5FFB34" w14:textId="77777777" w:rsidR="009E3661" w:rsidRPr="00456BFF" w:rsidRDefault="009E3661" w:rsidP="00591695">
            <w:pPr>
              <w:pStyle w:val="Default"/>
              <w:jc w:val="both"/>
              <w:rPr>
                <w:b/>
                <w:szCs w:val="22"/>
                <w:highlight w:val="yellow"/>
                <w:lang w:val="sk-SK"/>
              </w:rPr>
            </w:pPr>
            <w:r w:rsidRPr="00456BFF">
              <w:rPr>
                <w:b/>
                <w:bCs/>
                <w:sz w:val="22"/>
                <w:szCs w:val="22"/>
                <w:lang w:val="sk-SK"/>
              </w:rPr>
              <w:t>Fre</w:t>
            </w:r>
            <w:r>
              <w:rPr>
                <w:b/>
                <w:bCs/>
                <w:sz w:val="22"/>
                <w:szCs w:val="22"/>
                <w:lang w:val="sk-SK"/>
              </w:rPr>
              <w:t>kv</w:t>
            </w:r>
            <w:r w:rsidRPr="00456BFF">
              <w:rPr>
                <w:b/>
                <w:bCs/>
                <w:sz w:val="22"/>
                <w:szCs w:val="22"/>
                <w:lang w:val="sk-SK"/>
              </w:rPr>
              <w:t>enc</w:t>
            </w:r>
            <w:r>
              <w:rPr>
                <w:b/>
                <w:bCs/>
                <w:sz w:val="22"/>
                <w:szCs w:val="22"/>
                <w:lang w:val="sk-SK"/>
              </w:rPr>
              <w:t>ia</w:t>
            </w:r>
            <w:r w:rsidRPr="00456BFF">
              <w:rPr>
                <w:b/>
                <w:bCs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5605" w:type="dxa"/>
          </w:tcPr>
          <w:p w14:paraId="3634ADF7" w14:textId="77777777" w:rsidR="009E3661" w:rsidRPr="00456BFF" w:rsidRDefault="009E3661" w:rsidP="00591695">
            <w:pPr>
              <w:pStyle w:val="Default"/>
              <w:jc w:val="both"/>
              <w:rPr>
                <w:b/>
                <w:szCs w:val="22"/>
                <w:highlight w:val="yellow"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 xml:space="preserve">Nežiaduca udalosť </w:t>
            </w:r>
          </w:p>
        </w:tc>
      </w:tr>
      <w:tr w:rsidR="009E3661" w:rsidRPr="00456BFF" w14:paraId="11891944" w14:textId="77777777" w:rsidTr="00591695">
        <w:tc>
          <w:tcPr>
            <w:tcW w:w="2448" w:type="dxa"/>
          </w:tcPr>
          <w:p w14:paraId="6A8460CD" w14:textId="77777777" w:rsidR="009E3661" w:rsidRPr="00456BFF" w:rsidRDefault="009E3661" w:rsidP="005916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Cs w:val="22"/>
                <w:highlight w:val="yellow"/>
                <w:lang w:val="sk-SK"/>
              </w:rPr>
            </w:pPr>
            <w:r w:rsidRPr="005A408A">
              <w:rPr>
                <w:rFonts w:eastAsia="SimSun"/>
                <w:color w:val="000000"/>
                <w:szCs w:val="22"/>
                <w:lang w:val="sk-SK"/>
              </w:rPr>
              <w:t xml:space="preserve">Poruchy imunitného systému </w:t>
            </w:r>
          </w:p>
        </w:tc>
        <w:tc>
          <w:tcPr>
            <w:tcW w:w="1530" w:type="dxa"/>
          </w:tcPr>
          <w:p w14:paraId="7382900E" w14:textId="77777777" w:rsidR="009E3661" w:rsidRPr="00456BFF" w:rsidRDefault="009E3661" w:rsidP="00591695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Neznáme</w:t>
            </w:r>
            <w:r w:rsidRPr="00456BFF">
              <w:rPr>
                <w:sz w:val="22"/>
                <w:szCs w:val="22"/>
                <w:lang w:val="sk-SK"/>
              </w:rPr>
              <w:t xml:space="preserve"> </w:t>
            </w:r>
          </w:p>
          <w:p w14:paraId="72DD6564" w14:textId="77777777" w:rsidR="009E3661" w:rsidRPr="00456BFF" w:rsidRDefault="009E3661" w:rsidP="005916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Cs w:val="22"/>
                <w:highlight w:val="yellow"/>
                <w:lang w:val="sk-SK"/>
              </w:rPr>
            </w:pPr>
          </w:p>
        </w:tc>
        <w:tc>
          <w:tcPr>
            <w:tcW w:w="5605" w:type="dxa"/>
          </w:tcPr>
          <w:p w14:paraId="3287945B" w14:textId="1A360FFD" w:rsidR="009E3661" w:rsidRPr="00456BFF" w:rsidRDefault="009E3661" w:rsidP="00591695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Hypersenzit</w:t>
            </w:r>
            <w:r w:rsidR="00875B2C">
              <w:rPr>
                <w:sz w:val="22"/>
                <w:szCs w:val="22"/>
                <w:lang w:val="sk-SK"/>
              </w:rPr>
              <w:t>í</w:t>
            </w:r>
            <w:r>
              <w:rPr>
                <w:sz w:val="22"/>
                <w:szCs w:val="22"/>
                <w:lang w:val="sk-SK"/>
              </w:rPr>
              <w:t xml:space="preserve">vne reakcie </w:t>
            </w:r>
            <w:r w:rsidRPr="00456BFF">
              <w:rPr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 xml:space="preserve">vrátane vyrážky, pruritu a edému </w:t>
            </w:r>
          </w:p>
          <w:p w14:paraId="1653379C" w14:textId="51F07E7A" w:rsidR="009E3661" w:rsidRPr="001378C9" w:rsidRDefault="009E3661" w:rsidP="005916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V</w:t>
            </w:r>
            <w:r w:rsidRPr="001378C9">
              <w:rPr>
                <w:szCs w:val="22"/>
                <w:lang w:val="sk-SK"/>
              </w:rPr>
              <w:t xml:space="preserve"> prípade hypersenzitivity na </w:t>
            </w:r>
            <w:r w:rsidRPr="00456BFF">
              <w:rPr>
                <w:szCs w:val="22"/>
                <w:lang w:val="sk-SK"/>
              </w:rPr>
              <w:t>levotyrox</w:t>
            </w:r>
            <w:r>
              <w:rPr>
                <w:szCs w:val="22"/>
                <w:lang w:val="sk-SK"/>
              </w:rPr>
              <w:t>ín</w:t>
            </w:r>
            <w:r w:rsidRPr="00456BFF">
              <w:rPr>
                <w:szCs w:val="22"/>
                <w:lang w:val="sk-SK"/>
              </w:rPr>
              <w:t xml:space="preserve"> </w:t>
            </w:r>
            <w:r>
              <w:rPr>
                <w:szCs w:val="22"/>
                <w:lang w:val="sk-SK"/>
              </w:rPr>
              <w:t xml:space="preserve">alebo </w:t>
            </w:r>
            <w:r w:rsidRPr="00456BFF">
              <w:rPr>
                <w:szCs w:val="22"/>
                <w:lang w:val="sk-SK"/>
              </w:rPr>
              <w:t xml:space="preserve"> </w:t>
            </w:r>
            <w:r w:rsidRPr="001378C9">
              <w:rPr>
                <w:szCs w:val="22"/>
                <w:lang w:val="sk-SK"/>
              </w:rPr>
              <w:t xml:space="preserve">na ktorúkoľvek z pomocných </w:t>
            </w:r>
            <w:r>
              <w:rPr>
                <w:szCs w:val="22"/>
                <w:lang w:val="sk-SK"/>
              </w:rPr>
              <w:t>látok tabl</w:t>
            </w:r>
            <w:r w:rsidR="00875B2C">
              <w:rPr>
                <w:szCs w:val="22"/>
                <w:lang w:val="sk-SK"/>
              </w:rPr>
              <w:t>i</w:t>
            </w:r>
            <w:r>
              <w:rPr>
                <w:szCs w:val="22"/>
                <w:lang w:val="sk-SK"/>
              </w:rPr>
              <w:t>et sodnej soli levotyroxínu sa môžu vyskytnúť alergické reakcie na koži</w:t>
            </w:r>
            <w:r w:rsidRPr="00456BFF">
              <w:rPr>
                <w:szCs w:val="22"/>
                <w:lang w:val="sk-SK"/>
              </w:rPr>
              <w:t xml:space="preserve"> </w:t>
            </w:r>
            <w:r w:rsidRPr="00456BFF">
              <w:rPr>
                <w:b/>
                <w:bCs/>
                <w:szCs w:val="22"/>
                <w:lang w:val="sk-SK"/>
              </w:rPr>
              <w:t>(eryt</w:t>
            </w:r>
            <w:r>
              <w:rPr>
                <w:b/>
                <w:bCs/>
                <w:szCs w:val="22"/>
                <w:lang w:val="sk-SK"/>
              </w:rPr>
              <w:t>ém</w:t>
            </w:r>
            <w:r w:rsidRPr="00456BFF">
              <w:rPr>
                <w:b/>
                <w:bCs/>
                <w:szCs w:val="22"/>
                <w:lang w:val="sk-SK"/>
              </w:rPr>
              <w:t xml:space="preserve">) </w:t>
            </w:r>
            <w:r>
              <w:rPr>
                <w:szCs w:val="22"/>
                <w:lang w:val="sk-SK"/>
              </w:rPr>
              <w:t>a v o</w:t>
            </w:r>
            <w:r w:rsidRPr="001378C9">
              <w:rPr>
                <w:szCs w:val="22"/>
                <w:lang w:val="sk-SK"/>
              </w:rPr>
              <w:t>blast</w:t>
            </w:r>
            <w:r>
              <w:rPr>
                <w:szCs w:val="22"/>
                <w:lang w:val="sk-SK"/>
              </w:rPr>
              <w:t>i</w:t>
            </w:r>
            <w:r w:rsidRPr="001378C9">
              <w:rPr>
                <w:szCs w:val="22"/>
                <w:lang w:val="sk-SK"/>
              </w:rPr>
              <w:t xml:space="preserve"> dýchacej sústavy </w:t>
            </w:r>
            <w:r w:rsidRPr="00456BFF">
              <w:rPr>
                <w:b/>
                <w:bCs/>
                <w:szCs w:val="22"/>
                <w:lang w:val="sk-SK"/>
              </w:rPr>
              <w:t>(dyspnoe)</w:t>
            </w:r>
            <w:r>
              <w:rPr>
                <w:szCs w:val="22"/>
                <w:lang w:val="sk-SK"/>
              </w:rPr>
              <w:t>.</w:t>
            </w:r>
          </w:p>
        </w:tc>
      </w:tr>
      <w:tr w:rsidR="009E3661" w:rsidRPr="00456BFF" w14:paraId="1CE3899D" w14:textId="77777777" w:rsidTr="00591695">
        <w:tc>
          <w:tcPr>
            <w:tcW w:w="2448" w:type="dxa"/>
          </w:tcPr>
          <w:p w14:paraId="539B0504" w14:textId="77777777" w:rsidR="009E3661" w:rsidRPr="00456BFF" w:rsidRDefault="009E3661" w:rsidP="00591695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 w:rsidRPr="005A408A">
              <w:rPr>
                <w:sz w:val="22"/>
                <w:szCs w:val="22"/>
                <w:lang w:val="sk-SK"/>
              </w:rPr>
              <w:t>Poruchy endokrinného systému</w:t>
            </w:r>
          </w:p>
        </w:tc>
        <w:tc>
          <w:tcPr>
            <w:tcW w:w="1530" w:type="dxa"/>
          </w:tcPr>
          <w:p w14:paraId="7D1C56F2" w14:textId="77777777" w:rsidR="009E3661" w:rsidRPr="00456BFF" w:rsidRDefault="009E3661" w:rsidP="00591695">
            <w:pPr>
              <w:pStyle w:val="Default"/>
              <w:jc w:val="both"/>
              <w:rPr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Neznáme</w:t>
            </w:r>
            <w:r w:rsidRPr="00456BFF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5605" w:type="dxa"/>
          </w:tcPr>
          <w:p w14:paraId="434082B7" w14:textId="77777777" w:rsidR="009E3661" w:rsidRPr="00456BFF" w:rsidRDefault="009E3661" w:rsidP="00591695">
            <w:pPr>
              <w:pStyle w:val="Default"/>
              <w:jc w:val="both"/>
              <w:rPr>
                <w:szCs w:val="22"/>
                <w:lang w:val="sk-SK"/>
              </w:rPr>
            </w:pPr>
            <w:r w:rsidRPr="00456BFF">
              <w:rPr>
                <w:sz w:val="22"/>
                <w:szCs w:val="22"/>
                <w:lang w:val="sk-SK"/>
              </w:rPr>
              <w:t>Hypert</w:t>
            </w:r>
            <w:r>
              <w:rPr>
                <w:sz w:val="22"/>
                <w:szCs w:val="22"/>
                <w:lang w:val="sk-SK"/>
              </w:rPr>
              <w:t>yreóza</w:t>
            </w:r>
          </w:p>
        </w:tc>
      </w:tr>
      <w:tr w:rsidR="009E3661" w:rsidRPr="00456BFF" w14:paraId="497A6151" w14:textId="77777777" w:rsidTr="00591695">
        <w:tc>
          <w:tcPr>
            <w:tcW w:w="2448" w:type="dxa"/>
          </w:tcPr>
          <w:p w14:paraId="60230B6C" w14:textId="77777777" w:rsidR="009E3661" w:rsidRPr="00456BFF" w:rsidRDefault="009E3661" w:rsidP="00591695">
            <w:pPr>
              <w:pStyle w:val="Default"/>
              <w:jc w:val="both"/>
              <w:rPr>
                <w:b/>
                <w:szCs w:val="22"/>
                <w:highlight w:val="yellow"/>
                <w:lang w:val="sk-SK"/>
              </w:rPr>
            </w:pPr>
            <w:r w:rsidRPr="005A408A">
              <w:rPr>
                <w:sz w:val="22"/>
                <w:szCs w:val="22"/>
                <w:lang w:val="sk-SK"/>
              </w:rPr>
              <w:t>Poruchy metabolizmu a výživy</w:t>
            </w:r>
          </w:p>
        </w:tc>
        <w:tc>
          <w:tcPr>
            <w:tcW w:w="1530" w:type="dxa"/>
          </w:tcPr>
          <w:p w14:paraId="3B7A21B3" w14:textId="77777777" w:rsidR="009E3661" w:rsidRPr="00456BFF" w:rsidRDefault="009E3661" w:rsidP="00591695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Neznáme</w:t>
            </w:r>
            <w:r w:rsidRPr="00456BFF">
              <w:rPr>
                <w:sz w:val="22"/>
                <w:szCs w:val="22"/>
                <w:lang w:val="sk-SK"/>
              </w:rPr>
              <w:t xml:space="preserve"> </w:t>
            </w:r>
          </w:p>
          <w:p w14:paraId="576BA658" w14:textId="77777777" w:rsidR="009E3661" w:rsidRPr="00456BFF" w:rsidRDefault="009E3661" w:rsidP="005916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Cs w:val="22"/>
                <w:highlight w:val="yellow"/>
                <w:lang w:val="sk-SK"/>
              </w:rPr>
            </w:pPr>
          </w:p>
        </w:tc>
        <w:tc>
          <w:tcPr>
            <w:tcW w:w="5605" w:type="dxa"/>
          </w:tcPr>
          <w:p w14:paraId="57D96166" w14:textId="77777777" w:rsidR="009E3661" w:rsidRPr="00456BFF" w:rsidRDefault="009E3661" w:rsidP="00591695">
            <w:pPr>
              <w:pStyle w:val="Default"/>
              <w:jc w:val="both"/>
              <w:rPr>
                <w:b/>
                <w:szCs w:val="22"/>
                <w:highlight w:val="yellow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</w:t>
            </w:r>
            <w:r w:rsidRPr="00E7307E">
              <w:rPr>
                <w:sz w:val="22"/>
                <w:szCs w:val="22"/>
                <w:lang w:val="sk-SK"/>
              </w:rPr>
              <w:t>výšená chuť do jedla</w:t>
            </w:r>
          </w:p>
        </w:tc>
      </w:tr>
      <w:tr w:rsidR="009E3661" w:rsidRPr="00456BFF" w14:paraId="3EE1B7AB" w14:textId="77777777" w:rsidTr="00591695">
        <w:tc>
          <w:tcPr>
            <w:tcW w:w="2448" w:type="dxa"/>
          </w:tcPr>
          <w:p w14:paraId="76F44367" w14:textId="77777777" w:rsidR="009E3661" w:rsidRPr="00456BFF" w:rsidRDefault="009E3661" w:rsidP="00591695">
            <w:pPr>
              <w:pStyle w:val="Default"/>
              <w:jc w:val="both"/>
              <w:rPr>
                <w:b/>
                <w:szCs w:val="22"/>
                <w:highlight w:val="yellow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Psychické poruchy</w:t>
            </w:r>
            <w:r w:rsidRPr="00456BFF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530" w:type="dxa"/>
          </w:tcPr>
          <w:p w14:paraId="13CAC49A" w14:textId="77777777" w:rsidR="009E3661" w:rsidRPr="00456BFF" w:rsidRDefault="009E3661" w:rsidP="00591695">
            <w:pPr>
              <w:pStyle w:val="Default"/>
              <w:jc w:val="both"/>
              <w:rPr>
                <w:b/>
                <w:szCs w:val="22"/>
                <w:highlight w:val="yellow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Neznáme</w:t>
            </w:r>
            <w:r w:rsidRPr="00456BFF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5605" w:type="dxa"/>
          </w:tcPr>
          <w:p w14:paraId="64E4F6EC" w14:textId="77777777" w:rsidR="009E3661" w:rsidRPr="00456BFF" w:rsidRDefault="009E3661" w:rsidP="00591695">
            <w:pPr>
              <w:pStyle w:val="Default"/>
              <w:jc w:val="both"/>
              <w:rPr>
                <w:b/>
                <w:szCs w:val="22"/>
                <w:highlight w:val="yellow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Agitácia</w:t>
            </w:r>
            <w:r w:rsidRPr="00456BFF">
              <w:rPr>
                <w:sz w:val="22"/>
                <w:szCs w:val="22"/>
                <w:lang w:val="sk-SK"/>
              </w:rPr>
              <w:t xml:space="preserve">, insomnia, </w:t>
            </w:r>
            <w:r>
              <w:rPr>
                <w:sz w:val="22"/>
                <w:szCs w:val="22"/>
                <w:lang w:val="sk-SK"/>
              </w:rPr>
              <w:t>nepokoj</w:t>
            </w:r>
            <w:r w:rsidRPr="00456BFF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9E3661" w:rsidRPr="00456BFF" w14:paraId="34A299E1" w14:textId="77777777" w:rsidTr="00591695">
        <w:tc>
          <w:tcPr>
            <w:tcW w:w="2448" w:type="dxa"/>
            <w:vMerge w:val="restart"/>
          </w:tcPr>
          <w:p w14:paraId="744FDF3A" w14:textId="77777777" w:rsidR="009E3661" w:rsidRPr="00456BFF" w:rsidRDefault="009E3661" w:rsidP="00591695">
            <w:pPr>
              <w:pStyle w:val="Default"/>
              <w:jc w:val="both"/>
              <w:rPr>
                <w:b/>
                <w:szCs w:val="22"/>
                <w:highlight w:val="yellow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Poruchy nervového systému</w:t>
            </w:r>
            <w:r w:rsidRPr="00456BFF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530" w:type="dxa"/>
          </w:tcPr>
          <w:p w14:paraId="3733B88B" w14:textId="77777777" w:rsidR="009E3661" w:rsidRPr="00456BFF" w:rsidRDefault="009E3661" w:rsidP="00591695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Zriedkavé</w:t>
            </w:r>
            <w:r w:rsidRPr="00456BFF">
              <w:rPr>
                <w:sz w:val="22"/>
                <w:szCs w:val="22"/>
                <w:lang w:val="sk-SK"/>
              </w:rPr>
              <w:t xml:space="preserve"> </w:t>
            </w:r>
          </w:p>
          <w:p w14:paraId="563B8BBB" w14:textId="77777777" w:rsidR="009E3661" w:rsidRPr="00456BFF" w:rsidRDefault="009E3661" w:rsidP="005916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Cs w:val="22"/>
                <w:highlight w:val="yellow"/>
                <w:lang w:val="sk-SK"/>
              </w:rPr>
            </w:pPr>
          </w:p>
        </w:tc>
        <w:tc>
          <w:tcPr>
            <w:tcW w:w="5605" w:type="dxa"/>
          </w:tcPr>
          <w:p w14:paraId="456C599A" w14:textId="77777777" w:rsidR="009E3661" w:rsidRPr="00456BFF" w:rsidRDefault="009E3661" w:rsidP="00591695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 w:rsidRPr="00E7307E">
              <w:rPr>
                <w:sz w:val="22"/>
                <w:szCs w:val="22"/>
                <w:lang w:val="sk-SK"/>
              </w:rPr>
              <w:t xml:space="preserve">Benígna intrakraniálna hypertenzia </w:t>
            </w:r>
            <w:r>
              <w:rPr>
                <w:sz w:val="22"/>
                <w:szCs w:val="22"/>
                <w:lang w:val="sk-SK"/>
              </w:rPr>
              <w:t>u detí</w:t>
            </w:r>
          </w:p>
          <w:p w14:paraId="68B64C86" w14:textId="77777777" w:rsidR="009E3661" w:rsidRPr="00456BFF" w:rsidRDefault="009E3661" w:rsidP="005916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Cs w:val="22"/>
                <w:highlight w:val="yellow"/>
                <w:lang w:val="sk-SK"/>
              </w:rPr>
            </w:pPr>
          </w:p>
        </w:tc>
      </w:tr>
      <w:tr w:rsidR="009E3661" w:rsidRPr="00456BFF" w14:paraId="58AF5EEC" w14:textId="77777777" w:rsidTr="00591695">
        <w:tc>
          <w:tcPr>
            <w:tcW w:w="2448" w:type="dxa"/>
            <w:vMerge/>
          </w:tcPr>
          <w:p w14:paraId="5CF6277A" w14:textId="77777777" w:rsidR="009E3661" w:rsidRPr="00456BFF" w:rsidRDefault="009E3661" w:rsidP="005916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Cs w:val="22"/>
                <w:highlight w:val="yellow"/>
                <w:lang w:val="sk-SK"/>
              </w:rPr>
            </w:pPr>
          </w:p>
        </w:tc>
        <w:tc>
          <w:tcPr>
            <w:tcW w:w="1530" w:type="dxa"/>
          </w:tcPr>
          <w:p w14:paraId="6A554BE2" w14:textId="77777777" w:rsidR="009E3661" w:rsidRPr="00456BFF" w:rsidRDefault="009E3661" w:rsidP="00591695">
            <w:pPr>
              <w:pStyle w:val="Default"/>
              <w:jc w:val="both"/>
              <w:rPr>
                <w:b/>
                <w:szCs w:val="22"/>
                <w:highlight w:val="yellow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Neznáme</w:t>
            </w:r>
            <w:r w:rsidRPr="00456BFF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5605" w:type="dxa"/>
          </w:tcPr>
          <w:p w14:paraId="654D11C3" w14:textId="77777777" w:rsidR="009E3661" w:rsidRPr="00456BFF" w:rsidRDefault="009E3661" w:rsidP="00591695">
            <w:pPr>
              <w:pStyle w:val="Default"/>
              <w:jc w:val="both"/>
              <w:rPr>
                <w:b/>
                <w:szCs w:val="22"/>
                <w:highlight w:val="yellow"/>
                <w:lang w:val="sk-SK"/>
              </w:rPr>
            </w:pPr>
            <w:r w:rsidRPr="00456BFF">
              <w:rPr>
                <w:sz w:val="22"/>
                <w:szCs w:val="22"/>
                <w:lang w:val="sk-SK"/>
              </w:rPr>
              <w:t xml:space="preserve">Tremor, </w:t>
            </w:r>
            <w:r>
              <w:rPr>
                <w:sz w:val="22"/>
                <w:szCs w:val="22"/>
                <w:lang w:val="sk-SK"/>
              </w:rPr>
              <w:t>kŕče, bolesť hlavy</w:t>
            </w:r>
            <w:r w:rsidRPr="00456BFF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9E3661" w:rsidRPr="00456BFF" w14:paraId="0F34AD14" w14:textId="77777777" w:rsidTr="00591695">
        <w:tc>
          <w:tcPr>
            <w:tcW w:w="2448" w:type="dxa"/>
          </w:tcPr>
          <w:p w14:paraId="5AD971F4" w14:textId="77777777" w:rsidR="009E3661" w:rsidRPr="00456BFF" w:rsidRDefault="009E3661" w:rsidP="00591695">
            <w:pPr>
              <w:pStyle w:val="Default"/>
              <w:jc w:val="both"/>
              <w:rPr>
                <w:b/>
                <w:szCs w:val="22"/>
                <w:highlight w:val="yellow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Poruchy srdca a srdcovej činnosti</w:t>
            </w:r>
            <w:r w:rsidRPr="00456BFF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530" w:type="dxa"/>
          </w:tcPr>
          <w:p w14:paraId="62F57EE5" w14:textId="77777777" w:rsidR="009E3661" w:rsidRPr="00456BFF" w:rsidRDefault="009E3661" w:rsidP="00591695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Neznáme</w:t>
            </w:r>
            <w:r w:rsidRPr="00456BFF">
              <w:rPr>
                <w:sz w:val="22"/>
                <w:szCs w:val="22"/>
                <w:lang w:val="sk-SK"/>
              </w:rPr>
              <w:t xml:space="preserve"> </w:t>
            </w:r>
          </w:p>
          <w:p w14:paraId="7F120E8C" w14:textId="77777777" w:rsidR="009E3661" w:rsidRPr="00456BFF" w:rsidRDefault="009E3661" w:rsidP="005916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Cs w:val="22"/>
                <w:highlight w:val="yellow"/>
                <w:lang w:val="sk-SK"/>
              </w:rPr>
            </w:pPr>
          </w:p>
        </w:tc>
        <w:tc>
          <w:tcPr>
            <w:tcW w:w="5605" w:type="dxa"/>
          </w:tcPr>
          <w:p w14:paraId="72C51E9F" w14:textId="77777777" w:rsidR="009E3661" w:rsidRPr="00456BFF" w:rsidRDefault="009E3661" w:rsidP="00591695">
            <w:pPr>
              <w:pStyle w:val="Default"/>
              <w:jc w:val="both"/>
              <w:rPr>
                <w:b/>
                <w:szCs w:val="22"/>
                <w:highlight w:val="yellow"/>
                <w:lang w:val="sk-SK"/>
              </w:rPr>
            </w:pPr>
            <w:r w:rsidRPr="00456BFF">
              <w:rPr>
                <w:sz w:val="22"/>
                <w:szCs w:val="22"/>
                <w:lang w:val="sk-SK"/>
              </w:rPr>
              <w:t>Angina pectoris, arytmia, palpi</w:t>
            </w:r>
            <w:r>
              <w:rPr>
                <w:sz w:val="22"/>
                <w:szCs w:val="22"/>
                <w:lang w:val="sk-SK"/>
              </w:rPr>
              <w:t>tácie</w:t>
            </w:r>
            <w:r w:rsidRPr="00456BFF">
              <w:rPr>
                <w:sz w:val="22"/>
                <w:szCs w:val="22"/>
                <w:lang w:val="sk-SK"/>
              </w:rPr>
              <w:t>, tachy</w:t>
            </w:r>
            <w:r>
              <w:rPr>
                <w:sz w:val="22"/>
                <w:szCs w:val="22"/>
                <w:lang w:val="sk-SK"/>
              </w:rPr>
              <w:t>k</w:t>
            </w:r>
            <w:r w:rsidRPr="00456BFF">
              <w:rPr>
                <w:sz w:val="22"/>
                <w:szCs w:val="22"/>
                <w:lang w:val="sk-SK"/>
              </w:rPr>
              <w:t xml:space="preserve">ardia, </w:t>
            </w:r>
            <w:r w:rsidRPr="00E7307E">
              <w:rPr>
                <w:sz w:val="22"/>
                <w:szCs w:val="22"/>
                <w:lang w:val="sk-SK"/>
              </w:rPr>
              <w:t>srdcové zlyhanie</w:t>
            </w:r>
            <w:r>
              <w:rPr>
                <w:sz w:val="22"/>
                <w:szCs w:val="22"/>
                <w:lang w:val="sk-SK"/>
              </w:rPr>
              <w:t>, infarkt myokardu</w:t>
            </w:r>
          </w:p>
        </w:tc>
      </w:tr>
      <w:tr w:rsidR="009E3661" w:rsidRPr="00456BFF" w14:paraId="32D3DED4" w14:textId="77777777" w:rsidTr="00591695">
        <w:tc>
          <w:tcPr>
            <w:tcW w:w="2448" w:type="dxa"/>
          </w:tcPr>
          <w:p w14:paraId="72E0A0B8" w14:textId="77777777" w:rsidR="009E3661" w:rsidRPr="00456BFF" w:rsidRDefault="009E3661" w:rsidP="00591695">
            <w:pPr>
              <w:pStyle w:val="Default"/>
              <w:jc w:val="both"/>
              <w:rPr>
                <w:b/>
                <w:szCs w:val="22"/>
                <w:highlight w:val="yellow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Poruchy ciev</w:t>
            </w:r>
            <w:r w:rsidRPr="00456BFF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530" w:type="dxa"/>
          </w:tcPr>
          <w:p w14:paraId="2E82A57C" w14:textId="77777777" w:rsidR="009E3661" w:rsidRPr="00456BFF" w:rsidRDefault="009E3661" w:rsidP="00591695">
            <w:pPr>
              <w:pStyle w:val="Default"/>
              <w:jc w:val="both"/>
              <w:rPr>
                <w:b/>
                <w:szCs w:val="22"/>
                <w:highlight w:val="yellow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Neznáme</w:t>
            </w:r>
            <w:r w:rsidRPr="00456BFF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5605" w:type="dxa"/>
          </w:tcPr>
          <w:p w14:paraId="65135C96" w14:textId="77777777" w:rsidR="009E3661" w:rsidRPr="00456BFF" w:rsidRDefault="009E3661" w:rsidP="00591695">
            <w:pPr>
              <w:pStyle w:val="Default"/>
              <w:jc w:val="both"/>
              <w:rPr>
                <w:b/>
                <w:szCs w:val="22"/>
                <w:highlight w:val="yellow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Návaly tepla, hypertenzia</w:t>
            </w:r>
          </w:p>
        </w:tc>
      </w:tr>
      <w:tr w:rsidR="009E3661" w:rsidRPr="00456BFF" w14:paraId="04EC7668" w14:textId="77777777" w:rsidTr="00591695">
        <w:tc>
          <w:tcPr>
            <w:tcW w:w="2448" w:type="dxa"/>
          </w:tcPr>
          <w:p w14:paraId="051839EB" w14:textId="77777777" w:rsidR="009E3661" w:rsidRPr="00456BFF" w:rsidRDefault="009E3661" w:rsidP="00591695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 w:rsidRPr="005A408A">
              <w:rPr>
                <w:sz w:val="22"/>
                <w:szCs w:val="22"/>
                <w:lang w:val="sk-SK"/>
              </w:rPr>
              <w:t>Poruchy dýchacej sústavy, hrudníka a mediastína</w:t>
            </w:r>
          </w:p>
        </w:tc>
        <w:tc>
          <w:tcPr>
            <w:tcW w:w="1530" w:type="dxa"/>
          </w:tcPr>
          <w:p w14:paraId="0D72AA1E" w14:textId="77777777" w:rsidR="009E3661" w:rsidRPr="00456BFF" w:rsidRDefault="009E3661" w:rsidP="00591695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Neznáme</w:t>
            </w:r>
            <w:r w:rsidRPr="00456BFF">
              <w:rPr>
                <w:sz w:val="22"/>
                <w:szCs w:val="22"/>
                <w:lang w:val="sk-SK"/>
              </w:rPr>
              <w:t xml:space="preserve"> </w:t>
            </w:r>
          </w:p>
          <w:p w14:paraId="02F4E7CA" w14:textId="77777777" w:rsidR="009E3661" w:rsidRPr="00456BFF" w:rsidRDefault="009E3661" w:rsidP="005916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color w:val="000000"/>
                <w:szCs w:val="22"/>
                <w:lang w:val="sk-SK"/>
              </w:rPr>
            </w:pPr>
          </w:p>
        </w:tc>
        <w:tc>
          <w:tcPr>
            <w:tcW w:w="5605" w:type="dxa"/>
          </w:tcPr>
          <w:p w14:paraId="086CEE47" w14:textId="77777777" w:rsidR="009E3661" w:rsidRPr="00456BFF" w:rsidRDefault="009E3661" w:rsidP="00591695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 w:rsidRPr="00456BFF">
              <w:rPr>
                <w:sz w:val="22"/>
                <w:szCs w:val="22"/>
                <w:lang w:val="sk-SK"/>
              </w:rPr>
              <w:t>Dyspnoe</w:t>
            </w:r>
          </w:p>
          <w:p w14:paraId="55FDCE9E" w14:textId="77777777" w:rsidR="009E3661" w:rsidRPr="00456BFF" w:rsidRDefault="009E3661" w:rsidP="005916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color w:val="000000"/>
                <w:szCs w:val="22"/>
                <w:lang w:val="sk-SK"/>
              </w:rPr>
            </w:pPr>
          </w:p>
        </w:tc>
      </w:tr>
      <w:tr w:rsidR="009E3661" w:rsidRPr="00456BFF" w14:paraId="061233CF" w14:textId="77777777" w:rsidTr="00591695">
        <w:tc>
          <w:tcPr>
            <w:tcW w:w="2448" w:type="dxa"/>
          </w:tcPr>
          <w:p w14:paraId="7E87375D" w14:textId="77777777" w:rsidR="009E3661" w:rsidRPr="00456BFF" w:rsidRDefault="009E3661" w:rsidP="00591695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Poruchy gastrointesinálneho traktu</w:t>
            </w:r>
          </w:p>
        </w:tc>
        <w:tc>
          <w:tcPr>
            <w:tcW w:w="1530" w:type="dxa"/>
          </w:tcPr>
          <w:p w14:paraId="2463E4D8" w14:textId="77777777" w:rsidR="009E3661" w:rsidRPr="00456BFF" w:rsidRDefault="009E3661" w:rsidP="00591695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Neznáme</w:t>
            </w:r>
            <w:r w:rsidRPr="00456BFF">
              <w:rPr>
                <w:sz w:val="22"/>
                <w:szCs w:val="22"/>
                <w:lang w:val="sk-SK"/>
              </w:rPr>
              <w:t xml:space="preserve"> </w:t>
            </w:r>
          </w:p>
          <w:p w14:paraId="274F0843" w14:textId="77777777" w:rsidR="009E3661" w:rsidRPr="00456BFF" w:rsidRDefault="009E3661" w:rsidP="005916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color w:val="000000"/>
                <w:szCs w:val="22"/>
                <w:lang w:val="sk-SK"/>
              </w:rPr>
            </w:pPr>
          </w:p>
        </w:tc>
        <w:tc>
          <w:tcPr>
            <w:tcW w:w="5605" w:type="dxa"/>
          </w:tcPr>
          <w:p w14:paraId="1DFCCB5B" w14:textId="77777777" w:rsidR="009E3661" w:rsidRPr="00456BFF" w:rsidRDefault="009E3661" w:rsidP="00591695">
            <w:pPr>
              <w:pStyle w:val="Default"/>
              <w:jc w:val="both"/>
              <w:rPr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Bolesť brucha, nauzea, hnačka, vracanie</w:t>
            </w:r>
          </w:p>
        </w:tc>
      </w:tr>
      <w:tr w:rsidR="009E3661" w:rsidRPr="00456BFF" w14:paraId="716A171C" w14:textId="77777777" w:rsidTr="00591695">
        <w:tc>
          <w:tcPr>
            <w:tcW w:w="2448" w:type="dxa"/>
          </w:tcPr>
          <w:p w14:paraId="035A4633" w14:textId="77777777" w:rsidR="009E3661" w:rsidRPr="00456BFF" w:rsidRDefault="009E3661" w:rsidP="00591695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Poruchy kože a podkožného tkaniva</w:t>
            </w:r>
            <w:r w:rsidRPr="00456BFF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530" w:type="dxa"/>
          </w:tcPr>
          <w:p w14:paraId="3943B645" w14:textId="77777777" w:rsidR="009E3661" w:rsidRPr="00456BFF" w:rsidRDefault="009E3661" w:rsidP="00591695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Neznáme</w:t>
            </w:r>
            <w:r w:rsidRPr="00456BFF">
              <w:rPr>
                <w:sz w:val="22"/>
                <w:szCs w:val="22"/>
                <w:lang w:val="sk-SK"/>
              </w:rPr>
              <w:t xml:space="preserve"> </w:t>
            </w:r>
          </w:p>
          <w:p w14:paraId="75B44131" w14:textId="77777777" w:rsidR="009E3661" w:rsidRPr="00456BFF" w:rsidRDefault="009E3661" w:rsidP="005916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color w:val="000000"/>
                <w:szCs w:val="22"/>
                <w:lang w:val="sk-SK"/>
              </w:rPr>
            </w:pPr>
          </w:p>
        </w:tc>
        <w:tc>
          <w:tcPr>
            <w:tcW w:w="5605" w:type="dxa"/>
          </w:tcPr>
          <w:p w14:paraId="1F35E39F" w14:textId="77777777" w:rsidR="009E3661" w:rsidRPr="00456BFF" w:rsidRDefault="009E3661" w:rsidP="005916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color w:val="000000"/>
                <w:szCs w:val="22"/>
                <w:lang w:val="sk-SK"/>
              </w:rPr>
            </w:pPr>
            <w:r w:rsidRPr="00E7307E">
              <w:rPr>
                <w:rFonts w:eastAsia="SimSun"/>
                <w:color w:val="000000"/>
                <w:szCs w:val="22"/>
                <w:lang w:val="sk-SK"/>
              </w:rPr>
              <w:t>Hyperhydróza</w:t>
            </w:r>
            <w:r>
              <w:rPr>
                <w:rFonts w:eastAsia="SimSun"/>
                <w:color w:val="000000"/>
                <w:szCs w:val="22"/>
                <w:lang w:val="sk-SK"/>
              </w:rPr>
              <w:t>, angioedém, vyrážka, urtikária</w:t>
            </w:r>
          </w:p>
        </w:tc>
      </w:tr>
      <w:tr w:rsidR="009E3661" w:rsidRPr="00456BFF" w14:paraId="68DE84D2" w14:textId="77777777" w:rsidTr="00591695">
        <w:tc>
          <w:tcPr>
            <w:tcW w:w="2448" w:type="dxa"/>
          </w:tcPr>
          <w:p w14:paraId="0E0590E6" w14:textId="77777777" w:rsidR="009E3661" w:rsidRPr="00456BFF" w:rsidRDefault="009E3661" w:rsidP="00591695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 w:rsidRPr="005A408A">
              <w:rPr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1530" w:type="dxa"/>
          </w:tcPr>
          <w:p w14:paraId="0694879F" w14:textId="77777777" w:rsidR="009E3661" w:rsidRPr="00456BFF" w:rsidRDefault="009E3661" w:rsidP="00591695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Neznáme</w:t>
            </w:r>
            <w:r w:rsidRPr="00456BFF">
              <w:rPr>
                <w:sz w:val="22"/>
                <w:szCs w:val="22"/>
                <w:lang w:val="sk-SK"/>
              </w:rPr>
              <w:t xml:space="preserve"> </w:t>
            </w:r>
          </w:p>
          <w:p w14:paraId="0B239DDB" w14:textId="77777777" w:rsidR="009E3661" w:rsidRPr="00456BFF" w:rsidRDefault="009E3661" w:rsidP="005916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color w:val="000000"/>
                <w:szCs w:val="22"/>
                <w:lang w:val="sk-SK"/>
              </w:rPr>
            </w:pPr>
          </w:p>
        </w:tc>
        <w:tc>
          <w:tcPr>
            <w:tcW w:w="5605" w:type="dxa"/>
          </w:tcPr>
          <w:p w14:paraId="706B8BC9" w14:textId="77777777" w:rsidR="009E3661" w:rsidRPr="00456BFF" w:rsidRDefault="009E3661" w:rsidP="005916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color w:val="000000"/>
                <w:szCs w:val="22"/>
                <w:lang w:val="sk-SK"/>
              </w:rPr>
            </w:pPr>
            <w:r>
              <w:rPr>
                <w:rFonts w:eastAsia="SimSun"/>
                <w:color w:val="000000"/>
                <w:szCs w:val="22"/>
                <w:lang w:val="sk-SK"/>
              </w:rPr>
              <w:t>S</w:t>
            </w:r>
            <w:r w:rsidRPr="00E7307E">
              <w:rPr>
                <w:rFonts w:eastAsia="SimSun"/>
                <w:color w:val="000000"/>
                <w:szCs w:val="22"/>
                <w:lang w:val="sk-SK"/>
              </w:rPr>
              <w:t>valová slabosť</w:t>
            </w:r>
            <w:r>
              <w:rPr>
                <w:rFonts w:eastAsia="SimSun"/>
                <w:color w:val="000000"/>
                <w:szCs w:val="22"/>
                <w:lang w:val="sk-SK"/>
              </w:rPr>
              <w:t>,</w:t>
            </w:r>
            <w:r w:rsidRPr="00E7307E">
              <w:rPr>
                <w:rFonts w:eastAsia="SimSun"/>
                <w:color w:val="000000"/>
                <w:szCs w:val="22"/>
                <w:lang w:val="sk-SK"/>
              </w:rPr>
              <w:t xml:space="preserve"> svalové kŕče </w:t>
            </w:r>
          </w:p>
        </w:tc>
      </w:tr>
      <w:tr w:rsidR="009E3661" w:rsidRPr="00456BFF" w14:paraId="6D415773" w14:textId="77777777" w:rsidTr="00591695">
        <w:tc>
          <w:tcPr>
            <w:tcW w:w="2448" w:type="dxa"/>
          </w:tcPr>
          <w:p w14:paraId="3B9A4E39" w14:textId="77777777" w:rsidR="009E3661" w:rsidRPr="00456BFF" w:rsidRDefault="009E3661" w:rsidP="00591695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 w:rsidRPr="005A408A">
              <w:rPr>
                <w:sz w:val="22"/>
                <w:szCs w:val="22"/>
                <w:lang w:val="sk-SK"/>
              </w:rPr>
              <w:t>Poruchy reprodukčného systému a prsníkov</w:t>
            </w:r>
          </w:p>
        </w:tc>
        <w:tc>
          <w:tcPr>
            <w:tcW w:w="1530" w:type="dxa"/>
          </w:tcPr>
          <w:p w14:paraId="29B7A3B2" w14:textId="77777777" w:rsidR="009E3661" w:rsidRPr="00456BFF" w:rsidRDefault="009E3661" w:rsidP="00591695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Neznáme</w:t>
            </w:r>
            <w:r w:rsidRPr="00456BFF">
              <w:rPr>
                <w:sz w:val="22"/>
                <w:szCs w:val="22"/>
                <w:lang w:val="sk-SK"/>
              </w:rPr>
              <w:t xml:space="preserve"> </w:t>
            </w:r>
          </w:p>
          <w:p w14:paraId="050FA5FB" w14:textId="77777777" w:rsidR="009E3661" w:rsidRPr="00456BFF" w:rsidRDefault="009E3661" w:rsidP="005916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color w:val="000000"/>
                <w:szCs w:val="22"/>
                <w:lang w:val="sk-SK"/>
              </w:rPr>
            </w:pPr>
          </w:p>
        </w:tc>
        <w:tc>
          <w:tcPr>
            <w:tcW w:w="5605" w:type="dxa"/>
          </w:tcPr>
          <w:p w14:paraId="445F3825" w14:textId="77777777" w:rsidR="009E3661" w:rsidRPr="00456BFF" w:rsidRDefault="009E3661" w:rsidP="00591695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Nepravidelná menštruácia </w:t>
            </w:r>
          </w:p>
          <w:p w14:paraId="13F9B27E" w14:textId="77777777" w:rsidR="009E3661" w:rsidRPr="00456BFF" w:rsidRDefault="009E3661" w:rsidP="005916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color w:val="000000"/>
                <w:szCs w:val="22"/>
                <w:lang w:val="sk-SK"/>
              </w:rPr>
            </w:pPr>
          </w:p>
        </w:tc>
      </w:tr>
      <w:tr w:rsidR="009E3661" w:rsidRPr="00456BFF" w14:paraId="0BF1CEF6" w14:textId="77777777" w:rsidTr="00591695">
        <w:tc>
          <w:tcPr>
            <w:tcW w:w="2448" w:type="dxa"/>
          </w:tcPr>
          <w:p w14:paraId="7EC4C225" w14:textId="77777777" w:rsidR="009E3661" w:rsidRPr="00456BFF" w:rsidRDefault="009E3661" w:rsidP="00591695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 w:rsidRPr="005A408A">
              <w:rPr>
                <w:sz w:val="22"/>
                <w:szCs w:val="22"/>
                <w:lang w:val="sk-SK"/>
              </w:rPr>
              <w:t>Celkové poruchy a reakcie v mieste podania</w:t>
            </w:r>
          </w:p>
        </w:tc>
        <w:tc>
          <w:tcPr>
            <w:tcW w:w="1530" w:type="dxa"/>
          </w:tcPr>
          <w:p w14:paraId="5D5910E2" w14:textId="77777777" w:rsidR="009E3661" w:rsidRPr="00456BFF" w:rsidRDefault="009E3661" w:rsidP="00591695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Neznáme</w:t>
            </w:r>
            <w:r w:rsidRPr="00456BFF">
              <w:rPr>
                <w:sz w:val="22"/>
                <w:szCs w:val="22"/>
                <w:lang w:val="sk-SK"/>
              </w:rPr>
              <w:t xml:space="preserve"> </w:t>
            </w:r>
          </w:p>
          <w:p w14:paraId="3CE9894A" w14:textId="77777777" w:rsidR="009E3661" w:rsidRPr="00456BFF" w:rsidRDefault="009E3661" w:rsidP="00591695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5605" w:type="dxa"/>
          </w:tcPr>
          <w:p w14:paraId="6644B7E5" w14:textId="77777777" w:rsidR="009E3661" w:rsidRPr="00456BFF" w:rsidRDefault="009E3661" w:rsidP="00591695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 w:rsidRPr="00456BFF">
              <w:rPr>
                <w:sz w:val="22"/>
                <w:szCs w:val="22"/>
                <w:lang w:val="sk-SK"/>
              </w:rPr>
              <w:t xml:space="preserve">Pyrexia </w:t>
            </w:r>
          </w:p>
          <w:p w14:paraId="754FA820" w14:textId="77777777" w:rsidR="009E3661" w:rsidRPr="00456BFF" w:rsidRDefault="009E3661" w:rsidP="00591695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</w:p>
        </w:tc>
      </w:tr>
      <w:tr w:rsidR="009E3661" w:rsidRPr="00456BFF" w14:paraId="3D9FE262" w14:textId="77777777" w:rsidTr="00591695">
        <w:tc>
          <w:tcPr>
            <w:tcW w:w="2448" w:type="dxa"/>
          </w:tcPr>
          <w:p w14:paraId="569D663E" w14:textId="77777777" w:rsidR="009E3661" w:rsidRPr="00456BFF" w:rsidRDefault="009E3661" w:rsidP="00591695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Laboratórne a funkčné vyšetrenia</w:t>
            </w:r>
          </w:p>
          <w:p w14:paraId="6F683F2C" w14:textId="77777777" w:rsidR="009E3661" w:rsidRPr="00456BFF" w:rsidRDefault="009E3661" w:rsidP="00591695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1530" w:type="dxa"/>
          </w:tcPr>
          <w:p w14:paraId="0D4C7558" w14:textId="77777777" w:rsidR="009E3661" w:rsidRPr="00456BFF" w:rsidRDefault="009E3661" w:rsidP="00591695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Neznáme</w:t>
            </w:r>
            <w:r w:rsidRPr="00456BFF">
              <w:rPr>
                <w:sz w:val="22"/>
                <w:szCs w:val="22"/>
                <w:lang w:val="sk-SK"/>
              </w:rPr>
              <w:t xml:space="preserve"> </w:t>
            </w:r>
          </w:p>
          <w:p w14:paraId="493E7C45" w14:textId="77777777" w:rsidR="009E3661" w:rsidRPr="00456BFF" w:rsidRDefault="009E3661" w:rsidP="00591695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5605" w:type="dxa"/>
          </w:tcPr>
          <w:p w14:paraId="7D3251F5" w14:textId="77777777" w:rsidR="009E3661" w:rsidRPr="00456BFF" w:rsidRDefault="009E3661" w:rsidP="00591695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Úbytok telesnej hmotnosti </w:t>
            </w:r>
          </w:p>
          <w:p w14:paraId="0E7F1D9E" w14:textId="77777777" w:rsidR="009E3661" w:rsidRPr="00456BFF" w:rsidRDefault="009E3661" w:rsidP="00591695">
            <w:pPr>
              <w:pStyle w:val="Default"/>
              <w:jc w:val="both"/>
              <w:rPr>
                <w:sz w:val="22"/>
                <w:szCs w:val="22"/>
                <w:lang w:val="sk-SK"/>
              </w:rPr>
            </w:pPr>
          </w:p>
        </w:tc>
      </w:tr>
    </w:tbl>
    <w:p w14:paraId="39BC94FB" w14:textId="77777777" w:rsidR="009E3661" w:rsidRPr="00456BFF" w:rsidRDefault="009E3661" w:rsidP="009E3661">
      <w:pPr>
        <w:autoSpaceDE w:val="0"/>
        <w:autoSpaceDN w:val="0"/>
        <w:adjustRightInd w:val="0"/>
        <w:spacing w:line="240" w:lineRule="auto"/>
        <w:jc w:val="both"/>
        <w:rPr>
          <w:b/>
          <w:szCs w:val="22"/>
          <w:highlight w:val="yellow"/>
          <w:lang w:val="sk-SK"/>
        </w:rPr>
      </w:pPr>
    </w:p>
    <w:p w14:paraId="12AC30B0" w14:textId="77777777" w:rsidR="009E3661" w:rsidRPr="00456BFF" w:rsidRDefault="009E3661" w:rsidP="009E3661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FB7674">
        <w:rPr>
          <w:szCs w:val="22"/>
          <w:u w:val="single"/>
          <w:lang w:val="sk-SK"/>
        </w:rPr>
        <w:t>Hlásenie podozrení na nežiaduce reakcie</w:t>
      </w:r>
    </w:p>
    <w:p w14:paraId="72D478B2" w14:textId="31371646" w:rsidR="009E3661" w:rsidRPr="00456BFF" w:rsidRDefault="009E3661" w:rsidP="009E3661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 w:rsidRPr="00FB7674">
        <w:rPr>
          <w:szCs w:val="22"/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="00B1106B" w:rsidRPr="00853C5F">
        <w:rPr>
          <w:highlight w:val="lightGray"/>
        </w:rPr>
        <w:t>národn</w:t>
      </w:r>
      <w:r w:rsidR="00B1106B">
        <w:rPr>
          <w:highlight w:val="lightGray"/>
        </w:rPr>
        <w:t>é</w:t>
      </w:r>
      <w:r w:rsidR="00B1106B" w:rsidRPr="00853C5F">
        <w:rPr>
          <w:highlight w:val="lightGray"/>
        </w:rPr>
        <w:t xml:space="preserve"> </w:t>
      </w:r>
      <w:r w:rsidR="00B1106B">
        <w:rPr>
          <w:highlight w:val="lightGray"/>
        </w:rPr>
        <w:t>centrum</w:t>
      </w:r>
      <w:r w:rsidR="00B1106B" w:rsidRPr="00853C5F">
        <w:rPr>
          <w:highlight w:val="lightGray"/>
        </w:rPr>
        <w:t xml:space="preserve"> hlásenia uveden</w:t>
      </w:r>
      <w:r w:rsidR="00B1106B">
        <w:rPr>
          <w:highlight w:val="lightGray"/>
        </w:rPr>
        <w:t>é</w:t>
      </w:r>
      <w:r w:rsidR="00B1106B" w:rsidRPr="00853C5F">
        <w:rPr>
          <w:highlight w:val="lightGray"/>
        </w:rPr>
        <w:t xml:space="preserve"> v </w:t>
      </w:r>
      <w:hyperlink r:id="rId8" w:history="1">
        <w:r w:rsidR="00B1106B" w:rsidRPr="00085939">
          <w:rPr>
            <w:rStyle w:val="Hypertextovprepojenie1"/>
            <w:highlight w:val="lightGray"/>
          </w:rPr>
          <w:t>Prílohe V</w:t>
        </w:r>
      </w:hyperlink>
      <w:r w:rsidR="00B1106B" w:rsidRPr="00BF5AB0">
        <w:rPr>
          <w:color w:val="008000"/>
        </w:rPr>
        <w:t>*</w:t>
      </w:r>
      <w:r w:rsidRPr="00456BFF">
        <w:rPr>
          <w:szCs w:val="22"/>
          <w:lang w:val="sk-SK"/>
        </w:rPr>
        <w:t>.</w:t>
      </w:r>
    </w:p>
    <w:p w14:paraId="5C273DAC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6875D6CF" w14:textId="77777777" w:rsidR="009E3661" w:rsidRPr="00456BFF" w:rsidRDefault="009E3661" w:rsidP="009E3661">
      <w:pPr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456BFF">
        <w:rPr>
          <w:b/>
          <w:noProof/>
          <w:szCs w:val="22"/>
          <w:lang w:val="sk-SK"/>
        </w:rPr>
        <w:t>4.9</w:t>
      </w:r>
      <w:r w:rsidRPr="00456BFF">
        <w:rPr>
          <w:b/>
          <w:noProof/>
          <w:szCs w:val="22"/>
          <w:lang w:val="sk-SK"/>
        </w:rPr>
        <w:tab/>
      </w:r>
      <w:r w:rsidRPr="00B2021C">
        <w:rPr>
          <w:b/>
          <w:noProof/>
          <w:szCs w:val="22"/>
          <w:lang w:val="sk-SK"/>
        </w:rPr>
        <w:t>Predávkovanie</w:t>
      </w:r>
    </w:p>
    <w:p w14:paraId="0BBEAF8D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2D615A5D" w14:textId="77777777" w:rsidR="009E3661" w:rsidRPr="004A7462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  <w:r w:rsidRPr="004A7462">
        <w:rPr>
          <w:rFonts w:eastAsia="SimSun"/>
          <w:szCs w:val="22"/>
          <w:lang w:val="sk-SK"/>
        </w:rPr>
        <w:t>Zvýšená hladina T3 je spoľahlivejším ukazovateľom predávkovania než zvýšené hladiny T</w:t>
      </w:r>
      <w:r w:rsidRPr="002E6FA2">
        <w:rPr>
          <w:rFonts w:eastAsia="SimSun"/>
          <w:szCs w:val="22"/>
          <w:lang w:val="sk-SK"/>
        </w:rPr>
        <w:t>4</w:t>
      </w:r>
      <w:r w:rsidRPr="004A7462">
        <w:rPr>
          <w:rFonts w:eastAsia="SimSun"/>
          <w:szCs w:val="22"/>
          <w:lang w:val="sk-SK"/>
        </w:rPr>
        <w:t xml:space="preserve"> alebo fT</w:t>
      </w:r>
      <w:r w:rsidRPr="004A7462">
        <w:rPr>
          <w:rFonts w:eastAsia="SimSun"/>
          <w:szCs w:val="22"/>
          <w:vertAlign w:val="subscript"/>
          <w:lang w:val="sk-SK"/>
        </w:rPr>
        <w:t>4</w:t>
      </w:r>
      <w:r w:rsidRPr="004A7462">
        <w:rPr>
          <w:rFonts w:eastAsia="SimSun"/>
          <w:szCs w:val="22"/>
          <w:lang w:val="sk-SK"/>
        </w:rPr>
        <w:t>.</w:t>
      </w:r>
    </w:p>
    <w:p w14:paraId="0AD466B9" w14:textId="77777777" w:rsidR="009E3661" w:rsidRPr="004A7462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  <w:r w:rsidRPr="004A7462">
        <w:rPr>
          <w:rFonts w:eastAsia="SimSun"/>
          <w:szCs w:val="22"/>
          <w:lang w:val="sk-SK"/>
        </w:rPr>
        <w:t>Po predávkovaní nastupujú príznaky prudkého zvýšenia rýchlosti metabolizmu (pozri časť 4.8.).</w:t>
      </w:r>
    </w:p>
    <w:p w14:paraId="11757EE2" w14:textId="77777777" w:rsidR="009E3661" w:rsidRPr="004A7462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  <w:r w:rsidRPr="004A7462">
        <w:rPr>
          <w:rFonts w:eastAsia="SimSun"/>
          <w:szCs w:val="22"/>
          <w:lang w:val="sk-SK"/>
        </w:rPr>
        <w:t>V závislosti od stupňa predávkovania sa odporúča prerušenie liečby tabletami a vykonanie vyšetrení.</w:t>
      </w:r>
    </w:p>
    <w:p w14:paraId="63915601" w14:textId="77777777" w:rsidR="009E3661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</w:p>
    <w:p w14:paraId="599D3D27" w14:textId="77777777" w:rsidR="009E3661" w:rsidRPr="004A7462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  <w:r w:rsidRPr="004A7462">
        <w:rPr>
          <w:rFonts w:eastAsia="SimSun"/>
          <w:szCs w:val="22"/>
          <w:lang w:val="sk-SK"/>
        </w:rPr>
        <w:t>Príznaky pozostávajúce z intenzívnych beta-sympatomimetických účinkov, ako sú tachykardia, úzkosť, nepokoj a hyperkinéza, možno zmierniť beta-blokátormi. Pri extrémne vysokých dávkach môže pomôcť plazmaferéza.</w:t>
      </w:r>
    </w:p>
    <w:p w14:paraId="003FE461" w14:textId="77777777" w:rsidR="009E3661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</w:p>
    <w:p w14:paraId="2E28FD3C" w14:textId="77777777" w:rsidR="009E3661" w:rsidRPr="004A7462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  <w:r w:rsidRPr="004A7462">
        <w:rPr>
          <w:rFonts w:eastAsia="SimSun"/>
          <w:szCs w:val="22"/>
          <w:lang w:val="sk-SK"/>
        </w:rPr>
        <w:t xml:space="preserve">U predisponovaných osôb boli hlásené </w:t>
      </w:r>
      <w:r>
        <w:rPr>
          <w:rFonts w:eastAsia="SimSun"/>
          <w:szCs w:val="22"/>
          <w:lang w:val="sk-SK"/>
        </w:rPr>
        <w:t>ojedinelé</w:t>
      </w:r>
      <w:r w:rsidRPr="004A7462">
        <w:rPr>
          <w:rFonts w:eastAsia="SimSun"/>
          <w:szCs w:val="22"/>
          <w:lang w:val="sk-SK"/>
        </w:rPr>
        <w:t xml:space="preserve"> prípady kŕčov po prekročení individuálneho tolerančného limitu dávky.</w:t>
      </w:r>
    </w:p>
    <w:p w14:paraId="7587AFC7" w14:textId="77777777" w:rsidR="009E3661" w:rsidRPr="004A7462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  <w:r w:rsidRPr="004A7462">
        <w:rPr>
          <w:rFonts w:eastAsia="SimSun"/>
          <w:szCs w:val="22"/>
          <w:lang w:val="sk-SK"/>
        </w:rPr>
        <w:t>Predávkovanie levotyroxínom môže viesť k príznakom hypertyreózy a mohlo by viesť k akútnej psychóze, predovšetkým u pacientov s rizikom psychotických porúch.</w:t>
      </w:r>
    </w:p>
    <w:p w14:paraId="716F4A5E" w14:textId="77777777" w:rsidR="009E3661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/>
        </w:rPr>
      </w:pPr>
    </w:p>
    <w:p w14:paraId="5584F9B3" w14:textId="77777777" w:rsidR="009E3661" w:rsidRPr="00456BFF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4A7462">
        <w:rPr>
          <w:rFonts w:eastAsia="SimSun"/>
          <w:szCs w:val="22"/>
          <w:lang w:val="sk-SK"/>
        </w:rPr>
        <w:t>U pacientov, ktorí dlhoročne zneužívali levotyroxín, bolo hlásených niekoľko prípadov náhleho zastavenia srdca</w:t>
      </w:r>
      <w:r w:rsidRPr="00456BFF">
        <w:rPr>
          <w:rFonts w:eastAsia="SimSun"/>
          <w:szCs w:val="22"/>
          <w:lang w:val="sk-SK"/>
        </w:rPr>
        <w:t>.</w:t>
      </w:r>
    </w:p>
    <w:p w14:paraId="696C241D" w14:textId="77777777" w:rsidR="009E3661" w:rsidRPr="00456BFF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4B24F70" w14:textId="77777777" w:rsidR="009E3661" w:rsidRPr="00456BFF" w:rsidRDefault="009E3661" w:rsidP="009E36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79E72E5" w14:textId="77777777" w:rsidR="009E3661" w:rsidRPr="00456BFF" w:rsidRDefault="009E3661" w:rsidP="009E3661">
      <w:pPr>
        <w:suppressAutoHyphens/>
        <w:spacing w:line="240" w:lineRule="auto"/>
        <w:ind w:left="567" w:hanging="567"/>
        <w:rPr>
          <w:szCs w:val="22"/>
          <w:lang w:val="sk-SK"/>
        </w:rPr>
      </w:pPr>
      <w:r w:rsidRPr="00456BFF">
        <w:rPr>
          <w:b/>
          <w:szCs w:val="22"/>
          <w:lang w:val="sk-SK"/>
        </w:rPr>
        <w:t>5.</w:t>
      </w:r>
      <w:r w:rsidRPr="00456BFF">
        <w:rPr>
          <w:b/>
          <w:szCs w:val="22"/>
          <w:lang w:val="sk-SK"/>
        </w:rPr>
        <w:tab/>
      </w:r>
      <w:r w:rsidRPr="00CB321E">
        <w:rPr>
          <w:b/>
          <w:szCs w:val="22"/>
          <w:lang w:val="sk-SK"/>
        </w:rPr>
        <w:t>FARMAKOLOGICKÉ VLASTNOSTI</w:t>
      </w:r>
    </w:p>
    <w:p w14:paraId="14AABB19" w14:textId="77777777" w:rsidR="009E3661" w:rsidRPr="00456BFF" w:rsidRDefault="009E3661" w:rsidP="009E3661">
      <w:pPr>
        <w:spacing w:line="240" w:lineRule="auto"/>
        <w:rPr>
          <w:szCs w:val="22"/>
          <w:lang w:val="sk-SK"/>
        </w:rPr>
      </w:pPr>
    </w:p>
    <w:p w14:paraId="74D863F4" w14:textId="77777777" w:rsidR="009E3661" w:rsidRPr="00456BFF" w:rsidRDefault="009E3661" w:rsidP="009E3661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456BFF">
        <w:rPr>
          <w:b/>
          <w:szCs w:val="22"/>
          <w:lang w:val="sk-SK"/>
        </w:rPr>
        <w:t xml:space="preserve">5.1 </w:t>
      </w:r>
      <w:r w:rsidRPr="00456BFF">
        <w:rPr>
          <w:b/>
          <w:szCs w:val="22"/>
          <w:lang w:val="sk-SK"/>
        </w:rPr>
        <w:tab/>
      </w:r>
      <w:r w:rsidRPr="00CB321E">
        <w:rPr>
          <w:b/>
          <w:szCs w:val="22"/>
          <w:lang w:val="sk-SK"/>
        </w:rPr>
        <w:t>Farmakodynamické vlastnosti</w:t>
      </w:r>
    </w:p>
    <w:p w14:paraId="2C7F787C" w14:textId="77777777" w:rsidR="009E3661" w:rsidRPr="00456BFF" w:rsidRDefault="009E3661" w:rsidP="009E3661">
      <w:pPr>
        <w:spacing w:line="240" w:lineRule="auto"/>
        <w:rPr>
          <w:szCs w:val="22"/>
          <w:lang w:val="sk-SK"/>
        </w:rPr>
      </w:pPr>
    </w:p>
    <w:p w14:paraId="313DF5CE" w14:textId="77777777" w:rsidR="009E3661" w:rsidRPr="00456BFF" w:rsidRDefault="009E3661" w:rsidP="009E3661">
      <w:pPr>
        <w:spacing w:line="240" w:lineRule="auto"/>
        <w:outlineLvl w:val="0"/>
        <w:rPr>
          <w:noProof/>
          <w:szCs w:val="22"/>
          <w:lang w:val="sk-SK"/>
        </w:rPr>
      </w:pPr>
      <w:r w:rsidRPr="00504BFF">
        <w:rPr>
          <w:szCs w:val="22"/>
          <w:lang w:val="sk-SK"/>
        </w:rPr>
        <w:t>Farmakoterapeutická skupina: liečba štítnej žľazy, hormóny štítnej žľazy</w:t>
      </w:r>
      <w:r w:rsidRPr="00456BFF">
        <w:rPr>
          <w:bCs/>
          <w:noProof/>
          <w:szCs w:val="22"/>
          <w:lang w:val="sk-SK"/>
        </w:rPr>
        <w:t xml:space="preserve">; </w:t>
      </w:r>
      <w:r w:rsidRPr="00504BFF">
        <w:rPr>
          <w:noProof/>
          <w:szCs w:val="22"/>
          <w:lang w:val="sk-SK"/>
        </w:rPr>
        <w:t>ATC kód</w:t>
      </w:r>
      <w:r w:rsidRPr="00456BFF">
        <w:rPr>
          <w:noProof/>
          <w:szCs w:val="22"/>
          <w:lang w:val="sk-SK"/>
        </w:rPr>
        <w:t xml:space="preserve">: </w:t>
      </w:r>
      <w:r w:rsidRPr="00456BFF">
        <w:rPr>
          <w:bCs/>
          <w:noProof/>
          <w:szCs w:val="22"/>
          <w:lang w:val="sk-SK"/>
        </w:rPr>
        <w:t>H03A A01.</w:t>
      </w:r>
    </w:p>
    <w:p w14:paraId="310BA1A0" w14:textId="77777777" w:rsidR="009E3661" w:rsidRPr="00456BFF" w:rsidRDefault="009E3661" w:rsidP="009E3661">
      <w:pPr>
        <w:spacing w:line="240" w:lineRule="auto"/>
        <w:rPr>
          <w:noProof/>
          <w:szCs w:val="22"/>
          <w:highlight w:val="yellow"/>
          <w:lang w:val="sk-SK"/>
        </w:rPr>
      </w:pPr>
    </w:p>
    <w:p w14:paraId="26443D09" w14:textId="77777777" w:rsidR="009E3661" w:rsidRPr="00456BFF" w:rsidRDefault="009E3661" w:rsidP="009E3661">
      <w:pPr>
        <w:spacing w:line="240" w:lineRule="auto"/>
        <w:rPr>
          <w:noProof/>
          <w:szCs w:val="22"/>
          <w:highlight w:val="yellow"/>
          <w:lang w:val="sk-SK"/>
        </w:rPr>
      </w:pPr>
      <w:r w:rsidRPr="00D07D41">
        <w:rPr>
          <w:noProof/>
          <w:szCs w:val="22"/>
          <w:lang w:val="sk-SK"/>
        </w:rPr>
        <w:t>Syntetický levotyroxín, ktorý Levothyroxine</w:t>
      </w:r>
      <w:r>
        <w:rPr>
          <w:noProof/>
          <w:szCs w:val="22"/>
          <w:lang w:val="sk-SK"/>
        </w:rPr>
        <w:t xml:space="preserve"> Acccord</w:t>
      </w:r>
      <w:r w:rsidRPr="00D07D41">
        <w:rPr>
          <w:noProof/>
          <w:szCs w:val="22"/>
          <w:lang w:val="sk-SK"/>
        </w:rPr>
        <w:t xml:space="preserve"> obsahuje, má rovnaký účinok ako prirodzene sa vyskytujúci hlavný hormón vylučovaný štítnou žľazou. V periférnych orgánoch sa konvertuje na T3 a, rovnako ako endogénny hormón, vyvoláva špecifické účinky na T3 receptoroch. Telo nie je schopné rozlíšiť endogénny a exogénny levotyroxín</w:t>
      </w:r>
      <w:r w:rsidRPr="00456BFF">
        <w:rPr>
          <w:noProof/>
          <w:szCs w:val="22"/>
          <w:lang w:val="sk-SK"/>
        </w:rPr>
        <w:t>.</w:t>
      </w:r>
    </w:p>
    <w:p w14:paraId="22E647CE" w14:textId="77777777" w:rsidR="009E3661" w:rsidRPr="00456BFF" w:rsidRDefault="009E3661" w:rsidP="009E3661">
      <w:pPr>
        <w:autoSpaceDE w:val="0"/>
        <w:autoSpaceDN w:val="0"/>
        <w:adjustRightInd w:val="0"/>
        <w:spacing w:line="240" w:lineRule="auto"/>
        <w:rPr>
          <w:szCs w:val="22"/>
          <w:highlight w:val="yellow"/>
          <w:lang w:val="sk-SK"/>
        </w:rPr>
      </w:pPr>
    </w:p>
    <w:p w14:paraId="775D72E3" w14:textId="77777777" w:rsidR="009E3661" w:rsidRPr="00456BFF" w:rsidRDefault="009E3661" w:rsidP="009E3661">
      <w:pPr>
        <w:spacing w:line="240" w:lineRule="auto"/>
        <w:ind w:left="567" w:hanging="567"/>
        <w:outlineLvl w:val="0"/>
        <w:rPr>
          <w:b/>
          <w:noProof/>
          <w:szCs w:val="22"/>
          <w:lang w:val="sk-SK"/>
        </w:rPr>
      </w:pPr>
      <w:r w:rsidRPr="00456BFF">
        <w:rPr>
          <w:b/>
          <w:noProof/>
          <w:szCs w:val="22"/>
          <w:lang w:val="sk-SK"/>
        </w:rPr>
        <w:t>5.2</w:t>
      </w:r>
      <w:r w:rsidRPr="00456BFF">
        <w:rPr>
          <w:b/>
          <w:noProof/>
          <w:szCs w:val="22"/>
          <w:lang w:val="sk-SK"/>
        </w:rPr>
        <w:tab/>
      </w:r>
      <w:r w:rsidRPr="00F3712C">
        <w:rPr>
          <w:b/>
          <w:noProof/>
          <w:szCs w:val="22"/>
          <w:lang w:val="sk-SK"/>
        </w:rPr>
        <w:t>Farmakokinetické vlastnosti</w:t>
      </w:r>
    </w:p>
    <w:p w14:paraId="570D727D" w14:textId="77777777" w:rsidR="009E3661" w:rsidRPr="00456BFF" w:rsidRDefault="009E3661" w:rsidP="009E3661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</w:p>
    <w:p w14:paraId="39EE0159" w14:textId="77777777" w:rsidR="009E3661" w:rsidRPr="00456BFF" w:rsidRDefault="009E3661" w:rsidP="009E3661">
      <w:pPr>
        <w:pStyle w:val="Default"/>
        <w:rPr>
          <w:sz w:val="22"/>
          <w:szCs w:val="22"/>
          <w:lang w:val="sk-SK"/>
        </w:rPr>
      </w:pPr>
      <w:r w:rsidRPr="00456BFF">
        <w:rPr>
          <w:i/>
          <w:iCs/>
          <w:sz w:val="22"/>
          <w:szCs w:val="22"/>
          <w:lang w:val="sk-SK"/>
        </w:rPr>
        <w:t>Absorpci</w:t>
      </w:r>
      <w:r>
        <w:rPr>
          <w:i/>
          <w:iCs/>
          <w:sz w:val="22"/>
          <w:szCs w:val="22"/>
          <w:lang w:val="sk-SK"/>
        </w:rPr>
        <w:t>a</w:t>
      </w:r>
      <w:r w:rsidRPr="00456BFF">
        <w:rPr>
          <w:i/>
          <w:iCs/>
          <w:sz w:val="22"/>
          <w:szCs w:val="22"/>
          <w:lang w:val="sk-SK"/>
        </w:rPr>
        <w:t xml:space="preserve"> </w:t>
      </w:r>
    </w:p>
    <w:p w14:paraId="7AB6884C" w14:textId="7ED07FDD" w:rsidR="009E3661" w:rsidRDefault="009E3661" w:rsidP="009E3661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sk-SK"/>
        </w:rPr>
      </w:pPr>
      <w:r w:rsidRPr="00F3712C">
        <w:rPr>
          <w:iCs/>
          <w:noProof/>
          <w:szCs w:val="22"/>
          <w:lang w:val="sk-SK"/>
        </w:rPr>
        <w:t>Perorálne podaný levotyroxín sa vstrebáva takmer výlučne v hornej časti tenkého čreva</w:t>
      </w:r>
      <w:r w:rsidR="00B1106B">
        <w:rPr>
          <w:iCs/>
          <w:noProof/>
          <w:szCs w:val="22"/>
          <w:lang w:val="sk-SK"/>
        </w:rPr>
        <w:t>, ak sa podáva nalačno</w:t>
      </w:r>
      <w:r>
        <w:rPr>
          <w:iCs/>
          <w:noProof/>
          <w:szCs w:val="22"/>
          <w:lang w:val="sk-SK"/>
        </w:rPr>
        <w:t xml:space="preserve">. V závislosti </w:t>
      </w:r>
      <w:r w:rsidRPr="00F3712C">
        <w:rPr>
          <w:iCs/>
          <w:noProof/>
          <w:szCs w:val="22"/>
          <w:lang w:val="sk-SK"/>
        </w:rPr>
        <w:t xml:space="preserve">na </w:t>
      </w:r>
      <w:r>
        <w:rPr>
          <w:iCs/>
          <w:noProof/>
          <w:szCs w:val="22"/>
          <w:lang w:val="sk-SK"/>
        </w:rPr>
        <w:t xml:space="preserve">galenickom </w:t>
      </w:r>
      <w:r w:rsidRPr="00F3712C">
        <w:rPr>
          <w:iCs/>
          <w:noProof/>
          <w:szCs w:val="22"/>
          <w:lang w:val="sk-SK"/>
        </w:rPr>
        <w:t xml:space="preserve">zložení je absorpcia až </w:t>
      </w:r>
      <w:r w:rsidR="001F5125">
        <w:rPr>
          <w:iCs/>
          <w:noProof/>
          <w:szCs w:val="22"/>
          <w:lang w:val="sk-SK"/>
        </w:rPr>
        <w:t xml:space="preserve">do </w:t>
      </w:r>
      <w:r w:rsidRPr="00F3712C">
        <w:rPr>
          <w:iCs/>
          <w:noProof/>
          <w:szCs w:val="22"/>
          <w:lang w:val="sk-SK"/>
        </w:rPr>
        <w:t>≤</w:t>
      </w:r>
      <w:r>
        <w:rPr>
          <w:iCs/>
          <w:noProof/>
          <w:szCs w:val="22"/>
          <w:lang w:val="sk-SK"/>
        </w:rPr>
        <w:t xml:space="preserve"> </w:t>
      </w:r>
      <w:r w:rsidRPr="00F3712C">
        <w:rPr>
          <w:iCs/>
          <w:noProof/>
          <w:szCs w:val="22"/>
          <w:lang w:val="sk-SK"/>
        </w:rPr>
        <w:t>80 %</w:t>
      </w:r>
      <w:r>
        <w:rPr>
          <w:iCs/>
          <w:noProof/>
          <w:szCs w:val="22"/>
          <w:lang w:val="sk-SK"/>
        </w:rPr>
        <w:t xml:space="preserve">. </w:t>
      </w:r>
    </w:p>
    <w:p w14:paraId="4797CB10" w14:textId="77777777" w:rsidR="009E3661" w:rsidRPr="00F3712C" w:rsidRDefault="009E3661" w:rsidP="009E3661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sk-SK"/>
        </w:rPr>
      </w:pPr>
      <w:r w:rsidRPr="00F3712C">
        <w:rPr>
          <w:iCs/>
          <w:noProof/>
          <w:szCs w:val="22"/>
          <w:lang w:val="sk-SK"/>
        </w:rPr>
        <w:t>Užitie lieku súčasne s jedlom výrazne zníži absorpciu.</w:t>
      </w:r>
      <w:r>
        <w:rPr>
          <w:iCs/>
          <w:noProof/>
          <w:szCs w:val="22"/>
          <w:lang w:val="sk-SK"/>
        </w:rPr>
        <w:t xml:space="preserve"> </w:t>
      </w:r>
      <w:r w:rsidRPr="00F3712C">
        <w:rPr>
          <w:iCs/>
          <w:noProof/>
          <w:szCs w:val="22"/>
          <w:lang w:val="sk-SK"/>
        </w:rPr>
        <w:t xml:space="preserve">Maximálna plazmatická hladina sa dosiahne približne za 2 až 3 hodiny po užití. </w:t>
      </w:r>
    </w:p>
    <w:p w14:paraId="2555FD9B" w14:textId="77777777" w:rsidR="009E3661" w:rsidRPr="00456BFF" w:rsidRDefault="009E3661" w:rsidP="009E3661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sk-SK"/>
        </w:rPr>
      </w:pPr>
      <w:r w:rsidRPr="00F3712C">
        <w:rPr>
          <w:iCs/>
          <w:noProof/>
          <w:szCs w:val="22"/>
          <w:lang w:val="sk-SK"/>
        </w:rPr>
        <w:t xml:space="preserve">Po začiatku perorálnej </w:t>
      </w:r>
      <w:r>
        <w:rPr>
          <w:iCs/>
          <w:noProof/>
          <w:szCs w:val="22"/>
          <w:lang w:val="sk-SK"/>
        </w:rPr>
        <w:t>liečby</w:t>
      </w:r>
      <w:r w:rsidRPr="00F3712C">
        <w:rPr>
          <w:iCs/>
          <w:noProof/>
          <w:szCs w:val="22"/>
          <w:lang w:val="sk-SK"/>
        </w:rPr>
        <w:t xml:space="preserve"> sa dá liečebný efekt očakávať po 3 až 5 dňoch</w:t>
      </w:r>
      <w:r>
        <w:rPr>
          <w:iCs/>
          <w:noProof/>
          <w:szCs w:val="22"/>
          <w:lang w:val="sk-SK"/>
        </w:rPr>
        <w:t>.</w:t>
      </w:r>
    </w:p>
    <w:p w14:paraId="6EEEE026" w14:textId="77777777" w:rsidR="009E3661" w:rsidRPr="00456BFF" w:rsidRDefault="009E3661" w:rsidP="009E3661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sk-SK"/>
        </w:rPr>
      </w:pPr>
    </w:p>
    <w:p w14:paraId="5D19FE86" w14:textId="77777777" w:rsidR="009E3661" w:rsidRPr="00456BFF" w:rsidRDefault="009E3661" w:rsidP="009E3661">
      <w:pPr>
        <w:pStyle w:val="Default"/>
        <w:rPr>
          <w:sz w:val="22"/>
          <w:szCs w:val="22"/>
          <w:lang w:val="sk-SK"/>
        </w:rPr>
      </w:pPr>
      <w:r w:rsidRPr="00456BFF">
        <w:rPr>
          <w:i/>
          <w:iCs/>
          <w:sz w:val="22"/>
          <w:szCs w:val="22"/>
          <w:lang w:val="sk-SK"/>
        </w:rPr>
        <w:t>Distribú</w:t>
      </w:r>
      <w:r>
        <w:rPr>
          <w:i/>
          <w:iCs/>
          <w:sz w:val="22"/>
          <w:szCs w:val="22"/>
          <w:lang w:val="sk-SK"/>
        </w:rPr>
        <w:t>cia</w:t>
      </w:r>
      <w:r w:rsidRPr="00456BFF">
        <w:rPr>
          <w:i/>
          <w:iCs/>
          <w:sz w:val="22"/>
          <w:szCs w:val="22"/>
          <w:lang w:val="sk-SK"/>
        </w:rPr>
        <w:t xml:space="preserve"> </w:t>
      </w:r>
    </w:p>
    <w:p w14:paraId="49464A19" w14:textId="77777777" w:rsidR="009E3661" w:rsidRPr="00456BFF" w:rsidRDefault="009E3661" w:rsidP="009E3661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  <w:r w:rsidRPr="00601784">
        <w:rPr>
          <w:szCs w:val="22"/>
          <w:lang w:val="sk-SK"/>
        </w:rPr>
        <w:t>Distribučný objem dosahuje asi 10</w:t>
      </w:r>
      <w:r>
        <w:rPr>
          <w:szCs w:val="22"/>
          <w:lang w:val="sk-SK"/>
        </w:rPr>
        <w:t xml:space="preserve"> až </w:t>
      </w:r>
      <w:r w:rsidRPr="00601784">
        <w:rPr>
          <w:szCs w:val="22"/>
          <w:lang w:val="sk-SK"/>
        </w:rPr>
        <w:t>12 litrov</w:t>
      </w:r>
      <w:r w:rsidRPr="00456BFF">
        <w:rPr>
          <w:szCs w:val="22"/>
          <w:lang w:val="sk-SK"/>
        </w:rPr>
        <w:t xml:space="preserve">. </w:t>
      </w:r>
      <w:r w:rsidRPr="00601784">
        <w:rPr>
          <w:szCs w:val="22"/>
          <w:lang w:val="sk-SK"/>
        </w:rPr>
        <w:t>Levotyroxín vykazuje extrémne vysokú väzbu na špecifické transportné proteíny, približne 99,97 %. Táto väzba hormónu na proteín nie je kovalentná</w:t>
      </w:r>
      <w:r>
        <w:rPr>
          <w:szCs w:val="22"/>
          <w:lang w:val="sk-SK"/>
        </w:rPr>
        <w:t>,</w:t>
      </w:r>
      <w:r w:rsidRPr="00601784">
        <w:rPr>
          <w:szCs w:val="22"/>
          <w:lang w:val="sk-SK"/>
        </w:rPr>
        <w:t xml:space="preserve"> a tak sa viazaný hormón v plazme neustále a veľmi rýchlo vymieňa s frakciou voľného hormón</w:t>
      </w:r>
      <w:r>
        <w:rPr>
          <w:szCs w:val="22"/>
          <w:lang w:val="sk-SK"/>
        </w:rPr>
        <w:t>u.</w:t>
      </w:r>
    </w:p>
    <w:p w14:paraId="28957EBF" w14:textId="77777777" w:rsidR="009E3661" w:rsidRPr="00456BFF" w:rsidRDefault="009E3661" w:rsidP="009E3661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</w:p>
    <w:p w14:paraId="0A2C1AD0" w14:textId="77777777" w:rsidR="009E3661" w:rsidRPr="00456BFF" w:rsidRDefault="009E3661" w:rsidP="009E3661">
      <w:pPr>
        <w:pStyle w:val="Default"/>
        <w:rPr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>Biotrasnformácia</w:t>
      </w:r>
      <w:r w:rsidRPr="00456BFF">
        <w:rPr>
          <w:i/>
          <w:iCs/>
          <w:sz w:val="22"/>
          <w:szCs w:val="22"/>
          <w:lang w:val="sk-SK"/>
        </w:rPr>
        <w:t xml:space="preserve"> </w:t>
      </w:r>
    </w:p>
    <w:p w14:paraId="590D6498" w14:textId="77777777" w:rsidR="009E3661" w:rsidRPr="00456BFF" w:rsidRDefault="009E3661" w:rsidP="009E3661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M</w:t>
      </w:r>
      <w:r w:rsidRPr="0089084D">
        <w:rPr>
          <w:szCs w:val="22"/>
          <w:lang w:val="sk-SK"/>
        </w:rPr>
        <w:t>etabolický klírens levotyroxínu je približne 1,2 l plazmy/deň</w:t>
      </w:r>
      <w:r w:rsidRPr="00456BFF">
        <w:rPr>
          <w:szCs w:val="22"/>
          <w:lang w:val="sk-SK"/>
        </w:rPr>
        <w:t xml:space="preserve">. </w:t>
      </w:r>
      <w:r>
        <w:rPr>
          <w:szCs w:val="22"/>
          <w:lang w:val="sk-SK"/>
        </w:rPr>
        <w:t>O</w:t>
      </w:r>
      <w:r w:rsidRPr="0089084D">
        <w:rPr>
          <w:szCs w:val="22"/>
          <w:lang w:val="sk-SK"/>
        </w:rPr>
        <w:t>dbúrava sa v pečeni najmä v pečeni, obličkách, mozgu a vo svaloch</w:t>
      </w:r>
      <w:r w:rsidRPr="00456BFF">
        <w:rPr>
          <w:szCs w:val="22"/>
          <w:lang w:val="sk-SK"/>
        </w:rPr>
        <w:t>.</w:t>
      </w:r>
    </w:p>
    <w:p w14:paraId="71D8FC8C" w14:textId="77777777" w:rsidR="009E3661" w:rsidRPr="00456BFF" w:rsidRDefault="009E3661" w:rsidP="009E3661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</w:p>
    <w:p w14:paraId="2C5D8531" w14:textId="77777777" w:rsidR="009E3661" w:rsidRPr="00456BFF" w:rsidRDefault="009E3661" w:rsidP="009E3661">
      <w:pPr>
        <w:pStyle w:val="Default"/>
        <w:rPr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>Eliminácia</w:t>
      </w:r>
      <w:r w:rsidRPr="00456BFF">
        <w:rPr>
          <w:i/>
          <w:iCs/>
          <w:sz w:val="22"/>
          <w:szCs w:val="22"/>
          <w:lang w:val="sk-SK"/>
        </w:rPr>
        <w:t xml:space="preserve"> </w:t>
      </w:r>
    </w:p>
    <w:p w14:paraId="1ACB65DF" w14:textId="77777777" w:rsidR="009E3661" w:rsidRPr="00456BFF" w:rsidRDefault="009E3661" w:rsidP="009E3661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  <w:r w:rsidRPr="00AF67FE">
        <w:rPr>
          <w:szCs w:val="22"/>
          <w:lang w:val="sk-SK"/>
        </w:rPr>
        <w:t>Biologický polčas levotyroxínu je priemerne 7 dní. Pri hypertyreóze je kratší (3</w:t>
      </w:r>
      <w:r>
        <w:rPr>
          <w:szCs w:val="22"/>
          <w:lang w:val="sk-SK"/>
        </w:rPr>
        <w:t xml:space="preserve"> až </w:t>
      </w:r>
      <w:r w:rsidRPr="00AF67FE">
        <w:rPr>
          <w:szCs w:val="22"/>
          <w:lang w:val="sk-SK"/>
        </w:rPr>
        <w:t>4 dni) a pri hypotyreóze dlhší (približne 9</w:t>
      </w:r>
      <w:r>
        <w:rPr>
          <w:szCs w:val="22"/>
          <w:lang w:val="sk-SK"/>
        </w:rPr>
        <w:t xml:space="preserve"> až </w:t>
      </w:r>
      <w:r w:rsidRPr="00AF67FE">
        <w:rPr>
          <w:szCs w:val="22"/>
          <w:lang w:val="sk-SK"/>
        </w:rPr>
        <w:t>10 dní).</w:t>
      </w:r>
      <w:r>
        <w:rPr>
          <w:szCs w:val="22"/>
          <w:lang w:val="sk-SK"/>
        </w:rPr>
        <w:t xml:space="preserve"> U človeka sa približne 20 až 40 % levotyroxínu vylučuje stolicou a približne 30 až 55 % dávky levotyroxínu sa vylučuje močom.</w:t>
      </w:r>
    </w:p>
    <w:p w14:paraId="080FD0EA" w14:textId="77777777" w:rsidR="009E3661" w:rsidRPr="00456BFF" w:rsidRDefault="009E3661" w:rsidP="009E3661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sk-SK"/>
        </w:rPr>
      </w:pPr>
    </w:p>
    <w:p w14:paraId="61CE5DA0" w14:textId="77777777" w:rsidR="009E3661" w:rsidRPr="00456BFF" w:rsidRDefault="009E3661" w:rsidP="009E3661">
      <w:pPr>
        <w:pStyle w:val="Default"/>
        <w:rPr>
          <w:sz w:val="22"/>
          <w:szCs w:val="22"/>
          <w:lang w:val="sk-SK"/>
        </w:rPr>
      </w:pPr>
      <w:r w:rsidRPr="00456BFF">
        <w:rPr>
          <w:sz w:val="22"/>
          <w:szCs w:val="22"/>
          <w:lang w:val="sk-SK"/>
        </w:rPr>
        <w:t>Levotyrox</w:t>
      </w:r>
      <w:r>
        <w:rPr>
          <w:sz w:val="22"/>
          <w:szCs w:val="22"/>
          <w:lang w:val="sk-SK"/>
        </w:rPr>
        <w:t xml:space="preserve">ín </w:t>
      </w:r>
      <w:r w:rsidRPr="00052F29">
        <w:rPr>
          <w:sz w:val="22"/>
          <w:szCs w:val="22"/>
          <w:lang w:val="sk-SK"/>
        </w:rPr>
        <w:t>prechádza placentou len v malých množstvách</w:t>
      </w:r>
      <w:r>
        <w:rPr>
          <w:sz w:val="22"/>
          <w:szCs w:val="22"/>
          <w:lang w:val="sk-SK"/>
        </w:rPr>
        <w:t xml:space="preserve">. Počas liečby bežnými dávkami sa </w:t>
      </w:r>
      <w:r w:rsidRPr="00FE52CA">
        <w:rPr>
          <w:sz w:val="22"/>
          <w:szCs w:val="22"/>
          <w:lang w:val="sk-SK"/>
        </w:rPr>
        <w:t>do materského mlieka</w:t>
      </w:r>
      <w:r>
        <w:rPr>
          <w:sz w:val="22"/>
          <w:szCs w:val="22"/>
          <w:lang w:val="sk-SK"/>
        </w:rPr>
        <w:t xml:space="preserve"> vylučuje iba malé množstvo levotyroxínu</w:t>
      </w:r>
      <w:r w:rsidRPr="00456BFF">
        <w:rPr>
          <w:sz w:val="22"/>
          <w:szCs w:val="22"/>
          <w:lang w:val="sk-SK"/>
        </w:rPr>
        <w:t>.</w:t>
      </w:r>
    </w:p>
    <w:p w14:paraId="44EA9AF1" w14:textId="77777777" w:rsidR="009E3661" w:rsidRPr="00456BFF" w:rsidRDefault="009E3661" w:rsidP="009E3661">
      <w:pPr>
        <w:pStyle w:val="Default"/>
        <w:rPr>
          <w:sz w:val="22"/>
          <w:szCs w:val="22"/>
          <w:lang w:val="sk-SK"/>
        </w:rPr>
      </w:pPr>
    </w:p>
    <w:p w14:paraId="7746E4E4" w14:textId="77777777" w:rsidR="009E3661" w:rsidRPr="00456BFF" w:rsidRDefault="009E3661" w:rsidP="009E3661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  <w:r w:rsidRPr="00FE52CA">
        <w:rPr>
          <w:szCs w:val="22"/>
          <w:lang w:val="sk-SK"/>
        </w:rPr>
        <w:t>Vzhľadom na svoju vysokú väzbovosť na bielkoviny nie je levotyroxín odstrániteľný hemodialýzou ani hemoperfúziou</w:t>
      </w:r>
      <w:r w:rsidRPr="00456BFF">
        <w:rPr>
          <w:szCs w:val="22"/>
          <w:lang w:val="sk-SK"/>
        </w:rPr>
        <w:t>.</w:t>
      </w:r>
    </w:p>
    <w:p w14:paraId="75C7FAC2" w14:textId="77777777" w:rsidR="009E3661" w:rsidRPr="00456BFF" w:rsidRDefault="009E3661" w:rsidP="009E3661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sk-SK"/>
        </w:rPr>
      </w:pPr>
    </w:p>
    <w:p w14:paraId="13EBCF1A" w14:textId="77777777" w:rsidR="009E3661" w:rsidRPr="00456BFF" w:rsidRDefault="009E3661" w:rsidP="009E3661">
      <w:pPr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456BFF">
        <w:rPr>
          <w:b/>
          <w:noProof/>
          <w:szCs w:val="22"/>
          <w:lang w:val="sk-SK"/>
        </w:rPr>
        <w:t>5.3</w:t>
      </w:r>
      <w:r w:rsidRPr="00456BFF">
        <w:rPr>
          <w:b/>
          <w:noProof/>
          <w:szCs w:val="22"/>
          <w:lang w:val="sk-SK"/>
        </w:rPr>
        <w:tab/>
      </w:r>
      <w:r w:rsidRPr="00575F87">
        <w:rPr>
          <w:b/>
          <w:noProof/>
          <w:szCs w:val="22"/>
          <w:lang w:val="sk-SK"/>
        </w:rPr>
        <w:t>Predklinické údaje o bezpečnosti</w:t>
      </w:r>
    </w:p>
    <w:p w14:paraId="5874DE34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167D4EDB" w14:textId="77777777" w:rsidR="009E3661" w:rsidRPr="005E79D1" w:rsidRDefault="009E3661" w:rsidP="009E3661">
      <w:pPr>
        <w:pStyle w:val="Zkladntext"/>
        <w:ind w:right="205"/>
        <w:rPr>
          <w:i w:val="0"/>
          <w:color w:val="auto"/>
          <w:lang w:val="sk-SK"/>
        </w:rPr>
      </w:pPr>
      <w:r w:rsidRPr="005E79D1">
        <w:rPr>
          <w:i w:val="0"/>
          <w:color w:val="auto"/>
          <w:lang w:val="sk-SK"/>
        </w:rPr>
        <w:t>Nie sú k dispozícii žiadne ďalšie predklinické údaje relevantné pre predpisujúceho lekára než tie, ktoré sú už uvedené v iných častiach súhrnu charakteristických vlastností lieku.</w:t>
      </w:r>
    </w:p>
    <w:p w14:paraId="6046D27E" w14:textId="77777777" w:rsidR="009E3661" w:rsidRPr="005E79D1" w:rsidRDefault="009E3661" w:rsidP="009E3661">
      <w:pPr>
        <w:spacing w:line="240" w:lineRule="auto"/>
        <w:rPr>
          <w:noProof/>
          <w:szCs w:val="22"/>
          <w:highlight w:val="yellow"/>
          <w:lang w:val="sk-SK"/>
        </w:rPr>
      </w:pPr>
    </w:p>
    <w:p w14:paraId="180608B0" w14:textId="77777777" w:rsidR="009E3661" w:rsidRPr="00456BFF" w:rsidRDefault="009E3661" w:rsidP="009E3661">
      <w:pPr>
        <w:spacing w:line="240" w:lineRule="auto"/>
        <w:rPr>
          <w:noProof/>
          <w:szCs w:val="22"/>
          <w:highlight w:val="yellow"/>
          <w:lang w:val="sk-SK"/>
        </w:rPr>
      </w:pPr>
    </w:p>
    <w:p w14:paraId="3A880468" w14:textId="77777777" w:rsidR="009E3661" w:rsidRPr="00456BFF" w:rsidRDefault="009E3661" w:rsidP="009E3661">
      <w:pPr>
        <w:suppressAutoHyphens/>
        <w:spacing w:line="240" w:lineRule="auto"/>
        <w:ind w:left="567" w:hanging="567"/>
        <w:rPr>
          <w:b/>
          <w:noProof/>
          <w:szCs w:val="22"/>
          <w:lang w:val="sk-SK"/>
        </w:rPr>
      </w:pPr>
      <w:r w:rsidRPr="00456BFF">
        <w:rPr>
          <w:b/>
          <w:noProof/>
          <w:szCs w:val="22"/>
          <w:lang w:val="sk-SK"/>
        </w:rPr>
        <w:t>6.</w:t>
      </w:r>
      <w:r w:rsidRPr="00456BFF">
        <w:rPr>
          <w:b/>
          <w:noProof/>
          <w:szCs w:val="22"/>
          <w:lang w:val="sk-SK"/>
        </w:rPr>
        <w:tab/>
      </w:r>
      <w:r w:rsidRPr="00531AAB">
        <w:rPr>
          <w:b/>
          <w:noProof/>
          <w:szCs w:val="22"/>
          <w:lang w:val="sk-SK"/>
        </w:rPr>
        <w:t>FARMACEUTICKÉ INFORMÁCIE</w:t>
      </w:r>
    </w:p>
    <w:p w14:paraId="0F1DD3AA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064DD7FC" w14:textId="77777777" w:rsidR="009E3661" w:rsidRPr="00456BFF" w:rsidRDefault="009E3661" w:rsidP="009E3661">
      <w:pPr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456BFF">
        <w:rPr>
          <w:b/>
          <w:noProof/>
          <w:szCs w:val="22"/>
          <w:lang w:val="sk-SK"/>
        </w:rPr>
        <w:t>6.1</w:t>
      </w:r>
      <w:r w:rsidRPr="00456BFF">
        <w:rPr>
          <w:b/>
          <w:noProof/>
          <w:szCs w:val="22"/>
          <w:lang w:val="sk-SK"/>
        </w:rPr>
        <w:tab/>
      </w:r>
      <w:r w:rsidRPr="00531AAB">
        <w:rPr>
          <w:b/>
          <w:noProof/>
          <w:szCs w:val="22"/>
          <w:lang w:val="sk-SK"/>
        </w:rPr>
        <w:t>Zoznam pomocných látok</w:t>
      </w:r>
    </w:p>
    <w:p w14:paraId="73638D00" w14:textId="77777777" w:rsidR="009E3661" w:rsidRPr="00456BFF" w:rsidRDefault="009E3661" w:rsidP="009E3661">
      <w:pPr>
        <w:spacing w:line="240" w:lineRule="auto"/>
        <w:rPr>
          <w:i/>
          <w:noProof/>
          <w:szCs w:val="22"/>
          <w:lang w:val="sk-SK"/>
        </w:rPr>
      </w:pPr>
    </w:p>
    <w:p w14:paraId="4D252A84" w14:textId="77777777" w:rsidR="009E3661" w:rsidRDefault="009E3661" w:rsidP="009E3661">
      <w:pPr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M</w:t>
      </w:r>
      <w:r w:rsidRPr="000F0115">
        <w:rPr>
          <w:noProof/>
          <w:szCs w:val="22"/>
          <w:lang w:val="sk-SK"/>
        </w:rPr>
        <w:t>ikrokryštalická celulóza</w:t>
      </w:r>
    </w:p>
    <w:p w14:paraId="25DCEAFD" w14:textId="77777777" w:rsidR="009E3661" w:rsidRDefault="009E3661" w:rsidP="009E3661">
      <w:pPr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lastRenderedPageBreak/>
        <w:t>M</w:t>
      </w:r>
      <w:r w:rsidRPr="000F0115">
        <w:rPr>
          <w:noProof/>
          <w:szCs w:val="22"/>
          <w:lang w:val="sk-SK"/>
        </w:rPr>
        <w:t>ikrokryštalická celulóza</w:t>
      </w:r>
      <w:r>
        <w:rPr>
          <w:noProof/>
          <w:szCs w:val="22"/>
          <w:lang w:val="sk-SK"/>
        </w:rPr>
        <w:t xml:space="preserve"> (PH 112)</w:t>
      </w:r>
    </w:p>
    <w:p w14:paraId="272FA801" w14:textId="77777777" w:rsidR="009E3661" w:rsidRDefault="009E3661" w:rsidP="009E3661">
      <w:pPr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O</w:t>
      </w:r>
      <w:r w:rsidRPr="000F0115">
        <w:rPr>
          <w:noProof/>
          <w:szCs w:val="22"/>
          <w:lang w:val="sk-SK"/>
        </w:rPr>
        <w:t>xid horečnatý ľahký</w:t>
      </w:r>
    </w:p>
    <w:p w14:paraId="6A4CFBC3" w14:textId="77777777" w:rsidR="009E3661" w:rsidRDefault="009E3661" w:rsidP="009E3661">
      <w:pPr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S</w:t>
      </w:r>
      <w:r w:rsidRPr="000F0115">
        <w:rPr>
          <w:noProof/>
          <w:szCs w:val="22"/>
          <w:lang w:val="sk-SK"/>
        </w:rPr>
        <w:t>odná soľ karboxymetylškrobu (typ A)</w:t>
      </w:r>
    </w:p>
    <w:p w14:paraId="26635A08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S</w:t>
      </w:r>
      <w:r w:rsidRPr="000F0115">
        <w:rPr>
          <w:noProof/>
          <w:szCs w:val="22"/>
          <w:lang w:val="sk-SK"/>
        </w:rPr>
        <w:t>tearylfumarát sodný</w:t>
      </w:r>
    </w:p>
    <w:p w14:paraId="4C81B7DA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277702F5" w14:textId="77777777" w:rsidR="009E3661" w:rsidRPr="000F0115" w:rsidRDefault="009E3661" w:rsidP="009E3661">
      <w:pPr>
        <w:spacing w:line="240" w:lineRule="auto"/>
        <w:rPr>
          <w:noProof/>
          <w:szCs w:val="22"/>
          <w:u w:val="single"/>
          <w:lang w:val="sk-SK"/>
        </w:rPr>
      </w:pPr>
      <w:r w:rsidRPr="000F0115">
        <w:rPr>
          <w:noProof/>
          <w:szCs w:val="22"/>
          <w:u w:val="single"/>
          <w:lang w:val="sk-SK"/>
        </w:rPr>
        <w:t>25 mikrogramov</w:t>
      </w:r>
    </w:p>
    <w:p w14:paraId="1BB945E6" w14:textId="77777777" w:rsidR="009E3661" w:rsidRPr="00B1106B" w:rsidRDefault="009E3661" w:rsidP="009E3661">
      <w:pPr>
        <w:spacing w:line="240" w:lineRule="auto"/>
        <w:rPr>
          <w:noProof/>
          <w:szCs w:val="22"/>
          <w:lang w:val="sk-SK"/>
        </w:rPr>
      </w:pPr>
      <w:r w:rsidRPr="000F0115">
        <w:rPr>
          <w:noProof/>
          <w:szCs w:val="22"/>
          <w:lang w:val="sk-SK"/>
        </w:rPr>
        <w:t xml:space="preserve">Zmes </w:t>
      </w:r>
      <w:r w:rsidRPr="00B1106B">
        <w:rPr>
          <w:noProof/>
          <w:szCs w:val="22"/>
          <w:lang w:val="sk-SK"/>
        </w:rPr>
        <w:t>laku LB-530006 oranžovej obsahuje</w:t>
      </w:r>
    </w:p>
    <w:p w14:paraId="2DBB5AAD" w14:textId="295E3966" w:rsidR="009E3661" w:rsidRPr="00B1106B" w:rsidRDefault="009E3661" w:rsidP="009E3661">
      <w:pPr>
        <w:spacing w:line="240" w:lineRule="auto"/>
        <w:rPr>
          <w:lang w:val="sk-SK"/>
        </w:rPr>
      </w:pPr>
      <w:r w:rsidRPr="00B1106B">
        <w:rPr>
          <w:lang w:val="sk-SK"/>
        </w:rPr>
        <w:t xml:space="preserve">hliníkový lak </w:t>
      </w:r>
      <w:r w:rsidR="00686163" w:rsidRPr="006B1F83">
        <w:rPr>
          <w:rStyle w:val="st1"/>
          <w:szCs w:val="22"/>
        </w:rPr>
        <w:t>oranžov</w:t>
      </w:r>
      <w:r w:rsidR="00B1106B">
        <w:rPr>
          <w:rStyle w:val="st1"/>
          <w:szCs w:val="22"/>
        </w:rPr>
        <w:t xml:space="preserve">ej </w:t>
      </w:r>
      <w:r w:rsidR="00686163" w:rsidRPr="006B1F83">
        <w:rPr>
          <w:rStyle w:val="Zvraznenie"/>
          <w:i w:val="0"/>
          <w:szCs w:val="22"/>
        </w:rPr>
        <w:t>žl</w:t>
      </w:r>
      <w:r w:rsidR="00B1106B">
        <w:rPr>
          <w:rStyle w:val="Zvraznenie"/>
          <w:i w:val="0"/>
          <w:szCs w:val="22"/>
        </w:rPr>
        <w:t xml:space="preserve">te </w:t>
      </w:r>
      <w:r w:rsidRPr="00B1106B">
        <w:rPr>
          <w:lang w:val="sk-SK"/>
        </w:rPr>
        <w:t xml:space="preserve">FCF </w:t>
      </w:r>
      <w:r w:rsidRPr="00B1106B">
        <w:rPr>
          <w:noProof/>
          <w:szCs w:val="22"/>
          <w:lang w:val="sk-SK"/>
        </w:rPr>
        <w:t>(E110)</w:t>
      </w:r>
    </w:p>
    <w:p w14:paraId="07927BB0" w14:textId="77777777" w:rsidR="009E3661" w:rsidRPr="000F0115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199FC470" w14:textId="77777777" w:rsidR="009E3661" w:rsidRPr="000F0115" w:rsidRDefault="009E3661" w:rsidP="009E3661">
      <w:pPr>
        <w:spacing w:line="240" w:lineRule="auto"/>
        <w:rPr>
          <w:noProof/>
          <w:szCs w:val="22"/>
          <w:u w:val="single"/>
          <w:lang w:val="sk-SK"/>
        </w:rPr>
      </w:pPr>
      <w:r w:rsidRPr="000F0115">
        <w:rPr>
          <w:noProof/>
          <w:szCs w:val="22"/>
          <w:u w:val="single"/>
          <w:lang w:val="sk-SK"/>
        </w:rPr>
        <w:t>75 mikrogramov</w:t>
      </w:r>
    </w:p>
    <w:p w14:paraId="213FCAB1" w14:textId="77777777" w:rsidR="009E3661" w:rsidRPr="000F0115" w:rsidRDefault="009E3661" w:rsidP="009E3661">
      <w:pPr>
        <w:spacing w:line="240" w:lineRule="auto"/>
        <w:rPr>
          <w:noProof/>
          <w:szCs w:val="22"/>
          <w:lang w:val="sk-SK"/>
        </w:rPr>
      </w:pPr>
      <w:r w:rsidRPr="000F0115">
        <w:rPr>
          <w:noProof/>
          <w:szCs w:val="22"/>
          <w:lang w:val="sk-SK"/>
        </w:rPr>
        <w:t>Zmes laku LB-505008 fialovej obsahuje</w:t>
      </w:r>
    </w:p>
    <w:p w14:paraId="274F9F26" w14:textId="77777777" w:rsidR="009E3661" w:rsidRPr="000F0115" w:rsidRDefault="009E3661" w:rsidP="009E3661">
      <w:pPr>
        <w:spacing w:line="240" w:lineRule="auto"/>
        <w:rPr>
          <w:noProof/>
          <w:szCs w:val="22"/>
          <w:lang w:val="sk-SK"/>
        </w:rPr>
      </w:pPr>
      <w:r w:rsidRPr="000F0115">
        <w:rPr>
          <w:noProof/>
          <w:szCs w:val="22"/>
          <w:lang w:val="sk-SK"/>
        </w:rPr>
        <w:t>hliníkový lak indigokarmínu (E132)</w:t>
      </w:r>
    </w:p>
    <w:p w14:paraId="34994D25" w14:textId="77777777" w:rsidR="009E3661" w:rsidRPr="000F0115" w:rsidRDefault="009E3661" w:rsidP="009E3661">
      <w:pPr>
        <w:spacing w:line="240" w:lineRule="auto"/>
        <w:rPr>
          <w:noProof/>
          <w:szCs w:val="22"/>
          <w:lang w:val="sk-SK"/>
        </w:rPr>
      </w:pPr>
      <w:r w:rsidRPr="000F0115">
        <w:rPr>
          <w:noProof/>
          <w:szCs w:val="22"/>
          <w:lang w:val="sk-SK"/>
        </w:rPr>
        <w:t>hliníkový lak allúrovej červene AC (E129)</w:t>
      </w:r>
    </w:p>
    <w:p w14:paraId="78316432" w14:textId="77777777" w:rsidR="009E3661" w:rsidRPr="000F0115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19DDD79D" w14:textId="77777777" w:rsidR="009E3661" w:rsidRPr="000F0115" w:rsidRDefault="009E3661" w:rsidP="009E3661">
      <w:pPr>
        <w:spacing w:line="240" w:lineRule="auto"/>
        <w:rPr>
          <w:noProof/>
          <w:szCs w:val="22"/>
          <w:u w:val="single"/>
          <w:lang w:val="sk-SK"/>
        </w:rPr>
      </w:pPr>
      <w:r w:rsidRPr="000F0115">
        <w:rPr>
          <w:noProof/>
          <w:szCs w:val="22"/>
          <w:u w:val="single"/>
          <w:lang w:val="sk-SK"/>
        </w:rPr>
        <w:t>88 mikrogramov</w:t>
      </w:r>
    </w:p>
    <w:p w14:paraId="6EA568D7" w14:textId="77777777" w:rsidR="009E3661" w:rsidRPr="000F0115" w:rsidRDefault="009E3661" w:rsidP="009E3661">
      <w:pPr>
        <w:spacing w:line="240" w:lineRule="auto"/>
        <w:rPr>
          <w:noProof/>
          <w:szCs w:val="22"/>
          <w:lang w:val="sk-SK"/>
        </w:rPr>
      </w:pPr>
      <w:r w:rsidRPr="000F0115">
        <w:rPr>
          <w:noProof/>
          <w:szCs w:val="22"/>
          <w:lang w:val="sk-SK"/>
        </w:rPr>
        <w:t>Zmes laku LB-510028 zelenej obsahuje</w:t>
      </w:r>
    </w:p>
    <w:p w14:paraId="5AB3F2E5" w14:textId="77777777" w:rsidR="009E3661" w:rsidRPr="000F0115" w:rsidRDefault="009E3661" w:rsidP="009E3661">
      <w:pPr>
        <w:spacing w:line="240" w:lineRule="auto"/>
        <w:rPr>
          <w:noProof/>
          <w:szCs w:val="22"/>
          <w:lang w:val="sk-SK"/>
        </w:rPr>
      </w:pPr>
      <w:r w:rsidRPr="000F0115">
        <w:rPr>
          <w:noProof/>
          <w:szCs w:val="22"/>
          <w:lang w:val="sk-SK"/>
        </w:rPr>
        <w:t>hliníkový lak tartrazínu (E102)</w:t>
      </w:r>
    </w:p>
    <w:p w14:paraId="447A1F85" w14:textId="77777777" w:rsidR="009E3661" w:rsidRPr="000F0115" w:rsidRDefault="009E3661" w:rsidP="009E3661">
      <w:pPr>
        <w:spacing w:line="240" w:lineRule="auto"/>
        <w:rPr>
          <w:noProof/>
          <w:szCs w:val="22"/>
          <w:lang w:val="sk-SK"/>
        </w:rPr>
      </w:pPr>
      <w:r w:rsidRPr="000F0115">
        <w:rPr>
          <w:noProof/>
          <w:szCs w:val="22"/>
          <w:lang w:val="sk-SK"/>
        </w:rPr>
        <w:t>hliníkový lak indigokarmínu (E132)</w:t>
      </w:r>
    </w:p>
    <w:p w14:paraId="1C18137A" w14:textId="77777777" w:rsidR="009E3661" w:rsidRPr="000F0115" w:rsidRDefault="009E3661" w:rsidP="009E3661">
      <w:pPr>
        <w:spacing w:line="240" w:lineRule="auto"/>
        <w:rPr>
          <w:noProof/>
          <w:szCs w:val="22"/>
          <w:u w:val="single"/>
          <w:lang w:val="sk-SK"/>
        </w:rPr>
      </w:pPr>
    </w:p>
    <w:p w14:paraId="62AFE0D9" w14:textId="77777777" w:rsidR="009E3661" w:rsidRPr="000F0115" w:rsidRDefault="009E3661" w:rsidP="009E3661">
      <w:pPr>
        <w:spacing w:line="240" w:lineRule="auto"/>
        <w:rPr>
          <w:noProof/>
          <w:szCs w:val="22"/>
          <w:u w:val="single"/>
          <w:lang w:val="sk-SK"/>
        </w:rPr>
      </w:pPr>
      <w:r w:rsidRPr="000F0115">
        <w:rPr>
          <w:noProof/>
          <w:szCs w:val="22"/>
          <w:u w:val="single"/>
          <w:lang w:val="sk-SK"/>
        </w:rPr>
        <w:t>100 mikrogramov</w:t>
      </w:r>
    </w:p>
    <w:p w14:paraId="1051C126" w14:textId="77777777" w:rsidR="009E3661" w:rsidRPr="000F0115" w:rsidRDefault="009E3661" w:rsidP="009E3661">
      <w:pPr>
        <w:spacing w:line="240" w:lineRule="auto"/>
        <w:rPr>
          <w:noProof/>
          <w:szCs w:val="22"/>
          <w:lang w:val="sk-SK"/>
        </w:rPr>
      </w:pPr>
      <w:r w:rsidRPr="000F0115">
        <w:rPr>
          <w:noProof/>
          <w:szCs w:val="22"/>
          <w:lang w:val="sk-SK"/>
        </w:rPr>
        <w:t>Zmes laku LB-520044 žltej obsahuje</w:t>
      </w:r>
    </w:p>
    <w:p w14:paraId="2B6B79E4" w14:textId="77777777" w:rsidR="009E3661" w:rsidRPr="000F0115" w:rsidRDefault="009E3661" w:rsidP="009E3661">
      <w:pPr>
        <w:spacing w:line="240" w:lineRule="auto"/>
        <w:rPr>
          <w:noProof/>
          <w:szCs w:val="22"/>
          <w:lang w:val="sk-SK"/>
        </w:rPr>
      </w:pPr>
      <w:r w:rsidRPr="000F0115">
        <w:rPr>
          <w:noProof/>
          <w:szCs w:val="22"/>
          <w:lang w:val="sk-SK"/>
        </w:rPr>
        <w:t>hliníkový lak tartrazínu (E102)</w:t>
      </w:r>
    </w:p>
    <w:p w14:paraId="552FE450" w14:textId="1ECCB9DA" w:rsidR="009E3661" w:rsidRPr="000F0115" w:rsidRDefault="009E3661" w:rsidP="009E3661">
      <w:pPr>
        <w:spacing w:line="240" w:lineRule="auto"/>
        <w:rPr>
          <w:lang w:val="sk-SK"/>
        </w:rPr>
      </w:pPr>
      <w:r w:rsidRPr="000F0115">
        <w:rPr>
          <w:lang w:val="sk-SK"/>
        </w:rPr>
        <w:t xml:space="preserve">hliníkový lak </w:t>
      </w:r>
      <w:r w:rsidR="00B1106B" w:rsidRPr="00207349">
        <w:rPr>
          <w:rStyle w:val="st1"/>
          <w:szCs w:val="22"/>
        </w:rPr>
        <w:t>oranžov</w:t>
      </w:r>
      <w:r w:rsidR="00B1106B">
        <w:rPr>
          <w:rStyle w:val="st1"/>
          <w:szCs w:val="22"/>
        </w:rPr>
        <w:t xml:space="preserve">ej </w:t>
      </w:r>
      <w:r w:rsidR="00B1106B" w:rsidRPr="00207349">
        <w:rPr>
          <w:rStyle w:val="Zvraznenie"/>
          <w:i w:val="0"/>
          <w:szCs w:val="22"/>
        </w:rPr>
        <w:t>žl</w:t>
      </w:r>
      <w:r w:rsidR="00B1106B">
        <w:rPr>
          <w:rStyle w:val="Zvraznenie"/>
          <w:i w:val="0"/>
          <w:szCs w:val="22"/>
        </w:rPr>
        <w:t xml:space="preserve">te </w:t>
      </w:r>
      <w:r w:rsidRPr="000F0115">
        <w:rPr>
          <w:lang w:val="sk-SK"/>
        </w:rPr>
        <w:t xml:space="preserve">FCF </w:t>
      </w:r>
      <w:r w:rsidRPr="000F0115">
        <w:rPr>
          <w:noProof/>
          <w:szCs w:val="22"/>
          <w:lang w:val="sk-SK"/>
        </w:rPr>
        <w:t>(E110)</w:t>
      </w:r>
    </w:p>
    <w:p w14:paraId="2956ABA7" w14:textId="77777777" w:rsidR="009E3661" w:rsidRPr="000F0115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7D03F04B" w14:textId="77777777" w:rsidR="009E3661" w:rsidRPr="000F0115" w:rsidRDefault="009E3661" w:rsidP="009E3661">
      <w:pPr>
        <w:spacing w:line="240" w:lineRule="auto"/>
        <w:rPr>
          <w:noProof/>
          <w:szCs w:val="22"/>
          <w:u w:val="single"/>
          <w:lang w:val="sk-SK"/>
        </w:rPr>
      </w:pPr>
      <w:r w:rsidRPr="000F0115">
        <w:rPr>
          <w:noProof/>
          <w:szCs w:val="22"/>
          <w:u w:val="single"/>
          <w:lang w:val="sk-SK"/>
        </w:rPr>
        <w:t>112 mikrogramov</w:t>
      </w:r>
    </w:p>
    <w:p w14:paraId="1B266A27" w14:textId="77777777" w:rsidR="009E3661" w:rsidRPr="000F0115" w:rsidRDefault="009E3661" w:rsidP="009E3661">
      <w:pPr>
        <w:spacing w:line="240" w:lineRule="auto"/>
        <w:rPr>
          <w:noProof/>
          <w:szCs w:val="22"/>
          <w:lang w:val="sk-SK"/>
        </w:rPr>
      </w:pPr>
      <w:r w:rsidRPr="000F0115">
        <w:rPr>
          <w:noProof/>
          <w:szCs w:val="22"/>
          <w:lang w:val="sk-SK"/>
        </w:rPr>
        <w:t>Zmes laku LB-540042 ružovej obsahuje</w:t>
      </w:r>
    </w:p>
    <w:p w14:paraId="2BC32C37" w14:textId="77777777" w:rsidR="009E3661" w:rsidRPr="000F0115" w:rsidRDefault="009E3661" w:rsidP="009E3661">
      <w:pPr>
        <w:spacing w:line="240" w:lineRule="auto"/>
        <w:rPr>
          <w:noProof/>
          <w:szCs w:val="22"/>
          <w:lang w:val="sk-SK"/>
        </w:rPr>
      </w:pPr>
      <w:r w:rsidRPr="000F0115">
        <w:rPr>
          <w:noProof/>
          <w:szCs w:val="22"/>
          <w:lang w:val="sk-SK"/>
        </w:rPr>
        <w:t>karmín (E120)</w:t>
      </w:r>
    </w:p>
    <w:p w14:paraId="79840FD8" w14:textId="77777777" w:rsidR="009E3661" w:rsidRPr="000F0115" w:rsidRDefault="009E3661" w:rsidP="009E3661">
      <w:pPr>
        <w:spacing w:line="240" w:lineRule="auto"/>
        <w:rPr>
          <w:noProof/>
          <w:szCs w:val="22"/>
          <w:lang w:val="sk-SK"/>
        </w:rPr>
      </w:pPr>
      <w:r w:rsidRPr="000F0115">
        <w:rPr>
          <w:noProof/>
          <w:szCs w:val="22"/>
          <w:lang w:val="sk-SK"/>
        </w:rPr>
        <w:t>hliníkový lak allúrovej červene AC (E129)</w:t>
      </w:r>
    </w:p>
    <w:p w14:paraId="5A60D7D0" w14:textId="77777777" w:rsidR="009E3661" w:rsidRPr="000F0115" w:rsidRDefault="009E3661" w:rsidP="009E3661">
      <w:pPr>
        <w:spacing w:line="240" w:lineRule="auto"/>
        <w:rPr>
          <w:noProof/>
          <w:szCs w:val="22"/>
          <w:u w:val="single"/>
          <w:lang w:val="sk-SK"/>
        </w:rPr>
      </w:pPr>
    </w:p>
    <w:p w14:paraId="50443AA0" w14:textId="77777777" w:rsidR="009E3661" w:rsidRPr="000F0115" w:rsidRDefault="009E3661" w:rsidP="009E3661">
      <w:pPr>
        <w:spacing w:line="240" w:lineRule="auto"/>
        <w:rPr>
          <w:noProof/>
          <w:szCs w:val="22"/>
          <w:u w:val="single"/>
          <w:lang w:val="sk-SK"/>
        </w:rPr>
      </w:pPr>
      <w:r w:rsidRPr="000F0115">
        <w:rPr>
          <w:noProof/>
          <w:szCs w:val="22"/>
          <w:u w:val="single"/>
          <w:lang w:val="sk-SK"/>
        </w:rPr>
        <w:t>125 mikrogramov</w:t>
      </w:r>
    </w:p>
    <w:p w14:paraId="6489F3D3" w14:textId="77777777" w:rsidR="009E3661" w:rsidRPr="000F0115" w:rsidRDefault="009E3661" w:rsidP="009E3661">
      <w:pPr>
        <w:spacing w:line="240" w:lineRule="auto"/>
        <w:rPr>
          <w:noProof/>
          <w:szCs w:val="22"/>
          <w:lang w:val="sk-SK"/>
        </w:rPr>
      </w:pPr>
      <w:r w:rsidRPr="000F0115">
        <w:rPr>
          <w:noProof/>
          <w:szCs w:val="22"/>
          <w:lang w:val="sk-SK"/>
        </w:rPr>
        <w:t>Zmes laku LB-575003 hnedej obsahuje</w:t>
      </w:r>
    </w:p>
    <w:p w14:paraId="1B5BCE7B" w14:textId="2F0291B9" w:rsidR="009E3661" w:rsidRPr="000F0115" w:rsidRDefault="009E3661" w:rsidP="009E3661">
      <w:pPr>
        <w:spacing w:line="240" w:lineRule="auto"/>
        <w:rPr>
          <w:lang w:val="sk-SK"/>
        </w:rPr>
      </w:pPr>
      <w:r w:rsidRPr="000F0115">
        <w:rPr>
          <w:lang w:val="sk-SK"/>
        </w:rPr>
        <w:t xml:space="preserve">hliníkový lak </w:t>
      </w:r>
      <w:r w:rsidR="00B1106B" w:rsidRPr="00207349">
        <w:rPr>
          <w:rStyle w:val="st1"/>
          <w:szCs w:val="22"/>
        </w:rPr>
        <w:t>oranžov</w:t>
      </w:r>
      <w:r w:rsidR="00B1106B">
        <w:rPr>
          <w:rStyle w:val="st1"/>
          <w:szCs w:val="22"/>
        </w:rPr>
        <w:t xml:space="preserve">ej </w:t>
      </w:r>
      <w:r w:rsidR="00B1106B" w:rsidRPr="00207349">
        <w:rPr>
          <w:rStyle w:val="Zvraznenie"/>
          <w:i w:val="0"/>
          <w:szCs w:val="22"/>
        </w:rPr>
        <w:t>žl</w:t>
      </w:r>
      <w:r w:rsidR="00B1106B">
        <w:rPr>
          <w:rStyle w:val="Zvraznenie"/>
          <w:i w:val="0"/>
          <w:szCs w:val="22"/>
        </w:rPr>
        <w:t xml:space="preserve">te </w:t>
      </w:r>
      <w:r w:rsidRPr="000F0115">
        <w:rPr>
          <w:lang w:val="sk-SK"/>
        </w:rPr>
        <w:t xml:space="preserve">FCF </w:t>
      </w:r>
      <w:r w:rsidRPr="000F0115">
        <w:rPr>
          <w:noProof/>
          <w:szCs w:val="22"/>
          <w:lang w:val="sk-SK"/>
        </w:rPr>
        <w:t>(E110)</w:t>
      </w:r>
    </w:p>
    <w:p w14:paraId="2C0CFC95" w14:textId="77777777" w:rsidR="009E3661" w:rsidRPr="000F0115" w:rsidRDefault="009E3661" w:rsidP="009E3661">
      <w:pPr>
        <w:spacing w:line="240" w:lineRule="auto"/>
        <w:rPr>
          <w:noProof/>
          <w:szCs w:val="22"/>
          <w:lang w:val="sk-SK"/>
        </w:rPr>
      </w:pPr>
      <w:r w:rsidRPr="000F0115">
        <w:rPr>
          <w:noProof/>
          <w:szCs w:val="22"/>
          <w:lang w:val="sk-SK"/>
        </w:rPr>
        <w:t>hliníkový lak brilantnej modrej FCF (E133)</w:t>
      </w:r>
    </w:p>
    <w:p w14:paraId="0942A6F1" w14:textId="77777777" w:rsidR="009E3661" w:rsidRPr="000F0115" w:rsidRDefault="009E3661" w:rsidP="009E3661">
      <w:pPr>
        <w:spacing w:line="240" w:lineRule="auto"/>
        <w:rPr>
          <w:noProof/>
          <w:szCs w:val="22"/>
          <w:lang w:val="sk-SK"/>
        </w:rPr>
      </w:pPr>
      <w:r w:rsidRPr="000F0115">
        <w:rPr>
          <w:noProof/>
          <w:szCs w:val="22"/>
          <w:lang w:val="sk-SK"/>
        </w:rPr>
        <w:t>hliníkový lak allúrovej červene AC (E129)</w:t>
      </w:r>
    </w:p>
    <w:p w14:paraId="5D0B119D" w14:textId="77777777" w:rsidR="009E3661" w:rsidRPr="000F0115" w:rsidRDefault="009E3661" w:rsidP="009E3661">
      <w:pPr>
        <w:spacing w:line="240" w:lineRule="auto"/>
        <w:rPr>
          <w:noProof/>
          <w:szCs w:val="22"/>
          <w:u w:val="single"/>
          <w:lang w:val="sk-SK"/>
        </w:rPr>
      </w:pPr>
    </w:p>
    <w:p w14:paraId="0CAF985E" w14:textId="77777777" w:rsidR="009E3661" w:rsidRPr="000F0115" w:rsidRDefault="009E3661" w:rsidP="009E3661">
      <w:pPr>
        <w:spacing w:line="240" w:lineRule="auto"/>
        <w:rPr>
          <w:noProof/>
          <w:szCs w:val="22"/>
          <w:u w:val="single"/>
          <w:lang w:val="sk-SK"/>
        </w:rPr>
      </w:pPr>
      <w:r w:rsidRPr="000F0115">
        <w:rPr>
          <w:noProof/>
          <w:szCs w:val="22"/>
          <w:u w:val="single"/>
          <w:lang w:val="sk-SK"/>
        </w:rPr>
        <w:t>137 mikrogramov</w:t>
      </w:r>
    </w:p>
    <w:p w14:paraId="477509F1" w14:textId="77777777" w:rsidR="009E3661" w:rsidRPr="000F0115" w:rsidRDefault="009E3661" w:rsidP="009E3661">
      <w:pPr>
        <w:spacing w:line="240" w:lineRule="auto"/>
        <w:rPr>
          <w:noProof/>
          <w:szCs w:val="22"/>
          <w:lang w:val="sk-SK"/>
        </w:rPr>
      </w:pPr>
      <w:r w:rsidRPr="000F0115">
        <w:rPr>
          <w:noProof/>
          <w:szCs w:val="22"/>
          <w:lang w:val="sk-SK"/>
        </w:rPr>
        <w:t>Zmes laku LB-505013 modrej obsahuje</w:t>
      </w:r>
    </w:p>
    <w:p w14:paraId="700B3A70" w14:textId="77777777" w:rsidR="009E3661" w:rsidRPr="000F0115" w:rsidRDefault="009E3661" w:rsidP="009E3661">
      <w:pPr>
        <w:spacing w:line="240" w:lineRule="auto"/>
        <w:rPr>
          <w:noProof/>
          <w:szCs w:val="22"/>
          <w:lang w:val="sk-SK"/>
        </w:rPr>
      </w:pPr>
      <w:r w:rsidRPr="000F0115">
        <w:rPr>
          <w:noProof/>
          <w:szCs w:val="22"/>
          <w:lang w:val="sk-SK"/>
        </w:rPr>
        <w:t>hliníkový lak brilantnej modrej FCF (E133)</w:t>
      </w:r>
    </w:p>
    <w:p w14:paraId="79CDDD5C" w14:textId="77777777" w:rsidR="009E3661" w:rsidRPr="000F0115" w:rsidRDefault="009E3661" w:rsidP="009E3661">
      <w:pPr>
        <w:spacing w:line="240" w:lineRule="auto"/>
        <w:rPr>
          <w:noProof/>
          <w:szCs w:val="22"/>
          <w:u w:val="single"/>
          <w:lang w:val="sk-SK"/>
        </w:rPr>
      </w:pPr>
    </w:p>
    <w:p w14:paraId="69B20A3B" w14:textId="77777777" w:rsidR="009E3661" w:rsidRPr="000F0115" w:rsidRDefault="009E3661" w:rsidP="009E3661">
      <w:pPr>
        <w:spacing w:line="240" w:lineRule="auto"/>
        <w:rPr>
          <w:noProof/>
          <w:szCs w:val="22"/>
          <w:u w:val="single"/>
          <w:lang w:val="sk-SK"/>
        </w:rPr>
      </w:pPr>
      <w:r w:rsidRPr="000F0115">
        <w:rPr>
          <w:noProof/>
          <w:szCs w:val="22"/>
          <w:u w:val="single"/>
          <w:lang w:val="sk-SK"/>
        </w:rPr>
        <w:t>150 mikrogramov</w:t>
      </w:r>
    </w:p>
    <w:p w14:paraId="6E3F645B" w14:textId="77777777" w:rsidR="009E3661" w:rsidRPr="000F0115" w:rsidRDefault="009E3661" w:rsidP="009E3661">
      <w:pPr>
        <w:spacing w:line="240" w:lineRule="auto"/>
        <w:rPr>
          <w:noProof/>
          <w:szCs w:val="22"/>
          <w:lang w:val="sk-SK"/>
        </w:rPr>
      </w:pPr>
      <w:r w:rsidRPr="000F0115">
        <w:rPr>
          <w:noProof/>
          <w:szCs w:val="22"/>
          <w:lang w:val="sk-SK"/>
        </w:rPr>
        <w:t>Zmes laku LB-505010 modrej obsahuje</w:t>
      </w:r>
    </w:p>
    <w:p w14:paraId="10F9D89E" w14:textId="77777777" w:rsidR="009E3661" w:rsidRPr="000F0115" w:rsidRDefault="009E3661" w:rsidP="009E3661">
      <w:pPr>
        <w:spacing w:line="240" w:lineRule="auto"/>
        <w:rPr>
          <w:noProof/>
          <w:szCs w:val="22"/>
          <w:lang w:val="sk-SK"/>
        </w:rPr>
      </w:pPr>
      <w:r w:rsidRPr="000F0115">
        <w:rPr>
          <w:noProof/>
          <w:szCs w:val="22"/>
          <w:lang w:val="sk-SK"/>
        </w:rPr>
        <w:t>hliníkový lak indigokarmínu (E132)</w:t>
      </w:r>
    </w:p>
    <w:p w14:paraId="5BF7EC0E" w14:textId="77777777" w:rsidR="009E3661" w:rsidRPr="000F0115" w:rsidRDefault="009E3661" w:rsidP="009E3661">
      <w:pPr>
        <w:spacing w:line="240" w:lineRule="auto"/>
        <w:rPr>
          <w:noProof/>
          <w:szCs w:val="22"/>
          <w:u w:val="single"/>
          <w:lang w:val="sk-SK"/>
        </w:rPr>
      </w:pPr>
    </w:p>
    <w:p w14:paraId="5127B9F0" w14:textId="77777777" w:rsidR="009E3661" w:rsidRPr="000F0115" w:rsidRDefault="009E3661" w:rsidP="009E3661">
      <w:pPr>
        <w:spacing w:line="240" w:lineRule="auto"/>
        <w:rPr>
          <w:noProof/>
          <w:szCs w:val="22"/>
          <w:u w:val="single"/>
          <w:lang w:val="sk-SK"/>
        </w:rPr>
      </w:pPr>
      <w:r w:rsidRPr="000F0115">
        <w:rPr>
          <w:noProof/>
          <w:szCs w:val="22"/>
          <w:u w:val="single"/>
          <w:lang w:val="sk-SK"/>
        </w:rPr>
        <w:t>175 mikrogramov</w:t>
      </w:r>
    </w:p>
    <w:p w14:paraId="7C1518C1" w14:textId="77777777" w:rsidR="009E3661" w:rsidRPr="000F0115" w:rsidRDefault="009E3661" w:rsidP="009E3661">
      <w:pPr>
        <w:spacing w:line="240" w:lineRule="auto"/>
        <w:rPr>
          <w:noProof/>
          <w:szCs w:val="22"/>
          <w:lang w:val="sk-SK"/>
        </w:rPr>
      </w:pPr>
      <w:r w:rsidRPr="000F0115">
        <w:rPr>
          <w:noProof/>
          <w:szCs w:val="22"/>
          <w:lang w:val="sk-SK"/>
        </w:rPr>
        <w:t>Zmes laku LB-500017 fialovej obsahuje</w:t>
      </w:r>
    </w:p>
    <w:p w14:paraId="5063ABE2" w14:textId="77777777" w:rsidR="009E3661" w:rsidRPr="000F0115" w:rsidRDefault="009E3661" w:rsidP="009E3661">
      <w:pPr>
        <w:spacing w:line="240" w:lineRule="auto"/>
        <w:rPr>
          <w:noProof/>
          <w:szCs w:val="22"/>
          <w:lang w:val="sk-SK"/>
        </w:rPr>
      </w:pPr>
      <w:r w:rsidRPr="000F0115">
        <w:rPr>
          <w:noProof/>
          <w:szCs w:val="22"/>
          <w:lang w:val="sk-SK"/>
        </w:rPr>
        <w:t>karmín (E120)</w:t>
      </w:r>
    </w:p>
    <w:p w14:paraId="1AC5DC0A" w14:textId="77777777" w:rsidR="009E3661" w:rsidRPr="000F0115" w:rsidRDefault="009E3661" w:rsidP="009E3661">
      <w:pPr>
        <w:spacing w:line="240" w:lineRule="auto"/>
        <w:rPr>
          <w:noProof/>
          <w:szCs w:val="22"/>
          <w:lang w:val="sk-SK"/>
        </w:rPr>
      </w:pPr>
      <w:r w:rsidRPr="000F0115">
        <w:rPr>
          <w:noProof/>
          <w:szCs w:val="22"/>
          <w:lang w:val="sk-SK"/>
        </w:rPr>
        <w:t>hliníkový lak brilantnej modrej FCF (E133)</w:t>
      </w:r>
    </w:p>
    <w:p w14:paraId="3397246E" w14:textId="77777777" w:rsidR="009E3661" w:rsidRPr="000F0115" w:rsidRDefault="009E3661" w:rsidP="009E3661">
      <w:pPr>
        <w:spacing w:line="240" w:lineRule="auto"/>
        <w:rPr>
          <w:noProof/>
          <w:szCs w:val="22"/>
          <w:u w:val="single"/>
          <w:lang w:val="sk-SK"/>
        </w:rPr>
      </w:pPr>
    </w:p>
    <w:p w14:paraId="485D5DA9" w14:textId="77777777" w:rsidR="009E3661" w:rsidRPr="000F0115" w:rsidRDefault="009E3661" w:rsidP="009E3661">
      <w:pPr>
        <w:spacing w:line="240" w:lineRule="auto"/>
        <w:rPr>
          <w:noProof/>
          <w:szCs w:val="22"/>
          <w:u w:val="single"/>
          <w:lang w:val="sk-SK"/>
        </w:rPr>
      </w:pPr>
      <w:r w:rsidRPr="000F0115">
        <w:rPr>
          <w:noProof/>
          <w:szCs w:val="22"/>
          <w:u w:val="single"/>
          <w:lang w:val="sk-SK"/>
        </w:rPr>
        <w:t>200 mikrogramov</w:t>
      </w:r>
    </w:p>
    <w:p w14:paraId="40DF0418" w14:textId="77777777" w:rsidR="009E3661" w:rsidRPr="000F0115" w:rsidRDefault="009E3661" w:rsidP="009E3661">
      <w:pPr>
        <w:spacing w:line="240" w:lineRule="auto"/>
        <w:rPr>
          <w:noProof/>
          <w:szCs w:val="22"/>
          <w:lang w:val="sk-SK"/>
        </w:rPr>
      </w:pPr>
      <w:r w:rsidRPr="000F0115">
        <w:rPr>
          <w:noProof/>
          <w:szCs w:val="22"/>
          <w:lang w:val="sk-SK"/>
        </w:rPr>
        <w:t>Zmes laku LB-540010 gaštanovohnedej obsahuje</w:t>
      </w:r>
    </w:p>
    <w:p w14:paraId="46ACF58B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0F0115">
        <w:rPr>
          <w:noProof/>
          <w:szCs w:val="22"/>
          <w:lang w:val="sk-SK"/>
        </w:rPr>
        <w:t>hliníkový lak allúrovej červene (E129)</w:t>
      </w:r>
    </w:p>
    <w:p w14:paraId="7454B3C1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7080E048" w14:textId="77777777" w:rsidR="009E3661" w:rsidRPr="00456BFF" w:rsidRDefault="009E3661" w:rsidP="009E3661">
      <w:pPr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456BFF">
        <w:rPr>
          <w:b/>
          <w:noProof/>
          <w:szCs w:val="22"/>
          <w:lang w:val="sk-SK"/>
        </w:rPr>
        <w:t>6.2</w:t>
      </w:r>
      <w:r w:rsidRPr="00456BFF">
        <w:rPr>
          <w:b/>
          <w:noProof/>
          <w:szCs w:val="22"/>
          <w:lang w:val="sk-SK"/>
        </w:rPr>
        <w:tab/>
        <w:t>In</w:t>
      </w:r>
      <w:r>
        <w:rPr>
          <w:b/>
          <w:noProof/>
          <w:szCs w:val="22"/>
          <w:lang w:val="sk-SK"/>
        </w:rPr>
        <w:t>k</w:t>
      </w:r>
      <w:r w:rsidRPr="00456BFF">
        <w:rPr>
          <w:b/>
          <w:noProof/>
          <w:szCs w:val="22"/>
          <w:lang w:val="sk-SK"/>
        </w:rPr>
        <w:t>ompatibilit</w:t>
      </w:r>
      <w:r>
        <w:rPr>
          <w:b/>
          <w:noProof/>
          <w:szCs w:val="22"/>
          <w:lang w:val="sk-SK"/>
        </w:rPr>
        <w:t>y</w:t>
      </w:r>
    </w:p>
    <w:p w14:paraId="1B291D06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134B3431" w14:textId="109D4286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N</w:t>
      </w:r>
      <w:r w:rsidR="00B94CCB">
        <w:rPr>
          <w:noProof/>
          <w:szCs w:val="22"/>
          <w:lang w:val="sk-SK"/>
        </w:rPr>
        <w:t>eaplikovateľné.</w:t>
      </w:r>
    </w:p>
    <w:p w14:paraId="471DFA71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641D9532" w14:textId="77777777" w:rsidR="009E3661" w:rsidRPr="00456BFF" w:rsidRDefault="009E3661" w:rsidP="009E3661">
      <w:pPr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456BFF">
        <w:rPr>
          <w:b/>
          <w:noProof/>
          <w:szCs w:val="22"/>
          <w:lang w:val="sk-SK"/>
        </w:rPr>
        <w:lastRenderedPageBreak/>
        <w:t>6.3</w:t>
      </w:r>
      <w:r w:rsidRPr="00456BFF">
        <w:rPr>
          <w:b/>
          <w:noProof/>
          <w:szCs w:val="22"/>
          <w:lang w:val="sk-SK"/>
        </w:rPr>
        <w:tab/>
      </w:r>
      <w:r w:rsidRPr="00531AAB">
        <w:rPr>
          <w:b/>
          <w:noProof/>
          <w:szCs w:val="22"/>
          <w:lang w:val="sk-SK"/>
        </w:rPr>
        <w:t>Čas použiteľnosti</w:t>
      </w:r>
    </w:p>
    <w:p w14:paraId="5DF17854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13A20E34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 xml:space="preserve">2 </w:t>
      </w:r>
      <w:r>
        <w:rPr>
          <w:noProof/>
          <w:szCs w:val="22"/>
          <w:lang w:val="sk-SK"/>
        </w:rPr>
        <w:t>roky</w:t>
      </w:r>
    </w:p>
    <w:p w14:paraId="4B0792A5" w14:textId="77777777" w:rsidR="009E3661" w:rsidRPr="00456BFF" w:rsidRDefault="009E3661" w:rsidP="009E3661">
      <w:pPr>
        <w:spacing w:line="240" w:lineRule="auto"/>
        <w:rPr>
          <w:noProof/>
          <w:szCs w:val="22"/>
          <w:highlight w:val="yellow"/>
          <w:lang w:val="sk-SK"/>
        </w:rPr>
      </w:pPr>
    </w:p>
    <w:p w14:paraId="7C918ECB" w14:textId="77777777" w:rsidR="009E3661" w:rsidRPr="00456BFF" w:rsidRDefault="009E3661" w:rsidP="009E3661">
      <w:pPr>
        <w:spacing w:line="240" w:lineRule="auto"/>
        <w:ind w:left="567" w:hanging="567"/>
        <w:outlineLvl w:val="0"/>
        <w:rPr>
          <w:b/>
          <w:noProof/>
          <w:szCs w:val="22"/>
          <w:lang w:val="sk-SK"/>
        </w:rPr>
      </w:pPr>
      <w:r w:rsidRPr="00456BFF">
        <w:rPr>
          <w:b/>
          <w:noProof/>
          <w:szCs w:val="22"/>
          <w:lang w:val="sk-SK"/>
        </w:rPr>
        <w:t>6.4</w:t>
      </w:r>
      <w:r w:rsidRPr="00456BFF">
        <w:rPr>
          <w:b/>
          <w:noProof/>
          <w:szCs w:val="22"/>
          <w:lang w:val="sk-SK"/>
        </w:rPr>
        <w:tab/>
      </w:r>
      <w:r w:rsidRPr="00531AAB">
        <w:rPr>
          <w:b/>
          <w:noProof/>
          <w:szCs w:val="22"/>
          <w:lang w:val="sk-SK"/>
        </w:rPr>
        <w:t>Špeciálne upozornenia na uchovávanie</w:t>
      </w:r>
    </w:p>
    <w:p w14:paraId="771FED31" w14:textId="77777777" w:rsidR="009E3661" w:rsidRPr="00456BFF" w:rsidRDefault="009E3661" w:rsidP="009E3661">
      <w:pPr>
        <w:spacing w:line="240" w:lineRule="auto"/>
        <w:ind w:left="567" w:hanging="567"/>
        <w:outlineLvl w:val="0"/>
        <w:rPr>
          <w:noProof/>
          <w:szCs w:val="22"/>
          <w:lang w:val="sk-SK"/>
        </w:rPr>
      </w:pPr>
    </w:p>
    <w:p w14:paraId="1EDB5CED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AE436B">
        <w:rPr>
          <w:noProof/>
          <w:szCs w:val="22"/>
          <w:lang w:val="sk-SK"/>
        </w:rPr>
        <w:t>Uchovávajte pri teplote do 25 °C</w:t>
      </w:r>
      <w:r w:rsidRPr="00456BFF">
        <w:rPr>
          <w:noProof/>
          <w:szCs w:val="22"/>
          <w:lang w:val="sk-SK"/>
        </w:rPr>
        <w:t>.</w:t>
      </w:r>
    </w:p>
    <w:p w14:paraId="6088A7C5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759908D4" w14:textId="77777777" w:rsidR="009E3661" w:rsidRPr="00456BFF" w:rsidRDefault="009E3661" w:rsidP="009E3661">
      <w:pPr>
        <w:spacing w:line="240" w:lineRule="auto"/>
        <w:outlineLvl w:val="0"/>
        <w:rPr>
          <w:b/>
          <w:noProof/>
          <w:szCs w:val="22"/>
          <w:lang w:val="sk-SK"/>
        </w:rPr>
      </w:pPr>
      <w:r w:rsidRPr="00456BFF">
        <w:rPr>
          <w:b/>
          <w:noProof/>
          <w:szCs w:val="22"/>
          <w:lang w:val="sk-SK"/>
        </w:rPr>
        <w:t>6.5</w:t>
      </w:r>
      <w:r w:rsidRPr="00456BFF">
        <w:rPr>
          <w:b/>
          <w:noProof/>
          <w:szCs w:val="22"/>
          <w:lang w:val="sk-SK"/>
        </w:rPr>
        <w:tab/>
      </w:r>
      <w:r w:rsidRPr="00531AAB">
        <w:rPr>
          <w:b/>
          <w:noProof/>
          <w:szCs w:val="22"/>
          <w:lang w:val="sk-SK"/>
        </w:rPr>
        <w:t>Druh obalu a obsah balenia</w:t>
      </w:r>
    </w:p>
    <w:p w14:paraId="0AF4AC2C" w14:textId="77777777" w:rsidR="009E3661" w:rsidRPr="00456BFF" w:rsidRDefault="009E3661" w:rsidP="009E3661">
      <w:pPr>
        <w:spacing w:line="240" w:lineRule="auto"/>
        <w:rPr>
          <w:szCs w:val="22"/>
          <w:lang w:val="sk-SK"/>
        </w:rPr>
      </w:pPr>
    </w:p>
    <w:p w14:paraId="677DD0E6" w14:textId="77777777" w:rsidR="009E3661" w:rsidRPr="00456BFF" w:rsidRDefault="009E3661" w:rsidP="009E3661">
      <w:pPr>
        <w:spacing w:line="240" w:lineRule="auto"/>
        <w:rPr>
          <w:szCs w:val="22"/>
          <w:u w:val="single"/>
          <w:lang w:val="sk-SK"/>
        </w:rPr>
      </w:pPr>
      <w:r w:rsidRPr="00456BFF">
        <w:rPr>
          <w:szCs w:val="22"/>
          <w:u w:val="single"/>
          <w:lang w:val="sk-SK"/>
        </w:rPr>
        <w:t>12</w:t>
      </w:r>
      <w:r>
        <w:rPr>
          <w:szCs w:val="22"/>
          <w:u w:val="single"/>
          <w:lang w:val="sk-SK"/>
        </w:rPr>
        <w:t>,</w:t>
      </w:r>
      <w:r w:rsidRPr="00456BFF">
        <w:rPr>
          <w:szCs w:val="22"/>
          <w:u w:val="single"/>
          <w:lang w:val="sk-SK"/>
        </w:rPr>
        <w:t xml:space="preserve">5 </w:t>
      </w:r>
      <w:r w:rsidRPr="00456BFF">
        <w:rPr>
          <w:noProof/>
          <w:szCs w:val="22"/>
          <w:u w:val="single"/>
          <w:lang w:val="sk-SK"/>
        </w:rPr>
        <w:t>mi</w:t>
      </w:r>
      <w:r>
        <w:rPr>
          <w:noProof/>
          <w:szCs w:val="22"/>
          <w:u w:val="single"/>
          <w:lang w:val="sk-SK"/>
        </w:rPr>
        <w:t>krogramov</w:t>
      </w:r>
    </w:p>
    <w:p w14:paraId="60C3FB3E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>
        <w:rPr>
          <w:szCs w:val="22"/>
          <w:lang w:val="sk-SK"/>
        </w:rPr>
        <w:t>Jantárový</w:t>
      </w:r>
      <w:r w:rsidRPr="00456BFF">
        <w:rPr>
          <w:szCs w:val="22"/>
          <w:lang w:val="sk-SK"/>
        </w:rPr>
        <w:t xml:space="preserve"> </w:t>
      </w:r>
      <w:r w:rsidRPr="00456BFF">
        <w:rPr>
          <w:noProof/>
          <w:szCs w:val="22"/>
          <w:lang w:val="sk-SK"/>
        </w:rPr>
        <w:t xml:space="preserve">PVC/EVOH/Aclar-Alu blister </w:t>
      </w:r>
      <w:r w:rsidRPr="00E67540">
        <w:rPr>
          <w:noProof/>
          <w:szCs w:val="22"/>
          <w:lang w:val="sk-SK"/>
        </w:rPr>
        <w:t>obsahujúci 10, 50, 100 a 200 tabliet</w:t>
      </w:r>
      <w:r w:rsidRPr="00456BFF">
        <w:rPr>
          <w:noProof/>
          <w:szCs w:val="22"/>
          <w:lang w:val="sk-SK"/>
        </w:rPr>
        <w:t xml:space="preserve">. </w:t>
      </w:r>
    </w:p>
    <w:p w14:paraId="598A64BF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2D47CA74" w14:textId="77777777" w:rsidR="009E3661" w:rsidRPr="00456BFF" w:rsidRDefault="009E3661" w:rsidP="009E3661">
      <w:pPr>
        <w:spacing w:line="240" w:lineRule="auto"/>
        <w:rPr>
          <w:szCs w:val="22"/>
          <w:u w:val="single"/>
          <w:lang w:val="sk-SK"/>
        </w:rPr>
      </w:pPr>
      <w:r w:rsidRPr="00456BFF">
        <w:rPr>
          <w:szCs w:val="22"/>
          <w:u w:val="single"/>
          <w:lang w:val="sk-SK"/>
        </w:rPr>
        <w:t xml:space="preserve">25/50/100 </w:t>
      </w:r>
      <w:r>
        <w:rPr>
          <w:noProof/>
          <w:szCs w:val="22"/>
          <w:u w:val="single"/>
          <w:lang w:val="sk-SK"/>
        </w:rPr>
        <w:t>mikrogramov</w:t>
      </w:r>
    </w:p>
    <w:p w14:paraId="362EA087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>
        <w:rPr>
          <w:szCs w:val="22"/>
          <w:lang w:val="sk-SK"/>
        </w:rPr>
        <w:t>Jantárový</w:t>
      </w:r>
      <w:r w:rsidRPr="00456BFF">
        <w:rPr>
          <w:szCs w:val="22"/>
          <w:lang w:val="sk-SK"/>
        </w:rPr>
        <w:t xml:space="preserve"> </w:t>
      </w:r>
      <w:r w:rsidRPr="00456BFF">
        <w:rPr>
          <w:noProof/>
          <w:szCs w:val="22"/>
          <w:lang w:val="sk-SK"/>
        </w:rPr>
        <w:t xml:space="preserve">PVC/EVOH/Aclar-Alu blister </w:t>
      </w:r>
      <w:r w:rsidRPr="00E67540">
        <w:rPr>
          <w:noProof/>
          <w:szCs w:val="22"/>
          <w:lang w:val="sk-SK"/>
        </w:rPr>
        <w:t>obsahujúci 10, 30, 50, 56, 90, 100 a 200 tabliet</w:t>
      </w:r>
      <w:r w:rsidRPr="00456BFF">
        <w:rPr>
          <w:noProof/>
          <w:szCs w:val="22"/>
          <w:lang w:val="sk-SK"/>
        </w:rPr>
        <w:t xml:space="preserve">. </w:t>
      </w:r>
    </w:p>
    <w:p w14:paraId="35D13376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35AFF63B" w14:textId="77777777" w:rsidR="009E3661" w:rsidRPr="00456BFF" w:rsidRDefault="009E3661" w:rsidP="009E3661">
      <w:pPr>
        <w:spacing w:line="240" w:lineRule="auto"/>
        <w:rPr>
          <w:szCs w:val="22"/>
          <w:u w:val="single"/>
          <w:lang w:val="sk-SK"/>
        </w:rPr>
      </w:pPr>
      <w:r w:rsidRPr="00456BFF">
        <w:rPr>
          <w:szCs w:val="22"/>
          <w:u w:val="single"/>
          <w:lang w:val="sk-SK"/>
        </w:rPr>
        <w:t xml:space="preserve">75/88/112/125/137/150/175/200 </w:t>
      </w:r>
      <w:r>
        <w:rPr>
          <w:noProof/>
          <w:szCs w:val="22"/>
          <w:u w:val="single"/>
          <w:lang w:val="sk-SK"/>
        </w:rPr>
        <w:t>mikrogramov</w:t>
      </w:r>
    </w:p>
    <w:p w14:paraId="3A861066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>
        <w:rPr>
          <w:szCs w:val="22"/>
          <w:lang w:val="sk-SK"/>
        </w:rPr>
        <w:t>Jantárový</w:t>
      </w:r>
      <w:r w:rsidRPr="00456BFF">
        <w:rPr>
          <w:szCs w:val="22"/>
          <w:lang w:val="sk-SK"/>
        </w:rPr>
        <w:t xml:space="preserve"> </w:t>
      </w:r>
      <w:r w:rsidRPr="00456BFF">
        <w:rPr>
          <w:noProof/>
          <w:szCs w:val="22"/>
          <w:lang w:val="sk-SK"/>
        </w:rPr>
        <w:t xml:space="preserve">PVC/EVOH/Aclar-Alu blister </w:t>
      </w:r>
      <w:r w:rsidRPr="00E67540">
        <w:rPr>
          <w:noProof/>
          <w:szCs w:val="22"/>
          <w:lang w:val="sk-SK"/>
        </w:rPr>
        <w:t>obsahujúci 10, 30, 50, 90, 100 a 200 tabliet</w:t>
      </w:r>
      <w:r w:rsidRPr="00456BFF">
        <w:rPr>
          <w:noProof/>
          <w:szCs w:val="22"/>
          <w:lang w:val="sk-SK"/>
        </w:rPr>
        <w:t xml:space="preserve">. </w:t>
      </w:r>
    </w:p>
    <w:p w14:paraId="442FE029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5518F54D" w14:textId="36E2AE99" w:rsidR="00B1106B" w:rsidRPr="00456BFF" w:rsidRDefault="009E3661" w:rsidP="009E3661">
      <w:pPr>
        <w:spacing w:line="240" w:lineRule="auto"/>
        <w:rPr>
          <w:noProof/>
          <w:szCs w:val="22"/>
          <w:lang w:val="sk-SK"/>
        </w:rPr>
      </w:pPr>
      <w:r w:rsidRPr="003E6FA1">
        <w:rPr>
          <w:noProof/>
          <w:szCs w:val="22"/>
          <w:lang w:val="sk-SK"/>
        </w:rPr>
        <w:t>Na trh nemusia byť uvedené všetky veľkosti balenia</w:t>
      </w:r>
      <w:r w:rsidRPr="00456BFF">
        <w:rPr>
          <w:noProof/>
          <w:szCs w:val="22"/>
          <w:lang w:val="sk-SK"/>
        </w:rPr>
        <w:t>.</w:t>
      </w:r>
    </w:p>
    <w:p w14:paraId="46E4EB02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57188F74" w14:textId="77777777" w:rsidR="009E3661" w:rsidRPr="00456BFF" w:rsidRDefault="009E3661" w:rsidP="009E3661">
      <w:pPr>
        <w:spacing w:line="240" w:lineRule="auto"/>
        <w:ind w:left="567" w:hanging="567"/>
        <w:outlineLvl w:val="0"/>
        <w:rPr>
          <w:noProof/>
          <w:szCs w:val="22"/>
          <w:lang w:val="sk-SK"/>
        </w:rPr>
      </w:pPr>
      <w:bookmarkStart w:id="3" w:name="OLE_LINK1"/>
      <w:r w:rsidRPr="00456BFF">
        <w:rPr>
          <w:b/>
          <w:noProof/>
          <w:szCs w:val="22"/>
          <w:lang w:val="sk-SK"/>
        </w:rPr>
        <w:t>6.6</w:t>
      </w:r>
      <w:r w:rsidRPr="00456BFF">
        <w:rPr>
          <w:b/>
          <w:noProof/>
          <w:szCs w:val="22"/>
          <w:lang w:val="sk-SK"/>
        </w:rPr>
        <w:tab/>
      </w:r>
      <w:r w:rsidRPr="00531AAB">
        <w:rPr>
          <w:b/>
          <w:noProof/>
          <w:szCs w:val="22"/>
          <w:lang w:val="sk-SK"/>
        </w:rPr>
        <w:t>Špeciálne opatrenia na likvidáciu</w:t>
      </w:r>
    </w:p>
    <w:p w14:paraId="64444C46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2B2F124A" w14:textId="77777777" w:rsidR="009E3661" w:rsidRPr="00456BFF" w:rsidRDefault="009E3661" w:rsidP="009E3661">
      <w:pPr>
        <w:spacing w:line="240" w:lineRule="auto"/>
        <w:rPr>
          <w:szCs w:val="22"/>
          <w:lang w:val="sk-SK"/>
        </w:rPr>
      </w:pPr>
      <w:r w:rsidRPr="003E6FA1">
        <w:rPr>
          <w:szCs w:val="22"/>
          <w:lang w:val="sk-SK"/>
        </w:rPr>
        <w:t>Všetok nepoužitý liek alebo odpad vzniknutý z lieku sa má zlikvidovať v súlade s národnými požiadavkami</w:t>
      </w:r>
      <w:r w:rsidRPr="00456BFF">
        <w:rPr>
          <w:szCs w:val="22"/>
          <w:lang w:val="sk-SK"/>
        </w:rPr>
        <w:t>.</w:t>
      </w:r>
    </w:p>
    <w:bookmarkEnd w:id="3"/>
    <w:p w14:paraId="47DD7A32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16A5BDC9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6F6E97E4" w14:textId="77777777" w:rsidR="009E3661" w:rsidRPr="00456BFF" w:rsidRDefault="009E3661" w:rsidP="009E3661">
      <w:pPr>
        <w:spacing w:line="240" w:lineRule="auto"/>
        <w:ind w:left="567" w:hanging="567"/>
        <w:rPr>
          <w:noProof/>
          <w:szCs w:val="22"/>
          <w:lang w:val="sk-SK"/>
        </w:rPr>
      </w:pPr>
      <w:r w:rsidRPr="00456BFF">
        <w:rPr>
          <w:b/>
          <w:noProof/>
          <w:szCs w:val="22"/>
          <w:lang w:val="sk-SK"/>
        </w:rPr>
        <w:t>7.</w:t>
      </w:r>
      <w:r w:rsidRPr="00456BFF">
        <w:rPr>
          <w:b/>
          <w:noProof/>
          <w:szCs w:val="22"/>
          <w:lang w:val="sk-SK"/>
        </w:rPr>
        <w:tab/>
      </w:r>
      <w:r w:rsidRPr="00531AAB">
        <w:rPr>
          <w:b/>
          <w:noProof/>
          <w:szCs w:val="22"/>
          <w:lang w:val="sk-SK"/>
        </w:rPr>
        <w:t>DRŽITEĽ ROZHODNUTIA O REGISTRÁCII</w:t>
      </w:r>
    </w:p>
    <w:p w14:paraId="00C5F7CC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3B55B082" w14:textId="77777777" w:rsidR="005E79D1" w:rsidRPr="00FD32CB" w:rsidRDefault="005E79D1" w:rsidP="005E79D1">
      <w:pPr>
        <w:spacing w:line="240" w:lineRule="auto"/>
        <w:rPr>
          <w:lang w:val="sk-SK"/>
        </w:rPr>
      </w:pPr>
      <w:r w:rsidRPr="00FD32CB">
        <w:rPr>
          <w:lang w:val="sk-SK"/>
        </w:rPr>
        <w:t>Accord Healthcar</w:t>
      </w:r>
      <w:r>
        <w:rPr>
          <w:lang w:val="sk-SK"/>
        </w:rPr>
        <w:t xml:space="preserve">e </w:t>
      </w:r>
      <w:r w:rsidRPr="00FD32CB">
        <w:rPr>
          <w:lang w:val="sk-SK"/>
        </w:rPr>
        <w:t>Polska Sp. z o.o.</w:t>
      </w:r>
    </w:p>
    <w:p w14:paraId="6161352E" w14:textId="77777777" w:rsidR="005E79D1" w:rsidRPr="00FD32CB" w:rsidRDefault="005E79D1" w:rsidP="005E79D1">
      <w:pPr>
        <w:spacing w:line="240" w:lineRule="auto"/>
        <w:rPr>
          <w:lang w:val="sk-SK"/>
        </w:rPr>
      </w:pPr>
      <w:r w:rsidRPr="00FD32CB">
        <w:rPr>
          <w:lang w:val="sk-SK"/>
        </w:rPr>
        <w:t>ul. Taśmowa 7</w:t>
      </w:r>
    </w:p>
    <w:p w14:paraId="69420A43" w14:textId="77777777" w:rsidR="005E79D1" w:rsidRPr="00FD32CB" w:rsidRDefault="005E79D1" w:rsidP="005E79D1">
      <w:pPr>
        <w:spacing w:line="240" w:lineRule="auto"/>
        <w:rPr>
          <w:lang w:val="sk-SK"/>
        </w:rPr>
      </w:pPr>
      <w:r w:rsidRPr="00FD32CB">
        <w:rPr>
          <w:lang w:val="sk-SK"/>
        </w:rPr>
        <w:t>02-677</w:t>
      </w:r>
      <w:r>
        <w:rPr>
          <w:lang w:val="sk-SK"/>
        </w:rPr>
        <w:t xml:space="preserve"> Varšava</w:t>
      </w:r>
    </w:p>
    <w:p w14:paraId="2590A367" w14:textId="77777777" w:rsidR="005E79D1" w:rsidRPr="00FD32CB" w:rsidRDefault="005E79D1" w:rsidP="005E79D1">
      <w:pPr>
        <w:spacing w:line="240" w:lineRule="auto"/>
        <w:rPr>
          <w:lang w:val="sk-SK"/>
        </w:rPr>
      </w:pPr>
      <w:r w:rsidRPr="00FD32CB">
        <w:rPr>
          <w:lang w:val="sk-SK"/>
        </w:rPr>
        <w:t>Po</w:t>
      </w:r>
      <w:r>
        <w:rPr>
          <w:lang w:val="sk-SK"/>
        </w:rPr>
        <w:t xml:space="preserve">ľsko </w:t>
      </w:r>
    </w:p>
    <w:p w14:paraId="737B79CC" w14:textId="77777777" w:rsidR="009E3661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38D971F2" w14:textId="77777777" w:rsidR="005E79D1" w:rsidRPr="00456BFF" w:rsidRDefault="005E79D1" w:rsidP="009E3661">
      <w:pPr>
        <w:spacing w:line="240" w:lineRule="auto"/>
        <w:rPr>
          <w:noProof/>
          <w:szCs w:val="22"/>
          <w:lang w:val="sk-SK"/>
        </w:rPr>
      </w:pPr>
    </w:p>
    <w:p w14:paraId="62FC8895" w14:textId="77777777" w:rsidR="009E3661" w:rsidRPr="00456BFF" w:rsidRDefault="009E3661" w:rsidP="009E3661">
      <w:pPr>
        <w:spacing w:line="240" w:lineRule="auto"/>
        <w:ind w:left="567" w:hanging="567"/>
        <w:rPr>
          <w:b/>
          <w:noProof/>
          <w:szCs w:val="22"/>
          <w:lang w:val="sk-SK"/>
        </w:rPr>
      </w:pPr>
      <w:r w:rsidRPr="00456BFF">
        <w:rPr>
          <w:b/>
          <w:noProof/>
          <w:szCs w:val="22"/>
          <w:lang w:val="sk-SK"/>
        </w:rPr>
        <w:t>8.</w:t>
      </w:r>
      <w:r w:rsidRPr="00456BFF">
        <w:rPr>
          <w:b/>
          <w:noProof/>
          <w:szCs w:val="22"/>
          <w:lang w:val="sk-SK"/>
        </w:rPr>
        <w:tab/>
      </w:r>
      <w:r w:rsidRPr="00531AAB">
        <w:rPr>
          <w:b/>
          <w:noProof/>
          <w:szCs w:val="22"/>
          <w:lang w:val="sk-SK"/>
        </w:rPr>
        <w:t xml:space="preserve">REGISTRAČNÉ ČÍSLA </w:t>
      </w:r>
    </w:p>
    <w:p w14:paraId="0D10B78A" w14:textId="77777777" w:rsidR="009E3661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5DC48D96" w14:textId="79EA7DC5" w:rsidR="00256D3F" w:rsidRPr="00456BFF" w:rsidRDefault="00256D3F" w:rsidP="00256D3F">
      <w:pPr>
        <w:spacing w:line="240" w:lineRule="auto"/>
        <w:rPr>
          <w:iCs/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Levothyroxine Accord 12,5</w:t>
      </w:r>
      <w:r w:rsidRPr="00456BFF">
        <w:rPr>
          <w:lang w:val="sk-SK"/>
        </w:rPr>
        <w:t xml:space="preserve"> </w:t>
      </w:r>
      <w:r>
        <w:rPr>
          <w:szCs w:val="22"/>
          <w:lang w:val="sk-SK"/>
        </w:rPr>
        <w:t xml:space="preserve">mikrogramov </w:t>
      </w:r>
      <w:r w:rsidRPr="00456BFF">
        <w:rPr>
          <w:noProof/>
          <w:szCs w:val="22"/>
          <w:lang w:val="sk-SK"/>
        </w:rPr>
        <w:t>tablety</w:t>
      </w:r>
      <w:r>
        <w:rPr>
          <w:noProof/>
          <w:szCs w:val="22"/>
          <w:lang w:val="sk-SK"/>
        </w:rPr>
        <w:tab/>
      </w:r>
      <w:r w:rsidRPr="00256D3F">
        <w:rPr>
          <w:noProof/>
          <w:szCs w:val="22"/>
          <w:lang w:val="sk-SK"/>
        </w:rPr>
        <w:t>56/0077/20-S</w:t>
      </w:r>
    </w:p>
    <w:p w14:paraId="58788E4E" w14:textId="54369689" w:rsidR="00256D3F" w:rsidRPr="00456BFF" w:rsidRDefault="00256D3F" w:rsidP="00256D3F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 xml:space="preserve">Levothyroxine Accord 25 </w:t>
      </w:r>
      <w:r>
        <w:rPr>
          <w:szCs w:val="22"/>
          <w:lang w:val="sk-SK"/>
        </w:rPr>
        <w:t xml:space="preserve">mikrogramov </w:t>
      </w:r>
      <w:r w:rsidRPr="00456BFF">
        <w:rPr>
          <w:noProof/>
          <w:szCs w:val="22"/>
          <w:lang w:val="sk-SK"/>
        </w:rPr>
        <w:t>tablety</w:t>
      </w:r>
      <w:r w:rsidRPr="00256D3F">
        <w:t xml:space="preserve"> </w:t>
      </w:r>
      <w:r>
        <w:tab/>
      </w:r>
      <w:r>
        <w:tab/>
      </w:r>
      <w:r>
        <w:rPr>
          <w:noProof/>
          <w:szCs w:val="22"/>
          <w:lang w:val="sk-SK"/>
        </w:rPr>
        <w:t>56/0078</w:t>
      </w:r>
      <w:r w:rsidRPr="00256D3F">
        <w:rPr>
          <w:noProof/>
          <w:szCs w:val="22"/>
          <w:lang w:val="sk-SK"/>
        </w:rPr>
        <w:t>/20-S</w:t>
      </w:r>
    </w:p>
    <w:p w14:paraId="23F825DF" w14:textId="43B98D83" w:rsidR="00256D3F" w:rsidRPr="00456BFF" w:rsidRDefault="00256D3F" w:rsidP="00256D3F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Levothyroxine Accord 50</w:t>
      </w:r>
      <w:r w:rsidRPr="00456BFF">
        <w:rPr>
          <w:lang w:val="sk-SK"/>
        </w:rPr>
        <w:t xml:space="preserve"> </w:t>
      </w:r>
      <w:r>
        <w:rPr>
          <w:szCs w:val="22"/>
          <w:lang w:val="sk-SK"/>
        </w:rPr>
        <w:t xml:space="preserve">mikrogramov </w:t>
      </w:r>
      <w:r w:rsidRPr="00456BFF">
        <w:rPr>
          <w:noProof/>
          <w:szCs w:val="22"/>
          <w:lang w:val="sk-SK"/>
        </w:rPr>
        <w:t>tablety</w:t>
      </w:r>
      <w:r w:rsidRPr="00256D3F">
        <w:t xml:space="preserve"> </w:t>
      </w:r>
      <w:r>
        <w:tab/>
      </w:r>
      <w:r>
        <w:tab/>
      </w:r>
      <w:r>
        <w:rPr>
          <w:noProof/>
          <w:szCs w:val="22"/>
          <w:lang w:val="sk-SK"/>
        </w:rPr>
        <w:t>56/0079</w:t>
      </w:r>
      <w:r w:rsidRPr="00256D3F">
        <w:rPr>
          <w:noProof/>
          <w:szCs w:val="22"/>
          <w:lang w:val="sk-SK"/>
        </w:rPr>
        <w:t>/20-S</w:t>
      </w:r>
    </w:p>
    <w:p w14:paraId="01D1A632" w14:textId="2464F81A" w:rsidR="00256D3F" w:rsidRPr="00456BFF" w:rsidRDefault="00256D3F" w:rsidP="00256D3F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Levothyroxine Accord 75</w:t>
      </w:r>
      <w:r w:rsidRPr="00456BFF">
        <w:rPr>
          <w:lang w:val="sk-SK"/>
        </w:rPr>
        <w:t xml:space="preserve"> </w:t>
      </w:r>
      <w:r>
        <w:rPr>
          <w:szCs w:val="22"/>
          <w:lang w:val="sk-SK"/>
        </w:rPr>
        <w:t xml:space="preserve">mikrogramov </w:t>
      </w:r>
      <w:r w:rsidRPr="00456BFF">
        <w:rPr>
          <w:noProof/>
          <w:szCs w:val="22"/>
          <w:lang w:val="sk-SK"/>
        </w:rPr>
        <w:t>tablety</w:t>
      </w:r>
      <w:r w:rsidRPr="00256D3F">
        <w:t xml:space="preserve"> </w:t>
      </w:r>
      <w:r>
        <w:tab/>
      </w:r>
      <w:r>
        <w:tab/>
      </w:r>
      <w:r>
        <w:rPr>
          <w:noProof/>
          <w:szCs w:val="22"/>
          <w:lang w:val="sk-SK"/>
        </w:rPr>
        <w:t>56/0080</w:t>
      </w:r>
      <w:r w:rsidRPr="00256D3F">
        <w:rPr>
          <w:noProof/>
          <w:szCs w:val="22"/>
          <w:lang w:val="sk-SK"/>
        </w:rPr>
        <w:t>/20-S</w:t>
      </w:r>
    </w:p>
    <w:p w14:paraId="62E178E5" w14:textId="0F37079D" w:rsidR="00256D3F" w:rsidRPr="00456BFF" w:rsidRDefault="00256D3F" w:rsidP="00256D3F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Levothyroxine Accord 88</w:t>
      </w:r>
      <w:r w:rsidRPr="00456BFF">
        <w:rPr>
          <w:lang w:val="sk-SK"/>
        </w:rPr>
        <w:t xml:space="preserve"> </w:t>
      </w:r>
      <w:r>
        <w:rPr>
          <w:szCs w:val="22"/>
          <w:lang w:val="sk-SK"/>
        </w:rPr>
        <w:t xml:space="preserve">mikrogramov </w:t>
      </w:r>
      <w:r w:rsidRPr="00456BFF">
        <w:rPr>
          <w:noProof/>
          <w:szCs w:val="22"/>
          <w:lang w:val="sk-SK"/>
        </w:rPr>
        <w:t>tablety</w:t>
      </w:r>
      <w:r w:rsidRPr="00256D3F">
        <w:t xml:space="preserve"> </w:t>
      </w:r>
      <w:r>
        <w:tab/>
      </w:r>
      <w:r>
        <w:tab/>
      </w:r>
      <w:r>
        <w:rPr>
          <w:noProof/>
          <w:szCs w:val="22"/>
          <w:lang w:val="sk-SK"/>
        </w:rPr>
        <w:t>56/0081</w:t>
      </w:r>
      <w:r w:rsidRPr="00256D3F">
        <w:rPr>
          <w:noProof/>
          <w:szCs w:val="22"/>
          <w:lang w:val="sk-SK"/>
        </w:rPr>
        <w:t>/20-S</w:t>
      </w:r>
    </w:p>
    <w:p w14:paraId="7EE7D3E3" w14:textId="248CB585" w:rsidR="00256D3F" w:rsidRPr="00456BFF" w:rsidRDefault="00256D3F" w:rsidP="00256D3F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Levothyroxine Accord 100</w:t>
      </w:r>
      <w:r w:rsidRPr="00456BFF">
        <w:rPr>
          <w:lang w:val="sk-SK"/>
        </w:rPr>
        <w:t xml:space="preserve"> </w:t>
      </w:r>
      <w:r>
        <w:rPr>
          <w:szCs w:val="22"/>
          <w:lang w:val="sk-SK"/>
        </w:rPr>
        <w:t xml:space="preserve">mikrogramov </w:t>
      </w:r>
      <w:r w:rsidRPr="00456BFF">
        <w:rPr>
          <w:noProof/>
          <w:szCs w:val="22"/>
          <w:lang w:val="sk-SK"/>
        </w:rPr>
        <w:t>tablety</w:t>
      </w:r>
      <w:r w:rsidRPr="00256D3F">
        <w:t xml:space="preserve"> </w:t>
      </w:r>
      <w:r>
        <w:tab/>
      </w:r>
      <w:r>
        <w:rPr>
          <w:noProof/>
          <w:szCs w:val="22"/>
          <w:lang w:val="sk-SK"/>
        </w:rPr>
        <w:t>56/0082</w:t>
      </w:r>
      <w:r w:rsidRPr="00256D3F">
        <w:rPr>
          <w:noProof/>
          <w:szCs w:val="22"/>
          <w:lang w:val="sk-SK"/>
        </w:rPr>
        <w:t>/20-S</w:t>
      </w:r>
    </w:p>
    <w:p w14:paraId="1EB8B57C" w14:textId="714B2645" w:rsidR="00256D3F" w:rsidRPr="00456BFF" w:rsidRDefault="00256D3F" w:rsidP="00256D3F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Levothyroxine Accord 112</w:t>
      </w:r>
      <w:r w:rsidRPr="00456BFF">
        <w:rPr>
          <w:lang w:val="sk-SK"/>
        </w:rPr>
        <w:t xml:space="preserve"> </w:t>
      </w:r>
      <w:r>
        <w:rPr>
          <w:szCs w:val="22"/>
          <w:lang w:val="sk-SK"/>
        </w:rPr>
        <w:t xml:space="preserve">mikrogramov </w:t>
      </w:r>
      <w:r w:rsidRPr="00456BFF">
        <w:rPr>
          <w:noProof/>
          <w:szCs w:val="22"/>
          <w:lang w:val="sk-SK"/>
        </w:rPr>
        <w:t>tablety</w:t>
      </w:r>
      <w:r w:rsidRPr="00256D3F">
        <w:t xml:space="preserve"> </w:t>
      </w:r>
      <w:r>
        <w:tab/>
      </w:r>
      <w:r>
        <w:rPr>
          <w:noProof/>
          <w:szCs w:val="22"/>
          <w:lang w:val="sk-SK"/>
        </w:rPr>
        <w:t>56/0083</w:t>
      </w:r>
      <w:r w:rsidRPr="00256D3F">
        <w:rPr>
          <w:noProof/>
          <w:szCs w:val="22"/>
          <w:lang w:val="sk-SK"/>
        </w:rPr>
        <w:t>/20-S</w:t>
      </w:r>
    </w:p>
    <w:p w14:paraId="2F172001" w14:textId="3381CEB1" w:rsidR="00256D3F" w:rsidRPr="00456BFF" w:rsidRDefault="00256D3F" w:rsidP="00256D3F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Levothyroxine Accord 125</w:t>
      </w:r>
      <w:r w:rsidRPr="00456BFF">
        <w:rPr>
          <w:lang w:val="sk-SK"/>
        </w:rPr>
        <w:t xml:space="preserve"> </w:t>
      </w:r>
      <w:r>
        <w:rPr>
          <w:szCs w:val="22"/>
          <w:lang w:val="sk-SK"/>
        </w:rPr>
        <w:t xml:space="preserve">mikrogramov </w:t>
      </w:r>
      <w:r w:rsidRPr="00456BFF">
        <w:rPr>
          <w:noProof/>
          <w:szCs w:val="22"/>
          <w:lang w:val="sk-SK"/>
        </w:rPr>
        <w:t>tablety</w:t>
      </w:r>
      <w:r w:rsidRPr="00256D3F">
        <w:t xml:space="preserve"> </w:t>
      </w:r>
      <w:r>
        <w:tab/>
      </w:r>
      <w:r>
        <w:rPr>
          <w:noProof/>
          <w:szCs w:val="22"/>
          <w:lang w:val="sk-SK"/>
        </w:rPr>
        <w:t>56/0084</w:t>
      </w:r>
      <w:r w:rsidRPr="00256D3F">
        <w:rPr>
          <w:noProof/>
          <w:szCs w:val="22"/>
          <w:lang w:val="sk-SK"/>
        </w:rPr>
        <w:t>/20-S</w:t>
      </w:r>
    </w:p>
    <w:p w14:paraId="2533848E" w14:textId="483F1926" w:rsidR="00256D3F" w:rsidRPr="00456BFF" w:rsidRDefault="00256D3F" w:rsidP="00256D3F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Levothyroxine Accord 137</w:t>
      </w:r>
      <w:r w:rsidRPr="00456BFF">
        <w:rPr>
          <w:lang w:val="sk-SK"/>
        </w:rPr>
        <w:t xml:space="preserve"> </w:t>
      </w:r>
      <w:r>
        <w:rPr>
          <w:szCs w:val="22"/>
          <w:lang w:val="sk-SK"/>
        </w:rPr>
        <w:t xml:space="preserve">mikrogramov </w:t>
      </w:r>
      <w:r w:rsidRPr="00456BFF">
        <w:rPr>
          <w:noProof/>
          <w:szCs w:val="22"/>
          <w:lang w:val="sk-SK"/>
        </w:rPr>
        <w:t>tablety</w:t>
      </w:r>
      <w:r w:rsidRPr="00256D3F">
        <w:t xml:space="preserve"> </w:t>
      </w:r>
      <w:r>
        <w:tab/>
      </w:r>
      <w:r>
        <w:rPr>
          <w:noProof/>
          <w:szCs w:val="22"/>
          <w:lang w:val="sk-SK"/>
        </w:rPr>
        <w:t>56/0085</w:t>
      </w:r>
      <w:r w:rsidRPr="00256D3F">
        <w:rPr>
          <w:noProof/>
          <w:szCs w:val="22"/>
          <w:lang w:val="sk-SK"/>
        </w:rPr>
        <w:t>/20-S</w:t>
      </w:r>
    </w:p>
    <w:p w14:paraId="44710C49" w14:textId="2572C369" w:rsidR="00256D3F" w:rsidRPr="00456BFF" w:rsidRDefault="00256D3F" w:rsidP="00256D3F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Levothyroxine Accord 150</w:t>
      </w:r>
      <w:r w:rsidRPr="00456BFF">
        <w:rPr>
          <w:lang w:val="sk-SK"/>
        </w:rPr>
        <w:t xml:space="preserve"> </w:t>
      </w:r>
      <w:r>
        <w:rPr>
          <w:szCs w:val="22"/>
          <w:lang w:val="sk-SK"/>
        </w:rPr>
        <w:t xml:space="preserve">mikrogramov </w:t>
      </w:r>
      <w:r w:rsidRPr="00456BFF">
        <w:rPr>
          <w:noProof/>
          <w:szCs w:val="22"/>
          <w:lang w:val="sk-SK"/>
        </w:rPr>
        <w:t>tablety</w:t>
      </w:r>
      <w:r w:rsidRPr="00256D3F">
        <w:t xml:space="preserve"> </w:t>
      </w:r>
      <w:r>
        <w:tab/>
      </w:r>
      <w:r>
        <w:rPr>
          <w:noProof/>
          <w:szCs w:val="22"/>
          <w:lang w:val="sk-SK"/>
        </w:rPr>
        <w:t>56/0086</w:t>
      </w:r>
      <w:r w:rsidRPr="00256D3F">
        <w:rPr>
          <w:noProof/>
          <w:szCs w:val="22"/>
          <w:lang w:val="sk-SK"/>
        </w:rPr>
        <w:t>/20-S</w:t>
      </w:r>
    </w:p>
    <w:p w14:paraId="3FF1180C" w14:textId="4F5AA183" w:rsidR="00256D3F" w:rsidRPr="00456BFF" w:rsidRDefault="00256D3F" w:rsidP="00256D3F">
      <w:pPr>
        <w:spacing w:line="240" w:lineRule="auto"/>
        <w:rPr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Levothyroxine Accord 175</w:t>
      </w:r>
      <w:r w:rsidRPr="00456BFF">
        <w:rPr>
          <w:lang w:val="sk-SK"/>
        </w:rPr>
        <w:t xml:space="preserve"> </w:t>
      </w:r>
      <w:r>
        <w:rPr>
          <w:szCs w:val="22"/>
          <w:lang w:val="sk-SK"/>
        </w:rPr>
        <w:t xml:space="preserve">mikrogramov </w:t>
      </w:r>
      <w:r w:rsidRPr="00456BFF">
        <w:rPr>
          <w:noProof/>
          <w:szCs w:val="22"/>
          <w:lang w:val="sk-SK"/>
        </w:rPr>
        <w:t>tablety</w:t>
      </w:r>
      <w:r w:rsidRPr="00256D3F">
        <w:t xml:space="preserve"> </w:t>
      </w:r>
      <w:r>
        <w:tab/>
      </w:r>
      <w:r>
        <w:rPr>
          <w:noProof/>
          <w:szCs w:val="22"/>
          <w:lang w:val="sk-SK"/>
        </w:rPr>
        <w:t>56/0087</w:t>
      </w:r>
      <w:r w:rsidRPr="00256D3F">
        <w:rPr>
          <w:noProof/>
          <w:szCs w:val="22"/>
          <w:lang w:val="sk-SK"/>
        </w:rPr>
        <w:t>/20-S</w:t>
      </w:r>
    </w:p>
    <w:p w14:paraId="1F3461CC" w14:textId="2133C2FA" w:rsidR="00256D3F" w:rsidRPr="00456BFF" w:rsidRDefault="00256D3F" w:rsidP="00256D3F">
      <w:pPr>
        <w:spacing w:line="240" w:lineRule="auto"/>
        <w:rPr>
          <w:iCs/>
          <w:noProof/>
          <w:szCs w:val="22"/>
          <w:lang w:val="sk-SK"/>
        </w:rPr>
      </w:pPr>
      <w:r w:rsidRPr="00456BFF">
        <w:rPr>
          <w:noProof/>
          <w:szCs w:val="22"/>
          <w:lang w:val="sk-SK"/>
        </w:rPr>
        <w:t>Levothyroxine Accord 200</w:t>
      </w:r>
      <w:r w:rsidRPr="00456BFF">
        <w:rPr>
          <w:lang w:val="sk-SK"/>
        </w:rPr>
        <w:t xml:space="preserve"> </w:t>
      </w:r>
      <w:r>
        <w:rPr>
          <w:szCs w:val="22"/>
          <w:lang w:val="sk-SK"/>
        </w:rPr>
        <w:t xml:space="preserve">mikrogramov </w:t>
      </w:r>
      <w:r w:rsidRPr="00456BFF">
        <w:rPr>
          <w:noProof/>
          <w:szCs w:val="22"/>
          <w:lang w:val="sk-SK"/>
        </w:rPr>
        <w:t>tablety</w:t>
      </w:r>
      <w:r w:rsidRPr="00256D3F">
        <w:t xml:space="preserve"> </w:t>
      </w:r>
      <w:r>
        <w:tab/>
      </w:r>
      <w:r>
        <w:rPr>
          <w:noProof/>
          <w:szCs w:val="22"/>
          <w:lang w:val="sk-SK"/>
        </w:rPr>
        <w:t>56/0088</w:t>
      </w:r>
      <w:r w:rsidRPr="00256D3F">
        <w:rPr>
          <w:noProof/>
          <w:szCs w:val="22"/>
          <w:lang w:val="sk-SK"/>
        </w:rPr>
        <w:t>/20-S</w:t>
      </w:r>
    </w:p>
    <w:p w14:paraId="216630FA" w14:textId="77777777" w:rsidR="00B1106B" w:rsidRPr="00456BFF" w:rsidRDefault="00B1106B" w:rsidP="009E3661">
      <w:pPr>
        <w:spacing w:line="240" w:lineRule="auto"/>
        <w:ind w:left="567" w:hanging="567"/>
        <w:rPr>
          <w:b/>
          <w:noProof/>
          <w:szCs w:val="22"/>
          <w:lang w:val="sk-SK"/>
        </w:rPr>
      </w:pPr>
    </w:p>
    <w:p w14:paraId="0D9E4449" w14:textId="77777777" w:rsidR="009E3661" w:rsidRPr="00456BFF" w:rsidRDefault="009E3661" w:rsidP="009E3661">
      <w:pPr>
        <w:spacing w:line="240" w:lineRule="auto"/>
        <w:ind w:left="567" w:hanging="567"/>
        <w:rPr>
          <w:noProof/>
          <w:szCs w:val="22"/>
          <w:lang w:val="sk-SK"/>
        </w:rPr>
      </w:pPr>
      <w:r w:rsidRPr="00456BFF">
        <w:rPr>
          <w:b/>
          <w:noProof/>
          <w:szCs w:val="22"/>
          <w:lang w:val="sk-SK"/>
        </w:rPr>
        <w:t>9.</w:t>
      </w:r>
      <w:r w:rsidRPr="00456BFF">
        <w:rPr>
          <w:b/>
          <w:noProof/>
          <w:szCs w:val="22"/>
          <w:lang w:val="sk-SK"/>
        </w:rPr>
        <w:tab/>
      </w:r>
      <w:r w:rsidRPr="00531AAB">
        <w:rPr>
          <w:b/>
          <w:noProof/>
          <w:szCs w:val="22"/>
          <w:lang w:val="sk-SK"/>
        </w:rPr>
        <w:t>DÁTUM PRVEJ REGISTRÁCIE/PREDĹŽENIA REGISTRÁCIE</w:t>
      </w:r>
    </w:p>
    <w:p w14:paraId="0E81A14D" w14:textId="77777777" w:rsidR="00B1106B" w:rsidRDefault="00B1106B" w:rsidP="009E3661">
      <w:pPr>
        <w:spacing w:line="240" w:lineRule="auto"/>
        <w:rPr>
          <w:i/>
          <w:noProof/>
          <w:szCs w:val="22"/>
          <w:lang w:val="sk-SK"/>
        </w:rPr>
      </w:pPr>
    </w:p>
    <w:p w14:paraId="5A7372A9" w14:textId="77777777" w:rsidR="009E3661" w:rsidRPr="00456BFF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1A02A04D" w14:textId="77777777" w:rsidR="009E3661" w:rsidRPr="00456BFF" w:rsidRDefault="009E3661" w:rsidP="009E3661">
      <w:pPr>
        <w:spacing w:line="240" w:lineRule="auto"/>
        <w:ind w:left="567" w:hanging="567"/>
        <w:rPr>
          <w:b/>
          <w:noProof/>
          <w:szCs w:val="22"/>
          <w:lang w:val="sk-SK"/>
        </w:rPr>
      </w:pPr>
      <w:r w:rsidRPr="00456BFF">
        <w:rPr>
          <w:b/>
          <w:noProof/>
          <w:szCs w:val="22"/>
          <w:lang w:val="sk-SK"/>
        </w:rPr>
        <w:t>10.</w:t>
      </w:r>
      <w:r w:rsidRPr="00456BFF">
        <w:rPr>
          <w:b/>
          <w:noProof/>
          <w:szCs w:val="22"/>
          <w:lang w:val="sk-SK"/>
        </w:rPr>
        <w:tab/>
      </w:r>
      <w:r w:rsidRPr="00531AAB">
        <w:rPr>
          <w:b/>
          <w:noProof/>
          <w:szCs w:val="22"/>
          <w:lang w:val="sk-SK"/>
        </w:rPr>
        <w:t>DÁTUM REVÍZIE TEXTU</w:t>
      </w:r>
    </w:p>
    <w:p w14:paraId="71CC7AD1" w14:textId="77777777" w:rsidR="009E3661" w:rsidRDefault="009E3661" w:rsidP="009E3661">
      <w:pPr>
        <w:spacing w:line="240" w:lineRule="auto"/>
        <w:rPr>
          <w:noProof/>
          <w:szCs w:val="22"/>
          <w:lang w:val="sk-SK"/>
        </w:rPr>
      </w:pPr>
    </w:p>
    <w:p w14:paraId="5C4C2A27" w14:textId="70F9EFA9" w:rsidR="00256D3F" w:rsidRPr="00456BFF" w:rsidRDefault="00256D3F" w:rsidP="009E3661">
      <w:pPr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04/2020</w:t>
      </w:r>
    </w:p>
    <w:sectPr w:rsidR="00256D3F" w:rsidRPr="00456BFF" w:rsidSect="00591695">
      <w:headerReference w:type="default" r:id="rId9"/>
      <w:footerReference w:type="default" r:id="rId10"/>
      <w:headerReference w:type="first" r:id="rId11"/>
      <w:footerReference w:type="first" r:id="rId12"/>
      <w:pgSz w:w="11907" w:h="16860"/>
      <w:pgMar w:top="1060" w:right="1240" w:bottom="900" w:left="1300" w:header="0" w:footer="6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3106B" w14:textId="77777777" w:rsidR="00F41AC4" w:rsidRDefault="00F41AC4">
      <w:pPr>
        <w:spacing w:line="240" w:lineRule="auto"/>
      </w:pPr>
      <w:r>
        <w:separator/>
      </w:r>
    </w:p>
  </w:endnote>
  <w:endnote w:type="continuationSeparator" w:id="0">
    <w:p w14:paraId="3B565F64" w14:textId="77777777" w:rsidR="00F41AC4" w:rsidRDefault="00F41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7308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26B155F4" w14:textId="070E1EEA" w:rsidR="008F5665" w:rsidRPr="006B1F83" w:rsidRDefault="008F5665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6B1F83">
          <w:rPr>
            <w:rFonts w:ascii="Times New Roman" w:hAnsi="Times New Roman"/>
            <w:sz w:val="18"/>
            <w:szCs w:val="18"/>
          </w:rPr>
          <w:fldChar w:fldCharType="begin"/>
        </w:r>
        <w:r w:rsidRPr="006B1F83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B1F83">
          <w:rPr>
            <w:rFonts w:ascii="Times New Roman" w:hAnsi="Times New Roman"/>
            <w:sz w:val="18"/>
            <w:szCs w:val="18"/>
          </w:rPr>
          <w:fldChar w:fldCharType="separate"/>
        </w:r>
        <w:r w:rsidR="006B1F83" w:rsidRPr="006B1F83">
          <w:rPr>
            <w:rFonts w:ascii="Times New Roman" w:hAnsi="Times New Roman"/>
            <w:sz w:val="18"/>
            <w:szCs w:val="18"/>
            <w:lang w:val="sk-SK"/>
          </w:rPr>
          <w:t>11</w:t>
        </w:r>
        <w:r w:rsidRPr="006B1F83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1CCEF2CF" w14:textId="77777777" w:rsidR="00686163" w:rsidRDefault="0068616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3EF51" w14:textId="77777777" w:rsidR="00686163" w:rsidRDefault="00686163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>
      <w:rPr>
        <w:rStyle w:val="slostrany"/>
        <w:rFonts w:cs="Arial"/>
      </w:rPr>
      <w:t>18</w:t>
    </w:r>
    <w:r>
      <w:rPr>
        <w:rStyle w:val="slostrany"/>
        <w:rFonts w:cs="Arial"/>
      </w:rPr>
      <w:fldChar w:fldCharType="end"/>
    </w:r>
  </w:p>
  <w:p w14:paraId="185102C5" w14:textId="77777777" w:rsidR="00686163" w:rsidRDefault="00686163"/>
  <w:p w14:paraId="76E3FB48" w14:textId="77777777" w:rsidR="00686163" w:rsidRDefault="006861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045A4" w14:textId="77777777" w:rsidR="00F41AC4" w:rsidRDefault="00F41AC4">
      <w:pPr>
        <w:spacing w:line="240" w:lineRule="auto"/>
      </w:pPr>
      <w:r>
        <w:separator/>
      </w:r>
    </w:p>
  </w:footnote>
  <w:footnote w:type="continuationSeparator" w:id="0">
    <w:p w14:paraId="5FA266AE" w14:textId="77777777" w:rsidR="00F41AC4" w:rsidRDefault="00F41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526A3" w14:textId="77777777" w:rsidR="008F5665" w:rsidRDefault="008F5665" w:rsidP="008F5665">
    <w:pPr>
      <w:pStyle w:val="Hlavika"/>
      <w:rPr>
        <w:sz w:val="18"/>
        <w:szCs w:val="18"/>
        <w:lang w:val="sk-SK"/>
      </w:rPr>
    </w:pPr>
  </w:p>
  <w:p w14:paraId="74AB4782" w14:textId="7C0DB9C3" w:rsidR="008F5665" w:rsidRPr="008F5665" w:rsidRDefault="00256D3F" w:rsidP="006B1F83">
    <w:pPr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</w:t>
    </w:r>
    <w:r w:rsidR="008F5665" w:rsidRPr="008F5665">
      <w:rPr>
        <w:sz w:val="18"/>
        <w:szCs w:val="18"/>
        <w:lang w:val="sk-SK"/>
      </w:rPr>
      <w:t xml:space="preserve"> k rozhodnutiu o registrácii lieku, ev. č.: 2</w:t>
    </w:r>
    <w:r w:rsidR="008F5665" w:rsidRPr="006B1F83">
      <w:rPr>
        <w:sz w:val="18"/>
        <w:szCs w:val="18"/>
      </w:rPr>
      <w:t xml:space="preserve">018/05847-REG, </w:t>
    </w:r>
    <w:r w:rsidR="008F5665" w:rsidRPr="008F5665">
      <w:rPr>
        <w:sz w:val="18"/>
        <w:szCs w:val="18"/>
        <w:lang w:val="sk-SK" w:eastAsia="sk-SK"/>
      </w:rPr>
      <w:t>2018/05848-REG, 2018/05849-REG, 2018/05850-REG, 2018/05851-REG, 2018/05852-REG, 2018/05853-REG, 2018/05854-REG, 2018/05855-REG, 2018/05856-REG, 2018/05857-REG, 2018/05858-REG</w:t>
    </w:r>
  </w:p>
  <w:p w14:paraId="2CE01BD6" w14:textId="77777777" w:rsidR="008F5665" w:rsidRDefault="008F566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BDE01" w14:textId="77777777" w:rsidR="00686163" w:rsidRPr="00320312" w:rsidRDefault="00686163" w:rsidP="00591695">
    <w:pPr>
      <w:pStyle w:val="Hlavika"/>
      <w:pBdr>
        <w:bottom w:val="thinThickSmallGap" w:sz="12" w:space="1" w:color="auto"/>
      </w:pBdr>
      <w:rPr>
        <w:rFonts w:ascii="Times New Roman" w:hAnsi="Times New Roman"/>
        <w:sz w:val="22"/>
        <w:szCs w:val="22"/>
      </w:rPr>
    </w:pPr>
    <w:r w:rsidRPr="00320312">
      <w:rPr>
        <w:rFonts w:ascii="Times New Roman" w:hAnsi="Times New Roman"/>
        <w:sz w:val="22"/>
        <w:szCs w:val="22"/>
      </w:rPr>
      <w:t>Emtricitabine/Tenofovir disoproxil film-coated tablets 200/245 mg</w:t>
    </w:r>
  </w:p>
  <w:p w14:paraId="1E10CB4B" w14:textId="77777777" w:rsidR="00686163" w:rsidRPr="00320312" w:rsidRDefault="00686163">
    <w:pPr>
      <w:pStyle w:val="Hlavika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hanging="204"/>
      </w:pPr>
      <w:rPr>
        <w:rFonts w:ascii="Times New Roman" w:hAnsi="Times New Roman" w:cs="Times New Roman"/>
        <w:b/>
        <w:bCs/>
        <w:sz w:val="27"/>
        <w:szCs w:val="27"/>
      </w:rPr>
    </w:lvl>
    <w:lvl w:ilvl="1">
      <w:start w:val="1"/>
      <w:numFmt w:val="decimal"/>
      <w:lvlText w:val="%1.%2"/>
      <w:lvlJc w:val="left"/>
      <w:pPr>
        <w:ind w:hanging="406"/>
      </w:pPr>
      <w:rPr>
        <w:rFonts w:ascii="Times New Roman" w:hAnsi="Times New Roman" w:cs="Times New Roman"/>
        <w:b/>
        <w:bCs/>
        <w:spacing w:val="-1"/>
        <w:sz w:val="27"/>
        <w:szCs w:val="27"/>
      </w:rPr>
    </w:lvl>
    <w:lvl w:ilvl="2">
      <w:numFmt w:val="bullet"/>
      <w:lvlText w:val="•"/>
      <w:lvlJc w:val="left"/>
      <w:pPr>
        <w:ind w:hanging="240"/>
      </w:pPr>
      <w:rPr>
        <w:rFonts w:ascii="Arial" w:hAnsi="Arial" w:cs="Arial"/>
        <w:b w:val="0"/>
        <w:bCs w:val="0"/>
        <w:w w:val="212"/>
        <w:sz w:val="14"/>
        <w:szCs w:val="1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7905E13"/>
    <w:multiLevelType w:val="hybridMultilevel"/>
    <w:tmpl w:val="AD32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28E4"/>
    <w:multiLevelType w:val="hybridMultilevel"/>
    <w:tmpl w:val="DC821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B0374"/>
    <w:multiLevelType w:val="hybridMultilevel"/>
    <w:tmpl w:val="30FCB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437F0"/>
    <w:multiLevelType w:val="hybridMultilevel"/>
    <w:tmpl w:val="65CEF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30B47"/>
    <w:multiLevelType w:val="singleLevel"/>
    <w:tmpl w:val="AA80A30A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B745A72"/>
    <w:multiLevelType w:val="hybridMultilevel"/>
    <w:tmpl w:val="35E2A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trackRevisions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61"/>
    <w:rsid w:val="00083F19"/>
    <w:rsid w:val="00087437"/>
    <w:rsid w:val="000B79C3"/>
    <w:rsid w:val="000D6F74"/>
    <w:rsid w:val="001454AC"/>
    <w:rsid w:val="001F5125"/>
    <w:rsid w:val="00256D3F"/>
    <w:rsid w:val="00324ADF"/>
    <w:rsid w:val="00445B6E"/>
    <w:rsid w:val="00461DAA"/>
    <w:rsid w:val="00497486"/>
    <w:rsid w:val="00591695"/>
    <w:rsid w:val="005D49C8"/>
    <w:rsid w:val="005E79D1"/>
    <w:rsid w:val="0063276E"/>
    <w:rsid w:val="00686163"/>
    <w:rsid w:val="006B1F83"/>
    <w:rsid w:val="00800F2E"/>
    <w:rsid w:val="008255C7"/>
    <w:rsid w:val="00875B2C"/>
    <w:rsid w:val="008C0492"/>
    <w:rsid w:val="008F5665"/>
    <w:rsid w:val="00933893"/>
    <w:rsid w:val="009E3661"/>
    <w:rsid w:val="009F1DCC"/>
    <w:rsid w:val="00A17BB1"/>
    <w:rsid w:val="00AC5B59"/>
    <w:rsid w:val="00B1106B"/>
    <w:rsid w:val="00B94CCB"/>
    <w:rsid w:val="00C10FB4"/>
    <w:rsid w:val="00C974F5"/>
    <w:rsid w:val="00F41504"/>
    <w:rsid w:val="00F41AC4"/>
    <w:rsid w:val="00F54E85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D68968"/>
  <w15:docId w15:val="{96AD8064-00D4-4DE4-9434-DCA9B372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3661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paragraph" w:styleId="Nadpis1">
    <w:name w:val="heading 1"/>
    <w:basedOn w:val="Normlny"/>
    <w:link w:val="Nadpis1Char"/>
    <w:uiPriority w:val="1"/>
    <w:qFormat/>
    <w:rsid w:val="009E3661"/>
    <w:pPr>
      <w:widowControl w:val="0"/>
      <w:tabs>
        <w:tab w:val="clear" w:pos="567"/>
      </w:tabs>
      <w:spacing w:line="240" w:lineRule="auto"/>
      <w:ind w:left="684"/>
      <w:outlineLvl w:val="0"/>
    </w:pPr>
    <w:rPr>
      <w:b/>
      <w:bCs/>
      <w:szCs w:val="22"/>
      <w:lang w:val="x-none" w:eastAsia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9E366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9E3661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dpis2Char">
    <w:name w:val="Nadpis 2 Char"/>
    <w:basedOn w:val="Predvolenpsmoodseku"/>
    <w:link w:val="Nadpis2"/>
    <w:semiHidden/>
    <w:rsid w:val="009E3661"/>
    <w:rPr>
      <w:rFonts w:ascii="Calibri Light" w:eastAsia="Times New Roman" w:hAnsi="Calibri Light" w:cs="Times New Roman"/>
      <w:b/>
      <w:bCs/>
      <w:i/>
      <w:iCs/>
      <w:sz w:val="28"/>
      <w:szCs w:val="28"/>
      <w:lang w:eastAsia="x-none"/>
    </w:rPr>
  </w:style>
  <w:style w:type="paragraph" w:styleId="Pta">
    <w:name w:val="footer"/>
    <w:basedOn w:val="Normlny"/>
    <w:link w:val="PtaChar"/>
    <w:uiPriority w:val="99"/>
    <w:rsid w:val="009E366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basedOn w:val="Predvolenpsmoodseku"/>
    <w:link w:val="Pta"/>
    <w:uiPriority w:val="99"/>
    <w:rsid w:val="009E3661"/>
    <w:rPr>
      <w:rFonts w:ascii="Arial" w:eastAsia="Times New Roman" w:hAnsi="Arial" w:cs="Times New Roman"/>
      <w:noProof/>
      <w:sz w:val="16"/>
      <w:szCs w:val="20"/>
    </w:rPr>
  </w:style>
  <w:style w:type="paragraph" w:styleId="Hlavika">
    <w:name w:val="header"/>
    <w:basedOn w:val="Normlny"/>
    <w:link w:val="HlavikaChar"/>
    <w:rsid w:val="009E3661"/>
    <w:pPr>
      <w:tabs>
        <w:tab w:val="center" w:pos="4153"/>
        <w:tab w:val="right" w:pos="8306"/>
      </w:tabs>
    </w:pPr>
    <w:rPr>
      <w:rFonts w:ascii="Arial" w:hAnsi="Arial"/>
      <w:sz w:val="20"/>
      <w:lang w:eastAsia="x-none"/>
    </w:rPr>
  </w:style>
  <w:style w:type="character" w:customStyle="1" w:styleId="HlavikaChar">
    <w:name w:val="Hlavička Char"/>
    <w:basedOn w:val="Predvolenpsmoodseku"/>
    <w:link w:val="Hlavika"/>
    <w:rsid w:val="009E3661"/>
    <w:rPr>
      <w:rFonts w:ascii="Arial" w:eastAsia="Times New Roman" w:hAnsi="Arial" w:cs="Times New Roman"/>
      <w:sz w:val="20"/>
      <w:szCs w:val="20"/>
      <w:lang w:eastAsia="x-none"/>
    </w:rPr>
  </w:style>
  <w:style w:type="paragraph" w:customStyle="1" w:styleId="MemoHeaderStyle">
    <w:name w:val="MemoHeaderStyle"/>
    <w:basedOn w:val="Normlny"/>
    <w:next w:val="Normlny"/>
    <w:rsid w:val="009E3661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any">
    <w:name w:val="page number"/>
    <w:basedOn w:val="Predvolenpsmoodseku"/>
    <w:rsid w:val="009E3661"/>
  </w:style>
  <w:style w:type="paragraph" w:styleId="Zkladntext">
    <w:name w:val="Body Text"/>
    <w:basedOn w:val="Normlny"/>
    <w:link w:val="ZkladntextChar"/>
    <w:uiPriority w:val="1"/>
    <w:qFormat/>
    <w:rsid w:val="009E3661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uiPriority w:val="1"/>
    <w:rsid w:val="009E3661"/>
    <w:rPr>
      <w:rFonts w:ascii="Times New Roman" w:eastAsia="Times New Roman" w:hAnsi="Times New Roman" w:cs="Times New Roman"/>
      <w:i/>
      <w:color w:val="008000"/>
      <w:szCs w:val="20"/>
    </w:rPr>
  </w:style>
  <w:style w:type="paragraph" w:styleId="Textkomentra">
    <w:name w:val="annotation text"/>
    <w:basedOn w:val="Normlny"/>
    <w:link w:val="TextkomentraChar"/>
    <w:semiHidden/>
    <w:rsid w:val="009E3661"/>
    <w:rPr>
      <w:sz w:val="20"/>
      <w:lang w:val="x-none"/>
    </w:rPr>
  </w:style>
  <w:style w:type="character" w:customStyle="1" w:styleId="TextkomentraChar">
    <w:name w:val="Text komentára Char"/>
    <w:basedOn w:val="Predvolenpsmoodseku"/>
    <w:link w:val="Textkomentra"/>
    <w:semiHidden/>
    <w:rsid w:val="009E3661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Hypertextovprepojenie">
    <w:name w:val="Hyperlink"/>
    <w:rsid w:val="009E3661"/>
    <w:rPr>
      <w:color w:val="0000FF"/>
      <w:u w:val="single"/>
    </w:rPr>
  </w:style>
  <w:style w:type="paragraph" w:customStyle="1" w:styleId="EMEAEnBodyText">
    <w:name w:val="EMEA En Body Text"/>
    <w:basedOn w:val="Normlny"/>
    <w:rsid w:val="009E3661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extbubliny">
    <w:name w:val="Balloon Text"/>
    <w:basedOn w:val="Normlny"/>
    <w:link w:val="TextbublinyChar"/>
    <w:semiHidden/>
    <w:rsid w:val="009E36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9E3661"/>
    <w:rPr>
      <w:rFonts w:ascii="Tahoma" w:eastAsia="Times New Roman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rsid w:val="009E3661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9E3661"/>
    <w:rPr>
      <w:rFonts w:ascii="Verdana" w:eastAsia="Verdana" w:hAnsi="Verdana" w:cs="Verdana"/>
      <w:sz w:val="18"/>
      <w:szCs w:val="18"/>
      <w:lang w:eastAsia="en-GB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9E3661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9E3661"/>
    <w:rPr>
      <w:rFonts w:ascii="Courier New" w:eastAsia="Verdana" w:hAnsi="Courier New" w:cs="Times New Roman"/>
      <w:i/>
      <w:color w:val="339966"/>
      <w:szCs w:val="18"/>
      <w:lang w:eastAsia="en-GB"/>
    </w:rPr>
  </w:style>
  <w:style w:type="paragraph" w:customStyle="1" w:styleId="NormalAgency">
    <w:name w:val="Normal (Agency)"/>
    <w:link w:val="NormalAgencyChar"/>
    <w:rsid w:val="009E3661"/>
    <w:pPr>
      <w:spacing w:after="0" w:line="240" w:lineRule="auto"/>
    </w:pPr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9E3661"/>
    <w:pPr>
      <w:spacing w:after="0" w:line="240" w:lineRule="auto"/>
    </w:pPr>
    <w:rPr>
      <w:rFonts w:ascii="Verdana" w:eastAsia="SimSun" w:hAnsi="Verdana" w:cs="Times New Roman"/>
      <w:sz w:val="18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9E3661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9E3661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9E3661"/>
    <w:rPr>
      <w:rFonts w:ascii="Verdana" w:eastAsia="Verdana" w:hAnsi="Verdana" w:cs="Verdana"/>
      <w:sz w:val="18"/>
      <w:szCs w:val="18"/>
      <w:lang w:eastAsia="en-GB"/>
    </w:rPr>
  </w:style>
  <w:style w:type="character" w:styleId="Odkaznakomentr">
    <w:name w:val="annotation reference"/>
    <w:rsid w:val="009E3661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9E36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9E3661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paragraph" w:styleId="Odsekzoznamu">
    <w:name w:val="List Paragraph"/>
    <w:basedOn w:val="Normlny"/>
    <w:uiPriority w:val="1"/>
    <w:qFormat/>
    <w:rsid w:val="009E3661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paragraph" w:customStyle="1" w:styleId="TableParagraph">
    <w:name w:val="Table Paragraph"/>
    <w:basedOn w:val="Normlny"/>
    <w:uiPriority w:val="1"/>
    <w:qFormat/>
    <w:rsid w:val="009E3661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table" w:styleId="Mriekatabuky">
    <w:name w:val="Table Grid"/>
    <w:basedOn w:val="Normlnatabuka"/>
    <w:rsid w:val="009E366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66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/>
    </w:rPr>
  </w:style>
  <w:style w:type="character" w:styleId="Zvraznenie">
    <w:name w:val="Emphasis"/>
    <w:uiPriority w:val="20"/>
    <w:qFormat/>
    <w:rsid w:val="009E3661"/>
    <w:rPr>
      <w:i/>
      <w:iCs/>
    </w:rPr>
  </w:style>
  <w:style w:type="paragraph" w:styleId="Zarkazkladnhotextu">
    <w:name w:val="Body Text Indent"/>
    <w:basedOn w:val="Normlny"/>
    <w:link w:val="ZarkazkladnhotextuChar"/>
    <w:rsid w:val="009E366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9E3661"/>
    <w:rPr>
      <w:rFonts w:ascii="Times New Roman" w:eastAsia="Times New Roman" w:hAnsi="Times New Roman" w:cs="Times New Roman"/>
      <w:szCs w:val="20"/>
    </w:rPr>
  </w:style>
  <w:style w:type="paragraph" w:styleId="Revzia">
    <w:name w:val="Revision"/>
    <w:hidden/>
    <w:uiPriority w:val="99"/>
    <w:semiHidden/>
    <w:rsid w:val="0068616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st1">
    <w:name w:val="st1"/>
    <w:basedOn w:val="Predvolenpsmoodseku"/>
    <w:rsid w:val="00686163"/>
  </w:style>
  <w:style w:type="character" w:customStyle="1" w:styleId="Hypertextovprepojenie1">
    <w:name w:val="Hypertextové prepojenie1"/>
    <w:uiPriority w:val="99"/>
    <w:rsid w:val="00B11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A1C85-7DC7-4142-B949-F7E8F6B2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4321</Words>
  <Characters>24634</Characters>
  <Application>Microsoft Office Word</Application>
  <DocSecurity>0</DocSecurity>
  <Lines>205</Lines>
  <Paragraphs>57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user</cp:lastModifiedBy>
  <cp:revision>3</cp:revision>
  <dcterms:created xsi:type="dcterms:W3CDTF">2020-04-14T08:24:00Z</dcterms:created>
  <dcterms:modified xsi:type="dcterms:W3CDTF">2020-04-14T08:26:00Z</dcterms:modified>
</cp:coreProperties>
</file>