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EAC9F" w14:textId="77777777" w:rsidR="008A742D" w:rsidRPr="00412889" w:rsidRDefault="001F536F">
      <w:pPr>
        <w:pStyle w:val="Nzov"/>
        <w:rPr>
          <w:sz w:val="22"/>
          <w:szCs w:val="22"/>
          <w:u w:val="none"/>
          <w:lang w:val="sk-SK"/>
        </w:rPr>
      </w:pPr>
      <w:r w:rsidRPr="001F536F">
        <w:rPr>
          <w:sz w:val="22"/>
          <w:szCs w:val="22"/>
          <w:u w:val="none"/>
          <w:lang w:val="sk-SK"/>
        </w:rPr>
        <w:t>SÚHRN CHARAKTERISTICKýCH VLASTNOSTÍ LIEKU</w:t>
      </w:r>
    </w:p>
    <w:p w14:paraId="496151B0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3587A594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2FE7F409" w14:textId="77777777"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1.</w:t>
      </w:r>
      <w:r w:rsidRPr="001F536F">
        <w:rPr>
          <w:lang w:val="sk-SK"/>
        </w:rPr>
        <w:tab/>
        <w:t>NÁZOV LIEKU</w:t>
      </w:r>
    </w:p>
    <w:p w14:paraId="7089CBDE" w14:textId="77777777" w:rsidR="008A742D" w:rsidRPr="00412889" w:rsidRDefault="008A742D">
      <w:pPr>
        <w:tabs>
          <w:tab w:val="right" w:pos="4253"/>
        </w:tabs>
        <w:rPr>
          <w:szCs w:val="22"/>
          <w:lang w:val="sk-SK"/>
        </w:rPr>
      </w:pPr>
    </w:p>
    <w:p w14:paraId="715EF23D" w14:textId="77777777" w:rsidR="008A742D" w:rsidRPr="00412889" w:rsidRDefault="001F536F" w:rsidP="0050339C">
      <w:pPr>
        <w:tabs>
          <w:tab w:val="right" w:pos="4253"/>
        </w:tabs>
        <w:rPr>
          <w:lang w:val="sk-SK"/>
        </w:rPr>
      </w:pPr>
      <w:r>
        <w:rPr>
          <w:szCs w:val="22"/>
          <w:lang w:val="sk-SK"/>
        </w:rPr>
        <w:t>Metronidazol</w:t>
      </w:r>
      <w:r w:rsidR="000B4E93">
        <w:rPr>
          <w:szCs w:val="22"/>
          <w:lang w:val="sk-SK"/>
        </w:rPr>
        <w:t>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>
        <w:rPr>
          <w:szCs w:val="22"/>
          <w:lang w:val="sk-SK"/>
        </w:rPr>
        <w:t xml:space="preserve"> 5 mg/ml </w:t>
      </w:r>
      <w:r w:rsidRPr="001F536F">
        <w:rPr>
          <w:lang w:val="sk-SK"/>
        </w:rPr>
        <w:t>infúzny roztok</w:t>
      </w:r>
    </w:p>
    <w:p w14:paraId="62801242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664950CE" w14:textId="77777777" w:rsidR="008A742D" w:rsidRPr="00412889" w:rsidRDefault="008A742D">
      <w:pPr>
        <w:rPr>
          <w:lang w:val="sk-SK"/>
        </w:rPr>
      </w:pPr>
    </w:p>
    <w:p w14:paraId="25ADDF15" w14:textId="77777777"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2.</w:t>
      </w:r>
      <w:r w:rsidRPr="001F536F">
        <w:rPr>
          <w:lang w:val="sk-SK"/>
        </w:rPr>
        <w:tab/>
        <w:t>KVALITATÍVNE A KVANTITATÍVNE ZLOŽENIE</w:t>
      </w:r>
    </w:p>
    <w:p w14:paraId="1A53DFDB" w14:textId="77777777" w:rsidR="008A742D" w:rsidRPr="00412889" w:rsidRDefault="008A742D">
      <w:pPr>
        <w:rPr>
          <w:szCs w:val="22"/>
          <w:lang w:val="sk-SK"/>
        </w:rPr>
      </w:pPr>
    </w:p>
    <w:p w14:paraId="1EBF8304" w14:textId="77777777" w:rsidR="00E15641" w:rsidRPr="00412889" w:rsidRDefault="001F536F" w:rsidP="00E15641">
      <w:pPr>
        <w:rPr>
          <w:szCs w:val="22"/>
          <w:lang w:val="sk-SK"/>
        </w:rPr>
      </w:pPr>
      <w:r>
        <w:rPr>
          <w:szCs w:val="22"/>
          <w:lang w:val="sk-SK"/>
        </w:rPr>
        <w:t>100 ml infúzneho roztoku obsahuje 500 mg metronidazolu.</w:t>
      </w:r>
    </w:p>
    <w:p w14:paraId="3411FB9B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Jeden ml infúzneho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roztoku obsahuje 5 mg metronidazolu.</w:t>
      </w:r>
    </w:p>
    <w:p w14:paraId="30EE4A44" w14:textId="77777777" w:rsidR="008A742D" w:rsidRPr="00412889" w:rsidRDefault="008A742D">
      <w:pPr>
        <w:rPr>
          <w:i/>
          <w:szCs w:val="22"/>
          <w:lang w:val="sk-SK"/>
        </w:rPr>
      </w:pPr>
    </w:p>
    <w:p w14:paraId="40A3EE31" w14:textId="77777777" w:rsidR="008A742D" w:rsidRPr="00412889" w:rsidRDefault="001F536F">
      <w:pPr>
        <w:rPr>
          <w:i/>
          <w:szCs w:val="22"/>
          <w:lang w:val="sk-SK"/>
        </w:rPr>
      </w:pPr>
      <w:r w:rsidRPr="001F536F">
        <w:rPr>
          <w:iCs/>
          <w:szCs w:val="22"/>
          <w:lang w:val="sk-SK"/>
        </w:rPr>
        <w:t>Pomocné látka so známym účinkom:</w:t>
      </w:r>
      <w:r>
        <w:rPr>
          <w:iCs/>
          <w:szCs w:val="22"/>
          <w:lang w:val="sk-SK"/>
        </w:rPr>
        <w:t xml:space="preserve"> tento liek obsahuje 13,51 mmol (alebo 310,58 mg)</w:t>
      </w:r>
      <w:r>
        <w:rPr>
          <w:szCs w:val="22"/>
          <w:lang w:val="sk-SK"/>
        </w:rPr>
        <w:t xml:space="preserve"> sodíka na 100 ml.</w:t>
      </w:r>
    </w:p>
    <w:p w14:paraId="6BF59F52" w14:textId="77777777" w:rsidR="008A742D" w:rsidRPr="00412889" w:rsidRDefault="001F536F">
      <w:pPr>
        <w:tabs>
          <w:tab w:val="left" w:pos="4253"/>
        </w:tabs>
        <w:rPr>
          <w:szCs w:val="22"/>
          <w:lang w:val="sk-SK"/>
        </w:rPr>
      </w:pPr>
      <w:r>
        <w:rPr>
          <w:szCs w:val="22"/>
          <w:lang w:val="sk-SK"/>
        </w:rPr>
        <w:t xml:space="preserve">Jeden ml infúzneho roztoku obsahuje 0,14 mmol (3,11 mg) sodíka. Je to potrebné vziať do úvahy u pacientov, ktorí </w:t>
      </w:r>
      <w:r>
        <w:rPr>
          <w:lang w:val="sk-SK"/>
        </w:rPr>
        <w:t xml:space="preserve">majú diétu </w:t>
      </w:r>
      <w:r>
        <w:rPr>
          <w:szCs w:val="22"/>
          <w:lang w:val="sk-SK"/>
        </w:rPr>
        <w:t>s kontrolovaným príjmom sodíka.</w:t>
      </w:r>
    </w:p>
    <w:p w14:paraId="48EDFE9B" w14:textId="77777777" w:rsidR="008A742D" w:rsidRPr="00412889" w:rsidRDefault="008A742D">
      <w:pPr>
        <w:tabs>
          <w:tab w:val="left" w:pos="3402"/>
        </w:tabs>
        <w:rPr>
          <w:szCs w:val="22"/>
          <w:lang w:val="sk-SK"/>
        </w:rPr>
      </w:pPr>
    </w:p>
    <w:p w14:paraId="6D4D56D9" w14:textId="77777777" w:rsidR="008A742D" w:rsidRPr="00412889" w:rsidRDefault="001F536F">
      <w:pPr>
        <w:tabs>
          <w:tab w:val="left" w:pos="3969"/>
        </w:tabs>
        <w:rPr>
          <w:i/>
          <w:szCs w:val="22"/>
          <w:lang w:val="sk-SK"/>
        </w:rPr>
      </w:pPr>
      <w:r>
        <w:rPr>
          <w:lang w:val="sk-SK"/>
        </w:rPr>
        <w:t>Úplný zoznam pomocných látok, pozri časť 6.1.</w:t>
      </w:r>
    </w:p>
    <w:p w14:paraId="4B09BB2B" w14:textId="77777777" w:rsidR="008A742D" w:rsidRPr="00412889" w:rsidRDefault="008A742D">
      <w:pPr>
        <w:tabs>
          <w:tab w:val="left" w:pos="3969"/>
        </w:tabs>
        <w:rPr>
          <w:i/>
          <w:szCs w:val="22"/>
          <w:lang w:val="sk-SK"/>
        </w:rPr>
      </w:pPr>
    </w:p>
    <w:p w14:paraId="4F5E2FAB" w14:textId="77777777" w:rsidR="008A742D" w:rsidRPr="00412889" w:rsidRDefault="008A742D">
      <w:pPr>
        <w:rPr>
          <w:szCs w:val="22"/>
          <w:lang w:val="sk-SK"/>
        </w:rPr>
      </w:pPr>
    </w:p>
    <w:p w14:paraId="6B57A529" w14:textId="77777777" w:rsidR="008A742D" w:rsidRPr="00412889" w:rsidRDefault="001F536F">
      <w:pPr>
        <w:rPr>
          <w:b/>
          <w:szCs w:val="22"/>
          <w:lang w:val="sk-SK"/>
        </w:rPr>
      </w:pPr>
      <w:r>
        <w:rPr>
          <w:b/>
          <w:szCs w:val="22"/>
          <w:lang w:val="sk-SK"/>
        </w:rPr>
        <w:t>3.</w:t>
      </w:r>
      <w:r>
        <w:rPr>
          <w:b/>
          <w:szCs w:val="22"/>
          <w:lang w:val="sk-SK"/>
        </w:rPr>
        <w:tab/>
        <w:t>LIEKOVÁ FORMA</w:t>
      </w:r>
    </w:p>
    <w:p w14:paraId="1C680145" w14:textId="77777777" w:rsidR="008A742D" w:rsidRPr="00412889" w:rsidRDefault="008A742D">
      <w:pPr>
        <w:rPr>
          <w:szCs w:val="22"/>
          <w:lang w:val="sk-SK"/>
        </w:rPr>
      </w:pPr>
    </w:p>
    <w:p w14:paraId="5D0572C8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Infúzny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roztok</w:t>
      </w:r>
    </w:p>
    <w:p w14:paraId="35113DC5" w14:textId="77777777" w:rsidR="00E01EA4" w:rsidRPr="00412889" w:rsidRDefault="00E01EA4">
      <w:pPr>
        <w:rPr>
          <w:szCs w:val="22"/>
          <w:lang w:val="sk-SK"/>
        </w:rPr>
      </w:pPr>
    </w:p>
    <w:p w14:paraId="717B839B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Číry, takmer bezfarebný </w:t>
      </w:r>
      <w:r w:rsidR="00EE62C3">
        <w:rPr>
          <w:szCs w:val="22"/>
          <w:lang w:val="sk-SK"/>
        </w:rPr>
        <w:t>až</w:t>
      </w:r>
      <w:r>
        <w:rPr>
          <w:szCs w:val="22"/>
          <w:lang w:val="sk-SK"/>
        </w:rPr>
        <w:t xml:space="preserve"> </w:t>
      </w:r>
      <w:r w:rsidR="00EE62C3">
        <w:rPr>
          <w:szCs w:val="22"/>
          <w:lang w:val="sk-SK"/>
        </w:rPr>
        <w:t>bledo</w:t>
      </w:r>
      <w:r>
        <w:rPr>
          <w:szCs w:val="22"/>
          <w:lang w:val="sk-SK"/>
        </w:rPr>
        <w:t>žltý roztok, bez viditeľných častíc.</w:t>
      </w:r>
    </w:p>
    <w:p w14:paraId="2A74D7BB" w14:textId="77777777" w:rsidR="00A31ECB" w:rsidRPr="00412889" w:rsidRDefault="00A31ECB">
      <w:pPr>
        <w:rPr>
          <w:szCs w:val="22"/>
          <w:lang w:val="sk-SK"/>
        </w:rPr>
      </w:pPr>
    </w:p>
    <w:p w14:paraId="5F84F5AD" w14:textId="77777777" w:rsidR="00A31ECB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pH: 4,5</w:t>
      </w:r>
      <w:r w:rsidR="00C14D9A">
        <w:rPr>
          <w:szCs w:val="22"/>
          <w:lang w:val="sk-SK"/>
        </w:rPr>
        <w:t>–</w:t>
      </w:r>
      <w:r>
        <w:rPr>
          <w:szCs w:val="22"/>
          <w:lang w:val="sk-SK"/>
        </w:rPr>
        <w:t>6,0</w:t>
      </w:r>
    </w:p>
    <w:p w14:paraId="0AD1D866" w14:textId="77777777" w:rsidR="00A31ECB" w:rsidRPr="00412889" w:rsidRDefault="00C14D9A">
      <w:pPr>
        <w:rPr>
          <w:szCs w:val="22"/>
          <w:lang w:val="sk-SK"/>
        </w:rPr>
      </w:pPr>
      <w:r>
        <w:rPr>
          <w:szCs w:val="22"/>
          <w:lang w:val="sk-SK"/>
        </w:rPr>
        <w:t>Osmolalita: 270–</w:t>
      </w:r>
      <w:r w:rsidR="001F536F">
        <w:rPr>
          <w:szCs w:val="22"/>
          <w:lang w:val="sk-SK"/>
        </w:rPr>
        <w:t>310 m</w:t>
      </w:r>
      <w:r w:rsidR="006C4D41">
        <w:rPr>
          <w:szCs w:val="22"/>
          <w:lang w:val="sk-SK"/>
        </w:rPr>
        <w:t>o</w:t>
      </w:r>
      <w:r w:rsidR="001F536F">
        <w:rPr>
          <w:szCs w:val="22"/>
          <w:lang w:val="sk-SK"/>
        </w:rPr>
        <w:t>sm/kg</w:t>
      </w:r>
    </w:p>
    <w:p w14:paraId="2F677FC5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309D83AE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25D17F42" w14:textId="77777777"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4.</w:t>
      </w:r>
      <w:r w:rsidRPr="001F536F">
        <w:rPr>
          <w:lang w:val="sk-SK"/>
        </w:rPr>
        <w:tab/>
        <w:t>KLINICKÉ ÚDAJE</w:t>
      </w:r>
    </w:p>
    <w:p w14:paraId="710BC0AB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6AEB5B13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4.1</w:t>
      </w:r>
      <w:r w:rsidRPr="001F536F">
        <w:rPr>
          <w:lang w:val="sk-SK"/>
        </w:rPr>
        <w:tab/>
        <w:t>Terapeutické indikácie</w:t>
      </w:r>
    </w:p>
    <w:p w14:paraId="6211EAF3" w14:textId="77777777" w:rsidR="008A742D" w:rsidRPr="00412889" w:rsidRDefault="008A742D">
      <w:pPr>
        <w:rPr>
          <w:szCs w:val="22"/>
          <w:lang w:val="sk-SK"/>
        </w:rPr>
      </w:pPr>
    </w:p>
    <w:p w14:paraId="646F60A4" w14:textId="77777777" w:rsidR="009F7F8F" w:rsidRDefault="001F536F">
      <w:pPr>
        <w:tabs>
          <w:tab w:val="right" w:pos="4253"/>
        </w:tabs>
        <w:rPr>
          <w:szCs w:val="22"/>
          <w:lang w:val="sk-SK"/>
        </w:rPr>
      </w:pPr>
      <w:r>
        <w:rPr>
          <w:szCs w:val="22"/>
          <w:lang w:val="sk-SK"/>
        </w:rPr>
        <w:t>Metronidazol</w:t>
      </w:r>
      <w:r w:rsidR="000B4E93">
        <w:rPr>
          <w:szCs w:val="22"/>
          <w:lang w:val="sk-SK"/>
        </w:rPr>
        <w:t>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>
        <w:rPr>
          <w:szCs w:val="22"/>
          <w:lang w:val="sk-SK"/>
        </w:rPr>
        <w:t xml:space="preserve"> 5 mg/ml </w:t>
      </w:r>
      <w:r>
        <w:rPr>
          <w:lang w:val="sk-SK"/>
        </w:rPr>
        <w:t>infúzny roztok je indikovaný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dospelým a deťom na profylaxiu a liečbu infekcií, pri ktorých bolo určené alebo je podozrenie, že sú spôsobené anaeróbnymi mikroorganizmami citlivými na metronidazol (pozri časti 4.4 a 5.1).</w:t>
      </w:r>
    </w:p>
    <w:p w14:paraId="1FDB50CB" w14:textId="77777777" w:rsidR="00A84A76" w:rsidRPr="00412889" w:rsidRDefault="001F536F" w:rsidP="00A84A76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Profylaxia pooperačných infekcií, u ktorých sa predpokladajú anaeróbne baktérie ako kauzálny patogén</w:t>
      </w:r>
      <w:r w:rsidR="00F73013">
        <w:rPr>
          <w:szCs w:val="22"/>
          <w:lang w:val="sk-SK"/>
        </w:rPr>
        <w:t xml:space="preserve"> </w:t>
      </w:r>
      <w:r>
        <w:rPr>
          <w:szCs w:val="22"/>
          <w:lang w:val="sk-SK"/>
        </w:rPr>
        <w:t>(gynekologické a intraabdominálne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operácie).</w:t>
      </w:r>
    </w:p>
    <w:p w14:paraId="3BB72DB9" w14:textId="77777777" w:rsidR="008A742D" w:rsidRPr="00412889" w:rsidRDefault="001F536F" w:rsidP="00A84A76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Liečba peritonitídy, mozgového abscesu, nekrotizujúcej pneumónie, osteomyelitídy, puerperálnej sepsy, panvového abscesu, a pooperačných infekcií rany, z ktorej boli izolované patogénne anaeróbne mikroorganizmy.</w:t>
      </w:r>
    </w:p>
    <w:p w14:paraId="7D61F1F6" w14:textId="77777777" w:rsidR="00E57AB9" w:rsidRPr="00412889" w:rsidRDefault="00E57AB9" w:rsidP="00E57AB9">
      <w:pPr>
        <w:rPr>
          <w:szCs w:val="22"/>
          <w:lang w:val="sk-SK"/>
        </w:rPr>
      </w:pPr>
    </w:p>
    <w:p w14:paraId="318C6FD1" w14:textId="77777777" w:rsidR="008A742D" w:rsidRPr="00412889" w:rsidRDefault="001F536F" w:rsidP="00E57AB9">
      <w:pPr>
        <w:rPr>
          <w:szCs w:val="22"/>
          <w:lang w:val="sk-SK"/>
        </w:rPr>
      </w:pPr>
      <w:r>
        <w:rPr>
          <w:szCs w:val="22"/>
          <w:lang w:val="sk-SK"/>
        </w:rPr>
        <w:t>Liečba pacientov s bakterémiou, ktorá sa vyskytla v súvislosti s ktoroukoľvek z vyššie uvedených infekcií.</w:t>
      </w:r>
    </w:p>
    <w:p w14:paraId="73AA6BBB" w14:textId="77777777" w:rsidR="00E57AB9" w:rsidRPr="00412889" w:rsidRDefault="00E57AB9" w:rsidP="00E57AB9">
      <w:pPr>
        <w:rPr>
          <w:szCs w:val="22"/>
          <w:lang w:val="sk-SK"/>
        </w:rPr>
      </w:pPr>
    </w:p>
    <w:p w14:paraId="6BF3D7B9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Pri zmiešaných aeróbnych a anaeróbnych infekciách</w:t>
      </w:r>
      <w:r w:rsidR="000B4E93">
        <w:rPr>
          <w:szCs w:val="22"/>
          <w:lang w:val="sk-SK"/>
        </w:rPr>
        <w:t xml:space="preserve"> sa musia spolu s</w:t>
      </w:r>
      <w:r w:rsidR="00F73013">
        <w:rPr>
          <w:szCs w:val="22"/>
          <w:lang w:val="sk-SK"/>
        </w:rPr>
        <w:t xml:space="preserve"> liekom </w:t>
      </w:r>
      <w:r w:rsidR="000B4E93">
        <w:rPr>
          <w:szCs w:val="22"/>
          <w:lang w:val="sk-SK"/>
        </w:rPr>
        <w:t>Metronidazole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použiť vhodné antibiotiká na liečbu aeróbnej infekcie.</w:t>
      </w:r>
    </w:p>
    <w:p w14:paraId="04A7B88A" w14:textId="77777777" w:rsidR="008A742D" w:rsidRPr="00412889" w:rsidRDefault="008A742D">
      <w:pPr>
        <w:rPr>
          <w:szCs w:val="22"/>
          <w:lang w:val="sk-SK"/>
        </w:rPr>
      </w:pPr>
    </w:p>
    <w:p w14:paraId="315F4200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Profylaktické použitie je indikované vždy pred operáciami s vysokým rizikom anaeróbnych infekcií (gynekologické a intraabdominálne operácie).</w:t>
      </w:r>
    </w:p>
    <w:p w14:paraId="2E73D8DC" w14:textId="77777777" w:rsidR="00E57AB9" w:rsidRPr="00412889" w:rsidRDefault="00E57AB9">
      <w:pPr>
        <w:rPr>
          <w:szCs w:val="22"/>
          <w:lang w:val="sk-SK"/>
        </w:rPr>
      </w:pPr>
    </w:p>
    <w:p w14:paraId="2D53481D" w14:textId="77777777"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Závažná črevná a pečeňová am</w:t>
      </w:r>
      <w:r w:rsidR="005A16EC">
        <w:rPr>
          <w:szCs w:val="22"/>
          <w:lang w:val="sk-SK"/>
        </w:rPr>
        <w:t>é</w:t>
      </w:r>
      <w:r>
        <w:rPr>
          <w:szCs w:val="22"/>
          <w:lang w:val="sk-SK"/>
        </w:rPr>
        <w:t>biáza</w:t>
      </w:r>
    </w:p>
    <w:p w14:paraId="6F02525B" w14:textId="77777777" w:rsidR="008A742D" w:rsidRPr="00412889" w:rsidRDefault="008A742D">
      <w:pPr>
        <w:rPr>
          <w:szCs w:val="22"/>
          <w:lang w:val="sk-SK"/>
        </w:rPr>
      </w:pPr>
    </w:p>
    <w:p w14:paraId="471E5462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Do úvahy sa musia vziať </w:t>
      </w:r>
      <w:r w:rsidR="008470C6">
        <w:rPr>
          <w:szCs w:val="22"/>
          <w:lang w:val="sk-SK"/>
        </w:rPr>
        <w:t xml:space="preserve">oficiálne </w:t>
      </w:r>
      <w:r>
        <w:rPr>
          <w:szCs w:val="22"/>
          <w:lang w:val="sk-SK"/>
        </w:rPr>
        <w:t>odporúčania</w:t>
      </w:r>
      <w:r w:rsidR="008470C6">
        <w:rPr>
          <w:szCs w:val="22"/>
          <w:lang w:val="sk-SK"/>
        </w:rPr>
        <w:t xml:space="preserve"> o </w:t>
      </w:r>
      <w:r>
        <w:rPr>
          <w:szCs w:val="22"/>
          <w:lang w:val="sk-SK"/>
        </w:rPr>
        <w:t>správn</w:t>
      </w:r>
      <w:r w:rsidR="008470C6">
        <w:rPr>
          <w:szCs w:val="22"/>
          <w:lang w:val="sk-SK"/>
        </w:rPr>
        <w:t>om</w:t>
      </w:r>
      <w:r>
        <w:rPr>
          <w:szCs w:val="22"/>
          <w:lang w:val="sk-SK"/>
        </w:rPr>
        <w:t xml:space="preserve"> používan</w:t>
      </w:r>
      <w:r w:rsidR="008470C6">
        <w:rPr>
          <w:szCs w:val="22"/>
          <w:lang w:val="sk-SK"/>
        </w:rPr>
        <w:t>í</w:t>
      </w:r>
      <w:r>
        <w:rPr>
          <w:szCs w:val="22"/>
          <w:lang w:val="sk-SK"/>
        </w:rPr>
        <w:t xml:space="preserve"> antibakteriálnych </w:t>
      </w:r>
      <w:r w:rsidR="008470C6">
        <w:rPr>
          <w:szCs w:val="22"/>
          <w:lang w:val="sk-SK"/>
        </w:rPr>
        <w:t>liečiv</w:t>
      </w:r>
      <w:r>
        <w:rPr>
          <w:szCs w:val="22"/>
          <w:lang w:val="sk-SK"/>
        </w:rPr>
        <w:t>.</w:t>
      </w:r>
    </w:p>
    <w:p w14:paraId="71982005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741159A6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4.2</w:t>
      </w:r>
      <w:r w:rsidRPr="001F536F">
        <w:rPr>
          <w:lang w:val="sk-SK"/>
        </w:rPr>
        <w:tab/>
      </w:r>
      <w:bookmarkStart w:id="0" w:name="_Hlk523219289"/>
      <w:r w:rsidRPr="001F536F">
        <w:rPr>
          <w:lang w:val="sk-SK"/>
        </w:rPr>
        <w:t>Dávkovanie a spôsob podávania</w:t>
      </w:r>
    </w:p>
    <w:p w14:paraId="58A91CA1" w14:textId="77777777" w:rsidR="008A742D" w:rsidRPr="00412889" w:rsidRDefault="008A742D">
      <w:pPr>
        <w:rPr>
          <w:szCs w:val="22"/>
          <w:lang w:val="sk-SK"/>
        </w:rPr>
      </w:pPr>
    </w:p>
    <w:p w14:paraId="6ABC38E8" w14:textId="77777777" w:rsidR="00E57AB9" w:rsidRPr="00412889" w:rsidRDefault="001F536F">
      <w:pPr>
        <w:rPr>
          <w:szCs w:val="22"/>
          <w:u w:val="single"/>
          <w:lang w:val="sk-SK"/>
        </w:rPr>
      </w:pPr>
      <w:r w:rsidRPr="001F536F">
        <w:rPr>
          <w:szCs w:val="22"/>
          <w:u w:val="single"/>
          <w:lang w:val="sk-SK"/>
        </w:rPr>
        <w:t>Dávkovanie</w:t>
      </w:r>
    </w:p>
    <w:p w14:paraId="51E0161D" w14:textId="77777777" w:rsidR="00E57AB9" w:rsidRPr="00412889" w:rsidRDefault="00E57AB9">
      <w:pPr>
        <w:rPr>
          <w:szCs w:val="22"/>
          <w:lang w:val="sk-SK"/>
        </w:rPr>
      </w:pPr>
    </w:p>
    <w:p w14:paraId="1CBD3DB7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Dávkovanie sa upravuje podľa individuálnej odpovede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pacienta na liečbu, veku a telesnej hmotnosti a podľa charakteru a závažnosti ochorenia.</w:t>
      </w:r>
    </w:p>
    <w:bookmarkEnd w:id="0"/>
    <w:p w14:paraId="22F54D87" w14:textId="77777777" w:rsidR="008A742D" w:rsidRPr="00412889" w:rsidRDefault="008A742D">
      <w:pPr>
        <w:rPr>
          <w:szCs w:val="22"/>
          <w:lang w:val="sk-SK"/>
        </w:rPr>
      </w:pPr>
    </w:p>
    <w:p w14:paraId="37AC08CA" w14:textId="77777777" w:rsidR="008A742D" w:rsidRPr="00412889" w:rsidRDefault="001F536F">
      <w:pPr>
        <w:rPr>
          <w:b/>
          <w:bCs/>
          <w:szCs w:val="22"/>
          <w:lang w:val="sk-SK"/>
        </w:rPr>
      </w:pPr>
      <w:bookmarkStart w:id="1" w:name="_Hlk523219344"/>
      <w:r w:rsidRPr="001F536F">
        <w:rPr>
          <w:b/>
          <w:bCs/>
          <w:szCs w:val="22"/>
          <w:lang w:val="sk-SK"/>
        </w:rPr>
        <w:t xml:space="preserve">Má sa dodržať nasledovné </w:t>
      </w:r>
      <w:r w:rsidR="008470C6">
        <w:rPr>
          <w:b/>
          <w:bCs/>
          <w:szCs w:val="22"/>
          <w:lang w:val="sk-SK"/>
        </w:rPr>
        <w:t xml:space="preserve">usmernenie o </w:t>
      </w:r>
      <w:r w:rsidRPr="001F536F">
        <w:rPr>
          <w:b/>
          <w:bCs/>
          <w:szCs w:val="22"/>
          <w:lang w:val="sk-SK"/>
        </w:rPr>
        <w:t>dávkovan</w:t>
      </w:r>
      <w:r w:rsidR="00526254">
        <w:rPr>
          <w:b/>
          <w:bCs/>
          <w:szCs w:val="22"/>
          <w:lang w:val="sk-SK"/>
        </w:rPr>
        <w:t>í</w:t>
      </w:r>
      <w:r w:rsidRPr="001F536F">
        <w:rPr>
          <w:b/>
          <w:bCs/>
          <w:szCs w:val="22"/>
          <w:lang w:val="sk-SK"/>
        </w:rPr>
        <w:t xml:space="preserve">: </w:t>
      </w:r>
    </w:p>
    <w:bookmarkEnd w:id="1"/>
    <w:p w14:paraId="5DD9F191" w14:textId="77777777" w:rsidR="008A742D" w:rsidRPr="00412889" w:rsidRDefault="008A742D">
      <w:pPr>
        <w:rPr>
          <w:i/>
          <w:szCs w:val="22"/>
          <w:lang w:val="sk-SK"/>
        </w:rPr>
      </w:pPr>
    </w:p>
    <w:p w14:paraId="0D152CC2" w14:textId="77777777" w:rsidR="008A742D" w:rsidRPr="00412889" w:rsidRDefault="001F536F">
      <w:pPr>
        <w:rPr>
          <w:b/>
          <w:bCs/>
          <w:iCs/>
          <w:szCs w:val="22"/>
          <w:lang w:val="sk-SK"/>
        </w:rPr>
      </w:pPr>
      <w:bookmarkStart w:id="2" w:name="_Hlk523219319"/>
      <w:r w:rsidRPr="001F536F">
        <w:rPr>
          <w:b/>
          <w:bCs/>
          <w:iCs/>
          <w:szCs w:val="22"/>
          <w:u w:val="single"/>
          <w:lang w:val="sk-SK"/>
        </w:rPr>
        <w:t>Dospelí a</w:t>
      </w:r>
      <w:r>
        <w:rPr>
          <w:b/>
          <w:bCs/>
          <w:iCs/>
          <w:szCs w:val="22"/>
          <w:u w:val="single"/>
          <w:lang w:val="sk-SK"/>
        </w:rPr>
        <w:t> </w:t>
      </w:r>
      <w:r w:rsidRPr="001F536F">
        <w:rPr>
          <w:b/>
          <w:bCs/>
          <w:iCs/>
          <w:szCs w:val="22"/>
          <w:u w:val="single"/>
          <w:lang w:val="sk-SK"/>
        </w:rPr>
        <w:t>dospievajúci</w:t>
      </w:r>
      <w:r>
        <w:rPr>
          <w:b/>
          <w:bCs/>
          <w:iCs/>
          <w:szCs w:val="22"/>
          <w:lang w:val="sk-SK"/>
        </w:rPr>
        <w:t>:</w:t>
      </w:r>
    </w:p>
    <w:p w14:paraId="0062C33B" w14:textId="77777777" w:rsidR="008A742D" w:rsidRPr="00412889" w:rsidRDefault="008A742D">
      <w:pPr>
        <w:rPr>
          <w:szCs w:val="22"/>
          <w:lang w:val="sk-SK"/>
        </w:rPr>
      </w:pPr>
    </w:p>
    <w:p w14:paraId="67E85D1D" w14:textId="77777777" w:rsidR="00AB406D" w:rsidRPr="00412889" w:rsidRDefault="001F536F">
      <w:pPr>
        <w:rPr>
          <w:b/>
          <w:bCs/>
          <w:i/>
          <w:iCs/>
          <w:szCs w:val="22"/>
          <w:lang w:val="sk-SK"/>
        </w:rPr>
      </w:pPr>
      <w:bookmarkStart w:id="3" w:name="_Hlk523128288"/>
      <w:r>
        <w:rPr>
          <w:b/>
          <w:bCs/>
          <w:i/>
          <w:iCs/>
          <w:szCs w:val="22"/>
          <w:lang w:val="sk-SK"/>
        </w:rPr>
        <w:t>Am</w:t>
      </w:r>
      <w:r w:rsidR="00925F37">
        <w:rPr>
          <w:b/>
          <w:bCs/>
          <w:i/>
          <w:iCs/>
          <w:szCs w:val="22"/>
          <w:lang w:val="sk-SK"/>
        </w:rPr>
        <w:t>é</w:t>
      </w:r>
      <w:r>
        <w:rPr>
          <w:b/>
          <w:bCs/>
          <w:i/>
          <w:iCs/>
          <w:szCs w:val="22"/>
          <w:lang w:val="sk-SK"/>
        </w:rPr>
        <w:t>biáza</w:t>
      </w:r>
    </w:p>
    <w:p w14:paraId="58490198" w14:textId="77777777" w:rsidR="00AB406D" w:rsidRPr="00412889" w:rsidRDefault="001F536F">
      <w:pPr>
        <w:rPr>
          <w:szCs w:val="22"/>
          <w:lang w:val="sk-SK"/>
        </w:rPr>
      </w:pPr>
      <w:bookmarkStart w:id="4" w:name="_Hlk523215720"/>
      <w:r>
        <w:rPr>
          <w:szCs w:val="22"/>
          <w:lang w:val="sk-SK"/>
        </w:rPr>
        <w:t>1,50 g na deň (500 mg trikrát denne, intravenózne infúzie)</w:t>
      </w:r>
    </w:p>
    <w:bookmarkEnd w:id="4"/>
    <w:p w14:paraId="03CF0734" w14:textId="77777777" w:rsidR="00AB406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Pri pečeňovej am</w:t>
      </w:r>
      <w:r w:rsidR="0014497C">
        <w:rPr>
          <w:szCs w:val="22"/>
          <w:lang w:val="sk-SK"/>
        </w:rPr>
        <w:t>é</w:t>
      </w:r>
      <w:r>
        <w:rPr>
          <w:szCs w:val="22"/>
          <w:lang w:val="sk-SK"/>
        </w:rPr>
        <w:t xml:space="preserve">biáze v štádiu abscesu sa musí absces </w:t>
      </w:r>
      <w:r w:rsidR="00775D80">
        <w:rPr>
          <w:szCs w:val="22"/>
          <w:lang w:val="sk-SK"/>
        </w:rPr>
        <w:t>odstrániť</w:t>
      </w:r>
      <w:r>
        <w:rPr>
          <w:szCs w:val="22"/>
          <w:lang w:val="sk-SK"/>
        </w:rPr>
        <w:t xml:space="preserve"> súbežne s liečbou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metronidazolom.</w:t>
      </w:r>
    </w:p>
    <w:p w14:paraId="38540758" w14:textId="77777777" w:rsidR="00AB406D" w:rsidRPr="00412889" w:rsidRDefault="00AB406D">
      <w:pPr>
        <w:rPr>
          <w:szCs w:val="22"/>
          <w:lang w:val="sk-SK"/>
        </w:rPr>
      </w:pPr>
    </w:p>
    <w:p w14:paraId="0AAA9051" w14:textId="77777777" w:rsidR="00AB406D" w:rsidRPr="00412889" w:rsidRDefault="00C14D9A">
      <w:pPr>
        <w:rPr>
          <w:szCs w:val="22"/>
          <w:lang w:val="sk-SK"/>
        </w:rPr>
      </w:pPr>
      <w:r>
        <w:rPr>
          <w:szCs w:val="22"/>
          <w:lang w:val="sk-SK"/>
        </w:rPr>
        <w:t>Dĺžka trvania liečby: 5–</w:t>
      </w:r>
      <w:r w:rsidR="001F536F">
        <w:rPr>
          <w:szCs w:val="22"/>
          <w:lang w:val="sk-SK"/>
        </w:rPr>
        <w:t>10 dní</w:t>
      </w:r>
    </w:p>
    <w:p w14:paraId="4C6F22A1" w14:textId="77777777" w:rsidR="00AB406D" w:rsidRPr="00412889" w:rsidRDefault="00AB406D">
      <w:pPr>
        <w:rPr>
          <w:szCs w:val="22"/>
          <w:lang w:val="sk-SK"/>
        </w:rPr>
      </w:pPr>
    </w:p>
    <w:p w14:paraId="5E9064F6" w14:textId="77777777" w:rsidR="008A742D" w:rsidRPr="00412889" w:rsidRDefault="001F536F">
      <w:pPr>
        <w:rPr>
          <w:b/>
          <w:bCs/>
          <w:i/>
          <w:iCs/>
          <w:szCs w:val="22"/>
          <w:lang w:val="sk-SK"/>
        </w:rPr>
      </w:pPr>
      <w:r w:rsidRPr="001F536F">
        <w:rPr>
          <w:b/>
          <w:bCs/>
          <w:i/>
          <w:iCs/>
          <w:szCs w:val="22"/>
          <w:lang w:val="sk-SK"/>
        </w:rPr>
        <w:t>Liečba anaeróbnych infekcií</w:t>
      </w:r>
    </w:p>
    <w:bookmarkEnd w:id="3"/>
    <w:p w14:paraId="647E0F7A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500 mg (100 ml) každých 8 hodín. Alternatívne sa môže podávať 1000 – 1500 mg denne ako jednorazová dávka. </w:t>
      </w:r>
    </w:p>
    <w:p w14:paraId="53249A8E" w14:textId="77777777" w:rsidR="008A742D" w:rsidRPr="00412889" w:rsidRDefault="001F536F">
      <w:pPr>
        <w:rPr>
          <w:szCs w:val="22"/>
          <w:u w:val="single"/>
          <w:lang w:val="sk-SK"/>
        </w:rPr>
      </w:pPr>
      <w:r>
        <w:rPr>
          <w:szCs w:val="22"/>
          <w:lang w:val="sk-SK"/>
        </w:rPr>
        <w:t>Dĺžka trvania liečby závisí od účinku liečby. Vo väčšine prípadov postačuje liečba v trvaní 7 dní. Ak je to klinicky indikované, liečba môže pokračovať ďalej,</w:t>
      </w:r>
      <w:bookmarkStart w:id="5" w:name="_Hlk523215794"/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avšak trvanie liečby zvyčajne nemá presiahnuť 10 dní</w:t>
      </w:r>
      <w:bookmarkEnd w:id="5"/>
      <w:r>
        <w:rPr>
          <w:szCs w:val="22"/>
          <w:lang w:val="sk-SK"/>
        </w:rPr>
        <w:t>.(Pozri tiež časť 4.4.)</w:t>
      </w:r>
    </w:p>
    <w:p w14:paraId="3E4A0E41" w14:textId="77777777" w:rsidR="008A742D" w:rsidRPr="00412889" w:rsidRDefault="008A742D">
      <w:pPr>
        <w:rPr>
          <w:szCs w:val="22"/>
          <w:u w:val="single"/>
          <w:lang w:val="sk-SK"/>
        </w:rPr>
      </w:pPr>
    </w:p>
    <w:p w14:paraId="3A11B732" w14:textId="77777777" w:rsidR="008A742D" w:rsidRPr="00412889" w:rsidRDefault="001F536F">
      <w:pPr>
        <w:rPr>
          <w:b/>
          <w:bCs/>
          <w:i/>
          <w:iCs/>
          <w:szCs w:val="22"/>
          <w:lang w:val="sk-SK"/>
        </w:rPr>
      </w:pPr>
      <w:r w:rsidRPr="001F536F">
        <w:rPr>
          <w:b/>
          <w:bCs/>
          <w:i/>
          <w:iCs/>
          <w:szCs w:val="22"/>
          <w:lang w:val="sk-SK"/>
        </w:rPr>
        <w:t xml:space="preserve">Profylaxia pooperačných infekcií </w:t>
      </w:r>
      <w:r>
        <w:rPr>
          <w:b/>
          <w:bCs/>
          <w:i/>
          <w:iCs/>
          <w:szCs w:val="22"/>
          <w:lang w:val="sk-SK"/>
        </w:rPr>
        <w:t xml:space="preserve">spôsobených </w:t>
      </w:r>
      <w:r w:rsidRPr="001F536F">
        <w:rPr>
          <w:b/>
          <w:bCs/>
          <w:i/>
          <w:iCs/>
          <w:szCs w:val="22"/>
          <w:lang w:val="sk-SK"/>
        </w:rPr>
        <w:t>anaeróbnymi baktériami</w:t>
      </w:r>
    </w:p>
    <w:p w14:paraId="54ADBC00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500 mg, pričom podanie dávky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sa má dokončiť približne jednu hodinu pred operáciou. Dávka sa opakuje po 8 a 16 hodinách.</w:t>
      </w:r>
    </w:p>
    <w:p w14:paraId="281226BD" w14:textId="77777777" w:rsidR="00F71E82" w:rsidRPr="00412889" w:rsidRDefault="00F71E82">
      <w:pPr>
        <w:rPr>
          <w:szCs w:val="22"/>
          <w:lang w:val="sk-SK"/>
        </w:rPr>
      </w:pPr>
    </w:p>
    <w:p w14:paraId="5B64F939" w14:textId="77777777" w:rsidR="00F71E82" w:rsidRPr="00412889" w:rsidRDefault="001F536F">
      <w:pPr>
        <w:rPr>
          <w:szCs w:val="22"/>
          <w:lang w:val="sk-SK"/>
        </w:rPr>
      </w:pPr>
      <w:r>
        <w:rPr>
          <w:b/>
          <w:bCs/>
          <w:szCs w:val="22"/>
          <w:u w:val="single"/>
          <w:lang w:val="sk-SK"/>
        </w:rPr>
        <w:t>Starší pacienti</w:t>
      </w:r>
      <w:r>
        <w:rPr>
          <w:b/>
          <w:bCs/>
          <w:szCs w:val="22"/>
          <w:lang w:val="sk-SK"/>
        </w:rPr>
        <w:t>:</w:t>
      </w:r>
    </w:p>
    <w:p w14:paraId="4BB9F45F" w14:textId="77777777" w:rsidR="00F71E82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U starších pacientov sa odporúča postupovať s opatrnosťou, najmä pri vysokých dávkach, aj keď sú </w:t>
      </w:r>
      <w:r w:rsidR="001A1938">
        <w:rPr>
          <w:szCs w:val="22"/>
          <w:lang w:val="sk-SK"/>
        </w:rPr>
        <w:t xml:space="preserve">k dispozícii </w:t>
      </w:r>
      <w:r>
        <w:rPr>
          <w:szCs w:val="22"/>
          <w:lang w:val="sk-SK"/>
        </w:rPr>
        <w:t>iba obmedzené údaje o úprave dávky.</w:t>
      </w:r>
    </w:p>
    <w:p w14:paraId="37E0B33C" w14:textId="77777777" w:rsidR="008A742D" w:rsidRPr="00412889" w:rsidRDefault="008A742D">
      <w:pPr>
        <w:rPr>
          <w:i/>
          <w:szCs w:val="22"/>
          <w:lang w:val="sk-SK"/>
        </w:rPr>
      </w:pPr>
    </w:p>
    <w:p w14:paraId="4248CCA7" w14:textId="77777777" w:rsidR="008A742D" w:rsidRPr="00412889" w:rsidRDefault="001F536F">
      <w:pPr>
        <w:rPr>
          <w:b/>
          <w:bCs/>
          <w:iCs/>
          <w:szCs w:val="22"/>
          <w:lang w:val="sk-SK"/>
        </w:rPr>
      </w:pPr>
      <w:r w:rsidRPr="001F536F">
        <w:rPr>
          <w:b/>
          <w:bCs/>
          <w:iCs/>
          <w:szCs w:val="22"/>
          <w:u w:val="single"/>
          <w:lang w:val="sk-SK"/>
        </w:rPr>
        <w:t>Pediatrická populácia</w:t>
      </w:r>
      <w:r>
        <w:rPr>
          <w:b/>
          <w:bCs/>
          <w:iCs/>
          <w:szCs w:val="22"/>
          <w:lang w:val="sk-SK"/>
        </w:rPr>
        <w:t>:</w:t>
      </w:r>
    </w:p>
    <w:p w14:paraId="7DE003EC" w14:textId="77777777" w:rsidR="008A742D" w:rsidRPr="00412889" w:rsidRDefault="008A742D">
      <w:pPr>
        <w:rPr>
          <w:szCs w:val="22"/>
          <w:u w:val="single"/>
          <w:lang w:val="sk-SK"/>
        </w:rPr>
      </w:pPr>
    </w:p>
    <w:p w14:paraId="16036C19" w14:textId="77777777" w:rsidR="00EC7704" w:rsidRPr="00412889" w:rsidRDefault="001F536F" w:rsidP="00EC7704">
      <w:pPr>
        <w:rPr>
          <w:b/>
          <w:bCs/>
          <w:i/>
          <w:iCs/>
          <w:szCs w:val="22"/>
          <w:lang w:val="sk-SK"/>
        </w:rPr>
      </w:pPr>
      <w:bookmarkStart w:id="6" w:name="_Hlk523216027"/>
      <w:r>
        <w:rPr>
          <w:b/>
          <w:bCs/>
          <w:i/>
          <w:iCs/>
          <w:szCs w:val="22"/>
          <w:lang w:val="sk-SK"/>
        </w:rPr>
        <w:t>Am</w:t>
      </w:r>
      <w:r w:rsidR="0014497C">
        <w:rPr>
          <w:b/>
          <w:bCs/>
          <w:i/>
          <w:iCs/>
          <w:szCs w:val="22"/>
          <w:lang w:val="sk-SK"/>
        </w:rPr>
        <w:t>é</w:t>
      </w:r>
      <w:r>
        <w:rPr>
          <w:b/>
          <w:bCs/>
          <w:i/>
          <w:iCs/>
          <w:szCs w:val="22"/>
          <w:lang w:val="sk-SK"/>
        </w:rPr>
        <w:t>biáza</w:t>
      </w:r>
    </w:p>
    <w:p w14:paraId="1C56BC32" w14:textId="77777777" w:rsidR="00EC7704" w:rsidRPr="00412889" w:rsidRDefault="001F536F" w:rsidP="00EC7704">
      <w:pPr>
        <w:rPr>
          <w:szCs w:val="22"/>
          <w:lang w:val="sk-SK"/>
        </w:rPr>
      </w:pPr>
      <w:r>
        <w:rPr>
          <w:szCs w:val="22"/>
          <w:lang w:val="sk-SK"/>
        </w:rPr>
        <w:t>35 až 50 mg/kg/deň intravenózne, rozdelených do 3 dávok počas 5 až 10 dní. Nesmie sa prekročiť maximum 2400 mg/deň.</w:t>
      </w:r>
    </w:p>
    <w:p w14:paraId="467E9E15" w14:textId="77777777" w:rsidR="00EC7704" w:rsidRPr="00412889" w:rsidRDefault="001F536F" w:rsidP="00EC7704">
      <w:pPr>
        <w:rPr>
          <w:szCs w:val="22"/>
          <w:lang w:val="sk-SK"/>
        </w:rPr>
      </w:pPr>
      <w:r>
        <w:rPr>
          <w:szCs w:val="22"/>
          <w:lang w:val="sk-SK"/>
        </w:rPr>
        <w:t>Pri pečeňovej am</w:t>
      </w:r>
      <w:r w:rsidR="0014497C">
        <w:rPr>
          <w:szCs w:val="22"/>
          <w:lang w:val="sk-SK"/>
        </w:rPr>
        <w:t>é</w:t>
      </w:r>
      <w:r>
        <w:rPr>
          <w:szCs w:val="22"/>
          <w:lang w:val="sk-SK"/>
        </w:rPr>
        <w:t xml:space="preserve">biáze v štádiu abscesu sa musí absces </w:t>
      </w:r>
      <w:r w:rsidR="00775D80">
        <w:rPr>
          <w:szCs w:val="22"/>
          <w:lang w:val="sk-SK"/>
        </w:rPr>
        <w:t>odstrániť</w:t>
      </w:r>
      <w:r>
        <w:rPr>
          <w:szCs w:val="22"/>
          <w:lang w:val="sk-SK"/>
        </w:rPr>
        <w:t xml:space="preserve"> súbežne s liečbou metronidazolom.</w:t>
      </w:r>
    </w:p>
    <w:bookmarkEnd w:id="6"/>
    <w:p w14:paraId="02837642" w14:textId="77777777" w:rsidR="00EC7704" w:rsidRPr="00412889" w:rsidRDefault="00EC7704" w:rsidP="00EC7704">
      <w:pPr>
        <w:rPr>
          <w:szCs w:val="22"/>
          <w:lang w:val="sk-SK"/>
        </w:rPr>
      </w:pPr>
    </w:p>
    <w:p w14:paraId="085C614D" w14:textId="77777777" w:rsidR="00EC7704" w:rsidRPr="00412889" w:rsidRDefault="001F536F" w:rsidP="00EC7704">
      <w:pPr>
        <w:rPr>
          <w:b/>
          <w:bCs/>
          <w:i/>
          <w:iCs/>
          <w:szCs w:val="22"/>
          <w:lang w:val="sk-SK"/>
        </w:rPr>
      </w:pPr>
      <w:r>
        <w:rPr>
          <w:b/>
          <w:bCs/>
          <w:i/>
          <w:iCs/>
          <w:szCs w:val="22"/>
          <w:lang w:val="sk-SK"/>
        </w:rPr>
        <w:t>Liečba anaeróbnych infekcií</w:t>
      </w:r>
    </w:p>
    <w:p w14:paraId="5B0D779A" w14:textId="77777777"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Deti vo veku &gt; 8 týždňov až 12 rokov:</w:t>
      </w:r>
    </w:p>
    <w:p w14:paraId="2EB23B5C" w14:textId="77777777" w:rsidR="009F7F8F" w:rsidRDefault="001F536F">
      <w:pPr>
        <w:rPr>
          <w:color w:val="000000"/>
          <w:szCs w:val="22"/>
          <w:lang w:val="sk-SK"/>
        </w:rPr>
      </w:pPr>
      <w:r>
        <w:rPr>
          <w:szCs w:val="22"/>
          <w:lang w:val="sk-SK"/>
        </w:rPr>
        <w:t>Zvyčajná denná dávka je 20 - 30 mg na kg telesnej hmotnosti na deň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v jednej dávke alebo v rozdelen</w:t>
      </w:r>
      <w:r w:rsidR="00477673">
        <w:rPr>
          <w:szCs w:val="22"/>
          <w:lang w:val="sk-SK"/>
        </w:rPr>
        <w:t>ých</w:t>
      </w:r>
      <w:r>
        <w:rPr>
          <w:szCs w:val="22"/>
          <w:lang w:val="sk-SK"/>
        </w:rPr>
        <w:t xml:space="preserve"> dávk</w:t>
      </w:r>
      <w:r w:rsidR="00477673">
        <w:rPr>
          <w:szCs w:val="22"/>
          <w:lang w:val="sk-SK"/>
        </w:rPr>
        <w:t>ach</w:t>
      </w:r>
      <w:r>
        <w:rPr>
          <w:szCs w:val="22"/>
          <w:lang w:val="sk-SK"/>
        </w:rPr>
        <w:t xml:space="preserve"> 7,5 mg na kg telesnej hmotnosti každých 8 hodín. </w:t>
      </w:r>
      <w:r>
        <w:rPr>
          <w:color w:val="000000"/>
          <w:szCs w:val="22"/>
          <w:lang w:val="sk-SK"/>
        </w:rPr>
        <w:t>V</w:t>
      </w:r>
      <w:r>
        <w:rPr>
          <w:szCs w:val="22"/>
          <w:lang w:val="sk-SK"/>
        </w:rPr>
        <w:t> </w:t>
      </w:r>
      <w:r>
        <w:rPr>
          <w:color w:val="000000"/>
          <w:szCs w:val="22"/>
          <w:lang w:val="sk-SK"/>
        </w:rPr>
        <w:t>závislosti od závažnosti infekcie je možné dennú dávku zvýšiť na 40 mg na kg telesnej hmotnosti.</w:t>
      </w:r>
    </w:p>
    <w:p w14:paraId="069BFC9C" w14:textId="77777777" w:rsidR="008A742D" w:rsidRPr="00412889" w:rsidRDefault="008A742D">
      <w:pPr>
        <w:ind w:left="567" w:hanging="567"/>
        <w:rPr>
          <w:color w:val="000000"/>
          <w:szCs w:val="22"/>
          <w:lang w:val="sk-SK"/>
        </w:rPr>
      </w:pPr>
    </w:p>
    <w:p w14:paraId="2936AB63" w14:textId="77777777"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Novorodenci a deti vo veku &lt; 8 týždňov:</w:t>
      </w:r>
    </w:p>
    <w:p w14:paraId="3159D014" w14:textId="77777777" w:rsidR="009F7F8F" w:rsidRDefault="001F536F">
      <w:pPr>
        <w:rPr>
          <w:szCs w:val="22"/>
          <w:lang w:val="sk-SK"/>
        </w:rPr>
      </w:pPr>
      <w:r>
        <w:rPr>
          <w:szCs w:val="22"/>
          <w:lang w:val="sk-SK"/>
        </w:rPr>
        <w:t>15 mg na kg telesnej hmotnosti denne v jednej dávke alebo v rozdelen</w:t>
      </w:r>
      <w:r w:rsidR="00477673">
        <w:rPr>
          <w:szCs w:val="22"/>
          <w:lang w:val="sk-SK"/>
        </w:rPr>
        <w:t>ých</w:t>
      </w:r>
      <w:r>
        <w:rPr>
          <w:szCs w:val="22"/>
          <w:lang w:val="sk-SK"/>
        </w:rPr>
        <w:t xml:space="preserve"> dávk</w:t>
      </w:r>
      <w:r w:rsidR="00477673">
        <w:rPr>
          <w:szCs w:val="22"/>
          <w:lang w:val="sk-SK"/>
        </w:rPr>
        <w:t>ach</w:t>
      </w:r>
      <w:r>
        <w:rPr>
          <w:szCs w:val="22"/>
          <w:lang w:val="sk-SK"/>
        </w:rPr>
        <w:t xml:space="preserve"> 7,5 mg na kg telesnej hmotnosti každých 12 hodín.</w:t>
      </w:r>
    </w:p>
    <w:p w14:paraId="5D90644F" w14:textId="77777777" w:rsidR="008A742D" w:rsidRPr="00412889" w:rsidRDefault="008A742D">
      <w:pPr>
        <w:ind w:left="567" w:hanging="567"/>
        <w:rPr>
          <w:szCs w:val="22"/>
          <w:lang w:val="sk-SK"/>
        </w:rPr>
      </w:pPr>
    </w:p>
    <w:p w14:paraId="07650AC3" w14:textId="77777777" w:rsidR="009F7F8F" w:rsidRDefault="001F536F">
      <w:pPr>
        <w:numPr>
          <w:ilvl w:val="0"/>
          <w:numId w:val="4"/>
        </w:numPr>
        <w:ind w:left="0" w:firstLine="0"/>
        <w:rPr>
          <w:szCs w:val="22"/>
          <w:lang w:val="sk-SK"/>
        </w:rPr>
      </w:pPr>
      <w:r>
        <w:rPr>
          <w:szCs w:val="22"/>
          <w:lang w:val="sk-SK"/>
        </w:rPr>
        <w:t>U novorodencov s gestačným vekom &lt; 40 týždňov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môže dochádzať v priebehu prvého týždňa života ku </w:t>
      </w:r>
      <w:r w:rsidR="001A1938">
        <w:rPr>
          <w:szCs w:val="22"/>
          <w:lang w:val="sk-SK"/>
        </w:rPr>
        <w:t>kumulácii</w:t>
      </w:r>
      <w:r w:rsidR="00986620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metronidazolu, preto sa koncentrácie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metronidazolu v sére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majú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kontrolovať po niekoľkých dňoch liečby. </w:t>
      </w:r>
    </w:p>
    <w:p w14:paraId="4A5A8912" w14:textId="77777777" w:rsidR="008A742D" w:rsidRPr="00412889" w:rsidRDefault="008A742D">
      <w:pPr>
        <w:rPr>
          <w:szCs w:val="22"/>
          <w:lang w:val="sk-SK"/>
        </w:rPr>
      </w:pPr>
    </w:p>
    <w:p w14:paraId="0E495427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Dĺžka trvania liečby je spravidla 7 dní.</w:t>
      </w:r>
    </w:p>
    <w:p w14:paraId="2E2E2320" w14:textId="77777777" w:rsidR="008A742D" w:rsidRPr="00412889" w:rsidRDefault="008A742D">
      <w:pPr>
        <w:rPr>
          <w:szCs w:val="22"/>
          <w:u w:val="single"/>
          <w:lang w:val="sk-SK"/>
        </w:rPr>
      </w:pPr>
    </w:p>
    <w:p w14:paraId="3B065CFD" w14:textId="77777777" w:rsidR="008A742D" w:rsidRPr="00412889" w:rsidRDefault="001F536F">
      <w:pPr>
        <w:rPr>
          <w:b/>
          <w:bCs/>
          <w:i/>
          <w:iCs/>
          <w:szCs w:val="22"/>
          <w:lang w:val="sk-SK"/>
        </w:rPr>
      </w:pPr>
      <w:r w:rsidRPr="001F536F">
        <w:rPr>
          <w:b/>
          <w:bCs/>
          <w:i/>
          <w:iCs/>
          <w:szCs w:val="22"/>
          <w:lang w:val="sk-SK"/>
        </w:rPr>
        <w:t>Profylaxia pooperačných infekcií vyvolaných anaeróbnymi baktériami</w:t>
      </w:r>
    </w:p>
    <w:p w14:paraId="7E2A31FE" w14:textId="77777777" w:rsidR="009F7F8F" w:rsidRDefault="009F7F8F">
      <w:pPr>
        <w:ind w:left="562"/>
        <w:rPr>
          <w:szCs w:val="22"/>
          <w:lang w:val="sk-SK"/>
        </w:rPr>
      </w:pPr>
    </w:p>
    <w:p w14:paraId="33CCE68B" w14:textId="77777777"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Deti &lt; 12 rokov:</w:t>
      </w:r>
    </w:p>
    <w:p w14:paraId="56B53358" w14:textId="77777777" w:rsidR="009F7F8F" w:rsidRDefault="00C14D9A">
      <w:pPr>
        <w:rPr>
          <w:szCs w:val="22"/>
          <w:lang w:val="sk-SK"/>
        </w:rPr>
      </w:pPr>
      <w:r>
        <w:rPr>
          <w:szCs w:val="22"/>
          <w:lang w:val="sk-SK"/>
        </w:rPr>
        <w:t>20–</w:t>
      </w:r>
      <w:r w:rsidR="001F536F">
        <w:rPr>
          <w:szCs w:val="22"/>
          <w:lang w:val="sk-SK"/>
        </w:rPr>
        <w:t>30 mg/kg telesnej hmotnos</w:t>
      </w:r>
      <w:r>
        <w:rPr>
          <w:szCs w:val="22"/>
          <w:lang w:val="sk-SK"/>
        </w:rPr>
        <w:t>ti v jednej dávke podávanej 1–</w:t>
      </w:r>
      <w:r w:rsidR="001F536F">
        <w:rPr>
          <w:szCs w:val="22"/>
          <w:lang w:val="sk-SK"/>
        </w:rPr>
        <w:t>2 hodiny pred operáciou.</w:t>
      </w:r>
    </w:p>
    <w:p w14:paraId="007F9070" w14:textId="77777777" w:rsidR="009F7F8F" w:rsidRDefault="009F7F8F">
      <w:pPr>
        <w:ind w:left="562"/>
        <w:rPr>
          <w:szCs w:val="22"/>
          <w:lang w:val="sk-SK"/>
        </w:rPr>
      </w:pPr>
    </w:p>
    <w:p w14:paraId="38D4C785" w14:textId="77777777" w:rsidR="009F7F8F" w:rsidRDefault="001F536F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Novorodenci s gestačným vekom &lt; 40 týždňov:</w:t>
      </w:r>
    </w:p>
    <w:p w14:paraId="55F700F3" w14:textId="77777777" w:rsidR="009F7F8F" w:rsidRDefault="001F536F">
      <w:pPr>
        <w:rPr>
          <w:szCs w:val="22"/>
          <w:lang w:val="sk-SK"/>
        </w:rPr>
      </w:pPr>
      <w:r>
        <w:rPr>
          <w:szCs w:val="22"/>
          <w:lang w:val="sk-SK"/>
        </w:rPr>
        <w:t>10 mg/kg telesnej hmotnosti v jednej dávke pred operáciou</w:t>
      </w:r>
    </w:p>
    <w:p w14:paraId="7FEC4217" w14:textId="77777777" w:rsidR="008A742D" w:rsidRPr="00412889" w:rsidRDefault="008A742D">
      <w:pPr>
        <w:ind w:left="708"/>
        <w:rPr>
          <w:szCs w:val="22"/>
          <w:lang w:val="sk-SK"/>
        </w:rPr>
      </w:pPr>
    </w:p>
    <w:p w14:paraId="25B06810" w14:textId="77777777" w:rsidR="008A742D" w:rsidRPr="00412889" w:rsidRDefault="001F536F">
      <w:pPr>
        <w:rPr>
          <w:b/>
          <w:bCs/>
          <w:iCs/>
          <w:szCs w:val="22"/>
          <w:u w:val="single"/>
          <w:lang w:val="sk-SK"/>
        </w:rPr>
      </w:pPr>
      <w:r w:rsidRPr="001F536F">
        <w:rPr>
          <w:b/>
          <w:bCs/>
          <w:iCs/>
          <w:szCs w:val="22"/>
          <w:u w:val="single"/>
          <w:lang w:val="sk-SK"/>
        </w:rPr>
        <w:t>Pacienti s poruchou funkcie obličiek</w:t>
      </w:r>
    </w:p>
    <w:p w14:paraId="7B950374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V tejto populácii sú dostupné iba obmedzené údaje. Tieto údaje neindikujú potrebu zníženia dávky (pozri časť 5.2).</w:t>
      </w:r>
    </w:p>
    <w:p w14:paraId="1EB26A96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U pacientov podstupujúcich hemodialýzu sa má konvenčná dávka metronidazolu naplánovať na deň dialýzy po hemodialýze na vykompenzovanie odstránenia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metronidazolu v priebehu dialýzy.</w:t>
      </w:r>
    </w:p>
    <w:p w14:paraId="3DAFB045" w14:textId="77777777" w:rsidR="003136F2" w:rsidRPr="00412889" w:rsidRDefault="001F536F" w:rsidP="003136F2">
      <w:pPr>
        <w:rPr>
          <w:szCs w:val="22"/>
          <w:lang w:val="sk-SK"/>
        </w:rPr>
      </w:pPr>
      <w:r>
        <w:rPr>
          <w:szCs w:val="22"/>
          <w:lang w:val="sk-SK"/>
        </w:rPr>
        <w:t xml:space="preserve">Rutinná úprava dávky u pacientov so zlyhaním obličiek podstupujúcich </w:t>
      </w:r>
      <w:r w:rsidRPr="001F536F">
        <w:rPr>
          <w:szCs w:val="22"/>
          <w:lang w:val="sk-SK"/>
        </w:rPr>
        <w:t>intermitentnú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peritoneálnu dialýzu (IPD) alebo kontinuálnu ambulantn</w:t>
      </w:r>
      <w:r w:rsidRPr="001F536F">
        <w:rPr>
          <w:szCs w:val="22"/>
          <w:lang w:val="sk-SK"/>
        </w:rPr>
        <w:t>ú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peritoneálnu dialýzu (CAPD) nie je potrebná.</w:t>
      </w:r>
    </w:p>
    <w:p w14:paraId="180A0E40" w14:textId="77777777" w:rsidR="008A742D" w:rsidRPr="00412889" w:rsidRDefault="008A742D">
      <w:pPr>
        <w:rPr>
          <w:i/>
          <w:szCs w:val="22"/>
          <w:lang w:val="sk-SK"/>
        </w:rPr>
      </w:pPr>
    </w:p>
    <w:p w14:paraId="54D17627" w14:textId="77777777" w:rsidR="008A742D" w:rsidRPr="00412889" w:rsidRDefault="001F536F">
      <w:pPr>
        <w:rPr>
          <w:b/>
          <w:bCs/>
          <w:iCs/>
          <w:szCs w:val="22"/>
          <w:u w:val="single"/>
          <w:lang w:val="sk-SK"/>
        </w:rPr>
      </w:pPr>
      <w:r w:rsidRPr="001F536F">
        <w:rPr>
          <w:b/>
          <w:bCs/>
          <w:iCs/>
          <w:szCs w:val="22"/>
          <w:u w:val="single"/>
          <w:lang w:val="sk-SK"/>
        </w:rPr>
        <w:t>Pacienti s poruchou funkcie pečene</w:t>
      </w:r>
    </w:p>
    <w:p w14:paraId="02AEAC42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Keďže je </w:t>
      </w:r>
      <w:r w:rsidR="00ED4A38">
        <w:rPr>
          <w:szCs w:val="22"/>
          <w:lang w:val="sk-SK"/>
        </w:rPr>
        <w:t xml:space="preserve">u pacientov so závažnou poruchou funkcie pečene </w:t>
      </w:r>
      <w:r>
        <w:rPr>
          <w:szCs w:val="22"/>
          <w:lang w:val="sk-SK"/>
        </w:rPr>
        <w:t>polčas metronidazolu v sére predĺžený a klírens plazmy oneskorený, pacientom so závažným ochorením pečene sa musia podávať nižšie dávky (pozri časť 5.2).</w:t>
      </w:r>
    </w:p>
    <w:p w14:paraId="02131DA6" w14:textId="77777777" w:rsidR="00E1043A" w:rsidRPr="00412889" w:rsidRDefault="00E1043A">
      <w:pPr>
        <w:rPr>
          <w:szCs w:val="22"/>
          <w:lang w:val="sk-SK"/>
        </w:rPr>
      </w:pPr>
    </w:p>
    <w:p w14:paraId="3265093A" w14:textId="77777777" w:rsidR="00E1043A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U pacientov s hepatálnou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encefalopatiou sa má denná dávka znížiť na jednu tretinu a môže sa podať jedenkrát denne (pozri časť 4.4).</w:t>
      </w:r>
    </w:p>
    <w:p w14:paraId="691FCF14" w14:textId="77777777" w:rsidR="008A742D" w:rsidRPr="00412889" w:rsidRDefault="008A742D">
      <w:pPr>
        <w:rPr>
          <w:i/>
          <w:szCs w:val="22"/>
          <w:lang w:val="sk-SK"/>
        </w:rPr>
      </w:pPr>
    </w:p>
    <w:p w14:paraId="045822BD" w14:textId="77777777" w:rsidR="008A742D" w:rsidRPr="00412889" w:rsidRDefault="001F536F">
      <w:pPr>
        <w:pStyle w:val="Nadpis3"/>
        <w:spacing w:before="0"/>
        <w:rPr>
          <w:b w:val="0"/>
          <w:bCs/>
          <w:i w:val="0"/>
          <w:iCs/>
          <w:u w:val="single"/>
          <w:lang w:val="sk-SK"/>
        </w:rPr>
      </w:pPr>
      <w:r w:rsidRPr="001F536F">
        <w:rPr>
          <w:b w:val="0"/>
          <w:bCs/>
          <w:i w:val="0"/>
          <w:iCs/>
          <w:u w:val="single"/>
          <w:lang w:val="sk-SK"/>
        </w:rPr>
        <w:t>Spôsob podávania</w:t>
      </w:r>
    </w:p>
    <w:p w14:paraId="4439526D" w14:textId="77777777" w:rsidR="008A742D" w:rsidRPr="00412889" w:rsidRDefault="008A742D">
      <w:pPr>
        <w:rPr>
          <w:szCs w:val="22"/>
          <w:lang w:val="sk-SK"/>
        </w:rPr>
      </w:pPr>
    </w:p>
    <w:p w14:paraId="661BE80D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Intravenózne použitie.</w:t>
      </w:r>
    </w:p>
    <w:p w14:paraId="57A22D5D" w14:textId="77777777" w:rsidR="008A742D" w:rsidRPr="00412889" w:rsidRDefault="001F536F">
      <w:pPr>
        <w:rPr>
          <w:szCs w:val="22"/>
          <w:lang w:val="sk-SK"/>
        </w:rPr>
      </w:pPr>
      <w:r w:rsidRPr="000C16BD">
        <w:rPr>
          <w:szCs w:val="22"/>
          <w:lang w:val="sk-SK"/>
        </w:rPr>
        <w:t>Ob</w:t>
      </w:r>
      <w:r>
        <w:rPr>
          <w:szCs w:val="22"/>
          <w:lang w:val="sk-SK"/>
        </w:rPr>
        <w:t xml:space="preserve">sah jednej fľaše sa má podávať </w:t>
      </w:r>
      <w:r w:rsidR="000C16BD" w:rsidRPr="000C16BD">
        <w:rPr>
          <w:szCs w:val="22"/>
          <w:lang w:val="sk-SK"/>
        </w:rPr>
        <w:t xml:space="preserve">intravenózne </w:t>
      </w:r>
      <w:r>
        <w:rPr>
          <w:szCs w:val="22"/>
          <w:lang w:val="sk-SK"/>
        </w:rPr>
        <w:t xml:space="preserve">pomalou infúziou, t.j. </w:t>
      </w:r>
      <w:r w:rsidRPr="00623605">
        <w:rPr>
          <w:szCs w:val="22"/>
          <w:lang w:val="sk-SK"/>
        </w:rPr>
        <w:t>najviac</w:t>
      </w:r>
      <w:r>
        <w:rPr>
          <w:szCs w:val="22"/>
          <w:lang w:val="sk-SK"/>
        </w:rPr>
        <w:t xml:space="preserve"> 100 ml nie kratšie ako 20 minút, ale zvyčajne dlhšie ako hodinu. </w:t>
      </w:r>
    </w:p>
    <w:p w14:paraId="03B31F2E" w14:textId="77777777" w:rsidR="007A6974" w:rsidRPr="00412889" w:rsidRDefault="007A6974">
      <w:pPr>
        <w:rPr>
          <w:szCs w:val="22"/>
          <w:lang w:val="sk-SK"/>
        </w:rPr>
      </w:pPr>
    </w:p>
    <w:p w14:paraId="09BFEBC0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Súbežne predpísané antibiotiká sa majú</w:t>
      </w:r>
      <w:r w:rsidR="00986620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podávať samostatne. </w:t>
      </w:r>
    </w:p>
    <w:bookmarkEnd w:id="2"/>
    <w:p w14:paraId="22C3D588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4DE37F66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4.3</w:t>
      </w:r>
      <w:r w:rsidRPr="001F536F">
        <w:rPr>
          <w:lang w:val="sk-SK"/>
        </w:rPr>
        <w:tab/>
        <w:t>Kontraindikácie</w:t>
      </w:r>
    </w:p>
    <w:p w14:paraId="2B9B405A" w14:textId="77777777" w:rsidR="008A742D" w:rsidRPr="00412889" w:rsidRDefault="008A742D">
      <w:pPr>
        <w:rPr>
          <w:szCs w:val="22"/>
          <w:lang w:val="sk-SK"/>
        </w:rPr>
      </w:pPr>
    </w:p>
    <w:p w14:paraId="7E007D6E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Precitlivenosť na metronidazol alebo na iné deriváty nitroimidazolu alebo na ktorúkoľvek z pomocných látok uvedených v časti 6.1. </w:t>
      </w:r>
    </w:p>
    <w:p w14:paraId="73D8E2C3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62805224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4.4</w:t>
      </w:r>
      <w:r w:rsidRPr="001F536F">
        <w:rPr>
          <w:lang w:val="sk-SK"/>
        </w:rPr>
        <w:tab/>
        <w:t>Osobitné upozornenia a opatrenia pri používaní</w:t>
      </w:r>
    </w:p>
    <w:p w14:paraId="6FDC204B" w14:textId="77777777" w:rsidR="008A742D" w:rsidRPr="00412889" w:rsidRDefault="008A742D">
      <w:pPr>
        <w:rPr>
          <w:szCs w:val="22"/>
          <w:lang w:val="sk-SK"/>
        </w:rPr>
      </w:pPr>
    </w:p>
    <w:p w14:paraId="6ACFC8B1" w14:textId="77777777" w:rsidR="00B14367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 xml:space="preserve">Pravidelné klinické a laboratórne vyšetrenia (vrátane celkového krvného obrazu) sa odporúčajú v prípadoch liečby vysokými dávkami alebo </w:t>
      </w:r>
      <w:r w:rsidR="002D6F75">
        <w:rPr>
          <w:szCs w:val="22"/>
          <w:lang w:val="sk-SK"/>
        </w:rPr>
        <w:t>dlhodobej</w:t>
      </w:r>
      <w:r>
        <w:rPr>
          <w:szCs w:val="22"/>
          <w:lang w:val="sk-SK"/>
        </w:rPr>
        <w:t xml:space="preserve"> liečby, v prípade predchádzajúcej krvnej dyskrázie, v prípade závažnej infekcie a ťažkej hepatálnej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insuficiencie.</w:t>
      </w:r>
    </w:p>
    <w:p w14:paraId="40531A6C" w14:textId="77777777" w:rsidR="00B14367" w:rsidRPr="00412889" w:rsidRDefault="00B14367">
      <w:pPr>
        <w:rPr>
          <w:szCs w:val="22"/>
          <w:lang w:val="sk-SK"/>
        </w:rPr>
      </w:pPr>
    </w:p>
    <w:p w14:paraId="4F297F45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U pacientov so závažným poškodením pečene alebo zhoršenou hematopoézou (napr. granulocytopénia) sa má metronidazol používať len ak očakávaný prínos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jasne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prevýši možné riziká.</w:t>
      </w:r>
    </w:p>
    <w:p w14:paraId="06045256" w14:textId="77777777" w:rsidR="008A742D" w:rsidRPr="00412889" w:rsidRDefault="008A742D">
      <w:pPr>
        <w:rPr>
          <w:szCs w:val="22"/>
          <w:lang w:val="sk-SK"/>
        </w:rPr>
      </w:pPr>
    </w:p>
    <w:p w14:paraId="6ED75FAB" w14:textId="77777777" w:rsidR="002A359A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sa metabolizuje hlavne hepatálnou oxidáciou. Podstatné zníženie klírensu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metronidazolu sa môže vyskytnúť v prítomnosti pokročilej hepatálnej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insuficiencie. Významná kumulácia sa môže vyskytnúť u pacientov s hepatálnou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encefalopatiou a výsledné vysoké koncentrácie metronidazolu v plazme môžu prispieť k symptómom encefalopatie. Metronidazol sa má preto podávať s opatrnosťou pacientom s hepatálnou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encefalopatiou (pozri časť 4.2).</w:t>
      </w:r>
    </w:p>
    <w:p w14:paraId="577E0653" w14:textId="77777777" w:rsidR="002A359A" w:rsidRPr="00412889" w:rsidRDefault="002A359A">
      <w:pPr>
        <w:rPr>
          <w:szCs w:val="22"/>
          <w:lang w:val="sk-SK"/>
        </w:rPr>
      </w:pPr>
    </w:p>
    <w:p w14:paraId="18C58AE0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Metronidazol sa, vzhľadom na riziko zhoršenia, môže použiť u pacientov s akútnym alebo chronickým závažným ochorením periférneho a centrálneho nervového systému iba vtedy, ak očakávaný prínos jasne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prevýši možné riziká.</w:t>
      </w:r>
    </w:p>
    <w:p w14:paraId="6D6D7C5A" w14:textId="77777777" w:rsidR="008A742D" w:rsidRPr="00412889" w:rsidRDefault="008A742D">
      <w:pPr>
        <w:rPr>
          <w:szCs w:val="22"/>
          <w:lang w:val="sk-SK"/>
        </w:rPr>
      </w:pPr>
    </w:p>
    <w:p w14:paraId="1C4885C1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U pacientov liečených metronidazolom boli hlásené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záchvaty kŕčov, myoklonická a periférna neuropatia, ktorá je charakterizovaná najmä zníženou citlivosťou alebo parestéziou v končatinách. </w:t>
      </w:r>
      <w:r>
        <w:rPr>
          <w:szCs w:val="22"/>
          <w:lang w:val="sk-SK"/>
        </w:rPr>
        <w:lastRenderedPageBreak/>
        <w:t>Výskyt abnormálnych neurologických prejavov vyžaduje okamžité prehodnotenie pomeru prínosu/rizika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pokračovania liečby (pozri časť 4.8).</w:t>
      </w:r>
    </w:p>
    <w:p w14:paraId="253FF6BC" w14:textId="77777777" w:rsidR="008A742D" w:rsidRPr="00412889" w:rsidRDefault="008A742D">
      <w:pPr>
        <w:rPr>
          <w:szCs w:val="22"/>
          <w:lang w:val="sk-SK"/>
        </w:rPr>
      </w:pPr>
    </w:p>
    <w:p w14:paraId="21E957ED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V prípade závažných hypersenzitívnych reakcií (napr. anafylaktický šok; pozri tiež časť 4.</w:t>
      </w:r>
      <w:r w:rsidR="009B2F50">
        <w:rPr>
          <w:szCs w:val="22"/>
          <w:lang w:val="sk-SK"/>
        </w:rPr>
        <w:t xml:space="preserve">8) sa musí liečba </w:t>
      </w:r>
      <w:r w:rsidR="002D6F75">
        <w:rPr>
          <w:szCs w:val="22"/>
          <w:lang w:val="sk-SK"/>
        </w:rPr>
        <w:t xml:space="preserve">liekom </w:t>
      </w:r>
      <w:r w:rsidR="009B2F50">
        <w:rPr>
          <w:szCs w:val="22"/>
          <w:lang w:val="sk-SK"/>
        </w:rPr>
        <w:t>Metronidazole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>
        <w:rPr>
          <w:szCs w:val="22"/>
          <w:lang w:val="sk-SK"/>
        </w:rPr>
        <w:t xml:space="preserve"> 5 mg/ml infúzny roztok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ihneď ukončiť a musí sa začať príslušná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pohotovostná liečba kvalifikovaným zdravotníckym pracovníkom.</w:t>
      </w:r>
    </w:p>
    <w:p w14:paraId="0FDED978" w14:textId="77777777" w:rsidR="008A742D" w:rsidRPr="00412889" w:rsidRDefault="008A742D">
      <w:pPr>
        <w:rPr>
          <w:szCs w:val="22"/>
          <w:lang w:val="sk-SK"/>
        </w:rPr>
      </w:pPr>
    </w:p>
    <w:p w14:paraId="7349972C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Závažná pretrvávajúca hnačka počas liečby alebo počas nasledujúcich týždňov môže byť spôsobená pseudomembranóznou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kolitídou (vo väčšine prípadov zapríčinenou </w:t>
      </w:r>
      <w:r>
        <w:rPr>
          <w:i/>
          <w:szCs w:val="22"/>
          <w:lang w:val="sk-SK"/>
        </w:rPr>
        <w:t>Clostridium</w:t>
      </w:r>
      <w:r w:rsidR="00986620">
        <w:rPr>
          <w:i/>
          <w:szCs w:val="22"/>
          <w:lang w:val="sk-SK"/>
        </w:rPr>
        <w:t xml:space="preserve"> </w:t>
      </w:r>
      <w:r>
        <w:rPr>
          <w:i/>
          <w:szCs w:val="22"/>
          <w:lang w:val="sk-SK"/>
        </w:rPr>
        <w:t>difficile</w:t>
      </w:r>
      <w:r>
        <w:rPr>
          <w:szCs w:val="22"/>
          <w:lang w:val="sk-SK"/>
        </w:rPr>
        <w:t>), pozri časť 4.8. Toto črevné ochorenie vyvolané antibiotickou liečbou môže byť život</w:t>
      </w:r>
      <w:r w:rsidR="00412889">
        <w:rPr>
          <w:szCs w:val="22"/>
          <w:lang w:val="sk-SK"/>
        </w:rPr>
        <w:t xml:space="preserve"> </w:t>
      </w:r>
      <w:r>
        <w:rPr>
          <w:szCs w:val="22"/>
          <w:lang w:val="sk-SK"/>
        </w:rPr>
        <w:t>ohrozujúce a vyžaduje si okamžitú vhodnú liečbu. Nesmú sa podávať antipropulzíva.</w:t>
      </w:r>
    </w:p>
    <w:p w14:paraId="6939773B" w14:textId="77777777" w:rsidR="008A742D" w:rsidRPr="00412889" w:rsidRDefault="008A742D">
      <w:pPr>
        <w:rPr>
          <w:szCs w:val="22"/>
          <w:lang w:val="sk-SK"/>
        </w:rPr>
      </w:pPr>
    </w:p>
    <w:p w14:paraId="5CA00333" w14:textId="77777777" w:rsidR="008A742D" w:rsidRPr="00412889" w:rsidRDefault="001F536F">
      <w:pPr>
        <w:rPr>
          <w:szCs w:val="22"/>
          <w:lang w:val="sk-SK"/>
        </w:rPr>
      </w:pPr>
      <w:r>
        <w:rPr>
          <w:szCs w:val="22"/>
          <w:lang w:val="sk-SK"/>
        </w:rPr>
        <w:t>Dĺžka trvania liečby metronidazolom alebo liekmi obsahujúcimi iné nitroimidazoly nemá presiahnuť 10 dní. Iba v špecificky vybraných prípadoch a ak je to nevyhnutne potrebné, liečba môže byť predĺžená spolu s náležitým klinickým a laboratórnym sledovaním. Opakovaná liečba sa má obmedziť na najvyššiu možnú mieru a má byť vyhradená len pre špecificky vybrané prípady. Tieto obmedzenia sa musia striktne dodržiavať, pretože nemožno s určitosťou vylúčiť možnosť metronidazolom navodenej mutagénnej aktivity a taktiež z dôvodu, že v experimentoch na zvieratách bol zaznamenaný nárast výskytu niektorých nádorov.</w:t>
      </w:r>
    </w:p>
    <w:p w14:paraId="01A7A388" w14:textId="77777777" w:rsidR="008A742D" w:rsidRPr="00412889" w:rsidRDefault="008A742D">
      <w:pPr>
        <w:rPr>
          <w:szCs w:val="22"/>
          <w:lang w:val="sk-SK"/>
        </w:rPr>
      </w:pPr>
    </w:p>
    <w:p w14:paraId="17395061" w14:textId="77777777" w:rsidR="006C6A80" w:rsidRPr="00412889" w:rsidRDefault="001F536F" w:rsidP="006C6A80">
      <w:pPr>
        <w:rPr>
          <w:szCs w:val="22"/>
          <w:lang w:val="sk-SK"/>
        </w:rPr>
      </w:pPr>
      <w:r>
        <w:rPr>
          <w:szCs w:val="22"/>
          <w:lang w:val="sk-SK"/>
        </w:rPr>
        <w:t xml:space="preserve">Dlhodobá liečba metronidazolom sa môže spájať s útlmom kostnej drene, ktorý vedie k zhoršeniu haematopoézy. Pre prejavy, pozri časť 4.8. Počty krvných buniek sa majú počas dlhodobej liečby starostlivo sledovať. </w:t>
      </w:r>
    </w:p>
    <w:p w14:paraId="0CCD6705" w14:textId="77777777" w:rsidR="006C6A80" w:rsidRPr="00412889" w:rsidRDefault="006C6A80" w:rsidP="006C6A80">
      <w:pPr>
        <w:rPr>
          <w:szCs w:val="22"/>
          <w:lang w:val="sk-SK"/>
        </w:rPr>
      </w:pPr>
    </w:p>
    <w:p w14:paraId="3EF5D843" w14:textId="77777777" w:rsidR="006C6A80" w:rsidRPr="00412889" w:rsidRDefault="001F536F" w:rsidP="006C6A80">
      <w:pPr>
        <w:pStyle w:val="Nadpis5"/>
        <w:spacing w:before="0"/>
        <w:jc w:val="left"/>
        <w:rPr>
          <w:u w:val="none"/>
          <w:lang w:val="sk-SK"/>
        </w:rPr>
      </w:pPr>
      <w:r w:rsidRPr="001F536F">
        <w:rPr>
          <w:u w:val="none"/>
          <w:lang w:val="sk-SK"/>
        </w:rPr>
        <w:t xml:space="preserve">Tento liek obsahuje 310,58 mg sodíka na 100 ml, čo </w:t>
      </w:r>
      <w:bookmarkStart w:id="7" w:name="_Hlk523215540"/>
      <w:r w:rsidRPr="001F536F">
        <w:rPr>
          <w:u w:val="none"/>
          <w:lang w:val="sk-SK"/>
        </w:rPr>
        <w:t>zodpovedá 15,5% maximálnej dennej odporúčanej dávky Svetovou zdravotníckou organizáciou (WHO) 2 g pre dospelých</w:t>
      </w:r>
      <w:bookmarkEnd w:id="7"/>
      <w:r w:rsidRPr="001F536F">
        <w:rPr>
          <w:u w:val="none"/>
          <w:lang w:val="sk-SK"/>
        </w:rPr>
        <w:t>.</w:t>
      </w:r>
    </w:p>
    <w:p w14:paraId="78764F53" w14:textId="77777777" w:rsidR="009F7F8F" w:rsidRDefault="009F7F8F">
      <w:pPr>
        <w:pStyle w:val="Normlnysozarkami"/>
        <w:rPr>
          <w:lang w:val="sk-SK"/>
        </w:rPr>
      </w:pPr>
    </w:p>
    <w:p w14:paraId="6DCE2886" w14:textId="77777777" w:rsidR="008A742D" w:rsidRPr="00412889" w:rsidRDefault="001F536F" w:rsidP="005226BC">
      <w:pPr>
        <w:pStyle w:val="Nadpis5"/>
        <w:spacing w:before="0"/>
        <w:jc w:val="left"/>
        <w:rPr>
          <w:i/>
          <w:iCs w:val="0"/>
          <w:u w:val="none"/>
          <w:lang w:val="sk-SK"/>
        </w:rPr>
      </w:pPr>
      <w:r w:rsidRPr="001F536F">
        <w:rPr>
          <w:i/>
          <w:iCs w:val="0"/>
          <w:u w:val="none"/>
          <w:lang w:val="sk-SK"/>
        </w:rPr>
        <w:t>Vplyv na laboratórne testy</w:t>
      </w:r>
    </w:p>
    <w:p w14:paraId="18F582CF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Metronidazol ovplyvňuje enzymaticko-spektrofotometrické stanovenie aspartátaminotransferázy (AST), alanínaminotransferázy (ALT), laktátdehydrogenázy (LDH), triglyceridov a hexokinázy glukózy s následkom zníženia ich hodnôt (možno až na nulu).</w:t>
      </w:r>
    </w:p>
    <w:p w14:paraId="1DA808DB" w14:textId="77777777" w:rsidR="000D4A2D" w:rsidRPr="00412889" w:rsidRDefault="000D4A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5268823D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 xml:space="preserve">Metronidazol má vysokú absorbanciu pri vlnovej dĺžke, pri ktorej je stanovovaný nikotínamidadeníndinukleotid (NADH). Z tohto dôvodu môžu byť zvýšené koncentrácie pečeňových enzýmov maskované metronidazolom pri meraní metódou kontinuálneho toku založenou na znížení </w:t>
      </w:r>
      <w:r w:rsidRPr="004E69AF">
        <w:rPr>
          <w:sz w:val="22"/>
          <w:szCs w:val="22"/>
          <w:lang w:val="sk-SK"/>
        </w:rPr>
        <w:t>koncového bodu</w:t>
      </w:r>
      <w:r w:rsidRPr="001F536F">
        <w:rPr>
          <w:sz w:val="22"/>
          <w:szCs w:val="22"/>
          <w:lang w:val="sk-SK"/>
        </w:rPr>
        <w:t xml:space="preserve"> pri zníženom NADH. Boli hlásené nezvyčajne nízke koncentrácie pečeňových enzýmov vrátane nulových hodnôt.</w:t>
      </w:r>
    </w:p>
    <w:p w14:paraId="0E593F58" w14:textId="77777777" w:rsidR="000D4A2D" w:rsidRPr="00412889" w:rsidRDefault="000D4A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10DFDD00" w14:textId="77777777" w:rsidR="000D4A2D" w:rsidRPr="00412889" w:rsidRDefault="001F536F" w:rsidP="000E39CA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Pacienti majú byť upozornení, že metronidazol môže stmaviť moč.</w:t>
      </w:r>
    </w:p>
    <w:p w14:paraId="772E0E28" w14:textId="77777777" w:rsidR="000D4A2D" w:rsidRPr="00412889" w:rsidRDefault="000D4A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3CE20779" w14:textId="77777777" w:rsidR="000D4A2D" w:rsidRPr="00412889" w:rsidRDefault="001F536F" w:rsidP="000D4A2D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Pri liekoch obsahujúcich metronidazol na systémové použitie boli hlásené prípady závažnej hepatálnej toxicity/akútneho zlyhania pečene vrátane prípadov so smrteľnými následkami s veľmi rýchlym nástupom po začatí liečby u pacientov s </w:t>
      </w:r>
      <w:r w:rsidR="004E69AF" w:rsidRPr="004E69AF">
        <w:rPr>
          <w:szCs w:val="22"/>
          <w:lang w:val="sk-SK"/>
        </w:rPr>
        <w:t xml:space="preserve">Cockayenovým </w:t>
      </w:r>
      <w:r w:rsidRPr="001F536F">
        <w:rPr>
          <w:szCs w:val="22"/>
          <w:lang w:val="sk-SK"/>
        </w:rPr>
        <w:t xml:space="preserve">syndrómom. V tejto populácii sa má preto metronidazol použiť po starostlivom posúdení prínosu a rizika a iba v prípade, ak nie je dostupná alternatívna liečba. Pred začiatkom liečby, počas nej a po jej skončení sa musia vykonať testy </w:t>
      </w:r>
      <w:r w:rsidR="00A41AE4">
        <w:rPr>
          <w:szCs w:val="22"/>
          <w:lang w:val="sk-SK"/>
        </w:rPr>
        <w:t xml:space="preserve">funkcie pečene, </w:t>
      </w:r>
      <w:r w:rsidRPr="001F536F">
        <w:rPr>
          <w:szCs w:val="22"/>
          <w:lang w:val="sk-SK"/>
        </w:rPr>
        <w:t xml:space="preserve">až kým nebude funkcia pečene v normálnom rozsahu alebo kým nebudú dosiahnuté východiskové hodnoty. Ak budú počas liečby </w:t>
      </w:r>
      <w:r w:rsidR="00A41AE4">
        <w:rPr>
          <w:szCs w:val="22"/>
          <w:lang w:val="sk-SK"/>
        </w:rPr>
        <w:t xml:space="preserve">výsledky </w:t>
      </w:r>
      <w:r w:rsidRPr="001F536F">
        <w:rPr>
          <w:szCs w:val="22"/>
          <w:lang w:val="sk-SK"/>
        </w:rPr>
        <w:t>test</w:t>
      </w:r>
      <w:r w:rsidR="00A41AE4">
        <w:rPr>
          <w:szCs w:val="22"/>
          <w:lang w:val="sk-SK"/>
        </w:rPr>
        <w:t>ov funkcie pečene</w:t>
      </w:r>
      <w:r w:rsidRPr="001F536F">
        <w:rPr>
          <w:szCs w:val="22"/>
          <w:lang w:val="sk-SK"/>
        </w:rPr>
        <w:t xml:space="preserve"> výrazne zvýšené, liečba sa má ukončiť.</w:t>
      </w:r>
    </w:p>
    <w:p w14:paraId="46457902" w14:textId="77777777" w:rsidR="000D4A2D" w:rsidRPr="00412889" w:rsidRDefault="000D4A2D" w:rsidP="000D4A2D">
      <w:pPr>
        <w:rPr>
          <w:szCs w:val="22"/>
          <w:lang w:val="sk-SK"/>
        </w:rPr>
      </w:pPr>
    </w:p>
    <w:p w14:paraId="72402993" w14:textId="77777777" w:rsidR="000D4A2D" w:rsidRPr="00412889" w:rsidRDefault="001F536F" w:rsidP="000D4A2D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Pacienti s </w:t>
      </w:r>
      <w:r w:rsidR="00A41AE4" w:rsidRPr="00A41AE4">
        <w:rPr>
          <w:szCs w:val="22"/>
          <w:lang w:val="sk-SK"/>
        </w:rPr>
        <w:t xml:space="preserve">Cockayenovým </w:t>
      </w:r>
      <w:r w:rsidRPr="001F536F">
        <w:rPr>
          <w:szCs w:val="22"/>
          <w:lang w:val="sk-SK"/>
        </w:rPr>
        <w:t>syndrómom musia byť poučení o tom, že akékoľvek príznaky možného poškodenia pečene musia okamžite nahlásiť svojmu lekárovi a musia prestať užívať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metronidazol.</w:t>
      </w:r>
    </w:p>
    <w:p w14:paraId="2287E32A" w14:textId="77777777" w:rsidR="000D4A2D" w:rsidRPr="00412889" w:rsidRDefault="000D4A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5222985A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lastRenderedPageBreak/>
        <w:t>4.5</w:t>
      </w:r>
      <w:r w:rsidRPr="001F536F">
        <w:rPr>
          <w:lang w:val="sk-SK"/>
        </w:rPr>
        <w:tab/>
        <w:t>Liekové a iné interakcie</w:t>
      </w:r>
    </w:p>
    <w:p w14:paraId="143B8339" w14:textId="77777777" w:rsidR="008A742D" w:rsidRPr="00412889" w:rsidRDefault="008A742D">
      <w:pPr>
        <w:pStyle w:val="Nadpis4"/>
        <w:spacing w:before="0"/>
        <w:jc w:val="left"/>
        <w:rPr>
          <w:b/>
          <w:i w:val="0"/>
          <w:lang w:val="sk-SK"/>
        </w:rPr>
      </w:pPr>
    </w:p>
    <w:p w14:paraId="4A25E2F8" w14:textId="77777777" w:rsidR="008A742D" w:rsidRPr="00412889" w:rsidRDefault="001F536F">
      <w:pPr>
        <w:pStyle w:val="Nadpis4"/>
        <w:spacing w:before="0"/>
        <w:jc w:val="left"/>
        <w:rPr>
          <w:bCs/>
          <w:iCs/>
          <w:lang w:val="sk-SK"/>
        </w:rPr>
      </w:pPr>
      <w:r w:rsidRPr="001F536F">
        <w:rPr>
          <w:bCs/>
          <w:iCs/>
          <w:lang w:val="sk-SK"/>
        </w:rPr>
        <w:t xml:space="preserve">Liekové interakcie </w:t>
      </w:r>
    </w:p>
    <w:p w14:paraId="2A8125F4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3799BDA9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Amiodarón</w:t>
      </w:r>
    </w:p>
    <w:p w14:paraId="200DC2D4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Pri súbežnom podávaní metronidazolu a amiodarónu bolo hlásené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predĺženie QT intervalu a torsade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de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pointes. Preto je vhodné monitorovať QT interval na EKG pri podávaní amiodarónu v kombinácií s metronidazolom. Pacienti liečení ambulantne majú byť poučení, aby vyhľadali lekára, ak sa u nich vyskytnú symptómy</w:t>
      </w:r>
      <w:r w:rsidR="00412889">
        <w:rPr>
          <w:sz w:val="22"/>
          <w:szCs w:val="22"/>
          <w:lang w:val="sk-SK"/>
        </w:rPr>
        <w:t xml:space="preserve"> </w:t>
      </w:r>
      <w:r w:rsidR="00A41AE4">
        <w:rPr>
          <w:sz w:val="22"/>
          <w:szCs w:val="22"/>
          <w:lang w:val="sk-SK"/>
        </w:rPr>
        <w:t xml:space="preserve">naznačujúce </w:t>
      </w:r>
      <w:r w:rsidRPr="001F536F">
        <w:rPr>
          <w:sz w:val="22"/>
          <w:szCs w:val="22"/>
          <w:lang w:val="sk-SK"/>
        </w:rPr>
        <w:t>torsade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de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pointes ako sú závraty, palpitácie alebo synkopa.</w:t>
      </w:r>
    </w:p>
    <w:p w14:paraId="4AF80EF7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2962EC4E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Barbituráty</w:t>
      </w:r>
    </w:p>
    <w:p w14:paraId="53102641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Fenobarbital môže zvýšiť metabolizmus metronidazolu v pečeni, a tým znížiť jeho plazmatický polčas na 3 hodiny.</w:t>
      </w:r>
    </w:p>
    <w:p w14:paraId="2D98751D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4CD1A9C8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Busulfán</w:t>
      </w:r>
    </w:p>
    <w:p w14:paraId="226B4C1A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Súbežné podávanie s metronidazolom môže výrazne zvýšiť koncentrácie busulfánu v plazme. Mechanizmus interakcie nebol popísaný. Z dôvodu možnej závažnej toxicity a úmrtnosti spojenej so zvýšenými hladinami busulfánu v plazme sa má vyhnúť súbežnému podávaniu busulfánu</w:t>
      </w:r>
      <w:r w:rsidR="00A41AE4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s metronidazolom.</w:t>
      </w:r>
    </w:p>
    <w:p w14:paraId="0953513F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5C60A285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Karbamazepín</w:t>
      </w:r>
    </w:p>
    <w:p w14:paraId="0247B0D8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Metronidazol môže inhibovať metabolizmus karbamazepínu a zvyšovať tak jeho koncentráciu v plazme.</w:t>
      </w:r>
    </w:p>
    <w:p w14:paraId="135810DC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348B78DA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Cimetidín</w:t>
      </w:r>
    </w:p>
    <w:p w14:paraId="65A82520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Súbežne podávaný cimetidín môže v ojedinelých prípadoch znižovať elimináciu metronidazolu, a následne viesť k zvýšenej koncentrácii metronidazolu v sére.</w:t>
      </w:r>
    </w:p>
    <w:p w14:paraId="7EA525F8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20AEAA22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Kontraceptíva</w:t>
      </w:r>
    </w:p>
    <w:p w14:paraId="67C1AABF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Niektoré antibiotiká môžu v niektorých výnimočných prípadoch znížiť účinok antikoncepčných tabliet zásahom do bakteriálnej hydrolýzy steroidných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konjugátov v čreve a znižovať tak spätné vstrebávanie nekonjugovaného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steroidu. Z tohto dôvodu plazmatické hladiny aktívneho steroidu klesajú. Táto nezvyčajná interakcia sa môže vyskytnúť u žien s </w:t>
      </w:r>
      <w:r w:rsidR="003D1476">
        <w:rPr>
          <w:sz w:val="22"/>
          <w:szCs w:val="22"/>
          <w:lang w:val="sk-SK"/>
        </w:rPr>
        <w:t>vysokým</w:t>
      </w:r>
      <w:r w:rsidRPr="001F536F">
        <w:rPr>
          <w:sz w:val="22"/>
          <w:szCs w:val="22"/>
          <w:lang w:val="sk-SK"/>
        </w:rPr>
        <w:t xml:space="preserve"> vylučovaním steroidných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konjugátov žlčou. Zlyhanie perorálnych kontraceptív bolo hlásené v spojitosti s rôznymi antibiotikami, napr. ampicilínom, amoxicilínom, tetracyklínmi a tiež metronidazolom. </w:t>
      </w:r>
    </w:p>
    <w:p w14:paraId="0BC05DC5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6DDA161F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Deriváty kumarínu</w:t>
      </w:r>
    </w:p>
    <w:p w14:paraId="628F8F02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Súbežná liečba metronidazolom môže zosilňovať ich antikoagulačný účinok a zvýšiť riziko krvácania v dôsledku zníženej degradácie v pečeni. V takomto prípade môže byť potrebná úprava dávkovania antikoagulancií.</w:t>
      </w:r>
    </w:p>
    <w:p w14:paraId="386E215C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740293E5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Cyklosporín</w:t>
      </w:r>
    </w:p>
    <w:p w14:paraId="21F0B15A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Pri súbežnej liečbe cyklosporínom a metronidazolom existuje riziko zvýšenej koncentrácie cyklosporínu v sére. Je potrebné časté sledovanie hladiny cyklosporínu a kreatinínu.</w:t>
      </w:r>
    </w:p>
    <w:p w14:paraId="29D09899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427AE353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Disulfiram</w:t>
      </w:r>
    </w:p>
    <w:p w14:paraId="7F6FB466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 xml:space="preserve">Súbežné podávanie disulfiramu môže zapríčiniť stavy zmätenosti alebo dokonca psychotické reakcie. Má sa vyhnúť kombinácii oboch </w:t>
      </w:r>
      <w:r w:rsidR="005A3D78">
        <w:rPr>
          <w:sz w:val="22"/>
          <w:szCs w:val="22"/>
          <w:lang w:val="sk-SK"/>
        </w:rPr>
        <w:t>liečiv</w:t>
      </w:r>
      <w:r w:rsidRPr="001F536F">
        <w:rPr>
          <w:sz w:val="22"/>
          <w:szCs w:val="22"/>
          <w:lang w:val="sk-SK"/>
        </w:rPr>
        <w:t>.</w:t>
      </w:r>
    </w:p>
    <w:p w14:paraId="7B68B7AB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7B5B1CD2" w14:textId="77777777" w:rsidR="008A742D" w:rsidRPr="00412889" w:rsidRDefault="005A3D78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 w:rsidRPr="005A3D78">
        <w:rPr>
          <w:i w:val="0"/>
          <w:iCs/>
          <w:u w:val="single"/>
          <w:lang w:val="sk-SK"/>
        </w:rPr>
        <w:t>Fluóruracil</w:t>
      </w:r>
    </w:p>
    <w:p w14:paraId="716D8E4F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Metronidazol</w:t>
      </w:r>
      <w:r w:rsidR="00986620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inhibuje metabolizmus súbežne podávaného </w:t>
      </w:r>
      <w:r w:rsidR="001279A0">
        <w:rPr>
          <w:sz w:val="22"/>
          <w:szCs w:val="22"/>
          <w:lang w:val="sk-SK"/>
        </w:rPr>
        <w:t>f</w:t>
      </w:r>
      <w:r w:rsidR="001279A0" w:rsidRPr="001279A0">
        <w:rPr>
          <w:sz w:val="22"/>
          <w:szCs w:val="22"/>
          <w:lang w:val="sk-SK"/>
        </w:rPr>
        <w:t>luóruracil</w:t>
      </w:r>
      <w:r w:rsidR="001279A0">
        <w:rPr>
          <w:sz w:val="22"/>
          <w:szCs w:val="22"/>
          <w:lang w:val="sk-SK"/>
        </w:rPr>
        <w:t>u</w:t>
      </w:r>
      <w:r w:rsidRPr="001F536F">
        <w:rPr>
          <w:sz w:val="22"/>
          <w:szCs w:val="22"/>
          <w:lang w:val="sk-SK"/>
        </w:rPr>
        <w:t xml:space="preserve">, takže zvyšuje koncentráciu </w:t>
      </w:r>
      <w:r w:rsidR="001279A0" w:rsidRPr="001279A0">
        <w:rPr>
          <w:sz w:val="22"/>
          <w:szCs w:val="22"/>
          <w:lang w:val="sk-SK"/>
        </w:rPr>
        <w:t>fluóruracilu</w:t>
      </w:r>
      <w:r w:rsidRPr="001F536F">
        <w:rPr>
          <w:sz w:val="22"/>
          <w:szCs w:val="22"/>
          <w:lang w:val="sk-SK"/>
        </w:rPr>
        <w:t xml:space="preserve"> v plazme.</w:t>
      </w:r>
    </w:p>
    <w:p w14:paraId="12F96DCE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05F62A1E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Lítium</w:t>
      </w:r>
    </w:p>
    <w:p w14:paraId="4FBA6FCE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Ak sa metronidazol podáva súbežne s lítiovými soľami, je potrebná opatrnosť, pretože počas liečby metronidazolom boli pozorované zvýšené koncentrácie lítia v sére.</w:t>
      </w:r>
      <w:bookmarkStart w:id="8" w:name="_Hlk523214943"/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Liečba lítiom sa má znížiť alebo </w:t>
      </w:r>
      <w:r w:rsidRPr="001F536F">
        <w:rPr>
          <w:sz w:val="22"/>
          <w:szCs w:val="22"/>
          <w:lang w:val="sk-SK"/>
        </w:rPr>
        <w:lastRenderedPageBreak/>
        <w:t>ukončiť pred podávaním metronidazolu</w:t>
      </w:r>
      <w:bookmarkEnd w:id="8"/>
      <w:r w:rsidRPr="001F536F">
        <w:rPr>
          <w:sz w:val="22"/>
          <w:szCs w:val="22"/>
          <w:lang w:val="sk-SK"/>
        </w:rPr>
        <w:t xml:space="preserve">. U pacientov liečených lítiom </w:t>
      </w:r>
      <w:r w:rsidR="001279A0">
        <w:rPr>
          <w:sz w:val="22"/>
          <w:szCs w:val="22"/>
          <w:lang w:val="sk-SK"/>
        </w:rPr>
        <w:t xml:space="preserve">sa </w:t>
      </w:r>
      <w:r w:rsidRPr="001F536F">
        <w:rPr>
          <w:sz w:val="22"/>
          <w:szCs w:val="22"/>
          <w:lang w:val="sk-SK"/>
        </w:rPr>
        <w:t>počas podávania metronidazolu majú sledovať plazmatické koncentrácie lítia, kreatinínu a elektrolytov.</w:t>
      </w:r>
    </w:p>
    <w:p w14:paraId="3E600070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03FD90EC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Mofetilmykofenolát</w:t>
      </w:r>
    </w:p>
    <w:p w14:paraId="31AD651C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Látky, ktoré menia gastrointestinálnu flóru (napr. antibiotiká), môžu znižovať perorálnu biologickú dostupnosť produktov kyseliny mykofenolovej. Pri súbežnej liečbe s antiinfektívnymi látkami sa odporúča dôkladné klinické a laboratórne monitorovanie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zníženého imunosupresívneho účinku kyseliny mykofenolovej.</w:t>
      </w:r>
    </w:p>
    <w:p w14:paraId="640C9F90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53524096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Fenytoín</w:t>
      </w:r>
    </w:p>
    <w:p w14:paraId="15849C34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Metronidazol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inhibuje metabolizmus súbežne podávaného fenytoínu, takže koncentrácia fenytoínu v plazme je zvýšená. Pri súbežnom podávaní fenytoínu je zároveň znížená účinnosť metronidazolu.</w:t>
      </w:r>
    </w:p>
    <w:p w14:paraId="1B6924F9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2BBC3322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Takrolimus</w:t>
      </w:r>
    </w:p>
    <w:p w14:paraId="6E026E8C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Súbežné podávanie s metronidazolom môže zvýšiť koncentrácie takrolimu v krvi. </w:t>
      </w:r>
      <w:r w:rsidR="001279A0">
        <w:rPr>
          <w:szCs w:val="22"/>
          <w:lang w:val="sk-SK"/>
        </w:rPr>
        <w:t>Predpokladaný</w:t>
      </w:r>
      <w:r w:rsidRPr="001F536F">
        <w:rPr>
          <w:szCs w:val="22"/>
          <w:lang w:val="sk-SK"/>
        </w:rPr>
        <w:t xml:space="preserve"> mechanizmus je inhibícia metabolizmu takrolimu v pečeni pomocou CYP3A4. Hladina takrolimu v krvi a funkcia obličiek musia byť pravidelne kontrolované a podľa toho sa má upraviť dávkovanie, najmä po začatí alebo ukončení liečby metronidazolom u pacientov, ktorí </w:t>
      </w:r>
      <w:r w:rsidR="001279A0">
        <w:rPr>
          <w:szCs w:val="22"/>
          <w:lang w:val="sk-SK"/>
        </w:rPr>
        <w:t>majú</w:t>
      </w:r>
      <w:r w:rsidRPr="001F536F">
        <w:rPr>
          <w:szCs w:val="22"/>
          <w:lang w:val="sk-SK"/>
        </w:rPr>
        <w:t xml:space="preserve"> stabilizovan</w:t>
      </w:r>
      <w:r w:rsidR="001279A0">
        <w:rPr>
          <w:szCs w:val="22"/>
          <w:lang w:val="sk-SK"/>
        </w:rPr>
        <w:t>ý režim</w:t>
      </w:r>
      <w:r w:rsidRPr="001F536F">
        <w:rPr>
          <w:szCs w:val="22"/>
          <w:lang w:val="sk-SK"/>
        </w:rPr>
        <w:t xml:space="preserve"> liečby takrolimom.</w:t>
      </w:r>
    </w:p>
    <w:p w14:paraId="6E57F0D6" w14:textId="77777777" w:rsidR="008A742D" w:rsidRPr="00412889" w:rsidRDefault="008A742D">
      <w:pPr>
        <w:rPr>
          <w:b/>
          <w:szCs w:val="22"/>
          <w:lang w:val="sk-SK"/>
        </w:rPr>
      </w:pPr>
    </w:p>
    <w:p w14:paraId="3EBF24DF" w14:textId="77777777" w:rsidR="008A742D" w:rsidRPr="00412889" w:rsidRDefault="001F536F">
      <w:pPr>
        <w:rPr>
          <w:bCs/>
          <w:i/>
          <w:iCs/>
          <w:szCs w:val="22"/>
          <w:lang w:val="sk-SK"/>
        </w:rPr>
      </w:pPr>
      <w:r w:rsidRPr="001F536F">
        <w:rPr>
          <w:bCs/>
          <w:i/>
          <w:iCs/>
          <w:szCs w:val="22"/>
          <w:lang w:val="sk-SK"/>
        </w:rPr>
        <w:t>Iné formy interakcií</w:t>
      </w:r>
    </w:p>
    <w:p w14:paraId="45F664D7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Alkohol</w:t>
      </w:r>
    </w:p>
    <w:p w14:paraId="1887602E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Počas liečby metronidazolom je potrebné vyhýbať sa požívaniu alkoholických nápojov, pretože sa môžu vyskytnúť nežiaduce reakcie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ako závraty a vracanie (disulfiramový efekt).</w:t>
      </w:r>
    </w:p>
    <w:p w14:paraId="1C81708C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2CC7684D" w14:textId="77777777" w:rsidR="008A742D" w:rsidRPr="00412889" w:rsidRDefault="001F536F">
      <w:pPr>
        <w:pStyle w:val="Nadpis2"/>
        <w:spacing w:before="0"/>
        <w:rPr>
          <w:b w:val="0"/>
          <w:lang w:val="sk-SK"/>
        </w:rPr>
      </w:pPr>
      <w:r w:rsidRPr="001F536F">
        <w:rPr>
          <w:lang w:val="sk-SK"/>
        </w:rPr>
        <w:t>4.6</w:t>
      </w:r>
      <w:r w:rsidRPr="001F536F">
        <w:rPr>
          <w:lang w:val="sk-SK"/>
        </w:rPr>
        <w:tab/>
        <w:t>Fertilita, gravidita a laktácia</w:t>
      </w:r>
    </w:p>
    <w:p w14:paraId="78F929B6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09C21FDC" w14:textId="77777777" w:rsidR="008A742D" w:rsidRPr="00412889" w:rsidRDefault="001F536F">
      <w:pPr>
        <w:pStyle w:val="Nadpis4"/>
        <w:spacing w:before="0"/>
        <w:jc w:val="left"/>
        <w:rPr>
          <w:i w:val="0"/>
          <w:iCs/>
          <w:lang w:val="sk-SK"/>
        </w:rPr>
      </w:pPr>
      <w:r w:rsidRPr="001F536F">
        <w:rPr>
          <w:i w:val="0"/>
          <w:iCs/>
          <w:lang w:val="sk-SK"/>
        </w:rPr>
        <w:t>Antikoncepcia u mužov a žien</w:t>
      </w:r>
    </w:p>
    <w:p w14:paraId="774CEE65" w14:textId="77777777" w:rsidR="008A742D" w:rsidRPr="00412889" w:rsidRDefault="001F536F">
      <w:pPr>
        <w:pStyle w:val="Normlnysozarkami"/>
        <w:ind w:left="0"/>
        <w:rPr>
          <w:lang w:val="sk-SK"/>
        </w:rPr>
      </w:pPr>
      <w:r w:rsidRPr="001F536F">
        <w:rPr>
          <w:lang w:val="sk-SK"/>
        </w:rPr>
        <w:t>Pozri časť 4.5 „Kontraceptíva“.</w:t>
      </w:r>
    </w:p>
    <w:p w14:paraId="5D6290BA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2957091D" w14:textId="77777777" w:rsidR="008A742D" w:rsidRPr="00412889" w:rsidRDefault="001F536F">
      <w:pPr>
        <w:pStyle w:val="Nadpis2"/>
        <w:spacing w:before="0"/>
        <w:rPr>
          <w:b w:val="0"/>
          <w:iCs/>
          <w:u w:val="single"/>
          <w:lang w:val="sk-SK"/>
        </w:rPr>
      </w:pPr>
      <w:r w:rsidRPr="001F536F">
        <w:rPr>
          <w:b w:val="0"/>
          <w:iCs/>
          <w:u w:val="single"/>
          <w:lang w:val="sk-SK"/>
        </w:rPr>
        <w:t>Gravidita</w:t>
      </w:r>
    </w:p>
    <w:p w14:paraId="0B055356" w14:textId="77777777" w:rsidR="00A925A0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Bezpečnosť používania metronidazolu v gravidite nebola dostatočne preukázaná. Predovšetkým záznamy o užívaní v skorých štádiách tehotenstva sú protichodné. Niektoré štúdie poukazujú na zvýšené množstvo malformácií. V štúdiách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na zvieratách metronidazol nevyvolával teratogénne účinky (pozri časť 5.3). </w:t>
      </w:r>
    </w:p>
    <w:p w14:paraId="665ACDC0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V prvom trimestri, sa môže Metronidazol</w:t>
      </w:r>
      <w:r w:rsidR="00EA3797">
        <w:rPr>
          <w:sz w:val="22"/>
          <w:szCs w:val="22"/>
          <w:lang w:val="sk-SK"/>
        </w:rPr>
        <w:t>e</w:t>
      </w:r>
      <w:r w:rsidR="00412889">
        <w:rPr>
          <w:sz w:val="22"/>
          <w:szCs w:val="22"/>
          <w:lang w:val="sk-SK"/>
        </w:rPr>
        <w:t xml:space="preserve"> </w:t>
      </w:r>
      <w:r w:rsidR="00C14D9A">
        <w:rPr>
          <w:sz w:val="22"/>
          <w:szCs w:val="22"/>
          <w:lang w:val="sk-SK"/>
        </w:rPr>
        <w:t>Noridem</w:t>
      </w:r>
      <w:r w:rsidRPr="001F536F">
        <w:rPr>
          <w:sz w:val="22"/>
          <w:szCs w:val="22"/>
          <w:lang w:val="sk-SK"/>
        </w:rPr>
        <w:t xml:space="preserve"> 5 mg/ml infúzny roztok použiť len na liečbu závažných život ohrozujúcich infekcií v prípade, že neexistuje bezpečnejšia alternatíva. V druhom a treťom trimestri sa Metronidazol</w:t>
      </w:r>
      <w:r w:rsidR="00EA3797">
        <w:rPr>
          <w:sz w:val="22"/>
          <w:szCs w:val="22"/>
          <w:lang w:val="sk-SK"/>
        </w:rPr>
        <w:t>e</w:t>
      </w:r>
      <w:r w:rsidR="00412889">
        <w:rPr>
          <w:sz w:val="22"/>
          <w:szCs w:val="22"/>
          <w:lang w:val="sk-SK"/>
        </w:rPr>
        <w:t xml:space="preserve"> </w:t>
      </w:r>
      <w:r w:rsidR="00C14D9A">
        <w:rPr>
          <w:sz w:val="22"/>
          <w:szCs w:val="22"/>
          <w:lang w:val="sk-SK"/>
        </w:rPr>
        <w:t>Noridem</w:t>
      </w:r>
      <w:r w:rsidRPr="001F536F">
        <w:rPr>
          <w:sz w:val="22"/>
          <w:szCs w:val="22"/>
          <w:lang w:val="sk-SK"/>
        </w:rPr>
        <w:t xml:space="preserve"> 5 mg/ml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infúzny roztok môže použiť aj na liečbu iných infekcií, ak jeho očakávaný prínos jasne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prevýši všetky možné riziká. </w:t>
      </w:r>
    </w:p>
    <w:p w14:paraId="449431D7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0448DEF3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Dojčenie</w:t>
      </w:r>
    </w:p>
    <w:p w14:paraId="7A9DBB95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Keďže metronidazol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sa vylučuje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do materského mlieka, dojčenie sa má počas liečby prerušiť. Taktiež po skončení liečby metronidazolom nemá dojčenie začať skôr ako o ďalšie 2 - 3 dni kvôli predĺženému polčasu metronidazolu. </w:t>
      </w:r>
    </w:p>
    <w:p w14:paraId="103242E3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733CA666" w14:textId="77777777" w:rsidR="008A742D" w:rsidRPr="00412889" w:rsidRDefault="001F536F">
      <w:pPr>
        <w:pStyle w:val="Nadpis4"/>
        <w:spacing w:before="0"/>
        <w:jc w:val="left"/>
        <w:rPr>
          <w:i w:val="0"/>
          <w:iCs/>
          <w:u w:val="single"/>
          <w:lang w:val="sk-SK"/>
        </w:rPr>
      </w:pPr>
      <w:r>
        <w:rPr>
          <w:i w:val="0"/>
          <w:iCs/>
          <w:u w:val="single"/>
          <w:lang w:val="sk-SK"/>
        </w:rPr>
        <w:t>Fertilita</w:t>
      </w:r>
    </w:p>
    <w:p w14:paraId="78C89023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Štúdie na zvieratách naznačujú možnosť negatívneho vplyvu metronidazolu na mužský reprodukčný systém pri podávaní vysokých dávok, výrazne prevyšujúcich maximálnu odporúčanú dávku u ľudí.</w:t>
      </w:r>
    </w:p>
    <w:p w14:paraId="414E7CEF" w14:textId="77777777" w:rsidR="008A742D" w:rsidRPr="00412889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7B1BBE27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4.7</w:t>
      </w:r>
      <w:r w:rsidRPr="001F536F">
        <w:rPr>
          <w:lang w:val="sk-SK"/>
        </w:rPr>
        <w:tab/>
        <w:t xml:space="preserve">Ovplyvnenie schopnosti viesť vozidlá a obsluhovať stroje </w:t>
      </w:r>
    </w:p>
    <w:p w14:paraId="725ADC7F" w14:textId="77777777" w:rsidR="008A742D" w:rsidRPr="00412889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22C9D792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Napriek tomu, že podmienky podávania metronidazolu nie sú zlúčiteľné s vedením vozidiel a obsluhou strojov, pacienti majú byť upozornení na možné riziko</w:t>
      </w:r>
      <w:bookmarkStart w:id="9" w:name="_Hlk523215315"/>
      <w:r w:rsidR="00986620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závratu, zmätenosti, halucinácií, kŕčov alebo porúch zraku a </w:t>
      </w:r>
      <w:bookmarkEnd w:id="9"/>
      <w:r w:rsidRPr="001F536F">
        <w:rPr>
          <w:sz w:val="22"/>
          <w:szCs w:val="22"/>
          <w:lang w:val="sk-SK"/>
        </w:rPr>
        <w:t>poučení, aby v prípade výskytu týchto ťažkostí neviedli vozidlá ani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neobsluhovali stroje.</w:t>
      </w:r>
    </w:p>
    <w:p w14:paraId="345FB104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5616AA0A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4.8</w:t>
      </w:r>
      <w:r w:rsidRPr="001F536F">
        <w:rPr>
          <w:lang w:val="sk-SK"/>
        </w:rPr>
        <w:tab/>
        <w:t>Nežiaduce účinky</w:t>
      </w:r>
    </w:p>
    <w:p w14:paraId="3E861554" w14:textId="77777777" w:rsidR="008A742D" w:rsidRPr="00412889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38ED0D3C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Nežiaduce účinky sú spojené najmä s </w:t>
      </w:r>
      <w:r w:rsidR="003E3025">
        <w:rPr>
          <w:sz w:val="22"/>
          <w:szCs w:val="22"/>
          <w:lang w:val="sk-SK"/>
        </w:rPr>
        <w:t>dlhodobým</w:t>
      </w:r>
      <w:r w:rsidRPr="001F536F">
        <w:rPr>
          <w:sz w:val="22"/>
          <w:szCs w:val="22"/>
          <w:lang w:val="sk-SK"/>
        </w:rPr>
        <w:t xml:space="preserve"> užívaním alebo vysokými dávkami. Najčastejšie pozorovanými nežiaducimi účinkami sú nauzea, abnormálne chuťové vnemy a riziko neuropatie v prípade dlhodobej liečby. </w:t>
      </w:r>
    </w:p>
    <w:p w14:paraId="792188D7" w14:textId="77777777" w:rsidR="008A742D" w:rsidRPr="00412889" w:rsidRDefault="001F536F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V nasledovnom zozname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>sú</w:t>
      </w:r>
      <w:r w:rsidR="00412889">
        <w:rPr>
          <w:sz w:val="22"/>
          <w:szCs w:val="22"/>
          <w:lang w:val="sk-SK"/>
        </w:rPr>
        <w:t xml:space="preserve"> </w:t>
      </w:r>
      <w:r w:rsidRPr="001F536F">
        <w:rPr>
          <w:sz w:val="22"/>
          <w:szCs w:val="22"/>
          <w:lang w:val="sk-SK"/>
        </w:rPr>
        <w:t xml:space="preserve">na popis frekvencií nežiaducich účinkov použité tieto výrazy: </w:t>
      </w:r>
    </w:p>
    <w:p w14:paraId="168B9C57" w14:textId="77777777" w:rsidR="008A742D" w:rsidRPr="00412889" w:rsidRDefault="001F536F" w:rsidP="005226BC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veľmi časté (≥ 1/10)</w:t>
      </w:r>
    </w:p>
    <w:p w14:paraId="04F96F61" w14:textId="77777777"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časté (≥ 1/100 až &lt; 1/10)</w:t>
      </w:r>
    </w:p>
    <w:p w14:paraId="7032916F" w14:textId="77777777"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menej časté (≥ 1/1 000 až &lt; 1/100)</w:t>
      </w:r>
    </w:p>
    <w:p w14:paraId="5F024E2D" w14:textId="77777777"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zriedkavé (≥ 1/10 000 až &lt; 1/1</w:t>
      </w:r>
      <w:r w:rsidR="003E3025">
        <w:rPr>
          <w:sz w:val="22"/>
          <w:szCs w:val="22"/>
          <w:lang w:val="sk-SK"/>
        </w:rPr>
        <w:t> </w:t>
      </w:r>
      <w:r w:rsidRPr="001F536F">
        <w:rPr>
          <w:sz w:val="22"/>
          <w:szCs w:val="22"/>
          <w:lang w:val="sk-SK"/>
        </w:rPr>
        <w:t>000)</w:t>
      </w:r>
    </w:p>
    <w:p w14:paraId="767E021D" w14:textId="77777777"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veľmi zriedkavé (&lt; 1/10 000)</w:t>
      </w:r>
    </w:p>
    <w:p w14:paraId="5B2416B5" w14:textId="77777777" w:rsidR="008A742D" w:rsidRPr="00412889" w:rsidRDefault="001F536F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- neznáme (frekvencia sa nedá odhadnúť z dostupných údajov)</w:t>
      </w:r>
    </w:p>
    <w:p w14:paraId="1288077B" w14:textId="77777777" w:rsidR="008A742D" w:rsidRPr="00412889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911"/>
        <w:gridCol w:w="1912"/>
        <w:gridCol w:w="1911"/>
        <w:gridCol w:w="1912"/>
      </w:tblGrid>
      <w:tr w:rsidR="003C73FB" w:rsidRPr="00412889" w14:paraId="236CD6FC" w14:textId="77777777" w:rsidTr="003C73FB">
        <w:tc>
          <w:tcPr>
            <w:tcW w:w="1911" w:type="dxa"/>
            <w:shd w:val="clear" w:color="auto" w:fill="auto"/>
          </w:tcPr>
          <w:p w14:paraId="0793B87A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lang w:val="sk-SK" w:eastAsia="sk-SK"/>
              </w:rPr>
              <w:t>Trieda orgánových systémov (MedDRA)</w:t>
            </w:r>
          </w:p>
        </w:tc>
        <w:tc>
          <w:tcPr>
            <w:tcW w:w="1911" w:type="dxa"/>
            <w:shd w:val="clear" w:color="auto" w:fill="auto"/>
          </w:tcPr>
          <w:p w14:paraId="4918DC0A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szCs w:val="22"/>
                <w:lang w:val="sk-SK"/>
              </w:rPr>
              <w:t>Časté (≥ 1/100 až &lt; 1/10)</w:t>
            </w:r>
          </w:p>
        </w:tc>
        <w:tc>
          <w:tcPr>
            <w:tcW w:w="1912" w:type="dxa"/>
            <w:shd w:val="clear" w:color="auto" w:fill="auto"/>
          </w:tcPr>
          <w:p w14:paraId="59BE3C8E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szCs w:val="22"/>
                <w:lang w:val="sk-SK"/>
              </w:rPr>
              <w:t>Zriedkavé (≥ 1/10 000 až &lt; 1/1 000)</w:t>
            </w:r>
          </w:p>
        </w:tc>
        <w:tc>
          <w:tcPr>
            <w:tcW w:w="1911" w:type="dxa"/>
            <w:shd w:val="clear" w:color="auto" w:fill="auto"/>
          </w:tcPr>
          <w:p w14:paraId="7225F404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szCs w:val="22"/>
                <w:lang w:val="sk-SK"/>
              </w:rPr>
              <w:t>Veľmi zriedkavé (&lt; 1/10 000)</w:t>
            </w:r>
          </w:p>
        </w:tc>
        <w:tc>
          <w:tcPr>
            <w:tcW w:w="1912" w:type="dxa"/>
            <w:shd w:val="clear" w:color="auto" w:fill="auto"/>
          </w:tcPr>
          <w:p w14:paraId="350F34E4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  <w:r w:rsidRPr="001F536F">
              <w:rPr>
                <w:b/>
                <w:bCs/>
                <w:szCs w:val="22"/>
                <w:lang w:val="sk-SK"/>
              </w:rPr>
              <w:t>Neznáme (frekvencia sa nedá odhadnúť z dostupných údajov)</w:t>
            </w:r>
          </w:p>
        </w:tc>
      </w:tr>
      <w:tr w:rsidR="003C73FB" w:rsidRPr="00412889" w14:paraId="4C368C7E" w14:textId="77777777" w:rsidTr="003C73FB">
        <w:tc>
          <w:tcPr>
            <w:tcW w:w="1911" w:type="dxa"/>
            <w:shd w:val="clear" w:color="auto" w:fill="auto"/>
          </w:tcPr>
          <w:p w14:paraId="21805851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Infekcie a nákazy</w:t>
            </w:r>
          </w:p>
        </w:tc>
        <w:tc>
          <w:tcPr>
            <w:tcW w:w="1911" w:type="dxa"/>
            <w:shd w:val="clear" w:color="auto" w:fill="auto"/>
          </w:tcPr>
          <w:p w14:paraId="53C8DBF0" w14:textId="77777777"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Superinfekcie vyvolané kandidou (napr. genitálne infekcie)</w:t>
            </w:r>
          </w:p>
        </w:tc>
        <w:tc>
          <w:tcPr>
            <w:tcW w:w="1912" w:type="dxa"/>
            <w:shd w:val="clear" w:color="auto" w:fill="auto"/>
          </w:tcPr>
          <w:p w14:paraId="5BAA6F16" w14:textId="77777777"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color w:val="000000"/>
                <w:szCs w:val="22"/>
                <w:lang w:val="sk-SK"/>
              </w:rPr>
              <w:t>Pseudomembra</w:t>
            </w:r>
            <w:r w:rsidR="003E3025">
              <w:rPr>
                <w:color w:val="000000"/>
                <w:szCs w:val="22"/>
                <w:lang w:val="sk-SK"/>
              </w:rPr>
              <w:t>-</w:t>
            </w:r>
            <w:r w:rsidRPr="001F536F">
              <w:rPr>
                <w:color w:val="000000"/>
                <w:szCs w:val="22"/>
                <w:lang w:val="sk-SK"/>
              </w:rPr>
              <w:t>nózna</w:t>
            </w:r>
            <w:r w:rsidR="00412889">
              <w:rPr>
                <w:color w:val="000000"/>
                <w:szCs w:val="22"/>
                <w:lang w:val="sk-SK"/>
              </w:rPr>
              <w:t xml:space="preserve"> </w:t>
            </w:r>
            <w:r w:rsidRPr="001F536F">
              <w:rPr>
                <w:color w:val="000000"/>
                <w:szCs w:val="22"/>
                <w:lang w:val="sk-SK"/>
              </w:rPr>
              <w:t>kolitída, ktorá sa môže objaviť v priebehu alebo po ukončení liečby, prejavujúca sa ako závažná pretrvávajúca hnačka. Pre podrobnosti o pohotovostnej liečbe, pozri časť 4.4</w:t>
            </w:r>
          </w:p>
        </w:tc>
        <w:tc>
          <w:tcPr>
            <w:tcW w:w="1911" w:type="dxa"/>
            <w:shd w:val="clear" w:color="auto" w:fill="auto"/>
          </w:tcPr>
          <w:p w14:paraId="34748439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75014164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14:paraId="7638F518" w14:textId="77777777" w:rsidTr="003C73FB">
        <w:tc>
          <w:tcPr>
            <w:tcW w:w="1911" w:type="dxa"/>
            <w:shd w:val="clear" w:color="auto" w:fill="auto"/>
          </w:tcPr>
          <w:p w14:paraId="63B89EA7" w14:textId="77777777" w:rsidR="00140E1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krvi a lymfatického systému</w:t>
            </w:r>
          </w:p>
          <w:p w14:paraId="3CAB678D" w14:textId="77777777" w:rsidR="00961074" w:rsidRPr="00412889" w:rsidRDefault="00961074" w:rsidP="003C73FB">
            <w:pPr>
              <w:pStyle w:val="Normlnysozarkami"/>
              <w:ind w:left="0"/>
              <w:rPr>
                <w:b/>
                <w:bCs/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16B061DE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07A74CBB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3837558F" w14:textId="77777777" w:rsidR="00412889" w:rsidRPr="00412889" w:rsidRDefault="001F536F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Granulocytopénia, agranulocytóza, trombocytopénia, pancytopénia. Pozri časť 4.4</w:t>
            </w:r>
          </w:p>
        </w:tc>
        <w:tc>
          <w:tcPr>
            <w:tcW w:w="1912" w:type="dxa"/>
            <w:shd w:val="clear" w:color="auto" w:fill="auto"/>
          </w:tcPr>
          <w:p w14:paraId="3DDA2E8F" w14:textId="77777777"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color w:val="000000"/>
                <w:szCs w:val="22"/>
                <w:lang w:val="sk-SK"/>
              </w:rPr>
              <w:t>Leukopénia, aplastická anémia</w:t>
            </w:r>
          </w:p>
        </w:tc>
      </w:tr>
      <w:tr w:rsidR="003C73FB" w:rsidRPr="00412889" w14:paraId="5DD58A4D" w14:textId="77777777" w:rsidTr="003C73FB">
        <w:tc>
          <w:tcPr>
            <w:tcW w:w="1911" w:type="dxa"/>
            <w:shd w:val="clear" w:color="auto" w:fill="auto"/>
          </w:tcPr>
          <w:p w14:paraId="021F8F10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imunitného systému</w:t>
            </w:r>
          </w:p>
        </w:tc>
        <w:tc>
          <w:tcPr>
            <w:tcW w:w="1911" w:type="dxa"/>
            <w:shd w:val="clear" w:color="auto" w:fill="auto"/>
          </w:tcPr>
          <w:p w14:paraId="0FBFF750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527F68C4" w14:textId="77777777"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Závažné akútne systémové reakcie z precitlivenosti: anafylaxia až anafylaktický šok (pozri časť 4.4)</w:t>
            </w:r>
          </w:p>
        </w:tc>
        <w:tc>
          <w:tcPr>
            <w:tcW w:w="1911" w:type="dxa"/>
            <w:shd w:val="clear" w:color="auto" w:fill="auto"/>
          </w:tcPr>
          <w:p w14:paraId="7CE31A97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2F800892" w14:textId="77777777" w:rsidR="00412889" w:rsidRPr="00412889" w:rsidRDefault="001F536F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 xml:space="preserve">Mierne až stredne </w:t>
            </w:r>
            <w:r w:rsidR="003E3025">
              <w:rPr>
                <w:lang w:val="sk-SK" w:eastAsia="sk-SK"/>
              </w:rPr>
              <w:t>závažné</w:t>
            </w:r>
            <w:r w:rsidRPr="001F536F">
              <w:rPr>
                <w:lang w:val="sk-SK" w:eastAsia="sk-SK"/>
              </w:rPr>
              <w:t xml:space="preserve"> reakcie z precitlivenosti, napr. kožné reakcie (pozri časť „</w:t>
            </w:r>
            <w:r w:rsidRPr="001F536F">
              <w:rPr>
                <w:iCs/>
                <w:lang w:val="sk-SK" w:eastAsia="sk-SK"/>
              </w:rPr>
              <w:t>Poruchy kože a podkožného tkaniva“ nižšie</w:t>
            </w:r>
            <w:r w:rsidRPr="001F536F">
              <w:rPr>
                <w:lang w:val="sk-SK" w:eastAsia="sk-SK"/>
              </w:rPr>
              <w:t>), angioedém</w:t>
            </w:r>
          </w:p>
        </w:tc>
      </w:tr>
      <w:tr w:rsidR="003C73FB" w:rsidRPr="00412889" w14:paraId="22558D8F" w14:textId="77777777" w:rsidTr="003C73FB">
        <w:tc>
          <w:tcPr>
            <w:tcW w:w="1911" w:type="dxa"/>
            <w:shd w:val="clear" w:color="auto" w:fill="auto"/>
          </w:tcPr>
          <w:p w14:paraId="64278DD4" w14:textId="77777777" w:rsidR="00CD71A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metabolizmu a výživy</w:t>
            </w:r>
          </w:p>
        </w:tc>
        <w:tc>
          <w:tcPr>
            <w:tcW w:w="1911" w:type="dxa"/>
            <w:shd w:val="clear" w:color="auto" w:fill="auto"/>
          </w:tcPr>
          <w:p w14:paraId="5C78E065" w14:textId="77777777"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24456F7D" w14:textId="77777777"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16D2DE5D" w14:textId="77777777"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32A941FE" w14:textId="77777777" w:rsidR="00CD71A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/>
              </w:rPr>
              <w:t>Anorexia</w:t>
            </w:r>
          </w:p>
        </w:tc>
      </w:tr>
      <w:tr w:rsidR="003C73FB" w:rsidRPr="00412889" w14:paraId="2AFE575D" w14:textId="77777777" w:rsidTr="003C73FB">
        <w:tc>
          <w:tcPr>
            <w:tcW w:w="1911" w:type="dxa"/>
            <w:shd w:val="clear" w:color="auto" w:fill="auto"/>
          </w:tcPr>
          <w:p w14:paraId="47246A16" w14:textId="77777777" w:rsidR="00CD71A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Psychické poruchy</w:t>
            </w:r>
          </w:p>
        </w:tc>
        <w:tc>
          <w:tcPr>
            <w:tcW w:w="1911" w:type="dxa"/>
            <w:shd w:val="clear" w:color="auto" w:fill="auto"/>
          </w:tcPr>
          <w:p w14:paraId="5B069E3D" w14:textId="77777777"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27F1789B" w14:textId="77777777"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75ACA21B" w14:textId="77777777" w:rsidR="00CD71A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Psychotické poruchy, vrátane stavov zmätenosti, halucinácie</w:t>
            </w:r>
          </w:p>
        </w:tc>
        <w:tc>
          <w:tcPr>
            <w:tcW w:w="1912" w:type="dxa"/>
            <w:shd w:val="clear" w:color="auto" w:fill="auto"/>
          </w:tcPr>
          <w:p w14:paraId="7AD3D0CE" w14:textId="77777777" w:rsidR="00CD71A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color w:val="000000"/>
                <w:szCs w:val="22"/>
                <w:lang w:val="sk-SK"/>
              </w:rPr>
              <w:t>Depresia</w:t>
            </w:r>
          </w:p>
        </w:tc>
      </w:tr>
      <w:tr w:rsidR="003C73FB" w:rsidRPr="00412889" w14:paraId="65105A6A" w14:textId="77777777" w:rsidTr="003C73FB">
        <w:tc>
          <w:tcPr>
            <w:tcW w:w="1911" w:type="dxa"/>
            <w:shd w:val="clear" w:color="auto" w:fill="auto"/>
          </w:tcPr>
          <w:p w14:paraId="7A6A4D3E" w14:textId="77777777" w:rsidR="00CD71A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nervového systému</w:t>
            </w:r>
          </w:p>
        </w:tc>
        <w:tc>
          <w:tcPr>
            <w:tcW w:w="1911" w:type="dxa"/>
            <w:shd w:val="clear" w:color="auto" w:fill="auto"/>
          </w:tcPr>
          <w:p w14:paraId="5B224825" w14:textId="77777777"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4D36A0C3" w14:textId="77777777" w:rsidR="00CD71AB" w:rsidRPr="00412889" w:rsidRDefault="00CD71A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43C23334" w14:textId="77777777" w:rsidR="00CD71A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 xml:space="preserve">Encefalopatia, horúčka, bolesť hlavy, poruchy zraku a pohybu, </w:t>
            </w:r>
            <w:r w:rsidRPr="001F536F">
              <w:rPr>
                <w:szCs w:val="22"/>
                <w:lang w:val="sk-SK"/>
              </w:rPr>
              <w:lastRenderedPageBreak/>
              <w:t>ataxia,</w:t>
            </w:r>
            <w:r w:rsidR="00412889">
              <w:rPr>
                <w:szCs w:val="22"/>
                <w:lang w:val="sk-SK"/>
              </w:rPr>
              <w:t xml:space="preserve"> </w:t>
            </w:r>
            <w:r w:rsidRPr="001F536F">
              <w:rPr>
                <w:szCs w:val="22"/>
                <w:lang w:val="sk-SK"/>
              </w:rPr>
              <w:t>dyzartria, vertigo, ospalosť, závraty, kŕče</w:t>
            </w:r>
          </w:p>
        </w:tc>
        <w:tc>
          <w:tcPr>
            <w:tcW w:w="1912" w:type="dxa"/>
            <w:shd w:val="clear" w:color="auto" w:fill="auto"/>
          </w:tcPr>
          <w:p w14:paraId="0C332DFB" w14:textId="77777777" w:rsidR="0040085C" w:rsidRPr="00412889" w:rsidRDefault="001F536F" w:rsidP="003C73FB">
            <w:pPr>
              <w:pStyle w:val="Normlnysozarkami"/>
              <w:numPr>
                <w:ilvl w:val="0"/>
                <w:numId w:val="5"/>
              </w:numPr>
              <w:ind w:left="226" w:hanging="226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lastRenderedPageBreak/>
              <w:t>Somnolencia</w:t>
            </w:r>
            <w:r w:rsidR="00412889">
              <w:rPr>
                <w:lang w:val="sk-SK" w:eastAsia="sk-SK"/>
              </w:rPr>
              <w:t xml:space="preserve"> </w:t>
            </w:r>
            <w:r w:rsidRPr="001F536F">
              <w:rPr>
                <w:lang w:val="sk-SK" w:eastAsia="sk-SK"/>
              </w:rPr>
              <w:t xml:space="preserve">alebo insomnia, myoklónia, </w:t>
            </w:r>
            <w:r w:rsidR="006637A3">
              <w:rPr>
                <w:lang w:val="sk-SK" w:eastAsia="sk-SK"/>
              </w:rPr>
              <w:t>záchvaty</w:t>
            </w:r>
            <w:r w:rsidRPr="001F536F">
              <w:rPr>
                <w:lang w:val="sk-SK" w:eastAsia="sk-SK"/>
              </w:rPr>
              <w:t xml:space="preserve">, </w:t>
            </w:r>
            <w:r w:rsidRPr="001F536F">
              <w:rPr>
                <w:lang w:val="sk-SK" w:eastAsia="sk-SK"/>
              </w:rPr>
              <w:lastRenderedPageBreak/>
              <w:t xml:space="preserve">periférna neuropatia prejavujúca sa ako parestézia, bolesť, </w:t>
            </w:r>
            <w:r w:rsidRPr="005A16EC">
              <w:rPr>
                <w:lang w:val="sk-SK" w:eastAsia="sk-SK"/>
              </w:rPr>
              <w:t>neobvyklé pocity</w:t>
            </w:r>
            <w:r w:rsidRPr="001F536F">
              <w:rPr>
                <w:lang w:val="sk-SK" w:eastAsia="sk-SK"/>
              </w:rPr>
              <w:t xml:space="preserve"> a brnenie v končatinách, aseptická meningitída.</w:t>
            </w:r>
          </w:p>
          <w:p w14:paraId="2277B2BA" w14:textId="77777777" w:rsidR="00CD71AB" w:rsidRPr="00412889" w:rsidRDefault="001F536F" w:rsidP="003C73FB">
            <w:pPr>
              <w:pStyle w:val="Normlnysozarkami"/>
              <w:numPr>
                <w:ilvl w:val="0"/>
                <w:numId w:val="5"/>
              </w:numPr>
              <w:ind w:left="226" w:hanging="226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Pri výskyte záchvatov alebo prejavov periférnej neuropatie alebo encefalopatie treba okamžite informovať ošetrujúceho lekára. Pozri časť 4.4</w:t>
            </w:r>
          </w:p>
        </w:tc>
      </w:tr>
      <w:tr w:rsidR="003C73FB" w:rsidRPr="00412889" w14:paraId="7B07DAD5" w14:textId="77777777" w:rsidTr="003C73FB">
        <w:tc>
          <w:tcPr>
            <w:tcW w:w="1911" w:type="dxa"/>
            <w:shd w:val="clear" w:color="auto" w:fill="auto"/>
          </w:tcPr>
          <w:p w14:paraId="3F699456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lastRenderedPageBreak/>
              <w:t>Poruchy oka</w:t>
            </w:r>
          </w:p>
        </w:tc>
        <w:tc>
          <w:tcPr>
            <w:tcW w:w="1911" w:type="dxa"/>
            <w:shd w:val="clear" w:color="auto" w:fill="auto"/>
          </w:tcPr>
          <w:p w14:paraId="506C7C6F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6CEE9C51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18EFC225" w14:textId="77777777"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Poruchy videnia, napr. diplopia, krátkozrakosť</w:t>
            </w:r>
          </w:p>
        </w:tc>
        <w:tc>
          <w:tcPr>
            <w:tcW w:w="1912" w:type="dxa"/>
            <w:shd w:val="clear" w:color="auto" w:fill="auto"/>
          </w:tcPr>
          <w:p w14:paraId="40F7BC84" w14:textId="77777777"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Okulogyrická kríza, optická neuropatia/</w:t>
            </w:r>
            <w:r w:rsidR="00B02504">
              <w:rPr>
                <w:szCs w:val="22"/>
                <w:lang w:val="sk-SK"/>
              </w:rPr>
              <w:t xml:space="preserve"> </w:t>
            </w:r>
            <w:r w:rsidRPr="001F536F">
              <w:rPr>
                <w:szCs w:val="22"/>
                <w:lang w:val="sk-SK"/>
              </w:rPr>
              <w:t>neuritída (izolované prípady)</w:t>
            </w:r>
          </w:p>
        </w:tc>
      </w:tr>
      <w:tr w:rsidR="003C73FB" w:rsidRPr="00412889" w14:paraId="55B07190" w14:textId="77777777" w:rsidTr="003C73FB">
        <w:tc>
          <w:tcPr>
            <w:tcW w:w="1911" w:type="dxa"/>
            <w:shd w:val="clear" w:color="auto" w:fill="auto"/>
          </w:tcPr>
          <w:p w14:paraId="77631722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srdca a srdcovej činnosti</w:t>
            </w:r>
          </w:p>
        </w:tc>
        <w:tc>
          <w:tcPr>
            <w:tcW w:w="1911" w:type="dxa"/>
            <w:shd w:val="clear" w:color="auto" w:fill="auto"/>
          </w:tcPr>
          <w:p w14:paraId="2F7B7A00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2F041536" w14:textId="77777777"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Zmeny EKG, ako sploštenie vlny T</w:t>
            </w:r>
          </w:p>
        </w:tc>
        <w:tc>
          <w:tcPr>
            <w:tcW w:w="1911" w:type="dxa"/>
            <w:shd w:val="clear" w:color="auto" w:fill="auto"/>
          </w:tcPr>
          <w:p w14:paraId="4AAE8FD5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25D0C8B4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14:paraId="1857AB5F" w14:textId="77777777" w:rsidTr="003C73FB">
        <w:tc>
          <w:tcPr>
            <w:tcW w:w="1911" w:type="dxa"/>
            <w:shd w:val="clear" w:color="auto" w:fill="auto"/>
          </w:tcPr>
          <w:p w14:paraId="6D0188C9" w14:textId="77777777" w:rsidR="00AE2E56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gastro</w:t>
            </w:r>
            <w:r w:rsidR="003E3025">
              <w:rPr>
                <w:b/>
                <w:bCs/>
                <w:iCs/>
                <w:lang w:val="sk-SK" w:eastAsia="sk-SK"/>
              </w:rPr>
              <w:t>-</w:t>
            </w:r>
            <w:r w:rsidRPr="001F536F">
              <w:rPr>
                <w:b/>
                <w:bCs/>
                <w:iCs/>
                <w:lang w:val="sk-SK" w:eastAsia="sk-SK"/>
              </w:rPr>
              <w:t>intestinálneho traktu</w:t>
            </w:r>
          </w:p>
        </w:tc>
        <w:tc>
          <w:tcPr>
            <w:tcW w:w="1911" w:type="dxa"/>
            <w:shd w:val="clear" w:color="auto" w:fill="auto"/>
          </w:tcPr>
          <w:p w14:paraId="6EE9814D" w14:textId="77777777" w:rsidR="00AE2E56" w:rsidRPr="00412889" w:rsidRDefault="00AE2E56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0F125199" w14:textId="77777777" w:rsidR="00AE2E56" w:rsidRPr="00412889" w:rsidRDefault="00AE2E56" w:rsidP="003C73FB">
            <w:pPr>
              <w:pStyle w:val="Normlnysozarkami"/>
              <w:ind w:left="0"/>
              <w:rPr>
                <w:szCs w:val="22"/>
                <w:lang w:val="sk-SK"/>
              </w:rPr>
            </w:pPr>
          </w:p>
        </w:tc>
        <w:tc>
          <w:tcPr>
            <w:tcW w:w="1911" w:type="dxa"/>
            <w:shd w:val="clear" w:color="auto" w:fill="auto"/>
          </w:tcPr>
          <w:p w14:paraId="4CD12057" w14:textId="77777777" w:rsidR="00AE2E56" w:rsidRPr="00412889" w:rsidRDefault="00AE2E56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0DD28792" w14:textId="77777777" w:rsidR="00AE2E56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 xml:space="preserve">Vracanie, nauzea, hnačka, glositída a stomatitída, grganie </w:t>
            </w:r>
            <w:r w:rsidRPr="005A16EC">
              <w:rPr>
                <w:lang w:val="sk-SK" w:eastAsia="sk-SK"/>
              </w:rPr>
              <w:t>s horkou chuťou</w:t>
            </w:r>
            <w:r w:rsidRPr="001F536F">
              <w:rPr>
                <w:lang w:val="sk-SK" w:eastAsia="sk-SK"/>
              </w:rPr>
              <w:t>, epigastrický tlak, kovová chuť, povlak na jazyku.</w:t>
            </w:r>
          </w:p>
          <w:p w14:paraId="60A796F9" w14:textId="77777777" w:rsidR="00AE2E56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Dysfágia (spôsobená účinkami metronidazolu na centrálny nervový systém)</w:t>
            </w:r>
          </w:p>
        </w:tc>
      </w:tr>
      <w:tr w:rsidR="003C73FB" w:rsidRPr="00412889" w14:paraId="4AD4D03A" w14:textId="77777777" w:rsidTr="003C73FB">
        <w:tc>
          <w:tcPr>
            <w:tcW w:w="1911" w:type="dxa"/>
            <w:shd w:val="clear" w:color="auto" w:fill="auto"/>
          </w:tcPr>
          <w:p w14:paraId="765617FA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pečene a žlčových ciest</w:t>
            </w:r>
          </w:p>
        </w:tc>
        <w:tc>
          <w:tcPr>
            <w:tcW w:w="1911" w:type="dxa"/>
            <w:shd w:val="clear" w:color="auto" w:fill="auto"/>
          </w:tcPr>
          <w:p w14:paraId="5FE2C210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193BBD8D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23E3869E" w14:textId="77777777" w:rsidR="00AE2E56" w:rsidRPr="00412889" w:rsidRDefault="001F536F" w:rsidP="003C73FB">
            <w:pPr>
              <w:pStyle w:val="Normlnysozarkami"/>
              <w:numPr>
                <w:ilvl w:val="0"/>
                <w:numId w:val="5"/>
              </w:numPr>
              <w:ind w:left="226" w:hanging="226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Abnormálne hladiny pečeňových enzýmov a bilirubínu</w:t>
            </w:r>
          </w:p>
          <w:p w14:paraId="6AB01E4F" w14:textId="77777777" w:rsidR="00961074" w:rsidRPr="00412889" w:rsidRDefault="001F536F" w:rsidP="003C73FB">
            <w:pPr>
              <w:pStyle w:val="Normlnysozarkami"/>
              <w:numPr>
                <w:ilvl w:val="0"/>
                <w:numId w:val="5"/>
              </w:numPr>
              <w:ind w:left="226" w:hanging="226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 xml:space="preserve">Hepatitída, žltačka, </w:t>
            </w:r>
            <w:r w:rsidR="00412889">
              <w:rPr>
                <w:lang w:val="sk-SK" w:eastAsia="sk-SK"/>
              </w:rPr>
              <w:t xml:space="preserve"> </w:t>
            </w:r>
            <w:r w:rsidRPr="001F536F">
              <w:rPr>
                <w:lang w:val="sk-SK" w:eastAsia="sk-SK"/>
              </w:rPr>
              <w:t>pankreatitída</w:t>
            </w:r>
          </w:p>
        </w:tc>
        <w:tc>
          <w:tcPr>
            <w:tcW w:w="1912" w:type="dxa"/>
            <w:shd w:val="clear" w:color="auto" w:fill="auto"/>
          </w:tcPr>
          <w:p w14:paraId="01879E69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14:paraId="1A871EAC" w14:textId="77777777" w:rsidTr="003C73FB">
        <w:tc>
          <w:tcPr>
            <w:tcW w:w="1911" w:type="dxa"/>
            <w:shd w:val="clear" w:color="auto" w:fill="auto"/>
          </w:tcPr>
          <w:p w14:paraId="61450FBF" w14:textId="77777777" w:rsidR="00961074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kože a podkožného tkaniva</w:t>
            </w:r>
          </w:p>
        </w:tc>
        <w:tc>
          <w:tcPr>
            <w:tcW w:w="1911" w:type="dxa"/>
            <w:shd w:val="clear" w:color="auto" w:fill="auto"/>
          </w:tcPr>
          <w:p w14:paraId="3179ED0D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2D87DD52" w14:textId="77777777" w:rsidR="00961074" w:rsidRPr="00412889" w:rsidRDefault="00961074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50426536" w14:textId="77777777" w:rsidR="00AE2E56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Alergické kožné reakcie, napr. pruritus, žihľavka.</w:t>
            </w:r>
          </w:p>
          <w:p w14:paraId="1E319AF7" w14:textId="77777777"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 w:eastAsia="sk-SK"/>
              </w:rPr>
              <w:t>Stevensov-Johnsonov</w:t>
            </w:r>
            <w:r w:rsidR="00412889">
              <w:rPr>
                <w:lang w:val="sk-SK" w:eastAsia="sk-SK"/>
              </w:rPr>
              <w:t xml:space="preserve"> </w:t>
            </w:r>
            <w:r w:rsidRPr="001F536F">
              <w:rPr>
                <w:lang w:val="sk-SK" w:eastAsia="sk-SK"/>
              </w:rPr>
              <w:lastRenderedPageBreak/>
              <w:t>syndróm</w:t>
            </w:r>
          </w:p>
        </w:tc>
        <w:tc>
          <w:tcPr>
            <w:tcW w:w="1912" w:type="dxa"/>
            <w:shd w:val="clear" w:color="auto" w:fill="auto"/>
          </w:tcPr>
          <w:p w14:paraId="7012C11B" w14:textId="77777777" w:rsidR="00961074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lang w:val="sk-SK"/>
              </w:rPr>
              <w:lastRenderedPageBreak/>
              <w:t>Toxická epidermálna</w:t>
            </w:r>
            <w:r w:rsidR="00412889">
              <w:rPr>
                <w:lang w:val="sk-SK"/>
              </w:rPr>
              <w:t xml:space="preserve"> </w:t>
            </w:r>
            <w:r w:rsidRPr="001F536F">
              <w:rPr>
                <w:lang w:val="sk-SK"/>
              </w:rPr>
              <w:t>nekrolýza,</w:t>
            </w:r>
            <w:r w:rsidR="00412889">
              <w:rPr>
                <w:lang w:val="sk-SK"/>
              </w:rPr>
              <w:t xml:space="preserve"> </w:t>
            </w:r>
            <w:r w:rsidRPr="001F536F">
              <w:rPr>
                <w:szCs w:val="22"/>
                <w:lang w:val="sk-SK"/>
              </w:rPr>
              <w:t>multiformný</w:t>
            </w:r>
            <w:r w:rsidR="00412889">
              <w:rPr>
                <w:szCs w:val="22"/>
                <w:lang w:val="sk-SK"/>
              </w:rPr>
              <w:t xml:space="preserve"> </w:t>
            </w:r>
            <w:r w:rsidRPr="001F536F">
              <w:rPr>
                <w:szCs w:val="22"/>
                <w:lang w:val="sk-SK"/>
              </w:rPr>
              <w:t>erytém</w:t>
            </w:r>
          </w:p>
        </w:tc>
      </w:tr>
      <w:tr w:rsidR="003C73FB" w:rsidRPr="00412889" w14:paraId="361E2721" w14:textId="77777777" w:rsidTr="003C73FB">
        <w:tc>
          <w:tcPr>
            <w:tcW w:w="1911" w:type="dxa"/>
            <w:shd w:val="clear" w:color="auto" w:fill="auto"/>
          </w:tcPr>
          <w:p w14:paraId="4CB07BAF" w14:textId="77777777" w:rsidR="00140E1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kostrovej a svalovej sústavy a spojivového tkaniva</w:t>
            </w:r>
          </w:p>
        </w:tc>
        <w:tc>
          <w:tcPr>
            <w:tcW w:w="1911" w:type="dxa"/>
            <w:shd w:val="clear" w:color="auto" w:fill="auto"/>
          </w:tcPr>
          <w:p w14:paraId="2985C231" w14:textId="77777777"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0B778E92" w14:textId="77777777"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04A5366F" w14:textId="77777777" w:rsidR="00140E1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Myalgia, artralgia</w:t>
            </w:r>
          </w:p>
        </w:tc>
        <w:tc>
          <w:tcPr>
            <w:tcW w:w="1912" w:type="dxa"/>
            <w:shd w:val="clear" w:color="auto" w:fill="auto"/>
          </w:tcPr>
          <w:p w14:paraId="5125E710" w14:textId="77777777"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14:paraId="09A70530" w14:textId="77777777" w:rsidTr="003C73FB">
        <w:tc>
          <w:tcPr>
            <w:tcW w:w="1911" w:type="dxa"/>
            <w:shd w:val="clear" w:color="auto" w:fill="auto"/>
          </w:tcPr>
          <w:p w14:paraId="3DD0006B" w14:textId="77777777" w:rsidR="00140E1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Poruchy obličiek a močových ciest</w:t>
            </w:r>
          </w:p>
        </w:tc>
        <w:tc>
          <w:tcPr>
            <w:tcW w:w="1911" w:type="dxa"/>
            <w:shd w:val="clear" w:color="auto" w:fill="auto"/>
          </w:tcPr>
          <w:p w14:paraId="6FACE422" w14:textId="77777777"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56B8CF55" w14:textId="77777777"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0AF6C7C6" w14:textId="77777777" w:rsidR="00140E1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Tmavšia farba moču (zapríčinená metabolitom</w:t>
            </w:r>
            <w:r w:rsidR="00B02504">
              <w:rPr>
                <w:szCs w:val="22"/>
                <w:lang w:val="sk-SK"/>
              </w:rPr>
              <w:t xml:space="preserve"> metronidazolu</w:t>
            </w:r>
            <w:r w:rsidRPr="001F536F">
              <w:rPr>
                <w:szCs w:val="22"/>
                <w:lang w:val="sk-SK"/>
              </w:rPr>
              <w:t>)</w:t>
            </w:r>
          </w:p>
        </w:tc>
        <w:tc>
          <w:tcPr>
            <w:tcW w:w="1912" w:type="dxa"/>
            <w:shd w:val="clear" w:color="auto" w:fill="auto"/>
          </w:tcPr>
          <w:p w14:paraId="385AACE1" w14:textId="77777777"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</w:tr>
      <w:tr w:rsidR="003C73FB" w:rsidRPr="00412889" w14:paraId="7CFB8A65" w14:textId="77777777" w:rsidTr="003C73FB">
        <w:tc>
          <w:tcPr>
            <w:tcW w:w="1911" w:type="dxa"/>
            <w:shd w:val="clear" w:color="auto" w:fill="auto"/>
          </w:tcPr>
          <w:p w14:paraId="677EC6EB" w14:textId="77777777" w:rsidR="00140E1B" w:rsidRPr="00412889" w:rsidRDefault="001F536F" w:rsidP="003C73FB">
            <w:pPr>
              <w:pStyle w:val="Normlnysozarkami"/>
              <w:ind w:left="0"/>
              <w:rPr>
                <w:b/>
                <w:bCs/>
                <w:iCs/>
                <w:lang w:val="sk-SK" w:eastAsia="sk-SK"/>
              </w:rPr>
            </w:pPr>
            <w:r w:rsidRPr="001F536F">
              <w:rPr>
                <w:b/>
                <w:bCs/>
                <w:iCs/>
                <w:lang w:val="sk-SK" w:eastAsia="sk-SK"/>
              </w:rPr>
              <w:t>Celkové poruchy a reakcie v mieste podania</w:t>
            </w:r>
          </w:p>
        </w:tc>
        <w:tc>
          <w:tcPr>
            <w:tcW w:w="1911" w:type="dxa"/>
            <w:shd w:val="clear" w:color="auto" w:fill="auto"/>
          </w:tcPr>
          <w:p w14:paraId="05A22654" w14:textId="77777777"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38A508C8" w14:textId="77777777"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1" w:type="dxa"/>
            <w:shd w:val="clear" w:color="auto" w:fill="auto"/>
          </w:tcPr>
          <w:p w14:paraId="2E4EB733" w14:textId="77777777" w:rsidR="00140E1B" w:rsidRPr="00412889" w:rsidRDefault="00140E1B" w:rsidP="003C73FB">
            <w:pPr>
              <w:pStyle w:val="Normlnysozarkami"/>
              <w:ind w:left="0"/>
              <w:rPr>
                <w:lang w:val="sk-SK" w:eastAsia="sk-SK"/>
              </w:rPr>
            </w:pPr>
          </w:p>
        </w:tc>
        <w:tc>
          <w:tcPr>
            <w:tcW w:w="1912" w:type="dxa"/>
            <w:shd w:val="clear" w:color="auto" w:fill="auto"/>
          </w:tcPr>
          <w:p w14:paraId="1CD6F180" w14:textId="77777777" w:rsidR="00140E1B" w:rsidRPr="00412889" w:rsidRDefault="001F536F" w:rsidP="003C73FB">
            <w:pPr>
              <w:pStyle w:val="Normlnysozarkami"/>
              <w:ind w:left="0"/>
              <w:rPr>
                <w:lang w:val="sk-SK" w:eastAsia="sk-SK"/>
              </w:rPr>
            </w:pPr>
            <w:r w:rsidRPr="001F536F">
              <w:rPr>
                <w:szCs w:val="22"/>
                <w:lang w:val="sk-SK"/>
              </w:rPr>
              <w:t>Podráždenie žíl (až tromboflebitída) po intravenóznom podaní</w:t>
            </w:r>
            <w:r w:rsidR="00B02504">
              <w:rPr>
                <w:szCs w:val="22"/>
                <w:lang w:val="sk-SK"/>
              </w:rPr>
              <w:t xml:space="preserve"> infúziou</w:t>
            </w:r>
            <w:r w:rsidRPr="001F536F">
              <w:rPr>
                <w:szCs w:val="22"/>
                <w:lang w:val="sk-SK"/>
              </w:rPr>
              <w:t>, stavy slabosti, horúčka</w:t>
            </w:r>
          </w:p>
        </w:tc>
      </w:tr>
    </w:tbl>
    <w:p w14:paraId="58F94F28" w14:textId="77777777" w:rsidR="009F7F8F" w:rsidRDefault="009F7F8F">
      <w:pPr>
        <w:pStyle w:val="Normlnysozarkami"/>
        <w:ind w:left="0"/>
        <w:rPr>
          <w:lang w:val="sk-SK" w:eastAsia="sk-SK"/>
        </w:rPr>
      </w:pPr>
    </w:p>
    <w:p w14:paraId="6F5EA525" w14:textId="77777777" w:rsidR="008A742D" w:rsidRPr="00412889" w:rsidRDefault="001F536F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>Pediatrická populácia</w:t>
      </w:r>
    </w:p>
    <w:p w14:paraId="1CF260B3" w14:textId="77777777" w:rsidR="008A742D" w:rsidRPr="00412889" w:rsidRDefault="001F536F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Frekvencia, typ a závažnosť nežiaducich reakcií</w:t>
      </w:r>
      <w:r w:rsidR="0041288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 detí je rovnaká ako u dospelých.</w:t>
      </w:r>
    </w:p>
    <w:p w14:paraId="19746801" w14:textId="77777777" w:rsidR="008A742D" w:rsidRPr="00412889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</w:p>
    <w:p w14:paraId="21C6B1F3" w14:textId="77777777" w:rsidR="008A742D" w:rsidRPr="00412889" w:rsidRDefault="001F536F">
      <w:pPr>
        <w:pStyle w:val="Nadpis4"/>
        <w:spacing w:before="0"/>
        <w:ind w:left="1276" w:hanging="1276"/>
        <w:jc w:val="left"/>
        <w:rPr>
          <w:i w:val="0"/>
          <w:u w:val="single"/>
          <w:lang w:val="sk-SK"/>
        </w:rPr>
      </w:pPr>
      <w:r w:rsidRPr="001F536F">
        <w:rPr>
          <w:i w:val="0"/>
          <w:u w:val="single"/>
          <w:lang w:val="sk-SK"/>
        </w:rPr>
        <w:t>Hlásenie podozrení na nežiaduce reakcie</w:t>
      </w:r>
    </w:p>
    <w:p w14:paraId="5EA58AF8" w14:textId="77777777" w:rsidR="008A742D" w:rsidRPr="00412889" w:rsidRDefault="001F536F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  <w:r w:rsidRPr="001F536F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>
        <w:rPr>
          <w:bCs/>
          <w:iCs/>
          <w:sz w:val="22"/>
          <w:szCs w:val="22"/>
          <w:lang w:val="sk-SK"/>
        </w:rPr>
        <w:t>na</w:t>
      </w:r>
      <w:r w:rsidR="00412889">
        <w:rPr>
          <w:bCs/>
          <w:iCs/>
          <w:sz w:val="22"/>
          <w:szCs w:val="22"/>
          <w:lang w:val="sk-SK"/>
        </w:rPr>
        <w:t xml:space="preserve"> </w:t>
      </w:r>
      <w:r>
        <w:rPr>
          <w:bCs/>
          <w:iCs/>
          <w:sz w:val="22"/>
          <w:szCs w:val="22"/>
          <w:highlight w:val="lightGray"/>
          <w:lang w:val="sk-SK"/>
        </w:rPr>
        <w:t>národné</w:t>
      </w:r>
      <w:r w:rsidR="00412889">
        <w:rPr>
          <w:bCs/>
          <w:iCs/>
          <w:sz w:val="22"/>
          <w:szCs w:val="22"/>
          <w:highlight w:val="lightGray"/>
          <w:lang w:val="sk-SK"/>
        </w:rPr>
        <w:t xml:space="preserve"> </w:t>
      </w:r>
      <w:r>
        <w:rPr>
          <w:bCs/>
          <w:iCs/>
          <w:sz w:val="22"/>
          <w:szCs w:val="22"/>
          <w:highlight w:val="lightGray"/>
          <w:lang w:val="sk-SK"/>
        </w:rPr>
        <w:t>centrum hlásenia uvedené</w:t>
      </w:r>
      <w:r w:rsidR="00412889">
        <w:rPr>
          <w:bCs/>
          <w:iCs/>
          <w:sz w:val="22"/>
          <w:szCs w:val="22"/>
          <w:highlight w:val="lightGray"/>
          <w:lang w:val="sk-SK"/>
        </w:rPr>
        <w:t xml:space="preserve"> </w:t>
      </w:r>
      <w:r>
        <w:rPr>
          <w:noProof/>
          <w:sz w:val="22"/>
          <w:szCs w:val="22"/>
          <w:highlight w:val="lightGray"/>
          <w:lang w:val="sk-SK"/>
        </w:rPr>
        <w:t>v </w:t>
      </w:r>
      <w:hyperlink r:id="rId7" w:history="1">
        <w:r w:rsidRPr="0050339C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1F536F">
        <w:rPr>
          <w:bCs/>
          <w:iCs/>
          <w:sz w:val="22"/>
          <w:szCs w:val="22"/>
          <w:highlight w:val="lightGray"/>
          <w:lang w:val="sk-SK"/>
        </w:rPr>
        <w:t>.</w:t>
      </w:r>
    </w:p>
    <w:p w14:paraId="0FD1482E" w14:textId="77777777" w:rsidR="008A742D" w:rsidRPr="00412889" w:rsidRDefault="008A742D">
      <w:pPr>
        <w:autoSpaceDE w:val="0"/>
        <w:autoSpaceDN w:val="0"/>
        <w:adjustRightInd w:val="0"/>
        <w:rPr>
          <w:szCs w:val="22"/>
          <w:lang w:val="sk-SK"/>
        </w:rPr>
      </w:pPr>
    </w:p>
    <w:p w14:paraId="6ACAB864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4.9</w:t>
      </w:r>
      <w:r w:rsidRPr="001F536F">
        <w:rPr>
          <w:lang w:val="sk-SK"/>
        </w:rPr>
        <w:tab/>
        <w:t>Predávkovanie</w:t>
      </w:r>
    </w:p>
    <w:p w14:paraId="7E10D08E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661DDE15" w14:textId="77777777" w:rsidR="008A742D" w:rsidRPr="00412889" w:rsidRDefault="001F536F">
      <w:pPr>
        <w:pStyle w:val="Nadpis4"/>
        <w:spacing w:before="0"/>
        <w:jc w:val="left"/>
        <w:rPr>
          <w:b/>
          <w:bCs/>
          <w:i w:val="0"/>
          <w:lang w:val="sk-SK"/>
        </w:rPr>
      </w:pPr>
      <w:r w:rsidRPr="004D0A2C">
        <w:rPr>
          <w:b/>
          <w:bCs/>
          <w:lang w:val="sk-SK"/>
        </w:rPr>
        <w:t>Príznaky</w:t>
      </w:r>
    </w:p>
    <w:p w14:paraId="22DDA745" w14:textId="77777777" w:rsidR="008A742D" w:rsidRPr="00412889" w:rsidRDefault="001F536F">
      <w:pPr>
        <w:rPr>
          <w:lang w:val="sk-SK"/>
        </w:rPr>
      </w:pPr>
      <w:r w:rsidRPr="001F536F">
        <w:rPr>
          <w:lang w:val="sk-SK"/>
        </w:rPr>
        <w:t>Ako prejavy a príznaky predávkovania sa môžu objaviť nežiaduce účinky popísané v časti 4.8.</w:t>
      </w:r>
      <w:bookmarkStart w:id="10" w:name="_Hlk523216318"/>
      <w:r w:rsidR="004D0A2C">
        <w:rPr>
          <w:lang w:val="sk-SK"/>
        </w:rPr>
        <w:t xml:space="preserve"> </w:t>
      </w:r>
      <w:r w:rsidRPr="001F536F">
        <w:rPr>
          <w:lang w:val="sk-SK"/>
        </w:rPr>
        <w:t>Pri pokusoch o samovraždu a náhodných predávkovaniach boli hlásené jednorazové dávky až do 12 g</w:t>
      </w:r>
      <w:bookmarkEnd w:id="10"/>
      <w:r w:rsidRPr="001F536F">
        <w:rPr>
          <w:lang w:val="sk-SK"/>
        </w:rPr>
        <w:t>.</w:t>
      </w:r>
    </w:p>
    <w:p w14:paraId="2C66BB2A" w14:textId="77777777" w:rsidR="00D92D94" w:rsidRPr="00412889" w:rsidRDefault="001F536F">
      <w:pPr>
        <w:rPr>
          <w:lang w:val="sk-SK"/>
        </w:rPr>
      </w:pPr>
      <w:bookmarkStart w:id="11" w:name="_Hlk523216332"/>
      <w:r w:rsidRPr="001F536F">
        <w:rPr>
          <w:lang w:val="sk-SK"/>
        </w:rPr>
        <w:t>Príznaky boli obmedzené na vracanie, ataxiu a miernu dezorientáciu</w:t>
      </w:r>
      <w:bookmarkEnd w:id="11"/>
      <w:r w:rsidRPr="001F536F">
        <w:rPr>
          <w:lang w:val="sk-SK"/>
        </w:rPr>
        <w:t>.</w:t>
      </w:r>
    </w:p>
    <w:p w14:paraId="7C26FD77" w14:textId="77777777" w:rsidR="008A742D" w:rsidRPr="00412889" w:rsidRDefault="008A742D">
      <w:pPr>
        <w:pStyle w:val="Nadpis4"/>
        <w:spacing w:before="0"/>
        <w:jc w:val="left"/>
        <w:rPr>
          <w:lang w:val="sk-SK"/>
        </w:rPr>
      </w:pPr>
    </w:p>
    <w:p w14:paraId="7ED6BBCF" w14:textId="77777777" w:rsidR="008A742D" w:rsidRPr="00412889" w:rsidRDefault="001F536F">
      <w:pPr>
        <w:pStyle w:val="Nadpis4"/>
        <w:spacing w:before="0"/>
        <w:jc w:val="left"/>
        <w:rPr>
          <w:b/>
          <w:bCs/>
          <w:i w:val="0"/>
          <w:lang w:val="sk-SK"/>
        </w:rPr>
      </w:pPr>
      <w:r w:rsidRPr="001F536F">
        <w:rPr>
          <w:b/>
          <w:bCs/>
          <w:lang w:val="sk-SK"/>
        </w:rPr>
        <w:t>Liečba</w:t>
      </w:r>
    </w:p>
    <w:p w14:paraId="0EEFDE87" w14:textId="77777777" w:rsidR="008A742D" w:rsidRPr="00412889" w:rsidRDefault="001F536F">
      <w:pPr>
        <w:rPr>
          <w:lang w:val="sk-SK"/>
        </w:rPr>
      </w:pPr>
      <w:r w:rsidRPr="001F536F">
        <w:rPr>
          <w:lang w:val="sk-SK"/>
        </w:rPr>
        <w:t>Neexistuje žiadna špecifická liečba ani antidotum, ktoré by mohli byť použité v prípade závažného predávkovania metronidazolom. Ak je to nevyhnutné, metronidazol môže byť účinne eliminovaný hemodialýzou.</w:t>
      </w:r>
    </w:p>
    <w:p w14:paraId="23388AEE" w14:textId="77777777" w:rsidR="008A742D" w:rsidRPr="00412889" w:rsidRDefault="008A742D">
      <w:pPr>
        <w:rPr>
          <w:lang w:val="sk-SK"/>
        </w:rPr>
      </w:pPr>
    </w:p>
    <w:p w14:paraId="4B36948B" w14:textId="77777777" w:rsidR="008A742D" w:rsidRPr="00412889" w:rsidRDefault="008A742D">
      <w:pPr>
        <w:rPr>
          <w:szCs w:val="22"/>
          <w:lang w:val="sk-SK"/>
        </w:rPr>
      </w:pPr>
    </w:p>
    <w:p w14:paraId="07ED684C" w14:textId="77777777"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5.</w:t>
      </w:r>
      <w:r w:rsidRPr="001F536F">
        <w:rPr>
          <w:lang w:val="sk-SK"/>
        </w:rPr>
        <w:tab/>
        <w:t>FARMAKOLOGICKÉ VLASTNOSTI</w:t>
      </w:r>
    </w:p>
    <w:p w14:paraId="39C6F03F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1FFB630D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5.1</w:t>
      </w:r>
      <w:r w:rsidRPr="001F536F">
        <w:rPr>
          <w:lang w:val="sk-SK"/>
        </w:rPr>
        <w:tab/>
        <w:t>Farmakodynamické vlastnosti</w:t>
      </w:r>
    </w:p>
    <w:p w14:paraId="0A13AC1D" w14:textId="77777777" w:rsidR="008A742D" w:rsidRPr="00412889" w:rsidRDefault="008A742D">
      <w:pPr>
        <w:tabs>
          <w:tab w:val="left" w:pos="2835"/>
        </w:tabs>
        <w:rPr>
          <w:szCs w:val="22"/>
          <w:lang w:val="sk-SK"/>
        </w:rPr>
      </w:pPr>
    </w:p>
    <w:p w14:paraId="2FBE8577" w14:textId="77777777" w:rsidR="008A742D" w:rsidRPr="00412889" w:rsidRDefault="001F536F">
      <w:pPr>
        <w:tabs>
          <w:tab w:val="left" w:pos="2835"/>
        </w:tabs>
        <w:rPr>
          <w:szCs w:val="22"/>
          <w:lang w:val="sk-SK"/>
        </w:rPr>
      </w:pPr>
      <w:r w:rsidRPr="001F536F">
        <w:rPr>
          <w:szCs w:val="22"/>
          <w:lang w:val="sk-SK"/>
        </w:rPr>
        <w:t>Farmakoterapeutická skupina: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Antiinfektíva na systémové použitie, Imidazolové deriváty</w:t>
      </w:r>
    </w:p>
    <w:p w14:paraId="3B12F129" w14:textId="77777777" w:rsidR="008A742D" w:rsidRPr="00412889" w:rsidRDefault="001F536F">
      <w:pPr>
        <w:tabs>
          <w:tab w:val="left" w:pos="2835"/>
        </w:tabs>
        <w:rPr>
          <w:szCs w:val="22"/>
          <w:lang w:val="sk-SK"/>
        </w:rPr>
      </w:pPr>
      <w:r w:rsidRPr="001F536F">
        <w:rPr>
          <w:szCs w:val="22"/>
          <w:lang w:val="sk-SK"/>
        </w:rPr>
        <w:t>ATC</w:t>
      </w:r>
      <w:r w:rsidR="004D0A2C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kód:J01XD01</w:t>
      </w:r>
    </w:p>
    <w:p w14:paraId="60BA7DF2" w14:textId="77777777" w:rsidR="008A742D" w:rsidRPr="00412889" w:rsidRDefault="008A742D">
      <w:pPr>
        <w:rPr>
          <w:i/>
          <w:szCs w:val="22"/>
          <w:lang w:val="sk-SK"/>
        </w:rPr>
      </w:pPr>
    </w:p>
    <w:p w14:paraId="6D7E94C3" w14:textId="77777777" w:rsidR="008A742D" w:rsidRPr="00412889" w:rsidRDefault="001F536F">
      <w:pPr>
        <w:rPr>
          <w:b/>
          <w:bCs/>
          <w:iCs/>
          <w:szCs w:val="22"/>
          <w:lang w:val="sk-SK"/>
        </w:rPr>
      </w:pPr>
      <w:r w:rsidRPr="001F536F">
        <w:rPr>
          <w:b/>
          <w:bCs/>
          <w:iCs/>
          <w:szCs w:val="22"/>
          <w:lang w:val="sk-SK"/>
        </w:rPr>
        <w:t>Mechanizmus účinku</w:t>
      </w:r>
    </w:p>
    <w:p w14:paraId="2C1DF39A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je sám o sebe neúčinný. Je to stabilná zlúčenina, ktorá dokáže preniknúť do mikroorganizmov. V anaeróbnych podmienkach sa pomocou mikrobiálnej pyruvát-ferredoxín-oxidoreduktázy tvoria z</w:t>
      </w:r>
      <w:r w:rsidR="004D0A2C">
        <w:rPr>
          <w:szCs w:val="22"/>
          <w:lang w:val="sk-SK"/>
        </w:rPr>
        <w:t> </w:t>
      </w:r>
      <w:r w:rsidRPr="001F536F">
        <w:rPr>
          <w:szCs w:val="22"/>
          <w:lang w:val="sk-SK"/>
        </w:rPr>
        <w:t>metronidazolu</w:t>
      </w:r>
      <w:r w:rsidR="004D0A2C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nitrózové radikály, ktoré pôsobia na DNA mikroorganizmu, pričom dochádza k oxidácii ferredoxínu a flavodoxínu. Nitrózové radikály tvoria spoje (adukty) s pármi báz DNA, čo vedie k narušeniu reťazca DNA a následne k bunkovej smrti.</w:t>
      </w:r>
    </w:p>
    <w:p w14:paraId="1417310A" w14:textId="77777777" w:rsidR="008A742D" w:rsidRPr="00412889" w:rsidRDefault="008A742D">
      <w:pPr>
        <w:rPr>
          <w:i/>
          <w:szCs w:val="22"/>
          <w:lang w:val="sk-SK"/>
        </w:rPr>
      </w:pPr>
    </w:p>
    <w:p w14:paraId="58C11B28" w14:textId="77777777" w:rsidR="009F7F8F" w:rsidRDefault="001F536F">
      <w:pPr>
        <w:keepNext/>
        <w:rPr>
          <w:b/>
          <w:bCs/>
          <w:iCs/>
          <w:szCs w:val="22"/>
          <w:lang w:val="sk-SK"/>
        </w:rPr>
      </w:pPr>
      <w:r w:rsidRPr="001F536F">
        <w:rPr>
          <w:b/>
          <w:bCs/>
          <w:iCs/>
          <w:szCs w:val="22"/>
          <w:lang w:val="sk-SK"/>
        </w:rPr>
        <w:t>Vzťah medzi farmakokinetikou a farmakodynamikou (FK/FD)</w:t>
      </w:r>
    </w:p>
    <w:p w14:paraId="033BB529" w14:textId="77777777" w:rsidR="008A742D" w:rsidRPr="00412889" w:rsidRDefault="001F536F">
      <w:pPr>
        <w:rPr>
          <w:color w:val="000000"/>
          <w:szCs w:val="22"/>
          <w:lang w:val="sk-SK"/>
        </w:rPr>
      </w:pPr>
      <w:r w:rsidRPr="001F536F">
        <w:rPr>
          <w:szCs w:val="22"/>
          <w:lang w:val="sk-SK"/>
        </w:rPr>
        <w:t>Metronidazol účinkuje v závislosti od koncentrácie. Účinnosť metronidazolu závisí najmä od pomeru maximálnej sérovej koncentrácie (c</w:t>
      </w:r>
      <w:r w:rsidRPr="001F536F">
        <w:rPr>
          <w:szCs w:val="22"/>
          <w:vertAlign w:val="subscript"/>
          <w:lang w:val="sk-SK"/>
        </w:rPr>
        <w:t>max</w:t>
      </w:r>
      <w:r w:rsidRPr="001F536F">
        <w:rPr>
          <w:szCs w:val="22"/>
          <w:lang w:val="sk-SK"/>
        </w:rPr>
        <w:t>) a minimálnej inhibičnej koncentrácie (MIC) pre daný mikroorganizmus.</w:t>
      </w:r>
    </w:p>
    <w:p w14:paraId="24A1A164" w14:textId="77777777" w:rsidR="008A742D" w:rsidRPr="00412889" w:rsidRDefault="008A742D">
      <w:pPr>
        <w:rPr>
          <w:i/>
          <w:szCs w:val="22"/>
          <w:lang w:val="sk-SK"/>
        </w:rPr>
      </w:pPr>
    </w:p>
    <w:p w14:paraId="67B93559" w14:textId="77777777" w:rsidR="008A742D" w:rsidRPr="00412889" w:rsidRDefault="001F536F">
      <w:pPr>
        <w:rPr>
          <w:b/>
          <w:bCs/>
          <w:iCs/>
          <w:szCs w:val="22"/>
          <w:lang w:val="sk-SK"/>
        </w:rPr>
      </w:pPr>
      <w:r w:rsidRPr="001F536F">
        <w:rPr>
          <w:b/>
          <w:bCs/>
          <w:iCs/>
          <w:szCs w:val="22"/>
          <w:lang w:val="sk-SK"/>
        </w:rPr>
        <w:lastRenderedPageBreak/>
        <w:t>Hraničné hodnoty (Breakpoints)</w:t>
      </w:r>
    </w:p>
    <w:p w14:paraId="474074C4" w14:textId="77777777" w:rsidR="008A742D" w:rsidRPr="00412889" w:rsidRDefault="001F536F">
      <w:pPr>
        <w:rPr>
          <w:color w:val="000000"/>
          <w:szCs w:val="22"/>
          <w:lang w:val="sk-SK"/>
        </w:rPr>
      </w:pPr>
      <w:r w:rsidRPr="001F536F">
        <w:rPr>
          <w:szCs w:val="22"/>
          <w:lang w:val="sk-SK"/>
        </w:rPr>
        <w:t xml:space="preserve">Pri testovaní metronidazolu sa používajú obvyklé série riedení. Bola stanovená nasledujúca minimálna inhibičná koncentrácia na rozlíšenie citlivých mikroorganizmov od rezistentných: </w:t>
      </w:r>
    </w:p>
    <w:p w14:paraId="0ECC7074" w14:textId="77777777" w:rsidR="000B4F92" w:rsidRPr="00412889" w:rsidRDefault="000B4F92">
      <w:pPr>
        <w:rPr>
          <w:color w:val="000000"/>
          <w:szCs w:val="22"/>
          <w:lang w:val="sk-SK"/>
        </w:rPr>
      </w:pPr>
    </w:p>
    <w:p w14:paraId="5402BF2C" w14:textId="77777777" w:rsidR="008A742D" w:rsidRPr="00412889" w:rsidRDefault="001F536F">
      <w:pPr>
        <w:rPr>
          <w:iCs/>
          <w:color w:val="000000"/>
          <w:szCs w:val="22"/>
          <w:lang w:val="sk-SK"/>
        </w:rPr>
      </w:pPr>
      <w:r w:rsidRPr="001F536F">
        <w:rPr>
          <w:color w:val="000000"/>
          <w:szCs w:val="22"/>
          <w:lang w:val="sk-SK"/>
        </w:rPr>
        <w:t xml:space="preserve">Hraničné hodnoty EUCAST </w:t>
      </w:r>
      <w:r w:rsidRPr="0050339C">
        <w:rPr>
          <w:iCs/>
          <w:color w:val="000000"/>
          <w:szCs w:val="22"/>
          <w:lang w:val="sk-SK"/>
        </w:rPr>
        <w:t>(</w:t>
      </w:r>
      <w:r w:rsidRPr="0050339C">
        <w:rPr>
          <w:i/>
          <w:color w:val="000000"/>
          <w:szCs w:val="22"/>
          <w:lang w:val="sk-SK"/>
        </w:rPr>
        <w:t>Európsky výbor na testovanie antimikrobiálnej citlivosti, verzia 8.0, január 2018</w:t>
      </w:r>
      <w:r w:rsidRPr="0050339C">
        <w:rPr>
          <w:iCs/>
          <w:color w:val="000000"/>
          <w:szCs w:val="22"/>
          <w:lang w:val="sk-SK"/>
        </w:rPr>
        <w:t>)</w:t>
      </w:r>
      <w:r w:rsidRPr="001F536F">
        <w:rPr>
          <w:iCs/>
          <w:color w:val="000000"/>
          <w:szCs w:val="22"/>
          <w:lang w:val="sk-SK"/>
        </w:rPr>
        <w:t xml:space="preserve"> odlišujúce citlivé (C) od rezistentných organizmov (R) sú nasledovné:</w:t>
      </w:r>
    </w:p>
    <w:p w14:paraId="086CDB32" w14:textId="77777777" w:rsidR="008A742D" w:rsidRPr="00412889" w:rsidRDefault="008A742D">
      <w:pPr>
        <w:keepNext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0B4F92" w:rsidRPr="00412889" w14:paraId="4A167653" w14:textId="77777777" w:rsidTr="003C73FB">
        <w:tc>
          <w:tcPr>
            <w:tcW w:w="3095" w:type="dxa"/>
            <w:shd w:val="clear" w:color="auto" w:fill="auto"/>
          </w:tcPr>
          <w:p w14:paraId="5321C955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Organizmus</w:t>
            </w:r>
          </w:p>
        </w:tc>
        <w:tc>
          <w:tcPr>
            <w:tcW w:w="3096" w:type="dxa"/>
            <w:shd w:val="clear" w:color="auto" w:fill="auto"/>
          </w:tcPr>
          <w:p w14:paraId="5235963F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iCs/>
                <w:color w:val="000000"/>
                <w:szCs w:val="22"/>
                <w:lang w:val="sk-SK"/>
              </w:rPr>
              <w:t>Citlivé</w:t>
            </w:r>
          </w:p>
        </w:tc>
        <w:tc>
          <w:tcPr>
            <w:tcW w:w="3096" w:type="dxa"/>
            <w:shd w:val="clear" w:color="auto" w:fill="auto"/>
          </w:tcPr>
          <w:p w14:paraId="6CD1DCF4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Rezistentné</w:t>
            </w:r>
          </w:p>
        </w:tc>
      </w:tr>
      <w:tr w:rsidR="000B4F92" w:rsidRPr="00412889" w14:paraId="2F41F204" w14:textId="77777777" w:rsidTr="003C73FB">
        <w:tc>
          <w:tcPr>
            <w:tcW w:w="3095" w:type="dxa"/>
            <w:shd w:val="clear" w:color="auto" w:fill="auto"/>
          </w:tcPr>
          <w:p w14:paraId="5AC62764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i/>
                <w:lang w:val="sk-SK"/>
              </w:rPr>
              <w:t>Clostridium difficile</w:t>
            </w:r>
            <w:r w:rsidRPr="001F536F">
              <w:rPr>
                <w:iCs/>
                <w:vertAlign w:val="superscript"/>
                <w:lang w:val="sk-SK"/>
              </w:rPr>
              <w:t>1</w:t>
            </w:r>
          </w:p>
        </w:tc>
        <w:tc>
          <w:tcPr>
            <w:tcW w:w="3096" w:type="dxa"/>
            <w:shd w:val="clear" w:color="auto" w:fill="auto"/>
          </w:tcPr>
          <w:p w14:paraId="7EE20DFA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≤ 2 mg/l</w:t>
            </w:r>
          </w:p>
        </w:tc>
        <w:tc>
          <w:tcPr>
            <w:tcW w:w="3096" w:type="dxa"/>
            <w:shd w:val="clear" w:color="auto" w:fill="auto"/>
          </w:tcPr>
          <w:p w14:paraId="413F2A2E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&gt; 2 mg/l</w:t>
            </w:r>
          </w:p>
        </w:tc>
      </w:tr>
      <w:tr w:rsidR="000B4F92" w:rsidRPr="00412889" w14:paraId="4DAC473A" w14:textId="77777777" w:rsidTr="003C73FB">
        <w:tc>
          <w:tcPr>
            <w:tcW w:w="3095" w:type="dxa"/>
            <w:shd w:val="clear" w:color="auto" w:fill="auto"/>
          </w:tcPr>
          <w:p w14:paraId="0FEE4BFD" w14:textId="77777777" w:rsidR="00412889" w:rsidRPr="00412889" w:rsidRDefault="001F536F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Iné grampozitívne anaeróby</w:t>
            </w:r>
          </w:p>
        </w:tc>
        <w:tc>
          <w:tcPr>
            <w:tcW w:w="3096" w:type="dxa"/>
            <w:shd w:val="clear" w:color="auto" w:fill="auto"/>
          </w:tcPr>
          <w:p w14:paraId="43E5D5CB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≤ 4 mg/l</w:t>
            </w:r>
          </w:p>
        </w:tc>
        <w:tc>
          <w:tcPr>
            <w:tcW w:w="3096" w:type="dxa"/>
            <w:shd w:val="clear" w:color="auto" w:fill="auto"/>
          </w:tcPr>
          <w:p w14:paraId="63479F04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&gt; 4 mg/l</w:t>
            </w:r>
          </w:p>
        </w:tc>
      </w:tr>
      <w:tr w:rsidR="000B4F92" w:rsidRPr="00412889" w14:paraId="24A2F053" w14:textId="77777777" w:rsidTr="003C73FB">
        <w:tc>
          <w:tcPr>
            <w:tcW w:w="3095" w:type="dxa"/>
            <w:shd w:val="clear" w:color="auto" w:fill="auto"/>
          </w:tcPr>
          <w:p w14:paraId="65354FB0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Gramnegatívne anaeróby</w:t>
            </w:r>
          </w:p>
        </w:tc>
        <w:tc>
          <w:tcPr>
            <w:tcW w:w="3096" w:type="dxa"/>
            <w:shd w:val="clear" w:color="auto" w:fill="auto"/>
          </w:tcPr>
          <w:p w14:paraId="493F080D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≤ 4 mg/l</w:t>
            </w:r>
          </w:p>
        </w:tc>
        <w:tc>
          <w:tcPr>
            <w:tcW w:w="3096" w:type="dxa"/>
            <w:shd w:val="clear" w:color="auto" w:fill="auto"/>
          </w:tcPr>
          <w:p w14:paraId="1224B0E5" w14:textId="77777777" w:rsidR="000B4F92" w:rsidRPr="00412889" w:rsidRDefault="001F536F" w:rsidP="003C73FB">
            <w:pPr>
              <w:keepNext/>
              <w:rPr>
                <w:szCs w:val="22"/>
                <w:lang w:val="sk-SK"/>
              </w:rPr>
            </w:pPr>
            <w:r w:rsidRPr="001F536F">
              <w:rPr>
                <w:szCs w:val="22"/>
                <w:lang w:val="sk-SK"/>
              </w:rPr>
              <w:t>&gt; 4 mg/l</w:t>
            </w:r>
          </w:p>
        </w:tc>
      </w:tr>
    </w:tbl>
    <w:p w14:paraId="19EA5D4C" w14:textId="77777777" w:rsidR="000B4F92" w:rsidRPr="00412889" w:rsidRDefault="001F536F">
      <w:pPr>
        <w:keepNext/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1 Hraničné hodnoty sú stanovené na základe epidemiologických </w:t>
      </w:r>
      <w:r w:rsidR="00571D52">
        <w:rPr>
          <w:szCs w:val="22"/>
          <w:lang w:val="sk-SK"/>
        </w:rPr>
        <w:t>medzných</w:t>
      </w:r>
      <w:r w:rsidRPr="001F536F">
        <w:rPr>
          <w:szCs w:val="22"/>
          <w:lang w:val="sk-SK"/>
        </w:rPr>
        <w:t xml:space="preserve"> hodnôt (epidemiological</w:t>
      </w:r>
      <w:r w:rsidR="00AC6D87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cut-off</w:t>
      </w:r>
      <w:r w:rsidR="00AC6D87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values, ECOFF), ktoré rozlišujú izoláty divokého typu od tých, ktoré majú zníženú citlivosť</w:t>
      </w:r>
    </w:p>
    <w:p w14:paraId="4F09E87A" w14:textId="77777777" w:rsidR="008A742D" w:rsidRPr="00412889" w:rsidRDefault="008A742D">
      <w:pPr>
        <w:keepNext/>
        <w:rPr>
          <w:szCs w:val="22"/>
          <w:lang w:val="sk-SK"/>
        </w:rPr>
      </w:pPr>
    </w:p>
    <w:p w14:paraId="4A286F2E" w14:textId="77777777" w:rsidR="008A742D" w:rsidRPr="00412889" w:rsidRDefault="001F536F">
      <w:pPr>
        <w:keepNext/>
        <w:rPr>
          <w:szCs w:val="22"/>
          <w:lang w:val="sk-SK"/>
        </w:rPr>
      </w:pPr>
      <w:r w:rsidRPr="001F536F">
        <w:rPr>
          <w:i/>
          <w:szCs w:val="22"/>
          <w:lang w:val="sk-SK"/>
        </w:rPr>
        <w:t>Zoznam citlivých a rezistentných organizmov</w:t>
      </w:r>
    </w:p>
    <w:p w14:paraId="0C3E0FE8" w14:textId="77777777" w:rsidR="008A742D" w:rsidRPr="00412889" w:rsidRDefault="008A742D">
      <w:pPr>
        <w:rPr>
          <w:szCs w:val="22"/>
          <w:lang w:val="sk-SK"/>
        </w:rPr>
      </w:pPr>
    </w:p>
    <w:tbl>
      <w:tblPr>
        <w:tblW w:w="6169" w:type="dxa"/>
        <w:tblInd w:w="709" w:type="dxa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6169"/>
      </w:tblGrid>
      <w:tr w:rsidR="008A742D" w:rsidRPr="00412889" w14:paraId="24AB53FD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4E2BD" w14:textId="77777777" w:rsidR="008A742D" w:rsidRPr="00412889" w:rsidRDefault="001F536F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/>
                <w:b/>
                <w:iCs/>
                <w:sz w:val="22"/>
                <w:lang w:val="sk-SK"/>
              </w:rPr>
              <w:t>Obvykle citlivé druhy</w:t>
            </w:r>
          </w:p>
        </w:tc>
      </w:tr>
      <w:tr w:rsidR="008A742D" w:rsidRPr="00412889" w14:paraId="365DDBB2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D6E4" w14:textId="77777777" w:rsidR="008A742D" w:rsidRPr="00412889" w:rsidRDefault="001F536F">
            <w:pPr>
              <w:ind w:left="284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b/>
                <w:bCs/>
                <w:i/>
                <w:szCs w:val="22"/>
                <w:lang w:val="sk-SK"/>
              </w:rPr>
              <w:t>Anaeróby</w:t>
            </w:r>
          </w:p>
        </w:tc>
      </w:tr>
      <w:tr w:rsidR="008A742D" w:rsidRPr="00412889" w14:paraId="329DCB9E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0099" w14:textId="77777777" w:rsidR="008A742D" w:rsidRPr="00412889" w:rsidRDefault="001F536F">
            <w:pPr>
              <w:ind w:left="709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Clostridium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/>
                <w:iCs/>
                <w:szCs w:val="22"/>
                <w:lang w:val="sk-SK"/>
              </w:rPr>
              <w:t>difficile</w:t>
            </w:r>
            <w:r w:rsidRPr="001F536F">
              <w:rPr>
                <w:iCs/>
                <w:szCs w:val="22"/>
                <w:lang w:val="sk-SK"/>
              </w:rPr>
              <w:t xml:space="preserve">° </w:t>
            </w:r>
          </w:p>
        </w:tc>
      </w:tr>
      <w:tr w:rsidR="008A742D" w:rsidRPr="00412889" w14:paraId="14EC068D" w14:textId="77777777" w:rsidTr="0090187E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9944A9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Clostridium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perfringens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°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∆</w:t>
            </w:r>
          </w:p>
        </w:tc>
      </w:tr>
      <w:tr w:rsidR="008A742D" w:rsidRPr="00412889" w14:paraId="250FAE89" w14:textId="77777777" w:rsidTr="0090187E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0C11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Fusobacterium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spp.° </w:t>
            </w:r>
          </w:p>
        </w:tc>
      </w:tr>
      <w:tr w:rsidR="008A742D" w:rsidRPr="00412889" w14:paraId="66E94A71" w14:textId="77777777" w:rsidTr="0090187E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6BF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Peptoniphilus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spp.°</w:t>
            </w:r>
          </w:p>
        </w:tc>
      </w:tr>
      <w:tr w:rsidR="008A742D" w:rsidRPr="00412889" w14:paraId="20669407" w14:textId="77777777" w:rsidTr="0090187E">
        <w:tc>
          <w:tcPr>
            <w:tcW w:w="61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9B0F6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Peptostreptococcus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spp.° </w:t>
            </w:r>
          </w:p>
        </w:tc>
      </w:tr>
      <w:tr w:rsidR="008A742D" w:rsidRPr="00412889" w14:paraId="1301127B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98F09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Porphyromonas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spp.° </w:t>
            </w:r>
          </w:p>
        </w:tc>
      </w:tr>
      <w:tr w:rsidR="008A742D" w:rsidRPr="00412889" w14:paraId="39B1C581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B3BB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Prevotella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 </w:t>
            </w:r>
          </w:p>
        </w:tc>
      </w:tr>
      <w:tr w:rsidR="008A742D" w:rsidRPr="00412889" w14:paraId="437D44E1" w14:textId="77777777">
        <w:trPr>
          <w:trHeight w:val="50"/>
        </w:trPr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2C505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Veillonella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spp.° </w:t>
            </w:r>
          </w:p>
        </w:tc>
      </w:tr>
      <w:tr w:rsidR="0090187E" w:rsidRPr="00412889" w14:paraId="1B38B863" w14:textId="77777777">
        <w:trPr>
          <w:trHeight w:val="50"/>
        </w:trPr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5384" w14:textId="77777777" w:rsidR="0090187E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Bacteroides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fragilis</w:t>
            </w:r>
          </w:p>
        </w:tc>
      </w:tr>
      <w:tr w:rsidR="008A742D" w:rsidRPr="00412889" w14:paraId="11E07D35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661BD" w14:textId="77777777" w:rsidR="008A742D" w:rsidRPr="00412889" w:rsidRDefault="001F536F">
            <w:pPr>
              <w:pStyle w:val="Default"/>
              <w:ind w:left="28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k-SK"/>
              </w:rPr>
              <w:t>Iné mikroorganizmy</w:t>
            </w:r>
          </w:p>
        </w:tc>
      </w:tr>
      <w:tr w:rsidR="008A742D" w:rsidRPr="00412889" w14:paraId="0DC1AB9F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2328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Entamoeba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histolytica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 w:rsidRPr="00412889" w14:paraId="423A323E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B06D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Gardnerella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vaginalis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 w:rsidRPr="00412889" w14:paraId="0246BE5F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65CE6" w14:textId="77777777" w:rsidR="008A742D" w:rsidRPr="00412889" w:rsidRDefault="001F536F">
            <w:pPr>
              <w:ind w:left="709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Giardia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/>
                <w:iCs/>
                <w:szCs w:val="22"/>
                <w:lang w:val="sk-SK"/>
              </w:rPr>
              <w:t>lamblia°</w:t>
            </w:r>
          </w:p>
        </w:tc>
      </w:tr>
      <w:tr w:rsidR="008A742D" w:rsidRPr="00412889" w14:paraId="3A2132C2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01FBAE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Trichomonas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vaginalis</w:t>
            </w:r>
            <w:r w:rsidRPr="001F536F"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 w:rsidRPr="00412889" w14:paraId="2308D91F" w14:textId="77777777"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5004A" w14:textId="77777777" w:rsidR="008A742D" w:rsidRPr="00412889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 w:rsidR="008A742D" w:rsidRPr="00412889" w14:paraId="77F4D791" w14:textId="77777777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39E" w14:textId="77777777" w:rsidR="008A742D" w:rsidRPr="00412889" w:rsidRDefault="001F536F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/>
                <w:b/>
                <w:i/>
                <w:iCs/>
                <w:sz w:val="22"/>
                <w:lang w:val="sk-SK"/>
              </w:rPr>
              <w:t>Druhy, u ktorých môže byť problémom získaná rezistencia</w:t>
            </w:r>
          </w:p>
        </w:tc>
      </w:tr>
      <w:tr w:rsidR="008A742D" w:rsidRPr="00412889" w14:paraId="77324392" w14:textId="77777777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FEC759" w14:textId="77777777" w:rsidR="008A742D" w:rsidRPr="00412889" w:rsidRDefault="001F536F">
            <w:pPr>
              <w:ind w:left="284"/>
              <w:rPr>
                <w:szCs w:val="22"/>
                <w:lang w:val="sk-SK"/>
              </w:rPr>
            </w:pPr>
            <w:r w:rsidRPr="001F536F">
              <w:rPr>
                <w:b/>
                <w:bCs/>
                <w:i/>
                <w:szCs w:val="22"/>
                <w:lang w:val="sk-SK"/>
              </w:rPr>
              <w:t>Gramnegatívne</w:t>
            </w:r>
            <w:r w:rsidR="00571D52">
              <w:rPr>
                <w:b/>
                <w:bCs/>
                <w:i/>
                <w:szCs w:val="22"/>
                <w:lang w:val="sk-SK"/>
              </w:rPr>
              <w:t xml:space="preserve"> </w:t>
            </w:r>
            <w:r w:rsidRPr="001F536F">
              <w:rPr>
                <w:b/>
                <w:bCs/>
                <w:i/>
                <w:szCs w:val="22"/>
                <w:lang w:val="sk-SK"/>
              </w:rPr>
              <w:t>aeróby</w:t>
            </w:r>
          </w:p>
        </w:tc>
      </w:tr>
      <w:tr w:rsidR="008A742D" w:rsidRPr="00412889" w14:paraId="5323D38C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57389D" w14:textId="77777777" w:rsidR="008A742D" w:rsidRPr="00412889" w:rsidRDefault="001F536F">
            <w:pPr>
              <w:pStyle w:val="Default"/>
              <w:ind w:left="709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Helicobacter</w:t>
            </w:r>
            <w:r w:rsidR="00571D5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F536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pylori</w:t>
            </w:r>
          </w:p>
        </w:tc>
      </w:tr>
      <w:tr w:rsidR="0090187E" w:rsidRPr="00412889" w14:paraId="256955D4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778D02" w14:textId="77777777" w:rsidR="009F7F8F" w:rsidRDefault="001F536F">
            <w:pPr>
              <w:pStyle w:val="Default"/>
              <w:ind w:left="375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k-SK"/>
              </w:rPr>
              <w:t>Anaeróby</w:t>
            </w:r>
          </w:p>
        </w:tc>
      </w:tr>
      <w:tr w:rsidR="008A742D" w:rsidRPr="00412889" w14:paraId="238BDCF0" w14:textId="77777777"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E6029" w14:textId="77777777" w:rsidR="008A742D" w:rsidRPr="00412889" w:rsidRDefault="008A742D">
            <w:pPr>
              <w:ind w:left="284"/>
              <w:rPr>
                <w:b/>
                <w:bCs/>
                <w:i/>
                <w:szCs w:val="22"/>
                <w:lang w:val="sk-SK"/>
              </w:rPr>
            </w:pPr>
          </w:p>
        </w:tc>
      </w:tr>
      <w:tr w:rsidR="008A742D" w:rsidRPr="00412889" w14:paraId="05C14D1C" w14:textId="77777777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713" w14:textId="77777777" w:rsidR="008A742D" w:rsidRPr="00412889" w:rsidRDefault="001F536F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F536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sk-SK"/>
              </w:rPr>
              <w:t>Inherentne rezistentné organizmy</w:t>
            </w:r>
          </w:p>
        </w:tc>
      </w:tr>
      <w:tr w:rsidR="008A742D" w:rsidRPr="00412889" w14:paraId="228E9954" w14:textId="77777777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067" w14:textId="77777777" w:rsidR="008A742D" w:rsidRPr="00412889" w:rsidRDefault="001F536F">
            <w:pPr>
              <w:ind w:left="709"/>
              <w:rPr>
                <w:i/>
                <w:szCs w:val="22"/>
                <w:lang w:val="sk-SK"/>
              </w:rPr>
            </w:pPr>
            <w:r w:rsidRPr="001F536F">
              <w:rPr>
                <w:i/>
                <w:lang w:val="sk-SK"/>
              </w:rPr>
              <w:t>Všetky obligátne aeróby</w:t>
            </w:r>
          </w:p>
        </w:tc>
      </w:tr>
      <w:tr w:rsidR="008A742D" w:rsidRPr="00412889" w14:paraId="472E84E6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F34C" w14:textId="77777777" w:rsidR="008A742D" w:rsidRPr="00412889" w:rsidRDefault="001F536F">
            <w:pPr>
              <w:ind w:left="287"/>
              <w:rPr>
                <w:b/>
                <w:bCs/>
                <w:szCs w:val="22"/>
                <w:lang w:val="sk-SK"/>
              </w:rPr>
            </w:pPr>
            <w:r w:rsidRPr="001F536F">
              <w:rPr>
                <w:b/>
                <w:bCs/>
                <w:i/>
                <w:szCs w:val="22"/>
                <w:lang w:val="sk-SK"/>
              </w:rPr>
              <w:t>Grampozitívne mikroorganizmy</w:t>
            </w:r>
          </w:p>
        </w:tc>
      </w:tr>
      <w:tr w:rsidR="008A742D" w:rsidRPr="00412889" w14:paraId="3796ED83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0AC" w14:textId="77777777" w:rsidR="008A742D" w:rsidRPr="00412889" w:rsidRDefault="001F536F">
            <w:pPr>
              <w:ind w:left="712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Enterococcus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Cs/>
                <w:szCs w:val="22"/>
                <w:lang w:val="sk-SK"/>
              </w:rPr>
              <w:t>spp.</w:t>
            </w:r>
          </w:p>
        </w:tc>
      </w:tr>
      <w:tr w:rsidR="008A742D" w:rsidRPr="00412889" w14:paraId="2C3DC1CD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B10" w14:textId="77777777" w:rsidR="008A742D" w:rsidRPr="00412889" w:rsidRDefault="001F536F">
            <w:pPr>
              <w:ind w:left="712"/>
              <w:rPr>
                <w:i/>
                <w:iCs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Staphylococcus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Cs/>
                <w:szCs w:val="22"/>
                <w:lang w:val="sk-SK"/>
              </w:rPr>
              <w:t>spp</w:t>
            </w:r>
            <w:r w:rsidRPr="001F536F">
              <w:rPr>
                <w:i/>
                <w:iCs/>
                <w:szCs w:val="22"/>
                <w:lang w:val="sk-SK"/>
              </w:rPr>
              <w:t>.</w:t>
            </w:r>
          </w:p>
        </w:tc>
      </w:tr>
      <w:tr w:rsidR="008A742D" w:rsidRPr="00412889" w14:paraId="4136E867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98E8" w14:textId="77777777" w:rsidR="008A742D" w:rsidRPr="00412889" w:rsidRDefault="001F536F">
            <w:pPr>
              <w:ind w:left="712"/>
              <w:rPr>
                <w:i/>
                <w:iCs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Streptococcus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Cs/>
                <w:szCs w:val="22"/>
                <w:lang w:val="sk-SK"/>
              </w:rPr>
              <w:t>spp.</w:t>
            </w:r>
          </w:p>
        </w:tc>
      </w:tr>
      <w:tr w:rsidR="008A742D" w:rsidRPr="00412889" w14:paraId="7D357B88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560" w14:textId="77777777" w:rsidR="008A742D" w:rsidRPr="00412889" w:rsidRDefault="001F536F">
            <w:pPr>
              <w:ind w:left="284"/>
              <w:rPr>
                <w:i/>
                <w:iCs/>
                <w:szCs w:val="22"/>
                <w:lang w:val="sk-SK"/>
              </w:rPr>
            </w:pPr>
            <w:r w:rsidRPr="001F536F">
              <w:rPr>
                <w:b/>
                <w:bCs/>
                <w:i/>
                <w:szCs w:val="22"/>
                <w:lang w:val="sk-SK"/>
              </w:rPr>
              <w:t>Gramnegatívne mikroorganizmy</w:t>
            </w:r>
          </w:p>
        </w:tc>
      </w:tr>
      <w:tr w:rsidR="008A742D" w:rsidRPr="00412889" w14:paraId="7AEFBCFC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13C2" w14:textId="77777777" w:rsidR="008A742D" w:rsidRPr="00412889" w:rsidRDefault="001F536F">
            <w:pPr>
              <w:ind w:left="712"/>
              <w:rPr>
                <w:b/>
                <w:bCs/>
                <w:i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Enterobacteriaceae</w:t>
            </w:r>
          </w:p>
        </w:tc>
      </w:tr>
      <w:tr w:rsidR="008A742D" w:rsidRPr="00412889" w14:paraId="4B9C010E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2A3" w14:textId="77777777" w:rsidR="008A742D" w:rsidRPr="00412889" w:rsidRDefault="001F536F">
            <w:pPr>
              <w:ind w:left="712"/>
              <w:rPr>
                <w:i/>
                <w:iCs/>
                <w:szCs w:val="22"/>
                <w:lang w:val="sk-SK"/>
              </w:rPr>
            </w:pPr>
            <w:r w:rsidRPr="001F536F">
              <w:rPr>
                <w:i/>
                <w:iCs/>
                <w:szCs w:val="22"/>
                <w:lang w:val="sk-SK"/>
              </w:rPr>
              <w:t>Haemophilus</w:t>
            </w:r>
            <w:r w:rsidR="00571D52">
              <w:rPr>
                <w:i/>
                <w:iCs/>
                <w:szCs w:val="22"/>
                <w:lang w:val="sk-SK"/>
              </w:rPr>
              <w:t xml:space="preserve"> </w:t>
            </w:r>
            <w:r w:rsidRPr="001F536F">
              <w:rPr>
                <w:iCs/>
                <w:szCs w:val="22"/>
                <w:lang w:val="sk-SK"/>
              </w:rPr>
              <w:t>spp.</w:t>
            </w:r>
          </w:p>
        </w:tc>
      </w:tr>
    </w:tbl>
    <w:p w14:paraId="3AE147C2" w14:textId="77777777" w:rsidR="008A742D" w:rsidRPr="00412889" w:rsidRDefault="008A742D">
      <w:pPr>
        <w:ind w:left="851" w:hanging="142"/>
        <w:rPr>
          <w:szCs w:val="22"/>
          <w:lang w:val="sk-SK"/>
        </w:rPr>
      </w:pPr>
    </w:p>
    <w:p w14:paraId="6F8AB6DD" w14:textId="77777777" w:rsidR="008A742D" w:rsidRPr="00412889" w:rsidRDefault="001F536F">
      <w:pPr>
        <w:ind w:left="851" w:hanging="142"/>
        <w:rPr>
          <w:szCs w:val="22"/>
          <w:lang w:val="sk-SK"/>
        </w:rPr>
      </w:pPr>
      <w:r w:rsidRPr="001F536F">
        <w:rPr>
          <w:szCs w:val="22"/>
          <w:lang w:val="sk-SK"/>
        </w:rPr>
        <w:t>°</w:t>
      </w:r>
      <w:r w:rsidRPr="001F536F">
        <w:rPr>
          <w:szCs w:val="22"/>
          <w:lang w:val="sk-SK"/>
        </w:rPr>
        <w:tab/>
        <w:t xml:space="preserve">V čase zverejnenia tejto tabuľky neboli dostupné aktualizované údaje. V primárnej literatúre, publikovaných štandardných odkazoch a liečebných odporúčaniach je predpokladaná citlivosť príslušných uvedených kmeňov. </w:t>
      </w:r>
    </w:p>
    <w:p w14:paraId="379630E0" w14:textId="77777777" w:rsidR="008A742D" w:rsidRPr="00412889" w:rsidRDefault="001F536F">
      <w:pPr>
        <w:ind w:left="851" w:hanging="142"/>
        <w:rPr>
          <w:szCs w:val="22"/>
          <w:lang w:val="sk-SK"/>
        </w:rPr>
      </w:pPr>
      <w:r w:rsidRPr="001F536F">
        <w:rPr>
          <w:szCs w:val="22"/>
          <w:vertAlign w:val="superscript"/>
          <w:lang w:val="sk-SK"/>
        </w:rPr>
        <w:t>Δ</w:t>
      </w:r>
      <w:r w:rsidRPr="001F536F">
        <w:rPr>
          <w:szCs w:val="22"/>
          <w:lang w:val="sk-SK"/>
        </w:rPr>
        <w:tab/>
        <w:t xml:space="preserve">Použitie iba u pacientov s alergiou na penicilín. </w:t>
      </w:r>
    </w:p>
    <w:p w14:paraId="17DDCD21" w14:textId="77777777" w:rsidR="008A742D" w:rsidRPr="00412889" w:rsidRDefault="008A742D">
      <w:pPr>
        <w:keepNext/>
        <w:rPr>
          <w:i/>
          <w:iCs/>
          <w:szCs w:val="22"/>
          <w:lang w:val="sk-SK"/>
        </w:rPr>
      </w:pPr>
    </w:p>
    <w:p w14:paraId="331336F7" w14:textId="77777777" w:rsidR="008A742D" w:rsidRPr="00412889" w:rsidRDefault="001F536F">
      <w:pPr>
        <w:keepNext/>
        <w:rPr>
          <w:b/>
          <w:bCs/>
          <w:szCs w:val="22"/>
          <w:lang w:val="sk-SK"/>
        </w:rPr>
      </w:pPr>
      <w:r w:rsidRPr="001F536F">
        <w:rPr>
          <w:b/>
          <w:bCs/>
          <w:szCs w:val="22"/>
          <w:lang w:val="sk-SK"/>
        </w:rPr>
        <w:t>Mechanizmus rezistencie na metronidazol</w:t>
      </w:r>
    </w:p>
    <w:p w14:paraId="0330829E" w14:textId="77777777" w:rsidR="008A742D" w:rsidRPr="00412889" w:rsidRDefault="001F536F">
      <w:pPr>
        <w:rPr>
          <w:iCs/>
          <w:color w:val="000000"/>
          <w:szCs w:val="22"/>
          <w:lang w:val="sk-SK"/>
        </w:rPr>
      </w:pPr>
      <w:r w:rsidRPr="001F536F">
        <w:rPr>
          <w:szCs w:val="22"/>
          <w:lang w:val="sk-SK"/>
        </w:rPr>
        <w:t>Mechanizmus rezistencie na metronidazol je objasnený iba čiastočne.</w:t>
      </w:r>
      <w:r w:rsidR="00986620">
        <w:rPr>
          <w:szCs w:val="22"/>
          <w:lang w:val="sk-SK"/>
        </w:rPr>
        <w:t xml:space="preserve"> </w:t>
      </w:r>
      <w:r w:rsidRPr="001F536F">
        <w:rPr>
          <w:iCs/>
          <w:color w:val="000000"/>
          <w:szCs w:val="22"/>
          <w:lang w:val="sk-SK"/>
        </w:rPr>
        <w:t xml:space="preserve">Kmene </w:t>
      </w:r>
      <w:r w:rsidRPr="001F536F">
        <w:rPr>
          <w:i/>
          <w:iCs/>
          <w:color w:val="000000"/>
          <w:szCs w:val="22"/>
          <w:lang w:val="sk-SK"/>
        </w:rPr>
        <w:t>Bacteroides</w:t>
      </w:r>
      <w:r w:rsidR="00986620">
        <w:rPr>
          <w:i/>
          <w:iCs/>
          <w:color w:val="000000"/>
          <w:szCs w:val="22"/>
          <w:lang w:val="sk-SK"/>
        </w:rPr>
        <w:t xml:space="preserve"> </w:t>
      </w:r>
      <w:r w:rsidRPr="001F536F">
        <w:rPr>
          <w:iCs/>
          <w:color w:val="000000"/>
          <w:szCs w:val="22"/>
          <w:lang w:val="sk-SK"/>
        </w:rPr>
        <w:t>rezistentné voči metronidazolu disponujú génmi kódujúcimi nitroimidazolreduktázy, ktoré konvertujú nitroimidazoly na aminoimidazoly. Takto je inhibovaná tvorba antibakteriálne účinných nitrózových radikálov.</w:t>
      </w:r>
    </w:p>
    <w:p w14:paraId="770F958D" w14:textId="77777777" w:rsidR="008A742D" w:rsidRPr="00412889" w:rsidRDefault="001F536F" w:rsidP="005226BC">
      <w:pPr>
        <w:rPr>
          <w:iCs/>
          <w:color w:val="000000"/>
          <w:szCs w:val="22"/>
          <w:lang w:val="sk-SK"/>
        </w:rPr>
      </w:pPr>
      <w:r w:rsidRPr="001F536F">
        <w:rPr>
          <w:iCs/>
          <w:color w:val="000000"/>
          <w:szCs w:val="22"/>
          <w:lang w:val="sk-SK"/>
        </w:rPr>
        <w:t>Existuje úplná krížová rezistencia medzi metronidazolom a inými derivátmi nitroimidazolu (tinidazol, ornidazol, nimorazol).</w:t>
      </w:r>
      <w:r w:rsidR="00412889">
        <w:rPr>
          <w:iCs/>
          <w:color w:val="000000"/>
          <w:szCs w:val="22"/>
          <w:lang w:val="sk-SK"/>
        </w:rPr>
        <w:t xml:space="preserve"> </w:t>
      </w:r>
      <w:r w:rsidRPr="001F536F">
        <w:rPr>
          <w:iCs/>
          <w:color w:val="000000"/>
          <w:szCs w:val="22"/>
          <w:lang w:val="sk-SK"/>
        </w:rPr>
        <w:t xml:space="preserve">Prevalencia získanej rezistencie sa u jednotlivých druhov môže líšiť v závislosti od geografickej polohy a času. Z tohto dôvodu by </w:t>
      </w:r>
      <w:r w:rsidR="00571D52">
        <w:rPr>
          <w:iCs/>
          <w:color w:val="000000"/>
          <w:szCs w:val="22"/>
          <w:lang w:val="sk-SK"/>
        </w:rPr>
        <w:t xml:space="preserve">najmä </w:t>
      </w:r>
      <w:r w:rsidRPr="001F536F">
        <w:rPr>
          <w:iCs/>
          <w:color w:val="000000"/>
          <w:szCs w:val="22"/>
          <w:lang w:val="sk-SK"/>
        </w:rPr>
        <w:t xml:space="preserve">na adekvátnu liečbu závažných infekcií mali byť k dispozícii špecifické miestne informácie ohľadom rezistencie. Ak sú pochybnosti o účinnosti metronidazolu z dôvodu lokálnej rezistencie, </w:t>
      </w:r>
      <w:r w:rsidRPr="001F536F">
        <w:rPr>
          <w:lang w:val="sk-SK"/>
        </w:rPr>
        <w:t>je potrebné sa poradiť s odborníkom</w:t>
      </w:r>
      <w:r w:rsidRPr="001F536F">
        <w:rPr>
          <w:iCs/>
          <w:color w:val="000000"/>
          <w:szCs w:val="22"/>
          <w:lang w:val="sk-SK"/>
        </w:rPr>
        <w:t>. Najmä pri závažných infekciách alebo pri neúspešnej liečbe je potrebná mikrobiologická diagnóza vrátane stanovenia druhu mikroorganizmu a jeho citlivosti na metronidazol.</w:t>
      </w:r>
    </w:p>
    <w:p w14:paraId="2BE93E3C" w14:textId="77777777" w:rsidR="008A742D" w:rsidRPr="00412889" w:rsidRDefault="008A742D">
      <w:pPr>
        <w:rPr>
          <w:szCs w:val="22"/>
          <w:lang w:val="sk-SK"/>
        </w:rPr>
      </w:pPr>
    </w:p>
    <w:p w14:paraId="2E053F84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5.2</w:t>
      </w:r>
      <w:r w:rsidRPr="001F536F">
        <w:rPr>
          <w:lang w:val="sk-SK"/>
        </w:rPr>
        <w:tab/>
        <w:t>Farmakokinetické vlastnosti</w:t>
      </w:r>
    </w:p>
    <w:p w14:paraId="1A627BE1" w14:textId="77777777" w:rsidR="008A742D" w:rsidRPr="00412889" w:rsidRDefault="008A742D">
      <w:pPr>
        <w:pStyle w:val="Zarkazkladnhotextu"/>
        <w:ind w:left="0"/>
        <w:jc w:val="left"/>
        <w:rPr>
          <w:i/>
          <w:sz w:val="22"/>
          <w:szCs w:val="22"/>
          <w:lang w:val="sk-SK"/>
        </w:rPr>
      </w:pPr>
    </w:p>
    <w:p w14:paraId="4F3720CF" w14:textId="77777777" w:rsidR="008A742D" w:rsidRPr="00412889" w:rsidRDefault="001F536F">
      <w:pPr>
        <w:pStyle w:val="Zarkazkladnhotextu"/>
        <w:ind w:left="0"/>
        <w:jc w:val="left"/>
        <w:rPr>
          <w:iCs/>
          <w:sz w:val="22"/>
          <w:szCs w:val="22"/>
          <w:u w:val="single"/>
          <w:lang w:val="sk-SK"/>
        </w:rPr>
      </w:pPr>
      <w:r w:rsidRPr="001F536F">
        <w:rPr>
          <w:iCs/>
          <w:sz w:val="22"/>
          <w:szCs w:val="22"/>
          <w:u w:val="single"/>
          <w:lang w:val="sk-SK"/>
        </w:rPr>
        <w:t>Absorpcia</w:t>
      </w:r>
    </w:p>
    <w:p w14:paraId="10F27646" w14:textId="77777777" w:rsidR="00363BFE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sa rýchlo absorbuje z gastrointestinálneho traktu a jeho perorálna biologická dostupnosť je &gt; 90 %. Pri zmene medzi intravenóznym a perorálnym podávaním sa preto pri rovnako vysokej dávke v mg dosiahne podobn</w:t>
      </w:r>
      <w:r w:rsidR="00986620">
        <w:rPr>
          <w:szCs w:val="22"/>
          <w:lang w:val="sk-SK"/>
        </w:rPr>
        <w:t>á</w:t>
      </w:r>
      <w:r w:rsidRPr="001F536F">
        <w:rPr>
          <w:szCs w:val="22"/>
          <w:lang w:val="sk-SK"/>
        </w:rPr>
        <w:t xml:space="preserve"> expozícia (AUC).</w:t>
      </w:r>
    </w:p>
    <w:p w14:paraId="40B02370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Keďže </w:t>
      </w:r>
      <w:r w:rsidR="00571D52">
        <w:rPr>
          <w:szCs w:val="22"/>
          <w:lang w:val="sk-SK"/>
        </w:rPr>
        <w:t xml:space="preserve">sa </w:t>
      </w:r>
      <w:r w:rsidRPr="001F536F">
        <w:rPr>
          <w:szCs w:val="22"/>
          <w:lang w:val="sk-SK"/>
        </w:rPr>
        <w:t>Metronidazol</w:t>
      </w:r>
      <w:r w:rsidR="003933FB">
        <w:rPr>
          <w:szCs w:val="22"/>
          <w:lang w:val="sk-SK"/>
        </w:rPr>
        <w:t>e</w:t>
      </w:r>
      <w:r w:rsidR="00412889">
        <w:rPr>
          <w:szCs w:val="22"/>
          <w:lang w:val="sk-SK"/>
        </w:rPr>
        <w:t xml:space="preserve"> </w:t>
      </w:r>
      <w:r w:rsidR="00C14D9A">
        <w:rPr>
          <w:szCs w:val="22"/>
          <w:lang w:val="sk-SK"/>
        </w:rPr>
        <w:t>Noridem</w:t>
      </w:r>
      <w:r w:rsidRPr="001F536F">
        <w:rPr>
          <w:szCs w:val="22"/>
          <w:lang w:val="sk-SK"/>
        </w:rPr>
        <w:t xml:space="preserve"> 5 mg/ml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infúzny roztok podáva intravenózne</w:t>
      </w:r>
      <w:r w:rsidR="00571D52">
        <w:rPr>
          <w:szCs w:val="22"/>
          <w:lang w:val="sk-SK"/>
        </w:rPr>
        <w:t xml:space="preserve"> infúziou</w:t>
      </w:r>
      <w:r w:rsidRPr="001F536F">
        <w:rPr>
          <w:szCs w:val="22"/>
          <w:lang w:val="sk-SK"/>
        </w:rPr>
        <w:t>, biologická dostupnosť je 100 %.</w:t>
      </w:r>
    </w:p>
    <w:p w14:paraId="404C4885" w14:textId="77777777" w:rsidR="008A742D" w:rsidRPr="00412889" w:rsidRDefault="008A742D">
      <w:pPr>
        <w:rPr>
          <w:i/>
          <w:szCs w:val="22"/>
          <w:lang w:val="sk-SK"/>
        </w:rPr>
      </w:pPr>
    </w:p>
    <w:p w14:paraId="4986DF12" w14:textId="77777777" w:rsidR="008A742D" w:rsidRPr="00412889" w:rsidRDefault="001F536F">
      <w:pPr>
        <w:rPr>
          <w:iCs/>
          <w:szCs w:val="22"/>
          <w:u w:val="single"/>
          <w:lang w:val="sk-SK"/>
        </w:rPr>
      </w:pPr>
      <w:r w:rsidRPr="001F536F">
        <w:rPr>
          <w:iCs/>
          <w:szCs w:val="22"/>
          <w:u w:val="single"/>
          <w:lang w:val="sk-SK"/>
        </w:rPr>
        <w:t>Distribúcia</w:t>
      </w:r>
    </w:p>
    <w:p w14:paraId="56289DB0" w14:textId="77777777" w:rsidR="00EB1064" w:rsidRPr="00412889" w:rsidRDefault="003E06D2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>
        <w:rPr>
          <w:szCs w:val="22"/>
          <w:lang w:val="sk-SK"/>
        </w:rPr>
        <w:t>I</w:t>
      </w:r>
      <w:r w:rsidR="001F536F" w:rsidRPr="001F536F">
        <w:rPr>
          <w:szCs w:val="22"/>
          <w:lang w:val="sk-SK"/>
        </w:rPr>
        <w:t>ntravenózn</w:t>
      </w:r>
      <w:r>
        <w:rPr>
          <w:szCs w:val="22"/>
          <w:lang w:val="sk-SK"/>
        </w:rPr>
        <w:t>ou</w:t>
      </w:r>
      <w:r w:rsidR="001F536F" w:rsidRPr="001F536F">
        <w:rPr>
          <w:szCs w:val="22"/>
          <w:lang w:val="sk-SK"/>
        </w:rPr>
        <w:t xml:space="preserve"> injekci</w:t>
      </w:r>
      <w:r>
        <w:rPr>
          <w:szCs w:val="22"/>
          <w:lang w:val="sk-SK"/>
        </w:rPr>
        <w:t>ou</w:t>
      </w:r>
      <w:r w:rsidR="001F536F" w:rsidRPr="001F536F">
        <w:rPr>
          <w:szCs w:val="22"/>
          <w:lang w:val="sk-SK"/>
        </w:rPr>
        <w:t xml:space="preserve"> 500 mg metronidazolu</w:t>
      </w:r>
      <w:r>
        <w:rPr>
          <w:szCs w:val="22"/>
          <w:lang w:val="sk-SK"/>
        </w:rPr>
        <w:t>, podanou ako jednorazová infúzia, sa dosiahne</w:t>
      </w:r>
      <w:r w:rsidR="001F536F" w:rsidRPr="001F536F">
        <w:rPr>
          <w:szCs w:val="22"/>
          <w:lang w:val="sk-SK"/>
        </w:rPr>
        <w:t xml:space="preserve"> priemerná </w:t>
      </w:r>
      <w:r>
        <w:rPr>
          <w:szCs w:val="22"/>
          <w:lang w:val="sk-SK"/>
        </w:rPr>
        <w:t>maximálna</w:t>
      </w:r>
      <w:r w:rsidR="001F536F" w:rsidRPr="001F536F">
        <w:rPr>
          <w:szCs w:val="22"/>
          <w:lang w:val="sk-SK"/>
        </w:rPr>
        <w:t xml:space="preserve"> koncentrácia 18 μg na ml na konci 20-minútovej infúzie.</w:t>
      </w:r>
    </w:p>
    <w:p w14:paraId="6F365535" w14:textId="77777777" w:rsidR="00EB1064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1F536F">
        <w:rPr>
          <w:szCs w:val="22"/>
          <w:lang w:val="sk-SK"/>
        </w:rPr>
        <w:t>Opakovaným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podaním každých 8 hodín sa dosiahne rovnaká priemerná </w:t>
      </w:r>
      <w:r w:rsidR="003E06D2">
        <w:rPr>
          <w:szCs w:val="22"/>
          <w:lang w:val="sk-SK"/>
        </w:rPr>
        <w:t>maximálna</w:t>
      </w:r>
      <w:r w:rsidRPr="001F536F">
        <w:rPr>
          <w:szCs w:val="22"/>
          <w:lang w:val="sk-SK"/>
        </w:rPr>
        <w:t xml:space="preserve"> koncentrácia.</w:t>
      </w:r>
    </w:p>
    <w:p w14:paraId="126FBE27" w14:textId="77777777" w:rsidR="00EB1064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Podaním každých 12 hodín sa dosiahne priemerná </w:t>
      </w:r>
      <w:r w:rsidR="003E06D2">
        <w:rPr>
          <w:szCs w:val="22"/>
          <w:lang w:val="sk-SK"/>
        </w:rPr>
        <w:t>maximálna</w:t>
      </w:r>
      <w:r w:rsidRPr="001F536F">
        <w:rPr>
          <w:szCs w:val="22"/>
          <w:lang w:val="sk-SK"/>
        </w:rPr>
        <w:t xml:space="preserve"> koncentrácia 13 μg na ml.</w:t>
      </w:r>
    </w:p>
    <w:p w14:paraId="63DEA739" w14:textId="77777777" w:rsidR="00426D52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1F536F">
        <w:rPr>
          <w:szCs w:val="22"/>
          <w:lang w:val="sk-SK"/>
        </w:rPr>
        <w:t>Plazmatický polčas je 8 až 10 hodín.</w:t>
      </w:r>
    </w:p>
    <w:p w14:paraId="6FC2135D" w14:textId="77777777" w:rsidR="00426D52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1F536F">
        <w:rPr>
          <w:szCs w:val="22"/>
          <w:lang w:val="sk-SK"/>
        </w:rPr>
        <w:t>Väzba na plazmatické bielkoviny je nízka: menej ako 10 %.</w:t>
      </w:r>
    </w:p>
    <w:p w14:paraId="036DD8F1" w14:textId="77777777" w:rsidR="004716B2" w:rsidRPr="00412889" w:rsidRDefault="001F536F" w:rsidP="004716B2">
      <w:pPr>
        <w:numPr>
          <w:ilvl w:val="0"/>
          <w:numId w:val="4"/>
        </w:numPr>
        <w:ind w:left="562" w:hanging="562"/>
        <w:rPr>
          <w:szCs w:val="22"/>
          <w:lang w:val="sk-SK"/>
        </w:rPr>
      </w:pPr>
      <w:r w:rsidRPr="005A16EC">
        <w:rPr>
          <w:szCs w:val="22"/>
          <w:lang w:val="sk-SK"/>
        </w:rPr>
        <w:t>Distribúcia</w:t>
      </w:r>
      <w:r w:rsidRPr="001F536F">
        <w:rPr>
          <w:szCs w:val="22"/>
          <w:lang w:val="sk-SK"/>
        </w:rPr>
        <w:t xml:space="preserve"> je rýchla a značná do: pľúc, obličiek, pečene, kože,</w:t>
      </w:r>
      <w:r w:rsidR="00412889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žlče, cerebrospinálnej tekutiny, slín, semennej tekutiny, vaginálneho sekrétu.</w:t>
      </w:r>
    </w:p>
    <w:p w14:paraId="2828364C" w14:textId="77777777" w:rsidR="008A742D" w:rsidRPr="00412889" w:rsidRDefault="001F536F" w:rsidP="005226BC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prechádza placentou a vylučuje sa do materského mlieka</w:t>
      </w:r>
      <w:r w:rsidR="008811FB">
        <w:rPr>
          <w:szCs w:val="22"/>
          <w:lang w:val="sk-SK"/>
        </w:rPr>
        <w:t>.</w:t>
      </w:r>
    </w:p>
    <w:p w14:paraId="29B7C38C" w14:textId="77777777" w:rsidR="008A742D" w:rsidRPr="00412889" w:rsidRDefault="008A742D">
      <w:pPr>
        <w:rPr>
          <w:szCs w:val="22"/>
          <w:lang w:val="sk-SK"/>
        </w:rPr>
      </w:pPr>
    </w:p>
    <w:p w14:paraId="09D5A5B5" w14:textId="77777777" w:rsidR="008A742D" w:rsidRPr="00412889" w:rsidRDefault="001F536F">
      <w:pPr>
        <w:rPr>
          <w:iCs/>
          <w:szCs w:val="22"/>
          <w:u w:val="single"/>
          <w:lang w:val="sk-SK"/>
        </w:rPr>
      </w:pPr>
      <w:r w:rsidRPr="001F536F">
        <w:rPr>
          <w:iCs/>
          <w:szCs w:val="22"/>
          <w:u w:val="single"/>
          <w:lang w:val="sk-SK"/>
        </w:rPr>
        <w:t>Biotransformácia</w:t>
      </w:r>
    </w:p>
    <w:p w14:paraId="6442CE0B" w14:textId="77777777" w:rsidR="00426D52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Produkuje dva nekonjugované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metabolity, ktoré vykazujú antibakteriálnu aktivitu (10 až 30 %).</w:t>
      </w:r>
    </w:p>
    <w:p w14:paraId="71E76C29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sa metabolizuje v pečeni oxidáciou postranného reťazca a tvorbou glukuronidu. Jeho metabolity obsahujú produkt oxidácie kyseliny, hydroxyderivát a glukuronid. Hlavný metabolit v sére je hydroxylovaný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metabolit, hlavný metabolit v moči je metabolit</w:t>
      </w:r>
      <w:r w:rsidR="006275CB">
        <w:rPr>
          <w:szCs w:val="22"/>
          <w:lang w:val="sk-SK"/>
        </w:rPr>
        <w:t xml:space="preserve"> kyseliny</w:t>
      </w:r>
      <w:r w:rsidRPr="001F536F">
        <w:rPr>
          <w:szCs w:val="22"/>
          <w:lang w:val="sk-SK"/>
        </w:rPr>
        <w:t>. Metabolizmus prebieha prevažne prostredníctvom oxidáz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mikrozomálneho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cytochrómu P450 v pečeni.</w:t>
      </w:r>
    </w:p>
    <w:p w14:paraId="562D5DE0" w14:textId="77777777" w:rsidR="008A742D" w:rsidRPr="00412889" w:rsidRDefault="008A742D">
      <w:pPr>
        <w:rPr>
          <w:szCs w:val="22"/>
          <w:lang w:val="sk-SK"/>
        </w:rPr>
      </w:pPr>
    </w:p>
    <w:p w14:paraId="25773351" w14:textId="77777777" w:rsidR="008A742D" w:rsidRPr="00412889" w:rsidRDefault="001F536F">
      <w:pPr>
        <w:rPr>
          <w:iCs/>
          <w:szCs w:val="22"/>
          <w:u w:val="single"/>
          <w:lang w:val="sk-SK"/>
        </w:rPr>
      </w:pPr>
      <w:r w:rsidRPr="001F536F">
        <w:rPr>
          <w:iCs/>
          <w:szCs w:val="22"/>
          <w:u w:val="single"/>
          <w:lang w:val="sk-SK"/>
        </w:rPr>
        <w:t xml:space="preserve">Eliminácia </w:t>
      </w:r>
    </w:p>
    <w:p w14:paraId="68F87534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Približne 80 % </w:t>
      </w:r>
      <w:r w:rsidRPr="005A16EC">
        <w:rPr>
          <w:szCs w:val="22"/>
          <w:lang w:val="sk-SK"/>
        </w:rPr>
        <w:t>látky</w:t>
      </w:r>
      <w:r w:rsidRPr="001F536F">
        <w:rPr>
          <w:szCs w:val="22"/>
          <w:lang w:val="sk-SK"/>
        </w:rPr>
        <w:t xml:space="preserve"> sa vylučuje močom, z toho menej ako 10 % liečiva v nezmenenej forme. Malé množstvá sú vylučované pečeňou. Polčas eliminácie je približne 8 (6 - 10) hodín.</w:t>
      </w:r>
    </w:p>
    <w:p w14:paraId="1EB5305F" w14:textId="77777777" w:rsidR="008A742D" w:rsidRPr="00412889" w:rsidRDefault="008A742D">
      <w:pPr>
        <w:pStyle w:val="Zarkazkladnhotextu"/>
        <w:ind w:left="0"/>
        <w:jc w:val="left"/>
        <w:rPr>
          <w:i/>
          <w:sz w:val="22"/>
          <w:szCs w:val="22"/>
          <w:lang w:val="sk-SK"/>
        </w:rPr>
      </w:pPr>
    </w:p>
    <w:p w14:paraId="280D763E" w14:textId="77777777" w:rsidR="008A742D" w:rsidRPr="00412889" w:rsidRDefault="001F536F">
      <w:pPr>
        <w:rPr>
          <w:b/>
          <w:bCs/>
          <w:i/>
          <w:szCs w:val="22"/>
          <w:lang w:val="sk-SK"/>
        </w:rPr>
      </w:pPr>
      <w:r w:rsidRPr="001F536F">
        <w:rPr>
          <w:b/>
          <w:bCs/>
          <w:i/>
          <w:szCs w:val="22"/>
          <w:lang w:val="sk-SK"/>
        </w:rPr>
        <w:t>Vlastnosti u osobitných skupín pacientov:</w:t>
      </w:r>
    </w:p>
    <w:p w14:paraId="277DF82D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Renálna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insuficiencia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spomaľuje vylučovanie len </w:t>
      </w:r>
      <w:r w:rsidR="006275CB">
        <w:rPr>
          <w:szCs w:val="22"/>
          <w:lang w:val="sk-SK"/>
        </w:rPr>
        <w:t>v </w:t>
      </w:r>
      <w:r w:rsidRPr="001F536F">
        <w:rPr>
          <w:szCs w:val="22"/>
          <w:lang w:val="sk-SK"/>
        </w:rPr>
        <w:t>nevýznamne</w:t>
      </w:r>
      <w:r w:rsidR="006275CB">
        <w:rPr>
          <w:szCs w:val="22"/>
          <w:lang w:val="sk-SK"/>
        </w:rPr>
        <w:t>j miere</w:t>
      </w:r>
      <w:r w:rsidRPr="001F536F">
        <w:rPr>
          <w:szCs w:val="22"/>
          <w:lang w:val="sk-SK"/>
        </w:rPr>
        <w:t>. Eliminačný polčas metronidazolu ostáva nezmenený aj v prípade renálneho zlyhania, avšak u takýchto pacientov dochádza k retencii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metabolitov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metronidazolu. Klinický význam tohto zistenia v súčasnosti nie je známy.</w:t>
      </w:r>
    </w:p>
    <w:p w14:paraId="26A68D0C" w14:textId="77777777" w:rsidR="0066607C" w:rsidRPr="00412889" w:rsidRDefault="0066607C">
      <w:pPr>
        <w:rPr>
          <w:szCs w:val="22"/>
          <w:lang w:val="sk-SK"/>
        </w:rPr>
      </w:pPr>
    </w:p>
    <w:p w14:paraId="5E7DCFC3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V prípade závažných pečeňových ochorení je potrebné počítať s oneskoreným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klírensom plazmy a predĺženým polčasom rozpadu v sére (až na 30 hodín). </w:t>
      </w:r>
    </w:p>
    <w:p w14:paraId="1B9853D8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3DD53D71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5.3</w:t>
      </w:r>
      <w:r w:rsidRPr="001F536F">
        <w:rPr>
          <w:lang w:val="sk-SK"/>
        </w:rPr>
        <w:tab/>
        <w:t>Predklinické údaje o bezpečnosti</w:t>
      </w:r>
    </w:p>
    <w:p w14:paraId="38A2E5D4" w14:textId="77777777" w:rsidR="008A742D" w:rsidRPr="00412889" w:rsidRDefault="008A742D">
      <w:pPr>
        <w:rPr>
          <w:i/>
          <w:szCs w:val="22"/>
          <w:lang w:val="sk-SK"/>
        </w:rPr>
      </w:pPr>
    </w:p>
    <w:p w14:paraId="5C57BE52" w14:textId="77777777" w:rsidR="009F7F8F" w:rsidRDefault="001F536F">
      <w:pPr>
        <w:keepNext/>
        <w:rPr>
          <w:b/>
          <w:bCs/>
          <w:szCs w:val="22"/>
          <w:lang w:val="sk-SK"/>
        </w:rPr>
      </w:pPr>
      <w:r w:rsidRPr="001F536F">
        <w:rPr>
          <w:b/>
          <w:bCs/>
          <w:i/>
          <w:szCs w:val="22"/>
          <w:lang w:val="sk-SK"/>
        </w:rPr>
        <w:lastRenderedPageBreak/>
        <w:t>Toxicita po opakovanej dávke</w:t>
      </w:r>
    </w:p>
    <w:p w14:paraId="2D2D347F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Po opakovanom podávaní u psov boli pozorované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ataxia 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tremor a</w:t>
      </w:r>
      <w:r w:rsidR="00471A1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u opíc bolo pozorované zvýšenie hepatocelulárnej degenerácie závislé od dávky počas 12-mesačnej štúdie. </w:t>
      </w:r>
    </w:p>
    <w:p w14:paraId="3A43A469" w14:textId="77777777" w:rsidR="008A742D" w:rsidRPr="00412889" w:rsidRDefault="008A742D">
      <w:pPr>
        <w:rPr>
          <w:i/>
          <w:szCs w:val="22"/>
          <w:lang w:val="sk-SK"/>
        </w:rPr>
      </w:pPr>
    </w:p>
    <w:p w14:paraId="5007136E" w14:textId="77777777" w:rsidR="008A742D" w:rsidRPr="00412889" w:rsidRDefault="001F536F">
      <w:pPr>
        <w:rPr>
          <w:b/>
          <w:bCs/>
          <w:szCs w:val="22"/>
          <w:lang w:val="sk-SK"/>
        </w:rPr>
      </w:pPr>
      <w:r w:rsidRPr="001F536F">
        <w:rPr>
          <w:b/>
          <w:bCs/>
          <w:i/>
          <w:szCs w:val="22"/>
          <w:lang w:val="sk-SK"/>
        </w:rPr>
        <w:t>Mutagénny a karcinogénny potenciál</w:t>
      </w:r>
    </w:p>
    <w:p w14:paraId="3A814125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Metronidazol má mutagénny účinok v baktériách po nitroredukcii, ale nemal mutagénny účinok v bunkách cicavcov</w:t>
      </w:r>
      <w:r w:rsidRPr="001F536F">
        <w:rPr>
          <w:i/>
          <w:szCs w:val="22"/>
          <w:lang w:val="sk-SK"/>
        </w:rPr>
        <w:t xml:space="preserve"> in vitro</w:t>
      </w:r>
      <w:r w:rsidRPr="001F536F">
        <w:rPr>
          <w:szCs w:val="22"/>
          <w:lang w:val="sk-SK"/>
        </w:rPr>
        <w:t xml:space="preserve"> a </w:t>
      </w:r>
      <w:r w:rsidRPr="001F536F">
        <w:rPr>
          <w:i/>
          <w:szCs w:val="22"/>
          <w:lang w:val="sk-SK"/>
        </w:rPr>
        <w:t>in vivo</w:t>
      </w:r>
      <w:r w:rsidRPr="001F536F">
        <w:rPr>
          <w:szCs w:val="22"/>
          <w:lang w:val="sk-SK"/>
        </w:rPr>
        <w:t>. Navyše, v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lymfocytoch pacientov liečených metronidazolom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nebolo pozorované poškodenie DNA.</w:t>
      </w:r>
    </w:p>
    <w:p w14:paraId="0BAD0EA6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Sú k dispozícii výsledky, ktoré naznačujú </w:t>
      </w:r>
      <w:r w:rsidRPr="005A16EC">
        <w:rPr>
          <w:szCs w:val="22"/>
          <w:lang w:val="sk-SK"/>
        </w:rPr>
        <w:t>karcinogénny</w:t>
      </w:r>
      <w:r w:rsidRPr="001F536F">
        <w:rPr>
          <w:szCs w:val="22"/>
          <w:lang w:val="sk-SK"/>
        </w:rPr>
        <w:t xml:space="preserve"> účinok metronidazolu</w:t>
      </w:r>
      <w:r w:rsidR="009B2718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u myší a potkanov. Incidencia pľúcnych tumorov u myší bola zvýšená (po perorálnom podávaní 3,1-násobku maximálnej odporúčanej dávky metronidazolu </w:t>
      </w:r>
      <w:r w:rsidR="009B2718">
        <w:rPr>
          <w:szCs w:val="22"/>
          <w:lang w:val="sk-SK"/>
        </w:rPr>
        <w:t xml:space="preserve">u ľudí </w:t>
      </w:r>
      <w:r w:rsidRPr="001F536F">
        <w:rPr>
          <w:szCs w:val="22"/>
          <w:lang w:val="sk-SK"/>
        </w:rPr>
        <w:t>1500 mg/deň), ale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nič nenasvedčuje tomu, že príčinou bol genotoxický mechanizmus, pretože u transgénnych myší nebola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po vysokých dávkach metronidazolu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pozorovaná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zmena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počtu mutácií v rôznych orgánoch.</w:t>
      </w:r>
    </w:p>
    <w:p w14:paraId="0917A07E" w14:textId="77777777" w:rsidR="008A742D" w:rsidRPr="00412889" w:rsidRDefault="008A742D">
      <w:pPr>
        <w:rPr>
          <w:i/>
          <w:szCs w:val="22"/>
          <w:lang w:val="sk-SK"/>
        </w:rPr>
      </w:pPr>
    </w:p>
    <w:p w14:paraId="6A74BF5D" w14:textId="77777777" w:rsidR="008A742D" w:rsidRPr="00412889" w:rsidRDefault="001F536F">
      <w:pPr>
        <w:rPr>
          <w:b/>
          <w:bCs/>
          <w:szCs w:val="22"/>
          <w:lang w:val="sk-SK"/>
        </w:rPr>
      </w:pPr>
      <w:r w:rsidRPr="001F536F">
        <w:rPr>
          <w:b/>
          <w:bCs/>
          <w:i/>
          <w:szCs w:val="22"/>
          <w:lang w:val="sk-SK"/>
        </w:rPr>
        <w:t>Reprodukčná toxicita</w:t>
      </w:r>
    </w:p>
    <w:p w14:paraId="1BDE3877" w14:textId="77777777" w:rsidR="008A742D" w:rsidRPr="00412889" w:rsidRDefault="001F536F">
      <w:pPr>
        <w:rPr>
          <w:lang w:val="sk-SK"/>
        </w:rPr>
      </w:pPr>
      <w:r w:rsidRPr="001F536F">
        <w:rPr>
          <w:lang w:val="sk-SK"/>
        </w:rPr>
        <w:t>U potkanov a králikov</w:t>
      </w:r>
      <w:r w:rsidR="008811FB">
        <w:rPr>
          <w:lang w:val="sk-SK"/>
        </w:rPr>
        <w:t xml:space="preserve"> </w:t>
      </w:r>
      <w:r w:rsidRPr="001F536F">
        <w:rPr>
          <w:lang w:val="sk-SK"/>
        </w:rPr>
        <w:t>neboli pozorované žiadne teratogénne ani embryotoxické účinky.</w:t>
      </w:r>
    </w:p>
    <w:p w14:paraId="3728F35D" w14:textId="77777777" w:rsidR="008A742D" w:rsidRPr="00412889" w:rsidRDefault="001F536F">
      <w:pPr>
        <w:rPr>
          <w:lang w:val="sk-SK"/>
        </w:rPr>
      </w:pPr>
      <w:r w:rsidRPr="001F536F">
        <w:rPr>
          <w:lang w:val="sk-SK"/>
        </w:rPr>
        <w:t>Po opakovanom podávaní metronidazolu 26 - 80 týždňov potkanom bola dystrofia semenníkov a prostaty pozorovaná len pri podávaní vysokých dávok (14</w:t>
      </w:r>
      <w:r w:rsidRPr="001F536F">
        <w:rPr>
          <w:szCs w:val="22"/>
          <w:lang w:val="sk-SK"/>
        </w:rPr>
        <w:t xml:space="preserve">,2 až 28,5-násobok maximálnej odporúčanej dávky metronidazolu </w:t>
      </w:r>
      <w:r w:rsidR="009B2718">
        <w:rPr>
          <w:szCs w:val="22"/>
          <w:lang w:val="sk-SK"/>
        </w:rPr>
        <w:t xml:space="preserve">u ľudí </w:t>
      </w:r>
      <w:r w:rsidRPr="001F536F">
        <w:rPr>
          <w:szCs w:val="22"/>
          <w:lang w:val="sk-SK"/>
        </w:rPr>
        <w:t>1500 mg/deň</w:t>
      </w:r>
      <w:r w:rsidRPr="001F536F">
        <w:rPr>
          <w:lang w:val="sk-SK"/>
        </w:rPr>
        <w:t>).</w:t>
      </w:r>
    </w:p>
    <w:p w14:paraId="390D1139" w14:textId="77777777" w:rsidR="008A742D" w:rsidRPr="00412889" w:rsidRDefault="008A742D">
      <w:pPr>
        <w:rPr>
          <w:szCs w:val="22"/>
          <w:lang w:val="sk-SK"/>
        </w:rPr>
      </w:pPr>
    </w:p>
    <w:p w14:paraId="455A9AC3" w14:textId="77777777" w:rsidR="008A742D" w:rsidRPr="00412889" w:rsidRDefault="008A742D">
      <w:pPr>
        <w:rPr>
          <w:szCs w:val="22"/>
          <w:lang w:val="sk-SK"/>
        </w:rPr>
      </w:pPr>
    </w:p>
    <w:p w14:paraId="3FF009A0" w14:textId="77777777" w:rsidR="008A742D" w:rsidRPr="00412889" w:rsidRDefault="001F536F">
      <w:pPr>
        <w:ind w:left="567" w:hanging="567"/>
        <w:rPr>
          <w:b/>
          <w:szCs w:val="22"/>
          <w:lang w:val="sk-SK"/>
        </w:rPr>
      </w:pPr>
      <w:r w:rsidRPr="001F536F">
        <w:rPr>
          <w:b/>
          <w:szCs w:val="22"/>
          <w:lang w:val="sk-SK"/>
        </w:rPr>
        <w:t>6.</w:t>
      </w:r>
      <w:r w:rsidRPr="001F536F">
        <w:rPr>
          <w:b/>
          <w:szCs w:val="22"/>
          <w:lang w:val="sk-SK"/>
        </w:rPr>
        <w:tab/>
        <w:t>FARMACEUTICKÉ INFORMÁCIE</w:t>
      </w:r>
    </w:p>
    <w:p w14:paraId="76AE1058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0EB5FC47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6.1</w:t>
      </w:r>
      <w:r w:rsidRPr="001F536F">
        <w:rPr>
          <w:lang w:val="sk-SK"/>
        </w:rPr>
        <w:tab/>
        <w:t>Zoznam pomocných látok</w:t>
      </w:r>
    </w:p>
    <w:p w14:paraId="769BF074" w14:textId="77777777" w:rsidR="008A742D" w:rsidRPr="00412889" w:rsidRDefault="008A742D">
      <w:pPr>
        <w:rPr>
          <w:szCs w:val="22"/>
          <w:lang w:val="sk-SK"/>
        </w:rPr>
      </w:pPr>
    </w:p>
    <w:p w14:paraId="576488FA" w14:textId="77777777" w:rsidR="00564BB3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dodekahydrát</w:t>
      </w:r>
      <w:r w:rsidR="00986620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 xml:space="preserve">hydrogenfosforečnanu sodného </w:t>
      </w:r>
      <w:r w:rsidRPr="001F536F">
        <w:rPr>
          <w:szCs w:val="22"/>
          <w:lang w:val="sk-SK"/>
        </w:rPr>
        <w:br/>
        <w:t>monohydrát kyseliny citrónovej</w:t>
      </w:r>
      <w:r w:rsidRPr="001F536F">
        <w:rPr>
          <w:szCs w:val="22"/>
          <w:lang w:val="sk-SK"/>
        </w:rPr>
        <w:br/>
        <w:t xml:space="preserve">chlorid sodný </w:t>
      </w:r>
    </w:p>
    <w:p w14:paraId="46E7BBF5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voda na injekci</w:t>
      </w:r>
      <w:r w:rsidR="009B2718">
        <w:rPr>
          <w:szCs w:val="22"/>
          <w:lang w:val="sk-SK"/>
        </w:rPr>
        <w:t>e</w:t>
      </w:r>
    </w:p>
    <w:p w14:paraId="43227760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1C4A81C2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6.2</w:t>
      </w:r>
      <w:r w:rsidRPr="001F536F">
        <w:rPr>
          <w:lang w:val="sk-SK"/>
        </w:rPr>
        <w:tab/>
        <w:t>Inkompatibility</w:t>
      </w:r>
    </w:p>
    <w:p w14:paraId="7160A7D2" w14:textId="77777777" w:rsidR="008A742D" w:rsidRPr="00412889" w:rsidRDefault="008A742D">
      <w:pPr>
        <w:rPr>
          <w:szCs w:val="22"/>
          <w:lang w:val="sk-SK"/>
        </w:rPr>
      </w:pPr>
    </w:p>
    <w:p w14:paraId="241313E9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lang w:val="sk-SK"/>
        </w:rPr>
        <w:t>Nevykonali sa štúdie kompatibility, preto sa tento liek nesmie miešať s inými liekmi</w:t>
      </w:r>
      <w:r w:rsidRPr="001F536F">
        <w:rPr>
          <w:szCs w:val="22"/>
          <w:lang w:val="sk-SK"/>
        </w:rPr>
        <w:t>.</w:t>
      </w:r>
    </w:p>
    <w:p w14:paraId="0AEF856C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21DE476B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6.3</w:t>
      </w:r>
      <w:r w:rsidRPr="001F536F">
        <w:rPr>
          <w:lang w:val="sk-SK"/>
        </w:rPr>
        <w:tab/>
        <w:t>Čas použiteľnosti</w:t>
      </w:r>
    </w:p>
    <w:p w14:paraId="67669CC6" w14:textId="77777777" w:rsidR="008A742D" w:rsidRPr="00412889" w:rsidRDefault="008A742D">
      <w:pPr>
        <w:pStyle w:val="Nadpis3"/>
        <w:spacing w:before="0"/>
        <w:rPr>
          <w:lang w:val="sk-SK"/>
        </w:rPr>
      </w:pPr>
    </w:p>
    <w:p w14:paraId="66994E04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30 mesiacov.</w:t>
      </w:r>
    </w:p>
    <w:p w14:paraId="2252D37C" w14:textId="77777777" w:rsidR="00CE0422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Použite okamžite po prvom otvorení.</w:t>
      </w:r>
    </w:p>
    <w:p w14:paraId="5E880254" w14:textId="77777777" w:rsidR="008A742D" w:rsidRPr="00412889" w:rsidRDefault="008A742D">
      <w:pPr>
        <w:pStyle w:val="Nadpis3"/>
        <w:spacing w:before="0"/>
        <w:rPr>
          <w:lang w:val="sk-SK" w:eastAsia="de-DE"/>
        </w:rPr>
      </w:pPr>
    </w:p>
    <w:p w14:paraId="22CE38E5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Z mikrobiologického hľadiska sa má liek použiť okamžite. Ak sa nepoužijú okamžite, za čas použiteľnosti a podmienky uchovávania pred použitím zodpovedá používateľ a za normálnych okolností by nemali presiahnuť 24 hodín pri teplote 2 až 8</w:t>
      </w:r>
      <w:r w:rsidRPr="001F536F">
        <w:rPr>
          <w:color w:val="000000"/>
          <w:lang w:val="sk-SK"/>
        </w:rPr>
        <w:t>°C</w:t>
      </w:r>
      <w:r w:rsidRPr="001F536F">
        <w:rPr>
          <w:szCs w:val="22"/>
          <w:lang w:val="sk-SK"/>
        </w:rPr>
        <w:t xml:space="preserve">, pokiaľ riedenie neprebehlo za kontrolovaných a validovaných aseptických podmienok. </w:t>
      </w:r>
    </w:p>
    <w:p w14:paraId="5C695DA4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513A3C1C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6.4</w:t>
      </w:r>
      <w:r w:rsidRPr="001F536F">
        <w:rPr>
          <w:lang w:val="sk-SK"/>
        </w:rPr>
        <w:tab/>
        <w:t>Špeciálne upozornenia na uchovávanie</w:t>
      </w:r>
    </w:p>
    <w:p w14:paraId="4220EEB7" w14:textId="77777777" w:rsidR="008A742D" w:rsidRPr="00412889" w:rsidRDefault="008A742D">
      <w:pPr>
        <w:rPr>
          <w:szCs w:val="22"/>
          <w:lang w:val="sk-SK"/>
        </w:rPr>
      </w:pPr>
    </w:p>
    <w:p w14:paraId="0472B594" w14:textId="77777777" w:rsidR="008A742D" w:rsidRPr="00412889" w:rsidRDefault="001F536F">
      <w:pPr>
        <w:rPr>
          <w:szCs w:val="22"/>
          <w:lang w:val="sk-SK"/>
        </w:rPr>
      </w:pPr>
      <w:bookmarkStart w:id="12" w:name="_Hlk523218031"/>
      <w:r w:rsidRPr="001F536F">
        <w:rPr>
          <w:szCs w:val="22"/>
          <w:lang w:val="sk-SK"/>
        </w:rPr>
        <w:t>Tento liek nevyžaduje žiadne zvláštne podmienky na uchovávanie</w:t>
      </w:r>
      <w:bookmarkEnd w:id="12"/>
      <w:r w:rsidRPr="001F536F">
        <w:rPr>
          <w:szCs w:val="22"/>
          <w:lang w:val="sk-SK"/>
        </w:rPr>
        <w:t>.</w:t>
      </w:r>
    </w:p>
    <w:p w14:paraId="3FACB31A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5F5FB918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6.5</w:t>
      </w:r>
      <w:r w:rsidRPr="001F536F">
        <w:rPr>
          <w:lang w:val="sk-SK"/>
        </w:rPr>
        <w:tab/>
        <w:t>Druh obalu a obsah balenia</w:t>
      </w:r>
    </w:p>
    <w:p w14:paraId="764CC6F3" w14:textId="77777777" w:rsidR="008A742D" w:rsidRPr="00412889" w:rsidRDefault="008A742D">
      <w:pPr>
        <w:keepNext/>
        <w:rPr>
          <w:szCs w:val="22"/>
          <w:lang w:val="sk-SK"/>
        </w:rPr>
      </w:pPr>
    </w:p>
    <w:p w14:paraId="7A79546E" w14:textId="3B03B0DC" w:rsidR="004542DD" w:rsidRPr="00412889" w:rsidRDefault="0014497C">
      <w:pPr>
        <w:keepNext/>
        <w:rPr>
          <w:szCs w:val="22"/>
          <w:lang w:val="sk-SK"/>
        </w:rPr>
      </w:pPr>
      <w:r w:rsidRPr="0014497C">
        <w:rPr>
          <w:szCs w:val="22"/>
          <w:lang w:val="sk-SK"/>
        </w:rPr>
        <w:t xml:space="preserve">100 ml polypropylénová fľaša </w:t>
      </w:r>
      <w:r w:rsidR="001F536F" w:rsidRPr="0014497C">
        <w:rPr>
          <w:szCs w:val="22"/>
          <w:lang w:val="sk-SK"/>
        </w:rPr>
        <w:t>vyrobená, plnená a utesnená metód</w:t>
      </w:r>
      <w:r>
        <w:rPr>
          <w:szCs w:val="22"/>
          <w:lang w:val="sk-SK"/>
        </w:rPr>
        <w:t>ou</w:t>
      </w:r>
      <w:r w:rsidR="001F536F" w:rsidRPr="0014497C">
        <w:rPr>
          <w:szCs w:val="22"/>
          <w:lang w:val="sk-SK"/>
        </w:rPr>
        <w:t xml:space="preserve"> blow-fill-seal</w:t>
      </w:r>
      <w:r>
        <w:rPr>
          <w:szCs w:val="22"/>
          <w:lang w:val="sk-SK"/>
        </w:rPr>
        <w:t>,</w:t>
      </w:r>
      <w:bookmarkStart w:id="13" w:name="_Hlk523219122"/>
      <w:r w:rsidR="001F536F" w:rsidRPr="0014497C">
        <w:rPr>
          <w:szCs w:val="22"/>
          <w:lang w:val="sk-SK"/>
        </w:rPr>
        <w:t xml:space="preserve"> uzatvorená tvarovaným plastovým </w:t>
      </w:r>
      <w:r>
        <w:rPr>
          <w:szCs w:val="22"/>
          <w:lang w:val="sk-SK"/>
        </w:rPr>
        <w:t>viečkom</w:t>
      </w:r>
      <w:r w:rsidR="001F536F" w:rsidRPr="0014497C">
        <w:rPr>
          <w:szCs w:val="22"/>
          <w:lang w:val="sk-SK"/>
        </w:rPr>
        <w:t xml:space="preserve"> s gumovým tesnením a ťažným krúžkom</w:t>
      </w:r>
      <w:r w:rsidR="006723FC">
        <w:rPr>
          <w:szCs w:val="22"/>
          <w:lang w:val="sk-SK"/>
        </w:rPr>
        <w:t xml:space="preserve"> </w:t>
      </w:r>
      <w:r w:rsidR="006723FC" w:rsidRPr="0008316E">
        <w:rPr>
          <w:szCs w:val="22"/>
          <w:lang w:val="sk-SK"/>
        </w:rPr>
        <w:t xml:space="preserve">alebo plastovým </w:t>
      </w:r>
      <w:bookmarkStart w:id="14" w:name="_Hlk37791005"/>
      <w:r w:rsidR="000218A5">
        <w:rPr>
          <w:szCs w:val="22"/>
          <w:lang w:val="sk-SK"/>
        </w:rPr>
        <w:t xml:space="preserve">viečkom </w:t>
      </w:r>
      <w:r w:rsidR="00151DAF">
        <w:rPr>
          <w:szCs w:val="22"/>
          <w:lang w:val="sk-SK"/>
        </w:rPr>
        <w:t>so vsadenými elastomérmi</w:t>
      </w:r>
      <w:r w:rsidR="006723FC" w:rsidRPr="0008316E">
        <w:rPr>
          <w:szCs w:val="22"/>
          <w:lang w:val="sk-SK"/>
        </w:rPr>
        <w:t xml:space="preserve"> s dvojitým </w:t>
      </w:r>
      <w:r w:rsidR="006723FC" w:rsidRPr="009E55F6">
        <w:rPr>
          <w:szCs w:val="22"/>
          <w:lang w:val="sk-SK"/>
        </w:rPr>
        <w:t>ťažným</w:t>
      </w:r>
      <w:r w:rsidR="006723FC" w:rsidRPr="0008316E">
        <w:rPr>
          <w:szCs w:val="22"/>
          <w:lang w:val="sk-SK"/>
        </w:rPr>
        <w:t xml:space="preserve"> krúžkom</w:t>
      </w:r>
      <w:r w:rsidR="000218A5">
        <w:rPr>
          <w:szCs w:val="22"/>
          <w:lang w:val="sk-SK"/>
        </w:rPr>
        <w:t xml:space="preserve"> (twin port)</w:t>
      </w:r>
      <w:r w:rsidR="001F536F" w:rsidRPr="0014497C">
        <w:rPr>
          <w:szCs w:val="22"/>
          <w:lang w:val="sk-SK"/>
        </w:rPr>
        <w:t>.</w:t>
      </w:r>
      <w:bookmarkEnd w:id="13"/>
      <w:bookmarkEnd w:id="14"/>
    </w:p>
    <w:p w14:paraId="1BA8FF6B" w14:textId="77777777" w:rsidR="004542DD" w:rsidRPr="00412889" w:rsidRDefault="004542DD">
      <w:pPr>
        <w:keepNext/>
        <w:rPr>
          <w:szCs w:val="22"/>
          <w:lang w:val="sk-SK"/>
        </w:rPr>
      </w:pPr>
    </w:p>
    <w:p w14:paraId="3D5B5E4C" w14:textId="77777777" w:rsidR="009F7F8F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Balenia po 10, 20 alebo 24 fliaš.</w:t>
      </w:r>
    </w:p>
    <w:p w14:paraId="753D6CD0" w14:textId="77777777" w:rsidR="008A742D" w:rsidRPr="00412889" w:rsidRDefault="008A742D">
      <w:pPr>
        <w:rPr>
          <w:szCs w:val="22"/>
          <w:lang w:val="sk-SK"/>
        </w:rPr>
      </w:pPr>
    </w:p>
    <w:p w14:paraId="50845448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Na trh nemusia byť uvedené všetky veľkosti balenia.</w:t>
      </w:r>
    </w:p>
    <w:p w14:paraId="7FA23D92" w14:textId="77777777" w:rsidR="008A742D" w:rsidRPr="00412889" w:rsidRDefault="008A742D">
      <w:pPr>
        <w:pStyle w:val="Nadpis2"/>
        <w:spacing w:before="0"/>
        <w:rPr>
          <w:lang w:val="sk-SK"/>
        </w:rPr>
      </w:pPr>
    </w:p>
    <w:p w14:paraId="0E210E11" w14:textId="77777777" w:rsidR="008A742D" w:rsidRPr="00412889" w:rsidRDefault="001F536F">
      <w:pPr>
        <w:pStyle w:val="Nadpis2"/>
        <w:spacing w:before="0"/>
        <w:rPr>
          <w:lang w:val="sk-SK"/>
        </w:rPr>
      </w:pPr>
      <w:r w:rsidRPr="001F536F">
        <w:rPr>
          <w:lang w:val="sk-SK"/>
        </w:rPr>
        <w:t>6.6</w:t>
      </w:r>
      <w:r w:rsidRPr="001F536F">
        <w:rPr>
          <w:lang w:val="sk-SK"/>
        </w:rPr>
        <w:tab/>
        <w:t>Špeciálne opatrenia na likvidáciu a iné zaobchádzanie s liekom</w:t>
      </w:r>
    </w:p>
    <w:p w14:paraId="252557C0" w14:textId="77777777" w:rsidR="008A742D" w:rsidRPr="00412889" w:rsidRDefault="008A742D">
      <w:pPr>
        <w:rPr>
          <w:szCs w:val="22"/>
          <w:lang w:val="sk-SK"/>
        </w:rPr>
      </w:pPr>
    </w:p>
    <w:p w14:paraId="24A435B8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szCs w:val="22"/>
          <w:lang w:val="sk-SK"/>
        </w:rPr>
        <w:t>Len na jednorazové použitie. Všetok nepoužitý roztok zlikvidujte. Liek sa nesmie použiť v prípade, ak fľaša</w:t>
      </w:r>
      <w:r w:rsidR="008811FB">
        <w:rPr>
          <w:szCs w:val="22"/>
          <w:lang w:val="sk-SK"/>
        </w:rPr>
        <w:t xml:space="preserve"> </w:t>
      </w:r>
      <w:r w:rsidRPr="001F536F">
        <w:rPr>
          <w:szCs w:val="22"/>
          <w:lang w:val="sk-SK"/>
        </w:rPr>
        <w:t>netesní alebo roztok nie je číry.</w:t>
      </w:r>
    </w:p>
    <w:p w14:paraId="4AADACEF" w14:textId="77777777" w:rsidR="008A742D" w:rsidRPr="00412889" w:rsidRDefault="008A742D">
      <w:pPr>
        <w:rPr>
          <w:szCs w:val="22"/>
          <w:lang w:val="sk-SK"/>
        </w:rPr>
      </w:pPr>
    </w:p>
    <w:p w14:paraId="03D0258B" w14:textId="77777777" w:rsidR="008A742D" w:rsidRPr="00412889" w:rsidRDefault="001F536F">
      <w:pPr>
        <w:rPr>
          <w:szCs w:val="22"/>
          <w:lang w:val="sk-SK"/>
        </w:rPr>
      </w:pPr>
      <w:r w:rsidRPr="001F536F">
        <w:rPr>
          <w:noProof/>
          <w:szCs w:val="22"/>
          <w:lang w:val="sk-SK"/>
        </w:rPr>
        <w:t>Všetok nepoužitý liek alebo odpad vzniknutý z lieku sa má zlikvidovať v súlade s národnými požiadavkami</w:t>
      </w:r>
      <w:r w:rsidRPr="001F536F">
        <w:rPr>
          <w:szCs w:val="22"/>
          <w:lang w:val="sk-SK"/>
        </w:rPr>
        <w:t xml:space="preserve">. </w:t>
      </w:r>
    </w:p>
    <w:p w14:paraId="633CFB5E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358435FE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2C1819E1" w14:textId="77777777"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7.</w:t>
      </w:r>
      <w:r w:rsidRPr="001F536F">
        <w:rPr>
          <w:lang w:val="sk-SK"/>
        </w:rPr>
        <w:tab/>
        <w:t>DRŽITEĽ ROZHODNUTIA O REGISTRÁCII</w:t>
      </w:r>
    </w:p>
    <w:p w14:paraId="33A5A6F4" w14:textId="77777777" w:rsidR="008A742D" w:rsidRPr="00412889" w:rsidRDefault="008A742D">
      <w:pPr>
        <w:rPr>
          <w:szCs w:val="22"/>
          <w:lang w:val="sk-SK"/>
        </w:rPr>
      </w:pPr>
    </w:p>
    <w:p w14:paraId="7502ACCA" w14:textId="77777777" w:rsidR="000F3D02" w:rsidRPr="000F3D02" w:rsidRDefault="000F3D02" w:rsidP="000F3D02">
      <w:pPr>
        <w:rPr>
          <w:noProof/>
          <w:szCs w:val="22"/>
          <w:lang w:val="sk-SK"/>
        </w:rPr>
      </w:pPr>
      <w:r w:rsidRPr="000F3D02">
        <w:rPr>
          <w:noProof/>
          <w:szCs w:val="22"/>
          <w:lang w:val="sk-SK"/>
        </w:rPr>
        <w:t xml:space="preserve">Noridem Enterprises Ltd, Makariou &amp; Evagorou 1, Mitsi Building 3, Office 115, </w:t>
      </w:r>
      <w:r w:rsidR="009B2718">
        <w:rPr>
          <w:noProof/>
          <w:szCs w:val="22"/>
          <w:lang w:val="sk-SK"/>
        </w:rPr>
        <w:t>Nikózia</w:t>
      </w:r>
      <w:r w:rsidRPr="000F3D02">
        <w:rPr>
          <w:noProof/>
          <w:szCs w:val="22"/>
          <w:lang w:val="sk-SK"/>
        </w:rPr>
        <w:t xml:space="preserve"> 1065, Cyprus</w:t>
      </w:r>
    </w:p>
    <w:p w14:paraId="02ABAC89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0F06ADA8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0E40CE1E" w14:textId="77777777"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8.</w:t>
      </w:r>
      <w:r w:rsidRPr="001F536F">
        <w:rPr>
          <w:lang w:val="sk-SK"/>
        </w:rPr>
        <w:tab/>
        <w:t>REGISTRAČNÉ ČÍSLo</w:t>
      </w:r>
    </w:p>
    <w:p w14:paraId="67301556" w14:textId="77777777" w:rsidR="008A742D" w:rsidRPr="0050339C" w:rsidRDefault="008A742D">
      <w:pPr>
        <w:rPr>
          <w:szCs w:val="22"/>
          <w:lang w:val="sk-SK"/>
        </w:rPr>
      </w:pPr>
    </w:p>
    <w:p w14:paraId="3AAF662D" w14:textId="77777777" w:rsidR="008A742D" w:rsidRPr="0050339C" w:rsidRDefault="0050339C">
      <w:pPr>
        <w:pStyle w:val="Nadpis1"/>
        <w:spacing w:before="0"/>
        <w:rPr>
          <w:b w:val="0"/>
          <w:lang w:val="sk-SK"/>
        </w:rPr>
      </w:pPr>
      <w:r w:rsidRPr="0050339C">
        <w:rPr>
          <w:b w:val="0"/>
          <w:lang w:val="sk-SK"/>
        </w:rPr>
        <w:t>42/0001/19-S</w:t>
      </w:r>
    </w:p>
    <w:p w14:paraId="75EF8F55" w14:textId="77777777" w:rsidR="0050339C" w:rsidRPr="0050339C" w:rsidRDefault="0050339C" w:rsidP="0050339C">
      <w:pPr>
        <w:rPr>
          <w:lang w:val="sk-SK"/>
        </w:rPr>
      </w:pPr>
    </w:p>
    <w:p w14:paraId="025A988F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689B4FFB" w14:textId="77777777"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9.</w:t>
      </w:r>
      <w:r w:rsidRPr="001F536F">
        <w:rPr>
          <w:lang w:val="sk-SK"/>
        </w:rPr>
        <w:tab/>
        <w:t>DÁTUM PRVEJ REGISTRÁCIE/PREDĹŽENIA REGISTRÁCIE</w:t>
      </w:r>
    </w:p>
    <w:p w14:paraId="29584C92" w14:textId="77777777" w:rsidR="008A742D" w:rsidRPr="00412889" w:rsidRDefault="008A742D">
      <w:pPr>
        <w:rPr>
          <w:szCs w:val="22"/>
          <w:lang w:val="sk-SK"/>
        </w:rPr>
      </w:pPr>
    </w:p>
    <w:p w14:paraId="3B7E353C" w14:textId="77777777" w:rsidR="006F6F11" w:rsidRPr="00412889" w:rsidRDefault="001F536F" w:rsidP="006F6F11">
      <w:pPr>
        <w:rPr>
          <w:szCs w:val="22"/>
          <w:lang w:val="sk-SK"/>
        </w:rPr>
      </w:pPr>
      <w:r w:rsidRPr="001F536F">
        <w:rPr>
          <w:szCs w:val="22"/>
          <w:lang w:val="sk-SK"/>
        </w:rPr>
        <w:t xml:space="preserve">Dátum prvej registrácie: </w:t>
      </w:r>
      <w:r w:rsidR="009321B3">
        <w:rPr>
          <w:szCs w:val="22"/>
          <w:lang w:val="sk-SK"/>
        </w:rPr>
        <w:t>18/01/2019</w:t>
      </w:r>
    </w:p>
    <w:p w14:paraId="73CD2179" w14:textId="77777777" w:rsidR="008A742D" w:rsidRPr="00412889" w:rsidRDefault="001F536F" w:rsidP="005226BC">
      <w:pPr>
        <w:rPr>
          <w:szCs w:val="22"/>
          <w:lang w:val="sk-SK"/>
        </w:rPr>
      </w:pPr>
      <w:r w:rsidRPr="001F536F">
        <w:rPr>
          <w:szCs w:val="22"/>
          <w:lang w:val="sk-SK"/>
        </w:rPr>
        <w:t>Dátum posledného predĺženia registrácie:</w:t>
      </w:r>
    </w:p>
    <w:p w14:paraId="1F8A27A1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121F0AF5" w14:textId="77777777" w:rsidR="008A742D" w:rsidRPr="00412889" w:rsidRDefault="008A742D">
      <w:pPr>
        <w:pStyle w:val="Nadpis1"/>
        <w:spacing w:before="0"/>
        <w:rPr>
          <w:lang w:val="sk-SK"/>
        </w:rPr>
      </w:pPr>
    </w:p>
    <w:p w14:paraId="4BF406B6" w14:textId="77777777" w:rsidR="008A742D" w:rsidRPr="00412889" w:rsidRDefault="001F536F">
      <w:pPr>
        <w:pStyle w:val="Nadpis1"/>
        <w:spacing w:before="0"/>
        <w:rPr>
          <w:lang w:val="sk-SK"/>
        </w:rPr>
      </w:pPr>
      <w:r w:rsidRPr="001F536F">
        <w:rPr>
          <w:lang w:val="sk-SK"/>
        </w:rPr>
        <w:t>10.</w:t>
      </w:r>
      <w:r w:rsidRPr="001F536F">
        <w:rPr>
          <w:lang w:val="sk-SK"/>
        </w:rPr>
        <w:tab/>
        <w:t>DÁTUM REVÍZIE TEXTU</w:t>
      </w:r>
    </w:p>
    <w:p w14:paraId="6BB24650" w14:textId="77777777" w:rsidR="008A742D" w:rsidRPr="00412889" w:rsidRDefault="008A742D">
      <w:pPr>
        <w:rPr>
          <w:szCs w:val="22"/>
          <w:lang w:val="sk-SK"/>
        </w:rPr>
      </w:pPr>
    </w:p>
    <w:p w14:paraId="0B1E7265" w14:textId="69A45901" w:rsidR="009B2718" w:rsidRPr="00412889" w:rsidRDefault="00283C52">
      <w:pPr>
        <w:rPr>
          <w:lang w:val="sk-SK"/>
        </w:rPr>
      </w:pPr>
      <w:r>
        <w:rPr>
          <w:lang w:val="sk-SK"/>
        </w:rPr>
        <w:t>11</w:t>
      </w:r>
      <w:r w:rsidR="002303F1">
        <w:rPr>
          <w:lang w:val="sk-SK"/>
        </w:rPr>
        <w:t>/20</w:t>
      </w:r>
      <w:r>
        <w:rPr>
          <w:lang w:val="sk-SK"/>
        </w:rPr>
        <w:t>19</w:t>
      </w:r>
      <w:bookmarkStart w:id="15" w:name="_GoBack"/>
      <w:bookmarkEnd w:id="15"/>
    </w:p>
    <w:sectPr w:rsidR="009B2718" w:rsidRPr="00412889" w:rsidSect="00847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1A2C1" w14:textId="77777777" w:rsidR="00433425" w:rsidRDefault="00433425">
      <w:r>
        <w:separator/>
      </w:r>
    </w:p>
  </w:endnote>
  <w:endnote w:type="continuationSeparator" w:id="0">
    <w:p w14:paraId="7EE50DB8" w14:textId="77777777" w:rsidR="00433425" w:rsidRDefault="0043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3090B" w14:textId="77777777" w:rsidR="00A87787" w:rsidRDefault="00A877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B3DD" w14:textId="77777777" w:rsidR="0014497C" w:rsidRDefault="0014497C" w:rsidP="00C14D9A">
    <w:pPr>
      <w:pStyle w:val="Pta"/>
      <w:jc w:val="center"/>
    </w:pPr>
    <w:r>
      <w:rPr>
        <w:sz w:val="18"/>
      </w:rPr>
      <w:fldChar w:fldCharType="begin"/>
    </w:r>
    <w:r>
      <w:rPr>
        <w:sz w:val="18"/>
      </w:rPr>
      <w:instrText>PAGE   \* MERGEFORMAT</w:instrText>
    </w:r>
    <w:r>
      <w:rPr>
        <w:sz w:val="18"/>
      </w:rPr>
      <w:fldChar w:fldCharType="separate"/>
    </w:r>
    <w:r w:rsidR="00283C52" w:rsidRPr="00283C52">
      <w:rPr>
        <w:noProof/>
        <w:sz w:val="18"/>
        <w:lang w:val="sk-SK"/>
      </w:rPr>
      <w:t>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7D7B5" w14:textId="77777777" w:rsidR="0014497C" w:rsidRDefault="0014497C">
    <w:pPr>
      <w:pStyle w:val="Pta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>PAGE   \* MERGEFORMAT</w:instrText>
    </w:r>
    <w:r>
      <w:rPr>
        <w:sz w:val="18"/>
      </w:rPr>
      <w:fldChar w:fldCharType="separate"/>
    </w:r>
    <w:r w:rsidRPr="005E2E0B">
      <w:rPr>
        <w:noProof/>
        <w:sz w:val="18"/>
        <w:lang w:val="sk-SK"/>
      </w:rPr>
      <w:t>1</w:t>
    </w:r>
    <w:r>
      <w:rPr>
        <w:sz w:val="18"/>
      </w:rPr>
      <w:fldChar w:fldCharType="end"/>
    </w:r>
  </w:p>
  <w:p w14:paraId="04CAFF2B" w14:textId="77777777" w:rsidR="0014497C" w:rsidRDefault="0014497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7825D" w14:textId="77777777" w:rsidR="00433425" w:rsidRDefault="00433425">
      <w:r>
        <w:separator/>
      </w:r>
    </w:p>
  </w:footnote>
  <w:footnote w:type="continuationSeparator" w:id="0">
    <w:p w14:paraId="07C69400" w14:textId="77777777" w:rsidR="00433425" w:rsidRDefault="00433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4A0E6" w14:textId="77777777" w:rsidR="00A87787" w:rsidRDefault="00A8778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ECA4E" w14:textId="402B9599" w:rsidR="0014497C" w:rsidRDefault="00A87787" w:rsidP="0050339C">
    <w:pPr>
      <w:tabs>
        <w:tab w:val="left" w:pos="567"/>
        <w:tab w:val="center" w:pos="4153"/>
        <w:tab w:val="right" w:pos="8306"/>
      </w:tabs>
    </w:pPr>
    <w:r>
      <w:rPr>
        <w:noProof/>
        <w:sz w:val="18"/>
        <w:szCs w:val="18"/>
        <w:lang w:val="sk-SK" w:eastAsia="en-GB"/>
      </w:rPr>
      <w:t xml:space="preserve">Príloha č. </w:t>
    </w:r>
    <w:r w:rsidR="006A26E9">
      <w:rPr>
        <w:noProof/>
        <w:sz w:val="18"/>
        <w:szCs w:val="18"/>
        <w:lang w:val="sk-SK" w:eastAsia="en-GB"/>
      </w:rPr>
      <w:t>2</w:t>
    </w:r>
    <w:r>
      <w:rPr>
        <w:noProof/>
        <w:sz w:val="18"/>
        <w:szCs w:val="18"/>
        <w:lang w:val="sk-SK" w:eastAsia="en-GB"/>
      </w:rPr>
      <w:t xml:space="preserve"> k notifikácii o zmene, ev. č. :2020/00339-Z1A</w:t>
    </w:r>
  </w:p>
  <w:p w14:paraId="5CB3DBD7" w14:textId="77777777" w:rsidR="0014497C" w:rsidRDefault="0014497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B572C" w14:textId="77777777" w:rsidR="0014497C" w:rsidRDefault="00433425">
    <w:pPr>
      <w:pStyle w:val="Hlavika"/>
    </w:pPr>
    <w:r>
      <w:rPr>
        <w:noProof/>
      </w:rPr>
      <w:pict w14:anchorId="0041C8A8">
        <v:shapetype id="_x0000_t202" coordsize="21600,21600" o:spt="202" path="m,l,21600r21600,l21600,xe">
          <v:stroke joinstyle="miter"/>
          <v:path gradientshapeok="t" o:connecttype="rect"/>
        </v:shapetype>
        <v:shape id="MSIPCM04db41e99891f6cab6aaf193" o:spid="_x0000_s2049" type="#_x0000_t202" alt="{&quot;HashCode&quot;:436326858,&quot;Height&quot;:842.0,&quot;Width&quot;:595.0,&quot;Placement&quot;:&quot;Header&quot;,&quot;Index&quot;:&quot;FirstPage&quot;,&quot;Section&quot;:1,&quot;Top&quot;:0.0,&quot;Left&quot;:0.0}" style="position:absolute;margin-left:0;margin-top:15pt;width:595.35pt;height:21pt;z-index:251657216;mso-wrap-style:square;mso-wrap-edited:f;mso-width-percent:0;mso-height-percent:0;mso-position-horizontal-relative:page;mso-position-vertical-relative:page;mso-width-percent:0;mso-height-percent:0;v-text-anchor:top" o:allowincell="f" filled="f" stroked="f">
          <v:textbox inset="20pt,0,,0">
            <w:txbxContent>
              <w:p w14:paraId="76BB8B20" w14:textId="77777777" w:rsidR="0014497C" w:rsidRPr="006B77E3" w:rsidRDefault="0014497C" w:rsidP="006B77E3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  <w:r w:rsidRPr="006B77E3">
                  <w:rPr>
                    <w:rFonts w:ascii="Calibri" w:hAnsi="Calibri" w:cs="Calibri"/>
                    <w:color w:val="317100"/>
                    <w:sz w:val="18"/>
                  </w:rPr>
                  <w:t xml:space="preserve">Classified as "PERSONAL" by Ladislav Zahumensky 8/28/2018 11:36 AM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F4D2F"/>
    <w:multiLevelType w:val="hybridMultilevel"/>
    <w:tmpl w:val="9E582D62"/>
    <w:lvl w:ilvl="0" w:tplc="A74C8F64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6546"/>
    <w:multiLevelType w:val="hybridMultilevel"/>
    <w:tmpl w:val="D8DE41F2"/>
    <w:lvl w:ilvl="0" w:tplc="BDDE7C9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B4B5E"/>
    <w:multiLevelType w:val="hybridMultilevel"/>
    <w:tmpl w:val="2F02E3E6"/>
    <w:lvl w:ilvl="0" w:tplc="5E7049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23299"/>
    <w:multiLevelType w:val="singleLevel"/>
    <w:tmpl w:val="FFFFFFFF"/>
    <w:lvl w:ilvl="0">
      <w:numFmt w:val="bullet"/>
      <w:lvlText w:val="–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6BCE0308"/>
    <w:multiLevelType w:val="hybridMultilevel"/>
    <w:tmpl w:val="F3AA4FE2"/>
    <w:lvl w:ilvl="0" w:tplc="5E7049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6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3F4B"/>
    <w:rsid w:val="000218A5"/>
    <w:rsid w:val="00025AA2"/>
    <w:rsid w:val="00050A8C"/>
    <w:rsid w:val="0006739A"/>
    <w:rsid w:val="000B4E93"/>
    <w:rsid w:val="000B4F92"/>
    <w:rsid w:val="000C16BD"/>
    <w:rsid w:val="000C2017"/>
    <w:rsid w:val="000D4A2D"/>
    <w:rsid w:val="000E39CA"/>
    <w:rsid w:val="000F3D02"/>
    <w:rsid w:val="0010122E"/>
    <w:rsid w:val="00102E6F"/>
    <w:rsid w:val="001279A0"/>
    <w:rsid w:val="00133AEB"/>
    <w:rsid w:val="00140E1B"/>
    <w:rsid w:val="0014497C"/>
    <w:rsid w:val="00147142"/>
    <w:rsid w:val="00151DAF"/>
    <w:rsid w:val="00176288"/>
    <w:rsid w:val="001A1938"/>
    <w:rsid w:val="001B1D41"/>
    <w:rsid w:val="001D1A5F"/>
    <w:rsid w:val="001F536F"/>
    <w:rsid w:val="001F5A1F"/>
    <w:rsid w:val="00213FE5"/>
    <w:rsid w:val="00224D74"/>
    <w:rsid w:val="002303F1"/>
    <w:rsid w:val="002721C4"/>
    <w:rsid w:val="002772DD"/>
    <w:rsid w:val="00283C52"/>
    <w:rsid w:val="0029445E"/>
    <w:rsid w:val="002A359A"/>
    <w:rsid w:val="002B6424"/>
    <w:rsid w:val="002C6C22"/>
    <w:rsid w:val="002D6F75"/>
    <w:rsid w:val="003136F2"/>
    <w:rsid w:val="003261BC"/>
    <w:rsid w:val="00363BFE"/>
    <w:rsid w:val="003651B2"/>
    <w:rsid w:val="00391F09"/>
    <w:rsid w:val="003933FB"/>
    <w:rsid w:val="003A05AE"/>
    <w:rsid w:val="003C73FB"/>
    <w:rsid w:val="003D1476"/>
    <w:rsid w:val="003E06D2"/>
    <w:rsid w:val="003E3025"/>
    <w:rsid w:val="003E4501"/>
    <w:rsid w:val="003F18CA"/>
    <w:rsid w:val="003F76CD"/>
    <w:rsid w:val="0040085C"/>
    <w:rsid w:val="0040391A"/>
    <w:rsid w:val="00412889"/>
    <w:rsid w:val="00426D52"/>
    <w:rsid w:val="00433425"/>
    <w:rsid w:val="00442C36"/>
    <w:rsid w:val="00443E29"/>
    <w:rsid w:val="0044526C"/>
    <w:rsid w:val="004542DD"/>
    <w:rsid w:val="0047073E"/>
    <w:rsid w:val="004716B2"/>
    <w:rsid w:val="00471A10"/>
    <w:rsid w:val="00477673"/>
    <w:rsid w:val="004A5109"/>
    <w:rsid w:val="004A54A7"/>
    <w:rsid w:val="004C3AEF"/>
    <w:rsid w:val="004D0A2C"/>
    <w:rsid w:val="004E69AF"/>
    <w:rsid w:val="0050339C"/>
    <w:rsid w:val="005226BC"/>
    <w:rsid w:val="00526254"/>
    <w:rsid w:val="00564BB3"/>
    <w:rsid w:val="00571D52"/>
    <w:rsid w:val="005853C4"/>
    <w:rsid w:val="00586188"/>
    <w:rsid w:val="005A16EC"/>
    <w:rsid w:val="005A3D78"/>
    <w:rsid w:val="005A5A81"/>
    <w:rsid w:val="005D129E"/>
    <w:rsid w:val="005E2E0B"/>
    <w:rsid w:val="006109B3"/>
    <w:rsid w:val="00613416"/>
    <w:rsid w:val="00623605"/>
    <w:rsid w:val="006275CB"/>
    <w:rsid w:val="006637A3"/>
    <w:rsid w:val="0066607C"/>
    <w:rsid w:val="006723FC"/>
    <w:rsid w:val="00687A3C"/>
    <w:rsid w:val="0069126C"/>
    <w:rsid w:val="006A26E9"/>
    <w:rsid w:val="006A3D88"/>
    <w:rsid w:val="006B77E3"/>
    <w:rsid w:val="006C4D41"/>
    <w:rsid w:val="006C6A80"/>
    <w:rsid w:val="006C7B59"/>
    <w:rsid w:val="006E6354"/>
    <w:rsid w:val="006F64BC"/>
    <w:rsid w:val="006F6F11"/>
    <w:rsid w:val="007069B8"/>
    <w:rsid w:val="00714286"/>
    <w:rsid w:val="0073128F"/>
    <w:rsid w:val="00744BA3"/>
    <w:rsid w:val="00765C99"/>
    <w:rsid w:val="00775D80"/>
    <w:rsid w:val="007964C8"/>
    <w:rsid w:val="007A6974"/>
    <w:rsid w:val="007C3F4B"/>
    <w:rsid w:val="007C3FE7"/>
    <w:rsid w:val="007E649E"/>
    <w:rsid w:val="008470C6"/>
    <w:rsid w:val="0086636F"/>
    <w:rsid w:val="00872C11"/>
    <w:rsid w:val="008811FB"/>
    <w:rsid w:val="00886901"/>
    <w:rsid w:val="008A25C0"/>
    <w:rsid w:val="008A2B48"/>
    <w:rsid w:val="008A742D"/>
    <w:rsid w:val="0090187E"/>
    <w:rsid w:val="00907C8E"/>
    <w:rsid w:val="0091189C"/>
    <w:rsid w:val="00925F37"/>
    <w:rsid w:val="00931D7C"/>
    <w:rsid w:val="009321B3"/>
    <w:rsid w:val="00932EEF"/>
    <w:rsid w:val="00942240"/>
    <w:rsid w:val="009538E1"/>
    <w:rsid w:val="00961074"/>
    <w:rsid w:val="00986620"/>
    <w:rsid w:val="009B2718"/>
    <w:rsid w:val="009B2F50"/>
    <w:rsid w:val="009B53AE"/>
    <w:rsid w:val="009C2F7C"/>
    <w:rsid w:val="009D335F"/>
    <w:rsid w:val="009D62E6"/>
    <w:rsid w:val="009F346C"/>
    <w:rsid w:val="009F7F8F"/>
    <w:rsid w:val="00A03CDE"/>
    <w:rsid w:val="00A149B0"/>
    <w:rsid w:val="00A31ECB"/>
    <w:rsid w:val="00A41AE4"/>
    <w:rsid w:val="00A50F75"/>
    <w:rsid w:val="00A846C6"/>
    <w:rsid w:val="00A84A76"/>
    <w:rsid w:val="00A87787"/>
    <w:rsid w:val="00A925A0"/>
    <w:rsid w:val="00A95B73"/>
    <w:rsid w:val="00AB406D"/>
    <w:rsid w:val="00AC6D87"/>
    <w:rsid w:val="00AE27B3"/>
    <w:rsid w:val="00AE2E56"/>
    <w:rsid w:val="00B02504"/>
    <w:rsid w:val="00B0680D"/>
    <w:rsid w:val="00B14367"/>
    <w:rsid w:val="00B4325A"/>
    <w:rsid w:val="00B5276D"/>
    <w:rsid w:val="00BA76FC"/>
    <w:rsid w:val="00BE656A"/>
    <w:rsid w:val="00C05B8F"/>
    <w:rsid w:val="00C14D9A"/>
    <w:rsid w:val="00C2250C"/>
    <w:rsid w:val="00C23B50"/>
    <w:rsid w:val="00C42120"/>
    <w:rsid w:val="00C43A9F"/>
    <w:rsid w:val="00C55BC9"/>
    <w:rsid w:val="00C83B87"/>
    <w:rsid w:val="00CD71AB"/>
    <w:rsid w:val="00CE0422"/>
    <w:rsid w:val="00CF18CA"/>
    <w:rsid w:val="00D2677B"/>
    <w:rsid w:val="00D82420"/>
    <w:rsid w:val="00D83603"/>
    <w:rsid w:val="00D92D94"/>
    <w:rsid w:val="00D93C4A"/>
    <w:rsid w:val="00DB6BB0"/>
    <w:rsid w:val="00DC7C00"/>
    <w:rsid w:val="00DD00A1"/>
    <w:rsid w:val="00DE09C4"/>
    <w:rsid w:val="00DF7F18"/>
    <w:rsid w:val="00E01EA4"/>
    <w:rsid w:val="00E1043A"/>
    <w:rsid w:val="00E14700"/>
    <w:rsid w:val="00E15641"/>
    <w:rsid w:val="00E2463B"/>
    <w:rsid w:val="00E35AE5"/>
    <w:rsid w:val="00E57AB9"/>
    <w:rsid w:val="00E73878"/>
    <w:rsid w:val="00E96F39"/>
    <w:rsid w:val="00EA2F65"/>
    <w:rsid w:val="00EA3797"/>
    <w:rsid w:val="00EB1064"/>
    <w:rsid w:val="00EB4427"/>
    <w:rsid w:val="00EB44F1"/>
    <w:rsid w:val="00EC7704"/>
    <w:rsid w:val="00ED4A38"/>
    <w:rsid w:val="00EE62C3"/>
    <w:rsid w:val="00F024F1"/>
    <w:rsid w:val="00F71E82"/>
    <w:rsid w:val="00F73013"/>
    <w:rsid w:val="00F9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AE55A6"/>
  <w15:docId w15:val="{E3376F2D-40B6-4446-8DCA-F230DA3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C4A"/>
    <w:rPr>
      <w:sz w:val="22"/>
      <w:lang w:val="de-D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3C4A"/>
    <w:pPr>
      <w:keepNext/>
      <w:tabs>
        <w:tab w:val="left" w:pos="567"/>
      </w:tabs>
      <w:spacing w:before="480"/>
      <w:ind w:left="567" w:hanging="567"/>
      <w:outlineLvl w:val="0"/>
    </w:pPr>
    <w:rPr>
      <w:b/>
      <w:caps/>
      <w:szCs w:val="22"/>
      <w:lang w:val="en-GB"/>
    </w:rPr>
  </w:style>
  <w:style w:type="paragraph" w:styleId="Nadpis2">
    <w:name w:val="heading 2"/>
    <w:basedOn w:val="Normlny"/>
    <w:next w:val="Normlny"/>
    <w:link w:val="Nadpis2Char"/>
    <w:uiPriority w:val="9"/>
    <w:qFormat/>
    <w:rsid w:val="00D93C4A"/>
    <w:pPr>
      <w:keepNext/>
      <w:tabs>
        <w:tab w:val="left" w:pos="567"/>
      </w:tabs>
      <w:spacing w:before="240"/>
      <w:ind w:left="567" w:hanging="567"/>
      <w:outlineLvl w:val="1"/>
    </w:pPr>
    <w:rPr>
      <w:b/>
      <w:szCs w:val="22"/>
      <w:lang w:val="en-GB"/>
    </w:rPr>
  </w:style>
  <w:style w:type="paragraph" w:styleId="Nadpis3">
    <w:name w:val="heading 3"/>
    <w:basedOn w:val="Normlny"/>
    <w:next w:val="Normlnysozarkami"/>
    <w:link w:val="Nadpis3Char"/>
    <w:uiPriority w:val="9"/>
    <w:qFormat/>
    <w:rsid w:val="00D93C4A"/>
    <w:pPr>
      <w:keepNext/>
      <w:spacing w:before="240"/>
      <w:outlineLvl w:val="2"/>
    </w:pPr>
    <w:rPr>
      <w:b/>
      <w:i/>
      <w:szCs w:val="22"/>
      <w:lang w:val="en-GB" w:eastAsia="sk-SK"/>
    </w:rPr>
  </w:style>
  <w:style w:type="paragraph" w:styleId="Nadpis4">
    <w:name w:val="heading 4"/>
    <w:basedOn w:val="Normlny"/>
    <w:next w:val="Normlnysozarkami"/>
    <w:link w:val="Nadpis4Char"/>
    <w:uiPriority w:val="9"/>
    <w:qFormat/>
    <w:rsid w:val="00D93C4A"/>
    <w:pPr>
      <w:keepNext/>
      <w:spacing w:before="240"/>
      <w:jc w:val="both"/>
      <w:outlineLvl w:val="3"/>
    </w:pPr>
    <w:rPr>
      <w:i/>
      <w:szCs w:val="22"/>
      <w:lang w:val="en-GB" w:eastAsia="sk-SK"/>
    </w:rPr>
  </w:style>
  <w:style w:type="paragraph" w:styleId="Nadpis5">
    <w:name w:val="heading 5"/>
    <w:basedOn w:val="Nadpis4"/>
    <w:next w:val="Normlnysozarkami"/>
    <w:link w:val="Nadpis5Char"/>
    <w:uiPriority w:val="9"/>
    <w:qFormat/>
    <w:rsid w:val="00D93C4A"/>
    <w:pPr>
      <w:outlineLvl w:val="4"/>
    </w:pPr>
    <w:rPr>
      <w:i w:val="0"/>
      <w:i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6720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character" w:customStyle="1" w:styleId="Nadpis2Char">
    <w:name w:val="Nadpis 2 Char"/>
    <w:link w:val="Nadpis2"/>
    <w:uiPriority w:val="9"/>
    <w:semiHidden/>
    <w:rsid w:val="00726720"/>
    <w:rPr>
      <w:rFonts w:ascii="Cambria" w:eastAsia="Times New Roman" w:hAnsi="Cambria" w:cs="Times New Roman"/>
      <w:b/>
      <w:bCs/>
      <w:i/>
      <w:iCs/>
      <w:sz w:val="28"/>
      <w:szCs w:val="28"/>
      <w:lang w:val="de-DE" w:eastAsia="en-US"/>
    </w:rPr>
  </w:style>
  <w:style w:type="character" w:customStyle="1" w:styleId="Nadpis3Char">
    <w:name w:val="Nadpis 3 Char"/>
    <w:link w:val="Nadpis3"/>
    <w:uiPriority w:val="9"/>
    <w:locked/>
    <w:rsid w:val="00D93C4A"/>
    <w:rPr>
      <w:b/>
      <w:i/>
      <w:sz w:val="22"/>
      <w:lang w:val="en-GB"/>
    </w:rPr>
  </w:style>
  <w:style w:type="character" w:customStyle="1" w:styleId="Nadpis4Char">
    <w:name w:val="Nadpis 4 Char"/>
    <w:link w:val="Nadpis4"/>
    <w:uiPriority w:val="9"/>
    <w:locked/>
    <w:rsid w:val="00D93C4A"/>
    <w:rPr>
      <w:i/>
      <w:sz w:val="22"/>
      <w:lang w:val="en-GB"/>
    </w:rPr>
  </w:style>
  <w:style w:type="character" w:customStyle="1" w:styleId="Nadpis5Char">
    <w:name w:val="Nadpis 5 Char"/>
    <w:link w:val="Nadpis5"/>
    <w:uiPriority w:val="9"/>
    <w:semiHidden/>
    <w:rsid w:val="00726720"/>
    <w:rPr>
      <w:rFonts w:ascii="Calibri" w:eastAsia="Times New Roman" w:hAnsi="Calibri" w:cs="Times New Roman"/>
      <w:b/>
      <w:bCs/>
      <w:i/>
      <w:iCs/>
      <w:sz w:val="26"/>
      <w:szCs w:val="26"/>
      <w:lang w:val="de-DE" w:eastAsia="en-US"/>
    </w:rPr>
  </w:style>
  <w:style w:type="paragraph" w:styleId="Normlnysozarkami">
    <w:name w:val="Normal Indent"/>
    <w:basedOn w:val="Normlny"/>
    <w:uiPriority w:val="99"/>
    <w:rsid w:val="00D93C4A"/>
    <w:pPr>
      <w:ind w:left="708"/>
    </w:pPr>
  </w:style>
  <w:style w:type="paragraph" w:styleId="Zarkazkladnhotextu">
    <w:name w:val="Body Text Indent"/>
    <w:basedOn w:val="Normlny"/>
    <w:link w:val="ZarkazkladnhotextuChar"/>
    <w:uiPriority w:val="99"/>
    <w:rsid w:val="00D93C4A"/>
    <w:pPr>
      <w:ind w:left="709"/>
      <w:jc w:val="both"/>
    </w:pPr>
    <w:rPr>
      <w:sz w:val="24"/>
      <w:lang w:val="en-GB" w:eastAsia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D93C4A"/>
    <w:rPr>
      <w:sz w:val="24"/>
      <w:lang w:val="en-GB"/>
    </w:rPr>
  </w:style>
  <w:style w:type="paragraph" w:styleId="Nzov">
    <w:name w:val="Title"/>
    <w:basedOn w:val="Normlny"/>
    <w:link w:val="NzovChar"/>
    <w:uiPriority w:val="10"/>
    <w:qFormat/>
    <w:rsid w:val="00D93C4A"/>
    <w:pPr>
      <w:keepNext/>
      <w:jc w:val="center"/>
      <w:outlineLvl w:val="0"/>
    </w:pPr>
    <w:rPr>
      <w:b/>
      <w:caps/>
      <w:kern w:val="28"/>
      <w:sz w:val="30"/>
      <w:u w:val="single"/>
      <w:lang w:val="en-GB"/>
    </w:rPr>
  </w:style>
  <w:style w:type="character" w:customStyle="1" w:styleId="NzovChar">
    <w:name w:val="Názov Char"/>
    <w:link w:val="Nzov"/>
    <w:uiPriority w:val="10"/>
    <w:rsid w:val="00726720"/>
    <w:rPr>
      <w:rFonts w:ascii="Cambria" w:eastAsia="Times New Roman" w:hAnsi="Cambria" w:cs="Times New Roman"/>
      <w:b/>
      <w:bCs/>
      <w:kern w:val="28"/>
      <w:sz w:val="32"/>
      <w:szCs w:val="32"/>
      <w:lang w:val="de-DE" w:eastAsia="en-US"/>
    </w:rPr>
  </w:style>
  <w:style w:type="paragraph" w:customStyle="1" w:styleId="Default">
    <w:name w:val="Default"/>
    <w:rsid w:val="00D93C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C4A"/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D93C4A"/>
    <w:rPr>
      <w:rFonts w:ascii="Tahoma" w:hAnsi="Tahoma"/>
      <w:sz w:val="16"/>
      <w:lang w:val="de-DE"/>
    </w:rPr>
  </w:style>
  <w:style w:type="character" w:styleId="Hypertextovprepojenie">
    <w:name w:val="Hyperlink"/>
    <w:uiPriority w:val="99"/>
    <w:rsid w:val="00D93C4A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D93C4A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3C4A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D93C4A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3C4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D93C4A"/>
    <w:rPr>
      <w:b/>
      <w:lang w:val="de-DE" w:eastAsia="en-US"/>
    </w:rPr>
  </w:style>
  <w:style w:type="paragraph" w:styleId="Hlavika">
    <w:name w:val="header"/>
    <w:basedOn w:val="Normlny"/>
    <w:link w:val="HlavikaChar"/>
    <w:uiPriority w:val="99"/>
    <w:unhideWhenUsed/>
    <w:rsid w:val="00D93C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93C4A"/>
    <w:rPr>
      <w:sz w:val="22"/>
      <w:lang w:val="de-DE" w:eastAsia="en-US"/>
    </w:rPr>
  </w:style>
  <w:style w:type="paragraph" w:styleId="Pta">
    <w:name w:val="footer"/>
    <w:basedOn w:val="Normlny"/>
    <w:link w:val="PtaChar"/>
    <w:uiPriority w:val="99"/>
    <w:unhideWhenUsed/>
    <w:rsid w:val="00D93C4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D93C4A"/>
    <w:rPr>
      <w:sz w:val="22"/>
      <w:lang w:val="de-DE" w:eastAsia="en-US"/>
    </w:rPr>
  </w:style>
  <w:style w:type="paragraph" w:styleId="Normlnywebov">
    <w:name w:val="Normal (Web)"/>
    <w:basedOn w:val="Normlny"/>
    <w:uiPriority w:val="99"/>
    <w:rsid w:val="00D93C4A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Mriekatabuky">
    <w:name w:val="Table Grid"/>
    <w:basedOn w:val="Normlnatabuka"/>
    <w:uiPriority w:val="59"/>
    <w:unhideWhenUsed/>
    <w:rsid w:val="00961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4301</Words>
  <Characters>24522</Characters>
  <Application>Microsoft Office Word</Application>
  <DocSecurity>0</DocSecurity>
  <Lines>204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Kollia</dc:creator>
  <cp:lastModifiedBy>Repiščáková, Janka</cp:lastModifiedBy>
  <cp:revision>41</cp:revision>
  <cp:lastPrinted>2019-11-20T09:20:00Z</cp:lastPrinted>
  <dcterms:created xsi:type="dcterms:W3CDTF">2018-09-03T18:29:00Z</dcterms:created>
  <dcterms:modified xsi:type="dcterms:W3CDTF">2020-04-16T05:48:00Z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2018-08-27T05:42:46.8343405Z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