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3BE05" w14:textId="77777777" w:rsidR="00605EA2" w:rsidRDefault="00605EA2" w:rsidP="0028022E">
      <w:pPr>
        <w:spacing w:after="0"/>
        <w:jc w:val="center"/>
        <w:rPr>
          <w:b/>
          <w:bCs/>
          <w:caps/>
          <w:noProof/>
          <w:kern w:val="32"/>
          <w:lang w:eastAsia="de-DE"/>
        </w:rPr>
      </w:pPr>
    </w:p>
    <w:p w14:paraId="33C550CE" w14:textId="584381B4" w:rsidR="00435ECB" w:rsidRPr="00C06F2E" w:rsidRDefault="00F755DC" w:rsidP="0028022E">
      <w:pPr>
        <w:spacing w:after="0"/>
        <w:jc w:val="center"/>
      </w:pPr>
      <w:r w:rsidRPr="00C06F2E">
        <w:rPr>
          <w:b/>
          <w:bCs/>
          <w:caps/>
          <w:noProof/>
          <w:kern w:val="32"/>
          <w:lang w:eastAsia="de-DE"/>
        </w:rPr>
        <w:t>SÚHRN CHARAKTERISTICKÝCH VLASTNOSTÍ LIEKU</w:t>
      </w:r>
    </w:p>
    <w:p w14:paraId="33B9B3B2" w14:textId="01A5A742" w:rsidR="00E57E96" w:rsidRDefault="00E57E96" w:rsidP="0028022E">
      <w:pPr>
        <w:spacing w:after="0"/>
      </w:pPr>
    </w:p>
    <w:p w14:paraId="4B0E5004" w14:textId="77777777" w:rsidR="00605EA2" w:rsidRPr="00C06F2E" w:rsidRDefault="00605EA2" w:rsidP="0028022E">
      <w:pPr>
        <w:spacing w:after="0"/>
      </w:pPr>
    </w:p>
    <w:p w14:paraId="762F8ABA" w14:textId="6B4511CD" w:rsidR="00435ECB" w:rsidRPr="00C06F2E" w:rsidRDefault="00435ECB" w:rsidP="00605EA2">
      <w:pPr>
        <w:pStyle w:val="HeadingFree"/>
        <w:tabs>
          <w:tab w:val="left" w:pos="567"/>
        </w:tabs>
        <w:spacing w:after="0"/>
      </w:pPr>
      <w:r w:rsidRPr="00C06F2E">
        <w:t>1</w:t>
      </w:r>
      <w:r w:rsidR="0043502B" w:rsidRPr="00C06F2E">
        <w:t>.</w:t>
      </w:r>
      <w:r w:rsidRPr="00C06F2E">
        <w:t xml:space="preserve"> </w:t>
      </w:r>
      <w:r w:rsidRPr="00C06F2E">
        <w:tab/>
      </w:r>
      <w:r w:rsidR="00F755DC" w:rsidRPr="00C06F2E">
        <w:t>NÁZOV LIEKU</w:t>
      </w:r>
    </w:p>
    <w:p w14:paraId="10DE178B" w14:textId="77777777" w:rsidR="0028022E" w:rsidRPr="00C06F2E" w:rsidRDefault="0028022E" w:rsidP="0028022E"/>
    <w:p w14:paraId="18EA0453" w14:textId="5F92A410" w:rsidR="007B2947" w:rsidRPr="00362D92" w:rsidRDefault="00F755DC" w:rsidP="0028022E">
      <w:pPr>
        <w:suppressAutoHyphens/>
        <w:spacing w:after="0"/>
        <w:jc w:val="left"/>
      </w:pPr>
      <w:r w:rsidRPr="00362D92">
        <w:t>Erlotinib Zentiva</w:t>
      </w:r>
      <w:r w:rsidR="007B2947" w:rsidRPr="00362D92">
        <w:t xml:space="preserve"> 25</w:t>
      </w:r>
      <w:r w:rsidR="0028022E" w:rsidRPr="00362D92">
        <w:t> </w:t>
      </w:r>
      <w:r w:rsidR="007B2947" w:rsidRPr="00362D92">
        <w:t>mg</w:t>
      </w:r>
      <w:r w:rsidRPr="00362D92">
        <w:t xml:space="preserve"> </w:t>
      </w:r>
    </w:p>
    <w:p w14:paraId="64B49647" w14:textId="17ACEFE7" w:rsidR="007B2947" w:rsidRPr="00362D92" w:rsidRDefault="00F755DC" w:rsidP="0028022E">
      <w:pPr>
        <w:suppressAutoHyphens/>
        <w:spacing w:after="0"/>
        <w:jc w:val="left"/>
      </w:pPr>
      <w:r w:rsidRPr="00362D92">
        <w:t>Erlotinib Zentiva</w:t>
      </w:r>
      <w:r w:rsidR="007B2947" w:rsidRPr="00362D92">
        <w:t xml:space="preserve"> 100</w:t>
      </w:r>
      <w:r w:rsidR="0028022E" w:rsidRPr="00362D92">
        <w:t> </w:t>
      </w:r>
      <w:r w:rsidR="007B2947" w:rsidRPr="00362D92">
        <w:t xml:space="preserve">mg </w:t>
      </w:r>
    </w:p>
    <w:p w14:paraId="0C56233D" w14:textId="77777777" w:rsidR="006918D9" w:rsidRPr="00362D92" w:rsidRDefault="00F755DC" w:rsidP="0028022E">
      <w:pPr>
        <w:suppressAutoHyphens/>
        <w:spacing w:after="0"/>
        <w:jc w:val="left"/>
      </w:pPr>
      <w:r w:rsidRPr="00362D92">
        <w:t xml:space="preserve">Erlotinib Zentiva </w:t>
      </w:r>
      <w:r w:rsidR="007B2947" w:rsidRPr="00362D92">
        <w:t>150</w:t>
      </w:r>
      <w:r w:rsidR="0028022E" w:rsidRPr="00362D92">
        <w:t> </w:t>
      </w:r>
      <w:r w:rsidR="007B2947" w:rsidRPr="00362D92">
        <w:t>mg</w:t>
      </w:r>
      <w:r w:rsidRPr="00362D92">
        <w:t xml:space="preserve"> </w:t>
      </w:r>
    </w:p>
    <w:p w14:paraId="37AE2474" w14:textId="31FB2F66" w:rsidR="00F755DC" w:rsidRPr="00362D92" w:rsidRDefault="00F755DC" w:rsidP="0028022E">
      <w:pPr>
        <w:suppressAutoHyphens/>
        <w:spacing w:after="0"/>
        <w:jc w:val="left"/>
      </w:pPr>
      <w:r w:rsidRPr="00362D92">
        <w:t>filmom obalené tablety</w:t>
      </w:r>
    </w:p>
    <w:p w14:paraId="7EF60F7C" w14:textId="27C27395" w:rsidR="007B2947" w:rsidRPr="00362D92" w:rsidRDefault="007B2947" w:rsidP="0028022E">
      <w:pPr>
        <w:suppressAutoHyphens/>
        <w:spacing w:after="0"/>
        <w:jc w:val="left"/>
      </w:pPr>
    </w:p>
    <w:p w14:paraId="2E7F562C" w14:textId="77777777" w:rsidR="00707FA9" w:rsidRPr="00362D92" w:rsidRDefault="00707FA9" w:rsidP="0028022E">
      <w:pPr>
        <w:spacing w:after="0"/>
      </w:pPr>
    </w:p>
    <w:p w14:paraId="66199B5E" w14:textId="493259E0" w:rsidR="00435ECB" w:rsidRPr="00362D92" w:rsidRDefault="00435ECB" w:rsidP="00605EA2">
      <w:pPr>
        <w:pStyle w:val="HeadingFree"/>
        <w:tabs>
          <w:tab w:val="left" w:pos="567"/>
        </w:tabs>
        <w:spacing w:after="0"/>
      </w:pPr>
      <w:r w:rsidRPr="00362D92">
        <w:t>2</w:t>
      </w:r>
      <w:r w:rsidR="0043502B" w:rsidRPr="00362D92">
        <w:t>.</w:t>
      </w:r>
      <w:r w:rsidRPr="00362D92">
        <w:tab/>
      </w:r>
      <w:r w:rsidR="00F755DC" w:rsidRPr="00362D92">
        <w:t>KVALITATÍVNE A KVANTITATÍVNE ZLOŽENIE</w:t>
      </w:r>
    </w:p>
    <w:p w14:paraId="3339E2AC" w14:textId="77777777" w:rsidR="0028022E" w:rsidRPr="00362D92" w:rsidRDefault="0028022E" w:rsidP="0028022E"/>
    <w:p w14:paraId="7F6A46A0" w14:textId="1E47F100" w:rsidR="007B2947" w:rsidRPr="00362D92" w:rsidRDefault="00F755DC" w:rsidP="0028022E">
      <w:pPr>
        <w:suppressAutoHyphens/>
        <w:spacing w:after="0"/>
        <w:jc w:val="left"/>
      </w:pPr>
      <w:r w:rsidRPr="00362D92">
        <w:t>Erlotinib Zentiva</w:t>
      </w:r>
      <w:r w:rsidR="00F36284" w:rsidRPr="00362D92">
        <w:t xml:space="preserve"> 25</w:t>
      </w:r>
      <w:r w:rsidR="0028022E" w:rsidRPr="00362D92">
        <w:t> </w:t>
      </w:r>
      <w:r w:rsidR="00F36284" w:rsidRPr="00362D92">
        <w:t xml:space="preserve">mg </w:t>
      </w:r>
      <w:r w:rsidRPr="00362D92">
        <w:t>filmom obalené tablety</w:t>
      </w:r>
      <w:r w:rsidR="00F36284" w:rsidRPr="00362D92">
        <w:t xml:space="preserve">: </w:t>
      </w:r>
      <w:r w:rsidRPr="00362D92">
        <w:t>jedna filmom obalená tableta obsahuje 25</w:t>
      </w:r>
      <w:r w:rsidR="0028022E" w:rsidRPr="00362D92">
        <w:t> </w:t>
      </w:r>
      <w:r w:rsidRPr="00362D92">
        <w:t xml:space="preserve">mg erlotinibu </w:t>
      </w:r>
      <w:r w:rsidR="007B2947" w:rsidRPr="00362D92">
        <w:t>(</w:t>
      </w:r>
      <w:r w:rsidRPr="00362D92">
        <w:t>vo forme erlotiníbium</w:t>
      </w:r>
      <w:r w:rsidR="009128B0" w:rsidRPr="00362D92">
        <w:t>-</w:t>
      </w:r>
      <w:r w:rsidRPr="00362D92">
        <w:t>chloridu</w:t>
      </w:r>
      <w:r w:rsidR="007B2947" w:rsidRPr="00362D92">
        <w:t>).</w:t>
      </w:r>
    </w:p>
    <w:p w14:paraId="2B247464" w14:textId="77777777" w:rsidR="00ED4597" w:rsidRPr="00362D92" w:rsidRDefault="00ED4597" w:rsidP="0028022E">
      <w:pPr>
        <w:suppressAutoHyphens/>
        <w:spacing w:after="0"/>
        <w:jc w:val="left"/>
        <w:rPr>
          <w:u w:val="single"/>
        </w:rPr>
      </w:pPr>
    </w:p>
    <w:p w14:paraId="4A03A86F" w14:textId="77777777" w:rsidR="00F755DC" w:rsidRPr="00362D92" w:rsidRDefault="00F755DC" w:rsidP="0028022E">
      <w:pPr>
        <w:suppressAutoHyphens/>
        <w:spacing w:after="0"/>
        <w:jc w:val="left"/>
        <w:rPr>
          <w:u w:val="single"/>
        </w:rPr>
      </w:pPr>
      <w:r w:rsidRPr="00362D92">
        <w:rPr>
          <w:u w:val="single"/>
        </w:rPr>
        <w:t>Pomocné látky so známym účinkom</w:t>
      </w:r>
    </w:p>
    <w:p w14:paraId="6B651339" w14:textId="30925540" w:rsidR="007B2947" w:rsidRPr="00362D92" w:rsidRDefault="00F755DC" w:rsidP="0028022E">
      <w:pPr>
        <w:suppressAutoHyphens/>
        <w:spacing w:after="0"/>
        <w:jc w:val="left"/>
      </w:pPr>
      <w:r w:rsidRPr="00362D92">
        <w:t xml:space="preserve">Každá filmom obalená tableta obsahuje </w:t>
      </w:r>
      <w:r w:rsidR="007B2947" w:rsidRPr="00362D92">
        <w:t>17</w:t>
      </w:r>
      <w:r w:rsidRPr="00362D92">
        <w:t>,</w:t>
      </w:r>
      <w:r w:rsidR="007B2947" w:rsidRPr="00362D92">
        <w:t>7</w:t>
      </w:r>
      <w:r w:rsidR="0028022E" w:rsidRPr="00362D92">
        <w:t> </w:t>
      </w:r>
      <w:r w:rsidR="007B2947" w:rsidRPr="00362D92">
        <w:t xml:space="preserve">mg </w:t>
      </w:r>
      <w:r w:rsidRPr="00362D92">
        <w:t>monohydrátu laktózy</w:t>
      </w:r>
      <w:r w:rsidR="007B2947" w:rsidRPr="00362D92">
        <w:t>.</w:t>
      </w:r>
      <w:r w:rsidR="006F7F29" w:rsidRPr="00362D92">
        <w:t xml:space="preserve"> </w:t>
      </w:r>
      <w:r w:rsidR="00772022" w:rsidRPr="00362D92">
        <w:t xml:space="preserve">Každá filmom obalená tableta obsahuje menej ako </w:t>
      </w:r>
      <w:r w:rsidR="006F7F29" w:rsidRPr="00362D92">
        <w:t xml:space="preserve">1 mmol </w:t>
      </w:r>
      <w:r w:rsidR="00772022" w:rsidRPr="00362D92">
        <w:t>sodíka</w:t>
      </w:r>
      <w:r w:rsidR="006F7F29" w:rsidRPr="00362D92">
        <w:t xml:space="preserve"> (23</w:t>
      </w:r>
      <w:r w:rsidR="0028022E" w:rsidRPr="00362D92">
        <w:t> </w:t>
      </w:r>
      <w:r w:rsidR="006F7F29" w:rsidRPr="00362D92">
        <w:t xml:space="preserve">mg). </w:t>
      </w:r>
      <w:r w:rsidR="00ED096E" w:rsidRPr="00362D92">
        <w:t xml:space="preserve"> </w:t>
      </w:r>
    </w:p>
    <w:p w14:paraId="1F9F55E3" w14:textId="77777777" w:rsidR="0082177B" w:rsidRPr="00362D92" w:rsidRDefault="0082177B" w:rsidP="0028022E">
      <w:pPr>
        <w:suppressAutoHyphens/>
        <w:spacing w:after="0"/>
        <w:jc w:val="left"/>
      </w:pPr>
    </w:p>
    <w:p w14:paraId="3EAEB9C2" w14:textId="6AD2926A" w:rsidR="007B2947" w:rsidRPr="00362D92" w:rsidRDefault="00772022" w:rsidP="0028022E">
      <w:pPr>
        <w:suppressAutoHyphens/>
        <w:spacing w:after="0"/>
        <w:jc w:val="left"/>
      </w:pPr>
      <w:r w:rsidRPr="00362D92">
        <w:t>Erlotinib Zentiva 100</w:t>
      </w:r>
      <w:r w:rsidR="0028022E" w:rsidRPr="00362D92">
        <w:t> </w:t>
      </w:r>
      <w:r w:rsidRPr="00362D92">
        <w:t>mg filmom obalené tablety</w:t>
      </w:r>
      <w:r w:rsidR="00F36284" w:rsidRPr="00362D92">
        <w:t xml:space="preserve">: </w:t>
      </w:r>
      <w:r w:rsidRPr="00362D92">
        <w:t>jedna</w:t>
      </w:r>
      <w:r w:rsidR="007B2947" w:rsidRPr="00362D92">
        <w:t xml:space="preserve"> film</w:t>
      </w:r>
      <w:r w:rsidRPr="00362D92">
        <w:t>om obalená</w:t>
      </w:r>
      <w:r w:rsidR="007B2947" w:rsidRPr="00362D92">
        <w:t xml:space="preserve"> tablet</w:t>
      </w:r>
      <w:r w:rsidRPr="00362D92">
        <w:t>a</w:t>
      </w:r>
      <w:r w:rsidR="007B2947" w:rsidRPr="00362D92">
        <w:t xml:space="preserve"> </w:t>
      </w:r>
      <w:r w:rsidRPr="00362D92">
        <w:t>obsahuje</w:t>
      </w:r>
      <w:r w:rsidR="007B2947" w:rsidRPr="00362D92">
        <w:t xml:space="preserve"> 100</w:t>
      </w:r>
      <w:r w:rsidR="0028022E" w:rsidRPr="00362D92">
        <w:t> </w:t>
      </w:r>
      <w:r w:rsidR="007B2947" w:rsidRPr="00362D92">
        <w:t>mg erlotinib</w:t>
      </w:r>
      <w:r w:rsidRPr="00362D92">
        <w:t>u</w:t>
      </w:r>
      <w:r w:rsidR="007B2947" w:rsidRPr="00362D92">
        <w:t xml:space="preserve"> (</w:t>
      </w:r>
      <w:r w:rsidRPr="00362D92">
        <w:t>vo forme</w:t>
      </w:r>
      <w:r w:rsidR="007B2947" w:rsidRPr="00362D92">
        <w:t> erlotin</w:t>
      </w:r>
      <w:r w:rsidRPr="00362D92">
        <w:t>í</w:t>
      </w:r>
      <w:r w:rsidR="007B2947" w:rsidRPr="00362D92">
        <w:t>b</w:t>
      </w:r>
      <w:r w:rsidRPr="00362D92">
        <w:t>ium</w:t>
      </w:r>
      <w:r w:rsidR="009128B0" w:rsidRPr="00362D92">
        <w:t>-</w:t>
      </w:r>
      <w:r w:rsidR="007B2947" w:rsidRPr="00362D92">
        <w:t>chlorid</w:t>
      </w:r>
      <w:r w:rsidRPr="00362D92">
        <w:t>u</w:t>
      </w:r>
      <w:r w:rsidR="007B2947" w:rsidRPr="00362D92">
        <w:t>).</w:t>
      </w:r>
    </w:p>
    <w:p w14:paraId="50192E94" w14:textId="77777777" w:rsidR="00ED4597" w:rsidRPr="00362D92" w:rsidRDefault="00ED4597" w:rsidP="0028022E">
      <w:pPr>
        <w:suppressAutoHyphens/>
        <w:spacing w:after="0"/>
        <w:jc w:val="left"/>
      </w:pPr>
    </w:p>
    <w:p w14:paraId="711CBB34" w14:textId="5B0CD2E6" w:rsidR="00ED4597" w:rsidRPr="00362D92" w:rsidRDefault="00772022" w:rsidP="0028022E">
      <w:pPr>
        <w:suppressAutoHyphens/>
        <w:spacing w:after="0"/>
        <w:jc w:val="left"/>
      </w:pPr>
      <w:r w:rsidRPr="00362D92">
        <w:rPr>
          <w:u w:val="single"/>
        </w:rPr>
        <w:t>Pomocné látky so známym účinkom</w:t>
      </w:r>
    </w:p>
    <w:p w14:paraId="7646B91E" w14:textId="5677E982" w:rsidR="007B2947" w:rsidRPr="00362D92" w:rsidRDefault="00772022" w:rsidP="0028022E">
      <w:pPr>
        <w:suppressAutoHyphens/>
        <w:spacing w:after="0"/>
        <w:jc w:val="left"/>
      </w:pPr>
      <w:r w:rsidRPr="00362D92">
        <w:t>Každá filmom obalená tableta obsahuje</w:t>
      </w:r>
      <w:r w:rsidR="007B2947" w:rsidRPr="00362D92">
        <w:t xml:space="preserve"> 70</w:t>
      </w:r>
      <w:r w:rsidRPr="00362D92">
        <w:t>,</w:t>
      </w:r>
      <w:r w:rsidR="007B2947" w:rsidRPr="00362D92">
        <w:t>7</w:t>
      </w:r>
      <w:r w:rsidR="0028022E" w:rsidRPr="00362D92">
        <w:t> </w:t>
      </w:r>
      <w:r w:rsidR="007B2947" w:rsidRPr="00362D92">
        <w:t>mg monohydr</w:t>
      </w:r>
      <w:r w:rsidRPr="00362D92">
        <w:t>átu laktózy</w:t>
      </w:r>
      <w:r w:rsidR="00ED096E" w:rsidRPr="00362D92">
        <w:t>.</w:t>
      </w:r>
      <w:r w:rsidR="006F7F29" w:rsidRPr="00362D92">
        <w:t xml:space="preserve"> </w:t>
      </w:r>
      <w:r w:rsidRPr="00362D92">
        <w:t>Každá filmom obalená tableta obsahuje menej ako</w:t>
      </w:r>
      <w:r w:rsidR="006F7F29" w:rsidRPr="00362D92">
        <w:t xml:space="preserve"> 1 mmol sod</w:t>
      </w:r>
      <w:r w:rsidRPr="00362D92">
        <w:t>íka</w:t>
      </w:r>
      <w:r w:rsidR="006F7F29" w:rsidRPr="00362D92">
        <w:t xml:space="preserve"> (23</w:t>
      </w:r>
      <w:r w:rsidR="0028022E" w:rsidRPr="00362D92">
        <w:t> </w:t>
      </w:r>
      <w:r w:rsidR="006F7F29" w:rsidRPr="00362D92">
        <w:t>mg).</w:t>
      </w:r>
      <w:r w:rsidR="00ED096E" w:rsidRPr="00362D92">
        <w:t xml:space="preserve"> </w:t>
      </w:r>
    </w:p>
    <w:p w14:paraId="12389E3A" w14:textId="77777777" w:rsidR="006F7F29" w:rsidRPr="00362D92" w:rsidRDefault="006F7F29" w:rsidP="0028022E">
      <w:pPr>
        <w:suppressAutoHyphens/>
        <w:spacing w:after="0"/>
        <w:jc w:val="left"/>
      </w:pPr>
    </w:p>
    <w:p w14:paraId="211AC0F5" w14:textId="001D41A2" w:rsidR="007B2947" w:rsidRPr="00362D92" w:rsidRDefault="00772022" w:rsidP="0028022E">
      <w:pPr>
        <w:suppressAutoHyphens/>
        <w:spacing w:after="0"/>
        <w:jc w:val="left"/>
      </w:pPr>
      <w:r w:rsidRPr="00362D92">
        <w:t>Erlotinib Zentiva</w:t>
      </w:r>
      <w:r w:rsidR="00F36284" w:rsidRPr="00362D92">
        <w:t xml:space="preserve"> 150</w:t>
      </w:r>
      <w:r w:rsidR="0028022E" w:rsidRPr="00362D92">
        <w:t> </w:t>
      </w:r>
      <w:r w:rsidR="00F36284" w:rsidRPr="00362D92">
        <w:t xml:space="preserve">mg </w:t>
      </w:r>
      <w:r w:rsidRPr="00362D92">
        <w:t>filmom obalené tablety</w:t>
      </w:r>
      <w:r w:rsidR="00F36284" w:rsidRPr="00362D92">
        <w:t xml:space="preserve">: </w:t>
      </w:r>
      <w:r w:rsidRPr="00362D92">
        <w:t xml:space="preserve">jedna filmom obalená tableta obsahuje </w:t>
      </w:r>
      <w:r w:rsidR="007B2947" w:rsidRPr="00362D92">
        <w:t>150</w:t>
      </w:r>
      <w:r w:rsidR="0028022E" w:rsidRPr="00362D92">
        <w:t> </w:t>
      </w:r>
      <w:r w:rsidR="007B2947" w:rsidRPr="00362D92">
        <w:t xml:space="preserve">mg </w:t>
      </w:r>
      <w:r w:rsidRPr="00362D92">
        <w:t>erlotinibu (vo forme erlotiníbium</w:t>
      </w:r>
      <w:r w:rsidR="009128B0" w:rsidRPr="00362D92">
        <w:t>-</w:t>
      </w:r>
      <w:r w:rsidRPr="00362D92">
        <w:t>chloridu)</w:t>
      </w:r>
      <w:r w:rsidR="007B2947" w:rsidRPr="00362D92">
        <w:t>.</w:t>
      </w:r>
    </w:p>
    <w:p w14:paraId="1A693F16" w14:textId="77777777" w:rsidR="00ED4597" w:rsidRPr="00362D92" w:rsidRDefault="00ED4597" w:rsidP="0028022E">
      <w:pPr>
        <w:suppressAutoHyphens/>
        <w:spacing w:after="0"/>
        <w:jc w:val="left"/>
      </w:pPr>
    </w:p>
    <w:p w14:paraId="52A5FECA" w14:textId="79A79248" w:rsidR="00ED4597" w:rsidRPr="00362D92" w:rsidRDefault="00772022" w:rsidP="0028022E">
      <w:pPr>
        <w:suppressAutoHyphens/>
        <w:spacing w:after="0"/>
        <w:jc w:val="left"/>
      </w:pPr>
      <w:r w:rsidRPr="00362D92">
        <w:rPr>
          <w:u w:val="single"/>
        </w:rPr>
        <w:t>Pomocné látky so známym účinkom</w:t>
      </w:r>
    </w:p>
    <w:p w14:paraId="452C7661" w14:textId="28A205F5" w:rsidR="007B2947" w:rsidRPr="00362D92" w:rsidRDefault="00772022" w:rsidP="0028022E">
      <w:pPr>
        <w:suppressAutoHyphens/>
        <w:spacing w:after="0"/>
        <w:jc w:val="left"/>
      </w:pPr>
      <w:r w:rsidRPr="00362D92">
        <w:t xml:space="preserve">Každá filmom obalená tableta obsahuje </w:t>
      </w:r>
      <w:r w:rsidR="007B2947" w:rsidRPr="00362D92">
        <w:t>106</w:t>
      </w:r>
      <w:r w:rsidR="0028022E" w:rsidRPr="00362D92">
        <w:t> </w:t>
      </w:r>
      <w:r w:rsidR="007B2947" w:rsidRPr="00362D92">
        <w:t xml:space="preserve">mg </w:t>
      </w:r>
      <w:r w:rsidRPr="00362D92">
        <w:t>monohydrátu laktózy</w:t>
      </w:r>
      <w:r w:rsidR="00ED096E" w:rsidRPr="00362D92">
        <w:t>.</w:t>
      </w:r>
      <w:r w:rsidR="006F7F29" w:rsidRPr="00362D92">
        <w:t xml:space="preserve"> </w:t>
      </w:r>
      <w:r w:rsidRPr="00362D92">
        <w:t>Každá filmom obalená tableta obsahuje menej ako 1 mmol sodíka (23</w:t>
      </w:r>
      <w:r w:rsidR="0028022E" w:rsidRPr="00362D92">
        <w:t> </w:t>
      </w:r>
      <w:r w:rsidRPr="00362D92">
        <w:t>mg).</w:t>
      </w:r>
      <w:r w:rsidR="00ED096E" w:rsidRPr="00362D92">
        <w:t xml:space="preserve"> </w:t>
      </w:r>
    </w:p>
    <w:p w14:paraId="75062553" w14:textId="77777777" w:rsidR="00772022" w:rsidRPr="00362D92" w:rsidRDefault="00772022" w:rsidP="0028022E">
      <w:pPr>
        <w:suppressAutoHyphens/>
        <w:spacing w:after="0"/>
        <w:jc w:val="left"/>
      </w:pPr>
    </w:p>
    <w:p w14:paraId="55C64FC3" w14:textId="1DB99E99" w:rsidR="007B2947" w:rsidRPr="00C06F2E" w:rsidRDefault="00772022" w:rsidP="0028022E">
      <w:pPr>
        <w:suppressAutoHyphens/>
        <w:spacing w:after="0"/>
        <w:jc w:val="left"/>
        <w:rPr>
          <w:lang w:val="pl-PL"/>
        </w:rPr>
      </w:pPr>
      <w:r w:rsidRPr="00C06F2E">
        <w:rPr>
          <w:lang w:val="pl-PL"/>
        </w:rPr>
        <w:t>Úplný zoznam pomocných látok, pozri časť 6.1</w:t>
      </w:r>
      <w:r w:rsidR="007B2947" w:rsidRPr="00C06F2E">
        <w:rPr>
          <w:lang w:val="pl-PL"/>
        </w:rPr>
        <w:t>.</w:t>
      </w:r>
    </w:p>
    <w:p w14:paraId="33EED497" w14:textId="77777777" w:rsidR="00435ECB" w:rsidRPr="00C06F2E" w:rsidRDefault="00435ECB" w:rsidP="0028022E">
      <w:pPr>
        <w:spacing w:after="0"/>
        <w:jc w:val="left"/>
        <w:rPr>
          <w:lang w:val="pl-PL"/>
        </w:rPr>
      </w:pPr>
    </w:p>
    <w:p w14:paraId="6C5E7C25" w14:textId="77777777" w:rsidR="00707FA9" w:rsidRPr="00C06F2E" w:rsidRDefault="00707FA9" w:rsidP="0028022E">
      <w:pPr>
        <w:spacing w:after="0"/>
        <w:rPr>
          <w:lang w:val="pl-PL"/>
        </w:rPr>
      </w:pPr>
    </w:p>
    <w:p w14:paraId="7FCD88BB" w14:textId="7DB31817" w:rsidR="00435ECB" w:rsidRPr="00C06F2E" w:rsidRDefault="00435ECB" w:rsidP="00A32592">
      <w:pPr>
        <w:pStyle w:val="HeadingFree"/>
        <w:tabs>
          <w:tab w:val="left" w:pos="567"/>
        </w:tabs>
        <w:spacing w:after="0"/>
        <w:rPr>
          <w:lang w:val="pt-PT"/>
        </w:rPr>
      </w:pPr>
      <w:r w:rsidRPr="00C06F2E">
        <w:rPr>
          <w:lang w:val="pt-PT"/>
        </w:rPr>
        <w:t>3</w:t>
      </w:r>
      <w:r w:rsidR="0043502B" w:rsidRPr="00C06F2E">
        <w:rPr>
          <w:lang w:val="pt-PT"/>
        </w:rPr>
        <w:t>.</w:t>
      </w:r>
      <w:r w:rsidRPr="00C06F2E">
        <w:rPr>
          <w:lang w:val="pt-PT"/>
        </w:rPr>
        <w:tab/>
      </w:r>
      <w:r w:rsidR="00772022" w:rsidRPr="00C06F2E">
        <w:rPr>
          <w:lang w:val="pt-PT"/>
        </w:rPr>
        <w:t>LIEKOVÁ</w:t>
      </w:r>
      <w:r w:rsidRPr="00C06F2E">
        <w:rPr>
          <w:lang w:val="pt-PT"/>
        </w:rPr>
        <w:t xml:space="preserve"> form</w:t>
      </w:r>
      <w:r w:rsidR="00772022" w:rsidRPr="00C06F2E">
        <w:rPr>
          <w:lang w:val="pt-PT"/>
        </w:rPr>
        <w:t>A</w:t>
      </w:r>
    </w:p>
    <w:p w14:paraId="6ACB3EC6" w14:textId="77777777" w:rsidR="0028022E" w:rsidRPr="00C06F2E" w:rsidRDefault="0028022E" w:rsidP="0028022E">
      <w:pPr>
        <w:rPr>
          <w:lang w:val="pt-PT"/>
        </w:rPr>
      </w:pPr>
    </w:p>
    <w:p w14:paraId="0B03605A" w14:textId="0AC3C391" w:rsidR="007B2947" w:rsidRPr="00C06F2E" w:rsidRDefault="00772022" w:rsidP="0028022E">
      <w:pPr>
        <w:suppressAutoHyphens/>
        <w:spacing w:after="0"/>
        <w:jc w:val="left"/>
        <w:rPr>
          <w:lang w:val="pt-PT"/>
        </w:rPr>
      </w:pPr>
      <w:r w:rsidRPr="00C06F2E">
        <w:rPr>
          <w:lang w:val="pt-PT"/>
        </w:rPr>
        <w:t>Filmom obalená tableta</w:t>
      </w:r>
      <w:r w:rsidR="007B2947" w:rsidRPr="00C06F2E">
        <w:rPr>
          <w:lang w:val="pt-PT"/>
        </w:rPr>
        <w:t>.</w:t>
      </w:r>
    </w:p>
    <w:p w14:paraId="1B941E43" w14:textId="77777777" w:rsidR="007B2947" w:rsidRPr="00C06F2E" w:rsidRDefault="007B2947" w:rsidP="0028022E">
      <w:pPr>
        <w:suppressAutoHyphens/>
        <w:spacing w:after="0"/>
        <w:jc w:val="left"/>
        <w:rPr>
          <w:lang w:val="pt-PT"/>
        </w:rPr>
      </w:pPr>
    </w:p>
    <w:p w14:paraId="1C59A158" w14:textId="7D6B8378" w:rsidR="00DC0338" w:rsidRPr="00C06F2E" w:rsidRDefault="00772022" w:rsidP="0028022E">
      <w:pPr>
        <w:suppressAutoHyphens/>
        <w:spacing w:after="0"/>
        <w:jc w:val="left"/>
        <w:rPr>
          <w:lang w:val="pt-PT"/>
        </w:rPr>
      </w:pPr>
      <w:r w:rsidRPr="00C06F2E">
        <w:rPr>
          <w:lang w:val="pt-PT"/>
        </w:rPr>
        <w:t>Erlotinib Zentiva</w:t>
      </w:r>
      <w:r w:rsidR="00DC0338" w:rsidRPr="00C06F2E">
        <w:rPr>
          <w:lang w:val="pt-PT"/>
        </w:rPr>
        <w:t xml:space="preserve"> 25</w:t>
      </w:r>
      <w:r w:rsidR="0028022E" w:rsidRPr="00C06F2E">
        <w:rPr>
          <w:lang w:val="pt-PT"/>
        </w:rPr>
        <w:t> </w:t>
      </w:r>
      <w:r w:rsidR="00DC0338" w:rsidRPr="00C06F2E">
        <w:rPr>
          <w:lang w:val="pt-PT"/>
        </w:rPr>
        <w:t xml:space="preserve">mg </w:t>
      </w:r>
      <w:r w:rsidRPr="00C06F2E">
        <w:rPr>
          <w:lang w:val="pt-PT"/>
        </w:rPr>
        <w:t>filmom obalené tablety</w:t>
      </w:r>
      <w:r w:rsidR="00E804FC" w:rsidRPr="00C06F2E">
        <w:rPr>
          <w:lang w:val="pt-PT"/>
        </w:rPr>
        <w:t>: b</w:t>
      </w:r>
      <w:r w:rsidRPr="00C06F2E">
        <w:rPr>
          <w:lang w:val="pt-PT"/>
        </w:rPr>
        <w:t xml:space="preserve">iele, okrúhle, bikonvexné tablety s </w:t>
      </w:r>
      <w:r w:rsidR="00CD24AA" w:rsidRPr="00C06F2E">
        <w:rPr>
          <w:lang w:val="pt-PT"/>
        </w:rPr>
        <w:t xml:space="preserve">vyrazeným označením </w:t>
      </w:r>
      <w:r w:rsidRPr="00C06F2E">
        <w:rPr>
          <w:lang w:val="pt-PT"/>
        </w:rPr>
        <w:t>„E9OB“ na jednej strane a „25“ na druhej strane</w:t>
      </w:r>
      <w:r w:rsidR="00E804FC" w:rsidRPr="00C06F2E">
        <w:rPr>
          <w:lang w:val="pt-PT"/>
        </w:rPr>
        <w:t>,</w:t>
      </w:r>
      <w:r w:rsidRPr="00C06F2E">
        <w:rPr>
          <w:lang w:val="pt-PT"/>
        </w:rPr>
        <w:t xml:space="preserve"> s priemerom približne 6 mm</w:t>
      </w:r>
      <w:r w:rsidR="00E804FC" w:rsidRPr="00C06F2E">
        <w:rPr>
          <w:lang w:val="pt-PT"/>
        </w:rPr>
        <w:t>.</w:t>
      </w:r>
    </w:p>
    <w:p w14:paraId="358F7EDE" w14:textId="4FE0E88F" w:rsidR="00C85920" w:rsidRPr="00C06F2E" w:rsidRDefault="00C85920" w:rsidP="0028022E">
      <w:pPr>
        <w:spacing w:after="0"/>
        <w:jc w:val="left"/>
        <w:rPr>
          <w:lang w:val="pt-PT"/>
        </w:rPr>
      </w:pPr>
    </w:p>
    <w:p w14:paraId="5D02D294" w14:textId="0A248A65" w:rsidR="00A45CFF" w:rsidRPr="00C06F2E" w:rsidRDefault="00E804FC" w:rsidP="0028022E">
      <w:pPr>
        <w:spacing w:after="0"/>
        <w:jc w:val="left"/>
        <w:rPr>
          <w:lang w:val="pt-PT"/>
        </w:rPr>
      </w:pPr>
      <w:r w:rsidRPr="00C06F2E">
        <w:rPr>
          <w:lang w:val="pt-PT"/>
        </w:rPr>
        <w:t xml:space="preserve">Erlotinib Zentiva </w:t>
      </w:r>
      <w:r w:rsidR="00DC0338" w:rsidRPr="00C06F2E">
        <w:rPr>
          <w:lang w:val="pt-PT"/>
        </w:rPr>
        <w:t>100</w:t>
      </w:r>
      <w:r w:rsidR="0028022E" w:rsidRPr="00C06F2E">
        <w:rPr>
          <w:lang w:val="pt-PT"/>
        </w:rPr>
        <w:t> </w:t>
      </w:r>
      <w:r w:rsidR="00DC0338" w:rsidRPr="00C06F2E">
        <w:rPr>
          <w:lang w:val="pt-PT"/>
        </w:rPr>
        <w:t xml:space="preserve">mg </w:t>
      </w:r>
      <w:r w:rsidRPr="00C06F2E">
        <w:rPr>
          <w:lang w:val="pt-PT"/>
        </w:rPr>
        <w:t>filmom obalené tablety</w:t>
      </w:r>
      <w:r w:rsidR="00DC0338" w:rsidRPr="00C06F2E">
        <w:rPr>
          <w:lang w:val="pt-PT"/>
        </w:rPr>
        <w:t xml:space="preserve">: </w:t>
      </w:r>
      <w:r w:rsidRPr="00C06F2E">
        <w:rPr>
          <w:lang w:val="pt-PT"/>
        </w:rPr>
        <w:t xml:space="preserve">biele, okrúhle, bikonvexné tablety s deliacou ryhou na oboch stranách, na jednej strane je </w:t>
      </w:r>
      <w:r w:rsidR="00CD24AA" w:rsidRPr="00C06F2E">
        <w:rPr>
          <w:lang w:val="pt-PT"/>
        </w:rPr>
        <w:t>vyrazené označenie</w:t>
      </w:r>
      <w:r w:rsidRPr="00C06F2E">
        <w:rPr>
          <w:lang w:val="pt-PT"/>
        </w:rPr>
        <w:t xml:space="preserve"> „E9OB“ nad ryhou a „100“ pod ryhou, s priemerom približne 10 mm. Tablet</w:t>
      </w:r>
      <w:r w:rsidR="00A32592">
        <w:rPr>
          <w:lang w:val="pt-PT"/>
        </w:rPr>
        <w:t>a</w:t>
      </w:r>
      <w:r w:rsidRPr="00C06F2E">
        <w:rPr>
          <w:lang w:val="pt-PT"/>
        </w:rPr>
        <w:t xml:space="preserve"> </w:t>
      </w:r>
      <w:r w:rsidR="00A32592">
        <w:rPr>
          <w:lang w:val="pt-PT"/>
        </w:rPr>
        <w:t>sa</w:t>
      </w:r>
      <w:r w:rsidRPr="00C06F2E">
        <w:rPr>
          <w:lang w:val="pt-PT"/>
        </w:rPr>
        <w:t xml:space="preserve"> m</w:t>
      </w:r>
      <w:r w:rsidR="00A32592">
        <w:rPr>
          <w:lang w:val="pt-PT"/>
        </w:rPr>
        <w:t>ôže</w:t>
      </w:r>
      <w:r w:rsidRPr="00C06F2E">
        <w:rPr>
          <w:lang w:val="pt-PT"/>
        </w:rPr>
        <w:t xml:space="preserve"> rozdeliť na rovnaké dávky</w:t>
      </w:r>
      <w:r w:rsidR="00A45CFF" w:rsidRPr="00C06F2E">
        <w:rPr>
          <w:lang w:val="pt-PT"/>
        </w:rPr>
        <w:t>.</w:t>
      </w:r>
    </w:p>
    <w:p w14:paraId="50555FFD" w14:textId="77777777" w:rsidR="00FA1A53" w:rsidRPr="00C06F2E" w:rsidRDefault="00FA1A53" w:rsidP="0028022E">
      <w:pPr>
        <w:spacing w:after="0"/>
        <w:jc w:val="left"/>
        <w:rPr>
          <w:lang w:val="pt-PT"/>
        </w:rPr>
      </w:pPr>
    </w:p>
    <w:p w14:paraId="0F9612A3" w14:textId="36DDF2B3" w:rsidR="00534D46" w:rsidRPr="00C06F2E" w:rsidRDefault="00E804FC" w:rsidP="0028022E">
      <w:pPr>
        <w:spacing w:after="0"/>
        <w:jc w:val="left"/>
        <w:rPr>
          <w:lang w:val="pt-PT"/>
        </w:rPr>
      </w:pPr>
      <w:r w:rsidRPr="00C06F2E">
        <w:rPr>
          <w:lang w:val="pt-PT"/>
        </w:rPr>
        <w:t>Erlotinib Zentiva</w:t>
      </w:r>
      <w:r w:rsidR="00DC0338" w:rsidRPr="00C06F2E">
        <w:rPr>
          <w:lang w:val="pt-PT"/>
        </w:rPr>
        <w:t xml:space="preserve"> 150</w:t>
      </w:r>
      <w:r w:rsidR="0028022E" w:rsidRPr="00C06F2E">
        <w:rPr>
          <w:lang w:val="pt-PT"/>
        </w:rPr>
        <w:t> </w:t>
      </w:r>
      <w:r w:rsidR="00DC0338" w:rsidRPr="00C06F2E">
        <w:rPr>
          <w:lang w:val="pt-PT"/>
        </w:rPr>
        <w:t xml:space="preserve">mg </w:t>
      </w:r>
      <w:r w:rsidRPr="00C06F2E">
        <w:rPr>
          <w:lang w:val="pt-PT"/>
        </w:rPr>
        <w:t>filmom obalené tablety</w:t>
      </w:r>
      <w:r w:rsidR="00DC0338" w:rsidRPr="00C06F2E">
        <w:rPr>
          <w:lang w:val="pt-PT"/>
        </w:rPr>
        <w:t xml:space="preserve">: </w:t>
      </w:r>
      <w:r w:rsidRPr="00C06F2E">
        <w:rPr>
          <w:lang w:val="pt-PT"/>
        </w:rPr>
        <w:t>biele</w:t>
      </w:r>
      <w:r w:rsidR="00DC0338" w:rsidRPr="00C06F2E">
        <w:rPr>
          <w:lang w:val="pt-PT"/>
        </w:rPr>
        <w:t xml:space="preserve">, </w:t>
      </w:r>
      <w:r w:rsidRPr="00C06F2E">
        <w:rPr>
          <w:lang w:val="pt-PT"/>
        </w:rPr>
        <w:t>okrúhle</w:t>
      </w:r>
      <w:r w:rsidR="00DC0338" w:rsidRPr="00C06F2E">
        <w:rPr>
          <w:lang w:val="pt-PT"/>
        </w:rPr>
        <w:t>, bi</w:t>
      </w:r>
      <w:r w:rsidRPr="00C06F2E">
        <w:rPr>
          <w:lang w:val="pt-PT"/>
        </w:rPr>
        <w:t>k</w:t>
      </w:r>
      <w:r w:rsidR="00DC0338" w:rsidRPr="00C06F2E">
        <w:rPr>
          <w:lang w:val="pt-PT"/>
        </w:rPr>
        <w:t>onvex</w:t>
      </w:r>
      <w:r w:rsidRPr="00C06F2E">
        <w:rPr>
          <w:lang w:val="pt-PT"/>
        </w:rPr>
        <w:t>né</w:t>
      </w:r>
      <w:r w:rsidR="00DC0338" w:rsidRPr="00C06F2E">
        <w:rPr>
          <w:lang w:val="pt-PT"/>
        </w:rPr>
        <w:t xml:space="preserve"> tablet</w:t>
      </w:r>
      <w:r w:rsidRPr="00C06F2E">
        <w:rPr>
          <w:lang w:val="pt-PT"/>
        </w:rPr>
        <w:t>y</w:t>
      </w:r>
      <w:r w:rsidR="00DC0338" w:rsidRPr="00C06F2E">
        <w:rPr>
          <w:lang w:val="pt-PT"/>
        </w:rPr>
        <w:t xml:space="preserve"> </w:t>
      </w:r>
      <w:r w:rsidRPr="00C06F2E">
        <w:rPr>
          <w:lang w:val="pt-PT"/>
        </w:rPr>
        <w:t xml:space="preserve">s </w:t>
      </w:r>
      <w:r w:rsidR="00736199" w:rsidRPr="00C06F2E">
        <w:rPr>
          <w:lang w:val="pt-PT"/>
        </w:rPr>
        <w:t xml:space="preserve">vyrazeným označením </w:t>
      </w:r>
      <w:r w:rsidR="00DC0338" w:rsidRPr="00C06F2E">
        <w:rPr>
          <w:lang w:val="pt-PT"/>
        </w:rPr>
        <w:t xml:space="preserve">“E9OB” </w:t>
      </w:r>
      <w:r w:rsidRPr="00C06F2E">
        <w:rPr>
          <w:lang w:val="pt-PT"/>
        </w:rPr>
        <w:t>na jednej strane</w:t>
      </w:r>
      <w:r w:rsidR="00DC0338" w:rsidRPr="00C06F2E">
        <w:rPr>
          <w:lang w:val="pt-PT"/>
        </w:rPr>
        <w:t xml:space="preserve"> a “150” </w:t>
      </w:r>
      <w:r w:rsidRPr="00C06F2E">
        <w:rPr>
          <w:lang w:val="pt-PT"/>
        </w:rPr>
        <w:t>na druhej strane</w:t>
      </w:r>
      <w:r w:rsidR="00E83682" w:rsidRPr="00C06F2E">
        <w:rPr>
          <w:lang w:val="pt-PT"/>
        </w:rPr>
        <w:t xml:space="preserve">, </w:t>
      </w:r>
      <w:r w:rsidRPr="00C06F2E">
        <w:rPr>
          <w:lang w:val="pt-PT"/>
        </w:rPr>
        <w:t>s priemerom približne</w:t>
      </w:r>
      <w:r w:rsidR="00E83682" w:rsidRPr="00C06F2E">
        <w:rPr>
          <w:lang w:val="pt-PT"/>
        </w:rPr>
        <w:t xml:space="preserve"> 10</w:t>
      </w:r>
      <w:r w:rsidRPr="00C06F2E">
        <w:rPr>
          <w:lang w:val="pt-PT"/>
        </w:rPr>
        <w:t>,</w:t>
      </w:r>
      <w:r w:rsidR="00C85920" w:rsidRPr="00C06F2E">
        <w:rPr>
          <w:lang w:val="pt-PT"/>
        </w:rPr>
        <w:t>4</w:t>
      </w:r>
      <w:r w:rsidR="00736199" w:rsidRPr="00C06F2E">
        <w:rPr>
          <w:lang w:val="pt-PT"/>
        </w:rPr>
        <w:t> </w:t>
      </w:r>
      <w:r w:rsidR="00E83682" w:rsidRPr="00C06F2E">
        <w:rPr>
          <w:lang w:val="pt-PT"/>
        </w:rPr>
        <w:t>mm</w:t>
      </w:r>
      <w:r w:rsidR="00DC0338" w:rsidRPr="00C06F2E">
        <w:rPr>
          <w:lang w:val="pt-PT"/>
        </w:rPr>
        <w:t>.</w:t>
      </w:r>
    </w:p>
    <w:p w14:paraId="02468AD9" w14:textId="77777777" w:rsidR="00E804FC" w:rsidRPr="00C06F2E" w:rsidRDefault="00E804FC" w:rsidP="0028022E">
      <w:pPr>
        <w:spacing w:after="0"/>
        <w:jc w:val="left"/>
        <w:rPr>
          <w:lang w:val="pt-PT"/>
        </w:rPr>
      </w:pPr>
    </w:p>
    <w:p w14:paraId="123429AB" w14:textId="77777777" w:rsidR="0028022E" w:rsidRPr="00C06F2E" w:rsidRDefault="0028022E" w:rsidP="0028022E">
      <w:pPr>
        <w:spacing w:after="0"/>
        <w:jc w:val="left"/>
        <w:rPr>
          <w:lang w:val="pt-PT"/>
        </w:rPr>
      </w:pPr>
    </w:p>
    <w:p w14:paraId="0B55B1F6" w14:textId="37179F17" w:rsidR="00435ECB" w:rsidRPr="00C06F2E" w:rsidRDefault="00435ECB" w:rsidP="00A32592">
      <w:pPr>
        <w:pStyle w:val="HeadingFree"/>
        <w:tabs>
          <w:tab w:val="left" w:pos="567"/>
        </w:tabs>
        <w:spacing w:after="0"/>
        <w:rPr>
          <w:lang w:val="pt-PT"/>
        </w:rPr>
      </w:pPr>
      <w:r w:rsidRPr="00C06F2E">
        <w:rPr>
          <w:lang w:val="pt-PT"/>
        </w:rPr>
        <w:t>4</w:t>
      </w:r>
      <w:r w:rsidR="0043502B" w:rsidRPr="00C06F2E">
        <w:rPr>
          <w:lang w:val="pt-PT"/>
        </w:rPr>
        <w:t>.</w:t>
      </w:r>
      <w:r w:rsidR="00F70DBF" w:rsidRPr="00C06F2E">
        <w:rPr>
          <w:lang w:val="pt-PT"/>
        </w:rPr>
        <w:tab/>
        <w:t>K</w:t>
      </w:r>
      <w:r w:rsidRPr="00C06F2E">
        <w:rPr>
          <w:lang w:val="pt-PT"/>
        </w:rPr>
        <w:t>linic</w:t>
      </w:r>
      <w:r w:rsidR="00F70DBF" w:rsidRPr="00C06F2E">
        <w:rPr>
          <w:lang w:val="pt-PT"/>
        </w:rPr>
        <w:t>KÉ</w:t>
      </w:r>
      <w:r w:rsidRPr="00C06F2E">
        <w:rPr>
          <w:lang w:val="pt-PT"/>
        </w:rPr>
        <w:t xml:space="preserve"> </w:t>
      </w:r>
      <w:r w:rsidR="00F70DBF" w:rsidRPr="00C06F2E">
        <w:rPr>
          <w:lang w:val="pt-PT"/>
        </w:rPr>
        <w:t>ÚDAJE</w:t>
      </w:r>
    </w:p>
    <w:p w14:paraId="613F0843" w14:textId="77777777" w:rsidR="00736199" w:rsidRPr="00C06F2E" w:rsidRDefault="00736199" w:rsidP="00736199">
      <w:pPr>
        <w:rPr>
          <w:lang w:val="pt-PT"/>
        </w:rPr>
      </w:pPr>
    </w:p>
    <w:p w14:paraId="7198ED6D" w14:textId="6C3517E1" w:rsidR="00435ECB" w:rsidRPr="00C06F2E" w:rsidRDefault="00E91023" w:rsidP="00A32592">
      <w:pPr>
        <w:pStyle w:val="Nadpis2"/>
        <w:tabs>
          <w:tab w:val="left" w:pos="567"/>
        </w:tabs>
        <w:spacing w:after="0"/>
        <w:ind w:left="1140" w:hanging="1140"/>
        <w:rPr>
          <w:rFonts w:cs="Times New Roman"/>
          <w:lang w:val="pt-PT"/>
        </w:rPr>
      </w:pPr>
      <w:r w:rsidRPr="00C06F2E">
        <w:rPr>
          <w:rFonts w:cs="Times New Roman"/>
          <w:lang w:val="pt-PT"/>
        </w:rPr>
        <w:lastRenderedPageBreak/>
        <w:t>4.1</w:t>
      </w:r>
      <w:r w:rsidRPr="00C06F2E">
        <w:rPr>
          <w:rFonts w:cs="Times New Roman"/>
          <w:lang w:val="pt-PT"/>
        </w:rPr>
        <w:tab/>
      </w:r>
      <w:r w:rsidR="00435ECB" w:rsidRPr="00C06F2E">
        <w:rPr>
          <w:rFonts w:cs="Times New Roman"/>
          <w:caps w:val="0"/>
          <w:lang w:val="pt-PT"/>
        </w:rPr>
        <w:t>Terapeutic</w:t>
      </w:r>
      <w:r w:rsidR="00736199" w:rsidRPr="00C06F2E">
        <w:rPr>
          <w:rFonts w:cs="Times New Roman"/>
          <w:caps w:val="0"/>
          <w:lang w:val="pt-PT"/>
        </w:rPr>
        <w:t>ké</w:t>
      </w:r>
      <w:r w:rsidR="00435ECB" w:rsidRPr="00C06F2E">
        <w:rPr>
          <w:rFonts w:cs="Times New Roman"/>
          <w:caps w:val="0"/>
          <w:lang w:val="pt-PT"/>
        </w:rPr>
        <w:t xml:space="preserve"> indi</w:t>
      </w:r>
      <w:r w:rsidR="00736199" w:rsidRPr="00C06F2E">
        <w:rPr>
          <w:rFonts w:cs="Times New Roman"/>
          <w:caps w:val="0"/>
          <w:lang w:val="pt-PT"/>
        </w:rPr>
        <w:t>kácie</w:t>
      </w:r>
    </w:p>
    <w:p w14:paraId="12D95E3E" w14:textId="77777777" w:rsidR="00E63C2A" w:rsidRPr="00C06F2E" w:rsidRDefault="00E63C2A" w:rsidP="0028022E">
      <w:pPr>
        <w:suppressAutoHyphens/>
        <w:spacing w:after="0"/>
        <w:rPr>
          <w:u w:val="single"/>
          <w:lang w:val="pt-PT"/>
        </w:rPr>
      </w:pPr>
    </w:p>
    <w:p w14:paraId="38013CE0" w14:textId="42634405" w:rsidR="007B2947" w:rsidRPr="00C06F2E" w:rsidRDefault="006C6650" w:rsidP="00736199">
      <w:pPr>
        <w:suppressAutoHyphens/>
        <w:spacing w:after="0"/>
        <w:jc w:val="left"/>
        <w:rPr>
          <w:lang w:val="pt-PT"/>
        </w:rPr>
      </w:pPr>
      <w:r w:rsidRPr="00C06F2E">
        <w:rPr>
          <w:u w:val="single"/>
          <w:lang w:val="pt-PT"/>
        </w:rPr>
        <w:t>Nemalobunkový karcinóm pľúc</w:t>
      </w:r>
      <w:r w:rsidR="007B2947" w:rsidRPr="00C06F2E">
        <w:rPr>
          <w:u w:val="single"/>
          <w:lang w:val="pt-PT"/>
        </w:rPr>
        <w:t xml:space="preserve"> (NSCLC)</w:t>
      </w:r>
    </w:p>
    <w:p w14:paraId="22893ABD" w14:textId="354DF917" w:rsidR="007B2947" w:rsidRPr="00C06F2E" w:rsidRDefault="006C6650" w:rsidP="00736199">
      <w:pPr>
        <w:suppressAutoHyphens/>
        <w:spacing w:after="0"/>
        <w:jc w:val="left"/>
        <w:rPr>
          <w:lang w:val="pt-PT"/>
        </w:rPr>
      </w:pPr>
      <w:r w:rsidRPr="00C06F2E">
        <w:rPr>
          <w:lang w:val="pt-PT"/>
        </w:rPr>
        <w:t>Erlotinib Zentiva</w:t>
      </w:r>
      <w:r w:rsidR="007B2947" w:rsidRPr="00C06F2E">
        <w:rPr>
          <w:lang w:val="pt-PT"/>
        </w:rPr>
        <w:t xml:space="preserve"> </w:t>
      </w:r>
      <w:r w:rsidRPr="00C06F2E">
        <w:rPr>
          <w:lang w:val="pt-PT"/>
        </w:rPr>
        <w:t>je indikovaný v prvej línii liečby pacientom s lokálne pokročilým alebo metastatickým nemalobunkovým karcinómom pľúc (NSCLC) s aktivujúcimi mutáciami EGFR</w:t>
      </w:r>
      <w:r w:rsidR="007B2947" w:rsidRPr="00C06F2E">
        <w:rPr>
          <w:lang w:val="pt-PT"/>
        </w:rPr>
        <w:t>.</w:t>
      </w:r>
    </w:p>
    <w:p w14:paraId="059F2494" w14:textId="77777777" w:rsidR="007B2947" w:rsidRPr="00C06F2E" w:rsidRDefault="007B2947" w:rsidP="00736199">
      <w:pPr>
        <w:suppressAutoHyphens/>
        <w:spacing w:after="0"/>
        <w:jc w:val="left"/>
        <w:rPr>
          <w:highlight w:val="lightGray"/>
          <w:lang w:val="pt-PT"/>
        </w:rPr>
      </w:pPr>
    </w:p>
    <w:p w14:paraId="454AF2EB" w14:textId="0927981E" w:rsidR="007B2947" w:rsidRPr="00C06F2E" w:rsidRDefault="006C6650" w:rsidP="00736199">
      <w:pPr>
        <w:suppressAutoHyphens/>
        <w:spacing w:after="0"/>
        <w:jc w:val="left"/>
        <w:rPr>
          <w:lang w:val="pt-PT"/>
        </w:rPr>
      </w:pPr>
      <w:r w:rsidRPr="00C06F2E">
        <w:rPr>
          <w:lang w:val="pt-PT"/>
        </w:rPr>
        <w:t>Erlotinib Zentiva</w:t>
      </w:r>
      <w:r w:rsidR="007B2947" w:rsidRPr="00C06F2E">
        <w:rPr>
          <w:lang w:val="pt-PT"/>
        </w:rPr>
        <w:t xml:space="preserve"> </w:t>
      </w:r>
      <w:r w:rsidRPr="00C06F2E">
        <w:rPr>
          <w:lang w:val="pt-PT"/>
        </w:rPr>
        <w:t xml:space="preserve">je tiež indikovaný na </w:t>
      </w:r>
      <w:r w:rsidR="00260DC9">
        <w:rPr>
          <w:lang w:val="pt-PT"/>
        </w:rPr>
        <w:t xml:space="preserve">prechod na </w:t>
      </w:r>
      <w:r w:rsidRPr="00C06F2E">
        <w:rPr>
          <w:lang w:val="pt-PT"/>
        </w:rPr>
        <w:t>udržiavaciu liečbu pacientom s lokálne pokročilým alebo metastatickým nemalobunkovým karcinómom pľúc (NSCLC) s aktivujúcimi mutáciami EGFR a stabilizovaným ochorením, po predchádzajúcom cykle prvej línie chemoterapie</w:t>
      </w:r>
      <w:r w:rsidR="007B2947" w:rsidRPr="00C06F2E">
        <w:rPr>
          <w:lang w:val="pt-PT"/>
        </w:rPr>
        <w:t>.</w:t>
      </w:r>
    </w:p>
    <w:p w14:paraId="67560134" w14:textId="77777777" w:rsidR="007B2947" w:rsidRPr="00C06F2E" w:rsidRDefault="007B2947" w:rsidP="00736199">
      <w:pPr>
        <w:suppressAutoHyphens/>
        <w:spacing w:after="0"/>
        <w:jc w:val="left"/>
        <w:rPr>
          <w:lang w:val="pt-PT"/>
        </w:rPr>
      </w:pPr>
    </w:p>
    <w:p w14:paraId="69790DF1" w14:textId="3768827A" w:rsidR="007B2947" w:rsidRPr="00C06F2E" w:rsidRDefault="006C6650" w:rsidP="00736199">
      <w:pPr>
        <w:suppressAutoHyphens/>
        <w:spacing w:after="0"/>
        <w:jc w:val="left"/>
        <w:rPr>
          <w:lang w:val="pt-PT"/>
        </w:rPr>
      </w:pPr>
      <w:r w:rsidRPr="00C06F2E">
        <w:rPr>
          <w:lang w:val="pt-PT"/>
        </w:rPr>
        <w:t>Erlotinib Zentiva</w:t>
      </w:r>
      <w:r w:rsidR="007B2947" w:rsidRPr="00C06F2E">
        <w:rPr>
          <w:lang w:val="pt-PT"/>
        </w:rPr>
        <w:t xml:space="preserve"> </w:t>
      </w:r>
      <w:r w:rsidRPr="00C06F2E">
        <w:rPr>
          <w:lang w:val="pt-PT"/>
        </w:rPr>
        <w:t>je indikovan</w:t>
      </w:r>
      <w:r w:rsidR="00736199" w:rsidRPr="00C06F2E">
        <w:rPr>
          <w:lang w:val="pt-PT"/>
        </w:rPr>
        <w:t>ý</w:t>
      </w:r>
      <w:r w:rsidRPr="00C06F2E">
        <w:rPr>
          <w:lang w:val="pt-PT"/>
        </w:rPr>
        <w:t xml:space="preserve"> tiež na liečbu pacientom s lokálne pokročilým alebo metastatickým NSCLC po zlyhaní najmenej jedného predchádzajúceho režimu chemoterapie. U pacientov s nádormi bez aktivujúcich mutácií EGFR je Erlotinib Zentiva indikovaný v prípade, ak nie sú iné možnosti liečby považované za vhodné</w:t>
      </w:r>
      <w:r w:rsidR="00086BC6" w:rsidRPr="00C06F2E">
        <w:rPr>
          <w:spacing w:val="-4"/>
          <w:lang w:val="pt-PT"/>
        </w:rPr>
        <w:t>.</w:t>
      </w:r>
    </w:p>
    <w:p w14:paraId="6418BF86" w14:textId="77777777" w:rsidR="007B2947" w:rsidRPr="00C06F2E" w:rsidRDefault="007B2947" w:rsidP="00736199">
      <w:pPr>
        <w:suppressAutoHyphens/>
        <w:spacing w:after="0"/>
        <w:jc w:val="left"/>
        <w:rPr>
          <w:lang w:val="pt-PT"/>
        </w:rPr>
      </w:pPr>
    </w:p>
    <w:p w14:paraId="247863E1" w14:textId="6C37106E" w:rsidR="007B2947" w:rsidRPr="00C06F2E" w:rsidRDefault="006C6650" w:rsidP="00736199">
      <w:pPr>
        <w:suppressAutoHyphens/>
        <w:spacing w:after="0"/>
        <w:jc w:val="left"/>
        <w:rPr>
          <w:lang w:val="pt-PT"/>
        </w:rPr>
      </w:pPr>
      <w:r w:rsidRPr="00C06F2E">
        <w:rPr>
          <w:lang w:val="pt-PT"/>
        </w:rPr>
        <w:t>Pri predpisovaní Erlotinibu Zentiva sa majú vziať do úvahy faktory spájané s predĺženým prežívaním</w:t>
      </w:r>
      <w:r w:rsidR="007B2947" w:rsidRPr="00C06F2E">
        <w:rPr>
          <w:lang w:val="pt-PT"/>
        </w:rPr>
        <w:t>.</w:t>
      </w:r>
    </w:p>
    <w:p w14:paraId="399C6D4E" w14:textId="77777777" w:rsidR="007B2947" w:rsidRPr="00C06F2E" w:rsidRDefault="007B2947" w:rsidP="00736199">
      <w:pPr>
        <w:suppressAutoHyphens/>
        <w:spacing w:after="0"/>
        <w:jc w:val="left"/>
        <w:rPr>
          <w:lang w:val="pt-PT"/>
        </w:rPr>
      </w:pPr>
    </w:p>
    <w:p w14:paraId="411A1683" w14:textId="7112CDA3" w:rsidR="007B2947" w:rsidRPr="00C06F2E" w:rsidRDefault="006C6650" w:rsidP="00736199">
      <w:pPr>
        <w:suppressAutoHyphens/>
        <w:spacing w:after="0"/>
        <w:jc w:val="left"/>
        <w:rPr>
          <w:lang w:val="pt-PT"/>
        </w:rPr>
      </w:pPr>
      <w:r w:rsidRPr="00C06F2E">
        <w:rPr>
          <w:lang w:val="pt-PT"/>
        </w:rPr>
        <w:t>U pacientov s karcinómami negatívnymi na receptor epidermálneho rastového faktora (EGFR)-IHC sa nepre</w:t>
      </w:r>
      <w:r w:rsidR="00260DC9">
        <w:rPr>
          <w:lang w:val="pt-PT"/>
        </w:rPr>
        <w:t>ukázal</w:t>
      </w:r>
      <w:r w:rsidRPr="00C06F2E">
        <w:rPr>
          <w:lang w:val="pt-PT"/>
        </w:rPr>
        <w:t xml:space="preserve"> žiadny prínos </w:t>
      </w:r>
      <w:r w:rsidR="00260DC9">
        <w:rPr>
          <w:lang w:val="pt-PT"/>
        </w:rPr>
        <w:t>z hľadiska</w:t>
      </w:r>
      <w:r w:rsidRPr="00C06F2E">
        <w:rPr>
          <w:lang w:val="pt-PT"/>
        </w:rPr>
        <w:t xml:space="preserve"> prežívani</w:t>
      </w:r>
      <w:r w:rsidR="00260DC9">
        <w:rPr>
          <w:lang w:val="pt-PT"/>
        </w:rPr>
        <w:t>a</w:t>
      </w:r>
      <w:r w:rsidRPr="00C06F2E">
        <w:rPr>
          <w:lang w:val="pt-PT"/>
        </w:rPr>
        <w:t xml:space="preserve"> ani iný klinicky významný účinok liečby (pozri časť 5.1).</w:t>
      </w:r>
    </w:p>
    <w:p w14:paraId="20DE7CE1" w14:textId="77777777" w:rsidR="007B2947" w:rsidRPr="00C06F2E" w:rsidRDefault="007B2947" w:rsidP="00736199">
      <w:pPr>
        <w:suppressAutoHyphens/>
        <w:spacing w:after="0"/>
        <w:jc w:val="left"/>
        <w:rPr>
          <w:lang w:val="pt-PT"/>
        </w:rPr>
      </w:pPr>
    </w:p>
    <w:p w14:paraId="12697CB0" w14:textId="0EB1CEF9" w:rsidR="007B2947" w:rsidRPr="00C06F2E" w:rsidRDefault="006C6650" w:rsidP="00736199">
      <w:pPr>
        <w:suppressAutoHyphens/>
        <w:spacing w:after="0"/>
        <w:jc w:val="left"/>
        <w:rPr>
          <w:u w:val="single"/>
          <w:lang w:val="pt-PT"/>
        </w:rPr>
      </w:pPr>
      <w:r w:rsidRPr="00C06F2E">
        <w:rPr>
          <w:u w:val="single"/>
          <w:lang w:val="pt-PT"/>
        </w:rPr>
        <w:t>Karcinóm pankreasu</w:t>
      </w:r>
    </w:p>
    <w:p w14:paraId="73E12135" w14:textId="7967CCDD" w:rsidR="007B2947" w:rsidRPr="00C06F2E" w:rsidRDefault="006C6650" w:rsidP="00736199">
      <w:pPr>
        <w:suppressAutoHyphens/>
        <w:spacing w:after="0"/>
        <w:jc w:val="left"/>
        <w:rPr>
          <w:lang w:val="pt-PT"/>
        </w:rPr>
      </w:pPr>
      <w:r w:rsidRPr="00C06F2E">
        <w:rPr>
          <w:lang w:val="pt-PT"/>
        </w:rPr>
        <w:t>Erlotinib Zentiva</w:t>
      </w:r>
      <w:r w:rsidR="007B2947" w:rsidRPr="00C06F2E">
        <w:rPr>
          <w:lang w:val="pt-PT"/>
        </w:rPr>
        <w:t xml:space="preserve"> </w:t>
      </w:r>
      <w:r w:rsidR="00260DC9">
        <w:rPr>
          <w:lang w:val="pt-PT"/>
        </w:rPr>
        <w:t xml:space="preserve">je </w:t>
      </w:r>
      <w:r w:rsidRPr="00C06F2E">
        <w:rPr>
          <w:lang w:val="pt-PT"/>
        </w:rPr>
        <w:t>v kombinácii s gemcitabínom indikovaný na liečbu pacientom s metastatickým karcinómom pankreasu</w:t>
      </w:r>
      <w:r w:rsidR="007B2947" w:rsidRPr="00C06F2E">
        <w:rPr>
          <w:lang w:val="pt-PT"/>
        </w:rPr>
        <w:t>.</w:t>
      </w:r>
    </w:p>
    <w:p w14:paraId="1EC3F414" w14:textId="77777777" w:rsidR="007B2947" w:rsidRPr="00C06F2E" w:rsidRDefault="007B2947" w:rsidP="00736199">
      <w:pPr>
        <w:suppressAutoHyphens/>
        <w:spacing w:after="0"/>
        <w:jc w:val="left"/>
        <w:rPr>
          <w:lang w:val="pt-PT"/>
        </w:rPr>
      </w:pPr>
    </w:p>
    <w:p w14:paraId="5E7766A0" w14:textId="0D7B3167" w:rsidR="007B2947" w:rsidRPr="00C06F2E" w:rsidRDefault="006C6650" w:rsidP="00736199">
      <w:pPr>
        <w:suppressAutoHyphens/>
        <w:spacing w:after="0"/>
        <w:jc w:val="left"/>
        <w:rPr>
          <w:lang w:val="pt-PT"/>
        </w:rPr>
      </w:pPr>
      <w:r w:rsidRPr="00C06F2E">
        <w:rPr>
          <w:lang w:val="pt-PT"/>
        </w:rPr>
        <w:t>Pri predpisovaní Erlotinibu Zentiva sa majú vziať do úvahy faktory spájané s predĺženým prežívaním (pozri časti 4.2 a 5.1).</w:t>
      </w:r>
    </w:p>
    <w:p w14:paraId="25A8ED48" w14:textId="77777777" w:rsidR="007B2947" w:rsidRPr="00C06F2E" w:rsidRDefault="007B2947" w:rsidP="00736199">
      <w:pPr>
        <w:suppressAutoHyphens/>
        <w:spacing w:after="0"/>
        <w:jc w:val="left"/>
        <w:rPr>
          <w:lang w:val="pt-PT"/>
        </w:rPr>
      </w:pPr>
    </w:p>
    <w:p w14:paraId="5CA39EDF" w14:textId="375CA2AC" w:rsidR="007B2947" w:rsidRPr="00C06F2E" w:rsidRDefault="00223A34" w:rsidP="00736199">
      <w:pPr>
        <w:suppressAutoHyphens/>
        <w:spacing w:after="0"/>
        <w:jc w:val="left"/>
        <w:rPr>
          <w:lang w:val="pt-PT"/>
        </w:rPr>
      </w:pPr>
      <w:r w:rsidRPr="00C06F2E">
        <w:rPr>
          <w:lang w:val="pt-PT"/>
        </w:rPr>
        <w:t>U pacientov s lokálne pokročilou chorobou sa nemus</w:t>
      </w:r>
      <w:r w:rsidR="00400B0E">
        <w:rPr>
          <w:lang w:val="pt-PT"/>
        </w:rPr>
        <w:t>í</w:t>
      </w:r>
      <w:r w:rsidRPr="00C06F2E">
        <w:rPr>
          <w:lang w:val="pt-PT"/>
        </w:rPr>
        <w:t xml:space="preserve"> preukázať žiadn</w:t>
      </w:r>
      <w:r w:rsidR="00942341">
        <w:rPr>
          <w:lang w:val="pt-PT"/>
        </w:rPr>
        <w:t>y</w:t>
      </w:r>
      <w:r w:rsidRPr="00C06F2E">
        <w:rPr>
          <w:lang w:val="pt-PT"/>
        </w:rPr>
        <w:t xml:space="preserve"> </w:t>
      </w:r>
      <w:r w:rsidR="00942341">
        <w:rPr>
          <w:lang w:val="pt-PT"/>
        </w:rPr>
        <w:t>prínos</w:t>
      </w:r>
      <w:r w:rsidRPr="00C06F2E">
        <w:rPr>
          <w:lang w:val="pt-PT"/>
        </w:rPr>
        <w:t xml:space="preserve"> vzhľadom na prežívanie</w:t>
      </w:r>
      <w:r w:rsidR="007B2947" w:rsidRPr="00C06F2E">
        <w:rPr>
          <w:lang w:val="pt-PT"/>
        </w:rPr>
        <w:t>.</w:t>
      </w:r>
    </w:p>
    <w:p w14:paraId="0C12C84D" w14:textId="77777777" w:rsidR="00E91023" w:rsidRPr="00C06F2E" w:rsidRDefault="00E91023" w:rsidP="00736199">
      <w:pPr>
        <w:spacing w:after="0"/>
        <w:jc w:val="left"/>
        <w:rPr>
          <w:lang w:val="pt-PT"/>
        </w:rPr>
      </w:pPr>
    </w:p>
    <w:p w14:paraId="7CF11AF6" w14:textId="77777777" w:rsidR="00736199" w:rsidRPr="00C06F2E" w:rsidRDefault="00435ECB" w:rsidP="00736199">
      <w:pPr>
        <w:pStyle w:val="Nadpis2"/>
        <w:spacing w:after="0"/>
        <w:jc w:val="left"/>
        <w:rPr>
          <w:rFonts w:cs="Times New Roman"/>
          <w:lang w:val="sk-SK"/>
        </w:rPr>
      </w:pPr>
      <w:r w:rsidRPr="00C06F2E">
        <w:rPr>
          <w:rFonts w:cs="Times New Roman"/>
          <w:lang w:val="pt-PT"/>
        </w:rPr>
        <w:t xml:space="preserve">4.2 </w:t>
      </w:r>
      <w:r w:rsidRPr="00C06F2E">
        <w:rPr>
          <w:rFonts w:cs="Times New Roman"/>
          <w:lang w:val="pt-PT"/>
        </w:rPr>
        <w:tab/>
      </w:r>
      <w:r w:rsidR="00736199" w:rsidRPr="00C06F2E">
        <w:rPr>
          <w:rFonts w:cs="Times New Roman"/>
          <w:caps w:val="0"/>
          <w:lang w:val="sk-SK"/>
        </w:rPr>
        <w:t>Dávkovanie a spôsob podávania</w:t>
      </w:r>
    </w:p>
    <w:p w14:paraId="1D5E3312" w14:textId="77777777" w:rsidR="00E91023" w:rsidRPr="00C06F2E" w:rsidRDefault="00E91023" w:rsidP="00736199">
      <w:pPr>
        <w:spacing w:after="0"/>
        <w:jc w:val="left"/>
        <w:rPr>
          <w:u w:val="single"/>
          <w:lang w:val="pt-PT"/>
        </w:rPr>
      </w:pPr>
    </w:p>
    <w:p w14:paraId="41DA018C" w14:textId="28E9A3D2" w:rsidR="007B2947" w:rsidRPr="00C06F2E" w:rsidRDefault="00A16E6C" w:rsidP="00736199">
      <w:pPr>
        <w:suppressAutoHyphens/>
        <w:spacing w:after="0"/>
        <w:jc w:val="left"/>
        <w:rPr>
          <w:lang w:val="pt-PT"/>
        </w:rPr>
      </w:pPr>
      <w:r w:rsidRPr="00C06F2E">
        <w:rPr>
          <w:lang w:val="pt-PT"/>
        </w:rPr>
        <w:t>Liečba Erlotinibom Zentiva má byť pod dohľadom lekára so skúsenosťami s používaním protinádorovej liečby</w:t>
      </w:r>
      <w:r w:rsidR="007B2947" w:rsidRPr="00C06F2E">
        <w:rPr>
          <w:lang w:val="pt-PT"/>
        </w:rPr>
        <w:t>.</w:t>
      </w:r>
    </w:p>
    <w:p w14:paraId="637A20B0" w14:textId="77777777" w:rsidR="007B2947" w:rsidRPr="00C06F2E" w:rsidRDefault="007B2947" w:rsidP="00736199">
      <w:pPr>
        <w:suppressAutoHyphens/>
        <w:spacing w:after="0"/>
        <w:jc w:val="left"/>
        <w:rPr>
          <w:u w:val="single"/>
          <w:lang w:val="pt-PT"/>
        </w:rPr>
      </w:pPr>
    </w:p>
    <w:p w14:paraId="5F44EF0E" w14:textId="11751C4F" w:rsidR="007B2947" w:rsidRPr="00C06F2E" w:rsidRDefault="00A16E6C" w:rsidP="00736199">
      <w:pPr>
        <w:suppressAutoHyphens/>
        <w:spacing w:after="0"/>
        <w:jc w:val="left"/>
        <w:rPr>
          <w:u w:val="single"/>
          <w:lang w:val="pt-PT"/>
        </w:rPr>
      </w:pPr>
      <w:r w:rsidRPr="00C06F2E">
        <w:rPr>
          <w:u w:val="single"/>
          <w:lang w:val="pt-PT"/>
        </w:rPr>
        <w:t>Pacienti s nemalobunkovým karcinómom pľúc</w:t>
      </w:r>
    </w:p>
    <w:p w14:paraId="7293D43C" w14:textId="695C1127" w:rsidR="007B2947" w:rsidRPr="00C06F2E" w:rsidRDefault="00A16E6C" w:rsidP="00736199">
      <w:pPr>
        <w:suppressAutoHyphens/>
        <w:spacing w:after="0"/>
        <w:jc w:val="left"/>
        <w:rPr>
          <w:lang w:val="pt-PT"/>
        </w:rPr>
      </w:pPr>
      <w:r w:rsidRPr="00C06F2E">
        <w:rPr>
          <w:lang w:val="pt-PT"/>
        </w:rPr>
        <w:t>Vyšetrenie EGFR mutácie sa má vykonať v súlade so schválenými indikáciami (pozri časť 4.1).</w:t>
      </w:r>
    </w:p>
    <w:p w14:paraId="2C41EE12" w14:textId="3FE73563" w:rsidR="007B2947" w:rsidRPr="00C06F2E" w:rsidRDefault="00A16E6C" w:rsidP="00736199">
      <w:pPr>
        <w:suppressAutoHyphens/>
        <w:spacing w:after="0"/>
        <w:jc w:val="left"/>
        <w:rPr>
          <w:lang w:val="pt-PT"/>
        </w:rPr>
      </w:pPr>
      <w:r w:rsidRPr="00C06F2E">
        <w:rPr>
          <w:lang w:val="pt-PT"/>
        </w:rPr>
        <w:t>Odporúčaná denná dávka Erlotinibu Zentiva je 150</w:t>
      </w:r>
      <w:r w:rsidR="00736199" w:rsidRPr="00C06F2E">
        <w:rPr>
          <w:lang w:val="pt-PT"/>
        </w:rPr>
        <w:t> </w:t>
      </w:r>
      <w:r w:rsidRPr="00C06F2E">
        <w:rPr>
          <w:lang w:val="pt-PT"/>
        </w:rPr>
        <w:t xml:space="preserve">mg, </w:t>
      </w:r>
      <w:r w:rsidR="00942341">
        <w:rPr>
          <w:lang w:val="pt-PT"/>
        </w:rPr>
        <w:t xml:space="preserve">ktorá sa užíva </w:t>
      </w:r>
      <w:r w:rsidRPr="00C06F2E">
        <w:rPr>
          <w:lang w:val="pt-PT"/>
        </w:rPr>
        <w:t>najmenej jednu hodinu pred jedlom alebo dve hodiny po jedle</w:t>
      </w:r>
      <w:r w:rsidR="007B2947" w:rsidRPr="00C06F2E">
        <w:rPr>
          <w:lang w:val="pt-PT"/>
        </w:rPr>
        <w:t>.</w:t>
      </w:r>
    </w:p>
    <w:p w14:paraId="7856EE25" w14:textId="77777777" w:rsidR="007B2947" w:rsidRPr="00C06F2E" w:rsidRDefault="007B2947" w:rsidP="00736199">
      <w:pPr>
        <w:suppressAutoHyphens/>
        <w:spacing w:after="0"/>
        <w:jc w:val="left"/>
        <w:rPr>
          <w:lang w:val="pt-PT"/>
        </w:rPr>
      </w:pPr>
    </w:p>
    <w:p w14:paraId="39FAF7D4" w14:textId="7E91A8BF" w:rsidR="007B2947" w:rsidRPr="00C06F2E" w:rsidRDefault="00A16E6C" w:rsidP="00736199">
      <w:pPr>
        <w:suppressAutoHyphens/>
        <w:spacing w:after="0"/>
        <w:jc w:val="left"/>
        <w:rPr>
          <w:u w:val="single"/>
          <w:lang w:val="pt-PT"/>
        </w:rPr>
      </w:pPr>
      <w:r w:rsidRPr="00C06F2E">
        <w:rPr>
          <w:u w:val="single"/>
          <w:lang w:val="pt-PT"/>
        </w:rPr>
        <w:t>Pacienti s karcinómom pankreasu</w:t>
      </w:r>
    </w:p>
    <w:p w14:paraId="6C02598D" w14:textId="390CA685" w:rsidR="007B2947" w:rsidRPr="00C06F2E" w:rsidRDefault="004A6898" w:rsidP="00736199">
      <w:pPr>
        <w:suppressAutoHyphens/>
        <w:spacing w:after="0"/>
        <w:jc w:val="left"/>
        <w:rPr>
          <w:lang w:val="pt-PT"/>
        </w:rPr>
      </w:pPr>
      <w:r w:rsidRPr="00C06F2E">
        <w:rPr>
          <w:lang w:val="pt-PT"/>
        </w:rPr>
        <w:t>Odporúčaná denná dávka Erlotinibu Zentiva je 100</w:t>
      </w:r>
      <w:r w:rsidR="00736199" w:rsidRPr="00C06F2E">
        <w:rPr>
          <w:lang w:val="pt-PT"/>
        </w:rPr>
        <w:t> </w:t>
      </w:r>
      <w:r w:rsidRPr="00C06F2E">
        <w:rPr>
          <w:lang w:val="pt-PT"/>
        </w:rPr>
        <w:t>mg</w:t>
      </w:r>
      <w:r w:rsidR="00942341">
        <w:rPr>
          <w:lang w:val="pt-PT"/>
        </w:rPr>
        <w:t>, ktorá sa užíva</w:t>
      </w:r>
      <w:r w:rsidRPr="00C06F2E">
        <w:rPr>
          <w:lang w:val="pt-PT"/>
        </w:rPr>
        <w:t xml:space="preserve"> najmenej jednu hodinu pred jedlom alebo dve hodiny po jedle v kombinácii s gemcitabínom (pozri indikáciu karcinómu pankreasu v súhrne charakteristických vlastností gemcitabínu</w:t>
      </w:r>
      <w:r w:rsidR="007B2947" w:rsidRPr="00C06F2E">
        <w:rPr>
          <w:lang w:val="pt-PT"/>
        </w:rPr>
        <w:t>).</w:t>
      </w:r>
    </w:p>
    <w:p w14:paraId="313278C0" w14:textId="775591E1" w:rsidR="007B2947" w:rsidRPr="00C06F2E" w:rsidRDefault="004A6898" w:rsidP="00736199">
      <w:pPr>
        <w:suppressAutoHyphens/>
        <w:spacing w:after="0"/>
        <w:jc w:val="left"/>
        <w:rPr>
          <w:lang w:val="pt-PT"/>
        </w:rPr>
      </w:pPr>
      <w:r w:rsidRPr="00C06F2E">
        <w:rPr>
          <w:lang w:val="pt-PT"/>
        </w:rPr>
        <w:t>U pacientov, u ktorých sa nevyvinie vyrážka v priebehu prvých 4-8 týždňov liečby, sa má ďalšia liečba Erlotinibom Zentiva prehodnotiť (pozri časť 5.1).</w:t>
      </w:r>
    </w:p>
    <w:p w14:paraId="784F2168" w14:textId="77777777" w:rsidR="007B2947" w:rsidRPr="00C06F2E" w:rsidRDefault="007B2947" w:rsidP="00736199">
      <w:pPr>
        <w:suppressAutoHyphens/>
        <w:spacing w:after="0"/>
        <w:jc w:val="left"/>
        <w:rPr>
          <w:lang w:val="pt-PT"/>
        </w:rPr>
      </w:pPr>
    </w:p>
    <w:p w14:paraId="0EC193D0" w14:textId="74EEA18F" w:rsidR="007B2947" w:rsidRPr="00C06F2E" w:rsidRDefault="004A6898" w:rsidP="00736199">
      <w:pPr>
        <w:suppressAutoHyphens/>
        <w:spacing w:after="0"/>
        <w:jc w:val="left"/>
        <w:rPr>
          <w:lang w:val="pt-PT"/>
        </w:rPr>
      </w:pPr>
      <w:r w:rsidRPr="00C06F2E">
        <w:rPr>
          <w:lang w:val="pt-PT"/>
        </w:rPr>
        <w:t>Ak je nevyhnutné upraviť dávkovanie, dávka sa má znižovať po 50</w:t>
      </w:r>
      <w:r w:rsidR="00736199" w:rsidRPr="00C06F2E">
        <w:rPr>
          <w:lang w:val="pt-PT"/>
        </w:rPr>
        <w:t> </w:t>
      </w:r>
      <w:r w:rsidRPr="00C06F2E">
        <w:rPr>
          <w:lang w:val="pt-PT"/>
        </w:rPr>
        <w:t>mg (pozri časť 4.4)</w:t>
      </w:r>
      <w:r w:rsidR="007B2947" w:rsidRPr="00C06F2E">
        <w:rPr>
          <w:lang w:val="pt-PT"/>
        </w:rPr>
        <w:t>.</w:t>
      </w:r>
    </w:p>
    <w:p w14:paraId="33503DF2" w14:textId="566280C2" w:rsidR="007B2947" w:rsidRPr="00C06F2E" w:rsidRDefault="004A6898" w:rsidP="00736199">
      <w:pPr>
        <w:suppressAutoHyphens/>
        <w:spacing w:after="0"/>
        <w:jc w:val="left"/>
        <w:rPr>
          <w:lang w:val="pt-PT"/>
        </w:rPr>
      </w:pPr>
      <w:r w:rsidRPr="00C06F2E">
        <w:rPr>
          <w:lang w:val="pt-PT"/>
        </w:rPr>
        <w:t>Erlotinib Zentiva</w:t>
      </w:r>
      <w:r w:rsidR="007B2947" w:rsidRPr="00C06F2E">
        <w:rPr>
          <w:lang w:val="pt-PT"/>
        </w:rPr>
        <w:t xml:space="preserve"> </w:t>
      </w:r>
      <w:r w:rsidR="00A000D2" w:rsidRPr="00C06F2E">
        <w:rPr>
          <w:lang w:val="pt-PT"/>
        </w:rPr>
        <w:t>je dostupný v silách 25</w:t>
      </w:r>
      <w:r w:rsidR="00736199" w:rsidRPr="00C06F2E">
        <w:rPr>
          <w:lang w:val="pt-PT"/>
        </w:rPr>
        <w:t> </w:t>
      </w:r>
      <w:r w:rsidR="00A000D2" w:rsidRPr="00C06F2E">
        <w:rPr>
          <w:lang w:val="pt-PT"/>
        </w:rPr>
        <w:t>mg, 100</w:t>
      </w:r>
      <w:r w:rsidR="00736199" w:rsidRPr="00C06F2E">
        <w:rPr>
          <w:lang w:val="pt-PT"/>
        </w:rPr>
        <w:t> </w:t>
      </w:r>
      <w:r w:rsidR="00A000D2" w:rsidRPr="00C06F2E">
        <w:rPr>
          <w:lang w:val="pt-PT"/>
        </w:rPr>
        <w:t>mg a 150</w:t>
      </w:r>
      <w:r w:rsidR="00736199" w:rsidRPr="00C06F2E">
        <w:rPr>
          <w:lang w:val="pt-PT"/>
        </w:rPr>
        <w:t> </w:t>
      </w:r>
      <w:r w:rsidR="00A000D2" w:rsidRPr="00C06F2E">
        <w:rPr>
          <w:lang w:val="pt-PT"/>
        </w:rPr>
        <w:t>mg</w:t>
      </w:r>
      <w:r w:rsidR="007B2947" w:rsidRPr="00C06F2E">
        <w:rPr>
          <w:lang w:val="pt-PT"/>
        </w:rPr>
        <w:t>.</w:t>
      </w:r>
    </w:p>
    <w:p w14:paraId="28654D46" w14:textId="468821DB" w:rsidR="007B2947" w:rsidRPr="00C06F2E" w:rsidRDefault="00A000D2" w:rsidP="00736199">
      <w:pPr>
        <w:suppressAutoHyphens/>
        <w:spacing w:after="0"/>
        <w:jc w:val="left"/>
        <w:rPr>
          <w:lang w:val="pt-PT"/>
        </w:rPr>
      </w:pPr>
      <w:r w:rsidRPr="00C06F2E">
        <w:rPr>
          <w:lang w:val="pt-PT"/>
        </w:rPr>
        <w:t>Súbežné užívanie substrátov a modulátorov CYP3A4 môže vyžadovať úpravu dávky (pozri časť 4.5).</w:t>
      </w:r>
    </w:p>
    <w:p w14:paraId="51524088" w14:textId="77777777" w:rsidR="007B2947" w:rsidRPr="00C06F2E" w:rsidRDefault="007B2947" w:rsidP="00736199">
      <w:pPr>
        <w:suppressAutoHyphens/>
        <w:spacing w:after="0"/>
        <w:jc w:val="left"/>
        <w:rPr>
          <w:lang w:val="pt-PT"/>
        </w:rPr>
      </w:pPr>
    </w:p>
    <w:p w14:paraId="5B8293E5" w14:textId="7BE36814" w:rsidR="007B2947" w:rsidRPr="00C06F2E" w:rsidRDefault="00A000D2" w:rsidP="00736199">
      <w:pPr>
        <w:suppressAutoHyphens/>
        <w:spacing w:after="0"/>
        <w:jc w:val="left"/>
        <w:rPr>
          <w:lang w:val="pt-PT"/>
        </w:rPr>
      </w:pPr>
      <w:r w:rsidRPr="00C06F2E">
        <w:rPr>
          <w:u w:val="single"/>
          <w:lang w:val="pt-PT"/>
        </w:rPr>
        <w:t>Porucha funkcie pečene</w:t>
      </w:r>
    </w:p>
    <w:p w14:paraId="3B70A703" w14:textId="77D979A5" w:rsidR="007B2947" w:rsidRPr="00C06F2E" w:rsidRDefault="00A000D2" w:rsidP="00736199">
      <w:pPr>
        <w:suppressAutoHyphens/>
        <w:spacing w:after="0"/>
        <w:jc w:val="left"/>
        <w:rPr>
          <w:lang w:val="pt-PT"/>
        </w:rPr>
      </w:pPr>
      <w:r w:rsidRPr="00C06F2E">
        <w:rPr>
          <w:lang w:val="pt-PT"/>
        </w:rPr>
        <w:t xml:space="preserve">Erlotinib sa eliminuje pečeňovým metabolizmom a biliárnou exkréciou. Hoci expozícia erlotinibu bola u pacientov s miernou poruchou funkcie pečene (skóre Child-Pugh 7-9) podobná ako u pacientov s primeranou funkciou pečene, je pri podávaní Erlotinibu Zentiva pacientom s poruchou funkcie pečene </w:t>
      </w:r>
      <w:r w:rsidRPr="00C06F2E">
        <w:rPr>
          <w:lang w:val="pt-PT"/>
        </w:rPr>
        <w:lastRenderedPageBreak/>
        <w:t>potrebná zvýšená opatrnosť. Pri výskyte závažných nežiaducich reakcií sa má zvážiť zníženie dávky alebo prerušenie liečby Erlotinibom Zentiva. Bezpečnosť a účinnosť erlotinibu sa neskúmal</w:t>
      </w:r>
      <w:r w:rsidR="00C7720A">
        <w:rPr>
          <w:lang w:val="pt-PT"/>
        </w:rPr>
        <w:t>i</w:t>
      </w:r>
      <w:r w:rsidRPr="00C06F2E">
        <w:rPr>
          <w:lang w:val="pt-PT"/>
        </w:rPr>
        <w:t xml:space="preserve"> u pacientov so závažnou dysfunkciou pečene (AST/SGOT a ALT/SGPT</w:t>
      </w:r>
      <w:r w:rsidR="00736199" w:rsidRPr="00C06F2E">
        <w:rPr>
          <w:lang w:val="pt-PT"/>
        </w:rPr>
        <w:t> </w:t>
      </w:r>
      <w:r w:rsidRPr="00C06F2E">
        <w:rPr>
          <w:lang w:val="pt-PT"/>
        </w:rPr>
        <w:t>&gt;</w:t>
      </w:r>
      <w:r w:rsidR="00736199" w:rsidRPr="00C06F2E">
        <w:rPr>
          <w:lang w:val="pt-PT"/>
        </w:rPr>
        <w:t> 5 × </w:t>
      </w:r>
      <w:r w:rsidRPr="00C06F2E">
        <w:rPr>
          <w:lang w:val="pt-PT"/>
        </w:rPr>
        <w:t>ULN). Neodporúča sa používať Erlotinib Zentiva u pacientov so závažnou dysfunkciou pečene (pozri časť 5.2).</w:t>
      </w:r>
    </w:p>
    <w:p w14:paraId="6BC3EA5D" w14:textId="77777777" w:rsidR="007B2947" w:rsidRPr="00C06F2E" w:rsidRDefault="007B2947" w:rsidP="00736199">
      <w:pPr>
        <w:suppressAutoHyphens/>
        <w:spacing w:after="0"/>
        <w:jc w:val="left"/>
        <w:rPr>
          <w:lang w:val="pt-PT"/>
        </w:rPr>
      </w:pPr>
    </w:p>
    <w:p w14:paraId="5602EE8A" w14:textId="1E390EEB" w:rsidR="007B2947" w:rsidRPr="00C06F2E" w:rsidRDefault="00976A02" w:rsidP="00736199">
      <w:pPr>
        <w:suppressAutoHyphens/>
        <w:spacing w:after="0"/>
        <w:jc w:val="left"/>
        <w:rPr>
          <w:u w:val="single"/>
          <w:lang w:val="pt-PT"/>
        </w:rPr>
      </w:pPr>
      <w:r w:rsidRPr="00C06F2E">
        <w:rPr>
          <w:u w:val="single"/>
          <w:lang w:val="pt-PT"/>
        </w:rPr>
        <w:t>Porucha funkcie obličiek</w:t>
      </w:r>
    </w:p>
    <w:p w14:paraId="49860E9B" w14:textId="6D1CB4FC" w:rsidR="007B2947" w:rsidRPr="00C06F2E" w:rsidRDefault="00976A02" w:rsidP="00736199">
      <w:pPr>
        <w:suppressAutoHyphens/>
        <w:spacing w:after="0"/>
        <w:jc w:val="left"/>
        <w:rPr>
          <w:lang w:val="pt-PT"/>
        </w:rPr>
      </w:pPr>
      <w:r w:rsidRPr="00C06F2E">
        <w:rPr>
          <w:lang w:val="pt-PT"/>
        </w:rPr>
        <w:t>Bezpečnosť a účinnosť erlotinibu sa neskúmal</w:t>
      </w:r>
      <w:r w:rsidR="00C7720A">
        <w:rPr>
          <w:lang w:val="pt-PT"/>
        </w:rPr>
        <w:t>i</w:t>
      </w:r>
      <w:r w:rsidRPr="00C06F2E">
        <w:rPr>
          <w:lang w:val="pt-PT"/>
        </w:rPr>
        <w:t xml:space="preserve"> u pacientov s poruchou funkcie obličiek (sérová koncentrácia kreatinínu &gt;1,5-násobok hornej hranice normy). Z farmakokinetických údajov vyplýva, že u pacientov s miernou alebo stredne závažnou poruchou funkcie obličiek nie je potrebné upraviť dávkovanie (pozri časť 5.2). Použitie Erlotinibu Zentiva u pacientov so závažnou poruchou funkcie obličiek sa neodporúča</w:t>
      </w:r>
      <w:r w:rsidR="007B2947" w:rsidRPr="00C06F2E">
        <w:rPr>
          <w:lang w:val="pt-PT"/>
        </w:rPr>
        <w:t>.</w:t>
      </w:r>
    </w:p>
    <w:p w14:paraId="36EB2E6B" w14:textId="77777777" w:rsidR="007B2947" w:rsidRPr="00C06F2E" w:rsidRDefault="007B2947" w:rsidP="00736199">
      <w:pPr>
        <w:suppressAutoHyphens/>
        <w:spacing w:after="0"/>
        <w:jc w:val="left"/>
        <w:rPr>
          <w:lang w:val="pt-PT"/>
        </w:rPr>
      </w:pPr>
    </w:p>
    <w:p w14:paraId="77609E1A" w14:textId="76B9B57F" w:rsidR="007B2947" w:rsidRPr="00C06F2E" w:rsidRDefault="007B2947" w:rsidP="00736199">
      <w:pPr>
        <w:suppressAutoHyphens/>
        <w:spacing w:after="0"/>
        <w:jc w:val="left"/>
        <w:rPr>
          <w:lang w:val="pt-PT"/>
        </w:rPr>
      </w:pPr>
      <w:r w:rsidRPr="00C06F2E">
        <w:rPr>
          <w:u w:val="single"/>
          <w:lang w:val="pt-PT"/>
        </w:rPr>
        <w:t>Pediatric</w:t>
      </w:r>
      <w:r w:rsidR="00976A02" w:rsidRPr="00C06F2E">
        <w:rPr>
          <w:u w:val="single"/>
          <w:lang w:val="pt-PT"/>
        </w:rPr>
        <w:t>ká</w:t>
      </w:r>
      <w:r w:rsidRPr="00C06F2E">
        <w:rPr>
          <w:u w:val="single"/>
          <w:lang w:val="pt-PT"/>
        </w:rPr>
        <w:t xml:space="preserve"> popul</w:t>
      </w:r>
      <w:r w:rsidR="00976A02" w:rsidRPr="00C06F2E">
        <w:rPr>
          <w:u w:val="single"/>
          <w:lang w:val="pt-PT"/>
        </w:rPr>
        <w:t>ácia</w:t>
      </w:r>
    </w:p>
    <w:p w14:paraId="509E467A" w14:textId="2DBA8558" w:rsidR="007B2947" w:rsidRPr="00C06F2E" w:rsidRDefault="00976A02" w:rsidP="00736199">
      <w:pPr>
        <w:suppressAutoHyphens/>
        <w:spacing w:after="0"/>
        <w:jc w:val="left"/>
        <w:rPr>
          <w:lang w:val="pt-PT"/>
        </w:rPr>
      </w:pPr>
      <w:r w:rsidRPr="00C06F2E">
        <w:rPr>
          <w:lang w:val="pt-PT"/>
        </w:rPr>
        <w:t>Bezpečnosť a účinnosť erlotinibu v schválených indikáciách nebol</w:t>
      </w:r>
      <w:r w:rsidR="009B22FF">
        <w:rPr>
          <w:lang w:val="pt-PT"/>
        </w:rPr>
        <w:t>i</w:t>
      </w:r>
      <w:r w:rsidRPr="00C06F2E">
        <w:rPr>
          <w:lang w:val="pt-PT"/>
        </w:rPr>
        <w:t xml:space="preserve"> stanoven</w:t>
      </w:r>
      <w:r w:rsidR="009B22FF">
        <w:rPr>
          <w:lang w:val="pt-PT"/>
        </w:rPr>
        <w:t>é</w:t>
      </w:r>
      <w:r w:rsidRPr="00C06F2E">
        <w:rPr>
          <w:lang w:val="pt-PT"/>
        </w:rPr>
        <w:t xml:space="preserve"> u pacientov vo veku do 18</w:t>
      </w:r>
      <w:r w:rsidR="00736199" w:rsidRPr="00C06F2E">
        <w:rPr>
          <w:lang w:val="pt-PT"/>
        </w:rPr>
        <w:t> </w:t>
      </w:r>
      <w:r w:rsidRPr="00C06F2E">
        <w:rPr>
          <w:lang w:val="pt-PT"/>
        </w:rPr>
        <w:t xml:space="preserve">rokov. Pediatrickým pacientom sa neodporúča podávať </w:t>
      </w:r>
      <w:r w:rsidR="00736199" w:rsidRPr="00C06F2E">
        <w:rPr>
          <w:lang w:val="pt-PT"/>
        </w:rPr>
        <w:t>Erlotinib Zentiva</w:t>
      </w:r>
      <w:r w:rsidR="007B2947" w:rsidRPr="00C06F2E">
        <w:rPr>
          <w:lang w:val="pt-PT"/>
        </w:rPr>
        <w:t>.</w:t>
      </w:r>
    </w:p>
    <w:p w14:paraId="63029A0C" w14:textId="77777777" w:rsidR="007B2947" w:rsidRPr="00C06F2E" w:rsidRDefault="007B2947" w:rsidP="00736199">
      <w:pPr>
        <w:suppressAutoHyphens/>
        <w:spacing w:after="0"/>
        <w:jc w:val="left"/>
        <w:rPr>
          <w:lang w:val="pt-PT"/>
        </w:rPr>
      </w:pPr>
    </w:p>
    <w:p w14:paraId="75DCB57E" w14:textId="167FA7C2" w:rsidR="007B2947" w:rsidRPr="00C06F2E" w:rsidRDefault="00976A02" w:rsidP="00736199">
      <w:pPr>
        <w:suppressAutoHyphens/>
        <w:spacing w:after="0"/>
        <w:jc w:val="left"/>
        <w:rPr>
          <w:lang w:val="pt-PT"/>
        </w:rPr>
      </w:pPr>
      <w:r w:rsidRPr="00C06F2E">
        <w:rPr>
          <w:u w:val="single"/>
          <w:lang w:val="pt-PT"/>
        </w:rPr>
        <w:t>Fajčiari</w:t>
      </w:r>
    </w:p>
    <w:p w14:paraId="2F2B9BA2" w14:textId="0E58CE6B" w:rsidR="007B2947" w:rsidRPr="00C06F2E" w:rsidRDefault="00976A02" w:rsidP="00736199">
      <w:pPr>
        <w:suppressAutoHyphens/>
        <w:spacing w:after="0"/>
        <w:jc w:val="left"/>
        <w:rPr>
          <w:lang w:val="pt-PT"/>
        </w:rPr>
      </w:pPr>
      <w:r w:rsidRPr="00C06F2E">
        <w:rPr>
          <w:lang w:val="pt-PT"/>
        </w:rPr>
        <w:t>Dokázalo sa, že fajčenie cigariet znižuje expozíciu erlotinibu o 50-60</w:t>
      </w:r>
      <w:r w:rsidR="00736199" w:rsidRPr="00C06F2E">
        <w:rPr>
          <w:lang w:val="pt-PT"/>
        </w:rPr>
        <w:t> </w:t>
      </w:r>
      <w:r w:rsidRPr="00C06F2E">
        <w:rPr>
          <w:lang w:val="pt-PT"/>
        </w:rPr>
        <w:t xml:space="preserve">%. Maximálne tolerovaná dávka </w:t>
      </w:r>
      <w:r w:rsidR="00736199" w:rsidRPr="00C06F2E">
        <w:rPr>
          <w:lang w:val="pt-PT"/>
        </w:rPr>
        <w:t xml:space="preserve">Erlotinibu Zentiva </w:t>
      </w:r>
      <w:r w:rsidRPr="00C06F2E">
        <w:rPr>
          <w:lang w:val="pt-PT"/>
        </w:rPr>
        <w:t>u pacientov s NSCLC, ktorí v súčasnej dobe fajčia cigarety bola 300</w:t>
      </w:r>
      <w:r w:rsidR="00736199" w:rsidRPr="00C06F2E">
        <w:rPr>
          <w:lang w:val="pt-PT"/>
        </w:rPr>
        <w:t> </w:t>
      </w:r>
      <w:r w:rsidRPr="00C06F2E">
        <w:rPr>
          <w:lang w:val="pt-PT"/>
        </w:rPr>
        <w:t>mg. U pacientov, ktorí pokračovali vo fajčení cigariet v druhej línii liečby po zlyhaní chemo</w:t>
      </w:r>
      <w:r w:rsidR="00276769" w:rsidRPr="00C06F2E">
        <w:rPr>
          <w:lang w:val="pt-PT"/>
        </w:rPr>
        <w:t>terapie, nepreukázala dávka 300 </w:t>
      </w:r>
      <w:r w:rsidRPr="00C06F2E">
        <w:rPr>
          <w:lang w:val="pt-PT"/>
        </w:rPr>
        <w:t>mg vyššiu účinnosť oproti dávke 150</w:t>
      </w:r>
      <w:r w:rsidR="00276769" w:rsidRPr="00C06F2E">
        <w:rPr>
          <w:lang w:val="pt-PT"/>
        </w:rPr>
        <w:t> </w:t>
      </w:r>
      <w:r w:rsidRPr="00C06F2E">
        <w:rPr>
          <w:lang w:val="pt-PT"/>
        </w:rPr>
        <w:t>mg. Bezpečnostné údaje boli porovnateľné medzi dávkami 300</w:t>
      </w:r>
      <w:r w:rsidR="00276769" w:rsidRPr="00C06F2E">
        <w:rPr>
          <w:lang w:val="pt-PT"/>
        </w:rPr>
        <w:t> </w:t>
      </w:r>
      <w:r w:rsidRPr="00C06F2E">
        <w:rPr>
          <w:lang w:val="pt-PT"/>
        </w:rPr>
        <w:t>mg a 150</w:t>
      </w:r>
      <w:r w:rsidR="00276769" w:rsidRPr="00C06F2E">
        <w:rPr>
          <w:lang w:val="pt-PT"/>
        </w:rPr>
        <w:t> </w:t>
      </w:r>
      <w:r w:rsidRPr="00C06F2E">
        <w:rPr>
          <w:lang w:val="pt-PT"/>
        </w:rPr>
        <w:t>mg; avšak u pacientov, ktorí dostávali vyššiu dávku erlotinibu, došlo k početnému zvýšeniu výskytu vyrážky, intersticiálnej choroby pľúc a hnačky.</w:t>
      </w:r>
      <w:r w:rsidR="009B22FF">
        <w:rPr>
          <w:lang w:val="pt-PT"/>
        </w:rPr>
        <w:t xml:space="preserve"> </w:t>
      </w:r>
      <w:r w:rsidRPr="00C06F2E">
        <w:rPr>
          <w:lang w:val="pt-PT"/>
        </w:rPr>
        <w:t>Preto sa má fajčiarom, ktorí v súčasnej dobe fajčia odporučiť, aby prestali fajčiť (pozri časti 4.4, 4.5, 5.1 a 5.2</w:t>
      </w:r>
      <w:r w:rsidR="00224CAC" w:rsidRPr="00C06F2E">
        <w:rPr>
          <w:lang w:val="pt-PT"/>
        </w:rPr>
        <w:t>)</w:t>
      </w:r>
      <w:r w:rsidR="007B2947" w:rsidRPr="00C06F2E">
        <w:rPr>
          <w:lang w:val="pt-PT"/>
        </w:rPr>
        <w:t>.</w:t>
      </w:r>
    </w:p>
    <w:p w14:paraId="36FE6F3E" w14:textId="77777777" w:rsidR="00435ECB" w:rsidRPr="00C06F2E" w:rsidRDefault="00435ECB" w:rsidP="00736199">
      <w:pPr>
        <w:spacing w:after="0"/>
        <w:jc w:val="left"/>
        <w:rPr>
          <w:lang w:val="pt-PT"/>
        </w:rPr>
      </w:pPr>
    </w:p>
    <w:p w14:paraId="59FE6BBF" w14:textId="15BB1947" w:rsidR="00435ECB" w:rsidRPr="00C06F2E" w:rsidRDefault="002A476A" w:rsidP="009B22FF">
      <w:pPr>
        <w:pStyle w:val="StyleHeadingFreeBOLDNOCAPS"/>
        <w:tabs>
          <w:tab w:val="left" w:pos="567"/>
        </w:tabs>
        <w:spacing w:after="0"/>
        <w:rPr>
          <w:lang w:val="pt-PT"/>
        </w:rPr>
      </w:pPr>
      <w:r w:rsidRPr="00C06F2E">
        <w:rPr>
          <w:lang w:val="pt-PT"/>
        </w:rPr>
        <w:t xml:space="preserve">4.3 </w:t>
      </w:r>
      <w:r w:rsidRPr="00C06F2E">
        <w:rPr>
          <w:lang w:val="pt-PT"/>
        </w:rPr>
        <w:tab/>
        <w:t>K</w:t>
      </w:r>
      <w:r w:rsidR="00435ECB" w:rsidRPr="00C06F2E">
        <w:rPr>
          <w:lang w:val="pt-PT"/>
        </w:rPr>
        <w:t>ontraindi</w:t>
      </w:r>
      <w:r w:rsidRPr="00C06F2E">
        <w:rPr>
          <w:lang w:val="pt-PT"/>
        </w:rPr>
        <w:t>kácie</w:t>
      </w:r>
    </w:p>
    <w:p w14:paraId="14C9E675" w14:textId="77777777" w:rsidR="00276769" w:rsidRPr="00C06F2E" w:rsidRDefault="00276769" w:rsidP="0028022E">
      <w:pPr>
        <w:pStyle w:val="StyleHeadingFreeBOLDNOCAPS"/>
        <w:spacing w:after="0"/>
        <w:rPr>
          <w:lang w:val="pt-PT"/>
        </w:rPr>
      </w:pPr>
    </w:p>
    <w:p w14:paraId="10787081" w14:textId="7C3D2B32" w:rsidR="007B2947" w:rsidRPr="00C06F2E" w:rsidRDefault="002A476A" w:rsidP="00E60C58">
      <w:pPr>
        <w:suppressAutoHyphens/>
        <w:spacing w:after="0"/>
        <w:jc w:val="left"/>
        <w:rPr>
          <w:lang w:val="pt-PT"/>
        </w:rPr>
      </w:pPr>
      <w:r w:rsidRPr="00C06F2E">
        <w:rPr>
          <w:lang w:val="pt-PT"/>
        </w:rPr>
        <w:t>Precitlivenosť na erlotinib alebo na ktorúkoľvek z pomocných látok uvedených v časti 6.1</w:t>
      </w:r>
      <w:r w:rsidR="007B2947" w:rsidRPr="00C06F2E">
        <w:rPr>
          <w:lang w:val="pt-PT"/>
        </w:rPr>
        <w:t>.</w:t>
      </w:r>
    </w:p>
    <w:p w14:paraId="7780D0D6" w14:textId="77777777" w:rsidR="00E91023" w:rsidRPr="00C06F2E" w:rsidRDefault="00E91023" w:rsidP="0028022E">
      <w:pPr>
        <w:tabs>
          <w:tab w:val="left" w:pos="0"/>
        </w:tabs>
        <w:spacing w:after="0"/>
        <w:rPr>
          <w:lang w:val="pt-PT"/>
        </w:rPr>
      </w:pPr>
    </w:p>
    <w:p w14:paraId="23D8A8FD" w14:textId="4FBCACB4" w:rsidR="00435ECB" w:rsidRPr="00C06F2E" w:rsidRDefault="00435ECB" w:rsidP="009B22FF">
      <w:pPr>
        <w:pStyle w:val="StyleHeadingFreeBOLDNOCAPS"/>
        <w:tabs>
          <w:tab w:val="left" w:pos="567"/>
        </w:tabs>
        <w:spacing w:after="0"/>
        <w:rPr>
          <w:lang w:val="pl-PL"/>
        </w:rPr>
      </w:pPr>
      <w:r w:rsidRPr="00C06F2E">
        <w:rPr>
          <w:lang w:val="pl-PL"/>
        </w:rPr>
        <w:t xml:space="preserve">4.4 </w:t>
      </w:r>
      <w:r w:rsidRPr="00C06F2E">
        <w:rPr>
          <w:lang w:val="pl-PL"/>
        </w:rPr>
        <w:tab/>
      </w:r>
      <w:r w:rsidR="003C41DC" w:rsidRPr="00C06F2E">
        <w:rPr>
          <w:lang w:val="pl-PL"/>
        </w:rPr>
        <w:t>Osobitné upozornenia a opatrenia pri používaní</w:t>
      </w:r>
    </w:p>
    <w:p w14:paraId="504C7BAB" w14:textId="77777777" w:rsidR="00276769" w:rsidRPr="00C06F2E" w:rsidRDefault="00276769" w:rsidP="0028022E">
      <w:pPr>
        <w:pStyle w:val="StyleHeadingFreeBOLDNOCAPS"/>
        <w:spacing w:after="0"/>
        <w:rPr>
          <w:lang w:val="pl-PL"/>
        </w:rPr>
      </w:pPr>
    </w:p>
    <w:p w14:paraId="49D7C681" w14:textId="08895C21" w:rsidR="007B2947" w:rsidRPr="00C06F2E" w:rsidRDefault="003C41DC" w:rsidP="00E60C58">
      <w:pPr>
        <w:suppressAutoHyphens/>
        <w:spacing w:after="0"/>
        <w:jc w:val="left"/>
        <w:rPr>
          <w:u w:val="single"/>
          <w:lang w:val="pl-PL"/>
        </w:rPr>
      </w:pPr>
      <w:r w:rsidRPr="00C06F2E">
        <w:rPr>
          <w:u w:val="single"/>
          <w:lang w:val="pl-PL"/>
        </w:rPr>
        <w:t>Hodnotenie stavu mutácie EGFR</w:t>
      </w:r>
    </w:p>
    <w:p w14:paraId="75E71F79" w14:textId="62E4EEDB" w:rsidR="004C771D" w:rsidRPr="00C06F2E" w:rsidRDefault="003C41DC" w:rsidP="00E60C58">
      <w:pPr>
        <w:suppressAutoHyphens/>
        <w:spacing w:after="0"/>
        <w:jc w:val="left"/>
        <w:rPr>
          <w:lang w:val="pl-PL"/>
        </w:rPr>
      </w:pPr>
      <w:r w:rsidRPr="00C06F2E">
        <w:rPr>
          <w:lang w:val="pl-PL"/>
        </w:rPr>
        <w:t xml:space="preserve">Pri zvažovaní podávania </w:t>
      </w:r>
      <w:r w:rsidR="00736199" w:rsidRPr="00C06F2E">
        <w:rPr>
          <w:lang w:val="pl-PL"/>
        </w:rPr>
        <w:t xml:space="preserve">Erlotinibu Zentiva </w:t>
      </w:r>
      <w:r w:rsidRPr="00C06F2E">
        <w:rPr>
          <w:lang w:val="pl-PL"/>
        </w:rPr>
        <w:t>v prvej línii liečby alebo na udržiavaciu liečbu pacientom s lokálne pokročilým alebo metastatickým NSCLC je dôležité, aby bol u pacienta stanovený stav mutácie EGFR.</w:t>
      </w:r>
    </w:p>
    <w:p w14:paraId="3EAF5247" w14:textId="77777777" w:rsidR="004C771D" w:rsidRPr="00C06F2E" w:rsidRDefault="004C771D" w:rsidP="00E60C58">
      <w:pPr>
        <w:suppressAutoHyphens/>
        <w:spacing w:after="0"/>
        <w:jc w:val="left"/>
        <w:rPr>
          <w:lang w:val="pl-PL"/>
        </w:rPr>
      </w:pPr>
    </w:p>
    <w:p w14:paraId="66F4483B" w14:textId="679A48E6" w:rsidR="00CF55F7" w:rsidRPr="00C06F2E" w:rsidRDefault="003C41DC" w:rsidP="00E60C58">
      <w:pPr>
        <w:pStyle w:val="Zkladntext"/>
        <w:spacing w:after="0" w:line="242" w:lineRule="auto"/>
        <w:ind w:right="-1"/>
        <w:jc w:val="left"/>
        <w:rPr>
          <w:lang w:val="pl-PL"/>
        </w:rPr>
      </w:pPr>
      <w:r w:rsidRPr="00C06F2E">
        <w:rPr>
          <w:lang w:val="pl-PL"/>
        </w:rPr>
        <w:t>Na stanovenie stavu mutácie EGFR sa má použiť validovaný, robustný a spoľahlivý test s vysokou senzitivitou a vopred špecikovaným prahom pozitivity</w:t>
      </w:r>
      <w:r w:rsidR="00F968D7">
        <w:rPr>
          <w:lang w:val="pl-PL"/>
        </w:rPr>
        <w:t xml:space="preserve"> a preukázaným použitím na stanovenie mutácie EGFR</w:t>
      </w:r>
      <w:r w:rsidRPr="00C06F2E">
        <w:rPr>
          <w:lang w:val="pl-PL"/>
        </w:rPr>
        <w:t>, pomocou vyšetrenia nádorovej DNA buď z odobranej vzorky tkaniva alebo z voľnej cirkulujúcej DNA (cfDNA) získanej zo vzorky krv</w:t>
      </w:r>
      <w:r w:rsidR="00F968D7">
        <w:rPr>
          <w:lang w:val="pl-PL"/>
        </w:rPr>
        <w:t>i</w:t>
      </w:r>
      <w:r w:rsidRPr="00C06F2E">
        <w:rPr>
          <w:lang w:val="pl-PL"/>
        </w:rPr>
        <w:t xml:space="preserve"> </w:t>
      </w:r>
      <w:r w:rsidR="00F968D7">
        <w:rPr>
          <w:lang w:val="pl-PL"/>
        </w:rPr>
        <w:t>(</w:t>
      </w:r>
      <w:r w:rsidRPr="00C06F2E">
        <w:rPr>
          <w:lang w:val="pl-PL"/>
        </w:rPr>
        <w:t>plazmy</w:t>
      </w:r>
      <w:r w:rsidR="00F968D7">
        <w:rPr>
          <w:lang w:val="pl-PL"/>
        </w:rPr>
        <w:t>)</w:t>
      </w:r>
      <w:r w:rsidRPr="00C06F2E">
        <w:rPr>
          <w:lang w:val="pl-PL"/>
        </w:rPr>
        <w:t>, podľa zaužívaných lokálnych medicínskych postupov</w:t>
      </w:r>
      <w:r w:rsidR="004C771D" w:rsidRPr="00C06F2E">
        <w:rPr>
          <w:lang w:val="pl-PL"/>
        </w:rPr>
        <w:t>.</w:t>
      </w:r>
    </w:p>
    <w:p w14:paraId="4483E27D" w14:textId="77777777" w:rsidR="004C771D" w:rsidRPr="00C06F2E" w:rsidRDefault="004C771D" w:rsidP="00E60C58">
      <w:pPr>
        <w:suppressAutoHyphens/>
        <w:spacing w:after="0"/>
        <w:jc w:val="left"/>
        <w:rPr>
          <w:lang w:val="pl-PL"/>
        </w:rPr>
      </w:pPr>
    </w:p>
    <w:p w14:paraId="1294B433" w14:textId="7C7E0CB7" w:rsidR="004C771D" w:rsidRPr="00C06F2E" w:rsidRDefault="00C34D1C" w:rsidP="00E60C58">
      <w:pPr>
        <w:suppressAutoHyphens/>
        <w:spacing w:after="0"/>
        <w:jc w:val="left"/>
        <w:rPr>
          <w:spacing w:val="1"/>
          <w:lang w:val="pl-PL"/>
        </w:rPr>
      </w:pPr>
      <w:r w:rsidRPr="00C06F2E">
        <w:rPr>
          <w:spacing w:val="1"/>
          <w:lang w:val="pl-PL"/>
        </w:rPr>
        <w:t>Pokiaľ sa použije na vyšetrenie cfDNA test z krvnej plazmy a výsledok aktiv</w:t>
      </w:r>
      <w:r w:rsidR="00FB7B7A">
        <w:rPr>
          <w:spacing w:val="1"/>
          <w:lang w:val="pl-PL"/>
        </w:rPr>
        <w:t>ujúcich</w:t>
      </w:r>
      <w:r w:rsidRPr="00C06F2E">
        <w:rPr>
          <w:spacing w:val="1"/>
          <w:lang w:val="pl-PL"/>
        </w:rPr>
        <w:t xml:space="preserve"> mutácií bude negatívny, vykonajte vyšetrenie z tkaniva z akejkoľvek časti z dôvodu možných falošne negatívnych výsledkov vyšetrenia z krvnej plazmy</w:t>
      </w:r>
      <w:r w:rsidR="004C771D" w:rsidRPr="00C06F2E">
        <w:rPr>
          <w:spacing w:val="1"/>
          <w:lang w:val="pl-PL"/>
        </w:rPr>
        <w:t>.</w:t>
      </w:r>
    </w:p>
    <w:p w14:paraId="6DD1B362" w14:textId="77777777" w:rsidR="007B2947" w:rsidRPr="00C06F2E" w:rsidRDefault="007B2947" w:rsidP="00E60C58">
      <w:pPr>
        <w:suppressAutoHyphens/>
        <w:spacing w:after="0"/>
        <w:jc w:val="left"/>
        <w:rPr>
          <w:lang w:val="pl-PL"/>
        </w:rPr>
      </w:pPr>
    </w:p>
    <w:p w14:paraId="20DBB2E9" w14:textId="41AA0C55" w:rsidR="007B2947" w:rsidRPr="00C06F2E" w:rsidRDefault="00C34D1C" w:rsidP="00E60C58">
      <w:pPr>
        <w:suppressAutoHyphens/>
        <w:spacing w:after="0"/>
        <w:jc w:val="left"/>
        <w:rPr>
          <w:u w:val="single"/>
          <w:lang w:val="pl-PL"/>
        </w:rPr>
      </w:pPr>
      <w:r w:rsidRPr="00C06F2E">
        <w:rPr>
          <w:u w:val="single"/>
          <w:lang w:val="pl-PL"/>
        </w:rPr>
        <w:t>Fajčiari</w:t>
      </w:r>
    </w:p>
    <w:p w14:paraId="276B554F" w14:textId="1309AECC" w:rsidR="007B2947" w:rsidRPr="00C06F2E" w:rsidRDefault="00C34D1C" w:rsidP="00E60C58">
      <w:pPr>
        <w:suppressAutoHyphens/>
        <w:spacing w:after="0"/>
        <w:jc w:val="left"/>
        <w:rPr>
          <w:lang w:val="pl-PL"/>
        </w:rPr>
      </w:pPr>
      <w:r w:rsidRPr="00C06F2E">
        <w:rPr>
          <w:lang w:val="pl-PL"/>
        </w:rPr>
        <w:t>Súčasným fajčiarom sa má odporúčať, aby prestali fajčiť, pretože plazmatické koncentrácie erlotinibu u fajčiarov sú v porovnaní s nefajčiarmi znížené. Stupeň zníženia je pravdepodobne klinicky významný (pozri časti 4.2, 4.5, 5.1 a 5.2).</w:t>
      </w:r>
    </w:p>
    <w:p w14:paraId="5BB4882C" w14:textId="77777777" w:rsidR="00E63C2A" w:rsidRPr="00C06F2E" w:rsidRDefault="00E63C2A" w:rsidP="00E60C58">
      <w:pPr>
        <w:suppressAutoHyphens/>
        <w:spacing w:after="0"/>
        <w:jc w:val="left"/>
        <w:rPr>
          <w:lang w:val="pl-PL"/>
        </w:rPr>
      </w:pPr>
    </w:p>
    <w:p w14:paraId="37D8DCF9" w14:textId="567E0995" w:rsidR="007B2947" w:rsidRPr="00C06F2E" w:rsidRDefault="00C34D1C" w:rsidP="00E60C58">
      <w:pPr>
        <w:suppressAutoHyphens/>
        <w:spacing w:after="0"/>
        <w:jc w:val="left"/>
        <w:rPr>
          <w:lang w:val="pl-PL"/>
        </w:rPr>
      </w:pPr>
      <w:r w:rsidRPr="00C06F2E">
        <w:rPr>
          <w:u w:val="single"/>
          <w:lang w:val="pl-PL"/>
        </w:rPr>
        <w:t>Intersticiálna choroba pľúc</w:t>
      </w:r>
    </w:p>
    <w:p w14:paraId="15A1FFE5" w14:textId="6AEDBA21" w:rsidR="007B2947" w:rsidRPr="00C06F2E" w:rsidRDefault="00500478" w:rsidP="00E60C58">
      <w:pPr>
        <w:suppressAutoHyphens/>
        <w:spacing w:after="0"/>
        <w:jc w:val="left"/>
        <w:rPr>
          <w:lang w:val="pl-PL"/>
        </w:rPr>
      </w:pPr>
      <w:r w:rsidRPr="00C06F2E">
        <w:rPr>
          <w:lang w:val="pl-PL"/>
        </w:rPr>
        <w:t xml:space="preserve">U pacientov, ktorí dostávali </w:t>
      </w:r>
      <w:r w:rsidR="00B02371">
        <w:rPr>
          <w:lang w:val="pl-PL"/>
        </w:rPr>
        <w:t>e</w:t>
      </w:r>
      <w:r w:rsidR="00736199" w:rsidRPr="00C06F2E">
        <w:rPr>
          <w:lang w:val="pl-PL"/>
        </w:rPr>
        <w:t xml:space="preserve">rlotinib </w:t>
      </w:r>
      <w:r w:rsidRPr="00C06F2E">
        <w:rPr>
          <w:lang w:val="pl-PL"/>
        </w:rPr>
        <w:t xml:space="preserve">na liečbu nemalobunkového karcinómu pľúc (NSCLC), karcinómu pankreasu alebo iných pokročilých solídnych karcinómov boli </w:t>
      </w:r>
      <w:r w:rsidR="00B02371">
        <w:rPr>
          <w:lang w:val="pl-PL"/>
        </w:rPr>
        <w:t xml:space="preserve">menej často </w:t>
      </w:r>
      <w:r w:rsidRPr="00C06F2E">
        <w:rPr>
          <w:lang w:val="pl-PL"/>
        </w:rPr>
        <w:t xml:space="preserve">hlásené prípady podobné intersticiálnej chorobe pľúc (ILD), vrátane smrteľných prípadov. V pivotnej štúdii BR.21 u </w:t>
      </w:r>
      <w:r w:rsidRPr="00C06F2E">
        <w:rPr>
          <w:lang w:val="pl-PL"/>
        </w:rPr>
        <w:lastRenderedPageBreak/>
        <w:t>NSCLC bol výskyt ILD (0,8</w:t>
      </w:r>
      <w:r w:rsidR="00276769" w:rsidRPr="00C06F2E">
        <w:rPr>
          <w:lang w:val="pl-PL"/>
        </w:rPr>
        <w:t> </w:t>
      </w:r>
      <w:r w:rsidRPr="00C06F2E">
        <w:rPr>
          <w:lang w:val="pl-PL"/>
        </w:rPr>
        <w:t xml:space="preserve">%) rovnaký v </w:t>
      </w:r>
      <w:r w:rsidR="00B02371">
        <w:rPr>
          <w:lang w:val="pl-PL"/>
        </w:rPr>
        <w:t>skupine</w:t>
      </w:r>
      <w:r w:rsidRPr="00C06F2E">
        <w:rPr>
          <w:lang w:val="pl-PL"/>
        </w:rPr>
        <w:t>, ktorá dostávala placebo, ako aj v s</w:t>
      </w:r>
      <w:r w:rsidR="009D56D9" w:rsidRPr="00C06F2E">
        <w:rPr>
          <w:lang w:val="pl-PL"/>
        </w:rPr>
        <w:t xml:space="preserve">kupine, ktorá dostávala </w:t>
      </w:r>
      <w:r w:rsidR="007B2947" w:rsidRPr="00C06F2E">
        <w:rPr>
          <w:lang w:val="pl-PL"/>
        </w:rPr>
        <w:t>erlotinib.</w:t>
      </w:r>
      <w:r w:rsidR="009D56D9" w:rsidRPr="00C06F2E">
        <w:rPr>
          <w:lang w:val="pl-PL"/>
        </w:rPr>
        <w:t xml:space="preserve"> Pri metaanalýzach NSCLC v randomizovaných kontrolných klinických štúdiách (s výnimkou štúdií fázy I a fázy II s jedným ramenom liečby, vzhľadom na chýbajúcu kontrolnú skupinu) bol výskyt prípadov podobných ILD u pacientov liečených erlotinibom 0,9</w:t>
      </w:r>
      <w:r w:rsidR="00276769" w:rsidRPr="00C06F2E">
        <w:rPr>
          <w:lang w:val="pl-PL"/>
        </w:rPr>
        <w:t> %, v porovnaní s 0,4 </w:t>
      </w:r>
      <w:r w:rsidR="009D56D9" w:rsidRPr="00C06F2E">
        <w:rPr>
          <w:lang w:val="pl-PL"/>
        </w:rPr>
        <w:t>% u pacientov v kontrolných ramenách</w:t>
      </w:r>
      <w:r w:rsidR="007B2947" w:rsidRPr="00C06F2E">
        <w:rPr>
          <w:lang w:val="pl-PL"/>
        </w:rPr>
        <w:t xml:space="preserve"> </w:t>
      </w:r>
      <w:r w:rsidR="009D56D9" w:rsidRPr="00C06F2E">
        <w:rPr>
          <w:lang w:val="pl-PL"/>
        </w:rPr>
        <w:t>V štúdii karcinómu pankreasu v kombinácii s gemcitabínom bola incidencia prípadov podobných ILD 2,5</w:t>
      </w:r>
      <w:r w:rsidR="00276769" w:rsidRPr="00C06F2E">
        <w:rPr>
          <w:lang w:val="pl-PL"/>
        </w:rPr>
        <w:t> </w:t>
      </w:r>
      <w:r w:rsidR="009D56D9" w:rsidRPr="00C06F2E">
        <w:rPr>
          <w:lang w:val="pl-PL"/>
        </w:rPr>
        <w:t>% v skupine liečenej s erlotinibom plus gemcitabín oproti 0,4</w:t>
      </w:r>
      <w:r w:rsidR="00276769" w:rsidRPr="00C06F2E">
        <w:rPr>
          <w:lang w:val="pl-PL"/>
        </w:rPr>
        <w:t> </w:t>
      </w:r>
      <w:r w:rsidR="009D56D9" w:rsidRPr="00C06F2E">
        <w:rPr>
          <w:lang w:val="pl-PL"/>
        </w:rPr>
        <w:t>% v skupine s placebom plus gemcitabín.</w:t>
      </w:r>
      <w:r w:rsidR="007B2947" w:rsidRPr="00C06F2E">
        <w:rPr>
          <w:lang w:val="pl-PL"/>
        </w:rPr>
        <w:t xml:space="preserve"> </w:t>
      </w:r>
      <w:r w:rsidR="009D56D9" w:rsidRPr="00C06F2E">
        <w:rPr>
          <w:lang w:val="pl-PL"/>
        </w:rPr>
        <w:t>Hlásené diagnózy u pacientov, u ktorých bolo podozrenie na prípady podobné ILD, zahŕňali pneumonitídu, radiačnú pneumonitídu, hypersenzitívnu pneumonitídu, intersticiálnu pneumóniu, intersticiálnu pľúcnu chorobu, obliteračnú bronchiolitídu, pľúcnu fibrózu, syndróm akútnej respiračnej tiesne (ARDS), alveolitíd</w:t>
      </w:r>
      <w:r w:rsidR="00276769" w:rsidRPr="00C06F2E">
        <w:rPr>
          <w:lang w:val="pl-PL"/>
        </w:rPr>
        <w:t>u</w:t>
      </w:r>
      <w:r w:rsidR="009D56D9" w:rsidRPr="00C06F2E">
        <w:rPr>
          <w:lang w:val="pl-PL"/>
        </w:rPr>
        <w:t xml:space="preserve"> a pľúcne infiltráty.</w:t>
      </w:r>
      <w:r w:rsidR="007B2947" w:rsidRPr="00C06F2E">
        <w:rPr>
          <w:lang w:val="pl-PL"/>
        </w:rPr>
        <w:t xml:space="preserve"> </w:t>
      </w:r>
      <w:r w:rsidR="009D56D9" w:rsidRPr="00C06F2E">
        <w:rPr>
          <w:lang w:val="pl-PL"/>
        </w:rPr>
        <w:t xml:space="preserve">Symptómy sa objavili o niekoľko dní až niekoľko mesiacov po začatí liečby </w:t>
      </w:r>
      <w:r w:rsidR="007B2947" w:rsidRPr="00C06F2E">
        <w:rPr>
          <w:lang w:val="pl-PL"/>
        </w:rPr>
        <w:t>erlotinib</w:t>
      </w:r>
      <w:r w:rsidR="009D56D9" w:rsidRPr="00C06F2E">
        <w:rPr>
          <w:lang w:val="pl-PL"/>
        </w:rPr>
        <w:t>om</w:t>
      </w:r>
      <w:r w:rsidR="007B2947" w:rsidRPr="00C06F2E">
        <w:rPr>
          <w:lang w:val="pl-PL"/>
        </w:rPr>
        <w:t xml:space="preserve">. </w:t>
      </w:r>
      <w:r w:rsidR="009D56D9" w:rsidRPr="00C06F2E">
        <w:rPr>
          <w:lang w:val="pl-PL"/>
        </w:rPr>
        <w:t xml:space="preserve">Časté boli </w:t>
      </w:r>
      <w:r w:rsidR="00325E13">
        <w:rPr>
          <w:lang w:val="pl-PL"/>
        </w:rPr>
        <w:t>faktory sťažujúce zhodnotenie</w:t>
      </w:r>
      <w:r w:rsidR="009D56D9" w:rsidRPr="00C06F2E">
        <w:rPr>
          <w:lang w:val="pl-PL"/>
        </w:rPr>
        <w:t xml:space="preserve"> alebo prispievajúce faktory ako napríklad súčasná alebo predchádzajúca chemoterapia, predchádzajúca rádioterapia, </w:t>
      </w:r>
      <w:r w:rsidR="00325E13">
        <w:rPr>
          <w:lang w:val="pl-PL"/>
        </w:rPr>
        <w:t>už existujúce</w:t>
      </w:r>
      <w:r w:rsidR="009D56D9" w:rsidRPr="00C06F2E">
        <w:rPr>
          <w:lang w:val="pl-PL"/>
        </w:rPr>
        <w:t xml:space="preserve"> ochorenie parenchýmu pľúc, metastatické ochorenie pľúc alebo pľúcne infekcie</w:t>
      </w:r>
      <w:r w:rsidR="007B2947" w:rsidRPr="00C06F2E">
        <w:rPr>
          <w:lang w:val="pl-PL"/>
        </w:rPr>
        <w:t xml:space="preserve">. </w:t>
      </w:r>
      <w:r w:rsidR="009D56D9" w:rsidRPr="00C06F2E">
        <w:rPr>
          <w:lang w:val="pl-PL"/>
        </w:rPr>
        <w:t>Vyšší výskyt ILD (približne 5</w:t>
      </w:r>
      <w:r w:rsidR="00276769" w:rsidRPr="00C06F2E">
        <w:rPr>
          <w:lang w:val="pl-PL"/>
        </w:rPr>
        <w:t> </w:t>
      </w:r>
      <w:r w:rsidR="009D56D9" w:rsidRPr="00C06F2E">
        <w:rPr>
          <w:lang w:val="pl-PL"/>
        </w:rPr>
        <w:t>% s úmrtnosťou 1,5</w:t>
      </w:r>
      <w:r w:rsidR="00276769" w:rsidRPr="00C06F2E">
        <w:rPr>
          <w:lang w:val="pl-PL"/>
        </w:rPr>
        <w:t> </w:t>
      </w:r>
      <w:r w:rsidR="009D56D9" w:rsidRPr="00C06F2E">
        <w:rPr>
          <w:lang w:val="pl-PL"/>
        </w:rPr>
        <w:t>%) bol pozorovaný u pacientov v štúdiách uskutočnených v Japonsku</w:t>
      </w:r>
      <w:r w:rsidR="0014316F" w:rsidRPr="00C06F2E">
        <w:rPr>
          <w:lang w:val="pl-PL"/>
        </w:rPr>
        <w:t>.</w:t>
      </w:r>
    </w:p>
    <w:p w14:paraId="02E2B9F4" w14:textId="77777777" w:rsidR="007B2947" w:rsidRPr="00C06F2E" w:rsidRDefault="007B2947" w:rsidP="00E60C58">
      <w:pPr>
        <w:suppressAutoHyphens/>
        <w:spacing w:after="0"/>
        <w:jc w:val="left"/>
        <w:rPr>
          <w:lang w:val="pl-PL"/>
        </w:rPr>
      </w:pPr>
    </w:p>
    <w:p w14:paraId="7A455E75" w14:textId="3D0A6612" w:rsidR="007B2947" w:rsidRPr="00C06F2E" w:rsidRDefault="00D93A2F" w:rsidP="00E60C58">
      <w:pPr>
        <w:suppressAutoHyphens/>
        <w:spacing w:after="0"/>
        <w:jc w:val="left"/>
        <w:rPr>
          <w:lang w:val="pl-PL"/>
        </w:rPr>
      </w:pPr>
      <w:r w:rsidRPr="00C06F2E">
        <w:rPr>
          <w:lang w:val="pl-PL"/>
        </w:rPr>
        <w:t xml:space="preserve">U pacientov, u ktorých sa objavili akútne nové symptómy a/alebo progresívne nevysvetliteľné pľúcne symptómy, napríklad dyspnoe, kašeľ a horúčka, </w:t>
      </w:r>
      <w:r w:rsidR="00325E13">
        <w:rPr>
          <w:lang w:val="pl-PL"/>
        </w:rPr>
        <w:t xml:space="preserve">sa má </w:t>
      </w:r>
      <w:r w:rsidRPr="00C06F2E">
        <w:rPr>
          <w:lang w:val="pl-PL"/>
        </w:rPr>
        <w:t>liečba erlotinibom prerušiť až do vyhodnotenia diagnózy. Pacienti liečení súbežne erlotinibom a gemcitabínom sa majú pozorne sledovať pre možnosť vzniku toxicity podobnej ILD. Ak je diagnostikovaná ILD, liečba erlotinibom sa má prerušiť a má sa začať vhodná liečba, ak je to potrebné (pozri časť 4.8).</w:t>
      </w:r>
    </w:p>
    <w:p w14:paraId="75475FF6" w14:textId="77777777" w:rsidR="00D93A2F" w:rsidRPr="00C06F2E" w:rsidRDefault="00D93A2F" w:rsidP="00E60C58">
      <w:pPr>
        <w:suppressAutoHyphens/>
        <w:spacing w:after="0"/>
        <w:jc w:val="left"/>
        <w:rPr>
          <w:lang w:val="pl-PL"/>
        </w:rPr>
      </w:pPr>
    </w:p>
    <w:p w14:paraId="5245A26B" w14:textId="01ACD622" w:rsidR="007B2947" w:rsidRPr="00C06F2E" w:rsidRDefault="00BF1286" w:rsidP="00E60C58">
      <w:pPr>
        <w:suppressAutoHyphens/>
        <w:spacing w:after="0"/>
        <w:jc w:val="left"/>
        <w:rPr>
          <w:lang w:val="pl-PL"/>
        </w:rPr>
      </w:pPr>
      <w:r w:rsidRPr="00C06F2E">
        <w:rPr>
          <w:u w:val="single"/>
          <w:lang w:val="pl-PL"/>
        </w:rPr>
        <w:t>Hnačka, dehydratácia, elektrolytová nerovnováha a porucha funkcie obličiek</w:t>
      </w:r>
    </w:p>
    <w:p w14:paraId="1D7863CB" w14:textId="659F4621" w:rsidR="007B2947" w:rsidRPr="00C06F2E" w:rsidRDefault="00BF1286" w:rsidP="00E60C58">
      <w:pPr>
        <w:suppressAutoHyphens/>
        <w:spacing w:after="0"/>
        <w:jc w:val="left"/>
        <w:rPr>
          <w:lang w:val="pl-PL"/>
        </w:rPr>
      </w:pPr>
      <w:r w:rsidRPr="00C06F2E">
        <w:rPr>
          <w:lang w:val="pl-PL"/>
        </w:rPr>
        <w:t>Približne u 50</w:t>
      </w:r>
      <w:r w:rsidR="00E60C58" w:rsidRPr="00C06F2E">
        <w:rPr>
          <w:lang w:val="pl-PL"/>
        </w:rPr>
        <w:t> </w:t>
      </w:r>
      <w:r w:rsidRPr="00C06F2E">
        <w:rPr>
          <w:lang w:val="pl-PL"/>
        </w:rPr>
        <w:t>% pacientov, ktorí dostávali erlotinib, sa vyskytla hnačka (vrátane veľmi zriedkavých prípadov s fatálnym následkom). Stredne silná alebo silná hnačka sa má liečiť napr. loperamidom. V niektorých prípadoch môže byť nevyhnutné znížiť dávkovanie. V</w:t>
      </w:r>
      <w:r w:rsidR="00E60C58" w:rsidRPr="00C06F2E">
        <w:rPr>
          <w:lang w:val="pl-PL"/>
        </w:rPr>
        <w:t> </w:t>
      </w:r>
      <w:r w:rsidRPr="00C06F2E">
        <w:rPr>
          <w:lang w:val="pl-PL"/>
        </w:rPr>
        <w:t>klinických štúdiách sa dávky znižovali postupne po 50</w:t>
      </w:r>
      <w:r w:rsidR="00E60C58" w:rsidRPr="00C06F2E">
        <w:rPr>
          <w:lang w:val="pl-PL"/>
        </w:rPr>
        <w:t> </w:t>
      </w:r>
      <w:r w:rsidRPr="00C06F2E">
        <w:rPr>
          <w:lang w:val="pl-PL"/>
        </w:rPr>
        <w:t>mg. Postupné znižovanie dávok po 25</w:t>
      </w:r>
      <w:r w:rsidR="00E60C58" w:rsidRPr="00C06F2E">
        <w:rPr>
          <w:lang w:val="pl-PL"/>
        </w:rPr>
        <w:t> </w:t>
      </w:r>
      <w:r w:rsidRPr="00C06F2E">
        <w:rPr>
          <w:lang w:val="pl-PL"/>
        </w:rPr>
        <w:t xml:space="preserve">mg sa neskúmalo. V prípade závažnej alebo pretrvávajúcej hnačky, nevoľnosti, anorexie alebo vracania spojeného s dehydratáciou sa má liečba erlotinibom prerušiť a majú sa urobiť príslušné opatrenia na liečbu dehydratácie (pozri časť 4.8). Zriedkavo boli hlásené prípady hypokaliémie a renálneho zlyhania (vrátane fatálnych). Niektoré prípady boli následkom ťažkej dehydratácie spôsobenej hnačkou, vracaním a/alebo anorexiou, kým v iných prípadoch bola priťažujúca súbežná chemoterapia. V závažných alebo pretrvávajúcich prípadoch hnačky alebo v prípadoch vedúcich k dehydratácii, zvlášť u pacientov s priťažujúcimi rizikovými faktormi (najmä súbežná chemoterapia a iná liečba, symptómy alebo ochorenia alebo iné predispozície, vrátane pokročilého veku) sa má liečba </w:t>
      </w:r>
      <w:r w:rsidR="00D174EC" w:rsidRPr="00C06F2E">
        <w:rPr>
          <w:lang w:val="pl-PL"/>
        </w:rPr>
        <w:t xml:space="preserve">erlotinibom </w:t>
      </w:r>
      <w:r w:rsidRPr="00C06F2E">
        <w:rPr>
          <w:lang w:val="pl-PL"/>
        </w:rPr>
        <w:t>prerušiť a majú sa urobiť vhodné opatrenia na intenzívnu intravenóznu rehydratáciu pacientov. Okrem toho sa má u pacientov s rizikom dehydratácie monitorovať funkcia obličiek a hladiny elektrolytov v sére, vrátane draslíka.</w:t>
      </w:r>
    </w:p>
    <w:p w14:paraId="3B8E0BDF" w14:textId="77777777" w:rsidR="00D174EC" w:rsidRPr="00C06F2E" w:rsidRDefault="00D174EC" w:rsidP="00E60C58">
      <w:pPr>
        <w:suppressAutoHyphens/>
        <w:spacing w:after="0"/>
        <w:jc w:val="left"/>
        <w:rPr>
          <w:u w:val="single"/>
          <w:lang w:val="pl-PL"/>
        </w:rPr>
      </w:pPr>
    </w:p>
    <w:p w14:paraId="2E9915C6" w14:textId="231BCE06" w:rsidR="007B2947" w:rsidRPr="00C06F2E" w:rsidRDefault="00053585" w:rsidP="00E60C58">
      <w:pPr>
        <w:suppressAutoHyphens/>
        <w:spacing w:after="0"/>
        <w:jc w:val="left"/>
        <w:rPr>
          <w:lang w:val="pl-PL"/>
        </w:rPr>
      </w:pPr>
      <w:r w:rsidRPr="00C06F2E">
        <w:rPr>
          <w:u w:val="single"/>
          <w:lang w:val="pl-PL"/>
        </w:rPr>
        <w:t>Hepatitída, porucha funkcie pečene</w:t>
      </w:r>
    </w:p>
    <w:p w14:paraId="0D4F994A" w14:textId="52FA9189" w:rsidR="00E63C2A" w:rsidRPr="00C06F2E" w:rsidRDefault="00053585" w:rsidP="00E60C58">
      <w:pPr>
        <w:suppressAutoHyphens/>
        <w:spacing w:after="0"/>
        <w:jc w:val="left"/>
        <w:rPr>
          <w:lang w:val="pl-PL"/>
        </w:rPr>
      </w:pPr>
      <w:r w:rsidRPr="00C06F2E">
        <w:rPr>
          <w:lang w:val="pl-PL"/>
        </w:rPr>
        <w:t xml:space="preserve">Počas užívania erlotinibu boli zriedkavo hlásené prípady zlyhania pečene (vrátane fatálneho). Priťažujúce faktory boli už predtým existujúce ochorenie pečene alebo súbežná </w:t>
      </w:r>
      <w:r w:rsidR="000C3D8E">
        <w:rPr>
          <w:lang w:val="pl-PL"/>
        </w:rPr>
        <w:t xml:space="preserve">liečba </w:t>
      </w:r>
      <w:r w:rsidRPr="00C06F2E">
        <w:rPr>
          <w:lang w:val="pl-PL"/>
        </w:rPr>
        <w:t>hepatotoxick</w:t>
      </w:r>
      <w:r w:rsidR="000C3D8E">
        <w:rPr>
          <w:lang w:val="pl-PL"/>
        </w:rPr>
        <w:t>ými liekmi</w:t>
      </w:r>
      <w:r w:rsidRPr="00C06F2E">
        <w:rPr>
          <w:lang w:val="pl-PL"/>
        </w:rPr>
        <w:t>. Preto sa u takýchto pacientov má zvážiť pravidelné vyšetrovanie pečeňových testov. Pri závažných zmenách pečeňových funkcií sa má podávanie erlotinibu prerušiť (pozri časť 4.8). Neodporúča sa podávať erlotinib pacientom so závažnou poruchou funkcie pečene.</w:t>
      </w:r>
    </w:p>
    <w:p w14:paraId="2D83621F" w14:textId="77777777" w:rsidR="00053585" w:rsidRPr="00C06F2E" w:rsidRDefault="00053585" w:rsidP="00E60C58">
      <w:pPr>
        <w:suppressAutoHyphens/>
        <w:spacing w:after="0"/>
        <w:jc w:val="left"/>
        <w:rPr>
          <w:lang w:val="pl-PL"/>
        </w:rPr>
      </w:pPr>
    </w:p>
    <w:p w14:paraId="41B8517F" w14:textId="188D5622" w:rsidR="007B2947" w:rsidRPr="00C06F2E" w:rsidRDefault="00EA3064" w:rsidP="00E60C58">
      <w:pPr>
        <w:suppressAutoHyphens/>
        <w:spacing w:after="0"/>
        <w:jc w:val="left"/>
        <w:rPr>
          <w:lang w:val="pl-PL"/>
        </w:rPr>
      </w:pPr>
      <w:r w:rsidRPr="00C06F2E">
        <w:rPr>
          <w:u w:val="single"/>
          <w:lang w:val="pl-PL"/>
        </w:rPr>
        <w:t>Gastrointestinálna perforácia</w:t>
      </w:r>
    </w:p>
    <w:p w14:paraId="4EBFD256" w14:textId="56CDAFBD" w:rsidR="007B2947" w:rsidRPr="00C06F2E" w:rsidRDefault="00EA3064" w:rsidP="00E60C58">
      <w:pPr>
        <w:suppressAutoHyphens/>
        <w:spacing w:after="0"/>
        <w:jc w:val="left"/>
        <w:rPr>
          <w:lang w:val="pl-PL"/>
        </w:rPr>
      </w:pPr>
      <w:r w:rsidRPr="00C06F2E">
        <w:rPr>
          <w:lang w:val="pl-PL"/>
        </w:rPr>
        <w:t xml:space="preserve">Pacienti užívajúci erlotinib majú zvýšené riziko vzniku gastrointestinálnej perforácie, ktorá sa pozorovala len menej často (vrátane prípadov s fatálnym následkom). </w:t>
      </w:r>
      <w:r w:rsidR="000C3D8E">
        <w:rPr>
          <w:lang w:val="pl-PL"/>
        </w:rPr>
        <w:t>Z</w:t>
      </w:r>
      <w:r w:rsidRPr="00C06F2E">
        <w:rPr>
          <w:lang w:val="pl-PL"/>
        </w:rPr>
        <w:t>výšen</w:t>
      </w:r>
      <w:r w:rsidR="000C3D8E">
        <w:rPr>
          <w:lang w:val="pl-PL"/>
        </w:rPr>
        <w:t>é</w:t>
      </w:r>
      <w:r w:rsidRPr="00C06F2E">
        <w:rPr>
          <w:lang w:val="pl-PL"/>
        </w:rPr>
        <w:t xml:space="preserve"> rizik</w:t>
      </w:r>
      <w:r w:rsidR="000C3D8E">
        <w:rPr>
          <w:lang w:val="pl-PL"/>
        </w:rPr>
        <w:t>o je u</w:t>
      </w:r>
      <w:r w:rsidRPr="00C06F2E">
        <w:rPr>
          <w:lang w:val="pl-PL"/>
        </w:rPr>
        <w:t xml:space="preserve"> pacient</w:t>
      </w:r>
      <w:r w:rsidR="000C3D8E">
        <w:rPr>
          <w:lang w:val="pl-PL"/>
        </w:rPr>
        <w:t>ov</w:t>
      </w:r>
      <w:r w:rsidRPr="00C06F2E">
        <w:rPr>
          <w:lang w:val="pl-PL"/>
        </w:rPr>
        <w:t xml:space="preserve">, ktorí súbežne s </w:t>
      </w:r>
      <w:r w:rsidR="00E82397" w:rsidRPr="00C06F2E">
        <w:rPr>
          <w:lang w:val="pl-PL"/>
        </w:rPr>
        <w:t xml:space="preserve">erlotinibom </w:t>
      </w:r>
      <w:r w:rsidRPr="00C06F2E">
        <w:rPr>
          <w:lang w:val="pl-PL"/>
        </w:rPr>
        <w:t xml:space="preserve">užívajú antiangiogénne liečivá, kortikosteroidy, NSAID a/alebo chemoterapiu na báze taxánov, alebo tí, ktorí mali v minulosti peptické vredy alebo divertikulózu. U pacientov, u ktorých vznikla gastrointestinálna perforácia, sa má podávanie </w:t>
      </w:r>
      <w:r w:rsidR="00E82397" w:rsidRPr="00C06F2E">
        <w:rPr>
          <w:lang w:val="pl-PL"/>
        </w:rPr>
        <w:t xml:space="preserve">erlotinibu </w:t>
      </w:r>
      <w:r w:rsidRPr="00C06F2E">
        <w:rPr>
          <w:lang w:val="pl-PL"/>
        </w:rPr>
        <w:t>natrvalo ukončiť (pozri časť 4.8).</w:t>
      </w:r>
    </w:p>
    <w:p w14:paraId="48DFAF7E" w14:textId="77777777" w:rsidR="00EA3064" w:rsidRPr="00C06F2E" w:rsidRDefault="00EA3064" w:rsidP="00E60C58">
      <w:pPr>
        <w:suppressAutoHyphens/>
        <w:spacing w:after="0"/>
        <w:jc w:val="left"/>
        <w:rPr>
          <w:lang w:val="pl-PL"/>
        </w:rPr>
      </w:pPr>
    </w:p>
    <w:p w14:paraId="3EBAE2A5" w14:textId="77777777" w:rsidR="007A53A5" w:rsidRPr="00C06F2E" w:rsidRDefault="007A53A5" w:rsidP="00E60C58">
      <w:pPr>
        <w:suppressAutoHyphens/>
        <w:spacing w:after="0"/>
        <w:jc w:val="left"/>
        <w:rPr>
          <w:u w:val="single"/>
          <w:lang w:val="pl-PL"/>
        </w:rPr>
      </w:pPr>
      <w:r w:rsidRPr="00C06F2E">
        <w:rPr>
          <w:u w:val="single"/>
          <w:lang w:val="pl-PL"/>
        </w:rPr>
        <w:t>Pľuzgiere a exfoliatívne postihnutie kože</w:t>
      </w:r>
    </w:p>
    <w:p w14:paraId="75B5737B" w14:textId="2EACBE5E" w:rsidR="007B2947" w:rsidRPr="00C06F2E" w:rsidRDefault="007A53A5" w:rsidP="00E60C58">
      <w:pPr>
        <w:suppressAutoHyphens/>
        <w:spacing w:after="0"/>
        <w:jc w:val="left"/>
        <w:rPr>
          <w:lang w:val="pl-PL"/>
        </w:rPr>
      </w:pPr>
      <w:r w:rsidRPr="00C06F2E">
        <w:rPr>
          <w:lang w:val="pl-PL"/>
        </w:rPr>
        <w:t xml:space="preserve">Zaznamenané boli </w:t>
      </w:r>
      <w:r w:rsidR="00676B1C">
        <w:rPr>
          <w:lang w:val="pl-PL"/>
        </w:rPr>
        <w:t xml:space="preserve">bulózne, pľuzgierovité a exfoliatívne </w:t>
      </w:r>
      <w:r w:rsidRPr="00C06F2E">
        <w:rPr>
          <w:lang w:val="pl-PL"/>
        </w:rPr>
        <w:t>kožné ochorenia, vrátane veľmi zriedkavých prípadov pripomínajúcich Stevensov-Johnsonov syndróm/toxickú epidermálnu nekrolýzu, ktor</w:t>
      </w:r>
      <w:r w:rsidR="00676B1C">
        <w:rPr>
          <w:lang w:val="pl-PL"/>
        </w:rPr>
        <w:t>é</w:t>
      </w:r>
      <w:r w:rsidRPr="00C06F2E">
        <w:rPr>
          <w:lang w:val="pl-PL"/>
        </w:rPr>
        <w:t xml:space="preserve"> v </w:t>
      </w:r>
      <w:r w:rsidRPr="00C06F2E">
        <w:rPr>
          <w:lang w:val="pl-PL"/>
        </w:rPr>
        <w:lastRenderedPageBreak/>
        <w:t>niektorých prípadoch bol</w:t>
      </w:r>
      <w:r w:rsidR="00676B1C">
        <w:rPr>
          <w:lang w:val="pl-PL"/>
        </w:rPr>
        <w:t>i</w:t>
      </w:r>
      <w:r w:rsidRPr="00C06F2E">
        <w:rPr>
          <w:lang w:val="pl-PL"/>
        </w:rPr>
        <w:t xml:space="preserve"> fatáln</w:t>
      </w:r>
      <w:r w:rsidR="00676B1C">
        <w:rPr>
          <w:lang w:val="pl-PL"/>
        </w:rPr>
        <w:t>e</w:t>
      </w:r>
      <w:r w:rsidRPr="00C06F2E">
        <w:rPr>
          <w:lang w:val="pl-PL"/>
        </w:rPr>
        <w:t xml:space="preserve"> (pozri časť 4.8). Ak sa u pacienta objaví </w:t>
      </w:r>
      <w:r w:rsidR="00676B1C">
        <w:rPr>
          <w:lang w:val="pl-PL"/>
        </w:rPr>
        <w:t>zá</w:t>
      </w:r>
      <w:r w:rsidRPr="00C06F2E">
        <w:rPr>
          <w:lang w:val="pl-PL"/>
        </w:rPr>
        <w:t>v</w:t>
      </w:r>
      <w:r w:rsidR="00676B1C">
        <w:rPr>
          <w:lang w:val="pl-PL"/>
        </w:rPr>
        <w:t>a</w:t>
      </w:r>
      <w:r w:rsidRPr="00C06F2E">
        <w:rPr>
          <w:lang w:val="pl-PL"/>
        </w:rPr>
        <w:t>žn</w:t>
      </w:r>
      <w:r w:rsidR="00676B1C">
        <w:rPr>
          <w:lang w:val="pl-PL"/>
        </w:rPr>
        <w:t>é bulózne,</w:t>
      </w:r>
      <w:r w:rsidRPr="00C06F2E">
        <w:rPr>
          <w:lang w:val="pl-PL"/>
        </w:rPr>
        <w:t xml:space="preserve"> pľuzgierovité alebo exfoliatívne postihnutie kože, liečba erlotinibom sa má prerušiť alebo ukončiť. Pacienti s </w:t>
      </w:r>
      <w:r w:rsidR="00676B1C">
        <w:rPr>
          <w:lang w:val="pl-PL"/>
        </w:rPr>
        <w:t>bulóznymi</w:t>
      </w:r>
      <w:r w:rsidRPr="00C06F2E">
        <w:rPr>
          <w:lang w:val="pl-PL"/>
        </w:rPr>
        <w:t xml:space="preserve"> a exfoliatívnymi kožnými ochoreniami sa majú vyšetriť na kožné infekcie a majú sa liečiť v súlade so štandardnými </w:t>
      </w:r>
      <w:r w:rsidR="00676B1C">
        <w:rPr>
          <w:lang w:val="pl-PL"/>
        </w:rPr>
        <w:t xml:space="preserve">lokálnymi </w:t>
      </w:r>
      <w:r w:rsidRPr="00C06F2E">
        <w:rPr>
          <w:lang w:val="pl-PL"/>
        </w:rPr>
        <w:t>terapeutickými postupmi.</w:t>
      </w:r>
    </w:p>
    <w:p w14:paraId="34401C0E" w14:textId="77777777" w:rsidR="007A53A5" w:rsidRPr="00C06F2E" w:rsidRDefault="007A53A5" w:rsidP="00E60C58">
      <w:pPr>
        <w:suppressAutoHyphens/>
        <w:spacing w:after="0"/>
        <w:jc w:val="left"/>
        <w:rPr>
          <w:lang w:val="pl-PL"/>
        </w:rPr>
      </w:pPr>
    </w:p>
    <w:p w14:paraId="7D21B679" w14:textId="77777777" w:rsidR="00AF2570" w:rsidRPr="00C06F2E" w:rsidRDefault="00AF2570" w:rsidP="00E60C58">
      <w:pPr>
        <w:suppressAutoHyphens/>
        <w:spacing w:after="0"/>
        <w:jc w:val="left"/>
        <w:rPr>
          <w:u w:val="single"/>
          <w:lang w:val="sk-SK"/>
        </w:rPr>
      </w:pPr>
      <w:r w:rsidRPr="00C06F2E">
        <w:rPr>
          <w:u w:val="single"/>
          <w:lang w:val="sk-SK"/>
        </w:rPr>
        <w:t xml:space="preserve">Poruchy oka </w:t>
      </w:r>
    </w:p>
    <w:p w14:paraId="034E4CB0" w14:textId="3DA3D74D" w:rsidR="007B2947" w:rsidRPr="00C06F2E" w:rsidRDefault="00AF2570" w:rsidP="00E60C58">
      <w:pPr>
        <w:suppressAutoHyphens/>
        <w:spacing w:after="0"/>
        <w:jc w:val="left"/>
        <w:rPr>
          <w:lang w:val="sk-SK"/>
        </w:rPr>
      </w:pPr>
      <w:r w:rsidRPr="00C06F2E">
        <w:rPr>
          <w:lang w:val="sk-SK"/>
        </w:rPr>
        <w:t>Pacientov s</w:t>
      </w:r>
      <w:r w:rsidR="00676B1C">
        <w:rPr>
          <w:lang w:val="sk-SK"/>
        </w:rPr>
        <w:t xml:space="preserve"> prejavmi</w:t>
      </w:r>
      <w:r w:rsidRPr="00C06F2E">
        <w:rPr>
          <w:lang w:val="sk-SK"/>
        </w:rPr>
        <w:t xml:space="preserve"> a príznakmi pripomínajúcimi keratitídu, ak</w:t>
      </w:r>
      <w:r w:rsidR="00676B1C">
        <w:rPr>
          <w:lang w:val="sk-SK"/>
        </w:rPr>
        <w:t>ými sú</w:t>
      </w:r>
      <w:r w:rsidRPr="00C06F2E">
        <w:rPr>
          <w:lang w:val="sk-SK"/>
        </w:rPr>
        <w:t xml:space="preserve"> akútn</w:t>
      </w:r>
      <w:r w:rsidR="00676B1C">
        <w:rPr>
          <w:lang w:val="sk-SK"/>
        </w:rPr>
        <w:t>e</w:t>
      </w:r>
      <w:r w:rsidRPr="00C06F2E">
        <w:rPr>
          <w:lang w:val="sk-SK"/>
        </w:rPr>
        <w:t xml:space="preserve"> alebo zhoršujúc</w:t>
      </w:r>
      <w:r w:rsidR="00676B1C">
        <w:rPr>
          <w:lang w:val="sk-SK"/>
        </w:rPr>
        <w:t>e</w:t>
      </w:r>
      <w:r w:rsidRPr="00C06F2E">
        <w:rPr>
          <w:lang w:val="sk-SK"/>
        </w:rPr>
        <w:t xml:space="preserve"> sa: zápal oka, slzenie, citlivosť na svetlo, rozmazané videnie, bolesť očí a/alebo sčervenané oči, treba bezodkladne poslať </w:t>
      </w:r>
      <w:r w:rsidR="0093095D" w:rsidRPr="00C06F2E">
        <w:rPr>
          <w:lang w:val="sk-SK"/>
        </w:rPr>
        <w:t xml:space="preserve">k </w:t>
      </w:r>
      <w:r w:rsidRPr="00C06F2E">
        <w:rPr>
          <w:lang w:val="sk-SK"/>
        </w:rPr>
        <w:t>oftalmológovi. Ak sa diagnóza</w:t>
      </w:r>
      <w:r w:rsidR="00676B1C">
        <w:rPr>
          <w:lang w:val="sk-SK"/>
        </w:rPr>
        <w:t xml:space="preserve"> ulceróznej</w:t>
      </w:r>
      <w:r w:rsidRPr="00C06F2E">
        <w:rPr>
          <w:lang w:val="sk-SK"/>
        </w:rPr>
        <w:t xml:space="preserve"> keratitídy potvrdí, liečba erlotinibom sa má prerušiť alebo ukončiť. Ak je keratitída diagnostikovaná, má sa starostlivo zvážiť </w:t>
      </w:r>
      <w:r w:rsidR="00676B1C">
        <w:rPr>
          <w:lang w:val="sk-SK"/>
        </w:rPr>
        <w:t>prínos</w:t>
      </w:r>
      <w:r w:rsidRPr="00C06F2E">
        <w:rPr>
          <w:lang w:val="sk-SK"/>
        </w:rPr>
        <w:t xml:space="preserve"> a riziká pokračovania liečby. Erlotinib sa má používať s opatrnosťou u pacientov s anamnézou keratitídy, keratitídou s tvorbou vredov alebo závažn</w:t>
      </w:r>
      <w:r w:rsidR="00676B1C">
        <w:rPr>
          <w:lang w:val="sk-SK"/>
        </w:rPr>
        <w:t xml:space="preserve">ým </w:t>
      </w:r>
      <w:r w:rsidR="00B10D4E">
        <w:rPr>
          <w:lang w:val="sk-SK"/>
        </w:rPr>
        <w:t xml:space="preserve">syndrómom </w:t>
      </w:r>
      <w:r w:rsidRPr="00C06F2E">
        <w:rPr>
          <w:lang w:val="sk-SK"/>
        </w:rPr>
        <w:t>suché</w:t>
      </w:r>
      <w:r w:rsidR="00B10D4E">
        <w:rPr>
          <w:lang w:val="sk-SK"/>
        </w:rPr>
        <w:t>ho</w:t>
      </w:r>
      <w:r w:rsidRPr="00C06F2E">
        <w:rPr>
          <w:lang w:val="sk-SK"/>
        </w:rPr>
        <w:t xml:space="preserve"> ok</w:t>
      </w:r>
      <w:r w:rsidR="00B10D4E">
        <w:rPr>
          <w:lang w:val="sk-SK"/>
        </w:rPr>
        <w:t>a</w:t>
      </w:r>
      <w:r w:rsidRPr="00C06F2E">
        <w:rPr>
          <w:lang w:val="sk-SK"/>
        </w:rPr>
        <w:t xml:space="preserve">. Používanie kontaktných šošoviek je tiež rizikovým faktorom pre vznik keratitídy a tvorbu vredov. Počas užívania </w:t>
      </w:r>
      <w:r w:rsidR="00676B1C">
        <w:rPr>
          <w:lang w:val="sk-SK"/>
        </w:rPr>
        <w:t>e</w:t>
      </w:r>
      <w:r w:rsidR="00094DDD" w:rsidRPr="00C06F2E">
        <w:rPr>
          <w:lang w:val="sk-SK"/>
        </w:rPr>
        <w:t xml:space="preserve">rlotinibu </w:t>
      </w:r>
      <w:r w:rsidRPr="00C06F2E">
        <w:rPr>
          <w:lang w:val="sk-SK"/>
        </w:rPr>
        <w:t>boli zaznamenané veľmi zriedkavé prípady perforácie alebo ulcerácie rohovky (pozri časť 4.8).</w:t>
      </w:r>
    </w:p>
    <w:p w14:paraId="7F4CA68B" w14:textId="77777777" w:rsidR="00AF2570" w:rsidRPr="00C06F2E" w:rsidRDefault="00AF2570" w:rsidP="00E60C58">
      <w:pPr>
        <w:suppressAutoHyphens/>
        <w:spacing w:after="0"/>
        <w:jc w:val="left"/>
        <w:rPr>
          <w:lang w:val="sk-SK"/>
        </w:rPr>
      </w:pPr>
    </w:p>
    <w:p w14:paraId="63F1FA6A" w14:textId="77777777" w:rsidR="00AF2570" w:rsidRPr="00C06F2E" w:rsidRDefault="00AF2570" w:rsidP="00E60C58">
      <w:pPr>
        <w:suppressAutoHyphens/>
        <w:spacing w:after="0"/>
        <w:jc w:val="left"/>
        <w:rPr>
          <w:u w:val="single"/>
          <w:lang w:val="sk-SK"/>
        </w:rPr>
      </w:pPr>
      <w:r w:rsidRPr="00C06F2E">
        <w:rPr>
          <w:u w:val="single"/>
          <w:lang w:val="sk-SK"/>
        </w:rPr>
        <w:t xml:space="preserve">Interakcie s inými liekmi </w:t>
      </w:r>
    </w:p>
    <w:p w14:paraId="0218C309" w14:textId="55209CBB" w:rsidR="007B2947" w:rsidRPr="00C06F2E" w:rsidRDefault="00AF2570" w:rsidP="00E60C58">
      <w:pPr>
        <w:suppressAutoHyphens/>
        <w:spacing w:after="0"/>
        <w:jc w:val="left"/>
        <w:rPr>
          <w:lang w:val="sk-SK"/>
        </w:rPr>
      </w:pPr>
      <w:r w:rsidRPr="00C06F2E">
        <w:rPr>
          <w:lang w:val="sk-SK"/>
        </w:rPr>
        <w:t>Silné induktory CYP3A4 môžu znižovať účinnosť erlotinibu, zatiaľ čo silné inhibítory CYP3A4 môžu navodiť jeho zvýšenú toxicitu. Súbežnej liečbe týmito druhmi liekov sa treba vyhnúť (pozri časť 4.5).</w:t>
      </w:r>
    </w:p>
    <w:p w14:paraId="016FDB36" w14:textId="77777777" w:rsidR="00AF2570" w:rsidRPr="00C06F2E" w:rsidRDefault="00AF2570" w:rsidP="00E60C58">
      <w:pPr>
        <w:suppressAutoHyphens/>
        <w:spacing w:after="0"/>
        <w:jc w:val="left"/>
        <w:rPr>
          <w:lang w:val="sk-SK"/>
        </w:rPr>
      </w:pPr>
    </w:p>
    <w:p w14:paraId="0AFEDF7A" w14:textId="1E45E3D6" w:rsidR="007B2947" w:rsidRPr="00C06F2E" w:rsidRDefault="00AF2570" w:rsidP="00E60C58">
      <w:pPr>
        <w:suppressAutoHyphens/>
        <w:spacing w:after="0"/>
        <w:jc w:val="left"/>
        <w:rPr>
          <w:lang w:val="sk-SK"/>
        </w:rPr>
      </w:pPr>
      <w:r w:rsidRPr="00C06F2E">
        <w:rPr>
          <w:u w:val="single"/>
          <w:lang w:val="sk-SK"/>
        </w:rPr>
        <w:t>Iné formy interakcií</w:t>
      </w:r>
    </w:p>
    <w:p w14:paraId="3EECE411" w14:textId="79761D4A" w:rsidR="007B2947" w:rsidRPr="00C06F2E" w:rsidRDefault="00AF2570" w:rsidP="00E60C58">
      <w:pPr>
        <w:suppressAutoHyphens/>
        <w:spacing w:after="0"/>
        <w:jc w:val="left"/>
        <w:rPr>
          <w:lang w:val="sk-SK"/>
        </w:rPr>
      </w:pPr>
      <w:r w:rsidRPr="00C06F2E">
        <w:rPr>
          <w:lang w:val="sk-SK"/>
        </w:rPr>
        <w:t xml:space="preserve">Erlotinib </w:t>
      </w:r>
      <w:r w:rsidR="00D8716F">
        <w:rPr>
          <w:lang w:val="sk-SK"/>
        </w:rPr>
        <w:t xml:space="preserve">sa vyznačuje </w:t>
      </w:r>
      <w:r w:rsidRPr="00C06F2E">
        <w:rPr>
          <w:lang w:val="sk-SK"/>
        </w:rPr>
        <w:t>znížen</w:t>
      </w:r>
      <w:r w:rsidR="00D8716F">
        <w:rPr>
          <w:lang w:val="sk-SK"/>
        </w:rPr>
        <w:t>ou</w:t>
      </w:r>
      <w:r w:rsidRPr="00C06F2E">
        <w:rPr>
          <w:lang w:val="sk-SK"/>
        </w:rPr>
        <w:t xml:space="preserve"> rozpustnosť</w:t>
      </w:r>
      <w:r w:rsidR="00D8716F">
        <w:rPr>
          <w:lang w:val="sk-SK"/>
        </w:rPr>
        <w:t>ou</w:t>
      </w:r>
      <w:r w:rsidRPr="00C06F2E">
        <w:rPr>
          <w:lang w:val="sk-SK"/>
        </w:rPr>
        <w:t xml:space="preserve"> pri pH vyššom ako 5. Lieky, ktoré menia pH v hornej časti gastrointestinálneho traktu (GIT), ako napríklad inhibítory protónovej pumpy, antagonist</w:t>
      </w:r>
      <w:r w:rsidR="00D8716F">
        <w:rPr>
          <w:lang w:val="sk-SK"/>
        </w:rPr>
        <w:t>y</w:t>
      </w:r>
      <w:r w:rsidRPr="00C06F2E">
        <w:rPr>
          <w:lang w:val="sk-SK"/>
        </w:rPr>
        <w:t xml:space="preserve"> H</w:t>
      </w:r>
      <w:r w:rsidRPr="00C06F2E">
        <w:rPr>
          <w:vertAlign w:val="subscript"/>
          <w:lang w:val="sk-SK"/>
        </w:rPr>
        <w:t>2</w:t>
      </w:r>
      <w:r w:rsidR="00D8716F">
        <w:rPr>
          <w:lang w:val="sk-SK"/>
        </w:rPr>
        <w:t>-receptorov</w:t>
      </w:r>
      <w:r w:rsidRPr="00C06F2E">
        <w:rPr>
          <w:lang w:val="sk-SK"/>
        </w:rPr>
        <w:t xml:space="preserve"> a antacidá, môžu meniť rozpustnosť erlotinibu a tak jeho biologickú dostupnosť. Zvyšovanie dávky erlotinibu pri súbežnom podávaní s takýmito </w:t>
      </w:r>
      <w:r w:rsidR="00D8716F">
        <w:rPr>
          <w:lang w:val="sk-SK"/>
        </w:rPr>
        <w:t>liečivami</w:t>
      </w:r>
      <w:r w:rsidRPr="00C06F2E">
        <w:rPr>
          <w:lang w:val="sk-SK"/>
        </w:rPr>
        <w:t xml:space="preserve"> pravdepodobne nevykompenzuje toto zníženie expozície. Erlotinib sa nemá podávať v kombinácii s inhibítormi protónovej pumpy. Účinky súbežného podávania erlotinibu s antagonistami H</w:t>
      </w:r>
      <w:r w:rsidRPr="00C06F2E">
        <w:rPr>
          <w:vertAlign w:val="subscript"/>
          <w:lang w:val="sk-SK"/>
        </w:rPr>
        <w:t>2</w:t>
      </w:r>
      <w:r w:rsidR="00D8716F">
        <w:rPr>
          <w:lang w:val="sk-SK"/>
        </w:rPr>
        <w:t>-receptorov</w:t>
      </w:r>
      <w:r w:rsidRPr="00C06F2E">
        <w:rPr>
          <w:lang w:val="sk-SK"/>
        </w:rPr>
        <w:t xml:space="preserve"> a antacidami nie sú známe; pravdepodobné je však zníženie biologickej dostupnosti. Preto sa nemajú </w:t>
      </w:r>
      <w:r w:rsidR="00D8716F">
        <w:rPr>
          <w:lang w:val="sk-SK"/>
        </w:rPr>
        <w:t xml:space="preserve">súbežne </w:t>
      </w:r>
      <w:r w:rsidRPr="00C06F2E">
        <w:rPr>
          <w:lang w:val="sk-SK"/>
        </w:rPr>
        <w:t>používať tieto kombinácie (pozri časť 4.5). Ak je potrebná liečba antacidami počas liečby erlotinibom, majú sa podať najmenej 4</w:t>
      </w:r>
      <w:r w:rsidR="0093095D" w:rsidRPr="00C06F2E">
        <w:rPr>
          <w:lang w:val="sk-SK"/>
        </w:rPr>
        <w:t> </w:t>
      </w:r>
      <w:r w:rsidRPr="00C06F2E">
        <w:rPr>
          <w:lang w:val="sk-SK"/>
        </w:rPr>
        <w:t>hodiny pred alebo 2</w:t>
      </w:r>
      <w:r w:rsidR="0093095D" w:rsidRPr="00C06F2E">
        <w:rPr>
          <w:lang w:val="sk-SK"/>
        </w:rPr>
        <w:t> </w:t>
      </w:r>
      <w:r w:rsidRPr="00C06F2E">
        <w:rPr>
          <w:lang w:val="sk-SK"/>
        </w:rPr>
        <w:t>hodiny po dennej dávke erlotinibu.</w:t>
      </w:r>
    </w:p>
    <w:p w14:paraId="7A423CF7" w14:textId="77777777" w:rsidR="00AF2570" w:rsidRPr="00C06F2E" w:rsidRDefault="00AF2570" w:rsidP="00E60C58">
      <w:pPr>
        <w:suppressAutoHyphens/>
        <w:spacing w:after="0"/>
        <w:jc w:val="left"/>
        <w:rPr>
          <w:lang w:val="sk-SK"/>
        </w:rPr>
      </w:pPr>
    </w:p>
    <w:p w14:paraId="106F38BB" w14:textId="6B052D05" w:rsidR="00343238" w:rsidRPr="00C06F2E" w:rsidRDefault="00343238" w:rsidP="00E60C58">
      <w:pPr>
        <w:suppressAutoHyphens/>
        <w:spacing w:after="0"/>
        <w:jc w:val="left"/>
        <w:rPr>
          <w:u w:val="single"/>
          <w:lang w:val="sk-SK"/>
        </w:rPr>
      </w:pPr>
      <w:r w:rsidRPr="00C06F2E">
        <w:rPr>
          <w:u w:val="single"/>
          <w:lang w:val="sk-SK"/>
        </w:rPr>
        <w:t>Pomocné látky</w:t>
      </w:r>
    </w:p>
    <w:p w14:paraId="1E481DB8" w14:textId="15E02232" w:rsidR="007B2947" w:rsidRPr="00C06F2E" w:rsidRDefault="00343238" w:rsidP="00E60C58">
      <w:pPr>
        <w:suppressAutoHyphens/>
        <w:spacing w:after="0"/>
        <w:jc w:val="left"/>
        <w:rPr>
          <w:lang w:val="sk-SK"/>
        </w:rPr>
      </w:pPr>
      <w:r w:rsidRPr="00C06F2E">
        <w:rPr>
          <w:lang w:val="sk-SK"/>
        </w:rPr>
        <w:t>Tento liek obsahuje monohydrát laktózy. Pacienti so zriedkavými dedičnými problémami galaktózovej intolerancie, celkovým deficitom laktázy alebo glukózo-galaktózovou malabsorpciou nesmú užívať tento liek.</w:t>
      </w:r>
    </w:p>
    <w:p w14:paraId="4FA8D191" w14:textId="63660D89" w:rsidR="001552F3" w:rsidRPr="00C06F2E" w:rsidRDefault="00343238" w:rsidP="00E60C58">
      <w:pPr>
        <w:tabs>
          <w:tab w:val="left" w:pos="3274"/>
        </w:tabs>
        <w:suppressAutoHyphens/>
        <w:spacing w:after="0"/>
        <w:jc w:val="left"/>
        <w:rPr>
          <w:lang w:val="sk-SK"/>
        </w:rPr>
      </w:pPr>
      <w:r w:rsidRPr="00C06F2E">
        <w:rPr>
          <w:lang w:val="sk-SK"/>
        </w:rPr>
        <w:tab/>
      </w:r>
    </w:p>
    <w:p w14:paraId="631B25EA" w14:textId="32903335" w:rsidR="00343238" w:rsidRPr="00C06F2E" w:rsidRDefault="00343238" w:rsidP="00E60C58">
      <w:pPr>
        <w:autoSpaceDE w:val="0"/>
        <w:autoSpaceDN w:val="0"/>
        <w:adjustRightInd w:val="0"/>
        <w:spacing w:after="0"/>
        <w:jc w:val="left"/>
        <w:rPr>
          <w:lang w:val="sk-SK"/>
        </w:rPr>
      </w:pPr>
      <w:r w:rsidRPr="00C06F2E">
        <w:rPr>
          <w:lang w:val="sk-SK"/>
        </w:rPr>
        <w:t>Každá filmom obalená tableta obsahuje menej ako 1</w:t>
      </w:r>
      <w:r w:rsidR="0093095D" w:rsidRPr="00C06F2E">
        <w:rPr>
          <w:lang w:val="sk-SK"/>
        </w:rPr>
        <w:t> </w:t>
      </w:r>
      <w:r w:rsidRPr="00C06F2E">
        <w:rPr>
          <w:lang w:val="sk-SK"/>
        </w:rPr>
        <w:t>mmol sodíka (23</w:t>
      </w:r>
      <w:r w:rsidR="0093095D" w:rsidRPr="00C06F2E">
        <w:rPr>
          <w:lang w:val="sk-SK"/>
        </w:rPr>
        <w:t> </w:t>
      </w:r>
      <w:r w:rsidRPr="00C06F2E">
        <w:rPr>
          <w:lang w:val="sk-SK"/>
        </w:rPr>
        <w:t>mg) v jednej tablete, t.j. v podstate zanedbateľné množstvo sodíka.</w:t>
      </w:r>
    </w:p>
    <w:p w14:paraId="36DD46FA" w14:textId="77777777" w:rsidR="00C15A0A" w:rsidRPr="00C06F2E" w:rsidRDefault="00C15A0A" w:rsidP="00E60C58">
      <w:pPr>
        <w:autoSpaceDE w:val="0"/>
        <w:autoSpaceDN w:val="0"/>
        <w:adjustRightInd w:val="0"/>
        <w:spacing w:after="0"/>
        <w:jc w:val="left"/>
        <w:rPr>
          <w:color w:val="000000"/>
          <w:lang w:val="sk-SK"/>
        </w:rPr>
      </w:pPr>
    </w:p>
    <w:p w14:paraId="61F8BE48" w14:textId="09273B01" w:rsidR="00435ECB" w:rsidRPr="00C06F2E" w:rsidRDefault="00435ECB" w:rsidP="00D8716F">
      <w:pPr>
        <w:pStyle w:val="StyleHeadingFreeBOLDNOCAPS"/>
        <w:tabs>
          <w:tab w:val="left" w:pos="567"/>
        </w:tabs>
        <w:spacing w:after="0"/>
        <w:rPr>
          <w:lang w:val="sk-SK"/>
        </w:rPr>
      </w:pPr>
      <w:r w:rsidRPr="00C06F2E">
        <w:rPr>
          <w:lang w:val="sk-SK"/>
        </w:rPr>
        <w:t xml:space="preserve">4.5 </w:t>
      </w:r>
      <w:r w:rsidRPr="00C06F2E">
        <w:rPr>
          <w:lang w:val="sk-SK"/>
        </w:rPr>
        <w:tab/>
      </w:r>
      <w:r w:rsidR="00446527" w:rsidRPr="00C06F2E">
        <w:rPr>
          <w:lang w:val="sk-SK"/>
        </w:rPr>
        <w:t>Liekové a iné interakcie</w:t>
      </w:r>
    </w:p>
    <w:p w14:paraId="38F2DD7B" w14:textId="77777777" w:rsidR="00E60C58" w:rsidRPr="00C06F2E" w:rsidRDefault="00E60C58" w:rsidP="00E60C58">
      <w:pPr>
        <w:pStyle w:val="StyleHeadingFreeBOLDNOCAPS"/>
        <w:spacing w:after="0"/>
        <w:jc w:val="left"/>
        <w:rPr>
          <w:lang w:val="sk-SK"/>
        </w:rPr>
      </w:pPr>
    </w:p>
    <w:p w14:paraId="1EA8CBB7" w14:textId="2E9236E7" w:rsidR="007B2947" w:rsidRPr="00C06F2E" w:rsidRDefault="00446527" w:rsidP="00E60C58">
      <w:pPr>
        <w:suppressAutoHyphens/>
        <w:spacing w:after="0"/>
        <w:jc w:val="left"/>
        <w:rPr>
          <w:lang w:val="sk-SK"/>
        </w:rPr>
      </w:pPr>
      <w:r w:rsidRPr="00C06F2E">
        <w:rPr>
          <w:lang w:val="sk-SK"/>
        </w:rPr>
        <w:t>Interakčné štúdie sa uskutočnili len u dospelých</w:t>
      </w:r>
      <w:r w:rsidR="007B2947" w:rsidRPr="00C06F2E">
        <w:rPr>
          <w:lang w:val="sk-SK"/>
        </w:rPr>
        <w:t>.</w:t>
      </w:r>
    </w:p>
    <w:p w14:paraId="4C9BF31D" w14:textId="77777777" w:rsidR="007B2947" w:rsidRPr="00C06F2E" w:rsidRDefault="007B2947" w:rsidP="00E60C58">
      <w:pPr>
        <w:suppressAutoHyphens/>
        <w:spacing w:after="0"/>
        <w:jc w:val="left"/>
        <w:rPr>
          <w:lang w:val="sk-SK"/>
        </w:rPr>
      </w:pPr>
    </w:p>
    <w:p w14:paraId="68196E7D" w14:textId="434EA5EE" w:rsidR="00446527" w:rsidRPr="00C06F2E" w:rsidRDefault="00446527" w:rsidP="00E60C58">
      <w:pPr>
        <w:suppressAutoHyphens/>
        <w:spacing w:after="0"/>
        <w:jc w:val="left"/>
        <w:rPr>
          <w:u w:val="single"/>
          <w:lang w:val="sk-SK"/>
        </w:rPr>
      </w:pPr>
      <w:r w:rsidRPr="00C06F2E">
        <w:rPr>
          <w:u w:val="single"/>
          <w:lang w:val="sk-SK"/>
        </w:rPr>
        <w:t xml:space="preserve">Erlotinib a iné </w:t>
      </w:r>
      <w:r w:rsidR="00D8716F">
        <w:rPr>
          <w:u w:val="single"/>
          <w:lang w:val="sk-SK"/>
        </w:rPr>
        <w:t xml:space="preserve">substráty </w:t>
      </w:r>
      <w:r w:rsidRPr="00C06F2E">
        <w:rPr>
          <w:u w:val="single"/>
          <w:lang w:val="sk-SK"/>
        </w:rPr>
        <w:t>CYP</w:t>
      </w:r>
    </w:p>
    <w:p w14:paraId="60EA4559" w14:textId="3B4073A7" w:rsidR="00446527" w:rsidRPr="00C06F2E" w:rsidRDefault="00446527" w:rsidP="00E60C58">
      <w:pPr>
        <w:suppressAutoHyphens/>
        <w:spacing w:after="0"/>
        <w:jc w:val="left"/>
        <w:rPr>
          <w:lang w:val="sk-SK"/>
        </w:rPr>
      </w:pPr>
      <w:r w:rsidRPr="00C06F2E">
        <w:rPr>
          <w:lang w:val="sk-SK"/>
        </w:rPr>
        <w:t xml:space="preserve">Erlotinib je silný inhibítor CYP1A1, stredne silný inhibítor CYP3A4 a CYP2C8, ako aj silný inhibítor glukuronidácie </w:t>
      </w:r>
      <w:r w:rsidR="00D8716F">
        <w:rPr>
          <w:lang w:val="sk-SK"/>
        </w:rPr>
        <w:t>sprostredkovanej</w:t>
      </w:r>
      <w:r w:rsidRPr="00C06F2E">
        <w:rPr>
          <w:lang w:val="sk-SK"/>
        </w:rPr>
        <w:t xml:space="preserve"> UGT1A1 </w:t>
      </w:r>
      <w:r w:rsidRPr="00C06F2E">
        <w:rPr>
          <w:i/>
          <w:iCs/>
          <w:lang w:val="sk-SK"/>
        </w:rPr>
        <w:t>in vitro</w:t>
      </w:r>
      <w:r w:rsidRPr="00C06F2E">
        <w:rPr>
          <w:lang w:val="sk-SK"/>
        </w:rPr>
        <w:t xml:space="preserve">. </w:t>
      </w:r>
    </w:p>
    <w:p w14:paraId="528744EE" w14:textId="09235904" w:rsidR="007B2947" w:rsidRPr="00C06F2E" w:rsidRDefault="00446527" w:rsidP="00E60C58">
      <w:pPr>
        <w:suppressAutoHyphens/>
        <w:spacing w:after="0"/>
        <w:jc w:val="left"/>
        <w:rPr>
          <w:lang w:val="sk-SK"/>
        </w:rPr>
      </w:pPr>
      <w:r w:rsidRPr="00C06F2E">
        <w:rPr>
          <w:lang w:val="sk-SK"/>
        </w:rPr>
        <w:t>Fyziologický význam silnej inhibície CYP1A1 vzhľadom na veľmi obmedzenú expresiu CYP1A1 v ľudských tkanivách nie je známy.</w:t>
      </w:r>
    </w:p>
    <w:p w14:paraId="2A6C35FB" w14:textId="77777777" w:rsidR="007B2947" w:rsidRPr="00C06F2E" w:rsidRDefault="007B2947" w:rsidP="00E60C58">
      <w:pPr>
        <w:suppressAutoHyphens/>
        <w:spacing w:after="0"/>
        <w:jc w:val="left"/>
        <w:rPr>
          <w:lang w:val="sk-SK"/>
        </w:rPr>
      </w:pPr>
    </w:p>
    <w:p w14:paraId="3249C7B9" w14:textId="2498710A" w:rsidR="007B2947" w:rsidRPr="00C06F2E" w:rsidRDefault="006A7A31" w:rsidP="00E60C58">
      <w:pPr>
        <w:suppressAutoHyphens/>
        <w:spacing w:after="0"/>
        <w:jc w:val="left"/>
        <w:rPr>
          <w:lang w:val="sk-SK"/>
        </w:rPr>
      </w:pPr>
      <w:r w:rsidRPr="00C06F2E">
        <w:rPr>
          <w:lang w:val="sk-SK"/>
        </w:rPr>
        <w:t xml:space="preserve">Ak sa podával erlotinib súbežne s ciprofloxacínom, miernym inhibítorom CYP1A2, </w:t>
      </w:r>
      <w:r w:rsidR="00D8716F">
        <w:rPr>
          <w:lang w:val="sk-SK"/>
        </w:rPr>
        <w:t xml:space="preserve">významne sa </w:t>
      </w:r>
      <w:r w:rsidRPr="00C06F2E">
        <w:rPr>
          <w:lang w:val="sk-SK"/>
        </w:rPr>
        <w:t>zvýšila expozícia erlotinibu [AUC] o 39 %, hoci sa nezistila štatisticky signifikantná zmena</w:t>
      </w:r>
      <w:r w:rsidR="00276138" w:rsidRPr="00276138">
        <w:rPr>
          <w:lang w:val="sk-SK"/>
        </w:rPr>
        <w:t xml:space="preserve"> </w:t>
      </w:r>
      <w:r w:rsidR="00276138" w:rsidRPr="00C06F2E">
        <w:rPr>
          <w:lang w:val="sk-SK"/>
        </w:rPr>
        <w:t>C</w:t>
      </w:r>
      <w:r w:rsidR="00276138" w:rsidRPr="00C06F2E">
        <w:rPr>
          <w:vertAlign w:val="subscript"/>
          <w:lang w:val="sk-SK"/>
        </w:rPr>
        <w:t>max</w:t>
      </w:r>
      <w:r w:rsidRPr="00C06F2E">
        <w:rPr>
          <w:lang w:val="sk-SK"/>
        </w:rPr>
        <w:t>. Podobne</w:t>
      </w:r>
      <w:r w:rsidR="00276138">
        <w:rPr>
          <w:lang w:val="sk-SK"/>
        </w:rPr>
        <w:t xml:space="preserve"> sa zvýšila</w:t>
      </w:r>
      <w:r w:rsidRPr="00C06F2E">
        <w:rPr>
          <w:lang w:val="sk-SK"/>
        </w:rPr>
        <w:t xml:space="preserve"> expozícia aktívn</w:t>
      </w:r>
      <w:r w:rsidR="00276138">
        <w:rPr>
          <w:lang w:val="sk-SK"/>
        </w:rPr>
        <w:t>emu</w:t>
      </w:r>
      <w:r w:rsidRPr="00C06F2E">
        <w:rPr>
          <w:lang w:val="sk-SK"/>
        </w:rPr>
        <w:t xml:space="preserve"> metabolit</w:t>
      </w:r>
      <w:r w:rsidR="00276138">
        <w:rPr>
          <w:lang w:val="sk-SK"/>
        </w:rPr>
        <w:t>u,</w:t>
      </w:r>
      <w:r w:rsidRPr="00C06F2E">
        <w:rPr>
          <w:lang w:val="sk-SK"/>
        </w:rPr>
        <w:t xml:space="preserve"> AUC asi o 60 % a C</w:t>
      </w:r>
      <w:r w:rsidRPr="00C06F2E">
        <w:rPr>
          <w:vertAlign w:val="subscript"/>
          <w:lang w:val="sk-SK"/>
        </w:rPr>
        <w:t>max</w:t>
      </w:r>
      <w:r w:rsidRPr="00C06F2E">
        <w:rPr>
          <w:lang w:val="sk-SK"/>
        </w:rPr>
        <w:t xml:space="preserve"> asi o 48 %. Klinický význam tohto zistenia nebol stanovený. Keď sa kombinuje erlotinib s ciprofloxacínom alebo so silnými inhibítormi CYP1A2 (napr. s fluvoxamínom) je potrebná opatrnosť. Dávka erlotinibu sa môže znížiť, ak sa po</w:t>
      </w:r>
      <w:r w:rsidR="0093095D" w:rsidRPr="00C06F2E">
        <w:rPr>
          <w:lang w:val="sk-SK"/>
        </w:rPr>
        <w:t>zorujú nežiaduce reakcie v </w:t>
      </w:r>
      <w:r w:rsidRPr="00C06F2E">
        <w:rPr>
          <w:lang w:val="sk-SK"/>
        </w:rPr>
        <w:t>spojitosti s</w:t>
      </w:r>
      <w:r w:rsidR="0093095D" w:rsidRPr="00C06F2E">
        <w:rPr>
          <w:lang w:val="sk-SK"/>
        </w:rPr>
        <w:t> </w:t>
      </w:r>
      <w:r w:rsidRPr="00C06F2E">
        <w:rPr>
          <w:lang w:val="sk-SK"/>
        </w:rPr>
        <w:t>erlotinibom.</w:t>
      </w:r>
    </w:p>
    <w:p w14:paraId="5BF50038" w14:textId="77777777" w:rsidR="006A7A31" w:rsidRPr="00C06F2E" w:rsidRDefault="006A7A31" w:rsidP="00E60C58">
      <w:pPr>
        <w:suppressAutoHyphens/>
        <w:spacing w:after="0"/>
        <w:jc w:val="left"/>
        <w:rPr>
          <w:lang w:val="sk-SK"/>
        </w:rPr>
      </w:pPr>
    </w:p>
    <w:p w14:paraId="67FB2C1F" w14:textId="29CA8B59" w:rsidR="007B2947" w:rsidRPr="00C06F2E" w:rsidRDefault="006A7A31" w:rsidP="00E60C58">
      <w:pPr>
        <w:suppressAutoHyphens/>
        <w:spacing w:after="0"/>
        <w:jc w:val="left"/>
        <w:rPr>
          <w:lang w:val="sk-SK"/>
        </w:rPr>
      </w:pPr>
      <w:r w:rsidRPr="00C06F2E">
        <w:rPr>
          <w:lang w:val="sk-SK"/>
        </w:rPr>
        <w:lastRenderedPageBreak/>
        <w:t>Predchádzajúce alebo súčasné podávanie erlotinibu neviedlo k zmenám klírens</w:t>
      </w:r>
      <w:r w:rsidR="00276138">
        <w:rPr>
          <w:lang w:val="sk-SK"/>
        </w:rPr>
        <w:t>u</w:t>
      </w:r>
      <w:r w:rsidRPr="00C06F2E">
        <w:rPr>
          <w:lang w:val="sk-SK"/>
        </w:rPr>
        <w:t xml:space="preserve"> prototypických substrátov CYP3A4, midazolamu a erytromycínu, ale viedlo k</w:t>
      </w:r>
      <w:r w:rsidR="0093095D" w:rsidRPr="00C06F2E">
        <w:rPr>
          <w:lang w:val="sk-SK"/>
        </w:rPr>
        <w:t> </w:t>
      </w:r>
      <w:r w:rsidRPr="00C06F2E">
        <w:rPr>
          <w:lang w:val="sk-SK"/>
        </w:rPr>
        <w:t xml:space="preserve">zníženiu perorálnej </w:t>
      </w:r>
      <w:r w:rsidR="00276138">
        <w:rPr>
          <w:lang w:val="sk-SK"/>
        </w:rPr>
        <w:t xml:space="preserve">biologickej </w:t>
      </w:r>
      <w:r w:rsidRPr="00C06F2E">
        <w:rPr>
          <w:lang w:val="sk-SK"/>
        </w:rPr>
        <w:t xml:space="preserve">dostupnosti midazolamu </w:t>
      </w:r>
      <w:r w:rsidR="00276138">
        <w:rPr>
          <w:lang w:val="sk-SK"/>
        </w:rPr>
        <w:t>až</w:t>
      </w:r>
      <w:r w:rsidRPr="00C06F2E">
        <w:rPr>
          <w:lang w:val="sk-SK"/>
        </w:rPr>
        <w:t xml:space="preserve"> o 24 %. V</w:t>
      </w:r>
      <w:r w:rsidR="0093095D" w:rsidRPr="00C06F2E">
        <w:rPr>
          <w:lang w:val="sk-SK"/>
        </w:rPr>
        <w:t> </w:t>
      </w:r>
      <w:r w:rsidRPr="00C06F2E">
        <w:rPr>
          <w:lang w:val="sk-SK"/>
        </w:rPr>
        <w:t xml:space="preserve">inej klinickej štúdii sa preukázalo, že pri súbežnom podávaní erlotinib neovplyvňuje farmakokinetiku paklitaxelu, ktorý je substrátom CYP3A4/2C8. Významné interakcie </w:t>
      </w:r>
      <w:r w:rsidR="00276138">
        <w:rPr>
          <w:lang w:val="sk-SK"/>
        </w:rPr>
        <w:t>na úrovni</w:t>
      </w:r>
      <w:r w:rsidR="0093095D" w:rsidRPr="00C06F2E">
        <w:rPr>
          <w:lang w:val="sk-SK"/>
        </w:rPr>
        <w:t> </w:t>
      </w:r>
      <w:r w:rsidRPr="00C06F2E">
        <w:rPr>
          <w:lang w:val="sk-SK"/>
        </w:rPr>
        <w:t>klírens</w:t>
      </w:r>
      <w:r w:rsidR="00276138">
        <w:rPr>
          <w:lang w:val="sk-SK"/>
        </w:rPr>
        <w:t>u</w:t>
      </w:r>
      <w:r w:rsidRPr="00C06F2E">
        <w:rPr>
          <w:lang w:val="sk-SK"/>
        </w:rPr>
        <w:t xml:space="preserve"> </w:t>
      </w:r>
      <w:r w:rsidR="00276138">
        <w:rPr>
          <w:lang w:val="sk-SK"/>
        </w:rPr>
        <w:t xml:space="preserve">s </w:t>
      </w:r>
      <w:r w:rsidRPr="00C06F2E">
        <w:rPr>
          <w:lang w:val="sk-SK"/>
        </w:rPr>
        <w:t>ďalší</w:t>
      </w:r>
      <w:r w:rsidR="00276138">
        <w:rPr>
          <w:lang w:val="sk-SK"/>
        </w:rPr>
        <w:t>mi</w:t>
      </w:r>
      <w:r w:rsidRPr="00C06F2E">
        <w:rPr>
          <w:lang w:val="sk-SK"/>
        </w:rPr>
        <w:t xml:space="preserve"> CYP3A4 substrátov sú preto nepravdepodobné.</w:t>
      </w:r>
    </w:p>
    <w:p w14:paraId="296C984E" w14:textId="77777777" w:rsidR="006A7A31" w:rsidRPr="00C06F2E" w:rsidRDefault="006A7A31" w:rsidP="00E60C58">
      <w:pPr>
        <w:suppressAutoHyphens/>
        <w:spacing w:after="0"/>
        <w:jc w:val="left"/>
        <w:rPr>
          <w:lang w:val="sk-SK"/>
        </w:rPr>
      </w:pPr>
    </w:p>
    <w:p w14:paraId="29D88631" w14:textId="170A4091" w:rsidR="007B2947" w:rsidRPr="00C06F2E" w:rsidRDefault="000013E8" w:rsidP="00E60C58">
      <w:pPr>
        <w:suppressAutoHyphens/>
        <w:spacing w:after="0"/>
        <w:jc w:val="left"/>
        <w:rPr>
          <w:lang w:val="sk-SK"/>
        </w:rPr>
      </w:pPr>
      <w:r w:rsidRPr="00C06F2E">
        <w:rPr>
          <w:lang w:val="sk-SK"/>
        </w:rPr>
        <w:t>Inhibícia glukuroni</w:t>
      </w:r>
      <w:r w:rsidR="0093095D" w:rsidRPr="00C06F2E">
        <w:rPr>
          <w:lang w:val="sk-SK"/>
        </w:rPr>
        <w:t>dácie môže vyvolať interakcie s </w:t>
      </w:r>
      <w:r w:rsidRPr="00C06F2E">
        <w:rPr>
          <w:lang w:val="sk-SK"/>
        </w:rPr>
        <w:t>liekmi, ktoré sú substrátmi UGT1A1 a sú metabolizované výhradne touto cestou. U pacientov s nízkou expresiou UGT1A1 alebo s</w:t>
      </w:r>
      <w:r w:rsidR="0093095D" w:rsidRPr="00C06F2E">
        <w:rPr>
          <w:lang w:val="sk-SK"/>
        </w:rPr>
        <w:t> </w:t>
      </w:r>
      <w:r w:rsidRPr="00C06F2E">
        <w:rPr>
          <w:lang w:val="sk-SK"/>
        </w:rPr>
        <w:t>geneticky podmienenými poruchami glukuronidácie (napr. Gilbertova choroba) môže dôjsť k</w:t>
      </w:r>
      <w:r w:rsidR="0093095D" w:rsidRPr="00C06F2E">
        <w:rPr>
          <w:lang w:val="sk-SK"/>
        </w:rPr>
        <w:t> </w:t>
      </w:r>
      <w:r w:rsidRPr="00C06F2E">
        <w:rPr>
          <w:lang w:val="sk-SK"/>
        </w:rPr>
        <w:t>zvýšeniu koncentrácie bilirubínu v</w:t>
      </w:r>
      <w:r w:rsidR="0093095D" w:rsidRPr="00C06F2E">
        <w:rPr>
          <w:lang w:val="sk-SK"/>
        </w:rPr>
        <w:t> </w:t>
      </w:r>
      <w:r w:rsidRPr="00C06F2E">
        <w:rPr>
          <w:lang w:val="sk-SK"/>
        </w:rPr>
        <w:t>sére a musia sa liečiť so</w:t>
      </w:r>
      <w:r w:rsidR="0093095D" w:rsidRPr="00C06F2E">
        <w:rPr>
          <w:lang w:val="sk-SK"/>
        </w:rPr>
        <w:t> </w:t>
      </w:r>
      <w:r w:rsidRPr="00C06F2E">
        <w:rPr>
          <w:lang w:val="sk-SK"/>
        </w:rPr>
        <w:t>zvýšenou opatrnosťou.</w:t>
      </w:r>
    </w:p>
    <w:p w14:paraId="72A0D2F9" w14:textId="77777777" w:rsidR="007B2947" w:rsidRPr="00C06F2E" w:rsidRDefault="007B2947" w:rsidP="00E60C58">
      <w:pPr>
        <w:suppressAutoHyphens/>
        <w:spacing w:after="0"/>
        <w:jc w:val="left"/>
        <w:rPr>
          <w:lang w:val="sk-SK"/>
        </w:rPr>
      </w:pPr>
    </w:p>
    <w:p w14:paraId="5E205131" w14:textId="5A509DC9" w:rsidR="007B2947" w:rsidRPr="00C06F2E" w:rsidRDefault="000013E8" w:rsidP="00E60C58">
      <w:pPr>
        <w:suppressAutoHyphens/>
        <w:spacing w:after="0"/>
        <w:jc w:val="left"/>
        <w:rPr>
          <w:lang w:val="sk-SK"/>
        </w:rPr>
      </w:pPr>
      <w:r w:rsidRPr="00C06F2E">
        <w:rPr>
          <w:lang w:val="sk-SK"/>
        </w:rPr>
        <w:t>U</w:t>
      </w:r>
      <w:r w:rsidR="0093095D" w:rsidRPr="00C06F2E">
        <w:rPr>
          <w:lang w:val="sk-SK"/>
        </w:rPr>
        <w:t> </w:t>
      </w:r>
      <w:r w:rsidRPr="00C06F2E">
        <w:rPr>
          <w:lang w:val="sk-SK"/>
        </w:rPr>
        <w:t>ľudí sa erlotinib metabolizuje v pečeni pečeňovými cytochrómami, hlavne CYP3A4 a</w:t>
      </w:r>
      <w:r w:rsidR="0093095D" w:rsidRPr="00C06F2E">
        <w:rPr>
          <w:lang w:val="sk-SK"/>
        </w:rPr>
        <w:t> </w:t>
      </w:r>
      <w:r w:rsidRPr="00C06F2E">
        <w:rPr>
          <w:lang w:val="sk-SK"/>
        </w:rPr>
        <w:t>v</w:t>
      </w:r>
      <w:r w:rsidR="0093095D" w:rsidRPr="00C06F2E">
        <w:rPr>
          <w:lang w:val="sk-SK"/>
        </w:rPr>
        <w:t> </w:t>
      </w:r>
      <w:r w:rsidRPr="00C06F2E">
        <w:rPr>
          <w:lang w:val="sk-SK"/>
        </w:rPr>
        <w:t>menšej miere CYP1A2. K</w:t>
      </w:r>
      <w:r w:rsidR="0093095D" w:rsidRPr="00C06F2E">
        <w:rPr>
          <w:lang w:val="sk-SK"/>
        </w:rPr>
        <w:t> </w:t>
      </w:r>
      <w:r w:rsidRPr="00C06F2E">
        <w:rPr>
          <w:lang w:val="sk-SK"/>
        </w:rPr>
        <w:t>metabolickému klírens</w:t>
      </w:r>
      <w:r w:rsidR="00276138">
        <w:rPr>
          <w:lang w:val="sk-SK"/>
        </w:rPr>
        <w:t>u</w:t>
      </w:r>
      <w:r w:rsidRPr="00C06F2E">
        <w:rPr>
          <w:lang w:val="sk-SK"/>
        </w:rPr>
        <w:t xml:space="preserve"> erlotinibu teoreticky tiež prispieva mimopečeňový metabolizmus pomocou CYP3A4 v</w:t>
      </w:r>
      <w:r w:rsidR="0093095D" w:rsidRPr="00C06F2E">
        <w:rPr>
          <w:lang w:val="sk-SK"/>
        </w:rPr>
        <w:t> </w:t>
      </w:r>
      <w:r w:rsidRPr="00C06F2E">
        <w:rPr>
          <w:lang w:val="sk-SK"/>
        </w:rPr>
        <w:t>čreve, CYP1A1 v</w:t>
      </w:r>
      <w:r w:rsidR="0093095D" w:rsidRPr="00C06F2E">
        <w:rPr>
          <w:lang w:val="sk-SK"/>
        </w:rPr>
        <w:t> pľúcach a CYP1B1 v </w:t>
      </w:r>
      <w:r w:rsidRPr="00C06F2E">
        <w:rPr>
          <w:lang w:val="sk-SK"/>
        </w:rPr>
        <w:t>nádorovom tkanive. Potenciálne interakcie sa môžu vyskytnúť s</w:t>
      </w:r>
      <w:r w:rsidR="0093095D" w:rsidRPr="00C06F2E">
        <w:rPr>
          <w:lang w:val="sk-SK"/>
        </w:rPr>
        <w:t> </w:t>
      </w:r>
      <w:r w:rsidR="00276138">
        <w:rPr>
          <w:lang w:val="sk-SK"/>
        </w:rPr>
        <w:t>liečivami</w:t>
      </w:r>
      <w:r w:rsidRPr="00C06F2E">
        <w:rPr>
          <w:lang w:val="sk-SK"/>
        </w:rPr>
        <w:t>, ktoré sú metabolizované týmito enzýmami alebo sú ich inhibítormi alebo induktormi.</w:t>
      </w:r>
    </w:p>
    <w:p w14:paraId="26DCEF01" w14:textId="77777777" w:rsidR="000013E8" w:rsidRPr="00C06F2E" w:rsidRDefault="000013E8" w:rsidP="00E60C58">
      <w:pPr>
        <w:suppressAutoHyphens/>
        <w:spacing w:after="0"/>
        <w:jc w:val="left"/>
        <w:rPr>
          <w:lang w:val="sk-SK"/>
        </w:rPr>
      </w:pPr>
    </w:p>
    <w:p w14:paraId="009BA72F" w14:textId="61C21AA8" w:rsidR="000013E8" w:rsidRPr="00C06F2E" w:rsidRDefault="000013E8" w:rsidP="00E60C58">
      <w:pPr>
        <w:suppressAutoHyphens/>
        <w:spacing w:after="0"/>
        <w:jc w:val="left"/>
        <w:rPr>
          <w:lang w:val="sk-SK"/>
        </w:rPr>
      </w:pPr>
      <w:r w:rsidRPr="00C06F2E">
        <w:rPr>
          <w:lang w:val="sk-SK"/>
        </w:rPr>
        <w:t>Silné inhibítory aktivity CYP3A4 znižujú metabolizáciu erlotinibu a zvyšujú koncentrácie erlotinibu v</w:t>
      </w:r>
      <w:r w:rsidR="0093095D" w:rsidRPr="00C06F2E">
        <w:rPr>
          <w:lang w:val="sk-SK"/>
        </w:rPr>
        <w:t> </w:t>
      </w:r>
      <w:r w:rsidRPr="00C06F2E">
        <w:rPr>
          <w:lang w:val="sk-SK"/>
        </w:rPr>
        <w:t>plazme. V</w:t>
      </w:r>
      <w:r w:rsidR="0093095D" w:rsidRPr="00C06F2E">
        <w:rPr>
          <w:lang w:val="sk-SK"/>
        </w:rPr>
        <w:t> </w:t>
      </w:r>
      <w:r w:rsidRPr="00C06F2E">
        <w:rPr>
          <w:lang w:val="sk-SK"/>
        </w:rPr>
        <w:t>klinickej štúdii súbežné užívanie erlotinibu s</w:t>
      </w:r>
      <w:r w:rsidR="0093095D" w:rsidRPr="00C06F2E">
        <w:rPr>
          <w:lang w:val="sk-SK"/>
        </w:rPr>
        <w:t> </w:t>
      </w:r>
      <w:r w:rsidRPr="00C06F2E">
        <w:rPr>
          <w:lang w:val="sk-SK"/>
        </w:rPr>
        <w:t>ketokonazolom (200</w:t>
      </w:r>
      <w:r w:rsidR="0093095D" w:rsidRPr="00C06F2E">
        <w:rPr>
          <w:lang w:val="sk-SK"/>
        </w:rPr>
        <w:t> </w:t>
      </w:r>
      <w:r w:rsidRPr="00C06F2E">
        <w:rPr>
          <w:lang w:val="sk-SK"/>
        </w:rPr>
        <w:t xml:space="preserve">mg </w:t>
      </w:r>
      <w:r w:rsidR="0093095D" w:rsidRPr="00C06F2E">
        <w:rPr>
          <w:lang w:val="sk-SK"/>
        </w:rPr>
        <w:t>perorálne dvakrát denne počas 5 </w:t>
      </w:r>
      <w:r w:rsidRPr="00C06F2E">
        <w:rPr>
          <w:lang w:val="sk-SK"/>
        </w:rPr>
        <w:t>dní), siln</w:t>
      </w:r>
      <w:r w:rsidR="0093095D" w:rsidRPr="00C06F2E">
        <w:rPr>
          <w:lang w:val="sk-SK"/>
        </w:rPr>
        <w:t>ým inhibítorom CYP3A4, viedlo k </w:t>
      </w:r>
      <w:r w:rsidRPr="00C06F2E">
        <w:rPr>
          <w:lang w:val="sk-SK"/>
        </w:rPr>
        <w:t>zvýšenej expozícii erlotinibu (86 % AUC a 69 % C</w:t>
      </w:r>
      <w:r w:rsidRPr="00C06F2E">
        <w:rPr>
          <w:vertAlign w:val="subscript"/>
          <w:lang w:val="sk-SK"/>
        </w:rPr>
        <w:t>max</w:t>
      </w:r>
      <w:r w:rsidRPr="00C06F2E">
        <w:rPr>
          <w:lang w:val="sk-SK"/>
        </w:rPr>
        <w:t>). Preto je potrebná opatrnosť, keď sa kombinuje erlotinib so</w:t>
      </w:r>
      <w:r w:rsidR="0093095D" w:rsidRPr="00C06F2E">
        <w:rPr>
          <w:lang w:val="sk-SK"/>
        </w:rPr>
        <w:t> </w:t>
      </w:r>
      <w:r w:rsidRPr="00C06F2E">
        <w:rPr>
          <w:lang w:val="sk-SK"/>
        </w:rPr>
        <w:t xml:space="preserve">silnými inhibítormi CYP3A4, napr. s azolovými </w:t>
      </w:r>
      <w:r w:rsidR="00D41C5E">
        <w:rPr>
          <w:lang w:val="sk-SK"/>
        </w:rPr>
        <w:t>antimykotikami</w:t>
      </w:r>
      <w:r w:rsidRPr="00C06F2E">
        <w:rPr>
          <w:lang w:val="sk-SK"/>
        </w:rPr>
        <w:t xml:space="preserve"> (t.j. ketokonazol, itrakonazol, vorikonazol), s</w:t>
      </w:r>
      <w:r w:rsidR="0093095D" w:rsidRPr="00C06F2E">
        <w:rPr>
          <w:lang w:val="sk-SK"/>
        </w:rPr>
        <w:t> </w:t>
      </w:r>
      <w:r w:rsidRPr="00C06F2E">
        <w:rPr>
          <w:lang w:val="sk-SK"/>
        </w:rPr>
        <w:t>inhibítormi proteáz, s</w:t>
      </w:r>
      <w:r w:rsidR="0093095D" w:rsidRPr="00C06F2E">
        <w:rPr>
          <w:lang w:val="sk-SK"/>
        </w:rPr>
        <w:t> </w:t>
      </w:r>
      <w:r w:rsidRPr="00C06F2E">
        <w:rPr>
          <w:lang w:val="sk-SK"/>
        </w:rPr>
        <w:t>erytromycínom alebo klaritromycínom. Ak je potrebné, má sa dávka erlotinibu znížiť, zvlášť ak sa pozoruje toxicita.</w:t>
      </w:r>
    </w:p>
    <w:p w14:paraId="719BDCDE" w14:textId="77777777" w:rsidR="000013E8" w:rsidRPr="00C06F2E" w:rsidRDefault="000013E8" w:rsidP="00E60C58">
      <w:pPr>
        <w:suppressAutoHyphens/>
        <w:spacing w:after="0"/>
        <w:jc w:val="left"/>
        <w:rPr>
          <w:lang w:val="sk-SK"/>
        </w:rPr>
      </w:pPr>
    </w:p>
    <w:p w14:paraId="39601C87" w14:textId="405F42B1" w:rsidR="007B2947" w:rsidRPr="00C06F2E" w:rsidRDefault="000013E8" w:rsidP="00E60C58">
      <w:pPr>
        <w:suppressAutoHyphens/>
        <w:spacing w:after="0"/>
        <w:jc w:val="left"/>
        <w:rPr>
          <w:lang w:val="sk-SK"/>
        </w:rPr>
      </w:pPr>
      <w:r w:rsidRPr="00C06F2E">
        <w:rPr>
          <w:lang w:val="sk-SK"/>
        </w:rPr>
        <w:t>Silné induktory aktivity CYP3A4 zvyšujú metabolizáciu erlotinibu a významne znižujú koncentrácie erlotinibu v</w:t>
      </w:r>
      <w:r w:rsidR="0093095D" w:rsidRPr="00C06F2E">
        <w:rPr>
          <w:lang w:val="sk-SK"/>
        </w:rPr>
        <w:t> </w:t>
      </w:r>
      <w:r w:rsidRPr="00C06F2E">
        <w:rPr>
          <w:lang w:val="sk-SK"/>
        </w:rPr>
        <w:t>plazme. V</w:t>
      </w:r>
      <w:r w:rsidR="0093095D" w:rsidRPr="00C06F2E">
        <w:rPr>
          <w:lang w:val="sk-SK"/>
        </w:rPr>
        <w:t> </w:t>
      </w:r>
      <w:r w:rsidRPr="00C06F2E">
        <w:rPr>
          <w:lang w:val="sk-SK"/>
        </w:rPr>
        <w:t>klinickej štúdii súbežné užívanie erlotinibu s</w:t>
      </w:r>
      <w:r w:rsidR="0093095D" w:rsidRPr="00C06F2E">
        <w:rPr>
          <w:lang w:val="sk-SK"/>
        </w:rPr>
        <w:t> </w:t>
      </w:r>
      <w:r w:rsidRPr="00C06F2E">
        <w:rPr>
          <w:lang w:val="sk-SK"/>
        </w:rPr>
        <w:t>rifampicínom (600</w:t>
      </w:r>
      <w:r w:rsidR="0093095D" w:rsidRPr="00C06F2E">
        <w:rPr>
          <w:lang w:val="sk-SK"/>
        </w:rPr>
        <w:t> </w:t>
      </w:r>
      <w:r w:rsidRPr="00C06F2E">
        <w:rPr>
          <w:lang w:val="sk-SK"/>
        </w:rPr>
        <w:t>mg perorálne jedenkrát denne počas 7</w:t>
      </w:r>
      <w:r w:rsidR="0093095D" w:rsidRPr="00C06F2E">
        <w:rPr>
          <w:lang w:val="sk-SK"/>
        </w:rPr>
        <w:t> </w:t>
      </w:r>
      <w:r w:rsidRPr="00C06F2E">
        <w:rPr>
          <w:lang w:val="sk-SK"/>
        </w:rPr>
        <w:t>dní), silným</w:t>
      </w:r>
      <w:r w:rsidR="0093095D" w:rsidRPr="00C06F2E">
        <w:rPr>
          <w:lang w:val="sk-SK"/>
        </w:rPr>
        <w:t xml:space="preserve"> induktorom CYP3A4, viedlo k 69 </w:t>
      </w:r>
      <w:r w:rsidRPr="00C06F2E">
        <w:rPr>
          <w:lang w:val="sk-SK"/>
        </w:rPr>
        <w:t>% poklesu mediánu AUC erlotinibu. Pri súbežnom podaní rifampicínu a jednorazovej 450</w:t>
      </w:r>
      <w:r w:rsidR="0093095D" w:rsidRPr="00C06F2E">
        <w:rPr>
          <w:lang w:val="sk-SK"/>
        </w:rPr>
        <w:t> </w:t>
      </w:r>
      <w:r w:rsidRPr="00C06F2E">
        <w:rPr>
          <w:lang w:val="sk-SK"/>
        </w:rPr>
        <w:t xml:space="preserve">mg dávky </w:t>
      </w:r>
      <w:r w:rsidR="00426EAF" w:rsidRPr="00C06F2E">
        <w:rPr>
          <w:lang w:val="sk-SK"/>
        </w:rPr>
        <w:t xml:space="preserve">erlotinibu </w:t>
      </w:r>
      <w:r w:rsidRPr="00C06F2E">
        <w:rPr>
          <w:lang w:val="sk-SK"/>
        </w:rPr>
        <w:t>bola priemerná expozícia (AUC) erlotinibu 57,5</w:t>
      </w:r>
      <w:r w:rsidR="00BA21AF" w:rsidRPr="00C06F2E">
        <w:rPr>
          <w:lang w:val="sk-SK"/>
        </w:rPr>
        <w:t> </w:t>
      </w:r>
      <w:r w:rsidRPr="00C06F2E">
        <w:rPr>
          <w:lang w:val="sk-SK"/>
        </w:rPr>
        <w:t>% hodnoty nameranej po</w:t>
      </w:r>
      <w:r w:rsidR="00BA21AF" w:rsidRPr="00C06F2E">
        <w:rPr>
          <w:lang w:val="sk-SK"/>
        </w:rPr>
        <w:t> </w:t>
      </w:r>
      <w:r w:rsidRPr="00C06F2E">
        <w:rPr>
          <w:lang w:val="sk-SK"/>
        </w:rPr>
        <w:t>jednorazovom podaní 150</w:t>
      </w:r>
      <w:r w:rsidR="00BA21AF" w:rsidRPr="00C06F2E">
        <w:rPr>
          <w:lang w:val="sk-SK"/>
        </w:rPr>
        <w:t> </w:t>
      </w:r>
      <w:r w:rsidRPr="00C06F2E">
        <w:rPr>
          <w:lang w:val="sk-SK"/>
        </w:rPr>
        <w:t xml:space="preserve">mg </w:t>
      </w:r>
      <w:r w:rsidR="00426EAF" w:rsidRPr="00C06F2E">
        <w:rPr>
          <w:lang w:val="sk-SK"/>
        </w:rPr>
        <w:t xml:space="preserve">erlotinibu </w:t>
      </w:r>
      <w:r w:rsidRPr="00C06F2E">
        <w:rPr>
          <w:lang w:val="sk-SK"/>
        </w:rPr>
        <w:t xml:space="preserve">bez súbežného podania rifampicínu. </w:t>
      </w:r>
      <w:r w:rsidR="00426EAF" w:rsidRPr="00C06F2E">
        <w:rPr>
          <w:lang w:val="sk-SK"/>
        </w:rPr>
        <w:t xml:space="preserve">Erlotinib </w:t>
      </w:r>
      <w:r w:rsidR="00BA21AF" w:rsidRPr="00C06F2E">
        <w:rPr>
          <w:lang w:val="sk-SK"/>
        </w:rPr>
        <w:t>sa preto nemá podávať súbežne s </w:t>
      </w:r>
      <w:r w:rsidRPr="00C06F2E">
        <w:rPr>
          <w:lang w:val="sk-SK"/>
        </w:rPr>
        <w:t>induktormi CYP3A4. U</w:t>
      </w:r>
      <w:r w:rsidR="00BA21AF" w:rsidRPr="00C06F2E">
        <w:rPr>
          <w:lang w:val="sk-SK"/>
        </w:rPr>
        <w:t> </w:t>
      </w:r>
      <w:r w:rsidRPr="00C06F2E">
        <w:rPr>
          <w:lang w:val="sk-SK"/>
        </w:rPr>
        <w:t xml:space="preserve">pacientov, ktorí potrebujú súbežnú liečbu </w:t>
      </w:r>
      <w:r w:rsidR="00426EAF" w:rsidRPr="00C06F2E">
        <w:rPr>
          <w:lang w:val="sk-SK"/>
        </w:rPr>
        <w:t xml:space="preserve">erlotinibom </w:t>
      </w:r>
      <w:r w:rsidRPr="00C06F2E">
        <w:rPr>
          <w:lang w:val="sk-SK"/>
        </w:rPr>
        <w:t>a</w:t>
      </w:r>
      <w:r w:rsidR="00BA21AF" w:rsidRPr="00C06F2E">
        <w:rPr>
          <w:lang w:val="sk-SK"/>
        </w:rPr>
        <w:t> </w:t>
      </w:r>
      <w:r w:rsidRPr="00C06F2E">
        <w:rPr>
          <w:lang w:val="sk-SK"/>
        </w:rPr>
        <w:t>silným induktorom CYP3A4, ako je napríklad rifampicín, sa má zvážiť zvýšenie dávky na 300</w:t>
      </w:r>
      <w:r w:rsidR="00BA21AF" w:rsidRPr="00C06F2E">
        <w:rPr>
          <w:lang w:val="sk-SK"/>
        </w:rPr>
        <w:t> </w:t>
      </w:r>
      <w:r w:rsidRPr="00C06F2E">
        <w:rPr>
          <w:lang w:val="sk-SK"/>
        </w:rPr>
        <w:t>mg, pokiaľ sa pozorne monitoruje bezpečnosť (vrátane sledovania r</w:t>
      </w:r>
      <w:r w:rsidR="00BA21AF" w:rsidRPr="00C06F2E">
        <w:rPr>
          <w:lang w:val="sk-SK"/>
        </w:rPr>
        <w:t>enálnych a pečeňových funkcií a </w:t>
      </w:r>
      <w:r w:rsidRPr="00C06F2E">
        <w:rPr>
          <w:lang w:val="sk-SK"/>
        </w:rPr>
        <w:t>hladín elektrolytov v</w:t>
      </w:r>
      <w:r w:rsidR="00BA21AF" w:rsidRPr="00C06F2E">
        <w:rPr>
          <w:lang w:val="sk-SK"/>
        </w:rPr>
        <w:t> </w:t>
      </w:r>
      <w:r w:rsidRPr="00C06F2E">
        <w:rPr>
          <w:lang w:val="sk-SK"/>
        </w:rPr>
        <w:t>sére). Ak je dávka dobre tolerovaná viac ako 2</w:t>
      </w:r>
      <w:r w:rsidR="00BA21AF" w:rsidRPr="00C06F2E">
        <w:rPr>
          <w:lang w:val="sk-SK"/>
        </w:rPr>
        <w:t> </w:t>
      </w:r>
      <w:r w:rsidRPr="00C06F2E">
        <w:rPr>
          <w:lang w:val="sk-SK"/>
        </w:rPr>
        <w:t>týždne, môže sa uvažovať o ďalšom zvýšení dávky na 450</w:t>
      </w:r>
      <w:r w:rsidR="00BA21AF" w:rsidRPr="00C06F2E">
        <w:rPr>
          <w:lang w:val="sk-SK"/>
        </w:rPr>
        <w:t> </w:t>
      </w:r>
      <w:r w:rsidRPr="00C06F2E">
        <w:rPr>
          <w:lang w:val="sk-SK"/>
        </w:rPr>
        <w:t>mg pri dôkladnom monitorovaní bezpečnosti. Znížená expozícia sa môže vyskytnúť aj v</w:t>
      </w:r>
      <w:r w:rsidR="00BA21AF" w:rsidRPr="00C06F2E">
        <w:rPr>
          <w:lang w:val="sk-SK"/>
        </w:rPr>
        <w:t> </w:t>
      </w:r>
      <w:r w:rsidRPr="00C06F2E">
        <w:rPr>
          <w:lang w:val="sk-SK"/>
        </w:rPr>
        <w:t>prípade ďalších induktorov, napr. fenytoínu, karbamazepínu, barbiturátov alebo v</w:t>
      </w:r>
      <w:r w:rsidR="00BA21AF" w:rsidRPr="00C06F2E">
        <w:rPr>
          <w:lang w:val="sk-SK"/>
        </w:rPr>
        <w:t> </w:t>
      </w:r>
      <w:r w:rsidRPr="00C06F2E">
        <w:rPr>
          <w:lang w:val="sk-SK"/>
        </w:rPr>
        <w:t>prípade ľubovníka bodkovaného (</w:t>
      </w:r>
      <w:r w:rsidRPr="00C06F2E">
        <w:rPr>
          <w:i/>
          <w:iCs/>
          <w:lang w:val="sk-SK"/>
        </w:rPr>
        <w:t>Hypericum perforatum</w:t>
      </w:r>
      <w:r w:rsidRPr="00C06F2E">
        <w:rPr>
          <w:lang w:val="sk-SK"/>
        </w:rPr>
        <w:t>). Keď sa tieto lieky kombinujú s</w:t>
      </w:r>
      <w:r w:rsidR="00BA21AF" w:rsidRPr="00C06F2E">
        <w:rPr>
          <w:lang w:val="sk-SK"/>
        </w:rPr>
        <w:t> </w:t>
      </w:r>
      <w:r w:rsidRPr="00C06F2E">
        <w:rPr>
          <w:lang w:val="sk-SK"/>
        </w:rPr>
        <w:t>erlotinibom, treba postupovať so</w:t>
      </w:r>
      <w:r w:rsidR="00BA21AF" w:rsidRPr="00C06F2E">
        <w:rPr>
          <w:lang w:val="sk-SK"/>
        </w:rPr>
        <w:t> </w:t>
      </w:r>
      <w:r w:rsidRPr="00C06F2E">
        <w:rPr>
          <w:lang w:val="sk-SK"/>
        </w:rPr>
        <w:t>zvýšenou opatrnosťou. Ak je možné, má sa zvážiť alternatívna liečba bez použitia silného induktora aktivity CYP3A4.</w:t>
      </w:r>
    </w:p>
    <w:p w14:paraId="1E8E75A2" w14:textId="77777777" w:rsidR="000013E8" w:rsidRPr="00C06F2E" w:rsidRDefault="000013E8" w:rsidP="00E60C58">
      <w:pPr>
        <w:suppressAutoHyphens/>
        <w:spacing w:after="0"/>
        <w:jc w:val="left"/>
        <w:rPr>
          <w:lang w:val="sk-SK"/>
        </w:rPr>
      </w:pPr>
    </w:p>
    <w:p w14:paraId="37333CD6" w14:textId="336496C2" w:rsidR="007B2947" w:rsidRPr="00C06F2E" w:rsidRDefault="00426EAF" w:rsidP="00E60C58">
      <w:pPr>
        <w:suppressAutoHyphens/>
        <w:spacing w:after="0"/>
        <w:jc w:val="left"/>
        <w:rPr>
          <w:lang w:val="sk-SK"/>
        </w:rPr>
      </w:pPr>
      <w:r w:rsidRPr="00C06F2E">
        <w:rPr>
          <w:u w:val="single"/>
          <w:lang w:val="sk-SK"/>
        </w:rPr>
        <w:t>Erlotinib a kumarínové antikoagulanciá</w:t>
      </w:r>
    </w:p>
    <w:p w14:paraId="13BD023A" w14:textId="6E859BC9" w:rsidR="007B2947" w:rsidRPr="00C06F2E" w:rsidRDefault="00BA21AF" w:rsidP="00E60C58">
      <w:pPr>
        <w:suppressAutoHyphens/>
        <w:spacing w:after="0"/>
        <w:jc w:val="left"/>
        <w:rPr>
          <w:lang w:val="sk-SK"/>
        </w:rPr>
      </w:pPr>
      <w:r w:rsidRPr="00C06F2E">
        <w:rPr>
          <w:lang w:val="sk-SK"/>
        </w:rPr>
        <w:t>U </w:t>
      </w:r>
      <w:r w:rsidR="00426EAF" w:rsidRPr="00C06F2E">
        <w:rPr>
          <w:lang w:val="sk-SK"/>
        </w:rPr>
        <w:t>pacientov užívajúcich erlotinib boli hlásené interakcie s kumarínovými antikoagulanciami, vrátane warfarínu vedúce k zvýšeniu hodnoty INR (medzinárodný normaliz</w:t>
      </w:r>
      <w:r w:rsidR="00D41C5E">
        <w:rPr>
          <w:lang w:val="sk-SK"/>
        </w:rPr>
        <w:t>ovaný pomer</w:t>
      </w:r>
      <w:r w:rsidR="00426EAF" w:rsidRPr="00C06F2E">
        <w:rPr>
          <w:lang w:val="sk-SK"/>
        </w:rPr>
        <w:t>) a</w:t>
      </w:r>
      <w:r w:rsidRPr="00C06F2E">
        <w:rPr>
          <w:lang w:val="sk-SK"/>
        </w:rPr>
        <w:t> </w:t>
      </w:r>
      <w:r w:rsidR="00426EAF" w:rsidRPr="00C06F2E">
        <w:rPr>
          <w:lang w:val="sk-SK"/>
        </w:rPr>
        <w:t>krvácavým stavom, ktoré boli v</w:t>
      </w:r>
      <w:r w:rsidRPr="00C06F2E">
        <w:rPr>
          <w:lang w:val="sk-SK"/>
        </w:rPr>
        <w:t> </w:t>
      </w:r>
      <w:r w:rsidR="00426EAF" w:rsidRPr="00C06F2E">
        <w:rPr>
          <w:lang w:val="sk-SK"/>
        </w:rPr>
        <w:t>niektorých prípadoch fatálne. U pacientov, ktorí užívajú kumarínové deriváty, sa majú pravidelne sledovať zmeny protrombínového času alebo INR.</w:t>
      </w:r>
    </w:p>
    <w:p w14:paraId="54B9264B" w14:textId="77777777" w:rsidR="00426EAF" w:rsidRPr="00C06F2E" w:rsidRDefault="00426EAF" w:rsidP="00E60C58">
      <w:pPr>
        <w:suppressAutoHyphens/>
        <w:spacing w:after="0"/>
        <w:jc w:val="left"/>
        <w:rPr>
          <w:lang w:val="sk-SK"/>
        </w:rPr>
      </w:pPr>
    </w:p>
    <w:p w14:paraId="550B2510" w14:textId="40DD0F84" w:rsidR="007B2947" w:rsidRPr="00C06F2E" w:rsidRDefault="007C3D18" w:rsidP="00E60C58">
      <w:pPr>
        <w:suppressAutoHyphens/>
        <w:spacing w:after="0"/>
        <w:jc w:val="left"/>
        <w:rPr>
          <w:lang w:val="sk-SK"/>
        </w:rPr>
      </w:pPr>
      <w:r w:rsidRPr="00C06F2E">
        <w:rPr>
          <w:u w:val="single"/>
          <w:lang w:val="sk-SK"/>
        </w:rPr>
        <w:t xml:space="preserve">Erlotinib a </w:t>
      </w:r>
      <w:r w:rsidR="00426EAF" w:rsidRPr="00C06F2E">
        <w:rPr>
          <w:u w:val="single"/>
          <w:lang w:val="sk-SK"/>
        </w:rPr>
        <w:t>statíny</w:t>
      </w:r>
    </w:p>
    <w:p w14:paraId="17A97478" w14:textId="5FA02C2D" w:rsidR="00982245" w:rsidRPr="00C06F2E" w:rsidRDefault="00982245" w:rsidP="00E60C58">
      <w:pPr>
        <w:suppressAutoHyphens/>
        <w:spacing w:after="0"/>
        <w:jc w:val="left"/>
        <w:rPr>
          <w:lang w:val="sk-SK"/>
        </w:rPr>
      </w:pPr>
      <w:r w:rsidRPr="00C06F2E">
        <w:rPr>
          <w:lang w:val="sk-SK"/>
        </w:rPr>
        <w:t>Kombinovaná liečba erlotinib</w:t>
      </w:r>
      <w:r w:rsidR="00B61A05" w:rsidRPr="00C06F2E">
        <w:rPr>
          <w:lang w:val="sk-SK"/>
        </w:rPr>
        <w:t>u</w:t>
      </w:r>
      <w:r w:rsidRPr="00C06F2E">
        <w:rPr>
          <w:lang w:val="sk-SK"/>
        </w:rPr>
        <w:t xml:space="preserve"> so statínom môže zvýšiť potenciál pre statínom indukovanú myopatiu, </w:t>
      </w:r>
    </w:p>
    <w:p w14:paraId="517EE148" w14:textId="5AE5D325" w:rsidR="007B2947" w:rsidRPr="00C06F2E" w:rsidRDefault="00982245" w:rsidP="00E60C58">
      <w:pPr>
        <w:suppressAutoHyphens/>
        <w:spacing w:after="0"/>
        <w:jc w:val="left"/>
        <w:rPr>
          <w:lang w:val="sk-SK"/>
        </w:rPr>
      </w:pPr>
      <w:r w:rsidRPr="00C06F2E">
        <w:rPr>
          <w:lang w:val="sk-SK"/>
        </w:rPr>
        <w:t>vrátane rabdomyolýzy, ktorá bola zriedkavo pozorovaná.</w:t>
      </w:r>
    </w:p>
    <w:p w14:paraId="6FC2B5C2" w14:textId="77777777" w:rsidR="00982245" w:rsidRPr="00C06F2E" w:rsidRDefault="00982245" w:rsidP="00E60C58">
      <w:pPr>
        <w:suppressAutoHyphens/>
        <w:spacing w:after="0"/>
        <w:jc w:val="left"/>
        <w:rPr>
          <w:lang w:val="sk-SK"/>
        </w:rPr>
      </w:pPr>
    </w:p>
    <w:p w14:paraId="0B9575FB" w14:textId="64D6E249" w:rsidR="007B2947" w:rsidRPr="00C06F2E" w:rsidRDefault="007C3D18" w:rsidP="00E60C58">
      <w:pPr>
        <w:suppressAutoHyphens/>
        <w:spacing w:after="0"/>
        <w:jc w:val="left"/>
        <w:rPr>
          <w:lang w:val="sk-SK"/>
        </w:rPr>
      </w:pPr>
      <w:r w:rsidRPr="00C06F2E">
        <w:rPr>
          <w:u w:val="single"/>
          <w:lang w:val="sk-SK"/>
        </w:rPr>
        <w:t xml:space="preserve">Erlotinib a </w:t>
      </w:r>
      <w:r w:rsidR="00982245" w:rsidRPr="00C06F2E">
        <w:rPr>
          <w:u w:val="single"/>
          <w:lang w:val="sk-SK"/>
        </w:rPr>
        <w:t>fajčiari</w:t>
      </w:r>
    </w:p>
    <w:p w14:paraId="2CFEC97A" w14:textId="7DF91208" w:rsidR="007B2947" w:rsidRPr="00C06F2E" w:rsidRDefault="00982245" w:rsidP="00E60C58">
      <w:pPr>
        <w:suppressAutoHyphens/>
        <w:spacing w:after="0"/>
        <w:jc w:val="left"/>
        <w:rPr>
          <w:lang w:val="sk-SK"/>
        </w:rPr>
      </w:pPr>
      <w:r w:rsidRPr="00C06F2E">
        <w:rPr>
          <w:lang w:val="sk-SK"/>
        </w:rPr>
        <w:t>Výsledky farmakokinetickej interakčnej štúdie ukazujú významné 2,8-</w:t>
      </w:r>
      <w:r w:rsidR="00D41C5E">
        <w:rPr>
          <w:lang w:val="sk-SK"/>
        </w:rPr>
        <w:t>násobné</w:t>
      </w:r>
      <w:r w:rsidR="00D41C5E" w:rsidRPr="00D41C5E">
        <w:rPr>
          <w:lang w:val="sk-SK"/>
        </w:rPr>
        <w:t xml:space="preserve"> </w:t>
      </w:r>
      <w:r w:rsidR="00D41C5E" w:rsidRPr="00C06F2E">
        <w:rPr>
          <w:lang w:val="sk-SK"/>
        </w:rPr>
        <w:t>zníženie AUC</w:t>
      </w:r>
      <w:r w:rsidR="00D41C5E" w:rsidRPr="00C06F2E">
        <w:rPr>
          <w:vertAlign w:val="subscript"/>
          <w:lang w:val="sk-SK"/>
        </w:rPr>
        <w:t>inf</w:t>
      </w:r>
      <w:r w:rsidRPr="00C06F2E">
        <w:rPr>
          <w:lang w:val="sk-SK"/>
        </w:rPr>
        <w:t xml:space="preserve">, 1,5- </w:t>
      </w:r>
      <w:r w:rsidR="00D41C5E">
        <w:rPr>
          <w:lang w:val="sk-SK"/>
        </w:rPr>
        <w:t xml:space="preserve">násobné zníženie </w:t>
      </w:r>
      <w:r w:rsidR="00D41C5E" w:rsidRPr="00C06F2E">
        <w:rPr>
          <w:lang w:val="sk-SK"/>
        </w:rPr>
        <w:t>C</w:t>
      </w:r>
      <w:r w:rsidR="00D41C5E" w:rsidRPr="00C06F2E">
        <w:rPr>
          <w:vertAlign w:val="subscript"/>
          <w:lang w:val="sk-SK"/>
        </w:rPr>
        <w:t>max</w:t>
      </w:r>
      <w:r w:rsidRPr="00C06F2E">
        <w:rPr>
          <w:lang w:val="sk-SK"/>
        </w:rPr>
        <w:t xml:space="preserve"> a 9-</w:t>
      </w:r>
      <w:r w:rsidR="00D41C5E">
        <w:rPr>
          <w:lang w:val="sk-SK"/>
        </w:rPr>
        <w:t>násobné zníženie plazmatickej koncentrácie</w:t>
      </w:r>
      <w:r w:rsidRPr="00C06F2E">
        <w:rPr>
          <w:lang w:val="sk-SK"/>
        </w:rPr>
        <w:t xml:space="preserve"> </w:t>
      </w:r>
      <w:r w:rsidR="00E0730F">
        <w:rPr>
          <w:lang w:val="sk-SK"/>
        </w:rPr>
        <w:t>po</w:t>
      </w:r>
      <w:r w:rsidRPr="00C06F2E">
        <w:rPr>
          <w:lang w:val="sk-SK"/>
        </w:rPr>
        <w:t xml:space="preserve"> 24</w:t>
      </w:r>
      <w:r w:rsidR="00B61A05" w:rsidRPr="00C06F2E">
        <w:rPr>
          <w:lang w:val="sk-SK"/>
        </w:rPr>
        <w:t> </w:t>
      </w:r>
      <w:r w:rsidRPr="00C06F2E">
        <w:rPr>
          <w:lang w:val="sk-SK"/>
        </w:rPr>
        <w:t>hod</w:t>
      </w:r>
      <w:r w:rsidR="00E0730F">
        <w:rPr>
          <w:lang w:val="sk-SK"/>
        </w:rPr>
        <w:t>inách</w:t>
      </w:r>
      <w:r w:rsidRPr="00C06F2E">
        <w:rPr>
          <w:lang w:val="sk-SK"/>
        </w:rPr>
        <w:t xml:space="preserve"> po podaní erlotinibu fajčiarom v porovnaní s nefajčiarmi. Preto sa má pacientom, ktorí stále fajčia, odporúčať, aby prestali fajčiť </w:t>
      </w:r>
      <w:r w:rsidR="00D41C5E">
        <w:rPr>
          <w:lang w:val="sk-SK"/>
        </w:rPr>
        <w:t xml:space="preserve">čo najskôr </w:t>
      </w:r>
      <w:r w:rsidRPr="00C06F2E">
        <w:rPr>
          <w:lang w:val="sk-SK"/>
        </w:rPr>
        <w:t xml:space="preserve">už pred začiatkom liečby </w:t>
      </w:r>
      <w:r w:rsidR="001E0065" w:rsidRPr="00C06F2E">
        <w:rPr>
          <w:lang w:val="sk-SK"/>
        </w:rPr>
        <w:t>erlotinibom</w:t>
      </w:r>
      <w:r w:rsidRPr="00C06F2E">
        <w:rPr>
          <w:lang w:val="sk-SK"/>
        </w:rPr>
        <w:t xml:space="preserve">, pretože inak môžu byť </w:t>
      </w:r>
      <w:r w:rsidRPr="00C06F2E">
        <w:rPr>
          <w:lang w:val="sk-SK"/>
        </w:rPr>
        <w:lastRenderedPageBreak/>
        <w:t>plazmatické koncentrácie znížené. Na základe údajov zo štúdie CURRENTS sa nepozoroval žiadny prínos vyššej dávky 300</w:t>
      </w:r>
      <w:r w:rsidR="00B61A05" w:rsidRPr="00C06F2E">
        <w:rPr>
          <w:lang w:val="sk-SK"/>
        </w:rPr>
        <w:t> </w:t>
      </w:r>
      <w:r w:rsidRPr="00C06F2E">
        <w:rPr>
          <w:lang w:val="sk-SK"/>
        </w:rPr>
        <w:t>mg erlotinibu v porovnaní s odporúčanou dávkou 150</w:t>
      </w:r>
      <w:r w:rsidR="00B61A05" w:rsidRPr="00C06F2E">
        <w:rPr>
          <w:lang w:val="sk-SK"/>
        </w:rPr>
        <w:t> </w:t>
      </w:r>
      <w:r w:rsidRPr="00C06F2E">
        <w:rPr>
          <w:lang w:val="sk-SK"/>
        </w:rPr>
        <w:t>mg u aktívnych fajčiarov. Bezpečnostné údaje boli porovnateľné medzi dávkami 300</w:t>
      </w:r>
      <w:r w:rsidR="00B61A05" w:rsidRPr="00C06F2E">
        <w:rPr>
          <w:lang w:val="sk-SK"/>
        </w:rPr>
        <w:t> mg a 150 </w:t>
      </w:r>
      <w:r w:rsidRPr="00C06F2E">
        <w:rPr>
          <w:lang w:val="sk-SK"/>
        </w:rPr>
        <w:t>mg; avšak u pacientov, ktorí dostávali vyššiu dávku erlotinibu, došlo k početnému zvýšeniu výskytu vyrážky, intersticiálnej choroby pľúc a hnačky (pozri časti 4.2, 4.4, 5.1 a 5.2).</w:t>
      </w:r>
    </w:p>
    <w:p w14:paraId="7929A834" w14:textId="77777777" w:rsidR="00982245" w:rsidRPr="00C06F2E" w:rsidRDefault="00982245" w:rsidP="00E60C58">
      <w:pPr>
        <w:suppressAutoHyphens/>
        <w:spacing w:after="0"/>
        <w:jc w:val="left"/>
        <w:rPr>
          <w:lang w:val="sk-SK"/>
        </w:rPr>
      </w:pPr>
    </w:p>
    <w:p w14:paraId="4584116E" w14:textId="1E9308DE" w:rsidR="007B2947" w:rsidRPr="00C06F2E" w:rsidRDefault="007C3D18" w:rsidP="00E60C58">
      <w:pPr>
        <w:suppressAutoHyphens/>
        <w:spacing w:after="0"/>
        <w:jc w:val="left"/>
        <w:rPr>
          <w:lang w:val="sk-SK"/>
        </w:rPr>
      </w:pPr>
      <w:r w:rsidRPr="00E0730F">
        <w:rPr>
          <w:u w:val="single"/>
          <w:lang w:val="sk-SK"/>
        </w:rPr>
        <w:t>Erlo</w:t>
      </w:r>
      <w:r w:rsidRPr="00C06F2E">
        <w:rPr>
          <w:u w:val="single"/>
          <w:lang w:val="sk-SK"/>
        </w:rPr>
        <w:t xml:space="preserve">tinib </w:t>
      </w:r>
      <w:r w:rsidR="00F155B2" w:rsidRPr="00C06F2E">
        <w:rPr>
          <w:u w:val="single"/>
          <w:lang w:val="sk-SK"/>
        </w:rPr>
        <w:t>a inhibítory P-glykoproteínu</w:t>
      </w:r>
    </w:p>
    <w:p w14:paraId="14539CC7" w14:textId="4C17E58B" w:rsidR="007B2947" w:rsidRPr="00C06F2E" w:rsidRDefault="00F155B2" w:rsidP="00E60C58">
      <w:pPr>
        <w:suppressAutoHyphens/>
        <w:spacing w:after="0"/>
        <w:jc w:val="left"/>
        <w:rPr>
          <w:lang w:val="sk-SK"/>
        </w:rPr>
      </w:pPr>
      <w:r w:rsidRPr="00C06F2E">
        <w:rPr>
          <w:lang w:val="sk-SK"/>
        </w:rPr>
        <w:t xml:space="preserve">Erlotinib je substrátom pre transportér </w:t>
      </w:r>
      <w:r w:rsidR="00784A4B">
        <w:rPr>
          <w:lang w:val="sk-SK"/>
        </w:rPr>
        <w:t>liečiv</w:t>
      </w:r>
      <w:r w:rsidR="00E0730F">
        <w:rPr>
          <w:lang w:val="sk-SK"/>
        </w:rPr>
        <w:t>,</w:t>
      </w:r>
      <w:r w:rsidRPr="00C06F2E">
        <w:rPr>
          <w:lang w:val="sk-SK"/>
        </w:rPr>
        <w:t xml:space="preserve"> P-glykoproteín. Súbežné podávanie inhibítorov P-glykoproteínu, napr. cyklosporínu a verapamilu, môže viesť k pozmenenej distribúcii a/alebo pozmenenej eliminácii erlotinibu. Následky tejto interakcie napr. na CNS toxicitu neboli doteraz preukázané. V takýchto situáciách treba postupovať so zvýšenou opatrnosťou.</w:t>
      </w:r>
    </w:p>
    <w:p w14:paraId="726042A6" w14:textId="77777777" w:rsidR="00F155B2" w:rsidRPr="00C06F2E" w:rsidRDefault="00F155B2" w:rsidP="00E60C58">
      <w:pPr>
        <w:suppressAutoHyphens/>
        <w:spacing w:after="0"/>
        <w:jc w:val="left"/>
        <w:rPr>
          <w:lang w:val="sk-SK"/>
        </w:rPr>
      </w:pPr>
    </w:p>
    <w:p w14:paraId="66B22CAC" w14:textId="24FD559E" w:rsidR="007B2947" w:rsidRPr="00C06F2E" w:rsidRDefault="007C3D18" w:rsidP="00E60C58">
      <w:pPr>
        <w:suppressAutoHyphens/>
        <w:spacing w:after="0"/>
        <w:jc w:val="left"/>
        <w:rPr>
          <w:lang w:val="sk-SK"/>
        </w:rPr>
      </w:pPr>
      <w:r w:rsidRPr="006C7E38">
        <w:rPr>
          <w:u w:val="single"/>
          <w:lang w:val="sk-SK"/>
        </w:rPr>
        <w:t>Erloti</w:t>
      </w:r>
      <w:r w:rsidRPr="00C06F2E">
        <w:rPr>
          <w:u w:val="single"/>
          <w:lang w:val="sk-SK"/>
        </w:rPr>
        <w:t xml:space="preserve">nib </w:t>
      </w:r>
      <w:r w:rsidR="00F155B2" w:rsidRPr="00C06F2E">
        <w:rPr>
          <w:u w:val="single"/>
          <w:lang w:val="sk-SK"/>
        </w:rPr>
        <w:t>a lieky, ktoré menia pH</w:t>
      </w:r>
    </w:p>
    <w:p w14:paraId="36C2F0FC" w14:textId="7A8FC4DB" w:rsidR="007B2947" w:rsidRPr="00C06F2E" w:rsidRDefault="00F155B2" w:rsidP="00E60C58">
      <w:pPr>
        <w:suppressAutoHyphens/>
        <w:spacing w:after="0"/>
        <w:jc w:val="left"/>
        <w:rPr>
          <w:lang w:val="sk-SK"/>
        </w:rPr>
      </w:pPr>
      <w:r w:rsidRPr="00C06F2E">
        <w:rPr>
          <w:lang w:val="sk-SK"/>
        </w:rPr>
        <w:t xml:space="preserve">Erlotinib </w:t>
      </w:r>
      <w:r w:rsidR="007A6844">
        <w:rPr>
          <w:lang w:val="sk-SK"/>
        </w:rPr>
        <w:t>sa vyznačuje</w:t>
      </w:r>
      <w:r w:rsidRPr="00C06F2E">
        <w:rPr>
          <w:lang w:val="sk-SK"/>
        </w:rPr>
        <w:t xml:space="preserve"> znížen</w:t>
      </w:r>
      <w:r w:rsidR="007A6844">
        <w:rPr>
          <w:lang w:val="sk-SK"/>
        </w:rPr>
        <w:t>ou</w:t>
      </w:r>
      <w:r w:rsidRPr="00C06F2E">
        <w:rPr>
          <w:lang w:val="sk-SK"/>
        </w:rPr>
        <w:t xml:space="preserve"> rozpustnosť</w:t>
      </w:r>
      <w:r w:rsidR="007A6844">
        <w:rPr>
          <w:lang w:val="sk-SK"/>
        </w:rPr>
        <w:t>ou</w:t>
      </w:r>
      <w:r w:rsidRPr="00C06F2E">
        <w:rPr>
          <w:lang w:val="sk-SK"/>
        </w:rPr>
        <w:t xml:space="preserve"> pri pH vyššom ako 5. Lieky, ktoré menia pH v hornej časti gastrointestinálneho</w:t>
      </w:r>
      <w:r w:rsidR="007A6844">
        <w:rPr>
          <w:lang w:val="sk-SK"/>
        </w:rPr>
        <w:t xml:space="preserve"> (GI)</w:t>
      </w:r>
      <w:r w:rsidRPr="00C06F2E">
        <w:rPr>
          <w:lang w:val="sk-SK"/>
        </w:rPr>
        <w:t xml:space="preserve"> traktu môžu meniť rozpustnosť erlotinibu a tak jeho biologickú dostupnosť. Súbežné podanie erlotinibu s omeprazolom, inhibítorom protónovej pumpy (IPP) znížilo expozíciu erlotinibu [AUC] o</w:t>
      </w:r>
      <w:r w:rsidR="00C77D91" w:rsidRPr="00C06F2E">
        <w:rPr>
          <w:lang w:val="sk-SK"/>
        </w:rPr>
        <w:t> </w:t>
      </w:r>
      <w:r w:rsidRPr="00C06F2E">
        <w:rPr>
          <w:lang w:val="sk-SK"/>
        </w:rPr>
        <w:t>46</w:t>
      </w:r>
      <w:r w:rsidR="00C77D91" w:rsidRPr="00C06F2E">
        <w:rPr>
          <w:lang w:val="sk-SK"/>
        </w:rPr>
        <w:t> </w:t>
      </w:r>
      <w:r w:rsidRPr="00C06F2E">
        <w:rPr>
          <w:lang w:val="sk-SK"/>
        </w:rPr>
        <w:t>% a maximálnu koncentráciu [C</w:t>
      </w:r>
      <w:r w:rsidRPr="00C06F2E">
        <w:rPr>
          <w:vertAlign w:val="subscript"/>
          <w:lang w:val="sk-SK"/>
        </w:rPr>
        <w:t>max</w:t>
      </w:r>
      <w:r w:rsidRPr="00C06F2E">
        <w:rPr>
          <w:lang w:val="sk-SK"/>
        </w:rPr>
        <w:t>] o</w:t>
      </w:r>
      <w:r w:rsidR="00C77D91" w:rsidRPr="00C06F2E">
        <w:rPr>
          <w:lang w:val="sk-SK"/>
        </w:rPr>
        <w:t> </w:t>
      </w:r>
      <w:r w:rsidRPr="00C06F2E">
        <w:rPr>
          <w:lang w:val="sk-SK"/>
        </w:rPr>
        <w:t>61</w:t>
      </w:r>
      <w:r w:rsidR="00C77D91" w:rsidRPr="00C06F2E">
        <w:rPr>
          <w:lang w:val="sk-SK"/>
        </w:rPr>
        <w:t> </w:t>
      </w:r>
      <w:r w:rsidRPr="00C06F2E">
        <w:rPr>
          <w:lang w:val="sk-SK"/>
        </w:rPr>
        <w:t>%. Nebola žiadna zmena v T</w:t>
      </w:r>
      <w:r w:rsidRPr="00C06F2E">
        <w:rPr>
          <w:vertAlign w:val="subscript"/>
          <w:lang w:val="sk-SK"/>
        </w:rPr>
        <w:t>max</w:t>
      </w:r>
      <w:r w:rsidRPr="00C06F2E">
        <w:rPr>
          <w:lang w:val="sk-SK"/>
        </w:rPr>
        <w:t xml:space="preserve"> alebo v polčase. Súbežné podanie erlotinibu </w:t>
      </w:r>
      <w:r w:rsidR="00C77D91" w:rsidRPr="00C06F2E">
        <w:rPr>
          <w:lang w:val="sk-SK"/>
        </w:rPr>
        <w:t>s 300 </w:t>
      </w:r>
      <w:r w:rsidRPr="00C06F2E">
        <w:rPr>
          <w:lang w:val="sk-SK"/>
        </w:rPr>
        <w:t>mg ranitidínu, antagonist</w:t>
      </w:r>
      <w:r w:rsidR="00C77D91" w:rsidRPr="00C06F2E">
        <w:rPr>
          <w:lang w:val="sk-SK"/>
        </w:rPr>
        <w:t>u</w:t>
      </w:r>
      <w:r w:rsidRPr="00C06F2E">
        <w:rPr>
          <w:lang w:val="sk-SK"/>
        </w:rPr>
        <w:t xml:space="preserve"> H</w:t>
      </w:r>
      <w:r w:rsidRPr="00C06F2E">
        <w:rPr>
          <w:vertAlign w:val="subscript"/>
          <w:lang w:val="sk-SK"/>
        </w:rPr>
        <w:t>2</w:t>
      </w:r>
      <w:r w:rsidRPr="00C06F2E">
        <w:rPr>
          <w:lang w:val="sk-SK"/>
        </w:rPr>
        <w:t>-receptora, znížilo expozíciu erlotinibu [AUC] o</w:t>
      </w:r>
      <w:r w:rsidR="00C77D91" w:rsidRPr="00C06F2E">
        <w:rPr>
          <w:lang w:val="sk-SK"/>
        </w:rPr>
        <w:t> </w:t>
      </w:r>
      <w:r w:rsidRPr="00C06F2E">
        <w:rPr>
          <w:lang w:val="sk-SK"/>
        </w:rPr>
        <w:t>33</w:t>
      </w:r>
      <w:r w:rsidR="00C77D91" w:rsidRPr="00C06F2E">
        <w:rPr>
          <w:lang w:val="sk-SK"/>
        </w:rPr>
        <w:t> </w:t>
      </w:r>
      <w:r w:rsidRPr="00C06F2E">
        <w:rPr>
          <w:lang w:val="sk-SK"/>
        </w:rPr>
        <w:t>% a maximálnu koncentráciu [C</w:t>
      </w:r>
      <w:r w:rsidRPr="00C06F2E">
        <w:rPr>
          <w:vertAlign w:val="subscript"/>
          <w:lang w:val="sk-SK"/>
        </w:rPr>
        <w:t>max</w:t>
      </w:r>
      <w:r w:rsidRPr="00C06F2E">
        <w:rPr>
          <w:lang w:val="sk-SK"/>
        </w:rPr>
        <w:t>] o</w:t>
      </w:r>
      <w:r w:rsidR="00C77D91" w:rsidRPr="00C06F2E">
        <w:rPr>
          <w:lang w:val="sk-SK"/>
        </w:rPr>
        <w:t> </w:t>
      </w:r>
      <w:r w:rsidRPr="00C06F2E">
        <w:rPr>
          <w:lang w:val="sk-SK"/>
        </w:rPr>
        <w:t>54</w:t>
      </w:r>
      <w:r w:rsidR="00C77D91" w:rsidRPr="00C06F2E">
        <w:rPr>
          <w:lang w:val="sk-SK"/>
        </w:rPr>
        <w:t> </w:t>
      </w:r>
      <w:r w:rsidRPr="00C06F2E">
        <w:rPr>
          <w:lang w:val="sk-SK"/>
        </w:rPr>
        <w:t xml:space="preserve">%. Zvyšovanie dávky </w:t>
      </w:r>
      <w:r w:rsidR="008B0C07" w:rsidRPr="00C06F2E">
        <w:rPr>
          <w:lang w:val="sk-SK"/>
        </w:rPr>
        <w:t xml:space="preserve">erlotinibu </w:t>
      </w:r>
      <w:r w:rsidRPr="00C06F2E">
        <w:rPr>
          <w:lang w:val="sk-SK"/>
        </w:rPr>
        <w:t xml:space="preserve">pri súbežnom podávaní s takýmito látkami pravdepodobne nevykompenzuje toto zníženie expozície. </w:t>
      </w:r>
      <w:r w:rsidR="00C77D91" w:rsidRPr="00C06F2E">
        <w:rPr>
          <w:lang w:val="sk-SK"/>
        </w:rPr>
        <w:t>K</w:t>
      </w:r>
      <w:r w:rsidRPr="00C06F2E">
        <w:rPr>
          <w:lang w:val="sk-SK"/>
        </w:rPr>
        <w:t>eď bol</w:t>
      </w:r>
      <w:r w:rsidR="00C77D91" w:rsidRPr="00C06F2E">
        <w:rPr>
          <w:lang w:val="sk-SK"/>
        </w:rPr>
        <w:t xml:space="preserve"> však</w:t>
      </w:r>
      <w:r w:rsidRPr="00C06F2E">
        <w:rPr>
          <w:lang w:val="sk-SK"/>
        </w:rPr>
        <w:t xml:space="preserve"> </w:t>
      </w:r>
      <w:r w:rsidR="008B0C07" w:rsidRPr="00C06F2E">
        <w:rPr>
          <w:lang w:val="sk-SK"/>
        </w:rPr>
        <w:t xml:space="preserve">erlotinib </w:t>
      </w:r>
      <w:r w:rsidRPr="00C06F2E">
        <w:rPr>
          <w:lang w:val="sk-SK"/>
        </w:rPr>
        <w:t>dávkovan</w:t>
      </w:r>
      <w:r w:rsidR="008B0C07" w:rsidRPr="00C06F2E">
        <w:rPr>
          <w:lang w:val="sk-SK"/>
        </w:rPr>
        <w:t>ý</w:t>
      </w:r>
      <w:r w:rsidRPr="00C06F2E">
        <w:rPr>
          <w:lang w:val="sk-SK"/>
        </w:rPr>
        <w:t xml:space="preserve"> 2</w:t>
      </w:r>
      <w:r w:rsidR="00C77D91" w:rsidRPr="00C06F2E">
        <w:rPr>
          <w:lang w:val="sk-SK"/>
        </w:rPr>
        <w:t> </w:t>
      </w:r>
      <w:r w:rsidRPr="00C06F2E">
        <w:rPr>
          <w:lang w:val="sk-SK"/>
        </w:rPr>
        <w:t>hodiny pred alebo 10</w:t>
      </w:r>
      <w:r w:rsidR="00C77D91" w:rsidRPr="00C06F2E">
        <w:rPr>
          <w:lang w:val="sk-SK"/>
        </w:rPr>
        <w:t> </w:t>
      </w:r>
      <w:r w:rsidRPr="00C06F2E">
        <w:rPr>
          <w:lang w:val="sk-SK"/>
        </w:rPr>
        <w:t xml:space="preserve">hodín po ranitidíne </w:t>
      </w:r>
      <w:r w:rsidR="00C77D91" w:rsidRPr="00C06F2E">
        <w:rPr>
          <w:lang w:val="sk-SK"/>
        </w:rPr>
        <w:t xml:space="preserve">podávanom v dávke </w:t>
      </w:r>
      <w:r w:rsidRPr="00C06F2E">
        <w:rPr>
          <w:lang w:val="sk-SK"/>
        </w:rPr>
        <w:t>150</w:t>
      </w:r>
      <w:r w:rsidR="00C77D91" w:rsidRPr="00C06F2E">
        <w:rPr>
          <w:lang w:val="sk-SK"/>
        </w:rPr>
        <w:t> </w:t>
      </w:r>
      <w:r w:rsidRPr="00C06F2E">
        <w:rPr>
          <w:lang w:val="sk-SK"/>
        </w:rPr>
        <w:t>mg dvakrát denne, znížila sa expozícia erlotinibu [AUC] iba o</w:t>
      </w:r>
      <w:r w:rsidR="00C77D91" w:rsidRPr="00C06F2E">
        <w:rPr>
          <w:lang w:val="sk-SK"/>
        </w:rPr>
        <w:t> </w:t>
      </w:r>
      <w:r w:rsidRPr="00C06F2E">
        <w:rPr>
          <w:lang w:val="sk-SK"/>
        </w:rPr>
        <w:t>15</w:t>
      </w:r>
      <w:r w:rsidR="00C77D91" w:rsidRPr="00C06F2E">
        <w:rPr>
          <w:lang w:val="sk-SK"/>
        </w:rPr>
        <w:t> </w:t>
      </w:r>
      <w:r w:rsidRPr="00C06F2E">
        <w:rPr>
          <w:lang w:val="sk-SK"/>
        </w:rPr>
        <w:t>% a maximálna koncentrácia [C</w:t>
      </w:r>
      <w:r w:rsidRPr="00C06F2E">
        <w:rPr>
          <w:vertAlign w:val="subscript"/>
          <w:lang w:val="sk-SK"/>
        </w:rPr>
        <w:t>max</w:t>
      </w:r>
      <w:r w:rsidR="00C77D91" w:rsidRPr="00C06F2E">
        <w:rPr>
          <w:lang w:val="sk-SK"/>
        </w:rPr>
        <w:t>] iba o 17 </w:t>
      </w:r>
      <w:r w:rsidRPr="00C06F2E">
        <w:rPr>
          <w:lang w:val="sk-SK"/>
        </w:rPr>
        <w:t>%</w:t>
      </w:r>
      <w:r w:rsidR="00140EF8">
        <w:rPr>
          <w:lang w:val="sk-SK"/>
        </w:rPr>
        <w:t>.</w:t>
      </w:r>
      <w:r w:rsidRPr="00C06F2E">
        <w:rPr>
          <w:lang w:val="sk-SK"/>
        </w:rPr>
        <w:t xml:space="preserve"> Účinok antacíd na absorpciu erlotinibu sa neskúmal, ale absorpcia môže byť porušená a môže viesť k nižším</w:t>
      </w:r>
      <w:r w:rsidRPr="00C06F2E">
        <w:rPr>
          <w:color w:val="000000"/>
          <w:lang w:val="sk-SK"/>
        </w:rPr>
        <w:t xml:space="preserve"> </w:t>
      </w:r>
      <w:r w:rsidRPr="00C06F2E">
        <w:rPr>
          <w:lang w:val="sk-SK"/>
        </w:rPr>
        <w:t xml:space="preserve">plazmatickým hladinám. </w:t>
      </w:r>
      <w:r w:rsidR="00C77D91" w:rsidRPr="00C06F2E">
        <w:rPr>
          <w:lang w:val="sk-SK"/>
        </w:rPr>
        <w:t>Celkovo je možné zhrnúť</w:t>
      </w:r>
      <w:r w:rsidRPr="00C06F2E">
        <w:rPr>
          <w:lang w:val="sk-SK"/>
        </w:rPr>
        <w:t xml:space="preserve">, </w:t>
      </w:r>
      <w:r w:rsidR="00C77D91" w:rsidRPr="00C06F2E">
        <w:rPr>
          <w:lang w:val="sk-SK"/>
        </w:rPr>
        <w:t xml:space="preserve">že sa </w:t>
      </w:r>
      <w:r w:rsidRPr="00C06F2E">
        <w:rPr>
          <w:lang w:val="sk-SK"/>
        </w:rPr>
        <w:t xml:space="preserve">erlotinib nemá podávať v kombinácii s inhibítormi protónovej pumpy. Ak je potrebná liečba antacidami počas liečby </w:t>
      </w:r>
      <w:r w:rsidR="008B0C07" w:rsidRPr="00C06F2E">
        <w:rPr>
          <w:lang w:val="sk-SK"/>
        </w:rPr>
        <w:t>erlotinibom</w:t>
      </w:r>
      <w:r w:rsidR="00C77D91" w:rsidRPr="00C06F2E">
        <w:rPr>
          <w:lang w:val="sk-SK"/>
        </w:rPr>
        <w:t>, majú sa podať najmenej 4 hodiny pred alebo 2 </w:t>
      </w:r>
      <w:r w:rsidRPr="00C06F2E">
        <w:rPr>
          <w:lang w:val="sk-SK"/>
        </w:rPr>
        <w:t xml:space="preserve">hodiny po dennej dávke </w:t>
      </w:r>
      <w:r w:rsidR="008B0C07" w:rsidRPr="00C06F2E">
        <w:rPr>
          <w:lang w:val="sk-SK"/>
        </w:rPr>
        <w:t>erlotinibu</w:t>
      </w:r>
      <w:r w:rsidRPr="00C06F2E">
        <w:rPr>
          <w:lang w:val="sk-SK"/>
        </w:rPr>
        <w:t xml:space="preserve">. Ak sa uvažuje o použití ranitidínu, má sa užívanie časovo prispôsobiť; t.j. </w:t>
      </w:r>
      <w:r w:rsidR="008B0C07" w:rsidRPr="00C06F2E">
        <w:rPr>
          <w:lang w:val="sk-SK"/>
        </w:rPr>
        <w:t xml:space="preserve">erlotinib </w:t>
      </w:r>
      <w:r w:rsidRPr="00C06F2E">
        <w:rPr>
          <w:lang w:val="sk-SK"/>
        </w:rPr>
        <w:t>sa musí užiť najmenej 2</w:t>
      </w:r>
      <w:r w:rsidR="00C77D91" w:rsidRPr="00C06F2E">
        <w:rPr>
          <w:lang w:val="sk-SK"/>
        </w:rPr>
        <w:t> </w:t>
      </w:r>
      <w:r w:rsidRPr="00C06F2E">
        <w:rPr>
          <w:lang w:val="sk-SK"/>
        </w:rPr>
        <w:t>hodiny pred alebo 10</w:t>
      </w:r>
      <w:r w:rsidR="00C77D91" w:rsidRPr="00C06F2E">
        <w:rPr>
          <w:lang w:val="sk-SK"/>
        </w:rPr>
        <w:t> </w:t>
      </w:r>
      <w:r w:rsidRPr="00C06F2E">
        <w:rPr>
          <w:lang w:val="sk-SK"/>
        </w:rPr>
        <w:t>hodín po dávke ranitidínu.</w:t>
      </w:r>
    </w:p>
    <w:p w14:paraId="4E5E1896" w14:textId="77777777" w:rsidR="00F155B2" w:rsidRPr="00C06F2E" w:rsidRDefault="00F155B2" w:rsidP="00E60C58">
      <w:pPr>
        <w:suppressAutoHyphens/>
        <w:spacing w:after="0"/>
        <w:jc w:val="left"/>
        <w:rPr>
          <w:lang w:val="sk-SK"/>
        </w:rPr>
      </w:pPr>
    </w:p>
    <w:p w14:paraId="6FA3CEA8" w14:textId="208CE190" w:rsidR="007B2947" w:rsidRPr="00C06F2E" w:rsidRDefault="007C3D18" w:rsidP="00E60C58">
      <w:pPr>
        <w:suppressAutoHyphens/>
        <w:spacing w:after="0"/>
        <w:jc w:val="left"/>
        <w:rPr>
          <w:lang w:val="sk-SK"/>
        </w:rPr>
      </w:pPr>
      <w:r w:rsidRPr="00C06F2E">
        <w:rPr>
          <w:u w:val="single"/>
          <w:lang w:val="sk-SK"/>
        </w:rPr>
        <w:t xml:space="preserve">Erlotinib a </w:t>
      </w:r>
      <w:r w:rsidR="008B0C07" w:rsidRPr="00C06F2E">
        <w:rPr>
          <w:u w:val="single"/>
          <w:lang w:val="sk-SK"/>
        </w:rPr>
        <w:t>gemcitabín</w:t>
      </w:r>
    </w:p>
    <w:p w14:paraId="6A9CEED1" w14:textId="45B70699" w:rsidR="007B2947" w:rsidRPr="00C06F2E" w:rsidRDefault="008B0C07" w:rsidP="00E60C58">
      <w:pPr>
        <w:suppressAutoHyphens/>
        <w:spacing w:after="0"/>
        <w:jc w:val="left"/>
        <w:rPr>
          <w:lang w:val="sk-SK"/>
        </w:rPr>
      </w:pPr>
      <w:r w:rsidRPr="00C06F2E">
        <w:rPr>
          <w:lang w:val="sk-SK"/>
        </w:rPr>
        <w:t>V štúdii fázy Ib neboli žiadne signifikantné účinky gemcitabínu na farmakokinetiku erlotinibu ani signifikantné účinky erlotinibu na farmakokinetiku gemcitabínu.</w:t>
      </w:r>
    </w:p>
    <w:p w14:paraId="6CD47E19" w14:textId="77777777" w:rsidR="008B0C07" w:rsidRPr="00C06F2E" w:rsidRDefault="008B0C07" w:rsidP="00E60C58">
      <w:pPr>
        <w:suppressAutoHyphens/>
        <w:spacing w:after="0"/>
        <w:jc w:val="left"/>
        <w:rPr>
          <w:lang w:val="sk-SK"/>
        </w:rPr>
      </w:pPr>
    </w:p>
    <w:p w14:paraId="2182C9EE" w14:textId="6823F20B" w:rsidR="007B2947" w:rsidRPr="00C06F2E" w:rsidRDefault="007C3D18" w:rsidP="00E60C58">
      <w:pPr>
        <w:suppressAutoHyphens/>
        <w:spacing w:after="0"/>
        <w:jc w:val="left"/>
        <w:rPr>
          <w:lang w:val="sk-SK"/>
        </w:rPr>
      </w:pPr>
      <w:r w:rsidRPr="00C06F2E">
        <w:rPr>
          <w:u w:val="single"/>
          <w:lang w:val="sk-SK"/>
        </w:rPr>
        <w:t xml:space="preserve">Erlotinib a </w:t>
      </w:r>
      <w:r w:rsidR="00140EF8">
        <w:rPr>
          <w:u w:val="single"/>
          <w:lang w:val="sk-SK"/>
        </w:rPr>
        <w:t>karboplatina</w:t>
      </w:r>
      <w:r w:rsidR="008B0C07" w:rsidRPr="00C06F2E">
        <w:rPr>
          <w:u w:val="single"/>
          <w:lang w:val="sk-SK"/>
        </w:rPr>
        <w:t>/p</w:t>
      </w:r>
      <w:r w:rsidR="007B2947" w:rsidRPr="00C06F2E">
        <w:rPr>
          <w:u w:val="single"/>
          <w:lang w:val="sk-SK"/>
        </w:rPr>
        <w:t>a</w:t>
      </w:r>
      <w:r w:rsidR="008B0C07" w:rsidRPr="00C06F2E">
        <w:rPr>
          <w:u w:val="single"/>
          <w:lang w:val="sk-SK"/>
        </w:rPr>
        <w:t>k</w:t>
      </w:r>
      <w:r w:rsidR="007B2947" w:rsidRPr="00C06F2E">
        <w:rPr>
          <w:u w:val="single"/>
          <w:lang w:val="sk-SK"/>
        </w:rPr>
        <w:t>litaxel</w:t>
      </w:r>
    </w:p>
    <w:p w14:paraId="7F7CF928" w14:textId="66D20A09" w:rsidR="007B2947" w:rsidRPr="00C06F2E" w:rsidRDefault="008B0C07" w:rsidP="00E60C58">
      <w:pPr>
        <w:suppressAutoHyphens/>
        <w:spacing w:after="0"/>
        <w:jc w:val="left"/>
        <w:rPr>
          <w:lang w:val="sk-SK"/>
        </w:rPr>
      </w:pPr>
      <w:r w:rsidRPr="00C06F2E">
        <w:rPr>
          <w:lang w:val="sk-SK"/>
        </w:rPr>
        <w:t>Erlotinib zvyšuje koncentráciu platiny. V klinickej štúdii viedlo súbežné podávanie erlotinibu, karboplatiny a paklitaxelu k zvýšeniu celkového AUC</w:t>
      </w:r>
      <w:r w:rsidRPr="00C06F2E">
        <w:rPr>
          <w:vertAlign w:val="subscript"/>
          <w:lang w:val="sk-SK"/>
        </w:rPr>
        <w:t>0</w:t>
      </w:r>
      <w:r w:rsidRPr="00140EF8">
        <w:rPr>
          <w:vertAlign w:val="subscript"/>
          <w:lang w:val="sk-SK"/>
        </w:rPr>
        <w:t>-48</w:t>
      </w:r>
      <w:r w:rsidRPr="00C06F2E">
        <w:rPr>
          <w:lang w:val="sk-SK"/>
        </w:rPr>
        <w:t xml:space="preserve"> platiny o 10,6 %. I keď je rozdiel štatisticky významný, jeho veľkosť sa nepovažuje za klinicky významnú. V klinickej praxi sa však môžu vyskytovať ďalšie faktory, ktoré by mohli viesť k zvýšenej expozícii karboplatiny, ako je napríklad poškodenie obličiek. Významné účinky karboplatiny a paklitaxelu na farmakokinetiku erlotinibu sa nepozorovali.</w:t>
      </w:r>
    </w:p>
    <w:p w14:paraId="30EED716" w14:textId="77777777" w:rsidR="008B0C07" w:rsidRPr="00C06F2E" w:rsidRDefault="008B0C07" w:rsidP="00E60C58">
      <w:pPr>
        <w:suppressAutoHyphens/>
        <w:spacing w:after="0"/>
        <w:jc w:val="left"/>
        <w:rPr>
          <w:lang w:val="sk-SK"/>
        </w:rPr>
      </w:pPr>
    </w:p>
    <w:p w14:paraId="786F711C" w14:textId="3240C732" w:rsidR="007B2947" w:rsidRPr="00C06F2E" w:rsidRDefault="007C3D18" w:rsidP="00E60C58">
      <w:pPr>
        <w:suppressAutoHyphens/>
        <w:spacing w:after="0"/>
        <w:jc w:val="left"/>
        <w:rPr>
          <w:u w:val="single"/>
          <w:lang w:val="sk-SK"/>
        </w:rPr>
      </w:pPr>
      <w:r w:rsidRPr="00C06F2E">
        <w:rPr>
          <w:u w:val="single"/>
          <w:lang w:val="sk-SK"/>
        </w:rPr>
        <w:t xml:space="preserve">Erlotinib a </w:t>
      </w:r>
      <w:r w:rsidR="00077276" w:rsidRPr="00C06F2E">
        <w:rPr>
          <w:u w:val="single"/>
          <w:lang w:val="sk-SK"/>
        </w:rPr>
        <w:t>k</w:t>
      </w:r>
      <w:r w:rsidR="007B2947" w:rsidRPr="00C06F2E">
        <w:rPr>
          <w:u w:val="single"/>
          <w:lang w:val="sk-SK"/>
        </w:rPr>
        <w:t>apecitab</w:t>
      </w:r>
      <w:r w:rsidR="00077276" w:rsidRPr="00C06F2E">
        <w:rPr>
          <w:u w:val="single"/>
          <w:lang w:val="sk-SK"/>
        </w:rPr>
        <w:t>í</w:t>
      </w:r>
      <w:r w:rsidR="007B2947" w:rsidRPr="00C06F2E">
        <w:rPr>
          <w:u w:val="single"/>
          <w:lang w:val="sk-SK"/>
        </w:rPr>
        <w:t>n</w:t>
      </w:r>
    </w:p>
    <w:p w14:paraId="1F6BBD63" w14:textId="400D7119" w:rsidR="007B2947" w:rsidRPr="00C06F2E" w:rsidRDefault="00077276" w:rsidP="00E60C58">
      <w:pPr>
        <w:suppressAutoHyphens/>
        <w:spacing w:after="0"/>
        <w:jc w:val="left"/>
        <w:rPr>
          <w:lang w:val="sk-SK"/>
        </w:rPr>
      </w:pPr>
      <w:r w:rsidRPr="00C06F2E">
        <w:rPr>
          <w:lang w:val="sk-SK"/>
        </w:rPr>
        <w:t>Kapecitabín môže zvýšiť koncentráciu erlotinibu. Ak sa erlotinib podával s</w:t>
      </w:r>
      <w:r w:rsidR="00C77D91" w:rsidRPr="00C06F2E">
        <w:rPr>
          <w:lang w:val="sk-SK"/>
        </w:rPr>
        <w:t>úbežne s kapecitabínom, došlo k</w:t>
      </w:r>
      <w:r w:rsidRPr="00C06F2E">
        <w:rPr>
          <w:lang w:val="sk-SK"/>
        </w:rPr>
        <w:t xml:space="preserve"> štatisticky významnému zvýšeniu AUC erlotinibu a hraničnému zvýšeniu C</w:t>
      </w:r>
      <w:r w:rsidRPr="00C06F2E">
        <w:rPr>
          <w:vertAlign w:val="subscript"/>
          <w:lang w:val="sk-SK"/>
        </w:rPr>
        <w:t>max</w:t>
      </w:r>
      <w:r w:rsidRPr="00C06F2E">
        <w:rPr>
          <w:lang w:val="sk-SK"/>
        </w:rPr>
        <w:t xml:space="preserve"> pri porovnaní s hodnotami zistenými v inej štúdii pri podávaní samotného erlotinibu. Neboli zaznamenané významné účink</w:t>
      </w:r>
      <w:r w:rsidR="00C77D91" w:rsidRPr="00C06F2E">
        <w:rPr>
          <w:lang w:val="sk-SK"/>
        </w:rPr>
        <w:t>y</w:t>
      </w:r>
      <w:r w:rsidRPr="00C06F2E">
        <w:rPr>
          <w:lang w:val="sk-SK"/>
        </w:rPr>
        <w:t xml:space="preserve"> erlotinibu na farmakokinetiku kapecitabínu.</w:t>
      </w:r>
    </w:p>
    <w:p w14:paraId="7D4DA420" w14:textId="77777777" w:rsidR="00077276" w:rsidRPr="00C06F2E" w:rsidRDefault="00077276" w:rsidP="00E60C58">
      <w:pPr>
        <w:suppressAutoHyphens/>
        <w:spacing w:after="0"/>
        <w:jc w:val="left"/>
        <w:rPr>
          <w:lang w:val="sk-SK"/>
        </w:rPr>
      </w:pPr>
    </w:p>
    <w:p w14:paraId="034D470D" w14:textId="4B98A1AA" w:rsidR="007B2947" w:rsidRPr="00C06F2E" w:rsidRDefault="007C3D18" w:rsidP="00E60C58">
      <w:pPr>
        <w:suppressAutoHyphens/>
        <w:spacing w:after="0"/>
        <w:jc w:val="left"/>
        <w:rPr>
          <w:lang w:val="sk-SK"/>
        </w:rPr>
      </w:pPr>
      <w:r w:rsidRPr="00C06F2E">
        <w:rPr>
          <w:u w:val="single"/>
          <w:lang w:val="sk-SK"/>
        </w:rPr>
        <w:t xml:space="preserve">Erlotinib a </w:t>
      </w:r>
      <w:r w:rsidR="00077276" w:rsidRPr="00C06F2E">
        <w:rPr>
          <w:u w:val="single"/>
          <w:lang w:val="sk-SK"/>
        </w:rPr>
        <w:t>inhibítory proteazómu</w:t>
      </w:r>
    </w:p>
    <w:p w14:paraId="397EDF95" w14:textId="7880042F" w:rsidR="00077276" w:rsidRPr="00C06F2E" w:rsidRDefault="00077276" w:rsidP="00E60C58">
      <w:pPr>
        <w:suppressAutoHyphens/>
        <w:spacing w:after="0"/>
        <w:jc w:val="left"/>
        <w:rPr>
          <w:lang w:val="sk-SK"/>
        </w:rPr>
      </w:pPr>
      <w:r w:rsidRPr="00C06F2E">
        <w:rPr>
          <w:lang w:val="sk-SK"/>
        </w:rPr>
        <w:t xml:space="preserve">Vzhľadom na mechanizmus účinku, sa môže očakávať, že inhibítory proteazómu, vrátane bortezomibu, budú ovplyvňovať účinok inhibítorov EGFR, vrátane erlotinibu. Takéto ovplyvnenie je podporené obmedzeným množstvom klinických údajov a predklinickými štúdiami </w:t>
      </w:r>
      <w:r w:rsidR="00C32290">
        <w:rPr>
          <w:lang w:val="sk-SK"/>
        </w:rPr>
        <w:t xml:space="preserve">ukazujúcimi </w:t>
      </w:r>
      <w:r w:rsidRPr="00C06F2E">
        <w:rPr>
          <w:lang w:val="sk-SK"/>
        </w:rPr>
        <w:t>degradáci</w:t>
      </w:r>
      <w:r w:rsidR="00C32290">
        <w:rPr>
          <w:lang w:val="sk-SK"/>
        </w:rPr>
        <w:t>u</w:t>
      </w:r>
      <w:r w:rsidRPr="00C06F2E">
        <w:rPr>
          <w:lang w:val="sk-SK"/>
        </w:rPr>
        <w:t xml:space="preserve"> EGFR prostredníctvom proteazómu.</w:t>
      </w:r>
    </w:p>
    <w:p w14:paraId="38A15488" w14:textId="77777777" w:rsidR="005A4A78" w:rsidRPr="00C06F2E" w:rsidRDefault="005A4A78" w:rsidP="00E60C58">
      <w:pPr>
        <w:spacing w:after="0"/>
        <w:jc w:val="left"/>
        <w:rPr>
          <w:lang w:val="sk-SK"/>
        </w:rPr>
      </w:pPr>
    </w:p>
    <w:p w14:paraId="2034BE93" w14:textId="5EA941BD" w:rsidR="00435ECB" w:rsidRPr="00C06F2E" w:rsidRDefault="00435ECB" w:rsidP="00C32290">
      <w:pPr>
        <w:pStyle w:val="StyleHeadingFreeBOLDNOCAPS"/>
        <w:tabs>
          <w:tab w:val="left" w:pos="567"/>
        </w:tabs>
        <w:spacing w:after="0"/>
        <w:rPr>
          <w:bCs/>
          <w:lang w:val="sk-SK"/>
        </w:rPr>
      </w:pPr>
      <w:r w:rsidRPr="00C06F2E">
        <w:rPr>
          <w:lang w:val="sk-SK"/>
        </w:rPr>
        <w:t xml:space="preserve">4.6 </w:t>
      </w:r>
      <w:r w:rsidRPr="00C06F2E">
        <w:rPr>
          <w:lang w:val="sk-SK"/>
        </w:rPr>
        <w:tab/>
        <w:t>Fertilit</w:t>
      </w:r>
      <w:r w:rsidR="00300EE8" w:rsidRPr="00C06F2E">
        <w:rPr>
          <w:lang w:val="sk-SK"/>
        </w:rPr>
        <w:t>a</w:t>
      </w:r>
      <w:r w:rsidRPr="00C06F2E">
        <w:rPr>
          <w:lang w:val="sk-SK"/>
        </w:rPr>
        <w:t xml:space="preserve">, </w:t>
      </w:r>
      <w:r w:rsidR="00300EE8" w:rsidRPr="00C06F2E">
        <w:rPr>
          <w:bCs/>
          <w:lang w:val="sk-SK"/>
        </w:rPr>
        <w:t xml:space="preserve">gravidita </w:t>
      </w:r>
      <w:r w:rsidRPr="00C06F2E">
        <w:rPr>
          <w:lang w:val="sk-SK"/>
        </w:rPr>
        <w:t>a</w:t>
      </w:r>
      <w:r w:rsidR="00E60C58" w:rsidRPr="00C06F2E">
        <w:rPr>
          <w:lang w:val="sk-SK"/>
        </w:rPr>
        <w:t> </w:t>
      </w:r>
      <w:r w:rsidR="00300EE8" w:rsidRPr="00C06F2E">
        <w:rPr>
          <w:bCs/>
          <w:lang w:val="sk-SK"/>
        </w:rPr>
        <w:t>laktácia</w:t>
      </w:r>
    </w:p>
    <w:p w14:paraId="58279112" w14:textId="77777777" w:rsidR="00E60C58" w:rsidRPr="00C06F2E" w:rsidRDefault="00E60C58" w:rsidP="0028022E">
      <w:pPr>
        <w:pStyle w:val="StyleHeadingFreeBOLDNOCAPS"/>
        <w:spacing w:after="0"/>
        <w:rPr>
          <w:lang w:val="sk-SK"/>
        </w:rPr>
      </w:pPr>
    </w:p>
    <w:p w14:paraId="227FC6BA" w14:textId="444DBFE5" w:rsidR="007B2947" w:rsidRPr="00C06F2E" w:rsidRDefault="00300EE8" w:rsidP="00E60C58">
      <w:pPr>
        <w:suppressAutoHyphens/>
        <w:spacing w:after="0"/>
        <w:jc w:val="left"/>
        <w:rPr>
          <w:u w:val="single"/>
          <w:lang w:val="sk-SK"/>
        </w:rPr>
      </w:pPr>
      <w:r w:rsidRPr="00C06F2E">
        <w:rPr>
          <w:u w:val="single"/>
          <w:lang w:val="sk-SK"/>
        </w:rPr>
        <w:t>Gravidita</w:t>
      </w:r>
    </w:p>
    <w:p w14:paraId="23DC5E02" w14:textId="7087F8B8" w:rsidR="007B2947" w:rsidRPr="00C06F2E" w:rsidRDefault="00300EE8" w:rsidP="00E60C58">
      <w:pPr>
        <w:suppressAutoHyphens/>
        <w:spacing w:after="0"/>
        <w:jc w:val="left"/>
        <w:rPr>
          <w:lang w:val="sk-SK"/>
        </w:rPr>
      </w:pPr>
      <w:r w:rsidRPr="00C06F2E">
        <w:rPr>
          <w:lang w:val="sk-SK"/>
        </w:rPr>
        <w:lastRenderedPageBreak/>
        <w:t>Nie sú k dispozícii dostatočné údaje o užívaní erlotinibu u gravidných žien. Štúdie na zvieratách nepreukázali žiadnu teratogenitu alebo abnormálny priebeh pôrodu. Avšak nepriaznivý účinok na graviditu sa nedá vylúčiť, keďže štúdie na potkanoch a králikoch preukázali zvýšenú embryo/fetálnu úmrtnosť (pozri časť 5.3). Nie je známe potenciálne riziko u ľudí.</w:t>
      </w:r>
    </w:p>
    <w:p w14:paraId="3A5734BE" w14:textId="77777777" w:rsidR="00300EE8" w:rsidRPr="00C06F2E" w:rsidRDefault="00300EE8" w:rsidP="00E60C58">
      <w:pPr>
        <w:suppressAutoHyphens/>
        <w:spacing w:after="0"/>
        <w:jc w:val="left"/>
        <w:rPr>
          <w:lang w:val="pl-PL"/>
        </w:rPr>
      </w:pPr>
    </w:p>
    <w:p w14:paraId="7567AB6D" w14:textId="752B5F5B" w:rsidR="00300EE8" w:rsidRPr="00C06F2E" w:rsidRDefault="00300EE8" w:rsidP="00E60C58">
      <w:pPr>
        <w:suppressAutoHyphens/>
        <w:spacing w:after="0"/>
        <w:jc w:val="left"/>
        <w:rPr>
          <w:u w:val="single"/>
          <w:lang w:val="sk-SK"/>
        </w:rPr>
      </w:pPr>
      <w:r w:rsidRPr="00C06F2E">
        <w:rPr>
          <w:u w:val="single"/>
          <w:lang w:val="sk-SK"/>
        </w:rPr>
        <w:t>Ženy v</w:t>
      </w:r>
      <w:r w:rsidR="0038598D" w:rsidRPr="00C06F2E">
        <w:rPr>
          <w:u w:val="single"/>
          <w:lang w:val="sk-SK"/>
        </w:rPr>
        <w:t>o</w:t>
      </w:r>
      <w:r w:rsidRPr="00C06F2E">
        <w:rPr>
          <w:u w:val="single"/>
          <w:lang w:val="sk-SK"/>
        </w:rPr>
        <w:t xml:space="preserve"> </w:t>
      </w:r>
      <w:r w:rsidR="0038598D" w:rsidRPr="00C06F2E">
        <w:rPr>
          <w:u w:val="single"/>
          <w:lang w:val="sk-SK" w:eastAsia="en-GB"/>
        </w:rPr>
        <w:t xml:space="preserve">fertilnom </w:t>
      </w:r>
      <w:r w:rsidRPr="00C06F2E">
        <w:rPr>
          <w:u w:val="single"/>
          <w:lang w:val="sk-SK"/>
        </w:rPr>
        <w:t xml:space="preserve">veku </w:t>
      </w:r>
    </w:p>
    <w:p w14:paraId="685D2401" w14:textId="06561A18" w:rsidR="007B2947" w:rsidRPr="00C06F2E" w:rsidRDefault="00300EE8" w:rsidP="00E60C58">
      <w:pPr>
        <w:suppressAutoHyphens/>
        <w:spacing w:after="0"/>
        <w:jc w:val="left"/>
        <w:rPr>
          <w:lang w:val="sk-SK"/>
        </w:rPr>
      </w:pPr>
      <w:r w:rsidRPr="00C06F2E">
        <w:rPr>
          <w:lang w:val="sk-SK"/>
        </w:rPr>
        <w:t xml:space="preserve">Ženy </w:t>
      </w:r>
      <w:r w:rsidR="0038598D" w:rsidRPr="00C06F2E">
        <w:rPr>
          <w:lang w:val="sk-SK"/>
        </w:rPr>
        <w:t xml:space="preserve">vo fertilnom </w:t>
      </w:r>
      <w:r w:rsidRPr="00C06F2E">
        <w:rPr>
          <w:lang w:val="sk-SK"/>
        </w:rPr>
        <w:t xml:space="preserve">veku treba upozorniť, že pri užívaní erlotinibu </w:t>
      </w:r>
      <w:r w:rsidR="00C32290">
        <w:rPr>
          <w:lang w:val="sk-SK"/>
        </w:rPr>
        <w:t>nemajú</w:t>
      </w:r>
      <w:r w:rsidRPr="00C06F2E">
        <w:rPr>
          <w:lang w:val="sk-SK"/>
        </w:rPr>
        <w:t xml:space="preserve"> otehotnieť. Počas liečby a najmenej 2</w:t>
      </w:r>
      <w:r w:rsidR="0038598D" w:rsidRPr="00C06F2E">
        <w:rPr>
          <w:lang w:val="sk-SK"/>
        </w:rPr>
        <w:t> </w:t>
      </w:r>
      <w:r w:rsidRPr="00C06F2E">
        <w:rPr>
          <w:lang w:val="sk-SK"/>
        </w:rPr>
        <w:t>týždne po jej ukončení treba používať vhodné antikoncepčné metódy. V liečbe gravidných žien sa má pokračovať len vtedy, ak možný prínos liečby pre matku preváži riziko pre plod.</w:t>
      </w:r>
    </w:p>
    <w:p w14:paraId="45E91E58" w14:textId="77777777" w:rsidR="00300EE8" w:rsidRPr="00C06F2E" w:rsidRDefault="00300EE8" w:rsidP="00E60C58">
      <w:pPr>
        <w:suppressAutoHyphens/>
        <w:spacing w:after="0"/>
        <w:jc w:val="left"/>
        <w:rPr>
          <w:lang w:val="sk-SK"/>
        </w:rPr>
      </w:pPr>
    </w:p>
    <w:p w14:paraId="583B3A44" w14:textId="706276B3" w:rsidR="007B2947" w:rsidRPr="00C06F2E" w:rsidRDefault="00300EE8" w:rsidP="00E60C58">
      <w:pPr>
        <w:suppressAutoHyphens/>
        <w:spacing w:after="0"/>
        <w:jc w:val="left"/>
        <w:rPr>
          <w:u w:val="single"/>
          <w:lang w:val="pl-PL"/>
        </w:rPr>
      </w:pPr>
      <w:r w:rsidRPr="00C06F2E">
        <w:rPr>
          <w:u w:val="single"/>
          <w:lang w:val="pl-PL"/>
        </w:rPr>
        <w:t>Dojčenie</w:t>
      </w:r>
    </w:p>
    <w:p w14:paraId="24A7EE29" w14:textId="7DD1006F" w:rsidR="00E63C2A" w:rsidRPr="00C06F2E" w:rsidRDefault="00300EE8" w:rsidP="00E60C58">
      <w:pPr>
        <w:suppressAutoHyphens/>
        <w:spacing w:after="0"/>
        <w:jc w:val="left"/>
        <w:rPr>
          <w:lang w:val="sk-SK"/>
        </w:rPr>
      </w:pPr>
      <w:r w:rsidRPr="00C06F2E">
        <w:rPr>
          <w:lang w:val="sk-SK"/>
        </w:rPr>
        <w:t xml:space="preserve">Nie je známe, či sa erlotinib vylučuje do materského mlieka. Neboli vykonané žiadne štúdie, ktoré by hodnotili vplyv </w:t>
      </w:r>
      <w:r w:rsidRPr="00C06F2E">
        <w:rPr>
          <w:spacing w:val="-1"/>
          <w:lang w:val="sk-SK"/>
        </w:rPr>
        <w:t>erlotinibu</w:t>
      </w:r>
      <w:r w:rsidRPr="00C06F2E">
        <w:rPr>
          <w:spacing w:val="-5"/>
          <w:lang w:val="sk-SK"/>
        </w:rPr>
        <w:t xml:space="preserve"> </w:t>
      </w:r>
      <w:r w:rsidRPr="00C06F2E">
        <w:rPr>
          <w:lang w:val="sk-SK"/>
        </w:rPr>
        <w:t>na tvorbu mlieka alebo na jej prítomnosť v materskom mlieku. Vzhľadom na to, že riziko poškodenia dojčeného dieťaťa nie je známe, má sa matkám odporúčať, aby počas liečby erlot</w:t>
      </w:r>
      <w:r w:rsidR="005A4979">
        <w:rPr>
          <w:lang w:val="sk-SK"/>
        </w:rPr>
        <w:t>i</w:t>
      </w:r>
      <w:r w:rsidRPr="00C06F2E">
        <w:rPr>
          <w:lang w:val="sk-SK"/>
        </w:rPr>
        <w:t>nibom a počas nasledujúcich minimálne 2 týždňov od poslednej dávky nedojčili.</w:t>
      </w:r>
    </w:p>
    <w:p w14:paraId="1D15EEC8" w14:textId="77777777" w:rsidR="00300EE8" w:rsidRPr="00C06F2E" w:rsidRDefault="00300EE8" w:rsidP="00E60C58">
      <w:pPr>
        <w:suppressAutoHyphens/>
        <w:spacing w:after="0"/>
        <w:jc w:val="left"/>
        <w:rPr>
          <w:lang w:val="sk-SK"/>
        </w:rPr>
      </w:pPr>
    </w:p>
    <w:p w14:paraId="596867B2" w14:textId="6A050D21" w:rsidR="007B2947" w:rsidRPr="00C06F2E" w:rsidRDefault="007B2947" w:rsidP="00E60C58">
      <w:pPr>
        <w:suppressAutoHyphens/>
        <w:spacing w:after="0"/>
        <w:jc w:val="left"/>
        <w:rPr>
          <w:u w:val="single"/>
          <w:lang w:val="sk-SK"/>
        </w:rPr>
      </w:pPr>
      <w:r w:rsidRPr="00C06F2E">
        <w:rPr>
          <w:u w:val="single"/>
          <w:lang w:val="sk-SK"/>
        </w:rPr>
        <w:t>Fertilit</w:t>
      </w:r>
      <w:r w:rsidR="00300EE8" w:rsidRPr="00C06F2E">
        <w:rPr>
          <w:u w:val="single"/>
          <w:lang w:val="sk-SK"/>
        </w:rPr>
        <w:t>a</w:t>
      </w:r>
    </w:p>
    <w:p w14:paraId="776F0781" w14:textId="13CFF5BA" w:rsidR="00C422E6" w:rsidRPr="00C06F2E" w:rsidRDefault="00300EE8" w:rsidP="00E60C58">
      <w:pPr>
        <w:spacing w:after="0"/>
        <w:jc w:val="left"/>
        <w:rPr>
          <w:color w:val="000000"/>
          <w:lang w:val="sk-SK"/>
        </w:rPr>
      </w:pPr>
      <w:r w:rsidRPr="00C06F2E">
        <w:rPr>
          <w:color w:val="000000"/>
          <w:lang w:val="sk-SK"/>
        </w:rPr>
        <w:t>Štúdie na zvieratách nepreukázali poškodenie fertility. Avšak nepriaznivý účinok na graviditu sa nedá vylúčiť, keďže štúdie na zvieratách preukázali účinok na reprodukčné parametre (pozri časť 5.3). Potenciálne riziko u ľudí nie je známe.</w:t>
      </w:r>
    </w:p>
    <w:p w14:paraId="34688081" w14:textId="77777777" w:rsidR="00300EE8" w:rsidRPr="00C06F2E" w:rsidRDefault="00300EE8" w:rsidP="00E60C58">
      <w:pPr>
        <w:spacing w:after="0"/>
        <w:jc w:val="left"/>
        <w:rPr>
          <w:color w:val="000000"/>
          <w:lang w:val="sk-SK"/>
        </w:rPr>
      </w:pPr>
    </w:p>
    <w:p w14:paraId="797FDFFD" w14:textId="7B618645" w:rsidR="00435ECB" w:rsidRPr="00C06F2E" w:rsidRDefault="00435ECB" w:rsidP="00C32290">
      <w:pPr>
        <w:pStyle w:val="StyleHeadingFreeBOLDNOCAPS"/>
        <w:tabs>
          <w:tab w:val="left" w:pos="567"/>
        </w:tabs>
        <w:spacing w:after="0"/>
        <w:rPr>
          <w:bCs/>
          <w:lang w:val="sk-SK"/>
        </w:rPr>
      </w:pPr>
      <w:r w:rsidRPr="00C06F2E">
        <w:rPr>
          <w:lang w:val="sk-SK"/>
        </w:rPr>
        <w:t xml:space="preserve">4.7 </w:t>
      </w:r>
      <w:r w:rsidRPr="00C06F2E">
        <w:rPr>
          <w:lang w:val="sk-SK"/>
        </w:rPr>
        <w:tab/>
      </w:r>
      <w:r w:rsidR="006F0C76" w:rsidRPr="00C06F2E">
        <w:rPr>
          <w:bCs/>
          <w:lang w:val="sk-SK"/>
        </w:rPr>
        <w:t>Ovplyvnenie schopnosti viesť vozidlá a obsluhovať stroje</w:t>
      </w:r>
    </w:p>
    <w:p w14:paraId="1E4BE201" w14:textId="77777777" w:rsidR="00E60C58" w:rsidRPr="00C06F2E" w:rsidRDefault="00E60C58" w:rsidP="00E60C58">
      <w:pPr>
        <w:pStyle w:val="StyleHeadingFreeBOLDNOCAPS"/>
        <w:spacing w:after="0"/>
        <w:jc w:val="left"/>
        <w:rPr>
          <w:lang w:val="sk-SK"/>
        </w:rPr>
      </w:pPr>
    </w:p>
    <w:p w14:paraId="37165D26" w14:textId="70FE674E" w:rsidR="00821493" w:rsidRPr="00C06F2E" w:rsidRDefault="006F0C76" w:rsidP="00E60C58">
      <w:pPr>
        <w:spacing w:after="0"/>
        <w:jc w:val="left"/>
        <w:rPr>
          <w:lang w:val="sk-SK"/>
        </w:rPr>
      </w:pPr>
      <w:r w:rsidRPr="00C06F2E">
        <w:rPr>
          <w:lang w:val="sk-SK"/>
        </w:rPr>
        <w:t>Neuskutočnili sa žiadne štúdie o účinkoch na schopnosť viesť vozidlá a obsluhovať stroje; erlotinib sa však nespája so zhoršením mentáln</w:t>
      </w:r>
      <w:r w:rsidR="00C32290">
        <w:rPr>
          <w:lang w:val="sk-SK"/>
        </w:rPr>
        <w:t>ych</w:t>
      </w:r>
      <w:r w:rsidRPr="00C06F2E">
        <w:rPr>
          <w:lang w:val="sk-SK"/>
        </w:rPr>
        <w:t xml:space="preserve"> schopnost</w:t>
      </w:r>
      <w:r w:rsidR="00C32290">
        <w:rPr>
          <w:lang w:val="sk-SK"/>
        </w:rPr>
        <w:t>í</w:t>
      </w:r>
      <w:r w:rsidRPr="00C06F2E">
        <w:rPr>
          <w:lang w:val="sk-SK"/>
        </w:rPr>
        <w:t>.</w:t>
      </w:r>
    </w:p>
    <w:p w14:paraId="0F3A0378" w14:textId="77777777" w:rsidR="006F0C76" w:rsidRPr="00C06F2E" w:rsidRDefault="006F0C76" w:rsidP="00E60C58">
      <w:pPr>
        <w:spacing w:after="0"/>
        <w:jc w:val="left"/>
        <w:rPr>
          <w:lang w:val="sk-SK"/>
        </w:rPr>
      </w:pPr>
    </w:p>
    <w:p w14:paraId="70004761" w14:textId="491AE009" w:rsidR="00435ECB" w:rsidRPr="00C06F2E" w:rsidRDefault="00435ECB" w:rsidP="00C32290">
      <w:pPr>
        <w:pStyle w:val="StyleHeadingFreeBOLDNOCAPS"/>
        <w:tabs>
          <w:tab w:val="left" w:pos="567"/>
        </w:tabs>
        <w:spacing w:after="0"/>
        <w:rPr>
          <w:bCs/>
          <w:lang w:val="sk-SK"/>
        </w:rPr>
      </w:pPr>
      <w:r w:rsidRPr="00C06F2E">
        <w:rPr>
          <w:lang w:val="sk-SK"/>
        </w:rPr>
        <w:t>4.8</w:t>
      </w:r>
      <w:r w:rsidRPr="00C06F2E">
        <w:rPr>
          <w:lang w:val="sk-SK"/>
        </w:rPr>
        <w:tab/>
      </w:r>
      <w:r w:rsidR="006F0C76" w:rsidRPr="00C06F2E">
        <w:rPr>
          <w:bCs/>
          <w:lang w:val="sk-SK"/>
        </w:rPr>
        <w:t>Nežiaduce účinky</w:t>
      </w:r>
    </w:p>
    <w:p w14:paraId="602A0658" w14:textId="77777777" w:rsidR="00E60C58" w:rsidRPr="00C06F2E" w:rsidRDefault="00E60C58" w:rsidP="00E60C58">
      <w:pPr>
        <w:pStyle w:val="StyleHeadingFreeBOLDNOCAPS"/>
        <w:spacing w:after="0"/>
        <w:jc w:val="left"/>
        <w:rPr>
          <w:lang w:val="sk-SK"/>
        </w:rPr>
      </w:pPr>
    </w:p>
    <w:p w14:paraId="26009CDB" w14:textId="31A01BB5" w:rsidR="00AB6A89" w:rsidRPr="00C06F2E" w:rsidRDefault="006F0C76" w:rsidP="00E60C58">
      <w:pPr>
        <w:pStyle w:val="Zkladntext"/>
        <w:spacing w:after="0"/>
        <w:ind w:right="-1"/>
        <w:jc w:val="left"/>
        <w:rPr>
          <w:lang w:val="sk-SK"/>
        </w:rPr>
      </w:pPr>
      <w:r w:rsidRPr="00C06F2E">
        <w:rPr>
          <w:lang w:val="sk-SK"/>
        </w:rPr>
        <w:t xml:space="preserve">Hodnotenie bezpečnosti </w:t>
      </w:r>
      <w:r w:rsidRPr="00C06F2E">
        <w:rPr>
          <w:spacing w:val="-1"/>
          <w:lang w:val="sk-SK"/>
        </w:rPr>
        <w:t>erlotinibu</w:t>
      </w:r>
      <w:r w:rsidRPr="00C06F2E">
        <w:rPr>
          <w:spacing w:val="-5"/>
          <w:lang w:val="sk-SK"/>
        </w:rPr>
        <w:t xml:space="preserve"> </w:t>
      </w:r>
      <w:r w:rsidRPr="00C06F2E">
        <w:rPr>
          <w:lang w:val="sk-SK"/>
        </w:rPr>
        <w:t>vychádza z údajov zozbieraných od viac ako 1500</w:t>
      </w:r>
      <w:r w:rsidR="005D62AA" w:rsidRPr="00C06F2E">
        <w:rPr>
          <w:lang w:val="sk-SK"/>
        </w:rPr>
        <w:t> </w:t>
      </w:r>
      <w:r w:rsidRPr="00C06F2E">
        <w:rPr>
          <w:lang w:val="sk-SK"/>
        </w:rPr>
        <w:t xml:space="preserve">pacientov liečených </w:t>
      </w:r>
      <w:r w:rsidRPr="00C06F2E">
        <w:rPr>
          <w:spacing w:val="-1"/>
          <w:lang w:val="sk-SK"/>
        </w:rPr>
        <w:t>erlotinibom</w:t>
      </w:r>
      <w:r w:rsidRPr="00C06F2E">
        <w:rPr>
          <w:spacing w:val="-5"/>
          <w:lang w:val="sk-SK"/>
        </w:rPr>
        <w:t xml:space="preserve"> </w:t>
      </w:r>
      <w:r w:rsidRPr="00C06F2E">
        <w:rPr>
          <w:lang w:val="sk-SK"/>
        </w:rPr>
        <w:t>v monoterapii, minimálne jednou dávkou 150</w:t>
      </w:r>
      <w:r w:rsidR="005D62AA" w:rsidRPr="00C06F2E">
        <w:rPr>
          <w:lang w:val="sk-SK"/>
        </w:rPr>
        <w:t> </w:t>
      </w:r>
      <w:r w:rsidRPr="00C06F2E">
        <w:rPr>
          <w:lang w:val="sk-SK"/>
        </w:rPr>
        <w:t>mg a od viac ako 300</w:t>
      </w:r>
      <w:r w:rsidR="005D62AA" w:rsidRPr="00C06F2E">
        <w:rPr>
          <w:lang w:val="sk-SK"/>
        </w:rPr>
        <w:t> </w:t>
      </w:r>
      <w:r w:rsidRPr="00C06F2E">
        <w:rPr>
          <w:lang w:val="sk-SK"/>
        </w:rPr>
        <w:t xml:space="preserve">pacientov, ktorí dostávali </w:t>
      </w:r>
      <w:r w:rsidRPr="00C06F2E">
        <w:rPr>
          <w:spacing w:val="-1"/>
          <w:lang w:val="sk-SK"/>
        </w:rPr>
        <w:t>erlotinib</w:t>
      </w:r>
      <w:r w:rsidRPr="00C06F2E">
        <w:rPr>
          <w:spacing w:val="-5"/>
          <w:lang w:val="sk-SK"/>
        </w:rPr>
        <w:t xml:space="preserve"> </w:t>
      </w:r>
      <w:r w:rsidRPr="00C06F2E">
        <w:rPr>
          <w:lang w:val="sk-SK"/>
        </w:rPr>
        <w:t>v kombinácii s gemcitabínom, v dávke 100</w:t>
      </w:r>
      <w:r w:rsidR="005D62AA" w:rsidRPr="00C06F2E">
        <w:rPr>
          <w:lang w:val="sk-SK"/>
        </w:rPr>
        <w:t> </w:t>
      </w:r>
      <w:r w:rsidRPr="00C06F2E">
        <w:rPr>
          <w:lang w:val="sk-SK"/>
        </w:rPr>
        <w:t>mg alebo 150</w:t>
      </w:r>
      <w:r w:rsidR="005D62AA" w:rsidRPr="00C06F2E">
        <w:rPr>
          <w:lang w:val="sk-SK"/>
        </w:rPr>
        <w:t> </w:t>
      </w:r>
      <w:r w:rsidRPr="00C06F2E">
        <w:rPr>
          <w:lang w:val="sk-SK"/>
        </w:rPr>
        <w:t>mg.</w:t>
      </w:r>
    </w:p>
    <w:p w14:paraId="20BB73BE" w14:textId="77777777" w:rsidR="006F0C76" w:rsidRPr="00C06F2E" w:rsidRDefault="006F0C76" w:rsidP="00E60C58">
      <w:pPr>
        <w:pStyle w:val="Zkladntext"/>
        <w:spacing w:after="0"/>
        <w:ind w:right="-1"/>
        <w:jc w:val="left"/>
        <w:rPr>
          <w:lang w:val="sk-SK"/>
        </w:rPr>
      </w:pPr>
    </w:p>
    <w:p w14:paraId="6AD94DFB" w14:textId="4B960275" w:rsidR="00AB6A89" w:rsidRPr="00C06F2E" w:rsidRDefault="006F0C76" w:rsidP="00E60C58">
      <w:pPr>
        <w:suppressAutoHyphens/>
        <w:autoSpaceDE w:val="0"/>
        <w:autoSpaceDN w:val="0"/>
        <w:adjustRightInd w:val="0"/>
        <w:spacing w:after="0"/>
        <w:jc w:val="left"/>
        <w:rPr>
          <w:lang w:val="sk-SK"/>
        </w:rPr>
      </w:pPr>
      <w:r w:rsidRPr="00C06F2E">
        <w:rPr>
          <w:lang w:val="sk-SK"/>
        </w:rPr>
        <w:t xml:space="preserve">Výskyt nežiaducich rekcií na liek (adverse drug reactions, ADR) z klinických skúšaní s </w:t>
      </w:r>
      <w:r w:rsidRPr="00C06F2E">
        <w:rPr>
          <w:spacing w:val="-1"/>
          <w:lang w:val="sk-SK"/>
        </w:rPr>
        <w:t>erlotinibom</w:t>
      </w:r>
      <w:r w:rsidR="005D62AA" w:rsidRPr="00C06F2E">
        <w:rPr>
          <w:lang w:val="sk-SK"/>
        </w:rPr>
        <w:t>, v ktorých sa podával</w:t>
      </w:r>
      <w:r w:rsidRPr="00C06F2E">
        <w:rPr>
          <w:lang w:val="sk-SK"/>
        </w:rPr>
        <w:t xml:space="preserve"> samostatne alebo v kombinácii s chemoterapiou bol zhrnut</w:t>
      </w:r>
      <w:r w:rsidR="005D62AA" w:rsidRPr="00C06F2E">
        <w:rPr>
          <w:lang w:val="sk-SK"/>
        </w:rPr>
        <w:t>ý</w:t>
      </w:r>
      <w:r w:rsidRPr="00C06F2E">
        <w:rPr>
          <w:lang w:val="sk-SK"/>
        </w:rPr>
        <w:t xml:space="preserve"> podľa stupňa toxicity, na základe kritérií Národného inštitútu pre výskum rakoviny (National Cancer Institute- Common Toxicity Criteria, NCI-CTC) a je uveden</w:t>
      </w:r>
      <w:r w:rsidR="005D62AA" w:rsidRPr="00C06F2E">
        <w:rPr>
          <w:lang w:val="sk-SK"/>
        </w:rPr>
        <w:t>ý</w:t>
      </w:r>
      <w:r w:rsidRPr="00C06F2E">
        <w:rPr>
          <w:lang w:val="sk-SK"/>
        </w:rPr>
        <w:t xml:space="preserve"> v tabuľke 1. Uvedené </w:t>
      </w:r>
      <w:r w:rsidR="005D62AA" w:rsidRPr="00C06F2E">
        <w:rPr>
          <w:lang w:val="sk-SK"/>
        </w:rPr>
        <w:t>ADR boli hlásené u najmenej 10 </w:t>
      </w:r>
      <w:r w:rsidRPr="00C06F2E">
        <w:rPr>
          <w:lang w:val="sk-SK"/>
        </w:rPr>
        <w:t>% pacientov (v skupine s erlotinibom</w:t>
      </w:r>
      <w:r w:rsidR="005D62AA" w:rsidRPr="00C06F2E">
        <w:rPr>
          <w:lang w:val="sk-SK"/>
        </w:rPr>
        <w:t>) a vyskytovali sa častejšie (≥ </w:t>
      </w:r>
      <w:r w:rsidRPr="00C06F2E">
        <w:rPr>
          <w:lang w:val="sk-SK"/>
        </w:rPr>
        <w:t>3 %) u pacientov liečených erlotinibom, než v ramene s porovnávacou liečbou. Ďalšie ADR, vrátane tých, ktoré boli zozbierané z iných štúdií, sú uvedené v tabuľke 2.</w:t>
      </w:r>
    </w:p>
    <w:p w14:paraId="7552C54F" w14:textId="77777777" w:rsidR="006F0C76" w:rsidRPr="00C06F2E" w:rsidRDefault="006F0C76" w:rsidP="00E60C58">
      <w:pPr>
        <w:suppressAutoHyphens/>
        <w:autoSpaceDE w:val="0"/>
        <w:autoSpaceDN w:val="0"/>
        <w:adjustRightInd w:val="0"/>
        <w:spacing w:after="0"/>
        <w:jc w:val="left"/>
        <w:rPr>
          <w:lang w:val="sk-SK"/>
        </w:rPr>
      </w:pPr>
    </w:p>
    <w:p w14:paraId="43A263EE" w14:textId="1B84A915" w:rsidR="00AB6A89" w:rsidRPr="00C06F2E" w:rsidRDefault="006F0C76" w:rsidP="00E60C58">
      <w:pPr>
        <w:suppressAutoHyphens/>
        <w:autoSpaceDE w:val="0"/>
        <w:autoSpaceDN w:val="0"/>
        <w:adjustRightInd w:val="0"/>
        <w:spacing w:after="0"/>
        <w:jc w:val="left"/>
        <w:rPr>
          <w:lang w:val="sk-SK"/>
        </w:rPr>
      </w:pPr>
      <w:r w:rsidRPr="00C06F2E">
        <w:rPr>
          <w:lang w:val="sk-SK"/>
        </w:rPr>
        <w:t>Nežiaduce reakcie zozbierané z klinických skúšaní (tabuľka 1) sú usporiadané podľa triedy orgánových systémov MedDRA. Zodpovedajúce frekvencie výskytu pre každú nežiaducu reakciu vychádzajú z nasledovnej konvencie: veľmi časté (≥</w:t>
      </w:r>
      <w:r w:rsidR="005D62AA" w:rsidRPr="00C06F2E">
        <w:rPr>
          <w:lang w:val="sk-SK"/>
        </w:rPr>
        <w:t> 1/10), časté (≥ 1/100 až &lt; </w:t>
      </w:r>
      <w:r w:rsidRPr="00C06F2E">
        <w:rPr>
          <w:lang w:val="sk-SK"/>
        </w:rPr>
        <w:t>1/10), menej časté (≥1/1 000 až &lt;</w:t>
      </w:r>
      <w:r w:rsidR="005D62AA" w:rsidRPr="00C06F2E">
        <w:rPr>
          <w:lang w:val="sk-SK"/>
        </w:rPr>
        <w:t> </w:t>
      </w:r>
      <w:r w:rsidRPr="00C06F2E">
        <w:rPr>
          <w:lang w:val="sk-SK"/>
        </w:rPr>
        <w:t>1/100), zriedkavé (≥</w:t>
      </w:r>
      <w:r w:rsidR="005D62AA" w:rsidRPr="00C06F2E">
        <w:rPr>
          <w:lang w:val="sk-SK"/>
        </w:rPr>
        <w:t> </w:t>
      </w:r>
      <w:r w:rsidRPr="00C06F2E">
        <w:rPr>
          <w:lang w:val="sk-SK"/>
        </w:rPr>
        <w:t>1/10</w:t>
      </w:r>
      <w:r w:rsidR="005D62AA" w:rsidRPr="00C06F2E">
        <w:rPr>
          <w:lang w:val="sk-SK"/>
        </w:rPr>
        <w:t> </w:t>
      </w:r>
      <w:r w:rsidRPr="00C06F2E">
        <w:rPr>
          <w:lang w:val="sk-SK"/>
        </w:rPr>
        <w:t>000 až &lt;</w:t>
      </w:r>
      <w:r w:rsidR="005D62AA" w:rsidRPr="00C06F2E">
        <w:rPr>
          <w:lang w:val="sk-SK"/>
        </w:rPr>
        <w:t> </w:t>
      </w:r>
      <w:r w:rsidRPr="00C06F2E">
        <w:rPr>
          <w:lang w:val="sk-SK"/>
        </w:rPr>
        <w:t>1/1</w:t>
      </w:r>
      <w:r w:rsidR="005D62AA" w:rsidRPr="00C06F2E">
        <w:rPr>
          <w:lang w:val="sk-SK"/>
        </w:rPr>
        <w:t> </w:t>
      </w:r>
      <w:r w:rsidRPr="00C06F2E">
        <w:rPr>
          <w:lang w:val="sk-SK"/>
        </w:rPr>
        <w:t>000), veľmi zriedkavé (&lt;</w:t>
      </w:r>
      <w:r w:rsidR="005D62AA" w:rsidRPr="00C06F2E">
        <w:rPr>
          <w:lang w:val="sk-SK"/>
        </w:rPr>
        <w:t> </w:t>
      </w:r>
      <w:r w:rsidRPr="00C06F2E">
        <w:rPr>
          <w:lang w:val="sk-SK"/>
        </w:rPr>
        <w:t>1/10</w:t>
      </w:r>
      <w:r w:rsidR="005D62AA" w:rsidRPr="00C06F2E">
        <w:rPr>
          <w:lang w:val="sk-SK"/>
        </w:rPr>
        <w:t> </w:t>
      </w:r>
      <w:r w:rsidRPr="00C06F2E">
        <w:rPr>
          <w:lang w:val="sk-SK"/>
        </w:rPr>
        <w:t>000).</w:t>
      </w:r>
    </w:p>
    <w:p w14:paraId="1997780C" w14:textId="77777777" w:rsidR="006F0C76" w:rsidRPr="00C06F2E" w:rsidRDefault="006F0C76" w:rsidP="00E60C58">
      <w:pPr>
        <w:suppressAutoHyphens/>
        <w:autoSpaceDE w:val="0"/>
        <w:autoSpaceDN w:val="0"/>
        <w:adjustRightInd w:val="0"/>
        <w:spacing w:after="0"/>
        <w:jc w:val="left"/>
        <w:rPr>
          <w:lang w:val="sk-SK"/>
        </w:rPr>
      </w:pPr>
    </w:p>
    <w:p w14:paraId="68602D3E" w14:textId="5D60FCCE" w:rsidR="00677E50" w:rsidRPr="00C06F2E" w:rsidRDefault="006F0C76" w:rsidP="00E60C58">
      <w:pPr>
        <w:suppressAutoHyphens/>
        <w:autoSpaceDE w:val="0"/>
        <w:autoSpaceDN w:val="0"/>
        <w:adjustRightInd w:val="0"/>
        <w:spacing w:after="0"/>
        <w:jc w:val="left"/>
        <w:rPr>
          <w:lang w:val="sk-SK"/>
        </w:rPr>
      </w:pPr>
      <w:r w:rsidRPr="00C06F2E">
        <w:rPr>
          <w:lang w:val="sk-SK"/>
        </w:rPr>
        <w:t>V rámci jednotlivých skupín podľa frekvencie výskytu sú nežiaduce účinky usporiadané v poradí klesajúcej závažnosti.</w:t>
      </w:r>
    </w:p>
    <w:p w14:paraId="5622273E" w14:textId="77777777" w:rsidR="006F0C76" w:rsidRPr="00C06F2E" w:rsidRDefault="006F0C76" w:rsidP="00E60C58">
      <w:pPr>
        <w:suppressAutoHyphens/>
        <w:autoSpaceDE w:val="0"/>
        <w:autoSpaceDN w:val="0"/>
        <w:adjustRightInd w:val="0"/>
        <w:spacing w:after="0"/>
        <w:jc w:val="left"/>
        <w:rPr>
          <w:lang w:val="sk-SK"/>
        </w:rPr>
      </w:pPr>
    </w:p>
    <w:p w14:paraId="456D911C" w14:textId="424E37E7" w:rsidR="00AB6A89" w:rsidRPr="00C06F2E" w:rsidRDefault="006F0C76" w:rsidP="00E60C58">
      <w:pPr>
        <w:suppressAutoHyphens/>
        <w:autoSpaceDE w:val="0"/>
        <w:autoSpaceDN w:val="0"/>
        <w:adjustRightInd w:val="0"/>
        <w:spacing w:after="0"/>
        <w:jc w:val="left"/>
        <w:rPr>
          <w:u w:val="single"/>
          <w:lang w:val="sk-SK"/>
        </w:rPr>
      </w:pPr>
      <w:r w:rsidRPr="00C06F2E">
        <w:rPr>
          <w:u w:val="single"/>
          <w:lang w:val="sk-SK"/>
        </w:rPr>
        <w:t xml:space="preserve">Nemalobunkový karcinóm pľúc </w:t>
      </w:r>
      <w:r w:rsidR="007B2947" w:rsidRPr="00C06F2E">
        <w:rPr>
          <w:u w:val="single"/>
          <w:lang w:val="sk-SK"/>
        </w:rPr>
        <w:t xml:space="preserve">(erlotinib </w:t>
      </w:r>
      <w:r w:rsidRPr="00C06F2E">
        <w:rPr>
          <w:u w:val="single"/>
          <w:lang w:val="sk-SK"/>
        </w:rPr>
        <w:t>podávaný v monoterapii</w:t>
      </w:r>
      <w:r w:rsidR="007B2947" w:rsidRPr="00C06F2E">
        <w:rPr>
          <w:u w:val="single"/>
          <w:lang w:val="sk-SK"/>
        </w:rPr>
        <w:t>)</w:t>
      </w:r>
    </w:p>
    <w:p w14:paraId="1764B677" w14:textId="77777777" w:rsidR="00AB6A89" w:rsidRPr="00C06F2E" w:rsidRDefault="00AB6A89" w:rsidP="00E60C58">
      <w:pPr>
        <w:suppressAutoHyphens/>
        <w:autoSpaceDE w:val="0"/>
        <w:autoSpaceDN w:val="0"/>
        <w:adjustRightInd w:val="0"/>
        <w:spacing w:after="0"/>
        <w:jc w:val="left"/>
        <w:rPr>
          <w:lang w:val="sk-SK"/>
        </w:rPr>
      </w:pPr>
    </w:p>
    <w:p w14:paraId="0363F6F3" w14:textId="60CDD3C9" w:rsidR="00AB6A89" w:rsidRPr="00C06F2E" w:rsidRDefault="00A50D35" w:rsidP="00E60C58">
      <w:pPr>
        <w:spacing w:after="0"/>
        <w:jc w:val="left"/>
        <w:rPr>
          <w:i/>
          <w:iCs/>
          <w:spacing w:val="-1"/>
          <w:u w:val="single" w:color="000000"/>
          <w:lang w:val="sk-SK"/>
        </w:rPr>
      </w:pPr>
      <w:r w:rsidRPr="00C06F2E">
        <w:rPr>
          <w:i/>
          <w:iCs/>
          <w:spacing w:val="-1"/>
          <w:u w:val="single" w:color="000000"/>
          <w:lang w:val="sk-SK"/>
        </w:rPr>
        <w:t>Prvá línia liečby pacientov s EGFR mutáciami</w:t>
      </w:r>
    </w:p>
    <w:p w14:paraId="34B82BB5" w14:textId="77777777" w:rsidR="00A50D35" w:rsidRPr="00C06F2E" w:rsidRDefault="00A50D35" w:rsidP="00E60C58">
      <w:pPr>
        <w:spacing w:after="0"/>
        <w:jc w:val="left"/>
        <w:rPr>
          <w:i/>
          <w:lang w:val="pt-PT"/>
        </w:rPr>
      </w:pPr>
    </w:p>
    <w:p w14:paraId="4882F49A" w14:textId="22C06A68" w:rsidR="00AB6A89" w:rsidRPr="00C06F2E" w:rsidRDefault="00A50D35" w:rsidP="00E60C58">
      <w:pPr>
        <w:pStyle w:val="Zkladntext"/>
        <w:spacing w:after="0"/>
        <w:ind w:right="-1"/>
        <w:jc w:val="left"/>
        <w:rPr>
          <w:lang w:val="sk-SK"/>
        </w:rPr>
      </w:pPr>
      <w:r w:rsidRPr="00C06F2E">
        <w:rPr>
          <w:lang w:val="sk-SK"/>
        </w:rPr>
        <w:t>V otvorenej, randomizovanej štúdii III. fázy ML20650 vykonanej u</w:t>
      </w:r>
      <w:r w:rsidR="005D62AA" w:rsidRPr="00C06F2E">
        <w:rPr>
          <w:lang w:val="sk-SK"/>
        </w:rPr>
        <w:t> </w:t>
      </w:r>
      <w:r w:rsidRPr="00C06F2E">
        <w:rPr>
          <w:lang w:val="sk-SK"/>
        </w:rPr>
        <w:t>154</w:t>
      </w:r>
      <w:r w:rsidR="005D62AA" w:rsidRPr="00C06F2E">
        <w:rPr>
          <w:lang w:val="sk-SK"/>
        </w:rPr>
        <w:t> </w:t>
      </w:r>
      <w:r w:rsidRPr="00C06F2E">
        <w:rPr>
          <w:lang w:val="sk-SK"/>
        </w:rPr>
        <w:t xml:space="preserve">pacientov bola bezpečnosť </w:t>
      </w:r>
      <w:r w:rsidRPr="00C06F2E">
        <w:rPr>
          <w:spacing w:val="-1"/>
          <w:lang w:val="pt-PT"/>
        </w:rPr>
        <w:t>erlotinibu</w:t>
      </w:r>
      <w:r w:rsidRPr="00C06F2E">
        <w:rPr>
          <w:spacing w:val="-7"/>
          <w:lang w:val="pt-PT"/>
        </w:rPr>
        <w:t xml:space="preserve"> </w:t>
      </w:r>
      <w:r w:rsidRPr="00C06F2E">
        <w:rPr>
          <w:lang w:val="sk-SK"/>
        </w:rPr>
        <w:t>v prvej línii liečby pacientov s NSCLC s aktivujúcimi mutáciami EGFR hodnotená u</w:t>
      </w:r>
      <w:r w:rsidR="005D62AA" w:rsidRPr="00C06F2E">
        <w:rPr>
          <w:lang w:val="sk-SK"/>
        </w:rPr>
        <w:t> </w:t>
      </w:r>
      <w:r w:rsidRPr="00C06F2E">
        <w:rPr>
          <w:lang w:val="sk-SK"/>
        </w:rPr>
        <w:t>75</w:t>
      </w:r>
      <w:r w:rsidR="005D62AA" w:rsidRPr="00C06F2E">
        <w:rPr>
          <w:lang w:val="sk-SK"/>
        </w:rPr>
        <w:t> </w:t>
      </w:r>
      <w:r w:rsidRPr="00C06F2E">
        <w:rPr>
          <w:lang w:val="sk-SK"/>
        </w:rPr>
        <w:t>pacientov; u</w:t>
      </w:r>
      <w:r w:rsidR="005D62AA" w:rsidRPr="00C06F2E">
        <w:rPr>
          <w:lang w:val="sk-SK"/>
        </w:rPr>
        <w:t> </w:t>
      </w:r>
      <w:r w:rsidRPr="00C06F2E">
        <w:rPr>
          <w:lang w:val="sk-SK"/>
        </w:rPr>
        <w:t>týchto pacientov neboli zaznamenané nové bezpečnostné signály.</w:t>
      </w:r>
    </w:p>
    <w:p w14:paraId="11A1FB6C" w14:textId="77777777" w:rsidR="00A50D35" w:rsidRPr="00C06F2E" w:rsidRDefault="00A50D35" w:rsidP="00E60C58">
      <w:pPr>
        <w:pStyle w:val="Zkladntext"/>
        <w:spacing w:after="0"/>
        <w:ind w:right="-1"/>
        <w:jc w:val="left"/>
        <w:rPr>
          <w:lang w:val="pt-PT"/>
        </w:rPr>
      </w:pPr>
    </w:p>
    <w:p w14:paraId="74C90449" w14:textId="54E90F74" w:rsidR="00AB6A89" w:rsidRPr="00C06F2E" w:rsidRDefault="00A50D35" w:rsidP="00E60C58">
      <w:pPr>
        <w:suppressAutoHyphens/>
        <w:autoSpaceDE w:val="0"/>
        <w:autoSpaceDN w:val="0"/>
        <w:adjustRightInd w:val="0"/>
        <w:spacing w:after="0"/>
        <w:jc w:val="left"/>
        <w:rPr>
          <w:lang w:val="sk-SK"/>
        </w:rPr>
      </w:pPr>
      <w:r w:rsidRPr="00C06F2E">
        <w:rPr>
          <w:lang w:val="sk-SK"/>
        </w:rPr>
        <w:lastRenderedPageBreak/>
        <w:t xml:space="preserve">Najčastejšie pozorovanými ADR u pacientov liečených </w:t>
      </w:r>
      <w:r w:rsidRPr="00C06F2E">
        <w:rPr>
          <w:spacing w:val="-1"/>
          <w:lang w:val="pt-PT"/>
        </w:rPr>
        <w:t>erlotinibom</w:t>
      </w:r>
      <w:r w:rsidRPr="00C06F2E">
        <w:rPr>
          <w:spacing w:val="-6"/>
          <w:lang w:val="pt-PT"/>
        </w:rPr>
        <w:t xml:space="preserve"> </w:t>
      </w:r>
      <w:r w:rsidRPr="00C06F2E">
        <w:rPr>
          <w:lang w:val="sk-SK"/>
        </w:rPr>
        <w:t>v štúdii ML20650 boli vyrážka (80</w:t>
      </w:r>
      <w:r w:rsidR="005D62AA" w:rsidRPr="00C06F2E">
        <w:rPr>
          <w:lang w:val="sk-SK"/>
        </w:rPr>
        <w:t> </w:t>
      </w:r>
      <w:r w:rsidRPr="00C06F2E">
        <w:rPr>
          <w:lang w:val="sk-SK"/>
        </w:rPr>
        <w:t>%) a hnačka (57</w:t>
      </w:r>
      <w:r w:rsidR="005D62AA" w:rsidRPr="00C06F2E">
        <w:rPr>
          <w:lang w:val="sk-SK"/>
        </w:rPr>
        <w:t> </w:t>
      </w:r>
      <w:r w:rsidRPr="00C06F2E">
        <w:rPr>
          <w:lang w:val="sk-SK"/>
        </w:rPr>
        <w:t>%) rôzneho stupňa závažnosti, najčastejšie sa vyskytoval stupeň závažnosti 1/2, bez nutnosti lekárskeho zásahu. Vyrážky 3. stupňa závažnosti sa vyskytli u</w:t>
      </w:r>
      <w:r w:rsidR="005D62AA" w:rsidRPr="00C06F2E">
        <w:rPr>
          <w:lang w:val="sk-SK"/>
        </w:rPr>
        <w:t> </w:t>
      </w:r>
      <w:r w:rsidRPr="00C06F2E">
        <w:rPr>
          <w:lang w:val="sk-SK"/>
        </w:rPr>
        <w:t>9 % pacientov a hnačka 3. stupňa závažnosti u</w:t>
      </w:r>
      <w:r w:rsidR="005D62AA" w:rsidRPr="00C06F2E">
        <w:rPr>
          <w:lang w:val="sk-SK"/>
        </w:rPr>
        <w:t> </w:t>
      </w:r>
      <w:r w:rsidRPr="00C06F2E">
        <w:rPr>
          <w:lang w:val="sk-SK"/>
        </w:rPr>
        <w:t>4</w:t>
      </w:r>
      <w:r w:rsidR="005D62AA" w:rsidRPr="00C06F2E">
        <w:rPr>
          <w:lang w:val="sk-SK"/>
        </w:rPr>
        <w:t> </w:t>
      </w:r>
      <w:r w:rsidRPr="00C06F2E">
        <w:rPr>
          <w:lang w:val="sk-SK"/>
        </w:rPr>
        <w:t xml:space="preserve">% pacientov. Nezaznamenal sa žiaden výskyt vyrážky alebo hnačky 4. stupňa závažnosti. Výskyt vyrážky a hnačky viedol k ukončeniu liečby </w:t>
      </w:r>
      <w:r w:rsidRPr="00C06F2E">
        <w:rPr>
          <w:spacing w:val="-1"/>
          <w:lang w:val="sk-SK"/>
        </w:rPr>
        <w:t>erlotinibom</w:t>
      </w:r>
      <w:r w:rsidRPr="00C06F2E">
        <w:rPr>
          <w:spacing w:val="-7"/>
          <w:lang w:val="sk-SK"/>
        </w:rPr>
        <w:t xml:space="preserve"> </w:t>
      </w:r>
      <w:r w:rsidRPr="00C06F2E">
        <w:rPr>
          <w:lang w:val="sk-SK"/>
        </w:rPr>
        <w:t>u</w:t>
      </w:r>
      <w:r w:rsidR="005D62AA" w:rsidRPr="00C06F2E">
        <w:rPr>
          <w:lang w:val="sk-SK"/>
        </w:rPr>
        <w:t> </w:t>
      </w:r>
      <w:r w:rsidRPr="00C06F2E">
        <w:rPr>
          <w:lang w:val="sk-SK"/>
        </w:rPr>
        <w:t>1</w:t>
      </w:r>
      <w:r w:rsidR="005D62AA" w:rsidRPr="00C06F2E">
        <w:rPr>
          <w:lang w:val="sk-SK"/>
        </w:rPr>
        <w:t> </w:t>
      </w:r>
      <w:r w:rsidRPr="00C06F2E">
        <w:rPr>
          <w:lang w:val="sk-SK"/>
        </w:rPr>
        <w:t>% pacientov. Úprava dávkovania (prerušenie alebo zníženie) z dôvodu vyrážky bola potrebná u</w:t>
      </w:r>
      <w:r w:rsidR="005D62AA" w:rsidRPr="00C06F2E">
        <w:rPr>
          <w:lang w:val="sk-SK"/>
        </w:rPr>
        <w:t> </w:t>
      </w:r>
      <w:r w:rsidRPr="00C06F2E">
        <w:rPr>
          <w:lang w:val="sk-SK"/>
        </w:rPr>
        <w:t>11</w:t>
      </w:r>
      <w:r w:rsidR="005D62AA" w:rsidRPr="00C06F2E">
        <w:rPr>
          <w:lang w:val="sk-SK"/>
        </w:rPr>
        <w:t> </w:t>
      </w:r>
      <w:r w:rsidRPr="00C06F2E">
        <w:rPr>
          <w:lang w:val="sk-SK"/>
        </w:rPr>
        <w:t>% pacientov a z dôvodu hnačky u</w:t>
      </w:r>
      <w:r w:rsidR="005D62AA" w:rsidRPr="00C06F2E">
        <w:rPr>
          <w:lang w:val="sk-SK"/>
        </w:rPr>
        <w:t> </w:t>
      </w:r>
      <w:r w:rsidRPr="00C06F2E">
        <w:rPr>
          <w:lang w:val="sk-SK"/>
        </w:rPr>
        <w:t>7</w:t>
      </w:r>
      <w:r w:rsidR="005D62AA" w:rsidRPr="00C06F2E">
        <w:rPr>
          <w:lang w:val="sk-SK"/>
        </w:rPr>
        <w:t> </w:t>
      </w:r>
      <w:r w:rsidRPr="00C06F2E">
        <w:rPr>
          <w:lang w:val="sk-SK"/>
        </w:rPr>
        <w:t>% pacientov.</w:t>
      </w:r>
    </w:p>
    <w:p w14:paraId="48953C9A" w14:textId="77777777" w:rsidR="00A50D35" w:rsidRPr="00C06F2E" w:rsidRDefault="00A50D35" w:rsidP="00E60C58">
      <w:pPr>
        <w:suppressAutoHyphens/>
        <w:autoSpaceDE w:val="0"/>
        <w:autoSpaceDN w:val="0"/>
        <w:adjustRightInd w:val="0"/>
        <w:spacing w:after="0"/>
        <w:jc w:val="left"/>
        <w:rPr>
          <w:lang w:val="sk-SK"/>
        </w:rPr>
      </w:pPr>
    </w:p>
    <w:p w14:paraId="13322256" w14:textId="4B35E530" w:rsidR="00AB6A89" w:rsidRPr="00C06F2E" w:rsidRDefault="007E1D3C" w:rsidP="00E60C58">
      <w:pPr>
        <w:spacing w:after="0"/>
        <w:jc w:val="left"/>
        <w:rPr>
          <w:i/>
          <w:iCs/>
          <w:spacing w:val="-1"/>
          <w:u w:val="single" w:color="000000"/>
          <w:lang w:val="sk-SK"/>
        </w:rPr>
      </w:pPr>
      <w:r w:rsidRPr="00C06F2E">
        <w:rPr>
          <w:i/>
          <w:iCs/>
          <w:spacing w:val="-1"/>
          <w:u w:val="single" w:color="000000"/>
          <w:lang w:val="sk-SK"/>
        </w:rPr>
        <w:t>Udržiavacia liečba</w:t>
      </w:r>
    </w:p>
    <w:p w14:paraId="2C9DCCC9" w14:textId="77777777" w:rsidR="007E1D3C" w:rsidRPr="00C06F2E" w:rsidRDefault="007E1D3C" w:rsidP="00E60C58">
      <w:pPr>
        <w:spacing w:after="0"/>
        <w:jc w:val="left"/>
        <w:rPr>
          <w:i/>
          <w:lang w:val="sk-SK"/>
        </w:rPr>
      </w:pPr>
    </w:p>
    <w:p w14:paraId="371407A4" w14:textId="4797D796" w:rsidR="00AB6A89" w:rsidRPr="00C06F2E" w:rsidRDefault="007E1D3C" w:rsidP="00E60C58">
      <w:pPr>
        <w:spacing w:after="0"/>
        <w:jc w:val="left"/>
        <w:rPr>
          <w:lang w:val="sk-SK"/>
        </w:rPr>
      </w:pPr>
      <w:r w:rsidRPr="00C06F2E">
        <w:rPr>
          <w:lang w:val="sk-SK"/>
        </w:rPr>
        <w:t xml:space="preserve">V ďalších dvoch dvojito zaslepených, randomizovaných, placebom kontrolovaných štúdiách III. fázy BO18192 (SATURN) a BO25460 (IUNO) sa </w:t>
      </w:r>
      <w:r w:rsidRPr="00C06F2E">
        <w:rPr>
          <w:spacing w:val="-1"/>
          <w:lang w:val="sk-SK"/>
        </w:rPr>
        <w:t>erlotinib</w:t>
      </w:r>
      <w:r w:rsidRPr="00C06F2E">
        <w:rPr>
          <w:spacing w:val="-7"/>
          <w:lang w:val="sk-SK"/>
        </w:rPr>
        <w:t xml:space="preserve"> </w:t>
      </w:r>
      <w:r w:rsidRPr="00C06F2E">
        <w:rPr>
          <w:lang w:val="sk-SK"/>
        </w:rPr>
        <w:t>podával ako udržiavacia terapia po prvej línii chemoterapie. Tieto štúdi</w:t>
      </w:r>
      <w:r w:rsidR="005D62AA" w:rsidRPr="00C06F2E">
        <w:rPr>
          <w:lang w:val="sk-SK"/>
        </w:rPr>
        <w:t>e sa uskutočnili celkovo u 1532 </w:t>
      </w:r>
      <w:r w:rsidRPr="00C06F2E">
        <w:rPr>
          <w:lang w:val="sk-SK"/>
        </w:rPr>
        <w:t>pacientov s pokročilým, recidivujúcim alebo metastatickým NSCLC po štandardnej chemoterapii na báze platiny v prvej línii, pričom sa neodhalili žiadne nové bezpečnostné signály.</w:t>
      </w:r>
    </w:p>
    <w:p w14:paraId="2FB9AC1E" w14:textId="77777777" w:rsidR="007E1D3C" w:rsidRPr="00C06F2E" w:rsidRDefault="007E1D3C" w:rsidP="00E60C58">
      <w:pPr>
        <w:spacing w:after="0"/>
        <w:jc w:val="left"/>
        <w:rPr>
          <w:lang w:val="sk-SK"/>
        </w:rPr>
      </w:pPr>
    </w:p>
    <w:p w14:paraId="4521658E" w14:textId="0C02C3E3" w:rsidR="00AB6A89" w:rsidRPr="00C06F2E" w:rsidRDefault="003F10E5" w:rsidP="00E60C58">
      <w:pPr>
        <w:suppressAutoHyphens/>
        <w:autoSpaceDE w:val="0"/>
        <w:autoSpaceDN w:val="0"/>
        <w:adjustRightInd w:val="0"/>
        <w:spacing w:after="0"/>
        <w:jc w:val="left"/>
        <w:rPr>
          <w:lang w:val="sk-SK"/>
        </w:rPr>
      </w:pPr>
      <w:r w:rsidRPr="00C06F2E">
        <w:rPr>
          <w:lang w:val="sk-SK"/>
        </w:rPr>
        <w:t xml:space="preserve">Najčastejšie ADR pozorované u pacientov liečených </w:t>
      </w:r>
      <w:r w:rsidR="009A03CC" w:rsidRPr="00C06F2E">
        <w:rPr>
          <w:spacing w:val="-1"/>
          <w:lang w:val="sk-SK"/>
        </w:rPr>
        <w:t>erlotinibom</w:t>
      </w:r>
      <w:r w:rsidR="009A03CC" w:rsidRPr="00C06F2E">
        <w:rPr>
          <w:spacing w:val="-6"/>
          <w:lang w:val="sk-SK"/>
        </w:rPr>
        <w:t xml:space="preserve"> </w:t>
      </w:r>
      <w:r w:rsidRPr="00C06F2E">
        <w:rPr>
          <w:lang w:val="sk-SK"/>
        </w:rPr>
        <w:t>v štúdiách BO18192 a BO25460 boli vyrážka (BO18192: všetky stupne u 49,2</w:t>
      </w:r>
      <w:r w:rsidR="005D62AA" w:rsidRPr="00C06F2E">
        <w:rPr>
          <w:lang w:val="sk-SK"/>
        </w:rPr>
        <w:t> </w:t>
      </w:r>
      <w:r w:rsidRPr="00C06F2E">
        <w:rPr>
          <w:lang w:val="sk-SK"/>
        </w:rPr>
        <w:t>% a 3. stupeň závažnosti u 6,0</w:t>
      </w:r>
      <w:r w:rsidR="005D62AA" w:rsidRPr="00C06F2E">
        <w:rPr>
          <w:lang w:val="sk-SK"/>
        </w:rPr>
        <w:t> </w:t>
      </w:r>
      <w:r w:rsidRPr="00C06F2E">
        <w:rPr>
          <w:lang w:val="sk-SK"/>
        </w:rPr>
        <w:t>% pacientov; BO25460: všetky stupne u 39,4</w:t>
      </w:r>
      <w:r w:rsidR="005D62AA" w:rsidRPr="00C06F2E">
        <w:rPr>
          <w:lang w:val="sk-SK"/>
        </w:rPr>
        <w:t> </w:t>
      </w:r>
      <w:r w:rsidRPr="00C06F2E">
        <w:rPr>
          <w:lang w:val="sk-SK"/>
        </w:rPr>
        <w:t>% a 3. stupeň závažnosti u 5,0</w:t>
      </w:r>
      <w:r w:rsidR="005D62AA" w:rsidRPr="00C06F2E">
        <w:rPr>
          <w:lang w:val="sk-SK"/>
        </w:rPr>
        <w:t> </w:t>
      </w:r>
      <w:r w:rsidRPr="00C06F2E">
        <w:rPr>
          <w:lang w:val="sk-SK"/>
        </w:rPr>
        <w:t>% pacientov) a hnačka (BO18192: všetky stupne u 20,3</w:t>
      </w:r>
      <w:r w:rsidR="005D62AA" w:rsidRPr="00C06F2E">
        <w:rPr>
          <w:lang w:val="sk-SK"/>
        </w:rPr>
        <w:t> % pacientov, 3. stupeň u 1,8 % </w:t>
      </w:r>
      <w:r w:rsidRPr="00C06F2E">
        <w:rPr>
          <w:lang w:val="sk-SK"/>
        </w:rPr>
        <w:t>pacientov; BO25460: všetky stupne u 24,2</w:t>
      </w:r>
      <w:r w:rsidR="005D62AA" w:rsidRPr="00C06F2E">
        <w:rPr>
          <w:lang w:val="sk-SK"/>
        </w:rPr>
        <w:t> </w:t>
      </w:r>
      <w:r w:rsidRPr="00C06F2E">
        <w:rPr>
          <w:lang w:val="sk-SK"/>
        </w:rPr>
        <w:t>% pacientov, 3. stupeň: 2,5</w:t>
      </w:r>
      <w:r w:rsidR="005D62AA" w:rsidRPr="00C06F2E">
        <w:rPr>
          <w:lang w:val="sk-SK"/>
        </w:rPr>
        <w:t> </w:t>
      </w:r>
      <w:r w:rsidRPr="00C06F2E">
        <w:rPr>
          <w:lang w:val="sk-SK"/>
        </w:rPr>
        <w:t>% pacientov). V žiadnej zo štúdií sa nezaznamenal výskyt vyrážky alebo hnačky 4. stupňa závažnosti. V štúdii BO18192 viedla vyrážka k</w:t>
      </w:r>
      <w:r w:rsidR="005D62AA" w:rsidRPr="00C06F2E">
        <w:rPr>
          <w:lang w:val="sk-SK"/>
        </w:rPr>
        <w:t> </w:t>
      </w:r>
      <w:r w:rsidRPr="00C06F2E">
        <w:rPr>
          <w:lang w:val="sk-SK"/>
        </w:rPr>
        <w:t xml:space="preserve">ukončeniu liečby </w:t>
      </w:r>
      <w:r w:rsidR="009A03CC" w:rsidRPr="00C06F2E">
        <w:rPr>
          <w:spacing w:val="-1"/>
          <w:lang w:val="sk-SK"/>
        </w:rPr>
        <w:t>erlotinibom</w:t>
      </w:r>
      <w:r w:rsidR="009A03CC" w:rsidRPr="00C06F2E">
        <w:rPr>
          <w:spacing w:val="-6"/>
          <w:lang w:val="sk-SK"/>
        </w:rPr>
        <w:t xml:space="preserve"> </w:t>
      </w:r>
      <w:r w:rsidRPr="00C06F2E">
        <w:rPr>
          <w:lang w:val="sk-SK"/>
        </w:rPr>
        <w:t>u</w:t>
      </w:r>
      <w:r w:rsidR="005D62AA" w:rsidRPr="00C06F2E">
        <w:rPr>
          <w:lang w:val="sk-SK"/>
        </w:rPr>
        <w:t> </w:t>
      </w:r>
      <w:r w:rsidRPr="00C06F2E">
        <w:rPr>
          <w:lang w:val="sk-SK"/>
        </w:rPr>
        <w:t>1</w:t>
      </w:r>
      <w:r w:rsidR="005D62AA" w:rsidRPr="00C06F2E">
        <w:rPr>
          <w:lang w:val="sk-SK"/>
        </w:rPr>
        <w:t> </w:t>
      </w:r>
      <w:r w:rsidRPr="00C06F2E">
        <w:rPr>
          <w:lang w:val="sk-SK"/>
        </w:rPr>
        <w:t>%</w:t>
      </w:r>
      <w:r w:rsidR="009A03CC" w:rsidRPr="00C06F2E">
        <w:rPr>
          <w:color w:val="000000"/>
          <w:lang w:val="sk-SK"/>
        </w:rPr>
        <w:t xml:space="preserve"> </w:t>
      </w:r>
      <w:r w:rsidR="009A03CC" w:rsidRPr="00C06F2E">
        <w:rPr>
          <w:lang w:val="sk-SK"/>
        </w:rPr>
        <w:t xml:space="preserve">pacientov, výskyt hnačky mal za následok ukončenie liečby </w:t>
      </w:r>
      <w:r w:rsidR="009A03CC" w:rsidRPr="00C06F2E">
        <w:rPr>
          <w:spacing w:val="-1"/>
          <w:lang w:val="sk-SK"/>
        </w:rPr>
        <w:t>erlotinibom</w:t>
      </w:r>
      <w:r w:rsidR="009A03CC" w:rsidRPr="00C06F2E">
        <w:rPr>
          <w:spacing w:val="-6"/>
          <w:lang w:val="sk-SK"/>
        </w:rPr>
        <w:t xml:space="preserve"> </w:t>
      </w:r>
      <w:r w:rsidR="009A03CC" w:rsidRPr="00C06F2E">
        <w:rPr>
          <w:lang w:val="sk-SK"/>
        </w:rPr>
        <w:t>u &lt;</w:t>
      </w:r>
      <w:r w:rsidR="005D62AA" w:rsidRPr="00C06F2E">
        <w:rPr>
          <w:lang w:val="sk-SK"/>
        </w:rPr>
        <w:t> </w:t>
      </w:r>
      <w:r w:rsidR="009A03CC" w:rsidRPr="00C06F2E">
        <w:rPr>
          <w:lang w:val="sk-SK"/>
        </w:rPr>
        <w:t>1</w:t>
      </w:r>
      <w:r w:rsidR="005D62AA" w:rsidRPr="00C06F2E">
        <w:rPr>
          <w:lang w:val="sk-SK"/>
        </w:rPr>
        <w:t> </w:t>
      </w:r>
      <w:r w:rsidR="009A03CC" w:rsidRPr="00C06F2E">
        <w:rPr>
          <w:lang w:val="sk-SK"/>
        </w:rPr>
        <w:t>% pacientov, kým v štúdii BO25460 kvôli vyrážke alebo hnačke neukončil liečbu žiadny pacient. V štúdii BO18192 bola potrebná úprava dávkovania (prerušenie alebo zníženie) z dôvodu vyrážky u 8,3</w:t>
      </w:r>
      <w:r w:rsidR="005D62AA" w:rsidRPr="00C06F2E">
        <w:rPr>
          <w:lang w:val="sk-SK"/>
        </w:rPr>
        <w:t> </w:t>
      </w:r>
      <w:r w:rsidR="009A03CC" w:rsidRPr="00C06F2E">
        <w:rPr>
          <w:lang w:val="sk-SK"/>
        </w:rPr>
        <w:t>%</w:t>
      </w:r>
      <w:r w:rsidR="005D62AA" w:rsidRPr="00C06F2E">
        <w:rPr>
          <w:lang w:val="sk-SK"/>
        </w:rPr>
        <w:t xml:space="preserve"> pacientov, z dôvodu hnačky u 3 </w:t>
      </w:r>
      <w:r w:rsidR="009A03CC" w:rsidRPr="00C06F2E">
        <w:rPr>
          <w:lang w:val="sk-SK"/>
        </w:rPr>
        <w:t>% pacientov a v štúdii BO25460 to bolo z dôvodu vyrážky u 5,6</w:t>
      </w:r>
      <w:r w:rsidR="005D62AA" w:rsidRPr="00C06F2E">
        <w:rPr>
          <w:lang w:val="sk-SK"/>
        </w:rPr>
        <w:t> </w:t>
      </w:r>
      <w:r w:rsidR="009A03CC" w:rsidRPr="00C06F2E">
        <w:rPr>
          <w:lang w:val="sk-SK"/>
        </w:rPr>
        <w:t>% pacientov a u 2,8</w:t>
      </w:r>
      <w:r w:rsidR="005D62AA" w:rsidRPr="00C06F2E">
        <w:rPr>
          <w:lang w:val="sk-SK"/>
        </w:rPr>
        <w:t> </w:t>
      </w:r>
      <w:r w:rsidR="009A03CC" w:rsidRPr="00C06F2E">
        <w:rPr>
          <w:lang w:val="sk-SK"/>
        </w:rPr>
        <w:t>% pacientov z dôvodu hnačky.</w:t>
      </w:r>
    </w:p>
    <w:p w14:paraId="25BE8721" w14:textId="77777777" w:rsidR="009A03CC" w:rsidRPr="00C06F2E" w:rsidRDefault="009A03CC" w:rsidP="00E60C58">
      <w:pPr>
        <w:suppressAutoHyphens/>
        <w:autoSpaceDE w:val="0"/>
        <w:autoSpaceDN w:val="0"/>
        <w:adjustRightInd w:val="0"/>
        <w:spacing w:after="0"/>
        <w:jc w:val="left"/>
        <w:rPr>
          <w:lang w:val="sk-SK"/>
        </w:rPr>
      </w:pPr>
    </w:p>
    <w:p w14:paraId="2D41C9F6" w14:textId="76F2549F" w:rsidR="002E5702" w:rsidRPr="00C06F2E" w:rsidRDefault="00955C1B" w:rsidP="00E60C58">
      <w:pPr>
        <w:spacing w:after="0"/>
        <w:jc w:val="left"/>
        <w:rPr>
          <w:lang w:val="sk-SK"/>
        </w:rPr>
      </w:pPr>
      <w:r w:rsidRPr="00C06F2E">
        <w:rPr>
          <w:i/>
          <w:iCs/>
          <w:spacing w:val="-1"/>
          <w:u w:val="single" w:color="000000"/>
          <w:lang w:val="sk-SK"/>
        </w:rPr>
        <w:t>Druhá a ďalšie línie liečby</w:t>
      </w:r>
    </w:p>
    <w:p w14:paraId="4FED9FE2" w14:textId="77777777" w:rsidR="002E5702" w:rsidRPr="00C06F2E" w:rsidRDefault="002E5702" w:rsidP="00E60C58">
      <w:pPr>
        <w:suppressAutoHyphens/>
        <w:autoSpaceDE w:val="0"/>
        <w:autoSpaceDN w:val="0"/>
        <w:adjustRightInd w:val="0"/>
        <w:spacing w:after="0"/>
        <w:jc w:val="left"/>
        <w:rPr>
          <w:lang w:val="sk-SK"/>
        </w:rPr>
      </w:pPr>
    </w:p>
    <w:p w14:paraId="3C0318D1" w14:textId="4CED6916" w:rsidR="007B2947" w:rsidRPr="00C06F2E" w:rsidRDefault="00955C1B" w:rsidP="00E60C58">
      <w:pPr>
        <w:suppressAutoHyphens/>
        <w:autoSpaceDE w:val="0"/>
        <w:autoSpaceDN w:val="0"/>
        <w:adjustRightInd w:val="0"/>
        <w:spacing w:after="0"/>
        <w:jc w:val="left"/>
        <w:rPr>
          <w:lang w:val="sk-SK"/>
        </w:rPr>
      </w:pPr>
      <w:r w:rsidRPr="00C06F2E">
        <w:rPr>
          <w:lang w:val="sk-SK"/>
        </w:rPr>
        <w:t>V randomizovanej, dvojito zaslepenej štúdii (BR.21; erlotinib sa podával v druhej línii liečby), najčastejšie hlásené nežiaduce reakcie boli vyrážky (75</w:t>
      </w:r>
      <w:r w:rsidR="005F386C" w:rsidRPr="00C06F2E">
        <w:rPr>
          <w:lang w:val="sk-SK"/>
        </w:rPr>
        <w:t> </w:t>
      </w:r>
      <w:r w:rsidRPr="00C06F2E">
        <w:rPr>
          <w:lang w:val="sk-SK"/>
        </w:rPr>
        <w:t>%) a hnačka (54</w:t>
      </w:r>
      <w:r w:rsidR="005F386C" w:rsidRPr="00C06F2E">
        <w:rPr>
          <w:lang w:val="sk-SK"/>
        </w:rPr>
        <w:t> </w:t>
      </w:r>
      <w:r w:rsidRPr="00C06F2E">
        <w:rPr>
          <w:lang w:val="sk-SK"/>
        </w:rPr>
        <w:t xml:space="preserve">%). Väčšina týchto reakcií mala stupeň závažnosti 1/2 a nevyžadovala lekársky zásah. U pacientov liečených </w:t>
      </w:r>
      <w:r w:rsidRPr="00C06F2E">
        <w:rPr>
          <w:spacing w:val="-1"/>
          <w:lang w:val="sk-SK"/>
        </w:rPr>
        <w:t>erlotinibom</w:t>
      </w:r>
      <w:r w:rsidRPr="00C06F2E">
        <w:rPr>
          <w:spacing w:val="-6"/>
          <w:lang w:val="sk-SK"/>
        </w:rPr>
        <w:t xml:space="preserve"> </w:t>
      </w:r>
      <w:r w:rsidRPr="00C06F2E">
        <w:rPr>
          <w:lang w:val="sk-SK"/>
        </w:rPr>
        <w:t>sa vyskytli vyrážky 3/4 stupňa u</w:t>
      </w:r>
      <w:r w:rsidR="005F386C" w:rsidRPr="00C06F2E">
        <w:rPr>
          <w:lang w:val="sk-SK"/>
        </w:rPr>
        <w:t> </w:t>
      </w:r>
      <w:r w:rsidRPr="00C06F2E">
        <w:rPr>
          <w:lang w:val="sk-SK"/>
        </w:rPr>
        <w:t>9</w:t>
      </w:r>
      <w:r w:rsidR="005F386C" w:rsidRPr="00C06F2E">
        <w:rPr>
          <w:lang w:val="sk-SK"/>
        </w:rPr>
        <w:t> </w:t>
      </w:r>
      <w:r w:rsidRPr="00C06F2E">
        <w:rPr>
          <w:lang w:val="sk-SK"/>
        </w:rPr>
        <w:t>% a hnačka u</w:t>
      </w:r>
      <w:r w:rsidR="005F386C" w:rsidRPr="00C06F2E">
        <w:rPr>
          <w:lang w:val="sk-SK"/>
        </w:rPr>
        <w:t> </w:t>
      </w:r>
      <w:r w:rsidRPr="00C06F2E">
        <w:rPr>
          <w:lang w:val="sk-SK"/>
        </w:rPr>
        <w:t>6</w:t>
      </w:r>
      <w:r w:rsidR="005F386C" w:rsidRPr="00C06F2E">
        <w:rPr>
          <w:lang w:val="sk-SK"/>
        </w:rPr>
        <w:t> </w:t>
      </w:r>
      <w:r w:rsidRPr="00C06F2E">
        <w:rPr>
          <w:lang w:val="sk-SK"/>
        </w:rPr>
        <w:t>% pacientov a každá z týchto nežiaducich reakcií viedla k ukončeniu štúdie u</w:t>
      </w:r>
      <w:r w:rsidR="005F386C" w:rsidRPr="00C06F2E">
        <w:rPr>
          <w:lang w:val="sk-SK"/>
        </w:rPr>
        <w:t> </w:t>
      </w:r>
      <w:r w:rsidRPr="00C06F2E">
        <w:rPr>
          <w:lang w:val="sk-SK"/>
        </w:rPr>
        <w:t>1</w:t>
      </w:r>
      <w:r w:rsidR="005F386C" w:rsidRPr="00C06F2E">
        <w:rPr>
          <w:lang w:val="sk-SK"/>
        </w:rPr>
        <w:t> </w:t>
      </w:r>
      <w:r w:rsidRPr="00C06F2E">
        <w:rPr>
          <w:lang w:val="sk-SK"/>
        </w:rPr>
        <w:t>% pacientov. Zníženie dávky kvôli vyrážkam bolo potrebné u</w:t>
      </w:r>
      <w:r w:rsidR="005F386C" w:rsidRPr="00C06F2E">
        <w:rPr>
          <w:lang w:val="sk-SK"/>
        </w:rPr>
        <w:t> </w:t>
      </w:r>
      <w:r w:rsidRPr="00C06F2E">
        <w:rPr>
          <w:lang w:val="sk-SK"/>
        </w:rPr>
        <w:t>6</w:t>
      </w:r>
      <w:r w:rsidR="005F386C" w:rsidRPr="00C06F2E">
        <w:rPr>
          <w:lang w:val="sk-SK"/>
        </w:rPr>
        <w:t> </w:t>
      </w:r>
      <w:r w:rsidRPr="00C06F2E">
        <w:rPr>
          <w:lang w:val="sk-SK"/>
        </w:rPr>
        <w:t>% a kvôli hnačke u</w:t>
      </w:r>
      <w:r w:rsidR="005F386C" w:rsidRPr="00C06F2E">
        <w:rPr>
          <w:lang w:val="sk-SK"/>
        </w:rPr>
        <w:t> </w:t>
      </w:r>
      <w:r w:rsidRPr="00C06F2E">
        <w:rPr>
          <w:lang w:val="sk-SK"/>
        </w:rPr>
        <w:t>1</w:t>
      </w:r>
      <w:r w:rsidR="005F386C" w:rsidRPr="00C06F2E">
        <w:rPr>
          <w:lang w:val="sk-SK"/>
        </w:rPr>
        <w:t> </w:t>
      </w:r>
      <w:r w:rsidRPr="00C06F2E">
        <w:rPr>
          <w:lang w:val="sk-SK"/>
        </w:rPr>
        <w:t>% pacientov. V štúdii BR.21 sa zistil medián časového obdobia do výskytu vyrážky 8</w:t>
      </w:r>
      <w:r w:rsidR="005F386C" w:rsidRPr="00C06F2E">
        <w:rPr>
          <w:lang w:val="sk-SK"/>
        </w:rPr>
        <w:t> </w:t>
      </w:r>
      <w:r w:rsidRPr="00C06F2E">
        <w:rPr>
          <w:lang w:val="sk-SK"/>
        </w:rPr>
        <w:t>dní a medián časového obdobia do výskytu hnačky 12</w:t>
      </w:r>
      <w:r w:rsidR="005F386C" w:rsidRPr="00C06F2E">
        <w:rPr>
          <w:lang w:val="sk-SK"/>
        </w:rPr>
        <w:t> </w:t>
      </w:r>
      <w:r w:rsidRPr="00C06F2E">
        <w:rPr>
          <w:lang w:val="sk-SK"/>
        </w:rPr>
        <w:t>dní.</w:t>
      </w:r>
    </w:p>
    <w:p w14:paraId="48DAD01E" w14:textId="77777777" w:rsidR="00955C1B" w:rsidRPr="00C06F2E" w:rsidRDefault="00955C1B" w:rsidP="00E60C58">
      <w:pPr>
        <w:suppressAutoHyphens/>
        <w:autoSpaceDE w:val="0"/>
        <w:autoSpaceDN w:val="0"/>
        <w:adjustRightInd w:val="0"/>
        <w:spacing w:after="0"/>
        <w:jc w:val="left"/>
        <w:rPr>
          <w:lang w:val="sk-SK"/>
        </w:rPr>
      </w:pPr>
    </w:p>
    <w:p w14:paraId="57C6477C" w14:textId="6221A671" w:rsidR="007B2947" w:rsidRPr="00C06F2E" w:rsidRDefault="00D03BF6" w:rsidP="00E60C58">
      <w:pPr>
        <w:suppressAutoHyphens/>
        <w:autoSpaceDE w:val="0"/>
        <w:autoSpaceDN w:val="0"/>
        <w:adjustRightInd w:val="0"/>
        <w:spacing w:after="0"/>
        <w:jc w:val="left"/>
        <w:rPr>
          <w:lang w:val="sk-SK"/>
        </w:rPr>
      </w:pPr>
      <w:r w:rsidRPr="00C06F2E">
        <w:rPr>
          <w:lang w:val="sk-SK"/>
        </w:rPr>
        <w:t xml:space="preserve">Vo všeobecnosti sa </w:t>
      </w:r>
      <w:r w:rsidR="006C62EF">
        <w:rPr>
          <w:lang w:val="sk-SK"/>
        </w:rPr>
        <w:t>vyrážka</w:t>
      </w:r>
      <w:r w:rsidRPr="00C06F2E">
        <w:rPr>
          <w:lang w:val="sk-SK"/>
        </w:rPr>
        <w:t xml:space="preserve"> prejavuj</w:t>
      </w:r>
      <w:r w:rsidR="006C62EF">
        <w:rPr>
          <w:lang w:val="sk-SK"/>
        </w:rPr>
        <w:t>e</w:t>
      </w:r>
      <w:r w:rsidRPr="00C06F2E">
        <w:rPr>
          <w:lang w:val="sk-SK"/>
        </w:rPr>
        <w:t xml:space="preserve"> ako mierna až stredne ťažká erymatózna alebo papulopustulárna vyrážka, ktorá sa môže objaviť alebo zhoršiť v oblastiach vystavených slnku. Pacientom, ktorí sú vystavení slnku, sa odporúča ochranné oblečenie a/alebo použitie krémov chrániacich pred slnkom (</w:t>
      </w:r>
      <w:r w:rsidR="009F36FF">
        <w:rPr>
          <w:lang w:val="sk-SK"/>
        </w:rPr>
        <w:t xml:space="preserve">napr. </w:t>
      </w:r>
      <w:r w:rsidRPr="00C06F2E">
        <w:rPr>
          <w:lang w:val="sk-SK"/>
        </w:rPr>
        <w:t>s obsahom minerálov).</w:t>
      </w:r>
    </w:p>
    <w:p w14:paraId="2CF064D0" w14:textId="77777777" w:rsidR="00D03BF6" w:rsidRPr="00C06F2E" w:rsidRDefault="00D03BF6" w:rsidP="00E60C58">
      <w:pPr>
        <w:suppressAutoHyphens/>
        <w:autoSpaceDE w:val="0"/>
        <w:autoSpaceDN w:val="0"/>
        <w:adjustRightInd w:val="0"/>
        <w:spacing w:after="0"/>
        <w:jc w:val="left"/>
        <w:rPr>
          <w:lang w:val="sk-SK"/>
        </w:rPr>
      </w:pPr>
    </w:p>
    <w:p w14:paraId="6CB1536F" w14:textId="17677D6E" w:rsidR="008A2EE7" w:rsidRPr="00C06F2E" w:rsidRDefault="0036244A" w:rsidP="00E60C58">
      <w:pPr>
        <w:suppressAutoHyphens/>
        <w:autoSpaceDE w:val="0"/>
        <w:autoSpaceDN w:val="0"/>
        <w:adjustRightInd w:val="0"/>
        <w:spacing w:after="0"/>
        <w:jc w:val="left"/>
        <w:rPr>
          <w:u w:val="single"/>
          <w:lang w:val="sk-SK"/>
        </w:rPr>
      </w:pPr>
      <w:r w:rsidRPr="00C06F2E">
        <w:rPr>
          <w:u w:val="single"/>
          <w:lang w:val="sk-SK"/>
        </w:rPr>
        <w:t xml:space="preserve">Karcinóm pankreasu </w:t>
      </w:r>
      <w:r w:rsidR="008A2EE7" w:rsidRPr="00C06F2E">
        <w:rPr>
          <w:u w:val="single"/>
          <w:lang w:val="sk-SK"/>
        </w:rPr>
        <w:t xml:space="preserve">(erlotinib </w:t>
      </w:r>
      <w:r w:rsidRPr="00C06F2E">
        <w:rPr>
          <w:u w:val="single"/>
          <w:lang w:val="sk-SK"/>
        </w:rPr>
        <w:t>podávaný súbežne s gemcitabínom</w:t>
      </w:r>
      <w:r w:rsidR="008A2EE7" w:rsidRPr="00C06F2E">
        <w:rPr>
          <w:u w:val="single"/>
          <w:lang w:val="sk-SK"/>
        </w:rPr>
        <w:t>)</w:t>
      </w:r>
    </w:p>
    <w:p w14:paraId="78439B81" w14:textId="0857C7F8" w:rsidR="0036244A" w:rsidRPr="00C06F2E" w:rsidRDefault="0036244A" w:rsidP="00E60C58">
      <w:pPr>
        <w:suppressAutoHyphens/>
        <w:autoSpaceDE w:val="0"/>
        <w:autoSpaceDN w:val="0"/>
        <w:adjustRightInd w:val="0"/>
        <w:spacing w:after="0"/>
        <w:jc w:val="left"/>
        <w:rPr>
          <w:lang w:val="sk-SK"/>
        </w:rPr>
      </w:pPr>
      <w:r w:rsidRPr="00C06F2E">
        <w:rPr>
          <w:lang w:val="sk-SK"/>
        </w:rPr>
        <w:t>Najčastejšie nežiaduce reakcie v pivotnej štúdii PA.3 u pacientov s karcinómom pankreasu, ktorí dostávali erlotinib 100</w:t>
      </w:r>
      <w:r w:rsidR="005F386C" w:rsidRPr="00C06F2E">
        <w:rPr>
          <w:lang w:val="sk-SK"/>
        </w:rPr>
        <w:t> </w:t>
      </w:r>
      <w:r w:rsidRPr="00C06F2E">
        <w:rPr>
          <w:lang w:val="sk-SK"/>
        </w:rPr>
        <w:t xml:space="preserve">mg plus gemcitabín boli únava, vyrážka a hnačka. V ramene liečby erlotinib </w:t>
      </w:r>
      <w:r w:rsidR="005F386C" w:rsidRPr="00C06F2E">
        <w:rPr>
          <w:lang w:val="sk-SK"/>
        </w:rPr>
        <w:t>plus gemcitabín boli u 5 </w:t>
      </w:r>
      <w:r w:rsidRPr="00C06F2E">
        <w:rPr>
          <w:lang w:val="sk-SK"/>
        </w:rPr>
        <w:t>% pacientov hlásené vyrážky 3/4 stupňa a hnačka. Medián času do výskytu vyrážky bol 10</w:t>
      </w:r>
      <w:r w:rsidR="005F386C" w:rsidRPr="00C06F2E">
        <w:rPr>
          <w:lang w:val="sk-SK"/>
        </w:rPr>
        <w:t> </w:t>
      </w:r>
      <w:r w:rsidRPr="00C06F2E">
        <w:rPr>
          <w:lang w:val="sk-SK"/>
        </w:rPr>
        <w:t>dní a do výskytu hnačky 15</w:t>
      </w:r>
      <w:r w:rsidR="005F386C" w:rsidRPr="00C06F2E">
        <w:rPr>
          <w:lang w:val="sk-SK"/>
        </w:rPr>
        <w:t> </w:t>
      </w:r>
      <w:r w:rsidRPr="00C06F2E">
        <w:rPr>
          <w:lang w:val="sk-SK"/>
        </w:rPr>
        <w:t>dní. Vyrážka a hnačka mali za následok zníženie dávky u 2 % pacientov a ukončenie liečby v štúdii do 1 % pacientov, ktorí dostávali erlotinib plus gemcitabín.</w:t>
      </w:r>
    </w:p>
    <w:p w14:paraId="71616345" w14:textId="77777777" w:rsidR="0036244A" w:rsidRPr="00C06F2E" w:rsidRDefault="0036244A" w:rsidP="00E60C58">
      <w:pPr>
        <w:suppressAutoHyphens/>
        <w:autoSpaceDE w:val="0"/>
        <w:autoSpaceDN w:val="0"/>
        <w:adjustRightInd w:val="0"/>
        <w:spacing w:after="0"/>
        <w:jc w:val="left"/>
        <w:rPr>
          <w:lang w:val="sk-SK"/>
        </w:rPr>
      </w:pPr>
    </w:p>
    <w:p w14:paraId="1ED0F6D6" w14:textId="2116DE91" w:rsidR="007B2947" w:rsidRPr="00C06F2E" w:rsidRDefault="00A72B6F" w:rsidP="00E60C58">
      <w:pPr>
        <w:suppressAutoHyphens/>
        <w:autoSpaceDE w:val="0"/>
        <w:autoSpaceDN w:val="0"/>
        <w:adjustRightInd w:val="0"/>
        <w:spacing w:after="0"/>
        <w:ind w:left="1272" w:hanging="1272"/>
        <w:jc w:val="left"/>
        <w:rPr>
          <w:lang w:val="sk-SK"/>
        </w:rPr>
      </w:pPr>
      <w:r w:rsidRPr="00C06F2E">
        <w:rPr>
          <w:lang w:val="sk-SK"/>
        </w:rPr>
        <w:t>Tabuľka</w:t>
      </w:r>
      <w:r w:rsidR="007B2947" w:rsidRPr="00C06F2E">
        <w:rPr>
          <w:lang w:val="sk-SK"/>
        </w:rPr>
        <w:t xml:space="preserve"> 1: </w:t>
      </w:r>
      <w:r w:rsidR="008A2EE7" w:rsidRPr="00C06F2E">
        <w:rPr>
          <w:lang w:val="sk-SK"/>
        </w:rPr>
        <w:tab/>
      </w:r>
      <w:r w:rsidRPr="00C06F2E">
        <w:rPr>
          <w:lang w:val="sk-SK"/>
        </w:rPr>
        <w:t>ADR vyskytujúce sa u ≥</w:t>
      </w:r>
      <w:r w:rsidR="005F386C" w:rsidRPr="00C06F2E">
        <w:rPr>
          <w:lang w:val="sk-SK"/>
        </w:rPr>
        <w:t> </w:t>
      </w:r>
      <w:r w:rsidRPr="00C06F2E">
        <w:rPr>
          <w:lang w:val="sk-SK"/>
        </w:rPr>
        <w:t>10</w:t>
      </w:r>
      <w:r w:rsidR="005F386C" w:rsidRPr="00C06F2E">
        <w:rPr>
          <w:lang w:val="sk-SK"/>
        </w:rPr>
        <w:t> </w:t>
      </w:r>
      <w:r w:rsidRPr="00C06F2E">
        <w:rPr>
          <w:lang w:val="sk-SK"/>
        </w:rPr>
        <w:t>% pacientov v štúdiách BR.21 (liečených erlotinibom) a PA.3 (liečených erlotinibom plus gemcitabínom) a ADR vyskytujúce sa častejšie (≥</w:t>
      </w:r>
      <w:r w:rsidR="005F386C" w:rsidRPr="00C06F2E">
        <w:rPr>
          <w:lang w:val="sk-SK"/>
        </w:rPr>
        <w:t> </w:t>
      </w:r>
      <w:r w:rsidRPr="00C06F2E">
        <w:rPr>
          <w:lang w:val="sk-SK"/>
        </w:rPr>
        <w:t>3</w:t>
      </w:r>
      <w:r w:rsidR="005F386C" w:rsidRPr="00C06F2E">
        <w:rPr>
          <w:lang w:val="sk-SK"/>
        </w:rPr>
        <w:t> </w:t>
      </w:r>
      <w:r w:rsidRPr="00C06F2E">
        <w:rPr>
          <w:lang w:val="sk-SK"/>
        </w:rPr>
        <w:t>%) ako pri placebe v štúdiách BR. 21 (liečených erlotinibom) a PA.3 (liečba erlotinib plus gemcitabín)</w:t>
      </w:r>
    </w:p>
    <w:p w14:paraId="19D0ECF7" w14:textId="77777777" w:rsidR="00A72B6F" w:rsidRPr="00C06F2E" w:rsidRDefault="00A72B6F" w:rsidP="0028022E">
      <w:pPr>
        <w:suppressAutoHyphens/>
        <w:autoSpaceDE w:val="0"/>
        <w:autoSpaceDN w:val="0"/>
        <w:adjustRightInd w:val="0"/>
        <w:spacing w:after="0"/>
        <w:ind w:left="1272" w:hanging="1272"/>
        <w:rPr>
          <w:lang w:val="sk-SK"/>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78"/>
        <w:gridCol w:w="1069"/>
        <w:gridCol w:w="709"/>
        <w:gridCol w:w="564"/>
        <w:gridCol w:w="1279"/>
        <w:gridCol w:w="567"/>
        <w:gridCol w:w="635"/>
        <w:gridCol w:w="1559"/>
      </w:tblGrid>
      <w:tr w:rsidR="009F36FF" w:rsidRPr="00C06F2E" w14:paraId="7EF52357" w14:textId="77777777" w:rsidTr="00717310">
        <w:trPr>
          <w:jc w:val="center"/>
        </w:trPr>
        <w:tc>
          <w:tcPr>
            <w:tcW w:w="3678" w:type="dxa"/>
          </w:tcPr>
          <w:p w14:paraId="519A37E6" w14:textId="77777777" w:rsidR="009F36FF" w:rsidRPr="00C06F2E" w:rsidRDefault="009F36FF" w:rsidP="0028022E">
            <w:pPr>
              <w:suppressAutoHyphens/>
              <w:autoSpaceDE w:val="0"/>
              <w:autoSpaceDN w:val="0"/>
              <w:adjustRightInd w:val="0"/>
              <w:spacing w:after="0"/>
              <w:rPr>
                <w:lang w:val="sk-SK"/>
              </w:rPr>
            </w:pPr>
          </w:p>
        </w:tc>
        <w:tc>
          <w:tcPr>
            <w:tcW w:w="2342" w:type="dxa"/>
            <w:gridSpan w:val="3"/>
          </w:tcPr>
          <w:p w14:paraId="245F4953" w14:textId="5CE9EA7D" w:rsidR="009F36FF" w:rsidRPr="00C06F2E" w:rsidRDefault="009F36FF" w:rsidP="0028022E">
            <w:pPr>
              <w:suppressAutoHyphens/>
              <w:autoSpaceDE w:val="0"/>
              <w:autoSpaceDN w:val="0"/>
              <w:adjustRightInd w:val="0"/>
              <w:spacing w:after="0"/>
              <w:jc w:val="center"/>
              <w:rPr>
                <w:b/>
              </w:rPr>
            </w:pPr>
            <w:r w:rsidRPr="00C06F2E">
              <w:rPr>
                <w:b/>
              </w:rPr>
              <w:t>Erlotinib (BR.21)</w:t>
            </w:r>
          </w:p>
          <w:p w14:paraId="768CB5AA" w14:textId="77777777" w:rsidR="009F36FF" w:rsidRPr="00C06F2E" w:rsidRDefault="009F36FF" w:rsidP="0028022E">
            <w:pPr>
              <w:suppressAutoHyphens/>
              <w:autoSpaceDE w:val="0"/>
              <w:autoSpaceDN w:val="0"/>
              <w:adjustRightInd w:val="0"/>
              <w:spacing w:after="0"/>
              <w:jc w:val="center"/>
              <w:rPr>
                <w:b/>
              </w:rPr>
            </w:pPr>
            <w:r w:rsidRPr="00C06F2E">
              <w:rPr>
                <w:b/>
              </w:rPr>
              <w:t>N = 485</w:t>
            </w:r>
          </w:p>
        </w:tc>
        <w:tc>
          <w:tcPr>
            <w:tcW w:w="2481" w:type="dxa"/>
            <w:gridSpan w:val="3"/>
          </w:tcPr>
          <w:p w14:paraId="0F2223A9" w14:textId="147058BF" w:rsidR="009F36FF" w:rsidRPr="00C06F2E" w:rsidRDefault="009F36FF" w:rsidP="0028022E">
            <w:pPr>
              <w:suppressAutoHyphens/>
              <w:autoSpaceDE w:val="0"/>
              <w:autoSpaceDN w:val="0"/>
              <w:adjustRightInd w:val="0"/>
              <w:spacing w:after="0"/>
              <w:jc w:val="center"/>
              <w:rPr>
                <w:b/>
              </w:rPr>
            </w:pPr>
            <w:r w:rsidRPr="00C06F2E">
              <w:rPr>
                <w:b/>
              </w:rPr>
              <w:t xml:space="preserve">Erlotinib </w:t>
            </w:r>
          </w:p>
          <w:p w14:paraId="2BBEC943" w14:textId="74823A15" w:rsidR="009F36FF" w:rsidRPr="00C06F2E" w:rsidRDefault="009F36FF" w:rsidP="0028022E">
            <w:pPr>
              <w:suppressAutoHyphens/>
              <w:autoSpaceDE w:val="0"/>
              <w:autoSpaceDN w:val="0"/>
              <w:adjustRightInd w:val="0"/>
              <w:spacing w:after="0"/>
              <w:jc w:val="center"/>
              <w:rPr>
                <w:b/>
              </w:rPr>
            </w:pPr>
            <w:r w:rsidRPr="00C06F2E">
              <w:rPr>
                <w:b/>
              </w:rPr>
              <w:t>N = 259</w:t>
            </w:r>
          </w:p>
        </w:tc>
        <w:tc>
          <w:tcPr>
            <w:tcW w:w="1559" w:type="dxa"/>
            <w:vMerge w:val="restart"/>
          </w:tcPr>
          <w:p w14:paraId="513BD206" w14:textId="268C11E9" w:rsidR="009F36FF" w:rsidRPr="00C06F2E" w:rsidRDefault="009F36FF" w:rsidP="0028022E">
            <w:pPr>
              <w:suppressAutoHyphens/>
              <w:autoSpaceDE w:val="0"/>
              <w:autoSpaceDN w:val="0"/>
              <w:adjustRightInd w:val="0"/>
              <w:spacing w:after="0"/>
              <w:jc w:val="center"/>
              <w:rPr>
                <w:b/>
              </w:rPr>
            </w:pPr>
            <w:r w:rsidRPr="00C06F2E">
              <w:rPr>
                <w:b/>
              </w:rPr>
              <w:t>Kategória frekvencie najv</w:t>
            </w:r>
            <w:r w:rsidR="005A4979">
              <w:rPr>
                <w:b/>
              </w:rPr>
              <w:t>y</w:t>
            </w:r>
            <w:r w:rsidRPr="00C06F2E">
              <w:rPr>
                <w:b/>
              </w:rPr>
              <w:t>ššieho výskytu</w:t>
            </w:r>
          </w:p>
        </w:tc>
      </w:tr>
      <w:tr w:rsidR="009F36FF" w:rsidRPr="00C06F2E" w14:paraId="1B94474B" w14:textId="77777777" w:rsidTr="00717310">
        <w:trPr>
          <w:jc w:val="center"/>
        </w:trPr>
        <w:tc>
          <w:tcPr>
            <w:tcW w:w="3678" w:type="dxa"/>
          </w:tcPr>
          <w:p w14:paraId="74D6BECE" w14:textId="18BEE07A" w:rsidR="009F36FF" w:rsidRPr="00C06F2E" w:rsidRDefault="009F36FF" w:rsidP="0028022E">
            <w:pPr>
              <w:suppressAutoHyphens/>
              <w:autoSpaceDE w:val="0"/>
              <w:autoSpaceDN w:val="0"/>
              <w:adjustRightInd w:val="0"/>
              <w:spacing w:after="0"/>
              <w:jc w:val="left"/>
              <w:rPr>
                <w:b/>
              </w:rPr>
            </w:pPr>
            <w:r w:rsidRPr="00C06F2E">
              <w:rPr>
                <w:b/>
              </w:rPr>
              <w:t>Stupeň podľa NCI-CTC</w:t>
            </w:r>
          </w:p>
        </w:tc>
        <w:tc>
          <w:tcPr>
            <w:tcW w:w="1069" w:type="dxa"/>
          </w:tcPr>
          <w:p w14:paraId="6D62E45D" w14:textId="08B917FE" w:rsidR="009F36FF" w:rsidRPr="00C06F2E" w:rsidRDefault="009F36FF" w:rsidP="0028022E">
            <w:pPr>
              <w:suppressAutoHyphens/>
              <w:autoSpaceDE w:val="0"/>
              <w:autoSpaceDN w:val="0"/>
              <w:adjustRightInd w:val="0"/>
              <w:spacing w:after="0"/>
              <w:jc w:val="center"/>
              <w:rPr>
                <w:b/>
              </w:rPr>
            </w:pPr>
            <w:r w:rsidRPr="00C06F2E">
              <w:rPr>
                <w:b/>
              </w:rPr>
              <w:t>Aký-koľvek stupeň</w:t>
            </w:r>
          </w:p>
        </w:tc>
        <w:tc>
          <w:tcPr>
            <w:tcW w:w="709" w:type="dxa"/>
          </w:tcPr>
          <w:p w14:paraId="05DFA379" w14:textId="3FDA26EB" w:rsidR="009F36FF" w:rsidRPr="00C06F2E" w:rsidRDefault="009F36FF" w:rsidP="0028022E">
            <w:pPr>
              <w:suppressAutoHyphens/>
              <w:autoSpaceDE w:val="0"/>
              <w:autoSpaceDN w:val="0"/>
              <w:adjustRightInd w:val="0"/>
              <w:spacing w:after="0"/>
              <w:jc w:val="center"/>
              <w:rPr>
                <w:b/>
              </w:rPr>
            </w:pPr>
            <w:r w:rsidRPr="00C06F2E">
              <w:rPr>
                <w:b/>
              </w:rPr>
              <w:t>3</w:t>
            </w:r>
          </w:p>
        </w:tc>
        <w:tc>
          <w:tcPr>
            <w:tcW w:w="564" w:type="dxa"/>
          </w:tcPr>
          <w:p w14:paraId="6F8F0AC8" w14:textId="2F13CF54" w:rsidR="009F36FF" w:rsidRPr="00C06F2E" w:rsidRDefault="009F36FF" w:rsidP="0028022E">
            <w:pPr>
              <w:suppressAutoHyphens/>
              <w:autoSpaceDE w:val="0"/>
              <w:autoSpaceDN w:val="0"/>
              <w:adjustRightInd w:val="0"/>
              <w:spacing w:after="0"/>
              <w:jc w:val="center"/>
              <w:rPr>
                <w:b/>
              </w:rPr>
            </w:pPr>
            <w:r w:rsidRPr="00C06F2E">
              <w:rPr>
                <w:b/>
              </w:rPr>
              <w:t>4</w:t>
            </w:r>
          </w:p>
        </w:tc>
        <w:tc>
          <w:tcPr>
            <w:tcW w:w="1279" w:type="dxa"/>
          </w:tcPr>
          <w:p w14:paraId="5D9D92D7" w14:textId="260587B5" w:rsidR="009F36FF" w:rsidRPr="00C06F2E" w:rsidRDefault="009F36FF" w:rsidP="0028022E">
            <w:pPr>
              <w:suppressAutoHyphens/>
              <w:autoSpaceDE w:val="0"/>
              <w:autoSpaceDN w:val="0"/>
              <w:adjustRightInd w:val="0"/>
              <w:spacing w:after="0"/>
              <w:jc w:val="center"/>
              <w:rPr>
                <w:b/>
              </w:rPr>
            </w:pPr>
            <w:r w:rsidRPr="00C06F2E">
              <w:rPr>
                <w:b/>
              </w:rPr>
              <w:t>Aký-koľvek stupeň</w:t>
            </w:r>
          </w:p>
        </w:tc>
        <w:tc>
          <w:tcPr>
            <w:tcW w:w="567" w:type="dxa"/>
          </w:tcPr>
          <w:p w14:paraId="01172970" w14:textId="3D33FB74" w:rsidR="009F36FF" w:rsidRPr="00C06F2E" w:rsidRDefault="009F36FF" w:rsidP="0028022E">
            <w:pPr>
              <w:suppressAutoHyphens/>
              <w:autoSpaceDE w:val="0"/>
              <w:autoSpaceDN w:val="0"/>
              <w:adjustRightInd w:val="0"/>
              <w:spacing w:after="0"/>
              <w:jc w:val="center"/>
              <w:rPr>
                <w:b/>
              </w:rPr>
            </w:pPr>
            <w:r w:rsidRPr="00C06F2E">
              <w:rPr>
                <w:b/>
              </w:rPr>
              <w:t>3</w:t>
            </w:r>
          </w:p>
        </w:tc>
        <w:tc>
          <w:tcPr>
            <w:tcW w:w="635" w:type="dxa"/>
          </w:tcPr>
          <w:p w14:paraId="709D4D4E" w14:textId="0E425CAC" w:rsidR="009F36FF" w:rsidRPr="00C06F2E" w:rsidRDefault="009F36FF" w:rsidP="0028022E">
            <w:pPr>
              <w:suppressAutoHyphens/>
              <w:autoSpaceDE w:val="0"/>
              <w:autoSpaceDN w:val="0"/>
              <w:adjustRightInd w:val="0"/>
              <w:spacing w:after="0"/>
              <w:jc w:val="center"/>
              <w:rPr>
                <w:b/>
              </w:rPr>
            </w:pPr>
            <w:r w:rsidRPr="00C06F2E">
              <w:rPr>
                <w:b/>
              </w:rPr>
              <w:t>4</w:t>
            </w:r>
          </w:p>
        </w:tc>
        <w:tc>
          <w:tcPr>
            <w:tcW w:w="1559" w:type="dxa"/>
            <w:vMerge/>
          </w:tcPr>
          <w:p w14:paraId="5DAB9C33" w14:textId="77777777" w:rsidR="009F36FF" w:rsidRPr="00C06F2E" w:rsidRDefault="009F36FF" w:rsidP="0028022E">
            <w:pPr>
              <w:suppressAutoHyphens/>
              <w:autoSpaceDE w:val="0"/>
              <w:autoSpaceDN w:val="0"/>
              <w:adjustRightInd w:val="0"/>
              <w:spacing w:after="0"/>
              <w:jc w:val="center"/>
              <w:rPr>
                <w:b/>
              </w:rPr>
            </w:pPr>
          </w:p>
        </w:tc>
      </w:tr>
      <w:tr w:rsidR="009F36FF" w:rsidRPr="00C06F2E" w14:paraId="09A632CE" w14:textId="77777777" w:rsidTr="00717310">
        <w:trPr>
          <w:jc w:val="center"/>
        </w:trPr>
        <w:tc>
          <w:tcPr>
            <w:tcW w:w="3678" w:type="dxa"/>
          </w:tcPr>
          <w:p w14:paraId="1121E8C7" w14:textId="64F67C76" w:rsidR="009F36FF" w:rsidRPr="00C06F2E" w:rsidRDefault="009F36FF" w:rsidP="0028022E">
            <w:pPr>
              <w:suppressAutoHyphens/>
              <w:autoSpaceDE w:val="0"/>
              <w:autoSpaceDN w:val="0"/>
              <w:adjustRightInd w:val="0"/>
              <w:spacing w:after="0"/>
              <w:jc w:val="left"/>
              <w:rPr>
                <w:b/>
              </w:rPr>
            </w:pPr>
            <w:r w:rsidRPr="00C06F2E">
              <w:rPr>
                <w:b/>
              </w:rPr>
              <w:t xml:space="preserve">Preferovnané pomenovanie podľa MedDRA </w:t>
            </w:r>
          </w:p>
        </w:tc>
        <w:tc>
          <w:tcPr>
            <w:tcW w:w="1069" w:type="dxa"/>
          </w:tcPr>
          <w:p w14:paraId="5CEBD93B" w14:textId="77777777" w:rsidR="009F36FF" w:rsidRPr="00C06F2E" w:rsidRDefault="009F36FF" w:rsidP="0028022E">
            <w:pPr>
              <w:suppressAutoHyphens/>
              <w:autoSpaceDE w:val="0"/>
              <w:autoSpaceDN w:val="0"/>
              <w:adjustRightInd w:val="0"/>
              <w:spacing w:after="0"/>
              <w:jc w:val="center"/>
              <w:rPr>
                <w:b/>
              </w:rPr>
            </w:pPr>
            <w:r w:rsidRPr="00C06F2E">
              <w:rPr>
                <w:b/>
              </w:rPr>
              <w:t>%</w:t>
            </w:r>
          </w:p>
        </w:tc>
        <w:tc>
          <w:tcPr>
            <w:tcW w:w="709" w:type="dxa"/>
          </w:tcPr>
          <w:p w14:paraId="5EF99C73" w14:textId="77777777" w:rsidR="009F36FF" w:rsidRPr="00C06F2E" w:rsidRDefault="009F36FF" w:rsidP="0028022E">
            <w:pPr>
              <w:suppressAutoHyphens/>
              <w:autoSpaceDE w:val="0"/>
              <w:autoSpaceDN w:val="0"/>
              <w:adjustRightInd w:val="0"/>
              <w:spacing w:after="0"/>
              <w:jc w:val="center"/>
              <w:rPr>
                <w:b/>
              </w:rPr>
            </w:pPr>
            <w:r w:rsidRPr="00C06F2E">
              <w:rPr>
                <w:b/>
              </w:rPr>
              <w:t>%</w:t>
            </w:r>
          </w:p>
        </w:tc>
        <w:tc>
          <w:tcPr>
            <w:tcW w:w="564" w:type="dxa"/>
          </w:tcPr>
          <w:p w14:paraId="28F3D6D3" w14:textId="77777777" w:rsidR="009F36FF" w:rsidRPr="00C06F2E" w:rsidRDefault="009F36FF" w:rsidP="0028022E">
            <w:pPr>
              <w:suppressAutoHyphens/>
              <w:autoSpaceDE w:val="0"/>
              <w:autoSpaceDN w:val="0"/>
              <w:adjustRightInd w:val="0"/>
              <w:spacing w:after="0"/>
              <w:jc w:val="center"/>
              <w:rPr>
                <w:b/>
              </w:rPr>
            </w:pPr>
            <w:r w:rsidRPr="00C06F2E">
              <w:rPr>
                <w:b/>
              </w:rPr>
              <w:t>%</w:t>
            </w:r>
          </w:p>
        </w:tc>
        <w:tc>
          <w:tcPr>
            <w:tcW w:w="1279" w:type="dxa"/>
          </w:tcPr>
          <w:p w14:paraId="2D851779" w14:textId="77777777" w:rsidR="009F36FF" w:rsidRPr="00C06F2E" w:rsidRDefault="009F36FF" w:rsidP="0028022E">
            <w:pPr>
              <w:suppressAutoHyphens/>
              <w:autoSpaceDE w:val="0"/>
              <w:autoSpaceDN w:val="0"/>
              <w:adjustRightInd w:val="0"/>
              <w:spacing w:after="0"/>
              <w:jc w:val="center"/>
              <w:rPr>
                <w:b/>
              </w:rPr>
            </w:pPr>
            <w:r w:rsidRPr="00C06F2E">
              <w:rPr>
                <w:b/>
              </w:rPr>
              <w:t>%</w:t>
            </w:r>
          </w:p>
        </w:tc>
        <w:tc>
          <w:tcPr>
            <w:tcW w:w="567" w:type="dxa"/>
          </w:tcPr>
          <w:p w14:paraId="65E246FC" w14:textId="77777777" w:rsidR="009F36FF" w:rsidRPr="00C06F2E" w:rsidRDefault="009F36FF" w:rsidP="0028022E">
            <w:pPr>
              <w:suppressAutoHyphens/>
              <w:autoSpaceDE w:val="0"/>
              <w:autoSpaceDN w:val="0"/>
              <w:adjustRightInd w:val="0"/>
              <w:spacing w:after="0"/>
              <w:jc w:val="center"/>
              <w:rPr>
                <w:b/>
              </w:rPr>
            </w:pPr>
            <w:r w:rsidRPr="00C06F2E">
              <w:rPr>
                <w:b/>
              </w:rPr>
              <w:t>%</w:t>
            </w:r>
          </w:p>
        </w:tc>
        <w:tc>
          <w:tcPr>
            <w:tcW w:w="635" w:type="dxa"/>
          </w:tcPr>
          <w:p w14:paraId="34CA1D12" w14:textId="77777777" w:rsidR="009F36FF" w:rsidRPr="00C06F2E" w:rsidRDefault="009F36FF" w:rsidP="0028022E">
            <w:pPr>
              <w:suppressAutoHyphens/>
              <w:autoSpaceDE w:val="0"/>
              <w:autoSpaceDN w:val="0"/>
              <w:adjustRightInd w:val="0"/>
              <w:spacing w:after="0"/>
              <w:jc w:val="center"/>
              <w:rPr>
                <w:b/>
              </w:rPr>
            </w:pPr>
            <w:r w:rsidRPr="00C06F2E">
              <w:rPr>
                <w:b/>
              </w:rPr>
              <w:t>%</w:t>
            </w:r>
          </w:p>
        </w:tc>
        <w:tc>
          <w:tcPr>
            <w:tcW w:w="1559" w:type="dxa"/>
            <w:vMerge/>
          </w:tcPr>
          <w:p w14:paraId="48CA081E" w14:textId="77777777" w:rsidR="009F36FF" w:rsidRPr="00C06F2E" w:rsidRDefault="009F36FF" w:rsidP="0028022E">
            <w:pPr>
              <w:suppressAutoHyphens/>
              <w:autoSpaceDE w:val="0"/>
              <w:autoSpaceDN w:val="0"/>
              <w:adjustRightInd w:val="0"/>
              <w:spacing w:after="0"/>
              <w:jc w:val="center"/>
              <w:rPr>
                <w:b/>
              </w:rPr>
            </w:pPr>
          </w:p>
        </w:tc>
      </w:tr>
      <w:tr w:rsidR="00DC360C" w:rsidRPr="00C06F2E" w14:paraId="5B0BB5EA" w14:textId="77777777" w:rsidTr="00717310">
        <w:trPr>
          <w:jc w:val="center"/>
        </w:trPr>
        <w:tc>
          <w:tcPr>
            <w:tcW w:w="3678" w:type="dxa"/>
          </w:tcPr>
          <w:p w14:paraId="34A2B093" w14:textId="555F1C38" w:rsidR="007370C6" w:rsidRPr="00C06F2E" w:rsidRDefault="00D91E30" w:rsidP="0028022E">
            <w:pPr>
              <w:suppressAutoHyphens/>
              <w:autoSpaceDE w:val="0"/>
              <w:autoSpaceDN w:val="0"/>
              <w:adjustRightInd w:val="0"/>
              <w:spacing w:after="0"/>
              <w:rPr>
                <w:i/>
              </w:rPr>
            </w:pPr>
            <w:r w:rsidRPr="00C06F2E">
              <w:rPr>
                <w:i/>
              </w:rPr>
              <w:t>Infekcie a nákazy</w:t>
            </w:r>
          </w:p>
          <w:p w14:paraId="605CCBD8" w14:textId="6E70FAB7" w:rsidR="007370C6" w:rsidRPr="00C06F2E" w:rsidRDefault="007370C6" w:rsidP="0028022E">
            <w:pPr>
              <w:suppressAutoHyphens/>
              <w:autoSpaceDE w:val="0"/>
              <w:autoSpaceDN w:val="0"/>
              <w:adjustRightInd w:val="0"/>
              <w:spacing w:after="0"/>
              <w:ind w:firstLine="600"/>
            </w:pPr>
            <w:r w:rsidRPr="00C06F2E">
              <w:t>Infe</w:t>
            </w:r>
            <w:r w:rsidR="00D91E30" w:rsidRPr="00C06F2E">
              <w:t>kcia</w:t>
            </w:r>
            <w:r w:rsidRPr="00C06F2E">
              <w:t>*</w:t>
            </w:r>
          </w:p>
        </w:tc>
        <w:tc>
          <w:tcPr>
            <w:tcW w:w="1069" w:type="dxa"/>
          </w:tcPr>
          <w:p w14:paraId="63051281" w14:textId="77777777" w:rsidR="007370C6" w:rsidRPr="00C06F2E" w:rsidRDefault="007370C6" w:rsidP="0028022E">
            <w:pPr>
              <w:suppressAutoHyphens/>
              <w:autoSpaceDE w:val="0"/>
              <w:autoSpaceDN w:val="0"/>
              <w:adjustRightInd w:val="0"/>
              <w:spacing w:after="0"/>
              <w:jc w:val="center"/>
            </w:pPr>
          </w:p>
          <w:p w14:paraId="54A3D46D" w14:textId="77777777" w:rsidR="007370C6" w:rsidRPr="00C06F2E" w:rsidRDefault="007370C6" w:rsidP="0028022E">
            <w:pPr>
              <w:suppressAutoHyphens/>
              <w:autoSpaceDE w:val="0"/>
              <w:autoSpaceDN w:val="0"/>
              <w:adjustRightInd w:val="0"/>
              <w:spacing w:after="0"/>
              <w:jc w:val="center"/>
            </w:pPr>
            <w:r w:rsidRPr="00C06F2E">
              <w:t>24</w:t>
            </w:r>
          </w:p>
        </w:tc>
        <w:tc>
          <w:tcPr>
            <w:tcW w:w="709" w:type="dxa"/>
          </w:tcPr>
          <w:p w14:paraId="2C193337" w14:textId="77777777" w:rsidR="007370C6" w:rsidRPr="00C06F2E" w:rsidRDefault="007370C6" w:rsidP="0028022E">
            <w:pPr>
              <w:suppressAutoHyphens/>
              <w:autoSpaceDE w:val="0"/>
              <w:autoSpaceDN w:val="0"/>
              <w:adjustRightInd w:val="0"/>
              <w:spacing w:after="0"/>
              <w:jc w:val="center"/>
            </w:pPr>
          </w:p>
          <w:p w14:paraId="5DCE81BF" w14:textId="77777777" w:rsidR="007370C6" w:rsidRPr="00C06F2E" w:rsidRDefault="007370C6" w:rsidP="0028022E">
            <w:pPr>
              <w:suppressAutoHyphens/>
              <w:autoSpaceDE w:val="0"/>
              <w:autoSpaceDN w:val="0"/>
              <w:adjustRightInd w:val="0"/>
              <w:spacing w:after="0"/>
              <w:jc w:val="center"/>
            </w:pPr>
            <w:r w:rsidRPr="00C06F2E">
              <w:t>4</w:t>
            </w:r>
          </w:p>
        </w:tc>
        <w:tc>
          <w:tcPr>
            <w:tcW w:w="564" w:type="dxa"/>
          </w:tcPr>
          <w:p w14:paraId="56546223" w14:textId="77777777" w:rsidR="007370C6" w:rsidRPr="00C06F2E" w:rsidRDefault="007370C6" w:rsidP="0028022E">
            <w:pPr>
              <w:suppressAutoHyphens/>
              <w:autoSpaceDE w:val="0"/>
              <w:autoSpaceDN w:val="0"/>
              <w:adjustRightInd w:val="0"/>
              <w:spacing w:after="0"/>
              <w:jc w:val="center"/>
            </w:pPr>
          </w:p>
          <w:p w14:paraId="7E45CC2D" w14:textId="77777777" w:rsidR="007370C6" w:rsidRPr="00C06F2E" w:rsidRDefault="007370C6" w:rsidP="0028022E">
            <w:pPr>
              <w:suppressAutoHyphens/>
              <w:autoSpaceDE w:val="0"/>
              <w:autoSpaceDN w:val="0"/>
              <w:adjustRightInd w:val="0"/>
              <w:spacing w:after="0"/>
              <w:jc w:val="center"/>
            </w:pPr>
            <w:r w:rsidRPr="00C06F2E">
              <w:t>0</w:t>
            </w:r>
          </w:p>
        </w:tc>
        <w:tc>
          <w:tcPr>
            <w:tcW w:w="1279" w:type="dxa"/>
          </w:tcPr>
          <w:p w14:paraId="56B6D707" w14:textId="77777777" w:rsidR="007370C6" w:rsidRPr="00C06F2E" w:rsidRDefault="007370C6" w:rsidP="0028022E">
            <w:pPr>
              <w:suppressAutoHyphens/>
              <w:autoSpaceDE w:val="0"/>
              <w:autoSpaceDN w:val="0"/>
              <w:adjustRightInd w:val="0"/>
              <w:spacing w:after="0"/>
              <w:jc w:val="center"/>
            </w:pPr>
          </w:p>
          <w:p w14:paraId="3F640AF9" w14:textId="42FB319D" w:rsidR="007370C6" w:rsidRPr="00C06F2E" w:rsidRDefault="007370C6" w:rsidP="0028022E">
            <w:pPr>
              <w:suppressAutoHyphens/>
              <w:autoSpaceDE w:val="0"/>
              <w:autoSpaceDN w:val="0"/>
              <w:adjustRightInd w:val="0"/>
              <w:spacing w:after="0"/>
              <w:jc w:val="center"/>
            </w:pPr>
            <w:r w:rsidRPr="00C06F2E">
              <w:t>31</w:t>
            </w:r>
          </w:p>
        </w:tc>
        <w:tc>
          <w:tcPr>
            <w:tcW w:w="567" w:type="dxa"/>
          </w:tcPr>
          <w:p w14:paraId="7C05CDB7" w14:textId="77777777" w:rsidR="007370C6" w:rsidRPr="00C06F2E" w:rsidRDefault="007370C6" w:rsidP="0028022E">
            <w:pPr>
              <w:suppressAutoHyphens/>
              <w:autoSpaceDE w:val="0"/>
              <w:autoSpaceDN w:val="0"/>
              <w:adjustRightInd w:val="0"/>
              <w:spacing w:after="0"/>
              <w:jc w:val="center"/>
            </w:pPr>
          </w:p>
          <w:p w14:paraId="05B1EED4" w14:textId="39AB22C9" w:rsidR="007370C6" w:rsidRPr="00C06F2E" w:rsidRDefault="007370C6" w:rsidP="0028022E">
            <w:pPr>
              <w:suppressAutoHyphens/>
              <w:autoSpaceDE w:val="0"/>
              <w:autoSpaceDN w:val="0"/>
              <w:adjustRightInd w:val="0"/>
              <w:spacing w:after="0"/>
              <w:jc w:val="center"/>
            </w:pPr>
            <w:r w:rsidRPr="00C06F2E">
              <w:t>3</w:t>
            </w:r>
          </w:p>
        </w:tc>
        <w:tc>
          <w:tcPr>
            <w:tcW w:w="635" w:type="dxa"/>
          </w:tcPr>
          <w:p w14:paraId="1623EC8C" w14:textId="77777777" w:rsidR="007370C6" w:rsidRPr="00C06F2E" w:rsidRDefault="007370C6" w:rsidP="0028022E">
            <w:pPr>
              <w:suppressAutoHyphens/>
              <w:autoSpaceDE w:val="0"/>
              <w:autoSpaceDN w:val="0"/>
              <w:adjustRightInd w:val="0"/>
              <w:spacing w:after="0"/>
              <w:jc w:val="center"/>
            </w:pPr>
          </w:p>
          <w:p w14:paraId="7B366CCE" w14:textId="75624F2F" w:rsidR="007370C6" w:rsidRPr="00C06F2E" w:rsidRDefault="007370C6" w:rsidP="0028022E">
            <w:pPr>
              <w:suppressAutoHyphens/>
              <w:autoSpaceDE w:val="0"/>
              <w:autoSpaceDN w:val="0"/>
              <w:adjustRightInd w:val="0"/>
              <w:spacing w:after="0"/>
              <w:jc w:val="center"/>
            </w:pPr>
            <w:r w:rsidRPr="00C06F2E">
              <w:t>&lt; 1</w:t>
            </w:r>
          </w:p>
        </w:tc>
        <w:tc>
          <w:tcPr>
            <w:tcW w:w="1559" w:type="dxa"/>
          </w:tcPr>
          <w:p w14:paraId="71F912A5" w14:textId="77777777" w:rsidR="007370C6" w:rsidRPr="00C06F2E" w:rsidRDefault="007370C6" w:rsidP="0028022E">
            <w:pPr>
              <w:suppressAutoHyphens/>
              <w:autoSpaceDE w:val="0"/>
              <w:autoSpaceDN w:val="0"/>
              <w:adjustRightInd w:val="0"/>
              <w:spacing w:after="0"/>
              <w:jc w:val="center"/>
            </w:pPr>
          </w:p>
          <w:p w14:paraId="7B4D2EDC" w14:textId="75BA1F8C" w:rsidR="007370C6" w:rsidRPr="00C06F2E" w:rsidRDefault="00D91E30" w:rsidP="0028022E">
            <w:pPr>
              <w:suppressAutoHyphens/>
              <w:autoSpaceDE w:val="0"/>
              <w:autoSpaceDN w:val="0"/>
              <w:adjustRightInd w:val="0"/>
              <w:spacing w:after="0"/>
              <w:jc w:val="center"/>
            </w:pPr>
            <w:r w:rsidRPr="00C06F2E">
              <w:t>veľmi časté</w:t>
            </w:r>
          </w:p>
        </w:tc>
      </w:tr>
      <w:tr w:rsidR="00DC360C" w:rsidRPr="00C06F2E" w14:paraId="498D8E23" w14:textId="77777777" w:rsidTr="00717310">
        <w:trPr>
          <w:jc w:val="center"/>
        </w:trPr>
        <w:tc>
          <w:tcPr>
            <w:tcW w:w="3678" w:type="dxa"/>
          </w:tcPr>
          <w:p w14:paraId="6B4EC5EB" w14:textId="74C8BB64" w:rsidR="007370C6" w:rsidRPr="00C06F2E" w:rsidRDefault="00D91E30" w:rsidP="0028022E">
            <w:pPr>
              <w:suppressAutoHyphens/>
              <w:autoSpaceDE w:val="0"/>
              <w:autoSpaceDN w:val="0"/>
              <w:adjustRightInd w:val="0"/>
              <w:spacing w:after="0"/>
              <w:jc w:val="left"/>
              <w:rPr>
                <w:i/>
              </w:rPr>
            </w:pPr>
            <w:r w:rsidRPr="00C06F2E">
              <w:rPr>
                <w:i/>
              </w:rPr>
              <w:t>Poruchy metabolizmu a výživy</w:t>
            </w:r>
          </w:p>
          <w:p w14:paraId="480BC880" w14:textId="77777777" w:rsidR="007370C6" w:rsidRPr="00C06F2E" w:rsidRDefault="007370C6" w:rsidP="0028022E">
            <w:pPr>
              <w:suppressAutoHyphens/>
              <w:autoSpaceDE w:val="0"/>
              <w:autoSpaceDN w:val="0"/>
              <w:adjustRightInd w:val="0"/>
              <w:spacing w:after="0"/>
              <w:ind w:firstLine="601"/>
              <w:jc w:val="left"/>
            </w:pPr>
            <w:r w:rsidRPr="00C06F2E">
              <w:t>Anorexia</w:t>
            </w:r>
          </w:p>
          <w:p w14:paraId="0717A15B" w14:textId="6226A4C8" w:rsidR="007370C6" w:rsidRPr="00C06F2E" w:rsidRDefault="00D91E30" w:rsidP="0028022E">
            <w:pPr>
              <w:suppressAutoHyphens/>
              <w:autoSpaceDE w:val="0"/>
              <w:autoSpaceDN w:val="0"/>
              <w:adjustRightInd w:val="0"/>
              <w:spacing w:after="0"/>
              <w:ind w:firstLine="601"/>
              <w:jc w:val="left"/>
            </w:pPr>
            <w:r w:rsidRPr="00C06F2E">
              <w:t>Pokles telesnej hmotnosti</w:t>
            </w:r>
          </w:p>
        </w:tc>
        <w:tc>
          <w:tcPr>
            <w:tcW w:w="1069" w:type="dxa"/>
          </w:tcPr>
          <w:p w14:paraId="3095E525" w14:textId="77777777" w:rsidR="007370C6" w:rsidRPr="00C06F2E" w:rsidRDefault="007370C6" w:rsidP="0028022E">
            <w:pPr>
              <w:suppressAutoHyphens/>
              <w:autoSpaceDE w:val="0"/>
              <w:autoSpaceDN w:val="0"/>
              <w:adjustRightInd w:val="0"/>
              <w:spacing w:after="0"/>
              <w:jc w:val="center"/>
            </w:pPr>
          </w:p>
          <w:p w14:paraId="0184820E" w14:textId="77777777" w:rsidR="007370C6" w:rsidRPr="00C06F2E" w:rsidRDefault="007370C6" w:rsidP="0028022E">
            <w:pPr>
              <w:suppressAutoHyphens/>
              <w:autoSpaceDE w:val="0"/>
              <w:autoSpaceDN w:val="0"/>
              <w:adjustRightInd w:val="0"/>
              <w:spacing w:after="0"/>
              <w:jc w:val="center"/>
            </w:pPr>
            <w:r w:rsidRPr="00C06F2E">
              <w:t>52</w:t>
            </w:r>
          </w:p>
          <w:p w14:paraId="537DFCBF" w14:textId="77777777" w:rsidR="007370C6" w:rsidRPr="00C06F2E" w:rsidRDefault="007370C6" w:rsidP="0028022E">
            <w:pPr>
              <w:suppressAutoHyphens/>
              <w:autoSpaceDE w:val="0"/>
              <w:autoSpaceDN w:val="0"/>
              <w:adjustRightInd w:val="0"/>
              <w:spacing w:after="0"/>
              <w:jc w:val="center"/>
            </w:pPr>
            <w:r w:rsidRPr="00C06F2E">
              <w:t>-</w:t>
            </w:r>
          </w:p>
        </w:tc>
        <w:tc>
          <w:tcPr>
            <w:tcW w:w="709" w:type="dxa"/>
          </w:tcPr>
          <w:p w14:paraId="235604EE" w14:textId="77777777" w:rsidR="007370C6" w:rsidRPr="00C06F2E" w:rsidRDefault="007370C6" w:rsidP="0028022E">
            <w:pPr>
              <w:suppressAutoHyphens/>
              <w:autoSpaceDE w:val="0"/>
              <w:autoSpaceDN w:val="0"/>
              <w:adjustRightInd w:val="0"/>
              <w:spacing w:after="0"/>
              <w:jc w:val="center"/>
            </w:pPr>
          </w:p>
          <w:p w14:paraId="3607DFB9" w14:textId="77777777" w:rsidR="007370C6" w:rsidRPr="00C06F2E" w:rsidRDefault="007370C6" w:rsidP="0028022E">
            <w:pPr>
              <w:suppressAutoHyphens/>
              <w:autoSpaceDE w:val="0"/>
              <w:autoSpaceDN w:val="0"/>
              <w:adjustRightInd w:val="0"/>
              <w:spacing w:after="0"/>
              <w:jc w:val="center"/>
            </w:pPr>
            <w:r w:rsidRPr="00C06F2E">
              <w:t>8</w:t>
            </w:r>
          </w:p>
          <w:p w14:paraId="671E9E10" w14:textId="77777777" w:rsidR="007370C6" w:rsidRPr="00C06F2E" w:rsidRDefault="007370C6" w:rsidP="0028022E">
            <w:pPr>
              <w:suppressAutoHyphens/>
              <w:autoSpaceDE w:val="0"/>
              <w:autoSpaceDN w:val="0"/>
              <w:adjustRightInd w:val="0"/>
              <w:spacing w:after="0"/>
              <w:jc w:val="center"/>
            </w:pPr>
            <w:r w:rsidRPr="00C06F2E">
              <w:t>-</w:t>
            </w:r>
          </w:p>
        </w:tc>
        <w:tc>
          <w:tcPr>
            <w:tcW w:w="564" w:type="dxa"/>
          </w:tcPr>
          <w:p w14:paraId="1CA2AE32" w14:textId="77777777" w:rsidR="007370C6" w:rsidRPr="00C06F2E" w:rsidRDefault="007370C6" w:rsidP="0028022E">
            <w:pPr>
              <w:suppressAutoHyphens/>
              <w:autoSpaceDE w:val="0"/>
              <w:autoSpaceDN w:val="0"/>
              <w:adjustRightInd w:val="0"/>
              <w:spacing w:after="0"/>
              <w:jc w:val="center"/>
            </w:pPr>
          </w:p>
          <w:p w14:paraId="28017A99" w14:textId="77777777" w:rsidR="007370C6" w:rsidRPr="00C06F2E" w:rsidRDefault="007370C6" w:rsidP="0028022E">
            <w:pPr>
              <w:suppressAutoHyphens/>
              <w:autoSpaceDE w:val="0"/>
              <w:autoSpaceDN w:val="0"/>
              <w:adjustRightInd w:val="0"/>
              <w:spacing w:after="0"/>
              <w:jc w:val="center"/>
            </w:pPr>
            <w:r w:rsidRPr="00C06F2E">
              <w:t>1</w:t>
            </w:r>
          </w:p>
          <w:p w14:paraId="5BC90F87" w14:textId="77777777" w:rsidR="007370C6" w:rsidRPr="00C06F2E" w:rsidRDefault="007370C6" w:rsidP="0028022E">
            <w:pPr>
              <w:suppressAutoHyphens/>
              <w:autoSpaceDE w:val="0"/>
              <w:autoSpaceDN w:val="0"/>
              <w:adjustRightInd w:val="0"/>
              <w:spacing w:after="0"/>
              <w:jc w:val="center"/>
            </w:pPr>
            <w:r w:rsidRPr="00C06F2E">
              <w:t>-</w:t>
            </w:r>
          </w:p>
        </w:tc>
        <w:tc>
          <w:tcPr>
            <w:tcW w:w="1279" w:type="dxa"/>
          </w:tcPr>
          <w:p w14:paraId="4B65A6FA" w14:textId="77777777" w:rsidR="007370C6" w:rsidRPr="00C06F2E" w:rsidRDefault="007370C6" w:rsidP="0028022E">
            <w:pPr>
              <w:suppressAutoHyphens/>
              <w:autoSpaceDE w:val="0"/>
              <w:autoSpaceDN w:val="0"/>
              <w:adjustRightInd w:val="0"/>
              <w:spacing w:after="0"/>
              <w:jc w:val="center"/>
            </w:pPr>
          </w:p>
          <w:p w14:paraId="15C3A51B" w14:textId="77777777" w:rsidR="007370C6" w:rsidRPr="00C06F2E" w:rsidRDefault="007370C6" w:rsidP="0028022E">
            <w:pPr>
              <w:suppressAutoHyphens/>
              <w:autoSpaceDE w:val="0"/>
              <w:autoSpaceDN w:val="0"/>
              <w:adjustRightInd w:val="0"/>
              <w:spacing w:after="0"/>
              <w:jc w:val="center"/>
            </w:pPr>
            <w:r w:rsidRPr="00C06F2E">
              <w:t>-</w:t>
            </w:r>
          </w:p>
          <w:p w14:paraId="0DA1BFF3" w14:textId="5784B9EE" w:rsidR="007370C6" w:rsidRPr="00C06F2E" w:rsidRDefault="007370C6" w:rsidP="0028022E">
            <w:pPr>
              <w:suppressAutoHyphens/>
              <w:autoSpaceDE w:val="0"/>
              <w:autoSpaceDN w:val="0"/>
              <w:adjustRightInd w:val="0"/>
              <w:spacing w:after="0"/>
              <w:jc w:val="center"/>
            </w:pPr>
            <w:r w:rsidRPr="00C06F2E">
              <w:t>39</w:t>
            </w:r>
          </w:p>
        </w:tc>
        <w:tc>
          <w:tcPr>
            <w:tcW w:w="567" w:type="dxa"/>
          </w:tcPr>
          <w:p w14:paraId="114D772A" w14:textId="77777777" w:rsidR="007370C6" w:rsidRPr="00C06F2E" w:rsidRDefault="007370C6" w:rsidP="0028022E">
            <w:pPr>
              <w:suppressAutoHyphens/>
              <w:autoSpaceDE w:val="0"/>
              <w:autoSpaceDN w:val="0"/>
              <w:adjustRightInd w:val="0"/>
              <w:spacing w:after="0"/>
              <w:jc w:val="center"/>
            </w:pPr>
          </w:p>
          <w:p w14:paraId="63E14E56" w14:textId="77777777" w:rsidR="007370C6" w:rsidRPr="00C06F2E" w:rsidRDefault="007370C6" w:rsidP="0028022E">
            <w:pPr>
              <w:suppressAutoHyphens/>
              <w:autoSpaceDE w:val="0"/>
              <w:autoSpaceDN w:val="0"/>
              <w:adjustRightInd w:val="0"/>
              <w:spacing w:after="0"/>
              <w:jc w:val="center"/>
            </w:pPr>
            <w:r w:rsidRPr="00C06F2E">
              <w:t>-</w:t>
            </w:r>
          </w:p>
          <w:p w14:paraId="55872F67" w14:textId="19DDC30B" w:rsidR="007370C6" w:rsidRPr="00C06F2E" w:rsidRDefault="007370C6" w:rsidP="0028022E">
            <w:pPr>
              <w:suppressAutoHyphens/>
              <w:autoSpaceDE w:val="0"/>
              <w:autoSpaceDN w:val="0"/>
              <w:adjustRightInd w:val="0"/>
              <w:spacing w:after="0"/>
              <w:jc w:val="center"/>
            </w:pPr>
            <w:r w:rsidRPr="00C06F2E">
              <w:t>2</w:t>
            </w:r>
          </w:p>
        </w:tc>
        <w:tc>
          <w:tcPr>
            <w:tcW w:w="635" w:type="dxa"/>
          </w:tcPr>
          <w:p w14:paraId="3E326D6A" w14:textId="77777777" w:rsidR="007370C6" w:rsidRPr="00C06F2E" w:rsidRDefault="007370C6" w:rsidP="0028022E">
            <w:pPr>
              <w:suppressAutoHyphens/>
              <w:autoSpaceDE w:val="0"/>
              <w:autoSpaceDN w:val="0"/>
              <w:adjustRightInd w:val="0"/>
              <w:spacing w:after="0"/>
              <w:jc w:val="center"/>
            </w:pPr>
          </w:p>
          <w:p w14:paraId="2F9C6409" w14:textId="77777777" w:rsidR="007370C6" w:rsidRPr="00C06F2E" w:rsidRDefault="007370C6" w:rsidP="0028022E">
            <w:pPr>
              <w:suppressAutoHyphens/>
              <w:autoSpaceDE w:val="0"/>
              <w:autoSpaceDN w:val="0"/>
              <w:adjustRightInd w:val="0"/>
              <w:spacing w:after="0"/>
              <w:jc w:val="center"/>
            </w:pPr>
            <w:r w:rsidRPr="00C06F2E">
              <w:t>-</w:t>
            </w:r>
          </w:p>
          <w:p w14:paraId="1DB66FA9" w14:textId="17EDA91F" w:rsidR="007370C6" w:rsidRPr="00C06F2E" w:rsidRDefault="007370C6" w:rsidP="0028022E">
            <w:pPr>
              <w:suppressAutoHyphens/>
              <w:autoSpaceDE w:val="0"/>
              <w:autoSpaceDN w:val="0"/>
              <w:adjustRightInd w:val="0"/>
              <w:spacing w:after="0"/>
              <w:jc w:val="center"/>
            </w:pPr>
            <w:r w:rsidRPr="00C06F2E">
              <w:t>0</w:t>
            </w:r>
          </w:p>
        </w:tc>
        <w:tc>
          <w:tcPr>
            <w:tcW w:w="1559" w:type="dxa"/>
          </w:tcPr>
          <w:p w14:paraId="7AE65752" w14:textId="77777777" w:rsidR="007370C6" w:rsidRPr="00C06F2E" w:rsidRDefault="007370C6" w:rsidP="0028022E">
            <w:pPr>
              <w:suppressAutoHyphens/>
              <w:autoSpaceDE w:val="0"/>
              <w:autoSpaceDN w:val="0"/>
              <w:adjustRightInd w:val="0"/>
              <w:spacing w:after="0"/>
              <w:jc w:val="center"/>
            </w:pPr>
          </w:p>
          <w:p w14:paraId="2811AFAF" w14:textId="77F5FE1D" w:rsidR="007370C6" w:rsidRPr="00C06F2E" w:rsidRDefault="00D91E30" w:rsidP="0028022E">
            <w:pPr>
              <w:suppressAutoHyphens/>
              <w:autoSpaceDE w:val="0"/>
              <w:autoSpaceDN w:val="0"/>
              <w:adjustRightInd w:val="0"/>
              <w:spacing w:after="0"/>
              <w:jc w:val="center"/>
            </w:pPr>
            <w:r w:rsidRPr="00C06F2E">
              <w:t>veľmi časté veľmi časté</w:t>
            </w:r>
          </w:p>
        </w:tc>
      </w:tr>
      <w:tr w:rsidR="00DC360C" w:rsidRPr="00C06F2E" w14:paraId="31D018E9" w14:textId="77777777" w:rsidTr="00717310">
        <w:trPr>
          <w:jc w:val="center"/>
        </w:trPr>
        <w:tc>
          <w:tcPr>
            <w:tcW w:w="3678" w:type="dxa"/>
          </w:tcPr>
          <w:p w14:paraId="5692AC15" w14:textId="2FB3D2D9" w:rsidR="007370C6" w:rsidRPr="00C06F2E" w:rsidRDefault="00D91E30" w:rsidP="0028022E">
            <w:pPr>
              <w:suppressAutoHyphens/>
              <w:autoSpaceDE w:val="0"/>
              <w:autoSpaceDN w:val="0"/>
              <w:adjustRightInd w:val="0"/>
              <w:spacing w:after="0"/>
              <w:rPr>
                <w:i/>
              </w:rPr>
            </w:pPr>
            <w:r w:rsidRPr="00C06F2E">
              <w:rPr>
                <w:i/>
              </w:rPr>
              <w:t>Poruchy oka</w:t>
            </w:r>
          </w:p>
          <w:p w14:paraId="53E07386" w14:textId="5F9AA659" w:rsidR="007370C6" w:rsidRPr="00C06F2E" w:rsidRDefault="00D91E30" w:rsidP="0028022E">
            <w:pPr>
              <w:suppressAutoHyphens/>
              <w:autoSpaceDE w:val="0"/>
              <w:autoSpaceDN w:val="0"/>
              <w:adjustRightInd w:val="0"/>
              <w:spacing w:after="0"/>
              <w:ind w:firstLine="655"/>
            </w:pPr>
            <w:r w:rsidRPr="00C06F2E">
              <w:t>Suchá keratokonjunktivitída</w:t>
            </w:r>
          </w:p>
          <w:p w14:paraId="64BCC9F9" w14:textId="70A9D84C" w:rsidR="007370C6" w:rsidRPr="00C06F2E" w:rsidRDefault="00D91E30" w:rsidP="0028022E">
            <w:pPr>
              <w:suppressAutoHyphens/>
              <w:autoSpaceDE w:val="0"/>
              <w:autoSpaceDN w:val="0"/>
              <w:adjustRightInd w:val="0"/>
              <w:spacing w:after="0"/>
              <w:ind w:firstLine="655"/>
            </w:pPr>
            <w:r w:rsidRPr="00C06F2E">
              <w:t>Konjunktivitída</w:t>
            </w:r>
          </w:p>
        </w:tc>
        <w:tc>
          <w:tcPr>
            <w:tcW w:w="1069" w:type="dxa"/>
          </w:tcPr>
          <w:p w14:paraId="399D3DAF" w14:textId="77777777" w:rsidR="007370C6" w:rsidRPr="00C06F2E" w:rsidRDefault="007370C6" w:rsidP="0028022E">
            <w:pPr>
              <w:suppressAutoHyphens/>
              <w:autoSpaceDE w:val="0"/>
              <w:autoSpaceDN w:val="0"/>
              <w:adjustRightInd w:val="0"/>
              <w:spacing w:after="0"/>
              <w:jc w:val="center"/>
            </w:pPr>
          </w:p>
          <w:p w14:paraId="60542F73" w14:textId="77777777" w:rsidR="007370C6" w:rsidRPr="00C06F2E" w:rsidRDefault="007370C6" w:rsidP="0028022E">
            <w:pPr>
              <w:suppressAutoHyphens/>
              <w:autoSpaceDE w:val="0"/>
              <w:autoSpaceDN w:val="0"/>
              <w:adjustRightInd w:val="0"/>
              <w:spacing w:after="0"/>
              <w:jc w:val="center"/>
            </w:pPr>
            <w:r w:rsidRPr="00C06F2E">
              <w:t>12</w:t>
            </w:r>
          </w:p>
          <w:p w14:paraId="18AD368E" w14:textId="77777777" w:rsidR="007370C6" w:rsidRPr="00C06F2E" w:rsidRDefault="007370C6" w:rsidP="0028022E">
            <w:pPr>
              <w:suppressAutoHyphens/>
              <w:autoSpaceDE w:val="0"/>
              <w:autoSpaceDN w:val="0"/>
              <w:adjustRightInd w:val="0"/>
              <w:spacing w:after="0"/>
              <w:jc w:val="center"/>
            </w:pPr>
            <w:r w:rsidRPr="00C06F2E">
              <w:t>12</w:t>
            </w:r>
          </w:p>
        </w:tc>
        <w:tc>
          <w:tcPr>
            <w:tcW w:w="709" w:type="dxa"/>
          </w:tcPr>
          <w:p w14:paraId="4812AF04" w14:textId="77777777" w:rsidR="007370C6" w:rsidRPr="00C06F2E" w:rsidRDefault="007370C6" w:rsidP="0028022E">
            <w:pPr>
              <w:suppressAutoHyphens/>
              <w:autoSpaceDE w:val="0"/>
              <w:autoSpaceDN w:val="0"/>
              <w:adjustRightInd w:val="0"/>
              <w:spacing w:after="0"/>
              <w:jc w:val="center"/>
            </w:pPr>
          </w:p>
          <w:p w14:paraId="0FD10698" w14:textId="77777777" w:rsidR="007370C6" w:rsidRPr="00C06F2E" w:rsidRDefault="007370C6" w:rsidP="0028022E">
            <w:pPr>
              <w:suppressAutoHyphens/>
              <w:autoSpaceDE w:val="0"/>
              <w:autoSpaceDN w:val="0"/>
              <w:adjustRightInd w:val="0"/>
              <w:spacing w:after="0"/>
              <w:jc w:val="center"/>
            </w:pPr>
            <w:r w:rsidRPr="00C06F2E">
              <w:t>0</w:t>
            </w:r>
          </w:p>
          <w:p w14:paraId="60F6BC66" w14:textId="77777777" w:rsidR="007370C6" w:rsidRPr="00C06F2E" w:rsidRDefault="007370C6" w:rsidP="0028022E">
            <w:pPr>
              <w:suppressAutoHyphens/>
              <w:autoSpaceDE w:val="0"/>
              <w:autoSpaceDN w:val="0"/>
              <w:adjustRightInd w:val="0"/>
              <w:spacing w:after="0"/>
              <w:jc w:val="center"/>
            </w:pPr>
            <w:r w:rsidRPr="00C06F2E">
              <w:t>&lt; 1</w:t>
            </w:r>
          </w:p>
        </w:tc>
        <w:tc>
          <w:tcPr>
            <w:tcW w:w="564" w:type="dxa"/>
          </w:tcPr>
          <w:p w14:paraId="74A68452" w14:textId="77777777" w:rsidR="007370C6" w:rsidRPr="00C06F2E" w:rsidRDefault="007370C6" w:rsidP="0028022E">
            <w:pPr>
              <w:suppressAutoHyphens/>
              <w:autoSpaceDE w:val="0"/>
              <w:autoSpaceDN w:val="0"/>
              <w:adjustRightInd w:val="0"/>
              <w:spacing w:after="0"/>
              <w:jc w:val="center"/>
            </w:pPr>
          </w:p>
          <w:p w14:paraId="332F33E1" w14:textId="77777777" w:rsidR="007370C6" w:rsidRPr="00C06F2E" w:rsidRDefault="007370C6" w:rsidP="0028022E">
            <w:pPr>
              <w:suppressAutoHyphens/>
              <w:autoSpaceDE w:val="0"/>
              <w:autoSpaceDN w:val="0"/>
              <w:adjustRightInd w:val="0"/>
              <w:spacing w:after="0"/>
              <w:jc w:val="center"/>
            </w:pPr>
            <w:r w:rsidRPr="00C06F2E">
              <w:t>0</w:t>
            </w:r>
          </w:p>
          <w:p w14:paraId="34E5FC68" w14:textId="77777777" w:rsidR="007370C6" w:rsidRPr="00C06F2E" w:rsidRDefault="007370C6" w:rsidP="0028022E">
            <w:pPr>
              <w:suppressAutoHyphens/>
              <w:autoSpaceDE w:val="0"/>
              <w:autoSpaceDN w:val="0"/>
              <w:adjustRightInd w:val="0"/>
              <w:spacing w:after="0"/>
              <w:jc w:val="center"/>
            </w:pPr>
            <w:r w:rsidRPr="00C06F2E">
              <w:t>0</w:t>
            </w:r>
          </w:p>
        </w:tc>
        <w:tc>
          <w:tcPr>
            <w:tcW w:w="1279" w:type="dxa"/>
          </w:tcPr>
          <w:p w14:paraId="7610E810" w14:textId="77777777" w:rsidR="007370C6" w:rsidRPr="00C06F2E" w:rsidRDefault="007370C6" w:rsidP="0028022E">
            <w:pPr>
              <w:suppressAutoHyphens/>
              <w:autoSpaceDE w:val="0"/>
              <w:autoSpaceDN w:val="0"/>
              <w:adjustRightInd w:val="0"/>
              <w:spacing w:after="0"/>
              <w:jc w:val="center"/>
            </w:pPr>
          </w:p>
          <w:p w14:paraId="01A39631" w14:textId="137DBC8B" w:rsidR="007370C6" w:rsidRPr="00C06F2E" w:rsidRDefault="007370C6" w:rsidP="0028022E">
            <w:pPr>
              <w:suppressAutoHyphens/>
              <w:autoSpaceDE w:val="0"/>
              <w:autoSpaceDN w:val="0"/>
              <w:adjustRightInd w:val="0"/>
              <w:spacing w:after="0"/>
              <w:jc w:val="center"/>
            </w:pPr>
            <w:r w:rsidRPr="00C06F2E">
              <w:t>-</w:t>
            </w:r>
          </w:p>
          <w:p w14:paraId="7BC58A52" w14:textId="59B6CF66" w:rsidR="007370C6" w:rsidRPr="00C06F2E" w:rsidRDefault="007370C6" w:rsidP="0028022E">
            <w:pPr>
              <w:suppressAutoHyphens/>
              <w:autoSpaceDE w:val="0"/>
              <w:autoSpaceDN w:val="0"/>
              <w:adjustRightInd w:val="0"/>
              <w:spacing w:after="0"/>
              <w:jc w:val="center"/>
            </w:pPr>
            <w:r w:rsidRPr="00C06F2E">
              <w:t>-</w:t>
            </w:r>
          </w:p>
        </w:tc>
        <w:tc>
          <w:tcPr>
            <w:tcW w:w="567" w:type="dxa"/>
          </w:tcPr>
          <w:p w14:paraId="645878A7" w14:textId="77777777" w:rsidR="007370C6" w:rsidRPr="00C06F2E" w:rsidRDefault="007370C6" w:rsidP="0028022E">
            <w:pPr>
              <w:suppressAutoHyphens/>
              <w:autoSpaceDE w:val="0"/>
              <w:autoSpaceDN w:val="0"/>
              <w:adjustRightInd w:val="0"/>
              <w:spacing w:after="0"/>
              <w:jc w:val="center"/>
            </w:pPr>
          </w:p>
          <w:p w14:paraId="311996A1" w14:textId="553F7104" w:rsidR="007370C6" w:rsidRPr="00C06F2E" w:rsidRDefault="007370C6" w:rsidP="0028022E">
            <w:pPr>
              <w:suppressAutoHyphens/>
              <w:autoSpaceDE w:val="0"/>
              <w:autoSpaceDN w:val="0"/>
              <w:adjustRightInd w:val="0"/>
              <w:spacing w:after="0"/>
              <w:jc w:val="center"/>
            </w:pPr>
            <w:r w:rsidRPr="00C06F2E">
              <w:t>-</w:t>
            </w:r>
          </w:p>
          <w:p w14:paraId="3DB470E9" w14:textId="2D2D3A8D" w:rsidR="007370C6" w:rsidRPr="00C06F2E" w:rsidRDefault="007370C6" w:rsidP="0028022E">
            <w:pPr>
              <w:suppressAutoHyphens/>
              <w:autoSpaceDE w:val="0"/>
              <w:autoSpaceDN w:val="0"/>
              <w:adjustRightInd w:val="0"/>
              <w:spacing w:after="0"/>
              <w:jc w:val="center"/>
            </w:pPr>
            <w:r w:rsidRPr="00C06F2E">
              <w:t>-</w:t>
            </w:r>
          </w:p>
        </w:tc>
        <w:tc>
          <w:tcPr>
            <w:tcW w:w="635" w:type="dxa"/>
          </w:tcPr>
          <w:p w14:paraId="4E5C6CFD" w14:textId="77777777" w:rsidR="007370C6" w:rsidRPr="00C06F2E" w:rsidRDefault="007370C6" w:rsidP="0028022E">
            <w:pPr>
              <w:suppressAutoHyphens/>
              <w:autoSpaceDE w:val="0"/>
              <w:autoSpaceDN w:val="0"/>
              <w:adjustRightInd w:val="0"/>
              <w:spacing w:after="0"/>
              <w:jc w:val="center"/>
            </w:pPr>
          </w:p>
          <w:p w14:paraId="4ACE17A7" w14:textId="3B2BFD1A" w:rsidR="007370C6" w:rsidRPr="00C06F2E" w:rsidRDefault="007370C6" w:rsidP="0028022E">
            <w:pPr>
              <w:suppressAutoHyphens/>
              <w:autoSpaceDE w:val="0"/>
              <w:autoSpaceDN w:val="0"/>
              <w:adjustRightInd w:val="0"/>
              <w:spacing w:after="0"/>
              <w:jc w:val="center"/>
            </w:pPr>
            <w:r w:rsidRPr="00C06F2E">
              <w:t>-</w:t>
            </w:r>
          </w:p>
          <w:p w14:paraId="5F6E312A" w14:textId="2199AC08" w:rsidR="007370C6" w:rsidRPr="00C06F2E" w:rsidRDefault="007370C6" w:rsidP="0028022E">
            <w:pPr>
              <w:suppressAutoHyphens/>
              <w:autoSpaceDE w:val="0"/>
              <w:autoSpaceDN w:val="0"/>
              <w:adjustRightInd w:val="0"/>
              <w:spacing w:after="0"/>
              <w:jc w:val="center"/>
            </w:pPr>
            <w:r w:rsidRPr="00C06F2E">
              <w:t>-</w:t>
            </w:r>
          </w:p>
        </w:tc>
        <w:tc>
          <w:tcPr>
            <w:tcW w:w="1559" w:type="dxa"/>
          </w:tcPr>
          <w:p w14:paraId="21610DBF" w14:textId="77777777" w:rsidR="007370C6" w:rsidRPr="00C06F2E" w:rsidRDefault="007370C6" w:rsidP="0028022E">
            <w:pPr>
              <w:suppressAutoHyphens/>
              <w:autoSpaceDE w:val="0"/>
              <w:autoSpaceDN w:val="0"/>
              <w:adjustRightInd w:val="0"/>
              <w:spacing w:after="0"/>
              <w:jc w:val="center"/>
            </w:pPr>
          </w:p>
          <w:p w14:paraId="2ED4B929" w14:textId="5FDB0E00" w:rsidR="007370C6" w:rsidRPr="00C06F2E" w:rsidRDefault="00D91E30" w:rsidP="0028022E">
            <w:pPr>
              <w:suppressAutoHyphens/>
              <w:autoSpaceDE w:val="0"/>
              <w:autoSpaceDN w:val="0"/>
              <w:adjustRightInd w:val="0"/>
              <w:spacing w:after="0"/>
              <w:jc w:val="center"/>
            </w:pPr>
            <w:r w:rsidRPr="00C06F2E">
              <w:t>veľmi časté veľmi časté</w:t>
            </w:r>
          </w:p>
        </w:tc>
      </w:tr>
      <w:tr w:rsidR="00DC360C" w:rsidRPr="00C06F2E" w14:paraId="281DAB00" w14:textId="77777777" w:rsidTr="00717310">
        <w:trPr>
          <w:jc w:val="center"/>
        </w:trPr>
        <w:tc>
          <w:tcPr>
            <w:tcW w:w="3678" w:type="dxa"/>
          </w:tcPr>
          <w:p w14:paraId="17587345" w14:textId="3508C62C" w:rsidR="007370C6" w:rsidRPr="00C06F2E" w:rsidRDefault="007370C6" w:rsidP="0028022E">
            <w:pPr>
              <w:suppressAutoHyphens/>
              <w:autoSpaceDE w:val="0"/>
              <w:autoSpaceDN w:val="0"/>
              <w:adjustRightInd w:val="0"/>
              <w:spacing w:after="0"/>
              <w:rPr>
                <w:i/>
              </w:rPr>
            </w:pPr>
            <w:r w:rsidRPr="00C06F2E">
              <w:rPr>
                <w:i/>
              </w:rPr>
              <w:t>Psychic</w:t>
            </w:r>
            <w:r w:rsidR="00717310" w:rsidRPr="00C06F2E">
              <w:rPr>
                <w:i/>
              </w:rPr>
              <w:t>ké</w:t>
            </w:r>
            <w:r w:rsidRPr="00C06F2E">
              <w:rPr>
                <w:i/>
              </w:rPr>
              <w:t xml:space="preserve"> </w:t>
            </w:r>
            <w:r w:rsidR="00717310" w:rsidRPr="00C06F2E">
              <w:rPr>
                <w:i/>
              </w:rPr>
              <w:t>poruchy</w:t>
            </w:r>
          </w:p>
          <w:p w14:paraId="374AE2A0" w14:textId="0102CE35" w:rsidR="007370C6" w:rsidRPr="00C06F2E" w:rsidRDefault="007370C6" w:rsidP="0028022E">
            <w:pPr>
              <w:suppressAutoHyphens/>
              <w:autoSpaceDE w:val="0"/>
              <w:autoSpaceDN w:val="0"/>
              <w:adjustRightInd w:val="0"/>
              <w:spacing w:after="0"/>
              <w:ind w:firstLine="661"/>
            </w:pPr>
            <w:r w:rsidRPr="00C06F2E">
              <w:t>Depresi</w:t>
            </w:r>
            <w:r w:rsidR="00717310" w:rsidRPr="00C06F2E">
              <w:t>a</w:t>
            </w:r>
          </w:p>
        </w:tc>
        <w:tc>
          <w:tcPr>
            <w:tcW w:w="1069" w:type="dxa"/>
          </w:tcPr>
          <w:p w14:paraId="4EE4F5AE" w14:textId="77777777" w:rsidR="007370C6" w:rsidRPr="00C06F2E" w:rsidRDefault="007370C6" w:rsidP="0028022E">
            <w:pPr>
              <w:suppressAutoHyphens/>
              <w:autoSpaceDE w:val="0"/>
              <w:autoSpaceDN w:val="0"/>
              <w:adjustRightInd w:val="0"/>
              <w:spacing w:after="0"/>
              <w:jc w:val="center"/>
            </w:pPr>
          </w:p>
          <w:p w14:paraId="40B20115" w14:textId="77777777" w:rsidR="007370C6" w:rsidRPr="00C06F2E" w:rsidRDefault="007370C6" w:rsidP="0028022E">
            <w:pPr>
              <w:suppressAutoHyphens/>
              <w:autoSpaceDE w:val="0"/>
              <w:autoSpaceDN w:val="0"/>
              <w:adjustRightInd w:val="0"/>
              <w:spacing w:after="0"/>
              <w:jc w:val="center"/>
            </w:pPr>
            <w:r w:rsidRPr="00C06F2E">
              <w:t>-</w:t>
            </w:r>
          </w:p>
        </w:tc>
        <w:tc>
          <w:tcPr>
            <w:tcW w:w="709" w:type="dxa"/>
          </w:tcPr>
          <w:p w14:paraId="07E0598D" w14:textId="77777777" w:rsidR="007370C6" w:rsidRPr="00C06F2E" w:rsidRDefault="007370C6" w:rsidP="0028022E">
            <w:pPr>
              <w:suppressAutoHyphens/>
              <w:autoSpaceDE w:val="0"/>
              <w:autoSpaceDN w:val="0"/>
              <w:adjustRightInd w:val="0"/>
              <w:spacing w:after="0"/>
              <w:jc w:val="center"/>
            </w:pPr>
          </w:p>
          <w:p w14:paraId="44D81E4F" w14:textId="77777777" w:rsidR="007370C6" w:rsidRPr="00C06F2E" w:rsidRDefault="007370C6" w:rsidP="0028022E">
            <w:pPr>
              <w:suppressAutoHyphens/>
              <w:autoSpaceDE w:val="0"/>
              <w:autoSpaceDN w:val="0"/>
              <w:adjustRightInd w:val="0"/>
              <w:spacing w:after="0"/>
              <w:jc w:val="center"/>
            </w:pPr>
            <w:r w:rsidRPr="00C06F2E">
              <w:t>-</w:t>
            </w:r>
          </w:p>
        </w:tc>
        <w:tc>
          <w:tcPr>
            <w:tcW w:w="564" w:type="dxa"/>
          </w:tcPr>
          <w:p w14:paraId="320F9D5C" w14:textId="77777777" w:rsidR="007370C6" w:rsidRPr="00C06F2E" w:rsidRDefault="007370C6" w:rsidP="0028022E">
            <w:pPr>
              <w:suppressAutoHyphens/>
              <w:autoSpaceDE w:val="0"/>
              <w:autoSpaceDN w:val="0"/>
              <w:adjustRightInd w:val="0"/>
              <w:spacing w:after="0"/>
              <w:jc w:val="center"/>
            </w:pPr>
          </w:p>
          <w:p w14:paraId="1C14920A" w14:textId="77777777" w:rsidR="007370C6" w:rsidRPr="00C06F2E" w:rsidRDefault="007370C6" w:rsidP="0028022E">
            <w:pPr>
              <w:suppressAutoHyphens/>
              <w:autoSpaceDE w:val="0"/>
              <w:autoSpaceDN w:val="0"/>
              <w:adjustRightInd w:val="0"/>
              <w:spacing w:after="0"/>
              <w:jc w:val="center"/>
            </w:pPr>
            <w:r w:rsidRPr="00C06F2E">
              <w:t>-</w:t>
            </w:r>
          </w:p>
        </w:tc>
        <w:tc>
          <w:tcPr>
            <w:tcW w:w="1279" w:type="dxa"/>
          </w:tcPr>
          <w:p w14:paraId="5C334546" w14:textId="77777777" w:rsidR="007370C6" w:rsidRPr="00C06F2E" w:rsidRDefault="007370C6" w:rsidP="0028022E">
            <w:pPr>
              <w:suppressAutoHyphens/>
              <w:autoSpaceDE w:val="0"/>
              <w:autoSpaceDN w:val="0"/>
              <w:adjustRightInd w:val="0"/>
              <w:spacing w:after="0"/>
              <w:jc w:val="center"/>
            </w:pPr>
          </w:p>
          <w:p w14:paraId="35F57EC0" w14:textId="77777777" w:rsidR="007370C6" w:rsidRPr="00C06F2E" w:rsidRDefault="007370C6" w:rsidP="0028022E">
            <w:pPr>
              <w:suppressAutoHyphens/>
              <w:autoSpaceDE w:val="0"/>
              <w:autoSpaceDN w:val="0"/>
              <w:adjustRightInd w:val="0"/>
              <w:spacing w:after="0"/>
              <w:jc w:val="center"/>
            </w:pPr>
            <w:r w:rsidRPr="00C06F2E">
              <w:t>19</w:t>
            </w:r>
          </w:p>
        </w:tc>
        <w:tc>
          <w:tcPr>
            <w:tcW w:w="567" w:type="dxa"/>
          </w:tcPr>
          <w:p w14:paraId="260C49F1" w14:textId="77777777" w:rsidR="007370C6" w:rsidRPr="00C06F2E" w:rsidRDefault="007370C6" w:rsidP="0028022E">
            <w:pPr>
              <w:suppressAutoHyphens/>
              <w:autoSpaceDE w:val="0"/>
              <w:autoSpaceDN w:val="0"/>
              <w:adjustRightInd w:val="0"/>
              <w:spacing w:after="0"/>
              <w:jc w:val="center"/>
            </w:pPr>
          </w:p>
          <w:p w14:paraId="407D7340" w14:textId="77777777" w:rsidR="007370C6" w:rsidRPr="00C06F2E" w:rsidRDefault="007370C6" w:rsidP="0028022E">
            <w:pPr>
              <w:suppressAutoHyphens/>
              <w:autoSpaceDE w:val="0"/>
              <w:autoSpaceDN w:val="0"/>
              <w:adjustRightInd w:val="0"/>
              <w:spacing w:after="0"/>
              <w:jc w:val="center"/>
            </w:pPr>
            <w:r w:rsidRPr="00C06F2E">
              <w:t>2</w:t>
            </w:r>
          </w:p>
        </w:tc>
        <w:tc>
          <w:tcPr>
            <w:tcW w:w="635" w:type="dxa"/>
          </w:tcPr>
          <w:p w14:paraId="27BB29C8" w14:textId="77777777" w:rsidR="007370C6" w:rsidRPr="00C06F2E" w:rsidRDefault="007370C6" w:rsidP="0028022E">
            <w:pPr>
              <w:suppressAutoHyphens/>
              <w:autoSpaceDE w:val="0"/>
              <w:autoSpaceDN w:val="0"/>
              <w:adjustRightInd w:val="0"/>
              <w:spacing w:after="0"/>
              <w:jc w:val="center"/>
            </w:pPr>
          </w:p>
          <w:p w14:paraId="523E94BA" w14:textId="77777777" w:rsidR="007370C6" w:rsidRPr="00C06F2E" w:rsidRDefault="007370C6" w:rsidP="0028022E">
            <w:pPr>
              <w:suppressAutoHyphens/>
              <w:autoSpaceDE w:val="0"/>
              <w:autoSpaceDN w:val="0"/>
              <w:adjustRightInd w:val="0"/>
              <w:spacing w:after="0"/>
              <w:jc w:val="center"/>
            </w:pPr>
            <w:r w:rsidRPr="00C06F2E">
              <w:t>0</w:t>
            </w:r>
          </w:p>
        </w:tc>
        <w:tc>
          <w:tcPr>
            <w:tcW w:w="1559" w:type="dxa"/>
          </w:tcPr>
          <w:p w14:paraId="45DC90D1" w14:textId="77777777" w:rsidR="007370C6" w:rsidRPr="00C06F2E" w:rsidRDefault="007370C6" w:rsidP="0028022E">
            <w:pPr>
              <w:suppressAutoHyphens/>
              <w:autoSpaceDE w:val="0"/>
              <w:autoSpaceDN w:val="0"/>
              <w:adjustRightInd w:val="0"/>
              <w:spacing w:after="0"/>
              <w:jc w:val="center"/>
            </w:pPr>
          </w:p>
          <w:p w14:paraId="39AC7552" w14:textId="486CD9BB" w:rsidR="007370C6" w:rsidRPr="00C06F2E" w:rsidRDefault="00D91E30" w:rsidP="0028022E">
            <w:pPr>
              <w:suppressAutoHyphens/>
              <w:autoSpaceDE w:val="0"/>
              <w:autoSpaceDN w:val="0"/>
              <w:adjustRightInd w:val="0"/>
              <w:spacing w:after="0"/>
              <w:jc w:val="center"/>
            </w:pPr>
            <w:r w:rsidRPr="00C06F2E">
              <w:t>veľmi časté</w:t>
            </w:r>
          </w:p>
        </w:tc>
      </w:tr>
      <w:tr w:rsidR="00DC360C" w:rsidRPr="00C06F2E" w14:paraId="409FDB9B" w14:textId="77777777" w:rsidTr="00717310">
        <w:trPr>
          <w:jc w:val="center"/>
        </w:trPr>
        <w:tc>
          <w:tcPr>
            <w:tcW w:w="3678" w:type="dxa"/>
          </w:tcPr>
          <w:p w14:paraId="1535DB2C" w14:textId="34D149F2" w:rsidR="007370C6" w:rsidRPr="00C06F2E" w:rsidRDefault="00717310" w:rsidP="0028022E">
            <w:pPr>
              <w:suppressAutoHyphens/>
              <w:autoSpaceDE w:val="0"/>
              <w:autoSpaceDN w:val="0"/>
              <w:adjustRightInd w:val="0"/>
              <w:spacing w:after="0"/>
              <w:rPr>
                <w:i/>
              </w:rPr>
            </w:pPr>
            <w:r w:rsidRPr="00C06F2E">
              <w:rPr>
                <w:i/>
              </w:rPr>
              <w:t>Poruchy nervového systému</w:t>
            </w:r>
          </w:p>
          <w:p w14:paraId="4E25D4FD" w14:textId="08B43AF6" w:rsidR="007370C6" w:rsidRPr="00C06F2E" w:rsidRDefault="007370C6" w:rsidP="0028022E">
            <w:pPr>
              <w:suppressAutoHyphens/>
              <w:autoSpaceDE w:val="0"/>
              <w:autoSpaceDN w:val="0"/>
              <w:adjustRightInd w:val="0"/>
              <w:spacing w:after="0"/>
              <w:ind w:firstLine="661"/>
            </w:pPr>
            <w:r w:rsidRPr="00C06F2E">
              <w:t>Neuropat</w:t>
            </w:r>
            <w:r w:rsidR="00717310" w:rsidRPr="00C06F2E">
              <w:t>ia</w:t>
            </w:r>
          </w:p>
          <w:p w14:paraId="1C68DBFB" w14:textId="262DC92A" w:rsidR="007370C6" w:rsidRPr="00C06F2E" w:rsidRDefault="00717310" w:rsidP="0028022E">
            <w:pPr>
              <w:suppressAutoHyphens/>
              <w:autoSpaceDE w:val="0"/>
              <w:autoSpaceDN w:val="0"/>
              <w:adjustRightInd w:val="0"/>
              <w:spacing w:after="0"/>
              <w:ind w:firstLine="661"/>
              <w:rPr>
                <w:i/>
              </w:rPr>
            </w:pPr>
            <w:r w:rsidRPr="00C06F2E">
              <w:t>Bolesť hlavy</w:t>
            </w:r>
          </w:p>
        </w:tc>
        <w:tc>
          <w:tcPr>
            <w:tcW w:w="1069" w:type="dxa"/>
          </w:tcPr>
          <w:p w14:paraId="7DCBFF80" w14:textId="77777777" w:rsidR="007370C6" w:rsidRPr="00C06F2E" w:rsidRDefault="007370C6" w:rsidP="0028022E">
            <w:pPr>
              <w:suppressAutoHyphens/>
              <w:autoSpaceDE w:val="0"/>
              <w:autoSpaceDN w:val="0"/>
              <w:adjustRightInd w:val="0"/>
              <w:spacing w:after="0"/>
              <w:jc w:val="center"/>
            </w:pPr>
          </w:p>
          <w:p w14:paraId="1615D11B" w14:textId="77777777" w:rsidR="007370C6" w:rsidRPr="00C06F2E" w:rsidRDefault="007370C6" w:rsidP="0028022E">
            <w:pPr>
              <w:suppressAutoHyphens/>
              <w:autoSpaceDE w:val="0"/>
              <w:autoSpaceDN w:val="0"/>
              <w:adjustRightInd w:val="0"/>
              <w:spacing w:after="0"/>
              <w:jc w:val="center"/>
            </w:pPr>
            <w:r w:rsidRPr="00C06F2E">
              <w:t>-</w:t>
            </w:r>
          </w:p>
          <w:p w14:paraId="5E03B92C" w14:textId="77777777" w:rsidR="007370C6" w:rsidRPr="00C06F2E" w:rsidRDefault="007370C6" w:rsidP="0028022E">
            <w:pPr>
              <w:suppressAutoHyphens/>
              <w:autoSpaceDE w:val="0"/>
              <w:autoSpaceDN w:val="0"/>
              <w:adjustRightInd w:val="0"/>
              <w:spacing w:after="0"/>
              <w:jc w:val="center"/>
            </w:pPr>
            <w:r w:rsidRPr="00C06F2E">
              <w:t>-</w:t>
            </w:r>
          </w:p>
        </w:tc>
        <w:tc>
          <w:tcPr>
            <w:tcW w:w="709" w:type="dxa"/>
          </w:tcPr>
          <w:p w14:paraId="4FE3A7F2" w14:textId="77777777" w:rsidR="007370C6" w:rsidRPr="00C06F2E" w:rsidRDefault="007370C6" w:rsidP="0028022E">
            <w:pPr>
              <w:suppressAutoHyphens/>
              <w:autoSpaceDE w:val="0"/>
              <w:autoSpaceDN w:val="0"/>
              <w:adjustRightInd w:val="0"/>
              <w:spacing w:after="0"/>
              <w:jc w:val="center"/>
            </w:pPr>
          </w:p>
          <w:p w14:paraId="6BAEDC62" w14:textId="77777777" w:rsidR="007370C6" w:rsidRPr="00C06F2E" w:rsidRDefault="007370C6" w:rsidP="0028022E">
            <w:pPr>
              <w:suppressAutoHyphens/>
              <w:autoSpaceDE w:val="0"/>
              <w:autoSpaceDN w:val="0"/>
              <w:adjustRightInd w:val="0"/>
              <w:spacing w:after="0"/>
              <w:jc w:val="center"/>
            </w:pPr>
            <w:r w:rsidRPr="00C06F2E">
              <w:t>-</w:t>
            </w:r>
          </w:p>
          <w:p w14:paraId="2E4983E7" w14:textId="77777777" w:rsidR="007370C6" w:rsidRPr="00C06F2E" w:rsidRDefault="007370C6" w:rsidP="0028022E">
            <w:pPr>
              <w:suppressAutoHyphens/>
              <w:autoSpaceDE w:val="0"/>
              <w:autoSpaceDN w:val="0"/>
              <w:adjustRightInd w:val="0"/>
              <w:spacing w:after="0"/>
              <w:jc w:val="center"/>
            </w:pPr>
            <w:r w:rsidRPr="00C06F2E">
              <w:t>-</w:t>
            </w:r>
          </w:p>
        </w:tc>
        <w:tc>
          <w:tcPr>
            <w:tcW w:w="564" w:type="dxa"/>
          </w:tcPr>
          <w:p w14:paraId="555608C3" w14:textId="77777777" w:rsidR="007370C6" w:rsidRPr="00C06F2E" w:rsidRDefault="007370C6" w:rsidP="0028022E">
            <w:pPr>
              <w:suppressAutoHyphens/>
              <w:autoSpaceDE w:val="0"/>
              <w:autoSpaceDN w:val="0"/>
              <w:adjustRightInd w:val="0"/>
              <w:spacing w:after="0"/>
              <w:jc w:val="center"/>
            </w:pPr>
          </w:p>
          <w:p w14:paraId="609B047E" w14:textId="77777777" w:rsidR="007370C6" w:rsidRPr="00C06F2E" w:rsidRDefault="007370C6" w:rsidP="0028022E">
            <w:pPr>
              <w:suppressAutoHyphens/>
              <w:autoSpaceDE w:val="0"/>
              <w:autoSpaceDN w:val="0"/>
              <w:adjustRightInd w:val="0"/>
              <w:spacing w:after="0"/>
              <w:jc w:val="center"/>
            </w:pPr>
            <w:r w:rsidRPr="00C06F2E">
              <w:t>-</w:t>
            </w:r>
          </w:p>
          <w:p w14:paraId="360845F1" w14:textId="77777777" w:rsidR="007370C6" w:rsidRPr="00C06F2E" w:rsidRDefault="007370C6" w:rsidP="0028022E">
            <w:pPr>
              <w:suppressAutoHyphens/>
              <w:autoSpaceDE w:val="0"/>
              <w:autoSpaceDN w:val="0"/>
              <w:adjustRightInd w:val="0"/>
              <w:spacing w:after="0"/>
              <w:jc w:val="center"/>
            </w:pPr>
            <w:r w:rsidRPr="00C06F2E">
              <w:t>-</w:t>
            </w:r>
          </w:p>
        </w:tc>
        <w:tc>
          <w:tcPr>
            <w:tcW w:w="1279" w:type="dxa"/>
          </w:tcPr>
          <w:p w14:paraId="7670052A" w14:textId="77777777" w:rsidR="007370C6" w:rsidRPr="00C06F2E" w:rsidRDefault="007370C6" w:rsidP="0028022E">
            <w:pPr>
              <w:suppressAutoHyphens/>
              <w:autoSpaceDE w:val="0"/>
              <w:autoSpaceDN w:val="0"/>
              <w:adjustRightInd w:val="0"/>
              <w:spacing w:after="0"/>
              <w:jc w:val="center"/>
            </w:pPr>
          </w:p>
          <w:p w14:paraId="42831B90" w14:textId="77777777" w:rsidR="007370C6" w:rsidRPr="00C06F2E" w:rsidRDefault="007370C6" w:rsidP="0028022E">
            <w:pPr>
              <w:suppressAutoHyphens/>
              <w:autoSpaceDE w:val="0"/>
              <w:autoSpaceDN w:val="0"/>
              <w:adjustRightInd w:val="0"/>
              <w:spacing w:after="0"/>
              <w:jc w:val="center"/>
            </w:pPr>
            <w:r w:rsidRPr="00C06F2E">
              <w:t>13</w:t>
            </w:r>
          </w:p>
          <w:p w14:paraId="3AC52E2B" w14:textId="77777777" w:rsidR="007370C6" w:rsidRPr="00C06F2E" w:rsidRDefault="007370C6" w:rsidP="0028022E">
            <w:pPr>
              <w:suppressAutoHyphens/>
              <w:autoSpaceDE w:val="0"/>
              <w:autoSpaceDN w:val="0"/>
              <w:adjustRightInd w:val="0"/>
              <w:spacing w:after="0"/>
              <w:jc w:val="center"/>
            </w:pPr>
            <w:r w:rsidRPr="00C06F2E">
              <w:t>15</w:t>
            </w:r>
          </w:p>
        </w:tc>
        <w:tc>
          <w:tcPr>
            <w:tcW w:w="567" w:type="dxa"/>
          </w:tcPr>
          <w:p w14:paraId="3988ECB5" w14:textId="77777777" w:rsidR="007370C6" w:rsidRPr="00C06F2E" w:rsidRDefault="007370C6" w:rsidP="0028022E">
            <w:pPr>
              <w:suppressAutoHyphens/>
              <w:autoSpaceDE w:val="0"/>
              <w:autoSpaceDN w:val="0"/>
              <w:adjustRightInd w:val="0"/>
              <w:spacing w:after="0"/>
              <w:jc w:val="center"/>
            </w:pPr>
          </w:p>
          <w:p w14:paraId="54EDA15D" w14:textId="77777777" w:rsidR="007370C6" w:rsidRPr="00C06F2E" w:rsidRDefault="007370C6" w:rsidP="0028022E">
            <w:pPr>
              <w:suppressAutoHyphens/>
              <w:autoSpaceDE w:val="0"/>
              <w:autoSpaceDN w:val="0"/>
              <w:adjustRightInd w:val="0"/>
              <w:spacing w:after="0"/>
              <w:jc w:val="center"/>
            </w:pPr>
            <w:r w:rsidRPr="00C06F2E">
              <w:t>1</w:t>
            </w:r>
          </w:p>
          <w:p w14:paraId="3B543CCF" w14:textId="77777777" w:rsidR="007370C6" w:rsidRPr="00C06F2E" w:rsidRDefault="007370C6" w:rsidP="0028022E">
            <w:pPr>
              <w:suppressAutoHyphens/>
              <w:autoSpaceDE w:val="0"/>
              <w:autoSpaceDN w:val="0"/>
              <w:adjustRightInd w:val="0"/>
              <w:spacing w:after="0"/>
              <w:jc w:val="center"/>
            </w:pPr>
            <w:r w:rsidRPr="00C06F2E">
              <w:t>&lt; 1</w:t>
            </w:r>
          </w:p>
        </w:tc>
        <w:tc>
          <w:tcPr>
            <w:tcW w:w="635" w:type="dxa"/>
          </w:tcPr>
          <w:p w14:paraId="29ADAABD" w14:textId="77777777" w:rsidR="007370C6" w:rsidRPr="00C06F2E" w:rsidRDefault="007370C6" w:rsidP="0028022E">
            <w:pPr>
              <w:suppressAutoHyphens/>
              <w:autoSpaceDE w:val="0"/>
              <w:autoSpaceDN w:val="0"/>
              <w:adjustRightInd w:val="0"/>
              <w:spacing w:after="0"/>
              <w:jc w:val="center"/>
            </w:pPr>
          </w:p>
          <w:p w14:paraId="067BF0D3" w14:textId="77777777" w:rsidR="007370C6" w:rsidRPr="00C06F2E" w:rsidRDefault="007370C6" w:rsidP="0028022E">
            <w:pPr>
              <w:suppressAutoHyphens/>
              <w:autoSpaceDE w:val="0"/>
              <w:autoSpaceDN w:val="0"/>
              <w:adjustRightInd w:val="0"/>
              <w:spacing w:after="0"/>
              <w:jc w:val="center"/>
            </w:pPr>
            <w:r w:rsidRPr="00C06F2E">
              <w:t>&lt; 1</w:t>
            </w:r>
          </w:p>
          <w:p w14:paraId="5BD29229" w14:textId="77777777" w:rsidR="007370C6" w:rsidRPr="00C06F2E" w:rsidRDefault="007370C6" w:rsidP="0028022E">
            <w:pPr>
              <w:suppressAutoHyphens/>
              <w:autoSpaceDE w:val="0"/>
              <w:autoSpaceDN w:val="0"/>
              <w:adjustRightInd w:val="0"/>
              <w:spacing w:after="0"/>
              <w:jc w:val="center"/>
            </w:pPr>
            <w:r w:rsidRPr="00C06F2E">
              <w:t>0</w:t>
            </w:r>
          </w:p>
        </w:tc>
        <w:tc>
          <w:tcPr>
            <w:tcW w:w="1559" w:type="dxa"/>
          </w:tcPr>
          <w:p w14:paraId="383E21FC" w14:textId="77777777" w:rsidR="007370C6" w:rsidRPr="00C06F2E" w:rsidRDefault="007370C6" w:rsidP="0028022E">
            <w:pPr>
              <w:suppressAutoHyphens/>
              <w:autoSpaceDE w:val="0"/>
              <w:autoSpaceDN w:val="0"/>
              <w:adjustRightInd w:val="0"/>
              <w:spacing w:after="0"/>
              <w:jc w:val="center"/>
            </w:pPr>
          </w:p>
          <w:p w14:paraId="25F199A3" w14:textId="44AF06E5" w:rsidR="007370C6" w:rsidRPr="00C06F2E" w:rsidRDefault="00D91E30" w:rsidP="0028022E">
            <w:pPr>
              <w:suppressAutoHyphens/>
              <w:autoSpaceDE w:val="0"/>
              <w:autoSpaceDN w:val="0"/>
              <w:adjustRightInd w:val="0"/>
              <w:spacing w:after="0"/>
              <w:jc w:val="center"/>
            </w:pPr>
            <w:r w:rsidRPr="00C06F2E">
              <w:t>veľmi časté veľmi časté</w:t>
            </w:r>
          </w:p>
        </w:tc>
      </w:tr>
      <w:tr w:rsidR="00DC360C" w:rsidRPr="00C06F2E" w14:paraId="2E10A7C1" w14:textId="77777777" w:rsidTr="00717310">
        <w:trPr>
          <w:jc w:val="center"/>
        </w:trPr>
        <w:tc>
          <w:tcPr>
            <w:tcW w:w="3678" w:type="dxa"/>
          </w:tcPr>
          <w:p w14:paraId="4FB89788" w14:textId="4C921D71" w:rsidR="007370C6" w:rsidRPr="00C06F2E" w:rsidRDefault="00717310" w:rsidP="0028022E">
            <w:pPr>
              <w:suppressAutoHyphens/>
              <w:autoSpaceDE w:val="0"/>
              <w:autoSpaceDN w:val="0"/>
              <w:adjustRightInd w:val="0"/>
              <w:spacing w:after="0"/>
              <w:jc w:val="left"/>
              <w:rPr>
                <w:i/>
              </w:rPr>
            </w:pPr>
            <w:r w:rsidRPr="00C06F2E">
              <w:rPr>
                <w:i/>
              </w:rPr>
              <w:t>Poruchy dýchacej sústavy, hrudníka a mediastína</w:t>
            </w:r>
          </w:p>
          <w:p w14:paraId="779A2E85" w14:textId="3B26B884" w:rsidR="007370C6" w:rsidRPr="00C06F2E" w:rsidRDefault="00717310" w:rsidP="0028022E">
            <w:pPr>
              <w:suppressAutoHyphens/>
              <w:autoSpaceDE w:val="0"/>
              <w:autoSpaceDN w:val="0"/>
              <w:adjustRightInd w:val="0"/>
              <w:spacing w:after="0"/>
              <w:ind w:firstLine="661"/>
              <w:jc w:val="left"/>
            </w:pPr>
            <w:r w:rsidRPr="00C06F2E">
              <w:t>Dušnosť</w:t>
            </w:r>
          </w:p>
          <w:p w14:paraId="70F796A8" w14:textId="5CB021A3" w:rsidR="007370C6" w:rsidRPr="00C06F2E" w:rsidRDefault="00717310" w:rsidP="0028022E">
            <w:pPr>
              <w:suppressAutoHyphens/>
              <w:autoSpaceDE w:val="0"/>
              <w:autoSpaceDN w:val="0"/>
              <w:adjustRightInd w:val="0"/>
              <w:spacing w:after="0"/>
              <w:ind w:firstLine="661"/>
              <w:jc w:val="left"/>
            </w:pPr>
            <w:r w:rsidRPr="00C06F2E">
              <w:t>Kašeľ</w:t>
            </w:r>
          </w:p>
        </w:tc>
        <w:tc>
          <w:tcPr>
            <w:tcW w:w="1069" w:type="dxa"/>
          </w:tcPr>
          <w:p w14:paraId="655B8C10" w14:textId="77777777" w:rsidR="007370C6" w:rsidRPr="00C06F2E" w:rsidRDefault="007370C6" w:rsidP="0028022E">
            <w:pPr>
              <w:suppressAutoHyphens/>
              <w:autoSpaceDE w:val="0"/>
              <w:autoSpaceDN w:val="0"/>
              <w:adjustRightInd w:val="0"/>
              <w:spacing w:after="0"/>
              <w:jc w:val="center"/>
            </w:pPr>
          </w:p>
          <w:p w14:paraId="04192459" w14:textId="77777777" w:rsidR="007370C6" w:rsidRPr="00C06F2E" w:rsidRDefault="007370C6" w:rsidP="0028022E">
            <w:pPr>
              <w:suppressAutoHyphens/>
              <w:autoSpaceDE w:val="0"/>
              <w:autoSpaceDN w:val="0"/>
              <w:adjustRightInd w:val="0"/>
              <w:spacing w:after="0"/>
              <w:jc w:val="center"/>
            </w:pPr>
          </w:p>
          <w:p w14:paraId="53941856" w14:textId="77777777" w:rsidR="007370C6" w:rsidRPr="00C06F2E" w:rsidRDefault="007370C6" w:rsidP="0028022E">
            <w:pPr>
              <w:suppressAutoHyphens/>
              <w:autoSpaceDE w:val="0"/>
              <w:autoSpaceDN w:val="0"/>
              <w:adjustRightInd w:val="0"/>
              <w:spacing w:after="0"/>
              <w:jc w:val="center"/>
            </w:pPr>
            <w:r w:rsidRPr="00C06F2E">
              <w:t>41</w:t>
            </w:r>
          </w:p>
          <w:p w14:paraId="7376894F" w14:textId="77777777" w:rsidR="007370C6" w:rsidRPr="00C06F2E" w:rsidRDefault="007370C6" w:rsidP="0028022E">
            <w:pPr>
              <w:suppressAutoHyphens/>
              <w:autoSpaceDE w:val="0"/>
              <w:autoSpaceDN w:val="0"/>
              <w:adjustRightInd w:val="0"/>
              <w:spacing w:after="0"/>
              <w:jc w:val="center"/>
            </w:pPr>
            <w:r w:rsidRPr="00C06F2E">
              <w:t>33</w:t>
            </w:r>
          </w:p>
        </w:tc>
        <w:tc>
          <w:tcPr>
            <w:tcW w:w="709" w:type="dxa"/>
          </w:tcPr>
          <w:p w14:paraId="257E9562" w14:textId="77777777" w:rsidR="007370C6" w:rsidRPr="00C06F2E" w:rsidRDefault="007370C6" w:rsidP="0028022E">
            <w:pPr>
              <w:suppressAutoHyphens/>
              <w:autoSpaceDE w:val="0"/>
              <w:autoSpaceDN w:val="0"/>
              <w:adjustRightInd w:val="0"/>
              <w:spacing w:after="0"/>
              <w:jc w:val="center"/>
            </w:pPr>
          </w:p>
          <w:p w14:paraId="0435A9D8" w14:textId="77777777" w:rsidR="007370C6" w:rsidRPr="00C06F2E" w:rsidRDefault="007370C6" w:rsidP="0028022E">
            <w:pPr>
              <w:suppressAutoHyphens/>
              <w:autoSpaceDE w:val="0"/>
              <w:autoSpaceDN w:val="0"/>
              <w:adjustRightInd w:val="0"/>
              <w:spacing w:after="0"/>
              <w:jc w:val="center"/>
            </w:pPr>
          </w:p>
          <w:p w14:paraId="19C183C3" w14:textId="77777777" w:rsidR="007370C6" w:rsidRPr="00C06F2E" w:rsidRDefault="007370C6" w:rsidP="0028022E">
            <w:pPr>
              <w:suppressAutoHyphens/>
              <w:autoSpaceDE w:val="0"/>
              <w:autoSpaceDN w:val="0"/>
              <w:adjustRightInd w:val="0"/>
              <w:spacing w:after="0"/>
              <w:jc w:val="center"/>
            </w:pPr>
            <w:r w:rsidRPr="00C06F2E">
              <w:t>17</w:t>
            </w:r>
          </w:p>
          <w:p w14:paraId="2FE87D79" w14:textId="77777777" w:rsidR="007370C6" w:rsidRPr="00C06F2E" w:rsidRDefault="007370C6" w:rsidP="0028022E">
            <w:pPr>
              <w:suppressAutoHyphens/>
              <w:autoSpaceDE w:val="0"/>
              <w:autoSpaceDN w:val="0"/>
              <w:adjustRightInd w:val="0"/>
              <w:spacing w:after="0"/>
              <w:jc w:val="center"/>
            </w:pPr>
            <w:r w:rsidRPr="00C06F2E">
              <w:t>4</w:t>
            </w:r>
          </w:p>
        </w:tc>
        <w:tc>
          <w:tcPr>
            <w:tcW w:w="564" w:type="dxa"/>
          </w:tcPr>
          <w:p w14:paraId="05225630" w14:textId="77777777" w:rsidR="007370C6" w:rsidRPr="00C06F2E" w:rsidRDefault="007370C6" w:rsidP="0028022E">
            <w:pPr>
              <w:suppressAutoHyphens/>
              <w:autoSpaceDE w:val="0"/>
              <w:autoSpaceDN w:val="0"/>
              <w:adjustRightInd w:val="0"/>
              <w:spacing w:after="0"/>
              <w:jc w:val="center"/>
            </w:pPr>
          </w:p>
          <w:p w14:paraId="11513101" w14:textId="77777777" w:rsidR="007370C6" w:rsidRPr="00C06F2E" w:rsidRDefault="007370C6" w:rsidP="0028022E">
            <w:pPr>
              <w:suppressAutoHyphens/>
              <w:autoSpaceDE w:val="0"/>
              <w:autoSpaceDN w:val="0"/>
              <w:adjustRightInd w:val="0"/>
              <w:spacing w:after="0"/>
              <w:jc w:val="center"/>
            </w:pPr>
          </w:p>
          <w:p w14:paraId="72D1A45D" w14:textId="77777777" w:rsidR="007370C6" w:rsidRPr="00C06F2E" w:rsidRDefault="007370C6" w:rsidP="0028022E">
            <w:pPr>
              <w:suppressAutoHyphens/>
              <w:autoSpaceDE w:val="0"/>
              <w:autoSpaceDN w:val="0"/>
              <w:adjustRightInd w:val="0"/>
              <w:spacing w:after="0"/>
              <w:jc w:val="center"/>
            </w:pPr>
            <w:r w:rsidRPr="00C06F2E">
              <w:t>11</w:t>
            </w:r>
          </w:p>
          <w:p w14:paraId="6F9B7C0B" w14:textId="77777777" w:rsidR="007370C6" w:rsidRPr="00C06F2E" w:rsidRDefault="007370C6" w:rsidP="0028022E">
            <w:pPr>
              <w:suppressAutoHyphens/>
              <w:autoSpaceDE w:val="0"/>
              <w:autoSpaceDN w:val="0"/>
              <w:adjustRightInd w:val="0"/>
              <w:spacing w:after="0"/>
              <w:jc w:val="center"/>
            </w:pPr>
            <w:r w:rsidRPr="00C06F2E">
              <w:t>0</w:t>
            </w:r>
          </w:p>
        </w:tc>
        <w:tc>
          <w:tcPr>
            <w:tcW w:w="1279" w:type="dxa"/>
          </w:tcPr>
          <w:p w14:paraId="3AF2A05E" w14:textId="77777777" w:rsidR="007370C6" w:rsidRPr="00C06F2E" w:rsidRDefault="007370C6" w:rsidP="0028022E">
            <w:pPr>
              <w:suppressAutoHyphens/>
              <w:autoSpaceDE w:val="0"/>
              <w:autoSpaceDN w:val="0"/>
              <w:adjustRightInd w:val="0"/>
              <w:spacing w:after="0"/>
              <w:jc w:val="center"/>
            </w:pPr>
          </w:p>
          <w:p w14:paraId="08FEFF0F" w14:textId="77777777" w:rsidR="007370C6" w:rsidRPr="00C06F2E" w:rsidRDefault="007370C6" w:rsidP="0028022E">
            <w:pPr>
              <w:suppressAutoHyphens/>
              <w:autoSpaceDE w:val="0"/>
              <w:autoSpaceDN w:val="0"/>
              <w:adjustRightInd w:val="0"/>
              <w:spacing w:after="0"/>
              <w:jc w:val="center"/>
            </w:pPr>
          </w:p>
          <w:p w14:paraId="398B8BCF" w14:textId="1F6983BA" w:rsidR="007370C6" w:rsidRPr="00C06F2E" w:rsidRDefault="007370C6" w:rsidP="0028022E">
            <w:pPr>
              <w:suppressAutoHyphens/>
              <w:autoSpaceDE w:val="0"/>
              <w:autoSpaceDN w:val="0"/>
              <w:adjustRightInd w:val="0"/>
              <w:spacing w:after="0"/>
              <w:jc w:val="center"/>
            </w:pPr>
            <w:r w:rsidRPr="00C06F2E">
              <w:t>-</w:t>
            </w:r>
          </w:p>
          <w:p w14:paraId="397F683B" w14:textId="2DEF41BA" w:rsidR="007370C6" w:rsidRPr="00C06F2E" w:rsidRDefault="007370C6" w:rsidP="0028022E">
            <w:pPr>
              <w:suppressAutoHyphens/>
              <w:autoSpaceDE w:val="0"/>
              <w:autoSpaceDN w:val="0"/>
              <w:adjustRightInd w:val="0"/>
              <w:spacing w:after="0"/>
              <w:jc w:val="center"/>
            </w:pPr>
            <w:r w:rsidRPr="00C06F2E">
              <w:t>16</w:t>
            </w:r>
          </w:p>
        </w:tc>
        <w:tc>
          <w:tcPr>
            <w:tcW w:w="567" w:type="dxa"/>
          </w:tcPr>
          <w:p w14:paraId="67CE65B7" w14:textId="77777777" w:rsidR="007370C6" w:rsidRPr="00C06F2E" w:rsidRDefault="007370C6" w:rsidP="0028022E">
            <w:pPr>
              <w:suppressAutoHyphens/>
              <w:autoSpaceDE w:val="0"/>
              <w:autoSpaceDN w:val="0"/>
              <w:adjustRightInd w:val="0"/>
              <w:spacing w:after="0"/>
              <w:jc w:val="center"/>
            </w:pPr>
          </w:p>
          <w:p w14:paraId="742105DA" w14:textId="77777777" w:rsidR="007370C6" w:rsidRPr="00C06F2E" w:rsidRDefault="007370C6" w:rsidP="0028022E">
            <w:pPr>
              <w:suppressAutoHyphens/>
              <w:autoSpaceDE w:val="0"/>
              <w:autoSpaceDN w:val="0"/>
              <w:adjustRightInd w:val="0"/>
              <w:spacing w:after="0"/>
              <w:jc w:val="center"/>
            </w:pPr>
          </w:p>
          <w:p w14:paraId="31EA7D5F" w14:textId="4EB9372A" w:rsidR="007370C6" w:rsidRPr="00C06F2E" w:rsidRDefault="007370C6" w:rsidP="0028022E">
            <w:pPr>
              <w:suppressAutoHyphens/>
              <w:autoSpaceDE w:val="0"/>
              <w:autoSpaceDN w:val="0"/>
              <w:adjustRightInd w:val="0"/>
              <w:spacing w:after="0"/>
              <w:jc w:val="center"/>
            </w:pPr>
            <w:r w:rsidRPr="00C06F2E">
              <w:t>-</w:t>
            </w:r>
          </w:p>
          <w:p w14:paraId="0BD8850C" w14:textId="328621BF" w:rsidR="007370C6" w:rsidRPr="00C06F2E" w:rsidRDefault="007370C6" w:rsidP="0028022E">
            <w:pPr>
              <w:suppressAutoHyphens/>
              <w:autoSpaceDE w:val="0"/>
              <w:autoSpaceDN w:val="0"/>
              <w:adjustRightInd w:val="0"/>
              <w:spacing w:after="0"/>
              <w:jc w:val="center"/>
            </w:pPr>
            <w:r w:rsidRPr="00C06F2E">
              <w:t>0</w:t>
            </w:r>
          </w:p>
        </w:tc>
        <w:tc>
          <w:tcPr>
            <w:tcW w:w="635" w:type="dxa"/>
          </w:tcPr>
          <w:p w14:paraId="0C74E78B" w14:textId="77777777" w:rsidR="007370C6" w:rsidRPr="00C06F2E" w:rsidRDefault="007370C6" w:rsidP="0028022E">
            <w:pPr>
              <w:suppressAutoHyphens/>
              <w:autoSpaceDE w:val="0"/>
              <w:autoSpaceDN w:val="0"/>
              <w:adjustRightInd w:val="0"/>
              <w:spacing w:after="0"/>
              <w:jc w:val="center"/>
            </w:pPr>
          </w:p>
          <w:p w14:paraId="7BE36C3A" w14:textId="77777777" w:rsidR="007370C6" w:rsidRPr="00C06F2E" w:rsidRDefault="007370C6" w:rsidP="0028022E">
            <w:pPr>
              <w:suppressAutoHyphens/>
              <w:autoSpaceDE w:val="0"/>
              <w:autoSpaceDN w:val="0"/>
              <w:adjustRightInd w:val="0"/>
              <w:spacing w:after="0"/>
              <w:jc w:val="center"/>
            </w:pPr>
          </w:p>
          <w:p w14:paraId="5EBBD7C4" w14:textId="5EC96DE8" w:rsidR="007370C6" w:rsidRPr="00C06F2E" w:rsidRDefault="007370C6" w:rsidP="0028022E">
            <w:pPr>
              <w:suppressAutoHyphens/>
              <w:autoSpaceDE w:val="0"/>
              <w:autoSpaceDN w:val="0"/>
              <w:adjustRightInd w:val="0"/>
              <w:spacing w:after="0"/>
              <w:jc w:val="center"/>
            </w:pPr>
            <w:r w:rsidRPr="00C06F2E">
              <w:t>-</w:t>
            </w:r>
          </w:p>
          <w:p w14:paraId="67516D37" w14:textId="77777777" w:rsidR="007370C6" w:rsidRPr="00C06F2E" w:rsidRDefault="007370C6" w:rsidP="0028022E">
            <w:pPr>
              <w:suppressAutoHyphens/>
              <w:autoSpaceDE w:val="0"/>
              <w:autoSpaceDN w:val="0"/>
              <w:adjustRightInd w:val="0"/>
              <w:spacing w:after="0"/>
              <w:jc w:val="center"/>
            </w:pPr>
            <w:r w:rsidRPr="00C06F2E">
              <w:t>0</w:t>
            </w:r>
          </w:p>
        </w:tc>
        <w:tc>
          <w:tcPr>
            <w:tcW w:w="1559" w:type="dxa"/>
          </w:tcPr>
          <w:p w14:paraId="39D7D037" w14:textId="77777777" w:rsidR="007370C6" w:rsidRPr="00C06F2E" w:rsidRDefault="007370C6" w:rsidP="0028022E">
            <w:pPr>
              <w:suppressAutoHyphens/>
              <w:autoSpaceDE w:val="0"/>
              <w:autoSpaceDN w:val="0"/>
              <w:adjustRightInd w:val="0"/>
              <w:spacing w:after="0"/>
              <w:jc w:val="center"/>
            </w:pPr>
          </w:p>
          <w:p w14:paraId="275BA3C6" w14:textId="77777777" w:rsidR="007370C6" w:rsidRPr="00C06F2E" w:rsidRDefault="007370C6" w:rsidP="0028022E">
            <w:pPr>
              <w:suppressAutoHyphens/>
              <w:autoSpaceDE w:val="0"/>
              <w:autoSpaceDN w:val="0"/>
              <w:adjustRightInd w:val="0"/>
              <w:spacing w:after="0"/>
              <w:jc w:val="center"/>
            </w:pPr>
          </w:p>
          <w:p w14:paraId="748504A8" w14:textId="71193A6A" w:rsidR="007370C6" w:rsidRPr="00C06F2E" w:rsidRDefault="00D91E30" w:rsidP="0028022E">
            <w:pPr>
              <w:suppressAutoHyphens/>
              <w:autoSpaceDE w:val="0"/>
              <w:autoSpaceDN w:val="0"/>
              <w:adjustRightInd w:val="0"/>
              <w:spacing w:after="0"/>
              <w:jc w:val="center"/>
            </w:pPr>
            <w:r w:rsidRPr="00C06F2E">
              <w:t>veľmi časté veľmi časté</w:t>
            </w:r>
          </w:p>
        </w:tc>
      </w:tr>
      <w:tr w:rsidR="00DC360C" w:rsidRPr="00C06F2E" w14:paraId="414B28E0" w14:textId="77777777" w:rsidTr="00717310">
        <w:trPr>
          <w:jc w:val="center"/>
        </w:trPr>
        <w:tc>
          <w:tcPr>
            <w:tcW w:w="3678" w:type="dxa"/>
          </w:tcPr>
          <w:p w14:paraId="50006CC1" w14:textId="41CB306C" w:rsidR="007370C6" w:rsidRPr="00C06F2E" w:rsidRDefault="00717310" w:rsidP="0028022E">
            <w:pPr>
              <w:suppressAutoHyphens/>
              <w:autoSpaceDE w:val="0"/>
              <w:autoSpaceDN w:val="0"/>
              <w:adjustRightInd w:val="0"/>
              <w:spacing w:after="0"/>
              <w:jc w:val="left"/>
              <w:rPr>
                <w:i/>
              </w:rPr>
            </w:pPr>
            <w:r w:rsidRPr="00C06F2E">
              <w:rPr>
                <w:i/>
              </w:rPr>
              <w:t>Poruchy g</w:t>
            </w:r>
            <w:r w:rsidR="007370C6" w:rsidRPr="00C06F2E">
              <w:rPr>
                <w:i/>
              </w:rPr>
              <w:t>astrointestin</w:t>
            </w:r>
            <w:r w:rsidRPr="00C06F2E">
              <w:rPr>
                <w:i/>
              </w:rPr>
              <w:t>á</w:t>
            </w:r>
            <w:r w:rsidR="007370C6" w:rsidRPr="00C06F2E">
              <w:rPr>
                <w:i/>
              </w:rPr>
              <w:t>l</w:t>
            </w:r>
            <w:r w:rsidRPr="00C06F2E">
              <w:rPr>
                <w:i/>
              </w:rPr>
              <w:t>neho traktu</w:t>
            </w:r>
          </w:p>
          <w:p w14:paraId="3B59198E" w14:textId="6940B08F" w:rsidR="007370C6" w:rsidRPr="00C06F2E" w:rsidRDefault="00717310" w:rsidP="0028022E">
            <w:pPr>
              <w:suppressAutoHyphens/>
              <w:autoSpaceDE w:val="0"/>
              <w:autoSpaceDN w:val="0"/>
              <w:adjustRightInd w:val="0"/>
              <w:spacing w:after="0"/>
              <w:ind w:firstLine="661"/>
            </w:pPr>
            <w:r w:rsidRPr="00C06F2E">
              <w:t>Hnačka</w:t>
            </w:r>
            <w:r w:rsidR="007370C6" w:rsidRPr="00C06F2E">
              <w:t>**</w:t>
            </w:r>
          </w:p>
          <w:p w14:paraId="64363693" w14:textId="47F097DC" w:rsidR="007370C6" w:rsidRPr="00C06F2E" w:rsidRDefault="007370C6" w:rsidP="0028022E">
            <w:pPr>
              <w:suppressAutoHyphens/>
              <w:autoSpaceDE w:val="0"/>
              <w:autoSpaceDN w:val="0"/>
              <w:adjustRightInd w:val="0"/>
              <w:spacing w:after="0"/>
              <w:ind w:firstLine="661"/>
            </w:pPr>
            <w:r w:rsidRPr="00C06F2E">
              <w:t>Nau</w:t>
            </w:r>
            <w:r w:rsidR="00717310" w:rsidRPr="00C06F2E">
              <w:t>z</w:t>
            </w:r>
            <w:r w:rsidRPr="00C06F2E">
              <w:t>ea</w:t>
            </w:r>
          </w:p>
          <w:p w14:paraId="0ED88504" w14:textId="1950B4AA" w:rsidR="007370C6" w:rsidRPr="00C06F2E" w:rsidRDefault="00717310" w:rsidP="0028022E">
            <w:pPr>
              <w:suppressAutoHyphens/>
              <w:autoSpaceDE w:val="0"/>
              <w:autoSpaceDN w:val="0"/>
              <w:adjustRightInd w:val="0"/>
              <w:spacing w:after="0"/>
              <w:ind w:firstLine="661"/>
            </w:pPr>
            <w:r w:rsidRPr="00C06F2E">
              <w:t>Vracanie</w:t>
            </w:r>
          </w:p>
          <w:p w14:paraId="2373953D" w14:textId="4EA40E5F" w:rsidR="007370C6" w:rsidRPr="00C06F2E" w:rsidRDefault="007370C6" w:rsidP="0028022E">
            <w:pPr>
              <w:suppressAutoHyphens/>
              <w:autoSpaceDE w:val="0"/>
              <w:autoSpaceDN w:val="0"/>
              <w:adjustRightInd w:val="0"/>
              <w:spacing w:after="0"/>
              <w:ind w:firstLine="661"/>
            </w:pPr>
            <w:r w:rsidRPr="00C06F2E">
              <w:t>Stomatit</w:t>
            </w:r>
            <w:r w:rsidR="00717310" w:rsidRPr="00C06F2E">
              <w:t>ída</w:t>
            </w:r>
          </w:p>
          <w:p w14:paraId="24311423" w14:textId="7F6A0941" w:rsidR="007370C6" w:rsidRPr="00C06F2E" w:rsidRDefault="007370C6" w:rsidP="0028022E">
            <w:pPr>
              <w:suppressAutoHyphens/>
              <w:autoSpaceDE w:val="0"/>
              <w:autoSpaceDN w:val="0"/>
              <w:adjustRightInd w:val="0"/>
              <w:spacing w:after="0"/>
              <w:ind w:firstLine="661"/>
            </w:pPr>
            <w:r w:rsidRPr="00C06F2E">
              <w:t>Abdomin</w:t>
            </w:r>
            <w:r w:rsidR="00717310" w:rsidRPr="00C06F2E">
              <w:t>á</w:t>
            </w:r>
            <w:r w:rsidRPr="00C06F2E">
              <w:t>l</w:t>
            </w:r>
            <w:r w:rsidR="00717310" w:rsidRPr="00C06F2E">
              <w:t>na bolesť</w:t>
            </w:r>
          </w:p>
          <w:p w14:paraId="09DE476D" w14:textId="77777777" w:rsidR="007370C6" w:rsidRPr="00C06F2E" w:rsidRDefault="007370C6" w:rsidP="0028022E">
            <w:pPr>
              <w:suppressAutoHyphens/>
              <w:autoSpaceDE w:val="0"/>
              <w:autoSpaceDN w:val="0"/>
              <w:adjustRightInd w:val="0"/>
              <w:spacing w:after="0"/>
              <w:ind w:firstLine="661"/>
            </w:pPr>
            <w:r w:rsidRPr="00C06F2E">
              <w:t>Dyspepsia</w:t>
            </w:r>
          </w:p>
          <w:p w14:paraId="2F66E9BB" w14:textId="40CE04DD" w:rsidR="007370C6" w:rsidRPr="00C06F2E" w:rsidRDefault="00717310" w:rsidP="0028022E">
            <w:pPr>
              <w:suppressAutoHyphens/>
              <w:autoSpaceDE w:val="0"/>
              <w:autoSpaceDN w:val="0"/>
              <w:adjustRightInd w:val="0"/>
              <w:spacing w:after="0"/>
              <w:ind w:firstLine="661"/>
            </w:pPr>
            <w:r w:rsidRPr="00C06F2E">
              <w:t>Plynatosť</w:t>
            </w:r>
          </w:p>
        </w:tc>
        <w:tc>
          <w:tcPr>
            <w:tcW w:w="1069" w:type="dxa"/>
          </w:tcPr>
          <w:p w14:paraId="1A216934" w14:textId="77777777" w:rsidR="007370C6" w:rsidRPr="00C06F2E" w:rsidRDefault="007370C6" w:rsidP="0028022E">
            <w:pPr>
              <w:suppressAutoHyphens/>
              <w:autoSpaceDE w:val="0"/>
              <w:autoSpaceDN w:val="0"/>
              <w:adjustRightInd w:val="0"/>
              <w:spacing w:after="0"/>
              <w:jc w:val="center"/>
            </w:pPr>
          </w:p>
          <w:p w14:paraId="0ECDA132" w14:textId="77777777" w:rsidR="007370C6" w:rsidRPr="00C06F2E" w:rsidRDefault="007370C6" w:rsidP="0028022E">
            <w:pPr>
              <w:suppressAutoHyphens/>
              <w:autoSpaceDE w:val="0"/>
              <w:autoSpaceDN w:val="0"/>
              <w:adjustRightInd w:val="0"/>
              <w:spacing w:after="0"/>
              <w:jc w:val="center"/>
            </w:pPr>
            <w:r w:rsidRPr="00C06F2E">
              <w:t>54</w:t>
            </w:r>
          </w:p>
          <w:p w14:paraId="01ADC293" w14:textId="77777777" w:rsidR="007370C6" w:rsidRPr="00C06F2E" w:rsidRDefault="007370C6" w:rsidP="0028022E">
            <w:pPr>
              <w:suppressAutoHyphens/>
              <w:autoSpaceDE w:val="0"/>
              <w:autoSpaceDN w:val="0"/>
              <w:adjustRightInd w:val="0"/>
              <w:spacing w:after="0"/>
              <w:jc w:val="center"/>
            </w:pPr>
            <w:r w:rsidRPr="00C06F2E">
              <w:t>33</w:t>
            </w:r>
          </w:p>
          <w:p w14:paraId="020E38DA" w14:textId="77777777" w:rsidR="007370C6" w:rsidRPr="00C06F2E" w:rsidRDefault="007370C6" w:rsidP="0028022E">
            <w:pPr>
              <w:suppressAutoHyphens/>
              <w:autoSpaceDE w:val="0"/>
              <w:autoSpaceDN w:val="0"/>
              <w:adjustRightInd w:val="0"/>
              <w:spacing w:after="0"/>
              <w:jc w:val="center"/>
            </w:pPr>
            <w:r w:rsidRPr="00C06F2E">
              <w:t>23</w:t>
            </w:r>
          </w:p>
          <w:p w14:paraId="76A7C68E" w14:textId="77777777" w:rsidR="007370C6" w:rsidRPr="00C06F2E" w:rsidRDefault="007370C6" w:rsidP="0028022E">
            <w:pPr>
              <w:suppressAutoHyphens/>
              <w:autoSpaceDE w:val="0"/>
              <w:autoSpaceDN w:val="0"/>
              <w:adjustRightInd w:val="0"/>
              <w:spacing w:after="0"/>
              <w:jc w:val="center"/>
            </w:pPr>
            <w:r w:rsidRPr="00C06F2E">
              <w:t>17</w:t>
            </w:r>
          </w:p>
          <w:p w14:paraId="1D7931BD" w14:textId="77777777" w:rsidR="007370C6" w:rsidRPr="00C06F2E" w:rsidRDefault="007370C6" w:rsidP="0028022E">
            <w:pPr>
              <w:suppressAutoHyphens/>
              <w:autoSpaceDE w:val="0"/>
              <w:autoSpaceDN w:val="0"/>
              <w:adjustRightInd w:val="0"/>
              <w:spacing w:after="0"/>
              <w:jc w:val="center"/>
            </w:pPr>
            <w:r w:rsidRPr="00C06F2E">
              <w:t>11</w:t>
            </w:r>
          </w:p>
          <w:p w14:paraId="4D75F11B" w14:textId="77777777" w:rsidR="007370C6" w:rsidRPr="00C06F2E" w:rsidRDefault="007370C6" w:rsidP="0028022E">
            <w:pPr>
              <w:suppressAutoHyphens/>
              <w:autoSpaceDE w:val="0"/>
              <w:autoSpaceDN w:val="0"/>
              <w:adjustRightInd w:val="0"/>
              <w:spacing w:after="0"/>
              <w:jc w:val="center"/>
            </w:pPr>
            <w:r w:rsidRPr="00C06F2E">
              <w:t>-</w:t>
            </w:r>
          </w:p>
          <w:p w14:paraId="40AF83A8" w14:textId="77777777" w:rsidR="007370C6" w:rsidRPr="00C06F2E" w:rsidRDefault="007370C6" w:rsidP="0028022E">
            <w:pPr>
              <w:suppressAutoHyphens/>
              <w:autoSpaceDE w:val="0"/>
              <w:autoSpaceDN w:val="0"/>
              <w:adjustRightInd w:val="0"/>
              <w:spacing w:after="0"/>
              <w:jc w:val="center"/>
            </w:pPr>
            <w:r w:rsidRPr="00C06F2E">
              <w:t>-</w:t>
            </w:r>
          </w:p>
        </w:tc>
        <w:tc>
          <w:tcPr>
            <w:tcW w:w="709" w:type="dxa"/>
          </w:tcPr>
          <w:p w14:paraId="285A9E9F" w14:textId="77777777" w:rsidR="007370C6" w:rsidRPr="00C06F2E" w:rsidRDefault="007370C6" w:rsidP="0028022E">
            <w:pPr>
              <w:suppressAutoHyphens/>
              <w:autoSpaceDE w:val="0"/>
              <w:autoSpaceDN w:val="0"/>
              <w:adjustRightInd w:val="0"/>
              <w:spacing w:after="0"/>
              <w:jc w:val="center"/>
            </w:pPr>
          </w:p>
          <w:p w14:paraId="37840464" w14:textId="77777777" w:rsidR="007370C6" w:rsidRPr="00C06F2E" w:rsidRDefault="007370C6" w:rsidP="0028022E">
            <w:pPr>
              <w:suppressAutoHyphens/>
              <w:autoSpaceDE w:val="0"/>
              <w:autoSpaceDN w:val="0"/>
              <w:adjustRightInd w:val="0"/>
              <w:spacing w:after="0"/>
              <w:jc w:val="center"/>
            </w:pPr>
            <w:r w:rsidRPr="00C06F2E">
              <w:t>6</w:t>
            </w:r>
          </w:p>
          <w:p w14:paraId="5EA946DE" w14:textId="77777777" w:rsidR="007370C6" w:rsidRPr="00C06F2E" w:rsidRDefault="007370C6" w:rsidP="0028022E">
            <w:pPr>
              <w:suppressAutoHyphens/>
              <w:autoSpaceDE w:val="0"/>
              <w:autoSpaceDN w:val="0"/>
              <w:adjustRightInd w:val="0"/>
              <w:spacing w:after="0"/>
              <w:jc w:val="center"/>
            </w:pPr>
            <w:r w:rsidRPr="00C06F2E">
              <w:t>3</w:t>
            </w:r>
          </w:p>
          <w:p w14:paraId="1F10AAFC" w14:textId="77777777" w:rsidR="007370C6" w:rsidRPr="00C06F2E" w:rsidRDefault="007370C6" w:rsidP="0028022E">
            <w:pPr>
              <w:suppressAutoHyphens/>
              <w:autoSpaceDE w:val="0"/>
              <w:autoSpaceDN w:val="0"/>
              <w:adjustRightInd w:val="0"/>
              <w:spacing w:after="0"/>
              <w:jc w:val="center"/>
            </w:pPr>
            <w:r w:rsidRPr="00C06F2E">
              <w:t>2</w:t>
            </w:r>
          </w:p>
          <w:p w14:paraId="5D7C5472" w14:textId="77777777" w:rsidR="007370C6" w:rsidRPr="00C06F2E" w:rsidRDefault="007370C6" w:rsidP="0028022E">
            <w:pPr>
              <w:suppressAutoHyphens/>
              <w:autoSpaceDE w:val="0"/>
              <w:autoSpaceDN w:val="0"/>
              <w:adjustRightInd w:val="0"/>
              <w:spacing w:after="0"/>
              <w:jc w:val="center"/>
            </w:pPr>
            <w:r w:rsidRPr="00C06F2E">
              <w:t>&lt; 1</w:t>
            </w:r>
          </w:p>
          <w:p w14:paraId="05C07D86" w14:textId="77777777" w:rsidR="007370C6" w:rsidRPr="00C06F2E" w:rsidRDefault="007370C6" w:rsidP="0028022E">
            <w:pPr>
              <w:suppressAutoHyphens/>
              <w:autoSpaceDE w:val="0"/>
              <w:autoSpaceDN w:val="0"/>
              <w:adjustRightInd w:val="0"/>
              <w:spacing w:after="0"/>
              <w:jc w:val="center"/>
            </w:pPr>
            <w:r w:rsidRPr="00C06F2E">
              <w:t>2</w:t>
            </w:r>
          </w:p>
          <w:p w14:paraId="449C2491" w14:textId="77777777" w:rsidR="007370C6" w:rsidRPr="00C06F2E" w:rsidRDefault="007370C6" w:rsidP="0028022E">
            <w:pPr>
              <w:suppressAutoHyphens/>
              <w:autoSpaceDE w:val="0"/>
              <w:autoSpaceDN w:val="0"/>
              <w:adjustRightInd w:val="0"/>
              <w:spacing w:after="0"/>
              <w:jc w:val="center"/>
            </w:pPr>
            <w:r w:rsidRPr="00C06F2E">
              <w:t>-</w:t>
            </w:r>
          </w:p>
          <w:p w14:paraId="3533B2EE" w14:textId="77777777" w:rsidR="007370C6" w:rsidRPr="00C06F2E" w:rsidRDefault="007370C6" w:rsidP="0028022E">
            <w:pPr>
              <w:suppressAutoHyphens/>
              <w:autoSpaceDE w:val="0"/>
              <w:autoSpaceDN w:val="0"/>
              <w:adjustRightInd w:val="0"/>
              <w:spacing w:after="0"/>
              <w:jc w:val="center"/>
            </w:pPr>
            <w:r w:rsidRPr="00C06F2E">
              <w:t>-</w:t>
            </w:r>
          </w:p>
        </w:tc>
        <w:tc>
          <w:tcPr>
            <w:tcW w:w="564" w:type="dxa"/>
          </w:tcPr>
          <w:p w14:paraId="1B642FA7" w14:textId="77777777" w:rsidR="007370C6" w:rsidRPr="00C06F2E" w:rsidRDefault="007370C6" w:rsidP="0028022E">
            <w:pPr>
              <w:suppressAutoHyphens/>
              <w:autoSpaceDE w:val="0"/>
              <w:autoSpaceDN w:val="0"/>
              <w:adjustRightInd w:val="0"/>
              <w:spacing w:after="0"/>
              <w:jc w:val="center"/>
            </w:pPr>
          </w:p>
          <w:p w14:paraId="6D84CF50" w14:textId="77777777" w:rsidR="007370C6" w:rsidRPr="00C06F2E" w:rsidRDefault="007370C6" w:rsidP="0028022E">
            <w:pPr>
              <w:suppressAutoHyphens/>
              <w:autoSpaceDE w:val="0"/>
              <w:autoSpaceDN w:val="0"/>
              <w:adjustRightInd w:val="0"/>
              <w:spacing w:after="0"/>
              <w:jc w:val="center"/>
            </w:pPr>
            <w:r w:rsidRPr="00C06F2E">
              <w:t>&lt; 1</w:t>
            </w:r>
          </w:p>
          <w:p w14:paraId="1B12325E" w14:textId="77777777" w:rsidR="007370C6" w:rsidRPr="00C06F2E" w:rsidRDefault="007370C6" w:rsidP="0028022E">
            <w:pPr>
              <w:suppressAutoHyphens/>
              <w:autoSpaceDE w:val="0"/>
              <w:autoSpaceDN w:val="0"/>
              <w:adjustRightInd w:val="0"/>
              <w:spacing w:after="0"/>
              <w:jc w:val="center"/>
            </w:pPr>
            <w:r w:rsidRPr="00C06F2E">
              <w:t>0</w:t>
            </w:r>
          </w:p>
          <w:p w14:paraId="2422EED5" w14:textId="77777777" w:rsidR="007370C6" w:rsidRPr="00C06F2E" w:rsidRDefault="007370C6" w:rsidP="0028022E">
            <w:pPr>
              <w:suppressAutoHyphens/>
              <w:autoSpaceDE w:val="0"/>
              <w:autoSpaceDN w:val="0"/>
              <w:adjustRightInd w:val="0"/>
              <w:spacing w:after="0"/>
              <w:jc w:val="center"/>
            </w:pPr>
            <w:r w:rsidRPr="00C06F2E">
              <w:t>&lt; 1</w:t>
            </w:r>
          </w:p>
          <w:p w14:paraId="6B311B12" w14:textId="77777777" w:rsidR="007370C6" w:rsidRPr="00C06F2E" w:rsidRDefault="007370C6" w:rsidP="0028022E">
            <w:pPr>
              <w:suppressAutoHyphens/>
              <w:autoSpaceDE w:val="0"/>
              <w:autoSpaceDN w:val="0"/>
              <w:adjustRightInd w:val="0"/>
              <w:spacing w:after="0"/>
              <w:jc w:val="center"/>
            </w:pPr>
            <w:r w:rsidRPr="00C06F2E">
              <w:t>0</w:t>
            </w:r>
          </w:p>
          <w:p w14:paraId="55E87C7F" w14:textId="77777777" w:rsidR="007370C6" w:rsidRPr="00C06F2E" w:rsidRDefault="007370C6" w:rsidP="0028022E">
            <w:pPr>
              <w:suppressAutoHyphens/>
              <w:autoSpaceDE w:val="0"/>
              <w:autoSpaceDN w:val="0"/>
              <w:adjustRightInd w:val="0"/>
              <w:spacing w:after="0"/>
              <w:jc w:val="center"/>
            </w:pPr>
            <w:r w:rsidRPr="00C06F2E">
              <w:t>&lt; 1</w:t>
            </w:r>
          </w:p>
          <w:p w14:paraId="52FCF0D2" w14:textId="77777777" w:rsidR="007370C6" w:rsidRPr="00C06F2E" w:rsidRDefault="007370C6" w:rsidP="0028022E">
            <w:pPr>
              <w:suppressAutoHyphens/>
              <w:autoSpaceDE w:val="0"/>
              <w:autoSpaceDN w:val="0"/>
              <w:adjustRightInd w:val="0"/>
              <w:spacing w:after="0"/>
              <w:jc w:val="center"/>
            </w:pPr>
            <w:r w:rsidRPr="00C06F2E">
              <w:t>-</w:t>
            </w:r>
          </w:p>
          <w:p w14:paraId="4CAF9C94" w14:textId="77777777" w:rsidR="007370C6" w:rsidRPr="00C06F2E" w:rsidRDefault="007370C6" w:rsidP="0028022E">
            <w:pPr>
              <w:suppressAutoHyphens/>
              <w:autoSpaceDE w:val="0"/>
              <w:autoSpaceDN w:val="0"/>
              <w:adjustRightInd w:val="0"/>
              <w:spacing w:after="0"/>
              <w:jc w:val="center"/>
            </w:pPr>
            <w:r w:rsidRPr="00C06F2E">
              <w:t>-</w:t>
            </w:r>
          </w:p>
        </w:tc>
        <w:tc>
          <w:tcPr>
            <w:tcW w:w="1279" w:type="dxa"/>
          </w:tcPr>
          <w:p w14:paraId="0816B003" w14:textId="77777777" w:rsidR="007370C6" w:rsidRPr="00C06F2E" w:rsidRDefault="007370C6" w:rsidP="0028022E">
            <w:pPr>
              <w:suppressAutoHyphens/>
              <w:autoSpaceDE w:val="0"/>
              <w:autoSpaceDN w:val="0"/>
              <w:adjustRightInd w:val="0"/>
              <w:spacing w:after="0"/>
              <w:jc w:val="center"/>
            </w:pPr>
          </w:p>
          <w:p w14:paraId="696B1930" w14:textId="708A4F18" w:rsidR="007370C6" w:rsidRPr="00C06F2E" w:rsidRDefault="007370C6" w:rsidP="0028022E">
            <w:pPr>
              <w:suppressAutoHyphens/>
              <w:autoSpaceDE w:val="0"/>
              <w:autoSpaceDN w:val="0"/>
              <w:adjustRightInd w:val="0"/>
              <w:spacing w:after="0"/>
              <w:jc w:val="center"/>
            </w:pPr>
            <w:r w:rsidRPr="00C06F2E">
              <w:t>48</w:t>
            </w:r>
          </w:p>
          <w:p w14:paraId="4CB225D2" w14:textId="0509488E" w:rsidR="007370C6" w:rsidRPr="00C06F2E" w:rsidRDefault="007370C6" w:rsidP="0028022E">
            <w:pPr>
              <w:suppressAutoHyphens/>
              <w:autoSpaceDE w:val="0"/>
              <w:autoSpaceDN w:val="0"/>
              <w:adjustRightInd w:val="0"/>
              <w:spacing w:after="0"/>
              <w:jc w:val="center"/>
            </w:pPr>
            <w:r w:rsidRPr="00C06F2E">
              <w:t>-</w:t>
            </w:r>
          </w:p>
          <w:p w14:paraId="6961CBE4" w14:textId="50311460" w:rsidR="007370C6" w:rsidRPr="00C06F2E" w:rsidRDefault="00DC360C" w:rsidP="0028022E">
            <w:pPr>
              <w:suppressAutoHyphens/>
              <w:autoSpaceDE w:val="0"/>
              <w:autoSpaceDN w:val="0"/>
              <w:adjustRightInd w:val="0"/>
              <w:spacing w:after="0"/>
              <w:jc w:val="center"/>
            </w:pPr>
            <w:r w:rsidRPr="00C06F2E">
              <w:t>-</w:t>
            </w:r>
          </w:p>
          <w:p w14:paraId="617383FD" w14:textId="1E52D1DE" w:rsidR="00DC360C" w:rsidRPr="00C06F2E" w:rsidRDefault="00DC360C" w:rsidP="0028022E">
            <w:pPr>
              <w:suppressAutoHyphens/>
              <w:autoSpaceDE w:val="0"/>
              <w:autoSpaceDN w:val="0"/>
              <w:adjustRightInd w:val="0"/>
              <w:spacing w:after="0"/>
              <w:jc w:val="center"/>
            </w:pPr>
            <w:r w:rsidRPr="00C06F2E">
              <w:t>22</w:t>
            </w:r>
          </w:p>
          <w:p w14:paraId="279B7AF8" w14:textId="77777777" w:rsidR="00DC360C" w:rsidRPr="00C06F2E" w:rsidRDefault="00DC360C" w:rsidP="0028022E">
            <w:pPr>
              <w:suppressAutoHyphens/>
              <w:autoSpaceDE w:val="0"/>
              <w:autoSpaceDN w:val="0"/>
              <w:adjustRightInd w:val="0"/>
              <w:spacing w:after="0"/>
              <w:jc w:val="center"/>
            </w:pPr>
            <w:r w:rsidRPr="00C06F2E">
              <w:t>-</w:t>
            </w:r>
          </w:p>
          <w:p w14:paraId="12C951D1" w14:textId="77777777" w:rsidR="00DC360C" w:rsidRPr="00C06F2E" w:rsidRDefault="00DC360C" w:rsidP="0028022E">
            <w:pPr>
              <w:suppressAutoHyphens/>
              <w:autoSpaceDE w:val="0"/>
              <w:autoSpaceDN w:val="0"/>
              <w:adjustRightInd w:val="0"/>
              <w:spacing w:after="0"/>
              <w:jc w:val="center"/>
            </w:pPr>
            <w:r w:rsidRPr="00C06F2E">
              <w:t>17</w:t>
            </w:r>
          </w:p>
          <w:p w14:paraId="50546A9C" w14:textId="6A4A032B" w:rsidR="007370C6" w:rsidRPr="00C06F2E" w:rsidRDefault="00DC360C" w:rsidP="0028022E">
            <w:pPr>
              <w:suppressAutoHyphens/>
              <w:autoSpaceDE w:val="0"/>
              <w:autoSpaceDN w:val="0"/>
              <w:adjustRightInd w:val="0"/>
              <w:spacing w:after="0"/>
              <w:jc w:val="center"/>
            </w:pPr>
            <w:r w:rsidRPr="00C06F2E">
              <w:t>13</w:t>
            </w:r>
          </w:p>
        </w:tc>
        <w:tc>
          <w:tcPr>
            <w:tcW w:w="567" w:type="dxa"/>
          </w:tcPr>
          <w:p w14:paraId="518AB88A" w14:textId="77777777" w:rsidR="007370C6" w:rsidRPr="00C06F2E" w:rsidRDefault="007370C6" w:rsidP="0028022E">
            <w:pPr>
              <w:suppressAutoHyphens/>
              <w:autoSpaceDE w:val="0"/>
              <w:autoSpaceDN w:val="0"/>
              <w:adjustRightInd w:val="0"/>
              <w:spacing w:after="0"/>
              <w:jc w:val="center"/>
            </w:pPr>
          </w:p>
          <w:p w14:paraId="51D6661D" w14:textId="28895689" w:rsidR="007370C6" w:rsidRPr="00C06F2E" w:rsidRDefault="00DC360C" w:rsidP="0028022E">
            <w:pPr>
              <w:suppressAutoHyphens/>
              <w:autoSpaceDE w:val="0"/>
              <w:autoSpaceDN w:val="0"/>
              <w:adjustRightInd w:val="0"/>
              <w:spacing w:after="0"/>
              <w:jc w:val="center"/>
            </w:pPr>
            <w:r w:rsidRPr="00C06F2E">
              <w:t>5</w:t>
            </w:r>
          </w:p>
          <w:p w14:paraId="29185A87" w14:textId="37C998CA" w:rsidR="007370C6" w:rsidRPr="00C06F2E" w:rsidRDefault="00DC360C" w:rsidP="0028022E">
            <w:pPr>
              <w:suppressAutoHyphens/>
              <w:autoSpaceDE w:val="0"/>
              <w:autoSpaceDN w:val="0"/>
              <w:adjustRightInd w:val="0"/>
              <w:spacing w:after="0"/>
              <w:jc w:val="center"/>
            </w:pPr>
            <w:r w:rsidRPr="00C06F2E">
              <w:t>-</w:t>
            </w:r>
          </w:p>
          <w:p w14:paraId="2655A76A" w14:textId="4BF7611D" w:rsidR="007370C6" w:rsidRPr="00C06F2E" w:rsidRDefault="00DC360C" w:rsidP="0028022E">
            <w:pPr>
              <w:suppressAutoHyphens/>
              <w:autoSpaceDE w:val="0"/>
              <w:autoSpaceDN w:val="0"/>
              <w:adjustRightInd w:val="0"/>
              <w:spacing w:after="0"/>
              <w:jc w:val="center"/>
            </w:pPr>
            <w:r w:rsidRPr="00C06F2E">
              <w:t>-</w:t>
            </w:r>
          </w:p>
          <w:p w14:paraId="3F045417" w14:textId="77777777" w:rsidR="00DC360C" w:rsidRPr="00C06F2E" w:rsidRDefault="00DC360C" w:rsidP="0028022E">
            <w:pPr>
              <w:suppressAutoHyphens/>
              <w:autoSpaceDE w:val="0"/>
              <w:autoSpaceDN w:val="0"/>
              <w:adjustRightInd w:val="0"/>
              <w:spacing w:after="0"/>
              <w:jc w:val="center"/>
            </w:pPr>
            <w:r w:rsidRPr="00C06F2E">
              <w:t>&lt; 1</w:t>
            </w:r>
          </w:p>
          <w:p w14:paraId="241AD43E" w14:textId="77777777" w:rsidR="00DC360C" w:rsidRPr="00C06F2E" w:rsidRDefault="00DC360C" w:rsidP="0028022E">
            <w:pPr>
              <w:suppressAutoHyphens/>
              <w:autoSpaceDE w:val="0"/>
              <w:autoSpaceDN w:val="0"/>
              <w:adjustRightInd w:val="0"/>
              <w:spacing w:after="0"/>
              <w:jc w:val="center"/>
            </w:pPr>
            <w:r w:rsidRPr="00C06F2E">
              <w:t>-</w:t>
            </w:r>
          </w:p>
          <w:p w14:paraId="344D18DA" w14:textId="77777777" w:rsidR="00DC360C" w:rsidRPr="00C06F2E" w:rsidRDefault="00DC360C" w:rsidP="0028022E">
            <w:pPr>
              <w:suppressAutoHyphens/>
              <w:autoSpaceDE w:val="0"/>
              <w:autoSpaceDN w:val="0"/>
              <w:adjustRightInd w:val="0"/>
              <w:spacing w:after="0"/>
              <w:jc w:val="center"/>
            </w:pPr>
            <w:r w:rsidRPr="00C06F2E">
              <w:t>&lt; 1</w:t>
            </w:r>
          </w:p>
          <w:p w14:paraId="20A94787" w14:textId="517AD28E" w:rsidR="007370C6" w:rsidRPr="00C06F2E" w:rsidRDefault="00DC360C" w:rsidP="0028022E">
            <w:pPr>
              <w:suppressAutoHyphens/>
              <w:autoSpaceDE w:val="0"/>
              <w:autoSpaceDN w:val="0"/>
              <w:adjustRightInd w:val="0"/>
              <w:spacing w:after="0"/>
              <w:jc w:val="center"/>
            </w:pPr>
            <w:r w:rsidRPr="00C06F2E">
              <w:t>0</w:t>
            </w:r>
          </w:p>
        </w:tc>
        <w:tc>
          <w:tcPr>
            <w:tcW w:w="635" w:type="dxa"/>
          </w:tcPr>
          <w:p w14:paraId="1929D372" w14:textId="77777777" w:rsidR="007370C6" w:rsidRPr="00C06F2E" w:rsidRDefault="007370C6" w:rsidP="0028022E">
            <w:pPr>
              <w:suppressAutoHyphens/>
              <w:autoSpaceDE w:val="0"/>
              <w:autoSpaceDN w:val="0"/>
              <w:adjustRightInd w:val="0"/>
              <w:spacing w:after="0"/>
              <w:jc w:val="center"/>
            </w:pPr>
          </w:p>
          <w:p w14:paraId="74A1883D" w14:textId="6FEC5FCF" w:rsidR="007370C6" w:rsidRPr="00C06F2E" w:rsidRDefault="00DC360C" w:rsidP="0028022E">
            <w:pPr>
              <w:suppressAutoHyphens/>
              <w:autoSpaceDE w:val="0"/>
              <w:autoSpaceDN w:val="0"/>
              <w:adjustRightInd w:val="0"/>
              <w:spacing w:after="0"/>
              <w:jc w:val="center"/>
            </w:pPr>
            <w:r w:rsidRPr="00C06F2E">
              <w:t>&lt; 1</w:t>
            </w:r>
          </w:p>
          <w:p w14:paraId="73F48577" w14:textId="5A247A50" w:rsidR="007370C6" w:rsidRPr="00C06F2E" w:rsidRDefault="00DC360C" w:rsidP="0028022E">
            <w:pPr>
              <w:suppressAutoHyphens/>
              <w:autoSpaceDE w:val="0"/>
              <w:autoSpaceDN w:val="0"/>
              <w:adjustRightInd w:val="0"/>
              <w:spacing w:after="0"/>
              <w:jc w:val="center"/>
            </w:pPr>
            <w:r w:rsidRPr="00C06F2E">
              <w:t>-</w:t>
            </w:r>
          </w:p>
          <w:p w14:paraId="06B1296F" w14:textId="4475417A" w:rsidR="007370C6" w:rsidRPr="00C06F2E" w:rsidRDefault="00DC360C" w:rsidP="0028022E">
            <w:pPr>
              <w:suppressAutoHyphens/>
              <w:autoSpaceDE w:val="0"/>
              <w:autoSpaceDN w:val="0"/>
              <w:adjustRightInd w:val="0"/>
              <w:spacing w:after="0"/>
              <w:jc w:val="center"/>
            </w:pPr>
            <w:r w:rsidRPr="00C06F2E">
              <w:t>-</w:t>
            </w:r>
          </w:p>
          <w:p w14:paraId="558F3CE6" w14:textId="77777777" w:rsidR="007370C6" w:rsidRPr="00C06F2E" w:rsidRDefault="007370C6" w:rsidP="0028022E">
            <w:pPr>
              <w:suppressAutoHyphens/>
              <w:autoSpaceDE w:val="0"/>
              <w:autoSpaceDN w:val="0"/>
              <w:adjustRightInd w:val="0"/>
              <w:spacing w:after="0"/>
              <w:jc w:val="center"/>
            </w:pPr>
            <w:r w:rsidRPr="00C06F2E">
              <w:t>0</w:t>
            </w:r>
          </w:p>
          <w:p w14:paraId="73201885" w14:textId="77777777" w:rsidR="00DC360C" w:rsidRPr="00C06F2E" w:rsidRDefault="00DC360C" w:rsidP="0028022E">
            <w:pPr>
              <w:suppressAutoHyphens/>
              <w:autoSpaceDE w:val="0"/>
              <w:autoSpaceDN w:val="0"/>
              <w:adjustRightInd w:val="0"/>
              <w:spacing w:after="0"/>
              <w:jc w:val="center"/>
            </w:pPr>
            <w:r w:rsidRPr="00C06F2E">
              <w:t>-</w:t>
            </w:r>
          </w:p>
          <w:p w14:paraId="3159A5C5" w14:textId="77777777" w:rsidR="00DC360C" w:rsidRPr="00C06F2E" w:rsidRDefault="00DC360C" w:rsidP="0028022E">
            <w:pPr>
              <w:suppressAutoHyphens/>
              <w:autoSpaceDE w:val="0"/>
              <w:autoSpaceDN w:val="0"/>
              <w:adjustRightInd w:val="0"/>
              <w:spacing w:after="0"/>
              <w:jc w:val="center"/>
            </w:pPr>
            <w:r w:rsidRPr="00C06F2E">
              <w:t>0</w:t>
            </w:r>
          </w:p>
          <w:p w14:paraId="57394F5B" w14:textId="7897429E" w:rsidR="007370C6" w:rsidRPr="00C06F2E" w:rsidRDefault="00DC360C" w:rsidP="0028022E">
            <w:pPr>
              <w:suppressAutoHyphens/>
              <w:autoSpaceDE w:val="0"/>
              <w:autoSpaceDN w:val="0"/>
              <w:adjustRightInd w:val="0"/>
              <w:spacing w:after="0"/>
              <w:jc w:val="center"/>
            </w:pPr>
            <w:r w:rsidRPr="00C06F2E">
              <w:t>0</w:t>
            </w:r>
          </w:p>
        </w:tc>
        <w:tc>
          <w:tcPr>
            <w:tcW w:w="1559" w:type="dxa"/>
          </w:tcPr>
          <w:p w14:paraId="4CA63943" w14:textId="77777777" w:rsidR="007370C6" w:rsidRPr="00C06F2E" w:rsidRDefault="007370C6" w:rsidP="0028022E">
            <w:pPr>
              <w:suppressAutoHyphens/>
              <w:autoSpaceDE w:val="0"/>
              <w:autoSpaceDN w:val="0"/>
              <w:adjustRightInd w:val="0"/>
              <w:spacing w:after="0"/>
              <w:jc w:val="center"/>
            </w:pPr>
          </w:p>
          <w:p w14:paraId="48A8AACB" w14:textId="7EAC5E21" w:rsidR="00DC360C" w:rsidRPr="00C06F2E" w:rsidRDefault="00D91E30" w:rsidP="0028022E">
            <w:pPr>
              <w:suppressAutoHyphens/>
              <w:autoSpaceDE w:val="0"/>
              <w:autoSpaceDN w:val="0"/>
              <w:adjustRightInd w:val="0"/>
              <w:spacing w:after="0"/>
              <w:jc w:val="center"/>
            </w:pPr>
            <w:r w:rsidRPr="00C06F2E">
              <w:t>veľmi časté veľmi časté</w:t>
            </w:r>
          </w:p>
          <w:p w14:paraId="4D901C98" w14:textId="7732DE9A" w:rsidR="00DC360C" w:rsidRPr="00C06F2E" w:rsidRDefault="00D91E30" w:rsidP="0028022E">
            <w:pPr>
              <w:suppressAutoHyphens/>
              <w:autoSpaceDE w:val="0"/>
              <w:autoSpaceDN w:val="0"/>
              <w:adjustRightInd w:val="0"/>
              <w:spacing w:after="0"/>
              <w:jc w:val="center"/>
            </w:pPr>
            <w:r w:rsidRPr="00C06F2E">
              <w:t>veľmi časté veľmi časté</w:t>
            </w:r>
          </w:p>
          <w:p w14:paraId="72986903" w14:textId="5F66008B" w:rsidR="00DC360C" w:rsidRPr="00C06F2E" w:rsidRDefault="00D91E30" w:rsidP="0028022E">
            <w:pPr>
              <w:suppressAutoHyphens/>
              <w:autoSpaceDE w:val="0"/>
              <w:autoSpaceDN w:val="0"/>
              <w:adjustRightInd w:val="0"/>
              <w:spacing w:after="0"/>
              <w:jc w:val="center"/>
            </w:pPr>
            <w:r w:rsidRPr="00C06F2E">
              <w:t>veľmi časté veľmi časté</w:t>
            </w:r>
          </w:p>
          <w:p w14:paraId="5C0184A9" w14:textId="2F33BD65" w:rsidR="00DC360C" w:rsidRPr="00C06F2E" w:rsidRDefault="00D91E30" w:rsidP="0028022E">
            <w:pPr>
              <w:suppressAutoHyphens/>
              <w:autoSpaceDE w:val="0"/>
              <w:autoSpaceDN w:val="0"/>
              <w:adjustRightInd w:val="0"/>
              <w:spacing w:after="0"/>
              <w:jc w:val="center"/>
            </w:pPr>
            <w:r w:rsidRPr="00C06F2E">
              <w:t>veľmi časté</w:t>
            </w:r>
          </w:p>
        </w:tc>
      </w:tr>
      <w:tr w:rsidR="00DC360C" w:rsidRPr="00C06F2E" w14:paraId="7DFF1DF5" w14:textId="77777777" w:rsidTr="00717310">
        <w:trPr>
          <w:jc w:val="center"/>
        </w:trPr>
        <w:tc>
          <w:tcPr>
            <w:tcW w:w="3678" w:type="dxa"/>
          </w:tcPr>
          <w:p w14:paraId="7B6BFF46" w14:textId="2ADB3B5F" w:rsidR="007370C6" w:rsidRPr="00C06F2E" w:rsidRDefault="00717310" w:rsidP="0028022E">
            <w:pPr>
              <w:suppressAutoHyphens/>
              <w:autoSpaceDE w:val="0"/>
              <w:autoSpaceDN w:val="0"/>
              <w:adjustRightInd w:val="0"/>
              <w:spacing w:after="0"/>
              <w:jc w:val="left"/>
              <w:rPr>
                <w:i/>
              </w:rPr>
            </w:pPr>
            <w:r w:rsidRPr="00C06F2E">
              <w:rPr>
                <w:i/>
              </w:rPr>
              <w:t>Poruchy kože a podkožného tkaniva</w:t>
            </w:r>
          </w:p>
          <w:p w14:paraId="792D21D4" w14:textId="193D2CC5" w:rsidR="007370C6" w:rsidRPr="00C06F2E" w:rsidRDefault="00717310" w:rsidP="0028022E">
            <w:pPr>
              <w:suppressAutoHyphens/>
              <w:autoSpaceDE w:val="0"/>
              <w:autoSpaceDN w:val="0"/>
              <w:adjustRightInd w:val="0"/>
              <w:spacing w:after="0"/>
              <w:ind w:firstLine="661"/>
              <w:jc w:val="left"/>
            </w:pPr>
            <w:r w:rsidRPr="00C06F2E">
              <w:t>Vyrážky</w:t>
            </w:r>
            <w:r w:rsidR="007370C6" w:rsidRPr="00C06F2E">
              <w:t>***</w:t>
            </w:r>
          </w:p>
          <w:p w14:paraId="5377B687" w14:textId="77777777" w:rsidR="007370C6" w:rsidRPr="00C06F2E" w:rsidRDefault="007370C6" w:rsidP="0028022E">
            <w:pPr>
              <w:suppressAutoHyphens/>
              <w:autoSpaceDE w:val="0"/>
              <w:autoSpaceDN w:val="0"/>
              <w:adjustRightInd w:val="0"/>
              <w:spacing w:after="0"/>
              <w:ind w:firstLine="661"/>
              <w:jc w:val="left"/>
            </w:pPr>
            <w:r w:rsidRPr="00C06F2E">
              <w:t>Pruritus</w:t>
            </w:r>
          </w:p>
          <w:p w14:paraId="32A24444" w14:textId="462B816D" w:rsidR="007370C6" w:rsidRPr="00C06F2E" w:rsidRDefault="00717310" w:rsidP="0028022E">
            <w:pPr>
              <w:suppressAutoHyphens/>
              <w:autoSpaceDE w:val="0"/>
              <w:autoSpaceDN w:val="0"/>
              <w:adjustRightInd w:val="0"/>
              <w:spacing w:after="0"/>
              <w:ind w:firstLine="661"/>
              <w:jc w:val="left"/>
            </w:pPr>
            <w:r w:rsidRPr="00C06F2E">
              <w:t>Suchá</w:t>
            </w:r>
            <w:r w:rsidR="007370C6" w:rsidRPr="00C06F2E">
              <w:t xml:space="preserve"> </w:t>
            </w:r>
            <w:r w:rsidRPr="00C06F2E">
              <w:t>koža</w:t>
            </w:r>
          </w:p>
          <w:p w14:paraId="1621BBC6" w14:textId="41AC189D" w:rsidR="00DC360C" w:rsidRPr="00C06F2E" w:rsidRDefault="00DC360C" w:rsidP="0028022E">
            <w:pPr>
              <w:suppressAutoHyphens/>
              <w:autoSpaceDE w:val="0"/>
              <w:autoSpaceDN w:val="0"/>
              <w:adjustRightInd w:val="0"/>
              <w:spacing w:after="0"/>
              <w:ind w:firstLine="661"/>
              <w:jc w:val="left"/>
            </w:pPr>
            <w:r w:rsidRPr="00C06F2E">
              <w:t>Alop</w:t>
            </w:r>
            <w:r w:rsidR="00717310" w:rsidRPr="00C06F2E">
              <w:t>é</w:t>
            </w:r>
            <w:r w:rsidRPr="00C06F2E">
              <w:t>cia</w:t>
            </w:r>
          </w:p>
        </w:tc>
        <w:tc>
          <w:tcPr>
            <w:tcW w:w="1069" w:type="dxa"/>
          </w:tcPr>
          <w:p w14:paraId="272D50F4" w14:textId="77777777" w:rsidR="007370C6" w:rsidRPr="00C06F2E" w:rsidRDefault="007370C6" w:rsidP="0028022E">
            <w:pPr>
              <w:suppressAutoHyphens/>
              <w:autoSpaceDE w:val="0"/>
              <w:autoSpaceDN w:val="0"/>
              <w:adjustRightInd w:val="0"/>
              <w:spacing w:after="0"/>
              <w:jc w:val="center"/>
            </w:pPr>
          </w:p>
          <w:p w14:paraId="1087790F" w14:textId="77777777" w:rsidR="007370C6" w:rsidRPr="00C06F2E" w:rsidRDefault="007370C6" w:rsidP="0028022E">
            <w:pPr>
              <w:suppressAutoHyphens/>
              <w:autoSpaceDE w:val="0"/>
              <w:autoSpaceDN w:val="0"/>
              <w:adjustRightInd w:val="0"/>
              <w:spacing w:after="0"/>
              <w:jc w:val="center"/>
            </w:pPr>
            <w:r w:rsidRPr="00C06F2E">
              <w:t>75</w:t>
            </w:r>
          </w:p>
          <w:p w14:paraId="383BF4D0" w14:textId="77777777" w:rsidR="007370C6" w:rsidRPr="00C06F2E" w:rsidRDefault="007370C6" w:rsidP="0028022E">
            <w:pPr>
              <w:suppressAutoHyphens/>
              <w:autoSpaceDE w:val="0"/>
              <w:autoSpaceDN w:val="0"/>
              <w:adjustRightInd w:val="0"/>
              <w:spacing w:after="0"/>
              <w:jc w:val="center"/>
            </w:pPr>
            <w:r w:rsidRPr="00C06F2E">
              <w:t>13</w:t>
            </w:r>
          </w:p>
          <w:p w14:paraId="6F2BAA86" w14:textId="77777777" w:rsidR="007370C6" w:rsidRPr="00C06F2E" w:rsidRDefault="007370C6" w:rsidP="0028022E">
            <w:pPr>
              <w:suppressAutoHyphens/>
              <w:autoSpaceDE w:val="0"/>
              <w:autoSpaceDN w:val="0"/>
              <w:adjustRightInd w:val="0"/>
              <w:spacing w:after="0"/>
              <w:jc w:val="center"/>
            </w:pPr>
            <w:r w:rsidRPr="00C06F2E">
              <w:t>12</w:t>
            </w:r>
          </w:p>
          <w:p w14:paraId="7939C426" w14:textId="77777777" w:rsidR="00DC360C" w:rsidRPr="00C06F2E" w:rsidRDefault="00DC360C" w:rsidP="0028022E">
            <w:pPr>
              <w:suppressAutoHyphens/>
              <w:autoSpaceDE w:val="0"/>
              <w:autoSpaceDN w:val="0"/>
              <w:adjustRightInd w:val="0"/>
              <w:spacing w:after="0"/>
              <w:jc w:val="center"/>
            </w:pPr>
            <w:r w:rsidRPr="00C06F2E">
              <w:t>-</w:t>
            </w:r>
          </w:p>
        </w:tc>
        <w:tc>
          <w:tcPr>
            <w:tcW w:w="709" w:type="dxa"/>
          </w:tcPr>
          <w:p w14:paraId="3826CE2E" w14:textId="77777777" w:rsidR="007370C6" w:rsidRPr="00C06F2E" w:rsidRDefault="007370C6" w:rsidP="0028022E">
            <w:pPr>
              <w:suppressAutoHyphens/>
              <w:autoSpaceDE w:val="0"/>
              <w:autoSpaceDN w:val="0"/>
              <w:adjustRightInd w:val="0"/>
              <w:spacing w:after="0"/>
              <w:jc w:val="center"/>
            </w:pPr>
          </w:p>
          <w:p w14:paraId="43C09599" w14:textId="77777777" w:rsidR="007370C6" w:rsidRPr="00C06F2E" w:rsidRDefault="007370C6" w:rsidP="0028022E">
            <w:pPr>
              <w:suppressAutoHyphens/>
              <w:autoSpaceDE w:val="0"/>
              <w:autoSpaceDN w:val="0"/>
              <w:adjustRightInd w:val="0"/>
              <w:spacing w:after="0"/>
              <w:jc w:val="center"/>
            </w:pPr>
            <w:r w:rsidRPr="00C06F2E">
              <w:t>8</w:t>
            </w:r>
          </w:p>
          <w:p w14:paraId="4E37F515" w14:textId="77777777" w:rsidR="007370C6" w:rsidRPr="00C06F2E" w:rsidRDefault="007370C6" w:rsidP="0028022E">
            <w:pPr>
              <w:suppressAutoHyphens/>
              <w:autoSpaceDE w:val="0"/>
              <w:autoSpaceDN w:val="0"/>
              <w:adjustRightInd w:val="0"/>
              <w:spacing w:after="0"/>
              <w:jc w:val="center"/>
            </w:pPr>
            <w:r w:rsidRPr="00C06F2E">
              <w:t>&lt; 1</w:t>
            </w:r>
          </w:p>
          <w:p w14:paraId="53C2130D" w14:textId="77777777" w:rsidR="007370C6" w:rsidRPr="00C06F2E" w:rsidRDefault="007370C6" w:rsidP="0028022E">
            <w:pPr>
              <w:suppressAutoHyphens/>
              <w:autoSpaceDE w:val="0"/>
              <w:autoSpaceDN w:val="0"/>
              <w:adjustRightInd w:val="0"/>
              <w:spacing w:after="0"/>
              <w:jc w:val="center"/>
            </w:pPr>
            <w:r w:rsidRPr="00C06F2E">
              <w:t>0</w:t>
            </w:r>
          </w:p>
          <w:p w14:paraId="5761AD31" w14:textId="77777777" w:rsidR="00DC360C" w:rsidRPr="00C06F2E" w:rsidRDefault="00DC360C" w:rsidP="0028022E">
            <w:pPr>
              <w:suppressAutoHyphens/>
              <w:autoSpaceDE w:val="0"/>
              <w:autoSpaceDN w:val="0"/>
              <w:adjustRightInd w:val="0"/>
              <w:spacing w:after="0"/>
              <w:jc w:val="center"/>
            </w:pPr>
            <w:r w:rsidRPr="00C06F2E">
              <w:t>-</w:t>
            </w:r>
          </w:p>
        </w:tc>
        <w:tc>
          <w:tcPr>
            <w:tcW w:w="564" w:type="dxa"/>
          </w:tcPr>
          <w:p w14:paraId="593E17FA" w14:textId="77777777" w:rsidR="007370C6" w:rsidRPr="00C06F2E" w:rsidRDefault="007370C6" w:rsidP="0028022E">
            <w:pPr>
              <w:suppressAutoHyphens/>
              <w:autoSpaceDE w:val="0"/>
              <w:autoSpaceDN w:val="0"/>
              <w:adjustRightInd w:val="0"/>
              <w:spacing w:after="0"/>
              <w:jc w:val="center"/>
            </w:pPr>
          </w:p>
          <w:p w14:paraId="3E2AB03B" w14:textId="77777777" w:rsidR="007370C6" w:rsidRPr="00C06F2E" w:rsidRDefault="007370C6" w:rsidP="0028022E">
            <w:pPr>
              <w:suppressAutoHyphens/>
              <w:autoSpaceDE w:val="0"/>
              <w:autoSpaceDN w:val="0"/>
              <w:adjustRightInd w:val="0"/>
              <w:spacing w:after="0"/>
              <w:jc w:val="center"/>
            </w:pPr>
            <w:r w:rsidRPr="00C06F2E">
              <w:t>&lt; 1</w:t>
            </w:r>
          </w:p>
          <w:p w14:paraId="06B79C2E" w14:textId="77777777" w:rsidR="007370C6" w:rsidRPr="00C06F2E" w:rsidRDefault="007370C6" w:rsidP="0028022E">
            <w:pPr>
              <w:suppressAutoHyphens/>
              <w:autoSpaceDE w:val="0"/>
              <w:autoSpaceDN w:val="0"/>
              <w:adjustRightInd w:val="0"/>
              <w:spacing w:after="0"/>
              <w:jc w:val="center"/>
            </w:pPr>
            <w:r w:rsidRPr="00C06F2E">
              <w:t>0</w:t>
            </w:r>
          </w:p>
          <w:p w14:paraId="4CEF54E5" w14:textId="77777777" w:rsidR="007370C6" w:rsidRPr="00C06F2E" w:rsidRDefault="007370C6" w:rsidP="0028022E">
            <w:pPr>
              <w:suppressAutoHyphens/>
              <w:autoSpaceDE w:val="0"/>
              <w:autoSpaceDN w:val="0"/>
              <w:adjustRightInd w:val="0"/>
              <w:spacing w:after="0"/>
              <w:jc w:val="center"/>
            </w:pPr>
            <w:r w:rsidRPr="00C06F2E">
              <w:t>0</w:t>
            </w:r>
          </w:p>
          <w:p w14:paraId="1498BA46" w14:textId="77777777" w:rsidR="00DC360C" w:rsidRPr="00C06F2E" w:rsidRDefault="00DC360C" w:rsidP="0028022E">
            <w:pPr>
              <w:suppressAutoHyphens/>
              <w:autoSpaceDE w:val="0"/>
              <w:autoSpaceDN w:val="0"/>
              <w:adjustRightInd w:val="0"/>
              <w:spacing w:after="0"/>
              <w:jc w:val="center"/>
            </w:pPr>
            <w:r w:rsidRPr="00C06F2E">
              <w:t>-</w:t>
            </w:r>
          </w:p>
        </w:tc>
        <w:tc>
          <w:tcPr>
            <w:tcW w:w="1279" w:type="dxa"/>
          </w:tcPr>
          <w:p w14:paraId="422EC42E" w14:textId="77777777" w:rsidR="007370C6" w:rsidRPr="00C06F2E" w:rsidRDefault="007370C6" w:rsidP="0028022E">
            <w:pPr>
              <w:suppressAutoHyphens/>
              <w:autoSpaceDE w:val="0"/>
              <w:autoSpaceDN w:val="0"/>
              <w:adjustRightInd w:val="0"/>
              <w:spacing w:after="0"/>
              <w:jc w:val="center"/>
            </w:pPr>
          </w:p>
          <w:p w14:paraId="1728EDC2" w14:textId="5DE39551" w:rsidR="007370C6" w:rsidRPr="00C06F2E" w:rsidRDefault="00DC360C" w:rsidP="0028022E">
            <w:pPr>
              <w:suppressAutoHyphens/>
              <w:autoSpaceDE w:val="0"/>
              <w:autoSpaceDN w:val="0"/>
              <w:adjustRightInd w:val="0"/>
              <w:spacing w:after="0"/>
              <w:jc w:val="center"/>
            </w:pPr>
            <w:r w:rsidRPr="00C06F2E">
              <w:t>69</w:t>
            </w:r>
          </w:p>
          <w:p w14:paraId="1835E52D" w14:textId="7EE4303E" w:rsidR="007370C6" w:rsidRPr="00C06F2E" w:rsidRDefault="00DC360C" w:rsidP="0028022E">
            <w:pPr>
              <w:suppressAutoHyphens/>
              <w:autoSpaceDE w:val="0"/>
              <w:autoSpaceDN w:val="0"/>
              <w:adjustRightInd w:val="0"/>
              <w:spacing w:after="0"/>
              <w:jc w:val="center"/>
            </w:pPr>
            <w:r w:rsidRPr="00C06F2E">
              <w:t>-</w:t>
            </w:r>
          </w:p>
          <w:p w14:paraId="66A59D94" w14:textId="77777777" w:rsidR="00DC360C" w:rsidRPr="00C06F2E" w:rsidRDefault="00DC360C" w:rsidP="0028022E">
            <w:pPr>
              <w:suppressAutoHyphens/>
              <w:autoSpaceDE w:val="0"/>
              <w:autoSpaceDN w:val="0"/>
              <w:adjustRightInd w:val="0"/>
              <w:spacing w:after="0"/>
              <w:jc w:val="center"/>
            </w:pPr>
            <w:r w:rsidRPr="00C06F2E">
              <w:t>-</w:t>
            </w:r>
          </w:p>
          <w:p w14:paraId="7A9B1360" w14:textId="131BC957" w:rsidR="007370C6" w:rsidRPr="00C06F2E" w:rsidRDefault="00DC360C" w:rsidP="0028022E">
            <w:pPr>
              <w:suppressAutoHyphens/>
              <w:autoSpaceDE w:val="0"/>
              <w:autoSpaceDN w:val="0"/>
              <w:adjustRightInd w:val="0"/>
              <w:spacing w:after="0"/>
              <w:jc w:val="center"/>
            </w:pPr>
            <w:r w:rsidRPr="00C06F2E">
              <w:t>14</w:t>
            </w:r>
          </w:p>
        </w:tc>
        <w:tc>
          <w:tcPr>
            <w:tcW w:w="567" w:type="dxa"/>
          </w:tcPr>
          <w:p w14:paraId="2A433732" w14:textId="77777777" w:rsidR="007370C6" w:rsidRPr="00C06F2E" w:rsidRDefault="007370C6" w:rsidP="0028022E">
            <w:pPr>
              <w:suppressAutoHyphens/>
              <w:autoSpaceDE w:val="0"/>
              <w:autoSpaceDN w:val="0"/>
              <w:adjustRightInd w:val="0"/>
              <w:spacing w:after="0"/>
              <w:jc w:val="center"/>
            </w:pPr>
          </w:p>
          <w:p w14:paraId="6FA9539A" w14:textId="2C07CA2D" w:rsidR="007370C6" w:rsidRPr="00C06F2E" w:rsidRDefault="00DC360C" w:rsidP="0028022E">
            <w:pPr>
              <w:suppressAutoHyphens/>
              <w:autoSpaceDE w:val="0"/>
              <w:autoSpaceDN w:val="0"/>
              <w:adjustRightInd w:val="0"/>
              <w:spacing w:after="0"/>
              <w:jc w:val="center"/>
            </w:pPr>
            <w:r w:rsidRPr="00C06F2E">
              <w:t>5</w:t>
            </w:r>
          </w:p>
          <w:p w14:paraId="4DF91E00" w14:textId="41E3E355" w:rsidR="007370C6" w:rsidRPr="00C06F2E" w:rsidRDefault="00DC360C" w:rsidP="0028022E">
            <w:pPr>
              <w:suppressAutoHyphens/>
              <w:autoSpaceDE w:val="0"/>
              <w:autoSpaceDN w:val="0"/>
              <w:adjustRightInd w:val="0"/>
              <w:spacing w:after="0"/>
              <w:jc w:val="center"/>
            </w:pPr>
            <w:r w:rsidRPr="00C06F2E">
              <w:t>-</w:t>
            </w:r>
          </w:p>
          <w:p w14:paraId="6900C4EF" w14:textId="77777777" w:rsidR="00DC360C" w:rsidRPr="00C06F2E" w:rsidRDefault="00DC360C" w:rsidP="0028022E">
            <w:pPr>
              <w:suppressAutoHyphens/>
              <w:autoSpaceDE w:val="0"/>
              <w:autoSpaceDN w:val="0"/>
              <w:adjustRightInd w:val="0"/>
              <w:spacing w:after="0"/>
              <w:jc w:val="center"/>
            </w:pPr>
            <w:r w:rsidRPr="00C06F2E">
              <w:t>-</w:t>
            </w:r>
          </w:p>
          <w:p w14:paraId="5D8FE3FB" w14:textId="5E951C8D" w:rsidR="007370C6" w:rsidRPr="00C06F2E" w:rsidRDefault="00DC360C" w:rsidP="0028022E">
            <w:pPr>
              <w:suppressAutoHyphens/>
              <w:autoSpaceDE w:val="0"/>
              <w:autoSpaceDN w:val="0"/>
              <w:adjustRightInd w:val="0"/>
              <w:spacing w:after="0"/>
              <w:jc w:val="center"/>
            </w:pPr>
            <w:r w:rsidRPr="00C06F2E">
              <w:t>0</w:t>
            </w:r>
          </w:p>
        </w:tc>
        <w:tc>
          <w:tcPr>
            <w:tcW w:w="635" w:type="dxa"/>
          </w:tcPr>
          <w:p w14:paraId="742A083F" w14:textId="77777777" w:rsidR="007370C6" w:rsidRPr="00C06F2E" w:rsidRDefault="007370C6" w:rsidP="0028022E">
            <w:pPr>
              <w:suppressAutoHyphens/>
              <w:autoSpaceDE w:val="0"/>
              <w:autoSpaceDN w:val="0"/>
              <w:adjustRightInd w:val="0"/>
              <w:spacing w:after="0"/>
              <w:jc w:val="center"/>
            </w:pPr>
          </w:p>
          <w:p w14:paraId="0B8B4097" w14:textId="77777777" w:rsidR="007370C6" w:rsidRPr="00C06F2E" w:rsidRDefault="007370C6" w:rsidP="0028022E">
            <w:pPr>
              <w:suppressAutoHyphens/>
              <w:autoSpaceDE w:val="0"/>
              <w:autoSpaceDN w:val="0"/>
              <w:adjustRightInd w:val="0"/>
              <w:spacing w:after="0"/>
              <w:jc w:val="center"/>
            </w:pPr>
            <w:r w:rsidRPr="00C06F2E">
              <w:t>0</w:t>
            </w:r>
          </w:p>
          <w:p w14:paraId="7839A350" w14:textId="197543E9" w:rsidR="007370C6" w:rsidRPr="00C06F2E" w:rsidRDefault="00DC360C" w:rsidP="0028022E">
            <w:pPr>
              <w:suppressAutoHyphens/>
              <w:autoSpaceDE w:val="0"/>
              <w:autoSpaceDN w:val="0"/>
              <w:adjustRightInd w:val="0"/>
              <w:spacing w:after="0"/>
              <w:jc w:val="center"/>
            </w:pPr>
            <w:r w:rsidRPr="00C06F2E">
              <w:t>-</w:t>
            </w:r>
          </w:p>
          <w:p w14:paraId="563B38AF" w14:textId="77777777" w:rsidR="00DC360C" w:rsidRPr="00C06F2E" w:rsidRDefault="00DC360C" w:rsidP="0028022E">
            <w:pPr>
              <w:suppressAutoHyphens/>
              <w:autoSpaceDE w:val="0"/>
              <w:autoSpaceDN w:val="0"/>
              <w:adjustRightInd w:val="0"/>
              <w:spacing w:after="0"/>
              <w:jc w:val="center"/>
            </w:pPr>
            <w:r w:rsidRPr="00C06F2E">
              <w:t>-</w:t>
            </w:r>
          </w:p>
          <w:p w14:paraId="38FA7EE5" w14:textId="42BB10B2" w:rsidR="007370C6" w:rsidRPr="00C06F2E" w:rsidRDefault="00DC360C" w:rsidP="0028022E">
            <w:pPr>
              <w:suppressAutoHyphens/>
              <w:autoSpaceDE w:val="0"/>
              <w:autoSpaceDN w:val="0"/>
              <w:adjustRightInd w:val="0"/>
              <w:spacing w:after="0"/>
              <w:jc w:val="center"/>
            </w:pPr>
            <w:r w:rsidRPr="00C06F2E">
              <w:t>0</w:t>
            </w:r>
          </w:p>
        </w:tc>
        <w:tc>
          <w:tcPr>
            <w:tcW w:w="1559" w:type="dxa"/>
          </w:tcPr>
          <w:p w14:paraId="7CE2F18D" w14:textId="77777777" w:rsidR="007370C6" w:rsidRPr="00C06F2E" w:rsidRDefault="007370C6" w:rsidP="0028022E">
            <w:pPr>
              <w:suppressAutoHyphens/>
              <w:autoSpaceDE w:val="0"/>
              <w:autoSpaceDN w:val="0"/>
              <w:adjustRightInd w:val="0"/>
              <w:spacing w:after="0"/>
              <w:jc w:val="center"/>
            </w:pPr>
          </w:p>
          <w:p w14:paraId="70DB9976" w14:textId="499781B0" w:rsidR="00DC360C" w:rsidRPr="00C06F2E" w:rsidRDefault="00D91E30" w:rsidP="0028022E">
            <w:pPr>
              <w:suppressAutoHyphens/>
              <w:autoSpaceDE w:val="0"/>
              <w:autoSpaceDN w:val="0"/>
              <w:adjustRightInd w:val="0"/>
              <w:spacing w:after="0"/>
              <w:jc w:val="center"/>
            </w:pPr>
            <w:r w:rsidRPr="00C06F2E">
              <w:t>veľmi časté veľmi časté</w:t>
            </w:r>
          </w:p>
          <w:p w14:paraId="66419BB3" w14:textId="1254AC04" w:rsidR="00DC360C" w:rsidRPr="00C06F2E" w:rsidRDefault="00D91E30" w:rsidP="0028022E">
            <w:pPr>
              <w:suppressAutoHyphens/>
              <w:autoSpaceDE w:val="0"/>
              <w:autoSpaceDN w:val="0"/>
              <w:adjustRightInd w:val="0"/>
              <w:spacing w:after="0"/>
              <w:jc w:val="center"/>
            </w:pPr>
            <w:r w:rsidRPr="00C06F2E">
              <w:t>veľmi časté veľmi časté</w:t>
            </w:r>
          </w:p>
        </w:tc>
      </w:tr>
      <w:tr w:rsidR="00DC360C" w:rsidRPr="00C06F2E" w14:paraId="00A0E14B" w14:textId="77777777" w:rsidTr="00717310">
        <w:trPr>
          <w:jc w:val="center"/>
        </w:trPr>
        <w:tc>
          <w:tcPr>
            <w:tcW w:w="3678" w:type="dxa"/>
          </w:tcPr>
          <w:p w14:paraId="3F2D2A7A" w14:textId="263F6A31" w:rsidR="007370C6" w:rsidRPr="00C06F2E" w:rsidRDefault="00717310" w:rsidP="0028022E">
            <w:pPr>
              <w:suppressAutoHyphens/>
              <w:autoSpaceDE w:val="0"/>
              <w:autoSpaceDN w:val="0"/>
              <w:adjustRightInd w:val="0"/>
              <w:spacing w:after="0"/>
              <w:jc w:val="left"/>
              <w:rPr>
                <w:i/>
                <w:lang w:val="pl-PL"/>
              </w:rPr>
            </w:pPr>
            <w:r w:rsidRPr="00C06F2E">
              <w:rPr>
                <w:i/>
                <w:lang w:val="pl-PL"/>
              </w:rPr>
              <w:t>Celkové poruchy a reakcie v mieste podania</w:t>
            </w:r>
          </w:p>
          <w:p w14:paraId="42C36881" w14:textId="1A23A803" w:rsidR="007370C6" w:rsidRPr="00C06F2E" w:rsidRDefault="00717310" w:rsidP="0028022E">
            <w:pPr>
              <w:suppressAutoHyphens/>
              <w:autoSpaceDE w:val="0"/>
              <w:autoSpaceDN w:val="0"/>
              <w:adjustRightInd w:val="0"/>
              <w:spacing w:after="0"/>
              <w:ind w:left="661"/>
              <w:jc w:val="left"/>
            </w:pPr>
            <w:r w:rsidRPr="00C06F2E">
              <w:t>Únava</w:t>
            </w:r>
          </w:p>
          <w:p w14:paraId="5D8D0310" w14:textId="77777777" w:rsidR="00DC360C" w:rsidRPr="00C06F2E" w:rsidRDefault="00DC360C" w:rsidP="0028022E">
            <w:pPr>
              <w:suppressAutoHyphens/>
              <w:autoSpaceDE w:val="0"/>
              <w:autoSpaceDN w:val="0"/>
              <w:adjustRightInd w:val="0"/>
              <w:spacing w:after="0"/>
              <w:ind w:left="661"/>
              <w:jc w:val="left"/>
            </w:pPr>
            <w:r w:rsidRPr="00C06F2E">
              <w:t>Pyrexia</w:t>
            </w:r>
          </w:p>
          <w:p w14:paraId="05BB73BA" w14:textId="0FC08591" w:rsidR="00DC360C" w:rsidRPr="00C06F2E" w:rsidRDefault="00717310" w:rsidP="0028022E">
            <w:pPr>
              <w:suppressAutoHyphens/>
              <w:autoSpaceDE w:val="0"/>
              <w:autoSpaceDN w:val="0"/>
              <w:adjustRightInd w:val="0"/>
              <w:spacing w:after="0"/>
              <w:ind w:left="661"/>
              <w:jc w:val="left"/>
            </w:pPr>
            <w:r w:rsidRPr="00C06F2E">
              <w:t>Stuhnutosť</w:t>
            </w:r>
          </w:p>
        </w:tc>
        <w:tc>
          <w:tcPr>
            <w:tcW w:w="1069" w:type="dxa"/>
          </w:tcPr>
          <w:p w14:paraId="0353642A" w14:textId="77777777" w:rsidR="007370C6" w:rsidRPr="00C06F2E" w:rsidRDefault="007370C6" w:rsidP="0028022E">
            <w:pPr>
              <w:suppressAutoHyphens/>
              <w:autoSpaceDE w:val="0"/>
              <w:autoSpaceDN w:val="0"/>
              <w:adjustRightInd w:val="0"/>
              <w:spacing w:after="0"/>
              <w:jc w:val="center"/>
            </w:pPr>
          </w:p>
          <w:p w14:paraId="31365E93" w14:textId="77777777" w:rsidR="007370C6" w:rsidRPr="00C06F2E" w:rsidRDefault="007370C6" w:rsidP="0028022E">
            <w:pPr>
              <w:suppressAutoHyphens/>
              <w:autoSpaceDE w:val="0"/>
              <w:autoSpaceDN w:val="0"/>
              <w:adjustRightInd w:val="0"/>
              <w:spacing w:after="0"/>
              <w:jc w:val="center"/>
            </w:pPr>
          </w:p>
          <w:p w14:paraId="0DD6F38A" w14:textId="77777777" w:rsidR="007370C6" w:rsidRPr="00C06F2E" w:rsidRDefault="007370C6" w:rsidP="0028022E">
            <w:pPr>
              <w:suppressAutoHyphens/>
              <w:autoSpaceDE w:val="0"/>
              <w:autoSpaceDN w:val="0"/>
              <w:adjustRightInd w:val="0"/>
              <w:spacing w:after="0"/>
              <w:jc w:val="center"/>
            </w:pPr>
            <w:r w:rsidRPr="00C06F2E">
              <w:t>52</w:t>
            </w:r>
          </w:p>
          <w:p w14:paraId="0A49C037" w14:textId="77777777" w:rsidR="00DC360C" w:rsidRPr="00C06F2E" w:rsidRDefault="00DC360C" w:rsidP="0028022E">
            <w:pPr>
              <w:suppressAutoHyphens/>
              <w:autoSpaceDE w:val="0"/>
              <w:autoSpaceDN w:val="0"/>
              <w:adjustRightInd w:val="0"/>
              <w:spacing w:after="0"/>
              <w:jc w:val="center"/>
            </w:pPr>
            <w:r w:rsidRPr="00C06F2E">
              <w:t>-</w:t>
            </w:r>
          </w:p>
          <w:p w14:paraId="4A5FB19B" w14:textId="77777777" w:rsidR="00DC360C" w:rsidRPr="00C06F2E" w:rsidRDefault="00DC360C" w:rsidP="0028022E">
            <w:pPr>
              <w:suppressAutoHyphens/>
              <w:autoSpaceDE w:val="0"/>
              <w:autoSpaceDN w:val="0"/>
              <w:adjustRightInd w:val="0"/>
              <w:spacing w:after="0"/>
              <w:jc w:val="center"/>
            </w:pPr>
            <w:r w:rsidRPr="00C06F2E">
              <w:t>-</w:t>
            </w:r>
          </w:p>
        </w:tc>
        <w:tc>
          <w:tcPr>
            <w:tcW w:w="709" w:type="dxa"/>
          </w:tcPr>
          <w:p w14:paraId="542D66EB" w14:textId="77777777" w:rsidR="007370C6" w:rsidRPr="00C06F2E" w:rsidRDefault="007370C6" w:rsidP="0028022E">
            <w:pPr>
              <w:suppressAutoHyphens/>
              <w:autoSpaceDE w:val="0"/>
              <w:autoSpaceDN w:val="0"/>
              <w:adjustRightInd w:val="0"/>
              <w:spacing w:after="0"/>
              <w:jc w:val="center"/>
            </w:pPr>
          </w:p>
          <w:p w14:paraId="6CD21684" w14:textId="77777777" w:rsidR="007370C6" w:rsidRPr="00C06F2E" w:rsidRDefault="007370C6" w:rsidP="0028022E">
            <w:pPr>
              <w:suppressAutoHyphens/>
              <w:autoSpaceDE w:val="0"/>
              <w:autoSpaceDN w:val="0"/>
              <w:adjustRightInd w:val="0"/>
              <w:spacing w:after="0"/>
              <w:jc w:val="center"/>
            </w:pPr>
          </w:p>
          <w:p w14:paraId="52B6BB4A" w14:textId="77777777" w:rsidR="007370C6" w:rsidRPr="00C06F2E" w:rsidRDefault="007370C6" w:rsidP="0028022E">
            <w:pPr>
              <w:suppressAutoHyphens/>
              <w:autoSpaceDE w:val="0"/>
              <w:autoSpaceDN w:val="0"/>
              <w:adjustRightInd w:val="0"/>
              <w:spacing w:after="0"/>
              <w:jc w:val="center"/>
            </w:pPr>
            <w:r w:rsidRPr="00C06F2E">
              <w:t>14</w:t>
            </w:r>
          </w:p>
          <w:p w14:paraId="473BF11B" w14:textId="77777777" w:rsidR="00DC360C" w:rsidRPr="00C06F2E" w:rsidRDefault="00DC360C" w:rsidP="0028022E">
            <w:pPr>
              <w:suppressAutoHyphens/>
              <w:autoSpaceDE w:val="0"/>
              <w:autoSpaceDN w:val="0"/>
              <w:adjustRightInd w:val="0"/>
              <w:spacing w:after="0"/>
              <w:jc w:val="center"/>
            </w:pPr>
            <w:r w:rsidRPr="00C06F2E">
              <w:t>-</w:t>
            </w:r>
          </w:p>
          <w:p w14:paraId="619D6FE0" w14:textId="77777777" w:rsidR="00DC360C" w:rsidRPr="00C06F2E" w:rsidRDefault="00DC360C" w:rsidP="0028022E">
            <w:pPr>
              <w:suppressAutoHyphens/>
              <w:autoSpaceDE w:val="0"/>
              <w:autoSpaceDN w:val="0"/>
              <w:adjustRightInd w:val="0"/>
              <w:spacing w:after="0"/>
              <w:jc w:val="center"/>
            </w:pPr>
            <w:r w:rsidRPr="00C06F2E">
              <w:t>-</w:t>
            </w:r>
          </w:p>
        </w:tc>
        <w:tc>
          <w:tcPr>
            <w:tcW w:w="564" w:type="dxa"/>
          </w:tcPr>
          <w:p w14:paraId="6FD9C0C2" w14:textId="77777777" w:rsidR="007370C6" w:rsidRPr="00C06F2E" w:rsidRDefault="007370C6" w:rsidP="0028022E">
            <w:pPr>
              <w:suppressAutoHyphens/>
              <w:autoSpaceDE w:val="0"/>
              <w:autoSpaceDN w:val="0"/>
              <w:adjustRightInd w:val="0"/>
              <w:spacing w:after="0"/>
              <w:jc w:val="center"/>
            </w:pPr>
          </w:p>
          <w:p w14:paraId="0FC4D142" w14:textId="77777777" w:rsidR="007370C6" w:rsidRPr="00C06F2E" w:rsidRDefault="007370C6" w:rsidP="0028022E">
            <w:pPr>
              <w:suppressAutoHyphens/>
              <w:autoSpaceDE w:val="0"/>
              <w:autoSpaceDN w:val="0"/>
              <w:adjustRightInd w:val="0"/>
              <w:spacing w:after="0"/>
              <w:jc w:val="center"/>
            </w:pPr>
          </w:p>
          <w:p w14:paraId="0C9C9158" w14:textId="77777777" w:rsidR="007370C6" w:rsidRPr="00C06F2E" w:rsidRDefault="007370C6" w:rsidP="0028022E">
            <w:pPr>
              <w:suppressAutoHyphens/>
              <w:autoSpaceDE w:val="0"/>
              <w:autoSpaceDN w:val="0"/>
              <w:adjustRightInd w:val="0"/>
              <w:spacing w:after="0"/>
              <w:jc w:val="center"/>
            </w:pPr>
            <w:r w:rsidRPr="00C06F2E">
              <w:t>4</w:t>
            </w:r>
          </w:p>
          <w:p w14:paraId="6D809191" w14:textId="77777777" w:rsidR="00DC360C" w:rsidRPr="00C06F2E" w:rsidRDefault="00DC360C" w:rsidP="0028022E">
            <w:pPr>
              <w:suppressAutoHyphens/>
              <w:autoSpaceDE w:val="0"/>
              <w:autoSpaceDN w:val="0"/>
              <w:adjustRightInd w:val="0"/>
              <w:spacing w:after="0"/>
              <w:jc w:val="center"/>
            </w:pPr>
            <w:r w:rsidRPr="00C06F2E">
              <w:t>-</w:t>
            </w:r>
          </w:p>
          <w:p w14:paraId="785D5525" w14:textId="77777777" w:rsidR="00DC360C" w:rsidRPr="00C06F2E" w:rsidRDefault="00DC360C" w:rsidP="0028022E">
            <w:pPr>
              <w:suppressAutoHyphens/>
              <w:autoSpaceDE w:val="0"/>
              <w:autoSpaceDN w:val="0"/>
              <w:adjustRightInd w:val="0"/>
              <w:spacing w:after="0"/>
              <w:jc w:val="center"/>
            </w:pPr>
            <w:r w:rsidRPr="00C06F2E">
              <w:t>-</w:t>
            </w:r>
          </w:p>
        </w:tc>
        <w:tc>
          <w:tcPr>
            <w:tcW w:w="1279" w:type="dxa"/>
          </w:tcPr>
          <w:p w14:paraId="2F9854D1" w14:textId="77777777" w:rsidR="007370C6" w:rsidRPr="00C06F2E" w:rsidRDefault="007370C6" w:rsidP="0028022E">
            <w:pPr>
              <w:suppressAutoHyphens/>
              <w:autoSpaceDE w:val="0"/>
              <w:autoSpaceDN w:val="0"/>
              <w:adjustRightInd w:val="0"/>
              <w:spacing w:after="0"/>
              <w:jc w:val="center"/>
            </w:pPr>
          </w:p>
          <w:p w14:paraId="01FAB0D1" w14:textId="77777777" w:rsidR="007370C6" w:rsidRPr="00C06F2E" w:rsidRDefault="007370C6" w:rsidP="0028022E">
            <w:pPr>
              <w:suppressAutoHyphens/>
              <w:autoSpaceDE w:val="0"/>
              <w:autoSpaceDN w:val="0"/>
              <w:adjustRightInd w:val="0"/>
              <w:spacing w:after="0"/>
              <w:jc w:val="center"/>
            </w:pPr>
          </w:p>
          <w:p w14:paraId="095E0211" w14:textId="77777777" w:rsidR="00DC360C" w:rsidRPr="00C06F2E" w:rsidRDefault="00DC360C" w:rsidP="0028022E">
            <w:pPr>
              <w:suppressAutoHyphens/>
              <w:autoSpaceDE w:val="0"/>
              <w:autoSpaceDN w:val="0"/>
              <w:adjustRightInd w:val="0"/>
              <w:spacing w:after="0"/>
              <w:jc w:val="center"/>
            </w:pPr>
            <w:r w:rsidRPr="00C06F2E">
              <w:t>73</w:t>
            </w:r>
          </w:p>
          <w:p w14:paraId="76820C3C" w14:textId="77777777" w:rsidR="00DC360C" w:rsidRPr="00C06F2E" w:rsidRDefault="00DC360C" w:rsidP="0028022E">
            <w:pPr>
              <w:suppressAutoHyphens/>
              <w:autoSpaceDE w:val="0"/>
              <w:autoSpaceDN w:val="0"/>
              <w:adjustRightInd w:val="0"/>
              <w:spacing w:after="0"/>
              <w:jc w:val="center"/>
            </w:pPr>
            <w:r w:rsidRPr="00C06F2E">
              <w:t>36</w:t>
            </w:r>
          </w:p>
          <w:p w14:paraId="761C4442" w14:textId="1D7C4858" w:rsidR="007370C6" w:rsidRPr="00C06F2E" w:rsidRDefault="00DC360C" w:rsidP="0028022E">
            <w:pPr>
              <w:suppressAutoHyphens/>
              <w:autoSpaceDE w:val="0"/>
              <w:autoSpaceDN w:val="0"/>
              <w:adjustRightInd w:val="0"/>
              <w:spacing w:after="0"/>
              <w:jc w:val="center"/>
            </w:pPr>
            <w:r w:rsidRPr="00C06F2E">
              <w:t>12</w:t>
            </w:r>
          </w:p>
        </w:tc>
        <w:tc>
          <w:tcPr>
            <w:tcW w:w="567" w:type="dxa"/>
          </w:tcPr>
          <w:p w14:paraId="35738D3E" w14:textId="77777777" w:rsidR="007370C6" w:rsidRPr="00C06F2E" w:rsidRDefault="007370C6" w:rsidP="0028022E">
            <w:pPr>
              <w:suppressAutoHyphens/>
              <w:autoSpaceDE w:val="0"/>
              <w:autoSpaceDN w:val="0"/>
              <w:adjustRightInd w:val="0"/>
              <w:spacing w:after="0"/>
              <w:jc w:val="center"/>
            </w:pPr>
          </w:p>
          <w:p w14:paraId="2CFE4157" w14:textId="77777777" w:rsidR="007370C6" w:rsidRPr="00C06F2E" w:rsidRDefault="007370C6" w:rsidP="0028022E">
            <w:pPr>
              <w:suppressAutoHyphens/>
              <w:autoSpaceDE w:val="0"/>
              <w:autoSpaceDN w:val="0"/>
              <w:adjustRightInd w:val="0"/>
              <w:spacing w:after="0"/>
              <w:jc w:val="center"/>
            </w:pPr>
          </w:p>
          <w:p w14:paraId="311D7AD3" w14:textId="77777777" w:rsidR="00DC360C" w:rsidRPr="00C06F2E" w:rsidRDefault="00DC360C" w:rsidP="0028022E">
            <w:pPr>
              <w:suppressAutoHyphens/>
              <w:autoSpaceDE w:val="0"/>
              <w:autoSpaceDN w:val="0"/>
              <w:adjustRightInd w:val="0"/>
              <w:spacing w:after="0"/>
              <w:jc w:val="center"/>
            </w:pPr>
            <w:r w:rsidRPr="00C06F2E">
              <w:t>14</w:t>
            </w:r>
          </w:p>
          <w:p w14:paraId="52FDD0C9" w14:textId="77777777" w:rsidR="00DC360C" w:rsidRPr="00C06F2E" w:rsidRDefault="00DC360C" w:rsidP="0028022E">
            <w:pPr>
              <w:suppressAutoHyphens/>
              <w:autoSpaceDE w:val="0"/>
              <w:autoSpaceDN w:val="0"/>
              <w:adjustRightInd w:val="0"/>
              <w:spacing w:after="0"/>
              <w:jc w:val="center"/>
            </w:pPr>
            <w:r w:rsidRPr="00C06F2E">
              <w:t>3</w:t>
            </w:r>
          </w:p>
          <w:p w14:paraId="6E3F8A94" w14:textId="43F01CFA" w:rsidR="007370C6" w:rsidRPr="00C06F2E" w:rsidRDefault="00DC360C" w:rsidP="0028022E">
            <w:pPr>
              <w:suppressAutoHyphens/>
              <w:autoSpaceDE w:val="0"/>
              <w:autoSpaceDN w:val="0"/>
              <w:adjustRightInd w:val="0"/>
              <w:spacing w:after="0"/>
              <w:jc w:val="center"/>
            </w:pPr>
            <w:r w:rsidRPr="00C06F2E">
              <w:t>0</w:t>
            </w:r>
          </w:p>
        </w:tc>
        <w:tc>
          <w:tcPr>
            <w:tcW w:w="635" w:type="dxa"/>
          </w:tcPr>
          <w:p w14:paraId="16B44E9F" w14:textId="77777777" w:rsidR="007370C6" w:rsidRPr="00C06F2E" w:rsidRDefault="007370C6" w:rsidP="0028022E">
            <w:pPr>
              <w:suppressAutoHyphens/>
              <w:autoSpaceDE w:val="0"/>
              <w:autoSpaceDN w:val="0"/>
              <w:adjustRightInd w:val="0"/>
              <w:spacing w:after="0"/>
              <w:jc w:val="center"/>
            </w:pPr>
          </w:p>
          <w:p w14:paraId="1E38F12C" w14:textId="77777777" w:rsidR="007370C6" w:rsidRPr="00C06F2E" w:rsidRDefault="007370C6" w:rsidP="0028022E">
            <w:pPr>
              <w:suppressAutoHyphens/>
              <w:autoSpaceDE w:val="0"/>
              <w:autoSpaceDN w:val="0"/>
              <w:adjustRightInd w:val="0"/>
              <w:spacing w:after="0"/>
              <w:jc w:val="center"/>
            </w:pPr>
          </w:p>
          <w:p w14:paraId="0988DC6F" w14:textId="77777777" w:rsidR="00DC360C" w:rsidRPr="00C06F2E" w:rsidRDefault="00DC360C" w:rsidP="0028022E">
            <w:pPr>
              <w:suppressAutoHyphens/>
              <w:autoSpaceDE w:val="0"/>
              <w:autoSpaceDN w:val="0"/>
              <w:adjustRightInd w:val="0"/>
              <w:spacing w:after="0"/>
              <w:jc w:val="center"/>
            </w:pPr>
            <w:r w:rsidRPr="00C06F2E">
              <w:t>2</w:t>
            </w:r>
          </w:p>
          <w:p w14:paraId="627D51AF" w14:textId="77777777" w:rsidR="00DC360C" w:rsidRPr="00C06F2E" w:rsidRDefault="00DC360C" w:rsidP="0028022E">
            <w:pPr>
              <w:suppressAutoHyphens/>
              <w:autoSpaceDE w:val="0"/>
              <w:autoSpaceDN w:val="0"/>
              <w:adjustRightInd w:val="0"/>
              <w:spacing w:after="0"/>
              <w:jc w:val="center"/>
            </w:pPr>
            <w:r w:rsidRPr="00C06F2E">
              <w:t>0</w:t>
            </w:r>
          </w:p>
          <w:p w14:paraId="7CB38BB9" w14:textId="6D9487D2" w:rsidR="007370C6" w:rsidRPr="00C06F2E" w:rsidRDefault="00DC360C" w:rsidP="0028022E">
            <w:pPr>
              <w:suppressAutoHyphens/>
              <w:autoSpaceDE w:val="0"/>
              <w:autoSpaceDN w:val="0"/>
              <w:adjustRightInd w:val="0"/>
              <w:spacing w:after="0"/>
              <w:jc w:val="center"/>
            </w:pPr>
            <w:r w:rsidRPr="00C06F2E">
              <w:t>0</w:t>
            </w:r>
          </w:p>
        </w:tc>
        <w:tc>
          <w:tcPr>
            <w:tcW w:w="1559" w:type="dxa"/>
          </w:tcPr>
          <w:p w14:paraId="0F0440A8" w14:textId="77777777" w:rsidR="007370C6" w:rsidRPr="00C06F2E" w:rsidRDefault="007370C6" w:rsidP="0028022E">
            <w:pPr>
              <w:suppressAutoHyphens/>
              <w:autoSpaceDE w:val="0"/>
              <w:autoSpaceDN w:val="0"/>
              <w:adjustRightInd w:val="0"/>
              <w:spacing w:after="0"/>
              <w:jc w:val="center"/>
            </w:pPr>
          </w:p>
          <w:p w14:paraId="313117AB" w14:textId="77777777" w:rsidR="00DC360C" w:rsidRPr="00C06F2E" w:rsidRDefault="00DC360C" w:rsidP="0028022E">
            <w:pPr>
              <w:suppressAutoHyphens/>
              <w:autoSpaceDE w:val="0"/>
              <w:autoSpaceDN w:val="0"/>
              <w:adjustRightInd w:val="0"/>
              <w:spacing w:after="0"/>
              <w:jc w:val="center"/>
            </w:pPr>
          </w:p>
          <w:p w14:paraId="30F03DD9" w14:textId="7C749D7E" w:rsidR="00DC360C" w:rsidRPr="00C06F2E" w:rsidRDefault="00717310" w:rsidP="0028022E">
            <w:pPr>
              <w:suppressAutoHyphens/>
              <w:autoSpaceDE w:val="0"/>
              <w:autoSpaceDN w:val="0"/>
              <w:adjustRightInd w:val="0"/>
              <w:spacing w:after="0"/>
              <w:jc w:val="center"/>
            </w:pPr>
            <w:r w:rsidRPr="00C06F2E">
              <w:t>veľmi časté veľmi časté</w:t>
            </w:r>
          </w:p>
          <w:p w14:paraId="0B817637" w14:textId="2004D444" w:rsidR="00DC360C" w:rsidRPr="00C06F2E" w:rsidRDefault="00717310" w:rsidP="0028022E">
            <w:pPr>
              <w:suppressAutoHyphens/>
              <w:autoSpaceDE w:val="0"/>
              <w:autoSpaceDN w:val="0"/>
              <w:adjustRightInd w:val="0"/>
              <w:spacing w:after="0"/>
              <w:jc w:val="center"/>
            </w:pPr>
            <w:r w:rsidRPr="00C06F2E">
              <w:t>veľmi časté</w:t>
            </w:r>
          </w:p>
        </w:tc>
      </w:tr>
    </w:tbl>
    <w:p w14:paraId="36EFAE66" w14:textId="4B1272A6" w:rsidR="007B2947" w:rsidRPr="00C06F2E" w:rsidRDefault="007B2947" w:rsidP="00E60C58">
      <w:pPr>
        <w:suppressAutoHyphens/>
        <w:autoSpaceDE w:val="0"/>
        <w:autoSpaceDN w:val="0"/>
        <w:adjustRightInd w:val="0"/>
        <w:spacing w:after="0"/>
        <w:jc w:val="left"/>
      </w:pPr>
      <w:r w:rsidRPr="00C06F2E">
        <w:t xml:space="preserve">* </w:t>
      </w:r>
      <w:r w:rsidR="00546D0C" w:rsidRPr="00C06F2E">
        <w:rPr>
          <w:lang w:val="sk-SK"/>
        </w:rPr>
        <w:t>Závažné infekcie (s neutropéniou alebo bez neutropénie) zahŕňali pneumóniu, sepsu a celulitídu.</w:t>
      </w:r>
    </w:p>
    <w:p w14:paraId="240242B8" w14:textId="05653247" w:rsidR="007B2947" w:rsidRPr="00C06F2E" w:rsidRDefault="007B2947" w:rsidP="00E60C58">
      <w:pPr>
        <w:suppressAutoHyphens/>
        <w:autoSpaceDE w:val="0"/>
        <w:autoSpaceDN w:val="0"/>
        <w:adjustRightInd w:val="0"/>
        <w:spacing w:after="0"/>
        <w:jc w:val="left"/>
      </w:pPr>
      <w:r w:rsidRPr="00C06F2E">
        <w:t xml:space="preserve">** </w:t>
      </w:r>
      <w:r w:rsidR="00546D0C" w:rsidRPr="00C06F2E">
        <w:rPr>
          <w:lang w:val="sk-SK"/>
        </w:rPr>
        <w:t xml:space="preserve">Môže viesť k dehydratácii, hypokaliémii a zlyhaniu </w:t>
      </w:r>
      <w:r w:rsidR="009F36FF">
        <w:rPr>
          <w:lang w:val="sk-SK"/>
        </w:rPr>
        <w:t>obličiek</w:t>
      </w:r>
      <w:r w:rsidR="00546D0C" w:rsidRPr="00C06F2E">
        <w:rPr>
          <w:lang w:val="sk-SK"/>
        </w:rPr>
        <w:t>.</w:t>
      </w:r>
    </w:p>
    <w:p w14:paraId="05C64C9D" w14:textId="1129CD7C" w:rsidR="007B2947" w:rsidRPr="00C06F2E" w:rsidRDefault="007B2947" w:rsidP="00E60C58">
      <w:pPr>
        <w:suppressAutoHyphens/>
        <w:autoSpaceDE w:val="0"/>
        <w:autoSpaceDN w:val="0"/>
        <w:adjustRightInd w:val="0"/>
        <w:spacing w:after="0"/>
        <w:jc w:val="left"/>
      </w:pPr>
      <w:r w:rsidRPr="00C06F2E">
        <w:t xml:space="preserve">*** </w:t>
      </w:r>
      <w:r w:rsidR="00546D0C" w:rsidRPr="00C06F2E">
        <w:rPr>
          <w:lang w:val="sk-SK"/>
        </w:rPr>
        <w:t>Vyrážka zahŕňa akne</w:t>
      </w:r>
      <w:r w:rsidR="009F36FF">
        <w:rPr>
          <w:lang w:val="sk-SK"/>
        </w:rPr>
        <w:t>i</w:t>
      </w:r>
      <w:r w:rsidR="00546D0C" w:rsidRPr="00C06F2E">
        <w:rPr>
          <w:lang w:val="sk-SK"/>
        </w:rPr>
        <w:t>formnú dermatitídu.</w:t>
      </w:r>
    </w:p>
    <w:p w14:paraId="2375C641" w14:textId="0CB8D8A7" w:rsidR="00DC360C" w:rsidRPr="00C06F2E" w:rsidRDefault="00DC360C" w:rsidP="00E60C58">
      <w:pPr>
        <w:suppressAutoHyphens/>
        <w:autoSpaceDE w:val="0"/>
        <w:autoSpaceDN w:val="0"/>
        <w:adjustRightInd w:val="0"/>
        <w:spacing w:after="0"/>
        <w:jc w:val="left"/>
      </w:pPr>
      <w:r w:rsidRPr="00C06F2E">
        <w:t xml:space="preserve">- </w:t>
      </w:r>
      <w:r w:rsidR="00546D0C" w:rsidRPr="00C06F2E">
        <w:t>Z</w:t>
      </w:r>
      <w:r w:rsidR="00546D0C" w:rsidRPr="00C06F2E">
        <w:rPr>
          <w:lang w:val="sk-SK"/>
        </w:rPr>
        <w:t>odpovedá percentám pod hranicou</w:t>
      </w:r>
      <w:r w:rsidRPr="00C06F2E">
        <w:t>.</w:t>
      </w:r>
    </w:p>
    <w:p w14:paraId="73944802" w14:textId="77777777" w:rsidR="00C65E97" w:rsidRPr="00C06F2E" w:rsidRDefault="00C65E97" w:rsidP="00E60C58">
      <w:pPr>
        <w:suppressAutoHyphens/>
        <w:autoSpaceDE w:val="0"/>
        <w:autoSpaceDN w:val="0"/>
        <w:adjustRightInd w:val="0"/>
        <w:spacing w:after="0"/>
        <w:jc w:val="left"/>
      </w:pPr>
    </w:p>
    <w:p w14:paraId="56329F0A" w14:textId="164679DB" w:rsidR="007B2947" w:rsidRPr="00C06F2E" w:rsidRDefault="00546D0C" w:rsidP="00E60C58">
      <w:pPr>
        <w:suppressAutoHyphens/>
        <w:autoSpaceDE w:val="0"/>
        <w:autoSpaceDN w:val="0"/>
        <w:adjustRightInd w:val="0"/>
        <w:spacing w:after="0"/>
        <w:jc w:val="left"/>
      </w:pPr>
      <w:r w:rsidRPr="00C06F2E">
        <w:t>Tabuľka</w:t>
      </w:r>
      <w:r w:rsidR="007B2947" w:rsidRPr="00C06F2E">
        <w:t xml:space="preserve"> </w:t>
      </w:r>
      <w:r w:rsidR="00AB096B" w:rsidRPr="00C06F2E">
        <w:t>2</w:t>
      </w:r>
      <w:r w:rsidR="007B2947" w:rsidRPr="00C06F2E">
        <w:t xml:space="preserve">: </w:t>
      </w:r>
      <w:r w:rsidR="004A1A26" w:rsidRPr="00C06F2E">
        <w:tab/>
      </w:r>
      <w:r w:rsidRPr="00C06F2E">
        <w:rPr>
          <w:lang w:val="sk-SK"/>
        </w:rPr>
        <w:t>Súhrn nežiaducich reakcií (ADR) podľa kategórií frekvencií výskytu</w:t>
      </w:r>
      <w:r w:rsidR="004A1A26" w:rsidRPr="00C06F2E">
        <w:t>.</w:t>
      </w:r>
    </w:p>
    <w:tbl>
      <w:tblPr>
        <w:tblW w:w="103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1598"/>
        <w:gridCol w:w="1883"/>
        <w:gridCol w:w="1843"/>
        <w:gridCol w:w="1701"/>
        <w:gridCol w:w="1559"/>
      </w:tblGrid>
      <w:tr w:rsidR="007B2947" w:rsidRPr="00C06F2E" w14:paraId="061E3616" w14:textId="77777777" w:rsidTr="00362D92">
        <w:trPr>
          <w:tblHeader/>
        </w:trPr>
        <w:tc>
          <w:tcPr>
            <w:tcW w:w="1730" w:type="dxa"/>
          </w:tcPr>
          <w:p w14:paraId="6F0C35DF" w14:textId="3EEC4789" w:rsidR="007B2947" w:rsidRPr="00C06F2E" w:rsidRDefault="00546D0C" w:rsidP="0028022E">
            <w:pPr>
              <w:suppressAutoHyphens/>
              <w:autoSpaceDE w:val="0"/>
              <w:autoSpaceDN w:val="0"/>
              <w:adjustRightInd w:val="0"/>
              <w:spacing w:after="0"/>
              <w:jc w:val="left"/>
              <w:rPr>
                <w:b/>
              </w:rPr>
            </w:pPr>
            <w:r w:rsidRPr="00C06F2E">
              <w:rPr>
                <w:b/>
              </w:rPr>
              <w:t>Orgánový</w:t>
            </w:r>
            <w:r w:rsidR="007B2947" w:rsidRPr="00C06F2E">
              <w:rPr>
                <w:b/>
              </w:rPr>
              <w:t xml:space="preserve"> </w:t>
            </w:r>
            <w:r w:rsidRPr="00C06F2E">
              <w:rPr>
                <w:b/>
              </w:rPr>
              <w:t>s</w:t>
            </w:r>
            <w:r w:rsidR="007B2947" w:rsidRPr="00C06F2E">
              <w:rPr>
                <w:b/>
              </w:rPr>
              <w:t>yst</w:t>
            </w:r>
            <w:r w:rsidRPr="00C06F2E">
              <w:rPr>
                <w:b/>
              </w:rPr>
              <w:t>é</w:t>
            </w:r>
            <w:r w:rsidR="007B2947" w:rsidRPr="00C06F2E">
              <w:rPr>
                <w:b/>
              </w:rPr>
              <w:t>m</w:t>
            </w:r>
          </w:p>
        </w:tc>
        <w:tc>
          <w:tcPr>
            <w:tcW w:w="1598" w:type="dxa"/>
          </w:tcPr>
          <w:p w14:paraId="427B93CA" w14:textId="120CD1CC" w:rsidR="007B2947" w:rsidRPr="00C06F2E" w:rsidRDefault="00546D0C" w:rsidP="0028022E">
            <w:pPr>
              <w:suppressAutoHyphens/>
              <w:autoSpaceDE w:val="0"/>
              <w:autoSpaceDN w:val="0"/>
              <w:adjustRightInd w:val="0"/>
              <w:spacing w:after="0"/>
              <w:jc w:val="left"/>
              <w:rPr>
                <w:b/>
              </w:rPr>
            </w:pPr>
            <w:r w:rsidRPr="00C06F2E">
              <w:rPr>
                <w:b/>
              </w:rPr>
              <w:t>Veľmi</w:t>
            </w:r>
            <w:r w:rsidR="007B2947" w:rsidRPr="00C06F2E">
              <w:rPr>
                <w:b/>
              </w:rPr>
              <w:t xml:space="preserve"> </w:t>
            </w:r>
            <w:r w:rsidRPr="00C06F2E">
              <w:rPr>
                <w:b/>
              </w:rPr>
              <w:t>časté</w:t>
            </w:r>
          </w:p>
          <w:p w14:paraId="19E175E4" w14:textId="6E5134B0" w:rsidR="007B2947" w:rsidRPr="00C06F2E" w:rsidRDefault="007B2947" w:rsidP="0028022E">
            <w:pPr>
              <w:suppressAutoHyphens/>
              <w:autoSpaceDE w:val="0"/>
              <w:autoSpaceDN w:val="0"/>
              <w:adjustRightInd w:val="0"/>
              <w:spacing w:after="0"/>
              <w:jc w:val="left"/>
              <w:rPr>
                <w:b/>
              </w:rPr>
            </w:pPr>
            <w:r w:rsidRPr="00C06F2E">
              <w:rPr>
                <w:b/>
              </w:rPr>
              <w:t>(≥</w:t>
            </w:r>
            <w:r w:rsidR="00E14A03" w:rsidRPr="00C06F2E">
              <w:rPr>
                <w:b/>
              </w:rPr>
              <w:t> </w:t>
            </w:r>
            <w:r w:rsidRPr="00C06F2E">
              <w:rPr>
                <w:b/>
              </w:rPr>
              <w:t>1/10)</w:t>
            </w:r>
          </w:p>
        </w:tc>
        <w:tc>
          <w:tcPr>
            <w:tcW w:w="1883" w:type="dxa"/>
          </w:tcPr>
          <w:p w14:paraId="79746692" w14:textId="06EC6DB6" w:rsidR="007B2947" w:rsidRPr="00C06F2E" w:rsidRDefault="00546D0C" w:rsidP="0028022E">
            <w:pPr>
              <w:suppressAutoHyphens/>
              <w:autoSpaceDE w:val="0"/>
              <w:autoSpaceDN w:val="0"/>
              <w:adjustRightInd w:val="0"/>
              <w:spacing w:after="0"/>
              <w:jc w:val="left"/>
              <w:rPr>
                <w:b/>
              </w:rPr>
            </w:pPr>
            <w:r w:rsidRPr="00C06F2E">
              <w:rPr>
                <w:b/>
              </w:rPr>
              <w:t>Časté</w:t>
            </w:r>
          </w:p>
          <w:p w14:paraId="018FD878" w14:textId="2D7B2E30" w:rsidR="007B2947" w:rsidRPr="00C06F2E" w:rsidRDefault="007B2947" w:rsidP="0028022E">
            <w:pPr>
              <w:suppressAutoHyphens/>
              <w:autoSpaceDE w:val="0"/>
              <w:autoSpaceDN w:val="0"/>
              <w:adjustRightInd w:val="0"/>
              <w:spacing w:after="0"/>
              <w:jc w:val="left"/>
              <w:rPr>
                <w:b/>
              </w:rPr>
            </w:pPr>
            <w:r w:rsidRPr="00C06F2E">
              <w:rPr>
                <w:b/>
              </w:rPr>
              <w:t>(≥</w:t>
            </w:r>
            <w:r w:rsidR="00E14A03" w:rsidRPr="00C06F2E">
              <w:rPr>
                <w:b/>
              </w:rPr>
              <w:t> </w:t>
            </w:r>
            <w:r w:rsidRPr="00C06F2E">
              <w:rPr>
                <w:b/>
              </w:rPr>
              <w:t xml:space="preserve">1/100 </w:t>
            </w:r>
            <w:r w:rsidR="00546D0C" w:rsidRPr="00C06F2E">
              <w:rPr>
                <w:b/>
              </w:rPr>
              <w:t>až</w:t>
            </w:r>
            <w:r w:rsidRPr="00C06F2E">
              <w:rPr>
                <w:b/>
              </w:rPr>
              <w:t> &lt; 1/10)</w:t>
            </w:r>
          </w:p>
        </w:tc>
        <w:tc>
          <w:tcPr>
            <w:tcW w:w="1843" w:type="dxa"/>
          </w:tcPr>
          <w:p w14:paraId="06701697" w14:textId="72A10A61" w:rsidR="007B2947" w:rsidRPr="00C06F2E" w:rsidRDefault="00546D0C" w:rsidP="0028022E">
            <w:pPr>
              <w:suppressAutoHyphens/>
              <w:autoSpaceDE w:val="0"/>
              <w:autoSpaceDN w:val="0"/>
              <w:adjustRightInd w:val="0"/>
              <w:spacing w:after="0"/>
              <w:jc w:val="left"/>
              <w:rPr>
                <w:b/>
              </w:rPr>
            </w:pPr>
            <w:r w:rsidRPr="00C06F2E">
              <w:rPr>
                <w:b/>
              </w:rPr>
              <w:t>Menej časté</w:t>
            </w:r>
          </w:p>
          <w:p w14:paraId="151F4BAB" w14:textId="6960E579" w:rsidR="007B2947" w:rsidRPr="00C06F2E" w:rsidRDefault="007B2947" w:rsidP="00463D43">
            <w:pPr>
              <w:suppressAutoHyphens/>
              <w:autoSpaceDE w:val="0"/>
              <w:autoSpaceDN w:val="0"/>
              <w:adjustRightInd w:val="0"/>
              <w:spacing w:after="0"/>
              <w:jc w:val="left"/>
              <w:rPr>
                <w:b/>
              </w:rPr>
            </w:pPr>
            <w:r w:rsidRPr="00C06F2E">
              <w:rPr>
                <w:b/>
              </w:rPr>
              <w:t>(≥ 1/1</w:t>
            </w:r>
            <w:r w:rsidR="00463D43" w:rsidRPr="00C06F2E">
              <w:rPr>
                <w:b/>
              </w:rPr>
              <w:t> </w:t>
            </w:r>
            <w:r w:rsidRPr="00C06F2E">
              <w:rPr>
                <w:b/>
              </w:rPr>
              <w:t xml:space="preserve">000 </w:t>
            </w:r>
            <w:r w:rsidR="00546D0C" w:rsidRPr="00C06F2E">
              <w:rPr>
                <w:b/>
              </w:rPr>
              <w:t>až</w:t>
            </w:r>
            <w:r w:rsidRPr="00C06F2E">
              <w:rPr>
                <w:b/>
              </w:rPr>
              <w:t> &lt; 1/100)</w:t>
            </w:r>
          </w:p>
        </w:tc>
        <w:tc>
          <w:tcPr>
            <w:tcW w:w="1701" w:type="dxa"/>
          </w:tcPr>
          <w:p w14:paraId="6CA68F8E" w14:textId="39E28A8F" w:rsidR="007B2947" w:rsidRPr="00C06F2E" w:rsidRDefault="00546D0C" w:rsidP="0028022E">
            <w:pPr>
              <w:suppressAutoHyphens/>
              <w:autoSpaceDE w:val="0"/>
              <w:autoSpaceDN w:val="0"/>
              <w:adjustRightInd w:val="0"/>
              <w:spacing w:after="0"/>
              <w:jc w:val="left"/>
              <w:rPr>
                <w:b/>
              </w:rPr>
            </w:pPr>
            <w:r w:rsidRPr="00C06F2E">
              <w:rPr>
                <w:b/>
              </w:rPr>
              <w:t>Zriedkavé</w:t>
            </w:r>
          </w:p>
          <w:p w14:paraId="4CDE3081" w14:textId="353CE172" w:rsidR="007B2947" w:rsidRPr="00C06F2E" w:rsidRDefault="007B2947" w:rsidP="00463D43">
            <w:pPr>
              <w:suppressAutoHyphens/>
              <w:autoSpaceDE w:val="0"/>
              <w:autoSpaceDN w:val="0"/>
              <w:adjustRightInd w:val="0"/>
              <w:spacing w:after="0"/>
              <w:jc w:val="left"/>
              <w:rPr>
                <w:b/>
              </w:rPr>
            </w:pPr>
            <w:r w:rsidRPr="00C06F2E">
              <w:rPr>
                <w:b/>
              </w:rPr>
              <w:t>(≥ 1/10</w:t>
            </w:r>
            <w:r w:rsidR="00463D43" w:rsidRPr="00C06F2E">
              <w:rPr>
                <w:b/>
              </w:rPr>
              <w:t> </w:t>
            </w:r>
            <w:r w:rsidRPr="00C06F2E">
              <w:rPr>
                <w:b/>
              </w:rPr>
              <w:t xml:space="preserve">000 </w:t>
            </w:r>
            <w:r w:rsidR="00546D0C" w:rsidRPr="00C06F2E">
              <w:rPr>
                <w:b/>
              </w:rPr>
              <w:t>až</w:t>
            </w:r>
            <w:r w:rsidRPr="00C06F2E">
              <w:rPr>
                <w:b/>
              </w:rPr>
              <w:t> &lt; 1/1,000)</w:t>
            </w:r>
          </w:p>
        </w:tc>
        <w:tc>
          <w:tcPr>
            <w:tcW w:w="1559" w:type="dxa"/>
          </w:tcPr>
          <w:p w14:paraId="02F7A2E7" w14:textId="5EA72776" w:rsidR="007B2947" w:rsidRPr="00C06F2E" w:rsidRDefault="00546D0C" w:rsidP="0028022E">
            <w:pPr>
              <w:suppressAutoHyphens/>
              <w:autoSpaceDE w:val="0"/>
              <w:autoSpaceDN w:val="0"/>
              <w:adjustRightInd w:val="0"/>
              <w:spacing w:after="0"/>
              <w:jc w:val="left"/>
              <w:rPr>
                <w:b/>
              </w:rPr>
            </w:pPr>
            <w:r w:rsidRPr="00C06F2E">
              <w:rPr>
                <w:b/>
              </w:rPr>
              <w:t>Veľmi</w:t>
            </w:r>
            <w:r w:rsidR="007B2947" w:rsidRPr="00C06F2E">
              <w:rPr>
                <w:b/>
              </w:rPr>
              <w:t xml:space="preserve"> </w:t>
            </w:r>
            <w:r w:rsidRPr="00C06F2E">
              <w:rPr>
                <w:b/>
              </w:rPr>
              <w:t>zriedkavé</w:t>
            </w:r>
          </w:p>
          <w:p w14:paraId="713129D1" w14:textId="6377F4EC" w:rsidR="007B2947" w:rsidRPr="00C06F2E" w:rsidRDefault="007B2947" w:rsidP="00463D43">
            <w:pPr>
              <w:suppressAutoHyphens/>
              <w:autoSpaceDE w:val="0"/>
              <w:autoSpaceDN w:val="0"/>
              <w:adjustRightInd w:val="0"/>
              <w:spacing w:after="0"/>
              <w:jc w:val="left"/>
              <w:rPr>
                <w:b/>
              </w:rPr>
            </w:pPr>
            <w:r w:rsidRPr="00C06F2E">
              <w:rPr>
                <w:b/>
              </w:rPr>
              <w:t>(&lt;</w:t>
            </w:r>
            <w:r w:rsidR="00E14A03" w:rsidRPr="00C06F2E">
              <w:rPr>
                <w:b/>
              </w:rPr>
              <w:t> </w:t>
            </w:r>
            <w:r w:rsidRPr="00C06F2E">
              <w:rPr>
                <w:b/>
              </w:rPr>
              <w:t>1/10</w:t>
            </w:r>
            <w:r w:rsidR="00463D43" w:rsidRPr="00C06F2E">
              <w:rPr>
                <w:b/>
              </w:rPr>
              <w:t> </w:t>
            </w:r>
            <w:r w:rsidRPr="00C06F2E">
              <w:rPr>
                <w:b/>
              </w:rPr>
              <w:t>000)</w:t>
            </w:r>
          </w:p>
        </w:tc>
      </w:tr>
      <w:tr w:rsidR="007B2947" w:rsidRPr="00C06F2E" w14:paraId="70748D44" w14:textId="77777777" w:rsidTr="00362D92">
        <w:tc>
          <w:tcPr>
            <w:tcW w:w="1730" w:type="dxa"/>
          </w:tcPr>
          <w:p w14:paraId="500D9779" w14:textId="2AA4A9DB" w:rsidR="007B2947" w:rsidRPr="00C06F2E" w:rsidRDefault="00546D0C" w:rsidP="0028022E">
            <w:pPr>
              <w:suppressAutoHyphens/>
              <w:autoSpaceDE w:val="0"/>
              <w:autoSpaceDN w:val="0"/>
              <w:adjustRightInd w:val="0"/>
              <w:spacing w:after="0"/>
              <w:jc w:val="left"/>
            </w:pPr>
            <w:r w:rsidRPr="00C06F2E">
              <w:t>Poruchy oka</w:t>
            </w:r>
          </w:p>
        </w:tc>
        <w:tc>
          <w:tcPr>
            <w:tcW w:w="1598" w:type="dxa"/>
          </w:tcPr>
          <w:p w14:paraId="3478E09D" w14:textId="77777777" w:rsidR="007B2947" w:rsidRPr="00C06F2E" w:rsidRDefault="007B2947" w:rsidP="0028022E">
            <w:pPr>
              <w:suppressAutoHyphens/>
              <w:autoSpaceDE w:val="0"/>
              <w:autoSpaceDN w:val="0"/>
              <w:adjustRightInd w:val="0"/>
              <w:spacing w:after="0"/>
              <w:jc w:val="left"/>
            </w:pPr>
          </w:p>
        </w:tc>
        <w:tc>
          <w:tcPr>
            <w:tcW w:w="1883" w:type="dxa"/>
          </w:tcPr>
          <w:p w14:paraId="1C4DB0D8" w14:textId="6762DF55" w:rsidR="007B2947" w:rsidRPr="00C06F2E" w:rsidRDefault="007B2947" w:rsidP="0028022E">
            <w:pPr>
              <w:suppressAutoHyphens/>
              <w:autoSpaceDE w:val="0"/>
              <w:autoSpaceDN w:val="0"/>
              <w:adjustRightInd w:val="0"/>
              <w:spacing w:after="0"/>
              <w:jc w:val="left"/>
            </w:pPr>
            <w:r w:rsidRPr="00C06F2E">
              <w:t>Keratit</w:t>
            </w:r>
            <w:r w:rsidR="00546D0C" w:rsidRPr="00C06F2E">
              <w:t>ída</w:t>
            </w:r>
          </w:p>
          <w:p w14:paraId="6B85FEB8" w14:textId="54234034" w:rsidR="007B2947" w:rsidRPr="00C06F2E" w:rsidRDefault="00546D0C" w:rsidP="0028022E">
            <w:pPr>
              <w:suppressAutoHyphens/>
              <w:autoSpaceDE w:val="0"/>
              <w:autoSpaceDN w:val="0"/>
              <w:adjustRightInd w:val="0"/>
              <w:spacing w:after="0"/>
              <w:jc w:val="left"/>
            </w:pPr>
            <w:r w:rsidRPr="00C06F2E">
              <w:t>K</w:t>
            </w:r>
            <w:r w:rsidR="007B2947" w:rsidRPr="00C06F2E">
              <w:t>onjun</w:t>
            </w:r>
            <w:r w:rsidRPr="00C06F2E">
              <w:t>k</w:t>
            </w:r>
            <w:r w:rsidR="007B2947" w:rsidRPr="00C06F2E">
              <w:t>tivit</w:t>
            </w:r>
            <w:r w:rsidRPr="00C06F2E">
              <w:t>ída</w:t>
            </w:r>
            <w:r w:rsidR="007B2947" w:rsidRPr="00C06F2E">
              <w:rPr>
                <w:vertAlign w:val="superscript"/>
              </w:rPr>
              <w:t>1</w:t>
            </w:r>
          </w:p>
        </w:tc>
        <w:tc>
          <w:tcPr>
            <w:tcW w:w="1843" w:type="dxa"/>
          </w:tcPr>
          <w:p w14:paraId="0E89D826" w14:textId="571EB4EA" w:rsidR="007B2947" w:rsidRPr="00C06F2E" w:rsidRDefault="00546D0C" w:rsidP="0028022E">
            <w:pPr>
              <w:suppressAutoHyphens/>
              <w:autoSpaceDE w:val="0"/>
              <w:autoSpaceDN w:val="0"/>
              <w:adjustRightInd w:val="0"/>
              <w:spacing w:after="0"/>
              <w:jc w:val="left"/>
            </w:pPr>
            <w:r w:rsidRPr="00C06F2E">
              <w:t>Zmeny</w:t>
            </w:r>
            <w:r w:rsidR="007B2947" w:rsidRPr="00C06F2E">
              <w:t xml:space="preserve"> </w:t>
            </w:r>
            <w:r w:rsidRPr="00C06F2E">
              <w:t>mihalníc</w:t>
            </w:r>
            <w:r w:rsidR="007B2947" w:rsidRPr="00C06F2E">
              <w:rPr>
                <w:vertAlign w:val="superscript"/>
              </w:rPr>
              <w:t>2</w:t>
            </w:r>
          </w:p>
        </w:tc>
        <w:tc>
          <w:tcPr>
            <w:tcW w:w="1701" w:type="dxa"/>
          </w:tcPr>
          <w:p w14:paraId="5935F4A8" w14:textId="77777777" w:rsidR="007B2947" w:rsidRPr="00C06F2E" w:rsidRDefault="007B2947" w:rsidP="0028022E">
            <w:pPr>
              <w:suppressAutoHyphens/>
              <w:autoSpaceDE w:val="0"/>
              <w:autoSpaceDN w:val="0"/>
              <w:adjustRightInd w:val="0"/>
              <w:spacing w:after="0"/>
              <w:jc w:val="left"/>
            </w:pPr>
          </w:p>
        </w:tc>
        <w:tc>
          <w:tcPr>
            <w:tcW w:w="1559" w:type="dxa"/>
          </w:tcPr>
          <w:p w14:paraId="03CB0220" w14:textId="28BD728B" w:rsidR="007B2947" w:rsidRPr="00C06F2E" w:rsidRDefault="00546D0C" w:rsidP="0028022E">
            <w:pPr>
              <w:suppressAutoHyphens/>
              <w:autoSpaceDE w:val="0"/>
              <w:autoSpaceDN w:val="0"/>
              <w:adjustRightInd w:val="0"/>
              <w:spacing w:after="0"/>
              <w:ind w:left="-20"/>
              <w:jc w:val="left"/>
            </w:pPr>
            <w:r w:rsidRPr="00C06F2E">
              <w:t>Korneálne perforácie</w:t>
            </w:r>
          </w:p>
          <w:p w14:paraId="62E7E352" w14:textId="06E009E1" w:rsidR="00546D0C" w:rsidRPr="00C06F2E" w:rsidRDefault="00546D0C" w:rsidP="0028022E">
            <w:pPr>
              <w:suppressAutoHyphens/>
              <w:autoSpaceDE w:val="0"/>
              <w:autoSpaceDN w:val="0"/>
              <w:adjustRightInd w:val="0"/>
              <w:spacing w:after="0"/>
              <w:ind w:left="-20"/>
              <w:jc w:val="left"/>
            </w:pPr>
            <w:r w:rsidRPr="00C06F2E">
              <w:t>Korneálne ulcerácie</w:t>
            </w:r>
          </w:p>
          <w:p w14:paraId="0C06804C" w14:textId="6A0EF6E5" w:rsidR="00546D0C" w:rsidRPr="00C06F2E" w:rsidRDefault="00546D0C" w:rsidP="0028022E">
            <w:pPr>
              <w:suppressAutoHyphens/>
              <w:autoSpaceDE w:val="0"/>
              <w:autoSpaceDN w:val="0"/>
              <w:adjustRightInd w:val="0"/>
              <w:spacing w:after="0"/>
              <w:ind w:left="-20"/>
              <w:jc w:val="left"/>
            </w:pPr>
            <w:r w:rsidRPr="00C06F2E">
              <w:t>Uveitída</w:t>
            </w:r>
          </w:p>
        </w:tc>
      </w:tr>
      <w:tr w:rsidR="007B2947" w:rsidRPr="00C06F2E" w14:paraId="73602C7C" w14:textId="77777777" w:rsidTr="00362D92">
        <w:tc>
          <w:tcPr>
            <w:tcW w:w="1730" w:type="dxa"/>
          </w:tcPr>
          <w:p w14:paraId="425C699B" w14:textId="7508B4DA" w:rsidR="007B2947" w:rsidRPr="00C06F2E" w:rsidRDefault="00546D0C" w:rsidP="0028022E">
            <w:pPr>
              <w:suppressAutoHyphens/>
              <w:autoSpaceDE w:val="0"/>
              <w:autoSpaceDN w:val="0"/>
              <w:adjustRightInd w:val="0"/>
              <w:spacing w:after="0"/>
              <w:jc w:val="left"/>
            </w:pPr>
            <w:r w:rsidRPr="00C06F2E">
              <w:t>Poruchy dýchacej sústavy, hrudníka a mediastína</w:t>
            </w:r>
          </w:p>
        </w:tc>
        <w:tc>
          <w:tcPr>
            <w:tcW w:w="1598" w:type="dxa"/>
          </w:tcPr>
          <w:p w14:paraId="6E4C3B8B" w14:textId="77777777" w:rsidR="007B2947" w:rsidRPr="00C06F2E" w:rsidRDefault="007B2947" w:rsidP="0028022E">
            <w:pPr>
              <w:suppressAutoHyphens/>
              <w:autoSpaceDE w:val="0"/>
              <w:autoSpaceDN w:val="0"/>
              <w:adjustRightInd w:val="0"/>
              <w:spacing w:after="0"/>
              <w:jc w:val="left"/>
            </w:pPr>
          </w:p>
        </w:tc>
        <w:tc>
          <w:tcPr>
            <w:tcW w:w="1883" w:type="dxa"/>
          </w:tcPr>
          <w:p w14:paraId="7D953456" w14:textId="59A72355" w:rsidR="007B2947" w:rsidRPr="00C06F2E" w:rsidRDefault="007B2947" w:rsidP="0028022E">
            <w:pPr>
              <w:suppressAutoHyphens/>
              <w:autoSpaceDE w:val="0"/>
              <w:autoSpaceDN w:val="0"/>
              <w:adjustRightInd w:val="0"/>
              <w:spacing w:after="0"/>
              <w:jc w:val="left"/>
            </w:pPr>
            <w:r w:rsidRPr="00C06F2E">
              <w:t>Epistax</w:t>
            </w:r>
            <w:r w:rsidR="0012767A" w:rsidRPr="00C06F2E">
              <w:t>a</w:t>
            </w:r>
          </w:p>
        </w:tc>
        <w:tc>
          <w:tcPr>
            <w:tcW w:w="1843" w:type="dxa"/>
          </w:tcPr>
          <w:p w14:paraId="6005B65C" w14:textId="493A38F0" w:rsidR="007B2947" w:rsidRPr="00C06F2E" w:rsidRDefault="00956AFE" w:rsidP="0028022E">
            <w:pPr>
              <w:suppressAutoHyphens/>
              <w:autoSpaceDE w:val="0"/>
              <w:autoSpaceDN w:val="0"/>
              <w:adjustRightInd w:val="0"/>
              <w:spacing w:after="0"/>
              <w:jc w:val="left"/>
            </w:pPr>
            <w:r w:rsidRPr="00C06F2E">
              <w:t>Intersti</w:t>
            </w:r>
            <w:r w:rsidR="0012767A" w:rsidRPr="00C06F2E">
              <w:t>ciálna choroba pľúc</w:t>
            </w:r>
            <w:r w:rsidRPr="00C06F2E">
              <w:t xml:space="preserve"> (ILD)</w:t>
            </w:r>
            <w:r w:rsidRPr="00C06F2E">
              <w:rPr>
                <w:vertAlign w:val="superscript"/>
              </w:rPr>
              <w:t>3</w:t>
            </w:r>
          </w:p>
        </w:tc>
        <w:tc>
          <w:tcPr>
            <w:tcW w:w="1701" w:type="dxa"/>
          </w:tcPr>
          <w:p w14:paraId="5631CFA5" w14:textId="77777777" w:rsidR="007B2947" w:rsidRPr="00C06F2E" w:rsidRDefault="007B2947" w:rsidP="0028022E">
            <w:pPr>
              <w:suppressAutoHyphens/>
              <w:autoSpaceDE w:val="0"/>
              <w:autoSpaceDN w:val="0"/>
              <w:adjustRightInd w:val="0"/>
              <w:spacing w:after="0"/>
              <w:jc w:val="left"/>
            </w:pPr>
          </w:p>
        </w:tc>
        <w:tc>
          <w:tcPr>
            <w:tcW w:w="1559" w:type="dxa"/>
          </w:tcPr>
          <w:p w14:paraId="4FF7E02E" w14:textId="77777777" w:rsidR="007B2947" w:rsidRPr="00C06F2E" w:rsidRDefault="007B2947" w:rsidP="0028022E">
            <w:pPr>
              <w:suppressAutoHyphens/>
              <w:autoSpaceDE w:val="0"/>
              <w:autoSpaceDN w:val="0"/>
              <w:adjustRightInd w:val="0"/>
              <w:spacing w:after="0"/>
              <w:jc w:val="left"/>
            </w:pPr>
          </w:p>
        </w:tc>
      </w:tr>
      <w:tr w:rsidR="007B2947" w:rsidRPr="00C06F2E" w14:paraId="5F23D5BE" w14:textId="77777777" w:rsidTr="00362D92">
        <w:tc>
          <w:tcPr>
            <w:tcW w:w="1730" w:type="dxa"/>
          </w:tcPr>
          <w:p w14:paraId="4B9780D7" w14:textId="3C4AC6DF" w:rsidR="007B2947" w:rsidRPr="00C06F2E" w:rsidRDefault="0012767A" w:rsidP="0028022E">
            <w:pPr>
              <w:suppressAutoHyphens/>
              <w:autoSpaceDE w:val="0"/>
              <w:autoSpaceDN w:val="0"/>
              <w:adjustRightInd w:val="0"/>
              <w:spacing w:after="0"/>
              <w:jc w:val="left"/>
            </w:pPr>
            <w:r w:rsidRPr="00C06F2E">
              <w:t>Poruchy gastrointesti-nálneho traktu</w:t>
            </w:r>
          </w:p>
        </w:tc>
        <w:tc>
          <w:tcPr>
            <w:tcW w:w="1598" w:type="dxa"/>
          </w:tcPr>
          <w:p w14:paraId="0E36923F" w14:textId="7C034D0A" w:rsidR="007B2947" w:rsidRPr="00C06F2E" w:rsidRDefault="0012767A" w:rsidP="0028022E">
            <w:pPr>
              <w:suppressAutoHyphens/>
              <w:autoSpaceDE w:val="0"/>
              <w:autoSpaceDN w:val="0"/>
              <w:adjustRightInd w:val="0"/>
              <w:spacing w:after="0"/>
              <w:jc w:val="left"/>
            </w:pPr>
            <w:r w:rsidRPr="00C06F2E">
              <w:t>Hnačka</w:t>
            </w:r>
            <w:r w:rsidR="007B2947" w:rsidRPr="00C06F2E">
              <w:rPr>
                <w:vertAlign w:val="superscript"/>
              </w:rPr>
              <w:t>7</w:t>
            </w:r>
          </w:p>
        </w:tc>
        <w:tc>
          <w:tcPr>
            <w:tcW w:w="1883" w:type="dxa"/>
          </w:tcPr>
          <w:p w14:paraId="5E954211" w14:textId="25AF7EAE" w:rsidR="007B2947" w:rsidRPr="00C06F2E" w:rsidRDefault="0012767A" w:rsidP="0028022E">
            <w:pPr>
              <w:suppressAutoHyphens/>
              <w:autoSpaceDE w:val="0"/>
              <w:autoSpaceDN w:val="0"/>
              <w:adjustRightInd w:val="0"/>
              <w:spacing w:after="0"/>
              <w:jc w:val="left"/>
            </w:pPr>
            <w:r w:rsidRPr="00C06F2E">
              <w:t>Krvácanie do gastrointestinál-neho traktu</w:t>
            </w:r>
            <w:r w:rsidR="007B2947" w:rsidRPr="00C06F2E">
              <w:rPr>
                <w:vertAlign w:val="superscript"/>
              </w:rPr>
              <w:t>4,7</w:t>
            </w:r>
          </w:p>
        </w:tc>
        <w:tc>
          <w:tcPr>
            <w:tcW w:w="1843" w:type="dxa"/>
          </w:tcPr>
          <w:p w14:paraId="1F147572" w14:textId="7F51BD29" w:rsidR="007B2947" w:rsidRPr="00C06F2E" w:rsidRDefault="007B2947" w:rsidP="0028022E">
            <w:pPr>
              <w:suppressAutoHyphens/>
              <w:autoSpaceDE w:val="0"/>
              <w:autoSpaceDN w:val="0"/>
              <w:adjustRightInd w:val="0"/>
              <w:spacing w:after="0"/>
              <w:jc w:val="left"/>
            </w:pPr>
            <w:r w:rsidRPr="00C06F2E">
              <w:t>Gastrointesti</w:t>
            </w:r>
            <w:r w:rsidR="0012767A" w:rsidRPr="00C06F2E">
              <w:t>-</w:t>
            </w:r>
            <w:r w:rsidRPr="00C06F2E">
              <w:t>n</w:t>
            </w:r>
            <w:r w:rsidR="0012767A" w:rsidRPr="00C06F2E">
              <w:t>á</w:t>
            </w:r>
            <w:r w:rsidRPr="00C06F2E">
              <w:t>l</w:t>
            </w:r>
            <w:r w:rsidR="0012767A" w:rsidRPr="00C06F2E">
              <w:t>ne</w:t>
            </w:r>
            <w:r w:rsidRPr="00C06F2E">
              <w:t xml:space="preserve"> perfor</w:t>
            </w:r>
            <w:r w:rsidR="0012767A" w:rsidRPr="00C06F2E">
              <w:t>ácie</w:t>
            </w:r>
            <w:r w:rsidRPr="00C06F2E">
              <w:rPr>
                <w:vertAlign w:val="superscript"/>
              </w:rPr>
              <w:t>7</w:t>
            </w:r>
          </w:p>
        </w:tc>
        <w:tc>
          <w:tcPr>
            <w:tcW w:w="1701" w:type="dxa"/>
          </w:tcPr>
          <w:p w14:paraId="6EEA6623" w14:textId="77777777" w:rsidR="007B2947" w:rsidRPr="00C06F2E" w:rsidRDefault="007B2947" w:rsidP="0028022E">
            <w:pPr>
              <w:suppressAutoHyphens/>
              <w:autoSpaceDE w:val="0"/>
              <w:autoSpaceDN w:val="0"/>
              <w:adjustRightInd w:val="0"/>
              <w:spacing w:after="0"/>
              <w:jc w:val="left"/>
            </w:pPr>
          </w:p>
        </w:tc>
        <w:tc>
          <w:tcPr>
            <w:tcW w:w="1559" w:type="dxa"/>
          </w:tcPr>
          <w:p w14:paraId="315D30BF" w14:textId="77777777" w:rsidR="007B2947" w:rsidRPr="00C06F2E" w:rsidRDefault="007B2947" w:rsidP="0028022E">
            <w:pPr>
              <w:suppressAutoHyphens/>
              <w:autoSpaceDE w:val="0"/>
              <w:autoSpaceDN w:val="0"/>
              <w:adjustRightInd w:val="0"/>
              <w:spacing w:after="0"/>
              <w:jc w:val="left"/>
            </w:pPr>
          </w:p>
        </w:tc>
      </w:tr>
      <w:tr w:rsidR="007B2947" w:rsidRPr="00C06F2E" w14:paraId="6E906CAC" w14:textId="77777777" w:rsidTr="00362D92">
        <w:tc>
          <w:tcPr>
            <w:tcW w:w="1730" w:type="dxa"/>
          </w:tcPr>
          <w:p w14:paraId="7CCBC95D" w14:textId="397692E2" w:rsidR="007B2947" w:rsidRPr="00C06F2E" w:rsidRDefault="0012767A" w:rsidP="0028022E">
            <w:pPr>
              <w:suppressAutoHyphens/>
              <w:autoSpaceDE w:val="0"/>
              <w:autoSpaceDN w:val="0"/>
              <w:adjustRightInd w:val="0"/>
              <w:spacing w:after="0"/>
              <w:jc w:val="left"/>
              <w:rPr>
                <w:lang w:val="pl-PL"/>
              </w:rPr>
            </w:pPr>
            <w:r w:rsidRPr="00C06F2E">
              <w:rPr>
                <w:lang w:val="pl-PL"/>
              </w:rPr>
              <w:t>Poruchy pečene a žlčových ciest</w:t>
            </w:r>
          </w:p>
        </w:tc>
        <w:tc>
          <w:tcPr>
            <w:tcW w:w="1598" w:type="dxa"/>
          </w:tcPr>
          <w:p w14:paraId="30F8F1D7" w14:textId="2D9068B2" w:rsidR="007B2947" w:rsidRPr="00C06F2E" w:rsidRDefault="0012767A" w:rsidP="0028022E">
            <w:pPr>
              <w:suppressAutoHyphens/>
              <w:autoSpaceDE w:val="0"/>
              <w:autoSpaceDN w:val="0"/>
              <w:adjustRightInd w:val="0"/>
              <w:spacing w:after="0"/>
              <w:ind w:right="-166"/>
              <w:jc w:val="left"/>
            </w:pPr>
            <w:r w:rsidRPr="00362D92">
              <w:rPr>
                <w:lang w:val="pl-PL"/>
              </w:rPr>
              <w:t xml:space="preserve">Neobvyklé </w:t>
            </w:r>
            <w:r w:rsidR="004D722E" w:rsidRPr="00362D92">
              <w:rPr>
                <w:lang w:val="pl-PL"/>
              </w:rPr>
              <w:t xml:space="preserve">výsledky testov </w:t>
            </w:r>
            <w:r w:rsidRPr="00362D92">
              <w:rPr>
                <w:lang w:val="pl-PL"/>
              </w:rPr>
              <w:t>funk</w:t>
            </w:r>
            <w:r w:rsidR="004D722E" w:rsidRPr="00362D92">
              <w:rPr>
                <w:lang w:val="pl-PL"/>
              </w:rPr>
              <w:t>cie</w:t>
            </w:r>
            <w:r w:rsidRPr="00362D92">
              <w:rPr>
                <w:lang w:val="pl-PL"/>
              </w:rPr>
              <w:t xml:space="preserve"> peče</w:t>
            </w:r>
            <w:r w:rsidR="004D722E" w:rsidRPr="00362D92">
              <w:rPr>
                <w:lang w:val="pl-PL"/>
              </w:rPr>
              <w:t>ne</w:t>
            </w:r>
            <w:r w:rsidR="007B2947" w:rsidRPr="00C06F2E">
              <w:rPr>
                <w:vertAlign w:val="superscript"/>
              </w:rPr>
              <w:t>5</w:t>
            </w:r>
          </w:p>
        </w:tc>
        <w:tc>
          <w:tcPr>
            <w:tcW w:w="1883" w:type="dxa"/>
          </w:tcPr>
          <w:p w14:paraId="5962A516" w14:textId="77777777" w:rsidR="007B2947" w:rsidRPr="00C06F2E" w:rsidRDefault="007B2947" w:rsidP="0028022E">
            <w:pPr>
              <w:suppressAutoHyphens/>
              <w:autoSpaceDE w:val="0"/>
              <w:autoSpaceDN w:val="0"/>
              <w:adjustRightInd w:val="0"/>
              <w:spacing w:after="0"/>
              <w:jc w:val="left"/>
            </w:pPr>
          </w:p>
        </w:tc>
        <w:tc>
          <w:tcPr>
            <w:tcW w:w="1843" w:type="dxa"/>
          </w:tcPr>
          <w:p w14:paraId="386430FB" w14:textId="77777777" w:rsidR="007B2947" w:rsidRPr="00C06F2E" w:rsidRDefault="007B2947" w:rsidP="0028022E">
            <w:pPr>
              <w:suppressAutoHyphens/>
              <w:autoSpaceDE w:val="0"/>
              <w:autoSpaceDN w:val="0"/>
              <w:adjustRightInd w:val="0"/>
              <w:spacing w:after="0"/>
              <w:jc w:val="left"/>
            </w:pPr>
          </w:p>
        </w:tc>
        <w:tc>
          <w:tcPr>
            <w:tcW w:w="1701" w:type="dxa"/>
          </w:tcPr>
          <w:p w14:paraId="76B7EDEA" w14:textId="53145E40" w:rsidR="007B2947" w:rsidRPr="00C06F2E" w:rsidRDefault="00522C9A" w:rsidP="0028022E">
            <w:pPr>
              <w:suppressAutoHyphens/>
              <w:autoSpaceDE w:val="0"/>
              <w:autoSpaceDN w:val="0"/>
              <w:adjustRightInd w:val="0"/>
              <w:spacing w:after="0"/>
              <w:jc w:val="left"/>
            </w:pPr>
            <w:r w:rsidRPr="00C06F2E">
              <w:t>Zlyhanie pečene</w:t>
            </w:r>
            <w:r w:rsidR="007B2947" w:rsidRPr="00C06F2E">
              <w:rPr>
                <w:vertAlign w:val="superscript"/>
              </w:rPr>
              <w:t>6</w:t>
            </w:r>
          </w:p>
        </w:tc>
        <w:tc>
          <w:tcPr>
            <w:tcW w:w="1559" w:type="dxa"/>
          </w:tcPr>
          <w:p w14:paraId="092F16F5" w14:textId="77777777" w:rsidR="007B2947" w:rsidRPr="00C06F2E" w:rsidRDefault="007B2947" w:rsidP="0028022E">
            <w:pPr>
              <w:suppressAutoHyphens/>
              <w:autoSpaceDE w:val="0"/>
              <w:autoSpaceDN w:val="0"/>
              <w:adjustRightInd w:val="0"/>
              <w:spacing w:after="0"/>
              <w:jc w:val="left"/>
            </w:pPr>
          </w:p>
        </w:tc>
      </w:tr>
      <w:tr w:rsidR="007B2947" w:rsidRPr="00400B0E" w14:paraId="016B5F2F" w14:textId="77777777" w:rsidTr="00362D92">
        <w:tc>
          <w:tcPr>
            <w:tcW w:w="1730" w:type="dxa"/>
          </w:tcPr>
          <w:p w14:paraId="35A6011D" w14:textId="6A62C986" w:rsidR="007B2947" w:rsidRPr="00C06F2E" w:rsidRDefault="00522C9A" w:rsidP="0028022E">
            <w:pPr>
              <w:suppressAutoHyphens/>
              <w:autoSpaceDE w:val="0"/>
              <w:autoSpaceDN w:val="0"/>
              <w:adjustRightInd w:val="0"/>
              <w:spacing w:after="0"/>
              <w:jc w:val="left"/>
              <w:rPr>
                <w:lang w:val="pl-PL"/>
              </w:rPr>
            </w:pPr>
            <w:r w:rsidRPr="00C06F2E">
              <w:rPr>
                <w:lang w:val="pl-PL"/>
              </w:rPr>
              <w:t>Poruchy kože a podkožného tkaniva</w:t>
            </w:r>
          </w:p>
        </w:tc>
        <w:tc>
          <w:tcPr>
            <w:tcW w:w="1598" w:type="dxa"/>
          </w:tcPr>
          <w:p w14:paraId="3C858E7A" w14:textId="3F67BF4D" w:rsidR="007B2947" w:rsidRPr="00C06F2E" w:rsidRDefault="00522C9A" w:rsidP="0028022E">
            <w:pPr>
              <w:suppressAutoHyphens/>
              <w:autoSpaceDE w:val="0"/>
              <w:autoSpaceDN w:val="0"/>
              <w:adjustRightInd w:val="0"/>
              <w:spacing w:after="0"/>
              <w:jc w:val="left"/>
            </w:pPr>
            <w:r w:rsidRPr="00C06F2E">
              <w:t>Vyrážka</w:t>
            </w:r>
          </w:p>
        </w:tc>
        <w:tc>
          <w:tcPr>
            <w:tcW w:w="1883" w:type="dxa"/>
          </w:tcPr>
          <w:p w14:paraId="6AB7A919" w14:textId="649C0E4E" w:rsidR="007B2947" w:rsidRPr="00C06F2E" w:rsidRDefault="00522C9A" w:rsidP="0028022E">
            <w:pPr>
              <w:suppressAutoHyphens/>
              <w:autoSpaceDE w:val="0"/>
              <w:autoSpaceDN w:val="0"/>
              <w:adjustRightInd w:val="0"/>
              <w:spacing w:after="0"/>
              <w:jc w:val="left"/>
            </w:pPr>
            <w:r w:rsidRPr="00C06F2E">
              <w:t>Alopé</w:t>
            </w:r>
            <w:r w:rsidR="007B2947" w:rsidRPr="00C06F2E">
              <w:t>cia</w:t>
            </w:r>
          </w:p>
          <w:p w14:paraId="22DF0890" w14:textId="62CE637E" w:rsidR="007B2947" w:rsidRPr="00C06F2E" w:rsidRDefault="00522C9A" w:rsidP="0028022E">
            <w:pPr>
              <w:suppressAutoHyphens/>
              <w:autoSpaceDE w:val="0"/>
              <w:autoSpaceDN w:val="0"/>
              <w:adjustRightInd w:val="0"/>
              <w:spacing w:after="0"/>
              <w:jc w:val="left"/>
            </w:pPr>
            <w:r w:rsidRPr="00C06F2E">
              <w:t>Suchá</w:t>
            </w:r>
            <w:r w:rsidR="007B2947" w:rsidRPr="00C06F2E">
              <w:t xml:space="preserve"> </w:t>
            </w:r>
            <w:r w:rsidRPr="00C06F2E">
              <w:t>koža</w:t>
            </w:r>
            <w:r w:rsidR="007B2947" w:rsidRPr="00C06F2E">
              <w:rPr>
                <w:vertAlign w:val="superscript"/>
              </w:rPr>
              <w:t>1</w:t>
            </w:r>
          </w:p>
          <w:p w14:paraId="6158460A" w14:textId="22CBBE61" w:rsidR="007B2947" w:rsidRPr="00C06F2E" w:rsidRDefault="007B2947" w:rsidP="0028022E">
            <w:pPr>
              <w:suppressAutoHyphens/>
              <w:autoSpaceDE w:val="0"/>
              <w:autoSpaceDN w:val="0"/>
              <w:adjustRightInd w:val="0"/>
              <w:spacing w:after="0"/>
              <w:jc w:val="left"/>
            </w:pPr>
            <w:r w:rsidRPr="00C06F2E">
              <w:t>Paronychia</w:t>
            </w:r>
          </w:p>
          <w:p w14:paraId="1283E3A6" w14:textId="102DA46B" w:rsidR="007B2947" w:rsidRPr="00C06F2E" w:rsidRDefault="007B2947" w:rsidP="0028022E">
            <w:pPr>
              <w:suppressAutoHyphens/>
              <w:autoSpaceDE w:val="0"/>
              <w:autoSpaceDN w:val="0"/>
              <w:adjustRightInd w:val="0"/>
              <w:spacing w:after="0"/>
              <w:jc w:val="left"/>
            </w:pPr>
            <w:r w:rsidRPr="00C06F2E">
              <w:t>Foli</w:t>
            </w:r>
            <w:r w:rsidR="00522C9A" w:rsidRPr="00C06F2E">
              <w:t>k</w:t>
            </w:r>
            <w:r w:rsidRPr="00C06F2E">
              <w:t>ulit</w:t>
            </w:r>
            <w:r w:rsidR="00522C9A" w:rsidRPr="00C06F2E">
              <w:t>ída</w:t>
            </w:r>
          </w:p>
          <w:p w14:paraId="68C10E00" w14:textId="1F0CB481" w:rsidR="007B2947" w:rsidRPr="00C06F2E" w:rsidRDefault="007B2947" w:rsidP="0028022E">
            <w:pPr>
              <w:suppressAutoHyphens/>
              <w:autoSpaceDE w:val="0"/>
              <w:autoSpaceDN w:val="0"/>
              <w:adjustRightInd w:val="0"/>
              <w:spacing w:after="0"/>
              <w:jc w:val="left"/>
            </w:pPr>
            <w:r w:rsidRPr="00C06F2E">
              <w:t>A</w:t>
            </w:r>
            <w:r w:rsidR="00522C9A" w:rsidRPr="00C06F2E">
              <w:t>k</w:t>
            </w:r>
            <w:r w:rsidRPr="00C06F2E">
              <w:t>n</w:t>
            </w:r>
            <w:r w:rsidR="00522C9A" w:rsidRPr="00C06F2E">
              <w:t>é</w:t>
            </w:r>
            <w:r w:rsidR="00C65E97" w:rsidRPr="00C06F2E">
              <w:t>/</w:t>
            </w:r>
            <w:r w:rsidR="00522C9A" w:rsidRPr="00C06F2E">
              <w:t>aknei-formná d</w:t>
            </w:r>
            <w:r w:rsidRPr="00C06F2E">
              <w:t>ermatit</w:t>
            </w:r>
            <w:r w:rsidR="00522C9A" w:rsidRPr="00C06F2E">
              <w:t>ída</w:t>
            </w:r>
          </w:p>
          <w:p w14:paraId="514306C4" w14:textId="2A99472F" w:rsidR="007B2947" w:rsidRPr="00C06F2E" w:rsidRDefault="00522C9A" w:rsidP="0028022E">
            <w:pPr>
              <w:suppressAutoHyphens/>
              <w:autoSpaceDE w:val="0"/>
              <w:autoSpaceDN w:val="0"/>
              <w:adjustRightInd w:val="0"/>
              <w:spacing w:after="0"/>
              <w:jc w:val="left"/>
            </w:pPr>
            <w:r w:rsidRPr="00C06F2E">
              <w:t>Kožné</w:t>
            </w:r>
            <w:r w:rsidR="007B2947" w:rsidRPr="00C06F2E">
              <w:t xml:space="preserve"> </w:t>
            </w:r>
            <w:r w:rsidRPr="00C06F2E">
              <w:t>trhliny</w:t>
            </w:r>
          </w:p>
        </w:tc>
        <w:tc>
          <w:tcPr>
            <w:tcW w:w="1843" w:type="dxa"/>
          </w:tcPr>
          <w:p w14:paraId="13677535" w14:textId="545F1B93" w:rsidR="007B2947" w:rsidRPr="00C06F2E" w:rsidRDefault="007B2947" w:rsidP="0028022E">
            <w:pPr>
              <w:suppressAutoHyphens/>
              <w:autoSpaceDE w:val="0"/>
              <w:autoSpaceDN w:val="0"/>
              <w:adjustRightInd w:val="0"/>
              <w:spacing w:after="0"/>
              <w:jc w:val="left"/>
            </w:pPr>
            <w:r w:rsidRPr="00C06F2E">
              <w:t>Hirsuti</w:t>
            </w:r>
            <w:r w:rsidR="00522C9A" w:rsidRPr="00C06F2E">
              <w:t>z</w:t>
            </w:r>
            <w:r w:rsidRPr="00C06F2E">
              <w:t>m</w:t>
            </w:r>
            <w:r w:rsidR="00522C9A" w:rsidRPr="00C06F2E">
              <w:t>us</w:t>
            </w:r>
          </w:p>
          <w:p w14:paraId="03082A3B" w14:textId="25EF5FB1" w:rsidR="007B2947" w:rsidRPr="00C06F2E" w:rsidRDefault="00522C9A" w:rsidP="0028022E">
            <w:pPr>
              <w:suppressAutoHyphens/>
              <w:autoSpaceDE w:val="0"/>
              <w:autoSpaceDN w:val="0"/>
              <w:adjustRightInd w:val="0"/>
              <w:spacing w:after="0"/>
              <w:jc w:val="left"/>
            </w:pPr>
            <w:r w:rsidRPr="00C06F2E">
              <w:t>Zmeny obočia</w:t>
            </w:r>
          </w:p>
          <w:p w14:paraId="6B48C0D8" w14:textId="3D735FCB" w:rsidR="007B2947" w:rsidRPr="00C06F2E" w:rsidRDefault="00522C9A" w:rsidP="0028022E">
            <w:pPr>
              <w:suppressAutoHyphens/>
              <w:autoSpaceDE w:val="0"/>
              <w:autoSpaceDN w:val="0"/>
              <w:adjustRightInd w:val="0"/>
              <w:spacing w:after="0"/>
              <w:jc w:val="left"/>
            </w:pPr>
            <w:r w:rsidRPr="00C06F2E">
              <w:t>Lámavosť a strata nechtov</w:t>
            </w:r>
          </w:p>
          <w:p w14:paraId="611B0D23" w14:textId="6A2A312F" w:rsidR="007B2947" w:rsidRPr="00C06F2E" w:rsidRDefault="00522C9A" w:rsidP="0028022E">
            <w:pPr>
              <w:suppressAutoHyphens/>
              <w:autoSpaceDE w:val="0"/>
              <w:autoSpaceDN w:val="0"/>
              <w:adjustRightInd w:val="0"/>
              <w:spacing w:after="0"/>
              <w:jc w:val="left"/>
            </w:pPr>
            <w:r w:rsidRPr="00C06F2E">
              <w:t>Mierne kožné reakcie ako</w:t>
            </w:r>
            <w:r w:rsidR="007B2947" w:rsidRPr="00C06F2E">
              <w:t xml:space="preserve"> </w:t>
            </w:r>
            <w:r w:rsidR="00C65E97" w:rsidRPr="00C06F2E">
              <w:t>hyperpigment</w:t>
            </w:r>
            <w:r w:rsidRPr="00C06F2E">
              <w:t>á-c</w:t>
            </w:r>
            <w:r w:rsidR="00C65E97" w:rsidRPr="00C06F2E">
              <w:t>i</w:t>
            </w:r>
            <w:r w:rsidRPr="00C06F2E">
              <w:t>a</w:t>
            </w:r>
          </w:p>
          <w:p w14:paraId="65D3F36B" w14:textId="77777777" w:rsidR="007B2947" w:rsidRPr="00C06F2E" w:rsidRDefault="007B2947" w:rsidP="0028022E">
            <w:pPr>
              <w:suppressAutoHyphens/>
              <w:autoSpaceDE w:val="0"/>
              <w:autoSpaceDN w:val="0"/>
              <w:adjustRightInd w:val="0"/>
              <w:spacing w:after="0"/>
              <w:jc w:val="left"/>
            </w:pPr>
          </w:p>
        </w:tc>
        <w:tc>
          <w:tcPr>
            <w:tcW w:w="1701" w:type="dxa"/>
          </w:tcPr>
          <w:p w14:paraId="2CF5ED7C" w14:textId="77777777" w:rsidR="00922302" w:rsidRPr="00C06F2E" w:rsidRDefault="00522C9A" w:rsidP="0028022E">
            <w:pPr>
              <w:suppressAutoHyphens/>
              <w:autoSpaceDE w:val="0"/>
              <w:autoSpaceDN w:val="0"/>
              <w:adjustRightInd w:val="0"/>
              <w:spacing w:after="0"/>
              <w:jc w:val="left"/>
              <w:rPr>
                <w:lang w:val="sk-SK" w:eastAsia="en-GB"/>
              </w:rPr>
            </w:pPr>
            <w:r w:rsidRPr="00C06F2E">
              <w:rPr>
                <w:lang w:val="es-ES_tradnl"/>
              </w:rPr>
              <w:t xml:space="preserve">Syndróm </w:t>
            </w:r>
            <w:r w:rsidR="00463D43" w:rsidRPr="00C06F2E">
              <w:rPr>
                <w:rFonts w:eastAsia="SimSun"/>
                <w:lang w:val="sk-SK" w:eastAsia="zh-CN" w:bidi="th-TH"/>
              </w:rPr>
              <w:t>p</w:t>
            </w:r>
            <w:r w:rsidR="00463D43" w:rsidRPr="00C06F2E">
              <w:rPr>
                <w:lang w:val="sk-SK" w:eastAsia="en-GB"/>
              </w:rPr>
              <w:t>almárno</w:t>
            </w:r>
            <w:r w:rsidR="00463D43" w:rsidRPr="00C06F2E">
              <w:rPr>
                <w:lang w:val="sk-SK" w:eastAsia="en-GB"/>
              </w:rPr>
              <w:noBreakHyphen/>
            </w:r>
          </w:p>
          <w:p w14:paraId="13DE1B0F" w14:textId="71A46617" w:rsidR="00522C9A" w:rsidRPr="00C06F2E" w:rsidRDefault="00463D43" w:rsidP="0028022E">
            <w:pPr>
              <w:suppressAutoHyphens/>
              <w:autoSpaceDE w:val="0"/>
              <w:autoSpaceDN w:val="0"/>
              <w:adjustRightInd w:val="0"/>
              <w:spacing w:after="0"/>
              <w:jc w:val="left"/>
              <w:rPr>
                <w:lang w:val="sv-SE"/>
              </w:rPr>
            </w:pPr>
            <w:r w:rsidRPr="00C06F2E">
              <w:rPr>
                <w:lang w:val="sk-SK" w:eastAsia="en-GB"/>
              </w:rPr>
              <w:t xml:space="preserve">plantárnej </w:t>
            </w:r>
            <w:r w:rsidR="007B2947" w:rsidRPr="00C06F2E">
              <w:rPr>
                <w:lang w:val="sv-SE"/>
              </w:rPr>
              <w:t>erytrody</w:t>
            </w:r>
            <w:r w:rsidR="00522C9A" w:rsidRPr="00C06F2E">
              <w:rPr>
                <w:lang w:val="sv-SE"/>
              </w:rPr>
              <w:t>-</w:t>
            </w:r>
          </w:p>
          <w:p w14:paraId="0F2E4BCE" w14:textId="111E9280" w:rsidR="007B2947" w:rsidRPr="00C06F2E" w:rsidRDefault="00922302" w:rsidP="0028022E">
            <w:pPr>
              <w:suppressAutoHyphens/>
              <w:autoSpaceDE w:val="0"/>
              <w:autoSpaceDN w:val="0"/>
              <w:adjustRightInd w:val="0"/>
              <w:spacing w:after="0"/>
              <w:jc w:val="left"/>
              <w:rPr>
                <w:lang w:val="sv-SE"/>
              </w:rPr>
            </w:pPr>
            <w:r w:rsidRPr="00C06F2E">
              <w:rPr>
                <w:lang w:val="sv-SE"/>
              </w:rPr>
              <w:t>z</w:t>
            </w:r>
            <w:r w:rsidR="007B2947" w:rsidRPr="00C06F2E">
              <w:rPr>
                <w:lang w:val="sv-SE"/>
              </w:rPr>
              <w:t>est</w:t>
            </w:r>
            <w:r w:rsidR="00522C9A" w:rsidRPr="00C06F2E">
              <w:rPr>
                <w:lang w:val="sv-SE"/>
              </w:rPr>
              <w:t>ézie</w:t>
            </w:r>
          </w:p>
        </w:tc>
        <w:tc>
          <w:tcPr>
            <w:tcW w:w="1559" w:type="dxa"/>
          </w:tcPr>
          <w:p w14:paraId="7E1EE1F1" w14:textId="14C3DDCA" w:rsidR="007B2947" w:rsidRPr="00C06F2E" w:rsidRDefault="007B2947" w:rsidP="0028022E">
            <w:pPr>
              <w:suppressAutoHyphens/>
              <w:autoSpaceDE w:val="0"/>
              <w:autoSpaceDN w:val="0"/>
              <w:adjustRightInd w:val="0"/>
              <w:spacing w:after="0"/>
              <w:jc w:val="left"/>
              <w:rPr>
                <w:lang w:val="sv-SE"/>
              </w:rPr>
            </w:pPr>
            <w:r w:rsidRPr="00C06F2E">
              <w:rPr>
                <w:lang w:val="sv-SE"/>
              </w:rPr>
              <w:t>Stevens</w:t>
            </w:r>
            <w:r w:rsidR="00522C9A" w:rsidRPr="00C06F2E">
              <w:rPr>
                <w:lang w:val="sv-SE"/>
              </w:rPr>
              <w:t>ov</w:t>
            </w:r>
            <w:r w:rsidRPr="00C06F2E">
              <w:rPr>
                <w:lang w:val="sv-SE"/>
              </w:rPr>
              <w:t>-Johnson</w:t>
            </w:r>
            <w:r w:rsidR="00522C9A" w:rsidRPr="00C06F2E">
              <w:rPr>
                <w:lang w:val="sv-SE"/>
              </w:rPr>
              <w:t>ov</w:t>
            </w:r>
            <w:r w:rsidRPr="00C06F2E">
              <w:rPr>
                <w:lang w:val="sv-SE"/>
              </w:rPr>
              <w:t xml:space="preserve"> syndr</w:t>
            </w:r>
            <w:r w:rsidR="00522C9A" w:rsidRPr="00C06F2E">
              <w:rPr>
                <w:lang w:val="sv-SE"/>
              </w:rPr>
              <w:t>ó</w:t>
            </w:r>
            <w:r w:rsidRPr="00C06F2E">
              <w:rPr>
                <w:lang w:val="sv-SE"/>
              </w:rPr>
              <w:t>m/</w:t>
            </w:r>
            <w:r w:rsidR="004A1A26" w:rsidRPr="00C06F2E">
              <w:rPr>
                <w:lang w:val="sv-SE"/>
              </w:rPr>
              <w:t xml:space="preserve"> </w:t>
            </w:r>
            <w:r w:rsidR="00522C9A" w:rsidRPr="00C06F2E">
              <w:rPr>
                <w:lang w:val="sv-SE"/>
              </w:rPr>
              <w:t>t</w:t>
            </w:r>
            <w:r w:rsidR="004A1A26" w:rsidRPr="00C06F2E">
              <w:rPr>
                <w:lang w:val="sv-SE"/>
              </w:rPr>
              <w:t>o</w:t>
            </w:r>
            <w:r w:rsidRPr="00C06F2E">
              <w:rPr>
                <w:lang w:val="sv-SE"/>
              </w:rPr>
              <w:t>xic</w:t>
            </w:r>
            <w:r w:rsidR="00522C9A" w:rsidRPr="00C06F2E">
              <w:rPr>
                <w:lang w:val="sv-SE"/>
              </w:rPr>
              <w:t>ká</w:t>
            </w:r>
          </w:p>
          <w:p w14:paraId="01CEDF07" w14:textId="737B3C85" w:rsidR="007B2947" w:rsidRPr="00C06F2E" w:rsidRDefault="007B2947" w:rsidP="0028022E">
            <w:pPr>
              <w:suppressAutoHyphens/>
              <w:autoSpaceDE w:val="0"/>
              <w:autoSpaceDN w:val="0"/>
              <w:adjustRightInd w:val="0"/>
              <w:spacing w:after="0"/>
              <w:jc w:val="left"/>
              <w:rPr>
                <w:lang w:val="sv-SE"/>
              </w:rPr>
            </w:pPr>
            <w:r w:rsidRPr="00C06F2E">
              <w:rPr>
                <w:lang w:val="sv-SE"/>
              </w:rPr>
              <w:t>epiderm</w:t>
            </w:r>
            <w:r w:rsidR="00522C9A" w:rsidRPr="00C06F2E">
              <w:rPr>
                <w:lang w:val="sv-SE"/>
              </w:rPr>
              <w:t>á</w:t>
            </w:r>
            <w:r w:rsidRPr="00C06F2E">
              <w:rPr>
                <w:lang w:val="sv-SE"/>
              </w:rPr>
              <w:t>l</w:t>
            </w:r>
            <w:r w:rsidR="00522C9A" w:rsidRPr="00C06F2E">
              <w:rPr>
                <w:lang w:val="sv-SE"/>
              </w:rPr>
              <w:t>na</w:t>
            </w:r>
          </w:p>
          <w:p w14:paraId="784EC869" w14:textId="36865D50" w:rsidR="007B2947" w:rsidRPr="00C06F2E" w:rsidRDefault="007B2947" w:rsidP="0028022E">
            <w:pPr>
              <w:suppressAutoHyphens/>
              <w:autoSpaceDE w:val="0"/>
              <w:autoSpaceDN w:val="0"/>
              <w:adjustRightInd w:val="0"/>
              <w:spacing w:after="0"/>
              <w:jc w:val="left"/>
              <w:rPr>
                <w:lang w:val="sv-SE"/>
              </w:rPr>
            </w:pPr>
            <w:r w:rsidRPr="00C06F2E">
              <w:rPr>
                <w:lang w:val="sv-SE"/>
              </w:rPr>
              <w:t>ne</w:t>
            </w:r>
            <w:r w:rsidR="00522C9A" w:rsidRPr="00C06F2E">
              <w:rPr>
                <w:lang w:val="sv-SE"/>
              </w:rPr>
              <w:t>k</w:t>
            </w:r>
            <w:r w:rsidRPr="00C06F2E">
              <w:rPr>
                <w:lang w:val="sv-SE"/>
              </w:rPr>
              <w:t>rol</w:t>
            </w:r>
            <w:r w:rsidR="00522C9A" w:rsidRPr="00C06F2E">
              <w:rPr>
                <w:lang w:val="sv-SE"/>
              </w:rPr>
              <w:t>ýza</w:t>
            </w:r>
            <w:r w:rsidRPr="00C06F2E">
              <w:rPr>
                <w:vertAlign w:val="superscript"/>
                <w:lang w:val="sv-SE"/>
              </w:rPr>
              <w:t>7</w:t>
            </w:r>
          </w:p>
        </w:tc>
      </w:tr>
      <w:tr w:rsidR="007B2947" w:rsidRPr="00C06F2E" w14:paraId="02001AA6" w14:textId="77777777" w:rsidTr="00362D92">
        <w:tc>
          <w:tcPr>
            <w:tcW w:w="1730" w:type="dxa"/>
          </w:tcPr>
          <w:p w14:paraId="0F2F3C02" w14:textId="6B234859" w:rsidR="007B2947" w:rsidRPr="00C06F2E" w:rsidRDefault="00522C9A" w:rsidP="0028022E">
            <w:pPr>
              <w:suppressAutoHyphens/>
              <w:autoSpaceDE w:val="0"/>
              <w:autoSpaceDN w:val="0"/>
              <w:adjustRightInd w:val="0"/>
              <w:spacing w:after="0"/>
              <w:jc w:val="left"/>
              <w:rPr>
                <w:lang w:val="pl-PL"/>
              </w:rPr>
            </w:pPr>
            <w:r w:rsidRPr="00C06F2E">
              <w:rPr>
                <w:lang w:val="pl-PL"/>
              </w:rPr>
              <w:t>Poruchy obličiek a močových ciest</w:t>
            </w:r>
          </w:p>
        </w:tc>
        <w:tc>
          <w:tcPr>
            <w:tcW w:w="1598" w:type="dxa"/>
          </w:tcPr>
          <w:p w14:paraId="221DD978" w14:textId="77777777" w:rsidR="007B2947" w:rsidRPr="00C06F2E" w:rsidRDefault="007B2947" w:rsidP="0028022E">
            <w:pPr>
              <w:suppressAutoHyphens/>
              <w:autoSpaceDE w:val="0"/>
              <w:autoSpaceDN w:val="0"/>
              <w:adjustRightInd w:val="0"/>
              <w:spacing w:after="0"/>
              <w:jc w:val="left"/>
              <w:rPr>
                <w:lang w:val="pl-PL"/>
              </w:rPr>
            </w:pPr>
          </w:p>
        </w:tc>
        <w:tc>
          <w:tcPr>
            <w:tcW w:w="1883" w:type="dxa"/>
          </w:tcPr>
          <w:p w14:paraId="6E2C8D2C" w14:textId="180D33AE" w:rsidR="007B2947" w:rsidRPr="00C06F2E" w:rsidRDefault="007B2947" w:rsidP="004D722E">
            <w:pPr>
              <w:suppressAutoHyphens/>
              <w:autoSpaceDE w:val="0"/>
              <w:autoSpaceDN w:val="0"/>
              <w:adjustRightInd w:val="0"/>
              <w:spacing w:after="0"/>
              <w:jc w:val="left"/>
            </w:pPr>
            <w:r w:rsidRPr="00C06F2E">
              <w:t>Ren</w:t>
            </w:r>
            <w:r w:rsidR="00522C9A" w:rsidRPr="00C06F2E">
              <w:t>á</w:t>
            </w:r>
            <w:r w:rsidRPr="00C06F2E">
              <w:t>l</w:t>
            </w:r>
            <w:r w:rsidR="00522C9A" w:rsidRPr="00C06F2E">
              <w:t>na</w:t>
            </w:r>
            <w:r w:rsidRPr="00C06F2E">
              <w:t xml:space="preserve"> insuficienc</w:t>
            </w:r>
            <w:r w:rsidR="00522C9A" w:rsidRPr="00C06F2E">
              <w:t>ia</w:t>
            </w:r>
            <w:r w:rsidR="004D722E" w:rsidRPr="00362D92">
              <w:rPr>
                <w:vertAlign w:val="superscript"/>
              </w:rPr>
              <w:t>1</w:t>
            </w:r>
          </w:p>
        </w:tc>
        <w:tc>
          <w:tcPr>
            <w:tcW w:w="1843" w:type="dxa"/>
          </w:tcPr>
          <w:p w14:paraId="3E30B880" w14:textId="4D846AD5" w:rsidR="007B2947" w:rsidRPr="00C06F2E" w:rsidRDefault="007B2947" w:rsidP="0028022E">
            <w:pPr>
              <w:spacing w:after="0" w:line="262" w:lineRule="exact"/>
              <w:ind w:right="-20"/>
            </w:pPr>
            <w:r w:rsidRPr="00C06F2E">
              <w:rPr>
                <w:position w:val="-1"/>
              </w:rPr>
              <w:t>Ne</w:t>
            </w:r>
            <w:r w:rsidR="00522C9A" w:rsidRPr="00C06F2E">
              <w:rPr>
                <w:position w:val="-1"/>
              </w:rPr>
              <w:t>f</w:t>
            </w:r>
            <w:r w:rsidRPr="00C06F2E">
              <w:rPr>
                <w:position w:val="-1"/>
              </w:rPr>
              <w:t>rit</w:t>
            </w:r>
            <w:r w:rsidR="00522C9A" w:rsidRPr="00C06F2E">
              <w:rPr>
                <w:position w:val="-1"/>
              </w:rPr>
              <w:t>ída</w:t>
            </w:r>
            <w:r w:rsidR="004D722E" w:rsidRPr="00362D92">
              <w:rPr>
                <w:position w:val="-1"/>
                <w:vertAlign w:val="superscript"/>
              </w:rPr>
              <w:t>1</w:t>
            </w:r>
          </w:p>
          <w:p w14:paraId="6E22CAC2" w14:textId="6C03584D" w:rsidR="007B2947" w:rsidRPr="00C06F2E" w:rsidRDefault="007B2947" w:rsidP="0028022E">
            <w:pPr>
              <w:suppressAutoHyphens/>
              <w:autoSpaceDE w:val="0"/>
              <w:autoSpaceDN w:val="0"/>
              <w:adjustRightInd w:val="0"/>
              <w:spacing w:after="0"/>
              <w:jc w:val="left"/>
            </w:pPr>
            <w:r w:rsidRPr="00C06F2E">
              <w:t>Protein</w:t>
            </w:r>
            <w:r w:rsidR="00522C9A" w:rsidRPr="00C06F2E">
              <w:t>ú</w:t>
            </w:r>
            <w:r w:rsidRPr="00C06F2E">
              <w:t>ri</w:t>
            </w:r>
            <w:r w:rsidRPr="00C06F2E">
              <w:rPr>
                <w:spacing w:val="-1"/>
              </w:rPr>
              <w:t>a</w:t>
            </w:r>
            <w:r w:rsidR="004D722E" w:rsidRPr="00362D92">
              <w:rPr>
                <w:spacing w:val="-1"/>
                <w:vertAlign w:val="superscript"/>
              </w:rPr>
              <w:t>1</w:t>
            </w:r>
          </w:p>
        </w:tc>
        <w:tc>
          <w:tcPr>
            <w:tcW w:w="1701" w:type="dxa"/>
          </w:tcPr>
          <w:p w14:paraId="47C96086" w14:textId="77777777" w:rsidR="007B2947" w:rsidRPr="00C06F2E" w:rsidRDefault="007B2947" w:rsidP="0028022E">
            <w:pPr>
              <w:suppressAutoHyphens/>
              <w:autoSpaceDE w:val="0"/>
              <w:autoSpaceDN w:val="0"/>
              <w:adjustRightInd w:val="0"/>
              <w:spacing w:after="0"/>
              <w:jc w:val="left"/>
            </w:pPr>
          </w:p>
        </w:tc>
        <w:tc>
          <w:tcPr>
            <w:tcW w:w="1559" w:type="dxa"/>
          </w:tcPr>
          <w:p w14:paraId="1388CBD3" w14:textId="77777777" w:rsidR="007B2947" w:rsidRPr="00C06F2E" w:rsidRDefault="007B2947" w:rsidP="0028022E">
            <w:pPr>
              <w:suppressAutoHyphens/>
              <w:autoSpaceDE w:val="0"/>
              <w:autoSpaceDN w:val="0"/>
              <w:adjustRightInd w:val="0"/>
              <w:spacing w:after="0"/>
              <w:jc w:val="left"/>
            </w:pPr>
          </w:p>
        </w:tc>
      </w:tr>
    </w:tbl>
    <w:p w14:paraId="590B003C" w14:textId="48AE040B" w:rsidR="007B2947" w:rsidRPr="00C06F2E" w:rsidRDefault="007B2947" w:rsidP="00E60C58">
      <w:pPr>
        <w:suppressAutoHyphens/>
        <w:autoSpaceDE w:val="0"/>
        <w:autoSpaceDN w:val="0"/>
        <w:adjustRightInd w:val="0"/>
        <w:spacing w:after="0"/>
        <w:ind w:left="142" w:hanging="142"/>
        <w:jc w:val="left"/>
      </w:pPr>
      <w:r w:rsidRPr="00C06F2E">
        <w:rPr>
          <w:vertAlign w:val="superscript"/>
        </w:rPr>
        <w:t>1</w:t>
      </w:r>
      <w:r w:rsidRPr="00C06F2E">
        <w:t> </w:t>
      </w:r>
      <w:r w:rsidR="00522C9A" w:rsidRPr="00C06F2E">
        <w:rPr>
          <w:lang w:val="sk-SK"/>
        </w:rPr>
        <w:t xml:space="preserve">V klinickej štúdii </w:t>
      </w:r>
      <w:r w:rsidRPr="00C06F2E">
        <w:t>PA.3.</w:t>
      </w:r>
    </w:p>
    <w:p w14:paraId="1614E4E7" w14:textId="7847ABEE" w:rsidR="007B2947" w:rsidRPr="00C06F2E" w:rsidRDefault="007B2947" w:rsidP="00E60C58">
      <w:pPr>
        <w:suppressAutoHyphens/>
        <w:autoSpaceDE w:val="0"/>
        <w:autoSpaceDN w:val="0"/>
        <w:adjustRightInd w:val="0"/>
        <w:spacing w:after="0"/>
        <w:ind w:left="142" w:hanging="142"/>
        <w:jc w:val="left"/>
      </w:pPr>
      <w:r w:rsidRPr="00C06F2E">
        <w:rPr>
          <w:vertAlign w:val="superscript"/>
        </w:rPr>
        <w:t>2</w:t>
      </w:r>
      <w:r w:rsidRPr="00C06F2E">
        <w:t> </w:t>
      </w:r>
      <w:r w:rsidR="00522C9A" w:rsidRPr="00C06F2E">
        <w:rPr>
          <w:lang w:val="sk-SK"/>
        </w:rPr>
        <w:t>Vrátane zarastajúcich mihalníc, nadmerného rastu a hustnutia mihalníc</w:t>
      </w:r>
      <w:r w:rsidRPr="00C06F2E">
        <w:t>.</w:t>
      </w:r>
    </w:p>
    <w:p w14:paraId="7DC11DD3" w14:textId="017A1F11" w:rsidR="00BF3FFF" w:rsidRPr="00C06F2E" w:rsidRDefault="007B2947" w:rsidP="00E60C58">
      <w:pPr>
        <w:suppressAutoHyphens/>
        <w:autoSpaceDE w:val="0"/>
        <w:autoSpaceDN w:val="0"/>
        <w:adjustRightInd w:val="0"/>
        <w:spacing w:after="0"/>
        <w:ind w:left="142" w:hanging="142"/>
        <w:jc w:val="left"/>
        <w:rPr>
          <w:lang w:val="sk-SK"/>
        </w:rPr>
      </w:pPr>
      <w:r w:rsidRPr="00C06F2E">
        <w:rPr>
          <w:vertAlign w:val="superscript"/>
        </w:rPr>
        <w:t>3</w:t>
      </w:r>
      <w:r w:rsidRPr="00C06F2E">
        <w:t> </w:t>
      </w:r>
      <w:r w:rsidR="00BF3FFF" w:rsidRPr="00C06F2E">
        <w:rPr>
          <w:lang w:val="sk-SK"/>
        </w:rPr>
        <w:t xml:space="preserve">Vrátane smrteľných prípadov u pacientov užívajúcich </w:t>
      </w:r>
      <w:r w:rsidR="004D722E">
        <w:t>e</w:t>
      </w:r>
      <w:r w:rsidR="00094DDD" w:rsidRPr="00C06F2E">
        <w:t xml:space="preserve">rlotinib </w:t>
      </w:r>
      <w:r w:rsidR="00BF3FFF" w:rsidRPr="00C06F2E">
        <w:rPr>
          <w:lang w:val="sk-SK"/>
        </w:rPr>
        <w:t xml:space="preserve">na liečbu nemalobunkového </w:t>
      </w:r>
    </w:p>
    <w:p w14:paraId="3A9E3A00" w14:textId="74A2284D" w:rsidR="007B2947" w:rsidRPr="00C06F2E" w:rsidRDefault="00BF3FFF" w:rsidP="00E60C58">
      <w:pPr>
        <w:suppressAutoHyphens/>
        <w:autoSpaceDE w:val="0"/>
        <w:autoSpaceDN w:val="0"/>
        <w:adjustRightInd w:val="0"/>
        <w:spacing w:after="0"/>
        <w:ind w:left="142"/>
        <w:jc w:val="left"/>
        <w:rPr>
          <w:lang w:val="pt-PT"/>
        </w:rPr>
      </w:pPr>
      <w:r w:rsidRPr="00C06F2E">
        <w:rPr>
          <w:lang w:val="sk-SK"/>
        </w:rPr>
        <w:t>karcinómu pľúc alebo iných pokročilých solídnych karcinómov (pozri časť 4.4). Vyššia incidencia bola pozorovaná u pacientov v Japonsku (pozri časť 4.4).</w:t>
      </w:r>
    </w:p>
    <w:p w14:paraId="1E96DA63" w14:textId="77777777" w:rsidR="00BF3FFF" w:rsidRPr="00C06F2E" w:rsidRDefault="007B2947" w:rsidP="00E60C58">
      <w:pPr>
        <w:suppressAutoHyphens/>
        <w:autoSpaceDE w:val="0"/>
        <w:autoSpaceDN w:val="0"/>
        <w:adjustRightInd w:val="0"/>
        <w:spacing w:after="0"/>
        <w:ind w:left="142" w:hanging="142"/>
        <w:jc w:val="left"/>
        <w:rPr>
          <w:lang w:val="sk-SK"/>
        </w:rPr>
      </w:pPr>
      <w:r w:rsidRPr="00C06F2E">
        <w:rPr>
          <w:vertAlign w:val="superscript"/>
          <w:lang w:val="pt-PT"/>
        </w:rPr>
        <w:t>4</w:t>
      </w:r>
      <w:r w:rsidRPr="00C06F2E">
        <w:rPr>
          <w:lang w:val="pt-PT"/>
        </w:rPr>
        <w:t> </w:t>
      </w:r>
      <w:r w:rsidR="00BF3FFF" w:rsidRPr="00C06F2E">
        <w:rPr>
          <w:lang w:val="sk-SK"/>
        </w:rPr>
        <w:t xml:space="preserve">V klinických štúdiách boli prípady krvácania do gastrointestinálneho traktu, niekedy boli spojené so </w:t>
      </w:r>
    </w:p>
    <w:p w14:paraId="6323E1CC" w14:textId="1C44CDA7" w:rsidR="007B2947" w:rsidRPr="00C06F2E" w:rsidRDefault="00BF3FFF" w:rsidP="00E60C58">
      <w:pPr>
        <w:suppressAutoHyphens/>
        <w:autoSpaceDE w:val="0"/>
        <w:autoSpaceDN w:val="0"/>
        <w:adjustRightInd w:val="0"/>
        <w:spacing w:after="0"/>
        <w:ind w:left="142"/>
        <w:jc w:val="left"/>
        <w:rPr>
          <w:lang w:val="sk-SK"/>
        </w:rPr>
      </w:pPr>
      <w:r w:rsidRPr="00C06F2E">
        <w:rPr>
          <w:lang w:val="sk-SK"/>
        </w:rPr>
        <w:t>súbežným podávaním warfarínu (pozri časť 4.5) alebo so súbežným podávaním NSAID.</w:t>
      </w:r>
    </w:p>
    <w:p w14:paraId="0E017F55" w14:textId="77777777" w:rsidR="00BF3FFF" w:rsidRPr="00C06F2E" w:rsidRDefault="007B2947" w:rsidP="00E60C58">
      <w:pPr>
        <w:suppressAutoHyphens/>
        <w:autoSpaceDE w:val="0"/>
        <w:autoSpaceDN w:val="0"/>
        <w:adjustRightInd w:val="0"/>
        <w:spacing w:after="0"/>
        <w:ind w:left="142" w:hanging="142"/>
        <w:jc w:val="left"/>
        <w:rPr>
          <w:lang w:val="sk-SK"/>
        </w:rPr>
      </w:pPr>
      <w:r w:rsidRPr="00C06F2E">
        <w:rPr>
          <w:vertAlign w:val="superscript"/>
          <w:lang w:val="sk-SK"/>
        </w:rPr>
        <w:t>5</w:t>
      </w:r>
      <w:r w:rsidRPr="00C06F2E">
        <w:rPr>
          <w:lang w:val="sk-SK"/>
        </w:rPr>
        <w:t> </w:t>
      </w:r>
      <w:r w:rsidR="00BF3FFF" w:rsidRPr="00C06F2E">
        <w:rPr>
          <w:lang w:val="sk-SK"/>
        </w:rPr>
        <w:t xml:space="preserve">Vrátane zvýšených hladín alanínaminotransferázy [ALT], aspartátaminotransferázy [AST] a </w:t>
      </w:r>
    </w:p>
    <w:p w14:paraId="729A3A1B" w14:textId="4C49AAB3" w:rsidR="007B2947" w:rsidRPr="00C06F2E" w:rsidRDefault="00BF3FFF" w:rsidP="00E60C58">
      <w:pPr>
        <w:suppressAutoHyphens/>
        <w:autoSpaceDE w:val="0"/>
        <w:autoSpaceDN w:val="0"/>
        <w:adjustRightInd w:val="0"/>
        <w:spacing w:after="0"/>
        <w:ind w:left="142"/>
        <w:jc w:val="left"/>
        <w:rPr>
          <w:lang w:val="sk-SK"/>
        </w:rPr>
      </w:pPr>
      <w:r w:rsidRPr="00C06F2E">
        <w:rPr>
          <w:lang w:val="sk-SK"/>
        </w:rPr>
        <w:t>bilirubínu. Tieto poruchy boli veľmi časté v klinickej štúdii PA.3 a časté v klinickej štúdii BR.21. Prípady boli prevažne mierne až stredne závažné a vyskytovali sa prechodne alebo v súvislosti s metastázami do pečene</w:t>
      </w:r>
      <w:r w:rsidR="007B2947" w:rsidRPr="00C06F2E">
        <w:rPr>
          <w:lang w:val="sk-SK"/>
        </w:rPr>
        <w:t>.</w:t>
      </w:r>
    </w:p>
    <w:p w14:paraId="21B40656" w14:textId="51AC9FF1" w:rsidR="007B2947" w:rsidRPr="00C06F2E" w:rsidRDefault="007B2947" w:rsidP="00E60C58">
      <w:pPr>
        <w:suppressAutoHyphens/>
        <w:autoSpaceDE w:val="0"/>
        <w:autoSpaceDN w:val="0"/>
        <w:adjustRightInd w:val="0"/>
        <w:spacing w:after="0"/>
        <w:ind w:left="142" w:hanging="142"/>
        <w:jc w:val="left"/>
        <w:rPr>
          <w:lang w:val="sk-SK"/>
        </w:rPr>
      </w:pPr>
      <w:r w:rsidRPr="00C06F2E">
        <w:rPr>
          <w:vertAlign w:val="superscript"/>
          <w:lang w:val="sk-SK"/>
        </w:rPr>
        <w:t>6</w:t>
      </w:r>
      <w:r w:rsidRPr="00C06F2E">
        <w:rPr>
          <w:lang w:val="sk-SK"/>
        </w:rPr>
        <w:t> </w:t>
      </w:r>
      <w:r w:rsidR="00BF3FFF" w:rsidRPr="00C06F2E">
        <w:rPr>
          <w:lang w:val="sk-SK"/>
        </w:rPr>
        <w:t>Vrátanie fatálnych prípadov. Priťažujúcimi faktormi boli už existujúce ochorenie pečene alebo súbežná hepatotoxická liečba (pozri časť 4.4).</w:t>
      </w:r>
    </w:p>
    <w:p w14:paraId="1263D3B5" w14:textId="4573EF6A" w:rsidR="007B2947" w:rsidRPr="00C06F2E" w:rsidRDefault="007B2947" w:rsidP="00E60C58">
      <w:pPr>
        <w:suppressAutoHyphens/>
        <w:autoSpaceDE w:val="0"/>
        <w:autoSpaceDN w:val="0"/>
        <w:adjustRightInd w:val="0"/>
        <w:spacing w:after="0"/>
        <w:ind w:left="284" w:hanging="284"/>
        <w:jc w:val="left"/>
        <w:rPr>
          <w:lang w:val="sk-SK"/>
        </w:rPr>
      </w:pPr>
      <w:r w:rsidRPr="00C06F2E">
        <w:rPr>
          <w:vertAlign w:val="superscript"/>
          <w:lang w:val="sk-SK"/>
        </w:rPr>
        <w:t>7</w:t>
      </w:r>
      <w:r w:rsidRPr="00C06F2E">
        <w:rPr>
          <w:lang w:val="sk-SK"/>
        </w:rPr>
        <w:t> </w:t>
      </w:r>
      <w:r w:rsidR="00BF3FFF" w:rsidRPr="00C06F2E">
        <w:rPr>
          <w:lang w:val="sk-SK"/>
        </w:rPr>
        <w:t xml:space="preserve">Vrátanie fatálnych prípadov </w:t>
      </w:r>
      <w:r w:rsidRPr="00C06F2E">
        <w:rPr>
          <w:lang w:val="sk-SK"/>
        </w:rPr>
        <w:t>(</w:t>
      </w:r>
      <w:r w:rsidR="00BF3FFF" w:rsidRPr="00C06F2E">
        <w:rPr>
          <w:lang w:val="sk-SK"/>
        </w:rPr>
        <w:t>pozri</w:t>
      </w:r>
      <w:r w:rsidRPr="00C06F2E">
        <w:rPr>
          <w:lang w:val="sk-SK"/>
        </w:rPr>
        <w:t xml:space="preserve"> </w:t>
      </w:r>
      <w:r w:rsidR="00BF3FFF" w:rsidRPr="00C06F2E">
        <w:rPr>
          <w:lang w:val="sk-SK"/>
        </w:rPr>
        <w:t>časť</w:t>
      </w:r>
      <w:r w:rsidRPr="00C06F2E">
        <w:rPr>
          <w:lang w:val="sk-SK"/>
        </w:rPr>
        <w:t xml:space="preserve"> 4.4).</w:t>
      </w:r>
    </w:p>
    <w:p w14:paraId="2A05DCD4" w14:textId="77777777" w:rsidR="00BF3FFF" w:rsidRPr="00C06F2E" w:rsidRDefault="00BF3FFF" w:rsidP="00E60C58">
      <w:pPr>
        <w:suppressAutoHyphens/>
        <w:autoSpaceDE w:val="0"/>
        <w:autoSpaceDN w:val="0"/>
        <w:adjustRightInd w:val="0"/>
        <w:spacing w:after="0"/>
        <w:ind w:left="284" w:hanging="284"/>
        <w:jc w:val="left"/>
        <w:rPr>
          <w:lang w:val="sk-SK"/>
        </w:rPr>
      </w:pPr>
    </w:p>
    <w:p w14:paraId="3F68DD1B" w14:textId="77777777" w:rsidR="00BF3FFF" w:rsidRPr="00C06F2E" w:rsidRDefault="00BF3FFF" w:rsidP="00E60C58">
      <w:pPr>
        <w:suppressAutoHyphens/>
        <w:autoSpaceDE w:val="0"/>
        <w:autoSpaceDN w:val="0"/>
        <w:adjustRightInd w:val="0"/>
        <w:spacing w:after="0"/>
        <w:jc w:val="left"/>
        <w:rPr>
          <w:u w:val="single"/>
          <w:lang w:val="sk-SK"/>
        </w:rPr>
      </w:pPr>
      <w:r w:rsidRPr="00C06F2E">
        <w:rPr>
          <w:u w:val="single"/>
          <w:lang w:val="sk-SK"/>
        </w:rPr>
        <w:t xml:space="preserve">Hlásenie podozrení na nežiaduce reakcie </w:t>
      </w:r>
    </w:p>
    <w:p w14:paraId="7B167BBE" w14:textId="7229C50C" w:rsidR="007B2947" w:rsidRPr="00C06F2E" w:rsidRDefault="00BF3FFF" w:rsidP="00E60C58">
      <w:pPr>
        <w:suppressAutoHyphens/>
        <w:autoSpaceDE w:val="0"/>
        <w:autoSpaceDN w:val="0"/>
        <w:adjustRightInd w:val="0"/>
        <w:spacing w:after="0"/>
        <w:jc w:val="left"/>
        <w:rPr>
          <w:lang w:val="sk-SK"/>
        </w:rPr>
      </w:pPr>
      <w:r w:rsidRPr="00C06F2E">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C06F2E">
        <w:rPr>
          <w:highlight w:val="lightGray"/>
          <w:lang w:val="sk-SK"/>
        </w:rPr>
        <w:t>národné</w:t>
      </w:r>
      <w:r w:rsidR="007B2947" w:rsidRPr="00C06F2E">
        <w:rPr>
          <w:highlight w:val="lightGray"/>
          <w:lang w:val="sk-SK"/>
        </w:rPr>
        <w:t xml:space="preserve"> </w:t>
      </w:r>
      <w:r w:rsidRPr="00C06F2E">
        <w:rPr>
          <w:highlight w:val="lightGray"/>
          <w:lang w:val="sk-SK"/>
        </w:rPr>
        <w:t>centrum</w:t>
      </w:r>
      <w:r w:rsidR="007B2947" w:rsidRPr="00C06F2E">
        <w:rPr>
          <w:highlight w:val="lightGray"/>
          <w:lang w:val="sk-SK"/>
        </w:rPr>
        <w:t xml:space="preserve"> </w:t>
      </w:r>
      <w:r w:rsidRPr="00C06F2E">
        <w:rPr>
          <w:highlight w:val="lightGray"/>
          <w:lang w:val="sk-SK"/>
        </w:rPr>
        <w:t>hlásenia</w:t>
      </w:r>
      <w:r w:rsidR="007B2947" w:rsidRPr="00C06F2E">
        <w:rPr>
          <w:highlight w:val="lightGray"/>
          <w:lang w:val="sk-SK"/>
        </w:rPr>
        <w:t xml:space="preserve"> </w:t>
      </w:r>
      <w:r w:rsidRPr="00C06F2E">
        <w:rPr>
          <w:highlight w:val="lightGray"/>
          <w:lang w:val="sk-SK"/>
        </w:rPr>
        <w:t>uvedené</w:t>
      </w:r>
      <w:r w:rsidR="007B2947" w:rsidRPr="00C06F2E">
        <w:rPr>
          <w:highlight w:val="lightGray"/>
          <w:lang w:val="sk-SK"/>
        </w:rPr>
        <w:t xml:space="preserve"> </w:t>
      </w:r>
      <w:r w:rsidRPr="00C06F2E">
        <w:rPr>
          <w:highlight w:val="lightGray"/>
          <w:lang w:val="sk-SK"/>
        </w:rPr>
        <w:t>v</w:t>
      </w:r>
      <w:r w:rsidR="007B2947" w:rsidRPr="00C06F2E">
        <w:rPr>
          <w:highlight w:val="lightGray"/>
          <w:lang w:val="sk-SK"/>
        </w:rPr>
        <w:t xml:space="preserve"> </w:t>
      </w:r>
      <w:hyperlink r:id="rId12" w:history="1">
        <w:r w:rsidRPr="00C06F2E">
          <w:rPr>
            <w:rStyle w:val="Hypertextovprepojenie"/>
            <w:highlight w:val="lightGray"/>
            <w:lang w:val="sk-SK"/>
          </w:rPr>
          <w:t>Prílohe</w:t>
        </w:r>
        <w:r w:rsidR="007B2947" w:rsidRPr="00C06F2E">
          <w:rPr>
            <w:rStyle w:val="Hypertextovprepojenie"/>
            <w:highlight w:val="lightGray"/>
            <w:lang w:val="sk-SK"/>
          </w:rPr>
          <w:t xml:space="preserve"> V</w:t>
        </w:r>
      </w:hyperlink>
      <w:r w:rsidR="007B2947" w:rsidRPr="00C06F2E">
        <w:rPr>
          <w:lang w:val="sk-SK"/>
        </w:rPr>
        <w:t>.</w:t>
      </w:r>
    </w:p>
    <w:p w14:paraId="289632B8" w14:textId="77777777" w:rsidR="005A4A78" w:rsidRPr="00C06F2E" w:rsidRDefault="005A4A78" w:rsidP="00E60C58">
      <w:pPr>
        <w:spacing w:after="0"/>
        <w:jc w:val="left"/>
        <w:rPr>
          <w:iCs/>
          <w:lang w:val="sk-SK"/>
        </w:rPr>
      </w:pPr>
    </w:p>
    <w:p w14:paraId="252478B7" w14:textId="1E493E99" w:rsidR="00435ECB" w:rsidRPr="00C06F2E" w:rsidRDefault="00435ECB" w:rsidP="004D722E">
      <w:pPr>
        <w:pStyle w:val="StyleHeadingFreeBOLDNOCAPS"/>
        <w:tabs>
          <w:tab w:val="left" w:pos="567"/>
        </w:tabs>
        <w:spacing w:after="0"/>
        <w:rPr>
          <w:bCs/>
          <w:lang w:val="sk-SK"/>
        </w:rPr>
      </w:pPr>
      <w:r w:rsidRPr="00C06F2E">
        <w:rPr>
          <w:lang w:val="sk-SK"/>
        </w:rPr>
        <w:t>4.9</w:t>
      </w:r>
      <w:r w:rsidRPr="00C06F2E">
        <w:rPr>
          <w:lang w:val="sk-SK"/>
        </w:rPr>
        <w:tab/>
      </w:r>
      <w:r w:rsidR="00024F51" w:rsidRPr="00C06F2E">
        <w:rPr>
          <w:bCs/>
          <w:lang w:val="sk-SK"/>
        </w:rPr>
        <w:t>Predávkovanie</w:t>
      </w:r>
    </w:p>
    <w:p w14:paraId="474250D5" w14:textId="77777777" w:rsidR="00E60C58" w:rsidRPr="00C06F2E" w:rsidRDefault="00E60C58" w:rsidP="00E60C58">
      <w:pPr>
        <w:pStyle w:val="StyleHeadingFreeBOLDNOCAPS"/>
        <w:spacing w:after="0"/>
        <w:jc w:val="left"/>
        <w:rPr>
          <w:lang w:val="sk-SK"/>
        </w:rPr>
      </w:pPr>
    </w:p>
    <w:p w14:paraId="0337BCFB" w14:textId="0FE9029F" w:rsidR="007B2947" w:rsidRPr="00C06F2E" w:rsidRDefault="00024F51" w:rsidP="00E60C58">
      <w:pPr>
        <w:suppressAutoHyphens/>
        <w:spacing w:after="0"/>
        <w:jc w:val="left"/>
        <w:rPr>
          <w:u w:val="single"/>
          <w:lang w:val="sk-SK"/>
        </w:rPr>
      </w:pPr>
      <w:r w:rsidRPr="00C06F2E">
        <w:rPr>
          <w:u w:val="single"/>
          <w:lang w:val="sk-SK"/>
        </w:rPr>
        <w:t>Symptó</w:t>
      </w:r>
      <w:r w:rsidR="007B2947" w:rsidRPr="00C06F2E">
        <w:rPr>
          <w:u w:val="single"/>
          <w:lang w:val="sk-SK"/>
        </w:rPr>
        <w:t>m</w:t>
      </w:r>
      <w:r w:rsidRPr="00C06F2E">
        <w:rPr>
          <w:u w:val="single"/>
          <w:lang w:val="sk-SK"/>
        </w:rPr>
        <w:t>y</w:t>
      </w:r>
    </w:p>
    <w:p w14:paraId="649C93E9" w14:textId="5FC31D21" w:rsidR="007B2947" w:rsidRPr="00C06F2E" w:rsidRDefault="00024F51" w:rsidP="00E60C58">
      <w:pPr>
        <w:suppressAutoHyphens/>
        <w:spacing w:after="0"/>
        <w:jc w:val="left"/>
        <w:rPr>
          <w:lang w:val="sk-SK"/>
        </w:rPr>
      </w:pPr>
      <w:r w:rsidRPr="00C06F2E">
        <w:rPr>
          <w:lang w:val="sk-SK"/>
        </w:rPr>
        <w:t>Jednotlivé perorálne dávky erlotinibu do 1</w:t>
      </w:r>
      <w:r w:rsidR="00922302" w:rsidRPr="00C06F2E">
        <w:rPr>
          <w:lang w:val="sk-SK"/>
        </w:rPr>
        <w:t> </w:t>
      </w:r>
      <w:r w:rsidRPr="00C06F2E">
        <w:rPr>
          <w:lang w:val="sk-SK"/>
        </w:rPr>
        <w:t>000</w:t>
      </w:r>
      <w:r w:rsidR="00922302" w:rsidRPr="00C06F2E">
        <w:rPr>
          <w:lang w:val="sk-SK"/>
        </w:rPr>
        <w:t> </w:t>
      </w:r>
      <w:r w:rsidRPr="00C06F2E">
        <w:rPr>
          <w:lang w:val="sk-SK"/>
        </w:rPr>
        <w:t>mg erlotinibu u zdravých jedincov a do 1</w:t>
      </w:r>
      <w:r w:rsidR="00922302" w:rsidRPr="00C06F2E">
        <w:rPr>
          <w:lang w:val="sk-SK"/>
        </w:rPr>
        <w:t> </w:t>
      </w:r>
      <w:r w:rsidRPr="00C06F2E">
        <w:rPr>
          <w:lang w:val="sk-SK"/>
        </w:rPr>
        <w:t>600</w:t>
      </w:r>
      <w:r w:rsidR="00922302" w:rsidRPr="00C06F2E">
        <w:rPr>
          <w:lang w:val="sk-SK"/>
        </w:rPr>
        <w:t> </w:t>
      </w:r>
      <w:r w:rsidRPr="00C06F2E">
        <w:rPr>
          <w:lang w:val="sk-SK"/>
        </w:rPr>
        <w:t>mg u pacientov s rakovinou boli tolerované. Opakované dávky 200</w:t>
      </w:r>
      <w:r w:rsidR="00922302" w:rsidRPr="00C06F2E">
        <w:rPr>
          <w:lang w:val="sk-SK"/>
        </w:rPr>
        <w:t> </w:t>
      </w:r>
      <w:r w:rsidRPr="00C06F2E">
        <w:rPr>
          <w:lang w:val="sk-SK"/>
        </w:rPr>
        <w:t>mg dvakrát denne u zdravých jedincov boli zle tolerované už po niekoľkých dňoch podávania. Na základe údajov z týchto štúdií sa môžu pri vyššej dávke, ako je odporúčaná dávka, vyskytnúť závažné nežiaduce reakcie, napríklad hnačka, vyrážky a prípadne zvýšenie aktivity pečeňových aminotransferáz.</w:t>
      </w:r>
    </w:p>
    <w:p w14:paraId="52B9092A" w14:textId="77777777" w:rsidR="00024F51" w:rsidRPr="00C06F2E" w:rsidRDefault="00024F51" w:rsidP="00E60C58">
      <w:pPr>
        <w:suppressAutoHyphens/>
        <w:spacing w:after="0"/>
        <w:jc w:val="left"/>
        <w:rPr>
          <w:lang w:val="sk-SK"/>
        </w:rPr>
      </w:pPr>
    </w:p>
    <w:p w14:paraId="65E34FF6" w14:textId="77B45154" w:rsidR="007B2947" w:rsidRPr="00C06F2E" w:rsidRDefault="00024F51" w:rsidP="00E60C58">
      <w:pPr>
        <w:suppressAutoHyphens/>
        <w:spacing w:after="0"/>
        <w:jc w:val="left"/>
        <w:rPr>
          <w:u w:val="single"/>
          <w:lang w:val="sk-SK"/>
        </w:rPr>
      </w:pPr>
      <w:r w:rsidRPr="00C06F2E">
        <w:rPr>
          <w:u w:val="single"/>
          <w:lang w:val="sk-SK"/>
        </w:rPr>
        <w:t>Liečba</w:t>
      </w:r>
    </w:p>
    <w:p w14:paraId="5C7F8AB9" w14:textId="5F8B753D" w:rsidR="007B2947" w:rsidRPr="00C06F2E" w:rsidRDefault="00024F51" w:rsidP="00E60C58">
      <w:pPr>
        <w:suppressAutoHyphens/>
        <w:spacing w:after="0"/>
        <w:jc w:val="left"/>
        <w:rPr>
          <w:lang w:val="sk-SK"/>
        </w:rPr>
      </w:pPr>
      <w:r w:rsidRPr="00C06F2E">
        <w:rPr>
          <w:lang w:val="sk-SK"/>
        </w:rPr>
        <w:lastRenderedPageBreak/>
        <w:t>Pri podozrení na predávkovanie sa má erlotinib prestať užívať a má sa začať symptomatická liečba</w:t>
      </w:r>
      <w:r w:rsidR="007B2947" w:rsidRPr="00C06F2E">
        <w:rPr>
          <w:lang w:val="sk-SK"/>
        </w:rPr>
        <w:t>.</w:t>
      </w:r>
    </w:p>
    <w:p w14:paraId="23F9CCCD" w14:textId="77777777" w:rsidR="00435ECB" w:rsidRPr="00C06F2E" w:rsidRDefault="00435ECB" w:rsidP="00E60C58">
      <w:pPr>
        <w:spacing w:after="0"/>
        <w:jc w:val="left"/>
        <w:rPr>
          <w:lang w:val="sk-SK"/>
        </w:rPr>
      </w:pPr>
    </w:p>
    <w:p w14:paraId="41329609" w14:textId="77777777" w:rsidR="00707FA9" w:rsidRPr="00C06F2E" w:rsidRDefault="00707FA9" w:rsidP="00E60C58">
      <w:pPr>
        <w:spacing w:after="0"/>
        <w:jc w:val="left"/>
        <w:rPr>
          <w:lang w:val="sk-SK"/>
        </w:rPr>
      </w:pPr>
    </w:p>
    <w:p w14:paraId="4CB2AEA3" w14:textId="29A22667" w:rsidR="00435ECB" w:rsidRPr="00C06F2E" w:rsidRDefault="00435ECB" w:rsidP="005D17BA">
      <w:pPr>
        <w:pStyle w:val="HeadingFree"/>
        <w:tabs>
          <w:tab w:val="left" w:pos="567"/>
        </w:tabs>
        <w:spacing w:after="0"/>
        <w:rPr>
          <w:bCs/>
          <w:lang w:val="sk-SK"/>
        </w:rPr>
      </w:pPr>
      <w:r w:rsidRPr="00C06F2E">
        <w:rPr>
          <w:lang w:val="sk-SK"/>
        </w:rPr>
        <w:t xml:space="preserve">5. </w:t>
      </w:r>
      <w:r w:rsidRPr="00C06F2E">
        <w:rPr>
          <w:lang w:val="sk-SK"/>
        </w:rPr>
        <w:tab/>
      </w:r>
      <w:r w:rsidR="00024F51" w:rsidRPr="00C06F2E">
        <w:rPr>
          <w:bCs/>
          <w:lang w:val="sk-SK"/>
        </w:rPr>
        <w:t>FARMAKOLOGICKÉ VLASTNOSTI</w:t>
      </w:r>
    </w:p>
    <w:p w14:paraId="5623E6AD" w14:textId="77777777" w:rsidR="00E60C58" w:rsidRPr="00C06F2E" w:rsidRDefault="00E60C58" w:rsidP="00E60C58">
      <w:pPr>
        <w:rPr>
          <w:lang w:val="sk-SK"/>
        </w:rPr>
      </w:pPr>
    </w:p>
    <w:p w14:paraId="7DE2751C" w14:textId="2DC51493" w:rsidR="00435ECB" w:rsidRPr="00C06F2E" w:rsidRDefault="00435ECB" w:rsidP="005D17BA">
      <w:pPr>
        <w:pStyle w:val="StyleHeadingFreeBOLDNOCAPS"/>
        <w:tabs>
          <w:tab w:val="left" w:pos="567"/>
        </w:tabs>
        <w:spacing w:after="0"/>
        <w:rPr>
          <w:bCs/>
          <w:lang w:val="sk-SK"/>
        </w:rPr>
      </w:pPr>
      <w:r w:rsidRPr="00C06F2E">
        <w:rPr>
          <w:lang w:val="sk-SK"/>
        </w:rPr>
        <w:t xml:space="preserve">5.1 </w:t>
      </w:r>
      <w:r w:rsidRPr="00C06F2E">
        <w:rPr>
          <w:lang w:val="sk-SK"/>
        </w:rPr>
        <w:tab/>
      </w:r>
      <w:r w:rsidR="00024F51" w:rsidRPr="00C06F2E">
        <w:rPr>
          <w:bCs/>
          <w:lang w:val="sk-SK"/>
        </w:rPr>
        <w:t>Farmakodynamické vlastnosti</w:t>
      </w:r>
    </w:p>
    <w:p w14:paraId="3A5558E2" w14:textId="77777777" w:rsidR="00E60C58" w:rsidRPr="00C06F2E" w:rsidRDefault="00E60C58" w:rsidP="00E60C58">
      <w:pPr>
        <w:pStyle w:val="StyleHeadingFreeBOLDNOCAPS"/>
        <w:spacing w:after="0"/>
        <w:jc w:val="left"/>
        <w:rPr>
          <w:lang w:val="sk-SK"/>
        </w:rPr>
      </w:pPr>
    </w:p>
    <w:p w14:paraId="73B3A177" w14:textId="45068DAA" w:rsidR="007B2947" w:rsidRPr="00C06F2E" w:rsidRDefault="00024F51" w:rsidP="00E60C58">
      <w:pPr>
        <w:autoSpaceDE w:val="0"/>
        <w:autoSpaceDN w:val="0"/>
        <w:adjustRightInd w:val="0"/>
        <w:spacing w:after="0"/>
        <w:jc w:val="left"/>
        <w:rPr>
          <w:lang w:val="sk-SK" w:eastAsia="cs-CZ"/>
        </w:rPr>
      </w:pPr>
      <w:r w:rsidRPr="00C06F2E">
        <w:rPr>
          <w:lang w:val="sk-SK"/>
        </w:rPr>
        <w:t xml:space="preserve">Farmakoterapeutická skupina: </w:t>
      </w:r>
      <w:r w:rsidR="005D17BA">
        <w:rPr>
          <w:lang w:val="sk-SK"/>
        </w:rPr>
        <w:t>cytostatiká</w:t>
      </w:r>
      <w:r w:rsidRPr="00C06F2E">
        <w:rPr>
          <w:lang w:val="sk-SK"/>
        </w:rPr>
        <w:t>, inhibítor</w:t>
      </w:r>
      <w:r w:rsidR="005D17BA">
        <w:rPr>
          <w:lang w:val="sk-SK"/>
        </w:rPr>
        <w:t>y</w:t>
      </w:r>
      <w:r w:rsidRPr="00C06F2E">
        <w:rPr>
          <w:lang w:val="sk-SK"/>
        </w:rPr>
        <w:t xml:space="preserve"> proteínkinázy</w:t>
      </w:r>
      <w:r w:rsidR="007B2947" w:rsidRPr="00C06F2E">
        <w:rPr>
          <w:lang w:val="sk-SK" w:eastAsia="cs-CZ"/>
        </w:rPr>
        <w:t>.</w:t>
      </w:r>
    </w:p>
    <w:p w14:paraId="4D463A75" w14:textId="4E201ECE" w:rsidR="007B2947" w:rsidRPr="00C06F2E" w:rsidRDefault="007B2947" w:rsidP="00E60C58">
      <w:pPr>
        <w:autoSpaceDE w:val="0"/>
        <w:autoSpaceDN w:val="0"/>
        <w:adjustRightInd w:val="0"/>
        <w:spacing w:after="0"/>
        <w:jc w:val="left"/>
        <w:rPr>
          <w:lang w:val="sk-SK" w:eastAsia="cs-CZ"/>
        </w:rPr>
      </w:pPr>
      <w:r w:rsidRPr="00C06F2E">
        <w:rPr>
          <w:lang w:val="sk-SK"/>
        </w:rPr>
        <w:t xml:space="preserve">ATC </w:t>
      </w:r>
      <w:r w:rsidR="00024F51" w:rsidRPr="00C06F2E">
        <w:rPr>
          <w:lang w:val="sk-SK"/>
        </w:rPr>
        <w:t>kód</w:t>
      </w:r>
      <w:r w:rsidRPr="00C06F2E">
        <w:rPr>
          <w:lang w:val="sk-SK"/>
        </w:rPr>
        <w:t>: L01XE03</w:t>
      </w:r>
      <w:r w:rsidRPr="00C06F2E">
        <w:rPr>
          <w:lang w:val="sk-SK" w:eastAsia="cs-CZ"/>
        </w:rPr>
        <w:t>.</w:t>
      </w:r>
    </w:p>
    <w:p w14:paraId="1A3D6775" w14:textId="77777777" w:rsidR="007B2947" w:rsidRPr="00C06F2E" w:rsidRDefault="007B2947" w:rsidP="00E60C58">
      <w:pPr>
        <w:autoSpaceDE w:val="0"/>
        <w:autoSpaceDN w:val="0"/>
        <w:adjustRightInd w:val="0"/>
        <w:spacing w:after="0"/>
        <w:jc w:val="left"/>
        <w:rPr>
          <w:lang w:val="sk-SK" w:eastAsia="cs-CZ"/>
        </w:rPr>
      </w:pPr>
    </w:p>
    <w:p w14:paraId="40B6BBE3" w14:textId="2297A5B3" w:rsidR="007B2947" w:rsidRPr="00C06F2E" w:rsidRDefault="00024F51" w:rsidP="00E60C58">
      <w:pPr>
        <w:autoSpaceDE w:val="0"/>
        <w:autoSpaceDN w:val="0"/>
        <w:adjustRightInd w:val="0"/>
        <w:spacing w:after="0"/>
        <w:jc w:val="left"/>
        <w:rPr>
          <w:u w:val="single"/>
          <w:lang w:val="sk-SK"/>
        </w:rPr>
      </w:pPr>
      <w:r w:rsidRPr="00C06F2E">
        <w:rPr>
          <w:u w:val="single"/>
          <w:lang w:val="sk-SK"/>
        </w:rPr>
        <w:t>Mechanizmus účinku</w:t>
      </w:r>
    </w:p>
    <w:p w14:paraId="29875E72" w14:textId="666E4662" w:rsidR="007B2947" w:rsidRPr="00C06F2E" w:rsidRDefault="00024F51" w:rsidP="00E60C58">
      <w:pPr>
        <w:autoSpaceDE w:val="0"/>
        <w:autoSpaceDN w:val="0"/>
        <w:adjustRightInd w:val="0"/>
        <w:spacing w:after="0"/>
        <w:jc w:val="left"/>
        <w:rPr>
          <w:lang w:val="sk-SK" w:eastAsia="cs-CZ"/>
        </w:rPr>
      </w:pPr>
      <w:r w:rsidRPr="00C06F2E">
        <w:rPr>
          <w:lang w:val="sk-SK" w:eastAsia="cs-CZ"/>
        </w:rPr>
        <w:t xml:space="preserve">Erlotinib je inhibítor tyrozínkinázy receptora pre epidermálny rastový faktor/receptora pre ľudský epidermálny rastový faktor typu 1 (EGFR tiež známy ako HER1). Erlotinib </w:t>
      </w:r>
      <w:r w:rsidR="005D17BA">
        <w:rPr>
          <w:lang w:val="sk-SK" w:eastAsia="cs-CZ"/>
        </w:rPr>
        <w:t>silne</w:t>
      </w:r>
      <w:r w:rsidRPr="00C06F2E">
        <w:rPr>
          <w:lang w:val="sk-SK" w:eastAsia="cs-CZ"/>
        </w:rPr>
        <w:t xml:space="preserve"> inhibuje intracelulárnu fosforyláciu EGFR. EGFR je exprimovaný na povrchu normálnych i nádorových buniek. V </w:t>
      </w:r>
      <w:r w:rsidR="005D17BA">
        <w:rPr>
          <w:lang w:val="sk-SK" w:eastAsia="cs-CZ"/>
        </w:rPr>
        <w:t>pred</w:t>
      </w:r>
      <w:r w:rsidRPr="00C06F2E">
        <w:rPr>
          <w:lang w:val="sk-SK" w:eastAsia="cs-CZ"/>
        </w:rPr>
        <w:t>klinických modeloch vedie inhibícia fosfotyrozínu EGFR k zastaveniu vývoja buniek a/alebo k usmrteniu buniek.</w:t>
      </w:r>
    </w:p>
    <w:p w14:paraId="107764D4" w14:textId="77777777" w:rsidR="00024F51" w:rsidRPr="00C06F2E" w:rsidRDefault="00024F51" w:rsidP="00E60C58">
      <w:pPr>
        <w:autoSpaceDE w:val="0"/>
        <w:autoSpaceDN w:val="0"/>
        <w:adjustRightInd w:val="0"/>
        <w:spacing w:after="0"/>
        <w:jc w:val="left"/>
        <w:rPr>
          <w:lang w:val="sk-SK" w:eastAsia="cs-CZ"/>
        </w:rPr>
      </w:pPr>
    </w:p>
    <w:p w14:paraId="6B8ED835" w14:textId="072DA35E" w:rsidR="00024F51" w:rsidRPr="00C06F2E" w:rsidRDefault="00024F51" w:rsidP="00E60C58">
      <w:pPr>
        <w:autoSpaceDE w:val="0"/>
        <w:autoSpaceDN w:val="0"/>
        <w:adjustRightInd w:val="0"/>
        <w:spacing w:after="0"/>
        <w:jc w:val="left"/>
        <w:rPr>
          <w:lang w:val="sk-SK"/>
        </w:rPr>
      </w:pPr>
      <w:r w:rsidRPr="00C06F2E">
        <w:rPr>
          <w:lang w:val="sk-SK"/>
        </w:rPr>
        <w:t>EGRF mutácie môžu viesť ku konštitučnej aktivácii antiapoptotickej a proliferačnej signálnej dráhy. V</w:t>
      </w:r>
      <w:r w:rsidR="005D17BA">
        <w:rPr>
          <w:lang w:val="sk-SK"/>
        </w:rPr>
        <w:t>ysoká</w:t>
      </w:r>
      <w:r w:rsidRPr="00C06F2E">
        <w:rPr>
          <w:lang w:val="sk-SK"/>
        </w:rPr>
        <w:t xml:space="preserve"> účinnos</w:t>
      </w:r>
      <w:r w:rsidR="005D17BA">
        <w:rPr>
          <w:lang w:val="sk-SK"/>
        </w:rPr>
        <w:t>ť</w:t>
      </w:r>
      <w:r w:rsidRPr="00C06F2E">
        <w:rPr>
          <w:lang w:val="sk-SK"/>
        </w:rPr>
        <w:t xml:space="preserve"> erlotinibu </w:t>
      </w:r>
      <w:r w:rsidR="005D17BA">
        <w:rPr>
          <w:lang w:val="sk-SK"/>
        </w:rPr>
        <w:t>pri</w:t>
      </w:r>
      <w:r w:rsidRPr="00C06F2E">
        <w:rPr>
          <w:lang w:val="sk-SK"/>
        </w:rPr>
        <w:t xml:space="preserve"> bloká</w:t>
      </w:r>
      <w:r w:rsidR="005D17BA">
        <w:rPr>
          <w:lang w:val="sk-SK"/>
        </w:rPr>
        <w:t>cii</w:t>
      </w:r>
      <w:r w:rsidRPr="00C06F2E">
        <w:rPr>
          <w:lang w:val="sk-SK"/>
        </w:rPr>
        <w:t xml:space="preserve"> signalizácie mediovanej EGRF u týchto nádorov s prítomnou mutáciou EGFR, je spôsoben</w:t>
      </w:r>
      <w:r w:rsidR="005D17BA">
        <w:rPr>
          <w:lang w:val="sk-SK"/>
        </w:rPr>
        <w:t>á</w:t>
      </w:r>
      <w:r w:rsidRPr="00C06F2E">
        <w:rPr>
          <w:lang w:val="sk-SK"/>
        </w:rPr>
        <w:t xml:space="preserve"> tesnou väzbou erlotinibu na ATP-väzobné miesto v doméne mutovanej kinázy EGFR. Dôsledkom blokády kaskády signalizácie je zastavená proliferácia buniek a je indukovaná bunková smrť cez intrinzickú apoptotickú dráhu. Regresia nádorov bola pozorovaná na myšacích modeloch so zosilnenou expresiou tejto aktivujúcej mutácie EGRF.</w:t>
      </w:r>
    </w:p>
    <w:p w14:paraId="10CC5692" w14:textId="77777777" w:rsidR="007B2947" w:rsidRPr="00C06F2E" w:rsidRDefault="007B2947" w:rsidP="00E60C58">
      <w:pPr>
        <w:autoSpaceDE w:val="0"/>
        <w:autoSpaceDN w:val="0"/>
        <w:adjustRightInd w:val="0"/>
        <w:spacing w:after="0"/>
        <w:jc w:val="left"/>
        <w:rPr>
          <w:u w:val="single"/>
          <w:lang w:val="sk-SK" w:eastAsia="cs-CZ"/>
        </w:rPr>
      </w:pPr>
    </w:p>
    <w:p w14:paraId="0A21CA47" w14:textId="76A592B9" w:rsidR="007B2947" w:rsidRPr="00C06F2E" w:rsidRDefault="00024F51" w:rsidP="00E60C58">
      <w:pPr>
        <w:autoSpaceDE w:val="0"/>
        <w:autoSpaceDN w:val="0"/>
        <w:adjustRightInd w:val="0"/>
        <w:spacing w:after="0"/>
        <w:jc w:val="left"/>
        <w:rPr>
          <w:u w:val="single"/>
          <w:lang w:val="sk-SK"/>
        </w:rPr>
      </w:pPr>
      <w:r w:rsidRPr="00C06F2E">
        <w:rPr>
          <w:u w:val="single"/>
          <w:lang w:val="sk-SK"/>
        </w:rPr>
        <w:t>K</w:t>
      </w:r>
      <w:r w:rsidR="007B2947" w:rsidRPr="00C06F2E">
        <w:rPr>
          <w:u w:val="single"/>
          <w:lang w:val="sk-SK"/>
        </w:rPr>
        <w:t>linic</w:t>
      </w:r>
      <w:r w:rsidRPr="00C06F2E">
        <w:rPr>
          <w:u w:val="single"/>
          <w:lang w:val="sk-SK"/>
        </w:rPr>
        <w:t>ká</w:t>
      </w:r>
      <w:r w:rsidR="007B2947" w:rsidRPr="00C06F2E">
        <w:rPr>
          <w:u w:val="single"/>
          <w:lang w:val="sk-SK"/>
        </w:rPr>
        <w:t xml:space="preserve"> </w:t>
      </w:r>
      <w:r w:rsidRPr="00C06F2E">
        <w:rPr>
          <w:u w:val="single"/>
          <w:lang w:val="sk-SK"/>
        </w:rPr>
        <w:t>účinnosť</w:t>
      </w:r>
    </w:p>
    <w:p w14:paraId="4D59B1DA" w14:textId="77777777" w:rsidR="007B2947" w:rsidRPr="00C06F2E" w:rsidRDefault="007B2947" w:rsidP="00E60C58">
      <w:pPr>
        <w:autoSpaceDE w:val="0"/>
        <w:autoSpaceDN w:val="0"/>
        <w:adjustRightInd w:val="0"/>
        <w:spacing w:after="0"/>
        <w:jc w:val="left"/>
        <w:rPr>
          <w:u w:val="single"/>
          <w:lang w:val="sk-SK" w:eastAsia="cs-CZ"/>
        </w:rPr>
      </w:pPr>
    </w:p>
    <w:p w14:paraId="0508CA8C" w14:textId="59EB46E7" w:rsidR="007B2947" w:rsidRPr="00C06F2E" w:rsidRDefault="00024F51" w:rsidP="00E60C58">
      <w:pPr>
        <w:autoSpaceDE w:val="0"/>
        <w:autoSpaceDN w:val="0"/>
        <w:adjustRightInd w:val="0"/>
        <w:spacing w:after="0"/>
        <w:jc w:val="left"/>
        <w:rPr>
          <w:u w:val="single"/>
          <w:lang w:val="sk-SK"/>
        </w:rPr>
      </w:pPr>
      <w:r w:rsidRPr="00C06F2E">
        <w:rPr>
          <w:iCs/>
          <w:u w:val="single"/>
          <w:lang w:val="sk-SK"/>
        </w:rPr>
        <w:t>Liečba prvej línie u pacientov s nemalobunkovým karcinómom pľúc (NSCLC) s aktivujúcimi mutáciami EGFR</w:t>
      </w:r>
      <w:r w:rsidR="00922302" w:rsidRPr="00C06F2E">
        <w:rPr>
          <w:iCs/>
          <w:u w:val="single"/>
          <w:lang w:val="sk-SK"/>
        </w:rPr>
        <w:t xml:space="preserve"> </w:t>
      </w:r>
      <w:r w:rsidR="007B2947" w:rsidRPr="00C06F2E">
        <w:rPr>
          <w:u w:val="single"/>
          <w:lang w:val="sk-SK"/>
        </w:rPr>
        <w:t>(</w:t>
      </w:r>
      <w:r w:rsidR="007B2947" w:rsidRPr="00C06F2E">
        <w:rPr>
          <w:u w:val="single"/>
          <w:lang w:val="sk-SK" w:eastAsia="cs-CZ"/>
        </w:rPr>
        <w:t>erlotinib</w:t>
      </w:r>
      <w:r w:rsidR="007B2947" w:rsidRPr="00C06F2E">
        <w:rPr>
          <w:u w:val="single"/>
          <w:lang w:val="sk-SK"/>
        </w:rPr>
        <w:t xml:space="preserve"> </w:t>
      </w:r>
      <w:r w:rsidR="0042634A" w:rsidRPr="00C06F2E">
        <w:rPr>
          <w:iCs/>
          <w:u w:val="single"/>
          <w:lang w:val="sk-SK"/>
        </w:rPr>
        <w:t>podávaný v monoterapii</w:t>
      </w:r>
      <w:r w:rsidR="007B2947" w:rsidRPr="00C06F2E">
        <w:rPr>
          <w:u w:val="single"/>
          <w:lang w:val="sk-SK"/>
        </w:rPr>
        <w:t>)</w:t>
      </w:r>
    </w:p>
    <w:p w14:paraId="3D4F01E0" w14:textId="77777777" w:rsidR="007B2947" w:rsidRPr="00C06F2E" w:rsidRDefault="007B2947" w:rsidP="00E60C58">
      <w:pPr>
        <w:autoSpaceDE w:val="0"/>
        <w:autoSpaceDN w:val="0"/>
        <w:adjustRightInd w:val="0"/>
        <w:spacing w:after="0"/>
        <w:jc w:val="left"/>
        <w:rPr>
          <w:lang w:val="sk-SK" w:eastAsia="cs-CZ"/>
        </w:rPr>
      </w:pPr>
    </w:p>
    <w:p w14:paraId="130C0981" w14:textId="607FB92C" w:rsidR="007B2947" w:rsidRPr="00C06F2E" w:rsidRDefault="0042634A" w:rsidP="00E60C58">
      <w:pPr>
        <w:autoSpaceDE w:val="0"/>
        <w:autoSpaceDN w:val="0"/>
        <w:adjustRightInd w:val="0"/>
        <w:spacing w:after="0"/>
        <w:jc w:val="left"/>
        <w:rPr>
          <w:lang w:val="sk-SK" w:eastAsia="cs-CZ"/>
        </w:rPr>
      </w:pPr>
      <w:r w:rsidRPr="00C06F2E">
        <w:rPr>
          <w:lang w:val="sk-SK" w:eastAsia="cs-CZ"/>
        </w:rPr>
        <w:t>Účinnosť erlotinibu</w:t>
      </w:r>
      <w:r w:rsidRPr="00C06F2E">
        <w:rPr>
          <w:lang w:val="sk-SK"/>
        </w:rPr>
        <w:t xml:space="preserve"> </w:t>
      </w:r>
      <w:r w:rsidRPr="00C06F2E">
        <w:rPr>
          <w:lang w:val="sk-SK" w:eastAsia="cs-CZ"/>
        </w:rPr>
        <w:t xml:space="preserve">v prvej línii liečby pacientov s NSCLC s aktivujúcimi mutáciami EGFR bola sledovaná v otvorenom randomizovanom klinickom skúšaní fázy III (ML20650, EURTAC). Táto štúdia bola vykonaná u pacientov kaukazkého typu s metastatickým alebo lokálne pokročilým NSCLC (štádium IIIB a IV), ktorí predtým nedostali chemoterapiu alebo akúkoľvek systémovú protinádorovú terapiu na svoje pokročilé štádium choroby a ktorí mali mutácie EGFR v </w:t>
      </w:r>
      <w:r w:rsidR="00954072">
        <w:rPr>
          <w:lang w:val="sk-SK" w:eastAsia="cs-CZ"/>
        </w:rPr>
        <w:t>doméne</w:t>
      </w:r>
      <w:r w:rsidRPr="00C06F2E">
        <w:rPr>
          <w:lang w:val="sk-SK" w:eastAsia="cs-CZ"/>
        </w:rPr>
        <w:t xml:space="preserve"> tyrozínkinázy (delécia exónu 19 alebo mutácia exónu 21). Pacienti boli randomizovaní 1:1 na podávanie erlotinibu</w:t>
      </w:r>
      <w:r w:rsidRPr="00C06F2E">
        <w:rPr>
          <w:lang w:val="sk-SK"/>
        </w:rPr>
        <w:t xml:space="preserve"> </w:t>
      </w:r>
      <w:r w:rsidR="00796A50" w:rsidRPr="00C06F2E">
        <w:rPr>
          <w:lang w:val="sk-SK"/>
        </w:rPr>
        <w:t xml:space="preserve">v dávke </w:t>
      </w:r>
      <w:r w:rsidR="00ED70DA" w:rsidRPr="00C06F2E">
        <w:rPr>
          <w:lang w:val="sk-SK" w:eastAsia="cs-CZ"/>
        </w:rPr>
        <w:t>150 </w:t>
      </w:r>
      <w:r w:rsidRPr="00C06F2E">
        <w:rPr>
          <w:lang w:val="sk-SK" w:eastAsia="cs-CZ"/>
        </w:rPr>
        <w:t>mg</w:t>
      </w:r>
      <w:r w:rsidR="00796A50" w:rsidRPr="00C06F2E">
        <w:rPr>
          <w:lang w:val="sk-SK" w:eastAsia="cs-CZ"/>
        </w:rPr>
        <w:t xml:space="preserve"> denne</w:t>
      </w:r>
      <w:r w:rsidRPr="00C06F2E">
        <w:rPr>
          <w:lang w:val="sk-SK" w:eastAsia="cs-CZ"/>
        </w:rPr>
        <w:t xml:space="preserve"> alebo</w:t>
      </w:r>
      <w:r w:rsidR="00796A50" w:rsidRPr="00C06F2E">
        <w:rPr>
          <w:lang w:val="sk-SK" w:eastAsia="cs-CZ"/>
        </w:rPr>
        <w:t xml:space="preserve"> na najviac 4 cykly</w:t>
      </w:r>
      <w:r w:rsidRPr="00C06F2E">
        <w:rPr>
          <w:lang w:val="sk-SK" w:eastAsia="cs-CZ"/>
        </w:rPr>
        <w:t xml:space="preserve"> </w:t>
      </w:r>
      <w:r w:rsidR="00796A50" w:rsidRPr="00C06F2E">
        <w:rPr>
          <w:lang w:val="sk-SK" w:eastAsia="cs-CZ"/>
        </w:rPr>
        <w:t xml:space="preserve">chemoterapie </w:t>
      </w:r>
      <w:r w:rsidRPr="00C06F2E">
        <w:rPr>
          <w:lang w:val="sk-SK" w:eastAsia="cs-CZ"/>
        </w:rPr>
        <w:t>dvojkombináci</w:t>
      </w:r>
      <w:r w:rsidR="00796A50" w:rsidRPr="00C06F2E">
        <w:rPr>
          <w:lang w:val="sk-SK" w:eastAsia="cs-CZ"/>
        </w:rPr>
        <w:t>ou</w:t>
      </w:r>
      <w:r w:rsidRPr="00C06F2E">
        <w:rPr>
          <w:lang w:val="sk-SK" w:eastAsia="cs-CZ"/>
        </w:rPr>
        <w:t xml:space="preserve"> na báze platiny.</w:t>
      </w:r>
    </w:p>
    <w:p w14:paraId="37B58715" w14:textId="77777777" w:rsidR="0042634A" w:rsidRPr="00C06F2E" w:rsidRDefault="0042634A" w:rsidP="00E60C58">
      <w:pPr>
        <w:autoSpaceDE w:val="0"/>
        <w:autoSpaceDN w:val="0"/>
        <w:adjustRightInd w:val="0"/>
        <w:spacing w:after="0"/>
        <w:jc w:val="left"/>
        <w:rPr>
          <w:lang w:val="sk-SK" w:eastAsia="cs-CZ"/>
        </w:rPr>
      </w:pPr>
    </w:p>
    <w:p w14:paraId="43F0E0B1" w14:textId="1EEFBAE8" w:rsidR="007B2947" w:rsidRPr="00C06F2E" w:rsidRDefault="00796A50" w:rsidP="00E60C58">
      <w:pPr>
        <w:autoSpaceDE w:val="0"/>
        <w:autoSpaceDN w:val="0"/>
        <w:adjustRightInd w:val="0"/>
        <w:spacing w:after="0"/>
        <w:jc w:val="left"/>
        <w:rPr>
          <w:lang w:val="sk-SK"/>
        </w:rPr>
      </w:pPr>
      <w:r w:rsidRPr="00C06F2E">
        <w:rPr>
          <w:lang w:val="sk-SK"/>
        </w:rPr>
        <w:t>Primárnym cieľovým ukazovateľom bolo prežívanie bez príznakov progresie ochorenia (PFS)</w:t>
      </w:r>
      <w:r w:rsidRPr="00C06F2E">
        <w:rPr>
          <w:rFonts w:eastAsia="Times New Roman"/>
          <w:lang w:val="sk-SK" w:eastAsia="en-GB"/>
        </w:rPr>
        <w:t xml:space="preserve"> </w:t>
      </w:r>
      <w:r w:rsidRPr="00C06F2E">
        <w:rPr>
          <w:lang w:val="sk-SK"/>
        </w:rPr>
        <w:t>hodnotené skúšajúcim lekárom. Výsledky účinnosti sú zhrnuté v tabuľke 3.</w:t>
      </w:r>
    </w:p>
    <w:p w14:paraId="39B42E3C" w14:textId="77777777" w:rsidR="00796A50" w:rsidRPr="00C06F2E" w:rsidRDefault="00796A50" w:rsidP="00E60C58">
      <w:pPr>
        <w:autoSpaceDE w:val="0"/>
        <w:autoSpaceDN w:val="0"/>
        <w:adjustRightInd w:val="0"/>
        <w:spacing w:after="0"/>
        <w:jc w:val="left"/>
        <w:rPr>
          <w:lang w:val="sk-SK"/>
        </w:rPr>
      </w:pPr>
    </w:p>
    <w:p w14:paraId="0AE8CBAF" w14:textId="2BFA5204" w:rsidR="007B2947" w:rsidRPr="00C06F2E" w:rsidRDefault="00796A50" w:rsidP="00E60C58">
      <w:pPr>
        <w:keepNext/>
        <w:autoSpaceDE w:val="0"/>
        <w:autoSpaceDN w:val="0"/>
        <w:adjustRightInd w:val="0"/>
        <w:spacing w:after="0"/>
        <w:jc w:val="left"/>
        <w:rPr>
          <w:lang w:val="sk-SK"/>
        </w:rPr>
      </w:pPr>
      <w:r w:rsidRPr="00C06F2E">
        <w:rPr>
          <w:lang w:val="sk-SK"/>
        </w:rPr>
        <w:lastRenderedPageBreak/>
        <w:t>Obrázok</w:t>
      </w:r>
      <w:r w:rsidR="007B2947" w:rsidRPr="00C06F2E">
        <w:rPr>
          <w:lang w:val="sk-SK"/>
        </w:rPr>
        <w:t xml:space="preserve"> 1: </w:t>
      </w:r>
      <w:r w:rsidRPr="00C06F2E">
        <w:rPr>
          <w:lang w:val="sk-SK"/>
        </w:rPr>
        <w:t>Kaplanova</w:t>
      </w:r>
      <w:r w:rsidRPr="00C06F2E">
        <w:rPr>
          <w:lang w:val="sk-SK"/>
        </w:rPr>
        <w:noBreakHyphen/>
        <w:t>Meierova krivka pre PFS hodnotené skúšajúcim lekárom v klinickom skúšaní ML20650 (EURTAC) (</w:t>
      </w:r>
      <w:r w:rsidR="00E6288A" w:rsidRPr="00C06F2E">
        <w:rPr>
          <w:lang w:val="sk-SK"/>
        </w:rPr>
        <w:t>dátum ukončenia zhromažďovania údajov: apríl 2012</w:t>
      </w:r>
      <w:r w:rsidR="007B2947" w:rsidRPr="00C06F2E">
        <w:rPr>
          <w:lang w:val="sk-SK"/>
        </w:rPr>
        <w:t>)</w:t>
      </w:r>
    </w:p>
    <w:p w14:paraId="1FDAA2D6" w14:textId="77FBC0D5" w:rsidR="007B2947" w:rsidRPr="00171F75" w:rsidRDefault="00BA6C7B" w:rsidP="0028022E">
      <w:pPr>
        <w:keepNext/>
        <w:autoSpaceDE w:val="0"/>
        <w:autoSpaceDN w:val="0"/>
        <w:adjustRightInd w:val="0"/>
        <w:spacing w:after="0" w:line="240" w:lineRule="atLeast"/>
        <w:rPr>
          <w:lang w:val="sk-SK" w:eastAsia="cs-CZ"/>
        </w:rPr>
      </w:pPr>
      <w:r>
        <w:rPr>
          <w:noProof/>
          <w:lang w:val="sk-SK" w:eastAsia="sk-SK"/>
        </w:rPr>
        <w:drawing>
          <wp:inline distT="0" distB="0" distL="0" distR="0" wp14:anchorId="39A4A801" wp14:editId="414E6815">
            <wp:extent cx="6296025" cy="354330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6025" cy="3543300"/>
                    </a:xfrm>
                    <a:prstGeom prst="rect">
                      <a:avLst/>
                    </a:prstGeom>
                    <a:noFill/>
                    <a:ln>
                      <a:noFill/>
                    </a:ln>
                  </pic:spPr>
                </pic:pic>
              </a:graphicData>
            </a:graphic>
          </wp:inline>
        </w:drawing>
      </w:r>
    </w:p>
    <w:p w14:paraId="21A5B04E" w14:textId="77777777" w:rsidR="007B2947" w:rsidRPr="00171F75" w:rsidRDefault="007B2947" w:rsidP="0028022E">
      <w:pPr>
        <w:keepNext/>
        <w:autoSpaceDE w:val="0"/>
        <w:autoSpaceDN w:val="0"/>
        <w:adjustRightInd w:val="0"/>
        <w:spacing w:after="0"/>
        <w:rPr>
          <w:lang w:val="sk-SK"/>
        </w:rPr>
      </w:pPr>
    </w:p>
    <w:p w14:paraId="6C695B87" w14:textId="56B5B436" w:rsidR="007B2947" w:rsidRPr="00171F75" w:rsidRDefault="0085502A" w:rsidP="00E60C58">
      <w:pPr>
        <w:autoSpaceDE w:val="0"/>
        <w:autoSpaceDN w:val="0"/>
        <w:adjustRightInd w:val="0"/>
        <w:spacing w:after="0"/>
        <w:jc w:val="left"/>
        <w:rPr>
          <w:lang w:val="sk-SK"/>
        </w:rPr>
      </w:pPr>
      <w:r w:rsidRPr="00171F75">
        <w:rPr>
          <w:lang w:val="sk-SK"/>
        </w:rPr>
        <w:br w:type="page"/>
      </w:r>
      <w:r w:rsidR="00796A50" w:rsidRPr="00171F75">
        <w:rPr>
          <w:lang w:val="sk-SK"/>
        </w:rPr>
        <w:lastRenderedPageBreak/>
        <w:t>Tabuľka</w:t>
      </w:r>
      <w:r w:rsidR="007B2947" w:rsidRPr="00171F75">
        <w:rPr>
          <w:lang w:val="sk-SK"/>
        </w:rPr>
        <w:t xml:space="preserve"> </w:t>
      </w:r>
      <w:r w:rsidR="007C5481" w:rsidRPr="00171F75">
        <w:rPr>
          <w:lang w:val="sk-SK" w:eastAsia="cs-CZ"/>
        </w:rPr>
        <w:t>3</w:t>
      </w:r>
      <w:r w:rsidR="007B2947" w:rsidRPr="00171F75">
        <w:rPr>
          <w:lang w:val="sk-SK"/>
        </w:rPr>
        <w:t xml:space="preserve">: </w:t>
      </w:r>
      <w:r w:rsidR="00796A50" w:rsidRPr="00171F75">
        <w:rPr>
          <w:lang w:val="sk-SK"/>
        </w:rPr>
        <w:t>Výsledky účinnosti erlotinibu v porovnaní s chemoterapiou v klinickom skúšaní ML20650 (EURTAC)</w:t>
      </w:r>
    </w:p>
    <w:p w14:paraId="20E936EA" w14:textId="77777777" w:rsidR="007B2947" w:rsidRPr="00171F75" w:rsidRDefault="007B2947" w:rsidP="0028022E">
      <w:pPr>
        <w:autoSpaceDE w:val="0"/>
        <w:autoSpaceDN w:val="0"/>
        <w:adjustRightInd w:val="0"/>
        <w:spacing w:after="0"/>
        <w:rPr>
          <w:lang w:val="sk-SK" w:eastAsia="cs-CZ"/>
        </w:rPr>
      </w:pPr>
    </w:p>
    <w:tbl>
      <w:tblPr>
        <w:tblW w:w="10247" w:type="dxa"/>
        <w:tblInd w:w="-287" w:type="dxa"/>
        <w:tblLayout w:type="fixed"/>
        <w:tblCellMar>
          <w:left w:w="0" w:type="dxa"/>
          <w:right w:w="0" w:type="dxa"/>
        </w:tblCellMar>
        <w:tblLook w:val="01E0" w:firstRow="1" w:lastRow="1" w:firstColumn="1" w:lastColumn="1" w:noHBand="0" w:noVBand="0"/>
      </w:tblPr>
      <w:tblGrid>
        <w:gridCol w:w="1742"/>
        <w:gridCol w:w="2835"/>
        <w:gridCol w:w="1276"/>
        <w:gridCol w:w="1276"/>
        <w:gridCol w:w="1559"/>
        <w:gridCol w:w="1559"/>
      </w:tblGrid>
      <w:tr w:rsidR="00DC0338" w:rsidRPr="00C06F2E" w14:paraId="06A29B14" w14:textId="77777777" w:rsidTr="00362D92">
        <w:trPr>
          <w:trHeight w:hRule="exact" w:val="486"/>
        </w:trPr>
        <w:tc>
          <w:tcPr>
            <w:tcW w:w="1742" w:type="dxa"/>
            <w:tcBorders>
              <w:top w:val="single" w:sz="2" w:space="0" w:color="000000"/>
              <w:left w:val="single" w:sz="2" w:space="0" w:color="000000"/>
              <w:bottom w:val="single" w:sz="2" w:space="0" w:color="000000"/>
              <w:right w:val="single" w:sz="2" w:space="0" w:color="000000"/>
            </w:tcBorders>
          </w:tcPr>
          <w:p w14:paraId="2DEC8600" w14:textId="77777777" w:rsidR="007B2947" w:rsidRPr="00171F75" w:rsidRDefault="007B2947" w:rsidP="0028022E">
            <w:pPr>
              <w:spacing w:after="0"/>
              <w:rPr>
                <w:lang w:val="sk-SK"/>
              </w:rPr>
            </w:pPr>
          </w:p>
        </w:tc>
        <w:tc>
          <w:tcPr>
            <w:tcW w:w="2835" w:type="dxa"/>
            <w:tcBorders>
              <w:top w:val="single" w:sz="2" w:space="0" w:color="000000"/>
              <w:left w:val="single" w:sz="2" w:space="0" w:color="000000"/>
              <w:bottom w:val="single" w:sz="2" w:space="0" w:color="000000"/>
              <w:right w:val="single" w:sz="2" w:space="0" w:color="000000"/>
            </w:tcBorders>
          </w:tcPr>
          <w:p w14:paraId="65DD836B" w14:textId="77777777" w:rsidR="007B2947" w:rsidRPr="00171F75" w:rsidRDefault="007B2947" w:rsidP="0028022E">
            <w:pPr>
              <w:spacing w:after="0"/>
              <w:rPr>
                <w:lang w:val="sk-SK"/>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7E077C67" w14:textId="77777777" w:rsidR="0085502A" w:rsidRPr="00C06F2E" w:rsidRDefault="007B2947" w:rsidP="0028022E">
            <w:pPr>
              <w:spacing w:after="0" w:line="205" w:lineRule="exact"/>
              <w:ind w:right="-20"/>
              <w:jc w:val="center"/>
            </w:pPr>
            <w:r w:rsidRPr="00C06F2E">
              <w:rPr>
                <w:b/>
                <w:bCs/>
              </w:rPr>
              <w:t>Erlotinib</w:t>
            </w:r>
          </w:p>
          <w:p w14:paraId="003C8823" w14:textId="77777777" w:rsidR="007B2947" w:rsidRPr="00C06F2E" w:rsidRDefault="007B2947" w:rsidP="0028022E">
            <w:pPr>
              <w:tabs>
                <w:tab w:val="left" w:pos="1200"/>
              </w:tabs>
              <w:spacing w:after="0"/>
              <w:jc w:val="center"/>
            </w:pPr>
          </w:p>
        </w:tc>
        <w:tc>
          <w:tcPr>
            <w:tcW w:w="1276" w:type="dxa"/>
            <w:tcBorders>
              <w:top w:val="single" w:sz="2" w:space="0" w:color="000000"/>
              <w:left w:val="single" w:sz="2" w:space="0" w:color="000000"/>
              <w:bottom w:val="single" w:sz="2" w:space="0" w:color="000000"/>
              <w:right w:val="single" w:sz="2" w:space="0" w:color="000000"/>
            </w:tcBorders>
            <w:vAlign w:val="center"/>
          </w:tcPr>
          <w:p w14:paraId="2D3F5EFD" w14:textId="77777777" w:rsidR="007B2947" w:rsidRPr="00C06F2E" w:rsidRDefault="007B2947" w:rsidP="0028022E">
            <w:pPr>
              <w:spacing w:after="0" w:line="205" w:lineRule="exact"/>
              <w:ind w:right="-20"/>
              <w:jc w:val="center"/>
            </w:pPr>
            <w:r w:rsidRPr="00C06F2E">
              <w:rPr>
                <w:b/>
                <w:bCs/>
              </w:rPr>
              <w:t>Chemo-</w:t>
            </w:r>
          </w:p>
          <w:p w14:paraId="732BD332" w14:textId="1BA5DC44" w:rsidR="007B2947" w:rsidRPr="00C06F2E" w:rsidRDefault="007B2947" w:rsidP="0028022E">
            <w:pPr>
              <w:spacing w:after="0" w:line="207" w:lineRule="exact"/>
              <w:ind w:right="-20"/>
              <w:jc w:val="center"/>
            </w:pPr>
            <w:r w:rsidRPr="00C06F2E">
              <w:rPr>
                <w:b/>
              </w:rPr>
              <w:t>tera</w:t>
            </w:r>
            <w:r w:rsidRPr="00C06F2E">
              <w:rPr>
                <w:b/>
                <w:spacing w:val="-1"/>
              </w:rPr>
              <w:t>p</w:t>
            </w:r>
            <w:r w:rsidR="00E6288A" w:rsidRPr="00C06F2E">
              <w:rPr>
                <w:b/>
                <w:spacing w:val="-1"/>
              </w:rPr>
              <w:t>ia</w:t>
            </w:r>
          </w:p>
        </w:tc>
        <w:tc>
          <w:tcPr>
            <w:tcW w:w="1559" w:type="dxa"/>
            <w:tcBorders>
              <w:top w:val="single" w:sz="2" w:space="0" w:color="000000"/>
              <w:left w:val="single" w:sz="2" w:space="0" w:color="000000"/>
              <w:bottom w:val="single" w:sz="2" w:space="0" w:color="000000"/>
              <w:right w:val="single" w:sz="2" w:space="0" w:color="000000"/>
            </w:tcBorders>
            <w:vAlign w:val="center"/>
          </w:tcPr>
          <w:p w14:paraId="4E694610" w14:textId="77777777" w:rsidR="00E6288A" w:rsidRPr="00C06F2E" w:rsidRDefault="00E6288A" w:rsidP="0028022E">
            <w:pPr>
              <w:spacing w:after="0" w:line="205" w:lineRule="exact"/>
              <w:ind w:right="59"/>
              <w:jc w:val="center"/>
              <w:rPr>
                <w:b/>
              </w:rPr>
            </w:pPr>
            <w:r w:rsidRPr="00C06F2E">
              <w:rPr>
                <w:b/>
              </w:rPr>
              <w:t>Pomer rizík</w:t>
            </w:r>
          </w:p>
          <w:p w14:paraId="35EF9662" w14:textId="3D49B7FC" w:rsidR="00E6288A" w:rsidRPr="00C06F2E" w:rsidRDefault="00171F75" w:rsidP="0028022E">
            <w:pPr>
              <w:spacing w:after="0" w:line="205" w:lineRule="exact"/>
              <w:ind w:right="59"/>
              <w:jc w:val="center"/>
              <w:rPr>
                <w:b/>
              </w:rPr>
            </w:pPr>
            <w:r>
              <w:rPr>
                <w:b/>
              </w:rPr>
              <w:t>(95% IS)</w:t>
            </w:r>
          </w:p>
          <w:p w14:paraId="43690E42" w14:textId="77777777" w:rsidR="00E6288A" w:rsidRPr="00C06F2E" w:rsidRDefault="00E6288A" w:rsidP="0028022E">
            <w:pPr>
              <w:spacing w:after="0" w:line="205" w:lineRule="exact"/>
              <w:ind w:right="59"/>
              <w:jc w:val="center"/>
              <w:rPr>
                <w:b/>
              </w:rPr>
            </w:pPr>
          </w:p>
          <w:p w14:paraId="3054DFF5" w14:textId="77777777" w:rsidR="00E6288A" w:rsidRPr="00C06F2E" w:rsidRDefault="00E6288A" w:rsidP="0028022E">
            <w:pPr>
              <w:spacing w:after="0" w:line="205" w:lineRule="exact"/>
              <w:ind w:right="59"/>
              <w:jc w:val="center"/>
              <w:rPr>
                <w:b/>
              </w:rPr>
            </w:pPr>
          </w:p>
          <w:p w14:paraId="735211BB" w14:textId="2771A8E6" w:rsidR="007B2947" w:rsidRPr="00C06F2E" w:rsidRDefault="007B2947" w:rsidP="0028022E">
            <w:pPr>
              <w:spacing w:after="0" w:line="205" w:lineRule="exact"/>
              <w:ind w:right="59"/>
              <w:jc w:val="center"/>
            </w:pPr>
            <w:r w:rsidRPr="00C06F2E">
              <w:rPr>
                <w:b/>
                <w:spacing w:val="1"/>
              </w:rPr>
              <w:t xml:space="preserve"> </w:t>
            </w:r>
            <w:r w:rsidRPr="00C06F2E">
              <w:rPr>
                <w:b/>
              </w:rPr>
              <w:t>Ratio</w:t>
            </w:r>
          </w:p>
          <w:p w14:paraId="2E7F3AC8" w14:textId="77777777" w:rsidR="007B2947" w:rsidRPr="00C06F2E" w:rsidRDefault="007B2947" w:rsidP="0028022E">
            <w:pPr>
              <w:spacing w:after="0" w:line="207" w:lineRule="exact"/>
              <w:ind w:right="220"/>
              <w:jc w:val="center"/>
            </w:pPr>
            <w:r w:rsidRPr="00C06F2E">
              <w:rPr>
                <w:b/>
              </w:rPr>
              <w:t>(95%</w:t>
            </w:r>
            <w:r w:rsidRPr="00C06F2E">
              <w:rPr>
                <w:b/>
                <w:spacing w:val="-1"/>
              </w:rPr>
              <w:t xml:space="preserve"> </w:t>
            </w:r>
            <w:r w:rsidRPr="00C06F2E">
              <w:rPr>
                <w:b/>
              </w:rPr>
              <w:t>CI)</w:t>
            </w:r>
          </w:p>
        </w:tc>
        <w:tc>
          <w:tcPr>
            <w:tcW w:w="1559" w:type="dxa"/>
            <w:tcBorders>
              <w:top w:val="single" w:sz="2" w:space="0" w:color="000000"/>
              <w:left w:val="single" w:sz="2" w:space="0" w:color="000000"/>
              <w:bottom w:val="single" w:sz="2" w:space="0" w:color="000000"/>
              <w:right w:val="single" w:sz="2" w:space="0" w:color="000000"/>
            </w:tcBorders>
            <w:vAlign w:val="center"/>
          </w:tcPr>
          <w:p w14:paraId="61FECA45" w14:textId="04DE6789" w:rsidR="007B2947" w:rsidRPr="00C06F2E" w:rsidRDefault="007B2947" w:rsidP="0028022E">
            <w:pPr>
              <w:spacing w:after="0" w:line="205" w:lineRule="exact"/>
              <w:ind w:right="-20"/>
              <w:jc w:val="center"/>
            </w:pPr>
            <w:r w:rsidRPr="00C06F2E">
              <w:rPr>
                <w:b/>
              </w:rPr>
              <w:t>p-</w:t>
            </w:r>
            <w:r w:rsidR="00E6288A" w:rsidRPr="00C06F2E">
              <w:rPr>
                <w:b/>
              </w:rPr>
              <w:t>hodnota</w:t>
            </w:r>
          </w:p>
        </w:tc>
      </w:tr>
      <w:tr w:rsidR="00DC0338" w:rsidRPr="00C06F2E" w14:paraId="2FF94A12" w14:textId="77777777" w:rsidTr="00362D92">
        <w:trPr>
          <w:trHeight w:hRule="exact" w:val="385"/>
        </w:trPr>
        <w:tc>
          <w:tcPr>
            <w:tcW w:w="1742" w:type="dxa"/>
            <w:vMerge w:val="restart"/>
            <w:tcBorders>
              <w:top w:val="single" w:sz="2" w:space="0" w:color="000000"/>
              <w:left w:val="single" w:sz="2" w:space="0" w:color="000000"/>
              <w:right w:val="single" w:sz="2" w:space="0" w:color="000000"/>
            </w:tcBorders>
          </w:tcPr>
          <w:p w14:paraId="2902431D" w14:textId="164C2A3E" w:rsidR="0085502A" w:rsidRPr="00C06F2E" w:rsidRDefault="00351095" w:rsidP="00362D92">
            <w:pPr>
              <w:spacing w:after="0"/>
              <w:ind w:left="105" w:right="408"/>
              <w:jc w:val="left"/>
              <w:rPr>
                <w:lang w:val="pt-PT"/>
              </w:rPr>
            </w:pPr>
            <w:r>
              <w:rPr>
                <w:lang w:val="pt-PT"/>
              </w:rPr>
              <w:t>Vopred p</w:t>
            </w:r>
            <w:r w:rsidR="00E6288A" w:rsidRPr="00C06F2E">
              <w:rPr>
                <w:lang w:val="pt-PT"/>
              </w:rPr>
              <w:t>lánovaná predbežná analýza</w:t>
            </w:r>
            <w:r w:rsidR="0085502A" w:rsidRPr="00C06F2E">
              <w:rPr>
                <w:lang w:val="pt-PT"/>
              </w:rPr>
              <w:t xml:space="preserve"> (35</w:t>
            </w:r>
            <w:r>
              <w:rPr>
                <w:lang w:val="pt-PT"/>
              </w:rPr>
              <w:t> </w:t>
            </w:r>
            <w:r w:rsidR="0085502A" w:rsidRPr="00C06F2E">
              <w:rPr>
                <w:lang w:val="pt-PT"/>
              </w:rPr>
              <w:t>%</w:t>
            </w:r>
            <w:r w:rsidR="0085502A" w:rsidRPr="00C06F2E">
              <w:rPr>
                <w:spacing w:val="1"/>
                <w:lang w:val="pt-PT"/>
              </w:rPr>
              <w:t xml:space="preserve"> </w:t>
            </w:r>
            <w:r>
              <w:rPr>
                <w:spacing w:val="1"/>
                <w:lang w:val="pt-PT"/>
              </w:rPr>
              <w:t>dostupých údajov pre</w:t>
            </w:r>
            <w:r w:rsidR="00E6288A" w:rsidRPr="00C06F2E">
              <w:rPr>
                <w:spacing w:val="1"/>
                <w:lang w:val="pt-PT"/>
              </w:rPr>
              <w:t xml:space="preserve"> </w:t>
            </w:r>
            <w:r w:rsidR="0085502A" w:rsidRPr="00C06F2E">
              <w:rPr>
                <w:lang w:val="pt-PT"/>
              </w:rPr>
              <w:t>OS) (n=153)</w:t>
            </w:r>
          </w:p>
          <w:p w14:paraId="56D5803B" w14:textId="77777777" w:rsidR="0085502A" w:rsidRPr="00C06F2E" w:rsidRDefault="0085502A" w:rsidP="0028022E">
            <w:pPr>
              <w:spacing w:after="0" w:line="200" w:lineRule="exact"/>
              <w:rPr>
                <w:lang w:val="pt-PT"/>
              </w:rPr>
            </w:pPr>
          </w:p>
          <w:p w14:paraId="57A54953" w14:textId="4985722A" w:rsidR="0085502A" w:rsidRPr="00362D92" w:rsidRDefault="00E6288A" w:rsidP="0028022E">
            <w:pPr>
              <w:spacing w:after="0"/>
              <w:ind w:left="105" w:right="-20"/>
              <w:jc w:val="left"/>
              <w:rPr>
                <w:sz w:val="16"/>
                <w:szCs w:val="16"/>
                <w:lang w:val="pt-PT"/>
              </w:rPr>
            </w:pPr>
            <w:r w:rsidRPr="00362D92">
              <w:rPr>
                <w:sz w:val="16"/>
                <w:szCs w:val="16"/>
                <w:lang w:val="sk-SK"/>
              </w:rPr>
              <w:t xml:space="preserve">Dátum ukončenia zhromažďovania údajov: </w:t>
            </w:r>
            <w:r w:rsidR="0085502A" w:rsidRPr="00362D92">
              <w:rPr>
                <w:sz w:val="16"/>
                <w:szCs w:val="16"/>
                <w:lang w:val="pt-PT"/>
              </w:rPr>
              <w:t>A</w:t>
            </w:r>
            <w:r w:rsidR="0085502A" w:rsidRPr="00362D92">
              <w:rPr>
                <w:spacing w:val="-1"/>
                <w:sz w:val="16"/>
                <w:szCs w:val="16"/>
                <w:lang w:val="pt-PT"/>
              </w:rPr>
              <w:t>u</w:t>
            </w:r>
            <w:r w:rsidR="0085502A" w:rsidRPr="00362D92">
              <w:rPr>
                <w:sz w:val="16"/>
                <w:szCs w:val="16"/>
                <w:lang w:val="pt-PT"/>
              </w:rPr>
              <w:t>g</w:t>
            </w:r>
            <w:r w:rsidR="0085502A" w:rsidRPr="00362D92">
              <w:rPr>
                <w:spacing w:val="-2"/>
                <w:sz w:val="16"/>
                <w:szCs w:val="16"/>
                <w:lang w:val="pt-PT"/>
              </w:rPr>
              <w:t xml:space="preserve"> </w:t>
            </w:r>
            <w:r w:rsidR="0085502A" w:rsidRPr="00362D92">
              <w:rPr>
                <w:spacing w:val="1"/>
                <w:sz w:val="16"/>
                <w:szCs w:val="16"/>
                <w:lang w:val="pt-PT"/>
              </w:rPr>
              <w:t>2010</w:t>
            </w:r>
          </w:p>
        </w:tc>
        <w:tc>
          <w:tcPr>
            <w:tcW w:w="2835" w:type="dxa"/>
            <w:tcBorders>
              <w:top w:val="single" w:sz="2" w:space="0" w:color="000000"/>
              <w:left w:val="single" w:sz="2" w:space="0" w:color="000000"/>
              <w:bottom w:val="single" w:sz="2" w:space="0" w:color="000000"/>
              <w:right w:val="single" w:sz="2" w:space="0" w:color="000000"/>
            </w:tcBorders>
          </w:tcPr>
          <w:p w14:paraId="7AFAD296" w14:textId="77777777" w:rsidR="0085502A" w:rsidRPr="00C06F2E" w:rsidRDefault="0085502A" w:rsidP="0028022E">
            <w:pPr>
              <w:spacing w:after="0"/>
              <w:rPr>
                <w:lang w:val="pt-PT"/>
              </w:rPr>
            </w:pPr>
          </w:p>
        </w:tc>
        <w:tc>
          <w:tcPr>
            <w:tcW w:w="1276" w:type="dxa"/>
            <w:tcBorders>
              <w:top w:val="single" w:sz="2" w:space="0" w:color="000000"/>
              <w:left w:val="single" w:sz="2" w:space="0" w:color="000000"/>
              <w:bottom w:val="single" w:sz="2" w:space="0" w:color="000000"/>
              <w:right w:val="single" w:sz="2" w:space="0" w:color="000000"/>
            </w:tcBorders>
          </w:tcPr>
          <w:p w14:paraId="036DB1BE" w14:textId="77777777" w:rsidR="0085502A" w:rsidRPr="00C06F2E" w:rsidRDefault="0085502A" w:rsidP="0028022E">
            <w:pPr>
              <w:spacing w:after="0"/>
              <w:ind w:left="414" w:right="397"/>
              <w:jc w:val="center"/>
            </w:pPr>
            <w:r w:rsidRPr="00C06F2E">
              <w:t>n=77</w:t>
            </w:r>
          </w:p>
        </w:tc>
        <w:tc>
          <w:tcPr>
            <w:tcW w:w="1276" w:type="dxa"/>
            <w:tcBorders>
              <w:top w:val="single" w:sz="2" w:space="0" w:color="000000"/>
              <w:left w:val="single" w:sz="2" w:space="0" w:color="000000"/>
              <w:bottom w:val="single" w:sz="2" w:space="0" w:color="000000"/>
              <w:right w:val="single" w:sz="2" w:space="0" w:color="000000"/>
            </w:tcBorders>
          </w:tcPr>
          <w:p w14:paraId="22487335" w14:textId="77777777" w:rsidR="0085502A" w:rsidRPr="00C06F2E" w:rsidRDefault="0085502A" w:rsidP="0028022E">
            <w:pPr>
              <w:spacing w:after="0"/>
              <w:ind w:left="410" w:right="392"/>
              <w:jc w:val="center"/>
            </w:pPr>
            <w:r w:rsidRPr="00C06F2E">
              <w:t>n=76</w:t>
            </w:r>
          </w:p>
        </w:tc>
        <w:tc>
          <w:tcPr>
            <w:tcW w:w="1559" w:type="dxa"/>
            <w:tcBorders>
              <w:top w:val="single" w:sz="2" w:space="0" w:color="000000"/>
              <w:left w:val="single" w:sz="2" w:space="0" w:color="000000"/>
              <w:bottom w:val="single" w:sz="2" w:space="0" w:color="000000"/>
              <w:right w:val="single" w:sz="2" w:space="0" w:color="000000"/>
            </w:tcBorders>
          </w:tcPr>
          <w:p w14:paraId="50788009" w14:textId="77777777" w:rsidR="0085502A" w:rsidRPr="00C06F2E" w:rsidRDefault="0085502A" w:rsidP="0028022E">
            <w:pPr>
              <w:spacing w:after="0"/>
            </w:pPr>
          </w:p>
        </w:tc>
        <w:tc>
          <w:tcPr>
            <w:tcW w:w="1559" w:type="dxa"/>
            <w:tcBorders>
              <w:top w:val="single" w:sz="2" w:space="0" w:color="000000"/>
              <w:left w:val="single" w:sz="2" w:space="0" w:color="000000"/>
              <w:bottom w:val="single" w:sz="2" w:space="0" w:color="000000"/>
              <w:right w:val="single" w:sz="2" w:space="0" w:color="000000"/>
            </w:tcBorders>
          </w:tcPr>
          <w:p w14:paraId="39D4B38F" w14:textId="77777777" w:rsidR="0085502A" w:rsidRPr="00C06F2E" w:rsidRDefault="0085502A" w:rsidP="0028022E">
            <w:pPr>
              <w:spacing w:after="0"/>
            </w:pPr>
          </w:p>
        </w:tc>
      </w:tr>
      <w:tr w:rsidR="00DC0338" w:rsidRPr="00C06F2E" w14:paraId="4DE69A55" w14:textId="77777777" w:rsidTr="00362D92">
        <w:trPr>
          <w:trHeight w:hRule="exact" w:val="2616"/>
        </w:trPr>
        <w:tc>
          <w:tcPr>
            <w:tcW w:w="1742" w:type="dxa"/>
            <w:vMerge/>
            <w:tcBorders>
              <w:left w:val="single" w:sz="2" w:space="0" w:color="000000"/>
              <w:right w:val="single" w:sz="2" w:space="0" w:color="000000"/>
            </w:tcBorders>
          </w:tcPr>
          <w:p w14:paraId="099B5535" w14:textId="77777777" w:rsidR="0085502A" w:rsidRPr="00C06F2E" w:rsidRDefault="0085502A" w:rsidP="0028022E">
            <w:pPr>
              <w:spacing w:after="0"/>
            </w:pPr>
          </w:p>
        </w:tc>
        <w:tc>
          <w:tcPr>
            <w:tcW w:w="2835" w:type="dxa"/>
            <w:tcBorders>
              <w:top w:val="single" w:sz="2" w:space="0" w:color="000000"/>
              <w:left w:val="single" w:sz="2" w:space="0" w:color="000000"/>
              <w:bottom w:val="single" w:sz="2" w:space="0" w:color="000000"/>
              <w:right w:val="single" w:sz="2" w:space="0" w:color="000000"/>
            </w:tcBorders>
            <w:vAlign w:val="center"/>
          </w:tcPr>
          <w:p w14:paraId="27207C5E" w14:textId="2149E7E3" w:rsidR="0085502A" w:rsidRPr="00C06F2E" w:rsidRDefault="00E6288A" w:rsidP="0028022E">
            <w:pPr>
              <w:spacing w:after="0"/>
              <w:ind w:left="105" w:right="-20"/>
              <w:jc w:val="left"/>
            </w:pPr>
            <w:r w:rsidRPr="00C06F2E">
              <w:rPr>
                <w:lang w:val="sk-SK"/>
              </w:rPr>
              <w:t>Primárny cieľový ukazovateľ</w:t>
            </w:r>
            <w:r w:rsidR="0085502A" w:rsidRPr="00C06F2E">
              <w:t>:</w:t>
            </w:r>
          </w:p>
          <w:p w14:paraId="244FD8C6" w14:textId="21755BF3" w:rsidR="0085502A" w:rsidRPr="00C06F2E" w:rsidRDefault="00E6288A" w:rsidP="0028022E">
            <w:pPr>
              <w:spacing w:after="0"/>
              <w:ind w:left="105" w:right="142"/>
              <w:jc w:val="left"/>
            </w:pPr>
            <w:r w:rsidRPr="00C06F2E">
              <w:t>prežívanie bez progresie</w:t>
            </w:r>
          </w:p>
          <w:p w14:paraId="1AD5C5DD" w14:textId="77777777" w:rsidR="00E6288A" w:rsidRPr="00C06F2E" w:rsidRDefault="0085502A" w:rsidP="0028022E">
            <w:pPr>
              <w:spacing w:after="0"/>
              <w:ind w:left="105" w:right="360"/>
              <w:jc w:val="left"/>
            </w:pPr>
            <w:r w:rsidRPr="00C06F2E">
              <w:t>(PFS,</w:t>
            </w:r>
            <w:r w:rsidRPr="00C06F2E">
              <w:rPr>
                <w:spacing w:val="1"/>
              </w:rPr>
              <w:t xml:space="preserve"> </w:t>
            </w:r>
            <w:r w:rsidR="00E6288A" w:rsidRPr="00C06F2E">
              <w:t>mediá</w:t>
            </w:r>
            <w:r w:rsidRPr="00C06F2E">
              <w:t>n</w:t>
            </w:r>
            <w:r w:rsidRPr="00C06F2E">
              <w:rPr>
                <w:spacing w:val="1"/>
              </w:rPr>
              <w:t xml:space="preserve"> </w:t>
            </w:r>
            <w:r w:rsidR="00E6288A" w:rsidRPr="00C06F2E">
              <w:rPr>
                <w:spacing w:val="1"/>
              </w:rPr>
              <w:t>v</w:t>
            </w:r>
            <w:r w:rsidRPr="00C06F2E">
              <w:rPr>
                <w:spacing w:val="-1"/>
              </w:rPr>
              <w:t xml:space="preserve"> </w:t>
            </w:r>
            <w:r w:rsidR="00E6288A" w:rsidRPr="00C06F2E">
              <w:t>mesiacoch</w:t>
            </w:r>
            <w:r w:rsidRPr="00C06F2E">
              <w:t xml:space="preserve">)* </w:t>
            </w:r>
          </w:p>
          <w:p w14:paraId="263BE75E" w14:textId="16146982" w:rsidR="0085502A" w:rsidRPr="00C06F2E" w:rsidRDefault="00E6288A" w:rsidP="0028022E">
            <w:pPr>
              <w:spacing w:after="0"/>
              <w:ind w:left="105" w:right="360"/>
              <w:jc w:val="left"/>
            </w:pPr>
            <w:r w:rsidRPr="00C06F2E">
              <w:rPr>
                <w:lang w:val="sk-SK"/>
              </w:rPr>
              <w:t>Hodnotené skúšajúcim lekárom</w:t>
            </w:r>
            <w:r w:rsidRPr="00C06F2E">
              <w:t xml:space="preserve"> </w:t>
            </w:r>
            <w:r w:rsidR="0085502A" w:rsidRPr="00C06F2E">
              <w:t>**</w:t>
            </w:r>
          </w:p>
          <w:p w14:paraId="6327C6E8" w14:textId="77777777" w:rsidR="0085502A" w:rsidRPr="00C06F2E" w:rsidRDefault="0085502A" w:rsidP="0028022E">
            <w:pPr>
              <w:spacing w:after="0"/>
              <w:jc w:val="center"/>
            </w:pPr>
          </w:p>
          <w:p w14:paraId="0806903F" w14:textId="3C7FB9AD" w:rsidR="0085502A" w:rsidRPr="00C06F2E" w:rsidRDefault="00E6288A" w:rsidP="0028022E">
            <w:pPr>
              <w:spacing w:after="0"/>
              <w:ind w:left="105" w:right="142"/>
              <w:jc w:val="center"/>
            </w:pPr>
            <w:r w:rsidRPr="00C06F2E">
              <w:rPr>
                <w:lang w:val="sk-SK"/>
              </w:rPr>
              <w:t>Nezávislé hodnotenie</w:t>
            </w:r>
            <w:r w:rsidRPr="00C06F2E">
              <w:t xml:space="preserve"> </w:t>
            </w:r>
            <w:r w:rsidR="0085502A" w:rsidRPr="00C06F2E">
              <w:t>**</w:t>
            </w:r>
          </w:p>
        </w:tc>
        <w:tc>
          <w:tcPr>
            <w:tcW w:w="1276" w:type="dxa"/>
            <w:tcBorders>
              <w:top w:val="single" w:sz="2" w:space="0" w:color="000000"/>
              <w:left w:val="single" w:sz="2" w:space="0" w:color="000000"/>
              <w:bottom w:val="single" w:sz="2" w:space="0" w:color="000000"/>
              <w:right w:val="single" w:sz="2" w:space="0" w:color="000000"/>
            </w:tcBorders>
          </w:tcPr>
          <w:p w14:paraId="7ED86BD1" w14:textId="77777777" w:rsidR="0085502A" w:rsidRPr="00C06F2E" w:rsidRDefault="0085502A" w:rsidP="0028022E">
            <w:pPr>
              <w:spacing w:after="0"/>
            </w:pPr>
          </w:p>
          <w:p w14:paraId="4FAD3433" w14:textId="77777777" w:rsidR="0085502A" w:rsidRPr="00C06F2E" w:rsidRDefault="0085502A" w:rsidP="0028022E">
            <w:pPr>
              <w:spacing w:after="0"/>
            </w:pPr>
          </w:p>
          <w:p w14:paraId="42B86B5C" w14:textId="77777777" w:rsidR="0085502A" w:rsidRPr="00C06F2E" w:rsidRDefault="0085502A" w:rsidP="0028022E">
            <w:pPr>
              <w:spacing w:after="0"/>
            </w:pPr>
          </w:p>
          <w:p w14:paraId="37FB724D" w14:textId="13E5D478" w:rsidR="0085502A" w:rsidRPr="00C06F2E" w:rsidRDefault="00C32600" w:rsidP="0028022E">
            <w:pPr>
              <w:spacing w:after="0"/>
              <w:ind w:right="470"/>
              <w:jc w:val="center"/>
            </w:pPr>
            <w:r w:rsidRPr="00C06F2E">
              <w:t xml:space="preserve">        </w:t>
            </w:r>
            <w:r w:rsidR="0085502A" w:rsidRPr="00C06F2E">
              <w:t>9</w:t>
            </w:r>
            <w:r w:rsidR="00ED70DA" w:rsidRPr="00C06F2E">
              <w:t>,</w:t>
            </w:r>
            <w:r w:rsidR="0085502A" w:rsidRPr="00C06F2E">
              <w:t>4</w:t>
            </w:r>
          </w:p>
          <w:p w14:paraId="445CD18F" w14:textId="77777777" w:rsidR="0085502A" w:rsidRPr="00C06F2E" w:rsidRDefault="0085502A" w:rsidP="0028022E">
            <w:pPr>
              <w:spacing w:after="0"/>
              <w:jc w:val="center"/>
            </w:pPr>
          </w:p>
          <w:p w14:paraId="37E02FC5" w14:textId="7E2AB6FF" w:rsidR="00DC0338" w:rsidRDefault="00DC0338" w:rsidP="0028022E">
            <w:pPr>
              <w:spacing w:after="0"/>
              <w:ind w:left="443" w:right="424"/>
              <w:jc w:val="center"/>
            </w:pPr>
          </w:p>
          <w:p w14:paraId="47BB3DB0" w14:textId="38966521" w:rsidR="00351095" w:rsidRDefault="00351095" w:rsidP="0028022E">
            <w:pPr>
              <w:spacing w:after="0"/>
              <w:ind w:left="443" w:right="424"/>
              <w:jc w:val="center"/>
            </w:pPr>
          </w:p>
          <w:p w14:paraId="7CB28511" w14:textId="77777777" w:rsidR="00351095" w:rsidRPr="00C06F2E" w:rsidRDefault="00351095" w:rsidP="0028022E">
            <w:pPr>
              <w:spacing w:after="0"/>
              <w:ind w:left="443" w:right="424"/>
              <w:jc w:val="center"/>
            </w:pPr>
          </w:p>
          <w:p w14:paraId="2E9563B9" w14:textId="7C2C4AF3" w:rsidR="00D02D09" w:rsidRPr="00C06F2E" w:rsidRDefault="0085502A" w:rsidP="00ED70DA">
            <w:pPr>
              <w:spacing w:after="0"/>
              <w:ind w:left="443" w:right="424"/>
              <w:jc w:val="center"/>
            </w:pPr>
            <w:r w:rsidRPr="00C06F2E">
              <w:t>10</w:t>
            </w:r>
            <w:r w:rsidR="00ED70DA" w:rsidRPr="00C06F2E">
              <w:t>,</w:t>
            </w:r>
            <w:r w:rsidRPr="00C06F2E">
              <w:t>4</w:t>
            </w:r>
          </w:p>
        </w:tc>
        <w:tc>
          <w:tcPr>
            <w:tcW w:w="1276" w:type="dxa"/>
            <w:tcBorders>
              <w:top w:val="single" w:sz="2" w:space="0" w:color="000000"/>
              <w:left w:val="single" w:sz="2" w:space="0" w:color="000000"/>
              <w:bottom w:val="single" w:sz="2" w:space="0" w:color="000000"/>
              <w:right w:val="single" w:sz="2" w:space="0" w:color="000000"/>
            </w:tcBorders>
          </w:tcPr>
          <w:p w14:paraId="341F6ACD" w14:textId="77777777" w:rsidR="0085502A" w:rsidRPr="00C06F2E" w:rsidRDefault="0085502A" w:rsidP="0028022E">
            <w:pPr>
              <w:spacing w:after="0"/>
            </w:pPr>
          </w:p>
          <w:p w14:paraId="345115F6" w14:textId="77777777" w:rsidR="0085502A" w:rsidRPr="00C06F2E" w:rsidRDefault="0085502A" w:rsidP="0028022E">
            <w:pPr>
              <w:spacing w:after="0"/>
            </w:pPr>
          </w:p>
          <w:p w14:paraId="25C44FE4" w14:textId="77777777" w:rsidR="0085502A" w:rsidRPr="00C06F2E" w:rsidRDefault="0085502A" w:rsidP="0028022E">
            <w:pPr>
              <w:spacing w:after="0"/>
            </w:pPr>
          </w:p>
          <w:p w14:paraId="7739A947" w14:textId="37E96B6F" w:rsidR="0085502A" w:rsidRPr="00C06F2E" w:rsidRDefault="0085502A" w:rsidP="0028022E">
            <w:pPr>
              <w:spacing w:after="0"/>
              <w:ind w:left="487" w:right="469"/>
              <w:jc w:val="center"/>
            </w:pPr>
            <w:r w:rsidRPr="00C06F2E">
              <w:t>5</w:t>
            </w:r>
            <w:r w:rsidR="00ED70DA" w:rsidRPr="00C06F2E">
              <w:t>,</w:t>
            </w:r>
            <w:r w:rsidRPr="00C06F2E">
              <w:t>2</w:t>
            </w:r>
          </w:p>
          <w:p w14:paraId="7A20059F" w14:textId="77777777" w:rsidR="0085502A" w:rsidRPr="00C06F2E" w:rsidRDefault="0085502A" w:rsidP="0028022E">
            <w:pPr>
              <w:spacing w:after="0"/>
            </w:pPr>
          </w:p>
          <w:p w14:paraId="39849647" w14:textId="0E79C077" w:rsidR="00DC0338" w:rsidRDefault="00DC0338" w:rsidP="0028022E">
            <w:pPr>
              <w:spacing w:after="0"/>
              <w:ind w:left="487" w:right="469"/>
              <w:jc w:val="center"/>
            </w:pPr>
          </w:p>
          <w:p w14:paraId="6FD94ACD" w14:textId="61252C23" w:rsidR="00351095" w:rsidRDefault="00351095" w:rsidP="0028022E">
            <w:pPr>
              <w:spacing w:after="0"/>
              <w:ind w:left="487" w:right="469"/>
              <w:jc w:val="center"/>
            </w:pPr>
          </w:p>
          <w:p w14:paraId="6A1B1A9F" w14:textId="77777777" w:rsidR="00351095" w:rsidRPr="00C06F2E" w:rsidRDefault="00351095" w:rsidP="0028022E">
            <w:pPr>
              <w:spacing w:after="0"/>
              <w:ind w:left="487" w:right="469"/>
              <w:jc w:val="center"/>
            </w:pPr>
          </w:p>
          <w:p w14:paraId="2E8602D4" w14:textId="6255E45F" w:rsidR="0085502A" w:rsidRPr="00C06F2E" w:rsidRDefault="0085502A" w:rsidP="00ED70DA">
            <w:pPr>
              <w:spacing w:after="0"/>
              <w:ind w:left="487" w:right="469"/>
              <w:jc w:val="center"/>
            </w:pPr>
            <w:r w:rsidRPr="00C06F2E">
              <w:t>5</w:t>
            </w:r>
            <w:r w:rsidR="00ED70DA" w:rsidRPr="00C06F2E">
              <w:t>,</w:t>
            </w:r>
            <w:r w:rsidRPr="00C06F2E">
              <w:t>4</w:t>
            </w:r>
          </w:p>
        </w:tc>
        <w:tc>
          <w:tcPr>
            <w:tcW w:w="1559" w:type="dxa"/>
            <w:tcBorders>
              <w:top w:val="single" w:sz="2" w:space="0" w:color="000000"/>
              <w:left w:val="single" w:sz="2" w:space="0" w:color="000000"/>
              <w:bottom w:val="single" w:sz="2" w:space="0" w:color="000000"/>
              <w:right w:val="single" w:sz="2" w:space="0" w:color="000000"/>
            </w:tcBorders>
          </w:tcPr>
          <w:p w14:paraId="66273B1B" w14:textId="77777777" w:rsidR="0085502A" w:rsidRPr="00C06F2E" w:rsidRDefault="0085502A" w:rsidP="0028022E">
            <w:pPr>
              <w:spacing w:after="0"/>
            </w:pPr>
          </w:p>
          <w:p w14:paraId="0A136E94" w14:textId="77777777" w:rsidR="0085502A" w:rsidRPr="00C06F2E" w:rsidRDefault="0085502A" w:rsidP="0028022E">
            <w:pPr>
              <w:spacing w:after="0"/>
            </w:pPr>
          </w:p>
          <w:p w14:paraId="2685C93B" w14:textId="77777777" w:rsidR="0085502A" w:rsidRPr="00C06F2E" w:rsidRDefault="0085502A" w:rsidP="0028022E">
            <w:pPr>
              <w:spacing w:after="0"/>
            </w:pPr>
          </w:p>
          <w:p w14:paraId="7585AF60" w14:textId="35DBE621" w:rsidR="0085502A" w:rsidRPr="00C06F2E" w:rsidRDefault="0085502A" w:rsidP="0028022E">
            <w:pPr>
              <w:spacing w:after="0"/>
              <w:ind w:left="228" w:right="178" w:firstLine="247"/>
            </w:pPr>
            <w:r w:rsidRPr="00C06F2E">
              <w:t>0</w:t>
            </w:r>
            <w:r w:rsidR="005C654B" w:rsidRPr="00C06F2E">
              <w:t>,</w:t>
            </w:r>
            <w:r w:rsidRPr="00C06F2E">
              <w:t>42 [0</w:t>
            </w:r>
            <w:r w:rsidR="005C654B" w:rsidRPr="00C06F2E">
              <w:t>,</w:t>
            </w:r>
            <w:r w:rsidRPr="00C06F2E">
              <w:t>27-0</w:t>
            </w:r>
            <w:r w:rsidR="005C654B" w:rsidRPr="00C06F2E">
              <w:t>,</w:t>
            </w:r>
            <w:r w:rsidRPr="00C06F2E">
              <w:t>64]</w:t>
            </w:r>
          </w:p>
          <w:p w14:paraId="24A5F900" w14:textId="1F733911" w:rsidR="00DC0338" w:rsidRDefault="00DC0338" w:rsidP="0028022E">
            <w:pPr>
              <w:spacing w:after="0"/>
              <w:ind w:left="228" w:right="178" w:firstLine="247"/>
            </w:pPr>
          </w:p>
          <w:p w14:paraId="22610D6B" w14:textId="068C9042" w:rsidR="00351095" w:rsidRDefault="00351095" w:rsidP="0028022E">
            <w:pPr>
              <w:spacing w:after="0"/>
              <w:ind w:left="228" w:right="178" w:firstLine="247"/>
            </w:pPr>
          </w:p>
          <w:p w14:paraId="5986D864" w14:textId="77777777" w:rsidR="00351095" w:rsidRPr="00C06F2E" w:rsidRDefault="00351095" w:rsidP="0028022E">
            <w:pPr>
              <w:spacing w:after="0"/>
              <w:ind w:left="228" w:right="178" w:firstLine="247"/>
            </w:pPr>
          </w:p>
          <w:p w14:paraId="0E4E4A0C" w14:textId="5021C650" w:rsidR="0085502A" w:rsidRPr="00C06F2E" w:rsidRDefault="0085502A" w:rsidP="0028022E">
            <w:pPr>
              <w:spacing w:after="0"/>
              <w:ind w:left="228" w:right="178" w:firstLine="247"/>
            </w:pPr>
            <w:r w:rsidRPr="00C06F2E">
              <w:t>0</w:t>
            </w:r>
            <w:r w:rsidR="005C654B" w:rsidRPr="00C06F2E">
              <w:t>,</w:t>
            </w:r>
            <w:r w:rsidRPr="00C06F2E">
              <w:t>47 [0</w:t>
            </w:r>
            <w:r w:rsidR="005C654B" w:rsidRPr="00C06F2E">
              <w:t>,27-0,</w:t>
            </w:r>
            <w:r w:rsidRPr="00C06F2E">
              <w:t>78]</w:t>
            </w:r>
          </w:p>
        </w:tc>
        <w:tc>
          <w:tcPr>
            <w:tcW w:w="1559" w:type="dxa"/>
            <w:tcBorders>
              <w:top w:val="single" w:sz="2" w:space="0" w:color="000000"/>
              <w:left w:val="single" w:sz="2" w:space="0" w:color="000000"/>
              <w:bottom w:val="single" w:sz="2" w:space="0" w:color="000000"/>
              <w:right w:val="single" w:sz="2" w:space="0" w:color="000000"/>
            </w:tcBorders>
          </w:tcPr>
          <w:p w14:paraId="6C7B680D" w14:textId="77777777" w:rsidR="0085502A" w:rsidRPr="00C06F2E" w:rsidRDefault="0085502A" w:rsidP="0028022E">
            <w:pPr>
              <w:spacing w:after="0"/>
            </w:pPr>
          </w:p>
          <w:p w14:paraId="5553B5AE" w14:textId="77777777" w:rsidR="0085502A" w:rsidRPr="00C06F2E" w:rsidRDefault="0085502A" w:rsidP="0028022E">
            <w:pPr>
              <w:spacing w:after="0"/>
            </w:pPr>
          </w:p>
          <w:p w14:paraId="076DB0E7" w14:textId="77777777" w:rsidR="0085502A" w:rsidRPr="00C06F2E" w:rsidRDefault="0085502A" w:rsidP="0028022E">
            <w:pPr>
              <w:spacing w:after="0"/>
            </w:pPr>
          </w:p>
          <w:p w14:paraId="1628357C" w14:textId="30CF941C" w:rsidR="00DC0338" w:rsidRPr="00C06F2E" w:rsidRDefault="0085502A" w:rsidP="0028022E">
            <w:pPr>
              <w:spacing w:after="0"/>
              <w:ind w:left="335" w:right="228" w:hanging="44"/>
            </w:pPr>
            <w:r w:rsidRPr="00C06F2E">
              <w:t>p&lt;0</w:t>
            </w:r>
            <w:r w:rsidR="005C654B" w:rsidRPr="00C06F2E">
              <w:t>,</w:t>
            </w:r>
            <w:r w:rsidRPr="00C06F2E">
              <w:t xml:space="preserve">0001 </w:t>
            </w:r>
          </w:p>
          <w:p w14:paraId="1F9885EE" w14:textId="77777777" w:rsidR="00DC0338" w:rsidRPr="00C06F2E" w:rsidRDefault="00DC0338" w:rsidP="0028022E">
            <w:pPr>
              <w:spacing w:after="0"/>
              <w:ind w:right="228"/>
            </w:pPr>
          </w:p>
          <w:p w14:paraId="3956B18F" w14:textId="5279FD55" w:rsidR="0085502A" w:rsidRPr="00C06F2E" w:rsidRDefault="0085502A" w:rsidP="0028022E">
            <w:pPr>
              <w:spacing w:after="0"/>
              <w:ind w:right="228"/>
              <w:jc w:val="center"/>
            </w:pPr>
            <w:r w:rsidRPr="00C06F2E">
              <w:t>p=0</w:t>
            </w:r>
            <w:r w:rsidR="005C654B" w:rsidRPr="00C06F2E">
              <w:t>,</w:t>
            </w:r>
            <w:r w:rsidRPr="00C06F2E">
              <w:t>003</w:t>
            </w:r>
          </w:p>
        </w:tc>
      </w:tr>
      <w:tr w:rsidR="00DC0338" w:rsidRPr="00C06F2E" w14:paraId="574CB449" w14:textId="77777777" w:rsidTr="00362D92">
        <w:trPr>
          <w:trHeight w:hRule="exact" w:val="570"/>
        </w:trPr>
        <w:tc>
          <w:tcPr>
            <w:tcW w:w="1742" w:type="dxa"/>
            <w:tcBorders>
              <w:left w:val="single" w:sz="2" w:space="0" w:color="000000"/>
              <w:right w:val="single" w:sz="2" w:space="0" w:color="000000"/>
            </w:tcBorders>
          </w:tcPr>
          <w:p w14:paraId="22BB917D" w14:textId="77777777" w:rsidR="007B2947" w:rsidRPr="00C06F2E" w:rsidRDefault="007B2947" w:rsidP="0028022E">
            <w:pPr>
              <w:spacing w:after="0"/>
            </w:pPr>
          </w:p>
        </w:tc>
        <w:tc>
          <w:tcPr>
            <w:tcW w:w="2835" w:type="dxa"/>
            <w:tcBorders>
              <w:top w:val="single" w:sz="2" w:space="0" w:color="000000"/>
              <w:left w:val="single" w:sz="2" w:space="0" w:color="000000"/>
              <w:bottom w:val="single" w:sz="2" w:space="0" w:color="000000"/>
              <w:right w:val="single" w:sz="2" w:space="0" w:color="000000"/>
            </w:tcBorders>
            <w:vAlign w:val="center"/>
          </w:tcPr>
          <w:p w14:paraId="10C91D63" w14:textId="2F7ACF2A" w:rsidR="007B2947" w:rsidRPr="00C06F2E" w:rsidRDefault="005C654B" w:rsidP="0028022E">
            <w:pPr>
              <w:spacing w:after="0" w:line="201" w:lineRule="exact"/>
              <w:ind w:left="105" w:right="142"/>
              <w:jc w:val="left"/>
            </w:pPr>
            <w:r w:rsidRPr="00C06F2E">
              <w:t>Najlepš</w:t>
            </w:r>
            <w:r w:rsidR="005A4979">
              <w:t>í počet</w:t>
            </w:r>
            <w:r w:rsidRPr="00C06F2E">
              <w:t xml:space="preserve"> </w:t>
            </w:r>
            <w:r w:rsidR="00351095">
              <w:t xml:space="preserve">celkových </w:t>
            </w:r>
            <w:r w:rsidRPr="00C06F2E">
              <w:t>odpovedí</w:t>
            </w:r>
            <w:r w:rsidR="00DC0338" w:rsidRPr="00C06F2E">
              <w:t xml:space="preserve"> </w:t>
            </w:r>
            <w:r w:rsidR="007B2947" w:rsidRPr="00C06F2E">
              <w:t>(CR/PR)</w:t>
            </w:r>
          </w:p>
        </w:tc>
        <w:tc>
          <w:tcPr>
            <w:tcW w:w="1276" w:type="dxa"/>
            <w:tcBorders>
              <w:top w:val="single" w:sz="2" w:space="0" w:color="000000"/>
              <w:left w:val="single" w:sz="2" w:space="0" w:color="000000"/>
              <w:bottom w:val="single" w:sz="2" w:space="0" w:color="000000"/>
              <w:right w:val="single" w:sz="2" w:space="0" w:color="000000"/>
            </w:tcBorders>
          </w:tcPr>
          <w:p w14:paraId="0E79228E" w14:textId="3507F679" w:rsidR="007B2947" w:rsidRPr="00C06F2E" w:rsidRDefault="007B2947" w:rsidP="0028022E">
            <w:pPr>
              <w:spacing w:after="0"/>
              <w:ind w:left="401" w:right="-20"/>
            </w:pPr>
            <w:r w:rsidRPr="00C06F2E">
              <w:t>54</w:t>
            </w:r>
            <w:r w:rsidR="005C654B" w:rsidRPr="00C06F2E">
              <w:t>,</w:t>
            </w:r>
            <w:r w:rsidRPr="00C06F2E">
              <w:t>5%</w:t>
            </w:r>
          </w:p>
        </w:tc>
        <w:tc>
          <w:tcPr>
            <w:tcW w:w="1276" w:type="dxa"/>
            <w:tcBorders>
              <w:top w:val="single" w:sz="2" w:space="0" w:color="000000"/>
              <w:left w:val="single" w:sz="2" w:space="0" w:color="000000"/>
              <w:bottom w:val="single" w:sz="2" w:space="0" w:color="000000"/>
              <w:right w:val="single" w:sz="2" w:space="0" w:color="000000"/>
            </w:tcBorders>
          </w:tcPr>
          <w:p w14:paraId="582F4EEB" w14:textId="1AA9CE83" w:rsidR="007B2947" w:rsidRPr="00C06F2E" w:rsidRDefault="007B2947" w:rsidP="0028022E">
            <w:pPr>
              <w:spacing w:after="0"/>
              <w:ind w:left="401" w:right="-20"/>
            </w:pPr>
            <w:r w:rsidRPr="00C06F2E">
              <w:t>10</w:t>
            </w:r>
            <w:r w:rsidR="005C654B" w:rsidRPr="00C06F2E">
              <w:t>,</w:t>
            </w:r>
            <w:r w:rsidRPr="00C06F2E">
              <w:t>5%</w:t>
            </w:r>
          </w:p>
        </w:tc>
        <w:tc>
          <w:tcPr>
            <w:tcW w:w="1559" w:type="dxa"/>
            <w:tcBorders>
              <w:top w:val="single" w:sz="2" w:space="0" w:color="000000"/>
              <w:left w:val="single" w:sz="2" w:space="0" w:color="000000"/>
              <w:bottom w:val="single" w:sz="2" w:space="0" w:color="000000"/>
              <w:right w:val="single" w:sz="2" w:space="0" w:color="000000"/>
            </w:tcBorders>
          </w:tcPr>
          <w:p w14:paraId="29F36317" w14:textId="77777777" w:rsidR="007B2947" w:rsidRPr="00C06F2E" w:rsidRDefault="007B2947" w:rsidP="0028022E">
            <w:pPr>
              <w:spacing w:after="0"/>
            </w:pPr>
          </w:p>
        </w:tc>
        <w:tc>
          <w:tcPr>
            <w:tcW w:w="1559" w:type="dxa"/>
            <w:tcBorders>
              <w:top w:val="single" w:sz="2" w:space="0" w:color="000000"/>
              <w:left w:val="single" w:sz="2" w:space="0" w:color="000000"/>
              <w:bottom w:val="single" w:sz="2" w:space="0" w:color="000000"/>
              <w:right w:val="single" w:sz="2" w:space="0" w:color="000000"/>
            </w:tcBorders>
          </w:tcPr>
          <w:p w14:paraId="792D3B66" w14:textId="4108BA85" w:rsidR="007B2947" w:rsidRPr="00C06F2E" w:rsidRDefault="007B2947" w:rsidP="0028022E">
            <w:pPr>
              <w:spacing w:after="0"/>
              <w:ind w:left="290" w:right="-20"/>
            </w:pPr>
            <w:r w:rsidRPr="00C06F2E">
              <w:t>p&lt;0</w:t>
            </w:r>
            <w:r w:rsidR="005C654B" w:rsidRPr="00C06F2E">
              <w:t>,</w:t>
            </w:r>
            <w:r w:rsidRPr="00C06F2E">
              <w:t>0001</w:t>
            </w:r>
          </w:p>
        </w:tc>
      </w:tr>
      <w:tr w:rsidR="0085502A" w:rsidRPr="00C06F2E" w14:paraId="2F38F3DD" w14:textId="77777777" w:rsidTr="00362D92">
        <w:trPr>
          <w:trHeight w:hRule="exact" w:val="543"/>
        </w:trPr>
        <w:tc>
          <w:tcPr>
            <w:tcW w:w="1742" w:type="dxa"/>
            <w:tcBorders>
              <w:left w:val="single" w:sz="2" w:space="0" w:color="000000"/>
              <w:bottom w:val="single" w:sz="2" w:space="0" w:color="000000"/>
              <w:right w:val="single" w:sz="2" w:space="0" w:color="000000"/>
            </w:tcBorders>
          </w:tcPr>
          <w:p w14:paraId="34AD34A7" w14:textId="77777777" w:rsidR="007B2947" w:rsidRPr="00C06F2E" w:rsidRDefault="007B2947" w:rsidP="0028022E">
            <w:pPr>
              <w:spacing w:after="0"/>
            </w:pPr>
          </w:p>
        </w:tc>
        <w:tc>
          <w:tcPr>
            <w:tcW w:w="2835" w:type="dxa"/>
            <w:tcBorders>
              <w:top w:val="single" w:sz="2" w:space="0" w:color="000000"/>
              <w:left w:val="single" w:sz="2" w:space="0" w:color="000000"/>
              <w:bottom w:val="single" w:sz="2" w:space="0" w:color="000000"/>
              <w:right w:val="single" w:sz="2" w:space="0" w:color="000000"/>
            </w:tcBorders>
            <w:vAlign w:val="center"/>
          </w:tcPr>
          <w:p w14:paraId="73C9C63A" w14:textId="7DB46C49" w:rsidR="007B2947" w:rsidRPr="00C06F2E" w:rsidRDefault="005C654B" w:rsidP="0028022E">
            <w:pPr>
              <w:spacing w:after="0" w:line="206" w:lineRule="exact"/>
              <w:ind w:left="105" w:right="657"/>
              <w:jc w:val="left"/>
            </w:pPr>
            <w:r w:rsidRPr="00C06F2E">
              <w:rPr>
                <w:lang w:val="sk-SK"/>
              </w:rPr>
              <w:t xml:space="preserve">Celkové prežívanie </w:t>
            </w:r>
            <w:r w:rsidR="007B2947" w:rsidRPr="00C06F2E">
              <w:t>(O</w:t>
            </w:r>
            <w:r w:rsidR="007B2947" w:rsidRPr="00C06F2E">
              <w:rPr>
                <w:spacing w:val="-1"/>
              </w:rPr>
              <w:t>S</w:t>
            </w:r>
            <w:r w:rsidR="007B2947" w:rsidRPr="00C06F2E">
              <w:t>) (</w:t>
            </w:r>
            <w:r w:rsidRPr="00C06F2E">
              <w:t>mesiace</w:t>
            </w:r>
            <w:r w:rsidR="007B2947" w:rsidRPr="00C06F2E">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C69DED" w14:textId="1B27FE96" w:rsidR="007B2947" w:rsidRPr="00C06F2E" w:rsidRDefault="007B2947" w:rsidP="0028022E">
            <w:pPr>
              <w:spacing w:after="0" w:line="201" w:lineRule="exact"/>
              <w:ind w:left="443" w:right="424"/>
              <w:jc w:val="center"/>
            </w:pPr>
            <w:r w:rsidRPr="00C06F2E">
              <w:t>22</w:t>
            </w:r>
            <w:r w:rsidR="005C654B" w:rsidRPr="00C06F2E">
              <w:t>,</w:t>
            </w:r>
            <w:r w:rsidRPr="00C06F2E">
              <w:t>9</w:t>
            </w:r>
          </w:p>
        </w:tc>
        <w:tc>
          <w:tcPr>
            <w:tcW w:w="1276" w:type="dxa"/>
            <w:tcBorders>
              <w:top w:val="single" w:sz="2" w:space="0" w:color="000000"/>
              <w:left w:val="single" w:sz="2" w:space="0" w:color="000000"/>
              <w:bottom w:val="single" w:sz="2" w:space="0" w:color="000000"/>
              <w:right w:val="single" w:sz="2" w:space="0" w:color="000000"/>
            </w:tcBorders>
            <w:vAlign w:val="center"/>
          </w:tcPr>
          <w:p w14:paraId="44A55481" w14:textId="0A770410" w:rsidR="007B2947" w:rsidRPr="00C06F2E" w:rsidRDefault="007B2947" w:rsidP="0028022E">
            <w:pPr>
              <w:spacing w:after="0" w:line="201" w:lineRule="exact"/>
              <w:ind w:left="443" w:right="423"/>
              <w:jc w:val="center"/>
            </w:pPr>
            <w:r w:rsidRPr="00C06F2E">
              <w:t>18</w:t>
            </w:r>
            <w:r w:rsidR="005C654B" w:rsidRPr="00C06F2E">
              <w:t>,</w:t>
            </w:r>
            <w:r w:rsidRPr="00C06F2E">
              <w:t>8</w:t>
            </w:r>
          </w:p>
        </w:tc>
        <w:tc>
          <w:tcPr>
            <w:tcW w:w="1559" w:type="dxa"/>
            <w:tcBorders>
              <w:top w:val="single" w:sz="2" w:space="0" w:color="000000"/>
              <w:left w:val="single" w:sz="2" w:space="0" w:color="000000"/>
              <w:bottom w:val="single" w:sz="2" w:space="0" w:color="000000"/>
              <w:right w:val="single" w:sz="2" w:space="0" w:color="000000"/>
            </w:tcBorders>
            <w:vAlign w:val="center"/>
          </w:tcPr>
          <w:p w14:paraId="15A7B6AD" w14:textId="54DC7785" w:rsidR="007B2947" w:rsidRPr="00C06F2E" w:rsidRDefault="007B2947" w:rsidP="0028022E">
            <w:pPr>
              <w:spacing w:after="0" w:line="206" w:lineRule="exact"/>
              <w:ind w:left="228" w:right="178" w:firstLine="247"/>
              <w:jc w:val="center"/>
            </w:pPr>
            <w:r w:rsidRPr="00C06F2E">
              <w:t>0</w:t>
            </w:r>
            <w:r w:rsidR="005C654B" w:rsidRPr="00C06F2E">
              <w:t>,</w:t>
            </w:r>
            <w:r w:rsidRPr="00C06F2E">
              <w:t>80 [0</w:t>
            </w:r>
            <w:r w:rsidR="005C654B" w:rsidRPr="00C06F2E">
              <w:t>,</w:t>
            </w:r>
            <w:r w:rsidRPr="00C06F2E">
              <w:t>47-1</w:t>
            </w:r>
            <w:r w:rsidR="005C654B" w:rsidRPr="00C06F2E">
              <w:t>,</w:t>
            </w:r>
            <w:r w:rsidRPr="00C06F2E">
              <w:t>37]</w:t>
            </w:r>
          </w:p>
        </w:tc>
        <w:tc>
          <w:tcPr>
            <w:tcW w:w="1559" w:type="dxa"/>
            <w:tcBorders>
              <w:top w:val="single" w:sz="2" w:space="0" w:color="000000"/>
              <w:left w:val="single" w:sz="2" w:space="0" w:color="000000"/>
              <w:bottom w:val="single" w:sz="2" w:space="0" w:color="000000"/>
              <w:right w:val="single" w:sz="2" w:space="0" w:color="000000"/>
            </w:tcBorders>
            <w:vAlign w:val="center"/>
          </w:tcPr>
          <w:p w14:paraId="5E17CE35" w14:textId="77777777" w:rsidR="007B2947" w:rsidRPr="00C06F2E" w:rsidRDefault="007B2947" w:rsidP="0028022E">
            <w:pPr>
              <w:spacing w:after="0" w:line="100" w:lineRule="exact"/>
              <w:jc w:val="center"/>
            </w:pPr>
          </w:p>
          <w:p w14:paraId="524EAC68" w14:textId="002A3805" w:rsidR="007B2947" w:rsidRPr="00C06F2E" w:rsidRDefault="007B2947" w:rsidP="0028022E">
            <w:pPr>
              <w:spacing w:after="0"/>
              <w:ind w:left="290" w:right="-20"/>
              <w:jc w:val="center"/>
            </w:pPr>
            <w:r w:rsidRPr="00C06F2E">
              <w:t>p=0</w:t>
            </w:r>
            <w:r w:rsidR="005C654B" w:rsidRPr="00C06F2E">
              <w:t>,</w:t>
            </w:r>
            <w:r w:rsidRPr="00C06F2E">
              <w:t>4170</w:t>
            </w:r>
          </w:p>
        </w:tc>
      </w:tr>
      <w:tr w:rsidR="0085502A" w:rsidRPr="00C06F2E" w14:paraId="5AC335F9" w14:textId="77777777" w:rsidTr="00362D92">
        <w:trPr>
          <w:trHeight w:hRule="exact" w:val="483"/>
        </w:trPr>
        <w:tc>
          <w:tcPr>
            <w:tcW w:w="1742" w:type="dxa"/>
            <w:vMerge w:val="restart"/>
            <w:tcBorders>
              <w:top w:val="single" w:sz="2" w:space="0" w:color="000000"/>
              <w:left w:val="single" w:sz="2" w:space="0" w:color="000000"/>
              <w:right w:val="single" w:sz="2" w:space="0" w:color="000000"/>
            </w:tcBorders>
          </w:tcPr>
          <w:p w14:paraId="36F03635" w14:textId="5F2C5812" w:rsidR="007B2947" w:rsidRPr="00C06F2E" w:rsidRDefault="007B2947" w:rsidP="0028022E">
            <w:pPr>
              <w:spacing w:after="0" w:line="201" w:lineRule="exact"/>
              <w:ind w:left="105" w:right="224"/>
              <w:rPr>
                <w:lang w:val="pt-PT"/>
              </w:rPr>
            </w:pPr>
            <w:r w:rsidRPr="00C06F2E">
              <w:rPr>
                <w:lang w:val="pt-PT"/>
              </w:rPr>
              <w:t>Explorat</w:t>
            </w:r>
            <w:r w:rsidR="005C654B" w:rsidRPr="00C06F2E">
              <w:rPr>
                <w:lang w:val="pt-PT"/>
              </w:rPr>
              <w:t>ívna</w:t>
            </w:r>
          </w:p>
          <w:p w14:paraId="385C6FB0" w14:textId="156A5374" w:rsidR="007B2947" w:rsidRPr="00C06F2E" w:rsidRDefault="005C654B" w:rsidP="00362D92">
            <w:pPr>
              <w:spacing w:after="0" w:line="239" w:lineRule="auto"/>
              <w:ind w:left="105" w:right="408"/>
              <w:jc w:val="left"/>
              <w:rPr>
                <w:lang w:val="pt-PT"/>
              </w:rPr>
            </w:pPr>
            <w:r w:rsidRPr="00C06F2E">
              <w:rPr>
                <w:lang w:val="pt-PT"/>
              </w:rPr>
              <w:t>a</w:t>
            </w:r>
            <w:r w:rsidR="007B2947" w:rsidRPr="00C06F2E">
              <w:rPr>
                <w:lang w:val="pt-PT"/>
              </w:rPr>
              <w:t>nal</w:t>
            </w:r>
            <w:r w:rsidRPr="00C06F2E">
              <w:rPr>
                <w:lang w:val="pt-PT"/>
              </w:rPr>
              <w:t>ýza</w:t>
            </w:r>
            <w:r w:rsidR="007B2947" w:rsidRPr="00C06F2E">
              <w:rPr>
                <w:lang w:val="pt-PT"/>
              </w:rPr>
              <w:t xml:space="preserve"> (40</w:t>
            </w:r>
            <w:r w:rsidR="00351095">
              <w:rPr>
                <w:lang w:val="pt-PT"/>
              </w:rPr>
              <w:t> </w:t>
            </w:r>
            <w:r w:rsidR="007B2947" w:rsidRPr="00C06F2E">
              <w:rPr>
                <w:lang w:val="pt-PT"/>
              </w:rPr>
              <w:t xml:space="preserve">% </w:t>
            </w:r>
            <w:r w:rsidR="00351095">
              <w:rPr>
                <w:lang w:val="pt-PT"/>
              </w:rPr>
              <w:t>dostupných údajov pre</w:t>
            </w:r>
            <w:r w:rsidRPr="00C06F2E">
              <w:rPr>
                <w:lang w:val="pt-PT"/>
              </w:rPr>
              <w:t xml:space="preserve"> </w:t>
            </w:r>
            <w:r w:rsidR="007B2947" w:rsidRPr="00C06F2E">
              <w:rPr>
                <w:lang w:val="pt-PT"/>
              </w:rPr>
              <w:t>OS) (n=173)</w:t>
            </w:r>
          </w:p>
          <w:p w14:paraId="4D358402" w14:textId="77777777" w:rsidR="007B2947" w:rsidRPr="00C06F2E" w:rsidRDefault="007B2947" w:rsidP="0028022E">
            <w:pPr>
              <w:spacing w:after="0" w:line="200" w:lineRule="exact"/>
              <w:rPr>
                <w:lang w:val="pt-PT"/>
              </w:rPr>
            </w:pPr>
          </w:p>
          <w:p w14:paraId="19162F19" w14:textId="1E5F4B47" w:rsidR="007B2947" w:rsidRPr="00362D92" w:rsidRDefault="005C654B" w:rsidP="0028022E">
            <w:pPr>
              <w:spacing w:after="0"/>
              <w:ind w:left="105" w:right="198"/>
              <w:jc w:val="left"/>
              <w:rPr>
                <w:sz w:val="16"/>
                <w:szCs w:val="16"/>
                <w:lang w:val="pt-PT"/>
              </w:rPr>
            </w:pPr>
            <w:r w:rsidRPr="00362D92">
              <w:rPr>
                <w:sz w:val="16"/>
                <w:szCs w:val="16"/>
                <w:lang w:val="sk-SK"/>
              </w:rPr>
              <w:t>Dátum ukončenia zhromažďovania údajov:</w:t>
            </w:r>
            <w:r w:rsidR="007B2947" w:rsidRPr="00362D92">
              <w:rPr>
                <w:spacing w:val="-2"/>
                <w:sz w:val="16"/>
                <w:szCs w:val="16"/>
                <w:lang w:val="pt-PT"/>
              </w:rPr>
              <w:t xml:space="preserve"> </w:t>
            </w:r>
            <w:r w:rsidR="007B2947" w:rsidRPr="00362D92">
              <w:rPr>
                <w:spacing w:val="1"/>
                <w:sz w:val="16"/>
                <w:szCs w:val="16"/>
                <w:lang w:val="pt-PT"/>
              </w:rPr>
              <w:t>Ja</w:t>
            </w:r>
            <w:r w:rsidR="007B2947" w:rsidRPr="00362D92">
              <w:rPr>
                <w:sz w:val="16"/>
                <w:szCs w:val="16"/>
                <w:lang w:val="pt-PT"/>
              </w:rPr>
              <w:t>n</w:t>
            </w:r>
            <w:r w:rsidR="007B2947" w:rsidRPr="00362D92">
              <w:rPr>
                <w:spacing w:val="-1"/>
                <w:sz w:val="16"/>
                <w:szCs w:val="16"/>
                <w:lang w:val="pt-PT"/>
              </w:rPr>
              <w:t xml:space="preserve"> </w:t>
            </w:r>
            <w:r w:rsidR="007B2947" w:rsidRPr="00362D92">
              <w:rPr>
                <w:spacing w:val="1"/>
                <w:sz w:val="16"/>
                <w:szCs w:val="16"/>
                <w:lang w:val="pt-PT"/>
              </w:rPr>
              <w:t>2011</w:t>
            </w:r>
          </w:p>
        </w:tc>
        <w:tc>
          <w:tcPr>
            <w:tcW w:w="2835" w:type="dxa"/>
            <w:tcBorders>
              <w:top w:val="single" w:sz="2" w:space="0" w:color="000000"/>
              <w:left w:val="single" w:sz="2" w:space="0" w:color="000000"/>
              <w:bottom w:val="single" w:sz="2" w:space="0" w:color="000000"/>
              <w:right w:val="single" w:sz="2" w:space="0" w:color="000000"/>
            </w:tcBorders>
            <w:vAlign w:val="center"/>
          </w:tcPr>
          <w:p w14:paraId="03199AEB" w14:textId="77777777" w:rsidR="007B2947" w:rsidRPr="00C06F2E" w:rsidRDefault="007B2947" w:rsidP="0028022E">
            <w:pPr>
              <w:spacing w:after="0"/>
              <w:jc w:val="center"/>
              <w:rPr>
                <w:lang w:val="pt-PT"/>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0858CBC4" w14:textId="77777777" w:rsidR="007B2947" w:rsidRPr="00C06F2E" w:rsidRDefault="007B2947" w:rsidP="0028022E">
            <w:pPr>
              <w:spacing w:after="0"/>
              <w:ind w:left="414" w:right="397"/>
              <w:jc w:val="center"/>
            </w:pPr>
            <w:r w:rsidRPr="00C06F2E">
              <w:t>n=86</w:t>
            </w:r>
          </w:p>
        </w:tc>
        <w:tc>
          <w:tcPr>
            <w:tcW w:w="1276" w:type="dxa"/>
            <w:tcBorders>
              <w:top w:val="single" w:sz="2" w:space="0" w:color="000000"/>
              <w:left w:val="single" w:sz="2" w:space="0" w:color="000000"/>
              <w:bottom w:val="single" w:sz="2" w:space="0" w:color="000000"/>
              <w:right w:val="single" w:sz="2" w:space="0" w:color="000000"/>
            </w:tcBorders>
            <w:vAlign w:val="center"/>
          </w:tcPr>
          <w:p w14:paraId="518DDFFE" w14:textId="77777777" w:rsidR="007B2947" w:rsidRPr="00C06F2E" w:rsidRDefault="007B2947" w:rsidP="0028022E">
            <w:pPr>
              <w:spacing w:after="0"/>
              <w:ind w:left="407" w:right="389"/>
              <w:jc w:val="center"/>
            </w:pPr>
            <w:r w:rsidRPr="00C06F2E">
              <w:t>n=87</w:t>
            </w:r>
          </w:p>
        </w:tc>
        <w:tc>
          <w:tcPr>
            <w:tcW w:w="1559" w:type="dxa"/>
            <w:tcBorders>
              <w:top w:val="single" w:sz="2" w:space="0" w:color="000000"/>
              <w:left w:val="single" w:sz="2" w:space="0" w:color="000000"/>
              <w:bottom w:val="single" w:sz="2" w:space="0" w:color="000000"/>
              <w:right w:val="single" w:sz="2" w:space="0" w:color="000000"/>
            </w:tcBorders>
            <w:vAlign w:val="center"/>
          </w:tcPr>
          <w:p w14:paraId="4AD6F02D" w14:textId="77777777" w:rsidR="007B2947" w:rsidRPr="00C06F2E" w:rsidRDefault="007B2947" w:rsidP="0028022E">
            <w:pPr>
              <w:spacing w:after="0"/>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14:paraId="32C8C1E5" w14:textId="77777777" w:rsidR="007B2947" w:rsidRPr="00C06F2E" w:rsidRDefault="007B2947" w:rsidP="0028022E">
            <w:pPr>
              <w:spacing w:after="0"/>
              <w:jc w:val="center"/>
            </w:pPr>
          </w:p>
        </w:tc>
      </w:tr>
      <w:tr w:rsidR="00DC0338" w:rsidRPr="00C06F2E" w14:paraId="0984A3A4" w14:textId="77777777" w:rsidTr="00362D92">
        <w:trPr>
          <w:trHeight w:hRule="exact" w:val="789"/>
        </w:trPr>
        <w:tc>
          <w:tcPr>
            <w:tcW w:w="1742" w:type="dxa"/>
            <w:vMerge/>
            <w:tcBorders>
              <w:left w:val="single" w:sz="2" w:space="0" w:color="000000"/>
              <w:right w:val="single" w:sz="2" w:space="0" w:color="000000"/>
            </w:tcBorders>
          </w:tcPr>
          <w:p w14:paraId="0DFA6BC0" w14:textId="77777777" w:rsidR="007B2947" w:rsidRPr="00C06F2E" w:rsidRDefault="007B2947" w:rsidP="0028022E">
            <w:pPr>
              <w:spacing w:after="0"/>
            </w:pPr>
          </w:p>
        </w:tc>
        <w:tc>
          <w:tcPr>
            <w:tcW w:w="2835" w:type="dxa"/>
            <w:tcBorders>
              <w:top w:val="single" w:sz="2" w:space="0" w:color="000000"/>
              <w:left w:val="single" w:sz="2" w:space="0" w:color="000000"/>
              <w:bottom w:val="single" w:sz="2" w:space="0" w:color="000000"/>
              <w:right w:val="single" w:sz="2" w:space="0" w:color="000000"/>
            </w:tcBorders>
            <w:vAlign w:val="center"/>
          </w:tcPr>
          <w:p w14:paraId="5B045381" w14:textId="2B1050C6" w:rsidR="007B2947" w:rsidRPr="00C06F2E" w:rsidRDefault="007B2947" w:rsidP="0028022E">
            <w:pPr>
              <w:spacing w:after="0" w:line="206" w:lineRule="exact"/>
              <w:ind w:left="105" w:right="448"/>
              <w:jc w:val="center"/>
            </w:pPr>
            <w:r w:rsidRPr="00C06F2E">
              <w:t>PFS (</w:t>
            </w:r>
            <w:r w:rsidR="005C654B" w:rsidRPr="00C06F2E">
              <w:rPr>
                <w:lang w:val="sk-SK"/>
              </w:rPr>
              <w:t>medián v mesiacoch</w:t>
            </w:r>
            <w:r w:rsidRPr="00C06F2E">
              <w:t xml:space="preserve">), </w:t>
            </w:r>
            <w:r w:rsidR="00351095">
              <w:rPr>
                <w:lang w:val="sk-SK"/>
              </w:rPr>
              <w:t>h</w:t>
            </w:r>
            <w:r w:rsidR="005C654B" w:rsidRPr="00C06F2E">
              <w:rPr>
                <w:lang w:val="sk-SK"/>
              </w:rPr>
              <w:t>odnotené skúšajúcim lekárom</w:t>
            </w:r>
          </w:p>
        </w:tc>
        <w:tc>
          <w:tcPr>
            <w:tcW w:w="1276" w:type="dxa"/>
            <w:tcBorders>
              <w:top w:val="single" w:sz="2" w:space="0" w:color="000000"/>
              <w:left w:val="single" w:sz="2" w:space="0" w:color="000000"/>
              <w:bottom w:val="single" w:sz="2" w:space="0" w:color="000000"/>
              <w:right w:val="single" w:sz="2" w:space="0" w:color="000000"/>
            </w:tcBorders>
            <w:vAlign w:val="center"/>
          </w:tcPr>
          <w:p w14:paraId="500462E4" w14:textId="77777777" w:rsidR="007B2947" w:rsidRPr="00C06F2E" w:rsidRDefault="007B2947" w:rsidP="0028022E">
            <w:pPr>
              <w:spacing w:after="0" w:line="110" w:lineRule="exact"/>
              <w:jc w:val="center"/>
            </w:pPr>
          </w:p>
          <w:p w14:paraId="5352954D" w14:textId="0245D107" w:rsidR="007B2947" w:rsidRPr="00C06F2E" w:rsidRDefault="007B2947" w:rsidP="0028022E">
            <w:pPr>
              <w:spacing w:after="0"/>
              <w:ind w:left="487" w:right="470"/>
              <w:jc w:val="center"/>
            </w:pPr>
            <w:r w:rsidRPr="00C06F2E">
              <w:t>9</w:t>
            </w:r>
            <w:r w:rsidR="005C654B" w:rsidRPr="00C06F2E">
              <w:t>,</w:t>
            </w:r>
            <w:r w:rsidRPr="00C06F2E">
              <w:t>7</w:t>
            </w:r>
          </w:p>
        </w:tc>
        <w:tc>
          <w:tcPr>
            <w:tcW w:w="1276" w:type="dxa"/>
            <w:tcBorders>
              <w:top w:val="single" w:sz="2" w:space="0" w:color="000000"/>
              <w:left w:val="single" w:sz="2" w:space="0" w:color="000000"/>
              <w:bottom w:val="single" w:sz="2" w:space="0" w:color="000000"/>
              <w:right w:val="single" w:sz="2" w:space="0" w:color="000000"/>
            </w:tcBorders>
            <w:vAlign w:val="center"/>
          </w:tcPr>
          <w:p w14:paraId="223687F6" w14:textId="77777777" w:rsidR="007B2947" w:rsidRPr="00C06F2E" w:rsidRDefault="007B2947" w:rsidP="0028022E">
            <w:pPr>
              <w:spacing w:after="0" w:line="110" w:lineRule="exact"/>
              <w:jc w:val="center"/>
            </w:pPr>
          </w:p>
          <w:p w14:paraId="210AABCE" w14:textId="3C542E5F" w:rsidR="007B2947" w:rsidRPr="00C06F2E" w:rsidRDefault="007B2947" w:rsidP="0028022E">
            <w:pPr>
              <w:spacing w:after="0"/>
              <w:ind w:left="487" w:right="469"/>
              <w:jc w:val="center"/>
            </w:pPr>
            <w:r w:rsidRPr="00C06F2E">
              <w:t>5</w:t>
            </w:r>
            <w:r w:rsidR="005C654B" w:rsidRPr="00C06F2E">
              <w:t>,</w:t>
            </w:r>
            <w:r w:rsidRPr="00C06F2E">
              <w:t>2</w:t>
            </w:r>
          </w:p>
        </w:tc>
        <w:tc>
          <w:tcPr>
            <w:tcW w:w="1559" w:type="dxa"/>
            <w:tcBorders>
              <w:top w:val="single" w:sz="2" w:space="0" w:color="000000"/>
              <w:left w:val="single" w:sz="2" w:space="0" w:color="000000"/>
              <w:bottom w:val="single" w:sz="2" w:space="0" w:color="000000"/>
              <w:right w:val="single" w:sz="2" w:space="0" w:color="000000"/>
            </w:tcBorders>
            <w:vAlign w:val="center"/>
          </w:tcPr>
          <w:p w14:paraId="316DC398" w14:textId="25DEE267" w:rsidR="007B2947" w:rsidRPr="00C06F2E" w:rsidRDefault="007B2947" w:rsidP="0028022E">
            <w:pPr>
              <w:spacing w:after="0" w:line="206" w:lineRule="exact"/>
              <w:ind w:left="228" w:right="178" w:firstLine="247"/>
              <w:jc w:val="center"/>
            </w:pPr>
            <w:r w:rsidRPr="00C06F2E">
              <w:t>0</w:t>
            </w:r>
            <w:r w:rsidR="005C654B" w:rsidRPr="00C06F2E">
              <w:t>,</w:t>
            </w:r>
            <w:r w:rsidRPr="00C06F2E">
              <w:t>37 [0</w:t>
            </w:r>
            <w:r w:rsidR="005C654B" w:rsidRPr="00C06F2E">
              <w:t>,</w:t>
            </w:r>
            <w:r w:rsidRPr="00C06F2E">
              <w:t>27-0</w:t>
            </w:r>
            <w:r w:rsidR="005C654B" w:rsidRPr="00C06F2E">
              <w:t>,</w:t>
            </w:r>
            <w:r w:rsidRPr="00C06F2E">
              <w:t>54]</w:t>
            </w:r>
          </w:p>
        </w:tc>
        <w:tc>
          <w:tcPr>
            <w:tcW w:w="1559" w:type="dxa"/>
            <w:tcBorders>
              <w:top w:val="single" w:sz="2" w:space="0" w:color="000000"/>
              <w:left w:val="single" w:sz="2" w:space="0" w:color="000000"/>
              <w:bottom w:val="single" w:sz="2" w:space="0" w:color="000000"/>
              <w:right w:val="single" w:sz="2" w:space="0" w:color="000000"/>
            </w:tcBorders>
            <w:vAlign w:val="center"/>
          </w:tcPr>
          <w:p w14:paraId="5AF57C2D" w14:textId="77777777" w:rsidR="007B2947" w:rsidRPr="00C06F2E" w:rsidRDefault="007B2947" w:rsidP="0028022E">
            <w:pPr>
              <w:spacing w:after="0" w:line="110" w:lineRule="exact"/>
              <w:jc w:val="center"/>
            </w:pPr>
          </w:p>
          <w:p w14:paraId="16A9C203" w14:textId="0AE2111F" w:rsidR="007B2947" w:rsidRPr="00C06F2E" w:rsidRDefault="007B2947" w:rsidP="0028022E">
            <w:pPr>
              <w:spacing w:after="0"/>
              <w:ind w:left="291" w:right="-20"/>
              <w:jc w:val="center"/>
            </w:pPr>
            <w:r w:rsidRPr="00C06F2E">
              <w:t>p&lt;0</w:t>
            </w:r>
            <w:r w:rsidR="005C654B" w:rsidRPr="00C06F2E">
              <w:t>,</w:t>
            </w:r>
            <w:r w:rsidRPr="00C06F2E">
              <w:t>0001</w:t>
            </w:r>
          </w:p>
        </w:tc>
      </w:tr>
      <w:tr w:rsidR="00DC0338" w:rsidRPr="00C06F2E" w14:paraId="1A37E554" w14:textId="77777777" w:rsidTr="00362D92">
        <w:trPr>
          <w:trHeight w:hRule="exact" w:val="574"/>
        </w:trPr>
        <w:tc>
          <w:tcPr>
            <w:tcW w:w="1742" w:type="dxa"/>
            <w:vMerge/>
            <w:tcBorders>
              <w:left w:val="single" w:sz="2" w:space="0" w:color="000000"/>
              <w:right w:val="single" w:sz="2" w:space="0" w:color="000000"/>
            </w:tcBorders>
          </w:tcPr>
          <w:p w14:paraId="4086870C" w14:textId="77777777" w:rsidR="007B2947" w:rsidRPr="00C06F2E" w:rsidRDefault="007B2947" w:rsidP="0028022E">
            <w:pPr>
              <w:spacing w:after="0"/>
            </w:pPr>
          </w:p>
        </w:tc>
        <w:tc>
          <w:tcPr>
            <w:tcW w:w="2835" w:type="dxa"/>
            <w:tcBorders>
              <w:top w:val="single" w:sz="2" w:space="0" w:color="000000"/>
              <w:left w:val="single" w:sz="2" w:space="0" w:color="000000"/>
              <w:bottom w:val="single" w:sz="2" w:space="0" w:color="000000"/>
              <w:right w:val="single" w:sz="2" w:space="0" w:color="000000"/>
            </w:tcBorders>
            <w:vAlign w:val="center"/>
          </w:tcPr>
          <w:p w14:paraId="4DF17EBF" w14:textId="52340F84" w:rsidR="007B2947" w:rsidRPr="00C06F2E" w:rsidRDefault="005C654B" w:rsidP="0028022E">
            <w:pPr>
              <w:spacing w:after="0"/>
              <w:ind w:left="105" w:right="-20"/>
              <w:jc w:val="left"/>
            </w:pPr>
            <w:r w:rsidRPr="00C06F2E">
              <w:t>Najlepš</w:t>
            </w:r>
            <w:r w:rsidR="005A4979">
              <w:t>í počet</w:t>
            </w:r>
            <w:r w:rsidRPr="00C06F2E">
              <w:t xml:space="preserve"> celkový</w:t>
            </w:r>
            <w:r w:rsidR="00351095">
              <w:t>ch</w:t>
            </w:r>
            <w:r w:rsidRPr="00C06F2E">
              <w:t xml:space="preserve"> odpovedí </w:t>
            </w:r>
            <w:r w:rsidR="007B2947" w:rsidRPr="00C06F2E">
              <w:t>(CR/PR)</w:t>
            </w:r>
          </w:p>
        </w:tc>
        <w:tc>
          <w:tcPr>
            <w:tcW w:w="1276" w:type="dxa"/>
            <w:tcBorders>
              <w:top w:val="single" w:sz="2" w:space="0" w:color="000000"/>
              <w:left w:val="single" w:sz="2" w:space="0" w:color="000000"/>
              <w:bottom w:val="single" w:sz="2" w:space="0" w:color="000000"/>
              <w:right w:val="single" w:sz="2" w:space="0" w:color="000000"/>
            </w:tcBorders>
            <w:vAlign w:val="center"/>
          </w:tcPr>
          <w:p w14:paraId="44983A35" w14:textId="263062B6" w:rsidR="007B2947" w:rsidRPr="00C06F2E" w:rsidRDefault="007B2947" w:rsidP="0028022E">
            <w:pPr>
              <w:spacing w:after="0"/>
              <w:ind w:left="401" w:right="-20"/>
              <w:jc w:val="center"/>
            </w:pPr>
            <w:r w:rsidRPr="00C06F2E">
              <w:t>58</w:t>
            </w:r>
            <w:r w:rsidR="005C654B" w:rsidRPr="00C06F2E">
              <w:t>,</w:t>
            </w:r>
            <w:r w:rsidRPr="00C06F2E">
              <w:t>1%</w:t>
            </w:r>
          </w:p>
        </w:tc>
        <w:tc>
          <w:tcPr>
            <w:tcW w:w="1276" w:type="dxa"/>
            <w:tcBorders>
              <w:top w:val="single" w:sz="2" w:space="0" w:color="000000"/>
              <w:left w:val="single" w:sz="2" w:space="0" w:color="000000"/>
              <w:bottom w:val="single" w:sz="2" w:space="0" w:color="000000"/>
              <w:right w:val="single" w:sz="2" w:space="0" w:color="000000"/>
            </w:tcBorders>
            <w:vAlign w:val="center"/>
          </w:tcPr>
          <w:p w14:paraId="1EFDCE69" w14:textId="3CF29D7E" w:rsidR="007B2947" w:rsidRPr="00C06F2E" w:rsidRDefault="007B2947" w:rsidP="0028022E">
            <w:pPr>
              <w:spacing w:after="0"/>
              <w:ind w:left="401" w:right="-20"/>
              <w:jc w:val="center"/>
            </w:pPr>
            <w:r w:rsidRPr="00C06F2E">
              <w:t>14</w:t>
            </w:r>
            <w:r w:rsidR="005C654B" w:rsidRPr="00C06F2E">
              <w:t>,</w:t>
            </w:r>
            <w:r w:rsidRPr="00C06F2E">
              <w:t>9%</w:t>
            </w:r>
          </w:p>
        </w:tc>
        <w:tc>
          <w:tcPr>
            <w:tcW w:w="1559" w:type="dxa"/>
            <w:tcBorders>
              <w:top w:val="single" w:sz="2" w:space="0" w:color="000000"/>
              <w:left w:val="single" w:sz="2" w:space="0" w:color="000000"/>
              <w:bottom w:val="single" w:sz="2" w:space="0" w:color="000000"/>
              <w:right w:val="single" w:sz="2" w:space="0" w:color="000000"/>
            </w:tcBorders>
            <w:vAlign w:val="center"/>
          </w:tcPr>
          <w:p w14:paraId="09E44CBE" w14:textId="77777777" w:rsidR="007B2947" w:rsidRPr="00C06F2E" w:rsidRDefault="007B2947" w:rsidP="0028022E">
            <w:pPr>
              <w:spacing w:after="0"/>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14:paraId="1660CA27" w14:textId="43753381" w:rsidR="007B2947" w:rsidRPr="00C06F2E" w:rsidRDefault="007B2947" w:rsidP="0028022E">
            <w:pPr>
              <w:spacing w:after="0"/>
              <w:ind w:left="290" w:right="-20"/>
              <w:jc w:val="center"/>
            </w:pPr>
            <w:r w:rsidRPr="00C06F2E">
              <w:t>p&lt;0</w:t>
            </w:r>
            <w:r w:rsidR="005C654B" w:rsidRPr="00C06F2E">
              <w:t>,</w:t>
            </w:r>
            <w:r w:rsidRPr="00C06F2E">
              <w:t>0001</w:t>
            </w:r>
          </w:p>
        </w:tc>
      </w:tr>
      <w:tr w:rsidR="00DC0338" w:rsidRPr="00C06F2E" w14:paraId="3C3D2AD1" w14:textId="77777777" w:rsidTr="00362D92">
        <w:trPr>
          <w:trHeight w:hRule="exact" w:val="584"/>
        </w:trPr>
        <w:tc>
          <w:tcPr>
            <w:tcW w:w="1742" w:type="dxa"/>
            <w:vMerge/>
            <w:tcBorders>
              <w:left w:val="single" w:sz="2" w:space="0" w:color="000000"/>
              <w:bottom w:val="single" w:sz="2" w:space="0" w:color="000000"/>
              <w:right w:val="single" w:sz="2" w:space="0" w:color="000000"/>
            </w:tcBorders>
          </w:tcPr>
          <w:p w14:paraId="6D6592F7" w14:textId="77777777" w:rsidR="007B2947" w:rsidRPr="00C06F2E" w:rsidRDefault="007B2947" w:rsidP="0028022E">
            <w:pPr>
              <w:spacing w:after="0"/>
            </w:pPr>
          </w:p>
        </w:tc>
        <w:tc>
          <w:tcPr>
            <w:tcW w:w="2835" w:type="dxa"/>
            <w:tcBorders>
              <w:top w:val="single" w:sz="2" w:space="0" w:color="000000"/>
              <w:left w:val="single" w:sz="2" w:space="0" w:color="000000"/>
              <w:bottom w:val="single" w:sz="2" w:space="0" w:color="000000"/>
              <w:right w:val="single" w:sz="2" w:space="0" w:color="000000"/>
            </w:tcBorders>
            <w:vAlign w:val="center"/>
          </w:tcPr>
          <w:p w14:paraId="6CC40A8F" w14:textId="2B9BFB7A" w:rsidR="007B2947" w:rsidRPr="00C06F2E" w:rsidRDefault="007B2947" w:rsidP="0028022E">
            <w:pPr>
              <w:spacing w:after="0"/>
              <w:ind w:left="105" w:right="-20"/>
              <w:jc w:val="left"/>
            </w:pPr>
            <w:r w:rsidRPr="00C06F2E">
              <w:t>OS</w:t>
            </w:r>
            <w:r w:rsidRPr="00C06F2E">
              <w:rPr>
                <w:spacing w:val="1"/>
              </w:rPr>
              <w:t xml:space="preserve"> </w:t>
            </w:r>
            <w:r w:rsidRPr="00C06F2E">
              <w:t>(</w:t>
            </w:r>
            <w:r w:rsidR="005C654B" w:rsidRPr="00C06F2E">
              <w:t>mesiace</w:t>
            </w:r>
            <w:r w:rsidRPr="00C06F2E">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D60177" w14:textId="4894BDD6" w:rsidR="007B2947" w:rsidRPr="00C06F2E" w:rsidRDefault="007B2947" w:rsidP="0028022E">
            <w:pPr>
              <w:spacing w:after="0"/>
              <w:ind w:left="445" w:right="423"/>
              <w:jc w:val="center"/>
            </w:pPr>
            <w:r w:rsidRPr="00C06F2E">
              <w:t>19</w:t>
            </w:r>
            <w:r w:rsidR="005C654B" w:rsidRPr="00C06F2E">
              <w:t>,</w:t>
            </w:r>
            <w:r w:rsidRPr="00C06F2E">
              <w:t>3</w:t>
            </w:r>
          </w:p>
        </w:tc>
        <w:tc>
          <w:tcPr>
            <w:tcW w:w="1276" w:type="dxa"/>
            <w:tcBorders>
              <w:top w:val="single" w:sz="2" w:space="0" w:color="000000"/>
              <w:left w:val="single" w:sz="2" w:space="0" w:color="000000"/>
              <w:bottom w:val="single" w:sz="2" w:space="0" w:color="000000"/>
              <w:right w:val="single" w:sz="2" w:space="0" w:color="000000"/>
            </w:tcBorders>
            <w:vAlign w:val="center"/>
          </w:tcPr>
          <w:p w14:paraId="28031344" w14:textId="75A4F56C" w:rsidR="007B2947" w:rsidRPr="00C06F2E" w:rsidRDefault="007B2947" w:rsidP="0028022E">
            <w:pPr>
              <w:spacing w:after="0"/>
              <w:ind w:left="444" w:right="423"/>
              <w:jc w:val="center"/>
            </w:pPr>
            <w:r w:rsidRPr="00C06F2E">
              <w:t>19</w:t>
            </w:r>
            <w:r w:rsidR="005C654B" w:rsidRPr="00C06F2E">
              <w:t>,</w:t>
            </w:r>
            <w:r w:rsidRPr="00C06F2E">
              <w:t>5</w:t>
            </w:r>
          </w:p>
        </w:tc>
        <w:tc>
          <w:tcPr>
            <w:tcW w:w="1559" w:type="dxa"/>
            <w:tcBorders>
              <w:top w:val="single" w:sz="2" w:space="0" w:color="000000"/>
              <w:left w:val="single" w:sz="2" w:space="0" w:color="000000"/>
              <w:bottom w:val="single" w:sz="2" w:space="0" w:color="000000"/>
              <w:right w:val="single" w:sz="2" w:space="0" w:color="000000"/>
            </w:tcBorders>
            <w:vAlign w:val="center"/>
          </w:tcPr>
          <w:p w14:paraId="1906D3CC" w14:textId="380F18CA" w:rsidR="007B2947" w:rsidRPr="00C06F2E" w:rsidRDefault="007B2947" w:rsidP="0028022E">
            <w:pPr>
              <w:spacing w:after="0" w:line="201" w:lineRule="exact"/>
              <w:ind w:left="442" w:right="424"/>
              <w:jc w:val="center"/>
            </w:pPr>
            <w:r w:rsidRPr="00C06F2E">
              <w:t>1</w:t>
            </w:r>
            <w:r w:rsidR="005C654B" w:rsidRPr="00C06F2E">
              <w:t>,</w:t>
            </w:r>
            <w:r w:rsidRPr="00C06F2E">
              <w:t>04</w:t>
            </w:r>
          </w:p>
          <w:p w14:paraId="35F80683" w14:textId="5A1B3947" w:rsidR="007B2947" w:rsidRPr="00C06F2E" w:rsidRDefault="007B2947" w:rsidP="0028022E">
            <w:pPr>
              <w:spacing w:after="0"/>
              <w:ind w:left="195" w:right="176"/>
              <w:jc w:val="center"/>
            </w:pPr>
            <w:r w:rsidRPr="00C06F2E">
              <w:t>[0</w:t>
            </w:r>
            <w:r w:rsidR="005C654B" w:rsidRPr="00C06F2E">
              <w:t>,</w:t>
            </w:r>
            <w:r w:rsidRPr="00C06F2E">
              <w:t>65-1</w:t>
            </w:r>
            <w:r w:rsidR="005C654B" w:rsidRPr="00C06F2E">
              <w:t>,</w:t>
            </w:r>
            <w:r w:rsidRPr="00C06F2E">
              <w:t>68]</w:t>
            </w:r>
          </w:p>
        </w:tc>
        <w:tc>
          <w:tcPr>
            <w:tcW w:w="1559" w:type="dxa"/>
            <w:tcBorders>
              <w:top w:val="single" w:sz="2" w:space="0" w:color="000000"/>
              <w:left w:val="single" w:sz="2" w:space="0" w:color="000000"/>
              <w:bottom w:val="single" w:sz="2" w:space="0" w:color="000000"/>
              <w:right w:val="single" w:sz="2" w:space="0" w:color="000000"/>
            </w:tcBorders>
            <w:vAlign w:val="center"/>
          </w:tcPr>
          <w:p w14:paraId="071E9B6C" w14:textId="52761712" w:rsidR="007B2947" w:rsidRPr="00C06F2E" w:rsidRDefault="007B2947" w:rsidP="0028022E">
            <w:pPr>
              <w:spacing w:after="0"/>
              <w:ind w:left="291" w:right="-20"/>
              <w:jc w:val="center"/>
            </w:pPr>
            <w:r w:rsidRPr="00C06F2E">
              <w:t>p=0</w:t>
            </w:r>
            <w:r w:rsidR="005C654B" w:rsidRPr="00C06F2E">
              <w:t>,</w:t>
            </w:r>
            <w:r w:rsidRPr="00C06F2E">
              <w:t>8702</w:t>
            </w:r>
          </w:p>
        </w:tc>
      </w:tr>
      <w:tr w:rsidR="0085502A" w:rsidRPr="00C06F2E" w14:paraId="2F8873EC" w14:textId="77777777" w:rsidTr="00362D92">
        <w:trPr>
          <w:trHeight w:hRule="exact" w:val="454"/>
        </w:trPr>
        <w:tc>
          <w:tcPr>
            <w:tcW w:w="1742" w:type="dxa"/>
            <w:vMerge w:val="restart"/>
            <w:tcBorders>
              <w:top w:val="single" w:sz="2" w:space="0" w:color="000000"/>
              <w:left w:val="single" w:sz="2" w:space="0" w:color="000000"/>
              <w:right w:val="single" w:sz="2" w:space="0" w:color="000000"/>
            </w:tcBorders>
          </w:tcPr>
          <w:p w14:paraId="530FE4D5" w14:textId="3244213B" w:rsidR="007B2947" w:rsidRPr="00C06F2E" w:rsidRDefault="005C654B" w:rsidP="00362D92">
            <w:pPr>
              <w:spacing w:after="0" w:line="201" w:lineRule="exact"/>
              <w:ind w:left="105" w:right="473"/>
              <w:jc w:val="left"/>
              <w:rPr>
                <w:lang w:val="pt-PT"/>
              </w:rPr>
            </w:pPr>
            <w:r w:rsidRPr="00C06F2E">
              <w:rPr>
                <w:lang w:val="pt-PT"/>
              </w:rPr>
              <w:t>Aktualizova</w:t>
            </w:r>
            <w:r w:rsidR="008D7E5F" w:rsidRPr="00C06F2E">
              <w:rPr>
                <w:lang w:val="pt-PT"/>
              </w:rPr>
              <w:t>-</w:t>
            </w:r>
            <w:r w:rsidRPr="00C06F2E">
              <w:rPr>
                <w:lang w:val="pt-PT"/>
              </w:rPr>
              <w:t>ná a</w:t>
            </w:r>
            <w:r w:rsidR="007B2947" w:rsidRPr="00C06F2E">
              <w:rPr>
                <w:lang w:val="pt-PT"/>
              </w:rPr>
              <w:t>nal</w:t>
            </w:r>
            <w:r w:rsidRPr="00C06F2E">
              <w:rPr>
                <w:lang w:val="pt-PT"/>
              </w:rPr>
              <w:t>ýza</w:t>
            </w:r>
            <w:r w:rsidR="007B2947" w:rsidRPr="00C06F2E">
              <w:rPr>
                <w:lang w:val="pt-PT"/>
              </w:rPr>
              <w:t xml:space="preserve"> (62</w:t>
            </w:r>
            <w:r w:rsidR="00CD016D">
              <w:rPr>
                <w:lang w:val="pt-PT"/>
              </w:rPr>
              <w:t> </w:t>
            </w:r>
            <w:r w:rsidR="007B2947" w:rsidRPr="00C06F2E">
              <w:rPr>
                <w:lang w:val="pt-PT"/>
              </w:rPr>
              <w:t>%</w:t>
            </w:r>
            <w:r w:rsidR="008D7E5F" w:rsidRPr="00C06F2E">
              <w:rPr>
                <w:lang w:val="pt-PT"/>
              </w:rPr>
              <w:t xml:space="preserve"> </w:t>
            </w:r>
            <w:r w:rsidR="00CD016D">
              <w:rPr>
                <w:lang w:val="pt-PT"/>
              </w:rPr>
              <w:t>dostupných údajov pre</w:t>
            </w:r>
            <w:r w:rsidR="007B2947" w:rsidRPr="00C06F2E">
              <w:rPr>
                <w:lang w:val="pt-PT"/>
              </w:rPr>
              <w:t xml:space="preserve"> OS) (n=173)</w:t>
            </w:r>
          </w:p>
          <w:p w14:paraId="23CA9181" w14:textId="77777777" w:rsidR="007B2947" w:rsidRPr="00C06F2E" w:rsidRDefault="007B2947" w:rsidP="0028022E">
            <w:pPr>
              <w:spacing w:after="0" w:line="200" w:lineRule="exact"/>
              <w:rPr>
                <w:lang w:val="pt-PT"/>
              </w:rPr>
            </w:pPr>
          </w:p>
          <w:p w14:paraId="2D3CB856" w14:textId="381F5C97" w:rsidR="007B2947" w:rsidRPr="00362D92" w:rsidRDefault="008D7E5F" w:rsidP="0028022E">
            <w:pPr>
              <w:spacing w:after="0"/>
              <w:ind w:left="105" w:right="120"/>
              <w:jc w:val="left"/>
              <w:rPr>
                <w:sz w:val="16"/>
                <w:szCs w:val="16"/>
                <w:lang w:val="pt-PT"/>
              </w:rPr>
            </w:pPr>
            <w:r w:rsidRPr="00362D92">
              <w:rPr>
                <w:sz w:val="16"/>
                <w:szCs w:val="16"/>
                <w:lang w:val="sk-SK"/>
              </w:rPr>
              <w:t>Dátum ukončenia zhromažďovania údajov</w:t>
            </w:r>
            <w:r w:rsidR="007B2947" w:rsidRPr="00362D92">
              <w:rPr>
                <w:sz w:val="16"/>
                <w:szCs w:val="16"/>
                <w:lang w:val="pt-PT"/>
              </w:rPr>
              <w:t>:</w:t>
            </w:r>
            <w:r w:rsidR="007B2947" w:rsidRPr="00362D92">
              <w:rPr>
                <w:spacing w:val="-1"/>
                <w:sz w:val="16"/>
                <w:szCs w:val="16"/>
                <w:lang w:val="pt-PT"/>
              </w:rPr>
              <w:t xml:space="preserve"> A</w:t>
            </w:r>
            <w:r w:rsidR="007B2947" w:rsidRPr="00362D92">
              <w:rPr>
                <w:spacing w:val="1"/>
                <w:sz w:val="16"/>
                <w:szCs w:val="16"/>
                <w:lang w:val="pt-PT"/>
              </w:rPr>
              <w:t>pr</w:t>
            </w:r>
            <w:r w:rsidR="007B2947" w:rsidRPr="00362D92">
              <w:rPr>
                <w:sz w:val="16"/>
                <w:szCs w:val="16"/>
                <w:lang w:val="pt-PT"/>
              </w:rPr>
              <w:t>il</w:t>
            </w:r>
            <w:r w:rsidR="007B2947" w:rsidRPr="00362D92">
              <w:rPr>
                <w:spacing w:val="-2"/>
                <w:sz w:val="16"/>
                <w:szCs w:val="16"/>
                <w:lang w:val="pt-PT"/>
              </w:rPr>
              <w:t xml:space="preserve"> </w:t>
            </w:r>
            <w:r w:rsidR="007B2947" w:rsidRPr="00362D92">
              <w:rPr>
                <w:spacing w:val="1"/>
                <w:sz w:val="16"/>
                <w:szCs w:val="16"/>
                <w:lang w:val="pt-PT"/>
              </w:rPr>
              <w:t>2012</w:t>
            </w:r>
          </w:p>
        </w:tc>
        <w:tc>
          <w:tcPr>
            <w:tcW w:w="2835" w:type="dxa"/>
            <w:tcBorders>
              <w:top w:val="single" w:sz="2" w:space="0" w:color="000000"/>
              <w:left w:val="single" w:sz="2" w:space="0" w:color="000000"/>
              <w:bottom w:val="single" w:sz="2" w:space="0" w:color="000000"/>
              <w:right w:val="single" w:sz="2" w:space="0" w:color="000000"/>
            </w:tcBorders>
            <w:vAlign w:val="center"/>
          </w:tcPr>
          <w:p w14:paraId="0D78971C" w14:textId="77777777" w:rsidR="007B2947" w:rsidRPr="00C06F2E" w:rsidRDefault="007B2947" w:rsidP="0028022E">
            <w:pPr>
              <w:spacing w:after="0"/>
              <w:jc w:val="center"/>
              <w:rPr>
                <w:lang w:val="pt-PT"/>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6649B4CF" w14:textId="77777777" w:rsidR="007B2947" w:rsidRPr="00C06F2E" w:rsidRDefault="007B2947" w:rsidP="0028022E">
            <w:pPr>
              <w:spacing w:after="0"/>
              <w:ind w:left="414" w:right="397"/>
              <w:jc w:val="center"/>
            </w:pPr>
            <w:r w:rsidRPr="00C06F2E">
              <w:t>n=86</w:t>
            </w:r>
          </w:p>
        </w:tc>
        <w:tc>
          <w:tcPr>
            <w:tcW w:w="1276" w:type="dxa"/>
            <w:tcBorders>
              <w:top w:val="single" w:sz="2" w:space="0" w:color="000000"/>
              <w:left w:val="single" w:sz="2" w:space="0" w:color="000000"/>
              <w:bottom w:val="single" w:sz="2" w:space="0" w:color="000000"/>
              <w:right w:val="single" w:sz="2" w:space="0" w:color="000000"/>
            </w:tcBorders>
            <w:vAlign w:val="center"/>
          </w:tcPr>
          <w:p w14:paraId="34AA4669" w14:textId="77777777" w:rsidR="007B2947" w:rsidRPr="00C06F2E" w:rsidRDefault="007B2947" w:rsidP="0028022E">
            <w:pPr>
              <w:spacing w:after="0"/>
              <w:ind w:left="408" w:right="390"/>
              <w:jc w:val="center"/>
            </w:pPr>
            <w:r w:rsidRPr="00C06F2E">
              <w:t>n=87</w:t>
            </w:r>
          </w:p>
        </w:tc>
        <w:tc>
          <w:tcPr>
            <w:tcW w:w="1559" w:type="dxa"/>
            <w:tcBorders>
              <w:top w:val="single" w:sz="2" w:space="0" w:color="000000"/>
              <w:left w:val="single" w:sz="2" w:space="0" w:color="000000"/>
              <w:bottom w:val="single" w:sz="2" w:space="0" w:color="000000"/>
              <w:right w:val="single" w:sz="2" w:space="0" w:color="000000"/>
            </w:tcBorders>
            <w:vAlign w:val="center"/>
          </w:tcPr>
          <w:p w14:paraId="035C027D" w14:textId="77777777" w:rsidR="007B2947" w:rsidRPr="00C06F2E" w:rsidRDefault="007B2947" w:rsidP="0028022E">
            <w:pPr>
              <w:spacing w:after="0"/>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14:paraId="7BD82ECD" w14:textId="77777777" w:rsidR="007B2947" w:rsidRPr="00C06F2E" w:rsidRDefault="007B2947" w:rsidP="0028022E">
            <w:pPr>
              <w:spacing w:after="0"/>
              <w:jc w:val="center"/>
            </w:pPr>
          </w:p>
        </w:tc>
      </w:tr>
      <w:tr w:rsidR="00DC0338" w:rsidRPr="00C06F2E" w14:paraId="5876B15D" w14:textId="77777777" w:rsidTr="00362D92">
        <w:trPr>
          <w:trHeight w:hRule="exact" w:val="511"/>
        </w:trPr>
        <w:tc>
          <w:tcPr>
            <w:tcW w:w="1742" w:type="dxa"/>
            <w:vMerge/>
            <w:tcBorders>
              <w:left w:val="single" w:sz="2" w:space="0" w:color="000000"/>
              <w:right w:val="single" w:sz="2" w:space="0" w:color="000000"/>
            </w:tcBorders>
          </w:tcPr>
          <w:p w14:paraId="20D3EB8B" w14:textId="77777777" w:rsidR="007B2947" w:rsidRPr="00C06F2E" w:rsidRDefault="007B2947" w:rsidP="0028022E">
            <w:pPr>
              <w:spacing w:after="0"/>
            </w:pPr>
          </w:p>
        </w:tc>
        <w:tc>
          <w:tcPr>
            <w:tcW w:w="2835" w:type="dxa"/>
            <w:tcBorders>
              <w:top w:val="single" w:sz="2" w:space="0" w:color="000000"/>
              <w:left w:val="single" w:sz="2" w:space="0" w:color="000000"/>
              <w:bottom w:val="single" w:sz="2" w:space="0" w:color="000000"/>
              <w:right w:val="single" w:sz="2" w:space="0" w:color="000000"/>
            </w:tcBorders>
          </w:tcPr>
          <w:p w14:paraId="7CFFFFEB" w14:textId="5FB6B0D3" w:rsidR="007B2947" w:rsidRPr="00C06F2E" w:rsidRDefault="007B2947" w:rsidP="0028022E">
            <w:pPr>
              <w:spacing w:after="0"/>
              <w:ind w:left="105" w:right="-20"/>
            </w:pPr>
            <w:r w:rsidRPr="00C06F2E">
              <w:t>PFS</w:t>
            </w:r>
            <w:r w:rsidRPr="00C06F2E">
              <w:rPr>
                <w:spacing w:val="1"/>
              </w:rPr>
              <w:t xml:space="preserve"> </w:t>
            </w:r>
            <w:r w:rsidRPr="00C06F2E">
              <w:t>(medi</w:t>
            </w:r>
            <w:r w:rsidR="005C654B" w:rsidRPr="00C06F2E">
              <w:t>á</w:t>
            </w:r>
            <w:r w:rsidRPr="00C06F2E">
              <w:t>n</w:t>
            </w:r>
            <w:r w:rsidRPr="00C06F2E">
              <w:rPr>
                <w:spacing w:val="1"/>
              </w:rPr>
              <w:t xml:space="preserve"> </w:t>
            </w:r>
            <w:r w:rsidR="005C654B" w:rsidRPr="00C06F2E">
              <w:rPr>
                <w:spacing w:val="1"/>
              </w:rPr>
              <w:t>v</w:t>
            </w:r>
            <w:r w:rsidRPr="00C06F2E">
              <w:rPr>
                <w:spacing w:val="-1"/>
              </w:rPr>
              <w:t xml:space="preserve"> </w:t>
            </w:r>
            <w:r w:rsidR="005C654B" w:rsidRPr="00C06F2E">
              <w:t>mesiacoch</w:t>
            </w:r>
            <w:r w:rsidRPr="00C06F2E">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09E511" w14:textId="54A10CE5" w:rsidR="007B2947" w:rsidRPr="00C06F2E" w:rsidRDefault="007B2947" w:rsidP="0028022E">
            <w:pPr>
              <w:spacing w:after="0"/>
              <w:ind w:left="444" w:right="424"/>
              <w:jc w:val="center"/>
            </w:pPr>
            <w:r w:rsidRPr="00C06F2E">
              <w:t>10</w:t>
            </w:r>
            <w:r w:rsidR="005C654B" w:rsidRPr="00C06F2E">
              <w:t>,</w:t>
            </w:r>
            <w:r w:rsidRPr="00C06F2E">
              <w:t>4</w:t>
            </w:r>
          </w:p>
        </w:tc>
        <w:tc>
          <w:tcPr>
            <w:tcW w:w="1276" w:type="dxa"/>
            <w:tcBorders>
              <w:top w:val="single" w:sz="2" w:space="0" w:color="000000"/>
              <w:left w:val="single" w:sz="2" w:space="0" w:color="000000"/>
              <w:bottom w:val="single" w:sz="2" w:space="0" w:color="000000"/>
              <w:right w:val="single" w:sz="2" w:space="0" w:color="000000"/>
            </w:tcBorders>
            <w:vAlign w:val="center"/>
          </w:tcPr>
          <w:p w14:paraId="0AA5790C" w14:textId="46AA9D8C" w:rsidR="007B2947" w:rsidRPr="00C06F2E" w:rsidRDefault="007B2947" w:rsidP="0028022E">
            <w:pPr>
              <w:spacing w:after="0"/>
              <w:ind w:left="488" w:right="468"/>
              <w:jc w:val="center"/>
            </w:pPr>
            <w:r w:rsidRPr="00C06F2E">
              <w:t>5</w:t>
            </w:r>
            <w:r w:rsidR="005C654B" w:rsidRPr="00C06F2E">
              <w:t>,</w:t>
            </w:r>
            <w:r w:rsidRPr="00C06F2E">
              <w:t>1</w:t>
            </w:r>
          </w:p>
        </w:tc>
        <w:tc>
          <w:tcPr>
            <w:tcW w:w="1559" w:type="dxa"/>
            <w:tcBorders>
              <w:top w:val="single" w:sz="2" w:space="0" w:color="000000"/>
              <w:left w:val="single" w:sz="2" w:space="0" w:color="000000"/>
              <w:bottom w:val="single" w:sz="2" w:space="0" w:color="000000"/>
              <w:right w:val="single" w:sz="2" w:space="0" w:color="000000"/>
            </w:tcBorders>
            <w:vAlign w:val="center"/>
          </w:tcPr>
          <w:p w14:paraId="092179DC" w14:textId="0E6C48DC" w:rsidR="007B2947" w:rsidRPr="00C06F2E" w:rsidRDefault="007B2947" w:rsidP="0028022E">
            <w:pPr>
              <w:spacing w:after="0" w:line="201" w:lineRule="exact"/>
              <w:ind w:left="442" w:right="424"/>
              <w:jc w:val="center"/>
            </w:pPr>
            <w:r w:rsidRPr="00C06F2E">
              <w:t>0</w:t>
            </w:r>
            <w:r w:rsidR="005C654B" w:rsidRPr="00C06F2E">
              <w:t>,</w:t>
            </w:r>
            <w:r w:rsidRPr="00C06F2E">
              <w:t>34</w:t>
            </w:r>
          </w:p>
          <w:p w14:paraId="644C9EBF" w14:textId="0BE1C55F" w:rsidR="007B2947" w:rsidRPr="00C06F2E" w:rsidRDefault="007B2947" w:rsidP="0028022E">
            <w:pPr>
              <w:spacing w:after="0" w:line="206" w:lineRule="exact"/>
              <w:ind w:left="191" w:right="172"/>
              <w:jc w:val="center"/>
            </w:pPr>
            <w:r w:rsidRPr="00C06F2E">
              <w:t>[0</w:t>
            </w:r>
            <w:r w:rsidR="005C654B" w:rsidRPr="00C06F2E">
              <w:t>,</w:t>
            </w:r>
            <w:r w:rsidRPr="00C06F2E">
              <w:t>23-0</w:t>
            </w:r>
            <w:r w:rsidR="005C654B" w:rsidRPr="00C06F2E">
              <w:t>,</w:t>
            </w:r>
            <w:r w:rsidRPr="00C06F2E">
              <w:t>49]</w:t>
            </w:r>
          </w:p>
        </w:tc>
        <w:tc>
          <w:tcPr>
            <w:tcW w:w="1559" w:type="dxa"/>
            <w:tcBorders>
              <w:top w:val="single" w:sz="2" w:space="0" w:color="000000"/>
              <w:left w:val="single" w:sz="2" w:space="0" w:color="000000"/>
              <w:bottom w:val="single" w:sz="2" w:space="0" w:color="000000"/>
              <w:right w:val="single" w:sz="2" w:space="0" w:color="000000"/>
            </w:tcBorders>
            <w:vAlign w:val="center"/>
          </w:tcPr>
          <w:p w14:paraId="6A72FD92" w14:textId="70C2C03C" w:rsidR="007B2947" w:rsidRPr="00C06F2E" w:rsidRDefault="007B2947" w:rsidP="0028022E">
            <w:pPr>
              <w:spacing w:after="0"/>
              <w:ind w:left="291" w:right="-20"/>
              <w:jc w:val="center"/>
            </w:pPr>
            <w:r w:rsidRPr="00C06F2E">
              <w:t>p&lt;0</w:t>
            </w:r>
            <w:r w:rsidR="005C654B" w:rsidRPr="00C06F2E">
              <w:t>,</w:t>
            </w:r>
            <w:r w:rsidRPr="00C06F2E">
              <w:t>0001</w:t>
            </w:r>
          </w:p>
        </w:tc>
      </w:tr>
      <w:tr w:rsidR="00DC0338" w:rsidRPr="00C06F2E" w14:paraId="73707E1E" w14:textId="77777777" w:rsidTr="00362D92">
        <w:trPr>
          <w:trHeight w:hRule="exact" w:val="1035"/>
        </w:trPr>
        <w:tc>
          <w:tcPr>
            <w:tcW w:w="1742" w:type="dxa"/>
            <w:vMerge/>
            <w:tcBorders>
              <w:left w:val="single" w:sz="2" w:space="0" w:color="000000"/>
              <w:bottom w:val="single" w:sz="2" w:space="0" w:color="000000"/>
              <w:right w:val="single" w:sz="2" w:space="0" w:color="000000"/>
            </w:tcBorders>
          </w:tcPr>
          <w:p w14:paraId="5C7F2921" w14:textId="77777777" w:rsidR="007B2947" w:rsidRPr="00C06F2E" w:rsidRDefault="007B2947" w:rsidP="0028022E">
            <w:pPr>
              <w:spacing w:after="0"/>
            </w:pPr>
          </w:p>
        </w:tc>
        <w:tc>
          <w:tcPr>
            <w:tcW w:w="2835" w:type="dxa"/>
            <w:tcBorders>
              <w:top w:val="single" w:sz="2" w:space="0" w:color="000000"/>
              <w:left w:val="single" w:sz="2" w:space="0" w:color="000000"/>
              <w:bottom w:val="single" w:sz="2" w:space="0" w:color="000000"/>
              <w:right w:val="single" w:sz="2" w:space="0" w:color="000000"/>
            </w:tcBorders>
          </w:tcPr>
          <w:p w14:paraId="1559C9DB" w14:textId="77777777" w:rsidR="007B2947" w:rsidRPr="00C06F2E" w:rsidRDefault="007B2947" w:rsidP="0028022E">
            <w:pPr>
              <w:spacing w:after="0"/>
            </w:pPr>
          </w:p>
          <w:p w14:paraId="30A19B7E" w14:textId="318408D4" w:rsidR="007B2947" w:rsidRPr="00C06F2E" w:rsidRDefault="007B2947" w:rsidP="0028022E">
            <w:pPr>
              <w:spacing w:after="0"/>
              <w:ind w:left="105" w:right="-20"/>
            </w:pPr>
            <w:r w:rsidRPr="00C06F2E">
              <w:t>OS*** (</w:t>
            </w:r>
            <w:r w:rsidR="005C654B" w:rsidRPr="00C06F2E">
              <w:t>mesiace</w:t>
            </w:r>
            <w:r w:rsidRPr="00C06F2E">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D70ECF" w14:textId="77777777" w:rsidR="007B2947" w:rsidRPr="00C06F2E" w:rsidRDefault="007B2947" w:rsidP="0028022E">
            <w:pPr>
              <w:spacing w:after="0" w:line="160" w:lineRule="exact"/>
              <w:jc w:val="center"/>
            </w:pPr>
          </w:p>
          <w:p w14:paraId="4F5FF377" w14:textId="45922151" w:rsidR="007B2947" w:rsidRPr="00C06F2E" w:rsidRDefault="007B2947" w:rsidP="0028022E">
            <w:pPr>
              <w:spacing w:after="0"/>
              <w:ind w:left="443" w:right="424"/>
              <w:jc w:val="center"/>
            </w:pPr>
            <w:r w:rsidRPr="00C06F2E">
              <w:t>22</w:t>
            </w:r>
            <w:r w:rsidR="005C654B" w:rsidRPr="00C06F2E">
              <w:t>,</w:t>
            </w:r>
            <w:r w:rsidRPr="00C06F2E">
              <w:t>9</w:t>
            </w:r>
          </w:p>
        </w:tc>
        <w:tc>
          <w:tcPr>
            <w:tcW w:w="1276" w:type="dxa"/>
            <w:tcBorders>
              <w:top w:val="single" w:sz="2" w:space="0" w:color="000000"/>
              <w:left w:val="single" w:sz="2" w:space="0" w:color="000000"/>
              <w:bottom w:val="single" w:sz="2" w:space="0" w:color="000000"/>
              <w:right w:val="single" w:sz="2" w:space="0" w:color="000000"/>
            </w:tcBorders>
            <w:vAlign w:val="center"/>
          </w:tcPr>
          <w:p w14:paraId="2F0BF506" w14:textId="77777777" w:rsidR="007B2947" w:rsidRPr="00C06F2E" w:rsidRDefault="007B2947" w:rsidP="0028022E">
            <w:pPr>
              <w:spacing w:after="0" w:line="160" w:lineRule="exact"/>
              <w:jc w:val="center"/>
            </w:pPr>
          </w:p>
          <w:p w14:paraId="78C3A405" w14:textId="4A840C5B" w:rsidR="007B2947" w:rsidRPr="00C06F2E" w:rsidRDefault="007B2947" w:rsidP="0028022E">
            <w:pPr>
              <w:spacing w:after="0"/>
              <w:ind w:left="443" w:right="423"/>
              <w:jc w:val="center"/>
            </w:pPr>
            <w:r w:rsidRPr="00C06F2E">
              <w:t>20</w:t>
            </w:r>
            <w:r w:rsidR="005C654B" w:rsidRPr="00C06F2E">
              <w:t>,</w:t>
            </w:r>
            <w:r w:rsidRPr="00C06F2E">
              <w:t>8</w:t>
            </w:r>
          </w:p>
        </w:tc>
        <w:tc>
          <w:tcPr>
            <w:tcW w:w="1559" w:type="dxa"/>
            <w:tcBorders>
              <w:top w:val="single" w:sz="2" w:space="0" w:color="000000"/>
              <w:left w:val="single" w:sz="2" w:space="0" w:color="000000"/>
              <w:bottom w:val="single" w:sz="2" w:space="0" w:color="000000"/>
              <w:right w:val="single" w:sz="2" w:space="0" w:color="000000"/>
            </w:tcBorders>
            <w:vAlign w:val="center"/>
          </w:tcPr>
          <w:p w14:paraId="0478408B" w14:textId="77777777" w:rsidR="007B2947" w:rsidRPr="00C06F2E" w:rsidRDefault="007B2947" w:rsidP="0028022E">
            <w:pPr>
              <w:spacing w:after="0" w:line="170" w:lineRule="exact"/>
              <w:jc w:val="center"/>
            </w:pPr>
          </w:p>
          <w:p w14:paraId="1450B731" w14:textId="02AF9238" w:rsidR="007B2947" w:rsidRPr="00C06F2E" w:rsidRDefault="007B2947" w:rsidP="0028022E">
            <w:pPr>
              <w:spacing w:after="0"/>
              <w:ind w:left="228" w:right="178" w:firstLine="247"/>
              <w:jc w:val="center"/>
            </w:pPr>
            <w:r w:rsidRPr="00C06F2E">
              <w:t>0</w:t>
            </w:r>
            <w:r w:rsidR="005C654B" w:rsidRPr="00C06F2E">
              <w:t>,</w:t>
            </w:r>
            <w:r w:rsidRPr="00C06F2E">
              <w:t>93 [0</w:t>
            </w:r>
            <w:r w:rsidR="005C654B" w:rsidRPr="00C06F2E">
              <w:t>,</w:t>
            </w:r>
            <w:r w:rsidRPr="00C06F2E">
              <w:t>64-1</w:t>
            </w:r>
            <w:r w:rsidR="005C654B" w:rsidRPr="00C06F2E">
              <w:t>,</w:t>
            </w:r>
            <w:r w:rsidRPr="00C06F2E">
              <w:t>36]</w:t>
            </w:r>
          </w:p>
        </w:tc>
        <w:tc>
          <w:tcPr>
            <w:tcW w:w="1559" w:type="dxa"/>
            <w:tcBorders>
              <w:top w:val="single" w:sz="2" w:space="0" w:color="000000"/>
              <w:left w:val="single" w:sz="2" w:space="0" w:color="000000"/>
              <w:bottom w:val="single" w:sz="2" w:space="0" w:color="000000"/>
              <w:right w:val="single" w:sz="2" w:space="0" w:color="000000"/>
            </w:tcBorders>
            <w:vAlign w:val="center"/>
          </w:tcPr>
          <w:p w14:paraId="77908A18" w14:textId="77777777" w:rsidR="007B2947" w:rsidRPr="00C06F2E" w:rsidRDefault="007B2947" w:rsidP="0028022E">
            <w:pPr>
              <w:spacing w:after="0"/>
              <w:jc w:val="center"/>
            </w:pPr>
          </w:p>
          <w:p w14:paraId="7F0EBCDE" w14:textId="3E1C6D5B" w:rsidR="007B2947" w:rsidRPr="00C06F2E" w:rsidRDefault="007B2947" w:rsidP="0028022E">
            <w:pPr>
              <w:spacing w:after="0"/>
              <w:ind w:left="290" w:right="-20"/>
              <w:jc w:val="center"/>
            </w:pPr>
            <w:r w:rsidRPr="00C06F2E">
              <w:t>p=0</w:t>
            </w:r>
            <w:r w:rsidR="005C654B" w:rsidRPr="00C06F2E">
              <w:t>,</w:t>
            </w:r>
            <w:r w:rsidRPr="00C06F2E">
              <w:t>7149</w:t>
            </w:r>
          </w:p>
        </w:tc>
      </w:tr>
    </w:tbl>
    <w:p w14:paraId="3DA32D46" w14:textId="6748DE4E" w:rsidR="00CF55F7" w:rsidRPr="00C06F2E" w:rsidRDefault="007B2947" w:rsidP="00E60C58">
      <w:pPr>
        <w:spacing w:after="0" w:line="199" w:lineRule="exact"/>
        <w:ind w:left="938" w:right="-20" w:hanging="938"/>
        <w:jc w:val="left"/>
      </w:pPr>
      <w:r w:rsidRPr="00C06F2E">
        <w:t>CR=</w:t>
      </w:r>
      <w:r w:rsidR="008D7E5F" w:rsidRPr="00C06F2E">
        <w:rPr>
          <w:color w:val="000000"/>
          <w:lang w:val="sk-SK"/>
        </w:rPr>
        <w:t xml:space="preserve"> </w:t>
      </w:r>
      <w:r w:rsidR="008D7E5F" w:rsidRPr="00C06F2E">
        <w:rPr>
          <w:lang w:val="sk-SK"/>
        </w:rPr>
        <w:t>kompletná odpoveď</w:t>
      </w:r>
      <w:r w:rsidRPr="00C06F2E">
        <w:t>;</w:t>
      </w:r>
      <w:r w:rsidRPr="00C06F2E">
        <w:rPr>
          <w:spacing w:val="1"/>
        </w:rPr>
        <w:t xml:space="preserve"> </w:t>
      </w:r>
      <w:r w:rsidRPr="00C06F2E">
        <w:t>PR=</w:t>
      </w:r>
      <w:r w:rsidR="008D7E5F" w:rsidRPr="00C06F2E">
        <w:rPr>
          <w:color w:val="000000"/>
          <w:lang w:val="sk-SK"/>
        </w:rPr>
        <w:t xml:space="preserve"> </w:t>
      </w:r>
      <w:r w:rsidR="008D7E5F" w:rsidRPr="00C06F2E">
        <w:rPr>
          <w:lang w:val="sk-SK"/>
        </w:rPr>
        <w:t>parciálna odpoveď</w:t>
      </w:r>
    </w:p>
    <w:p w14:paraId="380CB152" w14:textId="77777777" w:rsidR="007B2947" w:rsidRPr="00C06F2E" w:rsidRDefault="007B2947" w:rsidP="00E60C58">
      <w:pPr>
        <w:autoSpaceDE w:val="0"/>
        <w:autoSpaceDN w:val="0"/>
        <w:adjustRightInd w:val="0"/>
        <w:spacing w:after="0"/>
        <w:jc w:val="left"/>
      </w:pPr>
    </w:p>
    <w:p w14:paraId="59FB56ED" w14:textId="135FA078" w:rsidR="007B2947" w:rsidRPr="00C06F2E" w:rsidRDefault="007B2947" w:rsidP="00E60C58">
      <w:pPr>
        <w:autoSpaceDE w:val="0"/>
        <w:autoSpaceDN w:val="0"/>
        <w:adjustRightInd w:val="0"/>
        <w:spacing w:after="0"/>
        <w:jc w:val="left"/>
        <w:rPr>
          <w:lang w:val="pl-PL" w:eastAsia="cs-CZ"/>
        </w:rPr>
      </w:pPr>
      <w:r w:rsidRPr="00C06F2E">
        <w:rPr>
          <w:lang w:val="pl-PL"/>
        </w:rPr>
        <w:t xml:space="preserve">* </w:t>
      </w:r>
      <w:r w:rsidR="008D7E5F" w:rsidRPr="00C06F2E">
        <w:rPr>
          <w:lang w:val="sk-SK"/>
        </w:rPr>
        <w:t>Pozorovalo sa 58</w:t>
      </w:r>
      <w:r w:rsidR="00ED70DA" w:rsidRPr="00C06F2E">
        <w:rPr>
          <w:lang w:val="sk-SK"/>
        </w:rPr>
        <w:t> </w:t>
      </w:r>
      <w:r w:rsidR="008D7E5F" w:rsidRPr="00C06F2E">
        <w:rPr>
          <w:lang w:val="sk-SK"/>
        </w:rPr>
        <w:t>% zníženie rizika progresie ochorenia alebo úmrtia</w:t>
      </w:r>
      <w:r w:rsidRPr="00C06F2E">
        <w:rPr>
          <w:lang w:val="pl-PL" w:eastAsia="cs-CZ"/>
        </w:rPr>
        <w:t xml:space="preserve">. </w:t>
      </w:r>
    </w:p>
    <w:p w14:paraId="1A42AE86" w14:textId="569BCCAC" w:rsidR="007B2947" w:rsidRPr="00C06F2E" w:rsidRDefault="007B2947" w:rsidP="00E60C58">
      <w:pPr>
        <w:autoSpaceDE w:val="0"/>
        <w:autoSpaceDN w:val="0"/>
        <w:adjustRightInd w:val="0"/>
        <w:spacing w:after="0"/>
        <w:jc w:val="left"/>
        <w:rPr>
          <w:lang w:val="pl-PL"/>
        </w:rPr>
      </w:pPr>
      <w:r w:rsidRPr="00C06F2E">
        <w:rPr>
          <w:lang w:val="pl-PL"/>
        </w:rPr>
        <w:t xml:space="preserve">** </w:t>
      </w:r>
      <w:r w:rsidR="008D7E5F" w:rsidRPr="00C06F2E">
        <w:rPr>
          <w:lang w:val="sk-SK"/>
        </w:rPr>
        <w:t>Pomer celkovej zhody medzi hodnotením</w:t>
      </w:r>
      <w:r w:rsidR="008D7E5F" w:rsidRPr="00C06F2E">
        <w:rPr>
          <w:rFonts w:eastAsia="Times New Roman"/>
          <w:lang w:val="sk-SK" w:eastAsia="en-GB"/>
        </w:rPr>
        <w:t xml:space="preserve"> </w:t>
      </w:r>
      <w:r w:rsidR="008D7E5F" w:rsidRPr="00C06F2E">
        <w:rPr>
          <w:lang w:val="sk-SK"/>
        </w:rPr>
        <w:t>vykonaným skúšajúcim</w:t>
      </w:r>
      <w:r w:rsidR="008D7E5F" w:rsidRPr="00C06F2E">
        <w:rPr>
          <w:lang w:val="sk-SK" w:eastAsia="en-GB"/>
        </w:rPr>
        <w:t xml:space="preserve"> lekárom</w:t>
      </w:r>
      <w:r w:rsidR="008D7E5F" w:rsidRPr="00C06F2E">
        <w:rPr>
          <w:lang w:val="sk-SK"/>
        </w:rPr>
        <w:t xml:space="preserve"> a nezávislým posúdením bol 70</w:t>
      </w:r>
      <w:r w:rsidR="00ED70DA" w:rsidRPr="00C06F2E">
        <w:rPr>
          <w:lang w:val="sk-SK"/>
        </w:rPr>
        <w:t> </w:t>
      </w:r>
      <w:r w:rsidR="008D7E5F" w:rsidRPr="00C06F2E">
        <w:rPr>
          <w:lang w:val="sk-SK"/>
        </w:rPr>
        <w:t>%</w:t>
      </w:r>
      <w:r w:rsidRPr="00C06F2E">
        <w:rPr>
          <w:lang w:val="pl-PL" w:eastAsia="cs-CZ"/>
        </w:rPr>
        <w:t>.</w:t>
      </w:r>
    </w:p>
    <w:p w14:paraId="23CBD449" w14:textId="3FFFED8C" w:rsidR="00014355" w:rsidRPr="00C06F2E" w:rsidRDefault="007B2947" w:rsidP="00E60C58">
      <w:pPr>
        <w:autoSpaceDE w:val="0"/>
        <w:autoSpaceDN w:val="0"/>
        <w:adjustRightInd w:val="0"/>
        <w:spacing w:after="0"/>
        <w:jc w:val="left"/>
        <w:rPr>
          <w:lang w:val="sk-SK"/>
        </w:rPr>
      </w:pPr>
      <w:r w:rsidRPr="00C06F2E">
        <w:rPr>
          <w:lang w:val="pl-PL"/>
        </w:rPr>
        <w:t xml:space="preserve">*** </w:t>
      </w:r>
      <w:r w:rsidR="00014355" w:rsidRPr="00C06F2E">
        <w:rPr>
          <w:lang w:val="sk-SK"/>
        </w:rPr>
        <w:t xml:space="preserve">Vysoký </w:t>
      </w:r>
      <w:r w:rsidR="00BA0548" w:rsidRPr="00C06F2E">
        <w:rPr>
          <w:lang w:val="sk-SK" w:eastAsia="en-GB"/>
        </w:rPr>
        <w:t>výskyt prekrížení</w:t>
      </w:r>
      <w:r w:rsidR="00BA0548" w:rsidRPr="00C06F2E">
        <w:rPr>
          <w:lang w:val="sk-SK"/>
        </w:rPr>
        <w:t xml:space="preserve"> </w:t>
      </w:r>
      <w:r w:rsidR="00014355" w:rsidRPr="00C06F2E">
        <w:rPr>
          <w:lang w:val="sk-SK"/>
        </w:rPr>
        <w:t>bol pozorovaný u</w:t>
      </w:r>
      <w:r w:rsidR="00BA0548" w:rsidRPr="00C06F2E">
        <w:rPr>
          <w:lang w:val="sk-SK"/>
        </w:rPr>
        <w:t> </w:t>
      </w:r>
      <w:r w:rsidR="00014355" w:rsidRPr="00C06F2E">
        <w:rPr>
          <w:lang w:val="sk-SK"/>
        </w:rPr>
        <w:t>82</w:t>
      </w:r>
      <w:r w:rsidR="00BA0548" w:rsidRPr="00C06F2E">
        <w:rPr>
          <w:lang w:val="sk-SK"/>
        </w:rPr>
        <w:t> </w:t>
      </w:r>
      <w:r w:rsidR="00014355" w:rsidRPr="00C06F2E">
        <w:rPr>
          <w:lang w:val="sk-SK"/>
        </w:rPr>
        <w:t xml:space="preserve">% pacientov v skupine s chemoterapiou, </w:t>
      </w:r>
      <w:r w:rsidR="00014355" w:rsidRPr="00C06F2E">
        <w:rPr>
          <w:lang w:val="sk-SK" w:eastAsia="en-GB"/>
        </w:rPr>
        <w:t xml:space="preserve">ktorým bola následne podávaná liečba </w:t>
      </w:r>
      <w:r w:rsidR="00014355" w:rsidRPr="00C06F2E">
        <w:rPr>
          <w:lang w:val="sk-SK"/>
        </w:rPr>
        <w:t xml:space="preserve">inhibítorom tyrozínkinázy EGFR, </w:t>
      </w:r>
      <w:r w:rsidR="00014355" w:rsidRPr="00C06F2E">
        <w:rPr>
          <w:lang w:val="sk-SK" w:eastAsia="en-GB"/>
        </w:rPr>
        <w:t>pričom všetkým pacientom s výnimkou 2 bol následne podávaný erlotinib.</w:t>
      </w:r>
    </w:p>
    <w:p w14:paraId="7D87C131" w14:textId="77777777" w:rsidR="007B2947" w:rsidRPr="00C06F2E" w:rsidRDefault="007B2947" w:rsidP="00E60C58">
      <w:pPr>
        <w:autoSpaceDE w:val="0"/>
        <w:autoSpaceDN w:val="0"/>
        <w:adjustRightInd w:val="0"/>
        <w:spacing w:after="0"/>
        <w:jc w:val="left"/>
        <w:rPr>
          <w:lang w:val="pl-PL"/>
        </w:rPr>
      </w:pPr>
    </w:p>
    <w:p w14:paraId="5C0B7993" w14:textId="58FBAEC0" w:rsidR="007B2947" w:rsidRPr="00C06F2E" w:rsidRDefault="00D80D26" w:rsidP="00E60C58">
      <w:pPr>
        <w:autoSpaceDE w:val="0"/>
        <w:autoSpaceDN w:val="0"/>
        <w:adjustRightInd w:val="0"/>
        <w:spacing w:after="0"/>
        <w:jc w:val="left"/>
        <w:rPr>
          <w:u w:val="single"/>
          <w:lang w:val="pl-PL"/>
        </w:rPr>
      </w:pPr>
      <w:r w:rsidRPr="00C06F2E">
        <w:rPr>
          <w:iCs/>
          <w:u w:val="single"/>
          <w:lang w:val="sk-SK"/>
        </w:rPr>
        <w:t>Udržiavacia liečba NSCLC po prvej línii chemoterapie</w:t>
      </w:r>
      <w:r w:rsidRPr="00C06F2E">
        <w:rPr>
          <w:i/>
          <w:iCs/>
          <w:u w:val="single"/>
          <w:lang w:val="sk-SK"/>
        </w:rPr>
        <w:t xml:space="preserve"> </w:t>
      </w:r>
      <w:r w:rsidR="007B2947" w:rsidRPr="00C06F2E">
        <w:rPr>
          <w:u w:val="single"/>
          <w:lang w:val="pl-PL"/>
        </w:rPr>
        <w:t>(</w:t>
      </w:r>
      <w:r w:rsidR="007B2947" w:rsidRPr="00C06F2E">
        <w:rPr>
          <w:u w:val="single"/>
          <w:lang w:val="pl-PL" w:eastAsia="cs-CZ"/>
        </w:rPr>
        <w:t>erlotinib</w:t>
      </w:r>
      <w:r w:rsidR="007B2947" w:rsidRPr="00C06F2E">
        <w:rPr>
          <w:u w:val="single"/>
          <w:lang w:val="pl-PL"/>
        </w:rPr>
        <w:t xml:space="preserve"> </w:t>
      </w:r>
      <w:r w:rsidRPr="00C06F2E">
        <w:rPr>
          <w:iCs/>
          <w:u w:val="single"/>
          <w:lang w:val="sk-SK"/>
        </w:rPr>
        <w:t>podávaný v monoterapii</w:t>
      </w:r>
      <w:r w:rsidR="007B2947" w:rsidRPr="00C06F2E">
        <w:rPr>
          <w:u w:val="single"/>
          <w:lang w:val="pl-PL"/>
        </w:rPr>
        <w:t>)</w:t>
      </w:r>
    </w:p>
    <w:p w14:paraId="3F43D126" w14:textId="77777777" w:rsidR="007B2947" w:rsidRPr="00C06F2E" w:rsidRDefault="007B2947" w:rsidP="00E60C58">
      <w:pPr>
        <w:autoSpaceDE w:val="0"/>
        <w:autoSpaceDN w:val="0"/>
        <w:adjustRightInd w:val="0"/>
        <w:spacing w:after="0"/>
        <w:jc w:val="left"/>
        <w:rPr>
          <w:lang w:val="pl-PL"/>
        </w:rPr>
      </w:pPr>
    </w:p>
    <w:p w14:paraId="5AD168FD" w14:textId="11495ADF" w:rsidR="007B2947" w:rsidRPr="00C06F2E" w:rsidRDefault="007432AA" w:rsidP="00E60C58">
      <w:pPr>
        <w:autoSpaceDE w:val="0"/>
        <w:autoSpaceDN w:val="0"/>
        <w:adjustRightInd w:val="0"/>
        <w:spacing w:after="0"/>
        <w:jc w:val="left"/>
        <w:rPr>
          <w:lang w:val="sk-SK"/>
        </w:rPr>
      </w:pPr>
      <w:r w:rsidRPr="00C06F2E">
        <w:rPr>
          <w:lang w:val="sk-SK"/>
        </w:rPr>
        <w:t xml:space="preserve">Účinnosť a bezpečnosť </w:t>
      </w:r>
      <w:r w:rsidRPr="00C06F2E">
        <w:rPr>
          <w:lang w:val="pl-PL" w:eastAsia="cs-CZ"/>
        </w:rPr>
        <w:t>erlotinibu</w:t>
      </w:r>
      <w:r w:rsidRPr="00C06F2E">
        <w:rPr>
          <w:lang w:val="pl-PL"/>
        </w:rPr>
        <w:t xml:space="preserve"> </w:t>
      </w:r>
      <w:r w:rsidRPr="00C06F2E">
        <w:rPr>
          <w:lang w:val="sk-SK"/>
        </w:rPr>
        <w:t>ako udržiavacej liečby po prvej línii chemoterapie pri NSCLC boli skúmané v</w:t>
      </w:r>
      <w:r w:rsidR="00792B57" w:rsidRPr="00C06F2E">
        <w:rPr>
          <w:lang w:val="sk-SK"/>
        </w:rPr>
        <w:t> </w:t>
      </w:r>
      <w:r w:rsidRPr="00C06F2E">
        <w:rPr>
          <w:lang w:val="sk-SK"/>
        </w:rPr>
        <w:t>randomizovanej, dvojito zaslepenej, placebom kontrolovanej klinickej štúdii (BO18192, SATURN). Táto štúdia sa uskutočnila s účasťou 889</w:t>
      </w:r>
      <w:r w:rsidR="00792B57" w:rsidRPr="00C06F2E">
        <w:rPr>
          <w:lang w:val="sk-SK"/>
        </w:rPr>
        <w:t> </w:t>
      </w:r>
      <w:r w:rsidRPr="00C06F2E">
        <w:rPr>
          <w:lang w:val="sk-SK"/>
        </w:rPr>
        <w:t>pacientov s</w:t>
      </w:r>
      <w:r w:rsidR="00792B57" w:rsidRPr="00C06F2E">
        <w:rPr>
          <w:lang w:val="sk-SK"/>
        </w:rPr>
        <w:t> </w:t>
      </w:r>
      <w:r w:rsidRPr="00C06F2E">
        <w:rPr>
          <w:lang w:val="sk-SK"/>
        </w:rPr>
        <w:t>lokálne pokročilým alebo metastatickým NSCLC, u</w:t>
      </w:r>
      <w:r w:rsidR="00792B57" w:rsidRPr="00C06F2E">
        <w:rPr>
          <w:lang w:val="sk-SK"/>
        </w:rPr>
        <w:t> </w:t>
      </w:r>
      <w:r w:rsidRPr="00C06F2E">
        <w:rPr>
          <w:lang w:val="sk-SK"/>
        </w:rPr>
        <w:t>ktorých sa nezaznamenala progresia po 4</w:t>
      </w:r>
      <w:r w:rsidR="00792B57" w:rsidRPr="00C06F2E">
        <w:rPr>
          <w:lang w:val="sk-SK"/>
        </w:rPr>
        <w:t> </w:t>
      </w:r>
      <w:r w:rsidRPr="00C06F2E">
        <w:rPr>
          <w:lang w:val="sk-SK"/>
        </w:rPr>
        <w:t xml:space="preserve">cykloch dvojkombinácie chemoterapie </w:t>
      </w:r>
      <w:r w:rsidR="00CD016D">
        <w:rPr>
          <w:lang w:val="sk-SK"/>
        </w:rPr>
        <w:t>na báze</w:t>
      </w:r>
      <w:r w:rsidR="00792B57" w:rsidRPr="00C06F2E">
        <w:rPr>
          <w:lang w:val="sk-SK"/>
        </w:rPr>
        <w:t> </w:t>
      </w:r>
      <w:r w:rsidRPr="00C06F2E">
        <w:rPr>
          <w:lang w:val="sk-SK"/>
        </w:rPr>
        <w:t>platin</w:t>
      </w:r>
      <w:r w:rsidR="00CD016D">
        <w:rPr>
          <w:lang w:val="sk-SK"/>
        </w:rPr>
        <w:t>y</w:t>
      </w:r>
      <w:r w:rsidRPr="00C06F2E">
        <w:rPr>
          <w:lang w:val="sk-SK"/>
        </w:rPr>
        <w:t>. Pacienti boli randomizovaní v</w:t>
      </w:r>
      <w:r w:rsidR="00792B57" w:rsidRPr="00C06F2E">
        <w:rPr>
          <w:lang w:val="sk-SK"/>
        </w:rPr>
        <w:t> </w:t>
      </w:r>
      <w:r w:rsidRPr="00C06F2E">
        <w:rPr>
          <w:lang w:val="sk-SK"/>
        </w:rPr>
        <w:t xml:space="preserve">pomere 1:1 do skupiny, v ktorej sa perorálne </w:t>
      </w:r>
      <w:r w:rsidR="00CD016D">
        <w:rPr>
          <w:lang w:val="sk-SK"/>
        </w:rPr>
        <w:t xml:space="preserve">raz denne </w:t>
      </w:r>
      <w:r w:rsidRPr="00C06F2E">
        <w:rPr>
          <w:lang w:val="sk-SK"/>
        </w:rPr>
        <w:t xml:space="preserve">podával </w:t>
      </w:r>
      <w:r w:rsidRPr="00C06F2E">
        <w:rPr>
          <w:lang w:val="sk-SK" w:eastAsia="cs-CZ"/>
        </w:rPr>
        <w:t>erlotinib</w:t>
      </w:r>
      <w:r w:rsidRPr="00C06F2E">
        <w:rPr>
          <w:lang w:val="sk-SK"/>
        </w:rPr>
        <w:t xml:space="preserve"> v dávke 150</w:t>
      </w:r>
      <w:r w:rsidR="00792B57" w:rsidRPr="00C06F2E">
        <w:rPr>
          <w:lang w:val="sk-SK"/>
        </w:rPr>
        <w:t> </w:t>
      </w:r>
      <w:r w:rsidRPr="00C06F2E">
        <w:rPr>
          <w:lang w:val="sk-SK"/>
        </w:rPr>
        <w:t>mg alebo placebo až do progresie ochorenia. Primárn</w:t>
      </w:r>
      <w:r w:rsidR="003253E7">
        <w:rPr>
          <w:lang w:val="sk-SK"/>
        </w:rPr>
        <w:t>ym</w:t>
      </w:r>
      <w:r w:rsidRPr="00C06F2E">
        <w:rPr>
          <w:lang w:val="sk-SK"/>
        </w:rPr>
        <w:t xml:space="preserve"> koncov</w:t>
      </w:r>
      <w:r w:rsidR="003253E7">
        <w:rPr>
          <w:lang w:val="sk-SK"/>
        </w:rPr>
        <w:t>ým</w:t>
      </w:r>
      <w:r w:rsidRPr="00C06F2E">
        <w:rPr>
          <w:lang w:val="sk-SK"/>
        </w:rPr>
        <w:t xml:space="preserve"> ukazovate</w:t>
      </w:r>
      <w:r w:rsidR="003253E7">
        <w:rPr>
          <w:lang w:val="sk-SK"/>
        </w:rPr>
        <w:t>ľom</w:t>
      </w:r>
      <w:r w:rsidRPr="00C06F2E">
        <w:rPr>
          <w:lang w:val="sk-SK"/>
        </w:rPr>
        <w:t xml:space="preserve"> štúdie </w:t>
      </w:r>
      <w:r w:rsidR="003253E7">
        <w:rPr>
          <w:lang w:val="sk-SK"/>
        </w:rPr>
        <w:t>bolo</w:t>
      </w:r>
      <w:r w:rsidRPr="00C06F2E">
        <w:rPr>
          <w:lang w:val="sk-SK"/>
        </w:rPr>
        <w:t xml:space="preserve"> u</w:t>
      </w:r>
      <w:r w:rsidR="00792B57" w:rsidRPr="00C06F2E">
        <w:rPr>
          <w:lang w:val="sk-SK"/>
        </w:rPr>
        <w:t> </w:t>
      </w:r>
      <w:r w:rsidRPr="00C06F2E">
        <w:rPr>
          <w:lang w:val="sk-SK"/>
        </w:rPr>
        <w:t>všetkých pacientov prežívani</w:t>
      </w:r>
      <w:r w:rsidR="003253E7">
        <w:rPr>
          <w:lang w:val="sk-SK"/>
        </w:rPr>
        <w:t>e</w:t>
      </w:r>
      <w:r w:rsidRPr="00C06F2E">
        <w:rPr>
          <w:lang w:val="sk-SK"/>
        </w:rPr>
        <w:t xml:space="preserve"> bez progresie </w:t>
      </w:r>
      <w:r w:rsidRPr="00C06F2E">
        <w:rPr>
          <w:lang w:val="sk-SK"/>
        </w:rPr>
        <w:lastRenderedPageBreak/>
        <w:t>ochorenia (PFS). Medzi týmito dvoma liečebnými skupinami boli dobre vyvážené východiskové demografické ukazovatele a charakteristiky choroby. Do danej štúdie neboli zaradení pacienti s ECOG PS &gt; 1, významnými pečeňovými alebo obličkovými komorbiditami.</w:t>
      </w:r>
    </w:p>
    <w:p w14:paraId="1DF11122" w14:textId="77777777" w:rsidR="007432AA" w:rsidRPr="00C06F2E" w:rsidRDefault="007432AA" w:rsidP="00E60C58">
      <w:pPr>
        <w:autoSpaceDE w:val="0"/>
        <w:autoSpaceDN w:val="0"/>
        <w:adjustRightInd w:val="0"/>
        <w:spacing w:after="0"/>
        <w:jc w:val="left"/>
        <w:rPr>
          <w:i/>
          <w:lang w:val="sk-SK"/>
        </w:rPr>
      </w:pPr>
    </w:p>
    <w:p w14:paraId="61790EC3" w14:textId="23BF4314" w:rsidR="007B2947" w:rsidRPr="00C06F2E" w:rsidRDefault="001D133E" w:rsidP="00E60C58">
      <w:pPr>
        <w:autoSpaceDE w:val="0"/>
        <w:autoSpaceDN w:val="0"/>
        <w:adjustRightInd w:val="0"/>
        <w:spacing w:after="0"/>
        <w:jc w:val="left"/>
        <w:rPr>
          <w:lang w:val="sk-SK" w:eastAsia="cs-CZ"/>
        </w:rPr>
      </w:pPr>
      <w:r w:rsidRPr="00C06F2E">
        <w:rPr>
          <w:lang w:val="sk-SK" w:eastAsia="cs-CZ"/>
        </w:rPr>
        <w:t>V tejto štúdii sa v celkovej populácii preukázal prínos z hľadiska primárneho cieľového ukazovateľa, ktorým bolo PFS (HR = 0,71, p &lt; 0,0001) a z hľadiska sekundárneho cieľového ukazovateľa, ktorým bolo OS (HR = 0,81, p = 0,0088). Napriek tomu bol najväčší prínos pozorovaný v</w:t>
      </w:r>
      <w:r w:rsidR="00792B57" w:rsidRPr="00C06F2E">
        <w:rPr>
          <w:lang w:val="sk-SK" w:eastAsia="cs-CZ"/>
        </w:rPr>
        <w:t> </w:t>
      </w:r>
      <w:r w:rsidRPr="00C06F2E">
        <w:rPr>
          <w:lang w:val="sk-SK" w:eastAsia="cs-CZ"/>
        </w:rPr>
        <w:t>preddefinovaných exploratívnych analýzach u</w:t>
      </w:r>
      <w:r w:rsidR="00792B57" w:rsidRPr="00C06F2E">
        <w:rPr>
          <w:lang w:val="sk-SK" w:eastAsia="cs-CZ"/>
        </w:rPr>
        <w:t> </w:t>
      </w:r>
      <w:r w:rsidRPr="00C06F2E">
        <w:rPr>
          <w:lang w:val="sk-SK" w:eastAsia="cs-CZ"/>
        </w:rPr>
        <w:t>pacientov s</w:t>
      </w:r>
      <w:r w:rsidR="00792B57" w:rsidRPr="00C06F2E">
        <w:rPr>
          <w:lang w:val="sk-SK" w:eastAsia="cs-CZ"/>
        </w:rPr>
        <w:t> </w:t>
      </w:r>
      <w:r w:rsidRPr="00C06F2E">
        <w:rPr>
          <w:lang w:val="sk-SK" w:eastAsia="cs-CZ"/>
        </w:rPr>
        <w:t>aktiv</w:t>
      </w:r>
      <w:r w:rsidR="00FB7B7A">
        <w:rPr>
          <w:lang w:val="sk-SK" w:eastAsia="cs-CZ"/>
        </w:rPr>
        <w:t>ujúcimi</w:t>
      </w:r>
      <w:r w:rsidRPr="00C06F2E">
        <w:rPr>
          <w:lang w:val="sk-SK" w:eastAsia="cs-CZ"/>
        </w:rPr>
        <w:t xml:space="preserve"> mutáciami EGFR (n=49), kde sa preukázal podstatný prínos PFS (HR=0,10; 95</w:t>
      </w:r>
      <w:r w:rsidR="00792B57" w:rsidRPr="00C06F2E">
        <w:rPr>
          <w:lang w:val="sk-SK" w:eastAsia="cs-CZ"/>
        </w:rPr>
        <w:t> </w:t>
      </w:r>
      <w:r w:rsidRPr="00C06F2E">
        <w:rPr>
          <w:lang w:val="sk-SK" w:eastAsia="cs-CZ"/>
        </w:rPr>
        <w:t>% IS; 0,04 až 0,25; p&lt;0,0001) a pomer rizika (HR) celkového prežívania 0,83 (95</w:t>
      </w:r>
      <w:r w:rsidR="00792B57" w:rsidRPr="00C06F2E">
        <w:rPr>
          <w:lang w:val="sk-SK" w:eastAsia="cs-CZ"/>
        </w:rPr>
        <w:t> </w:t>
      </w:r>
      <w:r w:rsidRPr="00C06F2E">
        <w:rPr>
          <w:lang w:val="sk-SK" w:eastAsia="cs-CZ"/>
        </w:rPr>
        <w:t>% IS; 0,34 až 2,02). 67</w:t>
      </w:r>
      <w:r w:rsidR="00792B57" w:rsidRPr="00C06F2E">
        <w:rPr>
          <w:lang w:val="sk-SK" w:eastAsia="cs-CZ"/>
        </w:rPr>
        <w:t> </w:t>
      </w:r>
      <w:r w:rsidRPr="00C06F2E">
        <w:rPr>
          <w:lang w:val="sk-SK" w:eastAsia="cs-CZ"/>
        </w:rPr>
        <w:t xml:space="preserve">% pacientov </w:t>
      </w:r>
      <w:r w:rsidR="003253E7">
        <w:rPr>
          <w:lang w:val="sk-SK" w:eastAsia="cs-CZ"/>
        </w:rPr>
        <w:t>užívajúcich</w:t>
      </w:r>
      <w:r w:rsidR="00792B57" w:rsidRPr="00C06F2E">
        <w:rPr>
          <w:lang w:val="sk-SK" w:eastAsia="cs-CZ"/>
        </w:rPr>
        <w:t> </w:t>
      </w:r>
      <w:r w:rsidRPr="00C06F2E">
        <w:rPr>
          <w:lang w:val="sk-SK" w:eastAsia="cs-CZ"/>
        </w:rPr>
        <w:t>placebo v</w:t>
      </w:r>
      <w:r w:rsidR="00792B57" w:rsidRPr="00C06F2E">
        <w:rPr>
          <w:lang w:val="sk-SK" w:eastAsia="cs-CZ"/>
        </w:rPr>
        <w:t> </w:t>
      </w:r>
      <w:r w:rsidRPr="00C06F2E">
        <w:rPr>
          <w:lang w:val="sk-SK" w:eastAsia="cs-CZ"/>
        </w:rPr>
        <w:t>podskupine s</w:t>
      </w:r>
      <w:r w:rsidR="00792B57" w:rsidRPr="00C06F2E">
        <w:rPr>
          <w:lang w:val="sk-SK" w:eastAsia="cs-CZ"/>
        </w:rPr>
        <w:t> </w:t>
      </w:r>
      <w:r w:rsidR="003253E7">
        <w:rPr>
          <w:lang w:val="sk-SK" w:eastAsia="cs-CZ"/>
        </w:rPr>
        <w:t>prítomnými</w:t>
      </w:r>
      <w:r w:rsidRPr="00C06F2E">
        <w:rPr>
          <w:lang w:val="sk-SK" w:eastAsia="cs-CZ"/>
        </w:rPr>
        <w:t xml:space="preserve"> mutáciami EGFR dostalo druhú alebo ďalšiu líniu liečby s EGFR-TKI.</w:t>
      </w:r>
    </w:p>
    <w:p w14:paraId="21E28E9D" w14:textId="77777777" w:rsidR="001D133E" w:rsidRPr="00C06F2E" w:rsidRDefault="001D133E" w:rsidP="00E60C58">
      <w:pPr>
        <w:autoSpaceDE w:val="0"/>
        <w:autoSpaceDN w:val="0"/>
        <w:adjustRightInd w:val="0"/>
        <w:spacing w:after="0"/>
        <w:jc w:val="left"/>
        <w:rPr>
          <w:lang w:val="sk-SK" w:eastAsia="cs-CZ"/>
        </w:rPr>
      </w:pPr>
    </w:p>
    <w:p w14:paraId="6D2C4331" w14:textId="7B7D09D0" w:rsidR="00E218F7" w:rsidRPr="00C06F2E" w:rsidRDefault="00E218F7" w:rsidP="00E60C58">
      <w:pPr>
        <w:pStyle w:val="Bodytext20"/>
        <w:shd w:val="clear" w:color="auto" w:fill="auto"/>
        <w:spacing w:before="0" w:after="0" w:line="254" w:lineRule="exact"/>
        <w:jc w:val="left"/>
        <w:rPr>
          <w:lang w:val="sk-SK"/>
        </w:rPr>
      </w:pPr>
      <w:r w:rsidRPr="00C06F2E">
        <w:rPr>
          <w:lang w:val="sk-SK"/>
        </w:rPr>
        <w:t>Štúdia BO25460 (IUNO) sa uskutočnila u</w:t>
      </w:r>
      <w:r w:rsidR="00792B57" w:rsidRPr="00C06F2E">
        <w:rPr>
          <w:lang w:val="sk-SK"/>
        </w:rPr>
        <w:t> </w:t>
      </w:r>
      <w:r w:rsidRPr="00C06F2E">
        <w:rPr>
          <w:lang w:val="sk-SK"/>
        </w:rPr>
        <w:t>643</w:t>
      </w:r>
      <w:r w:rsidR="00792B57" w:rsidRPr="00C06F2E">
        <w:rPr>
          <w:lang w:val="sk-SK"/>
        </w:rPr>
        <w:t> </w:t>
      </w:r>
      <w:r w:rsidRPr="00C06F2E">
        <w:rPr>
          <w:lang w:val="sk-SK"/>
        </w:rPr>
        <w:t>pacientov s</w:t>
      </w:r>
      <w:r w:rsidR="00792B57" w:rsidRPr="00C06F2E">
        <w:rPr>
          <w:lang w:val="sk-SK"/>
        </w:rPr>
        <w:t> </w:t>
      </w:r>
      <w:r w:rsidRPr="00C06F2E">
        <w:rPr>
          <w:lang w:val="sk-SK"/>
        </w:rPr>
        <w:t>pokročilým NSCL, ktorých tumor neobsahoval aktiv</w:t>
      </w:r>
      <w:r w:rsidR="00FB7B7A">
        <w:rPr>
          <w:lang w:val="sk-SK"/>
        </w:rPr>
        <w:t>ujúcu</w:t>
      </w:r>
      <w:r w:rsidRPr="00C06F2E">
        <w:rPr>
          <w:lang w:val="sk-SK"/>
        </w:rPr>
        <w:t xml:space="preserve"> mutáciu EGFR (delécia exónu 19 alebo mutácia L858R na exóne 21), a u ktorých nenastala progresia ochorenia po 4</w:t>
      </w:r>
      <w:r w:rsidR="00792B57" w:rsidRPr="00C06F2E">
        <w:rPr>
          <w:lang w:val="sk-SK"/>
        </w:rPr>
        <w:t> </w:t>
      </w:r>
      <w:r w:rsidRPr="00C06F2E">
        <w:rPr>
          <w:lang w:val="sk-SK"/>
        </w:rPr>
        <w:t>cykloch chemoterapie na báze platiny.</w:t>
      </w:r>
    </w:p>
    <w:p w14:paraId="4AFE81FD" w14:textId="77777777" w:rsidR="003253E7" w:rsidRDefault="003253E7" w:rsidP="00E60C58">
      <w:pPr>
        <w:pStyle w:val="Bodytext20"/>
        <w:shd w:val="clear" w:color="auto" w:fill="auto"/>
        <w:spacing w:before="0" w:after="0" w:line="250" w:lineRule="exact"/>
        <w:jc w:val="left"/>
        <w:rPr>
          <w:lang w:val="sk-SK"/>
        </w:rPr>
      </w:pPr>
    </w:p>
    <w:p w14:paraId="239A8E2F" w14:textId="62240C62" w:rsidR="00E218F7" w:rsidRPr="00C06F2E" w:rsidRDefault="00E218F7" w:rsidP="00E60C58">
      <w:pPr>
        <w:pStyle w:val="Bodytext20"/>
        <w:shd w:val="clear" w:color="auto" w:fill="auto"/>
        <w:spacing w:before="0" w:after="0" w:line="250" w:lineRule="exact"/>
        <w:jc w:val="left"/>
        <w:rPr>
          <w:lang w:val="sk-SK"/>
        </w:rPr>
      </w:pPr>
      <w:r w:rsidRPr="00C06F2E">
        <w:rPr>
          <w:lang w:val="sk-SK"/>
        </w:rPr>
        <w:t>Cieľom štúdie bolo porovnať celkové prežívanie v</w:t>
      </w:r>
      <w:r w:rsidR="00792B57" w:rsidRPr="00C06F2E">
        <w:rPr>
          <w:lang w:val="sk-SK"/>
        </w:rPr>
        <w:t> </w:t>
      </w:r>
      <w:r w:rsidRPr="00C06F2E">
        <w:rPr>
          <w:lang w:val="sk-SK"/>
        </w:rPr>
        <w:t>prvej línii udržiavacej liečby s</w:t>
      </w:r>
      <w:r w:rsidR="00792B57" w:rsidRPr="00C06F2E">
        <w:rPr>
          <w:lang w:val="sk-SK"/>
        </w:rPr>
        <w:t> </w:t>
      </w:r>
      <w:r w:rsidRPr="00C06F2E">
        <w:rPr>
          <w:lang w:val="sk-SK"/>
        </w:rPr>
        <w:t>erlotinibom voči erlotinibu podávanému v</w:t>
      </w:r>
      <w:r w:rsidR="00792B57" w:rsidRPr="00C06F2E">
        <w:rPr>
          <w:lang w:val="sk-SK"/>
        </w:rPr>
        <w:t> </w:t>
      </w:r>
      <w:r w:rsidRPr="00C06F2E">
        <w:rPr>
          <w:lang w:val="sk-SK"/>
        </w:rPr>
        <w:t xml:space="preserve">čase progresie ochorenia. Štúdia nedosiahla svoj primárny </w:t>
      </w:r>
      <w:r w:rsidR="00131E4A">
        <w:rPr>
          <w:lang w:val="sk-SK"/>
        </w:rPr>
        <w:t>koncový ukazovateľ</w:t>
      </w:r>
      <w:r w:rsidRPr="00C06F2E">
        <w:rPr>
          <w:lang w:val="sk-SK"/>
        </w:rPr>
        <w:t xml:space="preserve">. OS pri </w:t>
      </w:r>
      <w:r w:rsidR="00ED0D48" w:rsidRPr="00C06F2E">
        <w:rPr>
          <w:lang w:val="sk-SK"/>
        </w:rPr>
        <w:t xml:space="preserve">erlotinibe </w:t>
      </w:r>
      <w:r w:rsidRPr="00C06F2E">
        <w:rPr>
          <w:lang w:val="sk-SK"/>
        </w:rPr>
        <w:t>v</w:t>
      </w:r>
      <w:r w:rsidR="00792B57" w:rsidRPr="00C06F2E">
        <w:rPr>
          <w:lang w:val="sk-SK"/>
        </w:rPr>
        <w:t> </w:t>
      </w:r>
      <w:r w:rsidRPr="00C06F2E">
        <w:rPr>
          <w:lang w:val="sk-SK"/>
        </w:rPr>
        <w:t xml:space="preserve">prvej línii udržiavacej liečby nebolo vyššie ako pri </w:t>
      </w:r>
      <w:r w:rsidR="00ED0D48" w:rsidRPr="00C06F2E">
        <w:rPr>
          <w:lang w:val="sk-SK"/>
        </w:rPr>
        <w:t xml:space="preserve">erlotinibe </w:t>
      </w:r>
      <w:r w:rsidRPr="00C06F2E">
        <w:rPr>
          <w:lang w:val="sk-SK"/>
        </w:rPr>
        <w:t>v</w:t>
      </w:r>
      <w:r w:rsidR="00792B57" w:rsidRPr="00C06F2E">
        <w:rPr>
          <w:lang w:val="sk-SK"/>
        </w:rPr>
        <w:t> </w:t>
      </w:r>
      <w:r w:rsidRPr="00C06F2E">
        <w:rPr>
          <w:lang w:val="sk-SK"/>
        </w:rPr>
        <w:t>druhej línii liečby u</w:t>
      </w:r>
      <w:r w:rsidR="00792B57" w:rsidRPr="00C06F2E">
        <w:rPr>
          <w:lang w:val="sk-SK"/>
        </w:rPr>
        <w:t> </w:t>
      </w:r>
      <w:r w:rsidRPr="00C06F2E">
        <w:rPr>
          <w:lang w:val="sk-SK"/>
        </w:rPr>
        <w:t>pacientov, ktorých tumor bol bez mutácií aktiv</w:t>
      </w:r>
      <w:r w:rsidR="00FB7B7A">
        <w:rPr>
          <w:lang w:val="sk-SK"/>
        </w:rPr>
        <w:t>ujúcich</w:t>
      </w:r>
      <w:r w:rsidRPr="00C06F2E">
        <w:rPr>
          <w:lang w:val="sk-SK"/>
        </w:rPr>
        <w:t xml:space="preserve"> EGFR (HR= 1,02; 95</w:t>
      </w:r>
      <w:r w:rsidR="00792B57" w:rsidRPr="00C06F2E">
        <w:rPr>
          <w:lang w:val="sk-SK"/>
        </w:rPr>
        <w:t> </w:t>
      </w:r>
      <w:r w:rsidRPr="00C06F2E">
        <w:rPr>
          <w:lang w:val="sk-SK"/>
        </w:rPr>
        <w:t xml:space="preserve">% IS; 0.85 až 1.22; p=0,82). Sekundárny </w:t>
      </w:r>
      <w:r w:rsidR="00131E4A">
        <w:rPr>
          <w:lang w:val="sk-SK"/>
        </w:rPr>
        <w:t>koncový ukazovateľ</w:t>
      </w:r>
      <w:r w:rsidRPr="00C06F2E">
        <w:rPr>
          <w:lang w:val="sk-SK"/>
        </w:rPr>
        <w:t xml:space="preserve"> PFS nepreukázal rozdiel medzi </w:t>
      </w:r>
      <w:r w:rsidR="00ED0D48" w:rsidRPr="00C06F2E">
        <w:rPr>
          <w:lang w:val="sk-SK"/>
        </w:rPr>
        <w:t xml:space="preserve">erlotinibom </w:t>
      </w:r>
      <w:r w:rsidRPr="00C06F2E">
        <w:rPr>
          <w:lang w:val="sk-SK"/>
        </w:rPr>
        <w:t>a placebom v</w:t>
      </w:r>
      <w:r w:rsidR="00792B57" w:rsidRPr="00C06F2E">
        <w:rPr>
          <w:lang w:val="sk-SK"/>
        </w:rPr>
        <w:t> </w:t>
      </w:r>
      <w:r w:rsidRPr="00C06F2E">
        <w:rPr>
          <w:lang w:val="sk-SK"/>
        </w:rPr>
        <w:t>udržiavacej liečbe (HR=0,94; 95</w:t>
      </w:r>
      <w:r w:rsidR="00792B57" w:rsidRPr="00C06F2E">
        <w:rPr>
          <w:lang w:val="sk-SK"/>
        </w:rPr>
        <w:t> </w:t>
      </w:r>
      <w:r w:rsidRPr="00C06F2E">
        <w:rPr>
          <w:lang w:val="sk-SK"/>
        </w:rPr>
        <w:t>% IS; 0,80 až 1,11; p=0,48).</w:t>
      </w:r>
    </w:p>
    <w:p w14:paraId="7CC4BC87" w14:textId="77777777" w:rsidR="00131E4A" w:rsidRDefault="00131E4A" w:rsidP="00E60C58">
      <w:pPr>
        <w:autoSpaceDE w:val="0"/>
        <w:autoSpaceDN w:val="0"/>
        <w:adjustRightInd w:val="0"/>
        <w:spacing w:after="0"/>
        <w:jc w:val="left"/>
        <w:rPr>
          <w:lang w:val="sk-SK"/>
        </w:rPr>
      </w:pPr>
    </w:p>
    <w:p w14:paraId="043A70A0" w14:textId="1BFBF614" w:rsidR="007B2947" w:rsidRPr="00C06F2E" w:rsidRDefault="00ED0D48" w:rsidP="00E60C58">
      <w:pPr>
        <w:autoSpaceDE w:val="0"/>
        <w:autoSpaceDN w:val="0"/>
        <w:adjustRightInd w:val="0"/>
        <w:spacing w:after="0"/>
        <w:jc w:val="left"/>
        <w:rPr>
          <w:lang w:val="sk-SK"/>
        </w:rPr>
      </w:pPr>
      <w:r w:rsidRPr="00C06F2E">
        <w:rPr>
          <w:lang w:val="sk-SK"/>
        </w:rPr>
        <w:t>Na základe údajov zo štúdie BO25460 (IUNO) sa použitie erlotinibu neodporúča v prvej línii udržiavacej liečby u pacientov bez aktiv</w:t>
      </w:r>
      <w:r w:rsidR="00FB7B7A">
        <w:rPr>
          <w:lang w:val="sk-SK"/>
        </w:rPr>
        <w:t>ujúcich</w:t>
      </w:r>
      <w:r w:rsidRPr="00C06F2E">
        <w:rPr>
          <w:lang w:val="sk-SK"/>
        </w:rPr>
        <w:t xml:space="preserve"> mutácií EGFR.</w:t>
      </w:r>
    </w:p>
    <w:p w14:paraId="1CB1A9F0" w14:textId="77777777" w:rsidR="00ED0D48" w:rsidRPr="00C06F2E" w:rsidRDefault="00ED0D48" w:rsidP="00E60C58">
      <w:pPr>
        <w:autoSpaceDE w:val="0"/>
        <w:autoSpaceDN w:val="0"/>
        <w:adjustRightInd w:val="0"/>
        <w:spacing w:after="0"/>
        <w:jc w:val="left"/>
        <w:rPr>
          <w:lang w:val="sk-SK"/>
        </w:rPr>
      </w:pPr>
    </w:p>
    <w:p w14:paraId="50FF5FFF" w14:textId="742C5A48" w:rsidR="007B2947" w:rsidRPr="00C06F2E" w:rsidRDefault="00ED0D48" w:rsidP="00E60C58">
      <w:pPr>
        <w:autoSpaceDE w:val="0"/>
        <w:autoSpaceDN w:val="0"/>
        <w:adjustRightInd w:val="0"/>
        <w:spacing w:after="0"/>
        <w:jc w:val="left"/>
        <w:rPr>
          <w:u w:val="single"/>
          <w:lang w:val="sk-SK"/>
        </w:rPr>
      </w:pPr>
      <w:r w:rsidRPr="00C06F2E">
        <w:rPr>
          <w:iCs/>
          <w:u w:val="single"/>
          <w:lang w:val="sk-SK"/>
        </w:rPr>
        <w:t>Liečba NSCLC po zlyhaní najmenej jedného režimu chemoterapie</w:t>
      </w:r>
      <w:r w:rsidR="007B2947" w:rsidRPr="00C06F2E">
        <w:rPr>
          <w:u w:val="single"/>
          <w:lang w:val="sk-SK"/>
        </w:rPr>
        <w:t xml:space="preserve"> (</w:t>
      </w:r>
      <w:r w:rsidR="007B2947" w:rsidRPr="00C06F2E">
        <w:rPr>
          <w:u w:val="single"/>
          <w:lang w:val="sk-SK" w:eastAsia="cs-CZ"/>
        </w:rPr>
        <w:t>erlotinib</w:t>
      </w:r>
      <w:r w:rsidR="007B2947" w:rsidRPr="00C06F2E">
        <w:rPr>
          <w:u w:val="single"/>
          <w:lang w:val="sk-SK"/>
        </w:rPr>
        <w:t xml:space="preserve"> </w:t>
      </w:r>
      <w:r w:rsidRPr="00C06F2E">
        <w:rPr>
          <w:u w:val="single"/>
          <w:lang w:val="sk-SK"/>
        </w:rPr>
        <w:t>podávaný v monoterapii)</w:t>
      </w:r>
    </w:p>
    <w:p w14:paraId="7012AA7A" w14:textId="77777777" w:rsidR="007B2947" w:rsidRPr="00C06F2E" w:rsidRDefault="007B2947" w:rsidP="00E60C58">
      <w:pPr>
        <w:autoSpaceDE w:val="0"/>
        <w:autoSpaceDN w:val="0"/>
        <w:adjustRightInd w:val="0"/>
        <w:spacing w:after="0"/>
        <w:jc w:val="left"/>
        <w:rPr>
          <w:lang w:val="sk-SK" w:eastAsia="cs-CZ"/>
        </w:rPr>
      </w:pPr>
    </w:p>
    <w:p w14:paraId="64908220" w14:textId="4769D62F" w:rsidR="00ED0D48" w:rsidRPr="00C06F2E" w:rsidRDefault="00ED0D48" w:rsidP="00E60C58">
      <w:pPr>
        <w:autoSpaceDE w:val="0"/>
        <w:autoSpaceDN w:val="0"/>
        <w:adjustRightInd w:val="0"/>
        <w:spacing w:after="0"/>
        <w:jc w:val="left"/>
        <w:rPr>
          <w:lang w:val="sk-SK"/>
        </w:rPr>
      </w:pPr>
      <w:r w:rsidRPr="00C06F2E">
        <w:rPr>
          <w:lang w:val="sk-SK"/>
        </w:rPr>
        <w:t xml:space="preserve">Účinnosť a bezpečnosť </w:t>
      </w:r>
      <w:r w:rsidRPr="00C06F2E">
        <w:rPr>
          <w:lang w:val="sk-SK" w:eastAsia="cs-CZ"/>
        </w:rPr>
        <w:t>erlotinibu</w:t>
      </w:r>
      <w:r w:rsidRPr="00C06F2E">
        <w:rPr>
          <w:lang w:val="sk-SK"/>
        </w:rPr>
        <w:t xml:space="preserve"> v</w:t>
      </w:r>
      <w:r w:rsidR="00792B57" w:rsidRPr="00C06F2E">
        <w:rPr>
          <w:lang w:val="sk-SK"/>
        </w:rPr>
        <w:t> </w:t>
      </w:r>
      <w:r w:rsidRPr="00C06F2E">
        <w:rPr>
          <w:lang w:val="sk-SK"/>
        </w:rPr>
        <w:t>druhej/tretej línii liečby bola preukázaná v</w:t>
      </w:r>
      <w:r w:rsidR="00792B57" w:rsidRPr="00C06F2E">
        <w:rPr>
          <w:lang w:val="sk-SK"/>
        </w:rPr>
        <w:t> </w:t>
      </w:r>
      <w:r w:rsidRPr="00C06F2E">
        <w:rPr>
          <w:lang w:val="sk-SK"/>
        </w:rPr>
        <w:t>randomizovanej, dvojito zaslepenej, placebom kontrolovanej štúdii (BR.21) u</w:t>
      </w:r>
      <w:r w:rsidR="00792B57" w:rsidRPr="00C06F2E">
        <w:rPr>
          <w:lang w:val="sk-SK"/>
        </w:rPr>
        <w:t> </w:t>
      </w:r>
      <w:r w:rsidRPr="00C06F2E">
        <w:rPr>
          <w:lang w:val="sk-SK"/>
        </w:rPr>
        <w:t>731</w:t>
      </w:r>
      <w:r w:rsidR="00792B57" w:rsidRPr="00C06F2E">
        <w:rPr>
          <w:lang w:val="sk-SK"/>
        </w:rPr>
        <w:t> pacientov s </w:t>
      </w:r>
      <w:r w:rsidRPr="00C06F2E">
        <w:rPr>
          <w:lang w:val="sk-SK"/>
        </w:rPr>
        <w:t>lokálne pokročilým alebo metastatickým nemalobunkovým karcinómom pľúc po zlyhaní aspoň jedného režimu chemoterapie. Pacienti boli randomizovaní v</w:t>
      </w:r>
      <w:r w:rsidR="00792B57" w:rsidRPr="00C06F2E">
        <w:rPr>
          <w:lang w:val="sk-SK"/>
        </w:rPr>
        <w:t> </w:t>
      </w:r>
      <w:r w:rsidRPr="00C06F2E">
        <w:rPr>
          <w:lang w:val="sk-SK"/>
        </w:rPr>
        <w:t>pomere 2:1 do skupiny, v</w:t>
      </w:r>
      <w:r w:rsidR="00792B57" w:rsidRPr="00C06F2E">
        <w:rPr>
          <w:lang w:val="sk-SK"/>
        </w:rPr>
        <w:t> </w:t>
      </w:r>
      <w:r w:rsidRPr="00C06F2E">
        <w:rPr>
          <w:lang w:val="sk-SK"/>
        </w:rPr>
        <w:t>ktorej sa perorálne podával erlotinib v</w:t>
      </w:r>
      <w:r w:rsidR="00792B57" w:rsidRPr="00C06F2E">
        <w:rPr>
          <w:lang w:val="sk-SK"/>
        </w:rPr>
        <w:t> </w:t>
      </w:r>
      <w:r w:rsidRPr="00C06F2E">
        <w:rPr>
          <w:lang w:val="sk-SK"/>
        </w:rPr>
        <w:t>dávke 150</w:t>
      </w:r>
      <w:r w:rsidR="00792B57" w:rsidRPr="00C06F2E">
        <w:rPr>
          <w:lang w:val="sk-SK"/>
        </w:rPr>
        <w:t> </w:t>
      </w:r>
      <w:r w:rsidRPr="00C06F2E">
        <w:rPr>
          <w:lang w:val="sk-SK"/>
        </w:rPr>
        <w:t>mg raz denne a do skupiny, v</w:t>
      </w:r>
      <w:r w:rsidR="00792B57" w:rsidRPr="00C06F2E">
        <w:rPr>
          <w:lang w:val="sk-SK"/>
        </w:rPr>
        <w:t> </w:t>
      </w:r>
      <w:r w:rsidRPr="00C06F2E">
        <w:rPr>
          <w:lang w:val="sk-SK"/>
        </w:rPr>
        <w:t xml:space="preserve">ktorej sa podávalo placebo. Koncové ukazovatele štúdie zahŕňali celkový čas prežitia, dobu prežitia bez progresie ochorenia, mieru odpovede, dĺžku trvania odpovede, čas do </w:t>
      </w:r>
      <w:r w:rsidR="00792B57" w:rsidRPr="00C06F2E">
        <w:rPr>
          <w:lang w:val="sk-SK"/>
        </w:rPr>
        <w:t>zhoršenia príznakov spojených s </w:t>
      </w:r>
      <w:r w:rsidRPr="00C06F2E">
        <w:rPr>
          <w:lang w:val="sk-SK"/>
        </w:rPr>
        <w:t>karcinómom pľúc (kašeľ, dušnosť a bolesť) a bezpečnosť. Primárnym koncovým ukazovateľom bolo prežívanie.</w:t>
      </w:r>
    </w:p>
    <w:p w14:paraId="33C2662C" w14:textId="77777777" w:rsidR="007B2947" w:rsidRPr="00C06F2E" w:rsidRDefault="007B2947" w:rsidP="00E60C58">
      <w:pPr>
        <w:autoSpaceDE w:val="0"/>
        <w:autoSpaceDN w:val="0"/>
        <w:adjustRightInd w:val="0"/>
        <w:spacing w:after="0"/>
        <w:jc w:val="left"/>
        <w:rPr>
          <w:lang w:val="sk-SK"/>
        </w:rPr>
      </w:pPr>
    </w:p>
    <w:p w14:paraId="43F861DB" w14:textId="2C1C1504" w:rsidR="00394EED" w:rsidRPr="00C06F2E" w:rsidRDefault="00394EED" w:rsidP="00E60C58">
      <w:pPr>
        <w:autoSpaceDE w:val="0"/>
        <w:autoSpaceDN w:val="0"/>
        <w:adjustRightInd w:val="0"/>
        <w:spacing w:after="0"/>
        <w:jc w:val="left"/>
        <w:rPr>
          <w:lang w:val="sk-SK" w:eastAsia="en-GB"/>
        </w:rPr>
      </w:pPr>
      <w:r w:rsidRPr="00C06F2E">
        <w:rPr>
          <w:lang w:val="sk-SK" w:eastAsia="en-GB"/>
        </w:rPr>
        <w:t>Demografické charakteristiky boli medzi dvomi liečebnými skupinami dobre vyvážené. Približne dve tretiny pacientov tvorili muži a približne jedna tretina pacientov mala východiskový výkonnostný stav (PS) podľa ECOG rovný 2</w:t>
      </w:r>
      <w:r w:rsidR="00131E4A">
        <w:rPr>
          <w:lang w:val="sk-SK" w:eastAsia="en-GB"/>
        </w:rPr>
        <w:t>,</w:t>
      </w:r>
      <w:r w:rsidRPr="00C06F2E">
        <w:rPr>
          <w:lang w:val="sk-SK" w:eastAsia="en-GB"/>
        </w:rPr>
        <w:t xml:space="preserve"> a 9 % malo východiskový PS podľa ECOG rovný 3. 93</w:t>
      </w:r>
      <w:r w:rsidR="00792B57" w:rsidRPr="00C06F2E">
        <w:rPr>
          <w:lang w:val="sk-SK" w:eastAsia="en-GB"/>
        </w:rPr>
        <w:t> </w:t>
      </w:r>
      <w:r w:rsidRPr="00C06F2E">
        <w:rPr>
          <w:lang w:val="sk-SK" w:eastAsia="en-GB"/>
        </w:rPr>
        <w:t>% pacientov v skupine s erlotinibom a 92 % pacientov v skupine s placebom dostali v predchádzajúcej liečbe režim s platinou; 36 % pacientov v skupine s erlotinibom a 37 % pacientov v skupine s placebom dostali predchádzajúcu liečbu taxánmi.</w:t>
      </w:r>
    </w:p>
    <w:p w14:paraId="66B56CDC" w14:textId="77777777" w:rsidR="00394EED" w:rsidRPr="00C06F2E" w:rsidRDefault="00394EED" w:rsidP="00E60C58">
      <w:pPr>
        <w:autoSpaceDE w:val="0"/>
        <w:autoSpaceDN w:val="0"/>
        <w:adjustRightInd w:val="0"/>
        <w:spacing w:after="0"/>
        <w:jc w:val="left"/>
        <w:rPr>
          <w:lang w:val="sk-SK"/>
        </w:rPr>
      </w:pPr>
    </w:p>
    <w:p w14:paraId="2C5BD5F3" w14:textId="772334CF" w:rsidR="007B2947" w:rsidRPr="00C06F2E" w:rsidRDefault="00F65651" w:rsidP="00E60C58">
      <w:pPr>
        <w:autoSpaceDE w:val="0"/>
        <w:autoSpaceDN w:val="0"/>
        <w:adjustRightInd w:val="0"/>
        <w:spacing w:after="0"/>
        <w:jc w:val="left"/>
        <w:rPr>
          <w:lang w:val="sk-SK"/>
        </w:rPr>
      </w:pPr>
      <w:r w:rsidRPr="00C06F2E">
        <w:rPr>
          <w:lang w:val="sk-SK"/>
        </w:rPr>
        <w:t>Dosiahnutý pomer rizika (HR) úmrtia v</w:t>
      </w:r>
      <w:r w:rsidR="00DB5579" w:rsidRPr="00C06F2E">
        <w:rPr>
          <w:lang w:val="sk-SK"/>
        </w:rPr>
        <w:t> </w:t>
      </w:r>
      <w:r w:rsidRPr="00C06F2E">
        <w:rPr>
          <w:lang w:val="sk-SK"/>
        </w:rPr>
        <w:t xml:space="preserve">skupine liečenej </w:t>
      </w:r>
      <w:r w:rsidRPr="00C06F2E">
        <w:rPr>
          <w:lang w:val="sk-SK" w:eastAsia="cs-CZ"/>
        </w:rPr>
        <w:t>erlotinibom</w:t>
      </w:r>
      <w:r w:rsidRPr="00C06F2E">
        <w:rPr>
          <w:lang w:val="sk-SK"/>
        </w:rPr>
        <w:t xml:space="preserve"> v</w:t>
      </w:r>
      <w:r w:rsidR="00DB5579" w:rsidRPr="00C06F2E">
        <w:rPr>
          <w:lang w:val="sk-SK"/>
        </w:rPr>
        <w:t> </w:t>
      </w:r>
      <w:r w:rsidRPr="00C06F2E">
        <w:rPr>
          <w:lang w:val="sk-SK"/>
        </w:rPr>
        <w:t>porovnaní so</w:t>
      </w:r>
      <w:r w:rsidR="00DB5579" w:rsidRPr="00C06F2E">
        <w:rPr>
          <w:lang w:val="sk-SK"/>
        </w:rPr>
        <w:t> </w:t>
      </w:r>
      <w:r w:rsidRPr="00C06F2E">
        <w:rPr>
          <w:lang w:val="sk-SK"/>
        </w:rPr>
        <w:t>skupinou dostávajúcou placebo bol 0,73 (95</w:t>
      </w:r>
      <w:r w:rsidR="00DB5579" w:rsidRPr="00C06F2E">
        <w:rPr>
          <w:lang w:val="sk-SK"/>
        </w:rPr>
        <w:t> </w:t>
      </w:r>
      <w:r w:rsidRPr="00C06F2E">
        <w:rPr>
          <w:lang w:val="sk-SK"/>
        </w:rPr>
        <w:t>% IS, 0,60 až 0,87) (p = 0,001). Percentuálne zastúpeni</w:t>
      </w:r>
      <w:r w:rsidR="00DB5579" w:rsidRPr="00C06F2E">
        <w:rPr>
          <w:lang w:val="sk-SK"/>
        </w:rPr>
        <w:t>e pacientov s dobou prežitia 12 </w:t>
      </w:r>
      <w:r w:rsidRPr="00C06F2E">
        <w:rPr>
          <w:lang w:val="sk-SK"/>
        </w:rPr>
        <w:t>mesiacov, bolo 31,2</w:t>
      </w:r>
      <w:r w:rsidR="00DB5579" w:rsidRPr="00C06F2E">
        <w:rPr>
          <w:lang w:val="sk-SK"/>
        </w:rPr>
        <w:t> </w:t>
      </w:r>
      <w:r w:rsidRPr="00C06F2E">
        <w:rPr>
          <w:lang w:val="sk-SK"/>
        </w:rPr>
        <w:t xml:space="preserve">% v skupine liečenej </w:t>
      </w:r>
      <w:r w:rsidRPr="00C06F2E">
        <w:rPr>
          <w:lang w:val="sk-SK" w:eastAsia="cs-CZ"/>
        </w:rPr>
        <w:t>erlotinibom</w:t>
      </w:r>
      <w:r w:rsidRPr="00C06F2E">
        <w:rPr>
          <w:lang w:val="sk-SK"/>
        </w:rPr>
        <w:t xml:space="preserve"> a 21,5</w:t>
      </w:r>
      <w:r w:rsidR="00DB5579" w:rsidRPr="00C06F2E">
        <w:rPr>
          <w:lang w:val="sk-SK"/>
        </w:rPr>
        <w:t> </w:t>
      </w:r>
      <w:r w:rsidRPr="00C06F2E">
        <w:rPr>
          <w:lang w:val="sk-SK"/>
        </w:rPr>
        <w:t>% v skupine, ktorá dostávala placebo. Medián celkovej doby prežitia v</w:t>
      </w:r>
      <w:r w:rsidR="00DB5579" w:rsidRPr="00C06F2E">
        <w:rPr>
          <w:lang w:val="sk-SK"/>
        </w:rPr>
        <w:t> </w:t>
      </w:r>
      <w:r w:rsidRPr="00C06F2E">
        <w:rPr>
          <w:lang w:val="sk-SK"/>
        </w:rPr>
        <w:t xml:space="preserve">skupine liečenej </w:t>
      </w:r>
      <w:r w:rsidRPr="00C06F2E">
        <w:rPr>
          <w:lang w:val="sk-SK" w:eastAsia="cs-CZ"/>
        </w:rPr>
        <w:t>erlotinibom</w:t>
      </w:r>
      <w:r w:rsidRPr="00C06F2E">
        <w:rPr>
          <w:lang w:val="sk-SK"/>
        </w:rPr>
        <w:t xml:space="preserve"> bol 6,7</w:t>
      </w:r>
      <w:r w:rsidR="00DB5579" w:rsidRPr="00C06F2E">
        <w:rPr>
          <w:lang w:val="sk-SK"/>
        </w:rPr>
        <w:t> </w:t>
      </w:r>
      <w:r w:rsidRPr="00C06F2E">
        <w:rPr>
          <w:lang w:val="sk-SK"/>
        </w:rPr>
        <w:t>mesiacov (95</w:t>
      </w:r>
      <w:r w:rsidR="00DB5579" w:rsidRPr="00C06F2E">
        <w:rPr>
          <w:lang w:val="sk-SK"/>
        </w:rPr>
        <w:t> </w:t>
      </w:r>
      <w:r w:rsidRPr="00C06F2E">
        <w:rPr>
          <w:lang w:val="sk-SK"/>
        </w:rPr>
        <w:t>% IS; 5,5 až 7,8 mesiacov) v</w:t>
      </w:r>
      <w:r w:rsidR="00DB5579" w:rsidRPr="00C06F2E">
        <w:rPr>
          <w:lang w:val="sk-SK"/>
        </w:rPr>
        <w:t> </w:t>
      </w:r>
      <w:r w:rsidRPr="00C06F2E">
        <w:rPr>
          <w:lang w:val="sk-SK"/>
        </w:rPr>
        <w:t>porovnaní so 4,7</w:t>
      </w:r>
      <w:r w:rsidR="00DB5579" w:rsidRPr="00C06F2E">
        <w:rPr>
          <w:lang w:val="sk-SK"/>
        </w:rPr>
        <w:t> </w:t>
      </w:r>
      <w:r w:rsidRPr="00C06F2E">
        <w:rPr>
          <w:lang w:val="sk-SK"/>
        </w:rPr>
        <w:t>mesiacmi (95</w:t>
      </w:r>
      <w:r w:rsidR="00DB5579" w:rsidRPr="00C06F2E">
        <w:rPr>
          <w:lang w:val="sk-SK"/>
        </w:rPr>
        <w:t> </w:t>
      </w:r>
      <w:r w:rsidRPr="00C06F2E">
        <w:rPr>
          <w:lang w:val="sk-SK"/>
        </w:rPr>
        <w:t>% IS; 4,1 až 6,3</w:t>
      </w:r>
      <w:r w:rsidR="00DB5579" w:rsidRPr="00C06F2E">
        <w:rPr>
          <w:lang w:val="sk-SK"/>
        </w:rPr>
        <w:t> </w:t>
      </w:r>
      <w:r w:rsidRPr="00C06F2E">
        <w:rPr>
          <w:lang w:val="sk-SK"/>
        </w:rPr>
        <w:t>mesiacov) v</w:t>
      </w:r>
      <w:r w:rsidR="00DB5579" w:rsidRPr="00C06F2E">
        <w:rPr>
          <w:lang w:val="sk-SK"/>
        </w:rPr>
        <w:t> </w:t>
      </w:r>
      <w:r w:rsidRPr="00C06F2E">
        <w:rPr>
          <w:lang w:val="sk-SK"/>
        </w:rPr>
        <w:t>skupine s</w:t>
      </w:r>
      <w:r w:rsidR="00DB5579" w:rsidRPr="00C06F2E">
        <w:rPr>
          <w:lang w:val="sk-SK"/>
        </w:rPr>
        <w:t> </w:t>
      </w:r>
      <w:r w:rsidRPr="00C06F2E">
        <w:rPr>
          <w:lang w:val="sk-SK"/>
        </w:rPr>
        <w:t>placebom.</w:t>
      </w:r>
    </w:p>
    <w:p w14:paraId="1F5CFEC0" w14:textId="77777777" w:rsidR="00F65651" w:rsidRPr="00C06F2E" w:rsidRDefault="00F65651" w:rsidP="00E60C58">
      <w:pPr>
        <w:autoSpaceDE w:val="0"/>
        <w:autoSpaceDN w:val="0"/>
        <w:adjustRightInd w:val="0"/>
        <w:spacing w:after="0"/>
        <w:jc w:val="left"/>
        <w:rPr>
          <w:lang w:val="sk-SK"/>
        </w:rPr>
      </w:pPr>
    </w:p>
    <w:p w14:paraId="642CFFA6" w14:textId="1065DADF" w:rsidR="00F65651" w:rsidRPr="00C06F2E" w:rsidRDefault="00F65651" w:rsidP="00E60C58">
      <w:pPr>
        <w:autoSpaceDE w:val="0"/>
        <w:autoSpaceDN w:val="0"/>
        <w:adjustRightInd w:val="0"/>
        <w:spacing w:after="0"/>
        <w:jc w:val="left"/>
        <w:rPr>
          <w:lang w:val="sk-SK"/>
        </w:rPr>
      </w:pPr>
      <w:r w:rsidRPr="00C06F2E">
        <w:rPr>
          <w:lang w:val="sk-SK"/>
        </w:rPr>
        <w:t>Účinok na celkové prežívanie sa skúmal v</w:t>
      </w:r>
      <w:r w:rsidR="00DB5579" w:rsidRPr="00C06F2E">
        <w:rPr>
          <w:lang w:val="sk-SK"/>
        </w:rPr>
        <w:t> </w:t>
      </w:r>
      <w:r w:rsidRPr="00C06F2E">
        <w:rPr>
          <w:lang w:val="sk-SK"/>
        </w:rPr>
        <w:t>rôznych podskupinách pacientov. Účinok erlotinibu na celkové prežívanie bol podobný u</w:t>
      </w:r>
      <w:r w:rsidR="00DB5579" w:rsidRPr="00C06F2E">
        <w:rPr>
          <w:lang w:val="sk-SK"/>
        </w:rPr>
        <w:t> </w:t>
      </w:r>
      <w:r w:rsidRPr="00C06F2E">
        <w:rPr>
          <w:lang w:val="sk-SK"/>
        </w:rPr>
        <w:t>pacientov s</w:t>
      </w:r>
      <w:r w:rsidR="00DB5579" w:rsidRPr="00C06F2E">
        <w:rPr>
          <w:lang w:val="sk-SK"/>
        </w:rPr>
        <w:t> </w:t>
      </w:r>
      <w:r w:rsidRPr="00C06F2E">
        <w:rPr>
          <w:lang w:val="sk-SK"/>
        </w:rPr>
        <w:t>východiskovým stavom výkonnosti (ECOG) 2-3 (HR = 0,77, 95</w:t>
      </w:r>
      <w:r w:rsidR="00DB5579" w:rsidRPr="00C06F2E">
        <w:rPr>
          <w:lang w:val="sk-SK"/>
        </w:rPr>
        <w:t> </w:t>
      </w:r>
      <w:r w:rsidRPr="00C06F2E">
        <w:rPr>
          <w:lang w:val="sk-SK"/>
        </w:rPr>
        <w:t>% IS 0,6-1,0) alebo 0-1 (HR = 0,73, 95</w:t>
      </w:r>
      <w:r w:rsidR="00DB5579" w:rsidRPr="00C06F2E">
        <w:rPr>
          <w:lang w:val="sk-SK"/>
        </w:rPr>
        <w:t> </w:t>
      </w:r>
      <w:r w:rsidRPr="00C06F2E">
        <w:rPr>
          <w:lang w:val="sk-SK"/>
        </w:rPr>
        <w:t>% IS 0,6-0,9), u mužov (HR = 0,76, 95</w:t>
      </w:r>
      <w:r w:rsidR="00DB5579" w:rsidRPr="00C06F2E">
        <w:rPr>
          <w:lang w:val="sk-SK"/>
        </w:rPr>
        <w:t> </w:t>
      </w:r>
      <w:r w:rsidRPr="00C06F2E">
        <w:rPr>
          <w:lang w:val="sk-SK"/>
        </w:rPr>
        <w:t>% IS 0,6-0,9) alebo žien (HR = 0,80, 95</w:t>
      </w:r>
      <w:r w:rsidR="00DB5579" w:rsidRPr="00C06F2E">
        <w:rPr>
          <w:lang w:val="sk-SK"/>
        </w:rPr>
        <w:t> </w:t>
      </w:r>
      <w:r w:rsidRPr="00C06F2E">
        <w:rPr>
          <w:lang w:val="sk-SK"/>
        </w:rPr>
        <w:t>% IS 0,6-1,1), pacientov mladších ako 65</w:t>
      </w:r>
      <w:r w:rsidR="00DB5579" w:rsidRPr="00C06F2E">
        <w:rPr>
          <w:lang w:val="sk-SK"/>
        </w:rPr>
        <w:t> </w:t>
      </w:r>
      <w:r w:rsidRPr="00C06F2E">
        <w:rPr>
          <w:lang w:val="sk-SK"/>
        </w:rPr>
        <w:t>rokov (HR = 0,75, 95</w:t>
      </w:r>
      <w:r w:rsidR="00DB5579" w:rsidRPr="00C06F2E">
        <w:rPr>
          <w:lang w:val="sk-SK"/>
        </w:rPr>
        <w:t> </w:t>
      </w:r>
      <w:r w:rsidRPr="00C06F2E">
        <w:rPr>
          <w:lang w:val="sk-SK"/>
        </w:rPr>
        <w:t>% IS 0,6- 0,9) alebo starších pacientov (HR = 0,79,95</w:t>
      </w:r>
      <w:r w:rsidR="00DB5579" w:rsidRPr="00C06F2E">
        <w:rPr>
          <w:lang w:val="sk-SK"/>
        </w:rPr>
        <w:t> </w:t>
      </w:r>
      <w:r w:rsidRPr="00C06F2E">
        <w:rPr>
          <w:lang w:val="sk-SK"/>
        </w:rPr>
        <w:t>% IS 0,6-1,0), pacientov s</w:t>
      </w:r>
      <w:r w:rsidR="00DB5579" w:rsidRPr="00C06F2E">
        <w:rPr>
          <w:lang w:val="sk-SK"/>
        </w:rPr>
        <w:t> </w:t>
      </w:r>
      <w:r w:rsidRPr="00C06F2E">
        <w:rPr>
          <w:lang w:val="sk-SK"/>
        </w:rPr>
        <w:t xml:space="preserve">jedným predchádzajúcim </w:t>
      </w:r>
      <w:r w:rsidRPr="00C06F2E">
        <w:rPr>
          <w:lang w:val="sk-SK"/>
        </w:rPr>
        <w:lastRenderedPageBreak/>
        <w:t>režimom (HR = 0,76, 95</w:t>
      </w:r>
      <w:r w:rsidR="00DB5579" w:rsidRPr="00C06F2E">
        <w:rPr>
          <w:lang w:val="sk-SK"/>
        </w:rPr>
        <w:t> </w:t>
      </w:r>
      <w:r w:rsidRPr="00C06F2E">
        <w:rPr>
          <w:lang w:val="sk-SK"/>
        </w:rPr>
        <w:t>% IS 0,6-1,0) alebo s</w:t>
      </w:r>
      <w:r w:rsidR="00DB5579" w:rsidRPr="00C06F2E">
        <w:rPr>
          <w:lang w:val="sk-SK"/>
        </w:rPr>
        <w:t> </w:t>
      </w:r>
      <w:r w:rsidRPr="00C06F2E">
        <w:rPr>
          <w:lang w:val="sk-SK"/>
        </w:rPr>
        <w:t>viac ako jedným predchádzajúcim režimom (HR = 0,75, 95</w:t>
      </w:r>
      <w:r w:rsidR="00DB5579" w:rsidRPr="00C06F2E">
        <w:rPr>
          <w:lang w:val="sk-SK"/>
        </w:rPr>
        <w:t> </w:t>
      </w:r>
      <w:r w:rsidRPr="00C06F2E">
        <w:rPr>
          <w:lang w:val="sk-SK"/>
        </w:rPr>
        <w:t>% IS 0,6-1,0), u pacientov kaukazského (HR = 0,79, 95</w:t>
      </w:r>
      <w:r w:rsidR="00DB5579" w:rsidRPr="00C06F2E">
        <w:rPr>
          <w:lang w:val="sk-SK"/>
        </w:rPr>
        <w:t> </w:t>
      </w:r>
      <w:r w:rsidRPr="00C06F2E">
        <w:rPr>
          <w:lang w:val="sk-SK"/>
        </w:rPr>
        <w:t>% IS 0,6-1,0) alebo ázijského etnika (HR = 0,61, 95</w:t>
      </w:r>
      <w:r w:rsidR="00DB5579" w:rsidRPr="00C06F2E">
        <w:rPr>
          <w:lang w:val="sk-SK"/>
        </w:rPr>
        <w:t> </w:t>
      </w:r>
      <w:r w:rsidRPr="00C06F2E">
        <w:rPr>
          <w:lang w:val="sk-SK"/>
        </w:rPr>
        <w:t>% IS 0,4-1,0), u pacientov s</w:t>
      </w:r>
      <w:r w:rsidR="00DB5579" w:rsidRPr="00C06F2E">
        <w:rPr>
          <w:lang w:val="sk-SK"/>
        </w:rPr>
        <w:t xml:space="preserve"> adenokarcinómom (HR = 0,71, 95 </w:t>
      </w:r>
      <w:r w:rsidRPr="00C06F2E">
        <w:rPr>
          <w:lang w:val="sk-SK"/>
        </w:rPr>
        <w:t xml:space="preserve">% IS 0,6-0,9) alebo </w:t>
      </w:r>
      <w:r w:rsidRPr="00A0451B">
        <w:rPr>
          <w:lang w:val="sk-SK"/>
        </w:rPr>
        <w:t>skvamóznym bunkovým karcinómom</w:t>
      </w:r>
      <w:r w:rsidRPr="00C06F2E">
        <w:rPr>
          <w:lang w:val="sk-SK"/>
        </w:rPr>
        <w:t xml:space="preserve"> (HR = 0,67, 95</w:t>
      </w:r>
      <w:r w:rsidR="00DB5579" w:rsidRPr="00C06F2E">
        <w:rPr>
          <w:lang w:val="sk-SK"/>
        </w:rPr>
        <w:t> </w:t>
      </w:r>
      <w:r w:rsidRPr="00C06F2E">
        <w:rPr>
          <w:lang w:val="sk-SK"/>
        </w:rPr>
        <w:t>% IS 0,5-0,9), ale nie u pacientov s</w:t>
      </w:r>
      <w:r w:rsidR="00DB5579" w:rsidRPr="00C06F2E">
        <w:rPr>
          <w:lang w:val="sk-SK"/>
        </w:rPr>
        <w:t> </w:t>
      </w:r>
      <w:r w:rsidRPr="00C06F2E">
        <w:rPr>
          <w:lang w:val="sk-SK"/>
        </w:rPr>
        <w:t>inými histologickými typmi (HR = 1,04, 95</w:t>
      </w:r>
      <w:r w:rsidR="00DB5579" w:rsidRPr="00C06F2E">
        <w:rPr>
          <w:lang w:val="sk-SK"/>
        </w:rPr>
        <w:t> </w:t>
      </w:r>
      <w:r w:rsidRPr="00C06F2E">
        <w:rPr>
          <w:lang w:val="sk-SK"/>
        </w:rPr>
        <w:t>% IS 0,7-1,5), u pacientov s ochorením v</w:t>
      </w:r>
      <w:r w:rsidR="00DB5579" w:rsidRPr="00C06F2E">
        <w:rPr>
          <w:lang w:val="sk-SK"/>
        </w:rPr>
        <w:t> </w:t>
      </w:r>
      <w:r w:rsidRPr="00C06F2E">
        <w:rPr>
          <w:lang w:val="sk-SK"/>
        </w:rPr>
        <w:t>štádiu IV pri diagnóze (HR = 0,92, 95</w:t>
      </w:r>
      <w:r w:rsidR="00DB5579" w:rsidRPr="00C06F2E">
        <w:rPr>
          <w:lang w:val="sk-SK"/>
        </w:rPr>
        <w:t> </w:t>
      </w:r>
      <w:r w:rsidRPr="00C06F2E">
        <w:rPr>
          <w:lang w:val="sk-SK"/>
        </w:rPr>
        <w:t>% IS 0,7-1,2) alebo s</w:t>
      </w:r>
      <w:r w:rsidR="00DB5579" w:rsidRPr="00C06F2E">
        <w:rPr>
          <w:lang w:val="sk-SK"/>
        </w:rPr>
        <w:t> </w:t>
      </w:r>
      <w:r w:rsidRPr="00C06F2E">
        <w:rPr>
          <w:lang w:val="sk-SK"/>
        </w:rPr>
        <w:t>ochorením v</w:t>
      </w:r>
      <w:r w:rsidR="00DB5579" w:rsidRPr="00C06F2E">
        <w:rPr>
          <w:lang w:val="sk-SK"/>
        </w:rPr>
        <w:t> </w:t>
      </w:r>
      <w:r w:rsidRPr="00C06F2E">
        <w:rPr>
          <w:lang w:val="sk-SK"/>
        </w:rPr>
        <w:t>štádiu &lt;</w:t>
      </w:r>
      <w:r w:rsidR="00DB5579" w:rsidRPr="00C06F2E">
        <w:rPr>
          <w:lang w:val="sk-SK"/>
        </w:rPr>
        <w:t> </w:t>
      </w:r>
      <w:r w:rsidRPr="00C06F2E">
        <w:rPr>
          <w:lang w:val="sk-SK"/>
        </w:rPr>
        <w:t>IV pri diagnóze (HR = 0,65, 95</w:t>
      </w:r>
      <w:r w:rsidR="00DB5579" w:rsidRPr="00C06F2E">
        <w:rPr>
          <w:lang w:val="sk-SK"/>
        </w:rPr>
        <w:t> </w:t>
      </w:r>
      <w:r w:rsidRPr="00C06F2E">
        <w:rPr>
          <w:lang w:val="sk-SK"/>
        </w:rPr>
        <w:t xml:space="preserve">% IS 0,5- 0,8). Pacienti, ktorí nikdy nefajčili, mali oveľa väčší </w:t>
      </w:r>
      <w:r w:rsidR="00C51EB7">
        <w:rPr>
          <w:lang w:val="sk-SK"/>
        </w:rPr>
        <w:t>prínos</w:t>
      </w:r>
      <w:r w:rsidRPr="00C06F2E">
        <w:rPr>
          <w:lang w:val="sk-SK"/>
        </w:rPr>
        <w:t xml:space="preserve"> z</w:t>
      </w:r>
      <w:r w:rsidR="00C51EB7">
        <w:rPr>
          <w:lang w:val="sk-SK"/>
        </w:rPr>
        <w:t xml:space="preserve"> liečby </w:t>
      </w:r>
      <w:r w:rsidRPr="00C06F2E">
        <w:rPr>
          <w:lang w:val="sk-SK"/>
        </w:rPr>
        <w:t>erlotinib</w:t>
      </w:r>
      <w:r w:rsidR="00C51EB7">
        <w:rPr>
          <w:lang w:val="sk-SK"/>
        </w:rPr>
        <w:t>om</w:t>
      </w:r>
      <w:r w:rsidRPr="00C06F2E">
        <w:rPr>
          <w:lang w:val="sk-SK"/>
        </w:rPr>
        <w:t xml:space="preserve"> (HR prežitia = 0,42, 95</w:t>
      </w:r>
      <w:r w:rsidR="00DB5579" w:rsidRPr="00C06F2E">
        <w:rPr>
          <w:lang w:val="sk-SK"/>
        </w:rPr>
        <w:t> </w:t>
      </w:r>
      <w:r w:rsidRPr="00C06F2E">
        <w:rPr>
          <w:lang w:val="sk-SK"/>
        </w:rPr>
        <w:t>% IS 0,28-0,64) v porovnaní so súčasnými alebo bývalými fajčiarmi (HR = 0,87, 95</w:t>
      </w:r>
      <w:r w:rsidR="00DB5579" w:rsidRPr="00C06F2E">
        <w:rPr>
          <w:lang w:val="sk-SK"/>
        </w:rPr>
        <w:t> </w:t>
      </w:r>
      <w:r w:rsidRPr="00C06F2E">
        <w:rPr>
          <w:lang w:val="sk-SK"/>
        </w:rPr>
        <w:t>% IS 0,71-1,05).</w:t>
      </w:r>
    </w:p>
    <w:p w14:paraId="5A8F667A" w14:textId="6CCB0933" w:rsidR="00F65651" w:rsidRPr="00C06F2E" w:rsidRDefault="00F65651" w:rsidP="00E60C58">
      <w:pPr>
        <w:autoSpaceDE w:val="0"/>
        <w:autoSpaceDN w:val="0"/>
        <w:adjustRightInd w:val="0"/>
        <w:spacing w:after="0"/>
        <w:jc w:val="left"/>
        <w:rPr>
          <w:lang w:val="sk-SK" w:eastAsia="cs-CZ"/>
        </w:rPr>
      </w:pPr>
      <w:r w:rsidRPr="00C06F2E">
        <w:rPr>
          <w:lang w:val="sk-SK" w:eastAsia="cs-CZ"/>
        </w:rPr>
        <w:t>U</w:t>
      </w:r>
      <w:r w:rsidR="00DB5579" w:rsidRPr="00C06F2E">
        <w:rPr>
          <w:lang w:val="sk-SK" w:eastAsia="cs-CZ"/>
        </w:rPr>
        <w:t> </w:t>
      </w:r>
      <w:r w:rsidRPr="00C06F2E">
        <w:rPr>
          <w:lang w:val="sk-SK" w:eastAsia="cs-CZ"/>
        </w:rPr>
        <w:t>45</w:t>
      </w:r>
      <w:r w:rsidR="00DB5579" w:rsidRPr="00C06F2E">
        <w:rPr>
          <w:lang w:val="sk-SK" w:eastAsia="cs-CZ"/>
        </w:rPr>
        <w:t> </w:t>
      </w:r>
      <w:r w:rsidRPr="00C06F2E">
        <w:rPr>
          <w:lang w:val="sk-SK" w:eastAsia="cs-CZ"/>
        </w:rPr>
        <w:t>% pacientov so známou expresiou EGFR boli hodnoty pomeru rizika 0,68 (95</w:t>
      </w:r>
      <w:r w:rsidR="00DB5579" w:rsidRPr="00C06F2E">
        <w:rPr>
          <w:lang w:val="sk-SK" w:eastAsia="cs-CZ"/>
        </w:rPr>
        <w:t> </w:t>
      </w:r>
      <w:r w:rsidRPr="00C06F2E">
        <w:rPr>
          <w:lang w:val="sk-SK" w:eastAsia="cs-CZ"/>
        </w:rPr>
        <w:t>% IS 0,49-0,94) u pacientov s EGFR-pozitívnymi karcinómami a 0,93 (95</w:t>
      </w:r>
      <w:r w:rsidR="00DB5579" w:rsidRPr="00C06F2E">
        <w:rPr>
          <w:lang w:val="sk-SK" w:eastAsia="cs-CZ"/>
        </w:rPr>
        <w:t> </w:t>
      </w:r>
      <w:r w:rsidRPr="00C06F2E">
        <w:rPr>
          <w:lang w:val="sk-SK" w:eastAsia="cs-CZ"/>
        </w:rPr>
        <w:t>% IS 0,63-1,36) u</w:t>
      </w:r>
      <w:r w:rsidR="00DB5579" w:rsidRPr="00C06F2E">
        <w:rPr>
          <w:lang w:val="sk-SK" w:eastAsia="cs-CZ"/>
        </w:rPr>
        <w:t> </w:t>
      </w:r>
      <w:r w:rsidRPr="00C06F2E">
        <w:rPr>
          <w:lang w:val="sk-SK" w:eastAsia="cs-CZ"/>
        </w:rPr>
        <w:t>pacientov s EGFR-negatívnymi karcinómami (definované pomocou IHC použitím EGFR pharmDx kitu a definovaním EGFR-negativity menej ako 10</w:t>
      </w:r>
      <w:r w:rsidR="00DB5579" w:rsidRPr="00C06F2E">
        <w:rPr>
          <w:lang w:val="sk-SK" w:eastAsia="cs-CZ"/>
        </w:rPr>
        <w:t> </w:t>
      </w:r>
      <w:r w:rsidRPr="00C06F2E">
        <w:rPr>
          <w:lang w:val="sk-SK" w:eastAsia="cs-CZ"/>
        </w:rPr>
        <w:t>% sfarbených nádorových buniek). U</w:t>
      </w:r>
      <w:r w:rsidR="00DB5579" w:rsidRPr="00C06F2E">
        <w:rPr>
          <w:lang w:val="sk-SK" w:eastAsia="cs-CZ"/>
        </w:rPr>
        <w:t> </w:t>
      </w:r>
      <w:r w:rsidRPr="00C06F2E">
        <w:rPr>
          <w:lang w:val="sk-SK" w:eastAsia="cs-CZ"/>
        </w:rPr>
        <w:t>ostatných 55</w:t>
      </w:r>
      <w:r w:rsidR="00DB5579" w:rsidRPr="00C06F2E">
        <w:rPr>
          <w:lang w:val="sk-SK" w:eastAsia="cs-CZ"/>
        </w:rPr>
        <w:t> </w:t>
      </w:r>
      <w:r w:rsidRPr="00C06F2E">
        <w:rPr>
          <w:lang w:val="sk-SK" w:eastAsia="cs-CZ"/>
        </w:rPr>
        <w:t>% pacientov s neznámou expresiou EGFR bola hodnota pomeru rizika 0,77 (95</w:t>
      </w:r>
      <w:r w:rsidR="00DB5579" w:rsidRPr="00C06F2E">
        <w:rPr>
          <w:lang w:val="sk-SK" w:eastAsia="cs-CZ"/>
        </w:rPr>
        <w:t> </w:t>
      </w:r>
      <w:r w:rsidRPr="00C06F2E">
        <w:rPr>
          <w:lang w:val="sk-SK" w:eastAsia="cs-CZ"/>
        </w:rPr>
        <w:t xml:space="preserve">% IS 0,61-0,98). </w:t>
      </w:r>
    </w:p>
    <w:p w14:paraId="7B7E96F2" w14:textId="77777777" w:rsidR="00F65651" w:rsidRPr="00C06F2E" w:rsidRDefault="00F65651" w:rsidP="00E60C58">
      <w:pPr>
        <w:autoSpaceDE w:val="0"/>
        <w:autoSpaceDN w:val="0"/>
        <w:adjustRightInd w:val="0"/>
        <w:spacing w:after="0"/>
        <w:jc w:val="left"/>
        <w:rPr>
          <w:lang w:val="pt-PT"/>
        </w:rPr>
      </w:pPr>
    </w:p>
    <w:p w14:paraId="1249A2DD" w14:textId="630E7C06" w:rsidR="007B2947" w:rsidRPr="00C06F2E" w:rsidRDefault="00583E41" w:rsidP="00E60C58">
      <w:pPr>
        <w:autoSpaceDE w:val="0"/>
        <w:autoSpaceDN w:val="0"/>
        <w:adjustRightInd w:val="0"/>
        <w:spacing w:after="0"/>
        <w:jc w:val="left"/>
        <w:rPr>
          <w:lang w:val="sk-SK" w:eastAsia="cs-CZ"/>
        </w:rPr>
      </w:pPr>
      <w:r w:rsidRPr="00C06F2E">
        <w:rPr>
          <w:lang w:val="sk-SK" w:eastAsia="cs-CZ"/>
        </w:rPr>
        <w:t xml:space="preserve">Medián doby prežitia </w:t>
      </w:r>
      <w:r w:rsidR="00C51EB7">
        <w:rPr>
          <w:lang w:val="sk-SK" w:eastAsia="cs-CZ"/>
        </w:rPr>
        <w:t xml:space="preserve">bez progresie </w:t>
      </w:r>
      <w:r w:rsidRPr="00C06F2E">
        <w:rPr>
          <w:lang w:val="sk-SK" w:eastAsia="cs-CZ"/>
        </w:rPr>
        <w:t>bol 9,7</w:t>
      </w:r>
      <w:r w:rsidR="00DB5579" w:rsidRPr="00C06F2E">
        <w:rPr>
          <w:lang w:val="sk-SK" w:eastAsia="cs-CZ"/>
        </w:rPr>
        <w:t> </w:t>
      </w:r>
      <w:r w:rsidRPr="00C06F2E">
        <w:rPr>
          <w:lang w:val="sk-SK" w:eastAsia="cs-CZ"/>
        </w:rPr>
        <w:t>týždňov v</w:t>
      </w:r>
      <w:r w:rsidR="00DB5579" w:rsidRPr="00C06F2E">
        <w:rPr>
          <w:lang w:val="sk-SK" w:eastAsia="cs-CZ"/>
        </w:rPr>
        <w:t> </w:t>
      </w:r>
      <w:r w:rsidRPr="00C06F2E">
        <w:rPr>
          <w:lang w:val="sk-SK" w:eastAsia="cs-CZ"/>
        </w:rPr>
        <w:t xml:space="preserve">skupine liečenej </w:t>
      </w:r>
      <w:r w:rsidRPr="00C06F2E">
        <w:rPr>
          <w:lang w:val="pt-PT"/>
        </w:rPr>
        <w:t xml:space="preserve">erlotinibom </w:t>
      </w:r>
      <w:r w:rsidRPr="00C06F2E">
        <w:rPr>
          <w:lang w:val="sk-SK" w:eastAsia="cs-CZ"/>
        </w:rPr>
        <w:t>(95</w:t>
      </w:r>
      <w:r w:rsidR="00DB5579" w:rsidRPr="00C06F2E">
        <w:rPr>
          <w:lang w:val="sk-SK" w:eastAsia="cs-CZ"/>
        </w:rPr>
        <w:t> </w:t>
      </w:r>
      <w:r w:rsidRPr="00C06F2E">
        <w:rPr>
          <w:lang w:val="sk-SK" w:eastAsia="cs-CZ"/>
        </w:rPr>
        <w:t>% IS; 8,4 až 12,4 týždňov) v</w:t>
      </w:r>
      <w:r w:rsidR="00DB5579" w:rsidRPr="00C06F2E">
        <w:rPr>
          <w:lang w:val="sk-SK" w:eastAsia="cs-CZ"/>
        </w:rPr>
        <w:t> </w:t>
      </w:r>
      <w:r w:rsidRPr="00C06F2E">
        <w:rPr>
          <w:lang w:val="sk-SK" w:eastAsia="cs-CZ"/>
        </w:rPr>
        <w:t>porovnaní s</w:t>
      </w:r>
      <w:r w:rsidR="00DB5579" w:rsidRPr="00C06F2E">
        <w:rPr>
          <w:lang w:val="sk-SK" w:eastAsia="cs-CZ"/>
        </w:rPr>
        <w:t> </w:t>
      </w:r>
      <w:r w:rsidRPr="00C06F2E">
        <w:rPr>
          <w:lang w:val="sk-SK" w:eastAsia="cs-CZ"/>
        </w:rPr>
        <w:t>8,0</w:t>
      </w:r>
      <w:r w:rsidR="00DB5579" w:rsidRPr="00C06F2E">
        <w:rPr>
          <w:lang w:val="sk-SK" w:eastAsia="cs-CZ"/>
        </w:rPr>
        <w:t> </w:t>
      </w:r>
      <w:r w:rsidRPr="00C06F2E">
        <w:rPr>
          <w:lang w:val="sk-SK" w:eastAsia="cs-CZ"/>
        </w:rPr>
        <w:t>týždňami v</w:t>
      </w:r>
      <w:r w:rsidR="00DB5579" w:rsidRPr="00C06F2E">
        <w:rPr>
          <w:lang w:val="sk-SK" w:eastAsia="cs-CZ"/>
        </w:rPr>
        <w:t> </w:t>
      </w:r>
      <w:r w:rsidRPr="00C06F2E">
        <w:rPr>
          <w:lang w:val="sk-SK" w:eastAsia="cs-CZ"/>
        </w:rPr>
        <w:t>skupine, ktorej sa podávalo placebo (95</w:t>
      </w:r>
      <w:r w:rsidR="00DB5579" w:rsidRPr="00C06F2E">
        <w:rPr>
          <w:lang w:val="sk-SK" w:eastAsia="cs-CZ"/>
        </w:rPr>
        <w:t> </w:t>
      </w:r>
      <w:r w:rsidRPr="00C06F2E">
        <w:rPr>
          <w:lang w:val="sk-SK" w:eastAsia="cs-CZ"/>
        </w:rPr>
        <w:t>% CI; 7,9 až 8,1</w:t>
      </w:r>
      <w:r w:rsidR="00DB5579" w:rsidRPr="00C06F2E">
        <w:rPr>
          <w:lang w:val="sk-SK" w:eastAsia="cs-CZ"/>
        </w:rPr>
        <w:t> </w:t>
      </w:r>
      <w:r w:rsidRPr="00C06F2E">
        <w:rPr>
          <w:lang w:val="sk-SK" w:eastAsia="cs-CZ"/>
        </w:rPr>
        <w:t>týždňov).</w:t>
      </w:r>
    </w:p>
    <w:p w14:paraId="78970AC0" w14:textId="77777777" w:rsidR="00583E41" w:rsidRPr="00C06F2E" w:rsidRDefault="00583E41" w:rsidP="00E60C58">
      <w:pPr>
        <w:autoSpaceDE w:val="0"/>
        <w:autoSpaceDN w:val="0"/>
        <w:adjustRightInd w:val="0"/>
        <w:spacing w:after="0"/>
        <w:jc w:val="left"/>
        <w:rPr>
          <w:lang w:val="pt-PT" w:eastAsia="cs-CZ"/>
        </w:rPr>
      </w:pPr>
    </w:p>
    <w:p w14:paraId="19AA0674" w14:textId="2831FFD0" w:rsidR="00583E41" w:rsidRPr="00C06F2E" w:rsidRDefault="00C51EB7" w:rsidP="00E60C58">
      <w:pPr>
        <w:autoSpaceDE w:val="0"/>
        <w:autoSpaceDN w:val="0"/>
        <w:adjustRightInd w:val="0"/>
        <w:spacing w:after="0"/>
        <w:jc w:val="left"/>
        <w:rPr>
          <w:lang w:val="sk-SK"/>
        </w:rPr>
      </w:pPr>
      <w:r>
        <w:rPr>
          <w:lang w:val="sk-SK"/>
        </w:rPr>
        <w:t>Výskyt o</w:t>
      </w:r>
      <w:r w:rsidR="00583E41" w:rsidRPr="00C06F2E">
        <w:rPr>
          <w:lang w:val="sk-SK"/>
        </w:rPr>
        <w:t>bjektívn</w:t>
      </w:r>
      <w:r>
        <w:rPr>
          <w:lang w:val="sk-SK"/>
        </w:rPr>
        <w:t>ej</w:t>
      </w:r>
      <w:r w:rsidR="00583E41" w:rsidRPr="00C06F2E">
        <w:rPr>
          <w:lang w:val="sk-SK"/>
        </w:rPr>
        <w:t xml:space="preserve"> odpov</w:t>
      </w:r>
      <w:r w:rsidR="00DB5579" w:rsidRPr="00C06F2E">
        <w:rPr>
          <w:lang w:val="sk-SK"/>
        </w:rPr>
        <w:t>e</w:t>
      </w:r>
      <w:r>
        <w:rPr>
          <w:lang w:val="sk-SK"/>
        </w:rPr>
        <w:t>de</w:t>
      </w:r>
      <w:r w:rsidR="00DB5579" w:rsidRPr="00C06F2E">
        <w:rPr>
          <w:lang w:val="sk-SK"/>
        </w:rPr>
        <w:t xml:space="preserve"> podľa kritérií RECIST bol v </w:t>
      </w:r>
      <w:r w:rsidR="00583E41" w:rsidRPr="00C06F2E">
        <w:rPr>
          <w:lang w:val="sk-SK"/>
        </w:rPr>
        <w:t xml:space="preserve">skupine liečenej </w:t>
      </w:r>
      <w:r w:rsidR="00583E41" w:rsidRPr="00C06F2E">
        <w:rPr>
          <w:lang w:val="pt-PT"/>
        </w:rPr>
        <w:t xml:space="preserve">erlotinibom </w:t>
      </w:r>
      <w:r w:rsidR="00DB5579" w:rsidRPr="00C06F2E">
        <w:rPr>
          <w:lang w:val="sk-SK"/>
        </w:rPr>
        <w:t>8,9 </w:t>
      </w:r>
      <w:r w:rsidR="00583E41" w:rsidRPr="00C06F2E">
        <w:rPr>
          <w:lang w:val="sk-SK"/>
        </w:rPr>
        <w:t>% (95</w:t>
      </w:r>
      <w:r w:rsidR="00DB5579" w:rsidRPr="00C06F2E">
        <w:rPr>
          <w:lang w:val="sk-SK"/>
        </w:rPr>
        <w:t> </w:t>
      </w:r>
      <w:r w:rsidR="00583E41" w:rsidRPr="00C06F2E">
        <w:rPr>
          <w:lang w:val="sk-SK"/>
        </w:rPr>
        <w:t>% IS; 6,4 až 12,0). Prvých 330</w:t>
      </w:r>
      <w:r w:rsidR="00DB5579" w:rsidRPr="00C06F2E">
        <w:rPr>
          <w:lang w:val="sk-SK"/>
        </w:rPr>
        <w:t> </w:t>
      </w:r>
      <w:r w:rsidR="00583E41" w:rsidRPr="00C06F2E">
        <w:rPr>
          <w:lang w:val="sk-SK"/>
        </w:rPr>
        <w:t>pacientov bolo hodnotených centrálne (liečebná odpoveď 6,2</w:t>
      </w:r>
      <w:r w:rsidR="00DB5579" w:rsidRPr="00C06F2E">
        <w:rPr>
          <w:lang w:val="sk-SK"/>
        </w:rPr>
        <w:t> </w:t>
      </w:r>
      <w:r w:rsidR="00583E41" w:rsidRPr="00C06F2E">
        <w:rPr>
          <w:lang w:val="sk-SK"/>
        </w:rPr>
        <w:t>%); 401 pacientov bolo hodnotených skúšajúcimi (liečebná odpoveď 11,2</w:t>
      </w:r>
      <w:r w:rsidR="00DB5579" w:rsidRPr="00C06F2E">
        <w:rPr>
          <w:lang w:val="sk-SK"/>
        </w:rPr>
        <w:t> </w:t>
      </w:r>
      <w:r w:rsidR="00583E41" w:rsidRPr="00C06F2E">
        <w:rPr>
          <w:lang w:val="sk-SK"/>
        </w:rPr>
        <w:t>%).</w:t>
      </w:r>
    </w:p>
    <w:p w14:paraId="692A02DB" w14:textId="54567805" w:rsidR="007B2947" w:rsidRDefault="00583E41" w:rsidP="00E60C58">
      <w:pPr>
        <w:autoSpaceDE w:val="0"/>
        <w:autoSpaceDN w:val="0"/>
        <w:adjustRightInd w:val="0"/>
        <w:spacing w:after="0"/>
        <w:jc w:val="left"/>
        <w:rPr>
          <w:lang w:val="sk-SK" w:eastAsia="cs-CZ"/>
        </w:rPr>
      </w:pPr>
      <w:r w:rsidRPr="00C06F2E">
        <w:rPr>
          <w:lang w:val="sk-SK" w:eastAsia="cs-CZ"/>
        </w:rPr>
        <w:t>Medián doby trvania odpovede bol 34,3</w:t>
      </w:r>
      <w:r w:rsidR="00DB5579" w:rsidRPr="00C06F2E">
        <w:rPr>
          <w:lang w:val="sk-SK" w:eastAsia="cs-CZ"/>
        </w:rPr>
        <w:t> </w:t>
      </w:r>
      <w:r w:rsidRPr="00C06F2E">
        <w:rPr>
          <w:lang w:val="sk-SK" w:eastAsia="cs-CZ"/>
        </w:rPr>
        <w:t>týždňov, v</w:t>
      </w:r>
      <w:r w:rsidR="00DB5579" w:rsidRPr="00C06F2E">
        <w:rPr>
          <w:lang w:val="sk-SK" w:eastAsia="cs-CZ"/>
        </w:rPr>
        <w:t> </w:t>
      </w:r>
      <w:r w:rsidRPr="00C06F2E">
        <w:rPr>
          <w:lang w:val="sk-SK" w:eastAsia="cs-CZ"/>
        </w:rPr>
        <w:t>rozsahu hodnôt od 9,7 až 57,6</w:t>
      </w:r>
      <w:r w:rsidR="00DB5579" w:rsidRPr="00C06F2E">
        <w:rPr>
          <w:lang w:val="sk-SK" w:eastAsia="cs-CZ"/>
        </w:rPr>
        <w:t xml:space="preserve"> a vyšších. Podiel pacientov, u </w:t>
      </w:r>
      <w:r w:rsidRPr="00C06F2E">
        <w:rPr>
          <w:lang w:val="sk-SK" w:eastAsia="cs-CZ"/>
        </w:rPr>
        <w:t>ktorých sa prejavila úplná odpoveď na liečbu, čiastočná odpoveď na</w:t>
      </w:r>
      <w:r w:rsidR="00DB5579" w:rsidRPr="00C06F2E">
        <w:rPr>
          <w:lang w:val="sk-SK" w:eastAsia="cs-CZ"/>
        </w:rPr>
        <w:t> </w:t>
      </w:r>
      <w:r w:rsidRPr="00C06F2E">
        <w:rPr>
          <w:lang w:val="sk-SK" w:eastAsia="cs-CZ"/>
        </w:rPr>
        <w:t>liečbu alebo sa ochorenie stabilizovalo, bol 44,0</w:t>
      </w:r>
      <w:r w:rsidR="00DB5579" w:rsidRPr="00C06F2E">
        <w:rPr>
          <w:lang w:val="sk-SK" w:eastAsia="cs-CZ"/>
        </w:rPr>
        <w:t> </w:t>
      </w:r>
      <w:r w:rsidRPr="00C06F2E">
        <w:rPr>
          <w:lang w:val="sk-SK" w:eastAsia="cs-CZ"/>
        </w:rPr>
        <w:t>% v</w:t>
      </w:r>
      <w:r w:rsidR="00DB5579" w:rsidRPr="00C06F2E">
        <w:rPr>
          <w:lang w:val="sk-SK" w:eastAsia="cs-CZ"/>
        </w:rPr>
        <w:t> </w:t>
      </w:r>
      <w:r w:rsidRPr="00C06F2E">
        <w:rPr>
          <w:lang w:val="sk-SK" w:eastAsia="cs-CZ"/>
        </w:rPr>
        <w:t>skupine liečenej erlotinibom</w:t>
      </w:r>
      <w:r w:rsidRPr="00C06F2E">
        <w:rPr>
          <w:lang w:val="sk-SK"/>
        </w:rPr>
        <w:t xml:space="preserve"> </w:t>
      </w:r>
      <w:r w:rsidR="00DB5579" w:rsidRPr="00C06F2E">
        <w:rPr>
          <w:lang w:val="sk-SK" w:eastAsia="cs-CZ"/>
        </w:rPr>
        <w:t>oproti 27,5 </w:t>
      </w:r>
      <w:r w:rsidRPr="00C06F2E">
        <w:rPr>
          <w:lang w:val="sk-SK" w:eastAsia="cs-CZ"/>
        </w:rPr>
        <w:t>% v</w:t>
      </w:r>
      <w:r w:rsidR="00DB5579" w:rsidRPr="00C06F2E">
        <w:rPr>
          <w:lang w:val="sk-SK" w:eastAsia="cs-CZ"/>
        </w:rPr>
        <w:t> </w:t>
      </w:r>
      <w:r w:rsidRPr="00C06F2E">
        <w:rPr>
          <w:lang w:val="sk-SK" w:eastAsia="cs-CZ"/>
        </w:rPr>
        <w:t>skupine s</w:t>
      </w:r>
      <w:r w:rsidR="00DB5579" w:rsidRPr="00C06F2E">
        <w:rPr>
          <w:lang w:val="sk-SK" w:eastAsia="cs-CZ"/>
        </w:rPr>
        <w:t> </w:t>
      </w:r>
      <w:r w:rsidRPr="00C06F2E">
        <w:rPr>
          <w:lang w:val="sk-SK" w:eastAsia="cs-CZ"/>
        </w:rPr>
        <w:t>placebom (p = 0,004).</w:t>
      </w:r>
    </w:p>
    <w:p w14:paraId="144746F0" w14:textId="77777777" w:rsidR="00A74CD2" w:rsidRPr="00C06F2E" w:rsidRDefault="00A74CD2" w:rsidP="00E60C58">
      <w:pPr>
        <w:autoSpaceDE w:val="0"/>
        <w:autoSpaceDN w:val="0"/>
        <w:adjustRightInd w:val="0"/>
        <w:spacing w:after="0"/>
        <w:jc w:val="left"/>
        <w:rPr>
          <w:lang w:val="sk-SK" w:eastAsia="cs-CZ"/>
        </w:rPr>
      </w:pPr>
    </w:p>
    <w:p w14:paraId="5A89F22D" w14:textId="6DF15E19" w:rsidR="007B2947" w:rsidRPr="00C06F2E" w:rsidRDefault="00583E41" w:rsidP="00E60C58">
      <w:pPr>
        <w:autoSpaceDE w:val="0"/>
        <w:autoSpaceDN w:val="0"/>
        <w:adjustRightInd w:val="0"/>
        <w:spacing w:after="0"/>
        <w:jc w:val="left"/>
        <w:rPr>
          <w:lang w:val="sk-SK" w:eastAsia="cs-CZ"/>
        </w:rPr>
      </w:pPr>
      <w:r w:rsidRPr="00C06F2E">
        <w:rPr>
          <w:lang w:val="sk-SK" w:eastAsia="cs-CZ"/>
        </w:rPr>
        <w:t>Prínos erlotinibu</w:t>
      </w:r>
      <w:r w:rsidRPr="00C06F2E">
        <w:rPr>
          <w:lang w:val="sk-SK"/>
        </w:rPr>
        <w:t xml:space="preserve"> </w:t>
      </w:r>
      <w:r w:rsidRPr="00C06F2E">
        <w:rPr>
          <w:lang w:val="sk-SK" w:eastAsia="cs-CZ"/>
        </w:rPr>
        <w:t xml:space="preserve">vzhľadom na prežitie sa pozoroval aj u pacientov, ktorí nedosiahli objektívnu odpoveď karcinómu (na základe RECIST). Dosvedčuje </w:t>
      </w:r>
      <w:r w:rsidR="00DB5579" w:rsidRPr="00C06F2E">
        <w:rPr>
          <w:lang w:val="sk-SK" w:eastAsia="cs-CZ"/>
        </w:rPr>
        <w:t>to miera rizika úmrtia 0,82 (95 </w:t>
      </w:r>
      <w:r w:rsidRPr="00C06F2E">
        <w:rPr>
          <w:lang w:val="sk-SK" w:eastAsia="cs-CZ"/>
        </w:rPr>
        <w:t>% IS, 0,68-0,99)</w:t>
      </w:r>
      <w:r w:rsidR="00DB5579" w:rsidRPr="00C06F2E">
        <w:rPr>
          <w:lang w:val="sk-SK" w:eastAsia="cs-CZ"/>
        </w:rPr>
        <w:t xml:space="preserve"> u </w:t>
      </w:r>
      <w:r w:rsidRPr="00C06F2E">
        <w:rPr>
          <w:lang w:val="sk-SK" w:eastAsia="cs-CZ"/>
        </w:rPr>
        <w:t>pacientov, ktorých najlepšou odpoveďou bola stabilizácia ochorenia alebo progresia ochorenia.</w:t>
      </w:r>
    </w:p>
    <w:p w14:paraId="5B4E5F9C" w14:textId="77777777" w:rsidR="00583E41" w:rsidRPr="00C06F2E" w:rsidRDefault="00583E41" w:rsidP="00E60C58">
      <w:pPr>
        <w:autoSpaceDE w:val="0"/>
        <w:autoSpaceDN w:val="0"/>
        <w:adjustRightInd w:val="0"/>
        <w:spacing w:after="0"/>
        <w:jc w:val="left"/>
        <w:rPr>
          <w:lang w:val="sk-SK" w:eastAsia="cs-CZ"/>
        </w:rPr>
      </w:pPr>
    </w:p>
    <w:p w14:paraId="56CC50D3" w14:textId="68ADA638" w:rsidR="007B2947" w:rsidRPr="00C06F2E" w:rsidRDefault="00395BC9" w:rsidP="00E60C58">
      <w:pPr>
        <w:autoSpaceDE w:val="0"/>
        <w:autoSpaceDN w:val="0"/>
        <w:adjustRightInd w:val="0"/>
        <w:spacing w:after="0"/>
        <w:jc w:val="left"/>
        <w:rPr>
          <w:lang w:val="sk-SK" w:eastAsia="cs-CZ"/>
        </w:rPr>
      </w:pPr>
      <w:r w:rsidRPr="00C06F2E">
        <w:rPr>
          <w:lang w:val="sk-SK" w:eastAsia="cs-CZ"/>
        </w:rPr>
        <w:t>Podávanie erlotinibu viedlo k</w:t>
      </w:r>
      <w:r w:rsidR="00DB5579" w:rsidRPr="00C06F2E">
        <w:rPr>
          <w:lang w:val="sk-SK" w:eastAsia="cs-CZ"/>
        </w:rPr>
        <w:t> </w:t>
      </w:r>
      <w:r w:rsidRPr="00C06F2E">
        <w:rPr>
          <w:lang w:val="sk-SK" w:eastAsia="cs-CZ"/>
        </w:rPr>
        <w:t>zlepšeniu príznakov v</w:t>
      </w:r>
      <w:r w:rsidR="00DB5579" w:rsidRPr="00C06F2E">
        <w:rPr>
          <w:lang w:val="sk-SK" w:eastAsia="cs-CZ"/>
        </w:rPr>
        <w:t> </w:t>
      </w:r>
      <w:r w:rsidRPr="00C06F2E">
        <w:rPr>
          <w:lang w:val="sk-SK" w:eastAsia="cs-CZ"/>
        </w:rPr>
        <w:t>zmysle signifikantne predĺženej doby do zhoršenia kašľa, dušnosti a bolesti oproti placebu.</w:t>
      </w:r>
    </w:p>
    <w:p w14:paraId="0D0AF561" w14:textId="77777777" w:rsidR="00395BC9" w:rsidRPr="00C06F2E" w:rsidRDefault="00395BC9" w:rsidP="00E60C58">
      <w:pPr>
        <w:autoSpaceDE w:val="0"/>
        <w:autoSpaceDN w:val="0"/>
        <w:adjustRightInd w:val="0"/>
        <w:spacing w:after="0"/>
        <w:jc w:val="left"/>
        <w:rPr>
          <w:lang w:val="sk-SK" w:eastAsia="cs-CZ"/>
        </w:rPr>
      </w:pPr>
    </w:p>
    <w:p w14:paraId="4055E9AC" w14:textId="4CC4EBC6" w:rsidR="00E47CF5" w:rsidRPr="00C06F2E" w:rsidRDefault="00395BC9" w:rsidP="00E60C58">
      <w:pPr>
        <w:spacing w:after="0"/>
        <w:jc w:val="left"/>
        <w:rPr>
          <w:lang w:val="sk-SK"/>
        </w:rPr>
      </w:pPr>
      <w:r w:rsidRPr="00C06F2E">
        <w:rPr>
          <w:lang w:val="sk-SK"/>
        </w:rPr>
        <w:t xml:space="preserve">V dvojito zaslepenej, randomizovanej štúdii </w:t>
      </w:r>
      <w:r w:rsidR="00DB5579" w:rsidRPr="00C06F2E">
        <w:rPr>
          <w:lang w:val="sk-SK"/>
        </w:rPr>
        <w:t>III. fázy (MO22162 CURRENTS), v </w:t>
      </w:r>
      <w:r w:rsidRPr="00C06F2E">
        <w:rPr>
          <w:lang w:val="sk-SK"/>
        </w:rPr>
        <w:t xml:space="preserve">ktorej sa porovnávali dve dávky </w:t>
      </w:r>
      <w:r w:rsidRPr="00C06F2E">
        <w:rPr>
          <w:spacing w:val="-1"/>
          <w:lang w:val="sk-SK"/>
        </w:rPr>
        <w:t xml:space="preserve">erlotinibu </w:t>
      </w:r>
      <w:r w:rsidRPr="00C06F2E">
        <w:rPr>
          <w:lang w:val="sk-SK"/>
        </w:rPr>
        <w:t>(300</w:t>
      </w:r>
      <w:r w:rsidR="00DB5579" w:rsidRPr="00C06F2E">
        <w:rPr>
          <w:lang w:val="sk-SK"/>
        </w:rPr>
        <w:t> </w:t>
      </w:r>
      <w:r w:rsidRPr="00C06F2E">
        <w:rPr>
          <w:lang w:val="sk-SK"/>
        </w:rPr>
        <w:t>mg voči 150</w:t>
      </w:r>
      <w:r w:rsidR="00DB5579" w:rsidRPr="00C06F2E">
        <w:rPr>
          <w:lang w:val="sk-SK"/>
        </w:rPr>
        <w:t> </w:t>
      </w:r>
      <w:r w:rsidRPr="00C06F2E">
        <w:rPr>
          <w:lang w:val="sk-SK"/>
        </w:rPr>
        <w:t>mg) u</w:t>
      </w:r>
      <w:r w:rsidR="00DB5579" w:rsidRPr="00C06F2E">
        <w:rPr>
          <w:lang w:val="sk-SK"/>
        </w:rPr>
        <w:t> </w:t>
      </w:r>
      <w:r w:rsidRPr="00C06F2E">
        <w:rPr>
          <w:lang w:val="sk-SK"/>
        </w:rPr>
        <w:t>súčasných fajčiarov (priemerne 38 balení cigariet ročne) s</w:t>
      </w:r>
      <w:r w:rsidR="00DB5579" w:rsidRPr="00C06F2E">
        <w:rPr>
          <w:lang w:val="sk-SK"/>
        </w:rPr>
        <w:t> </w:t>
      </w:r>
      <w:r w:rsidRPr="00C06F2E">
        <w:rPr>
          <w:lang w:val="sk-SK"/>
        </w:rPr>
        <w:t>lokálne pokroči</w:t>
      </w:r>
      <w:r w:rsidR="00DB5579" w:rsidRPr="00C06F2E">
        <w:rPr>
          <w:lang w:val="sk-SK"/>
        </w:rPr>
        <w:t>lým alebo metastatickým NSCLC v </w:t>
      </w:r>
      <w:r w:rsidRPr="00C06F2E">
        <w:rPr>
          <w:lang w:val="sk-SK"/>
        </w:rPr>
        <w:t>druhej línii liečby, po zlyhaní predchádzajúcej chemoterapie, nepreukázala dávka 300</w:t>
      </w:r>
      <w:r w:rsidR="00DB5579" w:rsidRPr="00C06F2E">
        <w:rPr>
          <w:lang w:val="sk-SK"/>
        </w:rPr>
        <w:t> </w:t>
      </w:r>
      <w:r w:rsidRPr="00C06F2E">
        <w:rPr>
          <w:lang w:val="sk-SK"/>
        </w:rPr>
        <w:t xml:space="preserve">mg </w:t>
      </w:r>
      <w:r w:rsidRPr="00C06F2E">
        <w:rPr>
          <w:spacing w:val="-1"/>
          <w:lang w:val="sk-SK"/>
        </w:rPr>
        <w:t>erlotinibu</w:t>
      </w:r>
      <w:r w:rsidRPr="00C06F2E">
        <w:rPr>
          <w:spacing w:val="-8"/>
          <w:lang w:val="sk-SK"/>
        </w:rPr>
        <w:t xml:space="preserve"> </w:t>
      </w:r>
      <w:r w:rsidRPr="00C06F2E">
        <w:rPr>
          <w:lang w:val="sk-SK"/>
        </w:rPr>
        <w:t>prínos v PFS, v</w:t>
      </w:r>
      <w:r w:rsidR="00DB5579" w:rsidRPr="00C06F2E">
        <w:rPr>
          <w:lang w:val="sk-SK"/>
        </w:rPr>
        <w:t> </w:t>
      </w:r>
      <w:r w:rsidRPr="00C06F2E">
        <w:rPr>
          <w:lang w:val="sk-SK"/>
        </w:rPr>
        <w:t>porovnaní s</w:t>
      </w:r>
      <w:r w:rsidR="00DB5579" w:rsidRPr="00C06F2E">
        <w:rPr>
          <w:lang w:val="sk-SK"/>
        </w:rPr>
        <w:t> </w:t>
      </w:r>
      <w:r w:rsidRPr="00C06F2E">
        <w:rPr>
          <w:lang w:val="sk-SK"/>
        </w:rPr>
        <w:t xml:space="preserve">odporúčanou </w:t>
      </w:r>
      <w:r w:rsidR="00DB5579" w:rsidRPr="00C06F2E">
        <w:rPr>
          <w:lang w:val="sk-SK"/>
        </w:rPr>
        <w:t>dávkou (7,00 voči 6,86 týždňa v </w:t>
      </w:r>
      <w:r w:rsidRPr="00C06F2E">
        <w:rPr>
          <w:lang w:val="sk-SK"/>
        </w:rPr>
        <w:t>uvedenom poradí).</w:t>
      </w:r>
    </w:p>
    <w:p w14:paraId="65376EF8" w14:textId="77777777" w:rsidR="00395BC9" w:rsidRPr="00C06F2E" w:rsidRDefault="00395BC9" w:rsidP="00E60C58">
      <w:pPr>
        <w:spacing w:after="0"/>
        <w:jc w:val="left"/>
        <w:rPr>
          <w:lang w:val="sk-SK"/>
        </w:rPr>
      </w:pPr>
    </w:p>
    <w:p w14:paraId="71DFC186" w14:textId="3E4757BF" w:rsidR="00EF0113" w:rsidRPr="00C06F2E" w:rsidRDefault="00EF0113" w:rsidP="00E60C58">
      <w:pPr>
        <w:pStyle w:val="Zkladntext"/>
        <w:spacing w:after="0"/>
        <w:ind w:right="-1"/>
        <w:jc w:val="left"/>
        <w:rPr>
          <w:spacing w:val="-1"/>
          <w:lang w:val="sk-SK"/>
        </w:rPr>
      </w:pPr>
      <w:r w:rsidRPr="00C06F2E">
        <w:rPr>
          <w:spacing w:val="-1"/>
          <w:lang w:val="sk-SK"/>
        </w:rPr>
        <w:t>Sekundárne koncové ukazovatele účinnosti boli v súlade s primárnym koncovým ukazovateľom a</w:t>
      </w:r>
      <w:r w:rsidR="00DB5579" w:rsidRPr="00C06F2E">
        <w:rPr>
          <w:spacing w:val="-1"/>
          <w:lang w:val="sk-SK"/>
        </w:rPr>
        <w:t> </w:t>
      </w:r>
      <w:r w:rsidRPr="00C06F2E">
        <w:rPr>
          <w:spacing w:val="-1"/>
          <w:lang w:val="sk-SK"/>
        </w:rPr>
        <w:t>u</w:t>
      </w:r>
      <w:r w:rsidR="00DB5579" w:rsidRPr="00C06F2E">
        <w:rPr>
          <w:spacing w:val="-1"/>
          <w:lang w:val="sk-SK"/>
        </w:rPr>
        <w:t> </w:t>
      </w:r>
      <w:r w:rsidRPr="00C06F2E">
        <w:rPr>
          <w:spacing w:val="-1"/>
          <w:lang w:val="sk-SK"/>
        </w:rPr>
        <w:t>pacientov liečených erlotinibom 300</w:t>
      </w:r>
      <w:r w:rsidR="00DB5579" w:rsidRPr="00C06F2E">
        <w:rPr>
          <w:spacing w:val="-1"/>
          <w:lang w:val="sk-SK"/>
        </w:rPr>
        <w:t> </w:t>
      </w:r>
      <w:r w:rsidRPr="00C06F2E">
        <w:rPr>
          <w:spacing w:val="-1"/>
          <w:lang w:val="sk-SK"/>
        </w:rPr>
        <w:t>mg a</w:t>
      </w:r>
      <w:r w:rsidR="00DB5579" w:rsidRPr="00C06F2E">
        <w:rPr>
          <w:spacing w:val="-1"/>
          <w:lang w:val="sk-SK"/>
        </w:rPr>
        <w:t> </w:t>
      </w:r>
      <w:r w:rsidRPr="00C06F2E">
        <w:rPr>
          <w:spacing w:val="-1"/>
          <w:lang w:val="sk-SK"/>
        </w:rPr>
        <w:t>150</w:t>
      </w:r>
      <w:r w:rsidR="00DB5579" w:rsidRPr="00C06F2E">
        <w:rPr>
          <w:spacing w:val="-1"/>
          <w:lang w:val="sk-SK"/>
        </w:rPr>
        <w:t> </w:t>
      </w:r>
      <w:r w:rsidRPr="00C06F2E">
        <w:rPr>
          <w:spacing w:val="-1"/>
          <w:lang w:val="sk-SK"/>
        </w:rPr>
        <w:t>mg denne sa nezistil žiadny rozdiel v OS (HR 1,03, 95</w:t>
      </w:r>
      <w:r w:rsidR="00DB5579" w:rsidRPr="00C06F2E">
        <w:rPr>
          <w:spacing w:val="-1"/>
          <w:lang w:val="sk-SK"/>
        </w:rPr>
        <w:t> </w:t>
      </w:r>
      <w:r w:rsidRPr="00C06F2E">
        <w:rPr>
          <w:spacing w:val="-1"/>
          <w:lang w:val="sk-SK"/>
        </w:rPr>
        <w:t>% IS 0,80 až 1,32). Bezpečnostné údaje boli porovnateľné medzi dávkami 300</w:t>
      </w:r>
      <w:r w:rsidR="00DB5579" w:rsidRPr="00C06F2E">
        <w:rPr>
          <w:spacing w:val="-1"/>
          <w:lang w:val="sk-SK"/>
        </w:rPr>
        <w:t> </w:t>
      </w:r>
      <w:r w:rsidRPr="00C06F2E">
        <w:rPr>
          <w:spacing w:val="-1"/>
          <w:lang w:val="sk-SK"/>
        </w:rPr>
        <w:t>mg a</w:t>
      </w:r>
      <w:r w:rsidR="00DB5579" w:rsidRPr="00C06F2E">
        <w:rPr>
          <w:spacing w:val="-1"/>
          <w:lang w:val="sk-SK"/>
        </w:rPr>
        <w:t> </w:t>
      </w:r>
      <w:r w:rsidRPr="00C06F2E">
        <w:rPr>
          <w:spacing w:val="-1"/>
          <w:lang w:val="sk-SK"/>
        </w:rPr>
        <w:t>150</w:t>
      </w:r>
      <w:r w:rsidR="00DB5579" w:rsidRPr="00C06F2E">
        <w:rPr>
          <w:spacing w:val="-1"/>
          <w:lang w:val="sk-SK"/>
        </w:rPr>
        <w:t> </w:t>
      </w:r>
      <w:r w:rsidRPr="00C06F2E">
        <w:rPr>
          <w:spacing w:val="-1"/>
          <w:lang w:val="sk-SK"/>
        </w:rPr>
        <w:t>mg; avšak u</w:t>
      </w:r>
      <w:r w:rsidR="00DB5579" w:rsidRPr="00C06F2E">
        <w:rPr>
          <w:spacing w:val="-1"/>
          <w:lang w:val="sk-SK"/>
        </w:rPr>
        <w:t> </w:t>
      </w:r>
      <w:r w:rsidRPr="00C06F2E">
        <w:rPr>
          <w:spacing w:val="-1"/>
          <w:lang w:val="sk-SK"/>
        </w:rPr>
        <w:t>pacientov, ktorí dostávali vyššiu dávku erlotinibu, došlo k</w:t>
      </w:r>
      <w:r w:rsidR="00DB5579" w:rsidRPr="00C06F2E">
        <w:rPr>
          <w:spacing w:val="-1"/>
          <w:lang w:val="sk-SK"/>
        </w:rPr>
        <w:t> </w:t>
      </w:r>
      <w:r w:rsidRPr="00C06F2E">
        <w:rPr>
          <w:spacing w:val="-1"/>
          <w:lang w:val="sk-SK"/>
        </w:rPr>
        <w:t>početnému zvýšeniu výskytu vyrážky, intersticiálnej choroby pľúc a hnačky. Na základe údajov zo štúdie CURRENTS sa nepozoroval žiadny dôkaz o prínose vyššej dávky erlotinibu 300</w:t>
      </w:r>
      <w:r w:rsidR="00CB4BF6" w:rsidRPr="00C06F2E">
        <w:rPr>
          <w:spacing w:val="-1"/>
          <w:lang w:val="sk-SK"/>
        </w:rPr>
        <w:t> </w:t>
      </w:r>
      <w:r w:rsidRPr="00C06F2E">
        <w:rPr>
          <w:spacing w:val="-1"/>
          <w:lang w:val="sk-SK"/>
        </w:rPr>
        <w:t>mg v</w:t>
      </w:r>
      <w:r w:rsidR="00CB4BF6" w:rsidRPr="00C06F2E">
        <w:rPr>
          <w:spacing w:val="-1"/>
          <w:lang w:val="sk-SK"/>
        </w:rPr>
        <w:t> porovnaní s </w:t>
      </w:r>
      <w:r w:rsidRPr="00C06F2E">
        <w:rPr>
          <w:spacing w:val="-1"/>
          <w:lang w:val="sk-SK"/>
        </w:rPr>
        <w:t>odporúčanou dávkou 150</w:t>
      </w:r>
      <w:r w:rsidR="00CB4BF6" w:rsidRPr="00C06F2E">
        <w:rPr>
          <w:spacing w:val="-1"/>
          <w:lang w:val="sk-SK"/>
        </w:rPr>
        <w:t> </w:t>
      </w:r>
      <w:r w:rsidRPr="00C06F2E">
        <w:rPr>
          <w:spacing w:val="-1"/>
          <w:lang w:val="sk-SK"/>
        </w:rPr>
        <w:t>mg u</w:t>
      </w:r>
      <w:r w:rsidR="00CB4BF6" w:rsidRPr="00C06F2E">
        <w:rPr>
          <w:spacing w:val="-1"/>
          <w:lang w:val="sk-SK"/>
        </w:rPr>
        <w:t> </w:t>
      </w:r>
      <w:r w:rsidRPr="00C06F2E">
        <w:rPr>
          <w:spacing w:val="-1"/>
          <w:lang w:val="sk-SK"/>
        </w:rPr>
        <w:t>aktívnych fajčiarov.</w:t>
      </w:r>
    </w:p>
    <w:p w14:paraId="01E59241" w14:textId="77777777" w:rsidR="00EF0113" w:rsidRPr="00C06F2E" w:rsidRDefault="00EF0113" w:rsidP="00E60C58">
      <w:pPr>
        <w:autoSpaceDE w:val="0"/>
        <w:autoSpaceDN w:val="0"/>
        <w:adjustRightInd w:val="0"/>
        <w:spacing w:after="0"/>
        <w:jc w:val="left"/>
        <w:rPr>
          <w:lang w:val="sk-SK" w:eastAsia="cs-CZ"/>
        </w:rPr>
      </w:pPr>
    </w:p>
    <w:p w14:paraId="00AB1A06" w14:textId="43C5593B" w:rsidR="00E47CF5" w:rsidRPr="00C06F2E" w:rsidRDefault="00EF0113" w:rsidP="00E60C58">
      <w:pPr>
        <w:autoSpaceDE w:val="0"/>
        <w:autoSpaceDN w:val="0"/>
        <w:adjustRightInd w:val="0"/>
        <w:spacing w:after="0"/>
        <w:jc w:val="left"/>
        <w:rPr>
          <w:lang w:val="sk-SK" w:eastAsia="cs-CZ"/>
        </w:rPr>
      </w:pPr>
      <w:r w:rsidRPr="00C06F2E">
        <w:rPr>
          <w:lang w:val="sk-SK" w:eastAsia="cs-CZ"/>
        </w:rPr>
        <w:t>Pacienti neboli do tejto štúdie zaraďovaní podľa stavu EGFR mutácií. Pozri časti 4.2, 4.4 ,4.5 a 5.2.</w:t>
      </w:r>
    </w:p>
    <w:p w14:paraId="14865E8A" w14:textId="77777777" w:rsidR="00EF0113" w:rsidRPr="00C06F2E" w:rsidRDefault="00EF0113" w:rsidP="00E60C58">
      <w:pPr>
        <w:autoSpaceDE w:val="0"/>
        <w:autoSpaceDN w:val="0"/>
        <w:adjustRightInd w:val="0"/>
        <w:spacing w:after="0"/>
        <w:jc w:val="left"/>
        <w:rPr>
          <w:lang w:val="sk-SK" w:eastAsia="cs-CZ"/>
        </w:rPr>
      </w:pPr>
    </w:p>
    <w:p w14:paraId="3F120B6E" w14:textId="6A49B4D9" w:rsidR="007B2947" w:rsidRPr="00C06F2E" w:rsidRDefault="00831871" w:rsidP="00E60C58">
      <w:pPr>
        <w:autoSpaceDE w:val="0"/>
        <w:autoSpaceDN w:val="0"/>
        <w:adjustRightInd w:val="0"/>
        <w:spacing w:after="0"/>
        <w:jc w:val="left"/>
        <w:rPr>
          <w:u w:val="single"/>
          <w:lang w:val="sk-SK"/>
        </w:rPr>
      </w:pPr>
      <w:r w:rsidRPr="00A0451B">
        <w:rPr>
          <w:u w:val="single"/>
          <w:lang w:val="sk-SK"/>
        </w:rPr>
        <w:t>Karcinó</w:t>
      </w:r>
      <w:r w:rsidRPr="00C06F2E">
        <w:rPr>
          <w:u w:val="single"/>
          <w:lang w:val="sk-SK"/>
        </w:rPr>
        <w:t>m pankreasu</w:t>
      </w:r>
      <w:r w:rsidR="007B2947" w:rsidRPr="00C06F2E">
        <w:rPr>
          <w:u w:val="single"/>
          <w:lang w:val="sk-SK"/>
        </w:rPr>
        <w:t xml:space="preserve"> (</w:t>
      </w:r>
      <w:r w:rsidR="007B2947" w:rsidRPr="00C06F2E">
        <w:rPr>
          <w:u w:val="single"/>
          <w:lang w:val="sk-SK" w:eastAsia="cs-CZ"/>
        </w:rPr>
        <w:t>erlotinib</w:t>
      </w:r>
      <w:r w:rsidR="007B2947" w:rsidRPr="00C06F2E">
        <w:rPr>
          <w:u w:val="single"/>
          <w:lang w:val="sk-SK"/>
        </w:rPr>
        <w:t xml:space="preserve"> </w:t>
      </w:r>
      <w:r w:rsidRPr="00C06F2E">
        <w:rPr>
          <w:u w:val="single"/>
          <w:lang w:val="sk-SK"/>
        </w:rPr>
        <w:t>podávaný súbežne s gemcitabínom v štúdii PA.3</w:t>
      </w:r>
      <w:r w:rsidR="007B2947" w:rsidRPr="00C06F2E">
        <w:rPr>
          <w:u w:val="single"/>
          <w:lang w:val="sk-SK"/>
        </w:rPr>
        <w:t>)</w:t>
      </w:r>
    </w:p>
    <w:p w14:paraId="324D5E18" w14:textId="77777777" w:rsidR="007B2947" w:rsidRPr="00C06F2E" w:rsidRDefault="007B2947" w:rsidP="00E60C58">
      <w:pPr>
        <w:autoSpaceDE w:val="0"/>
        <w:autoSpaceDN w:val="0"/>
        <w:adjustRightInd w:val="0"/>
        <w:spacing w:after="0"/>
        <w:jc w:val="left"/>
        <w:rPr>
          <w:lang w:val="sk-SK" w:eastAsia="cs-CZ"/>
        </w:rPr>
      </w:pPr>
    </w:p>
    <w:p w14:paraId="1DED917D" w14:textId="3AC41B74" w:rsidR="007B2947" w:rsidRPr="00C06F2E" w:rsidRDefault="00831871" w:rsidP="00E60C58">
      <w:pPr>
        <w:autoSpaceDE w:val="0"/>
        <w:autoSpaceDN w:val="0"/>
        <w:adjustRightInd w:val="0"/>
        <w:spacing w:after="0"/>
        <w:jc w:val="left"/>
        <w:rPr>
          <w:lang w:val="sk-SK"/>
        </w:rPr>
      </w:pPr>
      <w:r w:rsidRPr="00C06F2E">
        <w:rPr>
          <w:lang w:val="sk-SK"/>
        </w:rPr>
        <w:t xml:space="preserve">Účinnosť a bezpečnosť erlotinibu </w:t>
      </w:r>
      <w:r w:rsidR="00CB4BF6" w:rsidRPr="00C06F2E">
        <w:rPr>
          <w:lang w:val="sk-SK"/>
        </w:rPr>
        <w:t>v </w:t>
      </w:r>
      <w:r w:rsidRPr="00C06F2E">
        <w:rPr>
          <w:lang w:val="sk-SK"/>
        </w:rPr>
        <w:t>kombinácii s</w:t>
      </w:r>
      <w:r w:rsidR="00CB4BF6" w:rsidRPr="00C06F2E">
        <w:rPr>
          <w:lang w:val="sk-SK"/>
        </w:rPr>
        <w:t> </w:t>
      </w:r>
      <w:r w:rsidRPr="00C06F2E">
        <w:rPr>
          <w:lang w:val="sk-SK"/>
        </w:rPr>
        <w:t>gemcitabínom v</w:t>
      </w:r>
      <w:r w:rsidR="00CB4BF6" w:rsidRPr="00C06F2E">
        <w:rPr>
          <w:lang w:val="sk-SK"/>
        </w:rPr>
        <w:t> </w:t>
      </w:r>
      <w:r w:rsidRPr="00C06F2E">
        <w:rPr>
          <w:lang w:val="sk-SK"/>
        </w:rPr>
        <w:t>prvej línii liečby bola hodnotená v</w:t>
      </w:r>
      <w:r w:rsidR="00CB4BF6" w:rsidRPr="00C06F2E">
        <w:rPr>
          <w:lang w:val="sk-SK"/>
        </w:rPr>
        <w:t> </w:t>
      </w:r>
      <w:r w:rsidRPr="00C06F2E">
        <w:rPr>
          <w:lang w:val="sk-SK"/>
        </w:rPr>
        <w:t>randomizovanej, dvojito zaslepenej, placebom kontrolovanej štúdii u</w:t>
      </w:r>
      <w:r w:rsidR="00CB4BF6" w:rsidRPr="00C06F2E">
        <w:rPr>
          <w:lang w:val="sk-SK"/>
        </w:rPr>
        <w:t> </w:t>
      </w:r>
      <w:r w:rsidRPr="00C06F2E">
        <w:rPr>
          <w:lang w:val="sk-SK"/>
        </w:rPr>
        <w:t>pacientov s</w:t>
      </w:r>
      <w:r w:rsidR="00CB4BF6" w:rsidRPr="00C06F2E">
        <w:rPr>
          <w:lang w:val="sk-SK"/>
        </w:rPr>
        <w:t> </w:t>
      </w:r>
      <w:r w:rsidRPr="00C06F2E">
        <w:rPr>
          <w:lang w:val="sk-SK"/>
        </w:rPr>
        <w:t>lokálne pokročilým neresekovateľným alebo metastatickým karcinómom pankreasu. Pacienti boli randomizovaní na</w:t>
      </w:r>
      <w:r w:rsidR="00CB4BF6" w:rsidRPr="00C06F2E">
        <w:rPr>
          <w:lang w:val="sk-SK"/>
        </w:rPr>
        <w:t> </w:t>
      </w:r>
      <w:r w:rsidRPr="00C06F2E">
        <w:rPr>
          <w:lang w:val="sk-SK"/>
        </w:rPr>
        <w:t xml:space="preserve">užívanie erlotinibu alebo placeba jedenkrát denne pri </w:t>
      </w:r>
      <w:r w:rsidR="00A0451B">
        <w:rPr>
          <w:lang w:val="sk-SK"/>
        </w:rPr>
        <w:t>kontinuálnom</w:t>
      </w:r>
      <w:r w:rsidRPr="00C06F2E">
        <w:rPr>
          <w:lang w:val="sk-SK"/>
        </w:rPr>
        <w:t xml:space="preserve"> režim</w:t>
      </w:r>
      <w:r w:rsidR="00A0451B">
        <w:rPr>
          <w:lang w:val="sk-SK"/>
        </w:rPr>
        <w:t>e</w:t>
      </w:r>
      <w:r w:rsidRPr="00C06F2E">
        <w:rPr>
          <w:lang w:val="sk-SK"/>
        </w:rPr>
        <w:t xml:space="preserve"> s</w:t>
      </w:r>
      <w:r w:rsidR="00CB4BF6" w:rsidRPr="00C06F2E">
        <w:rPr>
          <w:lang w:val="sk-SK"/>
        </w:rPr>
        <w:t> </w:t>
      </w:r>
      <w:r w:rsidRPr="00C06F2E">
        <w:rPr>
          <w:lang w:val="sk-SK"/>
        </w:rPr>
        <w:t xml:space="preserve">gemcitabínom i.v. </w:t>
      </w:r>
      <w:r w:rsidRPr="00C06F2E">
        <w:rPr>
          <w:lang w:val="sk-SK"/>
        </w:rPr>
        <w:lastRenderedPageBreak/>
        <w:t>(1</w:t>
      </w:r>
      <w:r w:rsidR="00CB4BF6" w:rsidRPr="00C06F2E">
        <w:rPr>
          <w:lang w:val="sk-SK"/>
        </w:rPr>
        <w:t> </w:t>
      </w:r>
      <w:r w:rsidRPr="00C06F2E">
        <w:rPr>
          <w:lang w:val="sk-SK"/>
        </w:rPr>
        <w:t>000</w:t>
      </w:r>
      <w:r w:rsidR="00CB4BF6" w:rsidRPr="00C06F2E">
        <w:rPr>
          <w:lang w:val="sk-SK"/>
        </w:rPr>
        <w:t> </w:t>
      </w:r>
      <w:r w:rsidRPr="00C06F2E">
        <w:rPr>
          <w:lang w:val="sk-SK"/>
        </w:rPr>
        <w:t>mg/m</w:t>
      </w:r>
      <w:r w:rsidRPr="00C06F2E">
        <w:rPr>
          <w:vertAlign w:val="superscript"/>
          <w:lang w:val="sk-SK"/>
        </w:rPr>
        <w:t>2</w:t>
      </w:r>
      <w:r w:rsidRPr="00C06F2E">
        <w:rPr>
          <w:lang w:val="sk-SK"/>
        </w:rPr>
        <w:t xml:space="preserve">, Cyklus 1 - dni </w:t>
      </w:r>
      <w:r w:rsidR="00CB4BF6" w:rsidRPr="00C06F2E">
        <w:rPr>
          <w:lang w:val="sk-SK"/>
        </w:rPr>
        <w:t>1, 8, 15, 22, 29, 36 a 43 pri 8 </w:t>
      </w:r>
      <w:r w:rsidRPr="00C06F2E">
        <w:rPr>
          <w:lang w:val="sk-SK"/>
        </w:rPr>
        <w:t>týždňovom cykle, Cyklus 2 a nasledujúce cykly – dni 1, 8 a 15 pri 4</w:t>
      </w:r>
      <w:r w:rsidR="00CB4BF6" w:rsidRPr="00C06F2E">
        <w:rPr>
          <w:lang w:val="sk-SK"/>
        </w:rPr>
        <w:t> </w:t>
      </w:r>
      <w:r w:rsidRPr="00C06F2E">
        <w:rPr>
          <w:lang w:val="sk-SK"/>
        </w:rPr>
        <w:t xml:space="preserve">týždňovom cykle [schválené dávkovanie a režim pre karcinóm pankreasu pozri SPC gemcitabínu]). </w:t>
      </w:r>
      <w:r w:rsidR="00B331F6" w:rsidRPr="00C06F2E">
        <w:rPr>
          <w:lang w:val="sk-SK" w:eastAsia="cs-CZ"/>
        </w:rPr>
        <w:t>Erlotinib</w:t>
      </w:r>
      <w:r w:rsidR="00B331F6" w:rsidRPr="00C06F2E">
        <w:rPr>
          <w:lang w:val="sk-SK"/>
        </w:rPr>
        <w:t xml:space="preserve"> </w:t>
      </w:r>
      <w:r w:rsidRPr="00C06F2E">
        <w:rPr>
          <w:lang w:val="sk-SK"/>
        </w:rPr>
        <w:t>alebo placebo sa užívali perorálne jedenkrát denne až do progresie ochorenia alebo neakceptovateľnej toxicity. Primárnym koncovým ukazovateľom bolo celkové prežívanie.</w:t>
      </w:r>
    </w:p>
    <w:p w14:paraId="1930C5EA" w14:textId="77777777" w:rsidR="00831871" w:rsidRPr="00C06F2E" w:rsidRDefault="00831871" w:rsidP="00E60C58">
      <w:pPr>
        <w:autoSpaceDE w:val="0"/>
        <w:autoSpaceDN w:val="0"/>
        <w:adjustRightInd w:val="0"/>
        <w:spacing w:after="0"/>
        <w:jc w:val="left"/>
        <w:rPr>
          <w:lang w:val="sk-SK"/>
        </w:rPr>
      </w:pPr>
    </w:p>
    <w:p w14:paraId="6CD745E0" w14:textId="55ED2684" w:rsidR="00B331F6" w:rsidRPr="00C06F2E" w:rsidRDefault="00B331F6" w:rsidP="00E60C58">
      <w:pPr>
        <w:autoSpaceDE w:val="0"/>
        <w:autoSpaceDN w:val="0"/>
        <w:adjustRightInd w:val="0"/>
        <w:spacing w:after="0"/>
        <w:jc w:val="left"/>
        <w:rPr>
          <w:lang w:val="sk-SK"/>
        </w:rPr>
      </w:pPr>
      <w:r w:rsidRPr="00C06F2E">
        <w:rPr>
          <w:lang w:val="sk-SK"/>
        </w:rPr>
        <w:t>Vstupné demografické údaje a charakteristiky ochorenia pacientov boli podobné medzi obi</w:t>
      </w:r>
      <w:r w:rsidR="00CB4BF6" w:rsidRPr="00C06F2E">
        <w:rPr>
          <w:lang w:val="sk-SK"/>
        </w:rPr>
        <w:t>dvoma liečebnými skupinami, 100 </w:t>
      </w:r>
      <w:r w:rsidRPr="00C06F2E">
        <w:rPr>
          <w:lang w:val="sk-SK"/>
        </w:rPr>
        <w:t>mg</w:t>
      </w:r>
      <w:r w:rsidRPr="00C06F2E">
        <w:rPr>
          <w:lang w:val="sk-SK" w:eastAsia="en-GB"/>
        </w:rPr>
        <w:t xml:space="preserve"> erlotinibu</w:t>
      </w:r>
      <w:r w:rsidRPr="00C06F2E">
        <w:rPr>
          <w:lang w:val="sk-SK"/>
        </w:rPr>
        <w:t xml:space="preserve"> plus gemcitabín alebo placebo plus gemcitabín, okrem mierne väčšieho počtu žien v</w:t>
      </w:r>
      <w:r w:rsidR="00CB4BF6" w:rsidRPr="00C06F2E">
        <w:rPr>
          <w:lang w:val="sk-SK"/>
        </w:rPr>
        <w:t> </w:t>
      </w:r>
      <w:r w:rsidRPr="00C06F2E">
        <w:rPr>
          <w:lang w:val="sk-SK"/>
        </w:rPr>
        <w:t>skupine s</w:t>
      </w:r>
      <w:r w:rsidR="00CB4BF6" w:rsidRPr="00C06F2E">
        <w:rPr>
          <w:lang w:val="sk-SK"/>
        </w:rPr>
        <w:t> </w:t>
      </w:r>
      <w:r w:rsidRPr="00C06F2E">
        <w:rPr>
          <w:lang w:val="sk-SK"/>
        </w:rPr>
        <w:t>erlotinibom/gemcitabínom v</w:t>
      </w:r>
      <w:r w:rsidR="00CB4BF6" w:rsidRPr="00C06F2E">
        <w:rPr>
          <w:lang w:val="sk-SK"/>
        </w:rPr>
        <w:t> porovnaní so </w:t>
      </w:r>
      <w:r w:rsidRPr="00C06F2E">
        <w:rPr>
          <w:lang w:val="sk-SK"/>
        </w:rPr>
        <w:t>skupinou s</w:t>
      </w:r>
      <w:r w:rsidR="00CB4BF6" w:rsidRPr="00C06F2E">
        <w:rPr>
          <w:lang w:val="sk-SK"/>
        </w:rPr>
        <w:t> </w:t>
      </w:r>
      <w:r w:rsidRPr="00C06F2E">
        <w:rPr>
          <w:lang w:val="sk-SK"/>
        </w:rPr>
        <w:t>placebom/gemcitabínom:</w:t>
      </w:r>
    </w:p>
    <w:p w14:paraId="353945D7" w14:textId="77777777" w:rsidR="007B2947" w:rsidRPr="00C06F2E" w:rsidRDefault="007B2947" w:rsidP="00E60C58">
      <w:pPr>
        <w:autoSpaceDE w:val="0"/>
        <w:autoSpaceDN w:val="0"/>
        <w:adjustRightInd w:val="0"/>
        <w:spacing w:after="0"/>
        <w:jc w:val="left"/>
        <w:rPr>
          <w:lang w:val="sk-SK"/>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0"/>
        <w:gridCol w:w="1575"/>
        <w:gridCol w:w="2593"/>
      </w:tblGrid>
      <w:tr w:rsidR="007B2947" w:rsidRPr="00C06F2E" w14:paraId="47E27942" w14:textId="77777777" w:rsidTr="00A74CD2">
        <w:trPr>
          <w:jc w:val="center"/>
        </w:trPr>
        <w:tc>
          <w:tcPr>
            <w:tcW w:w="4620" w:type="dxa"/>
          </w:tcPr>
          <w:p w14:paraId="713922A4" w14:textId="27E1C5F3" w:rsidR="007B2947" w:rsidRPr="00C06F2E" w:rsidRDefault="00B331F6" w:rsidP="0028022E">
            <w:pPr>
              <w:autoSpaceDE w:val="0"/>
              <w:autoSpaceDN w:val="0"/>
              <w:adjustRightInd w:val="0"/>
              <w:spacing w:after="0"/>
              <w:rPr>
                <w:b/>
              </w:rPr>
            </w:pPr>
            <w:r w:rsidRPr="00C06F2E">
              <w:rPr>
                <w:b/>
              </w:rPr>
              <w:t>Východiskové hodnoty</w:t>
            </w:r>
          </w:p>
        </w:tc>
        <w:tc>
          <w:tcPr>
            <w:tcW w:w="1575" w:type="dxa"/>
          </w:tcPr>
          <w:p w14:paraId="37F2F01B" w14:textId="77777777" w:rsidR="007B2947" w:rsidRPr="00C06F2E" w:rsidRDefault="007B2947" w:rsidP="0028022E">
            <w:pPr>
              <w:autoSpaceDE w:val="0"/>
              <w:autoSpaceDN w:val="0"/>
              <w:adjustRightInd w:val="0"/>
              <w:spacing w:after="0"/>
              <w:rPr>
                <w:b/>
              </w:rPr>
            </w:pPr>
            <w:r w:rsidRPr="00C06F2E">
              <w:rPr>
                <w:b/>
                <w:lang w:eastAsia="cs-CZ"/>
              </w:rPr>
              <w:t>Erlotinib</w:t>
            </w:r>
          </w:p>
        </w:tc>
        <w:tc>
          <w:tcPr>
            <w:tcW w:w="2593" w:type="dxa"/>
          </w:tcPr>
          <w:p w14:paraId="7DF1FF77" w14:textId="77777777" w:rsidR="007B2947" w:rsidRPr="00C06F2E" w:rsidRDefault="007B2947" w:rsidP="0028022E">
            <w:pPr>
              <w:autoSpaceDE w:val="0"/>
              <w:autoSpaceDN w:val="0"/>
              <w:adjustRightInd w:val="0"/>
              <w:spacing w:after="0"/>
              <w:rPr>
                <w:b/>
              </w:rPr>
            </w:pPr>
            <w:r w:rsidRPr="00C06F2E">
              <w:rPr>
                <w:b/>
              </w:rPr>
              <w:t>Placebo</w:t>
            </w:r>
          </w:p>
        </w:tc>
      </w:tr>
      <w:tr w:rsidR="007B2947" w:rsidRPr="00C06F2E" w14:paraId="6B8F2BC8" w14:textId="77777777" w:rsidTr="00A74CD2">
        <w:trPr>
          <w:jc w:val="center"/>
        </w:trPr>
        <w:tc>
          <w:tcPr>
            <w:tcW w:w="4620" w:type="dxa"/>
          </w:tcPr>
          <w:p w14:paraId="5652AAB9" w14:textId="0FB010CC" w:rsidR="007B2947" w:rsidRPr="00C06F2E" w:rsidRDefault="00B331F6" w:rsidP="0028022E">
            <w:pPr>
              <w:autoSpaceDE w:val="0"/>
              <w:autoSpaceDN w:val="0"/>
              <w:adjustRightInd w:val="0"/>
              <w:spacing w:after="0"/>
            </w:pPr>
            <w:r w:rsidRPr="00C06F2E">
              <w:t>Ženy</w:t>
            </w:r>
          </w:p>
        </w:tc>
        <w:tc>
          <w:tcPr>
            <w:tcW w:w="1575" w:type="dxa"/>
          </w:tcPr>
          <w:p w14:paraId="3C6C5B91" w14:textId="62A4FA28" w:rsidR="007B2947" w:rsidRPr="00C06F2E" w:rsidRDefault="007B2947" w:rsidP="0028022E">
            <w:pPr>
              <w:autoSpaceDE w:val="0"/>
              <w:autoSpaceDN w:val="0"/>
              <w:adjustRightInd w:val="0"/>
              <w:spacing w:after="0"/>
            </w:pPr>
            <w:r w:rsidRPr="00C06F2E">
              <w:t>51</w:t>
            </w:r>
            <w:r w:rsidR="00B331F6" w:rsidRPr="00C06F2E">
              <w:t> </w:t>
            </w:r>
            <w:r w:rsidRPr="00C06F2E">
              <w:t>%</w:t>
            </w:r>
          </w:p>
        </w:tc>
        <w:tc>
          <w:tcPr>
            <w:tcW w:w="2593" w:type="dxa"/>
          </w:tcPr>
          <w:p w14:paraId="240193C8" w14:textId="6E1DB190" w:rsidR="007B2947" w:rsidRPr="00C06F2E" w:rsidRDefault="007B2947" w:rsidP="0028022E">
            <w:pPr>
              <w:autoSpaceDE w:val="0"/>
              <w:autoSpaceDN w:val="0"/>
              <w:adjustRightInd w:val="0"/>
              <w:spacing w:after="0"/>
            </w:pPr>
            <w:r w:rsidRPr="00C06F2E">
              <w:t>44</w:t>
            </w:r>
            <w:r w:rsidR="00B331F6" w:rsidRPr="00C06F2E">
              <w:t> </w:t>
            </w:r>
            <w:r w:rsidRPr="00C06F2E">
              <w:t>%</w:t>
            </w:r>
          </w:p>
        </w:tc>
      </w:tr>
      <w:tr w:rsidR="007B2947" w:rsidRPr="00C06F2E" w14:paraId="1913AD9F" w14:textId="77777777" w:rsidTr="00A74CD2">
        <w:trPr>
          <w:jc w:val="center"/>
        </w:trPr>
        <w:tc>
          <w:tcPr>
            <w:tcW w:w="4620" w:type="dxa"/>
          </w:tcPr>
          <w:p w14:paraId="6E8F8679" w14:textId="105E1446" w:rsidR="007B2947" w:rsidRPr="00C06F2E" w:rsidRDefault="00B331F6" w:rsidP="00362D92">
            <w:pPr>
              <w:autoSpaceDE w:val="0"/>
              <w:autoSpaceDN w:val="0"/>
              <w:adjustRightInd w:val="0"/>
              <w:spacing w:after="0"/>
              <w:jc w:val="left"/>
            </w:pPr>
            <w:r w:rsidRPr="00C06F2E">
              <w:t>Východiskový</w:t>
            </w:r>
            <w:r w:rsidR="00421288">
              <w:t xml:space="preserve"> </w:t>
            </w:r>
            <w:r w:rsidRPr="00C06F2E">
              <w:t>výkonnostný</w:t>
            </w:r>
            <w:r w:rsidR="007B2947" w:rsidRPr="00C06F2E">
              <w:t xml:space="preserve"> </w:t>
            </w:r>
            <w:r w:rsidRPr="00C06F2E">
              <w:t>stav</w:t>
            </w:r>
            <w:r w:rsidR="007B2947" w:rsidRPr="00C06F2E">
              <w:t xml:space="preserve"> (PS) </w:t>
            </w:r>
            <w:r w:rsidR="00421288">
              <w:t>podľa ECOG</w:t>
            </w:r>
            <w:r w:rsidR="007B2947" w:rsidRPr="00C06F2E">
              <w:t>= 0</w:t>
            </w:r>
          </w:p>
        </w:tc>
        <w:tc>
          <w:tcPr>
            <w:tcW w:w="1575" w:type="dxa"/>
          </w:tcPr>
          <w:p w14:paraId="1326C2AD" w14:textId="0431C3C6" w:rsidR="007B2947" w:rsidRPr="00C06F2E" w:rsidRDefault="007B2947" w:rsidP="0028022E">
            <w:pPr>
              <w:autoSpaceDE w:val="0"/>
              <w:autoSpaceDN w:val="0"/>
              <w:adjustRightInd w:val="0"/>
              <w:spacing w:after="0"/>
            </w:pPr>
            <w:r w:rsidRPr="00C06F2E">
              <w:t>31</w:t>
            </w:r>
            <w:r w:rsidR="00B331F6" w:rsidRPr="00C06F2E">
              <w:t> </w:t>
            </w:r>
            <w:r w:rsidRPr="00C06F2E">
              <w:t>%</w:t>
            </w:r>
          </w:p>
        </w:tc>
        <w:tc>
          <w:tcPr>
            <w:tcW w:w="2593" w:type="dxa"/>
          </w:tcPr>
          <w:p w14:paraId="51071DEB" w14:textId="043029F9" w:rsidR="007B2947" w:rsidRPr="00C06F2E" w:rsidRDefault="007B2947" w:rsidP="0028022E">
            <w:pPr>
              <w:autoSpaceDE w:val="0"/>
              <w:autoSpaceDN w:val="0"/>
              <w:adjustRightInd w:val="0"/>
              <w:spacing w:after="0"/>
            </w:pPr>
            <w:r w:rsidRPr="00C06F2E">
              <w:t>32</w:t>
            </w:r>
            <w:r w:rsidR="00B331F6" w:rsidRPr="00C06F2E">
              <w:t> </w:t>
            </w:r>
            <w:r w:rsidRPr="00C06F2E">
              <w:t>%</w:t>
            </w:r>
          </w:p>
        </w:tc>
      </w:tr>
      <w:tr w:rsidR="007B2947" w:rsidRPr="00C06F2E" w14:paraId="22DAD35B" w14:textId="77777777" w:rsidTr="00A74CD2">
        <w:trPr>
          <w:jc w:val="center"/>
        </w:trPr>
        <w:tc>
          <w:tcPr>
            <w:tcW w:w="4620" w:type="dxa"/>
          </w:tcPr>
          <w:p w14:paraId="22F859CC" w14:textId="043C80D3" w:rsidR="007B2947" w:rsidRPr="00C06F2E" w:rsidRDefault="00B331F6" w:rsidP="00362D92">
            <w:pPr>
              <w:autoSpaceDE w:val="0"/>
              <w:autoSpaceDN w:val="0"/>
              <w:adjustRightInd w:val="0"/>
              <w:spacing w:after="0"/>
              <w:jc w:val="left"/>
            </w:pPr>
            <w:r w:rsidRPr="00C06F2E">
              <w:t xml:space="preserve">Východiskový výkonnostný stav </w:t>
            </w:r>
            <w:r w:rsidR="007B2947" w:rsidRPr="00C06F2E">
              <w:t xml:space="preserve">(PS) </w:t>
            </w:r>
            <w:r w:rsidR="00421288">
              <w:t>podľa ECOG</w:t>
            </w:r>
            <w:r w:rsidR="00421288" w:rsidRPr="00C06F2E">
              <w:t xml:space="preserve"> </w:t>
            </w:r>
            <w:r w:rsidR="007B2947" w:rsidRPr="00C06F2E">
              <w:t>= 1</w:t>
            </w:r>
          </w:p>
        </w:tc>
        <w:tc>
          <w:tcPr>
            <w:tcW w:w="1575" w:type="dxa"/>
          </w:tcPr>
          <w:p w14:paraId="2C99A0F5" w14:textId="46C6DAEC" w:rsidR="007B2947" w:rsidRPr="00C06F2E" w:rsidRDefault="007B2947" w:rsidP="0028022E">
            <w:pPr>
              <w:autoSpaceDE w:val="0"/>
              <w:autoSpaceDN w:val="0"/>
              <w:adjustRightInd w:val="0"/>
              <w:spacing w:after="0"/>
            </w:pPr>
            <w:r w:rsidRPr="00C06F2E">
              <w:t>51</w:t>
            </w:r>
            <w:r w:rsidR="00B331F6" w:rsidRPr="00C06F2E">
              <w:t> </w:t>
            </w:r>
            <w:r w:rsidRPr="00C06F2E">
              <w:t>%</w:t>
            </w:r>
          </w:p>
        </w:tc>
        <w:tc>
          <w:tcPr>
            <w:tcW w:w="2593" w:type="dxa"/>
          </w:tcPr>
          <w:p w14:paraId="1CC0932C" w14:textId="55C962AE" w:rsidR="007B2947" w:rsidRPr="00C06F2E" w:rsidRDefault="007B2947" w:rsidP="0028022E">
            <w:pPr>
              <w:autoSpaceDE w:val="0"/>
              <w:autoSpaceDN w:val="0"/>
              <w:adjustRightInd w:val="0"/>
              <w:spacing w:after="0"/>
            </w:pPr>
            <w:r w:rsidRPr="00C06F2E">
              <w:t>51</w:t>
            </w:r>
            <w:r w:rsidR="00B331F6" w:rsidRPr="00C06F2E">
              <w:t> </w:t>
            </w:r>
            <w:r w:rsidRPr="00C06F2E">
              <w:t>%</w:t>
            </w:r>
          </w:p>
        </w:tc>
      </w:tr>
      <w:tr w:rsidR="007B2947" w:rsidRPr="00C06F2E" w14:paraId="0A3ECE07" w14:textId="77777777" w:rsidTr="00A74CD2">
        <w:trPr>
          <w:jc w:val="center"/>
        </w:trPr>
        <w:tc>
          <w:tcPr>
            <w:tcW w:w="4620" w:type="dxa"/>
          </w:tcPr>
          <w:p w14:paraId="3FEB11C4" w14:textId="2026C564" w:rsidR="007B2947" w:rsidRPr="00C06F2E" w:rsidRDefault="00B331F6" w:rsidP="00362D92">
            <w:pPr>
              <w:autoSpaceDE w:val="0"/>
              <w:autoSpaceDN w:val="0"/>
              <w:adjustRightInd w:val="0"/>
              <w:spacing w:after="0"/>
              <w:jc w:val="left"/>
            </w:pPr>
            <w:r w:rsidRPr="00C06F2E">
              <w:t xml:space="preserve">Východiskový výkonnostný stav </w:t>
            </w:r>
            <w:r w:rsidR="007B2947" w:rsidRPr="00C06F2E">
              <w:t xml:space="preserve">(PS) </w:t>
            </w:r>
            <w:r w:rsidR="00421288">
              <w:t>podľa ECOG</w:t>
            </w:r>
            <w:r w:rsidR="00421288" w:rsidRPr="00C06F2E">
              <w:t xml:space="preserve"> </w:t>
            </w:r>
            <w:r w:rsidR="007B2947" w:rsidRPr="00C06F2E">
              <w:t>= 2</w:t>
            </w:r>
          </w:p>
        </w:tc>
        <w:tc>
          <w:tcPr>
            <w:tcW w:w="1575" w:type="dxa"/>
          </w:tcPr>
          <w:p w14:paraId="38155F86" w14:textId="29DB89F9" w:rsidR="007B2947" w:rsidRPr="00C06F2E" w:rsidRDefault="007B2947" w:rsidP="0028022E">
            <w:pPr>
              <w:autoSpaceDE w:val="0"/>
              <w:autoSpaceDN w:val="0"/>
              <w:adjustRightInd w:val="0"/>
              <w:spacing w:after="0"/>
            </w:pPr>
            <w:r w:rsidRPr="00C06F2E">
              <w:t>17</w:t>
            </w:r>
            <w:r w:rsidR="00B331F6" w:rsidRPr="00C06F2E">
              <w:t> </w:t>
            </w:r>
            <w:r w:rsidRPr="00C06F2E">
              <w:t>%</w:t>
            </w:r>
          </w:p>
        </w:tc>
        <w:tc>
          <w:tcPr>
            <w:tcW w:w="2593" w:type="dxa"/>
          </w:tcPr>
          <w:p w14:paraId="26FE70EC" w14:textId="6648EA59" w:rsidR="007B2947" w:rsidRPr="00C06F2E" w:rsidRDefault="007B2947" w:rsidP="0028022E">
            <w:pPr>
              <w:autoSpaceDE w:val="0"/>
              <w:autoSpaceDN w:val="0"/>
              <w:adjustRightInd w:val="0"/>
              <w:spacing w:after="0"/>
            </w:pPr>
            <w:r w:rsidRPr="00C06F2E">
              <w:t>17</w:t>
            </w:r>
            <w:r w:rsidR="00B331F6" w:rsidRPr="00C06F2E">
              <w:t> </w:t>
            </w:r>
            <w:r w:rsidRPr="00C06F2E">
              <w:t>%</w:t>
            </w:r>
          </w:p>
        </w:tc>
      </w:tr>
      <w:tr w:rsidR="007B2947" w:rsidRPr="00C06F2E" w14:paraId="7C7CA1E1" w14:textId="77777777" w:rsidTr="00A74CD2">
        <w:trPr>
          <w:jc w:val="center"/>
        </w:trPr>
        <w:tc>
          <w:tcPr>
            <w:tcW w:w="4620" w:type="dxa"/>
          </w:tcPr>
          <w:p w14:paraId="2672902D" w14:textId="2B43C9E4" w:rsidR="007B2947" w:rsidRPr="00C06F2E" w:rsidRDefault="007B2947" w:rsidP="0028022E">
            <w:pPr>
              <w:autoSpaceDE w:val="0"/>
              <w:autoSpaceDN w:val="0"/>
              <w:adjustRightInd w:val="0"/>
              <w:spacing w:after="0"/>
              <w:rPr>
                <w:lang w:val="pl-PL"/>
              </w:rPr>
            </w:pPr>
            <w:r w:rsidRPr="00C06F2E">
              <w:rPr>
                <w:lang w:val="pl-PL"/>
              </w:rPr>
              <w:t>Metastatic</w:t>
            </w:r>
            <w:r w:rsidR="00B331F6" w:rsidRPr="00C06F2E">
              <w:rPr>
                <w:lang w:val="pl-PL"/>
              </w:rPr>
              <w:t>ká</w:t>
            </w:r>
            <w:r w:rsidRPr="00C06F2E">
              <w:rPr>
                <w:lang w:val="pl-PL"/>
              </w:rPr>
              <w:t xml:space="preserve"> </w:t>
            </w:r>
            <w:r w:rsidR="00B331F6" w:rsidRPr="00C06F2E">
              <w:rPr>
                <w:lang w:val="pl-PL"/>
              </w:rPr>
              <w:t>choroba</w:t>
            </w:r>
            <w:r w:rsidRPr="00C06F2E">
              <w:rPr>
                <w:lang w:val="pl-PL"/>
              </w:rPr>
              <w:t xml:space="preserve"> </w:t>
            </w:r>
            <w:r w:rsidR="00B331F6" w:rsidRPr="00C06F2E">
              <w:rPr>
                <w:lang w:val="pl-PL"/>
              </w:rPr>
              <w:t>na</w:t>
            </w:r>
            <w:r w:rsidRPr="00C06F2E">
              <w:rPr>
                <w:lang w:val="pl-PL"/>
              </w:rPr>
              <w:t xml:space="preserve"> </w:t>
            </w:r>
            <w:r w:rsidR="00B331F6" w:rsidRPr="00C06F2E">
              <w:rPr>
                <w:lang w:val="pl-PL"/>
              </w:rPr>
              <w:t>začiatku štúdie</w:t>
            </w:r>
          </w:p>
        </w:tc>
        <w:tc>
          <w:tcPr>
            <w:tcW w:w="1575" w:type="dxa"/>
          </w:tcPr>
          <w:p w14:paraId="1411D994" w14:textId="165350D2" w:rsidR="007B2947" w:rsidRPr="00C06F2E" w:rsidRDefault="007B2947" w:rsidP="0028022E">
            <w:pPr>
              <w:autoSpaceDE w:val="0"/>
              <w:autoSpaceDN w:val="0"/>
              <w:adjustRightInd w:val="0"/>
              <w:spacing w:after="0"/>
            </w:pPr>
            <w:r w:rsidRPr="00C06F2E">
              <w:t>77</w:t>
            </w:r>
            <w:r w:rsidR="00B331F6" w:rsidRPr="00C06F2E">
              <w:t> </w:t>
            </w:r>
            <w:r w:rsidRPr="00C06F2E">
              <w:t>%</w:t>
            </w:r>
          </w:p>
        </w:tc>
        <w:tc>
          <w:tcPr>
            <w:tcW w:w="2593" w:type="dxa"/>
          </w:tcPr>
          <w:p w14:paraId="0BD4C455" w14:textId="15503EC4" w:rsidR="007B2947" w:rsidRPr="00C06F2E" w:rsidRDefault="007B2947" w:rsidP="0028022E">
            <w:pPr>
              <w:autoSpaceDE w:val="0"/>
              <w:autoSpaceDN w:val="0"/>
              <w:adjustRightInd w:val="0"/>
              <w:spacing w:after="0"/>
            </w:pPr>
            <w:r w:rsidRPr="00C06F2E">
              <w:t>76</w:t>
            </w:r>
            <w:r w:rsidR="00B331F6" w:rsidRPr="00C06F2E">
              <w:t> </w:t>
            </w:r>
            <w:r w:rsidRPr="00C06F2E">
              <w:t>%</w:t>
            </w:r>
          </w:p>
        </w:tc>
      </w:tr>
    </w:tbl>
    <w:p w14:paraId="545B2CFF" w14:textId="77777777" w:rsidR="007B2947" w:rsidRPr="00C06F2E" w:rsidRDefault="007B2947" w:rsidP="00E60C58">
      <w:pPr>
        <w:autoSpaceDE w:val="0"/>
        <w:autoSpaceDN w:val="0"/>
        <w:adjustRightInd w:val="0"/>
        <w:spacing w:after="0"/>
        <w:jc w:val="left"/>
      </w:pPr>
    </w:p>
    <w:p w14:paraId="742FB963" w14:textId="43280B34" w:rsidR="00B331F6" w:rsidRPr="00C06F2E" w:rsidRDefault="00B331F6" w:rsidP="00E60C58">
      <w:pPr>
        <w:autoSpaceDE w:val="0"/>
        <w:autoSpaceDN w:val="0"/>
        <w:adjustRightInd w:val="0"/>
        <w:spacing w:after="0"/>
        <w:jc w:val="left"/>
        <w:rPr>
          <w:lang w:val="sk-SK"/>
        </w:rPr>
      </w:pPr>
      <w:r w:rsidRPr="00C06F2E">
        <w:rPr>
          <w:lang w:val="sk-SK"/>
        </w:rPr>
        <w:t>Prežívanie v</w:t>
      </w:r>
      <w:r w:rsidR="00D7284A" w:rsidRPr="00C06F2E">
        <w:rPr>
          <w:lang w:val="sk-SK"/>
        </w:rPr>
        <w:t> </w:t>
      </w:r>
      <w:r w:rsidRPr="00C06F2E">
        <w:rPr>
          <w:lang w:val="sk-SK"/>
        </w:rPr>
        <w:t>populácii pacientov s liečebným zámerom “intent-to-treat“ bolo hodnotené na základe ďalších údajov o</w:t>
      </w:r>
      <w:r w:rsidR="00421288">
        <w:rPr>
          <w:lang w:val="sk-SK"/>
        </w:rPr>
        <w:t> </w:t>
      </w:r>
      <w:r w:rsidRPr="00C06F2E">
        <w:rPr>
          <w:lang w:val="sk-SK"/>
        </w:rPr>
        <w:t>prežívaní</w:t>
      </w:r>
      <w:r w:rsidR="00E15CC4">
        <w:rPr>
          <w:lang w:val="sk-SK"/>
        </w:rPr>
        <w:t xml:space="preserve"> získaných ná</w:t>
      </w:r>
      <w:r w:rsidR="00421288">
        <w:rPr>
          <w:lang w:val="sk-SK"/>
        </w:rPr>
        <w:t>sledným sledovaním</w:t>
      </w:r>
      <w:r w:rsidRPr="00C06F2E">
        <w:rPr>
          <w:lang w:val="sk-SK"/>
        </w:rPr>
        <w:t>. Výsledky sú</w:t>
      </w:r>
      <w:r w:rsidR="00C313A5" w:rsidRPr="00C06F2E">
        <w:rPr>
          <w:lang w:val="sk-SK"/>
        </w:rPr>
        <w:t xml:space="preserve"> uvedené</w:t>
      </w:r>
      <w:r w:rsidRPr="00C06F2E">
        <w:rPr>
          <w:lang w:val="sk-SK"/>
        </w:rPr>
        <w:t xml:space="preserve"> v</w:t>
      </w:r>
      <w:r w:rsidR="008E281B" w:rsidRPr="00C06F2E">
        <w:rPr>
          <w:lang w:val="sk-SK"/>
        </w:rPr>
        <w:t> </w:t>
      </w:r>
      <w:r w:rsidRPr="00C06F2E">
        <w:rPr>
          <w:lang w:val="sk-SK"/>
        </w:rPr>
        <w:t>tabuľke nižšie (výsledky pre skupinu pacient</w:t>
      </w:r>
      <w:r w:rsidR="00C313A5" w:rsidRPr="00C06F2E">
        <w:rPr>
          <w:lang w:val="sk-SK"/>
        </w:rPr>
        <w:t>ov</w:t>
      </w:r>
      <w:r w:rsidRPr="00C06F2E">
        <w:rPr>
          <w:lang w:val="sk-SK"/>
        </w:rPr>
        <w:t xml:space="preserve"> s</w:t>
      </w:r>
      <w:r w:rsidR="008E281B" w:rsidRPr="00C06F2E">
        <w:rPr>
          <w:lang w:val="sk-SK"/>
        </w:rPr>
        <w:t> </w:t>
      </w:r>
      <w:r w:rsidRPr="00C06F2E">
        <w:rPr>
          <w:lang w:val="sk-SK"/>
        </w:rPr>
        <w:t>metast</w:t>
      </w:r>
      <w:r w:rsidR="00421288">
        <w:rPr>
          <w:lang w:val="sk-SK"/>
        </w:rPr>
        <w:t>atickou</w:t>
      </w:r>
      <w:r w:rsidRPr="00C06F2E">
        <w:rPr>
          <w:lang w:val="sk-SK"/>
        </w:rPr>
        <w:t xml:space="preserve"> a lokálne pokročilou chorobou sú odvodené z</w:t>
      </w:r>
      <w:r w:rsidR="008E281B" w:rsidRPr="00C06F2E">
        <w:rPr>
          <w:lang w:val="sk-SK"/>
        </w:rPr>
        <w:t> </w:t>
      </w:r>
      <w:r w:rsidRPr="00C06F2E">
        <w:rPr>
          <w:lang w:val="sk-SK"/>
        </w:rPr>
        <w:t>explorat</w:t>
      </w:r>
      <w:r w:rsidR="00421288">
        <w:rPr>
          <w:lang w:val="sk-SK"/>
        </w:rPr>
        <w:t>ívnej</w:t>
      </w:r>
      <w:r w:rsidRPr="00C06F2E">
        <w:rPr>
          <w:lang w:val="sk-SK"/>
        </w:rPr>
        <w:t xml:space="preserve"> analýzy podskupín).</w:t>
      </w:r>
    </w:p>
    <w:p w14:paraId="7331128E" w14:textId="77777777" w:rsidR="007B2947" w:rsidRPr="00C06F2E" w:rsidRDefault="007B2947" w:rsidP="00E60C58">
      <w:pPr>
        <w:autoSpaceDE w:val="0"/>
        <w:autoSpaceDN w:val="0"/>
        <w:adjustRightInd w:val="0"/>
        <w:spacing w:after="0"/>
        <w:jc w:val="left"/>
        <w:rPr>
          <w:lang w:val="sk-SK"/>
        </w:rPr>
      </w:pPr>
    </w:p>
    <w:tbl>
      <w:tblPr>
        <w:tblW w:w="102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0"/>
        <w:gridCol w:w="1296"/>
        <w:gridCol w:w="1249"/>
        <w:gridCol w:w="1275"/>
        <w:gridCol w:w="1168"/>
        <w:gridCol w:w="709"/>
        <w:gridCol w:w="1134"/>
        <w:gridCol w:w="850"/>
      </w:tblGrid>
      <w:tr w:rsidR="007B2947" w:rsidRPr="00C06F2E" w14:paraId="74A57036" w14:textId="77777777" w:rsidTr="00362D92">
        <w:tc>
          <w:tcPr>
            <w:tcW w:w="2530" w:type="dxa"/>
          </w:tcPr>
          <w:p w14:paraId="3CA1C0B5" w14:textId="1E4999DA" w:rsidR="007B2947" w:rsidRPr="00C06F2E" w:rsidRDefault="00C313A5" w:rsidP="0028022E">
            <w:pPr>
              <w:autoSpaceDE w:val="0"/>
              <w:autoSpaceDN w:val="0"/>
              <w:adjustRightInd w:val="0"/>
              <w:spacing w:after="0"/>
              <w:rPr>
                <w:b/>
              </w:rPr>
            </w:pPr>
            <w:r w:rsidRPr="00C06F2E">
              <w:rPr>
                <w:b/>
              </w:rPr>
              <w:t>Výsledky</w:t>
            </w:r>
            <w:bookmarkStart w:id="0" w:name="_GoBack"/>
            <w:bookmarkEnd w:id="0"/>
          </w:p>
        </w:tc>
        <w:tc>
          <w:tcPr>
            <w:tcW w:w="1296" w:type="dxa"/>
          </w:tcPr>
          <w:p w14:paraId="246AA19E" w14:textId="77777777" w:rsidR="007B2947" w:rsidRPr="00C06F2E" w:rsidRDefault="007B2947" w:rsidP="0028022E">
            <w:pPr>
              <w:autoSpaceDE w:val="0"/>
              <w:autoSpaceDN w:val="0"/>
              <w:adjustRightInd w:val="0"/>
              <w:spacing w:after="0"/>
              <w:rPr>
                <w:b/>
                <w:lang w:eastAsia="cs-CZ"/>
              </w:rPr>
            </w:pPr>
            <w:r w:rsidRPr="00C06F2E">
              <w:rPr>
                <w:b/>
                <w:lang w:eastAsia="cs-CZ"/>
              </w:rPr>
              <w:t>Erlotinib</w:t>
            </w:r>
          </w:p>
          <w:p w14:paraId="29C6F747" w14:textId="3FCD3EF5" w:rsidR="007B2947" w:rsidRPr="00C06F2E" w:rsidRDefault="007B2947" w:rsidP="0028022E">
            <w:pPr>
              <w:autoSpaceDE w:val="0"/>
              <w:autoSpaceDN w:val="0"/>
              <w:adjustRightInd w:val="0"/>
              <w:spacing w:after="0"/>
              <w:rPr>
                <w:b/>
              </w:rPr>
            </w:pPr>
            <w:r w:rsidRPr="00C06F2E">
              <w:rPr>
                <w:b/>
              </w:rPr>
              <w:t>(</w:t>
            </w:r>
            <w:r w:rsidR="00C313A5" w:rsidRPr="00C06F2E">
              <w:rPr>
                <w:b/>
              </w:rPr>
              <w:t>mesiace</w:t>
            </w:r>
            <w:r w:rsidRPr="00C06F2E">
              <w:rPr>
                <w:b/>
              </w:rPr>
              <w:t>)</w:t>
            </w:r>
          </w:p>
        </w:tc>
        <w:tc>
          <w:tcPr>
            <w:tcW w:w="1249" w:type="dxa"/>
          </w:tcPr>
          <w:p w14:paraId="51092034" w14:textId="77777777" w:rsidR="007B2947" w:rsidRPr="00C06F2E" w:rsidRDefault="007B2947" w:rsidP="0028022E">
            <w:pPr>
              <w:autoSpaceDE w:val="0"/>
              <w:autoSpaceDN w:val="0"/>
              <w:adjustRightInd w:val="0"/>
              <w:spacing w:after="0"/>
              <w:rPr>
                <w:b/>
              </w:rPr>
            </w:pPr>
            <w:r w:rsidRPr="00C06F2E">
              <w:rPr>
                <w:b/>
              </w:rPr>
              <w:t>Placebo</w:t>
            </w:r>
          </w:p>
          <w:p w14:paraId="66255AAE" w14:textId="56EB7ACB" w:rsidR="007B2947" w:rsidRPr="00C06F2E" w:rsidRDefault="007B2947" w:rsidP="0028022E">
            <w:pPr>
              <w:autoSpaceDE w:val="0"/>
              <w:autoSpaceDN w:val="0"/>
              <w:adjustRightInd w:val="0"/>
              <w:spacing w:after="0"/>
              <w:rPr>
                <w:b/>
              </w:rPr>
            </w:pPr>
            <w:r w:rsidRPr="00C06F2E">
              <w:rPr>
                <w:b/>
              </w:rPr>
              <w:t>(</w:t>
            </w:r>
            <w:r w:rsidR="00C313A5" w:rsidRPr="00C06F2E">
              <w:rPr>
                <w:b/>
              </w:rPr>
              <w:t>mesiace</w:t>
            </w:r>
            <w:r w:rsidRPr="00C06F2E">
              <w:rPr>
                <w:b/>
              </w:rPr>
              <w:t>)</w:t>
            </w:r>
          </w:p>
        </w:tc>
        <w:tc>
          <w:tcPr>
            <w:tcW w:w="1275" w:type="dxa"/>
          </w:tcPr>
          <w:p w14:paraId="4214C5B7" w14:textId="77777777" w:rsidR="007B2947" w:rsidRPr="00C06F2E" w:rsidRDefault="007B2947" w:rsidP="0028022E">
            <w:pPr>
              <w:autoSpaceDE w:val="0"/>
              <w:autoSpaceDN w:val="0"/>
              <w:adjustRightInd w:val="0"/>
              <w:spacing w:after="0"/>
              <w:rPr>
                <w:b/>
                <w:lang w:eastAsia="cs-CZ"/>
              </w:rPr>
            </w:pPr>
            <w:r w:rsidRPr="00C06F2E">
              <w:rPr>
                <w:b/>
                <w:lang w:eastAsia="cs-CZ"/>
              </w:rPr>
              <w:t>Δ</w:t>
            </w:r>
          </w:p>
          <w:p w14:paraId="31F1C4AA" w14:textId="086974FD" w:rsidR="007B2947" w:rsidRPr="00C06F2E" w:rsidRDefault="007B2947" w:rsidP="0028022E">
            <w:pPr>
              <w:autoSpaceDE w:val="0"/>
              <w:autoSpaceDN w:val="0"/>
              <w:adjustRightInd w:val="0"/>
              <w:spacing w:after="0"/>
              <w:rPr>
                <w:b/>
              </w:rPr>
            </w:pPr>
            <w:r w:rsidRPr="00C06F2E">
              <w:rPr>
                <w:b/>
              </w:rPr>
              <w:t>(</w:t>
            </w:r>
            <w:r w:rsidR="00C313A5" w:rsidRPr="00C06F2E">
              <w:rPr>
                <w:b/>
              </w:rPr>
              <w:t>mesiace</w:t>
            </w:r>
            <w:r w:rsidRPr="00C06F2E">
              <w:rPr>
                <w:b/>
              </w:rPr>
              <w:t>)</w:t>
            </w:r>
          </w:p>
        </w:tc>
        <w:tc>
          <w:tcPr>
            <w:tcW w:w="1168" w:type="dxa"/>
          </w:tcPr>
          <w:p w14:paraId="231276AA" w14:textId="23442215" w:rsidR="007B2947" w:rsidRPr="00C06F2E" w:rsidRDefault="007B2947" w:rsidP="0028022E">
            <w:pPr>
              <w:autoSpaceDE w:val="0"/>
              <w:autoSpaceDN w:val="0"/>
              <w:adjustRightInd w:val="0"/>
              <w:spacing w:after="0"/>
              <w:rPr>
                <w:b/>
              </w:rPr>
            </w:pPr>
            <w:r w:rsidRPr="00C06F2E">
              <w:rPr>
                <w:b/>
              </w:rPr>
              <w:t>I</w:t>
            </w:r>
            <w:r w:rsidR="00C313A5" w:rsidRPr="00C06F2E">
              <w:rPr>
                <w:b/>
              </w:rPr>
              <w:t>S</w:t>
            </w:r>
            <w:r w:rsidRPr="00C06F2E">
              <w:rPr>
                <w:b/>
              </w:rPr>
              <w:t xml:space="preserve"> </w:t>
            </w:r>
            <w:r w:rsidR="00C313A5" w:rsidRPr="00C06F2E">
              <w:rPr>
                <w:b/>
              </w:rPr>
              <w:t>-</w:t>
            </w:r>
            <w:r w:rsidRPr="00C06F2E">
              <w:rPr>
                <w:b/>
              </w:rPr>
              <w:t xml:space="preserve"> </w:t>
            </w:r>
            <w:r w:rsidRPr="00C06F2E">
              <w:rPr>
                <w:b/>
                <w:lang w:eastAsia="cs-CZ"/>
              </w:rPr>
              <w:t>Δ</w:t>
            </w:r>
          </w:p>
        </w:tc>
        <w:tc>
          <w:tcPr>
            <w:tcW w:w="709" w:type="dxa"/>
          </w:tcPr>
          <w:p w14:paraId="165F277C" w14:textId="77777777" w:rsidR="007B2947" w:rsidRPr="00C06F2E" w:rsidRDefault="007B2947" w:rsidP="0028022E">
            <w:pPr>
              <w:autoSpaceDE w:val="0"/>
              <w:autoSpaceDN w:val="0"/>
              <w:adjustRightInd w:val="0"/>
              <w:spacing w:after="0"/>
              <w:ind w:right="-108"/>
              <w:rPr>
                <w:b/>
              </w:rPr>
            </w:pPr>
            <w:r w:rsidRPr="00C06F2E">
              <w:rPr>
                <w:b/>
              </w:rPr>
              <w:t>HR</w:t>
            </w:r>
          </w:p>
        </w:tc>
        <w:tc>
          <w:tcPr>
            <w:tcW w:w="1134" w:type="dxa"/>
          </w:tcPr>
          <w:p w14:paraId="5B7A7DB6" w14:textId="7B18D983" w:rsidR="007B2947" w:rsidRPr="00C06F2E" w:rsidRDefault="007B2947" w:rsidP="0028022E">
            <w:pPr>
              <w:autoSpaceDE w:val="0"/>
              <w:autoSpaceDN w:val="0"/>
              <w:adjustRightInd w:val="0"/>
              <w:spacing w:after="0"/>
              <w:ind w:right="-108"/>
              <w:rPr>
                <w:b/>
              </w:rPr>
            </w:pPr>
            <w:r w:rsidRPr="00C06F2E">
              <w:rPr>
                <w:b/>
              </w:rPr>
              <w:t>I</w:t>
            </w:r>
            <w:r w:rsidR="00C313A5" w:rsidRPr="00C06F2E">
              <w:rPr>
                <w:b/>
              </w:rPr>
              <w:t>S</w:t>
            </w:r>
            <w:r w:rsidRPr="00C06F2E">
              <w:rPr>
                <w:b/>
              </w:rPr>
              <w:t xml:space="preserve"> </w:t>
            </w:r>
            <w:r w:rsidR="00C313A5" w:rsidRPr="00C06F2E">
              <w:rPr>
                <w:b/>
              </w:rPr>
              <w:t>-</w:t>
            </w:r>
            <w:r w:rsidRPr="00C06F2E">
              <w:rPr>
                <w:b/>
              </w:rPr>
              <w:t xml:space="preserve"> HR</w:t>
            </w:r>
          </w:p>
        </w:tc>
        <w:tc>
          <w:tcPr>
            <w:tcW w:w="850" w:type="dxa"/>
          </w:tcPr>
          <w:p w14:paraId="05359BC4" w14:textId="724296FD" w:rsidR="007B2947" w:rsidRPr="00C06F2E" w:rsidRDefault="00421288" w:rsidP="0028022E">
            <w:pPr>
              <w:autoSpaceDE w:val="0"/>
              <w:autoSpaceDN w:val="0"/>
              <w:adjustRightInd w:val="0"/>
              <w:spacing w:after="0"/>
              <w:ind w:right="-76"/>
              <w:rPr>
                <w:b/>
              </w:rPr>
            </w:pPr>
            <w:r>
              <w:rPr>
                <w:b/>
              </w:rPr>
              <w:t>p-hodno-ta</w:t>
            </w:r>
          </w:p>
        </w:tc>
      </w:tr>
      <w:tr w:rsidR="007B2947" w:rsidRPr="00C06F2E" w14:paraId="5CF9F347" w14:textId="77777777" w:rsidTr="00362D92">
        <w:tc>
          <w:tcPr>
            <w:tcW w:w="10211" w:type="dxa"/>
            <w:gridSpan w:val="8"/>
          </w:tcPr>
          <w:p w14:paraId="09CEC8CC" w14:textId="7965A3A7" w:rsidR="007B2947" w:rsidRPr="00C06F2E" w:rsidRDefault="00C313A5" w:rsidP="0028022E">
            <w:pPr>
              <w:autoSpaceDE w:val="0"/>
              <w:autoSpaceDN w:val="0"/>
              <w:adjustRightInd w:val="0"/>
              <w:spacing w:after="0"/>
              <w:jc w:val="center"/>
            </w:pPr>
            <w:r w:rsidRPr="00C06F2E">
              <w:t>Celková</w:t>
            </w:r>
            <w:r w:rsidR="007B2947" w:rsidRPr="00C06F2E">
              <w:t xml:space="preserve"> </w:t>
            </w:r>
            <w:r w:rsidRPr="00C06F2E">
              <w:t>populácia</w:t>
            </w:r>
          </w:p>
        </w:tc>
      </w:tr>
      <w:tr w:rsidR="007B2947" w:rsidRPr="00C06F2E" w14:paraId="420CAEFC" w14:textId="77777777" w:rsidTr="00362D92">
        <w:tc>
          <w:tcPr>
            <w:tcW w:w="2530" w:type="dxa"/>
          </w:tcPr>
          <w:p w14:paraId="7BF6DB55" w14:textId="6926EDBB" w:rsidR="007B2947" w:rsidRPr="00C06F2E" w:rsidRDefault="007B2947" w:rsidP="0028022E">
            <w:pPr>
              <w:autoSpaceDE w:val="0"/>
              <w:autoSpaceDN w:val="0"/>
              <w:adjustRightInd w:val="0"/>
              <w:spacing w:after="0"/>
              <w:jc w:val="left"/>
            </w:pPr>
            <w:r w:rsidRPr="00C06F2E">
              <w:t>Medi</w:t>
            </w:r>
            <w:r w:rsidR="00C313A5" w:rsidRPr="00C06F2E">
              <w:t>á</w:t>
            </w:r>
            <w:r w:rsidRPr="00C06F2E">
              <w:t xml:space="preserve">n </w:t>
            </w:r>
            <w:r w:rsidR="00C313A5" w:rsidRPr="00C06F2E">
              <w:t>celkového</w:t>
            </w:r>
            <w:r w:rsidRPr="00C06F2E">
              <w:t xml:space="preserve"> </w:t>
            </w:r>
            <w:r w:rsidR="00C313A5" w:rsidRPr="00C06F2E">
              <w:t>prežívania</w:t>
            </w:r>
          </w:p>
        </w:tc>
        <w:tc>
          <w:tcPr>
            <w:tcW w:w="1296" w:type="dxa"/>
          </w:tcPr>
          <w:p w14:paraId="48494556" w14:textId="3E3C7582" w:rsidR="007B2947" w:rsidRPr="00C06F2E" w:rsidRDefault="007B2947" w:rsidP="0028022E">
            <w:pPr>
              <w:autoSpaceDE w:val="0"/>
              <w:autoSpaceDN w:val="0"/>
              <w:adjustRightInd w:val="0"/>
              <w:spacing w:after="0"/>
              <w:jc w:val="center"/>
            </w:pPr>
            <w:r w:rsidRPr="00C06F2E">
              <w:t>6</w:t>
            </w:r>
            <w:r w:rsidR="00C313A5" w:rsidRPr="00C06F2E">
              <w:t>,</w:t>
            </w:r>
            <w:r w:rsidRPr="00C06F2E">
              <w:t>4</w:t>
            </w:r>
          </w:p>
        </w:tc>
        <w:tc>
          <w:tcPr>
            <w:tcW w:w="1249" w:type="dxa"/>
          </w:tcPr>
          <w:p w14:paraId="3DF5DF04" w14:textId="0D399C5E" w:rsidR="007B2947" w:rsidRPr="00C06F2E" w:rsidRDefault="007B2947" w:rsidP="0028022E">
            <w:pPr>
              <w:autoSpaceDE w:val="0"/>
              <w:autoSpaceDN w:val="0"/>
              <w:adjustRightInd w:val="0"/>
              <w:spacing w:after="0"/>
              <w:jc w:val="center"/>
            </w:pPr>
            <w:r w:rsidRPr="00C06F2E">
              <w:t>6</w:t>
            </w:r>
            <w:r w:rsidR="00C313A5" w:rsidRPr="00C06F2E">
              <w:t>,</w:t>
            </w:r>
            <w:r w:rsidRPr="00C06F2E">
              <w:t>0</w:t>
            </w:r>
          </w:p>
        </w:tc>
        <w:tc>
          <w:tcPr>
            <w:tcW w:w="1275" w:type="dxa"/>
          </w:tcPr>
          <w:p w14:paraId="1C797013" w14:textId="3E84711F" w:rsidR="007B2947" w:rsidRPr="00C06F2E" w:rsidRDefault="007B2947" w:rsidP="0028022E">
            <w:pPr>
              <w:autoSpaceDE w:val="0"/>
              <w:autoSpaceDN w:val="0"/>
              <w:adjustRightInd w:val="0"/>
              <w:spacing w:after="0"/>
              <w:jc w:val="center"/>
            </w:pPr>
            <w:r w:rsidRPr="00C06F2E">
              <w:t>0</w:t>
            </w:r>
            <w:r w:rsidR="00C313A5" w:rsidRPr="00C06F2E">
              <w:t>,</w:t>
            </w:r>
            <w:r w:rsidRPr="00C06F2E">
              <w:t>41</w:t>
            </w:r>
          </w:p>
        </w:tc>
        <w:tc>
          <w:tcPr>
            <w:tcW w:w="1168" w:type="dxa"/>
          </w:tcPr>
          <w:p w14:paraId="79CD57A6" w14:textId="13B93E9C" w:rsidR="007B2947" w:rsidRPr="00C06F2E" w:rsidRDefault="007B2947" w:rsidP="0028022E">
            <w:pPr>
              <w:autoSpaceDE w:val="0"/>
              <w:autoSpaceDN w:val="0"/>
              <w:adjustRightInd w:val="0"/>
              <w:spacing w:after="0"/>
              <w:ind w:right="-108"/>
              <w:jc w:val="center"/>
            </w:pPr>
            <w:r w:rsidRPr="00C06F2E">
              <w:t>-0</w:t>
            </w:r>
            <w:r w:rsidR="00C313A5" w:rsidRPr="00C06F2E">
              <w:t>,</w:t>
            </w:r>
            <w:r w:rsidRPr="00C06F2E">
              <w:t>54</w:t>
            </w:r>
            <w:r w:rsidRPr="00C06F2E">
              <w:rPr>
                <w:lang w:eastAsia="cs-CZ"/>
              </w:rPr>
              <w:t xml:space="preserve"> – </w:t>
            </w:r>
            <w:r w:rsidRPr="00C06F2E">
              <w:t>1</w:t>
            </w:r>
            <w:r w:rsidR="00CD0C35" w:rsidRPr="00C06F2E">
              <w:t>,</w:t>
            </w:r>
            <w:r w:rsidRPr="00C06F2E">
              <w:t>64</w:t>
            </w:r>
          </w:p>
        </w:tc>
        <w:tc>
          <w:tcPr>
            <w:tcW w:w="709" w:type="dxa"/>
            <w:vMerge w:val="restart"/>
            <w:vAlign w:val="center"/>
          </w:tcPr>
          <w:p w14:paraId="55A877D6" w14:textId="62A8F4DF" w:rsidR="007B2947" w:rsidRPr="00C06F2E" w:rsidRDefault="007B2947" w:rsidP="0028022E">
            <w:pPr>
              <w:autoSpaceDE w:val="0"/>
              <w:autoSpaceDN w:val="0"/>
              <w:adjustRightInd w:val="0"/>
              <w:spacing w:after="0"/>
              <w:jc w:val="center"/>
            </w:pPr>
            <w:r w:rsidRPr="00C06F2E">
              <w:t>0</w:t>
            </w:r>
            <w:r w:rsidR="00CD0C35" w:rsidRPr="00C06F2E">
              <w:t>,</w:t>
            </w:r>
            <w:r w:rsidRPr="00C06F2E">
              <w:t>82</w:t>
            </w:r>
          </w:p>
        </w:tc>
        <w:tc>
          <w:tcPr>
            <w:tcW w:w="1134" w:type="dxa"/>
            <w:vMerge w:val="restart"/>
            <w:vAlign w:val="center"/>
          </w:tcPr>
          <w:p w14:paraId="3B0A2263" w14:textId="3C1E4CDF" w:rsidR="007B2947" w:rsidRPr="00C06F2E" w:rsidRDefault="007B2947" w:rsidP="008E281B">
            <w:pPr>
              <w:autoSpaceDE w:val="0"/>
              <w:autoSpaceDN w:val="0"/>
              <w:adjustRightInd w:val="0"/>
              <w:spacing w:after="0"/>
              <w:ind w:right="-108"/>
              <w:jc w:val="center"/>
            </w:pPr>
            <w:r w:rsidRPr="00C06F2E">
              <w:t>0</w:t>
            </w:r>
            <w:r w:rsidR="00CD0C35" w:rsidRPr="00C06F2E">
              <w:t>,</w:t>
            </w:r>
            <w:r w:rsidRPr="00C06F2E">
              <w:t>69</w:t>
            </w:r>
            <w:r w:rsidRPr="00C06F2E">
              <w:rPr>
                <w:lang w:eastAsia="cs-CZ"/>
              </w:rPr>
              <w:t xml:space="preserve"> – </w:t>
            </w:r>
            <w:r w:rsidRPr="00C06F2E">
              <w:t>0</w:t>
            </w:r>
            <w:r w:rsidR="008E281B" w:rsidRPr="00C06F2E">
              <w:t>,</w:t>
            </w:r>
            <w:r w:rsidRPr="00C06F2E">
              <w:t>98</w:t>
            </w:r>
          </w:p>
        </w:tc>
        <w:tc>
          <w:tcPr>
            <w:tcW w:w="850" w:type="dxa"/>
            <w:vMerge w:val="restart"/>
            <w:vAlign w:val="center"/>
          </w:tcPr>
          <w:p w14:paraId="0ED5FB0C" w14:textId="3C48C1B5" w:rsidR="007B2947" w:rsidRPr="00C06F2E" w:rsidRDefault="007B2947" w:rsidP="0028022E">
            <w:pPr>
              <w:autoSpaceDE w:val="0"/>
              <w:autoSpaceDN w:val="0"/>
              <w:adjustRightInd w:val="0"/>
              <w:spacing w:after="0"/>
              <w:jc w:val="center"/>
            </w:pPr>
            <w:r w:rsidRPr="00C06F2E">
              <w:t>0</w:t>
            </w:r>
            <w:r w:rsidR="00FA6F9F" w:rsidRPr="00C06F2E">
              <w:t>,</w:t>
            </w:r>
            <w:r w:rsidRPr="00C06F2E">
              <w:t>028</w:t>
            </w:r>
          </w:p>
        </w:tc>
      </w:tr>
      <w:tr w:rsidR="007B2947" w:rsidRPr="00C06F2E" w14:paraId="029D1C6D" w14:textId="77777777" w:rsidTr="00362D92">
        <w:tc>
          <w:tcPr>
            <w:tcW w:w="2530" w:type="dxa"/>
          </w:tcPr>
          <w:p w14:paraId="7BA1D927" w14:textId="4A883737" w:rsidR="007B2947" w:rsidRPr="00C06F2E" w:rsidRDefault="00C313A5" w:rsidP="0028022E">
            <w:pPr>
              <w:autoSpaceDE w:val="0"/>
              <w:autoSpaceDN w:val="0"/>
              <w:adjustRightInd w:val="0"/>
              <w:spacing w:after="0"/>
              <w:jc w:val="left"/>
            </w:pPr>
            <w:r w:rsidRPr="00C06F2E">
              <w:t>Priemer</w:t>
            </w:r>
            <w:r w:rsidR="007B2947" w:rsidRPr="00C06F2E">
              <w:t xml:space="preserve"> </w:t>
            </w:r>
            <w:r w:rsidRPr="00C06F2E">
              <w:t>celkového prežívania</w:t>
            </w:r>
          </w:p>
        </w:tc>
        <w:tc>
          <w:tcPr>
            <w:tcW w:w="1296" w:type="dxa"/>
          </w:tcPr>
          <w:p w14:paraId="0B14A4AF" w14:textId="6E606BC4" w:rsidR="007B2947" w:rsidRPr="00C06F2E" w:rsidRDefault="007B2947" w:rsidP="008E281B">
            <w:pPr>
              <w:autoSpaceDE w:val="0"/>
              <w:autoSpaceDN w:val="0"/>
              <w:adjustRightInd w:val="0"/>
              <w:spacing w:after="0"/>
              <w:jc w:val="center"/>
            </w:pPr>
            <w:r w:rsidRPr="00C06F2E">
              <w:t>8</w:t>
            </w:r>
            <w:r w:rsidR="008E281B" w:rsidRPr="00C06F2E">
              <w:t>,</w:t>
            </w:r>
            <w:r w:rsidRPr="00C06F2E">
              <w:t>8</w:t>
            </w:r>
          </w:p>
        </w:tc>
        <w:tc>
          <w:tcPr>
            <w:tcW w:w="1249" w:type="dxa"/>
          </w:tcPr>
          <w:p w14:paraId="31FE7643" w14:textId="70C113CA" w:rsidR="007B2947" w:rsidRPr="00C06F2E" w:rsidRDefault="007B2947" w:rsidP="008E281B">
            <w:pPr>
              <w:autoSpaceDE w:val="0"/>
              <w:autoSpaceDN w:val="0"/>
              <w:adjustRightInd w:val="0"/>
              <w:spacing w:after="0"/>
              <w:jc w:val="center"/>
            </w:pPr>
            <w:r w:rsidRPr="00C06F2E">
              <w:t>7</w:t>
            </w:r>
            <w:r w:rsidR="008E281B" w:rsidRPr="00C06F2E">
              <w:t>,</w:t>
            </w:r>
            <w:r w:rsidRPr="00C06F2E">
              <w:t>6</w:t>
            </w:r>
          </w:p>
        </w:tc>
        <w:tc>
          <w:tcPr>
            <w:tcW w:w="1275" w:type="dxa"/>
          </w:tcPr>
          <w:p w14:paraId="0A0BB405" w14:textId="216B59B3" w:rsidR="007B2947" w:rsidRPr="00C06F2E" w:rsidRDefault="007B2947" w:rsidP="008E281B">
            <w:pPr>
              <w:autoSpaceDE w:val="0"/>
              <w:autoSpaceDN w:val="0"/>
              <w:adjustRightInd w:val="0"/>
              <w:spacing w:after="0"/>
              <w:jc w:val="center"/>
            </w:pPr>
            <w:r w:rsidRPr="00C06F2E">
              <w:t>1</w:t>
            </w:r>
            <w:r w:rsidR="008E281B" w:rsidRPr="00C06F2E">
              <w:t>,</w:t>
            </w:r>
            <w:r w:rsidRPr="00C06F2E">
              <w:t>16</w:t>
            </w:r>
          </w:p>
        </w:tc>
        <w:tc>
          <w:tcPr>
            <w:tcW w:w="1168" w:type="dxa"/>
          </w:tcPr>
          <w:p w14:paraId="7E05E8D2" w14:textId="17C14AB2" w:rsidR="007B2947" w:rsidRPr="00C06F2E" w:rsidRDefault="007B2947" w:rsidP="0028022E">
            <w:pPr>
              <w:autoSpaceDE w:val="0"/>
              <w:autoSpaceDN w:val="0"/>
              <w:adjustRightInd w:val="0"/>
              <w:spacing w:after="0"/>
              <w:ind w:right="-108"/>
              <w:jc w:val="center"/>
            </w:pPr>
            <w:r w:rsidRPr="00C06F2E">
              <w:t>-0</w:t>
            </w:r>
            <w:r w:rsidR="00CD0C35" w:rsidRPr="00C06F2E">
              <w:t>,</w:t>
            </w:r>
            <w:r w:rsidRPr="00C06F2E">
              <w:t>05</w:t>
            </w:r>
            <w:r w:rsidRPr="00C06F2E">
              <w:rPr>
                <w:lang w:eastAsia="cs-CZ"/>
              </w:rPr>
              <w:t xml:space="preserve"> – </w:t>
            </w:r>
            <w:r w:rsidRPr="00C06F2E">
              <w:t>2</w:t>
            </w:r>
            <w:r w:rsidR="00CD0C35" w:rsidRPr="00C06F2E">
              <w:t>,</w:t>
            </w:r>
            <w:r w:rsidRPr="00C06F2E">
              <w:t>34</w:t>
            </w:r>
          </w:p>
        </w:tc>
        <w:tc>
          <w:tcPr>
            <w:tcW w:w="709" w:type="dxa"/>
            <w:vMerge/>
          </w:tcPr>
          <w:p w14:paraId="43C1CBA8" w14:textId="77777777" w:rsidR="007B2947" w:rsidRPr="00C06F2E" w:rsidRDefault="007B2947" w:rsidP="0028022E">
            <w:pPr>
              <w:autoSpaceDE w:val="0"/>
              <w:autoSpaceDN w:val="0"/>
              <w:adjustRightInd w:val="0"/>
              <w:spacing w:after="0"/>
              <w:jc w:val="center"/>
            </w:pPr>
          </w:p>
        </w:tc>
        <w:tc>
          <w:tcPr>
            <w:tcW w:w="1134" w:type="dxa"/>
            <w:vMerge/>
          </w:tcPr>
          <w:p w14:paraId="7CAEC02C" w14:textId="77777777" w:rsidR="007B2947" w:rsidRPr="00C06F2E" w:rsidRDefault="007B2947" w:rsidP="0028022E">
            <w:pPr>
              <w:autoSpaceDE w:val="0"/>
              <w:autoSpaceDN w:val="0"/>
              <w:adjustRightInd w:val="0"/>
              <w:spacing w:after="0"/>
              <w:jc w:val="center"/>
            </w:pPr>
          </w:p>
        </w:tc>
        <w:tc>
          <w:tcPr>
            <w:tcW w:w="850" w:type="dxa"/>
            <w:vMerge/>
          </w:tcPr>
          <w:p w14:paraId="570F5783" w14:textId="77777777" w:rsidR="007B2947" w:rsidRPr="00C06F2E" w:rsidRDefault="007B2947" w:rsidP="0028022E">
            <w:pPr>
              <w:autoSpaceDE w:val="0"/>
              <w:autoSpaceDN w:val="0"/>
              <w:adjustRightInd w:val="0"/>
              <w:spacing w:after="0"/>
              <w:jc w:val="center"/>
            </w:pPr>
          </w:p>
        </w:tc>
      </w:tr>
      <w:tr w:rsidR="007B2947" w:rsidRPr="00400B0E" w14:paraId="34CD767F" w14:textId="77777777" w:rsidTr="00362D92">
        <w:tc>
          <w:tcPr>
            <w:tcW w:w="10211" w:type="dxa"/>
            <w:gridSpan w:val="8"/>
          </w:tcPr>
          <w:p w14:paraId="60584149" w14:textId="7FA76496" w:rsidR="007B2947" w:rsidRPr="00362D92" w:rsidRDefault="007B2947" w:rsidP="0028022E">
            <w:pPr>
              <w:autoSpaceDE w:val="0"/>
              <w:autoSpaceDN w:val="0"/>
              <w:adjustRightInd w:val="0"/>
              <w:spacing w:after="0"/>
              <w:jc w:val="center"/>
              <w:rPr>
                <w:lang w:val="pt-PT"/>
              </w:rPr>
            </w:pPr>
            <w:r w:rsidRPr="00362D92">
              <w:rPr>
                <w:lang w:val="pt-PT"/>
              </w:rPr>
              <w:t>Popul</w:t>
            </w:r>
            <w:r w:rsidR="00C313A5" w:rsidRPr="00362D92">
              <w:rPr>
                <w:lang w:val="pt-PT"/>
              </w:rPr>
              <w:t>ácia pacientov s metast</w:t>
            </w:r>
            <w:r w:rsidR="00BE2D03" w:rsidRPr="00362D92">
              <w:rPr>
                <w:lang w:val="pt-PT"/>
              </w:rPr>
              <w:t>atickou chorobou</w:t>
            </w:r>
          </w:p>
        </w:tc>
      </w:tr>
      <w:tr w:rsidR="007B2947" w:rsidRPr="00C06F2E" w14:paraId="60935890" w14:textId="77777777" w:rsidTr="00362D92">
        <w:tc>
          <w:tcPr>
            <w:tcW w:w="2530" w:type="dxa"/>
          </w:tcPr>
          <w:p w14:paraId="4947C2F9" w14:textId="781BC946" w:rsidR="007B2947" w:rsidRPr="00C06F2E" w:rsidRDefault="00C313A5" w:rsidP="0028022E">
            <w:pPr>
              <w:autoSpaceDE w:val="0"/>
              <w:autoSpaceDN w:val="0"/>
              <w:adjustRightInd w:val="0"/>
              <w:spacing w:after="0"/>
              <w:jc w:val="left"/>
            </w:pPr>
            <w:r w:rsidRPr="00C06F2E">
              <w:t>Medián celkového prežívania</w:t>
            </w:r>
          </w:p>
        </w:tc>
        <w:tc>
          <w:tcPr>
            <w:tcW w:w="1296" w:type="dxa"/>
          </w:tcPr>
          <w:p w14:paraId="610FA651" w14:textId="0D30EF11" w:rsidR="007B2947" w:rsidRPr="00C06F2E" w:rsidRDefault="007B2947" w:rsidP="0028022E">
            <w:pPr>
              <w:autoSpaceDE w:val="0"/>
              <w:autoSpaceDN w:val="0"/>
              <w:adjustRightInd w:val="0"/>
              <w:spacing w:after="0"/>
              <w:jc w:val="center"/>
            </w:pPr>
            <w:r w:rsidRPr="00C06F2E">
              <w:t>5</w:t>
            </w:r>
            <w:r w:rsidR="00FA6F9F" w:rsidRPr="00C06F2E">
              <w:t>,</w:t>
            </w:r>
            <w:r w:rsidRPr="00C06F2E">
              <w:t>9</w:t>
            </w:r>
          </w:p>
        </w:tc>
        <w:tc>
          <w:tcPr>
            <w:tcW w:w="1249" w:type="dxa"/>
          </w:tcPr>
          <w:p w14:paraId="306C65CA" w14:textId="01EAEB32" w:rsidR="007B2947" w:rsidRPr="00C06F2E" w:rsidRDefault="007B2947" w:rsidP="0028022E">
            <w:pPr>
              <w:autoSpaceDE w:val="0"/>
              <w:autoSpaceDN w:val="0"/>
              <w:adjustRightInd w:val="0"/>
              <w:spacing w:after="0"/>
              <w:jc w:val="center"/>
            </w:pPr>
            <w:r w:rsidRPr="00C06F2E">
              <w:t>5</w:t>
            </w:r>
            <w:r w:rsidR="00FA6F9F" w:rsidRPr="00C06F2E">
              <w:t>,</w:t>
            </w:r>
            <w:r w:rsidRPr="00C06F2E">
              <w:t>1</w:t>
            </w:r>
          </w:p>
        </w:tc>
        <w:tc>
          <w:tcPr>
            <w:tcW w:w="1275" w:type="dxa"/>
          </w:tcPr>
          <w:p w14:paraId="4989D398" w14:textId="35512529" w:rsidR="007B2947" w:rsidRPr="00C06F2E" w:rsidRDefault="007B2947" w:rsidP="0028022E">
            <w:pPr>
              <w:autoSpaceDE w:val="0"/>
              <w:autoSpaceDN w:val="0"/>
              <w:adjustRightInd w:val="0"/>
              <w:spacing w:after="0"/>
              <w:jc w:val="center"/>
            </w:pPr>
            <w:r w:rsidRPr="00C06F2E">
              <w:t>0</w:t>
            </w:r>
            <w:r w:rsidR="00FA6F9F" w:rsidRPr="00C06F2E">
              <w:t>,</w:t>
            </w:r>
            <w:r w:rsidRPr="00C06F2E">
              <w:t>87</w:t>
            </w:r>
          </w:p>
        </w:tc>
        <w:tc>
          <w:tcPr>
            <w:tcW w:w="1168" w:type="dxa"/>
          </w:tcPr>
          <w:p w14:paraId="4787468F" w14:textId="763D5596" w:rsidR="007B2947" w:rsidRPr="00C06F2E" w:rsidRDefault="007B2947" w:rsidP="0028022E">
            <w:pPr>
              <w:autoSpaceDE w:val="0"/>
              <w:autoSpaceDN w:val="0"/>
              <w:adjustRightInd w:val="0"/>
              <w:spacing w:after="0"/>
              <w:ind w:right="-108"/>
              <w:jc w:val="center"/>
            </w:pPr>
            <w:r w:rsidRPr="00C06F2E">
              <w:t>-0</w:t>
            </w:r>
            <w:r w:rsidR="00FA6F9F" w:rsidRPr="00C06F2E">
              <w:t>,</w:t>
            </w:r>
            <w:r w:rsidRPr="00C06F2E">
              <w:t>26</w:t>
            </w:r>
            <w:r w:rsidRPr="00C06F2E">
              <w:rPr>
                <w:lang w:eastAsia="cs-CZ"/>
              </w:rPr>
              <w:t xml:space="preserve"> – </w:t>
            </w:r>
            <w:r w:rsidRPr="00C06F2E">
              <w:t>1</w:t>
            </w:r>
            <w:r w:rsidR="00FA6F9F" w:rsidRPr="00C06F2E">
              <w:t>,</w:t>
            </w:r>
            <w:r w:rsidRPr="00C06F2E">
              <w:t>56</w:t>
            </w:r>
          </w:p>
        </w:tc>
        <w:tc>
          <w:tcPr>
            <w:tcW w:w="709" w:type="dxa"/>
            <w:vMerge w:val="restart"/>
            <w:vAlign w:val="center"/>
          </w:tcPr>
          <w:p w14:paraId="2BAABBB6" w14:textId="12E2FB48" w:rsidR="007B2947" w:rsidRPr="00C06F2E" w:rsidRDefault="007B2947" w:rsidP="0028022E">
            <w:pPr>
              <w:autoSpaceDE w:val="0"/>
              <w:autoSpaceDN w:val="0"/>
              <w:adjustRightInd w:val="0"/>
              <w:spacing w:after="0"/>
              <w:jc w:val="center"/>
            </w:pPr>
            <w:r w:rsidRPr="00C06F2E">
              <w:t>0</w:t>
            </w:r>
            <w:r w:rsidR="00FA6F9F" w:rsidRPr="00C06F2E">
              <w:t>,</w:t>
            </w:r>
            <w:r w:rsidRPr="00C06F2E">
              <w:t>80</w:t>
            </w:r>
          </w:p>
        </w:tc>
        <w:tc>
          <w:tcPr>
            <w:tcW w:w="1134" w:type="dxa"/>
            <w:vMerge w:val="restart"/>
            <w:vAlign w:val="center"/>
          </w:tcPr>
          <w:p w14:paraId="4FEFEDD6" w14:textId="5FFA4A08" w:rsidR="007B2947" w:rsidRPr="00C06F2E" w:rsidRDefault="007B2947" w:rsidP="008E281B">
            <w:pPr>
              <w:autoSpaceDE w:val="0"/>
              <w:autoSpaceDN w:val="0"/>
              <w:adjustRightInd w:val="0"/>
              <w:spacing w:after="0"/>
              <w:ind w:right="-108"/>
              <w:jc w:val="center"/>
            </w:pPr>
            <w:r w:rsidRPr="00C06F2E">
              <w:t>0</w:t>
            </w:r>
            <w:r w:rsidR="008E281B" w:rsidRPr="00C06F2E">
              <w:t>,</w:t>
            </w:r>
            <w:r w:rsidRPr="00C06F2E">
              <w:t>66</w:t>
            </w:r>
            <w:r w:rsidRPr="00C06F2E">
              <w:rPr>
                <w:lang w:eastAsia="cs-CZ"/>
              </w:rPr>
              <w:t xml:space="preserve"> – </w:t>
            </w:r>
            <w:r w:rsidRPr="00C06F2E">
              <w:t>0</w:t>
            </w:r>
            <w:r w:rsidR="008E281B" w:rsidRPr="00C06F2E">
              <w:t>,</w:t>
            </w:r>
            <w:r w:rsidRPr="00C06F2E">
              <w:t>98</w:t>
            </w:r>
          </w:p>
        </w:tc>
        <w:tc>
          <w:tcPr>
            <w:tcW w:w="850" w:type="dxa"/>
            <w:vMerge w:val="restart"/>
            <w:vAlign w:val="center"/>
          </w:tcPr>
          <w:p w14:paraId="428417D7" w14:textId="70922A07" w:rsidR="007B2947" w:rsidRPr="00C06F2E" w:rsidRDefault="007B2947" w:rsidP="0028022E">
            <w:pPr>
              <w:autoSpaceDE w:val="0"/>
              <w:autoSpaceDN w:val="0"/>
              <w:adjustRightInd w:val="0"/>
              <w:spacing w:after="0"/>
              <w:jc w:val="center"/>
            </w:pPr>
            <w:r w:rsidRPr="00C06F2E">
              <w:t>0</w:t>
            </w:r>
            <w:r w:rsidR="00FA6F9F" w:rsidRPr="00C06F2E">
              <w:t>,</w:t>
            </w:r>
            <w:r w:rsidRPr="00C06F2E">
              <w:t>029</w:t>
            </w:r>
          </w:p>
        </w:tc>
      </w:tr>
      <w:tr w:rsidR="007B2947" w:rsidRPr="00C06F2E" w14:paraId="0B26F588" w14:textId="77777777" w:rsidTr="00362D92">
        <w:tc>
          <w:tcPr>
            <w:tcW w:w="2530" w:type="dxa"/>
          </w:tcPr>
          <w:p w14:paraId="0FB974C4" w14:textId="2AF8C42E" w:rsidR="007B2947" w:rsidRPr="00C06F2E" w:rsidRDefault="00C313A5" w:rsidP="0028022E">
            <w:pPr>
              <w:autoSpaceDE w:val="0"/>
              <w:autoSpaceDN w:val="0"/>
              <w:adjustRightInd w:val="0"/>
              <w:spacing w:after="0"/>
              <w:jc w:val="left"/>
            </w:pPr>
            <w:r w:rsidRPr="00C06F2E">
              <w:t>Priemer celkového prežívania</w:t>
            </w:r>
          </w:p>
        </w:tc>
        <w:tc>
          <w:tcPr>
            <w:tcW w:w="1296" w:type="dxa"/>
          </w:tcPr>
          <w:p w14:paraId="58C13E9F" w14:textId="222CE25A" w:rsidR="007B2947" w:rsidRPr="00C06F2E" w:rsidRDefault="007B2947" w:rsidP="0028022E">
            <w:pPr>
              <w:autoSpaceDE w:val="0"/>
              <w:autoSpaceDN w:val="0"/>
              <w:adjustRightInd w:val="0"/>
              <w:spacing w:after="0"/>
              <w:jc w:val="center"/>
            </w:pPr>
            <w:r w:rsidRPr="00C06F2E">
              <w:t>8</w:t>
            </w:r>
            <w:r w:rsidR="00FA6F9F" w:rsidRPr="00C06F2E">
              <w:t>,</w:t>
            </w:r>
            <w:r w:rsidRPr="00C06F2E">
              <w:t>1</w:t>
            </w:r>
          </w:p>
        </w:tc>
        <w:tc>
          <w:tcPr>
            <w:tcW w:w="1249" w:type="dxa"/>
          </w:tcPr>
          <w:p w14:paraId="088C352E" w14:textId="6FF60750" w:rsidR="007B2947" w:rsidRPr="00C06F2E" w:rsidRDefault="007B2947" w:rsidP="0028022E">
            <w:pPr>
              <w:autoSpaceDE w:val="0"/>
              <w:autoSpaceDN w:val="0"/>
              <w:adjustRightInd w:val="0"/>
              <w:spacing w:after="0"/>
              <w:jc w:val="center"/>
            </w:pPr>
            <w:r w:rsidRPr="00C06F2E">
              <w:t>6</w:t>
            </w:r>
            <w:r w:rsidR="00FA6F9F" w:rsidRPr="00C06F2E">
              <w:t>,</w:t>
            </w:r>
            <w:r w:rsidRPr="00C06F2E">
              <w:t>7</w:t>
            </w:r>
          </w:p>
        </w:tc>
        <w:tc>
          <w:tcPr>
            <w:tcW w:w="1275" w:type="dxa"/>
          </w:tcPr>
          <w:p w14:paraId="05E0C9E8" w14:textId="6BED176F" w:rsidR="007B2947" w:rsidRPr="00C06F2E" w:rsidRDefault="007B2947" w:rsidP="0028022E">
            <w:pPr>
              <w:autoSpaceDE w:val="0"/>
              <w:autoSpaceDN w:val="0"/>
              <w:adjustRightInd w:val="0"/>
              <w:spacing w:after="0"/>
              <w:jc w:val="center"/>
            </w:pPr>
            <w:r w:rsidRPr="00C06F2E">
              <w:t>1</w:t>
            </w:r>
            <w:r w:rsidR="00FA6F9F" w:rsidRPr="00C06F2E">
              <w:t>,</w:t>
            </w:r>
            <w:r w:rsidRPr="00C06F2E">
              <w:t>43</w:t>
            </w:r>
          </w:p>
        </w:tc>
        <w:tc>
          <w:tcPr>
            <w:tcW w:w="1168" w:type="dxa"/>
          </w:tcPr>
          <w:p w14:paraId="1BAE727F" w14:textId="4B62DF90" w:rsidR="007B2947" w:rsidRPr="00C06F2E" w:rsidRDefault="007B2947" w:rsidP="0028022E">
            <w:pPr>
              <w:autoSpaceDE w:val="0"/>
              <w:autoSpaceDN w:val="0"/>
              <w:adjustRightInd w:val="0"/>
              <w:spacing w:after="0"/>
              <w:ind w:right="-108"/>
              <w:jc w:val="center"/>
            </w:pPr>
            <w:r w:rsidRPr="00C06F2E">
              <w:t>0</w:t>
            </w:r>
            <w:r w:rsidR="00FA6F9F" w:rsidRPr="00C06F2E">
              <w:t>,</w:t>
            </w:r>
            <w:r w:rsidRPr="00C06F2E">
              <w:t>17</w:t>
            </w:r>
            <w:r w:rsidRPr="00C06F2E">
              <w:rPr>
                <w:lang w:eastAsia="cs-CZ"/>
              </w:rPr>
              <w:t xml:space="preserve"> – </w:t>
            </w:r>
            <w:r w:rsidRPr="00C06F2E">
              <w:t>2</w:t>
            </w:r>
            <w:r w:rsidR="00FA6F9F" w:rsidRPr="00C06F2E">
              <w:t>,</w:t>
            </w:r>
            <w:r w:rsidRPr="00C06F2E">
              <w:t>66</w:t>
            </w:r>
          </w:p>
        </w:tc>
        <w:tc>
          <w:tcPr>
            <w:tcW w:w="709" w:type="dxa"/>
            <w:vMerge/>
          </w:tcPr>
          <w:p w14:paraId="0E6B21DF" w14:textId="77777777" w:rsidR="007B2947" w:rsidRPr="00C06F2E" w:rsidRDefault="007B2947" w:rsidP="0028022E">
            <w:pPr>
              <w:autoSpaceDE w:val="0"/>
              <w:autoSpaceDN w:val="0"/>
              <w:adjustRightInd w:val="0"/>
              <w:spacing w:after="0"/>
              <w:jc w:val="center"/>
            </w:pPr>
          </w:p>
        </w:tc>
        <w:tc>
          <w:tcPr>
            <w:tcW w:w="1134" w:type="dxa"/>
            <w:vMerge/>
          </w:tcPr>
          <w:p w14:paraId="3EFF102C" w14:textId="77777777" w:rsidR="007B2947" w:rsidRPr="00C06F2E" w:rsidRDefault="007B2947" w:rsidP="0028022E">
            <w:pPr>
              <w:autoSpaceDE w:val="0"/>
              <w:autoSpaceDN w:val="0"/>
              <w:adjustRightInd w:val="0"/>
              <w:spacing w:after="0"/>
              <w:jc w:val="center"/>
            </w:pPr>
          </w:p>
        </w:tc>
        <w:tc>
          <w:tcPr>
            <w:tcW w:w="850" w:type="dxa"/>
            <w:vMerge/>
          </w:tcPr>
          <w:p w14:paraId="5A1C4F9C" w14:textId="77777777" w:rsidR="007B2947" w:rsidRPr="00C06F2E" w:rsidRDefault="007B2947" w:rsidP="0028022E">
            <w:pPr>
              <w:autoSpaceDE w:val="0"/>
              <w:autoSpaceDN w:val="0"/>
              <w:adjustRightInd w:val="0"/>
              <w:spacing w:after="0"/>
              <w:jc w:val="center"/>
            </w:pPr>
          </w:p>
        </w:tc>
      </w:tr>
      <w:tr w:rsidR="007B2947" w:rsidRPr="00400B0E" w14:paraId="2FEA0208" w14:textId="77777777" w:rsidTr="00362D92">
        <w:tc>
          <w:tcPr>
            <w:tcW w:w="10211" w:type="dxa"/>
            <w:gridSpan w:val="8"/>
          </w:tcPr>
          <w:p w14:paraId="70A61E6C" w14:textId="013F31A6" w:rsidR="007B2947" w:rsidRPr="00C06F2E" w:rsidRDefault="00C313A5" w:rsidP="0028022E">
            <w:pPr>
              <w:autoSpaceDE w:val="0"/>
              <w:autoSpaceDN w:val="0"/>
              <w:adjustRightInd w:val="0"/>
              <w:spacing w:after="0"/>
              <w:jc w:val="center"/>
              <w:rPr>
                <w:lang w:val="pl-PL"/>
              </w:rPr>
            </w:pPr>
            <w:r w:rsidRPr="00C06F2E">
              <w:rPr>
                <w:lang w:val="pl-PL"/>
              </w:rPr>
              <w:t>Populácia pacientov s lokálne pokročilou chorobou</w:t>
            </w:r>
          </w:p>
        </w:tc>
      </w:tr>
      <w:tr w:rsidR="007B2947" w:rsidRPr="00C06F2E" w14:paraId="38956D3C" w14:textId="77777777" w:rsidTr="00362D92">
        <w:tc>
          <w:tcPr>
            <w:tcW w:w="2530" w:type="dxa"/>
          </w:tcPr>
          <w:p w14:paraId="3F5CBCDB" w14:textId="1CAA24E9" w:rsidR="007B2947" w:rsidRPr="00C06F2E" w:rsidRDefault="00C313A5" w:rsidP="0028022E">
            <w:pPr>
              <w:autoSpaceDE w:val="0"/>
              <w:autoSpaceDN w:val="0"/>
              <w:adjustRightInd w:val="0"/>
              <w:spacing w:after="0"/>
              <w:jc w:val="left"/>
            </w:pPr>
            <w:r w:rsidRPr="00C06F2E">
              <w:t>Medián celkového prežívania</w:t>
            </w:r>
          </w:p>
        </w:tc>
        <w:tc>
          <w:tcPr>
            <w:tcW w:w="1296" w:type="dxa"/>
          </w:tcPr>
          <w:p w14:paraId="63C5F021" w14:textId="4A246073" w:rsidR="007B2947" w:rsidRPr="00C06F2E" w:rsidRDefault="007B2947" w:rsidP="0028022E">
            <w:pPr>
              <w:autoSpaceDE w:val="0"/>
              <w:autoSpaceDN w:val="0"/>
              <w:adjustRightInd w:val="0"/>
              <w:spacing w:after="0"/>
              <w:jc w:val="center"/>
            </w:pPr>
            <w:r w:rsidRPr="00C06F2E">
              <w:t>8</w:t>
            </w:r>
            <w:r w:rsidR="00FA6F9F" w:rsidRPr="00C06F2E">
              <w:t>,</w:t>
            </w:r>
            <w:r w:rsidRPr="00C06F2E">
              <w:t>5</w:t>
            </w:r>
          </w:p>
        </w:tc>
        <w:tc>
          <w:tcPr>
            <w:tcW w:w="1249" w:type="dxa"/>
          </w:tcPr>
          <w:p w14:paraId="3B9A0246" w14:textId="08AD6707" w:rsidR="007B2947" w:rsidRPr="00C06F2E" w:rsidRDefault="007B2947" w:rsidP="0028022E">
            <w:pPr>
              <w:autoSpaceDE w:val="0"/>
              <w:autoSpaceDN w:val="0"/>
              <w:adjustRightInd w:val="0"/>
              <w:spacing w:after="0"/>
              <w:jc w:val="center"/>
            </w:pPr>
            <w:r w:rsidRPr="00C06F2E">
              <w:t>8</w:t>
            </w:r>
            <w:r w:rsidR="00FA6F9F" w:rsidRPr="00C06F2E">
              <w:t>,</w:t>
            </w:r>
            <w:r w:rsidRPr="00C06F2E">
              <w:t>2</w:t>
            </w:r>
          </w:p>
        </w:tc>
        <w:tc>
          <w:tcPr>
            <w:tcW w:w="1275" w:type="dxa"/>
          </w:tcPr>
          <w:p w14:paraId="1E55FA91" w14:textId="5C5AD3C4" w:rsidR="007B2947" w:rsidRPr="00C06F2E" w:rsidRDefault="007B2947" w:rsidP="0028022E">
            <w:pPr>
              <w:autoSpaceDE w:val="0"/>
              <w:autoSpaceDN w:val="0"/>
              <w:adjustRightInd w:val="0"/>
              <w:spacing w:after="0"/>
              <w:jc w:val="center"/>
            </w:pPr>
            <w:r w:rsidRPr="00C06F2E">
              <w:t>0</w:t>
            </w:r>
            <w:r w:rsidR="00FA6F9F" w:rsidRPr="00C06F2E">
              <w:t>,</w:t>
            </w:r>
            <w:r w:rsidRPr="00C06F2E">
              <w:t>36</w:t>
            </w:r>
          </w:p>
        </w:tc>
        <w:tc>
          <w:tcPr>
            <w:tcW w:w="1168" w:type="dxa"/>
          </w:tcPr>
          <w:p w14:paraId="637A5CEC" w14:textId="59D9F2D6" w:rsidR="007B2947" w:rsidRPr="00C06F2E" w:rsidRDefault="007B2947" w:rsidP="0028022E">
            <w:pPr>
              <w:autoSpaceDE w:val="0"/>
              <w:autoSpaceDN w:val="0"/>
              <w:adjustRightInd w:val="0"/>
              <w:spacing w:after="0"/>
              <w:ind w:right="-108"/>
              <w:jc w:val="center"/>
            </w:pPr>
            <w:r w:rsidRPr="00C06F2E">
              <w:t>-2</w:t>
            </w:r>
            <w:r w:rsidR="00FA6F9F" w:rsidRPr="00C06F2E">
              <w:t>,</w:t>
            </w:r>
            <w:r w:rsidRPr="00C06F2E">
              <w:t>43</w:t>
            </w:r>
            <w:r w:rsidRPr="00C06F2E">
              <w:rPr>
                <w:lang w:eastAsia="cs-CZ"/>
              </w:rPr>
              <w:t xml:space="preserve"> – </w:t>
            </w:r>
            <w:r w:rsidRPr="00C06F2E">
              <w:t>2</w:t>
            </w:r>
            <w:r w:rsidR="00FA6F9F" w:rsidRPr="00C06F2E">
              <w:t>,</w:t>
            </w:r>
            <w:r w:rsidRPr="00C06F2E">
              <w:t>96</w:t>
            </w:r>
          </w:p>
        </w:tc>
        <w:tc>
          <w:tcPr>
            <w:tcW w:w="709" w:type="dxa"/>
            <w:vMerge w:val="restart"/>
            <w:vAlign w:val="center"/>
          </w:tcPr>
          <w:p w14:paraId="684BB82D" w14:textId="1A320681" w:rsidR="007B2947" w:rsidRPr="00C06F2E" w:rsidRDefault="007B2947" w:rsidP="0028022E">
            <w:pPr>
              <w:autoSpaceDE w:val="0"/>
              <w:autoSpaceDN w:val="0"/>
              <w:adjustRightInd w:val="0"/>
              <w:spacing w:after="0"/>
              <w:jc w:val="center"/>
            </w:pPr>
            <w:r w:rsidRPr="00C06F2E">
              <w:t>0</w:t>
            </w:r>
            <w:r w:rsidR="00FA6F9F" w:rsidRPr="00C06F2E">
              <w:t>,</w:t>
            </w:r>
            <w:r w:rsidRPr="00C06F2E">
              <w:t>93</w:t>
            </w:r>
          </w:p>
        </w:tc>
        <w:tc>
          <w:tcPr>
            <w:tcW w:w="1134" w:type="dxa"/>
            <w:vMerge w:val="restart"/>
            <w:vAlign w:val="center"/>
          </w:tcPr>
          <w:p w14:paraId="3BE58C83" w14:textId="456FA460" w:rsidR="007B2947" w:rsidRPr="00C06F2E" w:rsidRDefault="007B2947" w:rsidP="008E281B">
            <w:pPr>
              <w:autoSpaceDE w:val="0"/>
              <w:autoSpaceDN w:val="0"/>
              <w:adjustRightInd w:val="0"/>
              <w:spacing w:after="0"/>
              <w:ind w:right="-108"/>
              <w:jc w:val="center"/>
            </w:pPr>
            <w:r w:rsidRPr="00C06F2E">
              <w:t>0</w:t>
            </w:r>
            <w:r w:rsidR="008E281B" w:rsidRPr="00C06F2E">
              <w:t>,</w:t>
            </w:r>
            <w:r w:rsidRPr="00C06F2E">
              <w:t>65</w:t>
            </w:r>
            <w:r w:rsidRPr="00C06F2E">
              <w:rPr>
                <w:lang w:eastAsia="cs-CZ"/>
              </w:rPr>
              <w:t xml:space="preserve"> – </w:t>
            </w:r>
            <w:r w:rsidRPr="00C06F2E">
              <w:t>1</w:t>
            </w:r>
            <w:r w:rsidR="008E281B" w:rsidRPr="00C06F2E">
              <w:t>,</w:t>
            </w:r>
            <w:r w:rsidRPr="00C06F2E">
              <w:t>35</w:t>
            </w:r>
          </w:p>
        </w:tc>
        <w:tc>
          <w:tcPr>
            <w:tcW w:w="850" w:type="dxa"/>
            <w:vMerge w:val="restart"/>
            <w:vAlign w:val="center"/>
          </w:tcPr>
          <w:p w14:paraId="704C4239" w14:textId="302B9E95" w:rsidR="007B2947" w:rsidRPr="00C06F2E" w:rsidRDefault="007B2947" w:rsidP="0028022E">
            <w:pPr>
              <w:autoSpaceDE w:val="0"/>
              <w:autoSpaceDN w:val="0"/>
              <w:adjustRightInd w:val="0"/>
              <w:spacing w:after="0"/>
              <w:jc w:val="center"/>
            </w:pPr>
            <w:r w:rsidRPr="00C06F2E">
              <w:t>0</w:t>
            </w:r>
            <w:r w:rsidR="00FA6F9F" w:rsidRPr="00C06F2E">
              <w:t>,</w:t>
            </w:r>
            <w:r w:rsidRPr="00C06F2E">
              <w:t>713</w:t>
            </w:r>
          </w:p>
        </w:tc>
      </w:tr>
      <w:tr w:rsidR="007B2947" w:rsidRPr="00C06F2E" w14:paraId="30DA1204" w14:textId="77777777" w:rsidTr="00362D92">
        <w:tc>
          <w:tcPr>
            <w:tcW w:w="2530" w:type="dxa"/>
          </w:tcPr>
          <w:p w14:paraId="578C5942" w14:textId="7FDE7008" w:rsidR="007B2947" w:rsidRPr="00C06F2E" w:rsidRDefault="00C313A5" w:rsidP="0028022E">
            <w:pPr>
              <w:autoSpaceDE w:val="0"/>
              <w:autoSpaceDN w:val="0"/>
              <w:adjustRightInd w:val="0"/>
              <w:spacing w:after="0"/>
              <w:jc w:val="left"/>
            </w:pPr>
            <w:r w:rsidRPr="00C06F2E">
              <w:t>Priemer celkového prežívania</w:t>
            </w:r>
          </w:p>
        </w:tc>
        <w:tc>
          <w:tcPr>
            <w:tcW w:w="1296" w:type="dxa"/>
          </w:tcPr>
          <w:p w14:paraId="3E49173D" w14:textId="1D12B1E0" w:rsidR="007B2947" w:rsidRPr="00C06F2E" w:rsidRDefault="007B2947" w:rsidP="0028022E">
            <w:pPr>
              <w:autoSpaceDE w:val="0"/>
              <w:autoSpaceDN w:val="0"/>
              <w:adjustRightInd w:val="0"/>
              <w:spacing w:after="0"/>
              <w:jc w:val="center"/>
            </w:pPr>
            <w:r w:rsidRPr="00C06F2E">
              <w:t>10</w:t>
            </w:r>
            <w:r w:rsidR="00FA6F9F" w:rsidRPr="00C06F2E">
              <w:t>,</w:t>
            </w:r>
            <w:r w:rsidRPr="00C06F2E">
              <w:t>7</w:t>
            </w:r>
          </w:p>
        </w:tc>
        <w:tc>
          <w:tcPr>
            <w:tcW w:w="1249" w:type="dxa"/>
          </w:tcPr>
          <w:p w14:paraId="150D45F8" w14:textId="25954952" w:rsidR="007B2947" w:rsidRPr="00C06F2E" w:rsidRDefault="007B2947" w:rsidP="0028022E">
            <w:pPr>
              <w:autoSpaceDE w:val="0"/>
              <w:autoSpaceDN w:val="0"/>
              <w:adjustRightInd w:val="0"/>
              <w:spacing w:after="0"/>
              <w:jc w:val="center"/>
            </w:pPr>
            <w:r w:rsidRPr="00C06F2E">
              <w:t>10</w:t>
            </w:r>
            <w:r w:rsidR="00FA6F9F" w:rsidRPr="00C06F2E">
              <w:t>,</w:t>
            </w:r>
            <w:r w:rsidRPr="00C06F2E">
              <w:t>5</w:t>
            </w:r>
          </w:p>
        </w:tc>
        <w:tc>
          <w:tcPr>
            <w:tcW w:w="1275" w:type="dxa"/>
          </w:tcPr>
          <w:p w14:paraId="39420785" w14:textId="3D6D4699" w:rsidR="007B2947" w:rsidRPr="00C06F2E" w:rsidRDefault="007B2947" w:rsidP="0028022E">
            <w:pPr>
              <w:autoSpaceDE w:val="0"/>
              <w:autoSpaceDN w:val="0"/>
              <w:adjustRightInd w:val="0"/>
              <w:spacing w:after="0"/>
              <w:jc w:val="center"/>
            </w:pPr>
            <w:r w:rsidRPr="00C06F2E">
              <w:t>0</w:t>
            </w:r>
            <w:r w:rsidR="00FA6F9F" w:rsidRPr="00C06F2E">
              <w:t>,</w:t>
            </w:r>
            <w:r w:rsidRPr="00C06F2E">
              <w:t>19</w:t>
            </w:r>
          </w:p>
        </w:tc>
        <w:tc>
          <w:tcPr>
            <w:tcW w:w="1168" w:type="dxa"/>
          </w:tcPr>
          <w:p w14:paraId="35275DA5" w14:textId="7747FA12" w:rsidR="007B2947" w:rsidRPr="00C06F2E" w:rsidRDefault="007B2947" w:rsidP="0028022E">
            <w:pPr>
              <w:autoSpaceDE w:val="0"/>
              <w:autoSpaceDN w:val="0"/>
              <w:adjustRightInd w:val="0"/>
              <w:spacing w:after="0"/>
              <w:ind w:right="-108"/>
              <w:jc w:val="center"/>
            </w:pPr>
            <w:r w:rsidRPr="00C06F2E">
              <w:t>-2</w:t>
            </w:r>
            <w:r w:rsidR="00FA6F9F" w:rsidRPr="00C06F2E">
              <w:t>,</w:t>
            </w:r>
            <w:r w:rsidRPr="00C06F2E">
              <w:t>43</w:t>
            </w:r>
            <w:r w:rsidRPr="00C06F2E">
              <w:rPr>
                <w:lang w:eastAsia="cs-CZ"/>
              </w:rPr>
              <w:t xml:space="preserve">– </w:t>
            </w:r>
            <w:r w:rsidRPr="00C06F2E">
              <w:t>2</w:t>
            </w:r>
            <w:r w:rsidR="00FA6F9F" w:rsidRPr="00C06F2E">
              <w:t>,</w:t>
            </w:r>
            <w:r w:rsidRPr="00C06F2E">
              <w:t>69</w:t>
            </w:r>
          </w:p>
        </w:tc>
        <w:tc>
          <w:tcPr>
            <w:tcW w:w="709" w:type="dxa"/>
            <w:vMerge/>
          </w:tcPr>
          <w:p w14:paraId="42406519" w14:textId="77777777" w:rsidR="007B2947" w:rsidRPr="00C06F2E" w:rsidRDefault="007B2947" w:rsidP="0028022E">
            <w:pPr>
              <w:autoSpaceDE w:val="0"/>
              <w:autoSpaceDN w:val="0"/>
              <w:adjustRightInd w:val="0"/>
              <w:spacing w:after="0"/>
            </w:pPr>
          </w:p>
        </w:tc>
        <w:tc>
          <w:tcPr>
            <w:tcW w:w="1134" w:type="dxa"/>
            <w:vMerge/>
          </w:tcPr>
          <w:p w14:paraId="3B7347F9" w14:textId="77777777" w:rsidR="007B2947" w:rsidRPr="00C06F2E" w:rsidRDefault="007B2947" w:rsidP="0028022E">
            <w:pPr>
              <w:autoSpaceDE w:val="0"/>
              <w:autoSpaceDN w:val="0"/>
              <w:adjustRightInd w:val="0"/>
              <w:spacing w:after="0"/>
            </w:pPr>
          </w:p>
        </w:tc>
        <w:tc>
          <w:tcPr>
            <w:tcW w:w="850" w:type="dxa"/>
            <w:vMerge/>
          </w:tcPr>
          <w:p w14:paraId="509CF7C5" w14:textId="77777777" w:rsidR="007B2947" w:rsidRPr="00C06F2E" w:rsidRDefault="007B2947" w:rsidP="0028022E">
            <w:pPr>
              <w:autoSpaceDE w:val="0"/>
              <w:autoSpaceDN w:val="0"/>
              <w:adjustRightInd w:val="0"/>
              <w:spacing w:after="0"/>
            </w:pPr>
          </w:p>
        </w:tc>
      </w:tr>
    </w:tbl>
    <w:p w14:paraId="38F1E7F0" w14:textId="77777777" w:rsidR="00681B4A" w:rsidRPr="00C06F2E" w:rsidRDefault="00681B4A" w:rsidP="0028022E">
      <w:pPr>
        <w:suppressAutoHyphens/>
        <w:spacing w:after="0" w:line="240" w:lineRule="atLeast"/>
        <w:jc w:val="left"/>
        <w:rPr>
          <w:b/>
        </w:rPr>
      </w:pPr>
    </w:p>
    <w:p w14:paraId="335BBCC7" w14:textId="77777777" w:rsidR="00681B4A" w:rsidRPr="00C06F2E" w:rsidRDefault="00681B4A" w:rsidP="0028022E">
      <w:pPr>
        <w:suppressAutoHyphens/>
        <w:spacing w:after="0" w:line="240" w:lineRule="atLeast"/>
        <w:jc w:val="left"/>
        <w:rPr>
          <w:b/>
        </w:rPr>
      </w:pPr>
    </w:p>
    <w:p w14:paraId="6165E8EB" w14:textId="6C2E5112" w:rsidR="0054696A" w:rsidRPr="00C06F2E" w:rsidRDefault="00696BF1" w:rsidP="0028022E">
      <w:pPr>
        <w:suppressAutoHyphens/>
        <w:spacing w:after="0" w:line="240" w:lineRule="atLeast"/>
        <w:jc w:val="left"/>
        <w:rPr>
          <w:b/>
        </w:rPr>
      </w:pPr>
      <w:r>
        <w:rPr>
          <w:b/>
          <w:noProof/>
          <w:lang w:val="sk-SK" w:eastAsia="sk-SK"/>
        </w:rPr>
        <w:lastRenderedPageBreak/>
        <w:drawing>
          <wp:inline distT="0" distB="0" distL="0" distR="0" wp14:anchorId="752677A0" wp14:editId="4049D99E">
            <wp:extent cx="6296025" cy="3543300"/>
            <wp:effectExtent l="0" t="0" r="9525"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6025" cy="3543300"/>
                    </a:xfrm>
                    <a:prstGeom prst="rect">
                      <a:avLst/>
                    </a:prstGeom>
                    <a:noFill/>
                    <a:ln>
                      <a:noFill/>
                    </a:ln>
                  </pic:spPr>
                </pic:pic>
              </a:graphicData>
            </a:graphic>
          </wp:inline>
        </w:drawing>
      </w:r>
    </w:p>
    <w:p w14:paraId="709D81C3" w14:textId="65D7FE48" w:rsidR="007B2947" w:rsidRPr="00C06F2E" w:rsidRDefault="007B2947" w:rsidP="0028022E">
      <w:pPr>
        <w:suppressAutoHyphens/>
        <w:spacing w:after="0"/>
        <w:rPr>
          <w:b/>
        </w:rPr>
      </w:pPr>
    </w:p>
    <w:p w14:paraId="65880B1A" w14:textId="0013F24C" w:rsidR="007B2947" w:rsidRPr="00C06F2E" w:rsidRDefault="00696BF1" w:rsidP="0028022E">
      <w:pPr>
        <w:suppressAutoHyphens/>
        <w:spacing w:after="0" w:line="240" w:lineRule="atLeast"/>
        <w:jc w:val="left"/>
      </w:pPr>
      <w:r>
        <w:rPr>
          <w:noProof/>
          <w:lang w:val="sk-SK" w:eastAsia="sk-SK"/>
        </w:rPr>
        <w:drawing>
          <wp:inline distT="0" distB="0" distL="0" distR="0" wp14:anchorId="2D06408D" wp14:editId="77AE9841">
            <wp:extent cx="6296025" cy="3543300"/>
            <wp:effectExtent l="0" t="0" r="9525"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6025" cy="3543300"/>
                    </a:xfrm>
                    <a:prstGeom prst="rect">
                      <a:avLst/>
                    </a:prstGeom>
                    <a:noFill/>
                    <a:ln>
                      <a:noFill/>
                    </a:ln>
                  </pic:spPr>
                </pic:pic>
              </a:graphicData>
            </a:graphic>
          </wp:inline>
        </w:drawing>
      </w:r>
    </w:p>
    <w:p w14:paraId="2F1EC8A0" w14:textId="77777777" w:rsidR="007B2947" w:rsidRPr="00C06F2E" w:rsidRDefault="007B2947" w:rsidP="0028022E">
      <w:pPr>
        <w:suppressAutoHyphens/>
        <w:spacing w:after="0"/>
      </w:pPr>
    </w:p>
    <w:p w14:paraId="4C948B6D" w14:textId="27D843DC" w:rsidR="00FA6F9F" w:rsidRPr="00C06F2E" w:rsidRDefault="00FA6F9F" w:rsidP="00E60C58">
      <w:pPr>
        <w:suppressAutoHyphens/>
        <w:spacing w:after="0"/>
        <w:jc w:val="left"/>
        <w:rPr>
          <w:lang w:val="sk-SK"/>
        </w:rPr>
      </w:pPr>
      <w:r w:rsidRPr="00C06F2E">
        <w:rPr>
          <w:lang w:val="sk-SK"/>
        </w:rPr>
        <w:t>V </w:t>
      </w:r>
      <w:r w:rsidR="00BE2D03">
        <w:rPr>
          <w:lang w:val="sk-SK"/>
        </w:rPr>
        <w:t>„</w:t>
      </w:r>
      <w:r w:rsidRPr="00C06F2E">
        <w:rPr>
          <w:lang w:val="sk-SK"/>
        </w:rPr>
        <w:t>post-hoc</w:t>
      </w:r>
      <w:r w:rsidR="00BE2D03">
        <w:rPr>
          <w:lang w:val="sk-SK"/>
        </w:rPr>
        <w:t>“</w:t>
      </w:r>
      <w:r w:rsidRPr="00C06F2E">
        <w:rPr>
          <w:lang w:val="sk-SK"/>
        </w:rPr>
        <w:t xml:space="preserve"> analýze, pacienti s priaznivým klinickým stavom na začiatku štúdie (nízka intenzita bolesti, dobrá kvalita života a dobrý výkonnostný stav) môžu mať väčší </w:t>
      </w:r>
      <w:r w:rsidR="008E281B" w:rsidRPr="00C06F2E">
        <w:rPr>
          <w:lang w:val="sk-SK"/>
        </w:rPr>
        <w:t>prínos</w:t>
      </w:r>
      <w:r w:rsidRPr="00C06F2E">
        <w:rPr>
          <w:lang w:val="sk-SK"/>
        </w:rPr>
        <w:t xml:space="preserve"> z liečby erlotinibom. </w:t>
      </w:r>
      <w:r w:rsidR="008E281B" w:rsidRPr="00C06F2E">
        <w:rPr>
          <w:lang w:val="sk-SK"/>
        </w:rPr>
        <w:t>Tento prínos</w:t>
      </w:r>
      <w:r w:rsidRPr="00C06F2E">
        <w:rPr>
          <w:lang w:val="sk-SK"/>
        </w:rPr>
        <w:t xml:space="preserve"> je väčšinou ovplyvnený prítomnosťou nízkeho skóre bolesti.</w:t>
      </w:r>
    </w:p>
    <w:p w14:paraId="5EDFEE1A" w14:textId="77777777" w:rsidR="007B2947" w:rsidRPr="00C06F2E" w:rsidRDefault="007B2947" w:rsidP="00E60C58">
      <w:pPr>
        <w:suppressAutoHyphens/>
        <w:spacing w:after="0"/>
        <w:jc w:val="left"/>
        <w:rPr>
          <w:lang w:val="sk-SK"/>
        </w:rPr>
      </w:pPr>
    </w:p>
    <w:p w14:paraId="60F6C185" w14:textId="33C2D8EC" w:rsidR="00FA6F9F" w:rsidRPr="00C06F2E" w:rsidRDefault="00FA6F9F" w:rsidP="00E60C58">
      <w:pPr>
        <w:suppressAutoHyphens/>
        <w:spacing w:after="0"/>
        <w:jc w:val="left"/>
        <w:rPr>
          <w:lang w:val="sk-SK"/>
        </w:rPr>
      </w:pPr>
      <w:r w:rsidRPr="00C06F2E">
        <w:rPr>
          <w:lang w:val="sk-SK"/>
        </w:rPr>
        <w:t xml:space="preserve">V </w:t>
      </w:r>
      <w:r w:rsidR="00BE2D03">
        <w:rPr>
          <w:lang w:val="sk-SK"/>
        </w:rPr>
        <w:t>„</w:t>
      </w:r>
      <w:r w:rsidRPr="00C06F2E">
        <w:rPr>
          <w:lang w:val="sk-SK"/>
        </w:rPr>
        <w:t>post-hoc</w:t>
      </w:r>
      <w:r w:rsidR="00BE2D03">
        <w:rPr>
          <w:lang w:val="sk-SK"/>
        </w:rPr>
        <w:t xml:space="preserve">“ </w:t>
      </w:r>
      <w:r w:rsidRPr="00C06F2E">
        <w:rPr>
          <w:lang w:val="sk-SK"/>
        </w:rPr>
        <w:t xml:space="preserve">analýze, pacienti, ktorí užívali erlotinib, </w:t>
      </w:r>
      <w:r w:rsidR="00BE2D03">
        <w:rPr>
          <w:lang w:val="sk-SK"/>
        </w:rPr>
        <w:t xml:space="preserve">a </w:t>
      </w:r>
      <w:r w:rsidRPr="00C06F2E">
        <w:rPr>
          <w:lang w:val="sk-SK"/>
        </w:rPr>
        <w:t>u ktorých sa vyvinula vyrážka, mali dlhšie celkové prežívanie v</w:t>
      </w:r>
      <w:r w:rsidR="008E281B" w:rsidRPr="00C06F2E">
        <w:rPr>
          <w:lang w:val="sk-SK"/>
        </w:rPr>
        <w:t> </w:t>
      </w:r>
      <w:r w:rsidRPr="00C06F2E">
        <w:rPr>
          <w:lang w:val="sk-SK"/>
        </w:rPr>
        <w:t>porovnaní s</w:t>
      </w:r>
      <w:r w:rsidR="008E281B" w:rsidRPr="00C06F2E">
        <w:rPr>
          <w:lang w:val="sk-SK"/>
        </w:rPr>
        <w:t> </w:t>
      </w:r>
      <w:r w:rsidRPr="00C06F2E">
        <w:rPr>
          <w:lang w:val="sk-SK"/>
        </w:rPr>
        <w:t>pacientmi, u</w:t>
      </w:r>
      <w:r w:rsidR="008E281B" w:rsidRPr="00C06F2E">
        <w:rPr>
          <w:lang w:val="sk-SK"/>
        </w:rPr>
        <w:t> </w:t>
      </w:r>
      <w:r w:rsidRPr="00C06F2E">
        <w:rPr>
          <w:lang w:val="sk-SK"/>
        </w:rPr>
        <w:t>ktorých sa vyrážka nevyvinula (medián celkového prežívania 7,2</w:t>
      </w:r>
      <w:r w:rsidR="008E281B" w:rsidRPr="00C06F2E">
        <w:rPr>
          <w:lang w:val="sk-SK"/>
        </w:rPr>
        <w:t> mesiaca oproti 5 </w:t>
      </w:r>
      <w:r w:rsidRPr="00C06F2E">
        <w:rPr>
          <w:lang w:val="sk-SK"/>
        </w:rPr>
        <w:t xml:space="preserve">mesiacom, HR: 0,61). </w:t>
      </w:r>
    </w:p>
    <w:p w14:paraId="4F512037" w14:textId="3BE1AE14" w:rsidR="007B2947" w:rsidRPr="00C06F2E" w:rsidRDefault="00FA6F9F" w:rsidP="00E60C58">
      <w:pPr>
        <w:suppressAutoHyphens/>
        <w:spacing w:after="0"/>
        <w:jc w:val="left"/>
        <w:rPr>
          <w:lang w:val="sk-SK"/>
        </w:rPr>
      </w:pPr>
      <w:r w:rsidRPr="00C06F2E">
        <w:rPr>
          <w:lang w:val="sk-SK"/>
        </w:rPr>
        <w:t>U</w:t>
      </w:r>
      <w:r w:rsidR="008E281B" w:rsidRPr="00C06F2E">
        <w:rPr>
          <w:lang w:val="sk-SK"/>
        </w:rPr>
        <w:t> </w:t>
      </w:r>
      <w:r w:rsidRPr="00C06F2E">
        <w:rPr>
          <w:lang w:val="sk-SK"/>
        </w:rPr>
        <w:t>90</w:t>
      </w:r>
      <w:r w:rsidR="008E281B" w:rsidRPr="00C06F2E">
        <w:rPr>
          <w:lang w:val="sk-SK"/>
        </w:rPr>
        <w:t> </w:t>
      </w:r>
      <w:r w:rsidRPr="00C06F2E">
        <w:rPr>
          <w:lang w:val="sk-SK"/>
        </w:rPr>
        <w:t>% pacientov, ktorí užívali erlotinib, sa vyrážka vyvinula počas prvých 44</w:t>
      </w:r>
      <w:r w:rsidR="008E281B" w:rsidRPr="00C06F2E">
        <w:rPr>
          <w:lang w:val="sk-SK"/>
        </w:rPr>
        <w:t> </w:t>
      </w:r>
      <w:r w:rsidRPr="00C06F2E">
        <w:rPr>
          <w:lang w:val="sk-SK"/>
        </w:rPr>
        <w:t>dní. Medián času do výskytu vyrážky bol 10</w:t>
      </w:r>
      <w:r w:rsidR="008E281B" w:rsidRPr="00C06F2E">
        <w:rPr>
          <w:lang w:val="sk-SK"/>
        </w:rPr>
        <w:t> </w:t>
      </w:r>
      <w:r w:rsidRPr="00C06F2E">
        <w:rPr>
          <w:lang w:val="sk-SK"/>
        </w:rPr>
        <w:t>dní.</w:t>
      </w:r>
    </w:p>
    <w:p w14:paraId="723130CE" w14:textId="77777777" w:rsidR="00FA6F9F" w:rsidRPr="00C06F2E" w:rsidRDefault="00FA6F9F" w:rsidP="00E60C58">
      <w:pPr>
        <w:suppressAutoHyphens/>
        <w:spacing w:after="0"/>
        <w:jc w:val="left"/>
        <w:rPr>
          <w:lang w:val="sk-SK"/>
        </w:rPr>
      </w:pPr>
    </w:p>
    <w:p w14:paraId="764DCBAC" w14:textId="7C74C4D2" w:rsidR="007B2947" w:rsidRPr="00C06F2E" w:rsidRDefault="00B33419" w:rsidP="00E60C58">
      <w:pPr>
        <w:suppressAutoHyphens/>
        <w:spacing w:after="0"/>
        <w:jc w:val="left"/>
        <w:rPr>
          <w:u w:val="single"/>
          <w:lang w:val="sk-SK"/>
        </w:rPr>
      </w:pPr>
      <w:r w:rsidRPr="00C06F2E">
        <w:rPr>
          <w:u w:val="single"/>
          <w:lang w:val="sk-SK"/>
        </w:rPr>
        <w:lastRenderedPageBreak/>
        <w:t>P</w:t>
      </w:r>
      <w:r w:rsidR="007B2947" w:rsidRPr="00C06F2E">
        <w:rPr>
          <w:u w:val="single"/>
          <w:lang w:val="sk-SK"/>
        </w:rPr>
        <w:t>ediatric</w:t>
      </w:r>
      <w:r w:rsidRPr="00C06F2E">
        <w:rPr>
          <w:u w:val="single"/>
          <w:lang w:val="sk-SK"/>
        </w:rPr>
        <w:t>ká</w:t>
      </w:r>
      <w:r w:rsidR="007B2947" w:rsidRPr="00C06F2E">
        <w:rPr>
          <w:u w:val="single"/>
          <w:lang w:val="sk-SK"/>
        </w:rPr>
        <w:t xml:space="preserve"> popul</w:t>
      </w:r>
      <w:r w:rsidRPr="00C06F2E">
        <w:rPr>
          <w:u w:val="single"/>
          <w:lang w:val="sk-SK"/>
        </w:rPr>
        <w:t>ácia</w:t>
      </w:r>
    </w:p>
    <w:p w14:paraId="02ECE278" w14:textId="5B21979D" w:rsidR="00B33419" w:rsidRPr="00C06F2E" w:rsidRDefault="00B33419" w:rsidP="00E60C58">
      <w:pPr>
        <w:spacing w:after="0"/>
        <w:jc w:val="left"/>
        <w:rPr>
          <w:lang w:val="sk-SK"/>
        </w:rPr>
      </w:pPr>
      <w:r w:rsidRPr="00C06F2E">
        <w:rPr>
          <w:lang w:val="sk-SK"/>
        </w:rPr>
        <w:t>Európska agentúra pre lieky udelila výnimku z</w:t>
      </w:r>
      <w:r w:rsidR="008E281B" w:rsidRPr="00C06F2E">
        <w:rPr>
          <w:lang w:val="sk-SK"/>
        </w:rPr>
        <w:t> </w:t>
      </w:r>
      <w:r w:rsidRPr="00C06F2E">
        <w:rPr>
          <w:lang w:val="sk-SK"/>
        </w:rPr>
        <w:t>povinnosti predložiť výsledky štúdií s</w:t>
      </w:r>
      <w:r w:rsidR="008E281B" w:rsidRPr="00C06F2E">
        <w:rPr>
          <w:lang w:val="sk-SK"/>
        </w:rPr>
        <w:t> </w:t>
      </w:r>
      <w:r w:rsidRPr="00C06F2E">
        <w:rPr>
          <w:lang w:val="sk-SK"/>
        </w:rPr>
        <w:t>erlotinibom vo všetkých podskupinách pediatrickej populácie pri</w:t>
      </w:r>
      <w:r w:rsidR="008E281B" w:rsidRPr="00C06F2E">
        <w:rPr>
          <w:lang w:val="sk-SK"/>
        </w:rPr>
        <w:t> </w:t>
      </w:r>
      <w:r w:rsidRPr="00C06F2E">
        <w:rPr>
          <w:lang w:val="sk-SK"/>
        </w:rPr>
        <w:t>indikáciách nemalobunkového karcinómu pľúc a karcinómu pankreasu (informácie o použití v</w:t>
      </w:r>
      <w:r w:rsidR="008E281B" w:rsidRPr="00C06F2E">
        <w:rPr>
          <w:lang w:val="sk-SK"/>
        </w:rPr>
        <w:t> </w:t>
      </w:r>
      <w:r w:rsidRPr="00C06F2E">
        <w:rPr>
          <w:lang w:val="sk-SK"/>
        </w:rPr>
        <w:t>pediatrickej populácii, pozri časť 4.2).</w:t>
      </w:r>
    </w:p>
    <w:p w14:paraId="002187DD" w14:textId="77777777" w:rsidR="00AB12C9" w:rsidRPr="00C06F2E" w:rsidRDefault="00AB12C9" w:rsidP="0028022E">
      <w:pPr>
        <w:spacing w:after="0"/>
        <w:rPr>
          <w:lang w:val="sk-SK"/>
        </w:rPr>
      </w:pPr>
    </w:p>
    <w:p w14:paraId="2165C84F" w14:textId="321C9C75" w:rsidR="00435ECB" w:rsidRPr="00C06F2E" w:rsidRDefault="00B33419" w:rsidP="00BE2D03">
      <w:pPr>
        <w:pStyle w:val="StyleHeadingFreeBOLDNOCAPS"/>
        <w:tabs>
          <w:tab w:val="left" w:pos="567"/>
        </w:tabs>
        <w:spacing w:after="0"/>
        <w:rPr>
          <w:lang w:val="sk-SK"/>
        </w:rPr>
      </w:pPr>
      <w:r w:rsidRPr="00C06F2E">
        <w:rPr>
          <w:lang w:val="sk-SK"/>
        </w:rPr>
        <w:t xml:space="preserve">5.2 </w:t>
      </w:r>
      <w:r w:rsidRPr="00C06F2E">
        <w:rPr>
          <w:lang w:val="sk-SK"/>
        </w:rPr>
        <w:tab/>
        <w:t>Farmak</w:t>
      </w:r>
      <w:r w:rsidR="00435ECB" w:rsidRPr="00C06F2E">
        <w:rPr>
          <w:lang w:val="sk-SK"/>
        </w:rPr>
        <w:t>okinetic</w:t>
      </w:r>
      <w:r w:rsidRPr="00C06F2E">
        <w:rPr>
          <w:lang w:val="sk-SK"/>
        </w:rPr>
        <w:t>ké</w:t>
      </w:r>
      <w:r w:rsidR="00435ECB" w:rsidRPr="00C06F2E">
        <w:rPr>
          <w:lang w:val="sk-SK"/>
        </w:rPr>
        <w:t xml:space="preserve"> </w:t>
      </w:r>
      <w:r w:rsidRPr="00C06F2E">
        <w:rPr>
          <w:lang w:val="sk-SK"/>
        </w:rPr>
        <w:t>vlastnosti</w:t>
      </w:r>
    </w:p>
    <w:p w14:paraId="773FAE5D" w14:textId="77777777" w:rsidR="00E60C58" w:rsidRPr="00C06F2E" w:rsidRDefault="00E60C58" w:rsidP="0028022E">
      <w:pPr>
        <w:pStyle w:val="StyleHeadingFreeBOLDNOCAPS"/>
        <w:spacing w:after="0"/>
        <w:rPr>
          <w:lang w:val="sk-SK"/>
        </w:rPr>
      </w:pPr>
    </w:p>
    <w:p w14:paraId="58C239D1" w14:textId="6FE81ED9" w:rsidR="007B2947" w:rsidRPr="00C06F2E" w:rsidRDefault="007B2947" w:rsidP="00E60C58">
      <w:pPr>
        <w:suppressAutoHyphens/>
        <w:spacing w:after="0"/>
        <w:jc w:val="left"/>
        <w:rPr>
          <w:u w:val="single"/>
          <w:lang w:val="sk-SK"/>
        </w:rPr>
      </w:pPr>
      <w:r w:rsidRPr="00C06F2E">
        <w:rPr>
          <w:u w:val="single"/>
          <w:lang w:val="sk-SK"/>
        </w:rPr>
        <w:t>Absorp</w:t>
      </w:r>
      <w:r w:rsidR="00B33419" w:rsidRPr="00C06F2E">
        <w:rPr>
          <w:u w:val="single"/>
          <w:lang w:val="sk-SK"/>
        </w:rPr>
        <w:t>c</w:t>
      </w:r>
      <w:r w:rsidRPr="00C06F2E">
        <w:rPr>
          <w:u w:val="single"/>
          <w:lang w:val="sk-SK"/>
        </w:rPr>
        <w:t>i</w:t>
      </w:r>
      <w:r w:rsidR="00B33419" w:rsidRPr="00C06F2E">
        <w:rPr>
          <w:u w:val="single"/>
          <w:lang w:val="sk-SK"/>
        </w:rPr>
        <w:t>a</w:t>
      </w:r>
    </w:p>
    <w:p w14:paraId="6A815701" w14:textId="64CCC083" w:rsidR="00E63C2A" w:rsidRPr="00C06F2E" w:rsidRDefault="00B33419" w:rsidP="00E60C58">
      <w:pPr>
        <w:suppressAutoHyphens/>
        <w:spacing w:after="0"/>
        <w:jc w:val="left"/>
        <w:rPr>
          <w:lang w:val="sk-SK" w:eastAsia="en-GB"/>
        </w:rPr>
      </w:pPr>
      <w:r w:rsidRPr="00C06F2E">
        <w:rPr>
          <w:lang w:val="sk-SK" w:eastAsia="en-GB"/>
        </w:rPr>
        <w:t>Po</w:t>
      </w:r>
      <w:r w:rsidR="008E281B" w:rsidRPr="00C06F2E">
        <w:rPr>
          <w:lang w:val="sk-SK" w:eastAsia="en-GB"/>
        </w:rPr>
        <w:t> </w:t>
      </w:r>
      <w:r w:rsidRPr="00C06F2E">
        <w:rPr>
          <w:lang w:val="sk-SK" w:eastAsia="en-GB"/>
        </w:rPr>
        <w:t>perorálnom podaní sa maximálna plazmatická koncentrácia erlotinibu dosiahne v priebehu približne 4 hodín. V štúdii so zdravými dobrovoľníkmi sa odhadlo, že absolútna biologická dostupnosť je 59 %. Expozícia po perorálnej dávke môže byť zvýšená, keď sa podáva s jedlom.</w:t>
      </w:r>
    </w:p>
    <w:p w14:paraId="410FBD35" w14:textId="77777777" w:rsidR="00B33419" w:rsidRPr="00C06F2E" w:rsidRDefault="00B33419" w:rsidP="00E60C58">
      <w:pPr>
        <w:suppressAutoHyphens/>
        <w:spacing w:after="0"/>
        <w:jc w:val="left"/>
        <w:rPr>
          <w:lang w:val="sk-SK"/>
        </w:rPr>
      </w:pPr>
    </w:p>
    <w:p w14:paraId="7EF3A3F7" w14:textId="6136CBFD" w:rsidR="007B2947" w:rsidRPr="00C06F2E" w:rsidRDefault="007B2947" w:rsidP="00E60C58">
      <w:pPr>
        <w:suppressAutoHyphens/>
        <w:spacing w:after="0"/>
        <w:jc w:val="left"/>
        <w:rPr>
          <w:lang w:val="sk-SK"/>
        </w:rPr>
      </w:pPr>
      <w:r w:rsidRPr="00C06F2E">
        <w:rPr>
          <w:u w:val="single"/>
          <w:lang w:val="sk-SK"/>
        </w:rPr>
        <w:t>Distrib</w:t>
      </w:r>
      <w:r w:rsidR="00B33419" w:rsidRPr="00C06F2E">
        <w:rPr>
          <w:u w:val="single"/>
          <w:lang w:val="sk-SK"/>
        </w:rPr>
        <w:t>úcia</w:t>
      </w:r>
    </w:p>
    <w:p w14:paraId="12A931FD" w14:textId="1BF6492E" w:rsidR="007B2947" w:rsidRPr="00C06F2E" w:rsidRDefault="00B33419" w:rsidP="00E60C58">
      <w:pPr>
        <w:suppressAutoHyphens/>
        <w:spacing w:after="0"/>
        <w:jc w:val="left"/>
        <w:rPr>
          <w:lang w:val="sk-SK" w:eastAsia="en-GB"/>
        </w:rPr>
      </w:pPr>
      <w:r w:rsidRPr="00C06F2E">
        <w:rPr>
          <w:lang w:val="sk-SK" w:eastAsia="en-GB"/>
        </w:rPr>
        <w:t xml:space="preserve">Erlotinib má priemerný zdanlivý distribučný objem 232 l a distribuuje sa do ľudského nádorového tkaniva. V štúdii so 4 pacientmi (3 pacienti mali nemalobunkový karcinóm pľúc [NSCLC] a 1 pacient mal karcinóm hrtanu), ktorí denne užívali 150 mg </w:t>
      </w:r>
      <w:r w:rsidR="006C70B4" w:rsidRPr="00C06F2E">
        <w:rPr>
          <w:lang w:val="sk-SK" w:eastAsia="en-GB"/>
        </w:rPr>
        <w:t xml:space="preserve">erlotinibu </w:t>
      </w:r>
      <w:r w:rsidRPr="00C06F2E">
        <w:rPr>
          <w:lang w:val="sk-SK" w:eastAsia="en-GB"/>
        </w:rPr>
        <w:t>peroráln</w:t>
      </w:r>
      <w:r w:rsidR="006C70B4" w:rsidRPr="00C06F2E">
        <w:rPr>
          <w:lang w:val="sk-SK" w:eastAsia="en-GB"/>
        </w:rPr>
        <w:t>e</w:t>
      </w:r>
      <w:r w:rsidRPr="00C06F2E">
        <w:rPr>
          <w:lang w:val="sk-SK" w:eastAsia="en-GB"/>
        </w:rPr>
        <w:t xml:space="preserve">, sa vo vzorkách nádorového tkaniva odobratých chirurgickou excíziou na 9. deň liečby zistila priemerná koncentrácia erlotinibu 1 185 ng/g tkaniva. To zodpovedá </w:t>
      </w:r>
      <w:r w:rsidR="00173536">
        <w:rPr>
          <w:lang w:val="sk-SK" w:eastAsia="en-GB"/>
        </w:rPr>
        <w:t xml:space="preserve">celkovému </w:t>
      </w:r>
      <w:r w:rsidRPr="00C06F2E">
        <w:rPr>
          <w:lang w:val="sk-SK" w:eastAsia="en-GB"/>
        </w:rPr>
        <w:t>priemer</w:t>
      </w:r>
      <w:r w:rsidR="00173536">
        <w:rPr>
          <w:lang w:val="sk-SK" w:eastAsia="en-GB"/>
        </w:rPr>
        <w:t>u</w:t>
      </w:r>
      <w:r w:rsidRPr="00C06F2E">
        <w:rPr>
          <w:lang w:val="sk-SK" w:eastAsia="en-GB"/>
        </w:rPr>
        <w:t xml:space="preserve"> 63 % (rozmedzie 5 – 161 %) maximálnej </w:t>
      </w:r>
      <w:r w:rsidR="00173536">
        <w:rPr>
          <w:lang w:val="sk-SK" w:eastAsia="en-GB"/>
        </w:rPr>
        <w:t xml:space="preserve">plazmatickej </w:t>
      </w:r>
      <w:r w:rsidRPr="00C06F2E">
        <w:rPr>
          <w:lang w:val="sk-SK" w:eastAsia="en-GB"/>
        </w:rPr>
        <w:t xml:space="preserve">koncentrácie erlotinibu </w:t>
      </w:r>
      <w:r w:rsidR="00173536">
        <w:rPr>
          <w:lang w:val="sk-SK" w:eastAsia="en-GB"/>
        </w:rPr>
        <w:t>pozorovanej</w:t>
      </w:r>
      <w:r w:rsidRPr="00C06F2E">
        <w:rPr>
          <w:lang w:val="sk-SK" w:eastAsia="en-GB"/>
        </w:rPr>
        <w:t xml:space="preserve"> v</w:t>
      </w:r>
      <w:r w:rsidR="00173536">
        <w:rPr>
          <w:lang w:val="sk-SK" w:eastAsia="en-GB"/>
        </w:rPr>
        <w:t> rovnovážnom stave</w:t>
      </w:r>
      <w:r w:rsidRPr="00C06F2E">
        <w:rPr>
          <w:lang w:val="sk-SK" w:eastAsia="en-GB"/>
        </w:rPr>
        <w:t xml:space="preserve">. Primárne aktívne metabolity boli prítomné v nádorovom tkanive v priemernej koncentrácii 160 ng/g tkaniva, čo zodpovedá </w:t>
      </w:r>
      <w:r w:rsidR="00173536">
        <w:rPr>
          <w:lang w:val="sk-SK" w:eastAsia="en-GB"/>
        </w:rPr>
        <w:t xml:space="preserve">celkovému </w:t>
      </w:r>
      <w:r w:rsidRPr="00C06F2E">
        <w:rPr>
          <w:lang w:val="sk-SK" w:eastAsia="en-GB"/>
        </w:rPr>
        <w:t>priemer</w:t>
      </w:r>
      <w:r w:rsidR="00173536">
        <w:rPr>
          <w:lang w:val="sk-SK" w:eastAsia="en-GB"/>
        </w:rPr>
        <w:t>u</w:t>
      </w:r>
      <w:r w:rsidRPr="00C06F2E">
        <w:rPr>
          <w:lang w:val="sk-SK" w:eastAsia="en-GB"/>
        </w:rPr>
        <w:t xml:space="preserve"> 113 % (rozmedzie 88 – 130 %) maximálnej </w:t>
      </w:r>
      <w:r w:rsidR="00173536">
        <w:rPr>
          <w:lang w:val="sk-SK" w:eastAsia="en-GB"/>
        </w:rPr>
        <w:t xml:space="preserve">plazmatickej </w:t>
      </w:r>
      <w:r w:rsidRPr="00C06F2E">
        <w:rPr>
          <w:lang w:val="sk-SK" w:eastAsia="en-GB"/>
        </w:rPr>
        <w:t xml:space="preserve">koncentrácie </w:t>
      </w:r>
      <w:r w:rsidR="00173536">
        <w:rPr>
          <w:lang w:val="sk-SK" w:eastAsia="en-GB"/>
        </w:rPr>
        <w:t>pozorovanej</w:t>
      </w:r>
      <w:r w:rsidR="00173536" w:rsidRPr="00C06F2E">
        <w:rPr>
          <w:lang w:val="sk-SK" w:eastAsia="en-GB"/>
        </w:rPr>
        <w:t xml:space="preserve"> v</w:t>
      </w:r>
      <w:r w:rsidR="00173536">
        <w:rPr>
          <w:lang w:val="sk-SK" w:eastAsia="en-GB"/>
        </w:rPr>
        <w:t> rovnovážnom stave</w:t>
      </w:r>
      <w:r w:rsidRPr="00C06F2E">
        <w:rPr>
          <w:lang w:val="sk-SK" w:eastAsia="en-GB"/>
        </w:rPr>
        <w:t>. Väzba na plazmatické bielkoviny je približne 95 %. Erlotinib sa viaže na sérový albumín a na alfa</w:t>
      </w:r>
      <w:r w:rsidRPr="00C06F2E">
        <w:rPr>
          <w:lang w:val="sk-SK" w:eastAsia="en-GB"/>
        </w:rPr>
        <w:noBreakHyphen/>
        <w:t>1</w:t>
      </w:r>
      <w:r w:rsidRPr="00C06F2E">
        <w:rPr>
          <w:lang w:val="sk-SK" w:eastAsia="en-GB"/>
        </w:rPr>
        <w:noBreakHyphen/>
        <w:t>kyslý glykoproteín (AAG).</w:t>
      </w:r>
    </w:p>
    <w:p w14:paraId="2D7EF7F5" w14:textId="77777777" w:rsidR="00B33419" w:rsidRPr="00C06F2E" w:rsidRDefault="00B33419" w:rsidP="00E60C58">
      <w:pPr>
        <w:suppressAutoHyphens/>
        <w:spacing w:after="0"/>
        <w:jc w:val="left"/>
        <w:rPr>
          <w:lang w:val="sk-SK"/>
        </w:rPr>
      </w:pPr>
    </w:p>
    <w:p w14:paraId="7FEF6B35" w14:textId="04434CA6" w:rsidR="007B2947" w:rsidRPr="00C06F2E" w:rsidRDefault="007B2947" w:rsidP="00E60C58">
      <w:pPr>
        <w:suppressAutoHyphens/>
        <w:spacing w:after="0"/>
        <w:jc w:val="left"/>
        <w:rPr>
          <w:lang w:val="sk-SK"/>
        </w:rPr>
      </w:pPr>
      <w:r w:rsidRPr="00C06F2E">
        <w:rPr>
          <w:u w:val="single"/>
          <w:lang w:val="sk-SK"/>
        </w:rPr>
        <w:t>Biotransform</w:t>
      </w:r>
      <w:r w:rsidR="007F255F" w:rsidRPr="00C06F2E">
        <w:rPr>
          <w:u w:val="single"/>
          <w:lang w:val="sk-SK"/>
        </w:rPr>
        <w:t>ácia</w:t>
      </w:r>
    </w:p>
    <w:p w14:paraId="68226480" w14:textId="0264D56E" w:rsidR="007F255F" w:rsidRPr="00C06F2E" w:rsidRDefault="007F255F" w:rsidP="00E60C58">
      <w:pPr>
        <w:autoSpaceDE w:val="0"/>
        <w:autoSpaceDN w:val="0"/>
        <w:adjustRightInd w:val="0"/>
        <w:spacing w:after="0"/>
        <w:jc w:val="left"/>
        <w:rPr>
          <w:lang w:val="sk-SK" w:eastAsia="en-GB"/>
        </w:rPr>
      </w:pPr>
      <w:r w:rsidRPr="00C06F2E">
        <w:rPr>
          <w:lang w:val="sk-SK" w:eastAsia="en-GB"/>
        </w:rPr>
        <w:t>U ľudí sa erlotinib metabolizuje v pečeni prostredníctvom pečeňových cytochrómov, hlavne pomocou CYP3A4 a v menšej miere pomocou CYP1A2. Extrahepatálny metabolizmus sprostredkovaný CYP3A4 v</w:t>
      </w:r>
      <w:r w:rsidR="006C70B4" w:rsidRPr="00C06F2E">
        <w:rPr>
          <w:lang w:val="sk-SK" w:eastAsia="en-GB"/>
        </w:rPr>
        <w:t> </w:t>
      </w:r>
      <w:r w:rsidRPr="00C06F2E">
        <w:rPr>
          <w:lang w:val="sk-SK" w:eastAsia="en-GB"/>
        </w:rPr>
        <w:t>čreve, CYP1A1 v pľúcach a CYP1B1 v nádorovom tkanive môže prispievať k metabolickému klírensu erlotinibu. Identifikované boli tri hlavné metabolické dráhy: 1) O</w:t>
      </w:r>
      <w:r w:rsidRPr="00C06F2E">
        <w:rPr>
          <w:lang w:val="sk-SK" w:eastAsia="en-GB"/>
        </w:rPr>
        <w:noBreakHyphen/>
        <w:t>demetylácia jedného alebo obidvoch postranných reťazcov, po</w:t>
      </w:r>
      <w:r w:rsidR="006C70B4" w:rsidRPr="00C06F2E">
        <w:rPr>
          <w:lang w:val="sk-SK" w:eastAsia="en-GB"/>
        </w:rPr>
        <w:t> </w:t>
      </w:r>
      <w:r w:rsidRPr="00C06F2E">
        <w:rPr>
          <w:lang w:val="sk-SK" w:eastAsia="en-GB"/>
        </w:rPr>
        <w:t>ktorej nasleduje oxidácia vedúca k vzniku karboxylovej kyseliny; 2) oxidácia acetylénovej časti molekuly, po</w:t>
      </w:r>
      <w:r w:rsidR="006C70B4" w:rsidRPr="00C06F2E">
        <w:rPr>
          <w:lang w:val="sk-SK" w:eastAsia="en-GB"/>
        </w:rPr>
        <w:t> </w:t>
      </w:r>
      <w:r w:rsidRPr="00C06F2E">
        <w:rPr>
          <w:lang w:val="sk-SK" w:eastAsia="en-GB"/>
        </w:rPr>
        <w:t>ktorej nasleduje hydrolýza vedúca k vzniku arylkarboxylovej kyseliny; a 3) aromatická hydroxylácia fenylacetylénovej časti molekuly. Primárne metabolity erlotinibu OSI</w:t>
      </w:r>
      <w:r w:rsidRPr="00C06F2E">
        <w:rPr>
          <w:lang w:val="sk-SK" w:eastAsia="en-GB"/>
        </w:rPr>
        <w:noBreakHyphen/>
        <w:t>420 a OSI</w:t>
      </w:r>
      <w:r w:rsidRPr="00C06F2E">
        <w:rPr>
          <w:lang w:val="sk-SK" w:eastAsia="en-GB"/>
        </w:rPr>
        <w:noBreakHyphen/>
        <w:t>413 vznikajúce O</w:t>
      </w:r>
      <w:r w:rsidRPr="00C06F2E">
        <w:rPr>
          <w:lang w:val="sk-SK" w:eastAsia="en-GB"/>
        </w:rPr>
        <w:noBreakHyphen/>
        <w:t xml:space="preserve">demetyláciou postranných reťazcov majú účinnosť porovnateľnú s erlotinibom v predklinických testoch </w:t>
      </w:r>
      <w:r w:rsidRPr="00C06F2E">
        <w:rPr>
          <w:i/>
          <w:iCs/>
          <w:lang w:val="sk-SK" w:eastAsia="en-GB"/>
        </w:rPr>
        <w:t xml:space="preserve">in vitro </w:t>
      </w:r>
      <w:r w:rsidRPr="00C06F2E">
        <w:rPr>
          <w:lang w:val="sk-SK" w:eastAsia="en-GB"/>
        </w:rPr>
        <w:t>a</w:t>
      </w:r>
      <w:r w:rsidR="006C70B4" w:rsidRPr="00C06F2E">
        <w:rPr>
          <w:lang w:val="sk-SK" w:eastAsia="en-GB"/>
        </w:rPr>
        <w:t> </w:t>
      </w:r>
      <w:r w:rsidRPr="00C06F2E">
        <w:rPr>
          <w:lang w:val="sk-SK" w:eastAsia="en-GB"/>
        </w:rPr>
        <w:t>v</w:t>
      </w:r>
      <w:r w:rsidR="006C70B4" w:rsidRPr="00C06F2E">
        <w:rPr>
          <w:lang w:val="sk-SK" w:eastAsia="en-GB"/>
        </w:rPr>
        <w:t> </w:t>
      </w:r>
      <w:r w:rsidRPr="00C06F2E">
        <w:rPr>
          <w:iCs/>
          <w:lang w:val="sk-SK" w:eastAsia="en-GB"/>
        </w:rPr>
        <w:t xml:space="preserve">nádorových </w:t>
      </w:r>
      <w:r w:rsidRPr="00C06F2E">
        <w:rPr>
          <w:lang w:val="sk-SK" w:eastAsia="en-GB"/>
        </w:rPr>
        <w:t>modeloch</w:t>
      </w:r>
      <w:r w:rsidRPr="00C06F2E">
        <w:rPr>
          <w:i/>
          <w:iCs/>
          <w:lang w:val="sk-SK" w:eastAsia="en-GB"/>
        </w:rPr>
        <w:t xml:space="preserve"> in vivo</w:t>
      </w:r>
      <w:r w:rsidRPr="00C06F2E">
        <w:rPr>
          <w:lang w:val="sk-SK" w:eastAsia="en-GB"/>
        </w:rPr>
        <w:t>. Sú prítomné v plazme v koncentráciách zodpovedajúcich</w:t>
      </w:r>
      <w:r w:rsidR="006C70B4" w:rsidRPr="00C06F2E">
        <w:rPr>
          <w:lang w:val="sk-SK" w:eastAsia="en-GB"/>
        </w:rPr>
        <w:t> </w:t>
      </w:r>
      <w:r w:rsidRPr="00C06F2E">
        <w:rPr>
          <w:lang w:val="sk-SK" w:eastAsia="en-GB"/>
        </w:rPr>
        <w:t>&lt; 10 %</w:t>
      </w:r>
      <w:r w:rsidR="006C70B4" w:rsidRPr="00C06F2E">
        <w:rPr>
          <w:lang w:val="sk-SK" w:eastAsia="en-GB"/>
        </w:rPr>
        <w:t xml:space="preserve"> </w:t>
      </w:r>
      <w:r w:rsidRPr="00C06F2E">
        <w:rPr>
          <w:lang w:val="sk-SK" w:eastAsia="en-GB"/>
        </w:rPr>
        <w:t>erlotinibu a vykazujú podobnú farmakokinetiku ako erlotinib.</w:t>
      </w:r>
    </w:p>
    <w:p w14:paraId="163DB87B" w14:textId="77777777" w:rsidR="007B2947" w:rsidRPr="00C06F2E" w:rsidRDefault="007B2947" w:rsidP="00E60C58">
      <w:pPr>
        <w:suppressAutoHyphens/>
        <w:spacing w:after="0"/>
        <w:jc w:val="left"/>
        <w:rPr>
          <w:lang w:val="sk-SK"/>
        </w:rPr>
      </w:pPr>
    </w:p>
    <w:p w14:paraId="58DAF9A2" w14:textId="24226145" w:rsidR="007B2947" w:rsidRPr="00C06F2E" w:rsidRDefault="007B2947" w:rsidP="00E60C58">
      <w:pPr>
        <w:suppressAutoHyphens/>
        <w:spacing w:after="0"/>
        <w:jc w:val="left"/>
        <w:rPr>
          <w:lang w:val="sk-SK"/>
        </w:rPr>
      </w:pPr>
      <w:r w:rsidRPr="00C06F2E">
        <w:rPr>
          <w:u w:val="single"/>
          <w:lang w:val="sk-SK"/>
        </w:rPr>
        <w:t>Elimin</w:t>
      </w:r>
      <w:r w:rsidR="007F255F" w:rsidRPr="00C06F2E">
        <w:rPr>
          <w:u w:val="single"/>
          <w:lang w:val="sk-SK"/>
        </w:rPr>
        <w:t>ácia</w:t>
      </w:r>
    </w:p>
    <w:p w14:paraId="321D56D5" w14:textId="04A8750F" w:rsidR="007B2947" w:rsidRPr="00C06F2E" w:rsidRDefault="007F255F" w:rsidP="00E60C58">
      <w:pPr>
        <w:suppressAutoHyphens/>
        <w:spacing w:after="0"/>
        <w:jc w:val="left"/>
        <w:rPr>
          <w:lang w:val="sk-SK" w:eastAsia="en-GB"/>
        </w:rPr>
      </w:pPr>
      <w:r w:rsidRPr="00C06F2E">
        <w:rPr>
          <w:lang w:val="sk-SK" w:eastAsia="en-GB"/>
        </w:rPr>
        <w:t>Erlotinib sa vylučuje vo forme metabolitov hlavne stolicou (&gt; 90 %) a obličkami sa vylučuje iba malé množstvo (približne 9 %) perorálne podanej dávky. Menej ako 2 % perorálne podanej dávky sa vylučuje vo</w:t>
      </w:r>
      <w:r w:rsidR="006C70B4" w:rsidRPr="00C06F2E">
        <w:rPr>
          <w:lang w:val="sk-SK" w:eastAsia="en-GB"/>
        </w:rPr>
        <w:t> </w:t>
      </w:r>
      <w:r w:rsidRPr="00C06F2E">
        <w:rPr>
          <w:lang w:val="sk-SK" w:eastAsia="en-GB"/>
        </w:rPr>
        <w:t>forme východiskovej zlúčeniny. V populačnej farmakokinetickej analýze vykonanej u 591 pacientov, ktorým bol erlotinib podávaný v monoterapii, sa preukázal priemerný zdanlivý klírens 4,47 l/hodinu a medián eliminačného polčasu 36,2 hodiny. Preto sa očakáva, že plazmatická koncentrácia v rovnovážnom stave sa dosiahne v priebehu približne 7 – 8 dní.</w:t>
      </w:r>
    </w:p>
    <w:p w14:paraId="2017BF90" w14:textId="77777777" w:rsidR="007F255F" w:rsidRPr="00C06F2E" w:rsidRDefault="007F255F" w:rsidP="00E60C58">
      <w:pPr>
        <w:suppressAutoHyphens/>
        <w:spacing w:after="0"/>
        <w:jc w:val="left"/>
        <w:rPr>
          <w:lang w:val="sk-SK"/>
        </w:rPr>
      </w:pPr>
    </w:p>
    <w:p w14:paraId="2A98F4FC" w14:textId="19B3045A" w:rsidR="007B2947" w:rsidRPr="00C06F2E" w:rsidRDefault="00A43863" w:rsidP="00362D92">
      <w:pPr>
        <w:widowControl w:val="0"/>
        <w:suppressAutoHyphens/>
        <w:spacing w:after="0"/>
        <w:jc w:val="left"/>
        <w:rPr>
          <w:u w:val="single"/>
          <w:lang w:val="sk-SK"/>
        </w:rPr>
      </w:pPr>
      <w:r w:rsidRPr="00C06F2E">
        <w:rPr>
          <w:u w:val="single"/>
          <w:lang w:val="sk-SK" w:eastAsia="en-GB"/>
        </w:rPr>
        <w:t xml:space="preserve">Farmakokinetika </w:t>
      </w:r>
      <w:r w:rsidR="00173536">
        <w:rPr>
          <w:u w:val="single"/>
          <w:lang w:val="sk-SK" w:eastAsia="en-GB"/>
        </w:rPr>
        <w:t>u</w:t>
      </w:r>
      <w:r w:rsidRPr="00C06F2E">
        <w:rPr>
          <w:u w:val="single"/>
          <w:lang w:val="sk-SK" w:eastAsia="en-GB"/>
        </w:rPr>
        <w:t> osobitných skup</w:t>
      </w:r>
      <w:r w:rsidR="00173536">
        <w:rPr>
          <w:u w:val="single"/>
          <w:lang w:val="sk-SK" w:eastAsia="en-GB"/>
        </w:rPr>
        <w:t>ín</w:t>
      </w:r>
      <w:r w:rsidRPr="00C06F2E">
        <w:rPr>
          <w:u w:val="single"/>
          <w:lang w:val="sk-SK" w:eastAsia="en-GB"/>
        </w:rPr>
        <w:t xml:space="preserve"> pacientov</w:t>
      </w:r>
    </w:p>
    <w:p w14:paraId="0EAB0BE4" w14:textId="1D1EAFE5" w:rsidR="00A43863" w:rsidRPr="00C06F2E" w:rsidRDefault="00A43863" w:rsidP="00362D92">
      <w:pPr>
        <w:widowControl w:val="0"/>
        <w:autoSpaceDE w:val="0"/>
        <w:autoSpaceDN w:val="0"/>
        <w:adjustRightInd w:val="0"/>
        <w:spacing w:after="0"/>
        <w:jc w:val="left"/>
        <w:rPr>
          <w:lang w:val="sk-SK" w:eastAsia="en-GB"/>
        </w:rPr>
      </w:pPr>
      <w:r w:rsidRPr="00C06F2E">
        <w:rPr>
          <w:lang w:val="sk-SK" w:eastAsia="en-GB"/>
        </w:rPr>
        <w:t>Na</w:t>
      </w:r>
      <w:r w:rsidR="006C70B4" w:rsidRPr="00C06F2E">
        <w:rPr>
          <w:lang w:val="sk-SK" w:eastAsia="en-GB"/>
        </w:rPr>
        <w:t> </w:t>
      </w:r>
      <w:r w:rsidRPr="00C06F2E">
        <w:rPr>
          <w:lang w:val="sk-SK" w:eastAsia="en-GB"/>
        </w:rPr>
        <w:t>základe populačnej farmakokinetickej analýzy sa nezistila žiadna klinicky významná súvislosť medzi predpovedaným zdanlivým klírensom a vekom, telesnou hmotnosťou, pohlavím a etnickou príslušnosťou pacienta. Faktory týkajúce sa pacienta, ktoré korelovali s farmakokinetikou erlotinibu, boli koncentrácia celkového bilirubínu v sére, koncentrácia AAG a</w:t>
      </w:r>
      <w:r w:rsidR="00173536">
        <w:rPr>
          <w:lang w:val="sk-SK" w:eastAsia="en-GB"/>
        </w:rPr>
        <w:t xml:space="preserve"> súčasné </w:t>
      </w:r>
      <w:r w:rsidRPr="00C06F2E">
        <w:rPr>
          <w:lang w:val="sk-SK" w:eastAsia="en-GB"/>
        </w:rPr>
        <w:t>fajčenie. Zvýšená koncentrácia celkového bilirubínu v sére a zvýšená koncentrácia AAG boli spojené so</w:t>
      </w:r>
      <w:r w:rsidR="006C70B4" w:rsidRPr="00C06F2E">
        <w:rPr>
          <w:lang w:val="sk-SK" w:eastAsia="en-GB"/>
        </w:rPr>
        <w:t> </w:t>
      </w:r>
      <w:r w:rsidRPr="00C06F2E">
        <w:rPr>
          <w:lang w:val="sk-SK" w:eastAsia="en-GB"/>
        </w:rPr>
        <w:t>zníženým klírensom erlotinibu. Klinický význam týchto rozdielov nie je jasný. Fajčiari však mali zvýšenú rýchlosť klírensu erlotinibu. Potvrdilo sa to vo</w:t>
      </w:r>
      <w:r w:rsidR="006C70B4" w:rsidRPr="00C06F2E">
        <w:rPr>
          <w:lang w:val="sk-SK" w:eastAsia="en-GB"/>
        </w:rPr>
        <w:t> </w:t>
      </w:r>
      <w:r w:rsidRPr="00C06F2E">
        <w:rPr>
          <w:lang w:val="sk-SK" w:eastAsia="en-GB"/>
        </w:rPr>
        <w:t>farmakokinetickej štúdii so</w:t>
      </w:r>
      <w:r w:rsidR="006C70B4" w:rsidRPr="00C06F2E">
        <w:rPr>
          <w:lang w:val="sk-SK" w:eastAsia="en-GB"/>
        </w:rPr>
        <w:t> </w:t>
      </w:r>
      <w:r w:rsidRPr="00C06F2E">
        <w:rPr>
          <w:lang w:val="sk-SK" w:eastAsia="en-GB"/>
        </w:rPr>
        <w:t xml:space="preserve">zdravými nefajčiarmi a zdravými </w:t>
      </w:r>
      <w:r w:rsidR="00173536">
        <w:rPr>
          <w:lang w:val="sk-SK" w:eastAsia="en-GB"/>
        </w:rPr>
        <w:t>súčasnými</w:t>
      </w:r>
      <w:r w:rsidRPr="00C06F2E">
        <w:rPr>
          <w:lang w:val="sk-SK" w:eastAsia="en-GB"/>
        </w:rPr>
        <w:t xml:space="preserve"> fajčiarmi cigariet, ktorým sa perorálne podala jednorazová 150 mg dávka erlotinibu. Geometrický priemer hodnôt C</w:t>
      </w:r>
      <w:r w:rsidRPr="00C06F2E">
        <w:rPr>
          <w:vertAlign w:val="subscript"/>
          <w:lang w:val="sk-SK" w:eastAsia="en-GB"/>
        </w:rPr>
        <w:t>max</w:t>
      </w:r>
      <w:r w:rsidRPr="00C06F2E">
        <w:rPr>
          <w:lang w:val="sk-SK" w:eastAsia="en-GB"/>
        </w:rPr>
        <w:t xml:space="preserve"> bol 1 056 ng/ml u nefajčiarov a 689 ng/ml u fajčiarov, a teda fajčiari dosiahli v priemere 65,2 % hodnoty zistenej u nefajčiarov (95 % IS: 44,3 až 95,9, </w:t>
      </w:r>
      <w:r w:rsidRPr="00C06F2E">
        <w:rPr>
          <w:lang w:val="sk-SK" w:eastAsia="en-GB"/>
        </w:rPr>
        <w:lastRenderedPageBreak/>
        <w:t>p = 0,031). Geometrický priemer AUC</w:t>
      </w:r>
      <w:r w:rsidRPr="00C06F2E">
        <w:rPr>
          <w:vertAlign w:val="subscript"/>
          <w:lang w:val="sk-SK" w:eastAsia="en-GB"/>
        </w:rPr>
        <w:t>0</w:t>
      </w:r>
      <w:r w:rsidRPr="00C06F2E">
        <w:rPr>
          <w:vertAlign w:val="subscript"/>
          <w:lang w:val="sk-SK" w:eastAsia="en-GB"/>
        </w:rPr>
        <w:noBreakHyphen/>
        <w:t>inf</w:t>
      </w:r>
      <w:r w:rsidRPr="00C06F2E">
        <w:rPr>
          <w:lang w:val="sk-SK" w:eastAsia="en-GB"/>
        </w:rPr>
        <w:t xml:space="preserve"> bol 18 726 ng•h/ml u nefajčiarov a 6 718 ng•h/ml u fajčiarov, a teda fajčiari dosiahli v priemere 35,9 % hodnoty zistenej u nefajčiarov (95 % IS: 23,7 až 54,3, p &lt; 0,0001). Geometrický priemer C</w:t>
      </w:r>
      <w:r w:rsidRPr="00C06F2E">
        <w:rPr>
          <w:vertAlign w:val="subscript"/>
          <w:lang w:val="sk-SK" w:eastAsia="en-GB"/>
        </w:rPr>
        <w:t>24h</w:t>
      </w:r>
      <w:r w:rsidRPr="00C06F2E">
        <w:rPr>
          <w:lang w:val="sk-SK" w:eastAsia="en-GB"/>
        </w:rPr>
        <w:t xml:space="preserve"> bol 288 ng/ml u nefajčiarov a 34,8 ng/ml u fajčiarov, a teda fajčiari dosiahli v priemere 12,1 % hodnoty zistenej u nefajčiarov (95 % IS: 4,82 až 30,2, p = 0,0001).</w:t>
      </w:r>
      <w:r w:rsidR="00C966A2" w:rsidRPr="00C06F2E">
        <w:rPr>
          <w:lang w:val="sk-SK" w:eastAsia="en-GB"/>
        </w:rPr>
        <w:t xml:space="preserve"> </w:t>
      </w:r>
      <w:r w:rsidRPr="00C06F2E">
        <w:rPr>
          <w:lang w:val="sk-SK" w:eastAsia="en-GB"/>
        </w:rPr>
        <w:t>V pivotnom klinickom skúšaní fázy III zameranom na NSCLC sa u </w:t>
      </w:r>
      <w:r w:rsidR="00173536">
        <w:rPr>
          <w:lang w:val="sk-SK" w:eastAsia="en-GB"/>
        </w:rPr>
        <w:t>súčasných</w:t>
      </w:r>
      <w:r w:rsidRPr="00C06F2E">
        <w:rPr>
          <w:lang w:val="sk-SK" w:eastAsia="en-GB"/>
        </w:rPr>
        <w:t xml:space="preserve"> fajčiarov dosiahla minimálna plazmatická koncentrácia erlotinibu v rovnovážnom stave 0,65 μg/ml (n = 16), ktorá bola približne 2</w:t>
      </w:r>
      <w:r w:rsidRPr="00C06F2E">
        <w:rPr>
          <w:lang w:val="sk-SK" w:eastAsia="en-GB"/>
        </w:rPr>
        <w:noBreakHyphen/>
        <w:t>násobne nižšia ako tá, ktorá sa dosiahla u bývalých fajčiarov alebo u pacientov, ktorí nikdy nefajčili (1,28 μg/ml, n = 108). Tento efekt bol sprevádzaný 24 % zvýšením zdanlivého plazmatického klírensu erlotinibu. V štúdii fázy I</w:t>
      </w:r>
      <w:r w:rsidR="006C70B4" w:rsidRPr="00C06F2E">
        <w:rPr>
          <w:lang w:val="sk-SK" w:eastAsia="en-GB"/>
        </w:rPr>
        <w:t xml:space="preserve"> </w:t>
      </w:r>
      <w:r w:rsidRPr="00C06F2E">
        <w:rPr>
          <w:lang w:val="sk-SK" w:eastAsia="en-GB"/>
        </w:rPr>
        <w:t xml:space="preserve">s eskaláciou dávky u pacientov s NSCLC, ktorí boli </w:t>
      </w:r>
      <w:r w:rsidR="004B5C01">
        <w:rPr>
          <w:lang w:val="sk-SK" w:eastAsia="en-GB"/>
        </w:rPr>
        <w:t>súčasnými</w:t>
      </w:r>
      <w:r w:rsidRPr="00C06F2E">
        <w:rPr>
          <w:lang w:val="sk-SK" w:eastAsia="en-GB"/>
        </w:rPr>
        <w:t xml:space="preserve"> fajčiarmi, sa vo</w:t>
      </w:r>
      <w:r w:rsidR="006C70B4" w:rsidRPr="00C06F2E">
        <w:rPr>
          <w:lang w:val="sk-SK" w:eastAsia="en-GB"/>
        </w:rPr>
        <w:t> </w:t>
      </w:r>
      <w:r w:rsidRPr="00C06F2E">
        <w:rPr>
          <w:lang w:val="sk-SK" w:eastAsia="en-GB"/>
        </w:rPr>
        <w:t>farmakokinetickej analýze v rovnovážnom stave preukázalo zvýšenie expozície erlotinibu úmerné dávke, keď sa dávka zvýšila zo 150 mg na najvyššiu tolerovanú dávku 300 mg. V tejto štúdii sa u </w:t>
      </w:r>
      <w:r w:rsidR="004B5C01">
        <w:rPr>
          <w:lang w:val="sk-SK" w:eastAsia="en-GB"/>
        </w:rPr>
        <w:t>súčasných</w:t>
      </w:r>
      <w:r w:rsidRPr="00C06F2E">
        <w:rPr>
          <w:lang w:val="sk-SK" w:eastAsia="en-GB"/>
        </w:rPr>
        <w:t xml:space="preserve"> fajčiarov pri podávaní 300 mg dávky dosiahla minimálna plazmatická koncentrácia v rovnovážnom stave 1,22 μg/ml (n = 17).</w:t>
      </w:r>
      <w:r w:rsidR="00C966A2" w:rsidRPr="00C06F2E">
        <w:rPr>
          <w:lang w:val="sk-SK" w:eastAsia="en-GB"/>
        </w:rPr>
        <w:t xml:space="preserve"> Pozri časti 4.2, 4.4, 4.5 a 5.1.</w:t>
      </w:r>
    </w:p>
    <w:p w14:paraId="65DDD49D" w14:textId="77777777" w:rsidR="007B2947" w:rsidRPr="00C06F2E" w:rsidRDefault="007B2947" w:rsidP="00E60C58">
      <w:pPr>
        <w:suppressAutoHyphens/>
        <w:spacing w:after="0"/>
        <w:jc w:val="left"/>
        <w:rPr>
          <w:lang w:val="sk-SK"/>
        </w:rPr>
      </w:pPr>
    </w:p>
    <w:p w14:paraId="4F2B9F4F" w14:textId="2ECE8A3E" w:rsidR="007B2947" w:rsidRPr="00C06F2E" w:rsidRDefault="00CA7459" w:rsidP="00E60C58">
      <w:pPr>
        <w:suppressAutoHyphens/>
        <w:spacing w:after="0"/>
        <w:jc w:val="left"/>
        <w:rPr>
          <w:lang w:val="sk-SK"/>
        </w:rPr>
      </w:pPr>
      <w:r w:rsidRPr="00C06F2E">
        <w:rPr>
          <w:lang w:val="sk-SK" w:eastAsia="en-GB"/>
        </w:rPr>
        <w:t>Na základe výsledkov farmakokinetických štúdií sa má súčasným fajčiarom odporučiť, aby počas užívania erlotinibu nefajčili, pretože inak môžu byť jeho plazmatické koncentrácie znížené</w:t>
      </w:r>
      <w:r w:rsidR="007B2947" w:rsidRPr="00C06F2E">
        <w:rPr>
          <w:lang w:val="sk-SK"/>
        </w:rPr>
        <w:t>.</w:t>
      </w:r>
    </w:p>
    <w:p w14:paraId="578B67A0" w14:textId="77777777" w:rsidR="007B2947" w:rsidRPr="00C06F2E" w:rsidRDefault="007B2947" w:rsidP="00E60C58">
      <w:pPr>
        <w:suppressAutoHyphens/>
        <w:spacing w:after="0"/>
        <w:jc w:val="left"/>
        <w:rPr>
          <w:lang w:val="sk-SK"/>
        </w:rPr>
      </w:pPr>
    </w:p>
    <w:p w14:paraId="1A133B5F" w14:textId="6B7F7A6B" w:rsidR="007B2947" w:rsidRPr="00C06F2E" w:rsidRDefault="00CA7459" w:rsidP="00E60C58">
      <w:pPr>
        <w:suppressAutoHyphens/>
        <w:spacing w:after="0"/>
        <w:jc w:val="left"/>
        <w:rPr>
          <w:lang w:val="sk-SK"/>
        </w:rPr>
      </w:pPr>
      <w:r w:rsidRPr="00C06F2E">
        <w:rPr>
          <w:lang w:val="sk-SK" w:eastAsia="en-GB"/>
        </w:rPr>
        <w:t>Podľa populačnej farmakokinetickej analýzy sa zdá, že prítomnosť opioidu zvyšuje expozíciu erlotinibu približne o 11 %</w:t>
      </w:r>
      <w:r w:rsidR="007B2947" w:rsidRPr="00C06F2E">
        <w:rPr>
          <w:lang w:val="sk-SK"/>
        </w:rPr>
        <w:t>.</w:t>
      </w:r>
    </w:p>
    <w:p w14:paraId="6ED9619B" w14:textId="77777777" w:rsidR="007B2947" w:rsidRPr="00C06F2E" w:rsidRDefault="007B2947" w:rsidP="00E60C58">
      <w:pPr>
        <w:suppressAutoHyphens/>
        <w:spacing w:after="0"/>
        <w:jc w:val="left"/>
        <w:rPr>
          <w:lang w:val="sk-SK"/>
        </w:rPr>
      </w:pPr>
    </w:p>
    <w:p w14:paraId="3D0464C4" w14:textId="0DE90C98" w:rsidR="007B2947" w:rsidRPr="00C06F2E" w:rsidRDefault="00CA7459" w:rsidP="00E60C58">
      <w:pPr>
        <w:suppressAutoHyphens/>
        <w:spacing w:after="0"/>
        <w:jc w:val="left"/>
        <w:rPr>
          <w:lang w:val="sk-SK" w:eastAsia="en-GB"/>
        </w:rPr>
      </w:pPr>
      <w:r w:rsidRPr="00C06F2E">
        <w:rPr>
          <w:lang w:val="sk-SK" w:eastAsia="en-GB"/>
        </w:rPr>
        <w:t>Druhá populačná farmakokinetická analýza bola vykonaná s</w:t>
      </w:r>
      <w:r w:rsidR="002F2E60" w:rsidRPr="00C06F2E">
        <w:rPr>
          <w:lang w:val="sk-SK" w:eastAsia="en-GB"/>
        </w:rPr>
        <w:t> </w:t>
      </w:r>
      <w:r w:rsidRPr="00C06F2E">
        <w:rPr>
          <w:lang w:val="sk-SK" w:eastAsia="en-GB"/>
        </w:rPr>
        <w:t>využitím údajov o erlotinibe získaných u 204 pacientov s karcinómom pankreasu, ktorým bol erlotinib podávaný v kombinácii s gemcitabínom. Táto analýza preukázala, že kovarianty, ktoré mali vplyv na</w:t>
      </w:r>
      <w:r w:rsidR="002F2E60" w:rsidRPr="00C06F2E">
        <w:rPr>
          <w:lang w:val="sk-SK" w:eastAsia="en-GB"/>
        </w:rPr>
        <w:t> </w:t>
      </w:r>
      <w:r w:rsidRPr="00C06F2E">
        <w:rPr>
          <w:lang w:val="sk-SK" w:eastAsia="en-GB"/>
        </w:rPr>
        <w:t>klírens erlotinibu u pacientov zo</w:t>
      </w:r>
      <w:r w:rsidR="002F2E60" w:rsidRPr="00C06F2E">
        <w:rPr>
          <w:lang w:val="sk-SK" w:eastAsia="en-GB"/>
        </w:rPr>
        <w:t> </w:t>
      </w:r>
      <w:r w:rsidRPr="00C06F2E">
        <w:rPr>
          <w:lang w:val="sk-SK" w:eastAsia="en-GB"/>
        </w:rPr>
        <w:t>štúdie zameranej na karcinóm pankreasu, boli veľmi podobné tým, ktoré boli zistené v predchádzajúcej farmakokinetickej analýze erlotinib</w:t>
      </w:r>
      <w:r w:rsidR="004B5C01">
        <w:rPr>
          <w:lang w:val="sk-SK" w:eastAsia="en-GB"/>
        </w:rPr>
        <w:t>u</w:t>
      </w:r>
      <w:r w:rsidRPr="00C06F2E">
        <w:rPr>
          <w:lang w:val="sk-SK" w:eastAsia="en-GB"/>
        </w:rPr>
        <w:t xml:space="preserve"> v</w:t>
      </w:r>
      <w:r w:rsidR="002F2E60" w:rsidRPr="00C06F2E">
        <w:rPr>
          <w:lang w:val="sk-SK" w:eastAsia="en-GB"/>
        </w:rPr>
        <w:t> </w:t>
      </w:r>
      <w:r w:rsidRPr="00C06F2E">
        <w:rPr>
          <w:lang w:val="sk-SK" w:eastAsia="en-GB"/>
        </w:rPr>
        <w:t>monoterapii. Neboli identifikované žiadne nové účinky týchto kovariantov. Súbežné podávanie gemcitabínu nemalo žiadny vplyv na</w:t>
      </w:r>
      <w:r w:rsidR="002F2E60" w:rsidRPr="00C06F2E">
        <w:rPr>
          <w:lang w:val="sk-SK" w:eastAsia="en-GB"/>
        </w:rPr>
        <w:t> </w:t>
      </w:r>
      <w:r w:rsidRPr="00C06F2E">
        <w:rPr>
          <w:lang w:val="sk-SK" w:eastAsia="en-GB"/>
        </w:rPr>
        <w:t>plazmatický klírens erlotinibu.</w:t>
      </w:r>
    </w:p>
    <w:p w14:paraId="0A09E39D" w14:textId="77777777" w:rsidR="00CA7459" w:rsidRPr="00C06F2E" w:rsidRDefault="00CA7459" w:rsidP="00E60C58">
      <w:pPr>
        <w:suppressAutoHyphens/>
        <w:spacing w:after="0"/>
        <w:jc w:val="left"/>
        <w:rPr>
          <w:lang w:val="sk-SK"/>
        </w:rPr>
      </w:pPr>
    </w:p>
    <w:p w14:paraId="6C9A9582" w14:textId="4C19CD26" w:rsidR="00C66D0C" w:rsidRPr="00C06F2E" w:rsidRDefault="007B2947" w:rsidP="00E60C58">
      <w:pPr>
        <w:suppressAutoHyphens/>
        <w:spacing w:after="0"/>
        <w:jc w:val="left"/>
        <w:rPr>
          <w:i/>
          <w:lang w:val="sk-SK"/>
        </w:rPr>
      </w:pPr>
      <w:r w:rsidRPr="00C06F2E">
        <w:rPr>
          <w:i/>
          <w:lang w:val="sk-SK"/>
        </w:rPr>
        <w:t>Pediatric</w:t>
      </w:r>
      <w:r w:rsidR="00CA7459" w:rsidRPr="00C06F2E">
        <w:rPr>
          <w:i/>
          <w:lang w:val="sk-SK"/>
        </w:rPr>
        <w:t>ká</w:t>
      </w:r>
      <w:r w:rsidRPr="00C06F2E">
        <w:rPr>
          <w:i/>
          <w:lang w:val="sk-SK"/>
        </w:rPr>
        <w:t xml:space="preserve"> popul</w:t>
      </w:r>
      <w:r w:rsidR="00CA7459" w:rsidRPr="00C06F2E">
        <w:rPr>
          <w:i/>
          <w:lang w:val="sk-SK"/>
        </w:rPr>
        <w:t>ácia</w:t>
      </w:r>
    </w:p>
    <w:p w14:paraId="0166820F" w14:textId="5398E360" w:rsidR="007B2947" w:rsidRPr="00C06F2E" w:rsidRDefault="00CA7459" w:rsidP="00E60C58">
      <w:pPr>
        <w:suppressAutoHyphens/>
        <w:spacing w:after="0"/>
        <w:jc w:val="left"/>
        <w:rPr>
          <w:lang w:val="sk-SK"/>
        </w:rPr>
      </w:pPr>
      <w:r w:rsidRPr="00C06F2E">
        <w:rPr>
          <w:lang w:val="sk-SK" w:eastAsia="en-GB"/>
        </w:rPr>
        <w:t>Neuskutočnili sa žiadne špecifické štúdie u pediatrických pacientov</w:t>
      </w:r>
      <w:r w:rsidR="007B2947" w:rsidRPr="00C06F2E">
        <w:rPr>
          <w:lang w:val="sk-SK"/>
        </w:rPr>
        <w:t>.</w:t>
      </w:r>
    </w:p>
    <w:p w14:paraId="5498273B" w14:textId="77777777" w:rsidR="007B2947" w:rsidRPr="00C06F2E" w:rsidRDefault="007B2947" w:rsidP="00E60C58">
      <w:pPr>
        <w:suppressAutoHyphens/>
        <w:spacing w:after="0"/>
        <w:jc w:val="left"/>
        <w:rPr>
          <w:lang w:val="sk-SK"/>
        </w:rPr>
      </w:pPr>
    </w:p>
    <w:p w14:paraId="6C25DB99" w14:textId="12204AAA" w:rsidR="00C66D0C" w:rsidRPr="00C06F2E" w:rsidRDefault="00CA7459" w:rsidP="00E60C58">
      <w:pPr>
        <w:suppressAutoHyphens/>
        <w:spacing w:after="0"/>
        <w:jc w:val="left"/>
        <w:rPr>
          <w:lang w:val="sk-SK"/>
        </w:rPr>
      </w:pPr>
      <w:r w:rsidRPr="00C06F2E">
        <w:rPr>
          <w:i/>
          <w:lang w:val="sk-SK"/>
        </w:rPr>
        <w:t>Starší pacienti</w:t>
      </w:r>
    </w:p>
    <w:p w14:paraId="036667BC" w14:textId="0732C29E" w:rsidR="007B2947" w:rsidRPr="00C06F2E" w:rsidRDefault="00CA7459" w:rsidP="00E60C58">
      <w:pPr>
        <w:suppressAutoHyphens/>
        <w:spacing w:after="0"/>
        <w:jc w:val="left"/>
        <w:rPr>
          <w:lang w:val="sk-SK"/>
        </w:rPr>
      </w:pPr>
      <w:r w:rsidRPr="00C06F2E">
        <w:rPr>
          <w:lang w:val="sk-SK" w:eastAsia="en-GB"/>
        </w:rPr>
        <w:t>Neuskutočnili sa žiadne špecifické štúdie u starších pacientov</w:t>
      </w:r>
      <w:r w:rsidR="007B2947" w:rsidRPr="00C06F2E">
        <w:rPr>
          <w:lang w:val="sk-SK"/>
        </w:rPr>
        <w:t>.</w:t>
      </w:r>
    </w:p>
    <w:p w14:paraId="0AA6412F" w14:textId="77777777" w:rsidR="007B2947" w:rsidRPr="00C06F2E" w:rsidRDefault="007B2947" w:rsidP="00E60C58">
      <w:pPr>
        <w:suppressAutoHyphens/>
        <w:spacing w:after="0"/>
        <w:jc w:val="left"/>
        <w:rPr>
          <w:i/>
          <w:lang w:val="sk-SK"/>
        </w:rPr>
      </w:pPr>
    </w:p>
    <w:p w14:paraId="271F7028" w14:textId="6B8BFDF4" w:rsidR="00C66D0C" w:rsidRPr="00C06F2E" w:rsidRDefault="00F52F7B" w:rsidP="00E60C58">
      <w:pPr>
        <w:suppressAutoHyphens/>
        <w:spacing w:after="0"/>
        <w:jc w:val="left"/>
        <w:rPr>
          <w:lang w:val="sk-SK"/>
        </w:rPr>
      </w:pPr>
      <w:r w:rsidRPr="00C06F2E">
        <w:rPr>
          <w:i/>
          <w:lang w:val="sk-SK"/>
        </w:rPr>
        <w:t>Porucha funkcie pečene</w:t>
      </w:r>
    </w:p>
    <w:p w14:paraId="38E14784" w14:textId="4AC0AE67" w:rsidR="007B2947" w:rsidRPr="00C06F2E" w:rsidRDefault="00F52F7B" w:rsidP="00E60C58">
      <w:pPr>
        <w:suppressAutoHyphens/>
        <w:spacing w:after="0"/>
        <w:jc w:val="left"/>
        <w:rPr>
          <w:lang w:val="sk-SK" w:eastAsia="en-GB"/>
        </w:rPr>
      </w:pPr>
      <w:r w:rsidRPr="00C06F2E">
        <w:rPr>
          <w:lang w:val="sk-SK" w:eastAsia="en-GB"/>
        </w:rPr>
        <w:t xml:space="preserve">Erlotinib sa vylučuje hlavne pečeňou. </w:t>
      </w:r>
      <w:r w:rsidR="002F2E60" w:rsidRPr="00C06F2E">
        <w:rPr>
          <w:lang w:val="sk-SK"/>
        </w:rPr>
        <w:t xml:space="preserve">U pacientov so solídnymi nádormi a s miernou poruchou funkcie pečene (skóre podľa Childa-Pugha 7-9) </w:t>
      </w:r>
      <w:r w:rsidR="004B5C01">
        <w:rPr>
          <w:lang w:val="sk-SK"/>
        </w:rPr>
        <w:t>bol</w:t>
      </w:r>
      <w:r w:rsidR="002F2E60" w:rsidRPr="00C06F2E">
        <w:rPr>
          <w:lang w:val="sk-SK"/>
        </w:rPr>
        <w:t xml:space="preserve"> geometrický priemer </w:t>
      </w:r>
      <w:r w:rsidR="004B5C01">
        <w:rPr>
          <w:lang w:val="sk-SK"/>
        </w:rPr>
        <w:t>hodnôt</w:t>
      </w:r>
      <w:r w:rsidR="002F2E60" w:rsidRPr="00C06F2E">
        <w:rPr>
          <w:lang w:val="sk-SK"/>
        </w:rPr>
        <w:t xml:space="preserve"> AUC</w:t>
      </w:r>
      <w:r w:rsidR="002F2E60" w:rsidRPr="00362D92">
        <w:rPr>
          <w:vertAlign w:val="subscript"/>
          <w:lang w:val="sk-SK"/>
        </w:rPr>
        <w:t xml:space="preserve">0-t </w:t>
      </w:r>
      <w:r w:rsidR="004B5C01">
        <w:rPr>
          <w:lang w:val="sk-SK"/>
        </w:rPr>
        <w:t xml:space="preserve">erlotinibu </w:t>
      </w:r>
      <w:r w:rsidR="002F2E60" w:rsidRPr="00C06F2E">
        <w:rPr>
          <w:lang w:val="sk-SK"/>
        </w:rPr>
        <w:t>27</w:t>
      </w:r>
      <w:r w:rsidR="00D60E02" w:rsidRPr="00C06F2E">
        <w:rPr>
          <w:lang w:val="sk-SK"/>
        </w:rPr>
        <w:t> </w:t>
      </w:r>
      <w:r w:rsidR="002F2E60" w:rsidRPr="00C06F2E">
        <w:rPr>
          <w:lang w:val="sk-SK"/>
        </w:rPr>
        <w:t>000</w:t>
      </w:r>
      <w:r w:rsidR="00D60E02" w:rsidRPr="00C06F2E">
        <w:rPr>
          <w:lang w:val="sk-SK"/>
        </w:rPr>
        <w:t> </w:t>
      </w:r>
      <w:r w:rsidR="002F2E60" w:rsidRPr="00C06F2E">
        <w:rPr>
          <w:lang w:val="sk-SK"/>
        </w:rPr>
        <w:t>ng•h/ml a C</w:t>
      </w:r>
      <w:r w:rsidR="002F2E60" w:rsidRPr="00362D92">
        <w:rPr>
          <w:vertAlign w:val="subscript"/>
          <w:lang w:val="sk-SK"/>
        </w:rPr>
        <w:t>max</w:t>
      </w:r>
      <w:r w:rsidR="002F2E60" w:rsidRPr="00C06F2E">
        <w:rPr>
          <w:lang w:val="sk-SK"/>
        </w:rPr>
        <w:t xml:space="preserve"> 805</w:t>
      </w:r>
      <w:r w:rsidR="00D60E02" w:rsidRPr="00C06F2E">
        <w:rPr>
          <w:lang w:val="sk-SK"/>
        </w:rPr>
        <w:t> </w:t>
      </w:r>
      <w:r w:rsidR="002F2E60" w:rsidRPr="00C06F2E">
        <w:rPr>
          <w:lang w:val="sk-SK"/>
        </w:rPr>
        <w:t>ng/ml v</w:t>
      </w:r>
      <w:r w:rsidR="00D60E02" w:rsidRPr="00C06F2E">
        <w:rPr>
          <w:lang w:val="sk-SK"/>
        </w:rPr>
        <w:t> </w:t>
      </w:r>
      <w:r w:rsidR="002F2E60" w:rsidRPr="00C06F2E">
        <w:rPr>
          <w:lang w:val="sk-SK"/>
        </w:rPr>
        <w:t>porovnaní s AUC</w:t>
      </w:r>
      <w:r w:rsidR="002F2E60" w:rsidRPr="00362D92">
        <w:rPr>
          <w:vertAlign w:val="subscript"/>
          <w:lang w:val="sk-SK"/>
        </w:rPr>
        <w:t>0-t</w:t>
      </w:r>
      <w:r w:rsidR="002F2E60" w:rsidRPr="00C06F2E">
        <w:rPr>
          <w:lang w:val="sk-SK"/>
        </w:rPr>
        <w:t xml:space="preserve"> 29</w:t>
      </w:r>
      <w:r w:rsidR="00D60E02" w:rsidRPr="00C06F2E">
        <w:rPr>
          <w:lang w:val="sk-SK"/>
        </w:rPr>
        <w:t> 300 </w:t>
      </w:r>
      <w:r w:rsidR="002F2E60" w:rsidRPr="00C06F2E">
        <w:rPr>
          <w:lang w:val="sk-SK"/>
        </w:rPr>
        <w:t>ng•h/ml a C</w:t>
      </w:r>
      <w:r w:rsidR="002F2E60" w:rsidRPr="00362D92">
        <w:rPr>
          <w:vertAlign w:val="subscript"/>
          <w:lang w:val="sk-SK"/>
        </w:rPr>
        <w:t>max</w:t>
      </w:r>
      <w:r w:rsidR="002F2E60" w:rsidRPr="00C06F2E">
        <w:rPr>
          <w:lang w:val="sk-SK"/>
        </w:rPr>
        <w:t xml:space="preserve"> 1</w:t>
      </w:r>
      <w:r w:rsidR="00D60E02" w:rsidRPr="00C06F2E">
        <w:rPr>
          <w:lang w:val="sk-SK"/>
        </w:rPr>
        <w:t> </w:t>
      </w:r>
      <w:r w:rsidR="002F2E60" w:rsidRPr="00C06F2E">
        <w:rPr>
          <w:lang w:val="sk-SK"/>
        </w:rPr>
        <w:t>090</w:t>
      </w:r>
      <w:r w:rsidR="00D60E02" w:rsidRPr="00C06F2E">
        <w:rPr>
          <w:lang w:val="sk-SK"/>
        </w:rPr>
        <w:t> </w:t>
      </w:r>
      <w:r w:rsidR="002F2E60" w:rsidRPr="00C06F2E">
        <w:rPr>
          <w:lang w:val="sk-SK"/>
        </w:rPr>
        <w:t>ng/ml u</w:t>
      </w:r>
      <w:r w:rsidR="00D60E02" w:rsidRPr="00C06F2E">
        <w:rPr>
          <w:lang w:val="sk-SK"/>
        </w:rPr>
        <w:t> </w:t>
      </w:r>
      <w:r w:rsidR="002F2E60" w:rsidRPr="00C06F2E">
        <w:rPr>
          <w:lang w:val="sk-SK"/>
        </w:rPr>
        <w:t>pacientov s</w:t>
      </w:r>
      <w:r w:rsidR="00D60E02" w:rsidRPr="00C06F2E">
        <w:rPr>
          <w:lang w:val="sk-SK"/>
        </w:rPr>
        <w:t> </w:t>
      </w:r>
      <w:r w:rsidR="002F2E60" w:rsidRPr="00C06F2E">
        <w:rPr>
          <w:lang w:val="sk-SK"/>
        </w:rPr>
        <w:t>primeranou funkciou pečene, vrátane pacientov s</w:t>
      </w:r>
      <w:r w:rsidR="00D60E02" w:rsidRPr="00C06F2E">
        <w:rPr>
          <w:lang w:val="sk-SK"/>
        </w:rPr>
        <w:t> </w:t>
      </w:r>
      <w:r w:rsidR="002F2E60" w:rsidRPr="00C06F2E">
        <w:rPr>
          <w:lang w:val="sk-SK"/>
        </w:rPr>
        <w:t xml:space="preserve">primárnym nádorom pečene alebo metastázami </w:t>
      </w:r>
      <w:r w:rsidR="004B5C01">
        <w:rPr>
          <w:lang w:val="sk-SK"/>
        </w:rPr>
        <w:t>v</w:t>
      </w:r>
      <w:r w:rsidR="00D60E02" w:rsidRPr="00C06F2E">
        <w:rPr>
          <w:lang w:val="sk-SK"/>
        </w:rPr>
        <w:t> </w:t>
      </w:r>
      <w:r w:rsidR="002F2E60" w:rsidRPr="00C06F2E">
        <w:rPr>
          <w:lang w:val="sk-SK"/>
        </w:rPr>
        <w:t>pečen</w:t>
      </w:r>
      <w:r w:rsidR="004B5C01">
        <w:rPr>
          <w:lang w:val="sk-SK"/>
        </w:rPr>
        <w:t>i</w:t>
      </w:r>
      <w:r w:rsidR="002F2E60" w:rsidRPr="00C06F2E">
        <w:rPr>
          <w:lang w:val="sk-SK"/>
        </w:rPr>
        <w:t xml:space="preserve">. </w:t>
      </w:r>
      <w:r w:rsidR="00D60E02" w:rsidRPr="00C06F2E">
        <w:rPr>
          <w:lang w:val="sk-SK"/>
        </w:rPr>
        <w:t xml:space="preserve">I keď </w:t>
      </w:r>
      <w:r w:rsidR="004B5C01">
        <w:rPr>
          <w:lang w:val="sk-SK"/>
        </w:rPr>
        <w:t xml:space="preserve">bola </w:t>
      </w:r>
      <w:r w:rsidR="00D60E02" w:rsidRPr="00C06F2E">
        <w:rPr>
          <w:lang w:val="sk-SK"/>
        </w:rPr>
        <w:t>C</w:t>
      </w:r>
      <w:r w:rsidR="00D60E02" w:rsidRPr="00362D92">
        <w:rPr>
          <w:vertAlign w:val="subscript"/>
          <w:lang w:val="sk-SK"/>
        </w:rPr>
        <w:t>max</w:t>
      </w:r>
      <w:r w:rsidR="00D60E02" w:rsidRPr="00C06F2E">
        <w:rPr>
          <w:lang w:val="sk-SK"/>
        </w:rPr>
        <w:t xml:space="preserve"> štatisticky </w:t>
      </w:r>
      <w:r w:rsidR="004B5C01">
        <w:rPr>
          <w:lang w:val="sk-SK"/>
        </w:rPr>
        <w:t xml:space="preserve">významne </w:t>
      </w:r>
      <w:r w:rsidR="00D60E02" w:rsidRPr="00C06F2E">
        <w:rPr>
          <w:lang w:val="sk-SK"/>
        </w:rPr>
        <w:t>vyššia u pacientov s miernou poruchou funkcie pečene, tento rozdiel sa nepovažuje za klinicky významný. Nie sú k dispozícii žiadne údaje o vplyve závažnej dysfunkcie pečene na farmakokinetiku erlotinibu</w:t>
      </w:r>
      <w:r w:rsidRPr="00C06F2E">
        <w:rPr>
          <w:lang w:val="sk-SK" w:eastAsia="en-GB"/>
        </w:rPr>
        <w:t xml:space="preserve">. </w:t>
      </w:r>
      <w:bookmarkStart w:id="1" w:name="OLE_LINK3"/>
      <w:bookmarkStart w:id="2" w:name="OLE_LINK4"/>
      <w:r w:rsidRPr="00C06F2E">
        <w:rPr>
          <w:lang w:val="sk-SK" w:eastAsia="en-GB"/>
        </w:rPr>
        <w:t xml:space="preserve">V populačnej farmakokinetickej analýze </w:t>
      </w:r>
      <w:bookmarkEnd w:id="1"/>
      <w:bookmarkEnd w:id="2"/>
      <w:r w:rsidRPr="00C06F2E">
        <w:rPr>
          <w:lang w:val="sk-SK" w:eastAsia="en-GB"/>
        </w:rPr>
        <w:t>sa zvýšené koncentrácie celkového bilirubínu v sére dávali do súvislosti so zníženou rýchlosťou klírensu erlotinibu.</w:t>
      </w:r>
    </w:p>
    <w:p w14:paraId="5D0FFE38" w14:textId="77777777" w:rsidR="00F52F7B" w:rsidRPr="00C06F2E" w:rsidRDefault="00F52F7B" w:rsidP="00E60C58">
      <w:pPr>
        <w:suppressAutoHyphens/>
        <w:spacing w:after="0"/>
        <w:jc w:val="left"/>
        <w:rPr>
          <w:i/>
          <w:lang w:val="sk-SK"/>
        </w:rPr>
      </w:pPr>
    </w:p>
    <w:p w14:paraId="3581551E" w14:textId="25504EC7" w:rsidR="00C66D0C" w:rsidRPr="00C06F2E" w:rsidRDefault="00F52F7B" w:rsidP="00E60C58">
      <w:pPr>
        <w:suppressAutoHyphens/>
        <w:spacing w:after="0"/>
        <w:jc w:val="left"/>
        <w:rPr>
          <w:lang w:val="sk-SK"/>
        </w:rPr>
      </w:pPr>
      <w:r w:rsidRPr="00C06F2E">
        <w:rPr>
          <w:i/>
          <w:lang w:val="sk-SK"/>
        </w:rPr>
        <w:t>Porucha funkcie obličiek</w:t>
      </w:r>
    </w:p>
    <w:p w14:paraId="694F21CF" w14:textId="4CECC3F0" w:rsidR="00E91023" w:rsidRPr="00C06F2E" w:rsidRDefault="00F52F7B" w:rsidP="00E60C58">
      <w:pPr>
        <w:spacing w:after="0"/>
        <w:jc w:val="left"/>
        <w:rPr>
          <w:lang w:val="sk-SK" w:eastAsia="en-GB"/>
        </w:rPr>
      </w:pPr>
      <w:r w:rsidRPr="00C06F2E">
        <w:rPr>
          <w:lang w:val="sk-SK" w:eastAsia="en-GB"/>
        </w:rPr>
        <w:t>Erlotinib a jeho metabolity sa vo</w:t>
      </w:r>
      <w:r w:rsidR="00D60E02" w:rsidRPr="00C06F2E">
        <w:rPr>
          <w:lang w:val="sk-SK" w:eastAsia="en-GB"/>
        </w:rPr>
        <w:t> </w:t>
      </w:r>
      <w:r w:rsidRPr="00C06F2E">
        <w:rPr>
          <w:lang w:val="sk-SK" w:eastAsia="en-GB"/>
        </w:rPr>
        <w:t>významnej miere nevylučujú obličkami, keďže močom sa vylučuje menej ako 9 % jednorazovej dávky. V populačnej farmakokinetickej analýze sa nezistila klinicky významná súvislosť medzi klírensom erlotinibu a klírensom kreatinínu, ale nie sú k dispozícii žiadne údaje týkajúce sa pacientov s klírensom kreatinínu &lt; 15 ml/min.</w:t>
      </w:r>
    </w:p>
    <w:p w14:paraId="43E91083" w14:textId="77777777" w:rsidR="00F52F7B" w:rsidRPr="00C06F2E" w:rsidRDefault="00F52F7B" w:rsidP="00E60C58">
      <w:pPr>
        <w:spacing w:after="0"/>
        <w:jc w:val="left"/>
        <w:rPr>
          <w:noProof/>
          <w:lang w:val="sk-SK"/>
        </w:rPr>
      </w:pPr>
    </w:p>
    <w:p w14:paraId="1BD0F37E" w14:textId="02306995" w:rsidR="00435ECB" w:rsidRPr="00C06F2E" w:rsidRDefault="00435ECB" w:rsidP="004B5C01">
      <w:pPr>
        <w:pStyle w:val="StyleHeadingFreeBOLDNOCAPS"/>
        <w:tabs>
          <w:tab w:val="left" w:pos="567"/>
        </w:tabs>
        <w:spacing w:after="0"/>
        <w:rPr>
          <w:lang w:val="sk-SK"/>
        </w:rPr>
      </w:pPr>
      <w:r w:rsidRPr="00C06F2E">
        <w:rPr>
          <w:lang w:val="sk-SK"/>
        </w:rPr>
        <w:t>5.3</w:t>
      </w:r>
      <w:r w:rsidRPr="00C06F2E">
        <w:rPr>
          <w:lang w:val="sk-SK"/>
        </w:rPr>
        <w:tab/>
        <w:t>Pre</w:t>
      </w:r>
      <w:r w:rsidR="00483CCF" w:rsidRPr="00C06F2E">
        <w:rPr>
          <w:lang w:val="sk-SK"/>
        </w:rPr>
        <w:t>dk</w:t>
      </w:r>
      <w:r w:rsidRPr="00C06F2E">
        <w:rPr>
          <w:lang w:val="sk-SK"/>
        </w:rPr>
        <w:t>linic</w:t>
      </w:r>
      <w:r w:rsidR="00483CCF" w:rsidRPr="00C06F2E">
        <w:rPr>
          <w:lang w:val="sk-SK"/>
        </w:rPr>
        <w:t>ké údaje o bezpečnosti</w:t>
      </w:r>
    </w:p>
    <w:p w14:paraId="611124F0" w14:textId="77777777" w:rsidR="00E60C58" w:rsidRPr="00C06F2E" w:rsidRDefault="00E60C58" w:rsidP="00E60C58">
      <w:pPr>
        <w:pStyle w:val="StyleHeadingFreeBOLDNOCAPS"/>
        <w:spacing w:after="0"/>
        <w:jc w:val="left"/>
        <w:rPr>
          <w:lang w:val="sk-SK"/>
        </w:rPr>
      </w:pPr>
    </w:p>
    <w:p w14:paraId="11C226BA" w14:textId="7FEECD8C" w:rsidR="001F364A" w:rsidRPr="00C06F2E" w:rsidRDefault="004B5C01" w:rsidP="00E60C58">
      <w:pPr>
        <w:suppressAutoHyphens/>
        <w:spacing w:after="0"/>
        <w:jc w:val="left"/>
        <w:rPr>
          <w:lang w:val="sk-SK"/>
        </w:rPr>
      </w:pPr>
      <w:r w:rsidRPr="00362D92">
        <w:rPr>
          <w:caps/>
          <w:lang w:val="sk-SK" w:eastAsia="en-GB"/>
        </w:rPr>
        <w:t>ú</w:t>
      </w:r>
      <w:r w:rsidR="001F364A" w:rsidRPr="00C06F2E">
        <w:rPr>
          <w:lang w:val="sk-SK" w:eastAsia="en-GB"/>
        </w:rPr>
        <w:t xml:space="preserve">činky dlhodobého podávania zistené aspoň u jedného živočíšneho druhu alebo aspoň v jednej štúdii zahŕňali nežiaduce účinky postihujúce rohovku (atrofia, ulcerácia), kožu (degenerácia a zápal </w:t>
      </w:r>
      <w:r w:rsidR="001F364A" w:rsidRPr="00C06F2E">
        <w:rPr>
          <w:lang w:val="sk-SK" w:eastAsia="en-GB"/>
        </w:rPr>
        <w:lastRenderedPageBreak/>
        <w:t>folikulov, začervenanie a alopécia), vaječníky (atrofia), pečeň (nekróza pečene), obličky (nekróza obličkových papíl a dilatácia obličkových kanálikov) a gastrointestinálny trakt (spomalené vyprázdňovanie žalúdka a</w:t>
      </w:r>
      <w:r w:rsidR="00FF5DBA" w:rsidRPr="00C06F2E">
        <w:rPr>
          <w:lang w:val="sk-SK" w:eastAsia="en-GB"/>
        </w:rPr>
        <w:t> </w:t>
      </w:r>
      <w:r w:rsidR="001F364A" w:rsidRPr="00C06F2E">
        <w:rPr>
          <w:lang w:val="sk-SK" w:eastAsia="en-GB"/>
        </w:rPr>
        <w:t xml:space="preserve">hnačka). Parametre červených krviniek boli znížené a počet bielych krviniek, hlavne neutrofilov, bol zvýšený. Zistilo sa zvýšenie hladín ALT, AST a bilirubínu, ktoré súviselo s liečbou. </w:t>
      </w:r>
      <w:r w:rsidR="00FF5DBA" w:rsidRPr="00C06F2E">
        <w:rPr>
          <w:lang w:val="sk-SK"/>
        </w:rPr>
        <w:t xml:space="preserve">Tieto </w:t>
      </w:r>
      <w:r w:rsidR="0097495E">
        <w:rPr>
          <w:lang w:val="sk-SK"/>
        </w:rPr>
        <w:t>nálezy</w:t>
      </w:r>
      <w:r w:rsidR="00FF5DBA" w:rsidRPr="00C06F2E">
        <w:rPr>
          <w:lang w:val="sk-SK"/>
        </w:rPr>
        <w:t xml:space="preserve"> boli zistené pri </w:t>
      </w:r>
      <w:r w:rsidR="0097495E">
        <w:rPr>
          <w:lang w:val="sk-SK"/>
        </w:rPr>
        <w:t xml:space="preserve">značne </w:t>
      </w:r>
      <w:r w:rsidR="00FF5DBA" w:rsidRPr="00C06F2E">
        <w:rPr>
          <w:lang w:val="sk-SK"/>
        </w:rPr>
        <w:t>nižších než klinicky významných expozíciách.</w:t>
      </w:r>
    </w:p>
    <w:p w14:paraId="10D22A82" w14:textId="77777777" w:rsidR="007B2947" w:rsidRPr="00C06F2E" w:rsidRDefault="007B2947" w:rsidP="00E60C58">
      <w:pPr>
        <w:suppressAutoHyphens/>
        <w:spacing w:after="0"/>
        <w:jc w:val="left"/>
        <w:rPr>
          <w:lang w:val="sk-SK"/>
        </w:rPr>
      </w:pPr>
    </w:p>
    <w:p w14:paraId="7393FC0A" w14:textId="481228F3" w:rsidR="001F364A" w:rsidRPr="00C06F2E" w:rsidRDefault="001F364A" w:rsidP="00E60C58">
      <w:pPr>
        <w:autoSpaceDE w:val="0"/>
        <w:autoSpaceDN w:val="0"/>
        <w:adjustRightInd w:val="0"/>
        <w:spacing w:after="0"/>
        <w:jc w:val="left"/>
        <w:rPr>
          <w:lang w:val="sk-SK" w:eastAsia="en-GB"/>
        </w:rPr>
      </w:pPr>
      <w:r w:rsidRPr="00C06F2E">
        <w:rPr>
          <w:lang w:val="sk-SK" w:eastAsia="en-GB"/>
        </w:rPr>
        <w:t>Vzhľadom na mechanizmus účinku má erlotinib teratog</w:t>
      </w:r>
      <w:r w:rsidR="00FF5DBA" w:rsidRPr="00C06F2E">
        <w:rPr>
          <w:lang w:val="sk-SK" w:eastAsia="en-GB"/>
        </w:rPr>
        <w:t>énny potenciál. Údaje získané v </w:t>
      </w:r>
      <w:r w:rsidRPr="00C06F2E">
        <w:rPr>
          <w:lang w:val="sk-SK" w:eastAsia="en-GB"/>
        </w:rPr>
        <w:t>štúdiách reprodukčnej toxicity na</w:t>
      </w:r>
      <w:r w:rsidR="00FF5DBA" w:rsidRPr="00C06F2E">
        <w:rPr>
          <w:lang w:val="sk-SK" w:eastAsia="en-GB"/>
        </w:rPr>
        <w:t> </w:t>
      </w:r>
      <w:r w:rsidRPr="00C06F2E">
        <w:rPr>
          <w:lang w:val="sk-SK" w:eastAsia="en-GB"/>
        </w:rPr>
        <w:t>potkanoch a králikoch, v ktorých boli podávané dávky blízke najvyššej tolerovanej dávke a/alebo dávky toxické pre</w:t>
      </w:r>
      <w:r w:rsidR="00FF5DBA" w:rsidRPr="00C06F2E">
        <w:rPr>
          <w:lang w:val="sk-SK" w:eastAsia="en-GB"/>
        </w:rPr>
        <w:t> </w:t>
      </w:r>
      <w:r w:rsidRPr="00C06F2E">
        <w:rPr>
          <w:lang w:val="sk-SK" w:eastAsia="en-GB"/>
        </w:rPr>
        <w:t>matky, preukázali reprodukčnú (embryotoxicita u potkanov, resorpcia embryí a fetotoxicita u králikov) a vývinovú (spomalený rast a znížené prežívanie mláďat u potkanov) toxicitu, ale nezistilo sa teratogénne pôsobenie ani ovplyvnenie fertility. Tieto nálezy sa zistili pri klinicky významných expozíciách.</w:t>
      </w:r>
    </w:p>
    <w:p w14:paraId="6F474B5B" w14:textId="77777777" w:rsidR="007B2947" w:rsidRPr="00C06F2E" w:rsidRDefault="007B2947" w:rsidP="00E60C58">
      <w:pPr>
        <w:suppressAutoHyphens/>
        <w:spacing w:after="0"/>
        <w:jc w:val="left"/>
        <w:rPr>
          <w:lang w:val="sk-SK"/>
        </w:rPr>
      </w:pPr>
    </w:p>
    <w:p w14:paraId="5B9195A4" w14:textId="20924C59" w:rsidR="007B2947" w:rsidRPr="00C06F2E" w:rsidRDefault="001F364A" w:rsidP="00E60C58">
      <w:pPr>
        <w:suppressAutoHyphens/>
        <w:spacing w:after="0"/>
        <w:jc w:val="left"/>
        <w:rPr>
          <w:lang w:val="sk-SK" w:eastAsia="en-GB"/>
        </w:rPr>
      </w:pPr>
      <w:r w:rsidRPr="00C06F2E">
        <w:rPr>
          <w:lang w:val="sk-SK" w:eastAsia="en-GB"/>
        </w:rPr>
        <w:t>Obvyklé štúdie genotoxicity s erlotinibom priniesli negatívne výsledky. V dvojročných štúdiách karcinogenity s erlotinibom, ktoré sa uskutočnili na potkanoch a myšiach, sa zi</w:t>
      </w:r>
      <w:r w:rsidR="00FF5DBA" w:rsidRPr="00C06F2E">
        <w:rPr>
          <w:lang w:val="sk-SK" w:eastAsia="en-GB"/>
        </w:rPr>
        <w:t>stili negatívne výsledky aj pri </w:t>
      </w:r>
      <w:r w:rsidRPr="00C06F2E">
        <w:rPr>
          <w:lang w:val="sk-SK" w:eastAsia="en-GB"/>
        </w:rPr>
        <w:t>expozíciách prevyšujúcich terapeutickú expozíciu dosiahnutú u ľudí (t. j. až 2</w:t>
      </w:r>
      <w:r w:rsidRPr="00C06F2E">
        <w:rPr>
          <w:lang w:val="sk-SK" w:eastAsia="en-GB"/>
        </w:rPr>
        <w:noBreakHyphen/>
        <w:t>násobne vyššia expozícia u potkanov a 10</w:t>
      </w:r>
      <w:r w:rsidRPr="00C06F2E">
        <w:rPr>
          <w:lang w:val="sk-SK" w:eastAsia="en-GB"/>
        </w:rPr>
        <w:noBreakHyphen/>
        <w:t>násobne vyššia expozícia u myší, stanovená na základe C</w:t>
      </w:r>
      <w:r w:rsidRPr="00C06F2E">
        <w:rPr>
          <w:vertAlign w:val="subscript"/>
          <w:lang w:val="sk-SK" w:eastAsia="en-GB"/>
        </w:rPr>
        <w:t>max</w:t>
      </w:r>
      <w:r w:rsidRPr="00C06F2E">
        <w:rPr>
          <w:lang w:val="sk-SK" w:eastAsia="en-GB"/>
        </w:rPr>
        <w:t xml:space="preserve"> a/alebo AUC).</w:t>
      </w:r>
    </w:p>
    <w:p w14:paraId="2CE7BDC2" w14:textId="77777777" w:rsidR="001F364A" w:rsidRPr="00C06F2E" w:rsidRDefault="001F364A" w:rsidP="00E60C58">
      <w:pPr>
        <w:suppressAutoHyphens/>
        <w:spacing w:after="0"/>
        <w:jc w:val="left"/>
        <w:rPr>
          <w:lang w:val="sk-SK"/>
        </w:rPr>
      </w:pPr>
    </w:p>
    <w:p w14:paraId="7B269D06" w14:textId="3F2CB7D3" w:rsidR="007B2947" w:rsidRPr="00C06F2E" w:rsidRDefault="001F364A" w:rsidP="00E60C58">
      <w:pPr>
        <w:suppressAutoHyphens/>
        <w:spacing w:after="0"/>
        <w:jc w:val="left"/>
        <w:rPr>
          <w:lang w:val="sk-SK"/>
        </w:rPr>
      </w:pPr>
      <w:r w:rsidRPr="00C06F2E">
        <w:rPr>
          <w:lang w:val="sk-SK" w:eastAsia="en-GB"/>
        </w:rPr>
        <w:t>U potkanov sa po pôsobení UV žiarenia pozorovala mierna fototoxická kožná reakcia.</w:t>
      </w:r>
    </w:p>
    <w:p w14:paraId="1362F754" w14:textId="77777777" w:rsidR="008A3C98" w:rsidRPr="00C06F2E" w:rsidRDefault="008A3C98" w:rsidP="00E60C58">
      <w:pPr>
        <w:spacing w:after="0"/>
        <w:jc w:val="left"/>
        <w:rPr>
          <w:lang w:val="sk-SK"/>
        </w:rPr>
      </w:pPr>
    </w:p>
    <w:p w14:paraId="56B706A4" w14:textId="77777777" w:rsidR="00707FA9" w:rsidRPr="00C06F2E" w:rsidRDefault="00707FA9" w:rsidP="0028022E">
      <w:pPr>
        <w:spacing w:after="0"/>
        <w:rPr>
          <w:lang w:val="sk-SK"/>
        </w:rPr>
      </w:pPr>
    </w:p>
    <w:p w14:paraId="4686931A" w14:textId="41F5300E" w:rsidR="00435ECB" w:rsidRPr="00C06F2E" w:rsidRDefault="00435ECB" w:rsidP="0097495E">
      <w:pPr>
        <w:pStyle w:val="HeadingFree"/>
        <w:tabs>
          <w:tab w:val="left" w:pos="567"/>
        </w:tabs>
        <w:spacing w:after="0"/>
        <w:rPr>
          <w:lang w:val="sk-SK"/>
        </w:rPr>
      </w:pPr>
      <w:r w:rsidRPr="00C06F2E">
        <w:rPr>
          <w:lang w:val="sk-SK"/>
        </w:rPr>
        <w:t>6</w:t>
      </w:r>
      <w:r w:rsidR="0043502B" w:rsidRPr="00C06F2E">
        <w:rPr>
          <w:lang w:val="sk-SK"/>
        </w:rPr>
        <w:t>.</w:t>
      </w:r>
      <w:r w:rsidR="001F364A" w:rsidRPr="00C06F2E">
        <w:rPr>
          <w:lang w:val="sk-SK"/>
        </w:rPr>
        <w:t xml:space="preserve"> </w:t>
      </w:r>
      <w:r w:rsidR="001F364A" w:rsidRPr="00C06F2E">
        <w:rPr>
          <w:lang w:val="sk-SK"/>
        </w:rPr>
        <w:tab/>
        <w:t>FarmaceuticKÉ</w:t>
      </w:r>
      <w:r w:rsidRPr="00C06F2E">
        <w:rPr>
          <w:lang w:val="sk-SK"/>
        </w:rPr>
        <w:t xml:space="preserve"> </w:t>
      </w:r>
      <w:r w:rsidR="001F364A" w:rsidRPr="00C06F2E">
        <w:rPr>
          <w:lang w:val="sk-SK"/>
        </w:rPr>
        <w:t>INFORMÁCIE</w:t>
      </w:r>
    </w:p>
    <w:p w14:paraId="69C2EE77" w14:textId="77777777" w:rsidR="00E60C58" w:rsidRPr="00C06F2E" w:rsidRDefault="00E60C58" w:rsidP="00E60C58">
      <w:pPr>
        <w:rPr>
          <w:lang w:val="sk-SK"/>
        </w:rPr>
      </w:pPr>
    </w:p>
    <w:p w14:paraId="33C617E6" w14:textId="534D9BEC" w:rsidR="00435ECB" w:rsidRPr="00C06F2E" w:rsidRDefault="00435ECB" w:rsidP="0097495E">
      <w:pPr>
        <w:pStyle w:val="StyleHeadingFreeBOLDNOCAPS"/>
        <w:tabs>
          <w:tab w:val="left" w:pos="567"/>
        </w:tabs>
        <w:spacing w:after="0"/>
        <w:rPr>
          <w:lang w:val="sk-SK"/>
        </w:rPr>
      </w:pPr>
      <w:r w:rsidRPr="00C06F2E">
        <w:rPr>
          <w:lang w:val="sk-SK"/>
        </w:rPr>
        <w:t xml:space="preserve">6.1 </w:t>
      </w:r>
      <w:r w:rsidRPr="00C06F2E">
        <w:rPr>
          <w:lang w:val="sk-SK"/>
        </w:rPr>
        <w:tab/>
      </w:r>
      <w:r w:rsidR="001F364A" w:rsidRPr="00C06F2E">
        <w:rPr>
          <w:lang w:val="sk-SK"/>
        </w:rPr>
        <w:t>Zoznam pomocných látok</w:t>
      </w:r>
    </w:p>
    <w:p w14:paraId="76433EEB" w14:textId="77777777" w:rsidR="00E60C58" w:rsidRPr="00C06F2E" w:rsidRDefault="00E60C58" w:rsidP="00E60C58">
      <w:pPr>
        <w:pStyle w:val="StyleHeadingFreeBOLDNOCAPS"/>
        <w:spacing w:after="0"/>
        <w:jc w:val="left"/>
        <w:rPr>
          <w:lang w:val="sk-SK"/>
        </w:rPr>
      </w:pPr>
    </w:p>
    <w:p w14:paraId="518FA905" w14:textId="129A4466" w:rsidR="001C6F28" w:rsidRPr="00C06F2E" w:rsidRDefault="001F364A" w:rsidP="00E60C58">
      <w:pPr>
        <w:spacing w:after="0"/>
        <w:jc w:val="left"/>
        <w:rPr>
          <w:color w:val="000000"/>
          <w:u w:val="single"/>
          <w:lang w:val="sk-SK"/>
        </w:rPr>
      </w:pPr>
      <w:r w:rsidRPr="00C06F2E">
        <w:rPr>
          <w:color w:val="000000"/>
          <w:u w:val="single"/>
          <w:lang w:val="sk-SK"/>
        </w:rPr>
        <w:t>Jadro t</w:t>
      </w:r>
      <w:r w:rsidR="008A3C98" w:rsidRPr="00C06F2E">
        <w:rPr>
          <w:color w:val="000000"/>
          <w:u w:val="single"/>
          <w:lang w:val="sk-SK"/>
        </w:rPr>
        <w:t>ablet</w:t>
      </w:r>
      <w:r w:rsidRPr="00C06F2E">
        <w:rPr>
          <w:color w:val="000000"/>
          <w:u w:val="single"/>
          <w:lang w:val="sk-SK"/>
        </w:rPr>
        <w:t>y</w:t>
      </w:r>
    </w:p>
    <w:p w14:paraId="0F541630" w14:textId="53A05FA4" w:rsidR="007B2947" w:rsidRPr="00C06F2E" w:rsidRDefault="00E14A03" w:rsidP="00E60C58">
      <w:pPr>
        <w:pStyle w:val="Bodytext20"/>
        <w:shd w:val="clear" w:color="auto" w:fill="auto"/>
        <w:spacing w:before="0" w:after="0" w:line="254" w:lineRule="exact"/>
        <w:ind w:right="6060"/>
        <w:jc w:val="left"/>
        <w:rPr>
          <w:lang w:val="sk-SK"/>
        </w:rPr>
      </w:pPr>
      <w:r w:rsidRPr="00C06F2E">
        <w:rPr>
          <w:lang w:val="sk-SK"/>
        </w:rPr>
        <w:t>Laktóza, m</w:t>
      </w:r>
      <w:r w:rsidR="007B2947" w:rsidRPr="00C06F2E">
        <w:rPr>
          <w:lang w:val="sk-SK"/>
        </w:rPr>
        <w:t>onohydr</w:t>
      </w:r>
      <w:r w:rsidR="001F364A" w:rsidRPr="00C06F2E">
        <w:rPr>
          <w:lang w:val="sk-SK"/>
        </w:rPr>
        <w:t>á</w:t>
      </w:r>
      <w:r w:rsidR="007B2947" w:rsidRPr="00C06F2E">
        <w:rPr>
          <w:lang w:val="sk-SK"/>
        </w:rPr>
        <w:t>t</w:t>
      </w:r>
      <w:r w:rsidR="001F364A" w:rsidRPr="00C06F2E">
        <w:rPr>
          <w:lang w:val="sk-SK"/>
        </w:rPr>
        <w:t xml:space="preserve"> </w:t>
      </w:r>
    </w:p>
    <w:p w14:paraId="27E3DC19" w14:textId="78F4A882" w:rsidR="007B2947" w:rsidRPr="00C06F2E" w:rsidRDefault="00E14A03" w:rsidP="00E60C58">
      <w:pPr>
        <w:pStyle w:val="Bodytext20"/>
        <w:shd w:val="clear" w:color="auto" w:fill="auto"/>
        <w:spacing w:before="0" w:after="0" w:line="254" w:lineRule="exact"/>
        <w:ind w:right="2125"/>
        <w:jc w:val="left"/>
        <w:rPr>
          <w:lang w:val="sk-SK"/>
        </w:rPr>
      </w:pPr>
      <w:r w:rsidRPr="00C06F2E">
        <w:rPr>
          <w:lang w:val="sk-SK"/>
        </w:rPr>
        <w:t>Celulóza, mikrokryštalická</w:t>
      </w:r>
      <w:r w:rsidR="005464AA" w:rsidRPr="00C06F2E">
        <w:rPr>
          <w:lang w:val="sk-SK"/>
        </w:rPr>
        <w:t xml:space="preserve"> </w:t>
      </w:r>
      <w:r w:rsidR="00C85920" w:rsidRPr="00C06F2E">
        <w:rPr>
          <w:lang w:val="sk-SK"/>
        </w:rPr>
        <w:t xml:space="preserve">a </w:t>
      </w:r>
      <w:r w:rsidR="00E363D8" w:rsidRPr="00C06F2E">
        <w:rPr>
          <w:lang w:val="sk-SK"/>
        </w:rPr>
        <w:t>hydrog</w:t>
      </w:r>
      <w:r w:rsidRPr="00C06F2E">
        <w:rPr>
          <w:lang w:val="sk-SK"/>
        </w:rPr>
        <w:t>e</w:t>
      </w:r>
      <w:r w:rsidR="00E363D8" w:rsidRPr="00C06F2E">
        <w:rPr>
          <w:lang w:val="sk-SK"/>
        </w:rPr>
        <w:t>nfosforečnan vápenatý</w:t>
      </w:r>
    </w:p>
    <w:p w14:paraId="536E18B7" w14:textId="77777777" w:rsidR="00E14A03" w:rsidRPr="00C06F2E" w:rsidRDefault="00E14A03" w:rsidP="00E60C58">
      <w:pPr>
        <w:pStyle w:val="Bodytext20"/>
        <w:shd w:val="clear" w:color="auto" w:fill="auto"/>
        <w:spacing w:before="0" w:after="0" w:line="254" w:lineRule="exact"/>
        <w:ind w:right="6060"/>
        <w:jc w:val="left"/>
        <w:rPr>
          <w:lang w:val="sk-SK"/>
        </w:rPr>
      </w:pPr>
      <w:r w:rsidRPr="00C06F2E">
        <w:rPr>
          <w:lang w:val="sk-SK"/>
        </w:rPr>
        <w:t>Karboxymetylškrob A, sodná soľ</w:t>
      </w:r>
    </w:p>
    <w:p w14:paraId="318476AA" w14:textId="77777777" w:rsidR="00080BB5" w:rsidRPr="00C06F2E" w:rsidRDefault="00080BB5" w:rsidP="0097495E">
      <w:pPr>
        <w:pStyle w:val="Bodytext20"/>
        <w:shd w:val="clear" w:color="auto" w:fill="auto"/>
        <w:spacing w:before="0" w:after="0" w:line="254" w:lineRule="exact"/>
        <w:ind w:right="-1"/>
        <w:jc w:val="left"/>
        <w:rPr>
          <w:lang w:val="sk-SK"/>
        </w:rPr>
      </w:pPr>
      <w:r w:rsidRPr="00C06F2E">
        <w:rPr>
          <w:lang w:val="sk-SK"/>
        </w:rPr>
        <w:t>Oxid kremičitý, koloidný, bezvodý</w:t>
      </w:r>
    </w:p>
    <w:p w14:paraId="79A4F7DE" w14:textId="07008D6C" w:rsidR="00303A9C" w:rsidRPr="00C06F2E" w:rsidRDefault="00080BB5" w:rsidP="0097495E">
      <w:pPr>
        <w:pStyle w:val="Bodytext20"/>
        <w:shd w:val="clear" w:color="auto" w:fill="auto"/>
        <w:spacing w:before="0" w:after="0" w:line="254" w:lineRule="exact"/>
        <w:ind w:right="3684"/>
        <w:jc w:val="left"/>
        <w:rPr>
          <w:lang w:val="sk-SK"/>
        </w:rPr>
      </w:pPr>
      <w:r w:rsidRPr="00C06F2E">
        <w:rPr>
          <w:lang w:val="sk-SK"/>
        </w:rPr>
        <w:t>Celulóza, m</w:t>
      </w:r>
      <w:r w:rsidR="001F364A" w:rsidRPr="00C06F2E">
        <w:rPr>
          <w:lang w:val="sk-SK"/>
        </w:rPr>
        <w:t xml:space="preserve">ikrokryštalická </w:t>
      </w:r>
      <w:r w:rsidR="006F7F29" w:rsidRPr="00C06F2E">
        <w:rPr>
          <w:lang w:val="sk-SK"/>
        </w:rPr>
        <w:t>(E460)</w:t>
      </w:r>
    </w:p>
    <w:p w14:paraId="5950EA5E" w14:textId="77777777" w:rsidR="00080BB5" w:rsidRPr="00C06F2E" w:rsidRDefault="00080BB5" w:rsidP="00E60C58">
      <w:pPr>
        <w:pStyle w:val="Bodytext20"/>
        <w:shd w:val="clear" w:color="auto" w:fill="auto"/>
        <w:spacing w:before="0" w:after="0" w:line="254" w:lineRule="exact"/>
        <w:ind w:right="6060"/>
        <w:jc w:val="left"/>
        <w:rPr>
          <w:lang w:val="sk-SK"/>
        </w:rPr>
      </w:pPr>
      <w:r w:rsidRPr="0093231C">
        <w:rPr>
          <w:lang w:val="sk-SK"/>
        </w:rPr>
        <w:t>Laurylsíran</w:t>
      </w:r>
      <w:r w:rsidRPr="00C06F2E">
        <w:rPr>
          <w:lang w:val="sk-SK"/>
        </w:rPr>
        <w:t xml:space="preserve"> sodný</w:t>
      </w:r>
    </w:p>
    <w:p w14:paraId="6B37EB15" w14:textId="5A1E5933" w:rsidR="007B2947" w:rsidRPr="00C06F2E" w:rsidRDefault="001F364A" w:rsidP="00E60C58">
      <w:pPr>
        <w:pStyle w:val="Bodytext20"/>
        <w:shd w:val="clear" w:color="auto" w:fill="auto"/>
        <w:spacing w:before="0" w:after="0" w:line="254" w:lineRule="exact"/>
        <w:ind w:right="6060"/>
        <w:jc w:val="left"/>
        <w:rPr>
          <w:lang w:val="sk-SK"/>
        </w:rPr>
      </w:pPr>
      <w:r w:rsidRPr="00C06F2E">
        <w:rPr>
          <w:lang w:val="sk-SK"/>
        </w:rPr>
        <w:t>S</w:t>
      </w:r>
      <w:r w:rsidR="007B2947" w:rsidRPr="00C06F2E">
        <w:rPr>
          <w:lang w:val="sk-SK"/>
        </w:rPr>
        <w:t>tear</w:t>
      </w:r>
      <w:r w:rsidR="00E14A03" w:rsidRPr="00C06F2E">
        <w:rPr>
          <w:lang w:val="sk-SK"/>
        </w:rPr>
        <w:t>át</w:t>
      </w:r>
      <w:r w:rsidRPr="00C06F2E">
        <w:rPr>
          <w:lang w:val="sk-SK"/>
        </w:rPr>
        <w:t xml:space="preserve"> horečnatý</w:t>
      </w:r>
      <w:r w:rsidR="006F7F29" w:rsidRPr="00C06F2E">
        <w:rPr>
          <w:lang w:val="sk-SK"/>
        </w:rPr>
        <w:t xml:space="preserve"> (E470 b)</w:t>
      </w:r>
      <w:r w:rsidR="007B2947" w:rsidRPr="00C06F2E">
        <w:rPr>
          <w:lang w:val="sk-SK"/>
        </w:rPr>
        <w:t xml:space="preserve"> </w:t>
      </w:r>
    </w:p>
    <w:p w14:paraId="5B426330" w14:textId="77777777" w:rsidR="000F4158" w:rsidRPr="00C06F2E" w:rsidRDefault="000F4158" w:rsidP="00E60C58">
      <w:pPr>
        <w:pStyle w:val="Bodytext20"/>
        <w:shd w:val="clear" w:color="auto" w:fill="auto"/>
        <w:spacing w:before="0" w:after="0" w:line="254" w:lineRule="exact"/>
        <w:ind w:right="6060"/>
        <w:jc w:val="left"/>
        <w:rPr>
          <w:lang w:val="sk-SK"/>
        </w:rPr>
      </w:pPr>
    </w:p>
    <w:p w14:paraId="1CE40B45" w14:textId="2787BA1D" w:rsidR="007B2947" w:rsidRPr="00C06F2E" w:rsidRDefault="001F364A" w:rsidP="00E60C58">
      <w:pPr>
        <w:suppressAutoHyphens/>
        <w:spacing w:after="0"/>
        <w:ind w:left="567" w:hanging="567"/>
        <w:jc w:val="left"/>
        <w:rPr>
          <w:u w:val="single"/>
          <w:lang w:val="sk-SK"/>
        </w:rPr>
      </w:pPr>
      <w:r w:rsidRPr="00C06F2E">
        <w:rPr>
          <w:u w:val="single"/>
          <w:lang w:val="sk-SK"/>
        </w:rPr>
        <w:t xml:space="preserve">Obal </w:t>
      </w:r>
      <w:r w:rsidR="00FF5DBA" w:rsidRPr="00C06F2E">
        <w:rPr>
          <w:u w:val="single"/>
          <w:lang w:val="sk-SK"/>
        </w:rPr>
        <w:t>t</w:t>
      </w:r>
      <w:r w:rsidR="00760ECF" w:rsidRPr="00C06F2E">
        <w:rPr>
          <w:u w:val="single"/>
          <w:lang w:val="sk-SK"/>
        </w:rPr>
        <w:t>ablet</w:t>
      </w:r>
      <w:r w:rsidRPr="00C06F2E">
        <w:rPr>
          <w:u w:val="single"/>
          <w:lang w:val="sk-SK"/>
        </w:rPr>
        <w:t>y</w:t>
      </w:r>
    </w:p>
    <w:p w14:paraId="73911FF1" w14:textId="30418D0C" w:rsidR="00946550" w:rsidRPr="00C06F2E" w:rsidRDefault="00760ECF" w:rsidP="00E60C58">
      <w:pPr>
        <w:spacing w:after="0"/>
        <w:jc w:val="left"/>
        <w:rPr>
          <w:lang w:val="sk-SK"/>
        </w:rPr>
      </w:pPr>
      <w:r w:rsidRPr="00C06F2E">
        <w:rPr>
          <w:lang w:val="sk-SK"/>
        </w:rPr>
        <w:t>Hypromel</w:t>
      </w:r>
      <w:r w:rsidR="00E363D8" w:rsidRPr="00C06F2E">
        <w:rPr>
          <w:lang w:val="sk-SK"/>
        </w:rPr>
        <w:t>óza</w:t>
      </w:r>
      <w:r w:rsidR="0082177B" w:rsidRPr="00C06F2E">
        <w:rPr>
          <w:lang w:val="sk-SK"/>
        </w:rPr>
        <w:t xml:space="preserve"> (</w:t>
      </w:r>
      <w:r w:rsidR="006F7F29" w:rsidRPr="00C06F2E">
        <w:rPr>
          <w:lang w:val="sk-SK"/>
        </w:rPr>
        <w:t>E464)</w:t>
      </w:r>
    </w:p>
    <w:p w14:paraId="21836480" w14:textId="2124E1F1" w:rsidR="005464AA" w:rsidRPr="00C06F2E" w:rsidRDefault="00E363D8" w:rsidP="00E60C58">
      <w:pPr>
        <w:spacing w:after="0"/>
        <w:jc w:val="left"/>
        <w:rPr>
          <w:lang w:val="sk-SK"/>
        </w:rPr>
      </w:pPr>
      <w:r w:rsidRPr="00C06F2E">
        <w:rPr>
          <w:lang w:val="sk-SK"/>
        </w:rPr>
        <w:t xml:space="preserve">Hydroxypropylcelulóza </w:t>
      </w:r>
      <w:r w:rsidR="006F7F29" w:rsidRPr="00C06F2E">
        <w:rPr>
          <w:lang w:val="sk-SK"/>
        </w:rPr>
        <w:t>(E463)</w:t>
      </w:r>
    </w:p>
    <w:p w14:paraId="48B35765" w14:textId="4E1B514E" w:rsidR="005464AA" w:rsidRPr="00C06F2E" w:rsidRDefault="00E363D8" w:rsidP="00E60C58">
      <w:pPr>
        <w:spacing w:after="0"/>
        <w:jc w:val="left"/>
        <w:rPr>
          <w:lang w:val="sk-SK"/>
        </w:rPr>
      </w:pPr>
      <w:r w:rsidRPr="00C06F2E">
        <w:rPr>
          <w:lang w:val="sk-SK"/>
        </w:rPr>
        <w:t xml:space="preserve">Oxid titaničitý </w:t>
      </w:r>
      <w:r w:rsidR="00760ECF" w:rsidRPr="00C06F2E">
        <w:rPr>
          <w:lang w:val="sk-SK"/>
        </w:rPr>
        <w:t>(E171)</w:t>
      </w:r>
    </w:p>
    <w:p w14:paraId="232C8FD1" w14:textId="03170B74" w:rsidR="005464AA" w:rsidRPr="00C06F2E" w:rsidRDefault="00E363D8" w:rsidP="00E60C58">
      <w:pPr>
        <w:spacing w:after="0"/>
        <w:jc w:val="left"/>
        <w:rPr>
          <w:lang w:val="sk-SK"/>
        </w:rPr>
      </w:pPr>
      <w:r w:rsidRPr="00C06F2E">
        <w:rPr>
          <w:lang w:val="sk-SK"/>
        </w:rPr>
        <w:t>Mak</w:t>
      </w:r>
      <w:r w:rsidR="005464AA" w:rsidRPr="00C06F2E">
        <w:rPr>
          <w:lang w:val="sk-SK"/>
        </w:rPr>
        <w:t xml:space="preserve">rogol </w:t>
      </w:r>
    </w:p>
    <w:p w14:paraId="7F95FB65" w14:textId="77777777" w:rsidR="005464AA" w:rsidRPr="00C06F2E" w:rsidRDefault="005464AA" w:rsidP="0028022E">
      <w:pPr>
        <w:spacing w:after="0"/>
        <w:rPr>
          <w:lang w:val="sk-SK"/>
        </w:rPr>
      </w:pPr>
    </w:p>
    <w:p w14:paraId="37DA53EB" w14:textId="66ABD9B0" w:rsidR="00435ECB" w:rsidRPr="00C06F2E" w:rsidRDefault="00E363D8" w:rsidP="0097495E">
      <w:pPr>
        <w:pStyle w:val="StyleHeadingFreeBOLDNOCAPS"/>
        <w:tabs>
          <w:tab w:val="left" w:pos="567"/>
        </w:tabs>
        <w:spacing w:after="0"/>
        <w:rPr>
          <w:lang w:val="sk-SK"/>
        </w:rPr>
      </w:pPr>
      <w:r w:rsidRPr="00C06F2E">
        <w:rPr>
          <w:lang w:val="sk-SK"/>
        </w:rPr>
        <w:t xml:space="preserve">6.2 </w:t>
      </w:r>
      <w:r w:rsidRPr="00C06F2E">
        <w:rPr>
          <w:lang w:val="sk-SK"/>
        </w:rPr>
        <w:tab/>
        <w:t>Ink</w:t>
      </w:r>
      <w:r w:rsidR="00435ECB" w:rsidRPr="00C06F2E">
        <w:rPr>
          <w:lang w:val="sk-SK"/>
        </w:rPr>
        <w:t>ompatibilit</w:t>
      </w:r>
      <w:r w:rsidRPr="00C06F2E">
        <w:rPr>
          <w:lang w:val="sk-SK"/>
        </w:rPr>
        <w:t>y</w:t>
      </w:r>
    </w:p>
    <w:p w14:paraId="0CD1A899" w14:textId="77777777" w:rsidR="00E60C58" w:rsidRPr="00C06F2E" w:rsidRDefault="00E60C58" w:rsidP="00E60C58">
      <w:pPr>
        <w:pStyle w:val="StyleHeadingFreeBOLDNOCAPS"/>
        <w:spacing w:after="0"/>
        <w:jc w:val="left"/>
        <w:rPr>
          <w:b w:val="0"/>
          <w:lang w:val="sk-SK"/>
        </w:rPr>
      </w:pPr>
    </w:p>
    <w:p w14:paraId="4DD22C85" w14:textId="5F1CC29A" w:rsidR="00435ECB" w:rsidRPr="00C06F2E" w:rsidRDefault="00E363D8" w:rsidP="00E60C58">
      <w:pPr>
        <w:spacing w:after="0"/>
        <w:jc w:val="left"/>
        <w:rPr>
          <w:color w:val="000000"/>
          <w:lang w:val="sk-SK"/>
        </w:rPr>
      </w:pPr>
      <w:r w:rsidRPr="00C06F2E">
        <w:rPr>
          <w:lang w:val="sk-SK" w:eastAsia="en-GB"/>
        </w:rPr>
        <w:t>Neaplikovateľné</w:t>
      </w:r>
      <w:r w:rsidRPr="00C06F2E">
        <w:rPr>
          <w:color w:val="000000"/>
          <w:lang w:val="sk-SK"/>
        </w:rPr>
        <w:t xml:space="preserve"> </w:t>
      </w:r>
    </w:p>
    <w:p w14:paraId="1302D578" w14:textId="77777777" w:rsidR="005A4A78" w:rsidRPr="00C06F2E" w:rsidRDefault="005A4A78" w:rsidP="00E60C58">
      <w:pPr>
        <w:spacing w:after="0"/>
        <w:jc w:val="left"/>
        <w:rPr>
          <w:color w:val="000000"/>
          <w:lang w:val="sk-SK"/>
        </w:rPr>
      </w:pPr>
    </w:p>
    <w:p w14:paraId="6EC40654" w14:textId="3B9F047B" w:rsidR="00435ECB" w:rsidRPr="00C06F2E" w:rsidRDefault="00435ECB" w:rsidP="0097495E">
      <w:pPr>
        <w:pStyle w:val="StyleHeadingFreeBOLDNOCAPS"/>
        <w:tabs>
          <w:tab w:val="left" w:pos="567"/>
        </w:tabs>
        <w:spacing w:after="0"/>
        <w:rPr>
          <w:lang w:val="sk-SK"/>
        </w:rPr>
      </w:pPr>
      <w:r w:rsidRPr="00082EE5">
        <w:rPr>
          <w:bCs/>
          <w:lang w:val="sk-SK"/>
        </w:rPr>
        <w:t>6.</w:t>
      </w:r>
      <w:r w:rsidRPr="00C06F2E">
        <w:rPr>
          <w:lang w:val="sk-SK"/>
        </w:rPr>
        <w:t xml:space="preserve">3 </w:t>
      </w:r>
      <w:r w:rsidRPr="00C06F2E">
        <w:rPr>
          <w:lang w:val="sk-SK"/>
        </w:rPr>
        <w:tab/>
      </w:r>
      <w:r w:rsidR="00E363D8" w:rsidRPr="00C06F2E">
        <w:rPr>
          <w:lang w:val="sk-SK"/>
        </w:rPr>
        <w:t>Čas použiteľnosti</w:t>
      </w:r>
    </w:p>
    <w:p w14:paraId="623DA65C" w14:textId="77777777" w:rsidR="00E60C58" w:rsidRPr="00C06F2E" w:rsidRDefault="00E60C58" w:rsidP="00E60C58">
      <w:pPr>
        <w:pStyle w:val="StyleHeadingFreeBOLDNOCAPS"/>
        <w:spacing w:after="0"/>
        <w:jc w:val="left"/>
        <w:rPr>
          <w:lang w:val="sk-SK"/>
        </w:rPr>
      </w:pPr>
    </w:p>
    <w:p w14:paraId="7133A505" w14:textId="0AF81E6B" w:rsidR="005A4A78" w:rsidRPr="00C06F2E" w:rsidRDefault="005A4A78" w:rsidP="00E60C58">
      <w:pPr>
        <w:spacing w:after="0"/>
        <w:jc w:val="left"/>
        <w:rPr>
          <w:color w:val="000000"/>
          <w:lang w:val="sk-SK"/>
        </w:rPr>
      </w:pPr>
      <w:r w:rsidRPr="00C06F2E">
        <w:rPr>
          <w:color w:val="000000"/>
          <w:lang w:val="sk-SK"/>
        </w:rPr>
        <w:t xml:space="preserve">2 </w:t>
      </w:r>
      <w:r w:rsidR="00E363D8" w:rsidRPr="00C06F2E">
        <w:rPr>
          <w:color w:val="000000"/>
          <w:lang w:val="sk-SK"/>
        </w:rPr>
        <w:t>roky</w:t>
      </w:r>
    </w:p>
    <w:p w14:paraId="654EAF38" w14:textId="77777777" w:rsidR="005A4A78" w:rsidRPr="00C06F2E" w:rsidRDefault="005A4A78" w:rsidP="00E60C58">
      <w:pPr>
        <w:spacing w:after="0"/>
        <w:jc w:val="left"/>
        <w:rPr>
          <w:b/>
          <w:color w:val="000000"/>
          <w:lang w:val="sk-SK"/>
        </w:rPr>
      </w:pPr>
    </w:p>
    <w:p w14:paraId="16A4E1AB" w14:textId="0AEB9170" w:rsidR="00435ECB" w:rsidRPr="00C06F2E" w:rsidRDefault="00E363D8" w:rsidP="0097495E">
      <w:pPr>
        <w:pStyle w:val="StyleHeadingFreeBOLDNOCAPS"/>
        <w:tabs>
          <w:tab w:val="left" w:pos="567"/>
        </w:tabs>
        <w:spacing w:after="0"/>
        <w:rPr>
          <w:lang w:val="sk-SK"/>
        </w:rPr>
      </w:pPr>
      <w:r w:rsidRPr="00C06F2E">
        <w:rPr>
          <w:lang w:val="sk-SK"/>
        </w:rPr>
        <w:t xml:space="preserve">6.4 </w:t>
      </w:r>
      <w:r w:rsidRPr="00C06F2E">
        <w:rPr>
          <w:lang w:val="sk-SK"/>
        </w:rPr>
        <w:tab/>
        <w:t>Š</w:t>
      </w:r>
      <w:r w:rsidR="00435ECB" w:rsidRPr="00C06F2E">
        <w:rPr>
          <w:lang w:val="sk-SK"/>
        </w:rPr>
        <w:t>peci</w:t>
      </w:r>
      <w:r w:rsidRPr="00C06F2E">
        <w:rPr>
          <w:lang w:val="sk-SK"/>
        </w:rPr>
        <w:t>á</w:t>
      </w:r>
      <w:r w:rsidR="00435ECB" w:rsidRPr="00C06F2E">
        <w:rPr>
          <w:lang w:val="sk-SK"/>
        </w:rPr>
        <w:t>l</w:t>
      </w:r>
      <w:r w:rsidRPr="00C06F2E">
        <w:rPr>
          <w:lang w:val="sk-SK"/>
        </w:rPr>
        <w:t>ne opatrenia na likvidáciu</w:t>
      </w:r>
    </w:p>
    <w:p w14:paraId="7223FAC6" w14:textId="77777777" w:rsidR="00E60C58" w:rsidRPr="00C06F2E" w:rsidRDefault="00E60C58" w:rsidP="00E60C58">
      <w:pPr>
        <w:pStyle w:val="StyleHeadingFreeBOLDNOCAPS"/>
        <w:spacing w:after="0"/>
        <w:jc w:val="left"/>
        <w:rPr>
          <w:lang w:val="sk-SK"/>
        </w:rPr>
      </w:pPr>
    </w:p>
    <w:p w14:paraId="4E722D4B" w14:textId="26FDDA64" w:rsidR="00435ECB" w:rsidRPr="00C06F2E" w:rsidRDefault="00E363D8" w:rsidP="00E60C58">
      <w:pPr>
        <w:spacing w:after="0"/>
        <w:jc w:val="left"/>
        <w:rPr>
          <w:color w:val="000000"/>
          <w:lang w:val="sk-SK"/>
        </w:rPr>
      </w:pPr>
      <w:r w:rsidRPr="00C06F2E">
        <w:rPr>
          <w:color w:val="000000"/>
          <w:lang w:val="sk-SK"/>
        </w:rPr>
        <w:t>Tento liek nevyžaduje žiadne zvláštne podmienky na uchovávanie</w:t>
      </w:r>
      <w:r w:rsidR="00DD2210" w:rsidRPr="00C06F2E">
        <w:rPr>
          <w:color w:val="000000"/>
          <w:lang w:val="sk-SK"/>
        </w:rPr>
        <w:t>.</w:t>
      </w:r>
    </w:p>
    <w:p w14:paraId="0D407DBA" w14:textId="77777777" w:rsidR="00435ECB" w:rsidRPr="00C06F2E" w:rsidRDefault="00435ECB" w:rsidP="00E60C58">
      <w:pPr>
        <w:spacing w:after="0"/>
        <w:jc w:val="left"/>
        <w:rPr>
          <w:color w:val="000000"/>
          <w:lang w:val="sk-SK"/>
        </w:rPr>
      </w:pPr>
    </w:p>
    <w:p w14:paraId="7E23F620" w14:textId="164C346B" w:rsidR="00435ECB" w:rsidRPr="00C06F2E" w:rsidRDefault="00435ECB" w:rsidP="0097495E">
      <w:pPr>
        <w:pStyle w:val="StyleHeadingFreeBOLDNOCAPS"/>
        <w:tabs>
          <w:tab w:val="left" w:pos="567"/>
        </w:tabs>
        <w:spacing w:after="0"/>
        <w:rPr>
          <w:lang w:val="sk-SK"/>
        </w:rPr>
      </w:pPr>
      <w:r w:rsidRPr="00C06F2E">
        <w:rPr>
          <w:lang w:val="sk-SK"/>
        </w:rPr>
        <w:t xml:space="preserve">6.5 </w:t>
      </w:r>
      <w:r w:rsidRPr="00C06F2E">
        <w:rPr>
          <w:lang w:val="sk-SK"/>
        </w:rPr>
        <w:tab/>
      </w:r>
      <w:r w:rsidR="00E363D8" w:rsidRPr="00C06F2E">
        <w:rPr>
          <w:lang w:val="sk-SK"/>
        </w:rPr>
        <w:t>Druh obalu a obsah balenia</w:t>
      </w:r>
    </w:p>
    <w:p w14:paraId="69587896" w14:textId="77777777" w:rsidR="00E60C58" w:rsidRPr="00C06F2E" w:rsidRDefault="00E60C58" w:rsidP="0028022E">
      <w:pPr>
        <w:pStyle w:val="StyleHeadingFreeBOLDNOCAPS"/>
        <w:spacing w:after="0"/>
        <w:rPr>
          <w:lang w:val="sk-SK"/>
        </w:rPr>
      </w:pPr>
    </w:p>
    <w:p w14:paraId="44A6143F" w14:textId="77777777" w:rsidR="00364549" w:rsidRPr="00C06F2E" w:rsidRDefault="00364549" w:rsidP="00E60C58">
      <w:pPr>
        <w:suppressAutoHyphens/>
        <w:spacing w:after="0"/>
        <w:jc w:val="left"/>
        <w:rPr>
          <w:lang w:val="sk-SK"/>
        </w:rPr>
      </w:pPr>
      <w:r w:rsidRPr="00C06F2E">
        <w:rPr>
          <w:lang w:val="sk-SK"/>
        </w:rPr>
        <w:t>oPA/Al/PVC/Al blister</w:t>
      </w:r>
    </w:p>
    <w:p w14:paraId="3263A102" w14:textId="77777777" w:rsidR="00686A78" w:rsidRPr="00C06F2E" w:rsidRDefault="00686A78" w:rsidP="00E60C58">
      <w:pPr>
        <w:autoSpaceDE w:val="0"/>
        <w:autoSpaceDN w:val="0"/>
        <w:adjustRightInd w:val="0"/>
        <w:spacing w:after="0"/>
        <w:jc w:val="left"/>
        <w:rPr>
          <w:iCs/>
          <w:lang w:val="sk-SK"/>
        </w:rPr>
      </w:pPr>
    </w:p>
    <w:p w14:paraId="3324A7B0" w14:textId="005D97AF" w:rsidR="0082177B" w:rsidRPr="00C06F2E" w:rsidRDefault="00E363D8" w:rsidP="00E60C58">
      <w:pPr>
        <w:autoSpaceDE w:val="0"/>
        <w:autoSpaceDN w:val="0"/>
        <w:adjustRightInd w:val="0"/>
        <w:spacing w:after="0"/>
        <w:jc w:val="left"/>
        <w:rPr>
          <w:iCs/>
          <w:lang w:val="sk-SK"/>
        </w:rPr>
      </w:pPr>
      <w:r w:rsidRPr="00C06F2E">
        <w:rPr>
          <w:iCs/>
          <w:lang w:val="sk-SK"/>
        </w:rPr>
        <w:lastRenderedPageBreak/>
        <w:t>Každá škatuľa obsahuje 30 filmom obalených tabliet</w:t>
      </w:r>
      <w:r w:rsidR="008D04F1" w:rsidRPr="00C06F2E">
        <w:rPr>
          <w:iCs/>
          <w:lang w:val="sk-SK"/>
        </w:rPr>
        <w:t>.</w:t>
      </w:r>
    </w:p>
    <w:p w14:paraId="2041DC3D" w14:textId="77777777" w:rsidR="00435ECB" w:rsidRPr="00C06F2E" w:rsidRDefault="00435ECB" w:rsidP="00E60C58">
      <w:pPr>
        <w:spacing w:after="0"/>
        <w:jc w:val="left"/>
        <w:rPr>
          <w:b/>
          <w:color w:val="000000"/>
          <w:lang w:val="sk-SK"/>
        </w:rPr>
      </w:pPr>
    </w:p>
    <w:p w14:paraId="19AAC6B6" w14:textId="463C2214" w:rsidR="00435ECB" w:rsidRPr="00C06F2E" w:rsidRDefault="008D04F1" w:rsidP="0097495E">
      <w:pPr>
        <w:pStyle w:val="StyleHeadingFreeBOLDNOCAPS"/>
        <w:tabs>
          <w:tab w:val="left" w:pos="567"/>
        </w:tabs>
        <w:spacing w:after="0"/>
        <w:rPr>
          <w:lang w:val="sk-SK"/>
        </w:rPr>
      </w:pPr>
      <w:r w:rsidRPr="00C06F2E">
        <w:rPr>
          <w:lang w:val="sk-SK"/>
        </w:rPr>
        <w:t xml:space="preserve">6.6 </w:t>
      </w:r>
      <w:r w:rsidRPr="00C06F2E">
        <w:rPr>
          <w:lang w:val="sk-SK"/>
        </w:rPr>
        <w:tab/>
        <w:t>Špeciálne opatrenia na likvidáciu</w:t>
      </w:r>
      <w:r w:rsidR="0097495E" w:rsidRPr="0097495E">
        <w:rPr>
          <w:rFonts w:eastAsia="Times New Roman"/>
          <w:bCs/>
          <w:noProof/>
          <w:szCs w:val="24"/>
          <w:lang w:val="sk-SK" w:eastAsia="sk-SK"/>
        </w:rPr>
        <w:t xml:space="preserve"> </w:t>
      </w:r>
      <w:r w:rsidR="0097495E" w:rsidRPr="0097495E">
        <w:rPr>
          <w:bCs/>
          <w:lang w:val="sk-SK"/>
        </w:rPr>
        <w:t>a iné zaobchádzanie s liekom</w:t>
      </w:r>
    </w:p>
    <w:p w14:paraId="0216F9AC" w14:textId="77777777" w:rsidR="00E60C58" w:rsidRPr="00C06F2E" w:rsidRDefault="00E60C58" w:rsidP="00E60C58">
      <w:pPr>
        <w:pStyle w:val="StyleHeadingFreeBOLDNOCAPS"/>
        <w:spacing w:after="0"/>
        <w:jc w:val="left"/>
        <w:rPr>
          <w:lang w:val="sk-SK"/>
        </w:rPr>
      </w:pPr>
    </w:p>
    <w:p w14:paraId="0BB36D28" w14:textId="07506395" w:rsidR="008D04F1" w:rsidRPr="00C06F2E" w:rsidRDefault="008D04F1" w:rsidP="00E60C58">
      <w:pPr>
        <w:spacing w:after="0"/>
        <w:jc w:val="left"/>
        <w:rPr>
          <w:lang w:val="sk-SK"/>
        </w:rPr>
      </w:pPr>
      <w:r w:rsidRPr="00C06F2E">
        <w:rPr>
          <w:lang w:val="sk-SK"/>
        </w:rPr>
        <w:t>Žiadne zvláštne požiadavky.</w:t>
      </w:r>
    </w:p>
    <w:p w14:paraId="7D6F484E" w14:textId="77777777" w:rsidR="008D04F1" w:rsidRPr="00C06F2E" w:rsidRDefault="008D04F1" w:rsidP="00E60C58">
      <w:pPr>
        <w:spacing w:after="0"/>
        <w:jc w:val="left"/>
        <w:rPr>
          <w:lang w:val="sk-SK"/>
        </w:rPr>
      </w:pPr>
      <w:r w:rsidRPr="00C06F2E">
        <w:rPr>
          <w:lang w:val="sk-SK"/>
        </w:rPr>
        <w:t>Všetok nepoužitý liek alebo odpad vzniknutý z lieku sa má zlikvidovať v súlade s národnými požiadavkami.</w:t>
      </w:r>
    </w:p>
    <w:p w14:paraId="29EC3E19" w14:textId="77777777" w:rsidR="003123AC" w:rsidRPr="00C06F2E" w:rsidRDefault="003123AC" w:rsidP="00E60C58">
      <w:pPr>
        <w:spacing w:after="0"/>
        <w:jc w:val="left"/>
        <w:rPr>
          <w:lang w:val="cs-CZ"/>
        </w:rPr>
      </w:pPr>
    </w:p>
    <w:p w14:paraId="671719E6" w14:textId="77777777" w:rsidR="00B3223D" w:rsidRPr="00C06F2E" w:rsidRDefault="00B3223D" w:rsidP="00E60C58">
      <w:pPr>
        <w:spacing w:after="0"/>
        <w:jc w:val="left"/>
        <w:rPr>
          <w:lang w:val="sk-SK"/>
        </w:rPr>
      </w:pPr>
    </w:p>
    <w:p w14:paraId="7C497E11" w14:textId="6236CB40" w:rsidR="00435ECB" w:rsidRPr="00C06F2E" w:rsidRDefault="0043502B" w:rsidP="0097495E">
      <w:pPr>
        <w:pStyle w:val="HeadingFree"/>
        <w:tabs>
          <w:tab w:val="left" w:pos="567"/>
        </w:tabs>
        <w:spacing w:after="0"/>
        <w:rPr>
          <w:lang w:val="sk-SK"/>
        </w:rPr>
      </w:pPr>
      <w:r w:rsidRPr="00C06F2E">
        <w:rPr>
          <w:lang w:val="sk-SK"/>
        </w:rPr>
        <w:t>7.</w:t>
      </w:r>
      <w:r w:rsidR="00435ECB" w:rsidRPr="00C06F2E">
        <w:rPr>
          <w:lang w:val="sk-SK"/>
        </w:rPr>
        <w:tab/>
      </w:r>
      <w:r w:rsidR="008D04F1" w:rsidRPr="00C06F2E">
        <w:rPr>
          <w:lang w:val="sk-SK"/>
        </w:rPr>
        <w:t xml:space="preserve">DRŽITEĽ ROZHODNUTIA O REGISTRÁCII </w:t>
      </w:r>
    </w:p>
    <w:p w14:paraId="195438C7" w14:textId="77777777" w:rsidR="00435ECB" w:rsidRPr="00C06F2E" w:rsidRDefault="00435ECB" w:rsidP="0028022E">
      <w:pPr>
        <w:spacing w:after="0"/>
        <w:rPr>
          <w:lang w:val="sk-SK"/>
        </w:rPr>
      </w:pPr>
    </w:p>
    <w:p w14:paraId="594FE4F0" w14:textId="77777777" w:rsidR="00082EE5" w:rsidRPr="009128B0" w:rsidRDefault="00082EE5" w:rsidP="00A30A0F">
      <w:pPr>
        <w:spacing w:after="0"/>
        <w:rPr>
          <w:rFonts w:eastAsia="Calibri"/>
          <w:noProof/>
          <w:lang w:val="sk-SK" w:eastAsia="sk-SK"/>
        </w:rPr>
      </w:pPr>
      <w:bookmarkStart w:id="3" w:name="_Hlk35973168"/>
      <w:r w:rsidRPr="009128B0">
        <w:rPr>
          <w:rFonts w:eastAsia="Calibri"/>
          <w:noProof/>
          <w:lang w:val="sk-SK" w:eastAsia="sk-SK"/>
        </w:rPr>
        <w:t>Zentiva, k.s.</w:t>
      </w:r>
    </w:p>
    <w:p w14:paraId="690EA327" w14:textId="77777777" w:rsidR="00082EE5" w:rsidRPr="009128B0" w:rsidRDefault="00082EE5" w:rsidP="00A30A0F">
      <w:pPr>
        <w:spacing w:after="0"/>
        <w:rPr>
          <w:rFonts w:eastAsia="Calibri"/>
          <w:noProof/>
          <w:lang w:val="sk-SK" w:eastAsia="sk-SK"/>
        </w:rPr>
      </w:pPr>
      <w:r w:rsidRPr="009128B0">
        <w:rPr>
          <w:rFonts w:eastAsia="Calibri"/>
          <w:noProof/>
          <w:lang w:val="sk-SK" w:eastAsia="sk-SK"/>
        </w:rPr>
        <w:t>U kabelovny 130</w:t>
      </w:r>
    </w:p>
    <w:p w14:paraId="7195F272" w14:textId="77777777" w:rsidR="00082EE5" w:rsidRPr="009128B0" w:rsidRDefault="00082EE5" w:rsidP="00A30A0F">
      <w:pPr>
        <w:spacing w:after="0"/>
        <w:rPr>
          <w:rFonts w:eastAsia="Calibri"/>
          <w:noProof/>
          <w:lang w:val="sk-SK" w:eastAsia="sk-SK"/>
        </w:rPr>
      </w:pPr>
      <w:r w:rsidRPr="009128B0">
        <w:rPr>
          <w:rFonts w:eastAsia="Calibri"/>
          <w:noProof/>
          <w:lang w:val="sk-SK" w:eastAsia="sk-SK"/>
        </w:rPr>
        <w:t>102 37 Praha 10 - Dolní Měcholupy</w:t>
      </w:r>
    </w:p>
    <w:p w14:paraId="4674F388" w14:textId="2082F31B" w:rsidR="00E60C58" w:rsidRPr="00C06F2E" w:rsidRDefault="00082EE5" w:rsidP="00A30A0F">
      <w:pPr>
        <w:spacing w:after="0"/>
        <w:rPr>
          <w:lang w:val="sk-SK"/>
        </w:rPr>
      </w:pPr>
      <w:r w:rsidRPr="009128B0">
        <w:rPr>
          <w:rFonts w:eastAsia="Calibri"/>
          <w:noProof/>
          <w:lang w:val="sk-SK" w:eastAsia="sk-SK"/>
        </w:rPr>
        <w:t>Česká republika</w:t>
      </w:r>
      <w:bookmarkEnd w:id="3"/>
    </w:p>
    <w:p w14:paraId="4F12E363" w14:textId="40E157D3" w:rsidR="00707FA9" w:rsidRDefault="00707FA9" w:rsidP="0028022E">
      <w:pPr>
        <w:spacing w:after="0"/>
        <w:rPr>
          <w:lang w:val="sk-SK"/>
        </w:rPr>
      </w:pPr>
    </w:p>
    <w:p w14:paraId="1FF31225" w14:textId="77777777" w:rsidR="00082EE5" w:rsidRPr="00C06F2E" w:rsidRDefault="00082EE5" w:rsidP="0028022E">
      <w:pPr>
        <w:spacing w:after="0"/>
        <w:rPr>
          <w:lang w:val="sk-SK"/>
        </w:rPr>
      </w:pPr>
    </w:p>
    <w:p w14:paraId="22AA368A" w14:textId="4C4F92C3" w:rsidR="00435ECB" w:rsidRPr="00C06F2E" w:rsidRDefault="00435ECB" w:rsidP="0097495E">
      <w:pPr>
        <w:pStyle w:val="HeadingFree"/>
        <w:tabs>
          <w:tab w:val="left" w:pos="567"/>
        </w:tabs>
        <w:spacing w:after="0"/>
        <w:rPr>
          <w:lang w:val="sk-SK"/>
        </w:rPr>
      </w:pPr>
      <w:r w:rsidRPr="00C06F2E">
        <w:rPr>
          <w:lang w:val="sk-SK"/>
        </w:rPr>
        <w:t>8</w:t>
      </w:r>
      <w:r w:rsidR="0043502B" w:rsidRPr="00C06F2E">
        <w:rPr>
          <w:lang w:val="sk-SK"/>
        </w:rPr>
        <w:t>.</w:t>
      </w:r>
      <w:r w:rsidRPr="00C06F2E">
        <w:rPr>
          <w:lang w:val="sk-SK"/>
        </w:rPr>
        <w:t xml:space="preserve"> </w:t>
      </w:r>
      <w:r w:rsidRPr="00C06F2E">
        <w:rPr>
          <w:lang w:val="sk-SK"/>
        </w:rPr>
        <w:tab/>
      </w:r>
      <w:r w:rsidR="008D04F1" w:rsidRPr="00C06F2E">
        <w:rPr>
          <w:lang w:val="sk-SK"/>
        </w:rPr>
        <w:t>REGISTRAČNÉ ČÍSL</w:t>
      </w:r>
      <w:r w:rsidR="00DD674A" w:rsidRPr="00C06F2E">
        <w:rPr>
          <w:lang w:val="sk-SK"/>
        </w:rPr>
        <w:t>A</w:t>
      </w:r>
    </w:p>
    <w:p w14:paraId="1B87F7A8" w14:textId="77777777" w:rsidR="00435ECB" w:rsidRPr="00C06F2E" w:rsidRDefault="00435ECB" w:rsidP="0028022E">
      <w:pPr>
        <w:spacing w:after="0"/>
        <w:rPr>
          <w:lang w:val="sk-SK"/>
        </w:rPr>
      </w:pPr>
    </w:p>
    <w:p w14:paraId="6C50B011" w14:textId="358EE12A" w:rsidR="00362D92" w:rsidRPr="00362D92" w:rsidRDefault="00362D92" w:rsidP="00362D92">
      <w:pPr>
        <w:spacing w:after="0"/>
        <w:rPr>
          <w:lang w:val="sk-SK"/>
        </w:rPr>
      </w:pPr>
      <w:r>
        <w:rPr>
          <w:lang w:val="sk-SK"/>
        </w:rPr>
        <w:t xml:space="preserve">Erlotinib Zentiva 25 mg: </w:t>
      </w:r>
      <w:r w:rsidRPr="00362D92">
        <w:rPr>
          <w:lang w:val="sk-SK"/>
        </w:rPr>
        <w:t>44/0089/20-S</w:t>
      </w:r>
    </w:p>
    <w:p w14:paraId="6E7F6466" w14:textId="557E59AF" w:rsidR="00362D92" w:rsidRPr="00362D92" w:rsidRDefault="00362D92" w:rsidP="00362D92">
      <w:pPr>
        <w:spacing w:after="0"/>
        <w:rPr>
          <w:lang w:val="sk-SK"/>
        </w:rPr>
      </w:pPr>
      <w:r>
        <w:rPr>
          <w:lang w:val="sk-SK"/>
        </w:rPr>
        <w:t>Erlotinib Zentiva 100 mg: 44/0090</w:t>
      </w:r>
      <w:r w:rsidRPr="00362D92">
        <w:rPr>
          <w:lang w:val="sk-SK"/>
        </w:rPr>
        <w:t>/20-S</w:t>
      </w:r>
    </w:p>
    <w:p w14:paraId="0FAF7D28" w14:textId="7E038A5A" w:rsidR="00E60C58" w:rsidRPr="00C06F2E" w:rsidRDefault="00362D92" w:rsidP="00362D92">
      <w:pPr>
        <w:spacing w:after="0"/>
        <w:rPr>
          <w:lang w:val="sk-SK"/>
        </w:rPr>
      </w:pPr>
      <w:r w:rsidRPr="00362D92">
        <w:rPr>
          <w:lang w:val="sk-SK"/>
        </w:rPr>
        <w:t>Erlotinib Zentiva 150 mg</w:t>
      </w:r>
      <w:r>
        <w:rPr>
          <w:lang w:val="sk-SK"/>
        </w:rPr>
        <w:t>: 44/0091</w:t>
      </w:r>
      <w:r w:rsidRPr="00362D92">
        <w:rPr>
          <w:lang w:val="sk-SK"/>
        </w:rPr>
        <w:t>/20-S</w:t>
      </w:r>
    </w:p>
    <w:p w14:paraId="4A34B847" w14:textId="77777777" w:rsidR="00707FA9" w:rsidRDefault="00707FA9" w:rsidP="0028022E">
      <w:pPr>
        <w:spacing w:after="0"/>
        <w:rPr>
          <w:lang w:val="sk-SK"/>
        </w:rPr>
      </w:pPr>
    </w:p>
    <w:p w14:paraId="101E54F8" w14:textId="77777777" w:rsidR="00362D92" w:rsidRPr="00C06F2E" w:rsidRDefault="00362D92" w:rsidP="0028022E">
      <w:pPr>
        <w:spacing w:after="0"/>
        <w:rPr>
          <w:lang w:val="sk-SK"/>
        </w:rPr>
      </w:pPr>
    </w:p>
    <w:p w14:paraId="638E6A3C" w14:textId="6AA5F851" w:rsidR="00435ECB" w:rsidRPr="00C06F2E" w:rsidRDefault="00435ECB" w:rsidP="0097495E">
      <w:pPr>
        <w:pStyle w:val="HeadingFree"/>
        <w:tabs>
          <w:tab w:val="left" w:pos="567"/>
        </w:tabs>
        <w:spacing w:after="0"/>
        <w:rPr>
          <w:lang w:val="sk-SK"/>
        </w:rPr>
      </w:pPr>
      <w:r w:rsidRPr="00C06F2E">
        <w:rPr>
          <w:lang w:val="sk-SK"/>
        </w:rPr>
        <w:t>9</w:t>
      </w:r>
      <w:r w:rsidR="0043502B" w:rsidRPr="00C06F2E">
        <w:rPr>
          <w:lang w:val="sk-SK"/>
        </w:rPr>
        <w:t>.</w:t>
      </w:r>
      <w:r w:rsidRPr="00C06F2E">
        <w:rPr>
          <w:lang w:val="sk-SK"/>
        </w:rPr>
        <w:t xml:space="preserve"> </w:t>
      </w:r>
      <w:r w:rsidRPr="00C06F2E">
        <w:rPr>
          <w:lang w:val="sk-SK"/>
        </w:rPr>
        <w:tab/>
      </w:r>
      <w:r w:rsidR="008D04F1" w:rsidRPr="00C06F2E">
        <w:rPr>
          <w:lang w:val="sk-SK"/>
        </w:rPr>
        <w:t>DÁTUM PRVEJ REGISTRÁCIE/PREDĹŽENIA REGISTRÁCIE</w:t>
      </w:r>
    </w:p>
    <w:p w14:paraId="5A611C5B" w14:textId="77777777" w:rsidR="00E60C58" w:rsidRPr="00C06F2E" w:rsidRDefault="00E60C58" w:rsidP="0028022E">
      <w:pPr>
        <w:spacing w:after="0"/>
        <w:rPr>
          <w:lang w:val="sk-SK"/>
        </w:rPr>
      </w:pPr>
    </w:p>
    <w:p w14:paraId="698E75F5" w14:textId="2277418E" w:rsidR="00DA379D" w:rsidRPr="00C06F2E" w:rsidRDefault="008D04F1" w:rsidP="00E60C58">
      <w:pPr>
        <w:spacing w:after="0"/>
        <w:jc w:val="left"/>
        <w:rPr>
          <w:lang w:val="sk-SK"/>
        </w:rPr>
      </w:pPr>
      <w:r w:rsidRPr="00C06F2E">
        <w:rPr>
          <w:lang w:val="sk-SK"/>
        </w:rPr>
        <w:t>Dátum prvej registrácie:</w:t>
      </w:r>
    </w:p>
    <w:p w14:paraId="19502301" w14:textId="77777777" w:rsidR="00435ECB" w:rsidRPr="00C06F2E" w:rsidRDefault="00435ECB" w:rsidP="0028022E">
      <w:pPr>
        <w:spacing w:after="0"/>
        <w:rPr>
          <w:lang w:val="sk-SK"/>
        </w:rPr>
      </w:pPr>
    </w:p>
    <w:p w14:paraId="325B9F87" w14:textId="77777777" w:rsidR="00707FA9" w:rsidRPr="00C06F2E" w:rsidRDefault="00707FA9" w:rsidP="0028022E">
      <w:pPr>
        <w:spacing w:after="0"/>
        <w:rPr>
          <w:lang w:val="sk-SK"/>
        </w:rPr>
      </w:pPr>
    </w:p>
    <w:p w14:paraId="0003C06F" w14:textId="0C532768" w:rsidR="00435ECB" w:rsidRPr="00C06F2E" w:rsidRDefault="00435ECB" w:rsidP="0097495E">
      <w:pPr>
        <w:pStyle w:val="HeadingFree"/>
        <w:tabs>
          <w:tab w:val="left" w:pos="567"/>
        </w:tabs>
        <w:spacing w:after="0"/>
        <w:rPr>
          <w:lang w:val="sk-SK"/>
        </w:rPr>
      </w:pPr>
      <w:r w:rsidRPr="00C06F2E">
        <w:rPr>
          <w:lang w:val="sk-SK"/>
        </w:rPr>
        <w:t>10</w:t>
      </w:r>
      <w:r w:rsidR="0043502B" w:rsidRPr="00C06F2E">
        <w:rPr>
          <w:lang w:val="sk-SK"/>
        </w:rPr>
        <w:t>.</w:t>
      </w:r>
      <w:r w:rsidRPr="00C06F2E">
        <w:rPr>
          <w:lang w:val="sk-SK"/>
        </w:rPr>
        <w:t xml:space="preserve"> </w:t>
      </w:r>
      <w:r w:rsidRPr="00C06F2E">
        <w:rPr>
          <w:lang w:val="sk-SK"/>
        </w:rPr>
        <w:tab/>
      </w:r>
      <w:r w:rsidR="008D04F1" w:rsidRPr="00C06F2E">
        <w:rPr>
          <w:lang w:val="sk-SK"/>
        </w:rPr>
        <w:t>DÁTUM REVÍZIE TEXTU</w:t>
      </w:r>
    </w:p>
    <w:p w14:paraId="56C16F8B" w14:textId="072F43A2" w:rsidR="00CC769B" w:rsidRPr="00C06F2E" w:rsidRDefault="00CC769B" w:rsidP="0028022E">
      <w:pPr>
        <w:spacing w:after="0"/>
        <w:jc w:val="left"/>
        <w:rPr>
          <w:lang w:val="sk-SK"/>
        </w:rPr>
      </w:pPr>
    </w:p>
    <w:p w14:paraId="5A89AB12" w14:textId="681A576D" w:rsidR="00E60C58" w:rsidRDefault="0097495E" w:rsidP="0028022E">
      <w:pPr>
        <w:spacing w:after="0"/>
        <w:jc w:val="left"/>
        <w:rPr>
          <w:lang w:val="sk-SK"/>
        </w:rPr>
      </w:pPr>
      <w:r>
        <w:rPr>
          <w:lang w:val="sk-SK"/>
        </w:rPr>
        <w:t>04/2020</w:t>
      </w:r>
    </w:p>
    <w:p w14:paraId="0C2009F6" w14:textId="56F97082" w:rsidR="0097495E" w:rsidRDefault="0097495E" w:rsidP="0028022E">
      <w:pPr>
        <w:spacing w:after="0"/>
        <w:jc w:val="left"/>
        <w:rPr>
          <w:lang w:val="sk-SK"/>
        </w:rPr>
      </w:pPr>
    </w:p>
    <w:p w14:paraId="3A5E19AC" w14:textId="77777777" w:rsidR="0097495E" w:rsidRPr="00C06F2E" w:rsidRDefault="0097495E" w:rsidP="0028022E">
      <w:pPr>
        <w:spacing w:after="0"/>
        <w:jc w:val="left"/>
        <w:rPr>
          <w:lang w:val="sk-SK"/>
        </w:rPr>
      </w:pPr>
    </w:p>
    <w:sectPr w:rsidR="0097495E" w:rsidRPr="00C06F2E" w:rsidSect="00114E4C">
      <w:headerReference w:type="default" r:id="rId16"/>
      <w:footerReference w:type="default" r:id="rId17"/>
      <w:pgSz w:w="11907" w:h="16839" w:code="9"/>
      <w:pgMar w:top="1134" w:right="1418" w:bottom="1134" w:left="1418" w:header="737" w:footer="73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8FED25" w16cid:durableId="2241BBA1"/>
  <w16cid:commentId w16cid:paraId="113D8D34" w16cid:durableId="2241BC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CECA9" w14:textId="77777777" w:rsidR="00400B0E" w:rsidRDefault="00400B0E">
      <w:r>
        <w:separator/>
      </w:r>
    </w:p>
  </w:endnote>
  <w:endnote w:type="continuationSeparator" w:id="0">
    <w:p w14:paraId="3958C23C" w14:textId="77777777" w:rsidR="00400B0E" w:rsidRDefault="0040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4005"/>
      <w:docPartObj>
        <w:docPartGallery w:val="Page Numbers (Bottom of Page)"/>
        <w:docPartUnique/>
      </w:docPartObj>
    </w:sdtPr>
    <w:sdtEndPr/>
    <w:sdtContent>
      <w:p w14:paraId="4E31491C" w14:textId="335AB041" w:rsidR="00400B0E" w:rsidRDefault="00400B0E">
        <w:pPr>
          <w:pStyle w:val="Pta"/>
          <w:jc w:val="center"/>
        </w:pPr>
        <w:r w:rsidRPr="00362D92">
          <w:rPr>
            <w:sz w:val="18"/>
            <w:szCs w:val="18"/>
          </w:rPr>
          <w:fldChar w:fldCharType="begin"/>
        </w:r>
        <w:r w:rsidRPr="00362D92">
          <w:rPr>
            <w:sz w:val="18"/>
            <w:szCs w:val="18"/>
          </w:rPr>
          <w:instrText>PAGE   \* MERGEFORMAT</w:instrText>
        </w:r>
        <w:r w:rsidRPr="00362D92">
          <w:rPr>
            <w:sz w:val="18"/>
            <w:szCs w:val="18"/>
          </w:rPr>
          <w:fldChar w:fldCharType="separate"/>
        </w:r>
        <w:r w:rsidR="00362D92" w:rsidRPr="00362D92">
          <w:rPr>
            <w:noProof/>
            <w:sz w:val="18"/>
            <w:szCs w:val="18"/>
            <w:lang w:val="sk-SK"/>
          </w:rPr>
          <w:t>22</w:t>
        </w:r>
        <w:r w:rsidRPr="00362D92">
          <w:rPr>
            <w:sz w:val="18"/>
            <w:szCs w:val="18"/>
          </w:rPr>
          <w:fldChar w:fldCharType="end"/>
        </w:r>
      </w:p>
    </w:sdtContent>
  </w:sdt>
  <w:p w14:paraId="58565053" w14:textId="77777777" w:rsidR="00400B0E" w:rsidRDefault="00400B0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82EC9" w14:textId="77777777" w:rsidR="00400B0E" w:rsidRDefault="00400B0E">
      <w:r>
        <w:separator/>
      </w:r>
    </w:p>
  </w:footnote>
  <w:footnote w:type="continuationSeparator" w:id="0">
    <w:p w14:paraId="2A3822B7" w14:textId="77777777" w:rsidR="00400B0E" w:rsidRDefault="00400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AE2A" w14:textId="45CE11D3" w:rsidR="00400B0E" w:rsidRPr="00C06F2E" w:rsidRDefault="00400B0E">
    <w:pPr>
      <w:pStyle w:val="Hlavika"/>
      <w:rPr>
        <w:sz w:val="18"/>
        <w:szCs w:val="18"/>
      </w:rPr>
    </w:pPr>
    <w:r w:rsidRPr="00C06F2E">
      <w:rPr>
        <w:color w:val="3A3A3B"/>
        <w:sz w:val="18"/>
        <w:szCs w:val="18"/>
        <w:shd w:val="clear" w:color="auto" w:fill="FFFFFF"/>
      </w:rPr>
      <w:t>Schválený text k rozhodnutiu o registrácii, ev. č.: 2019/06901-REG, 2019/06903-REG, 2019/06905-REG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679A"/>
    <w:multiLevelType w:val="hybridMultilevel"/>
    <w:tmpl w:val="E0D042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06791035"/>
    <w:multiLevelType w:val="hybridMultilevel"/>
    <w:tmpl w:val="75F843B8"/>
    <w:lvl w:ilvl="0" w:tplc="178C9C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75D00"/>
    <w:multiLevelType w:val="hybridMultilevel"/>
    <w:tmpl w:val="5EB6C9FE"/>
    <w:lvl w:ilvl="0" w:tplc="6944C6A0">
      <w:start w:val="1"/>
      <w:numFmt w:val="bullet"/>
      <w:lvlRestart w:val="0"/>
      <w:pStyle w:val="Zoznamsodrkami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C4B4B"/>
    <w:multiLevelType w:val="hybridMultilevel"/>
    <w:tmpl w:val="F42E3338"/>
    <w:lvl w:ilvl="0" w:tplc="CA3E29B4">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3A787150">
      <w:numFmt w:val="bullet"/>
      <w:lvlText w:val="-"/>
      <w:lvlJc w:val="left"/>
      <w:pPr>
        <w:ind w:left="1800" w:hanging="360"/>
      </w:pPr>
      <w:rPr>
        <w:rFonts w:ascii="Times New Roman" w:eastAsia="SymbolMT" w:hAnsi="Times New Roman" w:cs="Times New Roman"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C10BF8"/>
    <w:multiLevelType w:val="hybridMultilevel"/>
    <w:tmpl w:val="1EDAE706"/>
    <w:lvl w:ilvl="0" w:tplc="9ADC6564">
      <w:start w:val="1"/>
      <w:numFmt w:val="decimal"/>
      <w:lvlRestart w:val="0"/>
      <w:pStyle w:val="slovanzoznam2"/>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8F616D"/>
    <w:multiLevelType w:val="hybridMultilevel"/>
    <w:tmpl w:val="251C0A9E"/>
    <w:lvl w:ilvl="0" w:tplc="DA768E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A3998"/>
    <w:multiLevelType w:val="hybridMultilevel"/>
    <w:tmpl w:val="95CE8D50"/>
    <w:lvl w:ilvl="0" w:tplc="61345E0A">
      <w:start w:val="1"/>
      <w:numFmt w:val="bullet"/>
      <w:lvlRestart w:val="0"/>
      <w:pStyle w:val="Zoznamsodrkami4"/>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045706"/>
    <w:multiLevelType w:val="hybridMultilevel"/>
    <w:tmpl w:val="79149308"/>
    <w:lvl w:ilvl="0" w:tplc="46B28BC2">
      <w:start w:val="1"/>
      <w:numFmt w:val="decimal"/>
      <w:lvlRestart w:val="0"/>
      <w:pStyle w:val="slovanzoznam"/>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F741DB"/>
    <w:multiLevelType w:val="hybridMultilevel"/>
    <w:tmpl w:val="44284896"/>
    <w:lvl w:ilvl="0" w:tplc="1A9C413E">
      <w:start w:val="1"/>
      <w:numFmt w:val="decimal"/>
      <w:lvlRestart w:val="0"/>
      <w:pStyle w:val="slovanzoznam5"/>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FC08C0"/>
    <w:multiLevelType w:val="hybridMultilevel"/>
    <w:tmpl w:val="CF187B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C9262C"/>
    <w:multiLevelType w:val="hybridMultilevel"/>
    <w:tmpl w:val="1FB6E7F2"/>
    <w:lvl w:ilvl="0" w:tplc="957C4422">
      <w:start w:val="1"/>
      <w:numFmt w:val="decimal"/>
      <w:lvlRestart w:val="0"/>
      <w:pStyle w:val="slovanzoznam3"/>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FC02FCD"/>
    <w:multiLevelType w:val="hybridMultilevel"/>
    <w:tmpl w:val="1E1A0D94"/>
    <w:lvl w:ilvl="0" w:tplc="8CCAB564">
      <w:start w:val="1"/>
      <w:numFmt w:val="bullet"/>
      <w:lvlRestart w:val="0"/>
      <w:pStyle w:val="Zoznamsodrkami3"/>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8551CC"/>
    <w:multiLevelType w:val="hybridMultilevel"/>
    <w:tmpl w:val="7834D526"/>
    <w:lvl w:ilvl="0" w:tplc="CA3E29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21389C"/>
    <w:multiLevelType w:val="hybridMultilevel"/>
    <w:tmpl w:val="120485BA"/>
    <w:lvl w:ilvl="0" w:tplc="04090003">
      <w:start w:val="1"/>
      <w:numFmt w:val="bullet"/>
      <w:lvlText w:val="o"/>
      <w:lvlJc w:val="left"/>
      <w:pPr>
        <w:ind w:left="2355" w:hanging="360"/>
      </w:pPr>
      <w:rPr>
        <w:rFonts w:ascii="Courier New" w:hAnsi="Courier New" w:cs="Courier New"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4" w15:restartNumberingAfterBreak="0">
    <w:nsid w:val="253D4A45"/>
    <w:multiLevelType w:val="hybridMultilevel"/>
    <w:tmpl w:val="EDC425E6"/>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3055B5"/>
    <w:multiLevelType w:val="hybridMultilevel"/>
    <w:tmpl w:val="9C26D116"/>
    <w:lvl w:ilvl="0" w:tplc="263AC0B4">
      <w:start w:val="1"/>
      <w:numFmt w:val="bullet"/>
      <w:lvlRestart w:val="0"/>
      <w:pStyle w:val="Zoznamsodrkami"/>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3B3F13"/>
    <w:multiLevelType w:val="hybridMultilevel"/>
    <w:tmpl w:val="143810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B16EC"/>
    <w:multiLevelType w:val="hybridMultilevel"/>
    <w:tmpl w:val="FFFCFD1A"/>
    <w:lvl w:ilvl="0" w:tplc="CA3E29B4">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C43FCD"/>
    <w:multiLevelType w:val="hybridMultilevel"/>
    <w:tmpl w:val="1B6A3B5A"/>
    <w:lvl w:ilvl="0" w:tplc="CA3E29B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6B315A1"/>
    <w:multiLevelType w:val="hybridMultilevel"/>
    <w:tmpl w:val="CBEEE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A24B6"/>
    <w:multiLevelType w:val="hybridMultilevel"/>
    <w:tmpl w:val="0D2E1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C1841"/>
    <w:multiLevelType w:val="hybridMultilevel"/>
    <w:tmpl w:val="3FF27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E251EE"/>
    <w:multiLevelType w:val="hybridMultilevel"/>
    <w:tmpl w:val="BD3A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53D48"/>
    <w:multiLevelType w:val="hybridMultilevel"/>
    <w:tmpl w:val="79B0C4B4"/>
    <w:lvl w:ilvl="0" w:tplc="1812C49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661A90"/>
    <w:multiLevelType w:val="hybridMultilevel"/>
    <w:tmpl w:val="83B64A6A"/>
    <w:lvl w:ilvl="0" w:tplc="BCE2AEA6">
      <w:start w:val="1"/>
      <w:numFmt w:val="decimal"/>
      <w:lvlRestart w:val="0"/>
      <w:pStyle w:val="slovanzoznam4"/>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066BF0"/>
    <w:multiLevelType w:val="hybridMultilevel"/>
    <w:tmpl w:val="2530E978"/>
    <w:lvl w:ilvl="0" w:tplc="DAB8587A">
      <w:start w:val="1"/>
      <w:numFmt w:val="bullet"/>
      <w:lvlRestart w:val="0"/>
      <w:pStyle w:val="Zoznamsodrkami5"/>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F2C86"/>
    <w:multiLevelType w:val="hybridMultilevel"/>
    <w:tmpl w:val="7F28C036"/>
    <w:lvl w:ilvl="0" w:tplc="99328C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842EC"/>
    <w:multiLevelType w:val="hybridMultilevel"/>
    <w:tmpl w:val="1E6A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E3FBC"/>
    <w:multiLevelType w:val="multilevel"/>
    <w:tmpl w:val="FDAEA324"/>
    <w:lvl w:ilvl="0">
      <w:start w:val="1"/>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140"/>
        </w:tabs>
        <w:ind w:left="1140" w:hanging="1140"/>
      </w:pPr>
    </w:lvl>
    <w:lvl w:ilvl="7">
      <w:start w:val="1"/>
      <w:numFmt w:val="decimal"/>
      <w:lvlText w:val="%1.%2.%3.%4.%5.%6.%7.%8"/>
      <w:lvlJc w:val="left"/>
      <w:pPr>
        <w:tabs>
          <w:tab w:val="num" w:pos="1140"/>
        </w:tabs>
        <w:ind w:left="1140" w:hanging="1140"/>
      </w:pPr>
    </w:lvl>
    <w:lvl w:ilvl="8">
      <w:start w:val="1"/>
      <w:numFmt w:val="decimal"/>
      <w:lvlText w:val="%1.%2.%3.%4.%5.%6.%7.%8.%9"/>
      <w:lvlJc w:val="left"/>
      <w:pPr>
        <w:tabs>
          <w:tab w:val="num" w:pos="1140"/>
        </w:tabs>
        <w:ind w:left="1140" w:hanging="1140"/>
      </w:pPr>
    </w:lvl>
  </w:abstractNum>
  <w:abstractNum w:abstractNumId="29" w15:restartNumberingAfterBreak="0">
    <w:nsid w:val="6F62479A"/>
    <w:multiLevelType w:val="hybridMultilevel"/>
    <w:tmpl w:val="225A31B8"/>
    <w:lvl w:ilvl="0" w:tplc="0DB065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665E7E"/>
    <w:multiLevelType w:val="hybridMultilevel"/>
    <w:tmpl w:val="818AEB3A"/>
    <w:lvl w:ilvl="0" w:tplc="B47EB7CE">
      <w:start w:val="1"/>
      <w:numFmt w:val="decimal"/>
      <w:lvlText w:val="%1."/>
      <w:lvlJc w:val="left"/>
      <w:pPr>
        <w:tabs>
          <w:tab w:val="num" w:pos="720"/>
        </w:tabs>
        <w:ind w:left="720" w:hanging="360"/>
      </w:pPr>
    </w:lvl>
    <w:lvl w:ilvl="1" w:tplc="01DEF97C" w:tentative="1">
      <w:start w:val="1"/>
      <w:numFmt w:val="decimal"/>
      <w:lvlText w:val="%2."/>
      <w:lvlJc w:val="left"/>
      <w:pPr>
        <w:tabs>
          <w:tab w:val="num" w:pos="1440"/>
        </w:tabs>
        <w:ind w:left="1440" w:hanging="360"/>
      </w:pPr>
    </w:lvl>
    <w:lvl w:ilvl="2" w:tplc="C9681806" w:tentative="1">
      <w:start w:val="1"/>
      <w:numFmt w:val="decimal"/>
      <w:lvlText w:val="%3."/>
      <w:lvlJc w:val="left"/>
      <w:pPr>
        <w:tabs>
          <w:tab w:val="num" w:pos="2160"/>
        </w:tabs>
        <w:ind w:left="2160" w:hanging="360"/>
      </w:pPr>
    </w:lvl>
    <w:lvl w:ilvl="3" w:tplc="1AEC47D6" w:tentative="1">
      <w:start w:val="1"/>
      <w:numFmt w:val="decimal"/>
      <w:lvlText w:val="%4."/>
      <w:lvlJc w:val="left"/>
      <w:pPr>
        <w:tabs>
          <w:tab w:val="num" w:pos="2880"/>
        </w:tabs>
        <w:ind w:left="2880" w:hanging="360"/>
      </w:pPr>
    </w:lvl>
    <w:lvl w:ilvl="4" w:tplc="63A8AD7A" w:tentative="1">
      <w:start w:val="1"/>
      <w:numFmt w:val="decimal"/>
      <w:lvlText w:val="%5."/>
      <w:lvlJc w:val="left"/>
      <w:pPr>
        <w:tabs>
          <w:tab w:val="num" w:pos="3600"/>
        </w:tabs>
        <w:ind w:left="3600" w:hanging="360"/>
      </w:pPr>
    </w:lvl>
    <w:lvl w:ilvl="5" w:tplc="B0FAE446" w:tentative="1">
      <w:start w:val="1"/>
      <w:numFmt w:val="decimal"/>
      <w:lvlText w:val="%6."/>
      <w:lvlJc w:val="left"/>
      <w:pPr>
        <w:tabs>
          <w:tab w:val="num" w:pos="4320"/>
        </w:tabs>
        <w:ind w:left="4320" w:hanging="360"/>
      </w:pPr>
    </w:lvl>
    <w:lvl w:ilvl="6" w:tplc="117E9122" w:tentative="1">
      <w:start w:val="1"/>
      <w:numFmt w:val="decimal"/>
      <w:lvlText w:val="%7."/>
      <w:lvlJc w:val="left"/>
      <w:pPr>
        <w:tabs>
          <w:tab w:val="num" w:pos="5040"/>
        </w:tabs>
        <w:ind w:left="5040" w:hanging="360"/>
      </w:pPr>
    </w:lvl>
    <w:lvl w:ilvl="7" w:tplc="55562C40" w:tentative="1">
      <w:start w:val="1"/>
      <w:numFmt w:val="decimal"/>
      <w:lvlText w:val="%8."/>
      <w:lvlJc w:val="left"/>
      <w:pPr>
        <w:tabs>
          <w:tab w:val="num" w:pos="5760"/>
        </w:tabs>
        <w:ind w:left="5760" w:hanging="360"/>
      </w:pPr>
    </w:lvl>
    <w:lvl w:ilvl="8" w:tplc="1910D07C" w:tentative="1">
      <w:start w:val="1"/>
      <w:numFmt w:val="decimal"/>
      <w:lvlText w:val="%9."/>
      <w:lvlJc w:val="left"/>
      <w:pPr>
        <w:tabs>
          <w:tab w:val="num" w:pos="6480"/>
        </w:tabs>
        <w:ind w:left="6480" w:hanging="360"/>
      </w:pPr>
    </w:lvl>
  </w:abstractNum>
  <w:abstractNum w:abstractNumId="31" w15:restartNumberingAfterBreak="0">
    <w:nsid w:val="786346C7"/>
    <w:multiLevelType w:val="hybridMultilevel"/>
    <w:tmpl w:val="0AF4A2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A55C99"/>
    <w:multiLevelType w:val="hybridMultilevel"/>
    <w:tmpl w:val="28AA605A"/>
    <w:lvl w:ilvl="0" w:tplc="99328CA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5"/>
  </w:num>
  <w:num w:numId="3">
    <w:abstractNumId w:val="2"/>
  </w:num>
  <w:num w:numId="4">
    <w:abstractNumId w:val="11"/>
  </w:num>
  <w:num w:numId="5">
    <w:abstractNumId w:val="6"/>
  </w:num>
  <w:num w:numId="6">
    <w:abstractNumId w:val="25"/>
  </w:num>
  <w:num w:numId="7">
    <w:abstractNumId w:val="7"/>
  </w:num>
  <w:num w:numId="8">
    <w:abstractNumId w:val="4"/>
  </w:num>
  <w:num w:numId="9">
    <w:abstractNumId w:val="10"/>
  </w:num>
  <w:num w:numId="10">
    <w:abstractNumId w:val="24"/>
  </w:num>
  <w:num w:numId="11">
    <w:abstractNumId w:val="8"/>
  </w:num>
  <w:num w:numId="12">
    <w:abstractNumId w:val="27"/>
  </w:num>
  <w:num w:numId="13">
    <w:abstractNumId w:val="22"/>
  </w:num>
  <w:num w:numId="14">
    <w:abstractNumId w:val="28"/>
  </w:num>
  <w:num w:numId="15">
    <w:abstractNumId w:val="30"/>
  </w:num>
  <w:num w:numId="16">
    <w:abstractNumId w:val="19"/>
  </w:num>
  <w:num w:numId="17">
    <w:abstractNumId w:val="32"/>
  </w:num>
  <w:num w:numId="18">
    <w:abstractNumId w:val="26"/>
  </w:num>
  <w:num w:numId="19">
    <w:abstractNumId w:val="31"/>
  </w:num>
  <w:num w:numId="20">
    <w:abstractNumId w:val="9"/>
  </w:num>
  <w:num w:numId="21">
    <w:abstractNumId w:val="13"/>
  </w:num>
  <w:num w:numId="22">
    <w:abstractNumId w:val="16"/>
  </w:num>
  <w:num w:numId="23">
    <w:abstractNumId w:val="20"/>
  </w:num>
  <w:num w:numId="24">
    <w:abstractNumId w:val="0"/>
  </w:num>
  <w:num w:numId="25">
    <w:abstractNumId w:val="21"/>
  </w:num>
  <w:num w:numId="26">
    <w:abstractNumId w:val="1"/>
  </w:num>
  <w:num w:numId="27">
    <w:abstractNumId w:val="5"/>
  </w:num>
  <w:num w:numId="28">
    <w:abstractNumId w:val="3"/>
  </w:num>
  <w:num w:numId="29">
    <w:abstractNumId w:val="18"/>
  </w:num>
  <w:num w:numId="30">
    <w:abstractNumId w:val="17"/>
  </w:num>
  <w:num w:numId="31">
    <w:abstractNumId w:val="12"/>
  </w:num>
  <w:num w:numId="32">
    <w:abstractNumId w:val="14"/>
  </w:num>
  <w:num w:numId="33">
    <w:abstractNumId w:val="29"/>
  </w:num>
  <w:num w:numId="34">
    <w:abstractNumId w:val="23"/>
  </w:num>
  <w:num w:numId="35">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rawingGridHorizontalSpacing w:val="100"/>
  <w:displayHorizontalDrawingGridEvery w:val="2"/>
  <w:noPunctuationKerning/>
  <w:characterSpacingControl w:val="doNotCompress"/>
  <w:hdrShapeDefaults>
    <o:shapedefaults v:ext="edit" spidmax="6145" style="mso-wrap-style:tight;mso-position-vertical-relative:margin" fill="f" fillcolor="white">
      <v:fill color="white" on="f"/>
      <v:stroke weight=".25pt"/>
      <v:shadow color="#969696" opacity=".5" obscured="t" offset="6pt,6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5C6"/>
    <w:rsid w:val="000013E8"/>
    <w:rsid w:val="000020E5"/>
    <w:rsid w:val="0000643D"/>
    <w:rsid w:val="00011363"/>
    <w:rsid w:val="00011FA1"/>
    <w:rsid w:val="00013843"/>
    <w:rsid w:val="00014355"/>
    <w:rsid w:val="00024CA8"/>
    <w:rsid w:val="00024F51"/>
    <w:rsid w:val="00040A0D"/>
    <w:rsid w:val="0004323B"/>
    <w:rsid w:val="00053585"/>
    <w:rsid w:val="0005732C"/>
    <w:rsid w:val="000575AA"/>
    <w:rsid w:val="00061DDB"/>
    <w:rsid w:val="000649C2"/>
    <w:rsid w:val="00065D56"/>
    <w:rsid w:val="000670EA"/>
    <w:rsid w:val="00067FDB"/>
    <w:rsid w:val="00077276"/>
    <w:rsid w:val="00080BB5"/>
    <w:rsid w:val="00082EE5"/>
    <w:rsid w:val="00084930"/>
    <w:rsid w:val="00086BC6"/>
    <w:rsid w:val="00087A30"/>
    <w:rsid w:val="00090F62"/>
    <w:rsid w:val="000919D7"/>
    <w:rsid w:val="00094DCE"/>
    <w:rsid w:val="00094DDD"/>
    <w:rsid w:val="00096134"/>
    <w:rsid w:val="000A01B7"/>
    <w:rsid w:val="000A3430"/>
    <w:rsid w:val="000B5239"/>
    <w:rsid w:val="000C3D8E"/>
    <w:rsid w:val="000C5147"/>
    <w:rsid w:val="000D0B30"/>
    <w:rsid w:val="000D191F"/>
    <w:rsid w:val="000D5890"/>
    <w:rsid w:val="000D72E0"/>
    <w:rsid w:val="000D7B06"/>
    <w:rsid w:val="000E76F1"/>
    <w:rsid w:val="000F4158"/>
    <w:rsid w:val="000F48AB"/>
    <w:rsid w:val="000F4EE1"/>
    <w:rsid w:val="00101DD1"/>
    <w:rsid w:val="001026E7"/>
    <w:rsid w:val="00102720"/>
    <w:rsid w:val="00114E4C"/>
    <w:rsid w:val="00124030"/>
    <w:rsid w:val="0012767A"/>
    <w:rsid w:val="00131E4A"/>
    <w:rsid w:val="001334C4"/>
    <w:rsid w:val="00133DF5"/>
    <w:rsid w:val="00136150"/>
    <w:rsid w:val="00140EF8"/>
    <w:rsid w:val="0014316F"/>
    <w:rsid w:val="00144531"/>
    <w:rsid w:val="0015118E"/>
    <w:rsid w:val="001552F3"/>
    <w:rsid w:val="00162E68"/>
    <w:rsid w:val="00171F75"/>
    <w:rsid w:val="001732C3"/>
    <w:rsid w:val="00173536"/>
    <w:rsid w:val="00174D7B"/>
    <w:rsid w:val="00174F26"/>
    <w:rsid w:val="001770C4"/>
    <w:rsid w:val="00177881"/>
    <w:rsid w:val="00177B58"/>
    <w:rsid w:val="00177F13"/>
    <w:rsid w:val="00185F7E"/>
    <w:rsid w:val="00187749"/>
    <w:rsid w:val="00191D57"/>
    <w:rsid w:val="001934AF"/>
    <w:rsid w:val="001A150A"/>
    <w:rsid w:val="001A1E81"/>
    <w:rsid w:val="001A4CDE"/>
    <w:rsid w:val="001A56FF"/>
    <w:rsid w:val="001B4DA8"/>
    <w:rsid w:val="001B4E8D"/>
    <w:rsid w:val="001C4288"/>
    <w:rsid w:val="001C58C4"/>
    <w:rsid w:val="001C6F28"/>
    <w:rsid w:val="001D1014"/>
    <w:rsid w:val="001D133E"/>
    <w:rsid w:val="001D4369"/>
    <w:rsid w:val="001E0065"/>
    <w:rsid w:val="001E046F"/>
    <w:rsid w:val="001E5CA9"/>
    <w:rsid w:val="001F2A0C"/>
    <w:rsid w:val="001F364A"/>
    <w:rsid w:val="001F76E5"/>
    <w:rsid w:val="001F770D"/>
    <w:rsid w:val="00203F77"/>
    <w:rsid w:val="002107E7"/>
    <w:rsid w:val="00212E94"/>
    <w:rsid w:val="00215A76"/>
    <w:rsid w:val="00215CBF"/>
    <w:rsid w:val="00223A34"/>
    <w:rsid w:val="00224CAC"/>
    <w:rsid w:val="002276A6"/>
    <w:rsid w:val="002328DD"/>
    <w:rsid w:val="00243BCD"/>
    <w:rsid w:val="0024610B"/>
    <w:rsid w:val="00247651"/>
    <w:rsid w:val="0025167B"/>
    <w:rsid w:val="00252565"/>
    <w:rsid w:val="00252EAF"/>
    <w:rsid w:val="0025429C"/>
    <w:rsid w:val="00256D13"/>
    <w:rsid w:val="00256F6A"/>
    <w:rsid w:val="00260DC9"/>
    <w:rsid w:val="002618CE"/>
    <w:rsid w:val="00271C78"/>
    <w:rsid w:val="00276138"/>
    <w:rsid w:val="00276769"/>
    <w:rsid w:val="0028022E"/>
    <w:rsid w:val="002839EB"/>
    <w:rsid w:val="0029112B"/>
    <w:rsid w:val="00291526"/>
    <w:rsid w:val="002A1DB4"/>
    <w:rsid w:val="002A476A"/>
    <w:rsid w:val="002B0CED"/>
    <w:rsid w:val="002B318C"/>
    <w:rsid w:val="002B7B9F"/>
    <w:rsid w:val="002C0FC2"/>
    <w:rsid w:val="002C4CB9"/>
    <w:rsid w:val="002C5B44"/>
    <w:rsid w:val="002D237F"/>
    <w:rsid w:val="002D4019"/>
    <w:rsid w:val="002D6BFC"/>
    <w:rsid w:val="002E27A6"/>
    <w:rsid w:val="002E4B67"/>
    <w:rsid w:val="002E5702"/>
    <w:rsid w:val="002F1530"/>
    <w:rsid w:val="002F2E60"/>
    <w:rsid w:val="002F351D"/>
    <w:rsid w:val="002F7EF9"/>
    <w:rsid w:val="00300EE8"/>
    <w:rsid w:val="003036D4"/>
    <w:rsid w:val="00303A9C"/>
    <w:rsid w:val="003072FA"/>
    <w:rsid w:val="003123AC"/>
    <w:rsid w:val="003169F3"/>
    <w:rsid w:val="00317586"/>
    <w:rsid w:val="003253E7"/>
    <w:rsid w:val="00325E13"/>
    <w:rsid w:val="0033026D"/>
    <w:rsid w:val="00334988"/>
    <w:rsid w:val="00337140"/>
    <w:rsid w:val="00342E3D"/>
    <w:rsid w:val="00343238"/>
    <w:rsid w:val="00351095"/>
    <w:rsid w:val="003537DE"/>
    <w:rsid w:val="003557D4"/>
    <w:rsid w:val="00355A05"/>
    <w:rsid w:val="00361A17"/>
    <w:rsid w:val="0036244A"/>
    <w:rsid w:val="00362D92"/>
    <w:rsid w:val="00364549"/>
    <w:rsid w:val="0037139B"/>
    <w:rsid w:val="00371E5C"/>
    <w:rsid w:val="003750E1"/>
    <w:rsid w:val="0038184B"/>
    <w:rsid w:val="00384DC3"/>
    <w:rsid w:val="003857AC"/>
    <w:rsid w:val="0038598D"/>
    <w:rsid w:val="003902E8"/>
    <w:rsid w:val="0039241D"/>
    <w:rsid w:val="00394EED"/>
    <w:rsid w:val="00395BC9"/>
    <w:rsid w:val="003A14EC"/>
    <w:rsid w:val="003A1F80"/>
    <w:rsid w:val="003B58A0"/>
    <w:rsid w:val="003C41DC"/>
    <w:rsid w:val="003C5165"/>
    <w:rsid w:val="003D1AB1"/>
    <w:rsid w:val="003D361E"/>
    <w:rsid w:val="003D7EFE"/>
    <w:rsid w:val="003E358A"/>
    <w:rsid w:val="003E6046"/>
    <w:rsid w:val="003E7E73"/>
    <w:rsid w:val="003F10E5"/>
    <w:rsid w:val="003F1BCC"/>
    <w:rsid w:val="003F2712"/>
    <w:rsid w:val="003F7E67"/>
    <w:rsid w:val="00400B0E"/>
    <w:rsid w:val="004032A2"/>
    <w:rsid w:val="0041329E"/>
    <w:rsid w:val="004154C9"/>
    <w:rsid w:val="00421288"/>
    <w:rsid w:val="00424AA3"/>
    <w:rsid w:val="00426331"/>
    <w:rsid w:val="0042634A"/>
    <w:rsid w:val="00426C58"/>
    <w:rsid w:val="00426EAF"/>
    <w:rsid w:val="00427A22"/>
    <w:rsid w:val="00433200"/>
    <w:rsid w:val="00433637"/>
    <w:rsid w:val="00434851"/>
    <w:rsid w:val="0043502B"/>
    <w:rsid w:val="00435ECB"/>
    <w:rsid w:val="00436584"/>
    <w:rsid w:val="00436657"/>
    <w:rsid w:val="00446527"/>
    <w:rsid w:val="004466ED"/>
    <w:rsid w:val="004466F7"/>
    <w:rsid w:val="00447C73"/>
    <w:rsid w:val="00454326"/>
    <w:rsid w:val="004549FA"/>
    <w:rsid w:val="00455F38"/>
    <w:rsid w:val="004565B2"/>
    <w:rsid w:val="00460EFD"/>
    <w:rsid w:val="00461443"/>
    <w:rsid w:val="00461A71"/>
    <w:rsid w:val="00463D43"/>
    <w:rsid w:val="004679A5"/>
    <w:rsid w:val="0047448D"/>
    <w:rsid w:val="00477877"/>
    <w:rsid w:val="00482284"/>
    <w:rsid w:val="00483CCF"/>
    <w:rsid w:val="00490255"/>
    <w:rsid w:val="0049068B"/>
    <w:rsid w:val="004934B4"/>
    <w:rsid w:val="0049396B"/>
    <w:rsid w:val="004A1A26"/>
    <w:rsid w:val="004A4A85"/>
    <w:rsid w:val="004A4E63"/>
    <w:rsid w:val="004A503D"/>
    <w:rsid w:val="004A6898"/>
    <w:rsid w:val="004B5097"/>
    <w:rsid w:val="004B5C01"/>
    <w:rsid w:val="004C2A75"/>
    <w:rsid w:val="004C2A85"/>
    <w:rsid w:val="004C771D"/>
    <w:rsid w:val="004D1596"/>
    <w:rsid w:val="004D3682"/>
    <w:rsid w:val="004D722E"/>
    <w:rsid w:val="004E1B22"/>
    <w:rsid w:val="004E5E80"/>
    <w:rsid w:val="004E6B0E"/>
    <w:rsid w:val="004F2CCC"/>
    <w:rsid w:val="004F3CFF"/>
    <w:rsid w:val="004F48AB"/>
    <w:rsid w:val="004F50C6"/>
    <w:rsid w:val="00500478"/>
    <w:rsid w:val="00501ECB"/>
    <w:rsid w:val="00506B32"/>
    <w:rsid w:val="00507F75"/>
    <w:rsid w:val="00511F76"/>
    <w:rsid w:val="00520251"/>
    <w:rsid w:val="00520C1F"/>
    <w:rsid w:val="00522401"/>
    <w:rsid w:val="00522C9A"/>
    <w:rsid w:val="005232A4"/>
    <w:rsid w:val="00523F5D"/>
    <w:rsid w:val="00526F15"/>
    <w:rsid w:val="00534D46"/>
    <w:rsid w:val="00534DD3"/>
    <w:rsid w:val="005378AE"/>
    <w:rsid w:val="00541B00"/>
    <w:rsid w:val="005432BD"/>
    <w:rsid w:val="00543972"/>
    <w:rsid w:val="00543AD8"/>
    <w:rsid w:val="005464AA"/>
    <w:rsid w:val="0054696A"/>
    <w:rsid w:val="00546D0C"/>
    <w:rsid w:val="00553A39"/>
    <w:rsid w:val="00561944"/>
    <w:rsid w:val="0056263C"/>
    <w:rsid w:val="00565A14"/>
    <w:rsid w:val="00566328"/>
    <w:rsid w:val="005751DF"/>
    <w:rsid w:val="00577B76"/>
    <w:rsid w:val="00583E41"/>
    <w:rsid w:val="0058782F"/>
    <w:rsid w:val="0059009B"/>
    <w:rsid w:val="00590721"/>
    <w:rsid w:val="00594803"/>
    <w:rsid w:val="005A0027"/>
    <w:rsid w:val="005A4979"/>
    <w:rsid w:val="005A4A78"/>
    <w:rsid w:val="005B7B77"/>
    <w:rsid w:val="005C5793"/>
    <w:rsid w:val="005C654B"/>
    <w:rsid w:val="005C69DB"/>
    <w:rsid w:val="005C7668"/>
    <w:rsid w:val="005D0EF1"/>
    <w:rsid w:val="005D17BA"/>
    <w:rsid w:val="005D411E"/>
    <w:rsid w:val="005D62AA"/>
    <w:rsid w:val="005E5717"/>
    <w:rsid w:val="005F0511"/>
    <w:rsid w:val="005F0C15"/>
    <w:rsid w:val="005F133A"/>
    <w:rsid w:val="005F22D5"/>
    <w:rsid w:val="005F386C"/>
    <w:rsid w:val="005F4B98"/>
    <w:rsid w:val="005F68C6"/>
    <w:rsid w:val="005F6DC2"/>
    <w:rsid w:val="00601744"/>
    <w:rsid w:val="00605EA2"/>
    <w:rsid w:val="006141A2"/>
    <w:rsid w:val="00615ABF"/>
    <w:rsid w:val="0062256D"/>
    <w:rsid w:val="00626C64"/>
    <w:rsid w:val="00631179"/>
    <w:rsid w:val="00632342"/>
    <w:rsid w:val="00635E30"/>
    <w:rsid w:val="00636F1B"/>
    <w:rsid w:val="00637265"/>
    <w:rsid w:val="00652DEF"/>
    <w:rsid w:val="006603DF"/>
    <w:rsid w:val="00660649"/>
    <w:rsid w:val="006619D3"/>
    <w:rsid w:val="006626BF"/>
    <w:rsid w:val="00674310"/>
    <w:rsid w:val="00676B1C"/>
    <w:rsid w:val="00677E50"/>
    <w:rsid w:val="006807C5"/>
    <w:rsid w:val="00680E3D"/>
    <w:rsid w:val="00681371"/>
    <w:rsid w:val="00681B4A"/>
    <w:rsid w:val="00686A78"/>
    <w:rsid w:val="00686E86"/>
    <w:rsid w:val="006918D9"/>
    <w:rsid w:val="0069501C"/>
    <w:rsid w:val="00696BF1"/>
    <w:rsid w:val="006A0485"/>
    <w:rsid w:val="006A113D"/>
    <w:rsid w:val="006A1798"/>
    <w:rsid w:val="006A7A31"/>
    <w:rsid w:val="006B0384"/>
    <w:rsid w:val="006B34E0"/>
    <w:rsid w:val="006B7AAB"/>
    <w:rsid w:val="006C1D9F"/>
    <w:rsid w:val="006C56A5"/>
    <w:rsid w:val="006C62EF"/>
    <w:rsid w:val="006C6650"/>
    <w:rsid w:val="006C70B4"/>
    <w:rsid w:val="006C7C0B"/>
    <w:rsid w:val="006C7E38"/>
    <w:rsid w:val="006D5077"/>
    <w:rsid w:val="006D5BFE"/>
    <w:rsid w:val="006D63D1"/>
    <w:rsid w:val="006E0757"/>
    <w:rsid w:val="006E1063"/>
    <w:rsid w:val="006E116F"/>
    <w:rsid w:val="006E51AF"/>
    <w:rsid w:val="006E5DDD"/>
    <w:rsid w:val="006F0C76"/>
    <w:rsid w:val="006F29F5"/>
    <w:rsid w:val="006F676A"/>
    <w:rsid w:val="006F7F29"/>
    <w:rsid w:val="007050DC"/>
    <w:rsid w:val="00707175"/>
    <w:rsid w:val="00707FA9"/>
    <w:rsid w:val="007115EC"/>
    <w:rsid w:val="00717310"/>
    <w:rsid w:val="00717C70"/>
    <w:rsid w:val="007204C9"/>
    <w:rsid w:val="00724DC2"/>
    <w:rsid w:val="00736199"/>
    <w:rsid w:val="007370C6"/>
    <w:rsid w:val="00737845"/>
    <w:rsid w:val="007432AA"/>
    <w:rsid w:val="00744164"/>
    <w:rsid w:val="00757F9E"/>
    <w:rsid w:val="00760913"/>
    <w:rsid w:val="00760ECF"/>
    <w:rsid w:val="00761751"/>
    <w:rsid w:val="00762F0A"/>
    <w:rsid w:val="007631C3"/>
    <w:rsid w:val="00772022"/>
    <w:rsid w:val="00782240"/>
    <w:rsid w:val="00784A4B"/>
    <w:rsid w:val="00785521"/>
    <w:rsid w:val="00790909"/>
    <w:rsid w:val="00792B57"/>
    <w:rsid w:val="0079535A"/>
    <w:rsid w:val="00796A50"/>
    <w:rsid w:val="007A53A5"/>
    <w:rsid w:val="007A6844"/>
    <w:rsid w:val="007B2142"/>
    <w:rsid w:val="007B2947"/>
    <w:rsid w:val="007B2B49"/>
    <w:rsid w:val="007B3677"/>
    <w:rsid w:val="007B49A3"/>
    <w:rsid w:val="007B4CBB"/>
    <w:rsid w:val="007B4FF6"/>
    <w:rsid w:val="007C15C6"/>
    <w:rsid w:val="007C3D18"/>
    <w:rsid w:val="007C5386"/>
    <w:rsid w:val="007C5481"/>
    <w:rsid w:val="007D034C"/>
    <w:rsid w:val="007D0D35"/>
    <w:rsid w:val="007D0D70"/>
    <w:rsid w:val="007E1D3C"/>
    <w:rsid w:val="007E486B"/>
    <w:rsid w:val="007E6487"/>
    <w:rsid w:val="007F255F"/>
    <w:rsid w:val="008001B2"/>
    <w:rsid w:val="00800C02"/>
    <w:rsid w:val="008044D5"/>
    <w:rsid w:val="00804B6F"/>
    <w:rsid w:val="00807C84"/>
    <w:rsid w:val="008115C2"/>
    <w:rsid w:val="0081355A"/>
    <w:rsid w:val="00821493"/>
    <w:rsid w:val="0082177B"/>
    <w:rsid w:val="0082504C"/>
    <w:rsid w:val="00831871"/>
    <w:rsid w:val="00832DD8"/>
    <w:rsid w:val="008337B1"/>
    <w:rsid w:val="0083688A"/>
    <w:rsid w:val="008369FC"/>
    <w:rsid w:val="00837E46"/>
    <w:rsid w:val="00845400"/>
    <w:rsid w:val="00846E5D"/>
    <w:rsid w:val="00847CEF"/>
    <w:rsid w:val="00852C21"/>
    <w:rsid w:val="0085502A"/>
    <w:rsid w:val="00860367"/>
    <w:rsid w:val="00861EDD"/>
    <w:rsid w:val="00866800"/>
    <w:rsid w:val="008672D7"/>
    <w:rsid w:val="008677FD"/>
    <w:rsid w:val="00867AB8"/>
    <w:rsid w:val="008832AF"/>
    <w:rsid w:val="00883CDB"/>
    <w:rsid w:val="00884DA7"/>
    <w:rsid w:val="0088519C"/>
    <w:rsid w:val="00887CA0"/>
    <w:rsid w:val="00890847"/>
    <w:rsid w:val="008978F2"/>
    <w:rsid w:val="008A0AC1"/>
    <w:rsid w:val="008A0D9F"/>
    <w:rsid w:val="008A2EE7"/>
    <w:rsid w:val="008A3C98"/>
    <w:rsid w:val="008A7A99"/>
    <w:rsid w:val="008B00BA"/>
    <w:rsid w:val="008B03DD"/>
    <w:rsid w:val="008B0C07"/>
    <w:rsid w:val="008C598F"/>
    <w:rsid w:val="008D04F1"/>
    <w:rsid w:val="008D101B"/>
    <w:rsid w:val="008D2BFF"/>
    <w:rsid w:val="008D6C4C"/>
    <w:rsid w:val="008D7E5F"/>
    <w:rsid w:val="008E281B"/>
    <w:rsid w:val="008E30E9"/>
    <w:rsid w:val="008E6E1F"/>
    <w:rsid w:val="008E7479"/>
    <w:rsid w:val="008F15E4"/>
    <w:rsid w:val="008F2943"/>
    <w:rsid w:val="008F3F3B"/>
    <w:rsid w:val="008F4A84"/>
    <w:rsid w:val="008F6AE4"/>
    <w:rsid w:val="008F6FB3"/>
    <w:rsid w:val="00904BD9"/>
    <w:rsid w:val="0091150C"/>
    <w:rsid w:val="009128B0"/>
    <w:rsid w:val="00922302"/>
    <w:rsid w:val="00925277"/>
    <w:rsid w:val="00930681"/>
    <w:rsid w:val="0093095D"/>
    <w:rsid w:val="0093231C"/>
    <w:rsid w:val="00933AC4"/>
    <w:rsid w:val="0093558A"/>
    <w:rsid w:val="00941521"/>
    <w:rsid w:val="00941EEE"/>
    <w:rsid w:val="00942341"/>
    <w:rsid w:val="00943B82"/>
    <w:rsid w:val="009461F5"/>
    <w:rsid w:val="00946550"/>
    <w:rsid w:val="00951006"/>
    <w:rsid w:val="00952EE6"/>
    <w:rsid w:val="00954072"/>
    <w:rsid w:val="00954487"/>
    <w:rsid w:val="00954888"/>
    <w:rsid w:val="00955652"/>
    <w:rsid w:val="00955C1B"/>
    <w:rsid w:val="00956AFE"/>
    <w:rsid w:val="00962A5E"/>
    <w:rsid w:val="0096343C"/>
    <w:rsid w:val="009655A9"/>
    <w:rsid w:val="00972791"/>
    <w:rsid w:val="00974383"/>
    <w:rsid w:val="0097495E"/>
    <w:rsid w:val="00975E26"/>
    <w:rsid w:val="00976A02"/>
    <w:rsid w:val="00982245"/>
    <w:rsid w:val="0098257F"/>
    <w:rsid w:val="00982D04"/>
    <w:rsid w:val="009848FE"/>
    <w:rsid w:val="00992044"/>
    <w:rsid w:val="00997272"/>
    <w:rsid w:val="009A03CC"/>
    <w:rsid w:val="009B22FF"/>
    <w:rsid w:val="009B5B13"/>
    <w:rsid w:val="009B7C7E"/>
    <w:rsid w:val="009C6BD2"/>
    <w:rsid w:val="009D08FF"/>
    <w:rsid w:val="009D56D9"/>
    <w:rsid w:val="009E337D"/>
    <w:rsid w:val="009F36FF"/>
    <w:rsid w:val="009F4B35"/>
    <w:rsid w:val="009F4F89"/>
    <w:rsid w:val="009F6084"/>
    <w:rsid w:val="00A000D2"/>
    <w:rsid w:val="00A00785"/>
    <w:rsid w:val="00A01699"/>
    <w:rsid w:val="00A0451B"/>
    <w:rsid w:val="00A04707"/>
    <w:rsid w:val="00A14AD5"/>
    <w:rsid w:val="00A16E6C"/>
    <w:rsid w:val="00A20454"/>
    <w:rsid w:val="00A27DD2"/>
    <w:rsid w:val="00A30A0F"/>
    <w:rsid w:val="00A32592"/>
    <w:rsid w:val="00A326FD"/>
    <w:rsid w:val="00A364F9"/>
    <w:rsid w:val="00A37B64"/>
    <w:rsid w:val="00A43863"/>
    <w:rsid w:val="00A45CFF"/>
    <w:rsid w:val="00A465B2"/>
    <w:rsid w:val="00A478B0"/>
    <w:rsid w:val="00A50693"/>
    <w:rsid w:val="00A50D35"/>
    <w:rsid w:val="00A521EC"/>
    <w:rsid w:val="00A533ED"/>
    <w:rsid w:val="00A62967"/>
    <w:rsid w:val="00A71086"/>
    <w:rsid w:val="00A72B6F"/>
    <w:rsid w:val="00A74CD2"/>
    <w:rsid w:val="00A842C5"/>
    <w:rsid w:val="00A8443B"/>
    <w:rsid w:val="00A86D6B"/>
    <w:rsid w:val="00A94844"/>
    <w:rsid w:val="00A96464"/>
    <w:rsid w:val="00A96774"/>
    <w:rsid w:val="00A96D8B"/>
    <w:rsid w:val="00AA0805"/>
    <w:rsid w:val="00AA4279"/>
    <w:rsid w:val="00AA4AA0"/>
    <w:rsid w:val="00AB096B"/>
    <w:rsid w:val="00AB12C9"/>
    <w:rsid w:val="00AB2AA7"/>
    <w:rsid w:val="00AB6A89"/>
    <w:rsid w:val="00AC1E45"/>
    <w:rsid w:val="00AC466F"/>
    <w:rsid w:val="00AD5F8B"/>
    <w:rsid w:val="00AD7089"/>
    <w:rsid w:val="00AE3F7E"/>
    <w:rsid w:val="00AE785E"/>
    <w:rsid w:val="00AF2570"/>
    <w:rsid w:val="00AF7A24"/>
    <w:rsid w:val="00B01F62"/>
    <w:rsid w:val="00B02371"/>
    <w:rsid w:val="00B0508F"/>
    <w:rsid w:val="00B06304"/>
    <w:rsid w:val="00B1037A"/>
    <w:rsid w:val="00B10D4E"/>
    <w:rsid w:val="00B1541E"/>
    <w:rsid w:val="00B17242"/>
    <w:rsid w:val="00B26DDB"/>
    <w:rsid w:val="00B3040C"/>
    <w:rsid w:val="00B3079D"/>
    <w:rsid w:val="00B3223D"/>
    <w:rsid w:val="00B331F6"/>
    <w:rsid w:val="00B33419"/>
    <w:rsid w:val="00B46BA2"/>
    <w:rsid w:val="00B50B73"/>
    <w:rsid w:val="00B558CD"/>
    <w:rsid w:val="00B567DD"/>
    <w:rsid w:val="00B56A23"/>
    <w:rsid w:val="00B61834"/>
    <w:rsid w:val="00B61A05"/>
    <w:rsid w:val="00B62052"/>
    <w:rsid w:val="00B6312B"/>
    <w:rsid w:val="00B637F1"/>
    <w:rsid w:val="00B64852"/>
    <w:rsid w:val="00B6591B"/>
    <w:rsid w:val="00B711D3"/>
    <w:rsid w:val="00B80413"/>
    <w:rsid w:val="00B8075F"/>
    <w:rsid w:val="00BA0548"/>
    <w:rsid w:val="00BA21AF"/>
    <w:rsid w:val="00BA2479"/>
    <w:rsid w:val="00BA6C7B"/>
    <w:rsid w:val="00BB25E1"/>
    <w:rsid w:val="00BB481D"/>
    <w:rsid w:val="00BB4DC3"/>
    <w:rsid w:val="00BB7A14"/>
    <w:rsid w:val="00BC2CE7"/>
    <w:rsid w:val="00BC4733"/>
    <w:rsid w:val="00BC505F"/>
    <w:rsid w:val="00BE2D03"/>
    <w:rsid w:val="00BE40AD"/>
    <w:rsid w:val="00BF1286"/>
    <w:rsid w:val="00BF2646"/>
    <w:rsid w:val="00BF3FFF"/>
    <w:rsid w:val="00BF4076"/>
    <w:rsid w:val="00BF644F"/>
    <w:rsid w:val="00BF6E79"/>
    <w:rsid w:val="00C0158F"/>
    <w:rsid w:val="00C04141"/>
    <w:rsid w:val="00C063D6"/>
    <w:rsid w:val="00C06F2E"/>
    <w:rsid w:val="00C12E56"/>
    <w:rsid w:val="00C15A0A"/>
    <w:rsid w:val="00C20C9C"/>
    <w:rsid w:val="00C313A5"/>
    <w:rsid w:val="00C31AA8"/>
    <w:rsid w:val="00C32290"/>
    <w:rsid w:val="00C32600"/>
    <w:rsid w:val="00C34D1C"/>
    <w:rsid w:val="00C35292"/>
    <w:rsid w:val="00C35FA1"/>
    <w:rsid w:val="00C422E6"/>
    <w:rsid w:val="00C4308F"/>
    <w:rsid w:val="00C43B89"/>
    <w:rsid w:val="00C4496D"/>
    <w:rsid w:val="00C51B37"/>
    <w:rsid w:val="00C51EB7"/>
    <w:rsid w:val="00C52AFB"/>
    <w:rsid w:val="00C55AB4"/>
    <w:rsid w:val="00C564FD"/>
    <w:rsid w:val="00C65E97"/>
    <w:rsid w:val="00C66D0C"/>
    <w:rsid w:val="00C735B8"/>
    <w:rsid w:val="00C7720A"/>
    <w:rsid w:val="00C77C17"/>
    <w:rsid w:val="00C77D91"/>
    <w:rsid w:val="00C81795"/>
    <w:rsid w:val="00C83F37"/>
    <w:rsid w:val="00C85920"/>
    <w:rsid w:val="00C94A20"/>
    <w:rsid w:val="00C95B94"/>
    <w:rsid w:val="00C966A2"/>
    <w:rsid w:val="00CA4867"/>
    <w:rsid w:val="00CA67FE"/>
    <w:rsid w:val="00CA6ED4"/>
    <w:rsid w:val="00CA7459"/>
    <w:rsid w:val="00CB062D"/>
    <w:rsid w:val="00CB4BF6"/>
    <w:rsid w:val="00CC59E1"/>
    <w:rsid w:val="00CC769B"/>
    <w:rsid w:val="00CD016D"/>
    <w:rsid w:val="00CD0850"/>
    <w:rsid w:val="00CD0C35"/>
    <w:rsid w:val="00CD24AA"/>
    <w:rsid w:val="00CD3021"/>
    <w:rsid w:val="00CD7A97"/>
    <w:rsid w:val="00CE1FD5"/>
    <w:rsid w:val="00CF2004"/>
    <w:rsid w:val="00CF3262"/>
    <w:rsid w:val="00CF55F7"/>
    <w:rsid w:val="00CF5FF2"/>
    <w:rsid w:val="00D02D09"/>
    <w:rsid w:val="00D03BD0"/>
    <w:rsid w:val="00D03BF6"/>
    <w:rsid w:val="00D06473"/>
    <w:rsid w:val="00D102A0"/>
    <w:rsid w:val="00D10F66"/>
    <w:rsid w:val="00D116AF"/>
    <w:rsid w:val="00D117EF"/>
    <w:rsid w:val="00D1368D"/>
    <w:rsid w:val="00D174EC"/>
    <w:rsid w:val="00D20D92"/>
    <w:rsid w:val="00D2232E"/>
    <w:rsid w:val="00D22B28"/>
    <w:rsid w:val="00D2462B"/>
    <w:rsid w:val="00D27717"/>
    <w:rsid w:val="00D303AC"/>
    <w:rsid w:val="00D375C8"/>
    <w:rsid w:val="00D41C5E"/>
    <w:rsid w:val="00D505A4"/>
    <w:rsid w:val="00D60DDD"/>
    <w:rsid w:val="00D60E02"/>
    <w:rsid w:val="00D636D6"/>
    <w:rsid w:val="00D66E18"/>
    <w:rsid w:val="00D67435"/>
    <w:rsid w:val="00D711E3"/>
    <w:rsid w:val="00D7284A"/>
    <w:rsid w:val="00D74E32"/>
    <w:rsid w:val="00D80D26"/>
    <w:rsid w:val="00D8109A"/>
    <w:rsid w:val="00D8716F"/>
    <w:rsid w:val="00D90078"/>
    <w:rsid w:val="00D906CC"/>
    <w:rsid w:val="00D91E30"/>
    <w:rsid w:val="00D93A2F"/>
    <w:rsid w:val="00D964DA"/>
    <w:rsid w:val="00DA379D"/>
    <w:rsid w:val="00DA3C14"/>
    <w:rsid w:val="00DA3DE3"/>
    <w:rsid w:val="00DA76CB"/>
    <w:rsid w:val="00DB009D"/>
    <w:rsid w:val="00DB5177"/>
    <w:rsid w:val="00DB5579"/>
    <w:rsid w:val="00DC0338"/>
    <w:rsid w:val="00DC360C"/>
    <w:rsid w:val="00DC4FC5"/>
    <w:rsid w:val="00DC6AD3"/>
    <w:rsid w:val="00DC6B43"/>
    <w:rsid w:val="00DD1267"/>
    <w:rsid w:val="00DD1D8D"/>
    <w:rsid w:val="00DD2066"/>
    <w:rsid w:val="00DD2210"/>
    <w:rsid w:val="00DD23E8"/>
    <w:rsid w:val="00DD3465"/>
    <w:rsid w:val="00DD5121"/>
    <w:rsid w:val="00DD674A"/>
    <w:rsid w:val="00DE78CA"/>
    <w:rsid w:val="00DF5A7C"/>
    <w:rsid w:val="00E03788"/>
    <w:rsid w:val="00E03BF1"/>
    <w:rsid w:val="00E0730F"/>
    <w:rsid w:val="00E12FD0"/>
    <w:rsid w:val="00E13D37"/>
    <w:rsid w:val="00E14A03"/>
    <w:rsid w:val="00E15CC4"/>
    <w:rsid w:val="00E165D7"/>
    <w:rsid w:val="00E218F7"/>
    <w:rsid w:val="00E22152"/>
    <w:rsid w:val="00E23318"/>
    <w:rsid w:val="00E23B83"/>
    <w:rsid w:val="00E24955"/>
    <w:rsid w:val="00E27390"/>
    <w:rsid w:val="00E363D8"/>
    <w:rsid w:val="00E37E05"/>
    <w:rsid w:val="00E46E27"/>
    <w:rsid w:val="00E47CF5"/>
    <w:rsid w:val="00E51512"/>
    <w:rsid w:val="00E51964"/>
    <w:rsid w:val="00E57E96"/>
    <w:rsid w:val="00E60C58"/>
    <w:rsid w:val="00E60D38"/>
    <w:rsid w:val="00E6288A"/>
    <w:rsid w:val="00E63C2A"/>
    <w:rsid w:val="00E66851"/>
    <w:rsid w:val="00E71E36"/>
    <w:rsid w:val="00E7414A"/>
    <w:rsid w:val="00E76003"/>
    <w:rsid w:val="00E804FC"/>
    <w:rsid w:val="00E8096B"/>
    <w:rsid w:val="00E80FE3"/>
    <w:rsid w:val="00E81AC4"/>
    <w:rsid w:val="00E82397"/>
    <w:rsid w:val="00E83682"/>
    <w:rsid w:val="00E85215"/>
    <w:rsid w:val="00E86873"/>
    <w:rsid w:val="00E909C9"/>
    <w:rsid w:val="00E91023"/>
    <w:rsid w:val="00E9262E"/>
    <w:rsid w:val="00E93DFD"/>
    <w:rsid w:val="00E97225"/>
    <w:rsid w:val="00EA0A28"/>
    <w:rsid w:val="00EA3064"/>
    <w:rsid w:val="00EB237A"/>
    <w:rsid w:val="00EC028C"/>
    <w:rsid w:val="00EC0E18"/>
    <w:rsid w:val="00ED0246"/>
    <w:rsid w:val="00ED096E"/>
    <w:rsid w:val="00ED0D48"/>
    <w:rsid w:val="00ED4597"/>
    <w:rsid w:val="00ED70DA"/>
    <w:rsid w:val="00EF0113"/>
    <w:rsid w:val="00EF3D70"/>
    <w:rsid w:val="00EF6D19"/>
    <w:rsid w:val="00F01D03"/>
    <w:rsid w:val="00F104D4"/>
    <w:rsid w:val="00F14C3A"/>
    <w:rsid w:val="00F155B2"/>
    <w:rsid w:val="00F2034C"/>
    <w:rsid w:val="00F2086A"/>
    <w:rsid w:val="00F240E9"/>
    <w:rsid w:val="00F311EF"/>
    <w:rsid w:val="00F31526"/>
    <w:rsid w:val="00F34B2F"/>
    <w:rsid w:val="00F36284"/>
    <w:rsid w:val="00F3667D"/>
    <w:rsid w:val="00F416E2"/>
    <w:rsid w:val="00F419A7"/>
    <w:rsid w:val="00F422E5"/>
    <w:rsid w:val="00F432E0"/>
    <w:rsid w:val="00F46F9D"/>
    <w:rsid w:val="00F523B4"/>
    <w:rsid w:val="00F52F7B"/>
    <w:rsid w:val="00F541BC"/>
    <w:rsid w:val="00F61C31"/>
    <w:rsid w:val="00F62A8B"/>
    <w:rsid w:val="00F65651"/>
    <w:rsid w:val="00F70361"/>
    <w:rsid w:val="00F70DBF"/>
    <w:rsid w:val="00F72514"/>
    <w:rsid w:val="00F755DC"/>
    <w:rsid w:val="00F75F41"/>
    <w:rsid w:val="00F83E75"/>
    <w:rsid w:val="00F870FC"/>
    <w:rsid w:val="00F94CA9"/>
    <w:rsid w:val="00F95B4C"/>
    <w:rsid w:val="00F968D7"/>
    <w:rsid w:val="00FA1A53"/>
    <w:rsid w:val="00FA35F5"/>
    <w:rsid w:val="00FA4ABB"/>
    <w:rsid w:val="00FA6F9F"/>
    <w:rsid w:val="00FB3E59"/>
    <w:rsid w:val="00FB40BC"/>
    <w:rsid w:val="00FB48EF"/>
    <w:rsid w:val="00FB7B7A"/>
    <w:rsid w:val="00FB7C4C"/>
    <w:rsid w:val="00FC2873"/>
    <w:rsid w:val="00FC2BF9"/>
    <w:rsid w:val="00FC7499"/>
    <w:rsid w:val="00FD0E7A"/>
    <w:rsid w:val="00FD10AE"/>
    <w:rsid w:val="00FD1902"/>
    <w:rsid w:val="00FD3CF7"/>
    <w:rsid w:val="00FE4F1A"/>
    <w:rsid w:val="00FE5D68"/>
    <w:rsid w:val="00FF2F6F"/>
    <w:rsid w:val="00FF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wrap-style:tight;mso-position-vertical-relative:margin" fill="f" fillcolor="white">
      <v:fill color="white" on="f"/>
      <v:stroke weight=".25pt"/>
      <v:shadow color="#969696" opacity=".5" obscured="t" offset="6pt,6pt"/>
    </o:shapedefaults>
    <o:shapelayout v:ext="edit">
      <o:idmap v:ext="edit" data="1"/>
    </o:shapelayout>
  </w:shapeDefaults>
  <w:decimalSymbol w:val=","/>
  <w:listSeparator w:val=";"/>
  <w14:docId w14:val="2A163F63"/>
  <w15:docId w15:val="{FF7B1FCD-0792-4094-9D1D-253E9FC9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0"/>
    <w:lsdException w:name="heading 4" w:uiPriority="9" w:qFormat="1"/>
    <w:lsdException w:name="heading 5" w:uiPriority="9" w:qFormat="1"/>
    <w:lsdException w:name="heading 6" w:uiPriority="0"/>
    <w:lsdException w:name="heading 7" w:uiPriority="0"/>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72D7"/>
    <w:pPr>
      <w:spacing w:after="60" w:line="240" w:lineRule="auto"/>
      <w:jc w:val="both"/>
    </w:pPr>
  </w:style>
  <w:style w:type="paragraph" w:styleId="Nadpis1">
    <w:name w:val="heading 1"/>
    <w:basedOn w:val="Normlny"/>
    <w:next w:val="Normlny"/>
    <w:link w:val="Nadpis1Char"/>
    <w:autoRedefine/>
    <w:uiPriority w:val="1"/>
    <w:qFormat/>
    <w:rsid w:val="008672D7"/>
    <w:pPr>
      <w:keepNext/>
      <w:outlineLvl w:val="0"/>
    </w:pPr>
    <w:rPr>
      <w:rFonts w:cs="Arial"/>
      <w:b/>
      <w:bCs/>
      <w:caps/>
      <w:kern w:val="32"/>
      <w:sz w:val="28"/>
      <w:szCs w:val="32"/>
      <w:lang w:eastAsia="de-DE"/>
    </w:rPr>
  </w:style>
  <w:style w:type="paragraph" w:styleId="Nadpis2">
    <w:name w:val="heading 2"/>
    <w:aliases w:val="2 SmPC"/>
    <w:basedOn w:val="Normlny"/>
    <w:next w:val="Normlny"/>
    <w:link w:val="Nadpis2Char"/>
    <w:autoRedefine/>
    <w:uiPriority w:val="2"/>
    <w:qFormat/>
    <w:rsid w:val="008672D7"/>
    <w:pPr>
      <w:keepNext/>
      <w:ind w:left="567" w:hanging="567"/>
      <w:outlineLvl w:val="1"/>
    </w:pPr>
    <w:rPr>
      <w:rFonts w:cs="Arial"/>
      <w:b/>
      <w:bCs/>
      <w:caps/>
      <w:lang w:eastAsia="de-DE"/>
    </w:rPr>
  </w:style>
  <w:style w:type="paragraph" w:styleId="Nadpis3">
    <w:name w:val="heading 3"/>
    <w:basedOn w:val="Nadpis2"/>
    <w:next w:val="Normlny"/>
    <w:rsid w:val="00C04141"/>
    <w:pPr>
      <w:numPr>
        <w:ilvl w:val="2"/>
      </w:numPr>
      <w:ind w:left="567" w:hanging="567"/>
      <w:outlineLvl w:val="2"/>
    </w:pPr>
    <w:rPr>
      <w:bCs w:val="0"/>
      <w:szCs w:val="26"/>
    </w:rPr>
  </w:style>
  <w:style w:type="paragraph" w:styleId="Nadpis4">
    <w:name w:val="heading 4"/>
    <w:basedOn w:val="Normlny"/>
    <w:next w:val="Normlny"/>
    <w:link w:val="Nadpis4Char"/>
    <w:uiPriority w:val="9"/>
    <w:unhideWhenUsed/>
    <w:qFormat/>
    <w:rsid w:val="008672D7"/>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unhideWhenUsed/>
    <w:qFormat/>
    <w:rsid w:val="008672D7"/>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6">
    <w:name w:val="heading 6"/>
    <w:basedOn w:val="Nadpis2"/>
    <w:next w:val="Normlny"/>
    <w:rsid w:val="00C04141"/>
    <w:pPr>
      <w:numPr>
        <w:ilvl w:val="5"/>
      </w:numPr>
      <w:ind w:left="567" w:hanging="567"/>
      <w:outlineLvl w:val="5"/>
    </w:pPr>
    <w:rPr>
      <w:bCs w:val="0"/>
    </w:rPr>
  </w:style>
  <w:style w:type="paragraph" w:styleId="Nadpis7">
    <w:name w:val="heading 7"/>
    <w:basedOn w:val="Nadpis2"/>
    <w:next w:val="Normlny"/>
    <w:rsid w:val="00C04141"/>
    <w:pPr>
      <w:numPr>
        <w:ilvl w:val="6"/>
      </w:numPr>
      <w:ind w:left="567" w:hanging="567"/>
      <w:outlineLvl w:val="6"/>
    </w:pPr>
  </w:style>
  <w:style w:type="paragraph" w:styleId="Nadpis8">
    <w:name w:val="heading 8"/>
    <w:basedOn w:val="Normlny"/>
    <w:next w:val="Normlny"/>
    <w:link w:val="Nadpis8Char"/>
    <w:uiPriority w:val="9"/>
    <w:unhideWhenUsed/>
    <w:qFormat/>
    <w:rsid w:val="008672D7"/>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unhideWhenUsed/>
    <w:qFormat/>
    <w:rsid w:val="008672D7"/>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C04141"/>
    <w:pPr>
      <w:ind w:left="425"/>
    </w:pPr>
  </w:style>
  <w:style w:type="paragraph" w:styleId="Obyajntext">
    <w:name w:val="Plain Text"/>
    <w:basedOn w:val="Normlny"/>
    <w:next w:val="Normlny"/>
    <w:rsid w:val="00C04141"/>
    <w:pPr>
      <w:jc w:val="left"/>
    </w:pPr>
    <w:rPr>
      <w:rFonts w:ascii="Courier New" w:hAnsi="Courier New" w:cs="Courier New"/>
      <w:sz w:val="18"/>
      <w:szCs w:val="20"/>
    </w:rPr>
  </w:style>
  <w:style w:type="paragraph" w:customStyle="1" w:styleId="HeadingFree">
    <w:name w:val="Heading Free"/>
    <w:basedOn w:val="Normlny"/>
    <w:next w:val="Normlny"/>
    <w:rsid w:val="00435ECB"/>
    <w:pPr>
      <w:keepNext/>
      <w:spacing w:after="260"/>
      <w:ind w:left="1140" w:hanging="1140"/>
    </w:pPr>
    <w:rPr>
      <w:b/>
      <w:caps/>
    </w:rPr>
  </w:style>
  <w:style w:type="paragraph" w:styleId="Obsah1">
    <w:name w:val="toc 1"/>
    <w:basedOn w:val="Normlny"/>
    <w:next w:val="Normlny"/>
    <w:rsid w:val="00C04141"/>
    <w:pPr>
      <w:tabs>
        <w:tab w:val="right" w:leader="dot" w:pos="9923"/>
      </w:tabs>
      <w:spacing w:before="120"/>
      <w:ind w:left="1140" w:hanging="1140"/>
      <w:jc w:val="left"/>
    </w:pPr>
  </w:style>
  <w:style w:type="paragraph" w:styleId="Obsah2">
    <w:name w:val="toc 2"/>
    <w:basedOn w:val="Obsah1"/>
    <w:next w:val="Normlny"/>
    <w:rsid w:val="00C04141"/>
    <w:pPr>
      <w:spacing w:before="0"/>
    </w:pPr>
  </w:style>
  <w:style w:type="paragraph" w:styleId="Obsah3">
    <w:name w:val="toc 3"/>
    <w:basedOn w:val="Obsah2"/>
    <w:next w:val="Normlny"/>
    <w:rsid w:val="00C04141"/>
  </w:style>
  <w:style w:type="paragraph" w:styleId="Obsah4">
    <w:name w:val="toc 4"/>
    <w:basedOn w:val="Obsah2"/>
    <w:next w:val="Normlny"/>
    <w:semiHidden/>
    <w:rsid w:val="00C04141"/>
  </w:style>
  <w:style w:type="paragraph" w:styleId="Obsah5">
    <w:name w:val="toc 5"/>
    <w:basedOn w:val="Obsah2"/>
    <w:next w:val="Normlny"/>
    <w:semiHidden/>
    <w:rsid w:val="00C04141"/>
  </w:style>
  <w:style w:type="paragraph" w:styleId="Obsah6">
    <w:name w:val="toc 6"/>
    <w:basedOn w:val="Obsah2"/>
    <w:next w:val="Normlny"/>
    <w:semiHidden/>
    <w:rsid w:val="00C04141"/>
  </w:style>
  <w:style w:type="paragraph" w:styleId="Obsah7">
    <w:name w:val="toc 7"/>
    <w:basedOn w:val="Obsah2"/>
    <w:next w:val="Normlny"/>
    <w:semiHidden/>
    <w:rsid w:val="00C04141"/>
  </w:style>
  <w:style w:type="paragraph" w:styleId="Obsah8">
    <w:name w:val="toc 8"/>
    <w:basedOn w:val="Obsah1"/>
    <w:next w:val="Normlny"/>
    <w:semiHidden/>
    <w:rsid w:val="00C04141"/>
    <w:pPr>
      <w:ind w:firstLine="0"/>
    </w:pPr>
  </w:style>
  <w:style w:type="paragraph" w:styleId="Obsah9">
    <w:name w:val="toc 9"/>
    <w:basedOn w:val="Obsah2"/>
    <w:next w:val="Normlny"/>
    <w:semiHidden/>
    <w:rsid w:val="00C04141"/>
    <w:pPr>
      <w:ind w:firstLine="0"/>
    </w:pPr>
  </w:style>
  <w:style w:type="paragraph" w:styleId="Nzov">
    <w:name w:val="Title"/>
    <w:basedOn w:val="Normlny"/>
    <w:rsid w:val="00C04141"/>
    <w:pPr>
      <w:spacing w:line="400" w:lineRule="exact"/>
      <w:jc w:val="center"/>
    </w:pPr>
    <w:rPr>
      <w:bCs/>
      <w:kern w:val="28"/>
      <w:sz w:val="40"/>
      <w:szCs w:val="32"/>
    </w:rPr>
  </w:style>
  <w:style w:type="paragraph" w:styleId="Textpoznmkypodiarou">
    <w:name w:val="footnote text"/>
    <w:basedOn w:val="Normlny"/>
    <w:link w:val="TextpoznmkypodiarouChar"/>
    <w:semiHidden/>
    <w:rsid w:val="00C04141"/>
    <w:pPr>
      <w:tabs>
        <w:tab w:val="left" w:pos="425"/>
      </w:tabs>
      <w:spacing w:line="200" w:lineRule="exact"/>
      <w:ind w:left="425" w:hanging="425"/>
    </w:pPr>
    <w:rPr>
      <w:sz w:val="18"/>
      <w:szCs w:val="20"/>
    </w:rPr>
  </w:style>
  <w:style w:type="paragraph" w:customStyle="1" w:styleId="Picture">
    <w:name w:val="Picture"/>
    <w:basedOn w:val="Normlny"/>
    <w:next w:val="Normlny"/>
    <w:rsid w:val="00C04141"/>
    <w:pPr>
      <w:spacing w:before="120" w:after="120" w:line="260" w:lineRule="atLeast"/>
    </w:pPr>
  </w:style>
  <w:style w:type="paragraph" w:customStyle="1" w:styleId="PictureIndent">
    <w:name w:val="Picture Indent"/>
    <w:basedOn w:val="Picture"/>
    <w:next w:val="Normlny"/>
    <w:rsid w:val="00C04141"/>
    <w:pPr>
      <w:ind w:left="-1140"/>
    </w:pPr>
  </w:style>
  <w:style w:type="paragraph" w:styleId="Popis">
    <w:name w:val="caption"/>
    <w:basedOn w:val="Normlny"/>
    <w:next w:val="Normlny"/>
    <w:rsid w:val="00C04141"/>
    <w:pPr>
      <w:tabs>
        <w:tab w:val="left" w:pos="1134"/>
      </w:tabs>
      <w:ind w:left="1077" w:hanging="1134"/>
    </w:pPr>
    <w:rPr>
      <w:bCs/>
      <w:szCs w:val="20"/>
    </w:rPr>
  </w:style>
  <w:style w:type="paragraph" w:styleId="Zoznamsodrkami">
    <w:name w:val="List Bullet"/>
    <w:basedOn w:val="Normlny"/>
    <w:rsid w:val="00C04141"/>
    <w:pPr>
      <w:numPr>
        <w:numId w:val="2"/>
      </w:numPr>
    </w:pPr>
  </w:style>
  <w:style w:type="paragraph" w:styleId="Zoznamsodrkami2">
    <w:name w:val="List Bullet 2"/>
    <w:basedOn w:val="Zoznamsodrkami"/>
    <w:rsid w:val="00C04141"/>
    <w:pPr>
      <w:numPr>
        <w:numId w:val="3"/>
      </w:numPr>
      <w:tabs>
        <w:tab w:val="left" w:pos="850"/>
      </w:tabs>
    </w:pPr>
  </w:style>
  <w:style w:type="paragraph" w:styleId="Zoznamsodrkami3">
    <w:name w:val="List Bullet 3"/>
    <w:basedOn w:val="Zoznamsodrkami"/>
    <w:rsid w:val="00C04141"/>
    <w:pPr>
      <w:numPr>
        <w:numId w:val="4"/>
      </w:numPr>
      <w:tabs>
        <w:tab w:val="left" w:pos="1275"/>
      </w:tabs>
    </w:pPr>
  </w:style>
  <w:style w:type="paragraph" w:styleId="Zoznamsodrkami4">
    <w:name w:val="List Bullet 4"/>
    <w:basedOn w:val="Zoznamsodrkami"/>
    <w:rsid w:val="00C04141"/>
    <w:pPr>
      <w:numPr>
        <w:numId w:val="5"/>
      </w:numPr>
      <w:tabs>
        <w:tab w:val="left" w:pos="1700"/>
      </w:tabs>
    </w:pPr>
  </w:style>
  <w:style w:type="paragraph" w:styleId="Zoznamsodrkami5">
    <w:name w:val="List Bullet 5"/>
    <w:basedOn w:val="Zoznamsodrkami"/>
    <w:rsid w:val="00C04141"/>
    <w:pPr>
      <w:numPr>
        <w:numId w:val="6"/>
      </w:numPr>
      <w:tabs>
        <w:tab w:val="left" w:pos="2125"/>
      </w:tabs>
    </w:pPr>
  </w:style>
  <w:style w:type="paragraph" w:styleId="slovanzoznam">
    <w:name w:val="List Number"/>
    <w:basedOn w:val="Normlny"/>
    <w:rsid w:val="00C04141"/>
    <w:pPr>
      <w:numPr>
        <w:numId w:val="7"/>
      </w:numPr>
    </w:pPr>
  </w:style>
  <w:style w:type="paragraph" w:styleId="slovanzoznam2">
    <w:name w:val="List Number 2"/>
    <w:basedOn w:val="slovanzoznam"/>
    <w:rsid w:val="00C04141"/>
    <w:pPr>
      <w:numPr>
        <w:numId w:val="8"/>
      </w:numPr>
      <w:tabs>
        <w:tab w:val="left" w:pos="850"/>
      </w:tabs>
    </w:pPr>
  </w:style>
  <w:style w:type="paragraph" w:styleId="slovanzoznam3">
    <w:name w:val="List Number 3"/>
    <w:basedOn w:val="slovanzoznam"/>
    <w:rsid w:val="00C04141"/>
    <w:pPr>
      <w:numPr>
        <w:numId w:val="9"/>
      </w:numPr>
      <w:tabs>
        <w:tab w:val="left" w:pos="1275"/>
      </w:tabs>
    </w:pPr>
  </w:style>
  <w:style w:type="paragraph" w:styleId="slovanzoznam4">
    <w:name w:val="List Number 4"/>
    <w:basedOn w:val="slovanzoznam"/>
    <w:rsid w:val="00C04141"/>
    <w:pPr>
      <w:numPr>
        <w:numId w:val="10"/>
      </w:numPr>
      <w:tabs>
        <w:tab w:val="left" w:pos="1700"/>
      </w:tabs>
    </w:pPr>
  </w:style>
  <w:style w:type="paragraph" w:styleId="slovanzoznam5">
    <w:name w:val="List Number 5"/>
    <w:basedOn w:val="slovanzoznam"/>
    <w:rsid w:val="00C04141"/>
    <w:pPr>
      <w:numPr>
        <w:numId w:val="11"/>
      </w:numPr>
      <w:tabs>
        <w:tab w:val="left" w:pos="2125"/>
      </w:tabs>
    </w:pPr>
  </w:style>
  <w:style w:type="paragraph" w:styleId="Zoznam">
    <w:name w:val="List"/>
    <w:basedOn w:val="Normlny"/>
    <w:rsid w:val="00C04141"/>
    <w:pPr>
      <w:ind w:left="425"/>
    </w:pPr>
  </w:style>
  <w:style w:type="paragraph" w:styleId="Zoznam2">
    <w:name w:val="List 2"/>
    <w:basedOn w:val="Zoznam"/>
    <w:rsid w:val="00C04141"/>
    <w:pPr>
      <w:ind w:left="850"/>
    </w:pPr>
  </w:style>
  <w:style w:type="paragraph" w:styleId="Zoznam3">
    <w:name w:val="List 3"/>
    <w:basedOn w:val="Zoznam"/>
    <w:rsid w:val="00C04141"/>
    <w:pPr>
      <w:ind w:left="1275"/>
    </w:pPr>
  </w:style>
  <w:style w:type="paragraph" w:styleId="Zoznam4">
    <w:name w:val="List 4"/>
    <w:basedOn w:val="Zoznam"/>
    <w:rsid w:val="00C04141"/>
    <w:pPr>
      <w:ind w:left="1700"/>
    </w:pPr>
  </w:style>
  <w:style w:type="paragraph" w:styleId="Zoznam5">
    <w:name w:val="List 5"/>
    <w:basedOn w:val="Zoznam"/>
    <w:rsid w:val="00C04141"/>
    <w:pPr>
      <w:ind w:left="2125"/>
    </w:pPr>
  </w:style>
  <w:style w:type="paragraph" w:customStyle="1" w:styleId="ListFree1">
    <w:name w:val="List Free 1"/>
    <w:basedOn w:val="Normlny"/>
    <w:rsid w:val="00C04141"/>
    <w:pPr>
      <w:tabs>
        <w:tab w:val="left" w:pos="425"/>
      </w:tabs>
      <w:ind w:left="425" w:hanging="425"/>
    </w:pPr>
  </w:style>
  <w:style w:type="paragraph" w:customStyle="1" w:styleId="ListFree2">
    <w:name w:val="List Free 2"/>
    <w:basedOn w:val="ListFree1"/>
    <w:rsid w:val="00C04141"/>
    <w:pPr>
      <w:tabs>
        <w:tab w:val="clear" w:pos="425"/>
        <w:tab w:val="left" w:pos="850"/>
      </w:tabs>
      <w:ind w:left="850"/>
    </w:pPr>
  </w:style>
  <w:style w:type="paragraph" w:customStyle="1" w:styleId="ListFree3">
    <w:name w:val="List Free 3"/>
    <w:basedOn w:val="ListFree1"/>
    <w:rsid w:val="00C04141"/>
    <w:pPr>
      <w:tabs>
        <w:tab w:val="clear" w:pos="425"/>
        <w:tab w:val="left" w:pos="1275"/>
      </w:tabs>
      <w:ind w:left="1275"/>
    </w:pPr>
  </w:style>
  <w:style w:type="paragraph" w:customStyle="1" w:styleId="ListFree4">
    <w:name w:val="List Free 4"/>
    <w:basedOn w:val="ListFree1"/>
    <w:rsid w:val="00C04141"/>
    <w:pPr>
      <w:tabs>
        <w:tab w:val="clear" w:pos="425"/>
        <w:tab w:val="left" w:pos="1700"/>
      </w:tabs>
      <w:ind w:left="1700"/>
    </w:pPr>
  </w:style>
  <w:style w:type="paragraph" w:customStyle="1" w:styleId="ListFree5">
    <w:name w:val="List Free 5"/>
    <w:basedOn w:val="ListFree1"/>
    <w:rsid w:val="00C04141"/>
    <w:pPr>
      <w:tabs>
        <w:tab w:val="clear" w:pos="425"/>
        <w:tab w:val="left" w:pos="2125"/>
      </w:tabs>
      <w:ind w:left="2125"/>
    </w:pPr>
  </w:style>
  <w:style w:type="paragraph" w:styleId="Hlavika">
    <w:name w:val="header"/>
    <w:basedOn w:val="Normlny"/>
    <w:link w:val="HlavikaChar"/>
    <w:rsid w:val="00C04141"/>
    <w:pPr>
      <w:tabs>
        <w:tab w:val="center" w:pos="4153"/>
        <w:tab w:val="right" w:pos="8306"/>
      </w:tabs>
    </w:pPr>
  </w:style>
  <w:style w:type="paragraph" w:styleId="Pta">
    <w:name w:val="footer"/>
    <w:basedOn w:val="Normlny"/>
    <w:link w:val="PtaChar"/>
    <w:uiPriority w:val="99"/>
    <w:rsid w:val="00C04141"/>
    <w:pPr>
      <w:tabs>
        <w:tab w:val="center" w:pos="4153"/>
        <w:tab w:val="right" w:pos="8306"/>
      </w:tabs>
    </w:pPr>
  </w:style>
  <w:style w:type="paragraph" w:styleId="Textbubliny">
    <w:name w:val="Balloon Text"/>
    <w:basedOn w:val="Normlny"/>
    <w:link w:val="TextbublinyChar"/>
    <w:semiHidden/>
    <w:unhideWhenUsed/>
    <w:rsid w:val="00C04141"/>
    <w:rPr>
      <w:rFonts w:ascii="Tahoma" w:hAnsi="Tahoma" w:cs="Tahoma"/>
      <w:sz w:val="16"/>
      <w:szCs w:val="16"/>
    </w:rPr>
  </w:style>
  <w:style w:type="character" w:customStyle="1" w:styleId="TextbublinyChar">
    <w:name w:val="Text bubliny Char"/>
    <w:basedOn w:val="Predvolenpsmoodseku"/>
    <w:link w:val="Textbubliny"/>
    <w:uiPriority w:val="99"/>
    <w:semiHidden/>
    <w:rsid w:val="00C04141"/>
    <w:rPr>
      <w:rFonts w:ascii="Tahoma" w:hAnsi="Tahoma" w:cs="Tahoma"/>
      <w:sz w:val="16"/>
      <w:szCs w:val="16"/>
      <w:lang w:val="en-GB" w:eastAsia="en-GB"/>
    </w:rPr>
  </w:style>
  <w:style w:type="table" w:styleId="Mriekatabuky">
    <w:name w:val="Table Grid"/>
    <w:basedOn w:val="Normlnatabuka"/>
    <w:rsid w:val="00C04141"/>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ekzoznamu">
    <w:name w:val="List Paragraph"/>
    <w:basedOn w:val="Normlny"/>
    <w:uiPriority w:val="34"/>
    <w:qFormat/>
    <w:rsid w:val="00C04141"/>
    <w:pPr>
      <w:ind w:left="720"/>
      <w:contextualSpacing/>
    </w:pPr>
  </w:style>
  <w:style w:type="paragraph" w:styleId="Bezriadkovania">
    <w:name w:val="No Spacing"/>
    <w:link w:val="BezriadkovaniaChar"/>
    <w:uiPriority w:val="1"/>
    <w:rsid w:val="00C04141"/>
    <w:rPr>
      <w:rFonts w:ascii="Calibri" w:hAnsi="Calibri"/>
    </w:rPr>
  </w:style>
  <w:style w:type="character" w:customStyle="1" w:styleId="BezriadkovaniaChar">
    <w:name w:val="Bez riadkovania Char"/>
    <w:basedOn w:val="Predvolenpsmoodseku"/>
    <w:link w:val="Bezriadkovania"/>
    <w:uiPriority w:val="1"/>
    <w:rsid w:val="00C04141"/>
    <w:rPr>
      <w:rFonts w:ascii="Calibri" w:hAnsi="Calibri"/>
      <w:sz w:val="22"/>
      <w:szCs w:val="22"/>
      <w:lang w:val="en-US" w:eastAsia="en-US" w:bidi="ar-SA"/>
    </w:rPr>
  </w:style>
  <w:style w:type="character" w:styleId="Hypertextovprepojenie">
    <w:name w:val="Hyperlink"/>
    <w:basedOn w:val="Predvolenpsmoodseku"/>
    <w:unhideWhenUsed/>
    <w:rsid w:val="00C04141"/>
    <w:rPr>
      <w:color w:val="0000FF"/>
      <w:u w:val="single"/>
    </w:rPr>
  </w:style>
  <w:style w:type="table" w:customStyle="1" w:styleId="Synthon2">
    <w:name w:val="Synthon 2"/>
    <w:basedOn w:val="Normlnatabuka"/>
    <w:uiPriority w:val="99"/>
    <w:qFormat/>
    <w:rsid w:val="00C04141"/>
    <w:tblPr>
      <w:tblBorders>
        <w:bottom w:val="single" w:sz="4" w:space="0" w:color="000000"/>
      </w:tblBorders>
    </w:tblPr>
    <w:tblStylePr w:type="firstRow">
      <w:rPr>
        <w:b/>
        <w:i/>
      </w:rPr>
      <w:tblPr/>
      <w:tcPr>
        <w:tcBorders>
          <w:top w:val="single" w:sz="4" w:space="0" w:color="000000"/>
          <w:bottom w:val="single" w:sz="4" w:space="0" w:color="000000"/>
        </w:tcBorders>
      </w:tcPr>
    </w:tblStylePr>
  </w:style>
  <w:style w:type="character" w:customStyle="1" w:styleId="TextpoznmkypodiarouChar">
    <w:name w:val="Text poznámky pod čiarou Char"/>
    <w:basedOn w:val="Predvolenpsmoodseku"/>
    <w:link w:val="Textpoznmkypodiarou"/>
    <w:semiHidden/>
    <w:rsid w:val="00C04141"/>
    <w:rPr>
      <w:sz w:val="18"/>
      <w:lang w:val="en-GB" w:eastAsia="en-GB"/>
    </w:rPr>
  </w:style>
  <w:style w:type="character" w:styleId="Odkaznapoznmkupodiarou">
    <w:name w:val="footnote reference"/>
    <w:basedOn w:val="Predvolenpsmoodseku"/>
    <w:uiPriority w:val="99"/>
    <w:semiHidden/>
    <w:unhideWhenUsed/>
    <w:rsid w:val="00C04141"/>
    <w:rPr>
      <w:vertAlign w:val="superscript"/>
    </w:rPr>
  </w:style>
  <w:style w:type="table" w:customStyle="1" w:styleId="Synthon1">
    <w:name w:val="Synthon1"/>
    <w:basedOn w:val="Normlnatabuka"/>
    <w:uiPriority w:val="99"/>
    <w:qFormat/>
    <w:rsid w:val="00C04141"/>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Normlnatabuka"/>
    <w:uiPriority w:val="99"/>
    <w:qFormat/>
    <w:rsid w:val="00C0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Strednpodfarbenie1zvraznenie5">
    <w:name w:val="Medium Shading 1 Accent 5"/>
    <w:basedOn w:val="Normlnatabuka"/>
    <w:uiPriority w:val="63"/>
    <w:rsid w:val="00C0414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Normlnatabuka"/>
    <w:uiPriority w:val="60"/>
    <w:rsid w:val="00C0414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lavikaChar">
    <w:name w:val="Hlavička Char"/>
    <w:basedOn w:val="Predvolenpsmoodseku"/>
    <w:link w:val="Hlavika"/>
    <w:rsid w:val="00C04141"/>
    <w:rPr>
      <w:sz w:val="24"/>
      <w:szCs w:val="24"/>
      <w:lang w:val="en-GB" w:eastAsia="en-GB"/>
    </w:rPr>
  </w:style>
  <w:style w:type="paragraph" w:customStyle="1" w:styleId="ListFreeIndent">
    <w:name w:val="List Free Indent"/>
    <w:basedOn w:val="Normlnysozarkami"/>
    <w:rsid w:val="00435ECB"/>
    <w:pPr>
      <w:ind w:hanging="425"/>
    </w:pPr>
    <w:rPr>
      <w:color w:val="000000"/>
      <w:szCs w:val="20"/>
      <w:lang w:eastAsia="nl-NL"/>
    </w:rPr>
  </w:style>
  <w:style w:type="paragraph" w:styleId="Normlnywebov">
    <w:name w:val="Normal (Web)"/>
    <w:basedOn w:val="Normlny"/>
    <w:rsid w:val="00435ECB"/>
    <w:pPr>
      <w:spacing w:after="240"/>
      <w:jc w:val="left"/>
    </w:pPr>
    <w:rPr>
      <w:color w:val="000000"/>
    </w:rPr>
  </w:style>
  <w:style w:type="paragraph" w:customStyle="1" w:styleId="toa">
    <w:name w:val="toa"/>
    <w:rsid w:val="00435ECB"/>
    <w:pPr>
      <w:widowControl w:val="0"/>
      <w:tabs>
        <w:tab w:val="left" w:pos="-164"/>
        <w:tab w:val="left" w:pos="8836"/>
        <w:tab w:val="right" w:pos="9196"/>
      </w:tabs>
      <w:suppressAutoHyphens/>
      <w:overflowPunct w:val="0"/>
      <w:autoSpaceDE w:val="0"/>
      <w:autoSpaceDN w:val="0"/>
      <w:adjustRightInd w:val="0"/>
      <w:textAlignment w:val="baseline"/>
    </w:pPr>
    <w:rPr>
      <w:rFonts w:ascii="CG Times" w:hAnsi="CG Times"/>
      <w:sz w:val="24"/>
      <w:lang w:val="en-GB" w:eastAsia="zh-CN"/>
    </w:rPr>
  </w:style>
  <w:style w:type="paragraph" w:styleId="Zarkazkladnhotextu">
    <w:name w:val="Body Text Indent"/>
    <w:basedOn w:val="Normlny"/>
    <w:link w:val="ZarkazkladnhotextuChar"/>
    <w:rsid w:val="00435ECB"/>
    <w:pPr>
      <w:widowControl w:val="0"/>
      <w:tabs>
        <w:tab w:val="left" w:pos="426"/>
      </w:tabs>
      <w:overflowPunct w:val="0"/>
      <w:autoSpaceDE w:val="0"/>
      <w:autoSpaceDN w:val="0"/>
      <w:adjustRightInd w:val="0"/>
      <w:ind w:left="426"/>
      <w:textAlignment w:val="baseline"/>
    </w:pPr>
    <w:rPr>
      <w:szCs w:val="20"/>
      <w:lang w:eastAsia="zh-CN"/>
    </w:rPr>
  </w:style>
  <w:style w:type="character" w:customStyle="1" w:styleId="ZarkazkladnhotextuChar">
    <w:name w:val="Zarážka základného textu Char"/>
    <w:basedOn w:val="Predvolenpsmoodseku"/>
    <w:link w:val="Zarkazkladnhotextu"/>
    <w:rsid w:val="00435ECB"/>
    <w:rPr>
      <w:sz w:val="24"/>
      <w:lang w:val="en-GB" w:eastAsia="zh-CN"/>
    </w:rPr>
  </w:style>
  <w:style w:type="paragraph" w:styleId="Zarkazkladnhotextu2">
    <w:name w:val="Body Text Indent 2"/>
    <w:basedOn w:val="Normlny"/>
    <w:link w:val="Zarkazkladnhotextu2Char"/>
    <w:rsid w:val="00435ECB"/>
    <w:pPr>
      <w:widowControl w:val="0"/>
      <w:tabs>
        <w:tab w:val="left" w:pos="426"/>
      </w:tabs>
      <w:overflowPunct w:val="0"/>
      <w:autoSpaceDE w:val="0"/>
      <w:autoSpaceDN w:val="0"/>
      <w:adjustRightInd w:val="0"/>
      <w:ind w:left="426" w:hanging="426"/>
      <w:textAlignment w:val="baseline"/>
    </w:pPr>
    <w:rPr>
      <w:szCs w:val="20"/>
      <w:lang w:eastAsia="zh-CN"/>
    </w:rPr>
  </w:style>
  <w:style w:type="character" w:customStyle="1" w:styleId="Zarkazkladnhotextu2Char">
    <w:name w:val="Zarážka základného textu 2 Char"/>
    <w:basedOn w:val="Predvolenpsmoodseku"/>
    <w:link w:val="Zarkazkladnhotextu2"/>
    <w:rsid w:val="00435ECB"/>
    <w:rPr>
      <w:sz w:val="24"/>
      <w:lang w:val="en-GB" w:eastAsia="zh-CN"/>
    </w:rPr>
  </w:style>
  <w:style w:type="table" w:styleId="Stpcetabuky4">
    <w:name w:val="Table Columns 4"/>
    <w:basedOn w:val="Normlnatabuka"/>
    <w:rsid w:val="00435ECB"/>
    <w:pPr>
      <w:spacing w:line="26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Normlny"/>
    <w:link w:val="TextChar1"/>
    <w:rsid w:val="00435ECB"/>
    <w:pPr>
      <w:spacing w:before="120"/>
    </w:pPr>
  </w:style>
  <w:style w:type="character" w:customStyle="1" w:styleId="TextChar1">
    <w:name w:val="Text Char1"/>
    <w:basedOn w:val="Predvolenpsmoodseku"/>
    <w:link w:val="Text"/>
    <w:rsid w:val="00435ECB"/>
    <w:rPr>
      <w:sz w:val="24"/>
      <w:szCs w:val="24"/>
    </w:rPr>
  </w:style>
  <w:style w:type="paragraph" w:customStyle="1" w:styleId="Nottoc-headings">
    <w:name w:val="Not toc-headings"/>
    <w:basedOn w:val="Normlny"/>
    <w:next w:val="Text"/>
    <w:rsid w:val="00435ECB"/>
    <w:pPr>
      <w:keepNext/>
      <w:keepLines/>
      <w:spacing w:before="240"/>
      <w:ind w:left="1701" w:hanging="1701"/>
      <w:jc w:val="left"/>
    </w:pPr>
    <w:rPr>
      <w:rFonts w:ascii="Arial" w:hAnsi="Arial"/>
      <w:b/>
      <w:szCs w:val="20"/>
    </w:rPr>
  </w:style>
  <w:style w:type="character" w:styleId="PouitHypertextovPrepojenie">
    <w:name w:val="FollowedHyperlink"/>
    <w:basedOn w:val="Predvolenpsmoodseku"/>
    <w:rsid w:val="00435ECB"/>
    <w:rPr>
      <w:color w:val="800080"/>
      <w:u w:val="single"/>
    </w:rPr>
  </w:style>
  <w:style w:type="character" w:styleId="Odkaznakomentr">
    <w:name w:val="annotation reference"/>
    <w:basedOn w:val="Predvolenpsmoodseku"/>
    <w:uiPriority w:val="99"/>
    <w:semiHidden/>
    <w:rsid w:val="00435ECB"/>
    <w:rPr>
      <w:sz w:val="16"/>
      <w:szCs w:val="16"/>
    </w:rPr>
  </w:style>
  <w:style w:type="paragraph" w:styleId="Textkomentra">
    <w:name w:val="annotation text"/>
    <w:basedOn w:val="Normlny"/>
    <w:link w:val="TextkomentraChar"/>
    <w:uiPriority w:val="99"/>
    <w:semiHidden/>
    <w:rsid w:val="00435ECB"/>
    <w:rPr>
      <w:sz w:val="20"/>
      <w:szCs w:val="20"/>
    </w:rPr>
  </w:style>
  <w:style w:type="character" w:customStyle="1" w:styleId="TextkomentraChar">
    <w:name w:val="Text komentára Char"/>
    <w:basedOn w:val="Predvolenpsmoodseku"/>
    <w:link w:val="Textkomentra"/>
    <w:uiPriority w:val="99"/>
    <w:semiHidden/>
    <w:rsid w:val="00435ECB"/>
    <w:rPr>
      <w:lang w:val="en-GB" w:eastAsia="en-GB"/>
    </w:rPr>
  </w:style>
  <w:style w:type="paragraph" w:styleId="Predmetkomentra">
    <w:name w:val="annotation subject"/>
    <w:basedOn w:val="Textkomentra"/>
    <w:next w:val="Textkomentra"/>
    <w:link w:val="PredmetkomentraChar"/>
    <w:semiHidden/>
    <w:rsid w:val="00435ECB"/>
    <w:rPr>
      <w:b/>
      <w:bCs/>
    </w:rPr>
  </w:style>
  <w:style w:type="character" w:customStyle="1" w:styleId="PredmetkomentraChar">
    <w:name w:val="Predmet komentára Char"/>
    <w:basedOn w:val="TextkomentraChar"/>
    <w:link w:val="Predmetkomentra"/>
    <w:semiHidden/>
    <w:rsid w:val="00435ECB"/>
    <w:rPr>
      <w:b/>
      <w:bCs/>
      <w:lang w:val="en-GB" w:eastAsia="en-GB"/>
    </w:rPr>
  </w:style>
  <w:style w:type="paragraph" w:customStyle="1" w:styleId="Default">
    <w:name w:val="Default"/>
    <w:rsid w:val="00435ECB"/>
    <w:pPr>
      <w:autoSpaceDE w:val="0"/>
      <w:autoSpaceDN w:val="0"/>
      <w:adjustRightInd w:val="0"/>
    </w:pPr>
    <w:rPr>
      <w:rFonts w:ascii="Verdana" w:hAnsi="Verdana" w:cs="Verdana"/>
      <w:color w:val="000000"/>
      <w:sz w:val="24"/>
      <w:szCs w:val="24"/>
      <w:lang w:val="nl-NL" w:eastAsia="nl-NL"/>
    </w:rPr>
  </w:style>
  <w:style w:type="paragraph" w:styleId="Revzia">
    <w:name w:val="Revision"/>
    <w:hidden/>
    <w:uiPriority w:val="99"/>
    <w:semiHidden/>
    <w:rsid w:val="00435ECB"/>
    <w:rPr>
      <w:sz w:val="24"/>
      <w:szCs w:val="24"/>
      <w:lang w:val="en-GB" w:eastAsia="en-GB"/>
    </w:rPr>
  </w:style>
  <w:style w:type="paragraph" w:customStyle="1" w:styleId="StyleHeadingFreeBOLDNOCAPS">
    <w:name w:val="Style Heading Free + BOLD + NO CAPS"/>
    <w:basedOn w:val="HeadingFree"/>
    <w:rsid w:val="00435ECB"/>
    <w:rPr>
      <w:caps w:val="0"/>
    </w:rPr>
  </w:style>
  <w:style w:type="character" w:styleId="Zvraznenie">
    <w:name w:val="Emphasis"/>
    <w:basedOn w:val="Predvolenpsmoodseku"/>
    <w:uiPriority w:val="20"/>
    <w:rsid w:val="008677FD"/>
    <w:rPr>
      <w:i/>
      <w:iCs/>
    </w:rPr>
  </w:style>
  <w:style w:type="character" w:customStyle="1" w:styleId="Bodytext2">
    <w:name w:val="Body text (2)_"/>
    <w:basedOn w:val="Predvolenpsmoodseku"/>
    <w:link w:val="Bodytext20"/>
    <w:rsid w:val="007B2947"/>
    <w:rPr>
      <w:sz w:val="22"/>
      <w:szCs w:val="22"/>
      <w:shd w:val="clear" w:color="auto" w:fill="FFFFFF"/>
    </w:rPr>
  </w:style>
  <w:style w:type="paragraph" w:customStyle="1" w:styleId="Bodytext20">
    <w:name w:val="Body text (2)"/>
    <w:basedOn w:val="Normlny"/>
    <w:link w:val="Bodytext2"/>
    <w:rsid w:val="007B2947"/>
    <w:pPr>
      <w:widowControl w:val="0"/>
      <w:shd w:val="clear" w:color="auto" w:fill="FFFFFF"/>
      <w:spacing w:before="300" w:after="540" w:line="0" w:lineRule="atLeast"/>
    </w:pPr>
  </w:style>
  <w:style w:type="paragraph" w:styleId="Zkladntext">
    <w:name w:val="Body Text"/>
    <w:basedOn w:val="Normlny"/>
    <w:link w:val="ZkladntextChar"/>
    <w:uiPriority w:val="99"/>
    <w:unhideWhenUsed/>
    <w:rsid w:val="000C5147"/>
    <w:pPr>
      <w:spacing w:after="120"/>
    </w:pPr>
  </w:style>
  <w:style w:type="character" w:customStyle="1" w:styleId="ZkladntextChar">
    <w:name w:val="Základný text Char"/>
    <w:basedOn w:val="Predvolenpsmoodseku"/>
    <w:link w:val="Zkladntext"/>
    <w:uiPriority w:val="99"/>
    <w:rsid w:val="000C5147"/>
    <w:rPr>
      <w:sz w:val="24"/>
      <w:szCs w:val="24"/>
      <w:lang w:val="en-GB" w:eastAsia="en-GB"/>
    </w:rPr>
  </w:style>
  <w:style w:type="paragraph" w:customStyle="1" w:styleId="TableParagraph">
    <w:name w:val="Table Paragraph"/>
    <w:basedOn w:val="Normlny"/>
    <w:uiPriority w:val="1"/>
    <w:rsid w:val="000C5147"/>
    <w:pPr>
      <w:widowControl w:val="0"/>
      <w:autoSpaceDE w:val="0"/>
      <w:autoSpaceDN w:val="0"/>
      <w:adjustRightInd w:val="0"/>
      <w:jc w:val="left"/>
    </w:pPr>
    <w:rPr>
      <w:rFonts w:eastAsiaTheme="minorEastAsia"/>
    </w:rPr>
  </w:style>
  <w:style w:type="character" w:customStyle="1" w:styleId="msoins0">
    <w:name w:val="msoins"/>
    <w:basedOn w:val="Predvolenpsmoodseku"/>
    <w:rsid w:val="0014316F"/>
  </w:style>
  <w:style w:type="paragraph" w:customStyle="1" w:styleId="2LAB">
    <w:name w:val="2 LAB"/>
    <w:basedOn w:val="Nadpis2"/>
    <w:link w:val="2LABChar"/>
    <w:autoRedefine/>
    <w:uiPriority w:val="3"/>
    <w:qFormat/>
    <w:rsid w:val="008672D7"/>
    <w:pPr>
      <w:pBdr>
        <w:top w:val="single" w:sz="4" w:space="1" w:color="auto"/>
        <w:left w:val="single" w:sz="4" w:space="4" w:color="auto"/>
        <w:bottom w:val="single" w:sz="4" w:space="1" w:color="auto"/>
        <w:right w:val="single" w:sz="4" w:space="4" w:color="auto"/>
      </w:pBdr>
      <w:ind w:left="0" w:firstLine="0"/>
    </w:pPr>
  </w:style>
  <w:style w:type="character" w:customStyle="1" w:styleId="2LABChar">
    <w:name w:val="2 LAB Char"/>
    <w:basedOn w:val="Nadpis2Char"/>
    <w:link w:val="2LAB"/>
    <w:uiPriority w:val="3"/>
    <w:rsid w:val="008672D7"/>
    <w:rPr>
      <w:rFonts w:cs="Arial"/>
      <w:b/>
      <w:bCs/>
      <w:caps/>
      <w:sz w:val="24"/>
      <w:szCs w:val="24"/>
      <w:lang w:eastAsia="de-DE"/>
    </w:rPr>
  </w:style>
  <w:style w:type="paragraph" w:customStyle="1" w:styleId="2PIL">
    <w:name w:val="2 PIL"/>
    <w:basedOn w:val="Nadpis2"/>
    <w:link w:val="2PILChar"/>
    <w:autoRedefine/>
    <w:uiPriority w:val="4"/>
    <w:qFormat/>
    <w:rsid w:val="008672D7"/>
    <w:pPr>
      <w:keepNext w:val="0"/>
    </w:pPr>
    <w:rPr>
      <w:caps w:val="0"/>
    </w:rPr>
  </w:style>
  <w:style w:type="character" w:customStyle="1" w:styleId="2PILChar">
    <w:name w:val="2 PIL Char"/>
    <w:basedOn w:val="Nadpis2Char"/>
    <w:link w:val="2PIL"/>
    <w:uiPriority w:val="4"/>
    <w:rsid w:val="008672D7"/>
    <w:rPr>
      <w:rFonts w:cs="Arial"/>
      <w:b/>
      <w:bCs/>
      <w:caps w:val="0"/>
      <w:sz w:val="24"/>
      <w:szCs w:val="24"/>
      <w:lang w:eastAsia="de-DE"/>
    </w:rPr>
  </w:style>
  <w:style w:type="character" w:customStyle="1" w:styleId="Nadpis1Char">
    <w:name w:val="Nadpis 1 Char"/>
    <w:basedOn w:val="Predvolenpsmoodseku"/>
    <w:link w:val="Nadpis1"/>
    <w:uiPriority w:val="1"/>
    <w:rsid w:val="008672D7"/>
    <w:rPr>
      <w:rFonts w:cs="Arial"/>
      <w:b/>
      <w:bCs/>
      <w:caps/>
      <w:kern w:val="32"/>
      <w:sz w:val="28"/>
      <w:szCs w:val="32"/>
      <w:lang w:eastAsia="de-DE"/>
    </w:rPr>
  </w:style>
  <w:style w:type="character" w:customStyle="1" w:styleId="Nadpis2Char">
    <w:name w:val="Nadpis 2 Char"/>
    <w:aliases w:val="2 SmPC Char"/>
    <w:basedOn w:val="Predvolenpsmoodseku"/>
    <w:link w:val="Nadpis2"/>
    <w:uiPriority w:val="2"/>
    <w:rsid w:val="008672D7"/>
    <w:rPr>
      <w:rFonts w:cs="Arial"/>
      <w:b/>
      <w:bCs/>
      <w:caps/>
      <w:sz w:val="24"/>
      <w:szCs w:val="24"/>
      <w:lang w:eastAsia="de-DE"/>
    </w:rPr>
  </w:style>
  <w:style w:type="character" w:customStyle="1" w:styleId="Nadpis4Char">
    <w:name w:val="Nadpis 4 Char"/>
    <w:basedOn w:val="Predvolenpsmoodseku"/>
    <w:link w:val="Nadpis4"/>
    <w:uiPriority w:val="9"/>
    <w:rsid w:val="008672D7"/>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rsid w:val="008672D7"/>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rsid w:val="008672D7"/>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rsid w:val="008672D7"/>
    <w:rPr>
      <w:rFonts w:asciiTheme="majorHAnsi" w:eastAsiaTheme="majorEastAsia" w:hAnsiTheme="majorHAnsi" w:cstheme="majorBidi"/>
      <w:i/>
      <w:iCs/>
      <w:color w:val="404040" w:themeColor="text1" w:themeTint="BF"/>
      <w:sz w:val="20"/>
      <w:szCs w:val="20"/>
      <w:lang w:val="fr-FR" w:eastAsia="fr-FR"/>
    </w:rPr>
  </w:style>
  <w:style w:type="character" w:customStyle="1" w:styleId="PtaChar">
    <w:name w:val="Päta Char"/>
    <w:basedOn w:val="Predvolenpsmoodseku"/>
    <w:link w:val="Pta"/>
    <w:uiPriority w:val="99"/>
    <w:rsid w:val="0060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345149">
      <w:bodyDiv w:val="1"/>
      <w:marLeft w:val="0"/>
      <w:marRight w:val="0"/>
      <w:marTop w:val="0"/>
      <w:marBottom w:val="0"/>
      <w:divBdr>
        <w:top w:val="none" w:sz="0" w:space="0" w:color="auto"/>
        <w:left w:val="none" w:sz="0" w:space="0" w:color="auto"/>
        <w:bottom w:val="none" w:sz="0" w:space="0" w:color="auto"/>
        <w:right w:val="none" w:sz="0" w:space="0" w:color="auto"/>
      </w:divBdr>
    </w:div>
    <w:div w:id="1080521861">
      <w:bodyDiv w:val="1"/>
      <w:marLeft w:val="0"/>
      <w:marRight w:val="0"/>
      <w:marTop w:val="0"/>
      <w:marBottom w:val="0"/>
      <w:divBdr>
        <w:top w:val="none" w:sz="0" w:space="0" w:color="auto"/>
        <w:left w:val="none" w:sz="0" w:space="0" w:color="auto"/>
        <w:bottom w:val="none" w:sz="0" w:space="0" w:color="auto"/>
        <w:right w:val="none" w:sz="0" w:space="0" w:color="auto"/>
      </w:divBdr>
    </w:div>
    <w:div w:id="1317104449">
      <w:bodyDiv w:val="1"/>
      <w:marLeft w:val="0"/>
      <w:marRight w:val="0"/>
      <w:marTop w:val="0"/>
      <w:marBottom w:val="0"/>
      <w:divBdr>
        <w:top w:val="none" w:sz="0" w:space="0" w:color="auto"/>
        <w:left w:val="none" w:sz="0" w:space="0" w:color="auto"/>
        <w:bottom w:val="none" w:sz="0" w:space="0" w:color="auto"/>
        <w:right w:val="none" w:sz="0" w:space="0" w:color="auto"/>
      </w:divBdr>
      <w:divsChild>
        <w:div w:id="648553380">
          <w:marLeft w:val="360"/>
          <w:marRight w:val="0"/>
          <w:marTop w:val="86"/>
          <w:marBottom w:val="0"/>
          <w:divBdr>
            <w:top w:val="none" w:sz="0" w:space="0" w:color="auto"/>
            <w:left w:val="none" w:sz="0" w:space="0" w:color="auto"/>
            <w:bottom w:val="none" w:sz="0" w:space="0" w:color="auto"/>
            <w:right w:val="none" w:sz="0" w:space="0" w:color="auto"/>
          </w:divBdr>
        </w:div>
        <w:div w:id="1683702656">
          <w:marLeft w:val="360"/>
          <w:marRight w:val="0"/>
          <w:marTop w:val="86"/>
          <w:marBottom w:val="0"/>
          <w:divBdr>
            <w:top w:val="none" w:sz="0" w:space="0" w:color="auto"/>
            <w:left w:val="none" w:sz="0" w:space="0" w:color="auto"/>
            <w:bottom w:val="none" w:sz="0" w:space="0" w:color="auto"/>
            <w:right w:val="none" w:sz="0" w:space="0" w:color="auto"/>
          </w:divBdr>
        </w:div>
        <w:div w:id="1696035554">
          <w:marLeft w:val="360"/>
          <w:marRight w:val="0"/>
          <w:marTop w:val="86"/>
          <w:marBottom w:val="0"/>
          <w:divBdr>
            <w:top w:val="none" w:sz="0" w:space="0" w:color="auto"/>
            <w:left w:val="none" w:sz="0" w:space="0" w:color="auto"/>
            <w:bottom w:val="none" w:sz="0" w:space="0" w:color="auto"/>
            <w:right w:val="none" w:sz="0" w:space="0" w:color="auto"/>
          </w:divBdr>
        </w:div>
      </w:divsChild>
    </w:div>
    <w:div w:id="21147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Office\Templates\Synthon%20Reports\CTD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8D6C473D115F4E884AA588E6284457" ma:contentTypeVersion="1" ma:contentTypeDescription="Create a new document." ma:contentTypeScope="" ma:versionID="b4faf06f765c3686e83b5ba43be8818a">
  <xsd:schema xmlns:xsd="http://www.w3.org/2001/XMLSchema" xmlns:p="http://schemas.microsoft.com/office/2006/metadata/properties" targetNamespace="http://schemas.microsoft.com/office/2006/metadata/properties" ma:root="true" ma:fieldsID="f1d41765d8e8f7d61a855e4309a1531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AA9F-7DAF-4323-9BE6-D9D7924C1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158D41D-6B80-47BE-8CC1-C70A976618DB}">
  <ds:schemaRefs>
    <ds:schemaRef ds:uri="http://schemas.microsoft.com/sharepoint/v3/contenttype/forms"/>
  </ds:schemaRefs>
</ds:datastoreItem>
</file>

<file path=customXml/itemProps3.xml><?xml version="1.0" encoding="utf-8"?>
<ds:datastoreItem xmlns:ds="http://schemas.openxmlformats.org/officeDocument/2006/customXml" ds:itemID="{86873E93-97EC-4327-ACFE-9077943CB1A8}">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03562CEB-838E-4578-AF19-B9CDBF71E9C9}">
  <ds:schemaRefs>
    <ds:schemaRef ds:uri="http://schemas.openxmlformats.org/officeDocument/2006/bibliography"/>
  </ds:schemaRefs>
</ds:datastoreItem>
</file>

<file path=customXml/itemProps5.xml><?xml version="1.0" encoding="utf-8"?>
<ds:datastoreItem xmlns:ds="http://schemas.openxmlformats.org/officeDocument/2006/customXml" ds:itemID="{86452E4E-FE40-4F17-9FA6-3916F924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CTDNew.dotx</Template>
  <TotalTime>6</TotalTime>
  <Pages>22</Pages>
  <Words>9302</Words>
  <Characters>53027</Characters>
  <Application>Microsoft Office Word</Application>
  <DocSecurity>0</DocSecurity>
  <Lines>441</Lines>
  <Paragraphs>124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SynthonBV</Company>
  <LinksUpToDate>false</LinksUpToDate>
  <CharactersWithSpaces>62205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mterpstra</dc:creator>
  <cp:lastModifiedBy>Lacková, Beáta</cp:lastModifiedBy>
  <cp:revision>3</cp:revision>
  <cp:lastPrinted>2014-08-27T11:46:00Z</cp:lastPrinted>
  <dcterms:created xsi:type="dcterms:W3CDTF">2020-04-15T15:42:00Z</dcterms:created>
  <dcterms:modified xsi:type="dcterms:W3CDTF">2020-04-17T12:50:00Z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Appendix</vt:lpwstr>
  </property>
  <property fmtid="{D5CDD505-2E9C-101B-9397-08002B2CF9AE}" pid="3" name="DocSubType">
    <vt:lpwstr>General</vt:lpwstr>
  </property>
  <property fmtid="{D5CDD505-2E9C-101B-9397-08002B2CF9AE}" pid="4" name="AddressLine1">
    <vt:lpwstr/>
  </property>
  <property fmtid="{D5CDD505-2E9C-101B-9397-08002B2CF9AE}" pid="5" name="AddressLine2">
    <vt:lpwstr/>
  </property>
  <property fmtid="{D5CDD505-2E9C-101B-9397-08002B2CF9AE}" pid="6" name="AddressLine3">
    <vt:lpwstr/>
  </property>
  <property fmtid="{D5CDD505-2E9C-101B-9397-08002B2CF9AE}" pid="7" name="Prefix">
    <vt:lpwstr/>
  </property>
  <property fmtid="{D5CDD505-2E9C-101B-9397-08002B2CF9AE}" pid="8" name="Suffix">
    <vt:lpwstr/>
  </property>
  <property fmtid="{D5CDD505-2E9C-101B-9397-08002B2CF9AE}" pid="9" name="Version">
    <vt:lpwstr>3.02.04</vt:lpwstr>
  </property>
  <property fmtid="{D5CDD505-2E9C-101B-9397-08002B2CF9AE}" pid="10" name="To">
    <vt:lpwstr>empty</vt:lpwstr>
  </property>
  <property fmtid="{D5CDD505-2E9C-101B-9397-08002B2CF9AE}" pid="11" name="HeaderLine1">
    <vt:lpwstr/>
  </property>
  <property fmtid="{D5CDD505-2E9C-101B-9397-08002B2CF9AE}" pid="12" name="HeaderLine2">
    <vt:lpwstr/>
  </property>
  <property fmtid="{D5CDD505-2E9C-101B-9397-08002B2CF9AE}" pid="13" name="HeaderLine3">
    <vt:lpwstr/>
  </property>
  <property fmtid="{D5CDD505-2E9C-101B-9397-08002B2CF9AE}" pid="14" name="HeaderLine4">
    <vt:lpwstr/>
  </property>
  <property fmtid="{D5CDD505-2E9C-101B-9397-08002B2CF9AE}" pid="15" name="Applicant">
    <vt:lpwstr/>
  </property>
  <property fmtid="{D5CDD505-2E9C-101B-9397-08002B2CF9AE}" pid="16" name="Appendices">
    <vt:lpwstr>None</vt:lpwstr>
  </property>
  <property fmtid="{D5CDD505-2E9C-101B-9397-08002B2CF9AE}" pid="17" name="Concerned Member States">
    <vt:lpwstr/>
  </property>
  <property fmtid="{D5CDD505-2E9C-101B-9397-08002B2CF9AE}" pid="18" name="Initiation Number">
    <vt:lpwstr>##.####</vt:lpwstr>
  </property>
  <property fmtid="{D5CDD505-2E9C-101B-9397-08002B2CF9AE}" pid="19" name="Initiation Date">
    <vt:lpwstr>dd-mm-yy</vt:lpwstr>
  </property>
  <property fmtid="{D5CDD505-2E9C-101B-9397-08002B2CF9AE}" pid="20" name="Issue Date">
    <vt:lpwstr>draft</vt:lpwstr>
  </property>
  <property fmtid="{D5CDD505-2E9C-101B-9397-08002B2CF9AE}" pid="21" name="Special Issue Date">
    <vt:lpwstr/>
  </property>
  <property fmtid="{D5CDD505-2E9C-101B-9397-08002B2CF9AE}" pid="22" name="StartChapter">
    <vt:i4>1</vt:i4>
  </property>
  <property fmtid="{D5CDD505-2E9C-101B-9397-08002B2CF9AE}" pid="23" name="Period">
    <vt:lpwstr/>
  </property>
  <property fmtid="{D5CDD505-2E9C-101B-9397-08002B2CF9AE}" pid="24" name="Supersedes">
    <vt:lpwstr>None</vt:lpwstr>
  </property>
  <property fmtid="{D5CDD505-2E9C-101B-9397-08002B2CF9AE}" pid="25" name="Supersedes Date">
    <vt:lpwstr>new document</vt:lpwstr>
  </property>
  <property fmtid="{D5CDD505-2E9C-101B-9397-08002B2CF9AE}" pid="26" name="FormProp3">
    <vt:lpwstr/>
  </property>
  <property fmtid="{D5CDD505-2E9C-101B-9397-08002B2CF9AE}" pid="27" name="FormProp4">
    <vt:lpwstr/>
  </property>
  <property fmtid="{D5CDD505-2E9C-101B-9397-08002B2CF9AE}" pid="28" name="FormProp5">
    <vt:lpwstr/>
  </property>
  <property fmtid="{D5CDD505-2E9C-101B-9397-08002B2CF9AE}" pid="29" name="FormProp6">
    <vt:lpwstr/>
  </property>
  <property fmtid="{D5CDD505-2E9C-101B-9397-08002B2CF9AE}" pid="30" name="ChapterPrefix">
    <vt:lpwstr/>
  </property>
  <property fmtid="{D5CDD505-2E9C-101B-9397-08002B2CF9AE}" pid="31" name="ContentTypeId">
    <vt:lpwstr>0x010100668D6C473D115F4E884AA588E6284457</vt:lpwstr>
  </property>
</Properties>
</file>