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91165" w14:textId="77777777" w:rsidR="00812D16" w:rsidRPr="00A72672" w:rsidRDefault="0050541A" w:rsidP="00085939">
      <w:pPr>
        <w:spacing w:line="240" w:lineRule="auto"/>
        <w:jc w:val="center"/>
        <w:outlineLvl w:val="0"/>
      </w:pPr>
      <w:r w:rsidRPr="00A72672">
        <w:rPr>
          <w:b/>
        </w:rPr>
        <w:t>SÚHRN CHARAKTERISTICKÝCH VLASTNOSTÍ LIEKU</w:t>
      </w:r>
    </w:p>
    <w:p w14:paraId="49AD3F2F" w14:textId="77777777" w:rsidR="00033D26" w:rsidRPr="00891D76" w:rsidRDefault="00033D26" w:rsidP="00085939">
      <w:pPr>
        <w:spacing w:line="240" w:lineRule="auto"/>
      </w:pPr>
    </w:p>
    <w:p w14:paraId="165DD2B5" w14:textId="77777777" w:rsidR="00033D26" w:rsidRPr="0082445A" w:rsidRDefault="00033D26" w:rsidP="00085939">
      <w:pPr>
        <w:spacing w:line="240" w:lineRule="auto"/>
      </w:pPr>
    </w:p>
    <w:p w14:paraId="28691B0F" w14:textId="77777777" w:rsidR="00812D16" w:rsidRPr="00BF5AB0" w:rsidRDefault="0050541A" w:rsidP="00572506">
      <w:pPr>
        <w:keepNext/>
        <w:numPr>
          <w:ilvl w:val="0"/>
          <w:numId w:val="6"/>
        </w:numPr>
        <w:suppressAutoHyphens/>
        <w:spacing w:line="240" w:lineRule="auto"/>
      </w:pPr>
      <w:r w:rsidRPr="00BF5AB0">
        <w:rPr>
          <w:b/>
        </w:rPr>
        <w:t>NÁZOV LIEKU</w:t>
      </w:r>
    </w:p>
    <w:p w14:paraId="633FD5DB" w14:textId="77777777" w:rsidR="00812D16" w:rsidRPr="00BF5AB0" w:rsidRDefault="00812D16" w:rsidP="00085939">
      <w:pPr>
        <w:keepNext/>
        <w:spacing w:line="240" w:lineRule="auto"/>
      </w:pPr>
    </w:p>
    <w:p w14:paraId="22FC105F" w14:textId="2A50F6F4" w:rsidR="0045695E" w:rsidRDefault="0050541A" w:rsidP="00204AAB">
      <w:pPr>
        <w:widowControl w:val="0"/>
        <w:spacing w:line="240" w:lineRule="auto"/>
        <w:rPr>
          <w:szCs w:val="22"/>
        </w:rPr>
      </w:pPr>
      <w:r>
        <w:rPr>
          <w:szCs w:val="22"/>
        </w:rPr>
        <w:t>Dexmedetomidine Mylan</w:t>
      </w:r>
      <w:r w:rsidR="0045695E">
        <w:rPr>
          <w:szCs w:val="22"/>
        </w:rPr>
        <w:t xml:space="preserve"> </w:t>
      </w:r>
      <w:r w:rsidR="00555B69">
        <w:rPr>
          <w:szCs w:val="22"/>
        </w:rPr>
        <w:t>100 </w:t>
      </w:r>
      <w:r w:rsidR="0045695E">
        <w:rPr>
          <w:szCs w:val="22"/>
        </w:rPr>
        <w:t>mikrogramov/ml</w:t>
      </w:r>
    </w:p>
    <w:p w14:paraId="3B0CCFDF" w14:textId="77777777" w:rsidR="00812D16" w:rsidRPr="0082445A" w:rsidRDefault="0050541A" w:rsidP="00204AAB">
      <w:pPr>
        <w:widowControl w:val="0"/>
        <w:spacing w:line="240" w:lineRule="auto"/>
      </w:pPr>
      <w:r w:rsidRPr="002550D2">
        <w:rPr>
          <w:szCs w:val="22"/>
        </w:rPr>
        <w:t>infúzny koncentrát</w:t>
      </w:r>
    </w:p>
    <w:p w14:paraId="758F8329" w14:textId="77777777" w:rsidR="00812D16" w:rsidRPr="00A72672" w:rsidRDefault="00812D16" w:rsidP="00204AAB">
      <w:pPr>
        <w:spacing w:line="240" w:lineRule="auto"/>
      </w:pPr>
    </w:p>
    <w:p w14:paraId="1DA7C457" w14:textId="77777777" w:rsidR="00812D16" w:rsidRPr="00A72672" w:rsidRDefault="00812D16" w:rsidP="00204AAB">
      <w:pPr>
        <w:spacing w:line="240" w:lineRule="auto"/>
      </w:pPr>
    </w:p>
    <w:p w14:paraId="48240E9A" w14:textId="77777777" w:rsidR="00812D16" w:rsidRPr="00BF5AB0" w:rsidRDefault="0050541A" w:rsidP="00572506">
      <w:pPr>
        <w:keepNext/>
        <w:numPr>
          <w:ilvl w:val="0"/>
          <w:numId w:val="6"/>
        </w:numPr>
        <w:suppressAutoHyphens/>
        <w:spacing w:line="240" w:lineRule="auto"/>
      </w:pPr>
      <w:r w:rsidRPr="00BF5AB0">
        <w:rPr>
          <w:b/>
        </w:rPr>
        <w:t>KVALITATÍVNE A</w:t>
      </w:r>
      <w:r w:rsidR="0082445A">
        <w:rPr>
          <w:b/>
          <w:noProof/>
        </w:rPr>
        <w:t> </w:t>
      </w:r>
      <w:r w:rsidRPr="00BF5AB0">
        <w:rPr>
          <w:b/>
        </w:rPr>
        <w:t>KVANTITATÍVNE ZLOŽENIE</w:t>
      </w:r>
    </w:p>
    <w:p w14:paraId="2A511159" w14:textId="77777777" w:rsidR="00812D16" w:rsidRPr="00BF5AB0" w:rsidRDefault="00812D16" w:rsidP="00085939">
      <w:pPr>
        <w:keepNext/>
        <w:spacing w:line="240" w:lineRule="auto"/>
      </w:pPr>
    </w:p>
    <w:p w14:paraId="0313504A" w14:textId="77777777" w:rsidR="0050541A" w:rsidRPr="002550D2" w:rsidRDefault="0050541A" w:rsidP="0050541A">
      <w:pPr>
        <w:pStyle w:val="EMEAEnBodyText"/>
        <w:autoSpaceDE w:val="0"/>
        <w:autoSpaceDN w:val="0"/>
        <w:adjustRightInd w:val="0"/>
        <w:spacing w:before="0" w:after="0"/>
        <w:jc w:val="left"/>
      </w:pPr>
      <w:bookmarkStart w:id="0" w:name="_Hlk536191085"/>
      <w:r w:rsidRPr="00C00950">
        <w:t>Jeden ml koncentrátu obsahuje dexmedetomid</w:t>
      </w:r>
      <w:r>
        <w:t>íniumchlorid ekvivalentný 100 </w:t>
      </w:r>
      <w:r w:rsidRPr="00C00950">
        <w:t>mikrogramom</w:t>
      </w:r>
      <w:r w:rsidRPr="002550D2">
        <w:t xml:space="preserve"> dexmedetomid</w:t>
      </w:r>
      <w:r>
        <w:t>í</w:t>
      </w:r>
      <w:r w:rsidRPr="002550D2">
        <w:t>nu</w:t>
      </w:r>
      <w:bookmarkEnd w:id="0"/>
      <w:r w:rsidRPr="002550D2">
        <w:t>.</w:t>
      </w:r>
    </w:p>
    <w:p w14:paraId="16FBC8E7" w14:textId="77777777" w:rsidR="00812D16" w:rsidRDefault="00812D16" w:rsidP="0050541A">
      <w:pPr>
        <w:spacing w:line="240" w:lineRule="auto"/>
      </w:pPr>
    </w:p>
    <w:p w14:paraId="54570B3A" w14:textId="77777777" w:rsidR="0050541A" w:rsidRDefault="0050541A" w:rsidP="0050541A">
      <w:pPr>
        <w:pStyle w:val="EMEAEnBodyText"/>
        <w:autoSpaceDE w:val="0"/>
        <w:autoSpaceDN w:val="0"/>
        <w:adjustRightInd w:val="0"/>
        <w:spacing w:before="0" w:after="0"/>
        <w:jc w:val="left"/>
      </w:pPr>
      <w:r>
        <w:t>Jed</w:t>
      </w:r>
      <w:r w:rsidRPr="00C00950">
        <w:t>n</w:t>
      </w:r>
      <w:r>
        <w:t>a</w:t>
      </w:r>
      <w:r w:rsidRPr="00C00950">
        <w:t xml:space="preserve"> </w:t>
      </w:r>
      <w:r>
        <w:t>2 </w:t>
      </w:r>
      <w:r w:rsidRPr="00C00950">
        <w:t xml:space="preserve">ml </w:t>
      </w:r>
      <w:r>
        <w:t xml:space="preserve">injekčná liekovka </w:t>
      </w:r>
      <w:r w:rsidRPr="00C00950">
        <w:t xml:space="preserve">obsahuje </w:t>
      </w:r>
      <w:r>
        <w:t>200 mikrogramov</w:t>
      </w:r>
      <w:r w:rsidRPr="002550D2">
        <w:t xml:space="preserve"> </w:t>
      </w:r>
      <w:r w:rsidRPr="00C00950">
        <w:t>dexmedetomid</w:t>
      </w:r>
      <w:r w:rsidR="006B2C2B">
        <w:t>ínu</w:t>
      </w:r>
      <w:r w:rsidR="008C6656">
        <w:t xml:space="preserve"> </w:t>
      </w:r>
      <w:r w:rsidR="006B2C2B">
        <w:t>(čo zodpovedá 236</w:t>
      </w:r>
      <w:r>
        <w:t> </w:t>
      </w:r>
      <w:r w:rsidRPr="00C00950">
        <w:t>mikrogramom</w:t>
      </w:r>
      <w:r w:rsidR="006B2C2B" w:rsidRPr="006B2C2B">
        <w:t xml:space="preserve"> </w:t>
      </w:r>
      <w:r w:rsidR="006B2C2B" w:rsidRPr="00C00950">
        <w:t>dexmedetomid</w:t>
      </w:r>
      <w:r w:rsidR="006B2C2B">
        <w:t>íniumchloridu)</w:t>
      </w:r>
      <w:r w:rsidRPr="002550D2">
        <w:t>.</w:t>
      </w:r>
    </w:p>
    <w:p w14:paraId="2A56A197" w14:textId="77777777" w:rsidR="006B2C2B" w:rsidRDefault="006B2C2B" w:rsidP="0050541A">
      <w:pPr>
        <w:pStyle w:val="EMEAEnBodyText"/>
        <w:autoSpaceDE w:val="0"/>
        <w:autoSpaceDN w:val="0"/>
        <w:adjustRightInd w:val="0"/>
        <w:spacing w:before="0" w:after="0"/>
        <w:jc w:val="left"/>
      </w:pPr>
    </w:p>
    <w:p w14:paraId="5881D873" w14:textId="77777777" w:rsidR="0050541A" w:rsidRPr="00BF5AB0" w:rsidRDefault="006B2C2B" w:rsidP="006B2C2B">
      <w:pPr>
        <w:pStyle w:val="EMEAEnBodyText"/>
        <w:autoSpaceDE w:val="0"/>
        <w:autoSpaceDN w:val="0"/>
        <w:adjustRightInd w:val="0"/>
        <w:spacing w:before="0" w:after="0"/>
        <w:jc w:val="left"/>
      </w:pPr>
      <w:bookmarkStart w:id="1" w:name="_Hlk536191170"/>
      <w:r w:rsidRPr="002550D2">
        <w:t xml:space="preserve">Koncentrácia konečného roztoku po nariedení má </w:t>
      </w:r>
      <w:r w:rsidR="008C6656">
        <w:t>byť buď 4 mikrogramy/ml alebo 8 </w:t>
      </w:r>
      <w:r w:rsidRPr="002550D2">
        <w:t>mikrogramov/ml.</w:t>
      </w:r>
      <w:bookmarkEnd w:id="1"/>
    </w:p>
    <w:p w14:paraId="08598F45" w14:textId="77777777" w:rsidR="006B2C2B" w:rsidRPr="00E765A1" w:rsidRDefault="006B2C2B" w:rsidP="00204AAB">
      <w:pPr>
        <w:pStyle w:val="EMEAEnBodyText"/>
        <w:autoSpaceDE w:val="0"/>
        <w:autoSpaceDN w:val="0"/>
        <w:adjustRightInd w:val="0"/>
        <w:spacing w:before="0" w:after="0"/>
        <w:jc w:val="left"/>
        <w:rPr>
          <w:szCs w:val="22"/>
        </w:rPr>
      </w:pPr>
    </w:p>
    <w:p w14:paraId="6ED9F539" w14:textId="77777777" w:rsidR="00812D16" w:rsidRDefault="006B2C2B" w:rsidP="006B2C2B">
      <w:pPr>
        <w:pStyle w:val="EMEAEnBodyText"/>
        <w:keepNext/>
        <w:autoSpaceDE w:val="0"/>
        <w:autoSpaceDN w:val="0"/>
        <w:adjustRightInd w:val="0"/>
        <w:spacing w:before="0" w:after="0"/>
        <w:jc w:val="left"/>
      </w:pPr>
      <w:r>
        <w:rPr>
          <w:u w:val="single"/>
        </w:rPr>
        <w:t>Pomocná látka</w:t>
      </w:r>
      <w:r w:rsidR="0050541A" w:rsidRPr="00BF5AB0">
        <w:rPr>
          <w:u w:val="single"/>
        </w:rPr>
        <w:t xml:space="preserve"> so známym účinkom</w:t>
      </w:r>
      <w:r>
        <w:t>:</w:t>
      </w:r>
    </w:p>
    <w:p w14:paraId="60595438" w14:textId="26BFE526" w:rsidR="006B2C2B" w:rsidRDefault="00711D69" w:rsidP="00204AAB">
      <w:pPr>
        <w:spacing w:line="240" w:lineRule="auto"/>
        <w:outlineLvl w:val="0"/>
      </w:pPr>
      <w:r>
        <w:t>Jeden ml koncentrátu obsahuje približne 3,5 mg sodíka.</w:t>
      </w:r>
    </w:p>
    <w:p w14:paraId="2AC6AAF6" w14:textId="77777777" w:rsidR="00711D69" w:rsidRDefault="00711D69" w:rsidP="00204AAB">
      <w:pPr>
        <w:spacing w:line="240" w:lineRule="auto"/>
        <w:outlineLvl w:val="0"/>
      </w:pPr>
    </w:p>
    <w:p w14:paraId="5E00E0AD" w14:textId="77777777" w:rsidR="00812D16" w:rsidRPr="00BF5AB0" w:rsidRDefault="0050541A" w:rsidP="00204AAB">
      <w:pPr>
        <w:spacing w:line="240" w:lineRule="auto"/>
        <w:outlineLvl w:val="0"/>
      </w:pPr>
      <w:r w:rsidRPr="00BF5AB0">
        <w:t>Úplný zoznam p</w:t>
      </w:r>
      <w:r w:rsidR="006B2C2B">
        <w:t>omocných látok, pozri časť 6.1.</w:t>
      </w:r>
    </w:p>
    <w:p w14:paraId="62B8421C" w14:textId="77777777" w:rsidR="00812D16" w:rsidRPr="00891D76" w:rsidRDefault="00812D16" w:rsidP="00204AAB">
      <w:pPr>
        <w:spacing w:line="240" w:lineRule="auto"/>
      </w:pPr>
    </w:p>
    <w:p w14:paraId="51CD1046" w14:textId="77777777" w:rsidR="00812D16" w:rsidRPr="0082445A" w:rsidRDefault="00812D16" w:rsidP="00204AAB">
      <w:pPr>
        <w:spacing w:line="240" w:lineRule="auto"/>
      </w:pPr>
    </w:p>
    <w:p w14:paraId="42F6410B" w14:textId="77777777" w:rsidR="00812D16" w:rsidRPr="00BF5AB0" w:rsidRDefault="0050541A" w:rsidP="00572506">
      <w:pPr>
        <w:keepNext/>
        <w:numPr>
          <w:ilvl w:val="0"/>
          <w:numId w:val="6"/>
        </w:numPr>
        <w:suppressAutoHyphens/>
        <w:spacing w:line="240" w:lineRule="auto"/>
        <w:rPr>
          <w:caps/>
        </w:rPr>
      </w:pPr>
      <w:r w:rsidRPr="00BF5AB0">
        <w:rPr>
          <w:b/>
        </w:rPr>
        <w:t>LIEKOVÁ FORMA</w:t>
      </w:r>
    </w:p>
    <w:p w14:paraId="7C2A273F" w14:textId="77777777" w:rsidR="00812D16" w:rsidRPr="00BF5AB0" w:rsidRDefault="00812D16" w:rsidP="00085939">
      <w:pPr>
        <w:keepNext/>
        <w:spacing w:line="240" w:lineRule="auto"/>
      </w:pPr>
    </w:p>
    <w:p w14:paraId="78309D6F" w14:textId="77777777" w:rsidR="009B3239" w:rsidRPr="002550D2" w:rsidRDefault="009B3239" w:rsidP="009B3239">
      <w:bookmarkStart w:id="2" w:name="_Hlk536191208"/>
      <w:r w:rsidRPr="002550D2">
        <w:t>Infúzny koncentrát (sterilný koncentrát).</w:t>
      </w:r>
    </w:p>
    <w:p w14:paraId="7C14ADC5" w14:textId="77777777" w:rsidR="009B3239" w:rsidRDefault="009B3239" w:rsidP="009B3239">
      <w:r w:rsidRPr="002550D2">
        <w:t>Ko</w:t>
      </w:r>
      <w:r>
        <w:t>ncentrát je číry, bezfarebný</w:t>
      </w:r>
      <w:r w:rsidRPr="002550D2">
        <w:t xml:space="preserve"> roztok, </w:t>
      </w:r>
    </w:p>
    <w:p w14:paraId="405B67E9" w14:textId="77777777" w:rsidR="00812D16" w:rsidRPr="00BF5AB0" w:rsidRDefault="009B3239" w:rsidP="009B3239">
      <w:r w:rsidRPr="002550D2">
        <w:t>pH 4,5-7,0.</w:t>
      </w:r>
      <w:bookmarkEnd w:id="2"/>
    </w:p>
    <w:p w14:paraId="0DAE2D8A" w14:textId="77777777" w:rsidR="00812D16" w:rsidRPr="00891D76" w:rsidRDefault="00812D16" w:rsidP="00085939">
      <w:pPr>
        <w:spacing w:line="240" w:lineRule="auto"/>
      </w:pPr>
    </w:p>
    <w:p w14:paraId="6E15BD14" w14:textId="77777777" w:rsidR="00812D16" w:rsidRPr="0082445A" w:rsidRDefault="00812D16" w:rsidP="00204AAB">
      <w:pPr>
        <w:spacing w:line="240" w:lineRule="auto"/>
      </w:pPr>
    </w:p>
    <w:p w14:paraId="5303A013" w14:textId="77777777" w:rsidR="00812D16" w:rsidRPr="00BF5AB0" w:rsidRDefault="0050541A" w:rsidP="00572506">
      <w:pPr>
        <w:keepNext/>
        <w:numPr>
          <w:ilvl w:val="0"/>
          <w:numId w:val="6"/>
        </w:numPr>
        <w:suppressAutoHyphens/>
        <w:spacing w:line="240" w:lineRule="auto"/>
        <w:rPr>
          <w:caps/>
        </w:rPr>
      </w:pPr>
      <w:r w:rsidRPr="00BF5AB0">
        <w:rPr>
          <w:b/>
        </w:rPr>
        <w:t>KLINICKÉ ÚDAJE</w:t>
      </w:r>
    </w:p>
    <w:p w14:paraId="4D20E3D3" w14:textId="77777777" w:rsidR="00812D16" w:rsidRPr="00BF5AB0" w:rsidRDefault="00812D16" w:rsidP="00085939">
      <w:pPr>
        <w:keepNext/>
        <w:spacing w:line="240" w:lineRule="auto"/>
      </w:pPr>
    </w:p>
    <w:p w14:paraId="01D0F737" w14:textId="77777777" w:rsidR="00812D16" w:rsidRPr="00BF5AB0" w:rsidRDefault="0050541A" w:rsidP="00572506">
      <w:pPr>
        <w:keepNext/>
        <w:numPr>
          <w:ilvl w:val="1"/>
          <w:numId w:val="6"/>
        </w:numPr>
        <w:spacing w:line="240" w:lineRule="auto"/>
        <w:outlineLvl w:val="0"/>
      </w:pPr>
      <w:r w:rsidRPr="00BF5AB0">
        <w:rPr>
          <w:b/>
        </w:rPr>
        <w:t>Terapeutické indikácie</w:t>
      </w:r>
    </w:p>
    <w:p w14:paraId="48A89920" w14:textId="77777777" w:rsidR="00812D16" w:rsidRPr="00BF5AB0" w:rsidRDefault="00812D16" w:rsidP="00085939">
      <w:pPr>
        <w:keepNext/>
        <w:spacing w:line="240" w:lineRule="auto"/>
      </w:pPr>
    </w:p>
    <w:p w14:paraId="0707378C" w14:textId="77777777" w:rsidR="009B3239" w:rsidRPr="002550D2" w:rsidRDefault="009B3239" w:rsidP="009B3239">
      <w:pPr>
        <w:rPr>
          <w:szCs w:val="22"/>
        </w:rPr>
      </w:pPr>
      <w:r w:rsidRPr="002550D2">
        <w:rPr>
          <w:szCs w:val="22"/>
        </w:rPr>
        <w:t>Na sedáciu dospelých pacientov na JIS (jednotke intenzívnej starostlivosti), ktorí si vyžadujú úroveň sedácie, ktorá nie je hlbšia ako vzbudenie v reakcii na verbálnu stimuláciu (zodpovedajúca hodnote 0</w:t>
      </w:r>
      <w:r>
        <w:rPr>
          <w:szCs w:val="22"/>
        </w:rPr>
        <w:t> </w:t>
      </w:r>
      <w:r w:rsidRPr="002550D2">
        <w:rPr>
          <w:szCs w:val="22"/>
        </w:rPr>
        <w:t>až -3 na stupnici RASS (Richmond Agitation-Sedation Scale)).</w:t>
      </w:r>
    </w:p>
    <w:p w14:paraId="3AEAB4F3" w14:textId="77777777" w:rsidR="009B3239" w:rsidRPr="002550D2" w:rsidRDefault="009B3239" w:rsidP="009B3239">
      <w:pPr>
        <w:rPr>
          <w:szCs w:val="22"/>
        </w:rPr>
      </w:pPr>
    </w:p>
    <w:p w14:paraId="592CA5DE" w14:textId="77777777" w:rsidR="009B3239" w:rsidRPr="002550D2" w:rsidRDefault="009B3239" w:rsidP="009B3239">
      <w:pPr>
        <w:rPr>
          <w:szCs w:val="22"/>
        </w:rPr>
      </w:pPr>
      <w:r w:rsidRPr="002550D2">
        <w:rPr>
          <w:szCs w:val="22"/>
        </w:rPr>
        <w:t xml:space="preserve">Na sedáciu neintubovaných dospelých pacientov pred a/alebo počas diagnostických alebo chirurgických výkonov, pri ktorých sa vyžaduje sedácia, t. j. procedurálna sedácia / sedácia </w:t>
      </w:r>
      <w:r>
        <w:rPr>
          <w:szCs w:val="22"/>
        </w:rPr>
        <w:t>pri vedomí.</w:t>
      </w:r>
    </w:p>
    <w:p w14:paraId="20E41C74" w14:textId="77777777" w:rsidR="00812D16" w:rsidRPr="00A72672" w:rsidRDefault="00812D16" w:rsidP="00204AAB">
      <w:pPr>
        <w:spacing w:line="240" w:lineRule="auto"/>
      </w:pPr>
    </w:p>
    <w:p w14:paraId="6A2449B5" w14:textId="77777777" w:rsidR="00812D16" w:rsidRPr="00BF5AB0" w:rsidRDefault="0050541A" w:rsidP="00572506">
      <w:pPr>
        <w:keepNext/>
        <w:numPr>
          <w:ilvl w:val="1"/>
          <w:numId w:val="6"/>
        </w:numPr>
        <w:spacing w:line="240" w:lineRule="auto"/>
        <w:outlineLvl w:val="0"/>
        <w:rPr>
          <w:b/>
        </w:rPr>
      </w:pPr>
      <w:r w:rsidRPr="00BF5AB0">
        <w:rPr>
          <w:b/>
        </w:rPr>
        <w:t>Dávkovanie a spôsob podávania</w:t>
      </w:r>
    </w:p>
    <w:p w14:paraId="0D2C8E1B" w14:textId="77777777" w:rsidR="00812D16" w:rsidRPr="00BF5AB0" w:rsidRDefault="00812D16" w:rsidP="00085939">
      <w:pPr>
        <w:keepNext/>
        <w:spacing w:line="240" w:lineRule="auto"/>
      </w:pPr>
    </w:p>
    <w:p w14:paraId="01546420" w14:textId="77777777" w:rsidR="009B3239" w:rsidRPr="002550D2" w:rsidRDefault="009B3239" w:rsidP="009B3239">
      <w:pPr>
        <w:rPr>
          <w:b/>
          <w:szCs w:val="22"/>
        </w:rPr>
      </w:pPr>
      <w:r w:rsidRPr="002550D2">
        <w:rPr>
          <w:b/>
          <w:szCs w:val="22"/>
        </w:rPr>
        <w:t>Na sedáciu dospelých pacientov na JIS (jednotke intenzívnej starostlivosti), ktorí si vyžadujú úroveň sedácie, ktorá nie je hlbšia ako vzbudenie v reakcii na verbálnu stim</w:t>
      </w:r>
      <w:r w:rsidR="005628B4">
        <w:rPr>
          <w:b/>
          <w:szCs w:val="22"/>
        </w:rPr>
        <w:t>uláciu (zodpovedajúca hodnote 0 </w:t>
      </w:r>
      <w:r w:rsidRPr="002550D2">
        <w:rPr>
          <w:b/>
          <w:szCs w:val="22"/>
        </w:rPr>
        <w:t>až -3 na stupnici RASS (Richmond Agitation-Sedation Scale)).</w:t>
      </w:r>
    </w:p>
    <w:p w14:paraId="1D91C996" w14:textId="77777777" w:rsidR="009B3239" w:rsidRPr="002550D2" w:rsidRDefault="009B3239" w:rsidP="009B3239">
      <w:pPr>
        <w:rPr>
          <w:szCs w:val="22"/>
        </w:rPr>
      </w:pPr>
    </w:p>
    <w:p w14:paraId="7CEF4E8A" w14:textId="77777777" w:rsidR="009B3239" w:rsidRDefault="009B3239" w:rsidP="009B3239">
      <w:pPr>
        <w:rPr>
          <w:szCs w:val="22"/>
        </w:rPr>
      </w:pPr>
      <w:r w:rsidRPr="002550D2">
        <w:rPr>
          <w:szCs w:val="22"/>
        </w:rPr>
        <w:t xml:space="preserve">Len na použitie v nemocnici. </w:t>
      </w:r>
      <w:r w:rsidR="005628B4">
        <w:rPr>
          <w:szCs w:val="22"/>
        </w:rPr>
        <w:t>Dexmedetomidine Mylan</w:t>
      </w:r>
      <w:r w:rsidR="005628B4" w:rsidRPr="002550D2">
        <w:rPr>
          <w:szCs w:val="22"/>
        </w:rPr>
        <w:t xml:space="preserve"> </w:t>
      </w:r>
      <w:r w:rsidRPr="002550D2">
        <w:rPr>
          <w:szCs w:val="22"/>
        </w:rPr>
        <w:t xml:space="preserve">majú podávať zdravotnícki pracovníci so skúsenosťami s liečbou pacientov vyžadujúcich intenzívnu starostlivosť. </w:t>
      </w:r>
    </w:p>
    <w:p w14:paraId="03A501AE" w14:textId="77777777" w:rsidR="009B3239" w:rsidRPr="002550D2" w:rsidRDefault="009B3239" w:rsidP="009B3239">
      <w:pPr>
        <w:rPr>
          <w:szCs w:val="22"/>
        </w:rPr>
      </w:pPr>
    </w:p>
    <w:p w14:paraId="6C3E1D8A" w14:textId="77777777" w:rsidR="00812D16" w:rsidRPr="0082445A" w:rsidRDefault="0050541A" w:rsidP="00085939">
      <w:pPr>
        <w:keepNext/>
        <w:spacing w:line="240" w:lineRule="auto"/>
        <w:rPr>
          <w:u w:val="single"/>
        </w:rPr>
      </w:pPr>
      <w:r w:rsidRPr="00891D76">
        <w:rPr>
          <w:u w:val="single"/>
        </w:rPr>
        <w:lastRenderedPageBreak/>
        <w:t>Dávkovanie</w:t>
      </w:r>
    </w:p>
    <w:p w14:paraId="26003337" w14:textId="77777777" w:rsidR="00812D16" w:rsidRDefault="00812D16" w:rsidP="00085939">
      <w:pPr>
        <w:keepNext/>
        <w:spacing w:line="240" w:lineRule="auto"/>
      </w:pPr>
    </w:p>
    <w:p w14:paraId="70B99706" w14:textId="77777777" w:rsidR="009B3239" w:rsidRDefault="009B3239" w:rsidP="00085939">
      <w:pPr>
        <w:keepNext/>
        <w:spacing w:line="240" w:lineRule="auto"/>
        <w:rPr>
          <w:szCs w:val="22"/>
        </w:rPr>
      </w:pPr>
      <w:r w:rsidRPr="002550D2">
        <w:rPr>
          <w:szCs w:val="22"/>
        </w:rPr>
        <w:t>Pac</w:t>
      </w:r>
      <w:r w:rsidR="005628B4">
        <w:rPr>
          <w:szCs w:val="22"/>
        </w:rPr>
        <w:t>ienti, ktorí sú už intubovaní a </w:t>
      </w:r>
      <w:r w:rsidRPr="002550D2">
        <w:rPr>
          <w:szCs w:val="22"/>
        </w:rPr>
        <w:t>dostali sedatívum, môžu byť prestavení na dexmedetomid</w:t>
      </w:r>
      <w:r>
        <w:rPr>
          <w:szCs w:val="22"/>
        </w:rPr>
        <w:t>í</w:t>
      </w:r>
      <w:r w:rsidR="005628B4">
        <w:rPr>
          <w:szCs w:val="22"/>
        </w:rPr>
        <w:t>n so </w:t>
      </w:r>
      <w:r w:rsidRPr="002550D2">
        <w:rPr>
          <w:szCs w:val="22"/>
        </w:rPr>
        <w:t>zač</w:t>
      </w:r>
      <w:r w:rsidR="005628B4">
        <w:rPr>
          <w:szCs w:val="22"/>
        </w:rPr>
        <w:t>iatočnou rýchlosťou infúzie 0,7 </w:t>
      </w:r>
      <w:r w:rsidRPr="002550D2">
        <w:rPr>
          <w:szCs w:val="22"/>
        </w:rPr>
        <w:t>mikrogram</w:t>
      </w:r>
      <w:r>
        <w:rPr>
          <w:szCs w:val="22"/>
        </w:rPr>
        <w:t>u</w:t>
      </w:r>
      <w:r w:rsidRPr="002550D2">
        <w:rPr>
          <w:szCs w:val="22"/>
        </w:rPr>
        <w:t xml:space="preserve">/kg/h, ktorá sa potom môže postupne upravovať </w:t>
      </w:r>
      <w:r w:rsidR="005628B4">
        <w:rPr>
          <w:szCs w:val="22"/>
        </w:rPr>
        <w:t>v rozmedzí dávky od 0,2 do 1,4 </w:t>
      </w:r>
      <w:r w:rsidRPr="002550D2">
        <w:rPr>
          <w:szCs w:val="22"/>
        </w:rPr>
        <w:t>mikrogramu/kg/h, aby sa dosiahla požadovaná úroveň sedácie v zá</w:t>
      </w:r>
      <w:r w:rsidR="005628B4">
        <w:rPr>
          <w:szCs w:val="22"/>
        </w:rPr>
        <w:t>vislosti od reakcie pacienta. U </w:t>
      </w:r>
      <w:r w:rsidRPr="002550D2">
        <w:rPr>
          <w:szCs w:val="22"/>
        </w:rPr>
        <w:t xml:space="preserve">oslabených pacientov </w:t>
      </w:r>
      <w:r>
        <w:rPr>
          <w:szCs w:val="22"/>
        </w:rPr>
        <w:t>je treba</w:t>
      </w:r>
      <w:r w:rsidRPr="002550D2">
        <w:rPr>
          <w:szCs w:val="22"/>
        </w:rPr>
        <w:t xml:space="preserve"> zvážiť nižšiu začiatočnú rýchlosť</w:t>
      </w:r>
      <w:r>
        <w:rPr>
          <w:szCs w:val="22"/>
        </w:rPr>
        <w:t xml:space="preserve"> </w:t>
      </w:r>
      <w:r w:rsidRPr="002550D2">
        <w:rPr>
          <w:szCs w:val="22"/>
        </w:rPr>
        <w:t>infúzie. Dexmedetomid</w:t>
      </w:r>
      <w:r>
        <w:rPr>
          <w:szCs w:val="22"/>
        </w:rPr>
        <w:t>í</w:t>
      </w:r>
      <w:r w:rsidR="005628B4">
        <w:rPr>
          <w:szCs w:val="22"/>
        </w:rPr>
        <w:t>n je veľmi silný a </w:t>
      </w:r>
      <w:r w:rsidRPr="002550D2">
        <w:rPr>
          <w:szCs w:val="22"/>
        </w:rPr>
        <w:t xml:space="preserve">rýchlosť infúzie sa uvádza za </w:t>
      </w:r>
      <w:r w:rsidRPr="002550D2">
        <w:rPr>
          <w:b/>
          <w:szCs w:val="22"/>
        </w:rPr>
        <w:t>hodinu</w:t>
      </w:r>
      <w:r w:rsidRPr="002550D2">
        <w:rPr>
          <w:szCs w:val="22"/>
        </w:rPr>
        <w:t>. Po úprave dávky sa nový rovnovážny stav úrovne sedácie nemusí dosiahnuť až do jednej hodiny.</w:t>
      </w:r>
    </w:p>
    <w:p w14:paraId="1AE3BD6A" w14:textId="77777777" w:rsidR="009B3239" w:rsidRDefault="009B3239" w:rsidP="005628B4">
      <w:pPr>
        <w:spacing w:line="240" w:lineRule="auto"/>
        <w:rPr>
          <w:szCs w:val="22"/>
        </w:rPr>
      </w:pPr>
    </w:p>
    <w:p w14:paraId="2DE64547" w14:textId="77777777" w:rsidR="009B3239" w:rsidRPr="002550D2" w:rsidRDefault="009B3239" w:rsidP="005628B4">
      <w:pPr>
        <w:keepNext/>
        <w:autoSpaceDE w:val="0"/>
        <w:autoSpaceDN w:val="0"/>
        <w:adjustRightInd w:val="0"/>
        <w:rPr>
          <w:i/>
          <w:szCs w:val="22"/>
        </w:rPr>
      </w:pPr>
      <w:r w:rsidRPr="002550D2">
        <w:rPr>
          <w:i/>
          <w:szCs w:val="22"/>
        </w:rPr>
        <w:t>Maximálna dávka</w:t>
      </w:r>
    </w:p>
    <w:p w14:paraId="75FC905A" w14:textId="77777777" w:rsidR="005628B4" w:rsidRDefault="009B3239" w:rsidP="009B3239">
      <w:pPr>
        <w:autoSpaceDE w:val="0"/>
        <w:autoSpaceDN w:val="0"/>
        <w:adjustRightInd w:val="0"/>
        <w:rPr>
          <w:szCs w:val="22"/>
        </w:rPr>
      </w:pPr>
      <w:r w:rsidRPr="002550D2">
        <w:rPr>
          <w:szCs w:val="22"/>
        </w:rPr>
        <w:t>Maximálna dávka 1,</w:t>
      </w:r>
      <w:r w:rsidR="005628B4">
        <w:rPr>
          <w:szCs w:val="22"/>
        </w:rPr>
        <w:t>4 </w:t>
      </w:r>
      <w:r w:rsidRPr="002550D2">
        <w:rPr>
          <w:szCs w:val="22"/>
        </w:rPr>
        <w:t>mikrogramu/kg/h sa nemá prekročiť. Pacienti, ktorí nedosiahnu adekvátnu úroveň sedácie po maximálnej dávke dexmedetomid</w:t>
      </w:r>
      <w:r>
        <w:rPr>
          <w:szCs w:val="22"/>
        </w:rPr>
        <w:t>í</w:t>
      </w:r>
      <w:r w:rsidRPr="002550D2">
        <w:rPr>
          <w:szCs w:val="22"/>
        </w:rPr>
        <w:t>nu, sa majú prest</w:t>
      </w:r>
      <w:r w:rsidR="005628B4">
        <w:rPr>
          <w:szCs w:val="22"/>
        </w:rPr>
        <w:t>aviť na alternatívne sedatívum.</w:t>
      </w:r>
    </w:p>
    <w:p w14:paraId="753ACB8C" w14:textId="77777777" w:rsidR="005628B4" w:rsidRDefault="005628B4" w:rsidP="009B3239">
      <w:pPr>
        <w:autoSpaceDE w:val="0"/>
        <w:autoSpaceDN w:val="0"/>
        <w:adjustRightInd w:val="0"/>
        <w:rPr>
          <w:szCs w:val="22"/>
        </w:rPr>
      </w:pPr>
    </w:p>
    <w:p w14:paraId="6B9FA7A1" w14:textId="77777777" w:rsidR="009B3239" w:rsidRPr="002550D2" w:rsidRDefault="009B3239" w:rsidP="009B3239">
      <w:pPr>
        <w:autoSpaceDE w:val="0"/>
        <w:autoSpaceDN w:val="0"/>
        <w:adjustRightInd w:val="0"/>
        <w:rPr>
          <w:szCs w:val="22"/>
        </w:rPr>
      </w:pPr>
      <w:r w:rsidRPr="002550D2">
        <w:rPr>
          <w:szCs w:val="22"/>
        </w:rPr>
        <w:t>Použitie nasycovacej dávky dexmedetomid</w:t>
      </w:r>
      <w:r>
        <w:rPr>
          <w:szCs w:val="22"/>
        </w:rPr>
        <w:t>í</w:t>
      </w:r>
      <w:r w:rsidRPr="002550D2">
        <w:rPr>
          <w:szCs w:val="22"/>
        </w:rPr>
        <w:t xml:space="preserve">nu na sedáciu na JIS sa neodporúča, spája sa so zvýšeným </w:t>
      </w:r>
      <w:r w:rsidR="005628B4">
        <w:rPr>
          <w:szCs w:val="22"/>
        </w:rPr>
        <w:t>výskytom nežiaducich účinkov. V </w:t>
      </w:r>
      <w:r w:rsidRPr="002550D2">
        <w:rPr>
          <w:szCs w:val="22"/>
        </w:rPr>
        <w:t>prípade potreby možno podať propofol alebo midazolam, až kým sa nedosiahnu klinické účinky dexmedetomid</w:t>
      </w:r>
      <w:r>
        <w:rPr>
          <w:szCs w:val="22"/>
        </w:rPr>
        <w:t>í</w:t>
      </w:r>
      <w:r w:rsidR="005628B4">
        <w:rPr>
          <w:szCs w:val="22"/>
        </w:rPr>
        <w:t>nu.</w:t>
      </w:r>
    </w:p>
    <w:p w14:paraId="66EEA95F" w14:textId="77777777" w:rsidR="009B3239" w:rsidRPr="002550D2" w:rsidRDefault="009B3239" w:rsidP="009B3239">
      <w:pPr>
        <w:rPr>
          <w:szCs w:val="22"/>
        </w:rPr>
      </w:pPr>
    </w:p>
    <w:p w14:paraId="6CE49247" w14:textId="77777777" w:rsidR="009B3239" w:rsidRPr="002550D2" w:rsidRDefault="009B3239" w:rsidP="005628B4">
      <w:pPr>
        <w:keepNext/>
        <w:rPr>
          <w:szCs w:val="22"/>
        </w:rPr>
      </w:pPr>
      <w:r w:rsidRPr="002550D2">
        <w:rPr>
          <w:i/>
          <w:szCs w:val="22"/>
        </w:rPr>
        <w:t>Dĺžka podávania</w:t>
      </w:r>
    </w:p>
    <w:p w14:paraId="17CC95CC" w14:textId="77777777" w:rsidR="009B3239" w:rsidRDefault="005628B4" w:rsidP="009B3239">
      <w:pPr>
        <w:autoSpaceDE w:val="0"/>
        <w:autoSpaceDN w:val="0"/>
        <w:adjustRightInd w:val="0"/>
        <w:rPr>
          <w:szCs w:val="22"/>
        </w:rPr>
      </w:pPr>
      <w:r>
        <w:rPr>
          <w:szCs w:val="22"/>
        </w:rPr>
        <w:t>Nie sú žiadne skúsenosti s </w:t>
      </w:r>
      <w:r w:rsidR="009B3239" w:rsidRPr="002550D2">
        <w:rPr>
          <w:szCs w:val="22"/>
        </w:rPr>
        <w:t>používaním dexmedetomid</w:t>
      </w:r>
      <w:r w:rsidR="009B3239">
        <w:rPr>
          <w:szCs w:val="22"/>
        </w:rPr>
        <w:t>í</w:t>
      </w:r>
      <w:r>
        <w:rPr>
          <w:szCs w:val="22"/>
        </w:rPr>
        <w:t>nu dlhšie ako 14 </w:t>
      </w:r>
      <w:r w:rsidR="009B3239" w:rsidRPr="002550D2">
        <w:rPr>
          <w:szCs w:val="22"/>
        </w:rPr>
        <w:t>dní. Používanie tohto lieku dlhšie, ako je toto obdobie, sa má pravidelne prehodnocovať.</w:t>
      </w:r>
    </w:p>
    <w:p w14:paraId="1E9B6B15" w14:textId="77777777" w:rsidR="009B3239" w:rsidRDefault="009B3239" w:rsidP="009B3239">
      <w:pPr>
        <w:autoSpaceDE w:val="0"/>
        <w:autoSpaceDN w:val="0"/>
        <w:adjustRightInd w:val="0"/>
        <w:rPr>
          <w:szCs w:val="22"/>
        </w:rPr>
      </w:pPr>
    </w:p>
    <w:p w14:paraId="4B67D267" w14:textId="77777777" w:rsidR="009B3239" w:rsidRPr="002550D2" w:rsidRDefault="009B3239" w:rsidP="009B3239">
      <w:pPr>
        <w:rPr>
          <w:b/>
          <w:szCs w:val="22"/>
        </w:rPr>
      </w:pPr>
      <w:r w:rsidRPr="002550D2">
        <w:rPr>
          <w:b/>
          <w:szCs w:val="22"/>
        </w:rPr>
        <w:t xml:space="preserve">Na sedáciu neintubovaných dospelých pacientov pred a/alebo počas diagnostických alebo chirurgických výkonov, pri ktorých sa vyžaduje sedácia, t. j. procedurálna sedácia / sedácia pri </w:t>
      </w:r>
      <w:r w:rsidR="005628B4">
        <w:rPr>
          <w:b/>
          <w:szCs w:val="22"/>
        </w:rPr>
        <w:t>vedomí.</w:t>
      </w:r>
    </w:p>
    <w:p w14:paraId="68FFA816" w14:textId="77777777" w:rsidR="009B3239" w:rsidRPr="002550D2" w:rsidRDefault="009B3239" w:rsidP="009B3239">
      <w:pPr>
        <w:autoSpaceDE w:val="0"/>
        <w:autoSpaceDN w:val="0"/>
        <w:adjustRightInd w:val="0"/>
        <w:rPr>
          <w:szCs w:val="22"/>
        </w:rPr>
      </w:pPr>
    </w:p>
    <w:p w14:paraId="32E038B2" w14:textId="77777777" w:rsidR="009B3239" w:rsidRPr="009B3239" w:rsidRDefault="009B3239" w:rsidP="009B3239">
      <w:pPr>
        <w:autoSpaceDE w:val="0"/>
        <w:autoSpaceDN w:val="0"/>
        <w:adjustRightInd w:val="0"/>
        <w:rPr>
          <w:szCs w:val="22"/>
          <w:lang w:eastAsia="cs-CZ"/>
        </w:rPr>
      </w:pPr>
      <w:r w:rsidRPr="009B3239">
        <w:rPr>
          <w:szCs w:val="22"/>
          <w:lang w:eastAsia="cs-CZ"/>
        </w:rPr>
        <w:t>Dexmedetomidín majú podávať len zdravotnícki praco</w:t>
      </w:r>
      <w:r w:rsidR="00AB51CC">
        <w:rPr>
          <w:szCs w:val="22"/>
          <w:lang w:eastAsia="cs-CZ"/>
        </w:rPr>
        <w:t>vníci, ktorí sú kvalifikovaní v </w:t>
      </w:r>
      <w:r w:rsidRPr="009B3239">
        <w:rPr>
          <w:szCs w:val="22"/>
          <w:lang w:eastAsia="cs-CZ"/>
        </w:rPr>
        <w:t>poskytovaní anestetickej starostlivosti pacientom na operačnej sále alebo počas diagnostických výkonov. Ak sa dexmedetomidín podáva na sedáciu pri vedomí, je potrebné, aby pacientov nepretržite sledovali osoby, ktoré sa nezúčastňujú vedenia diagnostických alebo chirurgických výkonov. Pacientov je potrebné nepretržite sledovať kvôli výskytu skorých prejavov hypotenzie, hypertenzie, bradykardie, respiračnej depresie, obštrukcie dýchacích ciest, apnoe, dyspnoe a/alebo desatur</w:t>
      </w:r>
      <w:r w:rsidR="00AB51CC">
        <w:rPr>
          <w:szCs w:val="22"/>
          <w:lang w:eastAsia="cs-CZ"/>
        </w:rPr>
        <w:t>ácie kyslíkom (pozri časť 4.8).</w:t>
      </w:r>
    </w:p>
    <w:p w14:paraId="5EEBE34C" w14:textId="77777777" w:rsidR="009B3239" w:rsidRPr="009B3239" w:rsidRDefault="009B3239" w:rsidP="009B3239">
      <w:pPr>
        <w:autoSpaceDE w:val="0"/>
        <w:autoSpaceDN w:val="0"/>
        <w:adjustRightInd w:val="0"/>
        <w:rPr>
          <w:szCs w:val="22"/>
          <w:lang w:eastAsia="cs-CZ"/>
        </w:rPr>
      </w:pPr>
    </w:p>
    <w:p w14:paraId="1A7BC443" w14:textId="77777777" w:rsidR="009B3239" w:rsidRPr="009B3239" w:rsidRDefault="00AB51CC" w:rsidP="009B3239">
      <w:pPr>
        <w:autoSpaceDE w:val="0"/>
        <w:autoSpaceDN w:val="0"/>
        <w:adjustRightInd w:val="0"/>
        <w:rPr>
          <w:szCs w:val="22"/>
          <w:lang w:eastAsia="cs-CZ"/>
        </w:rPr>
      </w:pPr>
      <w:r>
        <w:rPr>
          <w:szCs w:val="22"/>
          <w:lang w:eastAsia="cs-CZ"/>
        </w:rPr>
        <w:t>Okamžite má byť k </w:t>
      </w:r>
      <w:r w:rsidR="009B3239" w:rsidRPr="009B3239">
        <w:rPr>
          <w:szCs w:val="22"/>
          <w:lang w:eastAsia="cs-CZ"/>
        </w:rPr>
        <w:t xml:space="preserve">dispozícii doplnkový </w:t>
      </w:r>
      <w:r>
        <w:rPr>
          <w:szCs w:val="22"/>
          <w:lang w:eastAsia="cs-CZ"/>
        </w:rPr>
        <w:t>kyslík, ktorý sa má poskytnúť v </w:t>
      </w:r>
      <w:r w:rsidR="009B3239" w:rsidRPr="009B3239">
        <w:rPr>
          <w:szCs w:val="22"/>
          <w:lang w:eastAsia="cs-CZ"/>
        </w:rPr>
        <w:t>indikovaných prípadoch. Saturácia kyslíkom sa má sledovať pomocou pulznej oxymetrie.</w:t>
      </w:r>
    </w:p>
    <w:p w14:paraId="1924F62A" w14:textId="77777777" w:rsidR="009B3239" w:rsidRPr="009B3239" w:rsidRDefault="009B3239" w:rsidP="009B3239">
      <w:pPr>
        <w:autoSpaceDE w:val="0"/>
        <w:autoSpaceDN w:val="0"/>
        <w:adjustRightInd w:val="0"/>
        <w:rPr>
          <w:szCs w:val="22"/>
          <w:lang w:eastAsia="cs-CZ"/>
        </w:rPr>
      </w:pPr>
    </w:p>
    <w:p w14:paraId="3A046919" w14:textId="77777777" w:rsidR="009B3239" w:rsidRDefault="009B3239" w:rsidP="009B3239">
      <w:pPr>
        <w:autoSpaceDE w:val="0"/>
        <w:autoSpaceDN w:val="0"/>
        <w:adjustRightInd w:val="0"/>
        <w:rPr>
          <w:szCs w:val="22"/>
          <w:lang w:eastAsia="cs-CZ"/>
        </w:rPr>
      </w:pPr>
      <w:r w:rsidRPr="009B3239">
        <w:rPr>
          <w:szCs w:val="22"/>
          <w:lang w:eastAsia="cs-CZ"/>
        </w:rPr>
        <w:t>Dexmedetomidín sa podáva ako nasycovacia infúzia, po ktorej nasleduje udržiavacia infúzia. Na dosiahnutie požadované</w:t>
      </w:r>
      <w:r w:rsidR="00AB51CC">
        <w:rPr>
          <w:szCs w:val="22"/>
          <w:lang w:eastAsia="cs-CZ"/>
        </w:rPr>
        <w:t>ho klinického účinku môže byť v </w:t>
      </w:r>
      <w:r w:rsidRPr="009B3239">
        <w:rPr>
          <w:szCs w:val="22"/>
          <w:lang w:eastAsia="cs-CZ"/>
        </w:rPr>
        <w:t>závislosti od výkonu potrebná súbežná lokálna anestézia alebo analgézia. Doplnková analgézia alebo sedatíva (napr. opioidy, midazolam alebo propofol) sa odporúčajú v</w:t>
      </w:r>
      <w:r w:rsidR="00AB51CC">
        <w:rPr>
          <w:szCs w:val="22"/>
          <w:lang w:eastAsia="cs-CZ"/>
        </w:rPr>
        <w:t> </w:t>
      </w:r>
      <w:r w:rsidRPr="009B3239">
        <w:rPr>
          <w:szCs w:val="22"/>
          <w:lang w:eastAsia="cs-CZ"/>
        </w:rPr>
        <w:t xml:space="preserve">prípade bolestivých výkonov alebo ak je potrebná väčšia hĺbka sedácie. Farmakokinetický distribučný polčas dexmedetomidínu sa odhaduje na </w:t>
      </w:r>
      <w:r w:rsidR="00AB51CC">
        <w:rPr>
          <w:szCs w:val="22"/>
          <w:lang w:eastAsia="cs-CZ"/>
        </w:rPr>
        <w:t>približne 6 </w:t>
      </w:r>
      <w:r w:rsidRPr="009B3239">
        <w:rPr>
          <w:szCs w:val="22"/>
          <w:lang w:eastAsia="cs-CZ"/>
        </w:rPr>
        <w:t>minút</w:t>
      </w:r>
      <w:r w:rsidR="00AB51CC">
        <w:rPr>
          <w:szCs w:val="22"/>
          <w:lang w:eastAsia="cs-CZ"/>
        </w:rPr>
        <w:t>, čo je spolu s </w:t>
      </w:r>
      <w:r w:rsidRPr="009B3239">
        <w:rPr>
          <w:szCs w:val="22"/>
          <w:lang w:eastAsia="cs-CZ"/>
        </w:rPr>
        <w:t>účinkami iných podávaných liekov potrebné vziať do úvahy pri stanovení vhodného času potrebného na titráciu pre požadovaný klinický účinok dexmedetomidínu.</w:t>
      </w:r>
    </w:p>
    <w:p w14:paraId="5640B4A1" w14:textId="77777777" w:rsidR="009B3239" w:rsidRDefault="009B3239" w:rsidP="009B3239">
      <w:pPr>
        <w:autoSpaceDE w:val="0"/>
        <w:autoSpaceDN w:val="0"/>
        <w:adjustRightInd w:val="0"/>
        <w:rPr>
          <w:szCs w:val="22"/>
          <w:lang w:eastAsia="cs-CZ"/>
        </w:rPr>
      </w:pPr>
    </w:p>
    <w:p w14:paraId="0B5E6872" w14:textId="77777777" w:rsidR="009B3239" w:rsidRPr="009B3239" w:rsidRDefault="009B3239" w:rsidP="00AB51CC">
      <w:pPr>
        <w:keepNext/>
        <w:autoSpaceDE w:val="0"/>
        <w:autoSpaceDN w:val="0"/>
        <w:adjustRightInd w:val="0"/>
        <w:rPr>
          <w:i/>
          <w:szCs w:val="22"/>
          <w:lang w:eastAsia="cs-CZ"/>
        </w:rPr>
      </w:pPr>
      <w:r w:rsidRPr="009B3239">
        <w:rPr>
          <w:i/>
          <w:szCs w:val="22"/>
          <w:lang w:eastAsia="cs-CZ"/>
        </w:rPr>
        <w:t>Začatie procedurálnej sedácie:</w:t>
      </w:r>
    </w:p>
    <w:p w14:paraId="3FD99CBB" w14:textId="77777777" w:rsidR="009B3239" w:rsidRDefault="00AB51CC" w:rsidP="00E765A1">
      <w:pPr>
        <w:numPr>
          <w:ilvl w:val="0"/>
          <w:numId w:val="12"/>
        </w:numPr>
        <w:tabs>
          <w:tab w:val="clear" w:pos="567"/>
        </w:tabs>
        <w:spacing w:line="240" w:lineRule="auto"/>
        <w:ind w:left="567" w:hanging="567"/>
        <w:rPr>
          <w:szCs w:val="22"/>
          <w:lang w:eastAsia="cs-CZ"/>
        </w:rPr>
      </w:pPr>
      <w:r>
        <w:rPr>
          <w:szCs w:val="22"/>
          <w:lang w:eastAsia="cs-CZ"/>
        </w:rPr>
        <w:t>Nasycovacia infúzia dávkou 1,0 mikrogram/kg počas 10 </w:t>
      </w:r>
      <w:r w:rsidR="009B3239" w:rsidRPr="009B3239">
        <w:rPr>
          <w:szCs w:val="22"/>
          <w:lang w:eastAsia="cs-CZ"/>
        </w:rPr>
        <w:t>minút. V prípade menej invazívnych výkonov, ako je očná chirurgia, môže byť dostačujúca nasycovacia infúzia dávkou 0,5 mikrogramu</w:t>
      </w:r>
      <w:r>
        <w:rPr>
          <w:szCs w:val="22"/>
          <w:lang w:eastAsia="cs-CZ"/>
        </w:rPr>
        <w:t>/kg podávaná počas 10 minút.</w:t>
      </w:r>
    </w:p>
    <w:p w14:paraId="1A5E7812" w14:textId="77777777" w:rsidR="00AB51CC" w:rsidRPr="009B3239" w:rsidRDefault="00AB51CC" w:rsidP="00E765A1">
      <w:pPr>
        <w:tabs>
          <w:tab w:val="clear" w:pos="567"/>
        </w:tabs>
        <w:spacing w:line="240" w:lineRule="auto"/>
        <w:rPr>
          <w:szCs w:val="22"/>
          <w:lang w:eastAsia="cs-CZ"/>
        </w:rPr>
      </w:pPr>
    </w:p>
    <w:p w14:paraId="3530FE9D" w14:textId="77777777" w:rsidR="009B3239" w:rsidRPr="009B3239" w:rsidRDefault="009B3239" w:rsidP="00AB51CC">
      <w:pPr>
        <w:keepNext/>
        <w:rPr>
          <w:szCs w:val="22"/>
          <w:lang w:eastAsia="cs-CZ"/>
        </w:rPr>
      </w:pPr>
      <w:r w:rsidRPr="009B3239">
        <w:rPr>
          <w:i/>
          <w:szCs w:val="22"/>
          <w:lang w:eastAsia="cs-CZ"/>
        </w:rPr>
        <w:t>Udržiavanie procedurálnej sedácie:</w:t>
      </w:r>
    </w:p>
    <w:p w14:paraId="33A4B017" w14:textId="77777777" w:rsidR="009B3239" w:rsidRPr="009B3239" w:rsidRDefault="009B3239" w:rsidP="00E765A1">
      <w:pPr>
        <w:numPr>
          <w:ilvl w:val="0"/>
          <w:numId w:val="12"/>
        </w:numPr>
        <w:tabs>
          <w:tab w:val="clear" w:pos="567"/>
        </w:tabs>
        <w:spacing w:line="240" w:lineRule="auto"/>
        <w:ind w:left="567" w:hanging="567"/>
        <w:rPr>
          <w:szCs w:val="22"/>
          <w:lang w:eastAsia="cs-CZ"/>
        </w:rPr>
      </w:pPr>
      <w:r w:rsidRPr="009B3239">
        <w:rPr>
          <w:szCs w:val="22"/>
          <w:lang w:eastAsia="cs-CZ"/>
        </w:rPr>
        <w:t>Udržiavacia infúzia sa zvyčajne začína dávkou</w:t>
      </w:r>
      <w:r w:rsidR="00AB51CC">
        <w:rPr>
          <w:szCs w:val="22"/>
          <w:lang w:eastAsia="cs-CZ"/>
        </w:rPr>
        <w:t xml:space="preserve"> 0,6-0,7 </w:t>
      </w:r>
      <w:r w:rsidRPr="009B3239">
        <w:rPr>
          <w:szCs w:val="22"/>
          <w:lang w:eastAsia="cs-CZ"/>
        </w:rPr>
        <w:t>mikrogramu/kg/h a titruje sa pomocou dávok v rozmedzí od 0,2 do 1</w:t>
      </w:r>
      <w:r w:rsidR="00AB51CC">
        <w:rPr>
          <w:szCs w:val="22"/>
          <w:lang w:eastAsia="cs-CZ"/>
        </w:rPr>
        <w:t> </w:t>
      </w:r>
      <w:r w:rsidRPr="009B3239">
        <w:rPr>
          <w:szCs w:val="22"/>
          <w:lang w:eastAsia="cs-CZ"/>
        </w:rPr>
        <w:t>mikrogramu/kg/h, kým sa nedosiahne požadovaný klinický účinok. Rýchlosť udržiavacej infúzie sa má upraviť tak, aby sa do</w:t>
      </w:r>
      <w:r w:rsidR="00AB51CC">
        <w:rPr>
          <w:szCs w:val="22"/>
          <w:lang w:eastAsia="cs-CZ"/>
        </w:rPr>
        <w:t>siahla cielená hladina sedácie.</w:t>
      </w:r>
    </w:p>
    <w:p w14:paraId="50044124" w14:textId="77777777" w:rsidR="009B3239" w:rsidRPr="009B3239" w:rsidRDefault="009B3239" w:rsidP="009B3239">
      <w:pPr>
        <w:rPr>
          <w:szCs w:val="22"/>
        </w:rPr>
      </w:pPr>
    </w:p>
    <w:p w14:paraId="4E43D34D" w14:textId="77777777" w:rsidR="009B3239" w:rsidRPr="009B3239" w:rsidRDefault="009B3239" w:rsidP="00AB51CC">
      <w:pPr>
        <w:keepNext/>
        <w:rPr>
          <w:szCs w:val="22"/>
          <w:u w:val="single"/>
        </w:rPr>
      </w:pPr>
      <w:r w:rsidRPr="009B3239">
        <w:rPr>
          <w:szCs w:val="22"/>
          <w:u w:val="single"/>
        </w:rPr>
        <w:lastRenderedPageBreak/>
        <w:t>Osobitné populácie</w:t>
      </w:r>
    </w:p>
    <w:p w14:paraId="1B0E06EB" w14:textId="77777777" w:rsidR="009B3239" w:rsidRPr="009B3239" w:rsidRDefault="009B3239" w:rsidP="00AB51CC">
      <w:pPr>
        <w:keepNext/>
        <w:rPr>
          <w:szCs w:val="22"/>
        </w:rPr>
      </w:pPr>
    </w:p>
    <w:p w14:paraId="042C25F7" w14:textId="77777777" w:rsidR="009B3239" w:rsidRPr="009B3239" w:rsidRDefault="009B3239" w:rsidP="00AB51CC">
      <w:pPr>
        <w:keepNext/>
        <w:rPr>
          <w:i/>
          <w:szCs w:val="22"/>
        </w:rPr>
      </w:pPr>
      <w:r w:rsidRPr="009B3239">
        <w:rPr>
          <w:i/>
          <w:szCs w:val="22"/>
        </w:rPr>
        <w:t>Starší ľudia</w:t>
      </w:r>
    </w:p>
    <w:p w14:paraId="2CB917E0" w14:textId="77777777" w:rsidR="009B3239" w:rsidRPr="009B3239" w:rsidRDefault="00AB51CC" w:rsidP="009B3239">
      <w:pPr>
        <w:autoSpaceDE w:val="0"/>
        <w:autoSpaceDN w:val="0"/>
        <w:adjustRightInd w:val="0"/>
        <w:rPr>
          <w:szCs w:val="22"/>
          <w:lang w:eastAsia="cs-CZ"/>
        </w:rPr>
      </w:pPr>
      <w:r>
        <w:rPr>
          <w:szCs w:val="22"/>
          <w:lang w:eastAsia="cs-CZ"/>
        </w:rPr>
        <w:t>U </w:t>
      </w:r>
      <w:r w:rsidR="009B3239" w:rsidRPr="009B3239">
        <w:rPr>
          <w:szCs w:val="22"/>
          <w:lang w:eastAsia="cs-CZ"/>
        </w:rPr>
        <w:t xml:space="preserve">starších pacientov sa zvyčajne nevyžaduje žiadna úprava </w:t>
      </w:r>
      <w:r>
        <w:rPr>
          <w:szCs w:val="22"/>
          <w:lang w:eastAsia="cs-CZ"/>
        </w:rPr>
        <w:t>dávky (pozri časť </w:t>
      </w:r>
      <w:r w:rsidR="009B3239" w:rsidRPr="009B3239">
        <w:rPr>
          <w:szCs w:val="22"/>
          <w:lang w:eastAsia="cs-CZ"/>
        </w:rPr>
        <w:t>5.2). Zdá sa, že u starších pacientov je zvýšen</w:t>
      </w:r>
      <w:r>
        <w:rPr>
          <w:szCs w:val="22"/>
          <w:lang w:eastAsia="cs-CZ"/>
        </w:rPr>
        <w:t>é riziko hypotenzie (pozri časť </w:t>
      </w:r>
      <w:r w:rsidR="009B3239" w:rsidRPr="009B3239">
        <w:rPr>
          <w:szCs w:val="22"/>
          <w:lang w:eastAsia="cs-CZ"/>
        </w:rPr>
        <w:t>4.4), obmedzené údaje, ktoré sú k dispozícii ohľadom procedurálnej sedácie, však nenaznačujú jasnú závislosť od dávky.</w:t>
      </w:r>
    </w:p>
    <w:p w14:paraId="53D5A71E" w14:textId="77777777" w:rsidR="009B3239" w:rsidRPr="009B3239" w:rsidRDefault="009B3239" w:rsidP="009B3239">
      <w:pPr>
        <w:rPr>
          <w:szCs w:val="22"/>
          <w:lang w:eastAsia="cs-CZ"/>
        </w:rPr>
      </w:pPr>
    </w:p>
    <w:p w14:paraId="46791353" w14:textId="77777777" w:rsidR="009B3239" w:rsidRPr="009B3239" w:rsidRDefault="009B3239" w:rsidP="00AB51CC">
      <w:pPr>
        <w:keepNext/>
        <w:rPr>
          <w:szCs w:val="22"/>
          <w:lang w:eastAsia="cs-CZ"/>
        </w:rPr>
      </w:pPr>
      <w:r w:rsidRPr="009B3239">
        <w:rPr>
          <w:i/>
          <w:szCs w:val="22"/>
          <w:lang w:eastAsia="cs-CZ"/>
        </w:rPr>
        <w:t>Porucha funkcie obličiek</w:t>
      </w:r>
    </w:p>
    <w:p w14:paraId="2DE7206F" w14:textId="77777777" w:rsidR="009B3239" w:rsidRPr="009B3239" w:rsidRDefault="009B3239" w:rsidP="009B3239">
      <w:pPr>
        <w:rPr>
          <w:szCs w:val="22"/>
          <w:lang w:eastAsia="cs-CZ"/>
        </w:rPr>
      </w:pPr>
      <w:r w:rsidRPr="009B3239">
        <w:rPr>
          <w:szCs w:val="22"/>
          <w:lang w:eastAsia="cs-CZ"/>
        </w:rPr>
        <w:t xml:space="preserve">U pacientov s poruchou funkcie obličiek sa </w:t>
      </w:r>
      <w:r w:rsidR="00AB51CC">
        <w:rPr>
          <w:szCs w:val="22"/>
          <w:lang w:eastAsia="cs-CZ"/>
        </w:rPr>
        <w:t>nevyžaduje žiadna úprava dávky.</w:t>
      </w:r>
    </w:p>
    <w:p w14:paraId="16D40E87" w14:textId="77777777" w:rsidR="009B3239" w:rsidRPr="009B3239" w:rsidRDefault="009B3239" w:rsidP="009B3239">
      <w:pPr>
        <w:rPr>
          <w:szCs w:val="22"/>
          <w:lang w:eastAsia="cs-CZ"/>
        </w:rPr>
      </w:pPr>
    </w:p>
    <w:p w14:paraId="603E2077" w14:textId="77777777" w:rsidR="009B3239" w:rsidRPr="009B3239" w:rsidRDefault="009B3239" w:rsidP="009C286A">
      <w:pPr>
        <w:keepNext/>
        <w:rPr>
          <w:szCs w:val="22"/>
          <w:lang w:eastAsia="cs-CZ"/>
        </w:rPr>
      </w:pPr>
      <w:r w:rsidRPr="009B3239">
        <w:rPr>
          <w:i/>
          <w:szCs w:val="22"/>
          <w:lang w:eastAsia="cs-CZ"/>
        </w:rPr>
        <w:t>Porucha funkcie pečene</w:t>
      </w:r>
    </w:p>
    <w:p w14:paraId="4A7063C0" w14:textId="77777777" w:rsidR="009B3239" w:rsidRPr="009B3239" w:rsidRDefault="009B3239" w:rsidP="009B3239">
      <w:pPr>
        <w:rPr>
          <w:szCs w:val="22"/>
          <w:lang w:eastAsia="cs-CZ"/>
        </w:rPr>
      </w:pPr>
      <w:r w:rsidRPr="009B3239">
        <w:rPr>
          <w:szCs w:val="22"/>
          <w:lang w:eastAsia="cs-CZ"/>
        </w:rPr>
        <w:t>Dexmedetomidín sa metabolizuje v pečeni a u pacientov s poruchou funkcie pečene sa má používať s opatrnosťou. Možno zvážiť zníženú udržiavaciu dávku (pozri časti 4.4. a 5.2).</w:t>
      </w:r>
    </w:p>
    <w:p w14:paraId="54AF9384" w14:textId="77777777" w:rsidR="009B3239" w:rsidRPr="009B3239" w:rsidRDefault="009B3239" w:rsidP="009B3239">
      <w:pPr>
        <w:spacing w:line="240" w:lineRule="auto"/>
      </w:pPr>
    </w:p>
    <w:p w14:paraId="6EBB15D4" w14:textId="77777777" w:rsidR="00812D16" w:rsidRPr="009B3239" w:rsidRDefault="0050541A" w:rsidP="00085939">
      <w:pPr>
        <w:keepNext/>
        <w:spacing w:line="240" w:lineRule="auto"/>
        <w:rPr>
          <w:i/>
        </w:rPr>
      </w:pPr>
      <w:r w:rsidRPr="009B3239">
        <w:rPr>
          <w:i/>
        </w:rPr>
        <w:t>Pediatrická populácia</w:t>
      </w:r>
    </w:p>
    <w:p w14:paraId="1A414EEB" w14:textId="77777777" w:rsidR="009B3239" w:rsidRPr="009B3239" w:rsidRDefault="009B3239" w:rsidP="009B3239">
      <w:pPr>
        <w:rPr>
          <w:szCs w:val="22"/>
        </w:rPr>
      </w:pPr>
      <w:r w:rsidRPr="009B3239">
        <w:rPr>
          <w:szCs w:val="22"/>
          <w:lang w:eastAsia="cs-CZ"/>
        </w:rPr>
        <w:t>Bezpečnosť a účinnosť dexmedetomidí</w:t>
      </w:r>
      <w:r w:rsidR="009C286A">
        <w:rPr>
          <w:szCs w:val="22"/>
          <w:lang w:eastAsia="cs-CZ"/>
        </w:rPr>
        <w:t>nu u detí vo veku 0 až 18 </w:t>
      </w:r>
      <w:r w:rsidRPr="009B3239">
        <w:rPr>
          <w:szCs w:val="22"/>
          <w:lang w:eastAsia="cs-CZ"/>
        </w:rPr>
        <w:t>rokov neboli doteraz stanovené. V súčasnosti dostupné údaje sú popísané v častiach 4.8, 5.1 a 5.2, no neumožňujú uv</w:t>
      </w:r>
      <w:r w:rsidR="009C286A">
        <w:rPr>
          <w:szCs w:val="22"/>
          <w:lang w:eastAsia="cs-CZ"/>
        </w:rPr>
        <w:t>iesť odporúčania na dávkovanie.</w:t>
      </w:r>
    </w:p>
    <w:p w14:paraId="567D4C3C" w14:textId="77777777" w:rsidR="009921E6" w:rsidRPr="00BF5AB0" w:rsidRDefault="009921E6" w:rsidP="00204AAB">
      <w:pPr>
        <w:spacing w:line="240" w:lineRule="auto"/>
        <w:rPr>
          <w:u w:val="single"/>
        </w:rPr>
      </w:pPr>
    </w:p>
    <w:p w14:paraId="1FE282D9" w14:textId="77777777" w:rsidR="00812D16" w:rsidRPr="00085939" w:rsidRDefault="0050541A" w:rsidP="00085939">
      <w:pPr>
        <w:keepNext/>
        <w:spacing w:line="240" w:lineRule="auto"/>
        <w:rPr>
          <w:u w:val="single"/>
        </w:rPr>
      </w:pPr>
      <w:r w:rsidRPr="00891D76">
        <w:rPr>
          <w:u w:val="single"/>
        </w:rPr>
        <w:t>Spôsob podávania</w:t>
      </w:r>
    </w:p>
    <w:p w14:paraId="4FC28BA2" w14:textId="77777777" w:rsidR="00812D16" w:rsidRPr="00085939" w:rsidRDefault="00812D16" w:rsidP="00085939">
      <w:pPr>
        <w:keepNext/>
        <w:spacing w:line="240" w:lineRule="auto"/>
        <w:rPr>
          <w:u w:val="single"/>
        </w:rPr>
      </w:pPr>
    </w:p>
    <w:p w14:paraId="7573A6A8" w14:textId="77777777" w:rsidR="009C286A" w:rsidRDefault="009C286A" w:rsidP="00204AAB">
      <w:pPr>
        <w:spacing w:line="240" w:lineRule="auto"/>
        <w:rPr>
          <w:szCs w:val="22"/>
        </w:rPr>
      </w:pPr>
      <w:r>
        <w:rPr>
          <w:szCs w:val="22"/>
        </w:rPr>
        <w:t>Dexmedetomidine Mylan</w:t>
      </w:r>
      <w:r w:rsidRPr="002550D2">
        <w:rPr>
          <w:szCs w:val="22"/>
        </w:rPr>
        <w:t xml:space="preserve"> </w:t>
      </w:r>
      <w:r>
        <w:rPr>
          <w:szCs w:val="22"/>
        </w:rPr>
        <w:t>je na intravenózne použitie.</w:t>
      </w:r>
    </w:p>
    <w:p w14:paraId="70CD6EF1" w14:textId="77777777" w:rsidR="00812D16" w:rsidRPr="0082445A" w:rsidRDefault="009C286A" w:rsidP="00204AAB">
      <w:pPr>
        <w:spacing w:line="240" w:lineRule="auto"/>
      </w:pPr>
      <w:r>
        <w:rPr>
          <w:szCs w:val="22"/>
        </w:rPr>
        <w:t>Dexmedetomidine Mylan</w:t>
      </w:r>
      <w:r w:rsidR="009B3239" w:rsidRPr="002550D2">
        <w:rPr>
          <w:szCs w:val="22"/>
        </w:rPr>
        <w:t xml:space="preserve"> sa musí podávať iba ako zriedená intravenózna infúzia pomocou kontrolovaného infúzneho prístroja.</w:t>
      </w:r>
    </w:p>
    <w:p w14:paraId="142613C2" w14:textId="77777777" w:rsidR="00812D16" w:rsidRPr="00A72672" w:rsidRDefault="0050541A" w:rsidP="00204AAB">
      <w:pPr>
        <w:autoSpaceDE w:val="0"/>
        <w:autoSpaceDN w:val="0"/>
        <w:adjustRightInd w:val="0"/>
        <w:spacing w:line="240" w:lineRule="auto"/>
      </w:pPr>
      <w:r w:rsidRPr="00A72672">
        <w:t>Pokyny na riede</w:t>
      </w:r>
      <w:r w:rsidR="005628B4">
        <w:t>nie</w:t>
      </w:r>
      <w:r w:rsidRPr="00A72672">
        <w:t xml:space="preserve"> </w:t>
      </w:r>
      <w:r w:rsidR="005628B4">
        <w:t>lieku pred podaním, pozri časť 6.6.</w:t>
      </w:r>
    </w:p>
    <w:p w14:paraId="13D0A4DD" w14:textId="77777777" w:rsidR="00812D16" w:rsidRPr="00A72672" w:rsidRDefault="00812D16" w:rsidP="00204AAB">
      <w:pPr>
        <w:spacing w:line="240" w:lineRule="auto"/>
      </w:pPr>
    </w:p>
    <w:p w14:paraId="46516C48" w14:textId="77777777" w:rsidR="00812D16" w:rsidRPr="00891D76" w:rsidRDefault="0050541A" w:rsidP="00572506">
      <w:pPr>
        <w:keepNext/>
        <w:numPr>
          <w:ilvl w:val="1"/>
          <w:numId w:val="6"/>
        </w:numPr>
        <w:spacing w:line="240" w:lineRule="auto"/>
        <w:outlineLvl w:val="0"/>
      </w:pPr>
      <w:r w:rsidRPr="00BF5AB0">
        <w:rPr>
          <w:b/>
        </w:rPr>
        <w:t>Kontraindikácie</w:t>
      </w:r>
    </w:p>
    <w:p w14:paraId="3CB3D043" w14:textId="77777777" w:rsidR="00812D16" w:rsidRPr="0082445A" w:rsidRDefault="00812D16" w:rsidP="00085939">
      <w:pPr>
        <w:keepNext/>
        <w:spacing w:line="240" w:lineRule="auto"/>
      </w:pPr>
    </w:p>
    <w:p w14:paraId="59496677" w14:textId="77777777" w:rsidR="00812D16" w:rsidRDefault="0050541A" w:rsidP="00204AAB">
      <w:pPr>
        <w:spacing w:line="240" w:lineRule="auto"/>
      </w:pPr>
      <w:r w:rsidRPr="0082445A">
        <w:t>Precitliven</w:t>
      </w:r>
      <w:r w:rsidR="009C286A">
        <w:t xml:space="preserve">osť na </w:t>
      </w:r>
      <w:r w:rsidRPr="00A72672">
        <w:t>liečivo alebo na ktorúkoľvek z</w:t>
      </w:r>
      <w:r w:rsidR="00A72672">
        <w:t> </w:t>
      </w:r>
      <w:r w:rsidRPr="00A72672">
        <w:t>pomocných látok uvedených v</w:t>
      </w:r>
      <w:r w:rsidR="00A72672">
        <w:t> </w:t>
      </w:r>
      <w:r w:rsidRPr="00BF5AB0">
        <w:t>časti 6.1.</w:t>
      </w:r>
    </w:p>
    <w:p w14:paraId="6FECD20C" w14:textId="77777777" w:rsidR="009C286A" w:rsidRPr="002550D2" w:rsidRDefault="009C286A" w:rsidP="009C286A">
      <w:pPr>
        <w:pStyle w:val="Zkladntext"/>
        <w:rPr>
          <w:szCs w:val="22"/>
        </w:rPr>
      </w:pPr>
      <w:r w:rsidRPr="002550D2">
        <w:rPr>
          <w:szCs w:val="22"/>
        </w:rPr>
        <w:t xml:space="preserve">Pokročilá srdcová blokáda (2. alebo </w:t>
      </w:r>
      <w:r>
        <w:rPr>
          <w:szCs w:val="22"/>
        </w:rPr>
        <w:t>3. stupňa), ak nie je upravená.</w:t>
      </w:r>
    </w:p>
    <w:p w14:paraId="6B4308FF" w14:textId="77777777" w:rsidR="009C286A" w:rsidRPr="002550D2" w:rsidRDefault="009C286A" w:rsidP="009C286A">
      <w:pPr>
        <w:pStyle w:val="Zkladntext"/>
        <w:rPr>
          <w:szCs w:val="22"/>
        </w:rPr>
      </w:pPr>
      <w:r w:rsidRPr="002550D2">
        <w:rPr>
          <w:szCs w:val="22"/>
        </w:rPr>
        <w:t>Nekontrolovaná hypotenzia.</w:t>
      </w:r>
    </w:p>
    <w:p w14:paraId="05BD1B8C" w14:textId="77777777" w:rsidR="009C286A" w:rsidRPr="009C286A" w:rsidRDefault="009C286A" w:rsidP="009C286A">
      <w:pPr>
        <w:pStyle w:val="Zkladntext"/>
        <w:rPr>
          <w:szCs w:val="22"/>
        </w:rPr>
      </w:pPr>
      <w:r w:rsidRPr="002550D2">
        <w:rPr>
          <w:szCs w:val="22"/>
        </w:rPr>
        <w:t>Akút</w:t>
      </w:r>
      <w:r>
        <w:rPr>
          <w:szCs w:val="22"/>
        </w:rPr>
        <w:t>ne cerebrovaskulárne ochorenie.</w:t>
      </w:r>
    </w:p>
    <w:p w14:paraId="42D6758B" w14:textId="77777777" w:rsidR="00812D16" w:rsidRPr="0082445A" w:rsidRDefault="00812D16" w:rsidP="00204AAB">
      <w:pPr>
        <w:spacing w:line="240" w:lineRule="auto"/>
      </w:pPr>
    </w:p>
    <w:p w14:paraId="38682B5D" w14:textId="77777777" w:rsidR="00812D16" w:rsidRPr="00891D76" w:rsidRDefault="0050541A" w:rsidP="00572506">
      <w:pPr>
        <w:keepNext/>
        <w:numPr>
          <w:ilvl w:val="1"/>
          <w:numId w:val="6"/>
        </w:numPr>
        <w:spacing w:line="240" w:lineRule="auto"/>
        <w:outlineLvl w:val="0"/>
        <w:rPr>
          <w:b/>
        </w:rPr>
      </w:pPr>
      <w:r w:rsidRPr="00BF5AB0">
        <w:rPr>
          <w:b/>
        </w:rPr>
        <w:t>Osobitné upozornenia a opatrenia pri používaní</w:t>
      </w:r>
    </w:p>
    <w:p w14:paraId="0F546EC6" w14:textId="77777777" w:rsidR="00812D16" w:rsidRPr="0079480E" w:rsidRDefault="00812D16" w:rsidP="00085939">
      <w:pPr>
        <w:keepNext/>
        <w:spacing w:line="240" w:lineRule="auto"/>
        <w:ind w:left="567" w:hanging="567"/>
      </w:pPr>
    </w:p>
    <w:p w14:paraId="352A4931" w14:textId="77777777" w:rsidR="009C286A" w:rsidRPr="009C286A" w:rsidRDefault="009C286A" w:rsidP="009C286A">
      <w:pPr>
        <w:rPr>
          <w:szCs w:val="22"/>
        </w:rPr>
      </w:pPr>
      <w:r w:rsidRPr="009C286A">
        <w:rPr>
          <w:szCs w:val="22"/>
          <w:u w:val="single"/>
        </w:rPr>
        <w:t>Sledovanie</w:t>
      </w:r>
    </w:p>
    <w:p w14:paraId="3246BD89" w14:textId="77777777" w:rsidR="009C286A" w:rsidRPr="009C286A" w:rsidRDefault="007A5C4F" w:rsidP="009C286A">
      <w:pPr>
        <w:autoSpaceDE w:val="0"/>
        <w:autoSpaceDN w:val="0"/>
        <w:adjustRightInd w:val="0"/>
        <w:rPr>
          <w:szCs w:val="22"/>
          <w:lang w:eastAsia="cs-CZ"/>
        </w:rPr>
      </w:pPr>
      <w:r>
        <w:rPr>
          <w:szCs w:val="22"/>
        </w:rPr>
        <w:t>Dexmedetomidine Mylan</w:t>
      </w:r>
      <w:r w:rsidRPr="009C286A">
        <w:rPr>
          <w:szCs w:val="22"/>
          <w:lang w:eastAsia="cs-CZ"/>
        </w:rPr>
        <w:t xml:space="preserve"> </w:t>
      </w:r>
      <w:r w:rsidR="009C286A" w:rsidRPr="009C286A">
        <w:rPr>
          <w:szCs w:val="22"/>
          <w:lang w:eastAsia="cs-CZ"/>
        </w:rPr>
        <w:t>je určený na použitie na jednotke intenzívnej starostlivosti, operačnej sále a počas diagnostických výkonov. Používanie pri inýc</w:t>
      </w:r>
      <w:r>
        <w:rPr>
          <w:szCs w:val="22"/>
          <w:lang w:eastAsia="cs-CZ"/>
        </w:rPr>
        <w:t>h okolnostiach sa neodporúča. U </w:t>
      </w:r>
      <w:r w:rsidR="009C286A" w:rsidRPr="009C286A">
        <w:rPr>
          <w:szCs w:val="22"/>
          <w:lang w:eastAsia="cs-CZ"/>
        </w:rPr>
        <w:t>všetkých pacientov sa počas infúzie dexmedetomidínu má nepretrži</w:t>
      </w:r>
      <w:r>
        <w:rPr>
          <w:szCs w:val="22"/>
          <w:lang w:eastAsia="cs-CZ"/>
        </w:rPr>
        <w:t>te monitorovať funkcia srdca. Z </w:t>
      </w:r>
      <w:r w:rsidR="009C286A" w:rsidRPr="009C286A">
        <w:rPr>
          <w:szCs w:val="22"/>
          <w:lang w:eastAsia="cs-CZ"/>
        </w:rPr>
        <w:t>dôvodu rizika respiračnej</w:t>
      </w:r>
      <w:r>
        <w:rPr>
          <w:szCs w:val="22"/>
          <w:lang w:eastAsia="cs-CZ"/>
        </w:rPr>
        <w:t xml:space="preserve"> depresie a v určitom prípade apnoe sa u </w:t>
      </w:r>
      <w:r w:rsidR="009C286A" w:rsidRPr="009C286A">
        <w:rPr>
          <w:szCs w:val="22"/>
          <w:lang w:eastAsia="cs-CZ"/>
        </w:rPr>
        <w:t>neintubovaných pacientov má mon</w:t>
      </w:r>
      <w:r>
        <w:rPr>
          <w:szCs w:val="22"/>
          <w:lang w:eastAsia="cs-CZ"/>
        </w:rPr>
        <w:t>itorovať respirácia (pozri časť </w:t>
      </w:r>
      <w:r w:rsidR="009C286A" w:rsidRPr="009C286A">
        <w:rPr>
          <w:szCs w:val="22"/>
          <w:lang w:eastAsia="cs-CZ"/>
        </w:rPr>
        <w:t>4.8).</w:t>
      </w:r>
    </w:p>
    <w:p w14:paraId="5EE1F75A" w14:textId="77777777" w:rsidR="009C286A" w:rsidRPr="009C286A" w:rsidRDefault="009C286A" w:rsidP="009C286A">
      <w:pPr>
        <w:autoSpaceDE w:val="0"/>
        <w:autoSpaceDN w:val="0"/>
        <w:adjustRightInd w:val="0"/>
        <w:rPr>
          <w:szCs w:val="22"/>
          <w:lang w:eastAsia="cs-CZ"/>
        </w:rPr>
      </w:pPr>
    </w:p>
    <w:p w14:paraId="1DDB1595" w14:textId="77777777" w:rsidR="009C286A" w:rsidRPr="009C286A" w:rsidRDefault="009C286A" w:rsidP="009C286A">
      <w:pPr>
        <w:autoSpaceDE w:val="0"/>
        <w:autoSpaceDN w:val="0"/>
        <w:adjustRightInd w:val="0"/>
        <w:rPr>
          <w:szCs w:val="22"/>
          <w:lang w:eastAsia="cs-CZ"/>
        </w:rPr>
      </w:pPr>
      <w:r w:rsidRPr="009C286A">
        <w:rPr>
          <w:szCs w:val="22"/>
          <w:lang w:eastAsia="cs-CZ"/>
        </w:rPr>
        <w:t>Doba na zotavenie po použití dexmedetomidínu bola hlásená v čase približ</w:t>
      </w:r>
      <w:r w:rsidR="007A5C4F">
        <w:rPr>
          <w:szCs w:val="22"/>
          <w:lang w:eastAsia="cs-CZ"/>
        </w:rPr>
        <w:t>ne jednej hodiny. Pri použití v </w:t>
      </w:r>
      <w:r w:rsidRPr="009C286A">
        <w:rPr>
          <w:szCs w:val="22"/>
          <w:lang w:eastAsia="cs-CZ"/>
        </w:rPr>
        <w:t>ambulantných podmienkach má dôkladné sledovanie pacienta pokračovať počas minimálne jednej hodiny (alebo dlhš</w:t>
      </w:r>
      <w:r w:rsidR="007A5C4F">
        <w:rPr>
          <w:szCs w:val="22"/>
          <w:lang w:eastAsia="cs-CZ"/>
        </w:rPr>
        <w:t>ie na základe stavu pacienta) a </w:t>
      </w:r>
      <w:r w:rsidRPr="009C286A">
        <w:rPr>
          <w:szCs w:val="22"/>
          <w:lang w:eastAsia="cs-CZ"/>
        </w:rPr>
        <w:t>kvôli bezpečnosti pacienta má dohľad lekára pokračovať ešte minimálne ďalšiu hodinu.</w:t>
      </w:r>
    </w:p>
    <w:p w14:paraId="78D7BF74" w14:textId="77777777" w:rsidR="009C286A" w:rsidRPr="009C286A" w:rsidRDefault="009C286A" w:rsidP="009C286A">
      <w:pPr>
        <w:autoSpaceDE w:val="0"/>
        <w:autoSpaceDN w:val="0"/>
        <w:adjustRightInd w:val="0"/>
        <w:rPr>
          <w:szCs w:val="22"/>
          <w:lang w:eastAsia="cs-CZ"/>
        </w:rPr>
      </w:pPr>
    </w:p>
    <w:p w14:paraId="07D8CC8A" w14:textId="77777777" w:rsidR="009C286A" w:rsidRPr="009C286A" w:rsidRDefault="009C286A" w:rsidP="007A5C4F">
      <w:pPr>
        <w:keepNext/>
        <w:autoSpaceDE w:val="0"/>
        <w:autoSpaceDN w:val="0"/>
        <w:adjustRightInd w:val="0"/>
        <w:rPr>
          <w:szCs w:val="22"/>
          <w:lang w:eastAsia="cs-CZ"/>
        </w:rPr>
      </w:pPr>
      <w:r w:rsidRPr="009C286A">
        <w:rPr>
          <w:szCs w:val="22"/>
          <w:u w:val="single"/>
          <w:lang w:eastAsia="cs-CZ"/>
        </w:rPr>
        <w:t>Všeobecné opatrenia</w:t>
      </w:r>
    </w:p>
    <w:p w14:paraId="232B864D" w14:textId="77777777" w:rsidR="009C286A" w:rsidRPr="009C286A" w:rsidRDefault="007A5C4F" w:rsidP="009C286A">
      <w:pPr>
        <w:autoSpaceDE w:val="0"/>
        <w:autoSpaceDN w:val="0"/>
        <w:adjustRightInd w:val="0"/>
        <w:rPr>
          <w:szCs w:val="22"/>
          <w:lang w:eastAsia="cs-CZ"/>
        </w:rPr>
      </w:pPr>
      <w:r>
        <w:rPr>
          <w:szCs w:val="22"/>
        </w:rPr>
        <w:t>Dexmedetomidine Mylan</w:t>
      </w:r>
      <w:r w:rsidRPr="009C286A">
        <w:rPr>
          <w:szCs w:val="22"/>
          <w:lang w:eastAsia="cs-CZ"/>
        </w:rPr>
        <w:t xml:space="preserve"> </w:t>
      </w:r>
      <w:r w:rsidR="009C286A" w:rsidRPr="009C286A">
        <w:rPr>
          <w:szCs w:val="22"/>
          <w:lang w:eastAsia="cs-CZ"/>
        </w:rPr>
        <w:t xml:space="preserve">sa nemá podávať ako bolusová dávka </w:t>
      </w:r>
      <w:r>
        <w:rPr>
          <w:szCs w:val="22"/>
          <w:lang w:eastAsia="cs-CZ"/>
        </w:rPr>
        <w:t>a </w:t>
      </w:r>
      <w:r w:rsidR="009C286A" w:rsidRPr="009C286A">
        <w:rPr>
          <w:szCs w:val="22"/>
          <w:lang w:eastAsia="cs-CZ"/>
        </w:rPr>
        <w:t>na JIS sa neodporúča podanie nasycovacej dávky. Používatelia sa majú preto pripraviť na použitie alternatívneho sedatíva na akútnu kontrolu agitácie alebo počas procedúr, naj</w:t>
      </w:r>
      <w:r>
        <w:rPr>
          <w:szCs w:val="22"/>
          <w:lang w:eastAsia="cs-CZ"/>
        </w:rPr>
        <w:t>mä počas prvých hodín liečby. V </w:t>
      </w:r>
      <w:r w:rsidR="009C286A" w:rsidRPr="009C286A">
        <w:rPr>
          <w:szCs w:val="22"/>
          <w:lang w:eastAsia="cs-CZ"/>
        </w:rPr>
        <w:t>priebehu procedurálnej sedácie sa môže použiť malý bolus iného sedatíva, ak sa vyžaduje rýchly nárast úrovne sedácie.</w:t>
      </w:r>
    </w:p>
    <w:p w14:paraId="57CC0C57" w14:textId="77777777" w:rsidR="009C286A" w:rsidRPr="009C286A" w:rsidRDefault="009C286A" w:rsidP="009C286A">
      <w:pPr>
        <w:autoSpaceDE w:val="0"/>
        <w:autoSpaceDN w:val="0"/>
        <w:adjustRightInd w:val="0"/>
        <w:rPr>
          <w:szCs w:val="22"/>
          <w:lang w:eastAsia="cs-CZ"/>
        </w:rPr>
      </w:pPr>
    </w:p>
    <w:p w14:paraId="4A0253AD" w14:textId="77777777" w:rsidR="009C286A" w:rsidRPr="009C286A" w:rsidRDefault="007A5C4F" w:rsidP="009C286A">
      <w:pPr>
        <w:autoSpaceDE w:val="0"/>
        <w:autoSpaceDN w:val="0"/>
        <w:adjustRightInd w:val="0"/>
        <w:rPr>
          <w:szCs w:val="22"/>
          <w:lang w:eastAsia="cs-CZ"/>
        </w:rPr>
      </w:pPr>
      <w:r>
        <w:rPr>
          <w:szCs w:val="22"/>
          <w:lang w:eastAsia="cs-CZ"/>
        </w:rPr>
        <w:t>U </w:t>
      </w:r>
      <w:r w:rsidR="009C286A" w:rsidRPr="009C286A">
        <w:rPr>
          <w:szCs w:val="22"/>
          <w:lang w:eastAsia="cs-CZ"/>
        </w:rPr>
        <w:t xml:space="preserve">niektorých pacientov, ktorí dostávali dexmedetomidín, sa pri stimulácii pozorovala agitácia a bdelosť. Toto samotné sa nemá považovať za dôkaz nedostatočnej účinnosti, ak nie sú prítomné ďalšie klinické </w:t>
      </w:r>
      <w:r>
        <w:rPr>
          <w:szCs w:val="22"/>
          <w:lang w:eastAsia="cs-CZ"/>
        </w:rPr>
        <w:t>prejavy a </w:t>
      </w:r>
      <w:r w:rsidR="009C286A" w:rsidRPr="009C286A">
        <w:rPr>
          <w:szCs w:val="22"/>
          <w:lang w:eastAsia="cs-CZ"/>
        </w:rPr>
        <w:t>príznaky.</w:t>
      </w:r>
    </w:p>
    <w:p w14:paraId="5650E72B" w14:textId="77777777" w:rsidR="009C286A" w:rsidRPr="009C286A" w:rsidRDefault="009C286A" w:rsidP="009C286A">
      <w:pPr>
        <w:autoSpaceDE w:val="0"/>
        <w:autoSpaceDN w:val="0"/>
        <w:adjustRightInd w:val="0"/>
        <w:rPr>
          <w:szCs w:val="22"/>
          <w:lang w:eastAsia="cs-CZ"/>
        </w:rPr>
      </w:pPr>
    </w:p>
    <w:p w14:paraId="78C135DC" w14:textId="77777777" w:rsidR="009C286A" w:rsidRPr="009C286A" w:rsidRDefault="009C286A" w:rsidP="009C286A">
      <w:pPr>
        <w:autoSpaceDE w:val="0"/>
        <w:autoSpaceDN w:val="0"/>
        <w:adjustRightInd w:val="0"/>
        <w:rPr>
          <w:szCs w:val="22"/>
          <w:lang w:eastAsia="cs-CZ"/>
        </w:rPr>
      </w:pPr>
      <w:r w:rsidRPr="009C286A">
        <w:rPr>
          <w:szCs w:val="22"/>
          <w:lang w:eastAsia="cs-CZ"/>
        </w:rPr>
        <w:t>Dexmedetomidín zvyčaj</w:t>
      </w:r>
      <w:r w:rsidR="007A5C4F">
        <w:rPr>
          <w:szCs w:val="22"/>
          <w:lang w:eastAsia="cs-CZ"/>
        </w:rPr>
        <w:t>ne nespôsobuje hlbokú sedáciu a </w:t>
      </w:r>
      <w:r w:rsidRPr="009C286A">
        <w:rPr>
          <w:szCs w:val="22"/>
          <w:lang w:eastAsia="cs-CZ"/>
        </w:rPr>
        <w:t>pacientov možno ľahko prebudiť. Podávanie dexmedetomidí</w:t>
      </w:r>
      <w:r w:rsidR="007A5C4F">
        <w:rPr>
          <w:szCs w:val="22"/>
          <w:lang w:eastAsia="cs-CZ"/>
        </w:rPr>
        <w:t>nu preto nie je vhodné u </w:t>
      </w:r>
      <w:r w:rsidRPr="009C286A">
        <w:rPr>
          <w:szCs w:val="22"/>
          <w:lang w:eastAsia="cs-CZ"/>
        </w:rPr>
        <w:t>pacientov, ktorí netolerujú tento profil účinkov, napr. u pacientov vyžadujúcich nepretržitú hlbokú sedáciu.</w:t>
      </w:r>
    </w:p>
    <w:p w14:paraId="273C1F93" w14:textId="77777777" w:rsidR="009C286A" w:rsidRPr="009C286A" w:rsidRDefault="009C286A" w:rsidP="009C286A">
      <w:pPr>
        <w:autoSpaceDE w:val="0"/>
        <w:autoSpaceDN w:val="0"/>
        <w:adjustRightInd w:val="0"/>
        <w:rPr>
          <w:szCs w:val="22"/>
          <w:lang w:eastAsia="cs-CZ"/>
        </w:rPr>
      </w:pPr>
    </w:p>
    <w:p w14:paraId="48941E8C" w14:textId="77777777" w:rsidR="009C286A" w:rsidRPr="009C286A" w:rsidRDefault="007A5C4F" w:rsidP="009C286A">
      <w:pPr>
        <w:autoSpaceDE w:val="0"/>
        <w:autoSpaceDN w:val="0"/>
        <w:adjustRightInd w:val="0"/>
        <w:rPr>
          <w:szCs w:val="22"/>
          <w:lang w:eastAsia="cs-CZ"/>
        </w:rPr>
      </w:pPr>
      <w:r>
        <w:rPr>
          <w:szCs w:val="22"/>
        </w:rPr>
        <w:t>Dexmedetomidine Mylan</w:t>
      </w:r>
      <w:r w:rsidR="009C286A" w:rsidRPr="009C286A">
        <w:rPr>
          <w:szCs w:val="22"/>
          <w:lang w:eastAsia="cs-CZ"/>
        </w:rPr>
        <w:t xml:space="preserve"> sa nemá používať ako celkové anestetické indukčné činidlo na intubáciu ani na zabezpečenie sedácie pri používaní myorelaxancia.</w:t>
      </w:r>
    </w:p>
    <w:p w14:paraId="7564BA05" w14:textId="77777777" w:rsidR="009C286A" w:rsidRPr="009C286A" w:rsidRDefault="009C286A" w:rsidP="009C286A">
      <w:pPr>
        <w:autoSpaceDE w:val="0"/>
        <w:autoSpaceDN w:val="0"/>
        <w:adjustRightInd w:val="0"/>
        <w:rPr>
          <w:szCs w:val="22"/>
          <w:lang w:eastAsia="cs-CZ"/>
        </w:rPr>
      </w:pPr>
    </w:p>
    <w:p w14:paraId="344157DD" w14:textId="77777777" w:rsidR="009C286A" w:rsidRPr="009C286A" w:rsidRDefault="009C286A" w:rsidP="009C286A">
      <w:pPr>
        <w:autoSpaceDE w:val="0"/>
        <w:autoSpaceDN w:val="0"/>
        <w:adjustRightInd w:val="0"/>
        <w:rPr>
          <w:szCs w:val="22"/>
          <w:lang w:eastAsia="cs-CZ"/>
        </w:rPr>
      </w:pPr>
      <w:r w:rsidRPr="009C286A">
        <w:rPr>
          <w:szCs w:val="22"/>
          <w:lang w:eastAsia="cs-CZ"/>
        </w:rPr>
        <w:t>Dexmedetomidín nemá antikonvulzívny účinok niektorých iných</w:t>
      </w:r>
      <w:r w:rsidR="007A5C4F">
        <w:rPr>
          <w:szCs w:val="22"/>
          <w:lang w:eastAsia="cs-CZ"/>
        </w:rPr>
        <w:t xml:space="preserve"> sedatív, a </w:t>
      </w:r>
      <w:r w:rsidRPr="009C286A">
        <w:rPr>
          <w:szCs w:val="22"/>
          <w:lang w:eastAsia="cs-CZ"/>
        </w:rPr>
        <w:t>preto nebude potláčať aktivitu záchvatov kŕčov.</w:t>
      </w:r>
    </w:p>
    <w:p w14:paraId="49D4917A" w14:textId="77777777" w:rsidR="009C286A" w:rsidRPr="009C286A" w:rsidRDefault="009C286A" w:rsidP="009C286A">
      <w:pPr>
        <w:rPr>
          <w:szCs w:val="22"/>
          <w:lang w:eastAsia="cs-CZ"/>
        </w:rPr>
      </w:pPr>
    </w:p>
    <w:p w14:paraId="7ADDC724" w14:textId="77777777" w:rsidR="009C286A" w:rsidRPr="009C286A" w:rsidRDefault="009C286A" w:rsidP="009C286A">
      <w:pPr>
        <w:autoSpaceDE w:val="0"/>
        <w:autoSpaceDN w:val="0"/>
        <w:adjustRightInd w:val="0"/>
        <w:rPr>
          <w:szCs w:val="22"/>
          <w:lang w:eastAsia="cs-CZ"/>
        </w:rPr>
      </w:pPr>
      <w:r w:rsidRPr="009F54F8">
        <w:rPr>
          <w:szCs w:val="22"/>
          <w:lang w:eastAsia="cs-CZ"/>
        </w:rPr>
        <w:t>Opatrnosť je potrebná pri kombinovaní dexmedetomidí</w:t>
      </w:r>
      <w:r w:rsidR="007A5C4F" w:rsidRPr="009F54F8">
        <w:rPr>
          <w:szCs w:val="22"/>
          <w:lang w:eastAsia="cs-CZ"/>
        </w:rPr>
        <w:t>nu s </w:t>
      </w:r>
      <w:r w:rsidRPr="009F54F8">
        <w:rPr>
          <w:szCs w:val="22"/>
          <w:lang w:eastAsia="cs-CZ"/>
        </w:rPr>
        <w:t>inými liečivami so sedatívnymi alebo</w:t>
      </w:r>
      <w:r w:rsidR="009C1F2C">
        <w:rPr>
          <w:szCs w:val="22"/>
          <w:lang w:eastAsia="cs-CZ"/>
        </w:rPr>
        <w:t xml:space="preserve"> </w:t>
      </w:r>
      <w:r w:rsidRPr="009C286A">
        <w:rPr>
          <w:szCs w:val="22"/>
          <w:lang w:eastAsia="cs-CZ"/>
        </w:rPr>
        <w:t>kardiovaskulárnymi účinkami, pretože sa môžu prejaviť aditívne účinky.</w:t>
      </w:r>
    </w:p>
    <w:p w14:paraId="292D9768" w14:textId="77777777" w:rsidR="009C286A" w:rsidRPr="009C286A" w:rsidRDefault="009C286A" w:rsidP="009C286A">
      <w:pPr>
        <w:autoSpaceDE w:val="0"/>
        <w:autoSpaceDN w:val="0"/>
        <w:adjustRightInd w:val="0"/>
        <w:rPr>
          <w:szCs w:val="22"/>
          <w:lang w:eastAsia="cs-CZ"/>
        </w:rPr>
      </w:pPr>
    </w:p>
    <w:p w14:paraId="551636D7" w14:textId="77777777" w:rsidR="009C286A" w:rsidRPr="009C286A" w:rsidRDefault="007A5C4F" w:rsidP="009C286A">
      <w:pPr>
        <w:autoSpaceDE w:val="0"/>
        <w:autoSpaceDN w:val="0"/>
        <w:adjustRightInd w:val="0"/>
        <w:rPr>
          <w:szCs w:val="22"/>
          <w:lang w:eastAsia="cs-CZ"/>
        </w:rPr>
      </w:pPr>
      <w:r>
        <w:rPr>
          <w:szCs w:val="22"/>
        </w:rPr>
        <w:t>Dexmedetomidine Mylan</w:t>
      </w:r>
      <w:r w:rsidRPr="009C286A">
        <w:rPr>
          <w:szCs w:val="22"/>
          <w:lang w:eastAsia="cs-CZ"/>
        </w:rPr>
        <w:t xml:space="preserve"> </w:t>
      </w:r>
      <w:r w:rsidR="009F54F8">
        <w:rPr>
          <w:szCs w:val="22"/>
          <w:lang w:eastAsia="cs-CZ"/>
        </w:rPr>
        <w:t>sa neodporúča u pacientov s </w:t>
      </w:r>
      <w:r w:rsidR="009C286A" w:rsidRPr="009C286A">
        <w:rPr>
          <w:szCs w:val="22"/>
          <w:lang w:eastAsia="cs-CZ"/>
        </w:rPr>
        <w:t>kontrolovano</w:t>
      </w:r>
      <w:r w:rsidR="009F54F8">
        <w:rPr>
          <w:szCs w:val="22"/>
          <w:lang w:eastAsia="cs-CZ"/>
        </w:rPr>
        <w:t>u sedáciou. Nie sú k </w:t>
      </w:r>
      <w:r w:rsidR="009C286A" w:rsidRPr="009C286A">
        <w:rPr>
          <w:szCs w:val="22"/>
          <w:lang w:eastAsia="cs-CZ"/>
        </w:rPr>
        <w:t>dispozícii dostatočné údaje.</w:t>
      </w:r>
    </w:p>
    <w:p w14:paraId="5042A993" w14:textId="77777777" w:rsidR="009C286A" w:rsidRPr="009C286A" w:rsidRDefault="009C286A" w:rsidP="009C286A">
      <w:pPr>
        <w:autoSpaceDE w:val="0"/>
        <w:autoSpaceDN w:val="0"/>
        <w:adjustRightInd w:val="0"/>
        <w:rPr>
          <w:szCs w:val="22"/>
          <w:lang w:eastAsia="cs-CZ"/>
        </w:rPr>
      </w:pPr>
    </w:p>
    <w:p w14:paraId="28705395" w14:textId="77777777" w:rsidR="009C286A" w:rsidRPr="009C286A" w:rsidRDefault="009C286A" w:rsidP="009C286A">
      <w:pPr>
        <w:autoSpaceDE w:val="0"/>
        <w:autoSpaceDN w:val="0"/>
        <w:adjustRightInd w:val="0"/>
        <w:rPr>
          <w:szCs w:val="22"/>
          <w:lang w:eastAsia="cs-CZ"/>
        </w:rPr>
      </w:pPr>
      <w:r w:rsidRPr="009C286A">
        <w:rPr>
          <w:szCs w:val="22"/>
          <w:lang w:eastAsia="cs-CZ"/>
        </w:rPr>
        <w:t>Ak sa dexmedetomidín</w:t>
      </w:r>
      <w:r w:rsidR="00AB5C05">
        <w:rPr>
          <w:szCs w:val="22"/>
          <w:lang w:eastAsia="cs-CZ"/>
        </w:rPr>
        <w:t xml:space="preserve"> používa v </w:t>
      </w:r>
      <w:r w:rsidRPr="009C286A">
        <w:rPr>
          <w:szCs w:val="22"/>
          <w:lang w:eastAsia="cs-CZ"/>
        </w:rPr>
        <w:t>ambulantných podmienkach, zvyčajne sa pacienti majú prepustiť</w:t>
      </w:r>
      <w:r w:rsidR="00AB5C05">
        <w:rPr>
          <w:szCs w:val="22"/>
          <w:lang w:eastAsia="cs-CZ"/>
        </w:rPr>
        <w:t xml:space="preserve"> </w:t>
      </w:r>
      <w:r w:rsidRPr="009C286A">
        <w:rPr>
          <w:szCs w:val="22"/>
          <w:lang w:eastAsia="cs-CZ"/>
        </w:rPr>
        <w:t xml:space="preserve">do starostlivosti vhodnej osoby. Pacientov je potrebné poučiť, aby po primerané časové obdobie, stanovené na základe pozorovaných účinkov dexmedetomidínu, podstúpeného zákroku, súbežnej </w:t>
      </w:r>
      <w:r w:rsidR="00AB5C05">
        <w:rPr>
          <w:szCs w:val="22"/>
          <w:lang w:eastAsia="cs-CZ"/>
        </w:rPr>
        <w:t>liečby, veku a </w:t>
      </w:r>
      <w:r w:rsidR="009D18E4">
        <w:rPr>
          <w:szCs w:val="22"/>
          <w:lang w:eastAsia="cs-CZ"/>
        </w:rPr>
        <w:t xml:space="preserve">stavu pacienta, </w:t>
      </w:r>
      <w:r w:rsidRPr="009C286A">
        <w:rPr>
          <w:szCs w:val="22"/>
          <w:lang w:eastAsia="cs-CZ"/>
        </w:rPr>
        <w:t xml:space="preserve">neviedli vozidlá alebo nevykonávali iné nebezpečné činnosti </w:t>
      </w:r>
      <w:r w:rsidR="00AB5C05">
        <w:rPr>
          <w:szCs w:val="22"/>
          <w:lang w:eastAsia="cs-CZ"/>
        </w:rPr>
        <w:t>a </w:t>
      </w:r>
      <w:r w:rsidRPr="009C286A">
        <w:rPr>
          <w:szCs w:val="22"/>
          <w:lang w:eastAsia="cs-CZ"/>
        </w:rPr>
        <w:t>ak je to možné, aby sa vyhýbali používaniu iných látok, ktoré môžu spôsobovať sedáciu (napr. benzodiazepíny, opioidy, alkohol).</w:t>
      </w:r>
    </w:p>
    <w:p w14:paraId="7843332C" w14:textId="77777777" w:rsidR="009C286A" w:rsidRPr="009C286A" w:rsidRDefault="009C286A" w:rsidP="009C286A">
      <w:pPr>
        <w:autoSpaceDE w:val="0"/>
        <w:autoSpaceDN w:val="0"/>
        <w:adjustRightInd w:val="0"/>
        <w:rPr>
          <w:szCs w:val="22"/>
          <w:lang w:eastAsia="cs-CZ"/>
        </w:rPr>
      </w:pPr>
    </w:p>
    <w:p w14:paraId="450F1A17" w14:textId="77777777" w:rsidR="009C286A" w:rsidRPr="009C286A" w:rsidRDefault="009C286A" w:rsidP="00AB5C05">
      <w:pPr>
        <w:autoSpaceDE w:val="0"/>
        <w:autoSpaceDN w:val="0"/>
        <w:adjustRightInd w:val="0"/>
        <w:rPr>
          <w:szCs w:val="22"/>
          <w:lang w:eastAsia="cs-CZ"/>
        </w:rPr>
      </w:pPr>
      <w:r w:rsidRPr="009C286A">
        <w:rPr>
          <w:szCs w:val="22"/>
          <w:lang w:eastAsia="cs-CZ"/>
        </w:rPr>
        <w:t>Pri podávaní dexmedetomidínu starším pacientom sa vyžaduje opatrnos</w:t>
      </w:r>
      <w:r w:rsidR="00AB5C05">
        <w:rPr>
          <w:szCs w:val="22"/>
          <w:lang w:eastAsia="cs-CZ"/>
        </w:rPr>
        <w:t>ť. Starší pacienti vo veku viac ako 65 </w:t>
      </w:r>
      <w:r w:rsidRPr="009C286A">
        <w:rPr>
          <w:szCs w:val="22"/>
          <w:lang w:eastAsia="cs-CZ"/>
        </w:rPr>
        <w:t>rokov môžu byť pri podávaní dexmedetomidínu pri výkonoch, vrátane nasycovacej dávky,</w:t>
      </w:r>
      <w:r w:rsidR="00AB5C05">
        <w:rPr>
          <w:szCs w:val="22"/>
          <w:lang w:eastAsia="cs-CZ"/>
        </w:rPr>
        <w:t xml:space="preserve"> </w:t>
      </w:r>
      <w:r w:rsidRPr="009C286A">
        <w:rPr>
          <w:szCs w:val="22"/>
          <w:lang w:eastAsia="cs-CZ"/>
        </w:rPr>
        <w:t>náchylnejší na vznik hypotenzie. Má sa zv</w:t>
      </w:r>
      <w:r w:rsidR="00AB5C05">
        <w:rPr>
          <w:szCs w:val="22"/>
          <w:lang w:eastAsia="cs-CZ"/>
        </w:rPr>
        <w:t>ážiť zníženie dávky. Pozri časť </w:t>
      </w:r>
      <w:r w:rsidRPr="009C286A">
        <w:rPr>
          <w:szCs w:val="22"/>
          <w:lang w:eastAsia="cs-CZ"/>
        </w:rPr>
        <w:t>4.2.</w:t>
      </w:r>
    </w:p>
    <w:p w14:paraId="6F68CEFA" w14:textId="77777777" w:rsidR="009C286A" w:rsidRPr="009C286A" w:rsidRDefault="009C286A" w:rsidP="009C286A">
      <w:pPr>
        <w:rPr>
          <w:szCs w:val="22"/>
          <w:lang w:eastAsia="cs-CZ"/>
        </w:rPr>
      </w:pPr>
    </w:p>
    <w:p w14:paraId="22D938DE" w14:textId="77777777" w:rsidR="009C286A" w:rsidRPr="009C286A" w:rsidRDefault="009C286A" w:rsidP="007A5C4F">
      <w:pPr>
        <w:keepNext/>
        <w:rPr>
          <w:szCs w:val="22"/>
          <w:lang w:eastAsia="cs-CZ"/>
        </w:rPr>
      </w:pPr>
      <w:r w:rsidRPr="009C286A">
        <w:rPr>
          <w:szCs w:val="22"/>
          <w:u w:val="single"/>
          <w:lang w:eastAsia="cs-CZ"/>
        </w:rPr>
        <w:t>Kardiovaskulárne účinky a opatrenia</w:t>
      </w:r>
    </w:p>
    <w:p w14:paraId="026773CB" w14:textId="451FBFEB" w:rsidR="009C286A" w:rsidRPr="009C286A" w:rsidRDefault="009C286A" w:rsidP="009C286A">
      <w:pPr>
        <w:autoSpaceDE w:val="0"/>
        <w:autoSpaceDN w:val="0"/>
        <w:adjustRightInd w:val="0"/>
        <w:rPr>
          <w:szCs w:val="22"/>
          <w:lang w:eastAsia="cs-CZ"/>
        </w:rPr>
      </w:pPr>
      <w:r w:rsidRPr="009C286A">
        <w:rPr>
          <w:szCs w:val="22"/>
          <w:lang w:eastAsia="cs-CZ"/>
        </w:rPr>
        <w:t>Dexmedetomidí</w:t>
      </w:r>
      <w:r w:rsidR="00261A37">
        <w:rPr>
          <w:szCs w:val="22"/>
          <w:lang w:eastAsia="cs-CZ"/>
        </w:rPr>
        <w:t>n znižuje tepovú frekvenciu a</w:t>
      </w:r>
      <w:r w:rsidR="003E2AC0">
        <w:rPr>
          <w:szCs w:val="22"/>
          <w:lang w:eastAsia="cs-CZ"/>
        </w:rPr>
        <w:t xml:space="preserve"> krvný </w:t>
      </w:r>
      <w:r w:rsidRPr="009C286A">
        <w:rPr>
          <w:szCs w:val="22"/>
          <w:lang w:eastAsia="cs-CZ"/>
        </w:rPr>
        <w:t>tlak prostredníctvom centrálneho sympatolytického účinku, no pri vyšších koncentráciách spôsobuje periférnu vazokonstrikciu, ktorá vedie k</w:t>
      </w:r>
      <w:r w:rsidR="00AB5C05">
        <w:rPr>
          <w:szCs w:val="22"/>
          <w:lang w:eastAsia="cs-CZ"/>
        </w:rPr>
        <w:t> </w:t>
      </w:r>
      <w:r w:rsidR="00261A37">
        <w:rPr>
          <w:szCs w:val="22"/>
          <w:lang w:eastAsia="cs-CZ"/>
        </w:rPr>
        <w:t>hypertenzii (pozri časť </w:t>
      </w:r>
      <w:r w:rsidR="00AB5C05">
        <w:rPr>
          <w:szCs w:val="22"/>
          <w:lang w:eastAsia="cs-CZ"/>
        </w:rPr>
        <w:t xml:space="preserve">5.1). </w:t>
      </w:r>
      <w:r w:rsidRPr="009C286A">
        <w:rPr>
          <w:szCs w:val="22"/>
          <w:lang w:eastAsia="cs-CZ"/>
        </w:rPr>
        <w:t>Dexmedetomidín preto nie je vhodný pre pacientov s ťažkou kardiovaskulárnou nestabilitou.</w:t>
      </w:r>
    </w:p>
    <w:p w14:paraId="55D1EFBD" w14:textId="77777777" w:rsidR="009C286A" w:rsidRPr="009C286A" w:rsidRDefault="009C286A" w:rsidP="009C286A">
      <w:pPr>
        <w:rPr>
          <w:szCs w:val="22"/>
          <w:lang w:eastAsia="cs-CZ"/>
        </w:rPr>
      </w:pPr>
    </w:p>
    <w:p w14:paraId="2C14FC49" w14:textId="77777777" w:rsidR="000D65AA" w:rsidRPr="000173CE" w:rsidRDefault="009C286A" w:rsidP="000D65AA">
      <w:pPr>
        <w:tabs>
          <w:tab w:val="clear" w:pos="567"/>
        </w:tabs>
        <w:autoSpaceDE w:val="0"/>
        <w:autoSpaceDN w:val="0"/>
        <w:adjustRightInd w:val="0"/>
        <w:spacing w:line="240" w:lineRule="auto"/>
        <w:rPr>
          <w:szCs w:val="22"/>
          <w:lang w:eastAsia="cs-CZ"/>
        </w:rPr>
      </w:pPr>
      <w:r w:rsidRPr="009C286A">
        <w:rPr>
          <w:szCs w:val="22"/>
          <w:lang w:eastAsia="cs-CZ"/>
        </w:rPr>
        <w:t>Opatrnosť je potrebná pri podávaní dexmedetomidí</w:t>
      </w:r>
      <w:r w:rsidR="00261A37">
        <w:rPr>
          <w:szCs w:val="22"/>
          <w:lang w:eastAsia="cs-CZ"/>
        </w:rPr>
        <w:t>nu pacientom s </w:t>
      </w:r>
      <w:r w:rsidRPr="009C286A">
        <w:rPr>
          <w:szCs w:val="22"/>
          <w:lang w:eastAsia="cs-CZ"/>
        </w:rPr>
        <w:t xml:space="preserve">preexistujúcou bradykardiou. Údaje </w:t>
      </w:r>
      <w:r w:rsidR="00261A37">
        <w:rPr>
          <w:szCs w:val="22"/>
          <w:lang w:eastAsia="cs-CZ"/>
        </w:rPr>
        <w:t>o </w:t>
      </w:r>
      <w:r w:rsidRPr="009C286A">
        <w:rPr>
          <w:szCs w:val="22"/>
          <w:lang w:eastAsia="cs-CZ"/>
        </w:rPr>
        <w:t>účinkoch dexmedetomidí</w:t>
      </w:r>
      <w:r w:rsidR="00261A37">
        <w:rPr>
          <w:szCs w:val="22"/>
          <w:lang w:eastAsia="cs-CZ"/>
        </w:rPr>
        <w:t>nu u pacientov s tepom &lt; 60 sú veľmi obmedzené a u </w:t>
      </w:r>
      <w:r w:rsidRPr="009C286A">
        <w:rPr>
          <w:szCs w:val="22"/>
          <w:lang w:eastAsia="cs-CZ"/>
        </w:rPr>
        <w:t>týchto pacientov je potrebná mimoriadna starostlivosť. Bradykardia si normálne nevyžaduje liečbu, no zvyčajne reaguje na anticholinergiká alebo na zníženie dávky, ak to bolo potrebné. Pacienti s </w:t>
      </w:r>
      <w:r w:rsidR="00EE3EDC">
        <w:rPr>
          <w:szCs w:val="22"/>
          <w:lang w:eastAsia="cs-CZ"/>
        </w:rPr>
        <w:t>výbornou fyzickou kondíciou a </w:t>
      </w:r>
      <w:r w:rsidRPr="009C286A">
        <w:rPr>
          <w:szCs w:val="22"/>
          <w:lang w:eastAsia="cs-CZ"/>
        </w:rPr>
        <w:t>pomalým kľudovým tepom môžu byť osobitne citliví na bradykardické účinky agonistov alfa-2 receptoru</w:t>
      </w:r>
      <w:r w:rsidR="00EE3EDC">
        <w:rPr>
          <w:szCs w:val="22"/>
          <w:lang w:eastAsia="cs-CZ"/>
        </w:rPr>
        <w:t xml:space="preserve"> a </w:t>
      </w:r>
      <w:r w:rsidRPr="009C286A">
        <w:rPr>
          <w:szCs w:val="22"/>
          <w:lang w:eastAsia="cs-CZ"/>
        </w:rPr>
        <w:t>hlásili sa prípady prechodného zastavenia sínusového uzla.</w:t>
      </w:r>
      <w:r w:rsidR="000D65AA">
        <w:rPr>
          <w:szCs w:val="22"/>
          <w:lang w:eastAsia="cs-CZ"/>
        </w:rPr>
        <w:t xml:space="preserve"> </w:t>
      </w:r>
      <w:r w:rsidR="000D65AA" w:rsidRPr="000173CE">
        <w:rPr>
          <w:szCs w:val="22"/>
          <w:lang w:eastAsia="cs-CZ"/>
        </w:rPr>
        <w:t>Boli hl</w:t>
      </w:r>
      <w:r w:rsidR="000D65AA" w:rsidRPr="000173CE">
        <w:rPr>
          <w:rFonts w:hint="eastAsia"/>
          <w:szCs w:val="22"/>
          <w:lang w:eastAsia="cs-CZ"/>
        </w:rPr>
        <w:t>á</w:t>
      </w:r>
      <w:r w:rsidR="000D65AA" w:rsidRPr="000173CE">
        <w:rPr>
          <w:szCs w:val="22"/>
          <w:lang w:eastAsia="cs-CZ"/>
        </w:rPr>
        <w:t>sen</w:t>
      </w:r>
      <w:r w:rsidR="000D65AA" w:rsidRPr="000173CE">
        <w:rPr>
          <w:rFonts w:hint="eastAsia"/>
          <w:szCs w:val="22"/>
          <w:lang w:eastAsia="cs-CZ"/>
        </w:rPr>
        <w:t>é</w:t>
      </w:r>
      <w:r w:rsidR="000D65AA" w:rsidRPr="000173CE">
        <w:rPr>
          <w:szCs w:val="22"/>
          <w:lang w:eastAsia="cs-CZ"/>
        </w:rPr>
        <w:t xml:space="preserve"> aj pr</w:t>
      </w:r>
      <w:r w:rsidR="000D65AA" w:rsidRPr="000173CE">
        <w:rPr>
          <w:rFonts w:hint="eastAsia"/>
          <w:szCs w:val="22"/>
          <w:lang w:eastAsia="cs-CZ"/>
        </w:rPr>
        <w:t>í</w:t>
      </w:r>
      <w:r w:rsidR="000D65AA" w:rsidRPr="000173CE">
        <w:rPr>
          <w:szCs w:val="22"/>
          <w:lang w:eastAsia="cs-CZ"/>
        </w:rPr>
        <w:t>pady</w:t>
      </w:r>
    </w:p>
    <w:p w14:paraId="71E6F9F4" w14:textId="4B80962D" w:rsidR="009C286A" w:rsidRPr="009C286A" w:rsidRDefault="000D65AA" w:rsidP="000D65AA">
      <w:pPr>
        <w:autoSpaceDE w:val="0"/>
        <w:autoSpaceDN w:val="0"/>
        <w:adjustRightInd w:val="0"/>
        <w:rPr>
          <w:szCs w:val="22"/>
          <w:lang w:eastAsia="cs-CZ"/>
        </w:rPr>
      </w:pPr>
      <w:r w:rsidRPr="000173CE">
        <w:rPr>
          <w:szCs w:val="22"/>
          <w:lang w:eastAsia="cs-CZ"/>
        </w:rPr>
        <w:t>z</w:t>
      </w:r>
      <w:r w:rsidRPr="000173CE">
        <w:rPr>
          <w:rFonts w:hint="eastAsia"/>
          <w:szCs w:val="22"/>
          <w:lang w:eastAsia="cs-CZ"/>
        </w:rPr>
        <w:t>á</w:t>
      </w:r>
      <w:r w:rsidRPr="000173CE">
        <w:rPr>
          <w:szCs w:val="22"/>
          <w:lang w:eastAsia="cs-CZ"/>
        </w:rPr>
        <w:t>stavy srdca, ktor</w:t>
      </w:r>
      <w:r w:rsidRPr="000173CE">
        <w:rPr>
          <w:rFonts w:hint="eastAsia"/>
          <w:szCs w:val="22"/>
          <w:lang w:eastAsia="cs-CZ"/>
        </w:rPr>
        <w:t>ý</w:t>
      </w:r>
      <w:r w:rsidRPr="000173CE">
        <w:rPr>
          <w:szCs w:val="22"/>
          <w:lang w:eastAsia="cs-CZ"/>
        </w:rPr>
        <w:t xml:space="preserve">m </w:t>
      </w:r>
      <w:r w:rsidRPr="000173CE">
        <w:rPr>
          <w:rFonts w:hint="eastAsia"/>
          <w:szCs w:val="22"/>
          <w:lang w:eastAsia="cs-CZ"/>
        </w:rPr>
        <w:t>č</w:t>
      </w:r>
      <w:r w:rsidRPr="000173CE">
        <w:rPr>
          <w:szCs w:val="22"/>
          <w:lang w:eastAsia="cs-CZ"/>
        </w:rPr>
        <w:t>asto predch</w:t>
      </w:r>
      <w:r w:rsidRPr="000173CE">
        <w:rPr>
          <w:rFonts w:hint="eastAsia"/>
          <w:szCs w:val="22"/>
          <w:lang w:eastAsia="cs-CZ"/>
        </w:rPr>
        <w:t>á</w:t>
      </w:r>
      <w:r w:rsidRPr="000173CE">
        <w:rPr>
          <w:szCs w:val="22"/>
          <w:lang w:eastAsia="cs-CZ"/>
        </w:rPr>
        <w:t>dzala bradykardia alebo atrioventrikul</w:t>
      </w:r>
      <w:r w:rsidRPr="000173CE">
        <w:rPr>
          <w:rFonts w:hint="eastAsia"/>
          <w:szCs w:val="22"/>
          <w:lang w:eastAsia="cs-CZ"/>
        </w:rPr>
        <w:t>á</w:t>
      </w:r>
      <w:r w:rsidRPr="000173CE">
        <w:rPr>
          <w:szCs w:val="22"/>
          <w:lang w:eastAsia="cs-CZ"/>
        </w:rPr>
        <w:t xml:space="preserve">rny blok (pozri </w:t>
      </w:r>
      <w:r w:rsidRPr="000173CE">
        <w:rPr>
          <w:rFonts w:hint="eastAsia"/>
          <w:szCs w:val="22"/>
          <w:lang w:eastAsia="cs-CZ"/>
        </w:rPr>
        <w:t>č</w:t>
      </w:r>
      <w:r w:rsidRPr="000173CE">
        <w:rPr>
          <w:szCs w:val="22"/>
          <w:lang w:eastAsia="cs-CZ"/>
        </w:rPr>
        <w:t>as</w:t>
      </w:r>
      <w:r w:rsidRPr="000173CE">
        <w:rPr>
          <w:rFonts w:hint="eastAsia"/>
          <w:szCs w:val="22"/>
          <w:lang w:eastAsia="cs-CZ"/>
        </w:rPr>
        <w:t>ť</w:t>
      </w:r>
      <w:r>
        <w:rPr>
          <w:szCs w:val="22"/>
          <w:lang w:eastAsia="cs-CZ"/>
        </w:rPr>
        <w:t> </w:t>
      </w:r>
      <w:r w:rsidRPr="000173CE">
        <w:rPr>
          <w:szCs w:val="22"/>
          <w:lang w:eastAsia="cs-CZ"/>
        </w:rPr>
        <w:t>4.8).</w:t>
      </w:r>
    </w:p>
    <w:p w14:paraId="451003BF" w14:textId="77777777" w:rsidR="009C286A" w:rsidRPr="009C286A" w:rsidRDefault="009C286A" w:rsidP="009C286A">
      <w:pPr>
        <w:rPr>
          <w:szCs w:val="22"/>
          <w:lang w:eastAsia="cs-CZ"/>
        </w:rPr>
      </w:pPr>
    </w:p>
    <w:p w14:paraId="126C84D7" w14:textId="77777777" w:rsidR="009C286A" w:rsidRPr="009C286A" w:rsidRDefault="009C286A" w:rsidP="009C286A">
      <w:pPr>
        <w:rPr>
          <w:szCs w:val="22"/>
          <w:lang w:eastAsia="cs-CZ"/>
        </w:rPr>
      </w:pPr>
      <w:r w:rsidRPr="009C286A">
        <w:rPr>
          <w:szCs w:val="22"/>
          <w:lang w:eastAsia="cs-CZ"/>
        </w:rPr>
        <w:t>Hypotenzívne účinky dexmedetomidínu môžu mať väčšiu dôležitosť u pacientov s preexistujúcou hypotenziou (najmä ak nereagujú na vazopresíva), hypovolémiou, chronickou hypotenziou alebo zníženou funkčnou rezervou, ako sú pacienti s ťažkou ventrikulárnou dysfunkciou a staršie osoby, a takéto prípady si vyžadujú mimoriadn</w:t>
      </w:r>
      <w:r w:rsidR="00EE3EDC">
        <w:rPr>
          <w:szCs w:val="22"/>
          <w:lang w:eastAsia="cs-CZ"/>
        </w:rPr>
        <w:t>u starostlivosť (pozri časť </w:t>
      </w:r>
      <w:r w:rsidRPr="009C286A">
        <w:rPr>
          <w:szCs w:val="22"/>
          <w:lang w:eastAsia="cs-CZ"/>
        </w:rPr>
        <w:t>4.3). Hypotenzia zvyčajne nevyžaduje špecifickú liečbu, no tam, kde je to potrebné, musia byť používatelia pripravení zasiahnuť pomocou zníženia dávky, tekutinami a/alebo vazokonstriktormi.</w:t>
      </w:r>
    </w:p>
    <w:p w14:paraId="6830E666" w14:textId="77777777" w:rsidR="009C286A" w:rsidRPr="009C286A" w:rsidRDefault="009C286A" w:rsidP="009C286A">
      <w:pPr>
        <w:rPr>
          <w:szCs w:val="22"/>
          <w:lang w:eastAsia="cs-CZ"/>
        </w:rPr>
      </w:pPr>
    </w:p>
    <w:p w14:paraId="3703BD08" w14:textId="77777777" w:rsidR="009C286A" w:rsidRPr="009C286A" w:rsidRDefault="009C286A" w:rsidP="009C286A">
      <w:pPr>
        <w:rPr>
          <w:szCs w:val="22"/>
          <w:lang w:eastAsia="cs-CZ"/>
        </w:rPr>
      </w:pPr>
      <w:r w:rsidRPr="009C286A">
        <w:rPr>
          <w:szCs w:val="22"/>
          <w:lang w:eastAsia="cs-CZ"/>
        </w:rPr>
        <w:t xml:space="preserve">Po začatí podávania dexmedetomidínu pacientom s poškodenou periférnou autonómnou činnosťou (napr. v dôsledku poranenia miechy) sa môžu omnoho nápadnejšie prejaviť hemodynamické zmeny, </w:t>
      </w:r>
      <w:r w:rsidR="00EE3EDC">
        <w:rPr>
          <w:szCs w:val="22"/>
          <w:lang w:eastAsia="cs-CZ"/>
        </w:rPr>
        <w:t>a majú sa liečiť s opatrnosťou.</w:t>
      </w:r>
    </w:p>
    <w:p w14:paraId="2577BDEA" w14:textId="77777777" w:rsidR="009C286A" w:rsidRPr="009C286A" w:rsidRDefault="009C286A" w:rsidP="009C286A">
      <w:pPr>
        <w:rPr>
          <w:szCs w:val="22"/>
          <w:lang w:eastAsia="cs-CZ"/>
        </w:rPr>
      </w:pPr>
    </w:p>
    <w:p w14:paraId="7DBD83F5" w14:textId="77777777" w:rsidR="009C286A" w:rsidRDefault="009C286A" w:rsidP="009C286A">
      <w:pPr>
        <w:rPr>
          <w:szCs w:val="22"/>
          <w:lang w:eastAsia="cs-CZ"/>
        </w:rPr>
      </w:pPr>
      <w:r w:rsidRPr="009C286A">
        <w:rPr>
          <w:szCs w:val="22"/>
          <w:lang w:eastAsia="cs-CZ"/>
        </w:rPr>
        <w:t>Prechodná hypertenzia sa pozorovala predovšetkým počas nasycovacej dávky v súvislosti s periférnymi vazokostriktívnymi účinkami dexmedetomidí</w:t>
      </w:r>
      <w:r w:rsidR="00261A37">
        <w:rPr>
          <w:szCs w:val="22"/>
          <w:lang w:eastAsia="cs-CZ"/>
        </w:rPr>
        <w:t>nu, a </w:t>
      </w:r>
      <w:r w:rsidRPr="009C286A">
        <w:rPr>
          <w:szCs w:val="22"/>
          <w:lang w:eastAsia="cs-CZ"/>
        </w:rPr>
        <w:t xml:space="preserve">pri sedácii na JIS sa nasycovacia </w:t>
      </w:r>
      <w:r w:rsidRPr="009C286A">
        <w:rPr>
          <w:szCs w:val="22"/>
          <w:lang w:eastAsia="cs-CZ"/>
        </w:rPr>
        <w:lastRenderedPageBreak/>
        <w:t xml:space="preserve">dávka neodporúča. Liečba hypertenzie zvyčajne nebola potrebná, no môže byť vhodné zníženie rýchlosti kontinuálnej infúzie. </w:t>
      </w:r>
    </w:p>
    <w:p w14:paraId="6A7C58EB" w14:textId="77777777" w:rsidR="00EE3EDC" w:rsidRPr="009C286A" w:rsidRDefault="00EE3EDC" w:rsidP="009C286A">
      <w:pPr>
        <w:rPr>
          <w:szCs w:val="22"/>
          <w:lang w:eastAsia="cs-CZ"/>
        </w:rPr>
      </w:pPr>
    </w:p>
    <w:p w14:paraId="3F6C2695" w14:textId="77777777" w:rsidR="009C286A" w:rsidRPr="009C286A" w:rsidRDefault="009C286A" w:rsidP="009C286A">
      <w:pPr>
        <w:rPr>
          <w:szCs w:val="22"/>
          <w:lang w:eastAsia="cs-CZ"/>
        </w:rPr>
      </w:pPr>
      <w:r w:rsidRPr="009C286A">
        <w:rPr>
          <w:szCs w:val="22"/>
          <w:lang w:eastAsia="cs-CZ"/>
        </w:rPr>
        <w:t>Lokálna vazokonstrikcia pri vyššej koncentrácii môže byt oveľa významnejšia u pacientov s ischemickou chorobou srdca alebo ťažkým cerebrovaskulárnym ochorením, ktorí sa majú pozorne monitorovať. Zníženie dávky alebo vysadenie liečby sa má zvážiť u pacientov, u ktorých sa vyvíjajú známky myokardiál</w:t>
      </w:r>
      <w:r w:rsidR="00EE3EDC">
        <w:rPr>
          <w:szCs w:val="22"/>
          <w:lang w:eastAsia="cs-CZ"/>
        </w:rPr>
        <w:t>nej alebo cerebrálnej ischémie.</w:t>
      </w:r>
    </w:p>
    <w:p w14:paraId="3310FB98" w14:textId="77777777" w:rsidR="009C286A" w:rsidRPr="009C286A" w:rsidRDefault="009C286A" w:rsidP="009C286A">
      <w:pPr>
        <w:rPr>
          <w:szCs w:val="22"/>
          <w:lang w:eastAsia="cs-CZ"/>
        </w:rPr>
      </w:pPr>
    </w:p>
    <w:p w14:paraId="2D90CB6A" w14:textId="77777777" w:rsidR="009C286A" w:rsidRPr="009C286A" w:rsidRDefault="009C286A" w:rsidP="009C286A">
      <w:pPr>
        <w:rPr>
          <w:szCs w:val="22"/>
          <w:lang w:eastAsia="cs-CZ"/>
        </w:rPr>
      </w:pPr>
      <w:r w:rsidRPr="009C286A">
        <w:rPr>
          <w:szCs w:val="22"/>
          <w:lang w:eastAsia="cs-CZ"/>
        </w:rPr>
        <w:t>Opatrnosť sa odporúča pri podávaní dexmedetomidínu súbežne so spinálnou alebo epidurálnou anestéziou z dôvodu možného zvýšeného rizik</w:t>
      </w:r>
      <w:r w:rsidR="00EE3EDC">
        <w:rPr>
          <w:szCs w:val="22"/>
          <w:lang w:eastAsia="cs-CZ"/>
        </w:rPr>
        <w:t>a hypotenzie alebo bradykardie.</w:t>
      </w:r>
    </w:p>
    <w:p w14:paraId="26D86924" w14:textId="77777777" w:rsidR="009C286A" w:rsidRPr="009C286A" w:rsidRDefault="009C286A" w:rsidP="009C286A">
      <w:pPr>
        <w:rPr>
          <w:szCs w:val="22"/>
          <w:lang w:eastAsia="cs-CZ"/>
        </w:rPr>
      </w:pPr>
    </w:p>
    <w:p w14:paraId="5746566E" w14:textId="77777777" w:rsidR="009C286A" w:rsidRPr="009C286A" w:rsidRDefault="009C286A" w:rsidP="007A5C4F">
      <w:pPr>
        <w:keepNext/>
        <w:rPr>
          <w:szCs w:val="22"/>
          <w:lang w:eastAsia="cs-CZ"/>
        </w:rPr>
      </w:pPr>
      <w:r w:rsidRPr="009C286A">
        <w:rPr>
          <w:szCs w:val="22"/>
          <w:u w:val="single"/>
          <w:lang w:eastAsia="cs-CZ"/>
        </w:rPr>
        <w:t>Pacienti s poruchou funkcie pečene</w:t>
      </w:r>
    </w:p>
    <w:p w14:paraId="406E9752" w14:textId="77777777" w:rsidR="009C286A" w:rsidRPr="009C286A" w:rsidRDefault="009C286A" w:rsidP="009C286A">
      <w:pPr>
        <w:autoSpaceDE w:val="0"/>
        <w:autoSpaceDN w:val="0"/>
        <w:adjustRightInd w:val="0"/>
        <w:rPr>
          <w:szCs w:val="22"/>
          <w:lang w:eastAsia="cs-CZ"/>
        </w:rPr>
      </w:pPr>
      <w:r w:rsidRPr="009C286A">
        <w:rPr>
          <w:szCs w:val="22"/>
          <w:lang w:eastAsia="cs-CZ"/>
        </w:rPr>
        <w:t>Pri ťažkej poruche funkcie pečene je potrebná opatrnosť, pretože príliš vysoké dávky môžu v dôsledku zníženého klírensu dexmedetomidínu zvýšiť riziko nežiaducich reakcií, nadmernej sedácie alebo predĺžiť účinok.</w:t>
      </w:r>
    </w:p>
    <w:p w14:paraId="6DB00B10" w14:textId="77777777" w:rsidR="009C286A" w:rsidRPr="009C286A" w:rsidRDefault="009C286A" w:rsidP="009C286A">
      <w:pPr>
        <w:autoSpaceDE w:val="0"/>
        <w:autoSpaceDN w:val="0"/>
        <w:adjustRightInd w:val="0"/>
        <w:rPr>
          <w:szCs w:val="22"/>
          <w:lang w:eastAsia="cs-CZ"/>
        </w:rPr>
      </w:pPr>
    </w:p>
    <w:p w14:paraId="15A562B2" w14:textId="77777777" w:rsidR="009C286A" w:rsidRPr="009C286A" w:rsidRDefault="009C286A" w:rsidP="007A5C4F">
      <w:pPr>
        <w:keepNext/>
        <w:autoSpaceDE w:val="0"/>
        <w:autoSpaceDN w:val="0"/>
        <w:adjustRightInd w:val="0"/>
        <w:rPr>
          <w:szCs w:val="22"/>
          <w:lang w:eastAsia="cs-CZ"/>
        </w:rPr>
      </w:pPr>
      <w:r w:rsidRPr="009C286A">
        <w:rPr>
          <w:szCs w:val="22"/>
          <w:u w:val="single"/>
          <w:lang w:eastAsia="cs-CZ"/>
        </w:rPr>
        <w:t>Pacienti s neurologickými ochoreniami</w:t>
      </w:r>
    </w:p>
    <w:p w14:paraId="04C80023" w14:textId="77777777" w:rsidR="009C286A" w:rsidRPr="009C286A" w:rsidRDefault="009C286A" w:rsidP="009C286A">
      <w:pPr>
        <w:autoSpaceDE w:val="0"/>
        <w:autoSpaceDN w:val="0"/>
        <w:adjustRightInd w:val="0"/>
        <w:rPr>
          <w:szCs w:val="22"/>
          <w:lang w:eastAsia="cs-CZ"/>
        </w:rPr>
      </w:pPr>
      <w:r w:rsidRPr="009C286A">
        <w:rPr>
          <w:szCs w:val="22"/>
          <w:lang w:eastAsia="cs-CZ"/>
        </w:rPr>
        <w:t>Skúseno</w:t>
      </w:r>
      <w:r w:rsidR="00EE3EDC">
        <w:rPr>
          <w:szCs w:val="22"/>
          <w:lang w:eastAsia="cs-CZ"/>
        </w:rPr>
        <w:t>sti s </w:t>
      </w:r>
      <w:r w:rsidRPr="009C286A">
        <w:rPr>
          <w:szCs w:val="22"/>
          <w:lang w:eastAsia="cs-CZ"/>
        </w:rPr>
        <w:t>dexmedetomidínom pri ťažkých neurologických poruchách, ako je poranenie hlavy a stav po</w:t>
      </w:r>
      <w:r w:rsidR="00EE3EDC">
        <w:rPr>
          <w:szCs w:val="22"/>
          <w:lang w:eastAsia="cs-CZ"/>
        </w:rPr>
        <w:t xml:space="preserve"> neurochirurgii, sú obmedzené a </w:t>
      </w:r>
      <w:r w:rsidRPr="009C286A">
        <w:rPr>
          <w:szCs w:val="22"/>
          <w:lang w:eastAsia="cs-CZ"/>
        </w:rPr>
        <w:t>má sa v týchto prípadoch</w:t>
      </w:r>
      <w:r w:rsidR="00EE3EDC">
        <w:rPr>
          <w:szCs w:val="22"/>
          <w:lang w:eastAsia="cs-CZ"/>
        </w:rPr>
        <w:t xml:space="preserve"> používať s </w:t>
      </w:r>
      <w:r w:rsidRPr="009C286A">
        <w:rPr>
          <w:szCs w:val="22"/>
          <w:lang w:eastAsia="cs-CZ"/>
        </w:rPr>
        <w:t>opatrnosťou, najmä ak sa požaduje hlboká sedácia. Dexmedetomidí</w:t>
      </w:r>
      <w:r w:rsidR="00EE3EDC">
        <w:rPr>
          <w:szCs w:val="22"/>
          <w:lang w:eastAsia="cs-CZ"/>
        </w:rPr>
        <w:t>n môže znížiť prietok krvi v </w:t>
      </w:r>
      <w:r w:rsidRPr="009C286A">
        <w:rPr>
          <w:szCs w:val="22"/>
          <w:lang w:eastAsia="cs-CZ"/>
        </w:rPr>
        <w:t>moz</w:t>
      </w:r>
      <w:r w:rsidR="00EE3EDC">
        <w:rPr>
          <w:szCs w:val="22"/>
          <w:lang w:eastAsia="cs-CZ"/>
        </w:rPr>
        <w:t>gu a </w:t>
      </w:r>
      <w:r w:rsidRPr="009C286A">
        <w:rPr>
          <w:szCs w:val="22"/>
          <w:lang w:eastAsia="cs-CZ"/>
        </w:rPr>
        <w:t>intrakraniálny tlak, čo sa má pri výbere liečby zohľadniť.</w:t>
      </w:r>
    </w:p>
    <w:p w14:paraId="07B9FE68" w14:textId="77777777" w:rsidR="009C286A" w:rsidRPr="009C286A" w:rsidRDefault="009C286A" w:rsidP="009C286A">
      <w:pPr>
        <w:autoSpaceDE w:val="0"/>
        <w:autoSpaceDN w:val="0"/>
        <w:adjustRightInd w:val="0"/>
        <w:rPr>
          <w:szCs w:val="22"/>
          <w:lang w:eastAsia="cs-CZ"/>
        </w:rPr>
      </w:pPr>
    </w:p>
    <w:p w14:paraId="05619E65" w14:textId="77777777" w:rsidR="009C286A" w:rsidRPr="009C286A" w:rsidRDefault="009C286A" w:rsidP="007A5C4F">
      <w:pPr>
        <w:keepNext/>
        <w:autoSpaceDE w:val="0"/>
        <w:autoSpaceDN w:val="0"/>
        <w:adjustRightInd w:val="0"/>
        <w:rPr>
          <w:szCs w:val="22"/>
          <w:u w:val="single"/>
          <w:lang w:eastAsia="cs-CZ"/>
        </w:rPr>
      </w:pPr>
      <w:r w:rsidRPr="009C286A">
        <w:rPr>
          <w:szCs w:val="22"/>
          <w:u w:val="single"/>
          <w:lang w:eastAsia="cs-CZ"/>
        </w:rPr>
        <w:t>Ďalšie</w:t>
      </w:r>
    </w:p>
    <w:p w14:paraId="0D064E87" w14:textId="77777777" w:rsidR="009C286A" w:rsidRPr="009C286A" w:rsidRDefault="009C286A" w:rsidP="009C286A">
      <w:pPr>
        <w:autoSpaceDE w:val="0"/>
        <w:autoSpaceDN w:val="0"/>
        <w:adjustRightInd w:val="0"/>
        <w:rPr>
          <w:szCs w:val="22"/>
          <w:lang w:eastAsia="cs-CZ"/>
        </w:rPr>
      </w:pPr>
      <w:r w:rsidRPr="009C286A">
        <w:rPr>
          <w:szCs w:val="22"/>
          <w:lang w:eastAsia="cs-CZ"/>
        </w:rPr>
        <w:t>Alfa-2 agonisti</w:t>
      </w:r>
      <w:r w:rsidR="00EE3EDC">
        <w:rPr>
          <w:szCs w:val="22"/>
          <w:lang w:eastAsia="cs-CZ"/>
        </w:rPr>
        <w:t xml:space="preserve"> sa zriedkavo spájajú s </w:t>
      </w:r>
      <w:r w:rsidRPr="009C286A">
        <w:rPr>
          <w:szCs w:val="22"/>
          <w:lang w:eastAsia="cs-CZ"/>
        </w:rPr>
        <w:t>reakciami z</w:t>
      </w:r>
      <w:r w:rsidR="00EE3EDC">
        <w:rPr>
          <w:szCs w:val="22"/>
          <w:lang w:eastAsia="cs-CZ"/>
        </w:rPr>
        <w:t> </w:t>
      </w:r>
      <w:r w:rsidRPr="009C286A">
        <w:rPr>
          <w:szCs w:val="22"/>
          <w:lang w:eastAsia="cs-CZ"/>
        </w:rPr>
        <w:t>vysadenia, ak sa náhle vysadia po dlhom užívaní. Táto m</w:t>
      </w:r>
      <w:r w:rsidR="00EE3EDC">
        <w:rPr>
          <w:szCs w:val="22"/>
          <w:lang w:eastAsia="cs-CZ"/>
        </w:rPr>
        <w:t>ožnosť sa má zohľadniť, ak sa u </w:t>
      </w:r>
      <w:r w:rsidRPr="009C286A">
        <w:rPr>
          <w:szCs w:val="22"/>
          <w:lang w:eastAsia="cs-CZ"/>
        </w:rPr>
        <w:t>pacienta krátko po vysadení dexmedetomidínu pr</w:t>
      </w:r>
      <w:r w:rsidR="00EE3EDC">
        <w:rPr>
          <w:szCs w:val="22"/>
          <w:lang w:eastAsia="cs-CZ"/>
        </w:rPr>
        <w:t>ejaví agitácia a </w:t>
      </w:r>
      <w:r w:rsidRPr="009C286A">
        <w:rPr>
          <w:szCs w:val="22"/>
          <w:lang w:eastAsia="cs-CZ"/>
        </w:rPr>
        <w:t>hypertenzia.</w:t>
      </w:r>
    </w:p>
    <w:p w14:paraId="45FF4F9C" w14:textId="77777777" w:rsidR="009C286A" w:rsidRPr="009C286A" w:rsidRDefault="009C286A" w:rsidP="009C286A">
      <w:pPr>
        <w:autoSpaceDE w:val="0"/>
        <w:autoSpaceDN w:val="0"/>
        <w:adjustRightInd w:val="0"/>
        <w:rPr>
          <w:szCs w:val="22"/>
          <w:lang w:eastAsia="cs-CZ"/>
        </w:rPr>
      </w:pPr>
    </w:p>
    <w:p w14:paraId="39C7C21E" w14:textId="3815F253" w:rsidR="009C286A" w:rsidRDefault="005D6FF9" w:rsidP="009C286A">
      <w:pPr>
        <w:autoSpaceDE w:val="0"/>
        <w:autoSpaceDN w:val="0"/>
        <w:adjustRightInd w:val="0"/>
        <w:rPr>
          <w:rFonts w:ascii="TimesNewRoman" w:hAnsi="TimesNewRoman" w:cs="TimesNewRoman"/>
          <w:szCs w:val="22"/>
          <w:lang w:eastAsia="cs-CZ"/>
        </w:rPr>
      </w:pPr>
      <w:r w:rsidRPr="00193980">
        <w:rPr>
          <w:szCs w:val="22"/>
          <w:lang w:eastAsia="cs-CZ"/>
        </w:rPr>
        <w:t xml:space="preserve">Dexmedetomidín môže </w:t>
      </w:r>
      <w:r w:rsidR="00C05472">
        <w:rPr>
          <w:szCs w:val="22"/>
          <w:lang w:eastAsia="cs-CZ"/>
        </w:rPr>
        <w:t>vyvolať</w:t>
      </w:r>
      <w:r w:rsidRPr="00193980">
        <w:rPr>
          <w:szCs w:val="22"/>
          <w:lang w:eastAsia="cs-CZ"/>
        </w:rPr>
        <w:t xml:space="preserve"> hypertermiu, ktorá môže byť </w:t>
      </w:r>
      <w:r w:rsidR="00C05472">
        <w:rPr>
          <w:szCs w:val="22"/>
          <w:lang w:eastAsia="cs-CZ"/>
        </w:rPr>
        <w:t>odolná voči</w:t>
      </w:r>
      <w:r w:rsidRPr="00193980">
        <w:rPr>
          <w:szCs w:val="22"/>
          <w:lang w:eastAsia="cs-CZ"/>
        </w:rPr>
        <w:t xml:space="preserve"> tradičn</w:t>
      </w:r>
      <w:r w:rsidR="00C05472">
        <w:rPr>
          <w:szCs w:val="22"/>
          <w:lang w:eastAsia="cs-CZ"/>
        </w:rPr>
        <w:t>ým</w:t>
      </w:r>
      <w:r w:rsidRPr="00193980">
        <w:rPr>
          <w:szCs w:val="22"/>
          <w:lang w:eastAsia="cs-CZ"/>
        </w:rPr>
        <w:t xml:space="preserve"> metód</w:t>
      </w:r>
      <w:r w:rsidR="00C05472">
        <w:rPr>
          <w:szCs w:val="22"/>
          <w:lang w:eastAsia="cs-CZ"/>
        </w:rPr>
        <w:t>am</w:t>
      </w:r>
      <w:r w:rsidRPr="00193980">
        <w:rPr>
          <w:szCs w:val="22"/>
          <w:lang w:eastAsia="cs-CZ"/>
        </w:rPr>
        <w:t xml:space="preserve"> </w:t>
      </w:r>
      <w:r w:rsidR="00C05472">
        <w:rPr>
          <w:szCs w:val="22"/>
          <w:lang w:eastAsia="cs-CZ"/>
        </w:rPr>
        <w:t>o</w:t>
      </w:r>
      <w:r w:rsidRPr="00193980">
        <w:rPr>
          <w:szCs w:val="22"/>
          <w:lang w:eastAsia="cs-CZ"/>
        </w:rPr>
        <w:t>chlad</w:t>
      </w:r>
      <w:r w:rsidR="00C05472">
        <w:rPr>
          <w:szCs w:val="22"/>
          <w:lang w:eastAsia="cs-CZ"/>
        </w:rPr>
        <w:t>zova</w:t>
      </w:r>
      <w:r w:rsidRPr="00193980">
        <w:rPr>
          <w:szCs w:val="22"/>
          <w:lang w:eastAsia="cs-CZ"/>
        </w:rPr>
        <w:t>nia.</w:t>
      </w:r>
      <w:bookmarkStart w:id="3" w:name="_Hlk15374092"/>
      <w:r w:rsidR="00082056" w:rsidRPr="00193980">
        <w:rPr>
          <w:szCs w:val="22"/>
          <w:lang w:eastAsia="cs-CZ"/>
        </w:rPr>
        <w:t xml:space="preserve"> Liečba dexmedetomidínom</w:t>
      </w:r>
      <w:r w:rsidR="00082056" w:rsidRPr="00193980" w:rsidDel="005D6FF9">
        <w:rPr>
          <w:szCs w:val="22"/>
          <w:lang w:eastAsia="cs-CZ"/>
        </w:rPr>
        <w:t xml:space="preserve"> </w:t>
      </w:r>
      <w:r w:rsidR="00082056" w:rsidRPr="00193980">
        <w:rPr>
          <w:szCs w:val="22"/>
          <w:lang w:eastAsia="cs-CZ"/>
        </w:rPr>
        <w:t xml:space="preserve">sa má ukončiť v prípade </w:t>
      </w:r>
      <w:r w:rsidR="00C05472">
        <w:rPr>
          <w:szCs w:val="22"/>
          <w:lang w:eastAsia="cs-CZ"/>
        </w:rPr>
        <w:t>pretrvávajúcej</w:t>
      </w:r>
      <w:r w:rsidR="00082056" w:rsidRPr="00193980">
        <w:rPr>
          <w:szCs w:val="22"/>
          <w:lang w:eastAsia="cs-CZ"/>
        </w:rPr>
        <w:t xml:space="preserve"> horúčky z neobjasnenej príčiny a</w:t>
      </w:r>
      <w:r w:rsidR="00C05472">
        <w:rPr>
          <w:szCs w:val="22"/>
          <w:lang w:eastAsia="cs-CZ"/>
        </w:rPr>
        <w:t xml:space="preserve"> liečba </w:t>
      </w:r>
      <w:r w:rsidR="00C05472" w:rsidRPr="00193980">
        <w:rPr>
          <w:szCs w:val="22"/>
          <w:lang w:eastAsia="cs-CZ"/>
        </w:rPr>
        <w:t xml:space="preserve">sa </w:t>
      </w:r>
      <w:r w:rsidR="00082056" w:rsidRPr="00193980">
        <w:rPr>
          <w:szCs w:val="22"/>
          <w:lang w:eastAsia="cs-CZ"/>
        </w:rPr>
        <w:t xml:space="preserve">neodporúča u pacientov </w:t>
      </w:r>
      <w:r w:rsidR="00C05472">
        <w:rPr>
          <w:szCs w:val="22"/>
          <w:lang w:eastAsia="cs-CZ"/>
        </w:rPr>
        <w:t>citlivých na</w:t>
      </w:r>
      <w:r w:rsidR="00082056" w:rsidRPr="00193980">
        <w:rPr>
          <w:szCs w:val="22"/>
          <w:lang w:eastAsia="cs-CZ"/>
        </w:rPr>
        <w:t> malígnu hypertermiu.</w:t>
      </w:r>
      <w:bookmarkEnd w:id="3"/>
    </w:p>
    <w:p w14:paraId="3F6ED848" w14:textId="77777777" w:rsidR="00082056" w:rsidRDefault="00082056" w:rsidP="009C286A">
      <w:pPr>
        <w:autoSpaceDE w:val="0"/>
        <w:autoSpaceDN w:val="0"/>
        <w:adjustRightInd w:val="0"/>
        <w:rPr>
          <w:rFonts w:ascii="TimesNewRoman" w:hAnsi="TimesNewRoman" w:cs="TimesNewRoman"/>
          <w:szCs w:val="22"/>
          <w:lang w:eastAsia="cs-CZ"/>
        </w:rPr>
      </w:pPr>
    </w:p>
    <w:p w14:paraId="1A6C24C4" w14:textId="77777777" w:rsidR="00082056" w:rsidRPr="00E765A1" w:rsidRDefault="00082056" w:rsidP="00E765A1">
      <w:pPr>
        <w:keepNext/>
        <w:autoSpaceDE w:val="0"/>
        <w:autoSpaceDN w:val="0"/>
        <w:adjustRightInd w:val="0"/>
        <w:rPr>
          <w:szCs w:val="22"/>
          <w:u w:val="single"/>
          <w:lang w:eastAsia="cs-CZ"/>
        </w:rPr>
      </w:pPr>
      <w:r w:rsidRPr="00E765A1">
        <w:rPr>
          <w:szCs w:val="22"/>
          <w:u w:val="single"/>
          <w:lang w:eastAsia="cs-CZ"/>
        </w:rPr>
        <w:t>Pomocná látka so známym</w:t>
      </w:r>
      <w:r w:rsidR="00555B69">
        <w:rPr>
          <w:szCs w:val="22"/>
          <w:u w:val="single"/>
          <w:lang w:eastAsia="cs-CZ"/>
        </w:rPr>
        <w:t xml:space="preserve"> účinkom</w:t>
      </w:r>
      <w:r w:rsidRPr="00E765A1">
        <w:rPr>
          <w:szCs w:val="22"/>
          <w:u w:val="single"/>
          <w:lang w:eastAsia="cs-CZ"/>
        </w:rPr>
        <w:t>:</w:t>
      </w:r>
    </w:p>
    <w:p w14:paraId="41CB282D" w14:textId="044B20B3" w:rsidR="009C286A" w:rsidRPr="002550D2" w:rsidRDefault="009C286A" w:rsidP="009C286A">
      <w:pPr>
        <w:pStyle w:val="EMEAEnBodyText"/>
        <w:autoSpaceDE w:val="0"/>
        <w:autoSpaceDN w:val="0"/>
        <w:adjustRightInd w:val="0"/>
        <w:spacing w:before="0" w:after="0"/>
        <w:jc w:val="left"/>
        <w:rPr>
          <w:rFonts w:eastAsia="TimesNewRoman"/>
          <w:szCs w:val="22"/>
        </w:rPr>
      </w:pPr>
      <w:r w:rsidRPr="002550D2">
        <w:rPr>
          <w:rFonts w:eastAsia="TimesNewRoman"/>
          <w:szCs w:val="22"/>
        </w:rPr>
        <w:t>Tento liek ob</w:t>
      </w:r>
      <w:r w:rsidR="004B5448">
        <w:rPr>
          <w:rFonts w:eastAsia="TimesNewRoman"/>
          <w:szCs w:val="22"/>
        </w:rPr>
        <w:t>sahuje menej ako 1 mmol sodíka (23 </w:t>
      </w:r>
      <w:r w:rsidRPr="002550D2">
        <w:rPr>
          <w:rFonts w:eastAsia="TimesNewRoman"/>
          <w:szCs w:val="22"/>
        </w:rPr>
        <w:t xml:space="preserve">mg) </w:t>
      </w:r>
      <w:r w:rsidR="00711D69">
        <w:rPr>
          <w:rFonts w:eastAsia="TimesNewRoman"/>
          <w:szCs w:val="22"/>
        </w:rPr>
        <w:t xml:space="preserve">v jednej injekčnej liekovke, </w:t>
      </w:r>
      <w:r w:rsidRPr="00CB5511">
        <w:rPr>
          <w:rFonts w:eastAsia="TimesNewRoman"/>
          <w:szCs w:val="22"/>
        </w:rPr>
        <w:t>t</w:t>
      </w:r>
      <w:r w:rsidRPr="00F205DF">
        <w:rPr>
          <w:rFonts w:eastAsia="TimesNewRoman"/>
          <w:szCs w:val="22"/>
        </w:rPr>
        <w:t xml:space="preserve">.j. </w:t>
      </w:r>
      <w:r w:rsidRPr="00CB5511">
        <w:rPr>
          <w:rFonts w:eastAsia="TimesNewRoman"/>
          <w:szCs w:val="22"/>
        </w:rPr>
        <w:t>v</w:t>
      </w:r>
      <w:r w:rsidRPr="00F205DF">
        <w:rPr>
          <w:rFonts w:eastAsia="TimesNewRoman"/>
          <w:szCs w:val="22"/>
        </w:rPr>
        <w:t> </w:t>
      </w:r>
      <w:r w:rsidRPr="00CB5511">
        <w:rPr>
          <w:rFonts w:eastAsia="TimesNewRoman"/>
          <w:szCs w:val="22"/>
        </w:rPr>
        <w:t>podstate</w:t>
      </w:r>
      <w:r w:rsidRPr="00F205DF">
        <w:rPr>
          <w:rFonts w:eastAsia="TimesNewRoman"/>
          <w:szCs w:val="22"/>
        </w:rPr>
        <w:t xml:space="preserve"> zanedbateľné množstvo sodíka</w:t>
      </w:r>
      <w:r w:rsidRPr="00CB5511">
        <w:rPr>
          <w:rFonts w:eastAsia="TimesNewRoman"/>
          <w:szCs w:val="22"/>
        </w:rPr>
        <w:t>.</w:t>
      </w:r>
    </w:p>
    <w:p w14:paraId="29D1304C" w14:textId="77777777" w:rsidR="00812D16" w:rsidRPr="00BF5AB0" w:rsidRDefault="00812D16" w:rsidP="00204AAB">
      <w:pPr>
        <w:spacing w:line="240" w:lineRule="auto"/>
        <w:outlineLvl w:val="0"/>
      </w:pPr>
    </w:p>
    <w:p w14:paraId="5936A74E" w14:textId="77777777" w:rsidR="00812D16" w:rsidRPr="00891D76" w:rsidRDefault="0050541A" w:rsidP="00572506">
      <w:pPr>
        <w:keepNext/>
        <w:numPr>
          <w:ilvl w:val="1"/>
          <w:numId w:val="6"/>
        </w:numPr>
        <w:spacing w:line="240" w:lineRule="auto"/>
        <w:outlineLvl w:val="0"/>
      </w:pPr>
      <w:r w:rsidRPr="00BF5AB0">
        <w:rPr>
          <w:b/>
        </w:rPr>
        <w:t>Liekové a iné interakcie</w:t>
      </w:r>
    </w:p>
    <w:p w14:paraId="20BD310E" w14:textId="77777777" w:rsidR="00812D16" w:rsidRPr="0082445A" w:rsidRDefault="00812D16" w:rsidP="00085939">
      <w:pPr>
        <w:keepNext/>
        <w:spacing w:line="240" w:lineRule="auto"/>
      </w:pPr>
    </w:p>
    <w:p w14:paraId="150FB823" w14:textId="77777777" w:rsidR="004B5448" w:rsidRPr="002550D2" w:rsidRDefault="004B5448" w:rsidP="004B5448">
      <w:r w:rsidRPr="002550D2">
        <w:t>Štúdie interakcií sa uskutočnili len s dospelými.</w:t>
      </w:r>
    </w:p>
    <w:p w14:paraId="1717C639" w14:textId="77777777" w:rsidR="004B5448" w:rsidRPr="004B5448" w:rsidRDefault="004B5448" w:rsidP="004B5448"/>
    <w:p w14:paraId="061C3255" w14:textId="77777777" w:rsidR="004B5448" w:rsidRPr="004B5448" w:rsidRDefault="004B5448" w:rsidP="004B5448">
      <w:pPr>
        <w:autoSpaceDE w:val="0"/>
        <w:autoSpaceDN w:val="0"/>
        <w:adjustRightInd w:val="0"/>
        <w:rPr>
          <w:szCs w:val="22"/>
          <w:lang w:eastAsia="cs-CZ"/>
        </w:rPr>
      </w:pPr>
      <w:r w:rsidRPr="004B5448">
        <w:rPr>
          <w:szCs w:val="22"/>
          <w:lang w:eastAsia="cs-CZ"/>
        </w:rPr>
        <w:t>Súbežné podávanie dexmedetomidí</w:t>
      </w:r>
      <w:r>
        <w:rPr>
          <w:szCs w:val="22"/>
          <w:lang w:eastAsia="cs-CZ"/>
        </w:rPr>
        <w:t>nu s </w:t>
      </w:r>
      <w:r w:rsidRPr="004B5448">
        <w:rPr>
          <w:szCs w:val="22"/>
          <w:lang w:eastAsia="cs-CZ"/>
        </w:rPr>
        <w:t>anestetikami, sedatívami, hypnotikami a </w:t>
      </w:r>
      <w:r>
        <w:rPr>
          <w:szCs w:val="22"/>
          <w:lang w:eastAsia="cs-CZ"/>
        </w:rPr>
        <w:t>opiátmi pravdepodobne povedie k </w:t>
      </w:r>
      <w:r w:rsidRPr="004B5448">
        <w:rPr>
          <w:szCs w:val="22"/>
          <w:lang w:eastAsia="cs-CZ"/>
        </w:rPr>
        <w:t>zosilneniu účinkov, vrátane sedatívnych, anestetických a kardiorespiračných účinkov. Špecifické št</w:t>
      </w:r>
      <w:r w:rsidR="00861DE7">
        <w:rPr>
          <w:szCs w:val="22"/>
          <w:lang w:eastAsia="cs-CZ"/>
        </w:rPr>
        <w:t>údie potvrdili zvýšené účinky s </w:t>
      </w:r>
      <w:r w:rsidRPr="004B5448">
        <w:rPr>
          <w:szCs w:val="22"/>
          <w:lang w:eastAsia="cs-CZ"/>
        </w:rPr>
        <w:t>izofluranom, propofolom, alfentanilom a midazolamom.</w:t>
      </w:r>
    </w:p>
    <w:p w14:paraId="02C38E25" w14:textId="77777777" w:rsidR="004B5448" w:rsidRPr="004B5448" w:rsidRDefault="004B5448" w:rsidP="004B5448">
      <w:pPr>
        <w:autoSpaceDE w:val="0"/>
        <w:autoSpaceDN w:val="0"/>
        <w:adjustRightInd w:val="0"/>
        <w:rPr>
          <w:szCs w:val="22"/>
          <w:lang w:eastAsia="cs-CZ"/>
        </w:rPr>
      </w:pPr>
    </w:p>
    <w:p w14:paraId="2330DBD0" w14:textId="77777777" w:rsidR="004B5448" w:rsidRPr="004B5448" w:rsidRDefault="004B5448" w:rsidP="004B5448">
      <w:pPr>
        <w:autoSpaceDE w:val="0"/>
        <w:autoSpaceDN w:val="0"/>
        <w:adjustRightInd w:val="0"/>
        <w:rPr>
          <w:szCs w:val="22"/>
          <w:lang w:eastAsia="cs-CZ"/>
        </w:rPr>
      </w:pPr>
      <w:r w:rsidRPr="004B5448">
        <w:rPr>
          <w:szCs w:val="22"/>
          <w:lang w:eastAsia="cs-CZ"/>
        </w:rPr>
        <w:t>Nepreukázali sa žiadne farmakokinetické interakcie medzi dexmedetomidí</w:t>
      </w:r>
      <w:r w:rsidR="00861DE7">
        <w:rPr>
          <w:szCs w:val="22"/>
          <w:lang w:eastAsia="cs-CZ"/>
        </w:rPr>
        <w:t>nom a </w:t>
      </w:r>
      <w:r w:rsidRPr="004B5448">
        <w:rPr>
          <w:szCs w:val="22"/>
          <w:lang w:eastAsia="cs-CZ"/>
        </w:rPr>
        <w:t>izoflura</w:t>
      </w:r>
      <w:r w:rsidR="00861DE7">
        <w:rPr>
          <w:szCs w:val="22"/>
          <w:lang w:eastAsia="cs-CZ"/>
        </w:rPr>
        <w:t>nom, propofolom, alfentanilom a midazolamom. Z </w:t>
      </w:r>
      <w:r w:rsidRPr="004B5448">
        <w:rPr>
          <w:szCs w:val="22"/>
          <w:lang w:eastAsia="cs-CZ"/>
        </w:rPr>
        <w:t xml:space="preserve">dôvodu možných farmakodynamických interakcií </w:t>
      </w:r>
      <w:r w:rsidR="00861DE7">
        <w:rPr>
          <w:szCs w:val="22"/>
          <w:lang w:eastAsia="cs-CZ"/>
        </w:rPr>
        <w:t>sa však pri súbežnom podávaní s </w:t>
      </w:r>
      <w:r w:rsidRPr="004B5448">
        <w:rPr>
          <w:szCs w:val="22"/>
          <w:lang w:eastAsia="cs-CZ"/>
        </w:rPr>
        <w:t>dexmedetomidínom môže požadovať zníženie dávky dexmedetomidínu alebo súbežne podávaného anestetika, sedatíva, hypnotika alebo opiátu.</w:t>
      </w:r>
    </w:p>
    <w:p w14:paraId="246D8126" w14:textId="77777777" w:rsidR="004B5448" w:rsidRPr="004B5448" w:rsidRDefault="004B5448" w:rsidP="004B5448">
      <w:pPr>
        <w:autoSpaceDE w:val="0"/>
        <w:autoSpaceDN w:val="0"/>
        <w:adjustRightInd w:val="0"/>
        <w:rPr>
          <w:szCs w:val="22"/>
          <w:lang w:eastAsia="cs-CZ"/>
        </w:rPr>
      </w:pPr>
    </w:p>
    <w:p w14:paraId="18005D55" w14:textId="77777777" w:rsidR="004B5448" w:rsidRPr="004B5448" w:rsidRDefault="004B5448" w:rsidP="004B5448">
      <w:pPr>
        <w:autoSpaceDE w:val="0"/>
        <w:autoSpaceDN w:val="0"/>
        <w:adjustRightInd w:val="0"/>
        <w:rPr>
          <w:szCs w:val="22"/>
          <w:lang w:eastAsia="cs-CZ"/>
        </w:rPr>
      </w:pPr>
      <w:r w:rsidRPr="004B5448">
        <w:rPr>
          <w:szCs w:val="22"/>
          <w:lang w:eastAsia="cs-CZ"/>
        </w:rPr>
        <w:t xml:space="preserve">Na inkubovaných mikrozómoch ľudskej pečene sa študovala inhibícia CYP enzýmov dexmedetomidínom, vrátane CYP2B6. </w:t>
      </w:r>
      <w:r w:rsidRPr="004B5448">
        <w:rPr>
          <w:i/>
          <w:szCs w:val="22"/>
          <w:lang w:eastAsia="cs-CZ"/>
        </w:rPr>
        <w:t>In vitro</w:t>
      </w:r>
      <w:r w:rsidRPr="004B5448">
        <w:rPr>
          <w:szCs w:val="22"/>
          <w:lang w:eastAsia="cs-CZ"/>
        </w:rPr>
        <w:t xml:space="preserve"> štúdia naznačuje, že existuje možnosť interakcií </w:t>
      </w:r>
      <w:r w:rsidRPr="004B5448">
        <w:rPr>
          <w:i/>
          <w:szCs w:val="22"/>
          <w:lang w:eastAsia="cs-CZ"/>
        </w:rPr>
        <w:t>in vivo</w:t>
      </w:r>
      <w:r w:rsidRPr="004B5448">
        <w:rPr>
          <w:szCs w:val="22"/>
          <w:lang w:eastAsia="cs-CZ"/>
        </w:rPr>
        <w:t xml:space="preserve"> medzi dexmedetomidí</w:t>
      </w:r>
      <w:r w:rsidR="00861DE7">
        <w:rPr>
          <w:szCs w:val="22"/>
          <w:lang w:eastAsia="cs-CZ"/>
        </w:rPr>
        <w:t>nom a </w:t>
      </w:r>
      <w:r w:rsidRPr="004B5448">
        <w:rPr>
          <w:szCs w:val="22"/>
          <w:lang w:eastAsia="cs-CZ"/>
        </w:rPr>
        <w:t>substr</w:t>
      </w:r>
      <w:r w:rsidR="00861DE7">
        <w:rPr>
          <w:szCs w:val="22"/>
          <w:lang w:eastAsia="cs-CZ"/>
        </w:rPr>
        <w:t>átmi s </w:t>
      </w:r>
      <w:r w:rsidRPr="004B5448">
        <w:rPr>
          <w:szCs w:val="22"/>
          <w:lang w:eastAsia="cs-CZ"/>
        </w:rPr>
        <w:t>dominantným metabolizmom CYP2B6.</w:t>
      </w:r>
    </w:p>
    <w:p w14:paraId="61094724" w14:textId="77777777" w:rsidR="004B5448" w:rsidRPr="004B5448" w:rsidRDefault="004B5448" w:rsidP="004B5448">
      <w:pPr>
        <w:autoSpaceDE w:val="0"/>
        <w:autoSpaceDN w:val="0"/>
        <w:adjustRightInd w:val="0"/>
        <w:rPr>
          <w:szCs w:val="22"/>
          <w:lang w:eastAsia="cs-CZ"/>
        </w:rPr>
      </w:pPr>
    </w:p>
    <w:p w14:paraId="3BFB11EF" w14:textId="77777777" w:rsidR="004B5448" w:rsidRPr="004B5448" w:rsidRDefault="004B5448" w:rsidP="004B5448">
      <w:pPr>
        <w:autoSpaceDE w:val="0"/>
        <w:autoSpaceDN w:val="0"/>
        <w:adjustRightInd w:val="0"/>
        <w:rPr>
          <w:szCs w:val="22"/>
          <w:lang w:eastAsia="cs-CZ"/>
        </w:rPr>
      </w:pPr>
      <w:r w:rsidRPr="004B5448">
        <w:rPr>
          <w:szCs w:val="22"/>
          <w:lang w:eastAsia="cs-CZ"/>
        </w:rPr>
        <w:t xml:space="preserve">Indukcia dexmedetomidínu </w:t>
      </w:r>
      <w:r w:rsidRPr="004B5448">
        <w:rPr>
          <w:i/>
          <w:szCs w:val="22"/>
          <w:lang w:eastAsia="cs-CZ"/>
        </w:rPr>
        <w:t>in vitro</w:t>
      </w:r>
      <w:r w:rsidR="00861DE7">
        <w:rPr>
          <w:szCs w:val="22"/>
          <w:lang w:eastAsia="cs-CZ"/>
        </w:rPr>
        <w:t xml:space="preserve"> sa pozorovala u </w:t>
      </w:r>
      <w:r w:rsidRPr="004B5448">
        <w:rPr>
          <w:szCs w:val="22"/>
          <w:lang w:eastAsia="cs-CZ"/>
        </w:rPr>
        <w:t xml:space="preserve">CYP1A2, CYP2B6, CYP2C8, CYP2C9 a CYP3A4, indukciu </w:t>
      </w:r>
      <w:r w:rsidRPr="004B5448">
        <w:rPr>
          <w:i/>
          <w:szCs w:val="22"/>
          <w:lang w:eastAsia="cs-CZ"/>
        </w:rPr>
        <w:t>in vivo</w:t>
      </w:r>
      <w:r w:rsidRPr="004B5448">
        <w:rPr>
          <w:szCs w:val="22"/>
          <w:lang w:eastAsia="cs-CZ"/>
        </w:rPr>
        <w:t xml:space="preserve"> nemožno vylúčiť. Klinický význam nie je známy.</w:t>
      </w:r>
    </w:p>
    <w:p w14:paraId="29EBE035" w14:textId="77777777" w:rsidR="004B5448" w:rsidRPr="004B5448" w:rsidRDefault="004B5448" w:rsidP="004B5448">
      <w:pPr>
        <w:autoSpaceDE w:val="0"/>
        <w:autoSpaceDN w:val="0"/>
        <w:adjustRightInd w:val="0"/>
        <w:rPr>
          <w:szCs w:val="22"/>
          <w:lang w:eastAsia="cs-CZ"/>
        </w:rPr>
      </w:pPr>
    </w:p>
    <w:p w14:paraId="590517AF" w14:textId="77777777" w:rsidR="004B5448" w:rsidRPr="004B5448" w:rsidRDefault="004B5448" w:rsidP="004B5448">
      <w:pPr>
        <w:autoSpaceDE w:val="0"/>
        <w:autoSpaceDN w:val="0"/>
        <w:adjustRightInd w:val="0"/>
        <w:rPr>
          <w:szCs w:val="22"/>
          <w:lang w:eastAsia="cs-CZ"/>
        </w:rPr>
      </w:pPr>
      <w:r w:rsidRPr="004B5448">
        <w:rPr>
          <w:szCs w:val="22"/>
          <w:lang w:eastAsia="cs-CZ"/>
        </w:rPr>
        <w:lastRenderedPageBreak/>
        <w:t>Možnosť zosilne</w:t>
      </w:r>
      <w:r w:rsidR="00861DE7">
        <w:rPr>
          <w:szCs w:val="22"/>
          <w:lang w:eastAsia="cs-CZ"/>
        </w:rPr>
        <w:t>ných hypotenzívnych a </w:t>
      </w:r>
      <w:r w:rsidRPr="004B5448">
        <w:rPr>
          <w:szCs w:val="22"/>
          <w:lang w:eastAsia="cs-CZ"/>
        </w:rPr>
        <w:t>bradykardických účinko</w:t>
      </w:r>
      <w:r w:rsidR="00861DE7">
        <w:rPr>
          <w:szCs w:val="22"/>
          <w:lang w:eastAsia="cs-CZ"/>
        </w:rPr>
        <w:t>v sa má zvážiť u </w:t>
      </w:r>
      <w:r w:rsidRPr="004B5448">
        <w:rPr>
          <w:szCs w:val="22"/>
          <w:lang w:eastAsia="cs-CZ"/>
        </w:rPr>
        <w:t>pacientov, ktorí dostávajú iné lieky, ktoré tieto účinky vyvolávajú, napr. betablokátory, hoci aditív</w:t>
      </w:r>
      <w:r w:rsidR="00861DE7">
        <w:rPr>
          <w:szCs w:val="22"/>
          <w:lang w:eastAsia="cs-CZ"/>
        </w:rPr>
        <w:t>ne účinky v štúdii interakcií s </w:t>
      </w:r>
      <w:r w:rsidRPr="004B5448">
        <w:rPr>
          <w:szCs w:val="22"/>
          <w:lang w:eastAsia="cs-CZ"/>
        </w:rPr>
        <w:t>esmololom boli mierne.</w:t>
      </w:r>
    </w:p>
    <w:p w14:paraId="336A8AE3" w14:textId="77777777" w:rsidR="00812D16" w:rsidRPr="0082445A" w:rsidRDefault="00812D16" w:rsidP="00204AAB">
      <w:pPr>
        <w:spacing w:line="240" w:lineRule="auto"/>
      </w:pPr>
    </w:p>
    <w:p w14:paraId="195EF90A" w14:textId="77777777" w:rsidR="00812D16" w:rsidRPr="00891D76" w:rsidRDefault="0050541A" w:rsidP="00572506">
      <w:pPr>
        <w:keepNext/>
        <w:numPr>
          <w:ilvl w:val="1"/>
          <w:numId w:val="6"/>
        </w:numPr>
        <w:spacing w:line="240" w:lineRule="auto"/>
        <w:outlineLvl w:val="0"/>
      </w:pPr>
      <w:r w:rsidRPr="00BF5AB0">
        <w:rPr>
          <w:b/>
        </w:rPr>
        <w:t>Fertilita, gravidita a laktácia</w:t>
      </w:r>
    </w:p>
    <w:p w14:paraId="6B84AE8D" w14:textId="77777777" w:rsidR="00812D16" w:rsidRPr="0082445A" w:rsidRDefault="00812D16" w:rsidP="00085939">
      <w:pPr>
        <w:keepNext/>
        <w:spacing w:line="240" w:lineRule="auto"/>
      </w:pPr>
    </w:p>
    <w:p w14:paraId="5C2940B8" w14:textId="77777777" w:rsidR="00861DE7" w:rsidRPr="002550D2" w:rsidRDefault="00861DE7" w:rsidP="00861DE7">
      <w:pPr>
        <w:keepNext/>
        <w:rPr>
          <w:szCs w:val="22"/>
          <w:u w:val="single"/>
        </w:rPr>
      </w:pPr>
      <w:r w:rsidRPr="002550D2">
        <w:rPr>
          <w:szCs w:val="22"/>
          <w:u w:val="single"/>
        </w:rPr>
        <w:t>Gravidita</w:t>
      </w:r>
    </w:p>
    <w:p w14:paraId="35A4C975" w14:textId="77777777" w:rsidR="00861DE7" w:rsidRPr="002550D2" w:rsidRDefault="00861DE7" w:rsidP="00861DE7">
      <w:pPr>
        <w:rPr>
          <w:szCs w:val="22"/>
        </w:rPr>
      </w:pPr>
      <w:r w:rsidRPr="002550D2">
        <w:rPr>
          <w:szCs w:val="22"/>
        </w:rPr>
        <w:t>Údaje o používaní dexmedetomid</w:t>
      </w:r>
      <w:r>
        <w:rPr>
          <w:szCs w:val="22"/>
        </w:rPr>
        <w:t>í</w:t>
      </w:r>
      <w:r w:rsidRPr="002550D2">
        <w:rPr>
          <w:szCs w:val="22"/>
        </w:rPr>
        <w:t>nu u gravidných žien sú obmedzené alebo nie sú k dispozícii.</w:t>
      </w:r>
    </w:p>
    <w:p w14:paraId="0DD15597" w14:textId="77777777" w:rsidR="00861DE7" w:rsidRPr="002550D2" w:rsidRDefault="00861DE7" w:rsidP="00861DE7">
      <w:pPr>
        <w:rPr>
          <w:szCs w:val="22"/>
        </w:rPr>
      </w:pPr>
    </w:p>
    <w:p w14:paraId="32CD2B4B" w14:textId="77777777" w:rsidR="00861DE7" w:rsidRPr="002550D2" w:rsidRDefault="00861DE7" w:rsidP="00861DE7">
      <w:pPr>
        <w:rPr>
          <w:szCs w:val="22"/>
          <w:u w:val="single"/>
        </w:rPr>
      </w:pPr>
      <w:r w:rsidRPr="002550D2">
        <w:rPr>
          <w:szCs w:val="22"/>
        </w:rPr>
        <w:t>Štúdie na zvieratách preukázali reprodukčnú toxicitu (pozri časť 5.3). Dexmedetomid</w:t>
      </w:r>
      <w:r>
        <w:rPr>
          <w:szCs w:val="22"/>
        </w:rPr>
        <w:t>i</w:t>
      </w:r>
      <w:r w:rsidRPr="002550D2">
        <w:rPr>
          <w:szCs w:val="22"/>
        </w:rPr>
        <w:t>n</w:t>
      </w:r>
      <w:r w:rsidR="003E2AC0">
        <w:rPr>
          <w:szCs w:val="22"/>
        </w:rPr>
        <w:t>e</w:t>
      </w:r>
      <w:r w:rsidRPr="002550D2">
        <w:rPr>
          <w:szCs w:val="22"/>
        </w:rPr>
        <w:t xml:space="preserve"> </w:t>
      </w:r>
      <w:r>
        <w:rPr>
          <w:szCs w:val="22"/>
        </w:rPr>
        <w:t xml:space="preserve">Mylan </w:t>
      </w:r>
      <w:r w:rsidRPr="002550D2">
        <w:rPr>
          <w:szCs w:val="22"/>
        </w:rPr>
        <w:t>sa nemá používať počas gravidity, pokiaľ klinický stav ženy liečbu dexmedetomid</w:t>
      </w:r>
      <w:r>
        <w:rPr>
          <w:szCs w:val="22"/>
        </w:rPr>
        <w:t>ínom nevyžaduje.</w:t>
      </w:r>
    </w:p>
    <w:p w14:paraId="0402A0E2" w14:textId="77777777" w:rsidR="00861DE7" w:rsidRPr="002550D2" w:rsidRDefault="00861DE7" w:rsidP="00861DE7">
      <w:pPr>
        <w:rPr>
          <w:szCs w:val="22"/>
        </w:rPr>
      </w:pPr>
    </w:p>
    <w:p w14:paraId="73E2C043" w14:textId="77777777" w:rsidR="00861DE7" w:rsidRPr="002550D2" w:rsidRDefault="00861DE7" w:rsidP="00861DE7">
      <w:pPr>
        <w:keepNext/>
        <w:rPr>
          <w:szCs w:val="22"/>
        </w:rPr>
      </w:pPr>
      <w:r w:rsidRPr="002550D2">
        <w:rPr>
          <w:szCs w:val="22"/>
          <w:u w:val="single"/>
        </w:rPr>
        <w:t>Dojčenie</w:t>
      </w:r>
    </w:p>
    <w:p w14:paraId="5CF6B317" w14:textId="77777777" w:rsidR="00861DE7" w:rsidRPr="002550D2" w:rsidRDefault="00861DE7" w:rsidP="00861DE7">
      <w:pPr>
        <w:rPr>
          <w:szCs w:val="22"/>
        </w:rPr>
      </w:pPr>
      <w:r w:rsidRPr="002550D2">
        <w:rPr>
          <w:szCs w:val="22"/>
        </w:rPr>
        <w:t>Dexmedetomid</w:t>
      </w:r>
      <w:r>
        <w:rPr>
          <w:szCs w:val="22"/>
        </w:rPr>
        <w:t>í</w:t>
      </w:r>
      <w:r w:rsidRPr="002550D2">
        <w:rPr>
          <w:szCs w:val="22"/>
        </w:rPr>
        <w:t xml:space="preserve">n sa vylučuje do </w:t>
      </w:r>
      <w:r>
        <w:rPr>
          <w:szCs w:val="22"/>
        </w:rPr>
        <w:t>ľudského materského mlieka, ale do 24 </w:t>
      </w:r>
      <w:r w:rsidRPr="002550D2">
        <w:rPr>
          <w:szCs w:val="22"/>
        </w:rPr>
        <w:t>hodín po ukončení liečby sa hladiny dostávajú pod úroveň detekcie. Riziko pre dojčatá nemožno vylúčiť. Musí sa rozhodnúť, či ukončiť dojčenie alebo ukončiť liečbu dexmedetomid</w:t>
      </w:r>
      <w:r>
        <w:rPr>
          <w:szCs w:val="22"/>
        </w:rPr>
        <w:t>í</w:t>
      </w:r>
      <w:r w:rsidRPr="002550D2">
        <w:rPr>
          <w:szCs w:val="22"/>
        </w:rPr>
        <w:t>nom pri zohľadnení prospechu dojčenia pre die</w:t>
      </w:r>
      <w:r>
        <w:rPr>
          <w:szCs w:val="22"/>
        </w:rPr>
        <w:t>ťa a prospechu liečby pre ženu.</w:t>
      </w:r>
    </w:p>
    <w:p w14:paraId="7F4150CB" w14:textId="77777777" w:rsidR="00861DE7" w:rsidRPr="002550D2" w:rsidRDefault="00861DE7" w:rsidP="00861DE7">
      <w:pPr>
        <w:rPr>
          <w:szCs w:val="22"/>
        </w:rPr>
      </w:pPr>
    </w:p>
    <w:p w14:paraId="07C57AFA" w14:textId="77777777" w:rsidR="00861DE7" w:rsidRPr="002550D2" w:rsidRDefault="00861DE7" w:rsidP="00861DE7">
      <w:pPr>
        <w:keepNext/>
        <w:rPr>
          <w:szCs w:val="22"/>
        </w:rPr>
      </w:pPr>
      <w:r w:rsidRPr="002550D2">
        <w:rPr>
          <w:szCs w:val="22"/>
          <w:u w:val="single"/>
        </w:rPr>
        <w:t>Fertilita</w:t>
      </w:r>
    </w:p>
    <w:p w14:paraId="3E0B8CC8" w14:textId="77777777" w:rsidR="00861DE7" w:rsidRPr="002550D2" w:rsidRDefault="00861DE7" w:rsidP="00861DE7">
      <w:pPr>
        <w:rPr>
          <w:szCs w:val="22"/>
        </w:rPr>
      </w:pPr>
      <w:r w:rsidRPr="002550D2">
        <w:rPr>
          <w:szCs w:val="22"/>
        </w:rPr>
        <w:t>V štúdii fertility na potkanoch nemal dexmedetomid</w:t>
      </w:r>
      <w:r>
        <w:rPr>
          <w:szCs w:val="22"/>
        </w:rPr>
        <w:t>í</w:t>
      </w:r>
      <w:r w:rsidRPr="002550D2">
        <w:rPr>
          <w:szCs w:val="22"/>
        </w:rPr>
        <w:t>n žiadny účinok na fertilitu samcov alebo samíc. Údaje o fertilite u ľudí nie sú k dispozícii.</w:t>
      </w:r>
    </w:p>
    <w:p w14:paraId="5C24A4D4" w14:textId="77777777" w:rsidR="00812D16" w:rsidRPr="00085939" w:rsidRDefault="00812D16" w:rsidP="00204AAB">
      <w:pPr>
        <w:spacing w:line="240" w:lineRule="auto"/>
        <w:rPr>
          <w:i/>
        </w:rPr>
      </w:pPr>
    </w:p>
    <w:p w14:paraId="04D4407F" w14:textId="77777777" w:rsidR="00812D16" w:rsidRPr="00891D76" w:rsidRDefault="0050541A" w:rsidP="00572506">
      <w:pPr>
        <w:keepNext/>
        <w:numPr>
          <w:ilvl w:val="1"/>
          <w:numId w:val="6"/>
        </w:numPr>
        <w:spacing w:line="240" w:lineRule="auto"/>
        <w:outlineLvl w:val="0"/>
      </w:pPr>
      <w:r w:rsidRPr="00BF5AB0">
        <w:rPr>
          <w:b/>
        </w:rPr>
        <w:t>Ovplyvnenie schopnosti viesť vozidlá a obsluhovať stroje</w:t>
      </w:r>
    </w:p>
    <w:p w14:paraId="5DBAF5B1" w14:textId="77777777" w:rsidR="00812D16" w:rsidRPr="0082445A" w:rsidRDefault="00812D16" w:rsidP="00085939">
      <w:pPr>
        <w:keepNext/>
        <w:spacing w:line="240" w:lineRule="auto"/>
      </w:pPr>
    </w:p>
    <w:p w14:paraId="687071EC" w14:textId="51322E4B" w:rsidR="00861DE7" w:rsidRPr="002550D2" w:rsidRDefault="00861DE7" w:rsidP="00861DE7">
      <w:pPr>
        <w:rPr>
          <w:szCs w:val="22"/>
        </w:rPr>
      </w:pPr>
      <w:r w:rsidRPr="002550D2">
        <w:rPr>
          <w:szCs w:val="22"/>
        </w:rPr>
        <w:t>Pacientov je potr</w:t>
      </w:r>
      <w:r>
        <w:rPr>
          <w:szCs w:val="22"/>
        </w:rPr>
        <w:t>ebné upozorniť, aby po podaní De</w:t>
      </w:r>
      <w:r w:rsidRPr="002550D2">
        <w:rPr>
          <w:szCs w:val="22"/>
        </w:rPr>
        <w:t>xmedetomid</w:t>
      </w:r>
      <w:r>
        <w:rPr>
          <w:szCs w:val="22"/>
        </w:rPr>
        <w:t>i</w:t>
      </w:r>
      <w:r w:rsidRPr="002550D2">
        <w:rPr>
          <w:szCs w:val="22"/>
        </w:rPr>
        <w:t>n</w:t>
      </w:r>
      <w:r w:rsidR="003E2AC0">
        <w:rPr>
          <w:szCs w:val="22"/>
        </w:rPr>
        <w:t>e</w:t>
      </w:r>
      <w:r w:rsidRPr="002550D2">
        <w:rPr>
          <w:szCs w:val="22"/>
        </w:rPr>
        <w:t xml:space="preserve"> </w:t>
      </w:r>
      <w:r>
        <w:rPr>
          <w:szCs w:val="22"/>
        </w:rPr>
        <w:t xml:space="preserve">Mylan </w:t>
      </w:r>
      <w:r w:rsidRPr="002550D2">
        <w:rPr>
          <w:szCs w:val="22"/>
        </w:rPr>
        <w:t>na sedáciu počas výkonu dostatočne dlhú dobu neviedli vozidlá alebo nevyko</w:t>
      </w:r>
      <w:r w:rsidR="0059327E">
        <w:rPr>
          <w:szCs w:val="22"/>
        </w:rPr>
        <w:t>návali iné nebezpečné činnosti.</w:t>
      </w:r>
    </w:p>
    <w:p w14:paraId="3CCF56C8" w14:textId="77777777" w:rsidR="00812D16" w:rsidRPr="00A72672" w:rsidRDefault="00812D16" w:rsidP="00204AAB">
      <w:pPr>
        <w:spacing w:line="240" w:lineRule="auto"/>
      </w:pPr>
    </w:p>
    <w:p w14:paraId="79410DA5" w14:textId="77777777" w:rsidR="00812D16" w:rsidRPr="00891D76" w:rsidRDefault="0050541A" w:rsidP="00572506">
      <w:pPr>
        <w:keepNext/>
        <w:numPr>
          <w:ilvl w:val="1"/>
          <w:numId w:val="6"/>
        </w:numPr>
        <w:spacing w:line="240" w:lineRule="auto"/>
        <w:outlineLvl w:val="0"/>
        <w:rPr>
          <w:b/>
        </w:rPr>
      </w:pPr>
      <w:r w:rsidRPr="00BF5AB0">
        <w:rPr>
          <w:b/>
        </w:rPr>
        <w:t>Nežiaduce účinky</w:t>
      </w:r>
    </w:p>
    <w:p w14:paraId="4FB56EB9" w14:textId="77777777" w:rsidR="00812D16" w:rsidRPr="0082445A" w:rsidRDefault="00812D16" w:rsidP="00085939">
      <w:pPr>
        <w:keepNext/>
        <w:autoSpaceDE w:val="0"/>
        <w:autoSpaceDN w:val="0"/>
        <w:adjustRightInd w:val="0"/>
        <w:spacing w:line="240" w:lineRule="auto"/>
        <w:jc w:val="both"/>
      </w:pPr>
    </w:p>
    <w:p w14:paraId="7E658BBD" w14:textId="77777777" w:rsidR="00612DD6" w:rsidRPr="002550D2" w:rsidRDefault="00612DD6" w:rsidP="00E24415">
      <w:pPr>
        <w:pStyle w:val="Zkladntext"/>
        <w:keepNext/>
        <w:rPr>
          <w:szCs w:val="22"/>
        </w:rPr>
      </w:pPr>
      <w:r w:rsidRPr="002550D2">
        <w:rPr>
          <w:szCs w:val="22"/>
          <w:u w:val="single"/>
        </w:rPr>
        <w:t>Súhrn profilu bezpečnosti</w:t>
      </w:r>
    </w:p>
    <w:p w14:paraId="18AEDE61" w14:textId="77777777" w:rsidR="00612DD6" w:rsidRPr="002550D2" w:rsidRDefault="00612DD6" w:rsidP="00E24415">
      <w:pPr>
        <w:pStyle w:val="Zkladntext"/>
        <w:keepNext/>
        <w:rPr>
          <w:szCs w:val="22"/>
        </w:rPr>
      </w:pPr>
    </w:p>
    <w:p w14:paraId="0795E783" w14:textId="77777777" w:rsidR="00612DD6" w:rsidRPr="002550D2" w:rsidRDefault="00612DD6" w:rsidP="00E24415">
      <w:pPr>
        <w:pStyle w:val="Zkladntext"/>
        <w:keepNext/>
        <w:rPr>
          <w:szCs w:val="22"/>
          <w:u w:val="single"/>
        </w:rPr>
      </w:pPr>
      <w:r w:rsidRPr="002550D2">
        <w:rPr>
          <w:szCs w:val="22"/>
          <w:u w:val="single"/>
        </w:rPr>
        <w:t>Sedácia dospelých pacientov na JIS (jedno</w:t>
      </w:r>
      <w:r w:rsidR="00E24415">
        <w:rPr>
          <w:szCs w:val="22"/>
          <w:u w:val="single"/>
        </w:rPr>
        <w:t>tka intenzívnej starostlivosti)</w:t>
      </w:r>
    </w:p>
    <w:p w14:paraId="1CDF4FE1" w14:textId="77777777" w:rsidR="00612DD6" w:rsidRPr="002550D2" w:rsidRDefault="00612DD6" w:rsidP="00612DD6">
      <w:pPr>
        <w:autoSpaceDE w:val="0"/>
        <w:autoSpaceDN w:val="0"/>
        <w:adjustRightInd w:val="0"/>
        <w:rPr>
          <w:szCs w:val="22"/>
        </w:rPr>
      </w:pPr>
      <w:r w:rsidRPr="002550D2">
        <w:rPr>
          <w:szCs w:val="22"/>
        </w:rPr>
        <w:t>Najčastejšie hlásenými nežiaducimi účinkami dexmedetomid</w:t>
      </w:r>
      <w:r>
        <w:rPr>
          <w:szCs w:val="22"/>
        </w:rPr>
        <w:t>í</w:t>
      </w:r>
      <w:r w:rsidRPr="002550D2">
        <w:rPr>
          <w:szCs w:val="22"/>
        </w:rPr>
        <w:t>nu v prostredí J</w:t>
      </w:r>
      <w:r w:rsidR="007A7B18">
        <w:rPr>
          <w:szCs w:val="22"/>
        </w:rPr>
        <w:t>IS sú hypotenzia, hypertenzia a </w:t>
      </w:r>
      <w:r w:rsidRPr="002550D2">
        <w:rPr>
          <w:szCs w:val="22"/>
        </w:rPr>
        <w:t>br</w:t>
      </w:r>
      <w:r w:rsidR="007A7B18">
        <w:rPr>
          <w:szCs w:val="22"/>
        </w:rPr>
        <w:t>adykardia, ktoré sa vyskytujú u približne 25 %, 15 % a 13 % pacientov (v </w:t>
      </w:r>
      <w:r w:rsidRPr="002550D2">
        <w:rPr>
          <w:szCs w:val="22"/>
        </w:rPr>
        <w:t>uvedenom po</w:t>
      </w:r>
      <w:r w:rsidR="007A7B18">
        <w:rPr>
          <w:szCs w:val="22"/>
        </w:rPr>
        <w:t>radí).</w:t>
      </w:r>
    </w:p>
    <w:p w14:paraId="3E08228F" w14:textId="77777777" w:rsidR="00612DD6" w:rsidRPr="002550D2" w:rsidRDefault="007A7B18" w:rsidP="00612DD6">
      <w:pPr>
        <w:autoSpaceDE w:val="0"/>
        <w:autoSpaceDN w:val="0"/>
        <w:adjustRightInd w:val="0"/>
        <w:rPr>
          <w:szCs w:val="22"/>
        </w:rPr>
      </w:pPr>
      <w:r>
        <w:rPr>
          <w:szCs w:val="22"/>
        </w:rPr>
        <w:t>Hypotenzia a </w:t>
      </w:r>
      <w:r w:rsidR="00612DD6" w:rsidRPr="002550D2">
        <w:rPr>
          <w:szCs w:val="22"/>
        </w:rPr>
        <w:t>bradykardia boli aj najčastejšími závažnými nežiaducimi účinkami súvisiacimi s dexmedetomid</w:t>
      </w:r>
      <w:r w:rsidR="00612DD6">
        <w:rPr>
          <w:szCs w:val="22"/>
        </w:rPr>
        <w:t>í</w:t>
      </w:r>
      <w:r>
        <w:rPr>
          <w:szCs w:val="22"/>
        </w:rPr>
        <w:t>nom, ktoré sa vyskytli u 1,7 % a 0,9</w:t>
      </w:r>
      <w:r>
        <w:t> </w:t>
      </w:r>
      <w:r>
        <w:rPr>
          <w:szCs w:val="22"/>
        </w:rPr>
        <w:t>% (v </w:t>
      </w:r>
      <w:r w:rsidR="00612DD6" w:rsidRPr="002550D2">
        <w:rPr>
          <w:szCs w:val="22"/>
        </w:rPr>
        <w:t>uvedenom poradí) randomizovaných</w:t>
      </w:r>
    </w:p>
    <w:p w14:paraId="5922AE26" w14:textId="77777777" w:rsidR="00612DD6" w:rsidRPr="002550D2" w:rsidRDefault="00612DD6" w:rsidP="00612DD6">
      <w:pPr>
        <w:pStyle w:val="Zkladntext"/>
        <w:rPr>
          <w:szCs w:val="22"/>
        </w:rPr>
      </w:pPr>
      <w:r w:rsidRPr="002550D2">
        <w:rPr>
          <w:szCs w:val="22"/>
        </w:rPr>
        <w:t>pacientov na jednotke intenzívnej starostlivosti (JIS).</w:t>
      </w:r>
    </w:p>
    <w:p w14:paraId="227FDEB8" w14:textId="77777777" w:rsidR="00612DD6" w:rsidRPr="002550D2" w:rsidRDefault="00612DD6" w:rsidP="00612DD6">
      <w:pPr>
        <w:pStyle w:val="Zkladntext"/>
        <w:rPr>
          <w:szCs w:val="22"/>
        </w:rPr>
      </w:pPr>
    </w:p>
    <w:p w14:paraId="1E8FF670" w14:textId="77777777" w:rsidR="00612DD6" w:rsidRPr="002550D2" w:rsidRDefault="00612DD6" w:rsidP="00E24415">
      <w:pPr>
        <w:pStyle w:val="Zkladntext"/>
        <w:keepNext/>
        <w:rPr>
          <w:szCs w:val="22"/>
        </w:rPr>
      </w:pPr>
      <w:r w:rsidRPr="002550D2">
        <w:rPr>
          <w:szCs w:val="22"/>
          <w:u w:val="single"/>
        </w:rPr>
        <w:t>Procedurálna sedácia / sedácia pri vedomí</w:t>
      </w:r>
    </w:p>
    <w:p w14:paraId="13EDE601" w14:textId="7E6BC48E" w:rsidR="00612DD6" w:rsidRPr="002550D2" w:rsidRDefault="00612DD6" w:rsidP="00612DD6">
      <w:pPr>
        <w:autoSpaceDE w:val="0"/>
        <w:autoSpaceDN w:val="0"/>
        <w:adjustRightInd w:val="0"/>
        <w:rPr>
          <w:szCs w:val="22"/>
        </w:rPr>
      </w:pPr>
      <w:r w:rsidRPr="002550D2">
        <w:rPr>
          <w:szCs w:val="22"/>
        </w:rPr>
        <w:t>Najčastej</w:t>
      </w:r>
      <w:r w:rsidR="007A7B18">
        <w:rPr>
          <w:szCs w:val="22"/>
        </w:rPr>
        <w:t>šie hlásené nežiaduce reakcie s </w:t>
      </w:r>
      <w:r w:rsidRPr="002550D2">
        <w:rPr>
          <w:szCs w:val="22"/>
        </w:rPr>
        <w:t>dexmedetomid</w:t>
      </w:r>
      <w:r>
        <w:rPr>
          <w:szCs w:val="22"/>
        </w:rPr>
        <w:t>í</w:t>
      </w:r>
      <w:r w:rsidRPr="002550D2">
        <w:rPr>
          <w:szCs w:val="22"/>
        </w:rPr>
        <w:t>nom pri procedurálnej sedácii sú uvedené nižšie</w:t>
      </w:r>
      <w:r w:rsidR="005555B9">
        <w:rPr>
          <w:szCs w:val="22"/>
        </w:rPr>
        <w:t xml:space="preserve"> (protokoly štúdií fázy III obsahujú vopred definované hranice na hlásenie zmien krvného tlaku, frekvencie dýchania a srdcovej frekvencie ako nežiaducich účinkov)</w:t>
      </w:r>
      <w:r w:rsidR="007A7B18">
        <w:rPr>
          <w:szCs w:val="22"/>
        </w:rPr>
        <w:t>:</w:t>
      </w:r>
    </w:p>
    <w:p w14:paraId="289D7A7F" w14:textId="77777777" w:rsidR="00612DD6" w:rsidRPr="002550D2" w:rsidRDefault="007A7B18" w:rsidP="00612DD6">
      <w:pPr>
        <w:numPr>
          <w:ilvl w:val="0"/>
          <w:numId w:val="13"/>
        </w:numPr>
        <w:tabs>
          <w:tab w:val="clear" w:pos="567"/>
        </w:tabs>
        <w:autoSpaceDE w:val="0"/>
        <w:autoSpaceDN w:val="0"/>
        <w:adjustRightInd w:val="0"/>
        <w:spacing w:line="240" w:lineRule="auto"/>
        <w:ind w:left="426"/>
        <w:rPr>
          <w:szCs w:val="22"/>
        </w:rPr>
      </w:pPr>
      <w:r>
        <w:rPr>
          <w:szCs w:val="22"/>
        </w:rPr>
        <w:t>hypotenzia (55 % v skupine s </w:t>
      </w:r>
      <w:r w:rsidR="00612DD6" w:rsidRPr="002550D2">
        <w:rPr>
          <w:szCs w:val="22"/>
        </w:rPr>
        <w:t>dexmedetomid</w:t>
      </w:r>
      <w:r w:rsidR="00612DD6">
        <w:rPr>
          <w:szCs w:val="22"/>
        </w:rPr>
        <w:t>í</w:t>
      </w:r>
      <w:r>
        <w:rPr>
          <w:szCs w:val="22"/>
        </w:rPr>
        <w:t>nom oproti 30 % v </w:t>
      </w:r>
      <w:r w:rsidR="00612DD6" w:rsidRPr="002550D2">
        <w:rPr>
          <w:szCs w:val="22"/>
        </w:rPr>
        <w:t>skupine s</w:t>
      </w:r>
      <w:r>
        <w:rPr>
          <w:szCs w:val="22"/>
        </w:rPr>
        <w:t> </w:t>
      </w:r>
      <w:r w:rsidR="00612DD6" w:rsidRPr="002550D2">
        <w:rPr>
          <w:szCs w:val="22"/>
        </w:rPr>
        <w:t>placebom</w:t>
      </w:r>
      <w:r>
        <w:rPr>
          <w:szCs w:val="22"/>
        </w:rPr>
        <w:t xml:space="preserve"> </w:t>
      </w:r>
      <w:r w:rsidR="00D06607">
        <w:rPr>
          <w:szCs w:val="22"/>
        </w:rPr>
        <w:t>užívajúcej</w:t>
      </w:r>
      <w:r w:rsidRPr="00D06607">
        <w:rPr>
          <w:szCs w:val="22"/>
        </w:rPr>
        <w:t xml:space="preserve"> </w:t>
      </w:r>
      <w:r w:rsidR="00D06607">
        <w:rPr>
          <w:szCs w:val="22"/>
        </w:rPr>
        <w:t>záchranný</w:t>
      </w:r>
      <w:r w:rsidRPr="00D06607">
        <w:rPr>
          <w:szCs w:val="22"/>
        </w:rPr>
        <w:t xml:space="preserve"> </w:t>
      </w:r>
      <w:r w:rsidR="00D06607">
        <w:rPr>
          <w:szCs w:val="22"/>
        </w:rPr>
        <w:t>midazolam a fentanyl</w:t>
      </w:r>
      <w:r w:rsidR="00612DD6" w:rsidRPr="00D06607">
        <w:rPr>
          <w:szCs w:val="22"/>
        </w:rPr>
        <w:t>);</w:t>
      </w:r>
    </w:p>
    <w:p w14:paraId="3C713493" w14:textId="77777777" w:rsidR="00612DD6" w:rsidRPr="002550D2" w:rsidRDefault="007A7B18" w:rsidP="00612DD6">
      <w:pPr>
        <w:numPr>
          <w:ilvl w:val="0"/>
          <w:numId w:val="13"/>
        </w:numPr>
        <w:tabs>
          <w:tab w:val="clear" w:pos="567"/>
        </w:tabs>
        <w:autoSpaceDE w:val="0"/>
        <w:autoSpaceDN w:val="0"/>
        <w:adjustRightInd w:val="0"/>
        <w:spacing w:line="240" w:lineRule="auto"/>
        <w:ind w:left="426"/>
        <w:rPr>
          <w:szCs w:val="22"/>
        </w:rPr>
      </w:pPr>
      <w:r>
        <w:rPr>
          <w:szCs w:val="22"/>
        </w:rPr>
        <w:t>respiračná depresia (38 % v skupine s </w:t>
      </w:r>
      <w:r w:rsidR="00612DD6" w:rsidRPr="002550D2">
        <w:rPr>
          <w:szCs w:val="22"/>
        </w:rPr>
        <w:t>dexmedetomid</w:t>
      </w:r>
      <w:r w:rsidR="00612DD6">
        <w:rPr>
          <w:szCs w:val="22"/>
        </w:rPr>
        <w:t>í</w:t>
      </w:r>
      <w:r>
        <w:rPr>
          <w:szCs w:val="22"/>
        </w:rPr>
        <w:t>nom oproti 35 % skupine s</w:t>
      </w:r>
      <w:r w:rsidR="00D06607">
        <w:rPr>
          <w:szCs w:val="22"/>
        </w:rPr>
        <w:t> </w:t>
      </w:r>
      <w:r w:rsidR="00612DD6" w:rsidRPr="002550D2">
        <w:rPr>
          <w:szCs w:val="22"/>
        </w:rPr>
        <w:t>placebom</w:t>
      </w:r>
      <w:r w:rsidR="00D06607">
        <w:rPr>
          <w:szCs w:val="22"/>
        </w:rPr>
        <w:t xml:space="preserve"> užívajúcej</w:t>
      </w:r>
      <w:r w:rsidR="00D06607" w:rsidRPr="00D06607">
        <w:rPr>
          <w:szCs w:val="22"/>
        </w:rPr>
        <w:t xml:space="preserve"> </w:t>
      </w:r>
      <w:r w:rsidR="00D06607">
        <w:rPr>
          <w:szCs w:val="22"/>
        </w:rPr>
        <w:t>záchranný</w:t>
      </w:r>
      <w:r w:rsidR="00D06607" w:rsidRPr="00D06607">
        <w:rPr>
          <w:szCs w:val="22"/>
        </w:rPr>
        <w:t xml:space="preserve"> </w:t>
      </w:r>
      <w:r w:rsidR="00D06607">
        <w:rPr>
          <w:szCs w:val="22"/>
        </w:rPr>
        <w:t>midazolam a fentanyl</w:t>
      </w:r>
      <w:r w:rsidR="00612DD6" w:rsidRPr="002550D2">
        <w:rPr>
          <w:szCs w:val="22"/>
        </w:rPr>
        <w:t>);</w:t>
      </w:r>
    </w:p>
    <w:p w14:paraId="5DFACE75" w14:textId="77777777" w:rsidR="00612DD6" w:rsidRPr="002550D2" w:rsidRDefault="007A7B18" w:rsidP="00612DD6">
      <w:pPr>
        <w:numPr>
          <w:ilvl w:val="0"/>
          <w:numId w:val="13"/>
        </w:numPr>
        <w:tabs>
          <w:tab w:val="clear" w:pos="567"/>
        </w:tabs>
        <w:autoSpaceDE w:val="0"/>
        <w:autoSpaceDN w:val="0"/>
        <w:adjustRightInd w:val="0"/>
        <w:spacing w:line="240" w:lineRule="auto"/>
        <w:ind w:left="426"/>
        <w:rPr>
          <w:szCs w:val="22"/>
        </w:rPr>
      </w:pPr>
      <w:r>
        <w:rPr>
          <w:szCs w:val="22"/>
        </w:rPr>
        <w:t>bradykardia (14 % v skupine s </w:t>
      </w:r>
      <w:r w:rsidR="00612DD6" w:rsidRPr="002550D2">
        <w:rPr>
          <w:szCs w:val="22"/>
        </w:rPr>
        <w:t>dexmedetomid</w:t>
      </w:r>
      <w:r w:rsidR="00612DD6">
        <w:rPr>
          <w:szCs w:val="22"/>
        </w:rPr>
        <w:t>í</w:t>
      </w:r>
      <w:r>
        <w:rPr>
          <w:szCs w:val="22"/>
        </w:rPr>
        <w:t>nom oproti 4 % v skupine s</w:t>
      </w:r>
      <w:r w:rsidR="00D06607">
        <w:rPr>
          <w:szCs w:val="22"/>
        </w:rPr>
        <w:t> </w:t>
      </w:r>
      <w:r w:rsidR="00612DD6" w:rsidRPr="002550D2">
        <w:rPr>
          <w:szCs w:val="22"/>
        </w:rPr>
        <w:t>placebom</w:t>
      </w:r>
      <w:r w:rsidR="00D06607">
        <w:rPr>
          <w:szCs w:val="22"/>
        </w:rPr>
        <w:t xml:space="preserve"> užívajúcej</w:t>
      </w:r>
      <w:r w:rsidR="00D06607" w:rsidRPr="00D06607">
        <w:rPr>
          <w:szCs w:val="22"/>
        </w:rPr>
        <w:t xml:space="preserve"> </w:t>
      </w:r>
      <w:r w:rsidR="00D06607">
        <w:rPr>
          <w:szCs w:val="22"/>
        </w:rPr>
        <w:t>záchranný</w:t>
      </w:r>
      <w:r w:rsidR="00D06607" w:rsidRPr="00D06607">
        <w:rPr>
          <w:szCs w:val="22"/>
        </w:rPr>
        <w:t xml:space="preserve"> </w:t>
      </w:r>
      <w:r w:rsidR="00D06607">
        <w:rPr>
          <w:szCs w:val="22"/>
        </w:rPr>
        <w:t>midazolam a fentanyl</w:t>
      </w:r>
      <w:r w:rsidR="00612DD6" w:rsidRPr="002550D2">
        <w:rPr>
          <w:szCs w:val="22"/>
        </w:rPr>
        <w:t>).</w:t>
      </w:r>
    </w:p>
    <w:p w14:paraId="79CF3D49" w14:textId="77777777" w:rsidR="00612DD6" w:rsidRPr="002550D2" w:rsidRDefault="00612DD6" w:rsidP="00612DD6">
      <w:pPr>
        <w:pStyle w:val="Zkladntext"/>
        <w:rPr>
          <w:szCs w:val="22"/>
        </w:rPr>
      </w:pPr>
    </w:p>
    <w:p w14:paraId="1E6F111C" w14:textId="77777777" w:rsidR="00612DD6" w:rsidRPr="002550D2" w:rsidRDefault="00612DD6" w:rsidP="00E24415">
      <w:pPr>
        <w:pStyle w:val="Zkladntext"/>
        <w:keepNext/>
        <w:rPr>
          <w:szCs w:val="22"/>
        </w:rPr>
      </w:pPr>
      <w:r w:rsidRPr="002550D2">
        <w:rPr>
          <w:szCs w:val="22"/>
          <w:u w:val="single"/>
        </w:rPr>
        <w:t>Zoznam nežiaducich reakcií v tabuľkovej forme</w:t>
      </w:r>
    </w:p>
    <w:p w14:paraId="25F00EC1" w14:textId="77777777" w:rsidR="00612DD6" w:rsidRPr="002550D2" w:rsidRDefault="00E24415" w:rsidP="00E24415">
      <w:pPr>
        <w:autoSpaceDE w:val="0"/>
        <w:autoSpaceDN w:val="0"/>
        <w:adjustRightInd w:val="0"/>
        <w:rPr>
          <w:szCs w:val="22"/>
        </w:rPr>
      </w:pPr>
      <w:r>
        <w:rPr>
          <w:szCs w:val="22"/>
        </w:rPr>
        <w:t>Nežiaduce reakcie uvedené v tabuľke </w:t>
      </w:r>
      <w:r w:rsidR="00612DD6" w:rsidRPr="002550D2">
        <w:rPr>
          <w:szCs w:val="22"/>
        </w:rPr>
        <w:t>1 sa zhromaždi</w:t>
      </w:r>
      <w:r>
        <w:rPr>
          <w:szCs w:val="22"/>
        </w:rPr>
        <w:t>li zo zosumarizovaných údajov z </w:t>
      </w:r>
      <w:r w:rsidR="00612DD6" w:rsidRPr="002550D2">
        <w:rPr>
          <w:szCs w:val="22"/>
        </w:rPr>
        <w:t>klinických</w:t>
      </w:r>
      <w:r>
        <w:rPr>
          <w:szCs w:val="22"/>
        </w:rPr>
        <w:t xml:space="preserve"> </w:t>
      </w:r>
      <w:r w:rsidR="00612DD6" w:rsidRPr="002550D2">
        <w:rPr>
          <w:szCs w:val="22"/>
        </w:rPr>
        <w:t>skúšaní na jednotkách intenzívnej starostlivosti</w:t>
      </w:r>
      <w:r w:rsidR="00612DD6">
        <w:rPr>
          <w:szCs w:val="22"/>
        </w:rPr>
        <w:t>.</w:t>
      </w:r>
    </w:p>
    <w:p w14:paraId="0572C2B5" w14:textId="77777777" w:rsidR="00612DD6" w:rsidRPr="002550D2" w:rsidRDefault="00612DD6" w:rsidP="00612DD6">
      <w:pPr>
        <w:autoSpaceDE w:val="0"/>
        <w:autoSpaceDN w:val="0"/>
        <w:adjustRightInd w:val="0"/>
        <w:rPr>
          <w:szCs w:val="22"/>
        </w:rPr>
      </w:pPr>
      <w:r w:rsidRPr="002550D2">
        <w:rPr>
          <w:szCs w:val="22"/>
        </w:rPr>
        <w:t>Nežiaduce reakcie sú klasifikované na základe frekvencie výskytu, najčastejšie ako prvé, pri použití</w:t>
      </w:r>
      <w:r w:rsidR="00E24415">
        <w:rPr>
          <w:szCs w:val="22"/>
        </w:rPr>
        <w:t xml:space="preserve"> </w:t>
      </w:r>
      <w:r w:rsidRPr="002550D2">
        <w:rPr>
          <w:szCs w:val="22"/>
        </w:rPr>
        <w:t>nasledovnej konvencie: veľmi časté (≥1/10); časté (≥1/1</w:t>
      </w:r>
      <w:r w:rsidR="00E24415">
        <w:rPr>
          <w:szCs w:val="22"/>
        </w:rPr>
        <w:t>00 až &lt;1/10); menej časté (≥1/1 </w:t>
      </w:r>
      <w:r w:rsidRPr="002550D2">
        <w:rPr>
          <w:szCs w:val="22"/>
        </w:rPr>
        <w:t>000 až</w:t>
      </w:r>
      <w:r w:rsidR="00E24415">
        <w:rPr>
          <w:szCs w:val="22"/>
        </w:rPr>
        <w:t xml:space="preserve"> &lt;1/100); zriedkavé (≥1/10 000 až &lt;1/1 000), veľmi zriedkavé (&lt;1/10 </w:t>
      </w:r>
      <w:r w:rsidRPr="002550D2">
        <w:rPr>
          <w:szCs w:val="22"/>
        </w:rPr>
        <w:t>000).</w:t>
      </w:r>
    </w:p>
    <w:p w14:paraId="1EA43CE6" w14:textId="77777777" w:rsidR="00612DD6" w:rsidRPr="002550D2" w:rsidRDefault="00612DD6" w:rsidP="00612DD6">
      <w:pPr>
        <w:pStyle w:val="Zkladntext"/>
        <w:rPr>
          <w:szCs w:val="22"/>
        </w:rPr>
      </w:pPr>
    </w:p>
    <w:p w14:paraId="1DC0FE4D" w14:textId="77777777" w:rsidR="00612DD6" w:rsidRPr="002550D2" w:rsidRDefault="00E24415" w:rsidP="00E24415">
      <w:pPr>
        <w:pStyle w:val="Zkladntext"/>
        <w:keepNext/>
        <w:rPr>
          <w:szCs w:val="22"/>
        </w:rPr>
      </w:pPr>
      <w:r>
        <w:rPr>
          <w:b/>
          <w:szCs w:val="22"/>
        </w:rPr>
        <w:t>Tabuľka </w:t>
      </w:r>
      <w:r w:rsidR="00612DD6" w:rsidRPr="002550D2">
        <w:rPr>
          <w:b/>
          <w:szCs w:val="22"/>
        </w:rPr>
        <w:t>1.</w:t>
      </w:r>
      <w:r w:rsidR="00612DD6" w:rsidRPr="002550D2">
        <w:rPr>
          <w:b/>
          <w:szCs w:val="22"/>
        </w:rPr>
        <w:tab/>
        <w:t>Nežiaduce reakcie</w:t>
      </w:r>
    </w:p>
    <w:p w14:paraId="0FE89309" w14:textId="77777777" w:rsidR="00612DD6" w:rsidRPr="002550D2" w:rsidRDefault="00612DD6" w:rsidP="00E24415">
      <w:pPr>
        <w:pStyle w:val="Zkladntext"/>
        <w:keepNext/>
        <w:rPr>
          <w:szCs w:val="22"/>
        </w:rPr>
      </w:pPr>
    </w:p>
    <w:p w14:paraId="685D898C" w14:textId="77777777" w:rsidR="00612DD6" w:rsidRPr="002550D2" w:rsidRDefault="00612DD6" w:rsidP="00E24415">
      <w:pPr>
        <w:pStyle w:val="Zkladntext"/>
        <w:keepNext/>
        <w:rPr>
          <w:szCs w:val="22"/>
        </w:rPr>
      </w:pPr>
      <w:r w:rsidRPr="002550D2">
        <w:rPr>
          <w:b/>
          <w:i/>
          <w:szCs w:val="22"/>
        </w:rPr>
        <w:t>Poruchy metabolizmu a výživy</w:t>
      </w:r>
    </w:p>
    <w:p w14:paraId="6772B26C"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hyperglykémia, hypoglygémia</w:t>
      </w:r>
    </w:p>
    <w:p w14:paraId="3633CF06"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metabolická acidóza, hypoalbuminémia</w:t>
      </w:r>
    </w:p>
    <w:p w14:paraId="7C99E155" w14:textId="77777777" w:rsidR="00612DD6" w:rsidRPr="002550D2" w:rsidRDefault="00612DD6" w:rsidP="00612DD6">
      <w:pPr>
        <w:pStyle w:val="Zkladntext"/>
        <w:tabs>
          <w:tab w:val="left" w:pos="1560"/>
        </w:tabs>
        <w:rPr>
          <w:szCs w:val="22"/>
        </w:rPr>
      </w:pPr>
    </w:p>
    <w:p w14:paraId="36667703" w14:textId="77777777" w:rsidR="00612DD6" w:rsidRPr="002550D2" w:rsidRDefault="00612DD6" w:rsidP="00E24415">
      <w:pPr>
        <w:pStyle w:val="Zkladntext"/>
        <w:keepNext/>
        <w:tabs>
          <w:tab w:val="left" w:pos="1560"/>
        </w:tabs>
        <w:rPr>
          <w:szCs w:val="22"/>
        </w:rPr>
      </w:pPr>
      <w:r w:rsidRPr="002550D2">
        <w:rPr>
          <w:b/>
          <w:i/>
          <w:szCs w:val="22"/>
        </w:rPr>
        <w:t>Psychické poruchy</w:t>
      </w:r>
    </w:p>
    <w:p w14:paraId="13F06EC2"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agitácia</w:t>
      </w:r>
    </w:p>
    <w:p w14:paraId="09D5B297" w14:textId="77777777" w:rsidR="00612DD6" w:rsidRPr="002550D2" w:rsidRDefault="00612DD6" w:rsidP="00612DD6">
      <w:pPr>
        <w:pStyle w:val="Zkladntext"/>
        <w:tabs>
          <w:tab w:val="left" w:pos="1560"/>
        </w:tabs>
        <w:rPr>
          <w:szCs w:val="22"/>
        </w:rPr>
      </w:pPr>
      <w:r w:rsidRPr="002550D2">
        <w:rPr>
          <w:szCs w:val="22"/>
        </w:rPr>
        <w:t xml:space="preserve">Menej časté: </w:t>
      </w:r>
      <w:r w:rsidRPr="002550D2">
        <w:rPr>
          <w:szCs w:val="22"/>
        </w:rPr>
        <w:tab/>
        <w:t>halucinácie</w:t>
      </w:r>
    </w:p>
    <w:p w14:paraId="6631017A" w14:textId="77777777" w:rsidR="00612DD6" w:rsidRPr="002550D2" w:rsidRDefault="00612DD6" w:rsidP="00612DD6">
      <w:pPr>
        <w:pStyle w:val="Zkladntext"/>
        <w:tabs>
          <w:tab w:val="left" w:pos="1560"/>
        </w:tabs>
        <w:rPr>
          <w:szCs w:val="22"/>
        </w:rPr>
      </w:pPr>
    </w:p>
    <w:p w14:paraId="01128F20" w14:textId="77777777" w:rsidR="00612DD6" w:rsidRPr="002550D2" w:rsidRDefault="00612DD6" w:rsidP="00E24415">
      <w:pPr>
        <w:pStyle w:val="Zkladntext"/>
        <w:keepNext/>
        <w:tabs>
          <w:tab w:val="left" w:pos="1560"/>
        </w:tabs>
        <w:rPr>
          <w:szCs w:val="22"/>
        </w:rPr>
      </w:pPr>
      <w:r w:rsidRPr="002550D2">
        <w:rPr>
          <w:b/>
          <w:i/>
          <w:szCs w:val="22"/>
        </w:rPr>
        <w:t>Poruchy srdca a srdcovej činnosti</w:t>
      </w:r>
    </w:p>
    <w:p w14:paraId="40095E05" w14:textId="77777777" w:rsidR="00612DD6" w:rsidRPr="002550D2" w:rsidRDefault="00612DD6" w:rsidP="00612DD6">
      <w:pPr>
        <w:pStyle w:val="Zkladntext"/>
        <w:tabs>
          <w:tab w:val="left" w:pos="1560"/>
        </w:tabs>
        <w:rPr>
          <w:szCs w:val="22"/>
        </w:rPr>
      </w:pPr>
      <w:r w:rsidRPr="002550D2">
        <w:rPr>
          <w:szCs w:val="22"/>
        </w:rPr>
        <w:t>Veľmi časté:</w:t>
      </w:r>
      <w:r w:rsidRPr="002550D2">
        <w:rPr>
          <w:szCs w:val="22"/>
        </w:rPr>
        <w:tab/>
        <w:t>bradykardia</w:t>
      </w:r>
      <w:r w:rsidRPr="002550D2">
        <w:rPr>
          <w:szCs w:val="22"/>
          <w:vertAlign w:val="superscript"/>
        </w:rPr>
        <w:t>1, 2</w:t>
      </w:r>
    </w:p>
    <w:p w14:paraId="4268C3C7"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ischémia alebo infarkt myokardu, tachykardia</w:t>
      </w:r>
    </w:p>
    <w:p w14:paraId="482B860E" w14:textId="2E0C96E3" w:rsidR="00612DD6" w:rsidRPr="002550D2" w:rsidRDefault="00612DD6" w:rsidP="00612DD6">
      <w:pPr>
        <w:pStyle w:val="Zkladntext"/>
        <w:tabs>
          <w:tab w:val="left" w:pos="1560"/>
        </w:tabs>
        <w:rPr>
          <w:szCs w:val="22"/>
        </w:rPr>
      </w:pPr>
      <w:r w:rsidRPr="002550D2">
        <w:rPr>
          <w:szCs w:val="22"/>
        </w:rPr>
        <w:t>Menej časté:</w:t>
      </w:r>
      <w:r w:rsidRPr="002550D2">
        <w:rPr>
          <w:szCs w:val="22"/>
        </w:rPr>
        <w:tab/>
        <w:t>atriventrikulárna blokáda</w:t>
      </w:r>
      <w:r w:rsidR="000D65AA" w:rsidRPr="000173CE">
        <w:rPr>
          <w:szCs w:val="22"/>
          <w:vertAlign w:val="superscript"/>
        </w:rPr>
        <w:t>1</w:t>
      </w:r>
      <w:r w:rsidRPr="002550D2">
        <w:rPr>
          <w:szCs w:val="22"/>
        </w:rPr>
        <w:t>, znížený srdcový výdaj</w:t>
      </w:r>
      <w:r w:rsidR="000D65AA">
        <w:rPr>
          <w:szCs w:val="22"/>
        </w:rPr>
        <w:t xml:space="preserve">, </w:t>
      </w:r>
      <w:r w:rsidR="000D65AA" w:rsidRPr="000173CE">
        <w:rPr>
          <w:szCs w:val="22"/>
        </w:rPr>
        <w:t>z</w:t>
      </w:r>
      <w:r w:rsidR="000D65AA" w:rsidRPr="000173CE">
        <w:rPr>
          <w:rFonts w:hint="eastAsia"/>
          <w:szCs w:val="22"/>
        </w:rPr>
        <w:t>á</w:t>
      </w:r>
      <w:r w:rsidR="000D65AA" w:rsidRPr="000173CE">
        <w:rPr>
          <w:szCs w:val="22"/>
        </w:rPr>
        <w:t>stava srdca</w:t>
      </w:r>
      <w:r w:rsidR="000D65AA" w:rsidRPr="000173CE">
        <w:rPr>
          <w:szCs w:val="22"/>
          <w:vertAlign w:val="superscript"/>
        </w:rPr>
        <w:t>1</w:t>
      </w:r>
    </w:p>
    <w:p w14:paraId="48C29BFB" w14:textId="77777777" w:rsidR="00612DD6" w:rsidRPr="002550D2" w:rsidRDefault="00612DD6" w:rsidP="00612DD6">
      <w:pPr>
        <w:pStyle w:val="Zkladntext"/>
        <w:tabs>
          <w:tab w:val="left" w:pos="1560"/>
        </w:tabs>
        <w:rPr>
          <w:szCs w:val="22"/>
        </w:rPr>
      </w:pPr>
    </w:p>
    <w:p w14:paraId="6CE6BE4D" w14:textId="77777777" w:rsidR="00612DD6" w:rsidRPr="002550D2" w:rsidRDefault="00612DD6" w:rsidP="00E24415">
      <w:pPr>
        <w:pStyle w:val="Zkladntext"/>
        <w:keepNext/>
        <w:tabs>
          <w:tab w:val="left" w:pos="1560"/>
        </w:tabs>
        <w:rPr>
          <w:szCs w:val="22"/>
        </w:rPr>
      </w:pPr>
      <w:r w:rsidRPr="002550D2">
        <w:rPr>
          <w:b/>
          <w:i/>
          <w:szCs w:val="22"/>
        </w:rPr>
        <w:t>Poruchy ciev</w:t>
      </w:r>
    </w:p>
    <w:p w14:paraId="6B1F932B" w14:textId="77777777" w:rsidR="00612DD6" w:rsidRPr="002550D2" w:rsidRDefault="00612DD6" w:rsidP="00612DD6">
      <w:pPr>
        <w:pStyle w:val="Zkladntext"/>
        <w:tabs>
          <w:tab w:val="left" w:pos="1560"/>
        </w:tabs>
        <w:rPr>
          <w:szCs w:val="22"/>
        </w:rPr>
      </w:pPr>
      <w:r w:rsidRPr="002550D2">
        <w:rPr>
          <w:szCs w:val="22"/>
        </w:rPr>
        <w:t>Veľmi časté:</w:t>
      </w:r>
      <w:r w:rsidRPr="002550D2">
        <w:rPr>
          <w:szCs w:val="22"/>
        </w:rPr>
        <w:tab/>
        <w:t>hypotenzia</w:t>
      </w:r>
      <w:r w:rsidRPr="002550D2">
        <w:rPr>
          <w:szCs w:val="22"/>
          <w:vertAlign w:val="superscript"/>
        </w:rPr>
        <w:t>1, 2</w:t>
      </w:r>
      <w:r w:rsidRPr="002550D2">
        <w:rPr>
          <w:szCs w:val="22"/>
        </w:rPr>
        <w:t>, hypertenzia</w:t>
      </w:r>
      <w:r w:rsidRPr="002550D2">
        <w:rPr>
          <w:szCs w:val="22"/>
          <w:vertAlign w:val="superscript"/>
        </w:rPr>
        <w:t>1, 2</w:t>
      </w:r>
    </w:p>
    <w:p w14:paraId="355DDAEC" w14:textId="77777777" w:rsidR="00612DD6" w:rsidRPr="002550D2" w:rsidRDefault="00612DD6" w:rsidP="00612DD6">
      <w:pPr>
        <w:pStyle w:val="Zkladntext"/>
        <w:tabs>
          <w:tab w:val="left" w:pos="1560"/>
        </w:tabs>
        <w:rPr>
          <w:szCs w:val="22"/>
        </w:rPr>
      </w:pPr>
    </w:p>
    <w:p w14:paraId="6CA464C7" w14:textId="77777777" w:rsidR="00612DD6" w:rsidRPr="002550D2" w:rsidRDefault="00612DD6" w:rsidP="00E24415">
      <w:pPr>
        <w:pStyle w:val="Zkladntext"/>
        <w:keepNext/>
        <w:tabs>
          <w:tab w:val="left" w:pos="1560"/>
        </w:tabs>
        <w:rPr>
          <w:szCs w:val="22"/>
        </w:rPr>
      </w:pPr>
      <w:r w:rsidRPr="002550D2">
        <w:rPr>
          <w:b/>
          <w:i/>
          <w:szCs w:val="22"/>
        </w:rPr>
        <w:t>Poruchy dýchacej sústavy, hrudníka a mediastína</w:t>
      </w:r>
    </w:p>
    <w:p w14:paraId="79BB0659" w14:textId="77777777" w:rsidR="00612DD6" w:rsidRPr="002550D2" w:rsidRDefault="00612DD6" w:rsidP="00612DD6">
      <w:pPr>
        <w:pStyle w:val="Zkladntext"/>
        <w:tabs>
          <w:tab w:val="left" w:pos="1560"/>
        </w:tabs>
        <w:rPr>
          <w:szCs w:val="22"/>
        </w:rPr>
      </w:pPr>
      <w:r w:rsidRPr="002550D2">
        <w:rPr>
          <w:szCs w:val="22"/>
        </w:rPr>
        <w:t>Veľmi časté:</w:t>
      </w:r>
      <w:r w:rsidRPr="002550D2">
        <w:rPr>
          <w:szCs w:val="22"/>
        </w:rPr>
        <w:tab/>
        <w:t>respiračná depresia</w:t>
      </w:r>
      <w:r w:rsidRPr="002550D2">
        <w:rPr>
          <w:szCs w:val="22"/>
          <w:vertAlign w:val="superscript"/>
        </w:rPr>
        <w:t>2, 3</w:t>
      </w:r>
    </w:p>
    <w:p w14:paraId="16EF7F71"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dyspnoe, apnoe</w:t>
      </w:r>
    </w:p>
    <w:p w14:paraId="7CF8D64F" w14:textId="77777777" w:rsidR="00612DD6" w:rsidRPr="002550D2" w:rsidRDefault="00612DD6" w:rsidP="00612DD6">
      <w:pPr>
        <w:pStyle w:val="Zkladntext"/>
        <w:tabs>
          <w:tab w:val="left" w:pos="1560"/>
        </w:tabs>
        <w:rPr>
          <w:szCs w:val="22"/>
        </w:rPr>
      </w:pPr>
    </w:p>
    <w:p w14:paraId="714280BE" w14:textId="77777777" w:rsidR="00612DD6" w:rsidRPr="002550D2" w:rsidRDefault="00612DD6" w:rsidP="00E24415">
      <w:pPr>
        <w:pStyle w:val="Zkladntext"/>
        <w:keepNext/>
        <w:tabs>
          <w:tab w:val="left" w:pos="1560"/>
        </w:tabs>
        <w:rPr>
          <w:szCs w:val="22"/>
        </w:rPr>
      </w:pPr>
      <w:r w:rsidRPr="002550D2">
        <w:rPr>
          <w:b/>
          <w:i/>
          <w:szCs w:val="22"/>
        </w:rPr>
        <w:t>Poruchy gastrointestinálneho traktu</w:t>
      </w:r>
    </w:p>
    <w:p w14:paraId="1F51F688" w14:textId="77777777" w:rsidR="00612DD6" w:rsidRPr="002550D2" w:rsidRDefault="00612DD6" w:rsidP="00612DD6">
      <w:pPr>
        <w:pStyle w:val="Zkladntext"/>
        <w:tabs>
          <w:tab w:val="left" w:pos="1560"/>
        </w:tabs>
        <w:rPr>
          <w:szCs w:val="22"/>
        </w:rPr>
      </w:pPr>
      <w:r w:rsidRPr="002550D2">
        <w:rPr>
          <w:szCs w:val="22"/>
        </w:rPr>
        <w:t>Časté:</w:t>
      </w:r>
      <w:r w:rsidRPr="002550D2">
        <w:rPr>
          <w:szCs w:val="22"/>
        </w:rPr>
        <w:tab/>
        <w:t>nauzea</w:t>
      </w:r>
      <w:r w:rsidRPr="002550D2">
        <w:rPr>
          <w:szCs w:val="22"/>
          <w:vertAlign w:val="superscript"/>
        </w:rPr>
        <w:t>2</w:t>
      </w:r>
      <w:r w:rsidRPr="002550D2">
        <w:rPr>
          <w:szCs w:val="22"/>
        </w:rPr>
        <w:t>, vracanie, sucho v ústach</w:t>
      </w:r>
      <w:r w:rsidRPr="002550D2">
        <w:rPr>
          <w:szCs w:val="22"/>
          <w:vertAlign w:val="superscript"/>
        </w:rPr>
        <w:t>2</w:t>
      </w:r>
    </w:p>
    <w:p w14:paraId="266B7C7A"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abdominálna distenzia</w:t>
      </w:r>
    </w:p>
    <w:p w14:paraId="04930939" w14:textId="77777777" w:rsidR="00612DD6" w:rsidRPr="002550D2" w:rsidRDefault="00612DD6" w:rsidP="00612DD6">
      <w:pPr>
        <w:pStyle w:val="Zkladntext"/>
        <w:tabs>
          <w:tab w:val="left" w:pos="1560"/>
        </w:tabs>
        <w:rPr>
          <w:szCs w:val="22"/>
        </w:rPr>
      </w:pPr>
    </w:p>
    <w:p w14:paraId="17D58C54" w14:textId="77777777" w:rsidR="00612DD6" w:rsidRPr="002550D2" w:rsidRDefault="00612DD6" w:rsidP="00E24415">
      <w:pPr>
        <w:pStyle w:val="Zkladntext"/>
        <w:keepNext/>
        <w:tabs>
          <w:tab w:val="left" w:pos="1560"/>
        </w:tabs>
        <w:rPr>
          <w:szCs w:val="22"/>
        </w:rPr>
      </w:pPr>
      <w:r w:rsidRPr="002550D2">
        <w:rPr>
          <w:b/>
          <w:i/>
          <w:szCs w:val="22"/>
        </w:rPr>
        <w:t>Poruchy obličiek a močových ciest</w:t>
      </w:r>
    </w:p>
    <w:p w14:paraId="767523F7" w14:textId="77777777" w:rsidR="00612DD6" w:rsidRPr="002550D2" w:rsidRDefault="00612DD6" w:rsidP="00612DD6">
      <w:pPr>
        <w:pStyle w:val="Zkladntext"/>
        <w:tabs>
          <w:tab w:val="left" w:pos="1560"/>
        </w:tabs>
        <w:rPr>
          <w:szCs w:val="22"/>
        </w:rPr>
      </w:pPr>
      <w:r w:rsidRPr="002550D2">
        <w:rPr>
          <w:szCs w:val="22"/>
        </w:rPr>
        <w:t xml:space="preserve">Neznáme: </w:t>
      </w:r>
      <w:r w:rsidRPr="002550D2">
        <w:rPr>
          <w:szCs w:val="22"/>
        </w:rPr>
        <w:tab/>
        <w:t>polyúria</w:t>
      </w:r>
    </w:p>
    <w:p w14:paraId="06F1B671" w14:textId="77777777" w:rsidR="00612DD6" w:rsidRPr="002550D2" w:rsidRDefault="00612DD6" w:rsidP="00612DD6">
      <w:pPr>
        <w:pStyle w:val="Zkladntext"/>
        <w:tabs>
          <w:tab w:val="left" w:pos="1560"/>
        </w:tabs>
        <w:rPr>
          <w:szCs w:val="22"/>
        </w:rPr>
      </w:pPr>
    </w:p>
    <w:p w14:paraId="01F0BC56" w14:textId="77777777" w:rsidR="00612DD6" w:rsidRPr="002550D2" w:rsidRDefault="00612DD6" w:rsidP="00E24415">
      <w:pPr>
        <w:pStyle w:val="Zkladntext"/>
        <w:keepNext/>
        <w:tabs>
          <w:tab w:val="left" w:pos="1560"/>
        </w:tabs>
        <w:rPr>
          <w:szCs w:val="22"/>
        </w:rPr>
      </w:pPr>
      <w:r w:rsidRPr="002550D2">
        <w:rPr>
          <w:b/>
          <w:i/>
          <w:szCs w:val="22"/>
        </w:rPr>
        <w:t>Celkové poruchy a reakcie v mieste podania</w:t>
      </w:r>
    </w:p>
    <w:p w14:paraId="0B75D3F6" w14:textId="0D26E717" w:rsidR="00612DD6" w:rsidRPr="002550D2" w:rsidRDefault="00612DD6" w:rsidP="00612DD6">
      <w:pPr>
        <w:pStyle w:val="Zkladntext"/>
        <w:tabs>
          <w:tab w:val="left" w:pos="1560"/>
        </w:tabs>
        <w:rPr>
          <w:szCs w:val="22"/>
        </w:rPr>
      </w:pPr>
      <w:r w:rsidRPr="002550D2">
        <w:rPr>
          <w:szCs w:val="22"/>
        </w:rPr>
        <w:t>Časté:</w:t>
      </w:r>
      <w:r w:rsidRPr="002550D2">
        <w:rPr>
          <w:szCs w:val="22"/>
        </w:rPr>
        <w:tab/>
        <w:t>syndróm z </w:t>
      </w:r>
      <w:r w:rsidR="003E2AC0">
        <w:rPr>
          <w:szCs w:val="22"/>
        </w:rPr>
        <w:t>vysadenia</w:t>
      </w:r>
      <w:r w:rsidRPr="002550D2">
        <w:rPr>
          <w:szCs w:val="22"/>
        </w:rPr>
        <w:t>, hypertermia</w:t>
      </w:r>
    </w:p>
    <w:p w14:paraId="425137FF" w14:textId="77777777" w:rsidR="00612DD6" w:rsidRPr="002550D2" w:rsidRDefault="00612DD6" w:rsidP="00612DD6">
      <w:pPr>
        <w:pStyle w:val="Zkladntext"/>
        <w:tabs>
          <w:tab w:val="left" w:pos="1560"/>
        </w:tabs>
        <w:rPr>
          <w:szCs w:val="22"/>
        </w:rPr>
      </w:pPr>
      <w:r w:rsidRPr="002550D2">
        <w:rPr>
          <w:szCs w:val="22"/>
        </w:rPr>
        <w:t>Menej časté:</w:t>
      </w:r>
      <w:r w:rsidRPr="002550D2">
        <w:rPr>
          <w:szCs w:val="22"/>
        </w:rPr>
        <w:tab/>
        <w:t>neúčinnosť lieku, smäd</w:t>
      </w:r>
    </w:p>
    <w:p w14:paraId="40DE01E0" w14:textId="77777777" w:rsidR="00612DD6" w:rsidRPr="002550D2" w:rsidRDefault="00612DD6" w:rsidP="00612DD6">
      <w:pPr>
        <w:pStyle w:val="Zkladntext"/>
        <w:tabs>
          <w:tab w:val="left" w:pos="1560"/>
        </w:tabs>
        <w:rPr>
          <w:szCs w:val="22"/>
        </w:rPr>
      </w:pPr>
    </w:p>
    <w:p w14:paraId="1FFACD89" w14:textId="77777777" w:rsidR="00612DD6" w:rsidRPr="002550D2" w:rsidRDefault="00612DD6" w:rsidP="00612DD6">
      <w:pPr>
        <w:pStyle w:val="Zkladntext"/>
        <w:tabs>
          <w:tab w:val="left" w:pos="1560"/>
        </w:tabs>
        <w:rPr>
          <w:szCs w:val="22"/>
        </w:rPr>
      </w:pPr>
      <w:r w:rsidRPr="002550D2">
        <w:rPr>
          <w:szCs w:val="22"/>
          <w:vertAlign w:val="superscript"/>
        </w:rPr>
        <w:t>1</w:t>
      </w:r>
      <w:r w:rsidRPr="002550D2">
        <w:rPr>
          <w:szCs w:val="22"/>
        </w:rPr>
        <w:t xml:space="preserve"> Pozri časť Popis vybraných nežiaducich </w:t>
      </w:r>
      <w:r>
        <w:rPr>
          <w:szCs w:val="22"/>
        </w:rPr>
        <w:t>reakcií</w:t>
      </w:r>
    </w:p>
    <w:p w14:paraId="73ABCE78" w14:textId="77777777" w:rsidR="00612DD6" w:rsidRPr="002550D2" w:rsidRDefault="00612DD6" w:rsidP="00612DD6">
      <w:pPr>
        <w:pStyle w:val="Zkladntext"/>
        <w:tabs>
          <w:tab w:val="left" w:pos="1560"/>
        </w:tabs>
        <w:rPr>
          <w:szCs w:val="22"/>
        </w:rPr>
      </w:pPr>
      <w:r w:rsidRPr="002550D2">
        <w:rPr>
          <w:szCs w:val="22"/>
          <w:vertAlign w:val="superscript"/>
        </w:rPr>
        <w:t>2</w:t>
      </w:r>
      <w:r w:rsidRPr="002550D2">
        <w:rPr>
          <w:szCs w:val="22"/>
        </w:rPr>
        <w:t xml:space="preserve"> Nežiaduce reakcie pozorované tiež v štúdiách procedurálnej sedácie</w:t>
      </w:r>
    </w:p>
    <w:p w14:paraId="211CB94C" w14:textId="77777777" w:rsidR="00612DD6" w:rsidRPr="002550D2" w:rsidRDefault="00612DD6" w:rsidP="00612DD6">
      <w:pPr>
        <w:pStyle w:val="Zkladntext"/>
        <w:rPr>
          <w:szCs w:val="22"/>
        </w:rPr>
      </w:pPr>
      <w:r w:rsidRPr="002550D2">
        <w:rPr>
          <w:szCs w:val="22"/>
          <w:vertAlign w:val="superscript"/>
        </w:rPr>
        <w:t>3</w:t>
      </w:r>
      <w:r w:rsidRPr="002550D2">
        <w:rPr>
          <w:szCs w:val="22"/>
        </w:rPr>
        <w:t xml:space="preserve"> Výskyt „čast</w:t>
      </w:r>
      <w:r>
        <w:rPr>
          <w:szCs w:val="22"/>
        </w:rPr>
        <w:t>é</w:t>
      </w:r>
      <w:r w:rsidRPr="002550D2">
        <w:rPr>
          <w:szCs w:val="22"/>
        </w:rPr>
        <w:t>“ v štúdiách sedácie na JIS</w:t>
      </w:r>
    </w:p>
    <w:p w14:paraId="65FD5B12" w14:textId="77777777" w:rsidR="00612DD6" w:rsidRPr="002550D2" w:rsidRDefault="00612DD6" w:rsidP="00612DD6">
      <w:pPr>
        <w:pStyle w:val="Zkladntext"/>
        <w:rPr>
          <w:szCs w:val="22"/>
        </w:rPr>
      </w:pPr>
    </w:p>
    <w:p w14:paraId="439B9FCD" w14:textId="77777777" w:rsidR="00612DD6" w:rsidRPr="002550D2" w:rsidRDefault="00612DD6" w:rsidP="00612DD6">
      <w:pPr>
        <w:pStyle w:val="Zkladntext"/>
        <w:rPr>
          <w:szCs w:val="22"/>
        </w:rPr>
      </w:pPr>
      <w:r w:rsidRPr="002550D2">
        <w:rPr>
          <w:szCs w:val="22"/>
          <w:u w:val="single"/>
        </w:rPr>
        <w:t>Popis vybraných nežiaducich reakcií</w:t>
      </w:r>
    </w:p>
    <w:p w14:paraId="444E4248" w14:textId="77777777" w:rsidR="00612DD6" w:rsidRPr="002550D2" w:rsidRDefault="00612DD6" w:rsidP="00612DD6">
      <w:pPr>
        <w:pStyle w:val="Zkladntext"/>
        <w:rPr>
          <w:szCs w:val="22"/>
        </w:rPr>
      </w:pPr>
      <w:r w:rsidRPr="002550D2">
        <w:rPr>
          <w:szCs w:val="22"/>
        </w:rPr>
        <w:t>Klinicky významná hypotenzia alebo bradykardia sa má l</w:t>
      </w:r>
      <w:r w:rsidR="00E24415">
        <w:rPr>
          <w:szCs w:val="22"/>
        </w:rPr>
        <w:t>iečiť podľa popisu v časti 4.4.</w:t>
      </w:r>
    </w:p>
    <w:p w14:paraId="09519096" w14:textId="77777777" w:rsidR="00612DD6" w:rsidRPr="002550D2" w:rsidRDefault="00612DD6" w:rsidP="00612DD6">
      <w:pPr>
        <w:pStyle w:val="Zkladntext"/>
        <w:rPr>
          <w:szCs w:val="22"/>
        </w:rPr>
      </w:pPr>
    </w:p>
    <w:p w14:paraId="4D7A5A72" w14:textId="77777777" w:rsidR="000D65AA" w:rsidRPr="000173CE" w:rsidRDefault="00E24415" w:rsidP="000D65AA">
      <w:pPr>
        <w:tabs>
          <w:tab w:val="clear" w:pos="567"/>
        </w:tabs>
        <w:autoSpaceDE w:val="0"/>
        <w:autoSpaceDN w:val="0"/>
        <w:adjustRightInd w:val="0"/>
        <w:spacing w:line="240" w:lineRule="auto"/>
        <w:rPr>
          <w:szCs w:val="22"/>
        </w:rPr>
      </w:pPr>
      <w:r>
        <w:rPr>
          <w:szCs w:val="22"/>
        </w:rPr>
        <w:t>U </w:t>
      </w:r>
      <w:r w:rsidR="00612DD6" w:rsidRPr="002550D2">
        <w:rPr>
          <w:szCs w:val="22"/>
        </w:rPr>
        <w:t>relatívne zdravých pacientov mimo JIS liečených dexmedetomid</w:t>
      </w:r>
      <w:r w:rsidR="00612DD6">
        <w:rPr>
          <w:szCs w:val="22"/>
        </w:rPr>
        <w:t>í</w:t>
      </w:r>
      <w:r w:rsidR="00612DD6" w:rsidRPr="002550D2">
        <w:rPr>
          <w:szCs w:val="22"/>
        </w:rPr>
        <w:t>nom viedla bradykardia niekedy</w:t>
      </w:r>
      <w:r>
        <w:rPr>
          <w:szCs w:val="22"/>
        </w:rPr>
        <w:t xml:space="preserve"> k </w:t>
      </w:r>
      <w:r w:rsidR="00612DD6" w:rsidRPr="002550D2">
        <w:rPr>
          <w:szCs w:val="22"/>
        </w:rPr>
        <w:t>zastaveniu sínusového uzla alebo sínusovej pauze. Symptómy reagovali na zdv</w:t>
      </w:r>
      <w:r>
        <w:rPr>
          <w:szCs w:val="22"/>
        </w:rPr>
        <w:t>ihnutie dolných končatín a </w:t>
      </w:r>
      <w:r w:rsidR="00612DD6" w:rsidRPr="002550D2">
        <w:rPr>
          <w:szCs w:val="22"/>
        </w:rPr>
        <w:t>anticholinergiká, ako je</w:t>
      </w:r>
      <w:r>
        <w:rPr>
          <w:szCs w:val="22"/>
        </w:rPr>
        <w:t xml:space="preserve"> atropín alebo glykopyrrolát. V </w:t>
      </w:r>
      <w:r w:rsidR="00612DD6" w:rsidRPr="002550D2">
        <w:rPr>
          <w:szCs w:val="22"/>
        </w:rPr>
        <w:t>ojedinelých prípadoch u</w:t>
      </w:r>
      <w:r>
        <w:rPr>
          <w:szCs w:val="22"/>
        </w:rPr>
        <w:t> </w:t>
      </w:r>
      <w:r w:rsidR="00612DD6" w:rsidRPr="002550D2">
        <w:rPr>
          <w:szCs w:val="22"/>
        </w:rPr>
        <w:t>pacientov</w:t>
      </w:r>
      <w:r>
        <w:rPr>
          <w:szCs w:val="22"/>
        </w:rPr>
        <w:t xml:space="preserve"> s </w:t>
      </w:r>
      <w:r w:rsidR="00612DD6" w:rsidRPr="002550D2">
        <w:rPr>
          <w:szCs w:val="22"/>
        </w:rPr>
        <w:t>preexistujúcou bradykardiou progre</w:t>
      </w:r>
      <w:r w:rsidR="002A32BE">
        <w:rPr>
          <w:szCs w:val="22"/>
        </w:rPr>
        <w:t>dovala bradykardia do asystoly.</w:t>
      </w:r>
      <w:r w:rsidR="000D65AA">
        <w:rPr>
          <w:szCs w:val="22"/>
        </w:rPr>
        <w:t xml:space="preserve"> </w:t>
      </w:r>
      <w:r w:rsidR="000D65AA" w:rsidRPr="000173CE">
        <w:rPr>
          <w:szCs w:val="22"/>
        </w:rPr>
        <w:t>Boli hl</w:t>
      </w:r>
      <w:r w:rsidR="000D65AA" w:rsidRPr="000173CE">
        <w:rPr>
          <w:rFonts w:hint="eastAsia"/>
          <w:szCs w:val="22"/>
        </w:rPr>
        <w:t>á</w:t>
      </w:r>
      <w:r w:rsidR="000D65AA" w:rsidRPr="000173CE">
        <w:rPr>
          <w:szCs w:val="22"/>
        </w:rPr>
        <w:t>sen</w:t>
      </w:r>
      <w:r w:rsidR="000D65AA" w:rsidRPr="000173CE">
        <w:rPr>
          <w:rFonts w:hint="eastAsia"/>
          <w:szCs w:val="22"/>
        </w:rPr>
        <w:t>é</w:t>
      </w:r>
      <w:r w:rsidR="000D65AA" w:rsidRPr="000173CE">
        <w:rPr>
          <w:szCs w:val="22"/>
        </w:rPr>
        <w:t xml:space="preserve"> aj pr</w:t>
      </w:r>
      <w:r w:rsidR="000D65AA" w:rsidRPr="000173CE">
        <w:rPr>
          <w:rFonts w:hint="eastAsia"/>
          <w:szCs w:val="22"/>
        </w:rPr>
        <w:t>í</w:t>
      </w:r>
      <w:r w:rsidR="000D65AA" w:rsidRPr="000173CE">
        <w:rPr>
          <w:szCs w:val="22"/>
        </w:rPr>
        <w:t>pady z</w:t>
      </w:r>
      <w:r w:rsidR="000D65AA" w:rsidRPr="000173CE">
        <w:rPr>
          <w:rFonts w:hint="eastAsia"/>
          <w:szCs w:val="22"/>
        </w:rPr>
        <w:t>á</w:t>
      </w:r>
      <w:r w:rsidR="000D65AA" w:rsidRPr="000173CE">
        <w:rPr>
          <w:szCs w:val="22"/>
        </w:rPr>
        <w:t>stavy</w:t>
      </w:r>
    </w:p>
    <w:p w14:paraId="19248876" w14:textId="69EC9629" w:rsidR="00612DD6" w:rsidRPr="002550D2" w:rsidRDefault="000D65AA" w:rsidP="000D65AA">
      <w:pPr>
        <w:pStyle w:val="Zkladntext"/>
        <w:rPr>
          <w:szCs w:val="22"/>
          <w:lang w:bidi="sk-SK"/>
        </w:rPr>
      </w:pPr>
      <w:r w:rsidRPr="000173CE">
        <w:rPr>
          <w:szCs w:val="22"/>
          <w:lang w:bidi="sk-SK"/>
        </w:rPr>
        <w:t>srdca, ktor</w:t>
      </w:r>
      <w:r w:rsidRPr="000173CE">
        <w:rPr>
          <w:rFonts w:hint="eastAsia"/>
          <w:szCs w:val="22"/>
          <w:lang w:bidi="sk-SK"/>
        </w:rPr>
        <w:t>ý</w:t>
      </w:r>
      <w:r w:rsidRPr="000173CE">
        <w:rPr>
          <w:szCs w:val="22"/>
          <w:lang w:bidi="sk-SK"/>
        </w:rPr>
        <w:t xml:space="preserve">m </w:t>
      </w:r>
      <w:r w:rsidRPr="000173CE">
        <w:rPr>
          <w:rFonts w:hint="eastAsia"/>
          <w:szCs w:val="22"/>
          <w:lang w:bidi="sk-SK"/>
        </w:rPr>
        <w:t>č</w:t>
      </w:r>
      <w:r w:rsidRPr="000173CE">
        <w:rPr>
          <w:szCs w:val="22"/>
          <w:lang w:bidi="sk-SK"/>
        </w:rPr>
        <w:t>asto predch</w:t>
      </w:r>
      <w:r w:rsidRPr="000173CE">
        <w:rPr>
          <w:rFonts w:hint="eastAsia"/>
          <w:szCs w:val="22"/>
          <w:lang w:bidi="sk-SK"/>
        </w:rPr>
        <w:t>á</w:t>
      </w:r>
      <w:r w:rsidRPr="000173CE">
        <w:rPr>
          <w:szCs w:val="22"/>
          <w:lang w:bidi="sk-SK"/>
        </w:rPr>
        <w:t>dzala bradykardia alebo atrioventrikul</w:t>
      </w:r>
      <w:r w:rsidRPr="000173CE">
        <w:rPr>
          <w:rFonts w:hint="eastAsia"/>
          <w:szCs w:val="22"/>
          <w:lang w:bidi="sk-SK"/>
        </w:rPr>
        <w:t>á</w:t>
      </w:r>
      <w:r w:rsidRPr="000173CE">
        <w:rPr>
          <w:szCs w:val="22"/>
          <w:lang w:bidi="sk-SK"/>
        </w:rPr>
        <w:t>rny blok.</w:t>
      </w:r>
    </w:p>
    <w:p w14:paraId="2993D2A9" w14:textId="77777777" w:rsidR="00612DD6" w:rsidRPr="002550D2" w:rsidRDefault="00612DD6" w:rsidP="00612DD6">
      <w:pPr>
        <w:pStyle w:val="Zkladntext"/>
        <w:rPr>
          <w:szCs w:val="22"/>
        </w:rPr>
      </w:pPr>
    </w:p>
    <w:p w14:paraId="2705754A" w14:textId="77777777" w:rsidR="00612DD6" w:rsidRPr="002550D2" w:rsidRDefault="002A32BE" w:rsidP="00612DD6">
      <w:pPr>
        <w:pStyle w:val="Zkladntext"/>
        <w:rPr>
          <w:szCs w:val="22"/>
        </w:rPr>
      </w:pPr>
      <w:r>
        <w:rPr>
          <w:szCs w:val="22"/>
        </w:rPr>
        <w:t>Hypertenzia súvisela s použitím nasycovacej dávky a </w:t>
      </w:r>
      <w:r w:rsidR="00612DD6" w:rsidRPr="002550D2">
        <w:rPr>
          <w:szCs w:val="22"/>
        </w:rPr>
        <w:t>tento účinok možno znížiť vyhnutím sa nasycovacej dávke alebo znížením rýchlosti infúzie či veľkosti nasycovacej dávky.</w:t>
      </w:r>
    </w:p>
    <w:p w14:paraId="17714DD6" w14:textId="77777777" w:rsidR="00612DD6" w:rsidRPr="002550D2" w:rsidRDefault="00612DD6" w:rsidP="00612DD6">
      <w:pPr>
        <w:pStyle w:val="Zkladntext"/>
        <w:rPr>
          <w:szCs w:val="22"/>
        </w:rPr>
      </w:pPr>
    </w:p>
    <w:p w14:paraId="70C3B5D3" w14:textId="77777777" w:rsidR="00612DD6" w:rsidRPr="002550D2" w:rsidRDefault="00612DD6" w:rsidP="00612DD6">
      <w:pPr>
        <w:pStyle w:val="Zkladntext"/>
        <w:rPr>
          <w:bCs/>
          <w:iCs/>
          <w:szCs w:val="22"/>
        </w:rPr>
      </w:pPr>
      <w:r w:rsidRPr="002550D2">
        <w:rPr>
          <w:bCs/>
          <w:iCs/>
          <w:szCs w:val="22"/>
          <w:u w:val="single"/>
        </w:rPr>
        <w:t>Pediatrická populácia</w:t>
      </w:r>
    </w:p>
    <w:p w14:paraId="1F234A81" w14:textId="77777777" w:rsidR="00612DD6" w:rsidRPr="00612DD6" w:rsidRDefault="002A32BE" w:rsidP="00612DD6">
      <w:pPr>
        <w:autoSpaceDE w:val="0"/>
        <w:autoSpaceDN w:val="0"/>
        <w:adjustRightInd w:val="0"/>
        <w:rPr>
          <w:szCs w:val="22"/>
        </w:rPr>
      </w:pPr>
      <w:r>
        <w:rPr>
          <w:szCs w:val="22"/>
          <w:lang w:eastAsia="cs-CZ"/>
        </w:rPr>
        <w:t>Hodnotením liečby u detí starších ako 1 </w:t>
      </w:r>
      <w:r w:rsidR="00612DD6" w:rsidRPr="00612DD6">
        <w:rPr>
          <w:szCs w:val="22"/>
          <w:lang w:eastAsia="cs-CZ"/>
        </w:rPr>
        <w:t>mesiac, prevažne po o</w:t>
      </w:r>
      <w:r>
        <w:rPr>
          <w:szCs w:val="22"/>
          <w:lang w:eastAsia="cs-CZ"/>
        </w:rPr>
        <w:t>perácii, ktorá prebiehala až 24 </w:t>
      </w:r>
      <w:r w:rsidR="00612DD6" w:rsidRPr="00612DD6">
        <w:rPr>
          <w:szCs w:val="22"/>
          <w:lang w:eastAsia="cs-CZ"/>
        </w:rPr>
        <w:t xml:space="preserve">hodín na JIS, bol preukázaný podobný </w:t>
      </w:r>
      <w:r>
        <w:rPr>
          <w:szCs w:val="22"/>
          <w:lang w:eastAsia="cs-CZ"/>
        </w:rPr>
        <w:t>bezpečnostný profil ako u </w:t>
      </w:r>
      <w:r w:rsidR="00612DD6" w:rsidRPr="00612DD6">
        <w:rPr>
          <w:szCs w:val="22"/>
          <w:lang w:eastAsia="cs-CZ"/>
        </w:rPr>
        <w:t>dospelých.</w:t>
      </w:r>
      <w:r>
        <w:rPr>
          <w:szCs w:val="22"/>
          <w:lang w:eastAsia="cs-CZ"/>
        </w:rPr>
        <w:t xml:space="preserve"> Údaje od novorodencov (28.-44. </w:t>
      </w:r>
      <w:r w:rsidR="00612DD6" w:rsidRPr="00612DD6">
        <w:rPr>
          <w:szCs w:val="22"/>
          <w:lang w:eastAsia="cs-CZ"/>
        </w:rPr>
        <w:t>gestačn</w:t>
      </w:r>
      <w:r>
        <w:rPr>
          <w:szCs w:val="22"/>
          <w:lang w:eastAsia="cs-CZ"/>
        </w:rPr>
        <w:t>ý týždeň) sú veľmi limitované a obmedzené na udržiavacie dávky ≤ 0,2 µg/kg/h. V </w:t>
      </w:r>
      <w:r w:rsidR="00612DD6" w:rsidRPr="00612DD6">
        <w:rPr>
          <w:szCs w:val="22"/>
          <w:lang w:eastAsia="cs-CZ"/>
        </w:rPr>
        <w:t>literatúre sa uvádza jediný prí</w:t>
      </w:r>
      <w:r>
        <w:rPr>
          <w:szCs w:val="22"/>
          <w:lang w:eastAsia="cs-CZ"/>
        </w:rPr>
        <w:t>pad hypotermickej bradykardie u </w:t>
      </w:r>
      <w:r w:rsidR="00612DD6" w:rsidRPr="00612DD6">
        <w:rPr>
          <w:szCs w:val="22"/>
          <w:lang w:eastAsia="cs-CZ"/>
        </w:rPr>
        <w:t>novorodenca.</w:t>
      </w:r>
    </w:p>
    <w:p w14:paraId="27EDEB3D" w14:textId="77777777" w:rsidR="00033D26" w:rsidRPr="001960DE" w:rsidRDefault="00033D26" w:rsidP="00085939">
      <w:pPr>
        <w:autoSpaceDE w:val="0"/>
        <w:autoSpaceDN w:val="0"/>
        <w:adjustRightInd w:val="0"/>
        <w:spacing w:line="240" w:lineRule="auto"/>
        <w:jc w:val="both"/>
      </w:pPr>
    </w:p>
    <w:p w14:paraId="6D665BB9" w14:textId="77777777" w:rsidR="00B12D42" w:rsidRPr="00853C5F" w:rsidRDefault="0050541A" w:rsidP="00B12D42">
      <w:pPr>
        <w:keepNext/>
        <w:autoSpaceDE w:val="0"/>
        <w:autoSpaceDN w:val="0"/>
        <w:adjustRightInd w:val="0"/>
        <w:spacing w:line="240" w:lineRule="auto"/>
        <w:rPr>
          <w:u w:val="single"/>
        </w:rPr>
      </w:pPr>
      <w:r w:rsidRPr="00BF5AB0">
        <w:rPr>
          <w:u w:val="single"/>
        </w:rPr>
        <w:lastRenderedPageBreak/>
        <w:t>Hlásenie podozrení na nežiaduce reakcie</w:t>
      </w:r>
    </w:p>
    <w:p w14:paraId="0AD9BCE0" w14:textId="77777777" w:rsidR="00B12D42" w:rsidRPr="00853C5F" w:rsidRDefault="0050541A" w:rsidP="00B12D42">
      <w:pPr>
        <w:autoSpaceDE w:val="0"/>
        <w:autoSpaceDN w:val="0"/>
        <w:adjustRightInd w:val="0"/>
        <w:spacing w:line="240" w:lineRule="auto"/>
      </w:pPr>
      <w:r w:rsidRPr="00853C5F">
        <w:t>Hlásenie podozrení na nežiaduce reakcie po registrácii lieku je dôležité. Umožňuje priebežné monitorovanie pomeru prínosu a rizika lieku. Od zdravotníckych pracovníkov sa vyžaduje, aby hlásili akékoľvek podozrenia na</w:t>
      </w:r>
      <w:r>
        <w:t> </w:t>
      </w:r>
      <w:r w:rsidRPr="00BF5AB0">
        <w:t>nežiaduce reakcie</w:t>
      </w:r>
      <w:r>
        <w:t xml:space="preserve"> na</w:t>
      </w:r>
      <w:r w:rsidRPr="00BF5AB0">
        <w:t xml:space="preserve"> </w:t>
      </w:r>
      <w:r w:rsidRPr="00853C5F">
        <w:rPr>
          <w:highlight w:val="lightGray"/>
        </w:rPr>
        <w:t>národn</w:t>
      </w:r>
      <w:r>
        <w:rPr>
          <w:highlight w:val="lightGray"/>
        </w:rPr>
        <w:t>é</w:t>
      </w:r>
      <w:r w:rsidRPr="00853C5F">
        <w:rPr>
          <w:highlight w:val="lightGray"/>
        </w:rPr>
        <w:t xml:space="preserve"> </w:t>
      </w:r>
      <w:r>
        <w:rPr>
          <w:highlight w:val="lightGray"/>
        </w:rPr>
        <w:t>centrum</w:t>
      </w:r>
      <w:r w:rsidRPr="00853C5F">
        <w:rPr>
          <w:highlight w:val="lightGray"/>
        </w:rPr>
        <w:t xml:space="preserve"> hlásenia uveden</w:t>
      </w:r>
      <w:r>
        <w:rPr>
          <w:highlight w:val="lightGray"/>
        </w:rPr>
        <w:t>é</w:t>
      </w:r>
      <w:r w:rsidRPr="00853C5F">
        <w:rPr>
          <w:highlight w:val="lightGray"/>
        </w:rPr>
        <w:t xml:space="preserve"> v </w:t>
      </w:r>
      <w:hyperlink r:id="rId8" w:history="1">
        <w:r w:rsidRPr="00085939">
          <w:rPr>
            <w:rStyle w:val="Hypertextovprepojenie1"/>
            <w:highlight w:val="lightGray"/>
          </w:rPr>
          <w:t>Prílohe V</w:t>
        </w:r>
      </w:hyperlink>
      <w:r w:rsidRPr="00085939">
        <w:rPr>
          <w:color w:val="008000"/>
        </w:rPr>
        <w:t>.</w:t>
      </w:r>
    </w:p>
    <w:p w14:paraId="5E2F89CE" w14:textId="77777777" w:rsidR="008D35AD" w:rsidRPr="00891D76" w:rsidRDefault="008D35AD" w:rsidP="00204AAB">
      <w:pPr>
        <w:spacing w:line="240" w:lineRule="auto"/>
      </w:pPr>
    </w:p>
    <w:p w14:paraId="60C69906" w14:textId="77777777" w:rsidR="00812D16" w:rsidRPr="00891D76" w:rsidRDefault="0050541A" w:rsidP="00572506">
      <w:pPr>
        <w:keepNext/>
        <w:numPr>
          <w:ilvl w:val="1"/>
          <w:numId w:val="6"/>
        </w:numPr>
        <w:spacing w:line="240" w:lineRule="auto"/>
        <w:outlineLvl w:val="0"/>
      </w:pPr>
      <w:r w:rsidRPr="00BF5AB0">
        <w:rPr>
          <w:b/>
        </w:rPr>
        <w:t>Predávkovanie</w:t>
      </w:r>
    </w:p>
    <w:p w14:paraId="3DE95851" w14:textId="77777777" w:rsidR="00812D16" w:rsidRPr="0082445A" w:rsidRDefault="00812D16" w:rsidP="002A32BE">
      <w:pPr>
        <w:keepNext/>
        <w:spacing w:line="240" w:lineRule="auto"/>
      </w:pPr>
    </w:p>
    <w:p w14:paraId="3BEDECCC" w14:textId="77777777" w:rsidR="00091430" w:rsidRPr="00091430" w:rsidRDefault="00091430" w:rsidP="00091430">
      <w:pPr>
        <w:keepNext/>
        <w:rPr>
          <w:szCs w:val="22"/>
        </w:rPr>
      </w:pPr>
      <w:r w:rsidRPr="00091430">
        <w:rPr>
          <w:szCs w:val="22"/>
          <w:u w:val="single"/>
        </w:rPr>
        <w:t>Príznaky</w:t>
      </w:r>
    </w:p>
    <w:p w14:paraId="31A231FD" w14:textId="13350250" w:rsidR="00091430" w:rsidRPr="00091430" w:rsidRDefault="00091430" w:rsidP="00091430">
      <w:pPr>
        <w:autoSpaceDE w:val="0"/>
        <w:autoSpaceDN w:val="0"/>
        <w:adjustRightInd w:val="0"/>
        <w:rPr>
          <w:szCs w:val="22"/>
          <w:lang w:eastAsia="cs-CZ"/>
        </w:rPr>
      </w:pPr>
      <w:r w:rsidRPr="00091430">
        <w:rPr>
          <w:szCs w:val="22"/>
          <w:lang w:eastAsia="cs-CZ"/>
        </w:rPr>
        <w:t>Niekoľko prípadov predávkovania dexmedetomidí</w:t>
      </w:r>
      <w:r>
        <w:rPr>
          <w:szCs w:val="22"/>
          <w:lang w:eastAsia="cs-CZ"/>
        </w:rPr>
        <w:t>nom sa hlásilo v klinickom skúšaní aj v </w:t>
      </w:r>
      <w:r w:rsidRPr="00091430">
        <w:rPr>
          <w:szCs w:val="22"/>
          <w:lang w:eastAsia="cs-CZ"/>
        </w:rPr>
        <w:t>údajoch po registrácii. Hlásené najvyššie rýchlosti infúzie dexmedetomidí</w:t>
      </w:r>
      <w:r>
        <w:rPr>
          <w:szCs w:val="22"/>
          <w:lang w:eastAsia="cs-CZ"/>
        </w:rPr>
        <w:t>nu v </w:t>
      </w:r>
      <w:r w:rsidRPr="00091430">
        <w:rPr>
          <w:szCs w:val="22"/>
          <w:lang w:eastAsia="cs-CZ"/>
        </w:rPr>
        <w:t>týchto prípadoch dosiahli až 60 µ</w:t>
      </w:r>
      <w:r>
        <w:rPr>
          <w:szCs w:val="22"/>
          <w:lang w:eastAsia="cs-CZ"/>
        </w:rPr>
        <w:t>g/kg/h počas 36 </w:t>
      </w:r>
      <w:r w:rsidRPr="00091430">
        <w:rPr>
          <w:szCs w:val="22"/>
          <w:lang w:eastAsia="cs-CZ"/>
        </w:rPr>
        <w:t>minú</w:t>
      </w:r>
      <w:r>
        <w:rPr>
          <w:szCs w:val="22"/>
          <w:lang w:eastAsia="cs-CZ"/>
        </w:rPr>
        <w:t>t u 20-mesačného dieťaťa a 30 </w:t>
      </w:r>
      <w:r w:rsidRPr="00091430">
        <w:rPr>
          <w:szCs w:val="22"/>
          <w:lang w:eastAsia="cs-CZ"/>
        </w:rPr>
        <w:t>µ</w:t>
      </w:r>
      <w:r>
        <w:rPr>
          <w:szCs w:val="22"/>
          <w:lang w:eastAsia="cs-CZ"/>
        </w:rPr>
        <w:t>g/kg/h počas 15 minút u </w:t>
      </w:r>
      <w:r w:rsidRPr="00091430">
        <w:rPr>
          <w:szCs w:val="22"/>
          <w:lang w:eastAsia="cs-CZ"/>
        </w:rPr>
        <w:t>dospelého človeka. Najčastej</w:t>
      </w:r>
      <w:r>
        <w:rPr>
          <w:szCs w:val="22"/>
          <w:lang w:eastAsia="cs-CZ"/>
        </w:rPr>
        <w:t xml:space="preserve">šie nežiaduce </w:t>
      </w:r>
      <w:r w:rsidR="004926BE">
        <w:rPr>
          <w:szCs w:val="22"/>
          <w:lang w:eastAsia="cs-CZ"/>
        </w:rPr>
        <w:t>reakcie</w:t>
      </w:r>
      <w:r>
        <w:rPr>
          <w:szCs w:val="22"/>
          <w:lang w:eastAsia="cs-CZ"/>
        </w:rPr>
        <w:t>, hlásené v </w:t>
      </w:r>
      <w:r w:rsidRPr="00091430">
        <w:rPr>
          <w:szCs w:val="22"/>
          <w:lang w:eastAsia="cs-CZ"/>
        </w:rPr>
        <w:t>súvislosti s predávkovaním, zahŕňa</w:t>
      </w:r>
      <w:r w:rsidR="00C05472">
        <w:rPr>
          <w:szCs w:val="22"/>
          <w:lang w:eastAsia="cs-CZ"/>
        </w:rPr>
        <w:t>jú</w:t>
      </w:r>
      <w:r w:rsidRPr="00091430">
        <w:rPr>
          <w:szCs w:val="22"/>
          <w:lang w:eastAsia="cs-CZ"/>
        </w:rPr>
        <w:t xml:space="preserve"> bradykardiu, hypotenziu, </w:t>
      </w:r>
      <w:r w:rsidR="00082056">
        <w:rPr>
          <w:szCs w:val="22"/>
          <w:lang w:eastAsia="cs-CZ"/>
        </w:rPr>
        <w:t xml:space="preserve">hypertenziu, </w:t>
      </w:r>
      <w:r w:rsidRPr="00091430">
        <w:rPr>
          <w:szCs w:val="22"/>
          <w:lang w:eastAsia="cs-CZ"/>
        </w:rPr>
        <w:t xml:space="preserve">nadmernú sedáciu, </w:t>
      </w:r>
      <w:r w:rsidR="00C05472">
        <w:rPr>
          <w:szCs w:val="22"/>
          <w:lang w:eastAsia="cs-CZ"/>
        </w:rPr>
        <w:t>respiračnú depresiu</w:t>
      </w:r>
      <w:r w:rsidR="00BF60A0">
        <w:rPr>
          <w:szCs w:val="22"/>
          <w:lang w:eastAsia="cs-CZ"/>
        </w:rPr>
        <w:t xml:space="preserve"> </w:t>
      </w:r>
      <w:r>
        <w:rPr>
          <w:szCs w:val="22"/>
          <w:lang w:eastAsia="cs-CZ"/>
        </w:rPr>
        <w:t>a zastavenie srdca.</w:t>
      </w:r>
    </w:p>
    <w:p w14:paraId="3664959F" w14:textId="77777777" w:rsidR="00091430" w:rsidRPr="00091430" w:rsidRDefault="00091430" w:rsidP="00091430">
      <w:pPr>
        <w:autoSpaceDE w:val="0"/>
        <w:autoSpaceDN w:val="0"/>
        <w:adjustRightInd w:val="0"/>
        <w:rPr>
          <w:szCs w:val="22"/>
          <w:lang w:eastAsia="cs-CZ"/>
        </w:rPr>
      </w:pPr>
    </w:p>
    <w:p w14:paraId="4BCCBF04" w14:textId="77777777" w:rsidR="00091430" w:rsidRPr="00091430" w:rsidRDefault="00091430" w:rsidP="00091430">
      <w:pPr>
        <w:keepNext/>
        <w:autoSpaceDE w:val="0"/>
        <w:autoSpaceDN w:val="0"/>
        <w:adjustRightInd w:val="0"/>
        <w:rPr>
          <w:szCs w:val="22"/>
          <w:u w:val="single"/>
          <w:lang w:eastAsia="cs-CZ"/>
        </w:rPr>
      </w:pPr>
      <w:r w:rsidRPr="00091430">
        <w:rPr>
          <w:szCs w:val="22"/>
          <w:u w:val="single"/>
          <w:lang w:eastAsia="cs-CZ"/>
        </w:rPr>
        <w:t>Liečba</w:t>
      </w:r>
    </w:p>
    <w:p w14:paraId="08C8D685" w14:textId="77777777" w:rsidR="00091430" w:rsidRPr="00091430" w:rsidRDefault="00091430" w:rsidP="00091430">
      <w:pPr>
        <w:autoSpaceDE w:val="0"/>
        <w:autoSpaceDN w:val="0"/>
        <w:adjustRightInd w:val="0"/>
        <w:rPr>
          <w:szCs w:val="22"/>
          <w:lang w:eastAsia="cs-CZ"/>
        </w:rPr>
      </w:pPr>
      <w:r w:rsidRPr="00091430">
        <w:rPr>
          <w:szCs w:val="22"/>
          <w:lang w:eastAsia="cs-CZ"/>
        </w:rPr>
        <w:t>V</w:t>
      </w:r>
      <w:r>
        <w:rPr>
          <w:szCs w:val="22"/>
          <w:lang w:eastAsia="cs-CZ"/>
        </w:rPr>
        <w:t> prípadoch predávkovania s </w:t>
      </w:r>
      <w:r w:rsidRPr="00091430">
        <w:rPr>
          <w:szCs w:val="22"/>
          <w:lang w:eastAsia="cs-CZ"/>
        </w:rPr>
        <w:t>klinickými symptómami sa má infúzia dexmedetomidínu obmedziť alebo ukončiť. Očakávané sú predovš</w:t>
      </w:r>
      <w:r>
        <w:rPr>
          <w:szCs w:val="22"/>
          <w:lang w:eastAsia="cs-CZ"/>
        </w:rPr>
        <w:t>etkým kardiovaskulárne účinky a </w:t>
      </w:r>
      <w:r w:rsidRPr="00091430">
        <w:rPr>
          <w:szCs w:val="22"/>
          <w:lang w:eastAsia="cs-CZ"/>
        </w:rPr>
        <w:t xml:space="preserve">majú sa liečiť, ako je </w:t>
      </w:r>
      <w:r>
        <w:rPr>
          <w:szCs w:val="22"/>
          <w:lang w:eastAsia="cs-CZ"/>
        </w:rPr>
        <w:t>klinicky indikované (pozri časť </w:t>
      </w:r>
      <w:r w:rsidRPr="00091430">
        <w:rPr>
          <w:szCs w:val="22"/>
          <w:lang w:eastAsia="cs-CZ"/>
        </w:rPr>
        <w:t>4.4). Pri vysokej koncentrácii môže byť hypertenzi</w:t>
      </w:r>
      <w:r>
        <w:rPr>
          <w:szCs w:val="22"/>
          <w:lang w:eastAsia="cs-CZ"/>
        </w:rPr>
        <w:t>a nápadnejšia než hypotenzia. V </w:t>
      </w:r>
      <w:r w:rsidRPr="00091430">
        <w:rPr>
          <w:szCs w:val="22"/>
          <w:lang w:eastAsia="cs-CZ"/>
        </w:rPr>
        <w:t xml:space="preserve">klinických štúdiách sa prípady zastavenia sínusového uzla buď spontánne zvrátili alebo </w:t>
      </w:r>
      <w:r>
        <w:rPr>
          <w:szCs w:val="22"/>
          <w:lang w:eastAsia="cs-CZ"/>
        </w:rPr>
        <w:t>reagovali na liečbu atropínom a </w:t>
      </w:r>
      <w:r w:rsidRPr="00091430">
        <w:rPr>
          <w:szCs w:val="22"/>
          <w:lang w:eastAsia="cs-CZ"/>
        </w:rPr>
        <w:t>glykopyrroláto</w:t>
      </w:r>
      <w:r>
        <w:rPr>
          <w:szCs w:val="22"/>
          <w:lang w:eastAsia="cs-CZ"/>
        </w:rPr>
        <w:t>m. Resuscitácia bola potrebná v </w:t>
      </w:r>
      <w:r w:rsidRPr="00091430">
        <w:rPr>
          <w:szCs w:val="22"/>
          <w:lang w:eastAsia="cs-CZ"/>
        </w:rPr>
        <w:t>ojedinelých prípadoch závažného predávkovania, ktoré vi</w:t>
      </w:r>
      <w:r>
        <w:rPr>
          <w:szCs w:val="22"/>
          <w:lang w:eastAsia="cs-CZ"/>
        </w:rPr>
        <w:t>edlo k </w:t>
      </w:r>
      <w:r w:rsidRPr="00091430">
        <w:rPr>
          <w:szCs w:val="22"/>
          <w:lang w:eastAsia="cs-CZ"/>
        </w:rPr>
        <w:t>zastaveniu srdca.</w:t>
      </w:r>
    </w:p>
    <w:p w14:paraId="1BDA6C88" w14:textId="77777777" w:rsidR="00812D16" w:rsidRPr="00A72672" w:rsidRDefault="00812D16" w:rsidP="00204AAB">
      <w:pPr>
        <w:spacing w:line="240" w:lineRule="auto"/>
      </w:pPr>
    </w:p>
    <w:p w14:paraId="25826A6F" w14:textId="77777777" w:rsidR="007E4269" w:rsidRDefault="007E4269" w:rsidP="00204AAB">
      <w:pPr>
        <w:spacing w:line="240" w:lineRule="auto"/>
      </w:pPr>
    </w:p>
    <w:p w14:paraId="1739F3AD" w14:textId="77777777" w:rsidR="00812D16" w:rsidRPr="0082445A" w:rsidRDefault="0050541A" w:rsidP="00572506">
      <w:pPr>
        <w:keepNext/>
        <w:numPr>
          <w:ilvl w:val="0"/>
          <w:numId w:val="6"/>
        </w:numPr>
        <w:suppressAutoHyphens/>
        <w:spacing w:line="240" w:lineRule="auto"/>
      </w:pPr>
      <w:r w:rsidRPr="00BF5AB0">
        <w:rPr>
          <w:b/>
        </w:rPr>
        <w:t>FARM</w:t>
      </w:r>
      <w:r w:rsidRPr="00891D76">
        <w:rPr>
          <w:b/>
        </w:rPr>
        <w:t>AKOLOGICKÉ VLASTNOSTI</w:t>
      </w:r>
    </w:p>
    <w:p w14:paraId="2545F50A" w14:textId="77777777" w:rsidR="00812D16" w:rsidRPr="0082445A" w:rsidRDefault="00812D16" w:rsidP="00085939">
      <w:pPr>
        <w:keepNext/>
        <w:spacing w:line="240" w:lineRule="auto"/>
      </w:pPr>
    </w:p>
    <w:p w14:paraId="07D63529" w14:textId="77777777" w:rsidR="00812D16" w:rsidRPr="00891D76" w:rsidRDefault="0050541A" w:rsidP="00572506">
      <w:pPr>
        <w:keepNext/>
        <w:numPr>
          <w:ilvl w:val="1"/>
          <w:numId w:val="6"/>
        </w:numPr>
        <w:spacing w:line="240" w:lineRule="auto"/>
        <w:outlineLvl w:val="0"/>
      </w:pPr>
      <w:r w:rsidRPr="00BF5AB0">
        <w:rPr>
          <w:b/>
        </w:rPr>
        <w:t>Farmakodynamické vlastnosti</w:t>
      </w:r>
    </w:p>
    <w:p w14:paraId="3FC22609" w14:textId="77777777" w:rsidR="00812D16" w:rsidRPr="0082445A" w:rsidRDefault="00812D16" w:rsidP="00085939">
      <w:pPr>
        <w:keepNext/>
        <w:spacing w:line="240" w:lineRule="auto"/>
      </w:pPr>
    </w:p>
    <w:p w14:paraId="1639ED55" w14:textId="77777777" w:rsidR="00F22ACC" w:rsidRPr="00F22ACC" w:rsidRDefault="00F22ACC" w:rsidP="00F22ACC">
      <w:pPr>
        <w:outlineLvl w:val="0"/>
        <w:rPr>
          <w:szCs w:val="22"/>
        </w:rPr>
      </w:pPr>
      <w:r w:rsidRPr="00F22ACC">
        <w:rPr>
          <w:szCs w:val="22"/>
        </w:rPr>
        <w:t xml:space="preserve">Farmakoterapeutická skupina: </w:t>
      </w:r>
      <w:r w:rsidR="009868E7">
        <w:rPr>
          <w:szCs w:val="22"/>
        </w:rPr>
        <w:t>psycholeptiká, iné hypnotiká a </w:t>
      </w:r>
      <w:r w:rsidRPr="00F22ACC">
        <w:rPr>
          <w:szCs w:val="22"/>
        </w:rPr>
        <w:t>sedatíva, ATC kód: N05CM18</w:t>
      </w:r>
    </w:p>
    <w:p w14:paraId="475282FC" w14:textId="77777777" w:rsidR="00F22ACC" w:rsidRPr="00F22ACC" w:rsidRDefault="00F22ACC" w:rsidP="00F22ACC">
      <w:pPr>
        <w:outlineLvl w:val="0"/>
        <w:rPr>
          <w:szCs w:val="22"/>
        </w:rPr>
      </w:pPr>
    </w:p>
    <w:p w14:paraId="4377E4B9" w14:textId="77777777" w:rsidR="00F22ACC" w:rsidRPr="00F22ACC" w:rsidRDefault="00F22ACC" w:rsidP="00F22ACC">
      <w:pPr>
        <w:autoSpaceDE w:val="0"/>
        <w:autoSpaceDN w:val="0"/>
        <w:adjustRightInd w:val="0"/>
        <w:rPr>
          <w:szCs w:val="22"/>
        </w:rPr>
      </w:pPr>
      <w:r w:rsidRPr="00F22ACC">
        <w:rPr>
          <w:szCs w:val="22"/>
          <w:lang w:eastAsia="cs-CZ"/>
        </w:rPr>
        <w:t>Dexmedetomidín je selektívny agonista alfa-2 receptora so širokou škálou farmakologických vlastností. Má sympatolytický účinok sprostredkovaný znižovaním uvoľňovania noradrenalínu v sympatických nervových zakončeniach. Sedatívne účinky sú sprostredkované zníženým odpaľovaním neurónov v locus coeruleus, dominantného noradrenergného jadra, ktoré sa nachádza v mozgovom kmeni. Dexmedetomidín má analgetické a anesteticko / analgetické šetriace účinky. Kardiovaskulárne účinky závisia od dávky; pri nižších rýchlostiach infúzie prevládajú centrálne účinky, ktoré vedú k zníženiu tepovej frek</w:t>
      </w:r>
      <w:r w:rsidR="009868E7">
        <w:rPr>
          <w:szCs w:val="22"/>
          <w:lang w:eastAsia="cs-CZ"/>
        </w:rPr>
        <w:t>vencie a </w:t>
      </w:r>
      <w:r w:rsidRPr="00F22ACC">
        <w:rPr>
          <w:szCs w:val="22"/>
          <w:lang w:eastAsia="cs-CZ"/>
        </w:rPr>
        <w:t>krvného tlaku. Pri vyšších dávkach prevládajú periférne vazokonstrikčné účinky, ktoré vedú k zvýšeniu systé</w:t>
      </w:r>
      <w:r w:rsidR="009868E7">
        <w:rPr>
          <w:szCs w:val="22"/>
          <w:lang w:eastAsia="cs-CZ"/>
        </w:rPr>
        <w:t>movej vaskulárnej rezistencie a </w:t>
      </w:r>
      <w:r w:rsidRPr="00F22ACC">
        <w:rPr>
          <w:szCs w:val="22"/>
          <w:lang w:eastAsia="cs-CZ"/>
        </w:rPr>
        <w:t>krvného tlaku, ďalej sa zdôrazňuje bradykardický účinok. Dexmedetomidín relatívne nemá tlmivé účinky na dýchanie, ak sa podáva ako monoterapia zdravým jedincom.</w:t>
      </w:r>
    </w:p>
    <w:p w14:paraId="698E6B9D" w14:textId="77777777" w:rsidR="00F22ACC" w:rsidRPr="00F22ACC" w:rsidRDefault="00F22ACC" w:rsidP="00F22ACC">
      <w:pPr>
        <w:rPr>
          <w:szCs w:val="22"/>
        </w:rPr>
      </w:pPr>
    </w:p>
    <w:p w14:paraId="17C36125" w14:textId="77777777" w:rsidR="00F22ACC" w:rsidRPr="00F22ACC" w:rsidRDefault="00F22ACC" w:rsidP="00F22ACC">
      <w:pPr>
        <w:keepNext/>
        <w:autoSpaceDE w:val="0"/>
        <w:autoSpaceDN w:val="0"/>
        <w:adjustRightInd w:val="0"/>
        <w:rPr>
          <w:szCs w:val="22"/>
          <w:u w:val="single"/>
          <w:lang w:eastAsia="cs-CZ"/>
        </w:rPr>
      </w:pPr>
      <w:r w:rsidRPr="00F22ACC">
        <w:rPr>
          <w:szCs w:val="22"/>
          <w:u w:val="single"/>
          <w:lang w:eastAsia="cs-CZ"/>
        </w:rPr>
        <w:t>Sedácia dospelých pacientov na JIS (jedno</w:t>
      </w:r>
      <w:r w:rsidR="00F778C7">
        <w:rPr>
          <w:szCs w:val="22"/>
          <w:u w:val="single"/>
          <w:lang w:eastAsia="cs-CZ"/>
        </w:rPr>
        <w:t>tka intenzívnej starostlivosti)</w:t>
      </w:r>
    </w:p>
    <w:p w14:paraId="3D728CA0" w14:textId="77777777" w:rsidR="00F22ACC" w:rsidRPr="00F22ACC" w:rsidRDefault="00F778C7" w:rsidP="00F22ACC">
      <w:pPr>
        <w:autoSpaceDE w:val="0"/>
        <w:autoSpaceDN w:val="0"/>
        <w:adjustRightInd w:val="0"/>
        <w:rPr>
          <w:szCs w:val="22"/>
        </w:rPr>
      </w:pPr>
      <w:r>
        <w:rPr>
          <w:szCs w:val="22"/>
          <w:lang w:eastAsia="cs-CZ"/>
        </w:rPr>
        <w:t>V </w:t>
      </w:r>
      <w:r w:rsidR="00F22ACC" w:rsidRPr="00F22ACC">
        <w:rPr>
          <w:szCs w:val="22"/>
          <w:lang w:eastAsia="cs-CZ"/>
        </w:rPr>
        <w:t xml:space="preserve">placebom kontrolovaných skúšaniach so skupinou pacientov po operácii na JIS, </w:t>
      </w:r>
      <w:r>
        <w:rPr>
          <w:szCs w:val="22"/>
          <w:lang w:eastAsia="cs-CZ"/>
        </w:rPr>
        <w:t>ktorí boli predtým intubovaní a </w:t>
      </w:r>
      <w:r w:rsidR="00F22ACC" w:rsidRPr="00F22ACC">
        <w:rPr>
          <w:szCs w:val="22"/>
          <w:lang w:eastAsia="cs-CZ"/>
        </w:rPr>
        <w:t>pod vplyvom sedatíva midazolamu alebo propofolu, dexmedetomidín významne znížil potrebu záchranného sedatíva</w:t>
      </w:r>
      <w:r>
        <w:rPr>
          <w:szCs w:val="22"/>
          <w:lang w:eastAsia="cs-CZ"/>
        </w:rPr>
        <w:t xml:space="preserve"> (midazolamu alebo propofolu) a opiátov počas sedácie až do 24 hodín. Väčšina pacientov s </w:t>
      </w:r>
      <w:r w:rsidR="00F22ACC" w:rsidRPr="00F22ACC">
        <w:rPr>
          <w:szCs w:val="22"/>
          <w:lang w:eastAsia="cs-CZ"/>
        </w:rPr>
        <w:t>dexmedetomidínom si nevyžadovala dodatočnú sedatívnu liečbu. Pacienti mohli byť úspešne extubovaní bez prerušenia infúzie dexmedetomidínu. Štúdie mimo JIS potvrdili, že sa dexmedetomidín môže bezpečne podávať pacientom bez endotracheálnej intubácie za predpokladu, že je zabezpečené primerané monitorovanie.</w:t>
      </w:r>
    </w:p>
    <w:p w14:paraId="6E89BB33" w14:textId="77777777" w:rsidR="00F22ACC" w:rsidRPr="00F22ACC" w:rsidRDefault="00F22ACC" w:rsidP="00F22ACC">
      <w:pPr>
        <w:rPr>
          <w:szCs w:val="22"/>
        </w:rPr>
      </w:pPr>
    </w:p>
    <w:p w14:paraId="34DF9501" w14:textId="77777777" w:rsidR="00F22ACC" w:rsidRPr="00F22ACC" w:rsidRDefault="00F22ACC" w:rsidP="00F22ACC">
      <w:pPr>
        <w:autoSpaceDE w:val="0"/>
        <w:autoSpaceDN w:val="0"/>
        <w:adjustRightInd w:val="0"/>
        <w:rPr>
          <w:szCs w:val="22"/>
          <w:lang w:eastAsia="cs-CZ"/>
        </w:rPr>
      </w:pPr>
      <w:r w:rsidRPr="00F22ACC">
        <w:rPr>
          <w:szCs w:val="22"/>
          <w:lang w:eastAsia="cs-CZ"/>
        </w:rPr>
        <w:t>Dexmedetomidín sa pod</w:t>
      </w:r>
      <w:r w:rsidR="00F778C7">
        <w:rPr>
          <w:szCs w:val="22"/>
          <w:lang w:eastAsia="cs-CZ"/>
        </w:rPr>
        <w:t>obal midazolamu (pomer 1,07; 95 % CI 0,971, 1,176) a </w:t>
      </w:r>
      <w:r w:rsidRPr="00F22ACC">
        <w:rPr>
          <w:szCs w:val="22"/>
          <w:lang w:eastAsia="cs-CZ"/>
        </w:rPr>
        <w:t>propofolu (pomer 1,00; 95</w:t>
      </w:r>
      <w:r w:rsidR="00F778C7">
        <w:rPr>
          <w:szCs w:val="22"/>
          <w:lang w:eastAsia="cs-CZ"/>
        </w:rPr>
        <w:t> % CI 0,922, 1,075) v </w:t>
      </w:r>
      <w:r w:rsidRPr="00F22ACC">
        <w:rPr>
          <w:szCs w:val="22"/>
          <w:lang w:eastAsia="cs-CZ"/>
        </w:rPr>
        <w:t>čase cieľ</w:t>
      </w:r>
      <w:r w:rsidR="00F778C7">
        <w:rPr>
          <w:szCs w:val="22"/>
          <w:lang w:eastAsia="cs-CZ"/>
        </w:rPr>
        <w:t>ového rozmedzia sedácie najmä v skupine liečených pacientov, u </w:t>
      </w:r>
      <w:r w:rsidRPr="00F22ACC">
        <w:rPr>
          <w:szCs w:val="22"/>
          <w:lang w:eastAsia="cs-CZ"/>
        </w:rPr>
        <w:t xml:space="preserve">ktorých bola potrebná predĺžená mierna až stredná sedácia (RASS 0 až -3) na JIS počas </w:t>
      </w:r>
      <w:r w:rsidR="00F778C7">
        <w:rPr>
          <w:szCs w:val="22"/>
          <w:lang w:eastAsia="cs-CZ"/>
        </w:rPr>
        <w:t>až 14 </w:t>
      </w:r>
      <w:r w:rsidRPr="00F22ACC">
        <w:rPr>
          <w:szCs w:val="22"/>
          <w:lang w:eastAsia="cs-CZ"/>
        </w:rPr>
        <w:t>dní, skrátil t</w:t>
      </w:r>
      <w:r w:rsidR="00F778C7">
        <w:rPr>
          <w:szCs w:val="22"/>
          <w:lang w:eastAsia="cs-CZ"/>
        </w:rPr>
        <w:t>rvanie mechanickej ventilácie v porovnaní s midazolamom a </w:t>
      </w:r>
      <w:r w:rsidRPr="00F22ACC">
        <w:rPr>
          <w:szCs w:val="22"/>
          <w:lang w:eastAsia="cs-CZ"/>
        </w:rPr>
        <w:t>skrátil</w:t>
      </w:r>
      <w:r w:rsidR="00F778C7">
        <w:rPr>
          <w:szCs w:val="22"/>
          <w:lang w:eastAsia="cs-CZ"/>
        </w:rPr>
        <w:t xml:space="preserve"> čas do extubácie v porovnaní s midazolamom a propofolom. V porovnaní s </w:t>
      </w:r>
      <w:r w:rsidRPr="00F22ACC">
        <w:rPr>
          <w:szCs w:val="22"/>
          <w:lang w:eastAsia="cs-CZ"/>
        </w:rPr>
        <w:t>propofolom aj midazolamom sa pacienti ľahšie preb</w:t>
      </w:r>
      <w:r w:rsidR="00F778C7">
        <w:rPr>
          <w:szCs w:val="22"/>
          <w:lang w:eastAsia="cs-CZ"/>
        </w:rPr>
        <w:t>údzali, lepšie spolupracovali a </w:t>
      </w:r>
      <w:r w:rsidRPr="00F22ACC">
        <w:rPr>
          <w:szCs w:val="22"/>
          <w:lang w:eastAsia="cs-CZ"/>
        </w:rPr>
        <w:t>dokázali lepšie vyjadriť</w:t>
      </w:r>
      <w:r w:rsidR="00F778C7">
        <w:rPr>
          <w:szCs w:val="22"/>
          <w:lang w:eastAsia="cs-CZ"/>
        </w:rPr>
        <w:t>, či majú alebo nemajú bolesti.</w:t>
      </w:r>
    </w:p>
    <w:p w14:paraId="00641C69" w14:textId="77777777" w:rsidR="00F22ACC" w:rsidRPr="00F22ACC" w:rsidRDefault="00F22ACC" w:rsidP="00F22ACC">
      <w:pPr>
        <w:autoSpaceDE w:val="0"/>
        <w:autoSpaceDN w:val="0"/>
        <w:adjustRightInd w:val="0"/>
        <w:rPr>
          <w:szCs w:val="22"/>
        </w:rPr>
      </w:pPr>
      <w:r w:rsidRPr="00F22ACC">
        <w:rPr>
          <w:szCs w:val="22"/>
          <w:lang w:eastAsia="cs-CZ"/>
        </w:rPr>
        <w:lastRenderedPageBreak/>
        <w:t>Pacienti liečení dexmedetomidí</w:t>
      </w:r>
      <w:r w:rsidR="00F778C7">
        <w:rPr>
          <w:szCs w:val="22"/>
          <w:lang w:eastAsia="cs-CZ"/>
        </w:rPr>
        <w:t>nom mali častejšie hypotenziu a </w:t>
      </w:r>
      <w:r w:rsidRPr="00F22ACC">
        <w:rPr>
          <w:szCs w:val="22"/>
          <w:lang w:eastAsia="cs-CZ"/>
        </w:rPr>
        <w:t>bradykardiu, no menej často tachykardiu než pacient</w:t>
      </w:r>
      <w:r w:rsidR="00F778C7">
        <w:rPr>
          <w:szCs w:val="22"/>
          <w:lang w:eastAsia="cs-CZ"/>
        </w:rPr>
        <w:t>i, ktorí dostávali midazolam, a </w:t>
      </w:r>
      <w:r w:rsidRPr="00F22ACC">
        <w:rPr>
          <w:szCs w:val="22"/>
          <w:lang w:eastAsia="cs-CZ"/>
        </w:rPr>
        <w:t>častejšie tachykardiu a podobne často hypotenziu ako pacienti liečení propofolom. V porovnaní s midazolamom sa delí</w:t>
      </w:r>
      <w:r w:rsidR="00F778C7">
        <w:rPr>
          <w:szCs w:val="22"/>
          <w:lang w:eastAsia="cs-CZ"/>
        </w:rPr>
        <w:t>rium merané stupnicou CAM-ICU v štúdii znížilo a </w:t>
      </w:r>
      <w:r w:rsidRPr="00F22ACC">
        <w:rPr>
          <w:szCs w:val="22"/>
          <w:lang w:eastAsia="cs-CZ"/>
        </w:rPr>
        <w:t>po dexmedetomidíne bolo menej ne</w:t>
      </w:r>
      <w:r w:rsidR="00F778C7">
        <w:rPr>
          <w:szCs w:val="22"/>
          <w:lang w:eastAsia="cs-CZ"/>
        </w:rPr>
        <w:t>žiaducich účinkov súvisiacich s delíriom v porovnaní s propofolom. Pacienti, u ktorých sa podávanie vysadilo z </w:t>
      </w:r>
      <w:r w:rsidRPr="00F22ACC">
        <w:rPr>
          <w:szCs w:val="22"/>
          <w:lang w:eastAsia="cs-CZ"/>
        </w:rPr>
        <w:t xml:space="preserve">dôvodu nedostatočnej sedácie, boli prestavení buď na propofol alebo na midazolam. Riziko nedostatočnej sedácie bolo zvýšené </w:t>
      </w:r>
      <w:r w:rsidR="00F778C7">
        <w:rPr>
          <w:szCs w:val="22"/>
          <w:lang w:eastAsia="cs-CZ"/>
        </w:rPr>
        <w:t>u </w:t>
      </w:r>
      <w:r w:rsidRPr="00F22ACC">
        <w:rPr>
          <w:szCs w:val="22"/>
          <w:lang w:eastAsia="cs-CZ"/>
        </w:rPr>
        <w:t xml:space="preserve">pacientov </w:t>
      </w:r>
      <w:r w:rsidR="00F778C7">
        <w:rPr>
          <w:szCs w:val="22"/>
          <w:lang w:eastAsia="cs-CZ"/>
        </w:rPr>
        <w:t>s </w:t>
      </w:r>
      <w:r w:rsidRPr="00F22ACC">
        <w:rPr>
          <w:szCs w:val="22"/>
          <w:lang w:eastAsia="cs-CZ"/>
        </w:rPr>
        <w:t>problémovou sedáciou pri štandardnej starostlivosti bezprostredne pred prestavením.</w:t>
      </w:r>
    </w:p>
    <w:p w14:paraId="1BA2A1D8" w14:textId="77777777" w:rsidR="00F22ACC" w:rsidRPr="00F22ACC" w:rsidRDefault="00F22ACC" w:rsidP="00F22ACC">
      <w:pPr>
        <w:rPr>
          <w:szCs w:val="22"/>
        </w:rPr>
      </w:pPr>
    </w:p>
    <w:p w14:paraId="492789B3" w14:textId="77777777" w:rsidR="00F22ACC" w:rsidRPr="00F22ACC" w:rsidRDefault="00F22ACC" w:rsidP="00F22ACC">
      <w:pPr>
        <w:autoSpaceDE w:val="0"/>
        <w:autoSpaceDN w:val="0"/>
        <w:adjustRightInd w:val="0"/>
        <w:rPr>
          <w:szCs w:val="22"/>
          <w:lang w:eastAsia="cs-CZ"/>
        </w:rPr>
      </w:pPr>
      <w:r w:rsidRPr="00F22ACC">
        <w:rPr>
          <w:szCs w:val="22"/>
          <w:lang w:eastAsia="cs-CZ"/>
        </w:rPr>
        <w:t>Dôkaz účinnosti lieku u pediatrických pacientov sa pozoroval v štúdii s kontrolovano</w:t>
      </w:r>
      <w:r w:rsidR="006524C8">
        <w:rPr>
          <w:szCs w:val="22"/>
          <w:lang w:eastAsia="cs-CZ"/>
        </w:rPr>
        <w:t>u dávku na JIS u detí vo veku 1 mesiac až ≤ 17 </w:t>
      </w:r>
      <w:r w:rsidRPr="00F22ACC">
        <w:rPr>
          <w:szCs w:val="22"/>
          <w:lang w:eastAsia="cs-CZ"/>
        </w:rPr>
        <w:t>rokov, prev</w:t>
      </w:r>
      <w:r w:rsidR="006524C8">
        <w:rPr>
          <w:szCs w:val="22"/>
          <w:lang w:eastAsia="cs-CZ"/>
        </w:rPr>
        <w:t>ažne po operácii . Približne 50 </w:t>
      </w:r>
      <w:r w:rsidRPr="00F22ACC">
        <w:rPr>
          <w:szCs w:val="22"/>
          <w:lang w:eastAsia="cs-CZ"/>
        </w:rPr>
        <w:t>% pacientov liečených dexmedetomidínom nepotrebovalo záchranný midazolam počas liečby s</w:t>
      </w:r>
      <w:r w:rsidR="006524C8">
        <w:rPr>
          <w:szCs w:val="22"/>
          <w:lang w:eastAsia="cs-CZ"/>
        </w:rPr>
        <w:t> </w:t>
      </w:r>
      <w:r w:rsidRPr="00F22ACC">
        <w:rPr>
          <w:szCs w:val="22"/>
          <w:lang w:eastAsia="cs-CZ"/>
        </w:rPr>
        <w:t>priemernou</w:t>
      </w:r>
      <w:r w:rsidR="006524C8">
        <w:rPr>
          <w:szCs w:val="22"/>
          <w:lang w:eastAsia="cs-CZ"/>
        </w:rPr>
        <w:t xml:space="preserve"> hodnotou trvania 20,3 </w:t>
      </w:r>
      <w:r w:rsidRPr="00F22ACC">
        <w:rPr>
          <w:szCs w:val="22"/>
          <w:lang w:eastAsia="cs-CZ"/>
        </w:rPr>
        <w:t>hodín, neprek</w:t>
      </w:r>
      <w:r w:rsidR="006524C8">
        <w:rPr>
          <w:szCs w:val="22"/>
          <w:lang w:eastAsia="cs-CZ"/>
        </w:rPr>
        <w:t>račujúc 24 hodín. Údaje o liečbe trvajúcej dlhšie ako 24 </w:t>
      </w:r>
      <w:r w:rsidRPr="00F22ACC">
        <w:rPr>
          <w:szCs w:val="22"/>
          <w:lang w:eastAsia="cs-CZ"/>
        </w:rPr>
        <w:t>hodín nie sú k dispozícii.</w:t>
      </w:r>
      <w:r w:rsidR="006524C8">
        <w:rPr>
          <w:szCs w:val="22"/>
          <w:lang w:eastAsia="cs-CZ"/>
        </w:rPr>
        <w:t xml:space="preserve"> Údaje od novorodencov (28.-44. </w:t>
      </w:r>
      <w:r w:rsidRPr="00F22ACC">
        <w:rPr>
          <w:szCs w:val="22"/>
          <w:lang w:eastAsia="cs-CZ"/>
        </w:rPr>
        <w:t>gestačn</w:t>
      </w:r>
      <w:r w:rsidR="006524C8">
        <w:rPr>
          <w:szCs w:val="22"/>
          <w:lang w:eastAsia="cs-CZ"/>
        </w:rPr>
        <w:t>ý týždeň) sú veľmi limitované a </w:t>
      </w:r>
      <w:r w:rsidRPr="00F22ACC">
        <w:rPr>
          <w:szCs w:val="22"/>
          <w:lang w:eastAsia="cs-CZ"/>
        </w:rPr>
        <w:t>obmedzené na nízke dávky (≤ </w:t>
      </w:r>
      <w:r w:rsidR="006524C8">
        <w:rPr>
          <w:szCs w:val="22"/>
          <w:lang w:eastAsia="cs-CZ"/>
        </w:rPr>
        <w:t>0,2 </w:t>
      </w:r>
      <w:r w:rsidRPr="00F22ACC">
        <w:rPr>
          <w:szCs w:val="22"/>
          <w:lang w:eastAsia="cs-CZ"/>
        </w:rPr>
        <w:t>µg/kg/h)</w:t>
      </w:r>
      <w:r w:rsidR="006524C8">
        <w:rPr>
          <w:szCs w:val="22"/>
          <w:lang w:eastAsia="cs-CZ"/>
        </w:rPr>
        <w:t xml:space="preserve"> (pozri časti 5.2 a </w:t>
      </w:r>
      <w:r w:rsidRPr="00F22ACC">
        <w:rPr>
          <w:szCs w:val="22"/>
          <w:lang w:eastAsia="cs-CZ"/>
        </w:rPr>
        <w:t>4.4). Novorodenci môžu byť osobitne citliví na bradykardické účinky dexmedetomidí</w:t>
      </w:r>
      <w:r w:rsidR="006524C8">
        <w:rPr>
          <w:szCs w:val="22"/>
          <w:lang w:eastAsia="cs-CZ"/>
        </w:rPr>
        <w:t>nu pri hypotermii a </w:t>
      </w:r>
      <w:r w:rsidRPr="00F22ACC">
        <w:rPr>
          <w:szCs w:val="22"/>
          <w:lang w:eastAsia="cs-CZ"/>
        </w:rPr>
        <w:t>pri stavoch srdcového výdaja závislého od tepovej frekvencie.</w:t>
      </w:r>
    </w:p>
    <w:p w14:paraId="0CDA8307" w14:textId="77777777" w:rsidR="00F22ACC" w:rsidRPr="00F22ACC" w:rsidRDefault="00F22ACC" w:rsidP="00F22ACC">
      <w:pPr>
        <w:rPr>
          <w:szCs w:val="22"/>
        </w:rPr>
      </w:pPr>
    </w:p>
    <w:p w14:paraId="35E165B5" w14:textId="77777777" w:rsidR="00F22ACC" w:rsidRPr="00F22ACC" w:rsidRDefault="006524C8" w:rsidP="00F22ACC">
      <w:pPr>
        <w:autoSpaceDE w:val="0"/>
        <w:autoSpaceDN w:val="0"/>
        <w:adjustRightInd w:val="0"/>
        <w:rPr>
          <w:szCs w:val="22"/>
        </w:rPr>
      </w:pPr>
      <w:r>
        <w:rPr>
          <w:szCs w:val="22"/>
          <w:lang w:eastAsia="cs-CZ"/>
        </w:rPr>
        <w:t>V </w:t>
      </w:r>
      <w:r w:rsidR="00F22ACC" w:rsidRPr="00F22ACC">
        <w:rPr>
          <w:szCs w:val="22"/>
          <w:lang w:eastAsia="cs-CZ"/>
        </w:rPr>
        <w:t>dvojito zaslepených komparátorom kontrolovaných štúdiách na JIS bol výskyt supresie kortizolu u pacientov liečených dexmedetomidínom</w:t>
      </w:r>
      <w:r w:rsidR="006E6DC5">
        <w:rPr>
          <w:szCs w:val="22"/>
          <w:lang w:eastAsia="cs-CZ"/>
        </w:rPr>
        <w:t xml:space="preserve"> (n=778) 0,5 % v porovnaní s 0 % u </w:t>
      </w:r>
      <w:r w:rsidR="00F22ACC" w:rsidRPr="00F22ACC">
        <w:rPr>
          <w:szCs w:val="22"/>
          <w:lang w:eastAsia="cs-CZ"/>
        </w:rPr>
        <w:t xml:space="preserve">pacientov liečených buď midazolamom (n=338) alebo propofolom (n=275). Príhoda sa </w:t>
      </w:r>
      <w:r w:rsidR="006E6DC5">
        <w:rPr>
          <w:szCs w:val="22"/>
          <w:lang w:eastAsia="cs-CZ"/>
        </w:rPr>
        <w:t>v 1 </w:t>
      </w:r>
      <w:r w:rsidR="00F22ACC" w:rsidRPr="00F22ACC">
        <w:rPr>
          <w:szCs w:val="22"/>
          <w:lang w:eastAsia="cs-CZ"/>
        </w:rPr>
        <w:t>prípade hlásila ako mierna a v 3 prípadoch ako stredne závažná.</w:t>
      </w:r>
    </w:p>
    <w:p w14:paraId="23079324" w14:textId="77777777" w:rsidR="00F22ACC" w:rsidRPr="00F22ACC" w:rsidRDefault="00F22ACC" w:rsidP="00F22ACC">
      <w:pPr>
        <w:rPr>
          <w:szCs w:val="22"/>
        </w:rPr>
      </w:pPr>
    </w:p>
    <w:p w14:paraId="74A4A35E" w14:textId="77777777" w:rsidR="00F22ACC" w:rsidRPr="00F22ACC" w:rsidRDefault="00F22ACC" w:rsidP="00F22ACC">
      <w:pPr>
        <w:keepNext/>
        <w:rPr>
          <w:szCs w:val="22"/>
        </w:rPr>
      </w:pPr>
      <w:r w:rsidRPr="00F22ACC">
        <w:rPr>
          <w:szCs w:val="22"/>
          <w:u w:val="single"/>
        </w:rPr>
        <w:t>Procedurálna sedácia / sedácia pri vedomí</w:t>
      </w:r>
    </w:p>
    <w:p w14:paraId="6B1C3E70" w14:textId="77777777" w:rsidR="00F22ACC" w:rsidRPr="00F22ACC" w:rsidRDefault="00F22ACC" w:rsidP="00F22ACC">
      <w:pPr>
        <w:autoSpaceDE w:val="0"/>
        <w:autoSpaceDN w:val="0"/>
        <w:adjustRightInd w:val="0"/>
        <w:rPr>
          <w:szCs w:val="22"/>
          <w:lang w:eastAsia="cs-CZ"/>
        </w:rPr>
      </w:pPr>
      <w:r w:rsidRPr="00F22ACC">
        <w:rPr>
          <w:szCs w:val="22"/>
          <w:lang w:eastAsia="cs-CZ"/>
        </w:rPr>
        <w:t>Bezpečnosť a účinnosť dexmedetomidínu pri sedácii neintubovaných pacientov pre</w:t>
      </w:r>
      <w:r w:rsidR="006E6DC5">
        <w:rPr>
          <w:szCs w:val="22"/>
          <w:lang w:eastAsia="cs-CZ"/>
        </w:rPr>
        <w:t xml:space="preserve">d a/alebo počas chirurgických </w:t>
      </w:r>
      <w:r w:rsidR="006E6DC5" w:rsidRPr="006E6DC5">
        <w:t>a</w:t>
      </w:r>
      <w:r w:rsidR="006E6DC5">
        <w:t> </w:t>
      </w:r>
      <w:r w:rsidRPr="006E6DC5">
        <w:t>diagnostických</w:t>
      </w:r>
      <w:r w:rsidR="006E6DC5">
        <w:rPr>
          <w:szCs w:val="22"/>
          <w:lang w:eastAsia="cs-CZ"/>
        </w:rPr>
        <w:t xml:space="preserve"> výkonov sa hodnotila v </w:t>
      </w:r>
      <w:r w:rsidRPr="00F22ACC">
        <w:rPr>
          <w:szCs w:val="22"/>
          <w:lang w:eastAsia="cs-CZ"/>
        </w:rPr>
        <w:t>dvoch randomizovaných, dvojito zaslepených, placebom kontrolovaných multicentrických klinických skúšaniach.</w:t>
      </w:r>
    </w:p>
    <w:p w14:paraId="3594411B" w14:textId="77777777" w:rsidR="00F22ACC" w:rsidRPr="00F22ACC" w:rsidRDefault="00F22ACC" w:rsidP="00F22ACC">
      <w:pPr>
        <w:autoSpaceDE w:val="0"/>
        <w:autoSpaceDN w:val="0"/>
        <w:adjustRightInd w:val="0"/>
        <w:rPr>
          <w:szCs w:val="22"/>
        </w:rPr>
      </w:pPr>
    </w:p>
    <w:p w14:paraId="13926A60" w14:textId="77777777" w:rsidR="00F22ACC" w:rsidRPr="00F22ACC" w:rsidRDefault="006E6DC5" w:rsidP="00F22ACC">
      <w:pPr>
        <w:numPr>
          <w:ilvl w:val="0"/>
          <w:numId w:val="14"/>
        </w:numPr>
        <w:tabs>
          <w:tab w:val="clear" w:pos="567"/>
        </w:tabs>
        <w:autoSpaceDE w:val="0"/>
        <w:autoSpaceDN w:val="0"/>
        <w:adjustRightInd w:val="0"/>
        <w:spacing w:line="240" w:lineRule="auto"/>
        <w:ind w:left="425" w:hanging="357"/>
        <w:rPr>
          <w:szCs w:val="22"/>
        </w:rPr>
      </w:pPr>
      <w:r>
        <w:rPr>
          <w:szCs w:val="22"/>
          <w:lang w:eastAsia="cs-CZ"/>
        </w:rPr>
        <w:t>V štúdii </w:t>
      </w:r>
      <w:r w:rsidR="00F22ACC" w:rsidRPr="00F22ACC">
        <w:rPr>
          <w:szCs w:val="22"/>
          <w:lang w:eastAsia="cs-CZ"/>
        </w:rPr>
        <w:t>1 boli randomizovaní pacienti, ktorí podstúpili elektívne operácie / výkony pri monitorovanej anesteziologickej starostlivosti a v lokálnej / regionálnej anestézii, aby dostali nasycovaciu infúziu dexmedetomidí</w:t>
      </w:r>
      <w:r>
        <w:rPr>
          <w:szCs w:val="22"/>
          <w:lang w:eastAsia="cs-CZ"/>
        </w:rPr>
        <w:t>nu buď v dávke 1 </w:t>
      </w:r>
      <w:r w:rsidR="00F22ACC" w:rsidRPr="00F22ACC">
        <w:rPr>
          <w:szCs w:val="22"/>
          <w:lang w:eastAsia="cs-CZ"/>
        </w:rPr>
        <w:t>µ</w:t>
      </w:r>
      <w:r>
        <w:rPr>
          <w:szCs w:val="22"/>
          <w:lang w:eastAsia="cs-CZ"/>
        </w:rPr>
        <w:t>g/kg (n=129) alebo 0,5 </w:t>
      </w:r>
      <w:r w:rsidR="00F22ACC" w:rsidRPr="00F22ACC">
        <w:rPr>
          <w:szCs w:val="22"/>
          <w:lang w:eastAsia="cs-CZ"/>
        </w:rPr>
        <w:t>µg/kg (n=134), alebo placebo (fyziologický roztok) (n=63) podané</w:t>
      </w:r>
      <w:r>
        <w:rPr>
          <w:szCs w:val="22"/>
          <w:lang w:eastAsia="cs-CZ"/>
        </w:rPr>
        <w:t xml:space="preserve"> počas 10 minút </w:t>
      </w:r>
      <w:r w:rsidRPr="006E6DC5">
        <w:t>s</w:t>
      </w:r>
      <w:r>
        <w:t> </w:t>
      </w:r>
      <w:r w:rsidR="00F22ACC" w:rsidRPr="006E6DC5">
        <w:t>nasledujúcou</w:t>
      </w:r>
      <w:r w:rsidR="00F22ACC" w:rsidRPr="00F22ACC">
        <w:rPr>
          <w:szCs w:val="22"/>
          <w:lang w:eastAsia="cs-CZ"/>
        </w:rPr>
        <w:t xml:space="preserve"> udržiavacou infúzio</w:t>
      </w:r>
      <w:r>
        <w:rPr>
          <w:szCs w:val="22"/>
          <w:lang w:eastAsia="cs-CZ"/>
        </w:rPr>
        <w:t>u, ktorej úvodná dávka bola 0,6 </w:t>
      </w:r>
      <w:r w:rsidR="00F22ACC" w:rsidRPr="00F22ACC">
        <w:rPr>
          <w:szCs w:val="22"/>
          <w:lang w:eastAsia="cs-CZ"/>
        </w:rPr>
        <w:t>µg/kg/h. Udržiavacia infúzia sledovan</w:t>
      </w:r>
      <w:r>
        <w:rPr>
          <w:szCs w:val="22"/>
          <w:lang w:eastAsia="cs-CZ"/>
        </w:rPr>
        <w:t>ého lieku mohla byť titrovaná v rozmedzí od 0,2 </w:t>
      </w:r>
      <w:r w:rsidR="00F22ACC" w:rsidRPr="00F22ACC">
        <w:rPr>
          <w:szCs w:val="22"/>
          <w:lang w:eastAsia="cs-CZ"/>
        </w:rPr>
        <w:t>µ</w:t>
      </w:r>
      <w:r>
        <w:rPr>
          <w:szCs w:val="22"/>
          <w:lang w:eastAsia="cs-CZ"/>
        </w:rPr>
        <w:t>g/kg/h do 1 </w:t>
      </w:r>
      <w:r w:rsidR="00F22ACC" w:rsidRPr="00F22ACC">
        <w:rPr>
          <w:szCs w:val="22"/>
          <w:lang w:eastAsia="cs-CZ"/>
        </w:rPr>
        <w:t>µg/kg/h. Podiel pacientov, ktorí dosiahli cielenú úroveň sedácie (Observer’s Assessment of Alertness / Sedation Scale ≤</w:t>
      </w:r>
      <w:r>
        <w:rPr>
          <w:szCs w:val="22"/>
          <w:lang w:eastAsia="cs-CZ"/>
        </w:rPr>
        <w:t> </w:t>
      </w:r>
      <w:r w:rsidR="00F22ACC" w:rsidRPr="00F22ACC">
        <w:rPr>
          <w:szCs w:val="22"/>
          <w:lang w:eastAsia="cs-CZ"/>
        </w:rPr>
        <w:t>4) bez potreby podania</w:t>
      </w:r>
      <w:r>
        <w:rPr>
          <w:szCs w:val="22"/>
          <w:lang w:eastAsia="cs-CZ"/>
        </w:rPr>
        <w:t xml:space="preserve"> záchranného midazolamu, bol 54 </w:t>
      </w:r>
      <w:r w:rsidR="00F22ACC" w:rsidRPr="00F22ACC">
        <w:rPr>
          <w:szCs w:val="22"/>
          <w:lang w:eastAsia="cs-CZ"/>
        </w:rPr>
        <w:t>% pacientov, ktorí dostávali dexmedetomidí</w:t>
      </w:r>
      <w:r>
        <w:rPr>
          <w:szCs w:val="22"/>
          <w:lang w:eastAsia="cs-CZ"/>
        </w:rPr>
        <w:t>n v dávke 1 </w:t>
      </w:r>
      <w:r w:rsidR="00F22ACC" w:rsidRPr="00F22ACC">
        <w:rPr>
          <w:szCs w:val="22"/>
          <w:lang w:eastAsia="cs-CZ"/>
        </w:rPr>
        <w:t>µ</w:t>
      </w:r>
      <w:r>
        <w:rPr>
          <w:szCs w:val="22"/>
          <w:lang w:eastAsia="cs-CZ"/>
        </w:rPr>
        <w:t>g/kg a 40 </w:t>
      </w:r>
      <w:r w:rsidR="00F22ACC" w:rsidRPr="00F22ACC">
        <w:rPr>
          <w:szCs w:val="22"/>
          <w:lang w:eastAsia="cs-CZ"/>
        </w:rPr>
        <w:t>% pacientov, ktorí dostávali dexmedetomidín v dávke 0</w:t>
      </w:r>
      <w:r>
        <w:rPr>
          <w:szCs w:val="22"/>
          <w:lang w:eastAsia="cs-CZ"/>
        </w:rPr>
        <w:t>,5 </w:t>
      </w:r>
      <w:r w:rsidR="00F22ACC" w:rsidRPr="00F22ACC">
        <w:rPr>
          <w:szCs w:val="22"/>
          <w:lang w:eastAsia="cs-CZ"/>
        </w:rPr>
        <w:t>µg/kg,</w:t>
      </w:r>
      <w:r>
        <w:rPr>
          <w:szCs w:val="22"/>
          <w:lang w:eastAsia="cs-CZ"/>
        </w:rPr>
        <w:t xml:space="preserve"> v porovnaní s 3 </w:t>
      </w:r>
      <w:r w:rsidR="00F22ACC" w:rsidRPr="00F22ACC">
        <w:rPr>
          <w:szCs w:val="22"/>
          <w:lang w:eastAsia="cs-CZ"/>
        </w:rPr>
        <w:t>% pacientov, ktorí dostávali placebo. Rozdiel rizika v podiele jedincov randomizovaných do skupí</w:t>
      </w:r>
      <w:r>
        <w:rPr>
          <w:szCs w:val="22"/>
          <w:lang w:eastAsia="cs-CZ"/>
        </w:rPr>
        <w:t>n s </w:t>
      </w:r>
      <w:r w:rsidR="00F22ACC" w:rsidRPr="00F22ACC">
        <w:rPr>
          <w:szCs w:val="22"/>
          <w:lang w:eastAsia="cs-CZ"/>
        </w:rPr>
        <w:t>dexmedetomidí</w:t>
      </w:r>
      <w:r>
        <w:rPr>
          <w:szCs w:val="22"/>
          <w:lang w:eastAsia="cs-CZ"/>
        </w:rPr>
        <w:t xml:space="preserve">nom </w:t>
      </w:r>
      <w:r w:rsidRPr="00A37A23">
        <w:rPr>
          <w:szCs w:val="22"/>
          <w:lang w:eastAsia="cs-CZ"/>
        </w:rPr>
        <w:t>v </w:t>
      </w:r>
      <w:r w:rsidR="00A37A23">
        <w:rPr>
          <w:szCs w:val="22"/>
          <w:lang w:eastAsia="cs-CZ"/>
        </w:rPr>
        <w:t>dávke 1 µg/kg a 0,5 </w:t>
      </w:r>
      <w:r w:rsidR="00F22ACC" w:rsidRPr="00A37A23">
        <w:rPr>
          <w:szCs w:val="22"/>
          <w:lang w:eastAsia="cs-CZ"/>
        </w:rPr>
        <w:t>µg/kg nevyžadujúcich podanie záchranného m</w:t>
      </w:r>
      <w:r w:rsidR="00A37A23">
        <w:rPr>
          <w:szCs w:val="22"/>
          <w:lang w:eastAsia="cs-CZ"/>
        </w:rPr>
        <w:t>idazolamu oproti placebu bol 48 % (95 % IS: 37 </w:t>
      </w:r>
      <w:r w:rsidR="00F22ACC" w:rsidRPr="00A37A23">
        <w:rPr>
          <w:szCs w:val="22"/>
          <w:lang w:eastAsia="cs-CZ"/>
        </w:rPr>
        <w:t>% - 57</w:t>
      </w:r>
      <w:r w:rsidR="00A37A23">
        <w:rPr>
          <w:szCs w:val="22"/>
          <w:lang w:eastAsia="cs-CZ"/>
        </w:rPr>
        <w:t> %) a 40 % (95 % IS: 28 % - 48 %) v porovnaní s </w:t>
      </w:r>
      <w:r w:rsidR="00F22ACC" w:rsidRPr="00F22ACC">
        <w:rPr>
          <w:szCs w:val="22"/>
          <w:lang w:eastAsia="cs-CZ"/>
        </w:rPr>
        <w:t>placebom. Priemerná dávka (rozmedzie) záchrannej liečby</w:t>
      </w:r>
      <w:r w:rsidR="00A37A23">
        <w:rPr>
          <w:szCs w:val="22"/>
          <w:lang w:eastAsia="cs-CZ"/>
        </w:rPr>
        <w:t xml:space="preserve"> midazolamom bola 1,5 (0,5-7,0) mg v skupine s dávkou 1,0 µg/kg dexmedetomidínu; 2,0 (0,5-8,0) mg v </w:t>
      </w:r>
      <w:r w:rsidR="00F22ACC" w:rsidRPr="00F22ACC">
        <w:rPr>
          <w:szCs w:val="22"/>
          <w:lang w:eastAsia="cs-CZ"/>
        </w:rPr>
        <w:t>skupine s dávk</w:t>
      </w:r>
      <w:r w:rsidR="00A37A23">
        <w:rPr>
          <w:szCs w:val="22"/>
          <w:lang w:eastAsia="cs-CZ"/>
        </w:rPr>
        <w:t>ou 0,5 µg/kg dexmedetomidínom a 4,0 (0,5-14,0) mg v skupine s </w:t>
      </w:r>
      <w:r w:rsidR="00F22ACC" w:rsidRPr="00F22ACC">
        <w:rPr>
          <w:szCs w:val="22"/>
          <w:lang w:eastAsia="cs-CZ"/>
        </w:rPr>
        <w:t>placebom. Rozdiel v priemeroch dávky záchranného midaz</w:t>
      </w:r>
      <w:r w:rsidR="00A37A23">
        <w:rPr>
          <w:szCs w:val="22"/>
          <w:lang w:eastAsia="cs-CZ"/>
        </w:rPr>
        <w:t>olamu v skupine s dávkou 1,0 </w:t>
      </w:r>
      <w:r w:rsidR="00F22ACC" w:rsidRPr="00F22ACC">
        <w:rPr>
          <w:szCs w:val="22"/>
          <w:lang w:eastAsia="cs-CZ"/>
        </w:rPr>
        <w:t xml:space="preserve">µg/kg dexmedetomidínu </w:t>
      </w:r>
      <w:r w:rsidR="00A37A23">
        <w:rPr>
          <w:szCs w:val="22"/>
          <w:lang w:eastAsia="cs-CZ"/>
        </w:rPr>
        <w:t>v porovnaní s placebom bol -3,1 mg (95 % IS: -3,8 - </w:t>
      </w:r>
      <w:r w:rsidR="00F22ACC" w:rsidRPr="00F22ACC">
        <w:rPr>
          <w:szCs w:val="22"/>
          <w:lang w:eastAsia="cs-CZ"/>
        </w:rPr>
        <w:t xml:space="preserve">-2,5), </w:t>
      </w:r>
      <w:r w:rsidR="001468A3">
        <w:rPr>
          <w:szCs w:val="22"/>
          <w:lang w:eastAsia="cs-CZ"/>
        </w:rPr>
        <w:t>v skupine s dávkou 0,5 </w:t>
      </w:r>
      <w:r w:rsidR="00F22ACC" w:rsidRPr="00F22ACC">
        <w:rPr>
          <w:szCs w:val="22"/>
          <w:lang w:eastAsia="cs-CZ"/>
        </w:rPr>
        <w:t>µg/k</w:t>
      </w:r>
      <w:r w:rsidR="001468A3">
        <w:rPr>
          <w:szCs w:val="22"/>
          <w:lang w:eastAsia="cs-CZ"/>
        </w:rPr>
        <w:t>g dexmedetomidínu v porovnaní s placebom bol -2,7 mg (95 % IS: -3,3 - -2,1), v </w:t>
      </w:r>
      <w:r w:rsidR="00F22ACC" w:rsidRPr="00F22ACC">
        <w:rPr>
          <w:szCs w:val="22"/>
          <w:lang w:eastAsia="cs-CZ"/>
        </w:rPr>
        <w:t>prospech dexmedetomidínu. Priemerný čas do podania</w:t>
      </w:r>
      <w:r w:rsidR="001468A3">
        <w:rPr>
          <w:szCs w:val="22"/>
          <w:lang w:eastAsia="cs-CZ"/>
        </w:rPr>
        <w:t xml:space="preserve"> prvej záchrannej dávky bol 114 minút v </w:t>
      </w:r>
      <w:r w:rsidR="00F22ACC" w:rsidRPr="00F22ACC">
        <w:rPr>
          <w:szCs w:val="22"/>
          <w:lang w:eastAsia="cs-CZ"/>
        </w:rPr>
        <w:t>skupine s dávkou 1,0</w:t>
      </w:r>
      <w:r w:rsidR="001468A3">
        <w:rPr>
          <w:szCs w:val="22"/>
          <w:lang w:eastAsia="cs-CZ"/>
        </w:rPr>
        <w:t> µg/kg dexmedetomidínu, 40 minút v </w:t>
      </w:r>
      <w:r w:rsidR="00F22ACC" w:rsidRPr="00F22ACC">
        <w:rPr>
          <w:szCs w:val="22"/>
          <w:lang w:eastAsia="cs-CZ"/>
        </w:rPr>
        <w:t>skupi</w:t>
      </w:r>
      <w:r w:rsidR="001468A3">
        <w:rPr>
          <w:szCs w:val="22"/>
          <w:lang w:eastAsia="cs-CZ"/>
        </w:rPr>
        <w:t>ne s dávkou 0,5 µg/kg dexmedetomidínu a 20 minút v skupine s </w:t>
      </w:r>
      <w:r w:rsidR="00F22ACC" w:rsidRPr="00F22ACC">
        <w:rPr>
          <w:szCs w:val="22"/>
          <w:lang w:eastAsia="cs-CZ"/>
        </w:rPr>
        <w:t>placebom.</w:t>
      </w:r>
    </w:p>
    <w:p w14:paraId="730795E0" w14:textId="77777777" w:rsidR="00F22ACC" w:rsidRPr="00F22ACC" w:rsidRDefault="00F22ACC" w:rsidP="00F22ACC">
      <w:pPr>
        <w:autoSpaceDE w:val="0"/>
        <w:autoSpaceDN w:val="0"/>
        <w:adjustRightInd w:val="0"/>
        <w:ind w:left="425"/>
        <w:rPr>
          <w:szCs w:val="22"/>
        </w:rPr>
      </w:pPr>
    </w:p>
    <w:p w14:paraId="050DAAA4" w14:textId="46042919" w:rsidR="00F22ACC" w:rsidRPr="00DD7514" w:rsidRDefault="00DD7514" w:rsidP="00DD7514">
      <w:pPr>
        <w:numPr>
          <w:ilvl w:val="0"/>
          <w:numId w:val="14"/>
        </w:numPr>
        <w:tabs>
          <w:tab w:val="clear" w:pos="567"/>
        </w:tabs>
        <w:autoSpaceDE w:val="0"/>
        <w:autoSpaceDN w:val="0"/>
        <w:adjustRightInd w:val="0"/>
        <w:spacing w:line="240" w:lineRule="auto"/>
        <w:ind w:left="425" w:hanging="357"/>
        <w:rPr>
          <w:rFonts w:eastAsia="TimesNewRoman"/>
          <w:szCs w:val="22"/>
          <w:lang w:eastAsia="en-GB" w:bidi="ar-SA"/>
        </w:rPr>
      </w:pPr>
      <w:r>
        <w:rPr>
          <w:rFonts w:eastAsia="TimesNewRoman"/>
          <w:szCs w:val="22"/>
          <w:lang w:eastAsia="en-GB" w:bidi="ar-SA"/>
        </w:rPr>
        <w:t>V </w:t>
      </w:r>
      <w:r w:rsidRPr="00DD7514">
        <w:rPr>
          <w:rFonts w:eastAsia="TimesNewRoman"/>
          <w:szCs w:val="22"/>
          <w:lang w:eastAsia="en-GB" w:bidi="ar-SA"/>
        </w:rPr>
        <w:t>štúdii 2 boli randomizovaní pacienti, ktorí pri vedomí podstupovali intubáciu vláknovou</w:t>
      </w:r>
      <w:r>
        <w:rPr>
          <w:rFonts w:eastAsia="TimesNewRoman"/>
          <w:szCs w:val="22"/>
          <w:lang w:eastAsia="en-GB" w:bidi="ar-SA"/>
        </w:rPr>
        <w:t xml:space="preserve"> </w:t>
      </w:r>
      <w:r w:rsidRPr="00DD7514">
        <w:rPr>
          <w:szCs w:val="22"/>
          <w:lang w:eastAsia="cs-CZ"/>
        </w:rPr>
        <w:t xml:space="preserve">optikou pri lokálnej anestézii, aby dostali </w:t>
      </w:r>
      <w:r w:rsidR="003E2AC0">
        <w:rPr>
          <w:szCs w:val="22"/>
          <w:lang w:eastAsia="cs-CZ"/>
        </w:rPr>
        <w:t>nasycovaciu</w:t>
      </w:r>
      <w:r w:rsidRPr="00DD7514">
        <w:rPr>
          <w:szCs w:val="22"/>
          <w:lang w:eastAsia="cs-CZ"/>
        </w:rPr>
        <w:t xml:space="preserve"> infúziu dexmedetomid</w:t>
      </w:r>
      <w:r w:rsidR="003E2AC0">
        <w:rPr>
          <w:szCs w:val="22"/>
          <w:lang w:eastAsia="cs-CZ"/>
        </w:rPr>
        <w:t>í</w:t>
      </w:r>
      <w:r w:rsidRPr="00DD7514">
        <w:rPr>
          <w:szCs w:val="22"/>
          <w:lang w:eastAsia="cs-CZ"/>
        </w:rPr>
        <w:t>nu v</w:t>
      </w:r>
      <w:r>
        <w:rPr>
          <w:szCs w:val="22"/>
          <w:lang w:eastAsia="cs-CZ"/>
        </w:rPr>
        <w:t> </w:t>
      </w:r>
      <w:r w:rsidRPr="00DD7514">
        <w:rPr>
          <w:szCs w:val="22"/>
          <w:lang w:eastAsia="cs-CZ"/>
        </w:rPr>
        <w:t>dávke</w:t>
      </w:r>
      <w:r>
        <w:rPr>
          <w:rFonts w:eastAsia="TimesNewRoman"/>
          <w:szCs w:val="22"/>
          <w:lang w:eastAsia="en-GB" w:bidi="ar-SA"/>
        </w:rPr>
        <w:t xml:space="preserve"> </w:t>
      </w:r>
      <w:r w:rsidRPr="00DD7514">
        <w:rPr>
          <w:szCs w:val="22"/>
          <w:lang w:eastAsia="cs-CZ"/>
        </w:rPr>
        <w:t>1 μg/kg (n=55) alebo placebo (fyziologický roztok) (n=50) podávané počas 10 minút. Po</w:t>
      </w:r>
      <w:r>
        <w:rPr>
          <w:rFonts w:eastAsia="TimesNewRoman"/>
          <w:szCs w:val="22"/>
          <w:lang w:eastAsia="en-GB" w:bidi="ar-SA"/>
        </w:rPr>
        <w:t xml:space="preserve"> </w:t>
      </w:r>
      <w:r w:rsidRPr="00DD7514">
        <w:rPr>
          <w:szCs w:val="22"/>
          <w:lang w:eastAsia="cs-CZ"/>
        </w:rPr>
        <w:t xml:space="preserve">nich nasledovala </w:t>
      </w:r>
      <w:r w:rsidR="00BF2B4B">
        <w:rPr>
          <w:szCs w:val="22"/>
          <w:lang w:eastAsia="cs-CZ"/>
        </w:rPr>
        <w:t>fixná</w:t>
      </w:r>
      <w:r w:rsidRPr="00DD7514">
        <w:rPr>
          <w:szCs w:val="22"/>
          <w:lang w:eastAsia="cs-CZ"/>
        </w:rPr>
        <w:t xml:space="preserve"> udržiavacia infúzia 0,7 μg/kg/h. 53 % pacientov, ktorí dostávali</w:t>
      </w:r>
      <w:r>
        <w:rPr>
          <w:rFonts w:eastAsia="TimesNewRoman"/>
          <w:szCs w:val="22"/>
          <w:lang w:eastAsia="en-GB" w:bidi="ar-SA"/>
        </w:rPr>
        <w:t xml:space="preserve"> </w:t>
      </w:r>
      <w:r w:rsidRPr="00DD7514">
        <w:rPr>
          <w:szCs w:val="22"/>
          <w:lang w:eastAsia="cs-CZ"/>
        </w:rPr>
        <w:t>dexmedetomid</w:t>
      </w:r>
      <w:r w:rsidR="009133AF">
        <w:rPr>
          <w:szCs w:val="22"/>
          <w:lang w:eastAsia="cs-CZ"/>
        </w:rPr>
        <w:t>í</w:t>
      </w:r>
      <w:r w:rsidRPr="00DD7514">
        <w:rPr>
          <w:szCs w:val="22"/>
          <w:lang w:eastAsia="cs-CZ"/>
        </w:rPr>
        <w:t>n, oproti 14 % pacientov, ktorí dostávali placebo, si kvôli udržaniu stupnice</w:t>
      </w:r>
      <w:r>
        <w:rPr>
          <w:rFonts w:eastAsia="TimesNewRoman"/>
          <w:szCs w:val="22"/>
          <w:lang w:eastAsia="en-GB" w:bidi="ar-SA"/>
        </w:rPr>
        <w:t xml:space="preserve"> </w:t>
      </w:r>
      <w:r w:rsidRPr="00DD7514">
        <w:rPr>
          <w:szCs w:val="22"/>
          <w:lang w:eastAsia="cs-CZ"/>
        </w:rPr>
        <w:t>sedácie (Ramsay Sedation Scale) na úrovni ≥2 nevyžiadalo podanie záchrannej dávky</w:t>
      </w:r>
      <w:r>
        <w:rPr>
          <w:rFonts w:eastAsia="TimesNewRoman"/>
          <w:szCs w:val="22"/>
          <w:lang w:eastAsia="en-GB" w:bidi="ar-SA"/>
        </w:rPr>
        <w:t xml:space="preserve"> </w:t>
      </w:r>
      <w:r w:rsidR="006A3665">
        <w:rPr>
          <w:szCs w:val="22"/>
          <w:lang w:eastAsia="cs-CZ"/>
        </w:rPr>
        <w:t>midazolamu. Rozdiel rizika v </w:t>
      </w:r>
      <w:r w:rsidRPr="00DD7514">
        <w:rPr>
          <w:szCs w:val="22"/>
          <w:lang w:eastAsia="cs-CZ"/>
        </w:rPr>
        <w:t>podiely jedincov randomizovaných do skupiny s</w:t>
      </w:r>
      <w:r w:rsidR="00530F59">
        <w:rPr>
          <w:rFonts w:eastAsia="TimesNewRoman"/>
          <w:szCs w:val="22"/>
          <w:lang w:eastAsia="en-GB" w:bidi="ar-SA"/>
        </w:rPr>
        <w:t> </w:t>
      </w:r>
      <w:r w:rsidRPr="00DD7514">
        <w:rPr>
          <w:szCs w:val="22"/>
          <w:lang w:eastAsia="cs-CZ"/>
        </w:rPr>
        <w:t>dexmedetomid</w:t>
      </w:r>
      <w:r w:rsidR="003E2AC0">
        <w:rPr>
          <w:szCs w:val="22"/>
          <w:lang w:eastAsia="cs-CZ"/>
        </w:rPr>
        <w:t>í</w:t>
      </w:r>
      <w:r w:rsidRPr="00DD7514">
        <w:rPr>
          <w:szCs w:val="22"/>
          <w:lang w:eastAsia="cs-CZ"/>
        </w:rPr>
        <w:t xml:space="preserve">nom nevyžadujúcej podanie záchranného </w:t>
      </w:r>
      <w:r w:rsidRPr="00DD7514">
        <w:rPr>
          <w:szCs w:val="22"/>
          <w:lang w:eastAsia="cs-CZ"/>
        </w:rPr>
        <w:lastRenderedPageBreak/>
        <w:t>midazolamu oproti placebu bol</w:t>
      </w:r>
      <w:r>
        <w:rPr>
          <w:rFonts w:eastAsia="TimesNewRoman"/>
          <w:szCs w:val="22"/>
          <w:lang w:eastAsia="en-GB" w:bidi="ar-SA"/>
        </w:rPr>
        <w:t xml:space="preserve"> </w:t>
      </w:r>
      <w:r>
        <w:rPr>
          <w:szCs w:val="22"/>
          <w:lang w:eastAsia="cs-CZ"/>
        </w:rPr>
        <w:t>43 % (95 </w:t>
      </w:r>
      <w:r w:rsidRPr="00DD7514">
        <w:rPr>
          <w:szCs w:val="22"/>
          <w:lang w:eastAsia="cs-CZ"/>
        </w:rPr>
        <w:t>% IS: 2</w:t>
      </w:r>
      <w:r>
        <w:rPr>
          <w:szCs w:val="22"/>
          <w:lang w:eastAsia="cs-CZ"/>
        </w:rPr>
        <w:t>3 </w:t>
      </w:r>
      <w:r w:rsidR="00530F59">
        <w:rPr>
          <w:szCs w:val="22"/>
          <w:lang w:eastAsia="cs-CZ"/>
        </w:rPr>
        <w:t>% - </w:t>
      </w:r>
      <w:r>
        <w:rPr>
          <w:szCs w:val="22"/>
          <w:lang w:eastAsia="cs-CZ"/>
        </w:rPr>
        <w:t>57 </w:t>
      </w:r>
      <w:r w:rsidRPr="00DD7514">
        <w:rPr>
          <w:szCs w:val="22"/>
          <w:lang w:eastAsia="cs-CZ"/>
        </w:rPr>
        <w:t>%). Priemerná záchranná dá</w:t>
      </w:r>
      <w:r>
        <w:rPr>
          <w:szCs w:val="22"/>
          <w:lang w:eastAsia="cs-CZ"/>
        </w:rPr>
        <w:t>vka midazolamu bola 1,1 </w:t>
      </w:r>
      <w:r w:rsidRPr="00DD7514">
        <w:rPr>
          <w:szCs w:val="22"/>
          <w:lang w:eastAsia="cs-CZ"/>
        </w:rPr>
        <w:t>mg v</w:t>
      </w:r>
      <w:r w:rsidR="00530F59">
        <w:rPr>
          <w:rFonts w:eastAsia="TimesNewRoman"/>
          <w:szCs w:val="22"/>
          <w:lang w:eastAsia="en-GB" w:bidi="ar-SA"/>
        </w:rPr>
        <w:t> </w:t>
      </w:r>
      <w:r>
        <w:rPr>
          <w:szCs w:val="22"/>
          <w:lang w:eastAsia="cs-CZ"/>
        </w:rPr>
        <w:t>skupine s dexmedetomid</w:t>
      </w:r>
      <w:r w:rsidR="003E2AC0">
        <w:rPr>
          <w:szCs w:val="22"/>
          <w:lang w:eastAsia="cs-CZ"/>
        </w:rPr>
        <w:t>í</w:t>
      </w:r>
      <w:r>
        <w:rPr>
          <w:szCs w:val="22"/>
          <w:lang w:eastAsia="cs-CZ"/>
        </w:rPr>
        <w:t>nom a 2,8 mg v skupine s </w:t>
      </w:r>
      <w:r w:rsidR="00530F59">
        <w:rPr>
          <w:szCs w:val="22"/>
          <w:lang w:eastAsia="cs-CZ"/>
        </w:rPr>
        <w:t>placebom. Rozdiel v </w:t>
      </w:r>
      <w:r w:rsidRPr="00DD7514">
        <w:rPr>
          <w:szCs w:val="22"/>
          <w:lang w:eastAsia="cs-CZ"/>
        </w:rPr>
        <w:t>priemeroch dávky</w:t>
      </w:r>
      <w:r>
        <w:rPr>
          <w:szCs w:val="22"/>
          <w:lang w:eastAsia="cs-CZ"/>
        </w:rPr>
        <w:t xml:space="preserve"> </w:t>
      </w:r>
      <w:r w:rsidRPr="00DD7514">
        <w:rPr>
          <w:szCs w:val="22"/>
          <w:lang w:eastAsia="cs-CZ"/>
        </w:rPr>
        <w:t>záchranné</w:t>
      </w:r>
      <w:r>
        <w:rPr>
          <w:szCs w:val="22"/>
          <w:lang w:eastAsia="cs-CZ"/>
        </w:rPr>
        <w:t>ho midazolamu bol -1,8 mg (95 % IS: -2,7 - -0,86) v </w:t>
      </w:r>
      <w:r w:rsidRPr="00DD7514">
        <w:rPr>
          <w:szCs w:val="22"/>
          <w:lang w:eastAsia="cs-CZ"/>
        </w:rPr>
        <w:t>prospech dexmedetomid</w:t>
      </w:r>
      <w:r w:rsidR="003E2AC0">
        <w:rPr>
          <w:szCs w:val="22"/>
          <w:lang w:eastAsia="cs-CZ"/>
        </w:rPr>
        <w:t>í</w:t>
      </w:r>
      <w:r w:rsidRPr="00DD7514">
        <w:rPr>
          <w:szCs w:val="22"/>
          <w:lang w:eastAsia="cs-CZ"/>
        </w:rPr>
        <w:t>nu.</w:t>
      </w:r>
    </w:p>
    <w:p w14:paraId="7857F738" w14:textId="77777777" w:rsidR="00812D16" w:rsidRPr="00DD7514" w:rsidRDefault="00812D16" w:rsidP="00204AAB">
      <w:pPr>
        <w:autoSpaceDE w:val="0"/>
        <w:autoSpaceDN w:val="0"/>
        <w:adjustRightInd w:val="0"/>
        <w:spacing w:line="240" w:lineRule="auto"/>
        <w:rPr>
          <w:szCs w:val="22"/>
          <w:lang w:eastAsia="cs-CZ"/>
        </w:rPr>
      </w:pPr>
    </w:p>
    <w:p w14:paraId="61B40E89" w14:textId="77777777" w:rsidR="00812D16" w:rsidRPr="00BF5AB0" w:rsidRDefault="00812D16" w:rsidP="00204AAB">
      <w:pPr>
        <w:numPr>
          <w:ilvl w:val="12"/>
          <w:numId w:val="0"/>
        </w:numPr>
        <w:spacing w:line="240" w:lineRule="auto"/>
        <w:ind w:right="-2"/>
      </w:pPr>
    </w:p>
    <w:p w14:paraId="539E8CE3" w14:textId="77777777" w:rsidR="00812D16" w:rsidRPr="00891D76" w:rsidRDefault="0050541A" w:rsidP="00572506">
      <w:pPr>
        <w:keepNext/>
        <w:numPr>
          <w:ilvl w:val="1"/>
          <w:numId w:val="6"/>
        </w:numPr>
        <w:spacing w:line="240" w:lineRule="auto"/>
        <w:outlineLvl w:val="0"/>
        <w:rPr>
          <w:b/>
        </w:rPr>
      </w:pPr>
      <w:r w:rsidRPr="00BF5AB0">
        <w:rPr>
          <w:b/>
        </w:rPr>
        <w:t>Farmakokinetické vlastnosti</w:t>
      </w:r>
    </w:p>
    <w:p w14:paraId="048FC89E" w14:textId="77777777" w:rsidR="00812D16" w:rsidRPr="001960DE" w:rsidRDefault="00812D16" w:rsidP="00085939">
      <w:pPr>
        <w:keepNext/>
        <w:spacing w:line="240" w:lineRule="auto"/>
        <w:ind w:left="567" w:hanging="567"/>
        <w:outlineLvl w:val="0"/>
      </w:pPr>
    </w:p>
    <w:p w14:paraId="1B101B4F" w14:textId="77777777" w:rsidR="006A3665" w:rsidRPr="006A3665" w:rsidRDefault="006A3665" w:rsidP="006A3665">
      <w:pPr>
        <w:rPr>
          <w:szCs w:val="22"/>
        </w:rPr>
      </w:pPr>
      <w:r w:rsidRPr="006A3665">
        <w:rPr>
          <w:szCs w:val="22"/>
        </w:rPr>
        <w:t>Farmakokinetika dexmedetomidínu sa hodnotila po krátkodobom i.v. podávaní zdravým dobrovoľníkom a po dlhodobej in</w:t>
      </w:r>
      <w:r w:rsidR="004272E0">
        <w:rPr>
          <w:szCs w:val="22"/>
        </w:rPr>
        <w:t>fúzii podanej populácii na JIS.</w:t>
      </w:r>
    </w:p>
    <w:p w14:paraId="53F46B3B" w14:textId="77777777" w:rsidR="006A3665" w:rsidRPr="006A3665" w:rsidRDefault="006A3665" w:rsidP="00AE4DCE">
      <w:pPr>
        <w:numPr>
          <w:ilvl w:val="12"/>
          <w:numId w:val="0"/>
        </w:numPr>
        <w:rPr>
          <w:szCs w:val="22"/>
          <w:u w:val="single"/>
        </w:rPr>
      </w:pPr>
    </w:p>
    <w:p w14:paraId="62C2A5DA" w14:textId="77777777" w:rsidR="006A3665" w:rsidRPr="006A3665" w:rsidRDefault="006A3665" w:rsidP="006A3665">
      <w:pPr>
        <w:numPr>
          <w:ilvl w:val="12"/>
          <w:numId w:val="0"/>
        </w:numPr>
        <w:suppressLineNumbers/>
        <w:ind w:right="-2"/>
        <w:rPr>
          <w:szCs w:val="22"/>
          <w:u w:val="single"/>
        </w:rPr>
      </w:pPr>
      <w:r w:rsidRPr="006A3665">
        <w:rPr>
          <w:szCs w:val="22"/>
          <w:u w:val="single"/>
        </w:rPr>
        <w:t>Distribúcia</w:t>
      </w:r>
    </w:p>
    <w:p w14:paraId="606179DB" w14:textId="77777777" w:rsidR="006A3665" w:rsidRPr="006A3665" w:rsidRDefault="006A3665" w:rsidP="006A3665">
      <w:pPr>
        <w:autoSpaceDE w:val="0"/>
        <w:autoSpaceDN w:val="0"/>
        <w:adjustRightInd w:val="0"/>
        <w:rPr>
          <w:szCs w:val="22"/>
        </w:rPr>
      </w:pPr>
      <w:r w:rsidRPr="006A3665">
        <w:rPr>
          <w:szCs w:val="22"/>
          <w:lang w:eastAsia="cs-CZ"/>
        </w:rPr>
        <w:t>Dexmedetomidín vykazuje dvojkompartmentový dispozičný model. U zdravých dobrovoľníkov vykazoval rýchlu distribučnú fázu s centrálnym odhadom polčasu distribúcie (t</w:t>
      </w:r>
      <w:r w:rsidRPr="006A3665">
        <w:rPr>
          <w:szCs w:val="22"/>
          <w:vertAlign w:val="subscript"/>
          <w:lang w:eastAsia="cs-CZ"/>
        </w:rPr>
        <w:t>1/2α</w:t>
      </w:r>
      <w:r w:rsidRPr="006A3665">
        <w:rPr>
          <w:szCs w:val="22"/>
          <w:lang w:eastAsia="cs-CZ"/>
        </w:rPr>
        <w:t>) asi 6 minút. Priemerný odhad polčasu konečnej eliminácie (t</w:t>
      </w:r>
      <w:r w:rsidRPr="006A3665">
        <w:rPr>
          <w:szCs w:val="22"/>
          <w:vertAlign w:val="subscript"/>
          <w:lang w:eastAsia="cs-CZ"/>
        </w:rPr>
        <w:t>1/2</w:t>
      </w:r>
      <w:r w:rsidRPr="006A3665">
        <w:rPr>
          <w:szCs w:val="22"/>
          <w:lang w:eastAsia="cs-CZ"/>
        </w:rPr>
        <w:t>) je približne 1,9 až 2,5 hod. (min. 1,35; max. 3,68 h) a priemerný odhad objemu dis</w:t>
      </w:r>
      <w:r w:rsidR="004272E0">
        <w:rPr>
          <w:szCs w:val="22"/>
          <w:lang w:eastAsia="cs-CZ"/>
        </w:rPr>
        <w:t>tribúcie v </w:t>
      </w:r>
      <w:r w:rsidRPr="006A3665">
        <w:rPr>
          <w:szCs w:val="22"/>
          <w:lang w:eastAsia="cs-CZ"/>
        </w:rPr>
        <w:t>rovnovážnom stave (Vss) je približne 1,16 až 2,16 l/kg (90 </w:t>
      </w:r>
      <w:r w:rsidR="004272E0">
        <w:rPr>
          <w:szCs w:val="22"/>
          <w:lang w:eastAsia="cs-CZ"/>
        </w:rPr>
        <w:t>až 151 </w:t>
      </w:r>
      <w:r w:rsidRPr="006A3665">
        <w:rPr>
          <w:szCs w:val="22"/>
          <w:lang w:eastAsia="cs-CZ"/>
        </w:rPr>
        <w:t>litrov). Plazmatický klírens (Cl) má priemernú odhadovanú hodnotu 0,46 až 0,73 l/h/kg (35,7 až 51,1</w:t>
      </w:r>
      <w:r w:rsidR="004272E0">
        <w:rPr>
          <w:szCs w:val="22"/>
          <w:lang w:eastAsia="cs-CZ"/>
        </w:rPr>
        <w:t> </w:t>
      </w:r>
      <w:r w:rsidRPr="006A3665">
        <w:rPr>
          <w:szCs w:val="22"/>
          <w:lang w:eastAsia="cs-CZ"/>
        </w:rPr>
        <w:t xml:space="preserve">l/h). Priemerná </w:t>
      </w:r>
      <w:r w:rsidR="004272E0">
        <w:rPr>
          <w:szCs w:val="22"/>
          <w:lang w:eastAsia="cs-CZ"/>
        </w:rPr>
        <w:t>telesná hmotnosť spájajúca sa s </w:t>
      </w:r>
      <w:r w:rsidRPr="006A3665">
        <w:rPr>
          <w:szCs w:val="22"/>
          <w:lang w:eastAsia="cs-CZ"/>
        </w:rPr>
        <w:t>týmito odhadmi V</w:t>
      </w:r>
      <w:r w:rsidR="004272E0">
        <w:rPr>
          <w:szCs w:val="22"/>
          <w:lang w:eastAsia="cs-CZ"/>
        </w:rPr>
        <w:t>ss a </w:t>
      </w:r>
      <w:r w:rsidRPr="006A3665">
        <w:rPr>
          <w:szCs w:val="22"/>
          <w:lang w:eastAsia="cs-CZ"/>
        </w:rPr>
        <w:t>Cl bola 69</w:t>
      </w:r>
      <w:r w:rsidR="004272E0">
        <w:rPr>
          <w:szCs w:val="22"/>
          <w:lang w:eastAsia="cs-CZ"/>
        </w:rPr>
        <w:t> </w:t>
      </w:r>
      <w:r w:rsidRPr="006A3665">
        <w:rPr>
          <w:szCs w:val="22"/>
          <w:lang w:eastAsia="cs-CZ"/>
        </w:rPr>
        <w:t>kg. Farmakokinetika dexmedetomidí</w:t>
      </w:r>
      <w:r w:rsidR="004272E0">
        <w:rPr>
          <w:szCs w:val="22"/>
          <w:lang w:eastAsia="cs-CZ"/>
        </w:rPr>
        <w:t>nu v </w:t>
      </w:r>
      <w:r w:rsidRPr="006A3665">
        <w:rPr>
          <w:szCs w:val="22"/>
          <w:lang w:eastAsia="cs-CZ"/>
        </w:rPr>
        <w:t>plazme je podobná s</w:t>
      </w:r>
      <w:r w:rsidR="00A770C1">
        <w:rPr>
          <w:szCs w:val="22"/>
          <w:lang w:eastAsia="cs-CZ"/>
        </w:rPr>
        <w:t>kupine pacientov na JIS po &gt; </w:t>
      </w:r>
      <w:r w:rsidR="004272E0">
        <w:rPr>
          <w:szCs w:val="22"/>
          <w:lang w:eastAsia="cs-CZ"/>
        </w:rPr>
        <w:t>24 </w:t>
      </w:r>
      <w:r w:rsidRPr="006A3665">
        <w:rPr>
          <w:szCs w:val="22"/>
          <w:lang w:eastAsia="cs-CZ"/>
        </w:rPr>
        <w:t>h infúzii. Odhadované farmakokinetické parametre sú: t</w:t>
      </w:r>
      <w:r w:rsidRPr="006A3665">
        <w:rPr>
          <w:szCs w:val="22"/>
          <w:vertAlign w:val="subscript"/>
          <w:lang w:eastAsia="cs-CZ"/>
        </w:rPr>
        <w:t>1/2</w:t>
      </w:r>
      <w:r w:rsidRPr="006A3665">
        <w:rPr>
          <w:szCs w:val="22"/>
          <w:lang w:eastAsia="cs-CZ"/>
        </w:rPr>
        <w:t xml:space="preserve"> približne 1,5</w:t>
      </w:r>
      <w:r w:rsidR="004272E0">
        <w:rPr>
          <w:szCs w:val="22"/>
          <w:lang w:eastAsia="cs-CZ"/>
        </w:rPr>
        <w:t> </w:t>
      </w:r>
      <w:r w:rsidRPr="006A3665">
        <w:rPr>
          <w:szCs w:val="22"/>
          <w:lang w:eastAsia="cs-CZ"/>
        </w:rPr>
        <w:t>hodín, Vss približne 93 litrov a </w:t>
      </w:r>
      <w:r w:rsidR="004272E0">
        <w:rPr>
          <w:szCs w:val="22"/>
          <w:lang w:eastAsia="cs-CZ"/>
        </w:rPr>
        <w:t>Cl približne 43 </w:t>
      </w:r>
      <w:r w:rsidRPr="006A3665">
        <w:rPr>
          <w:szCs w:val="22"/>
          <w:lang w:eastAsia="cs-CZ"/>
        </w:rPr>
        <w:t>l/h Farmakokinetika dexmedetomidínu je lineárna v ro</w:t>
      </w:r>
      <w:r w:rsidR="00A770C1">
        <w:rPr>
          <w:szCs w:val="22"/>
          <w:lang w:eastAsia="cs-CZ"/>
        </w:rPr>
        <w:t>zmedzí dávkovania od 0,2 do 1,4 </w:t>
      </w:r>
      <w:r w:rsidRPr="006A3665">
        <w:rPr>
          <w:szCs w:val="22"/>
          <w:lang w:eastAsia="cs-CZ"/>
        </w:rPr>
        <w:t xml:space="preserve">µ/kg/h a pri </w:t>
      </w:r>
      <w:r w:rsidR="00A770C1">
        <w:rPr>
          <w:szCs w:val="22"/>
          <w:lang w:eastAsia="cs-CZ"/>
        </w:rPr>
        <w:t>liečbe trvajúcej až do 14 </w:t>
      </w:r>
      <w:r w:rsidRPr="006A3665">
        <w:rPr>
          <w:szCs w:val="22"/>
          <w:lang w:eastAsia="cs-CZ"/>
        </w:rPr>
        <w:t xml:space="preserve">dní sa nekumuluje. Dexmedetomidín sa </w:t>
      </w:r>
      <w:r w:rsidR="00A770C1">
        <w:rPr>
          <w:szCs w:val="22"/>
          <w:lang w:eastAsia="cs-CZ"/>
        </w:rPr>
        <w:t>z 94 </w:t>
      </w:r>
      <w:r w:rsidRPr="006A3665">
        <w:rPr>
          <w:szCs w:val="22"/>
          <w:lang w:eastAsia="cs-CZ"/>
        </w:rPr>
        <w:t xml:space="preserve">% </w:t>
      </w:r>
      <w:r w:rsidR="00A770C1">
        <w:rPr>
          <w:szCs w:val="22"/>
          <w:lang w:eastAsia="cs-CZ"/>
        </w:rPr>
        <w:t>viaže na proteíny v </w:t>
      </w:r>
      <w:r w:rsidRPr="006A3665">
        <w:rPr>
          <w:szCs w:val="22"/>
          <w:lang w:eastAsia="cs-CZ"/>
        </w:rPr>
        <w:t xml:space="preserve">plazme. </w:t>
      </w:r>
      <w:r w:rsidR="00A770C1">
        <w:rPr>
          <w:szCs w:val="22"/>
          <w:lang w:eastAsia="cs-CZ"/>
        </w:rPr>
        <w:t>Väzba na proteíny v plazme je konštantná v </w:t>
      </w:r>
      <w:r w:rsidRPr="006A3665">
        <w:rPr>
          <w:szCs w:val="22"/>
          <w:lang w:eastAsia="cs-CZ"/>
        </w:rPr>
        <w:t>rozmedzí koncentrácie 0,85 až 85 ng/ml. Dexmedetomidín sa viaže</w:t>
      </w:r>
      <w:r w:rsidR="00A770C1">
        <w:rPr>
          <w:szCs w:val="22"/>
          <w:lang w:eastAsia="cs-CZ"/>
        </w:rPr>
        <w:t xml:space="preserve"> na albumín v </w:t>
      </w:r>
      <w:r w:rsidRPr="006A3665">
        <w:rPr>
          <w:szCs w:val="22"/>
          <w:lang w:eastAsia="cs-CZ"/>
        </w:rPr>
        <w:t xml:space="preserve">ľudskom sére aj na alfa-1-kyslý glykoproteín s albumínom </w:t>
      </w:r>
      <w:r w:rsidR="00A770C1">
        <w:rPr>
          <w:szCs w:val="22"/>
          <w:lang w:eastAsia="cs-CZ"/>
        </w:rPr>
        <w:t>v </w:t>
      </w:r>
      <w:r w:rsidRPr="006A3665">
        <w:rPr>
          <w:szCs w:val="22"/>
          <w:lang w:eastAsia="cs-CZ"/>
        </w:rPr>
        <w:t>sére ako hlavný väzobný proteín dexmedetomidí</w:t>
      </w:r>
      <w:r w:rsidR="00A770C1">
        <w:rPr>
          <w:szCs w:val="22"/>
          <w:lang w:eastAsia="cs-CZ"/>
        </w:rPr>
        <w:t>nu v </w:t>
      </w:r>
      <w:r w:rsidRPr="006A3665">
        <w:rPr>
          <w:szCs w:val="22"/>
          <w:lang w:eastAsia="cs-CZ"/>
        </w:rPr>
        <w:t>plazme.</w:t>
      </w:r>
    </w:p>
    <w:p w14:paraId="168CA259" w14:textId="77777777" w:rsidR="006A3665" w:rsidRPr="006A3665" w:rsidRDefault="006A3665" w:rsidP="00A770C1">
      <w:pPr>
        <w:numPr>
          <w:ilvl w:val="12"/>
          <w:numId w:val="0"/>
        </w:numPr>
        <w:rPr>
          <w:szCs w:val="22"/>
        </w:rPr>
      </w:pPr>
    </w:p>
    <w:p w14:paraId="2C3CF75E" w14:textId="77777777" w:rsidR="006A3665" w:rsidRPr="006A3665" w:rsidRDefault="006A3665" w:rsidP="006A3665">
      <w:pPr>
        <w:numPr>
          <w:ilvl w:val="12"/>
          <w:numId w:val="0"/>
        </w:numPr>
        <w:suppressLineNumbers/>
        <w:ind w:right="-2"/>
        <w:rPr>
          <w:szCs w:val="22"/>
          <w:u w:val="single"/>
        </w:rPr>
      </w:pPr>
      <w:r w:rsidRPr="006A3665">
        <w:rPr>
          <w:szCs w:val="22"/>
          <w:u w:val="single"/>
        </w:rPr>
        <w:t>Biotransformácia a eliminácia</w:t>
      </w:r>
    </w:p>
    <w:p w14:paraId="39EA8C1E" w14:textId="77777777" w:rsidR="006A3665" w:rsidRPr="006A3665" w:rsidRDefault="006A3665" w:rsidP="00A770C1">
      <w:pPr>
        <w:autoSpaceDE w:val="0"/>
        <w:autoSpaceDN w:val="0"/>
        <w:adjustRightInd w:val="0"/>
        <w:rPr>
          <w:szCs w:val="22"/>
          <w:lang w:eastAsia="cs-CZ"/>
        </w:rPr>
      </w:pPr>
      <w:r w:rsidRPr="006A3665">
        <w:rPr>
          <w:szCs w:val="22"/>
          <w:lang w:eastAsia="cs-CZ"/>
        </w:rPr>
        <w:t>Dexmedetomidín sa elimi</w:t>
      </w:r>
      <w:r w:rsidR="00A770C1">
        <w:rPr>
          <w:szCs w:val="22"/>
          <w:lang w:eastAsia="cs-CZ"/>
        </w:rPr>
        <w:t>nuje extenzívnym metabolizmom v </w:t>
      </w:r>
      <w:r w:rsidRPr="006A3665">
        <w:rPr>
          <w:szCs w:val="22"/>
          <w:lang w:eastAsia="cs-CZ"/>
        </w:rPr>
        <w:t>pečeni.</w:t>
      </w:r>
      <w:r w:rsidR="00A770C1">
        <w:rPr>
          <w:szCs w:val="22"/>
          <w:lang w:eastAsia="cs-CZ"/>
        </w:rPr>
        <w:t xml:space="preserve"> Existujú tri typy začiatočných </w:t>
      </w:r>
      <w:r w:rsidRPr="006A3665">
        <w:rPr>
          <w:szCs w:val="22"/>
          <w:lang w:eastAsia="cs-CZ"/>
        </w:rPr>
        <w:t>metabolických reakcií; priama N-gluku</w:t>
      </w:r>
      <w:r w:rsidR="00BE2D2C">
        <w:rPr>
          <w:szCs w:val="22"/>
          <w:lang w:eastAsia="cs-CZ"/>
        </w:rPr>
        <w:t>ronidácia, priama N-metylácia a </w:t>
      </w:r>
      <w:r w:rsidRPr="006A3665">
        <w:rPr>
          <w:szCs w:val="22"/>
          <w:lang w:eastAsia="cs-CZ"/>
        </w:rPr>
        <w:t>cytochrómom P450</w:t>
      </w:r>
      <w:r w:rsidR="00A770C1">
        <w:rPr>
          <w:szCs w:val="22"/>
          <w:lang w:eastAsia="cs-CZ"/>
        </w:rPr>
        <w:t xml:space="preserve"> </w:t>
      </w:r>
      <w:r w:rsidRPr="006A3665">
        <w:rPr>
          <w:szCs w:val="22"/>
          <w:lang w:eastAsia="cs-CZ"/>
        </w:rPr>
        <w:t>katalyzovaná oxidácia. Najpočetnejšími cirkulujúcimi metabolitmi dexmedetomidínu sú dva izomérne N-glukuronidy. Metabolit H-1, N-metyl 3-hydroxymetyl-dexmedetomidín O-glukuronid je tiež hlavným cirkulujúcim produktom biotransformácie dexmedetomidínu. Cytochróm P450 katalyzuje tvorbu dvoch vedľajších cirkulujúcich metabolitov, 3-hydroxymetyldexmedetomidínu, ktorý vznikol hydroxyláciou na 3-metylovej skupine dexmedetomidínu, a H-3, ktorý vznikol oxidáciou</w:t>
      </w:r>
      <w:r w:rsidR="00A770C1">
        <w:rPr>
          <w:szCs w:val="22"/>
          <w:lang w:eastAsia="cs-CZ"/>
        </w:rPr>
        <w:t xml:space="preserve"> </w:t>
      </w:r>
      <w:r w:rsidRPr="006A3665">
        <w:rPr>
          <w:szCs w:val="22"/>
          <w:lang w:eastAsia="cs-CZ"/>
        </w:rPr>
        <w:t>v imidazolov</w:t>
      </w:r>
      <w:r w:rsidR="00BE2D2C">
        <w:rPr>
          <w:szCs w:val="22"/>
          <w:lang w:eastAsia="cs-CZ"/>
        </w:rPr>
        <w:t>o</w:t>
      </w:r>
      <w:r w:rsidRPr="006A3665">
        <w:rPr>
          <w:szCs w:val="22"/>
          <w:lang w:eastAsia="cs-CZ"/>
        </w:rPr>
        <w:t>m prstenci. Dostupné údaje naznačujú, že vznik oxidovaných metabolitov je</w:t>
      </w:r>
      <w:r w:rsidR="00A770C1">
        <w:rPr>
          <w:szCs w:val="22"/>
          <w:lang w:eastAsia="cs-CZ"/>
        </w:rPr>
        <w:t xml:space="preserve"> </w:t>
      </w:r>
      <w:r w:rsidR="00BE2D2C">
        <w:rPr>
          <w:szCs w:val="22"/>
          <w:lang w:eastAsia="cs-CZ"/>
        </w:rPr>
        <w:t>sprostredkovaný</w:t>
      </w:r>
      <w:r w:rsidRPr="006A3665">
        <w:rPr>
          <w:szCs w:val="22"/>
          <w:lang w:eastAsia="cs-CZ"/>
        </w:rPr>
        <w:t xml:space="preserve"> niekoľkými formami CYP (C</w:t>
      </w:r>
      <w:r w:rsidR="00BE2D2C">
        <w:rPr>
          <w:szCs w:val="22"/>
          <w:lang w:eastAsia="cs-CZ"/>
        </w:rPr>
        <w:t>YP2A6, CYP1A2, CYP2E1, CYP2D6 a </w:t>
      </w:r>
      <w:r w:rsidRPr="006A3665">
        <w:rPr>
          <w:szCs w:val="22"/>
          <w:lang w:eastAsia="cs-CZ"/>
        </w:rPr>
        <w:t>CYP2C19).</w:t>
      </w:r>
      <w:r w:rsidR="00A770C1">
        <w:rPr>
          <w:szCs w:val="22"/>
          <w:lang w:eastAsia="cs-CZ"/>
        </w:rPr>
        <w:t xml:space="preserve"> </w:t>
      </w:r>
      <w:r w:rsidRPr="006A3665">
        <w:rPr>
          <w:szCs w:val="22"/>
          <w:lang w:eastAsia="cs-CZ"/>
        </w:rPr>
        <w:t>Tieto metabolity majú zanedbateľnú farmakologickú aktivitu.</w:t>
      </w:r>
    </w:p>
    <w:p w14:paraId="760E32DC" w14:textId="77777777" w:rsidR="006A3665" w:rsidRPr="006A3665" w:rsidRDefault="006A3665" w:rsidP="00A770C1">
      <w:pPr>
        <w:numPr>
          <w:ilvl w:val="12"/>
          <w:numId w:val="0"/>
        </w:numPr>
        <w:rPr>
          <w:szCs w:val="22"/>
        </w:rPr>
      </w:pPr>
    </w:p>
    <w:p w14:paraId="19C22B91" w14:textId="77777777" w:rsidR="006A3665" w:rsidRPr="006A3665" w:rsidRDefault="006A3665" w:rsidP="006A3665">
      <w:pPr>
        <w:autoSpaceDE w:val="0"/>
        <w:autoSpaceDN w:val="0"/>
        <w:adjustRightInd w:val="0"/>
        <w:rPr>
          <w:szCs w:val="22"/>
        </w:rPr>
      </w:pPr>
      <w:r w:rsidRPr="006A3665">
        <w:rPr>
          <w:szCs w:val="22"/>
          <w:lang w:eastAsia="cs-CZ"/>
        </w:rPr>
        <w:t>Po i.v. podaní rádioaktívne značeného dexmedetomidí</w:t>
      </w:r>
      <w:r w:rsidR="004E735A">
        <w:rPr>
          <w:szCs w:val="22"/>
          <w:lang w:eastAsia="cs-CZ"/>
        </w:rPr>
        <w:t>nu sa v priemere 95 % rádioaktivity vylúčilo v </w:t>
      </w:r>
      <w:r w:rsidRPr="006A3665">
        <w:rPr>
          <w:szCs w:val="22"/>
          <w:lang w:eastAsia="cs-CZ"/>
        </w:rPr>
        <w:t>moči a</w:t>
      </w:r>
      <w:r w:rsidR="004E735A">
        <w:rPr>
          <w:szCs w:val="22"/>
          <w:lang w:eastAsia="cs-CZ"/>
        </w:rPr>
        <w:t> 4% v </w:t>
      </w:r>
      <w:r w:rsidRPr="006A3665">
        <w:rPr>
          <w:szCs w:val="22"/>
          <w:lang w:eastAsia="cs-CZ"/>
        </w:rPr>
        <w:t>stolici po deviatic</w:t>
      </w:r>
      <w:r w:rsidR="004E735A">
        <w:rPr>
          <w:szCs w:val="22"/>
          <w:lang w:eastAsia="cs-CZ"/>
        </w:rPr>
        <w:t>h dňoch. Hlavnými metabolitmi v </w:t>
      </w:r>
      <w:r w:rsidRPr="006A3665">
        <w:rPr>
          <w:szCs w:val="22"/>
          <w:lang w:eastAsia="cs-CZ"/>
        </w:rPr>
        <w:t>moči sú dva izomérne N-glukuronidy, ktor</w:t>
      </w:r>
      <w:r w:rsidR="004E735A">
        <w:rPr>
          <w:szCs w:val="22"/>
          <w:lang w:eastAsia="cs-CZ"/>
        </w:rPr>
        <w:t>é spoločne tvorili približne 34 </w:t>
      </w:r>
      <w:r w:rsidRPr="006A3665">
        <w:rPr>
          <w:szCs w:val="22"/>
          <w:lang w:eastAsia="cs-CZ"/>
        </w:rPr>
        <w:t>% dávky,</w:t>
      </w:r>
      <w:r w:rsidR="004E735A">
        <w:rPr>
          <w:szCs w:val="22"/>
          <w:lang w:eastAsia="cs-CZ"/>
        </w:rPr>
        <w:t xml:space="preserve"> a </w:t>
      </w:r>
      <w:r w:rsidRPr="006A3665">
        <w:rPr>
          <w:szCs w:val="22"/>
          <w:lang w:eastAsia="cs-CZ"/>
        </w:rPr>
        <w:t>N-metyl 3-hydroxymetyl-dexmedetomidín O</w:t>
      </w:r>
      <w:r w:rsidR="004E735A">
        <w:rPr>
          <w:szCs w:val="22"/>
          <w:lang w:eastAsia="cs-CZ"/>
        </w:rPr>
        <w:t>-glukuronid, ktorý tvoril 14,51 </w:t>
      </w:r>
      <w:r w:rsidRPr="006A3665">
        <w:rPr>
          <w:szCs w:val="22"/>
          <w:lang w:eastAsia="cs-CZ"/>
        </w:rPr>
        <w:t>% dávky. Vedľajšie metabolity dexmedetomidínu, kyselina karboxylová, 3-hydroxymetyl-dexmedetomidí</w:t>
      </w:r>
      <w:r w:rsidR="004E735A">
        <w:rPr>
          <w:szCs w:val="22"/>
          <w:lang w:eastAsia="cs-CZ"/>
        </w:rPr>
        <w:t>n a </w:t>
      </w:r>
      <w:r w:rsidRPr="006A3665">
        <w:rPr>
          <w:szCs w:val="22"/>
          <w:lang w:eastAsia="cs-CZ"/>
        </w:rPr>
        <w:t>jeho O-glukuronid, individuálne tvorili 1,11 až 7,66 </w:t>
      </w:r>
      <w:r w:rsidR="004E735A">
        <w:rPr>
          <w:szCs w:val="22"/>
          <w:lang w:eastAsia="cs-CZ"/>
        </w:rPr>
        <w:t>% dávky. V </w:t>
      </w:r>
      <w:r w:rsidRPr="006A3665">
        <w:rPr>
          <w:szCs w:val="22"/>
          <w:lang w:eastAsia="cs-CZ"/>
        </w:rPr>
        <w:t>moči sa vylúčilo menej ako</w:t>
      </w:r>
      <w:r w:rsidR="004E735A">
        <w:rPr>
          <w:szCs w:val="22"/>
          <w:lang w:eastAsia="cs-CZ"/>
        </w:rPr>
        <w:t xml:space="preserve"> 1 </w:t>
      </w:r>
      <w:r w:rsidRPr="006A3665">
        <w:rPr>
          <w:szCs w:val="22"/>
          <w:lang w:eastAsia="cs-CZ"/>
        </w:rPr>
        <w:t>% nezmeneného východiskového liečiva. Približne 28 </w:t>
      </w:r>
      <w:r w:rsidR="004E735A">
        <w:rPr>
          <w:szCs w:val="22"/>
          <w:lang w:eastAsia="cs-CZ"/>
        </w:rPr>
        <w:t>% metabolitov v </w:t>
      </w:r>
      <w:r w:rsidRPr="006A3665">
        <w:rPr>
          <w:szCs w:val="22"/>
          <w:lang w:eastAsia="cs-CZ"/>
        </w:rPr>
        <w:t>moči sú neidentifikované vedľajšie metabolity.</w:t>
      </w:r>
    </w:p>
    <w:p w14:paraId="490E2714" w14:textId="77777777" w:rsidR="006A3665" w:rsidRPr="006A3665" w:rsidRDefault="006A3665" w:rsidP="00A770C1">
      <w:pPr>
        <w:numPr>
          <w:ilvl w:val="12"/>
          <w:numId w:val="0"/>
        </w:numPr>
        <w:rPr>
          <w:szCs w:val="22"/>
        </w:rPr>
      </w:pPr>
    </w:p>
    <w:p w14:paraId="3EFDF618" w14:textId="77777777" w:rsidR="006A3665" w:rsidRPr="006A3665" w:rsidRDefault="006A3665" w:rsidP="00AE4DCE">
      <w:pPr>
        <w:keepNext/>
        <w:autoSpaceDE w:val="0"/>
        <w:autoSpaceDN w:val="0"/>
        <w:adjustRightInd w:val="0"/>
        <w:rPr>
          <w:szCs w:val="22"/>
          <w:u w:val="single"/>
          <w:lang w:eastAsia="cs-CZ"/>
        </w:rPr>
      </w:pPr>
      <w:r w:rsidRPr="006A3665">
        <w:rPr>
          <w:szCs w:val="22"/>
          <w:u w:val="single"/>
          <w:lang w:eastAsia="cs-CZ"/>
        </w:rPr>
        <w:t>Osobitné populácie</w:t>
      </w:r>
    </w:p>
    <w:p w14:paraId="2FD6C9AA" w14:textId="77777777" w:rsidR="006A3665" w:rsidRPr="006A3665" w:rsidRDefault="006A3665" w:rsidP="006A3665">
      <w:pPr>
        <w:autoSpaceDE w:val="0"/>
        <w:autoSpaceDN w:val="0"/>
        <w:adjustRightInd w:val="0"/>
        <w:rPr>
          <w:szCs w:val="22"/>
          <w:lang w:eastAsia="cs-CZ"/>
        </w:rPr>
      </w:pPr>
      <w:r w:rsidRPr="006A3665">
        <w:rPr>
          <w:szCs w:val="22"/>
          <w:lang w:eastAsia="cs-CZ"/>
        </w:rPr>
        <w:t xml:space="preserve">Nepozorovali sa žiadne významné farmakokinetické rozdiely </w:t>
      </w:r>
      <w:r w:rsidR="00A770C1">
        <w:rPr>
          <w:szCs w:val="22"/>
          <w:lang w:eastAsia="cs-CZ"/>
        </w:rPr>
        <w:t>na základe pohlavia alebo veku.</w:t>
      </w:r>
    </w:p>
    <w:p w14:paraId="5E035B84" w14:textId="77777777" w:rsidR="006A3665" w:rsidRPr="006A3665" w:rsidRDefault="006A3665" w:rsidP="006A3665">
      <w:pPr>
        <w:autoSpaceDE w:val="0"/>
        <w:autoSpaceDN w:val="0"/>
        <w:adjustRightInd w:val="0"/>
        <w:rPr>
          <w:szCs w:val="22"/>
          <w:lang w:eastAsia="cs-CZ"/>
        </w:rPr>
      </w:pPr>
    </w:p>
    <w:p w14:paraId="41DAD236" w14:textId="77777777" w:rsidR="006A3665" w:rsidRPr="006A3665" w:rsidRDefault="006A3665" w:rsidP="006A3665">
      <w:pPr>
        <w:autoSpaceDE w:val="0"/>
        <w:autoSpaceDN w:val="0"/>
        <w:adjustRightInd w:val="0"/>
        <w:rPr>
          <w:szCs w:val="22"/>
        </w:rPr>
      </w:pPr>
      <w:r w:rsidRPr="006A3665">
        <w:rPr>
          <w:szCs w:val="22"/>
          <w:lang w:eastAsia="cs-CZ"/>
        </w:rPr>
        <w:t>Väzbovosť dexmedetomidínu na pl</w:t>
      </w:r>
      <w:r w:rsidR="004E735A">
        <w:rPr>
          <w:szCs w:val="22"/>
          <w:lang w:eastAsia="cs-CZ"/>
        </w:rPr>
        <w:t>azmatické proteíny je znížená u jedincov s </w:t>
      </w:r>
      <w:r w:rsidRPr="006A3665">
        <w:rPr>
          <w:szCs w:val="22"/>
          <w:lang w:eastAsia="cs-CZ"/>
        </w:rPr>
        <w:t xml:space="preserve">poruchou </w:t>
      </w:r>
      <w:r w:rsidR="004E735A">
        <w:rPr>
          <w:szCs w:val="22"/>
          <w:lang w:eastAsia="cs-CZ"/>
        </w:rPr>
        <w:t>funkcie pečene v </w:t>
      </w:r>
      <w:r w:rsidRPr="006A3665">
        <w:rPr>
          <w:szCs w:val="22"/>
          <w:lang w:eastAsia="cs-CZ"/>
        </w:rPr>
        <w:t>porovnaní so zdravými jedincami. Priemerný percentuálny podiel neviazaného dexmedetomidí</w:t>
      </w:r>
      <w:r w:rsidR="004E735A">
        <w:rPr>
          <w:szCs w:val="22"/>
          <w:lang w:eastAsia="cs-CZ"/>
        </w:rPr>
        <w:t>nu v plazme sa pohyboval od 8,5 % u </w:t>
      </w:r>
      <w:r w:rsidRPr="006A3665">
        <w:rPr>
          <w:szCs w:val="22"/>
          <w:lang w:eastAsia="cs-CZ"/>
        </w:rPr>
        <w:t>zdravých jedincov do 17,9</w:t>
      </w:r>
      <w:r w:rsidR="004E735A">
        <w:rPr>
          <w:szCs w:val="22"/>
          <w:lang w:eastAsia="cs-CZ"/>
        </w:rPr>
        <w:t> </w:t>
      </w:r>
      <w:r w:rsidRPr="006A3665">
        <w:rPr>
          <w:szCs w:val="22"/>
          <w:lang w:eastAsia="cs-CZ"/>
        </w:rPr>
        <w:t xml:space="preserve">% u jedincov s ťažkou poruchou </w:t>
      </w:r>
      <w:r w:rsidR="004E735A">
        <w:rPr>
          <w:szCs w:val="22"/>
          <w:lang w:eastAsia="cs-CZ"/>
        </w:rPr>
        <w:t>funkcie pečene. U </w:t>
      </w:r>
      <w:r w:rsidR="005A0C8D">
        <w:rPr>
          <w:szCs w:val="22"/>
          <w:lang w:eastAsia="cs-CZ"/>
        </w:rPr>
        <w:t>jedincov s </w:t>
      </w:r>
      <w:r w:rsidRPr="006A3665">
        <w:rPr>
          <w:szCs w:val="22"/>
          <w:lang w:eastAsia="cs-CZ"/>
        </w:rPr>
        <w:t>rôznymi stupňami poruchy funkcie pečene (Child-Pughova trieda A, B alebo C) bol hepatický klírens dexmedetomidí</w:t>
      </w:r>
      <w:r w:rsidR="004E735A">
        <w:rPr>
          <w:szCs w:val="22"/>
          <w:lang w:eastAsia="cs-CZ"/>
        </w:rPr>
        <w:t>nu znížený a mali predĺženú elimináciu z </w:t>
      </w:r>
      <w:r w:rsidRPr="006A3665">
        <w:rPr>
          <w:szCs w:val="22"/>
          <w:lang w:eastAsia="cs-CZ"/>
        </w:rPr>
        <w:t>plazmy t1/2. Priemerné hodnoty klírensu neviazaného dexmedetomidí</w:t>
      </w:r>
      <w:r w:rsidR="005A0C8D">
        <w:rPr>
          <w:szCs w:val="22"/>
          <w:lang w:eastAsia="cs-CZ"/>
        </w:rPr>
        <w:t>nu z </w:t>
      </w:r>
      <w:r w:rsidRPr="006A3665">
        <w:rPr>
          <w:szCs w:val="22"/>
          <w:lang w:eastAsia="cs-CZ"/>
        </w:rPr>
        <w:t>plazm</w:t>
      </w:r>
      <w:r w:rsidR="004E735A">
        <w:rPr>
          <w:szCs w:val="22"/>
          <w:lang w:eastAsia="cs-CZ"/>
        </w:rPr>
        <w:t>y u jedincov s </w:t>
      </w:r>
      <w:r w:rsidRPr="006A3665">
        <w:rPr>
          <w:szCs w:val="22"/>
          <w:lang w:eastAsia="cs-CZ"/>
        </w:rPr>
        <w:t xml:space="preserve">miernou, stredne ťažkou </w:t>
      </w:r>
      <w:r w:rsidR="004E735A" w:rsidRPr="004E735A">
        <w:t>a</w:t>
      </w:r>
      <w:r w:rsidR="005A0C8D">
        <w:t> </w:t>
      </w:r>
      <w:r w:rsidRPr="004E735A">
        <w:t>ťažkou</w:t>
      </w:r>
      <w:r w:rsidRPr="006A3665">
        <w:rPr>
          <w:szCs w:val="22"/>
          <w:lang w:eastAsia="cs-CZ"/>
        </w:rPr>
        <w:t xml:space="preserve"> poruchou </w:t>
      </w:r>
      <w:r w:rsidR="004E735A">
        <w:rPr>
          <w:szCs w:val="22"/>
          <w:lang w:eastAsia="cs-CZ"/>
        </w:rPr>
        <w:t>funkcie pečene boli 59 %, 51 % a 32 </w:t>
      </w:r>
      <w:r w:rsidRPr="006A3665">
        <w:rPr>
          <w:szCs w:val="22"/>
          <w:lang w:eastAsia="cs-CZ"/>
        </w:rPr>
        <w:t xml:space="preserve">% </w:t>
      </w:r>
      <w:r w:rsidRPr="006A3665">
        <w:rPr>
          <w:szCs w:val="22"/>
          <w:lang w:eastAsia="cs-CZ"/>
        </w:rPr>
        <w:lastRenderedPageBreak/>
        <w:t>(v uvedeno</w:t>
      </w:r>
      <w:r w:rsidR="004E735A">
        <w:rPr>
          <w:szCs w:val="22"/>
          <w:lang w:eastAsia="cs-CZ"/>
        </w:rPr>
        <w:t>m poradí) hodnôt pozorovaných u </w:t>
      </w:r>
      <w:r w:rsidRPr="006A3665">
        <w:rPr>
          <w:szCs w:val="22"/>
          <w:lang w:eastAsia="cs-CZ"/>
        </w:rPr>
        <w:t xml:space="preserve">normálnych zdravých jedincov. Priemerný t1/2 u jedincov s miernou, stredne ťažkou </w:t>
      </w:r>
      <w:r w:rsidR="004E735A">
        <w:rPr>
          <w:szCs w:val="22"/>
          <w:lang w:eastAsia="cs-CZ"/>
        </w:rPr>
        <w:t>a </w:t>
      </w:r>
      <w:r w:rsidRPr="006A3665">
        <w:rPr>
          <w:szCs w:val="22"/>
          <w:lang w:eastAsia="cs-CZ"/>
        </w:rPr>
        <w:t>ťažkou poruchou funkcie pečene sa p</w:t>
      </w:r>
      <w:r w:rsidR="004E735A">
        <w:rPr>
          <w:szCs w:val="22"/>
          <w:lang w:eastAsia="cs-CZ"/>
        </w:rPr>
        <w:t xml:space="preserve">redĺžil na 3,9; 5,4 </w:t>
      </w:r>
      <w:r w:rsidR="004E735A" w:rsidRPr="004E735A">
        <w:t>a</w:t>
      </w:r>
      <w:r w:rsidR="004E735A">
        <w:t> </w:t>
      </w:r>
      <w:r w:rsidRPr="004E735A">
        <w:t>7</w:t>
      </w:r>
      <w:r w:rsidR="004E735A">
        <w:rPr>
          <w:szCs w:val="22"/>
          <w:lang w:eastAsia="cs-CZ"/>
        </w:rPr>
        <w:t>,4 </w:t>
      </w:r>
      <w:r w:rsidRPr="006A3665">
        <w:rPr>
          <w:szCs w:val="22"/>
          <w:lang w:eastAsia="cs-CZ"/>
        </w:rPr>
        <w:t xml:space="preserve">hodín </w:t>
      </w:r>
      <w:r w:rsidR="004E735A">
        <w:rPr>
          <w:szCs w:val="22"/>
          <w:lang w:eastAsia="cs-CZ"/>
        </w:rPr>
        <w:t>(v uvedenom poradí). I </w:t>
      </w:r>
      <w:r w:rsidRPr="006A3665">
        <w:rPr>
          <w:szCs w:val="22"/>
          <w:lang w:eastAsia="cs-CZ"/>
        </w:rPr>
        <w:t>napriek tomu, že sa dexmedetomidín podáva podľa účinku, môže byť potrebné zvážiť zníženie začiatočnej</w:t>
      </w:r>
      <w:r w:rsidR="004E735A">
        <w:rPr>
          <w:szCs w:val="22"/>
          <w:lang w:eastAsia="cs-CZ"/>
        </w:rPr>
        <w:t> </w:t>
      </w:r>
      <w:r w:rsidRPr="006A3665">
        <w:rPr>
          <w:szCs w:val="22"/>
          <w:lang w:eastAsia="cs-CZ"/>
        </w:rPr>
        <w:t>/</w:t>
      </w:r>
      <w:r w:rsidR="004E735A">
        <w:rPr>
          <w:szCs w:val="22"/>
          <w:lang w:eastAsia="cs-CZ"/>
        </w:rPr>
        <w:t> </w:t>
      </w:r>
      <w:r w:rsidR="005A0C8D">
        <w:rPr>
          <w:szCs w:val="22"/>
          <w:lang w:eastAsia="cs-CZ"/>
        </w:rPr>
        <w:t>udržiavacej dávky u pacientov s </w:t>
      </w:r>
      <w:r w:rsidRPr="006A3665">
        <w:rPr>
          <w:szCs w:val="22"/>
          <w:lang w:eastAsia="cs-CZ"/>
        </w:rPr>
        <w:t>poruchou funkcie pečene v závislosti od stupňa poruchy</w:t>
      </w:r>
      <w:r w:rsidR="004E735A">
        <w:rPr>
          <w:szCs w:val="22"/>
          <w:lang w:eastAsia="cs-CZ"/>
        </w:rPr>
        <w:t xml:space="preserve"> a </w:t>
      </w:r>
      <w:r w:rsidRPr="0046069D">
        <w:rPr>
          <w:szCs w:val="22"/>
          <w:lang w:eastAsia="cs-CZ"/>
        </w:rPr>
        <w:t>od reakcie</w:t>
      </w:r>
      <w:r w:rsidRPr="006A3665">
        <w:rPr>
          <w:szCs w:val="22"/>
          <w:lang w:eastAsia="cs-CZ"/>
        </w:rPr>
        <w:t>.</w:t>
      </w:r>
    </w:p>
    <w:p w14:paraId="02BF33BE" w14:textId="77777777" w:rsidR="006A3665" w:rsidRPr="006A3665" w:rsidRDefault="006A3665" w:rsidP="00AE4DCE">
      <w:pPr>
        <w:numPr>
          <w:ilvl w:val="12"/>
          <w:numId w:val="0"/>
        </w:numPr>
        <w:rPr>
          <w:szCs w:val="22"/>
          <w:lang w:eastAsia="cs-CZ"/>
        </w:rPr>
      </w:pPr>
    </w:p>
    <w:p w14:paraId="7C30B67E" w14:textId="77777777" w:rsidR="006A3665" w:rsidRPr="006A3665" w:rsidRDefault="006A3665" w:rsidP="006A3665">
      <w:pPr>
        <w:autoSpaceDE w:val="0"/>
        <w:autoSpaceDN w:val="0"/>
        <w:adjustRightInd w:val="0"/>
        <w:rPr>
          <w:szCs w:val="22"/>
          <w:lang w:eastAsia="cs-CZ"/>
        </w:rPr>
      </w:pPr>
      <w:r w:rsidRPr="006A3665">
        <w:rPr>
          <w:szCs w:val="22"/>
          <w:lang w:eastAsia="cs-CZ"/>
        </w:rPr>
        <w:t>Farmakokinetika dexmedetomidí</w:t>
      </w:r>
      <w:r w:rsidR="004E735A">
        <w:rPr>
          <w:szCs w:val="22"/>
          <w:lang w:eastAsia="cs-CZ"/>
        </w:rPr>
        <w:t>nu u jedincov s </w:t>
      </w:r>
      <w:r w:rsidRPr="006A3665">
        <w:rPr>
          <w:szCs w:val="22"/>
          <w:lang w:eastAsia="cs-CZ"/>
        </w:rPr>
        <w:t xml:space="preserve">ťažkou poruchou funkcie obličiek (klírens </w:t>
      </w:r>
      <w:r w:rsidR="004E735A">
        <w:rPr>
          <w:szCs w:val="22"/>
          <w:lang w:eastAsia="cs-CZ"/>
        </w:rPr>
        <w:t>kreatinínu &lt; 30 ml/min) nie je zmenená v </w:t>
      </w:r>
      <w:r w:rsidRPr="006A3665">
        <w:rPr>
          <w:szCs w:val="22"/>
          <w:lang w:eastAsia="cs-CZ"/>
        </w:rPr>
        <w:t>porovnaní so zdravými jedincami.</w:t>
      </w:r>
    </w:p>
    <w:p w14:paraId="73D60200" w14:textId="77777777" w:rsidR="006A3665" w:rsidRPr="006A3665" w:rsidRDefault="006A3665" w:rsidP="006A3665">
      <w:pPr>
        <w:autoSpaceDE w:val="0"/>
        <w:autoSpaceDN w:val="0"/>
        <w:adjustRightInd w:val="0"/>
        <w:rPr>
          <w:szCs w:val="22"/>
          <w:lang w:eastAsia="cs-CZ"/>
        </w:rPr>
      </w:pPr>
    </w:p>
    <w:p w14:paraId="74179F13" w14:textId="77777777" w:rsidR="006A3665" w:rsidRPr="006A3665" w:rsidRDefault="006A3665" w:rsidP="005A0C8D">
      <w:pPr>
        <w:autoSpaceDE w:val="0"/>
        <w:autoSpaceDN w:val="0"/>
        <w:adjustRightInd w:val="0"/>
        <w:rPr>
          <w:szCs w:val="22"/>
          <w:lang w:eastAsia="cs-CZ"/>
        </w:rPr>
      </w:pPr>
      <w:r w:rsidRPr="006A3665">
        <w:rPr>
          <w:szCs w:val="22"/>
          <w:lang w:eastAsia="cs-CZ"/>
        </w:rPr>
        <w:t>Údaje od novorodencov (28.-44. gestačný týžde</w:t>
      </w:r>
      <w:r w:rsidR="005A0C8D">
        <w:rPr>
          <w:szCs w:val="22"/>
          <w:lang w:eastAsia="cs-CZ"/>
        </w:rPr>
        <w:t>ň) až po deti vo veku 17 </w:t>
      </w:r>
      <w:r w:rsidRPr="006A3665">
        <w:rPr>
          <w:szCs w:val="22"/>
          <w:lang w:eastAsia="cs-CZ"/>
        </w:rPr>
        <w:t>rokov sú limitované. Polčas dexmedetomidí</w:t>
      </w:r>
      <w:r w:rsidR="005A0C8D">
        <w:rPr>
          <w:szCs w:val="22"/>
          <w:lang w:eastAsia="cs-CZ"/>
        </w:rPr>
        <w:t>nu u detí (1 mesiac až 17 </w:t>
      </w:r>
      <w:r w:rsidRPr="006A3665">
        <w:rPr>
          <w:szCs w:val="22"/>
          <w:lang w:eastAsia="cs-CZ"/>
        </w:rPr>
        <w:t xml:space="preserve">rokov) sa javí </w:t>
      </w:r>
      <w:r w:rsidR="005A0C8D">
        <w:rPr>
          <w:szCs w:val="22"/>
          <w:lang w:eastAsia="cs-CZ"/>
        </w:rPr>
        <w:t>podobný ako u </w:t>
      </w:r>
      <w:r w:rsidRPr="006A3665">
        <w:rPr>
          <w:szCs w:val="22"/>
          <w:lang w:eastAsia="cs-CZ"/>
        </w:rPr>
        <w:t xml:space="preserve">dospelých, </w:t>
      </w:r>
      <w:r w:rsidR="005A0C8D">
        <w:rPr>
          <w:szCs w:val="22"/>
          <w:lang w:eastAsia="cs-CZ"/>
        </w:rPr>
        <w:t>ale u novorodencov (mladších ako 1 </w:t>
      </w:r>
      <w:r w:rsidRPr="006A3665">
        <w:rPr>
          <w:szCs w:val="22"/>
          <w:lang w:eastAsia="cs-CZ"/>
        </w:rPr>
        <w:t>mesiac) sa zdá byť dl</w:t>
      </w:r>
      <w:r w:rsidR="005A0C8D">
        <w:rPr>
          <w:szCs w:val="22"/>
          <w:lang w:eastAsia="cs-CZ"/>
        </w:rPr>
        <w:t>hší. Vo vekových skupinách od 1 </w:t>
      </w:r>
      <w:r w:rsidRPr="006A3665">
        <w:rPr>
          <w:szCs w:val="22"/>
          <w:lang w:eastAsia="cs-CZ"/>
        </w:rPr>
        <w:t xml:space="preserve">mesiaca </w:t>
      </w:r>
      <w:r w:rsidR="005A0C8D">
        <w:rPr>
          <w:szCs w:val="22"/>
          <w:lang w:eastAsia="cs-CZ"/>
        </w:rPr>
        <w:t>do 6 </w:t>
      </w:r>
      <w:r w:rsidRPr="006A3665">
        <w:rPr>
          <w:szCs w:val="22"/>
          <w:lang w:eastAsia="cs-CZ"/>
        </w:rPr>
        <w:t>rokov sa plazmový klírens upravený podľa telesnej hmotnosti javil vyšší, ale klesal u starších detí. Plazmový klírens upravený podľa telesnej hmotnosti</w:t>
      </w:r>
      <w:r w:rsidR="00B87F84">
        <w:rPr>
          <w:szCs w:val="22"/>
          <w:lang w:eastAsia="cs-CZ"/>
        </w:rPr>
        <w:t xml:space="preserve"> u </w:t>
      </w:r>
      <w:r w:rsidR="005A0C8D">
        <w:rPr>
          <w:szCs w:val="22"/>
          <w:lang w:eastAsia="cs-CZ"/>
        </w:rPr>
        <w:t>novorodencov (mladších ako 1 </w:t>
      </w:r>
      <w:r w:rsidRPr="006A3665">
        <w:rPr>
          <w:szCs w:val="22"/>
          <w:lang w:eastAsia="cs-CZ"/>
        </w:rPr>
        <w:t>mesiac) sa kvôli ne</w:t>
      </w:r>
      <w:r w:rsidR="005A0C8D">
        <w:rPr>
          <w:szCs w:val="22"/>
          <w:lang w:eastAsia="cs-CZ"/>
        </w:rPr>
        <w:t>dospelosti zdal byť nižší (0,91 l/h/kg) ako u </w:t>
      </w:r>
      <w:r w:rsidRPr="006A3665">
        <w:rPr>
          <w:szCs w:val="22"/>
          <w:lang w:eastAsia="cs-CZ"/>
        </w:rPr>
        <w:t>starších skupín. Dostupné údaje sú zhrnuté v nasledujúcej tabuľke.</w:t>
      </w:r>
    </w:p>
    <w:p w14:paraId="493E9D74" w14:textId="77777777" w:rsidR="006A3665" w:rsidRPr="006A3665" w:rsidRDefault="006A3665" w:rsidP="006A3665">
      <w:pPr>
        <w:autoSpaceDE w:val="0"/>
        <w:autoSpaceDN w:val="0"/>
        <w:adjustRightInd w:val="0"/>
        <w:rPr>
          <w:szCs w:val="22"/>
          <w:lang w:eastAsia="cs-CZ"/>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5"/>
        <w:gridCol w:w="1134"/>
        <w:gridCol w:w="2268"/>
        <w:gridCol w:w="2268"/>
      </w:tblGrid>
      <w:tr w:rsidR="006A3665" w:rsidRPr="006A3665" w14:paraId="30BC2997" w14:textId="77777777" w:rsidTr="005E706C">
        <w:trPr>
          <w:trHeight w:hRule="exact" w:val="269"/>
        </w:trPr>
        <w:tc>
          <w:tcPr>
            <w:tcW w:w="2735" w:type="dxa"/>
          </w:tcPr>
          <w:p w14:paraId="022B473B" w14:textId="77777777" w:rsidR="006A3665" w:rsidRPr="006A3665" w:rsidRDefault="006A3665" w:rsidP="00AE4DCE">
            <w:pPr>
              <w:keepNext/>
              <w:rPr>
                <w:szCs w:val="22"/>
              </w:rPr>
            </w:pPr>
          </w:p>
        </w:tc>
        <w:tc>
          <w:tcPr>
            <w:tcW w:w="1134" w:type="dxa"/>
          </w:tcPr>
          <w:p w14:paraId="51585EFA" w14:textId="77777777" w:rsidR="006A3665" w:rsidRPr="006A3665" w:rsidRDefault="006A3665" w:rsidP="005E706C">
            <w:pPr>
              <w:rPr>
                <w:szCs w:val="22"/>
              </w:rPr>
            </w:pPr>
          </w:p>
        </w:tc>
        <w:tc>
          <w:tcPr>
            <w:tcW w:w="2268" w:type="dxa"/>
            <w:gridSpan w:val="2"/>
          </w:tcPr>
          <w:p w14:paraId="46406DAC" w14:textId="77777777" w:rsidR="006A3665" w:rsidRPr="006A3665" w:rsidRDefault="006A3665" w:rsidP="005E706C">
            <w:pPr>
              <w:pStyle w:val="TableParagraph"/>
              <w:ind w:left="1065"/>
              <w:rPr>
                <w:lang w:val="sk-SK"/>
              </w:rPr>
            </w:pPr>
            <w:r w:rsidRPr="006A3665">
              <w:rPr>
                <w:lang w:val="sk-SK"/>
              </w:rPr>
              <w:t>Priemer (95</w:t>
            </w:r>
            <w:r w:rsidR="00B87F84">
              <w:rPr>
                <w:lang w:val="sk-SK"/>
              </w:rPr>
              <w:t> </w:t>
            </w:r>
            <w:r w:rsidRPr="006A3665">
              <w:rPr>
                <w:lang w:val="sk-SK"/>
              </w:rPr>
              <w:t>% CI)</w:t>
            </w:r>
          </w:p>
        </w:tc>
      </w:tr>
      <w:tr w:rsidR="006A3665" w:rsidRPr="006A3665" w14:paraId="5B42D83B" w14:textId="77777777" w:rsidTr="005E706C">
        <w:trPr>
          <w:trHeight w:hRule="exact" w:val="271"/>
        </w:trPr>
        <w:tc>
          <w:tcPr>
            <w:tcW w:w="2735" w:type="dxa"/>
          </w:tcPr>
          <w:p w14:paraId="3D9451FC" w14:textId="77777777" w:rsidR="006A3665" w:rsidRPr="006A3665" w:rsidRDefault="006A3665" w:rsidP="005E706C">
            <w:pPr>
              <w:pStyle w:val="TableParagraph"/>
              <w:ind w:left="441" w:right="444"/>
              <w:jc w:val="center"/>
              <w:rPr>
                <w:lang w:val="sk-SK"/>
              </w:rPr>
            </w:pPr>
            <w:r w:rsidRPr="006A3665">
              <w:rPr>
                <w:lang w:val="sk-SK"/>
              </w:rPr>
              <w:t>Vek</w:t>
            </w:r>
          </w:p>
        </w:tc>
        <w:tc>
          <w:tcPr>
            <w:tcW w:w="1134" w:type="dxa"/>
          </w:tcPr>
          <w:p w14:paraId="7E19F900" w14:textId="77777777" w:rsidR="006A3665" w:rsidRPr="006A3665" w:rsidRDefault="006A3665" w:rsidP="005E706C">
            <w:pPr>
              <w:pStyle w:val="TableParagraph"/>
              <w:ind w:left="0" w:right="5"/>
              <w:jc w:val="center"/>
              <w:rPr>
                <w:lang w:val="sk-SK"/>
              </w:rPr>
            </w:pPr>
            <w:r w:rsidRPr="006A3665">
              <w:rPr>
                <w:w w:val="99"/>
                <w:lang w:val="sk-SK"/>
              </w:rPr>
              <w:t>n</w:t>
            </w:r>
          </w:p>
        </w:tc>
        <w:tc>
          <w:tcPr>
            <w:tcW w:w="2268" w:type="dxa"/>
          </w:tcPr>
          <w:p w14:paraId="457267A4" w14:textId="77777777" w:rsidR="006A3665" w:rsidRPr="006A3665" w:rsidRDefault="006A3665" w:rsidP="005E706C">
            <w:pPr>
              <w:pStyle w:val="TableParagraph"/>
              <w:ind w:left="352"/>
              <w:jc w:val="center"/>
              <w:rPr>
                <w:lang w:val="sk-SK"/>
              </w:rPr>
            </w:pPr>
            <w:r w:rsidRPr="006A3665">
              <w:rPr>
                <w:lang w:val="sk-SK"/>
              </w:rPr>
              <w:t>Cl (l/hod./kg)</w:t>
            </w:r>
          </w:p>
        </w:tc>
        <w:tc>
          <w:tcPr>
            <w:tcW w:w="2268" w:type="dxa"/>
          </w:tcPr>
          <w:p w14:paraId="50FED51F" w14:textId="77777777" w:rsidR="006A3665" w:rsidRPr="006A3665" w:rsidRDefault="006A3665" w:rsidP="005E706C">
            <w:pPr>
              <w:pStyle w:val="TableParagraph"/>
              <w:ind w:left="426" w:right="429"/>
              <w:jc w:val="center"/>
              <w:rPr>
                <w:lang w:val="sk-SK"/>
              </w:rPr>
            </w:pPr>
            <w:r w:rsidRPr="006A3665">
              <w:rPr>
                <w:lang w:val="sk-SK"/>
              </w:rPr>
              <w:t>t</w:t>
            </w:r>
            <w:r w:rsidRPr="006A3665">
              <w:rPr>
                <w:position w:val="-2"/>
                <w:vertAlign w:val="subscript"/>
                <w:lang w:val="sk-SK"/>
              </w:rPr>
              <w:t>1/2</w:t>
            </w:r>
            <w:r w:rsidRPr="006A3665">
              <w:rPr>
                <w:position w:val="-2"/>
                <w:lang w:val="sk-SK"/>
              </w:rPr>
              <w:t xml:space="preserve"> </w:t>
            </w:r>
            <w:r w:rsidRPr="006A3665">
              <w:rPr>
                <w:lang w:val="sk-SK"/>
              </w:rPr>
              <w:t>(hod.)</w:t>
            </w:r>
          </w:p>
        </w:tc>
      </w:tr>
      <w:tr w:rsidR="006A3665" w:rsidRPr="006A3665" w14:paraId="43B37C65" w14:textId="77777777" w:rsidTr="005E706C">
        <w:trPr>
          <w:trHeight w:hRule="exact" w:val="528"/>
        </w:trPr>
        <w:tc>
          <w:tcPr>
            <w:tcW w:w="2735" w:type="dxa"/>
            <w:vAlign w:val="center"/>
          </w:tcPr>
          <w:p w14:paraId="2E6E44B3" w14:textId="77777777" w:rsidR="006A3665" w:rsidRPr="006A3665" w:rsidRDefault="006A3665" w:rsidP="005E706C">
            <w:pPr>
              <w:pStyle w:val="TableParagraph"/>
              <w:ind w:left="443" w:right="444"/>
              <w:jc w:val="center"/>
              <w:rPr>
                <w:lang w:val="sk-SK"/>
              </w:rPr>
            </w:pPr>
            <w:r w:rsidRPr="006A3665">
              <w:rPr>
                <w:lang w:val="sk-SK"/>
              </w:rPr>
              <w:t>Mladší ako 1 mesiac</w:t>
            </w:r>
          </w:p>
        </w:tc>
        <w:tc>
          <w:tcPr>
            <w:tcW w:w="1134" w:type="dxa"/>
            <w:vAlign w:val="center"/>
          </w:tcPr>
          <w:p w14:paraId="574E44C4" w14:textId="77777777" w:rsidR="006A3665" w:rsidRPr="006A3665" w:rsidRDefault="006A3665" w:rsidP="005E706C">
            <w:pPr>
              <w:pStyle w:val="TableParagraph"/>
              <w:ind w:left="433" w:right="433"/>
              <w:jc w:val="center"/>
              <w:rPr>
                <w:lang w:val="sk-SK"/>
              </w:rPr>
            </w:pPr>
            <w:r w:rsidRPr="006A3665">
              <w:rPr>
                <w:lang w:val="sk-SK"/>
              </w:rPr>
              <w:t>28</w:t>
            </w:r>
          </w:p>
        </w:tc>
        <w:tc>
          <w:tcPr>
            <w:tcW w:w="2268" w:type="dxa"/>
            <w:vAlign w:val="center"/>
          </w:tcPr>
          <w:p w14:paraId="70B106D1" w14:textId="77777777" w:rsidR="006A3665" w:rsidRPr="006A3665" w:rsidRDefault="006A3665" w:rsidP="005E706C">
            <w:pPr>
              <w:pStyle w:val="TableParagraph"/>
              <w:ind w:left="287" w:right="287"/>
              <w:jc w:val="center"/>
              <w:rPr>
                <w:lang w:val="sk-SK"/>
              </w:rPr>
            </w:pPr>
            <w:r w:rsidRPr="006A3665">
              <w:rPr>
                <w:lang w:val="sk-SK"/>
              </w:rPr>
              <w:t>0,93</w:t>
            </w:r>
          </w:p>
          <w:p w14:paraId="525F642E" w14:textId="77777777" w:rsidR="006A3665" w:rsidRPr="006A3665" w:rsidRDefault="006A3665" w:rsidP="005E706C">
            <w:pPr>
              <w:pStyle w:val="TableParagraph"/>
              <w:ind w:left="287" w:right="289"/>
              <w:jc w:val="center"/>
              <w:rPr>
                <w:lang w:val="sk-SK"/>
              </w:rPr>
            </w:pPr>
            <w:r w:rsidRPr="006A3665">
              <w:rPr>
                <w:lang w:val="sk-SK"/>
              </w:rPr>
              <w:t>(0,76; 1,14)</w:t>
            </w:r>
          </w:p>
        </w:tc>
        <w:tc>
          <w:tcPr>
            <w:tcW w:w="2268" w:type="dxa"/>
            <w:vAlign w:val="center"/>
          </w:tcPr>
          <w:p w14:paraId="3093140D" w14:textId="77777777" w:rsidR="006A3665" w:rsidRPr="006A3665" w:rsidRDefault="006A3665" w:rsidP="005E706C">
            <w:pPr>
              <w:pStyle w:val="TableParagraph"/>
              <w:ind w:left="429" w:right="429"/>
              <w:jc w:val="center"/>
              <w:rPr>
                <w:lang w:val="sk-SK"/>
              </w:rPr>
            </w:pPr>
            <w:r w:rsidRPr="006A3665">
              <w:rPr>
                <w:lang w:val="sk-SK"/>
              </w:rPr>
              <w:t>4,47</w:t>
            </w:r>
          </w:p>
          <w:p w14:paraId="1574FA50" w14:textId="77777777" w:rsidR="006A3665" w:rsidRPr="006A3665" w:rsidRDefault="006A3665" w:rsidP="005E706C">
            <w:pPr>
              <w:pStyle w:val="TableParagraph"/>
              <w:ind w:left="429" w:right="429"/>
              <w:jc w:val="center"/>
              <w:rPr>
                <w:lang w:val="sk-SK"/>
              </w:rPr>
            </w:pPr>
            <w:r w:rsidRPr="006A3665">
              <w:rPr>
                <w:lang w:val="sk-SK"/>
              </w:rPr>
              <w:t>(3,81; 5,25)</w:t>
            </w:r>
          </w:p>
        </w:tc>
      </w:tr>
      <w:tr w:rsidR="006A3665" w:rsidRPr="006A3665" w14:paraId="20ED151C" w14:textId="77777777" w:rsidTr="005E706C">
        <w:trPr>
          <w:trHeight w:hRule="exact" w:val="530"/>
        </w:trPr>
        <w:tc>
          <w:tcPr>
            <w:tcW w:w="2735" w:type="dxa"/>
            <w:vAlign w:val="center"/>
          </w:tcPr>
          <w:p w14:paraId="57B80469" w14:textId="77777777" w:rsidR="006A3665" w:rsidRPr="006A3665" w:rsidRDefault="005A0C8D" w:rsidP="005E706C">
            <w:pPr>
              <w:pStyle w:val="TableParagraph"/>
              <w:ind w:left="440" w:right="444"/>
              <w:jc w:val="center"/>
              <w:rPr>
                <w:lang w:val="sk-SK"/>
              </w:rPr>
            </w:pPr>
            <w:r>
              <w:rPr>
                <w:lang w:val="sk-SK"/>
              </w:rPr>
              <w:t>1 až &lt; 6 </w:t>
            </w:r>
            <w:r w:rsidR="006A3665" w:rsidRPr="006A3665">
              <w:rPr>
                <w:lang w:val="sk-SK"/>
              </w:rPr>
              <w:t>mesiacov</w:t>
            </w:r>
          </w:p>
        </w:tc>
        <w:tc>
          <w:tcPr>
            <w:tcW w:w="1134" w:type="dxa"/>
            <w:vAlign w:val="center"/>
          </w:tcPr>
          <w:p w14:paraId="498E0231" w14:textId="77777777" w:rsidR="006A3665" w:rsidRPr="006A3665" w:rsidRDefault="006A3665" w:rsidP="005E706C">
            <w:pPr>
              <w:pStyle w:val="TableParagraph"/>
              <w:ind w:left="433" w:right="433"/>
              <w:jc w:val="center"/>
              <w:rPr>
                <w:lang w:val="sk-SK"/>
              </w:rPr>
            </w:pPr>
            <w:r w:rsidRPr="006A3665">
              <w:rPr>
                <w:lang w:val="sk-SK"/>
              </w:rPr>
              <w:t>14</w:t>
            </w:r>
          </w:p>
        </w:tc>
        <w:tc>
          <w:tcPr>
            <w:tcW w:w="2268" w:type="dxa"/>
            <w:vAlign w:val="center"/>
          </w:tcPr>
          <w:p w14:paraId="67F6E7AB" w14:textId="77777777" w:rsidR="006A3665" w:rsidRPr="006A3665" w:rsidRDefault="00A23047" w:rsidP="005E706C">
            <w:pPr>
              <w:pStyle w:val="TableParagraph"/>
              <w:ind w:left="287" w:right="287"/>
              <w:jc w:val="center"/>
              <w:rPr>
                <w:lang w:val="sk-SK"/>
              </w:rPr>
            </w:pPr>
            <w:r>
              <w:rPr>
                <w:lang w:val="sk-SK"/>
              </w:rPr>
              <w:t>1,</w:t>
            </w:r>
            <w:r w:rsidR="006A3665" w:rsidRPr="006A3665">
              <w:rPr>
                <w:lang w:val="sk-SK"/>
              </w:rPr>
              <w:t>21</w:t>
            </w:r>
          </w:p>
          <w:p w14:paraId="06226B1C" w14:textId="77777777" w:rsidR="006A3665" w:rsidRPr="006A3665" w:rsidRDefault="006A3665" w:rsidP="005E706C">
            <w:pPr>
              <w:pStyle w:val="TableParagraph"/>
              <w:ind w:left="286" w:right="289"/>
              <w:jc w:val="center"/>
              <w:rPr>
                <w:lang w:val="sk-SK"/>
              </w:rPr>
            </w:pPr>
            <w:r w:rsidRPr="006A3665">
              <w:rPr>
                <w:lang w:val="sk-SK"/>
              </w:rPr>
              <w:t>(0,99; 1,48)</w:t>
            </w:r>
          </w:p>
        </w:tc>
        <w:tc>
          <w:tcPr>
            <w:tcW w:w="2268" w:type="dxa"/>
            <w:vAlign w:val="center"/>
          </w:tcPr>
          <w:p w14:paraId="7173B86E" w14:textId="77777777" w:rsidR="006A3665" w:rsidRPr="006A3665" w:rsidRDefault="006A3665" w:rsidP="005E706C">
            <w:pPr>
              <w:pStyle w:val="TableParagraph"/>
              <w:ind w:left="429" w:right="429"/>
              <w:jc w:val="center"/>
              <w:rPr>
                <w:lang w:val="sk-SK"/>
              </w:rPr>
            </w:pPr>
            <w:r w:rsidRPr="006A3665">
              <w:rPr>
                <w:lang w:val="sk-SK"/>
              </w:rPr>
              <w:t>2,05</w:t>
            </w:r>
          </w:p>
          <w:p w14:paraId="7F775B0E" w14:textId="77777777" w:rsidR="006A3665" w:rsidRPr="006A3665" w:rsidRDefault="006A3665" w:rsidP="005E706C">
            <w:pPr>
              <w:pStyle w:val="TableParagraph"/>
              <w:ind w:left="429" w:right="429"/>
              <w:jc w:val="center"/>
              <w:rPr>
                <w:lang w:val="sk-SK"/>
              </w:rPr>
            </w:pPr>
            <w:r w:rsidRPr="006A3665">
              <w:rPr>
                <w:lang w:val="sk-SK"/>
              </w:rPr>
              <w:t>(1,59; 2,65)</w:t>
            </w:r>
          </w:p>
        </w:tc>
      </w:tr>
      <w:tr w:rsidR="006A3665" w:rsidRPr="006A3665" w14:paraId="4677F357" w14:textId="77777777" w:rsidTr="005E706C">
        <w:trPr>
          <w:trHeight w:hRule="exact" w:val="530"/>
        </w:trPr>
        <w:tc>
          <w:tcPr>
            <w:tcW w:w="2735" w:type="dxa"/>
            <w:vAlign w:val="center"/>
          </w:tcPr>
          <w:p w14:paraId="424F91BD" w14:textId="77777777" w:rsidR="006A3665" w:rsidRPr="006A3665" w:rsidRDefault="005A0C8D" w:rsidP="005E706C">
            <w:pPr>
              <w:pStyle w:val="TableParagraph"/>
              <w:ind w:left="440" w:right="444"/>
              <w:jc w:val="center"/>
              <w:rPr>
                <w:lang w:val="sk-SK"/>
              </w:rPr>
            </w:pPr>
            <w:r>
              <w:rPr>
                <w:lang w:val="sk-SK"/>
              </w:rPr>
              <w:t>6 až &lt; 12 </w:t>
            </w:r>
            <w:r w:rsidR="006A3665" w:rsidRPr="006A3665">
              <w:rPr>
                <w:lang w:val="sk-SK"/>
              </w:rPr>
              <w:t>mesiacov</w:t>
            </w:r>
          </w:p>
        </w:tc>
        <w:tc>
          <w:tcPr>
            <w:tcW w:w="1134" w:type="dxa"/>
            <w:vAlign w:val="center"/>
          </w:tcPr>
          <w:p w14:paraId="0196CCD7" w14:textId="77777777" w:rsidR="006A3665" w:rsidRPr="006A3665" w:rsidRDefault="006A3665" w:rsidP="005E706C">
            <w:pPr>
              <w:pStyle w:val="TableParagraph"/>
              <w:ind w:left="433" w:right="433"/>
              <w:jc w:val="center"/>
              <w:rPr>
                <w:lang w:val="sk-SK"/>
              </w:rPr>
            </w:pPr>
            <w:r w:rsidRPr="006A3665">
              <w:rPr>
                <w:lang w:val="sk-SK"/>
              </w:rPr>
              <w:t>15</w:t>
            </w:r>
          </w:p>
        </w:tc>
        <w:tc>
          <w:tcPr>
            <w:tcW w:w="2268" w:type="dxa"/>
            <w:vAlign w:val="center"/>
          </w:tcPr>
          <w:p w14:paraId="113D0B08" w14:textId="77777777" w:rsidR="006A3665" w:rsidRPr="006A3665" w:rsidRDefault="006A3665" w:rsidP="005E706C">
            <w:pPr>
              <w:pStyle w:val="TableParagraph"/>
              <w:ind w:left="287" w:right="287"/>
              <w:jc w:val="center"/>
              <w:rPr>
                <w:lang w:val="sk-SK"/>
              </w:rPr>
            </w:pPr>
            <w:r w:rsidRPr="006A3665">
              <w:rPr>
                <w:lang w:val="sk-SK"/>
              </w:rPr>
              <w:t>1,11</w:t>
            </w:r>
          </w:p>
          <w:p w14:paraId="6DDCEADA" w14:textId="77777777" w:rsidR="006A3665" w:rsidRPr="006A3665" w:rsidRDefault="006A3665" w:rsidP="005E706C">
            <w:pPr>
              <w:pStyle w:val="TableParagraph"/>
              <w:ind w:left="286" w:right="289"/>
              <w:jc w:val="center"/>
              <w:rPr>
                <w:lang w:val="sk-SK"/>
              </w:rPr>
            </w:pPr>
            <w:r w:rsidRPr="006A3665">
              <w:rPr>
                <w:lang w:val="sk-SK"/>
              </w:rPr>
              <w:t>(0,94; 1,31)</w:t>
            </w:r>
          </w:p>
        </w:tc>
        <w:tc>
          <w:tcPr>
            <w:tcW w:w="2268" w:type="dxa"/>
            <w:vAlign w:val="center"/>
          </w:tcPr>
          <w:p w14:paraId="4F2A9455" w14:textId="77777777" w:rsidR="006A3665" w:rsidRPr="006A3665" w:rsidRDefault="006A3665" w:rsidP="005E706C">
            <w:pPr>
              <w:pStyle w:val="TableParagraph"/>
              <w:ind w:left="429" w:right="429"/>
              <w:jc w:val="center"/>
              <w:rPr>
                <w:lang w:val="sk-SK"/>
              </w:rPr>
            </w:pPr>
            <w:r w:rsidRPr="006A3665">
              <w:rPr>
                <w:lang w:val="sk-SK"/>
              </w:rPr>
              <w:t>2,01</w:t>
            </w:r>
          </w:p>
          <w:p w14:paraId="2F896F1A" w14:textId="77777777" w:rsidR="006A3665" w:rsidRPr="006A3665" w:rsidRDefault="006A3665" w:rsidP="005E706C">
            <w:pPr>
              <w:pStyle w:val="TableParagraph"/>
              <w:ind w:left="429" w:right="429"/>
              <w:jc w:val="center"/>
              <w:rPr>
                <w:lang w:val="sk-SK"/>
              </w:rPr>
            </w:pPr>
            <w:r w:rsidRPr="006A3665">
              <w:rPr>
                <w:lang w:val="sk-SK"/>
              </w:rPr>
              <w:t>(1,81; 2,22)</w:t>
            </w:r>
          </w:p>
        </w:tc>
      </w:tr>
      <w:tr w:rsidR="006A3665" w:rsidRPr="006A3665" w14:paraId="6128697A" w14:textId="77777777" w:rsidTr="005E706C">
        <w:trPr>
          <w:trHeight w:hRule="exact" w:val="530"/>
        </w:trPr>
        <w:tc>
          <w:tcPr>
            <w:tcW w:w="2735" w:type="dxa"/>
            <w:vAlign w:val="center"/>
          </w:tcPr>
          <w:p w14:paraId="02BF219B" w14:textId="77777777" w:rsidR="006A3665" w:rsidRPr="006A3665" w:rsidRDefault="005A0C8D" w:rsidP="005A0C8D">
            <w:pPr>
              <w:pStyle w:val="TableParagraph"/>
              <w:ind w:left="443" w:right="444"/>
              <w:jc w:val="center"/>
              <w:rPr>
                <w:lang w:val="sk-SK"/>
              </w:rPr>
            </w:pPr>
            <w:r>
              <w:rPr>
                <w:lang w:val="sk-SK"/>
              </w:rPr>
              <w:t>12 až &lt; 24 </w:t>
            </w:r>
            <w:r w:rsidR="006A3665" w:rsidRPr="006A3665">
              <w:rPr>
                <w:lang w:val="sk-SK"/>
              </w:rPr>
              <w:t>mesiacov</w:t>
            </w:r>
          </w:p>
        </w:tc>
        <w:tc>
          <w:tcPr>
            <w:tcW w:w="1134" w:type="dxa"/>
            <w:vAlign w:val="center"/>
          </w:tcPr>
          <w:p w14:paraId="7978F858" w14:textId="77777777" w:rsidR="006A3665" w:rsidRPr="006A3665" w:rsidRDefault="006A3665" w:rsidP="005E706C">
            <w:pPr>
              <w:pStyle w:val="TableParagraph"/>
              <w:ind w:left="433" w:right="433"/>
              <w:jc w:val="center"/>
              <w:rPr>
                <w:lang w:val="sk-SK"/>
              </w:rPr>
            </w:pPr>
            <w:r w:rsidRPr="006A3665">
              <w:rPr>
                <w:lang w:val="sk-SK"/>
              </w:rPr>
              <w:t>13</w:t>
            </w:r>
          </w:p>
        </w:tc>
        <w:tc>
          <w:tcPr>
            <w:tcW w:w="2268" w:type="dxa"/>
            <w:vAlign w:val="center"/>
          </w:tcPr>
          <w:p w14:paraId="30DC3B49" w14:textId="77777777" w:rsidR="006A3665" w:rsidRPr="006A3665" w:rsidRDefault="006A3665" w:rsidP="005E706C">
            <w:pPr>
              <w:pStyle w:val="TableParagraph"/>
              <w:ind w:left="287" w:right="287"/>
              <w:jc w:val="center"/>
              <w:rPr>
                <w:lang w:val="sk-SK"/>
              </w:rPr>
            </w:pPr>
            <w:r w:rsidRPr="006A3665">
              <w:rPr>
                <w:lang w:val="sk-SK"/>
              </w:rPr>
              <w:t>1,06</w:t>
            </w:r>
          </w:p>
          <w:p w14:paraId="0BDB3EE8" w14:textId="77777777" w:rsidR="006A3665" w:rsidRPr="006A3665" w:rsidRDefault="006A3665" w:rsidP="005E706C">
            <w:pPr>
              <w:pStyle w:val="TableParagraph"/>
              <w:ind w:left="286" w:right="289"/>
              <w:jc w:val="center"/>
              <w:rPr>
                <w:lang w:val="sk-SK"/>
              </w:rPr>
            </w:pPr>
            <w:r w:rsidRPr="006A3665">
              <w:rPr>
                <w:lang w:val="sk-SK"/>
              </w:rPr>
              <w:t>(0,87; 1,29)</w:t>
            </w:r>
          </w:p>
        </w:tc>
        <w:tc>
          <w:tcPr>
            <w:tcW w:w="2268" w:type="dxa"/>
            <w:vAlign w:val="center"/>
          </w:tcPr>
          <w:p w14:paraId="75090685" w14:textId="77777777" w:rsidR="006A3665" w:rsidRPr="006A3665" w:rsidRDefault="006A3665" w:rsidP="005E706C">
            <w:pPr>
              <w:pStyle w:val="TableParagraph"/>
              <w:ind w:left="429" w:right="429"/>
              <w:jc w:val="center"/>
              <w:rPr>
                <w:lang w:val="sk-SK"/>
              </w:rPr>
            </w:pPr>
            <w:r w:rsidRPr="006A3665">
              <w:rPr>
                <w:lang w:val="sk-SK"/>
              </w:rPr>
              <w:t>1,97</w:t>
            </w:r>
          </w:p>
          <w:p w14:paraId="764C1E04" w14:textId="77777777" w:rsidR="006A3665" w:rsidRPr="006A3665" w:rsidRDefault="006A3665" w:rsidP="005E706C">
            <w:pPr>
              <w:pStyle w:val="TableParagraph"/>
              <w:ind w:left="429" w:right="429"/>
              <w:jc w:val="center"/>
              <w:rPr>
                <w:lang w:val="sk-SK"/>
              </w:rPr>
            </w:pPr>
            <w:r w:rsidRPr="006A3665">
              <w:rPr>
                <w:lang w:val="sk-SK"/>
              </w:rPr>
              <w:t>(1,62; 2,39)</w:t>
            </w:r>
          </w:p>
        </w:tc>
      </w:tr>
      <w:tr w:rsidR="006A3665" w:rsidRPr="006A3665" w14:paraId="3E9C4D1A" w14:textId="77777777" w:rsidTr="005E706C">
        <w:trPr>
          <w:trHeight w:hRule="exact" w:val="530"/>
        </w:trPr>
        <w:tc>
          <w:tcPr>
            <w:tcW w:w="2735" w:type="dxa"/>
            <w:vAlign w:val="center"/>
          </w:tcPr>
          <w:p w14:paraId="6663480E" w14:textId="77777777" w:rsidR="006A3665" w:rsidRPr="006A3665" w:rsidRDefault="005A0C8D" w:rsidP="005E706C">
            <w:pPr>
              <w:pStyle w:val="TableParagraph"/>
              <w:ind w:left="443" w:right="444"/>
              <w:jc w:val="center"/>
              <w:rPr>
                <w:lang w:val="sk-SK"/>
              </w:rPr>
            </w:pPr>
            <w:r>
              <w:rPr>
                <w:lang w:val="sk-SK"/>
              </w:rPr>
              <w:t>2 až &lt; 6 </w:t>
            </w:r>
            <w:r w:rsidR="006A3665" w:rsidRPr="006A3665">
              <w:rPr>
                <w:lang w:val="sk-SK"/>
              </w:rPr>
              <w:t>rokov</w:t>
            </w:r>
          </w:p>
        </w:tc>
        <w:tc>
          <w:tcPr>
            <w:tcW w:w="1134" w:type="dxa"/>
            <w:vAlign w:val="center"/>
          </w:tcPr>
          <w:p w14:paraId="09D04005" w14:textId="77777777" w:rsidR="006A3665" w:rsidRPr="006A3665" w:rsidRDefault="006A3665" w:rsidP="005E706C">
            <w:pPr>
              <w:pStyle w:val="TableParagraph"/>
              <w:ind w:left="433" w:right="433"/>
              <w:jc w:val="center"/>
              <w:rPr>
                <w:lang w:val="sk-SK"/>
              </w:rPr>
            </w:pPr>
            <w:r w:rsidRPr="006A3665">
              <w:rPr>
                <w:lang w:val="sk-SK"/>
              </w:rPr>
              <w:t>26</w:t>
            </w:r>
          </w:p>
        </w:tc>
        <w:tc>
          <w:tcPr>
            <w:tcW w:w="2268" w:type="dxa"/>
            <w:vAlign w:val="center"/>
          </w:tcPr>
          <w:p w14:paraId="1534A7C2" w14:textId="77777777" w:rsidR="006A3665" w:rsidRPr="006A3665" w:rsidRDefault="006A3665" w:rsidP="005E706C">
            <w:pPr>
              <w:pStyle w:val="TableParagraph"/>
              <w:ind w:left="287" w:right="287"/>
              <w:jc w:val="center"/>
              <w:rPr>
                <w:lang w:val="sk-SK"/>
              </w:rPr>
            </w:pPr>
            <w:r w:rsidRPr="006A3665">
              <w:rPr>
                <w:lang w:val="sk-SK"/>
              </w:rPr>
              <w:t>1,11</w:t>
            </w:r>
          </w:p>
          <w:p w14:paraId="201469D6" w14:textId="77777777" w:rsidR="006A3665" w:rsidRPr="006A3665" w:rsidRDefault="006A3665" w:rsidP="005E706C">
            <w:pPr>
              <w:pStyle w:val="TableParagraph"/>
              <w:ind w:left="286" w:right="289"/>
              <w:jc w:val="center"/>
              <w:rPr>
                <w:lang w:val="sk-SK"/>
              </w:rPr>
            </w:pPr>
            <w:r w:rsidRPr="006A3665">
              <w:rPr>
                <w:lang w:val="sk-SK"/>
              </w:rPr>
              <w:t>(1,00; 1,23)</w:t>
            </w:r>
          </w:p>
        </w:tc>
        <w:tc>
          <w:tcPr>
            <w:tcW w:w="2268" w:type="dxa"/>
            <w:vAlign w:val="center"/>
          </w:tcPr>
          <w:p w14:paraId="4A2CFE99" w14:textId="77777777" w:rsidR="006A3665" w:rsidRPr="006A3665" w:rsidRDefault="006A3665" w:rsidP="005E706C">
            <w:pPr>
              <w:pStyle w:val="TableParagraph"/>
              <w:ind w:left="429" w:right="429"/>
              <w:jc w:val="center"/>
              <w:rPr>
                <w:lang w:val="sk-SK"/>
              </w:rPr>
            </w:pPr>
            <w:r w:rsidRPr="006A3665">
              <w:rPr>
                <w:lang w:val="sk-SK"/>
              </w:rPr>
              <w:t>1,75</w:t>
            </w:r>
          </w:p>
          <w:p w14:paraId="3B3014D7" w14:textId="77777777" w:rsidR="006A3665" w:rsidRPr="006A3665" w:rsidRDefault="006A3665" w:rsidP="005E706C">
            <w:pPr>
              <w:pStyle w:val="TableParagraph"/>
              <w:ind w:left="429" w:right="429"/>
              <w:jc w:val="center"/>
              <w:rPr>
                <w:lang w:val="sk-SK"/>
              </w:rPr>
            </w:pPr>
            <w:r w:rsidRPr="006A3665">
              <w:rPr>
                <w:lang w:val="sk-SK"/>
              </w:rPr>
              <w:t>(1,57; 1,96)</w:t>
            </w:r>
          </w:p>
        </w:tc>
      </w:tr>
      <w:tr w:rsidR="006A3665" w:rsidRPr="006A3665" w14:paraId="63AD937A" w14:textId="77777777" w:rsidTr="005E706C">
        <w:trPr>
          <w:trHeight w:hRule="exact" w:val="530"/>
        </w:trPr>
        <w:tc>
          <w:tcPr>
            <w:tcW w:w="2735" w:type="dxa"/>
            <w:vAlign w:val="center"/>
          </w:tcPr>
          <w:p w14:paraId="0D46C5DA" w14:textId="77777777" w:rsidR="006A3665" w:rsidRPr="006A3665" w:rsidRDefault="005A0C8D" w:rsidP="005E706C">
            <w:pPr>
              <w:pStyle w:val="TableParagraph"/>
              <w:ind w:left="440" w:right="444"/>
              <w:jc w:val="center"/>
              <w:rPr>
                <w:lang w:val="sk-SK"/>
              </w:rPr>
            </w:pPr>
            <w:r>
              <w:rPr>
                <w:lang w:val="sk-SK"/>
              </w:rPr>
              <w:t>6 až &lt; 17 </w:t>
            </w:r>
            <w:r w:rsidR="006A3665" w:rsidRPr="006A3665">
              <w:rPr>
                <w:lang w:val="sk-SK"/>
              </w:rPr>
              <w:t>rokov</w:t>
            </w:r>
          </w:p>
        </w:tc>
        <w:tc>
          <w:tcPr>
            <w:tcW w:w="1134" w:type="dxa"/>
            <w:vAlign w:val="center"/>
          </w:tcPr>
          <w:p w14:paraId="6F20E2C8" w14:textId="77777777" w:rsidR="006A3665" w:rsidRPr="006A3665" w:rsidRDefault="006A3665" w:rsidP="005E706C">
            <w:pPr>
              <w:pStyle w:val="TableParagraph"/>
              <w:ind w:left="433" w:right="433"/>
              <w:jc w:val="center"/>
              <w:rPr>
                <w:lang w:val="sk-SK"/>
              </w:rPr>
            </w:pPr>
            <w:r w:rsidRPr="006A3665">
              <w:rPr>
                <w:lang w:val="sk-SK"/>
              </w:rPr>
              <w:t>28</w:t>
            </w:r>
          </w:p>
        </w:tc>
        <w:tc>
          <w:tcPr>
            <w:tcW w:w="2268" w:type="dxa"/>
            <w:vAlign w:val="center"/>
          </w:tcPr>
          <w:p w14:paraId="5BA90166" w14:textId="77777777" w:rsidR="006A3665" w:rsidRPr="006A3665" w:rsidRDefault="006A3665" w:rsidP="005E706C">
            <w:pPr>
              <w:pStyle w:val="TableParagraph"/>
              <w:ind w:left="287" w:right="287"/>
              <w:jc w:val="center"/>
              <w:rPr>
                <w:lang w:val="sk-SK"/>
              </w:rPr>
            </w:pPr>
            <w:r w:rsidRPr="006A3665">
              <w:rPr>
                <w:lang w:val="sk-SK"/>
              </w:rPr>
              <w:t>0,80</w:t>
            </w:r>
          </w:p>
          <w:p w14:paraId="7DA791E0" w14:textId="77777777" w:rsidR="006A3665" w:rsidRPr="006A3665" w:rsidRDefault="006A3665" w:rsidP="005E706C">
            <w:pPr>
              <w:pStyle w:val="TableParagraph"/>
              <w:ind w:left="286" w:right="289"/>
              <w:jc w:val="center"/>
              <w:rPr>
                <w:lang w:val="sk-SK"/>
              </w:rPr>
            </w:pPr>
            <w:r w:rsidRPr="006A3665">
              <w:rPr>
                <w:lang w:val="sk-SK"/>
              </w:rPr>
              <w:t>(0,69; 0,92)</w:t>
            </w:r>
          </w:p>
        </w:tc>
        <w:tc>
          <w:tcPr>
            <w:tcW w:w="2268" w:type="dxa"/>
            <w:vAlign w:val="center"/>
          </w:tcPr>
          <w:p w14:paraId="209426D4" w14:textId="77777777" w:rsidR="006A3665" w:rsidRPr="006A3665" w:rsidRDefault="006A3665" w:rsidP="005E706C">
            <w:pPr>
              <w:pStyle w:val="TableParagraph"/>
              <w:ind w:left="429" w:right="429"/>
              <w:jc w:val="center"/>
              <w:rPr>
                <w:lang w:val="sk-SK"/>
              </w:rPr>
            </w:pPr>
            <w:r w:rsidRPr="006A3665">
              <w:rPr>
                <w:lang w:val="sk-SK"/>
              </w:rPr>
              <w:t>2,03</w:t>
            </w:r>
          </w:p>
          <w:p w14:paraId="6EA24E95" w14:textId="77777777" w:rsidR="006A3665" w:rsidRPr="006A3665" w:rsidRDefault="006A3665" w:rsidP="005E706C">
            <w:pPr>
              <w:pStyle w:val="TableParagraph"/>
              <w:ind w:left="429" w:right="429"/>
              <w:jc w:val="center"/>
              <w:rPr>
                <w:lang w:val="sk-SK"/>
              </w:rPr>
            </w:pPr>
            <w:r w:rsidRPr="006A3665">
              <w:rPr>
                <w:lang w:val="sk-SK"/>
              </w:rPr>
              <w:t>(1,78; 2,31)</w:t>
            </w:r>
          </w:p>
        </w:tc>
      </w:tr>
    </w:tbl>
    <w:p w14:paraId="14FF9826" w14:textId="77777777" w:rsidR="006A3665" w:rsidRPr="006A3665" w:rsidRDefault="006A3665" w:rsidP="006A3665">
      <w:pPr>
        <w:rPr>
          <w:szCs w:val="22"/>
        </w:rPr>
      </w:pPr>
    </w:p>
    <w:p w14:paraId="2C7CA1B4" w14:textId="77777777" w:rsidR="006A3665" w:rsidRPr="006A3665" w:rsidRDefault="006A3665" w:rsidP="00E20FEF">
      <w:pPr>
        <w:keepNext/>
        <w:rPr>
          <w:szCs w:val="22"/>
        </w:rPr>
      </w:pPr>
      <w:r w:rsidRPr="006A3665">
        <w:rPr>
          <w:b/>
          <w:szCs w:val="22"/>
        </w:rPr>
        <w:t>5.3</w:t>
      </w:r>
      <w:r w:rsidRPr="006A3665">
        <w:rPr>
          <w:b/>
          <w:szCs w:val="22"/>
        </w:rPr>
        <w:tab/>
        <w:t>Predklinické údaje o bezpečnosti</w:t>
      </w:r>
    </w:p>
    <w:p w14:paraId="44543D33" w14:textId="77777777" w:rsidR="006A3665" w:rsidRPr="006A3665" w:rsidRDefault="006A3665" w:rsidP="00E20FEF">
      <w:pPr>
        <w:keepNext/>
        <w:rPr>
          <w:szCs w:val="22"/>
          <w:lang w:eastAsia="cs-CZ"/>
        </w:rPr>
      </w:pPr>
    </w:p>
    <w:p w14:paraId="6EBC99F4" w14:textId="77777777" w:rsidR="006A3665" w:rsidRPr="006A3665" w:rsidRDefault="006A3665" w:rsidP="006A3665">
      <w:pPr>
        <w:autoSpaceDE w:val="0"/>
        <w:autoSpaceDN w:val="0"/>
        <w:adjustRightInd w:val="0"/>
        <w:rPr>
          <w:szCs w:val="22"/>
          <w:lang w:eastAsia="cs-CZ"/>
        </w:rPr>
      </w:pPr>
      <w:r w:rsidRPr="006A3665">
        <w:rPr>
          <w:szCs w:val="22"/>
          <w:lang w:eastAsia="cs-CZ"/>
        </w:rPr>
        <w:t>Predklinické údaje získané na základe obvyklých farmakologických štúdií bezpečnosti, toxicity po jednotlivej d</w:t>
      </w:r>
      <w:r w:rsidR="00A23047">
        <w:rPr>
          <w:szCs w:val="22"/>
          <w:lang w:eastAsia="cs-CZ"/>
        </w:rPr>
        <w:t>ávke a po opakovanom podávaní a </w:t>
      </w:r>
      <w:r w:rsidRPr="006A3665">
        <w:rPr>
          <w:szCs w:val="22"/>
          <w:lang w:eastAsia="cs-CZ"/>
        </w:rPr>
        <w:t xml:space="preserve">genotoxicity neodhalili žiadne osobitné riziko pre ľudí. </w:t>
      </w:r>
    </w:p>
    <w:p w14:paraId="546B09F8" w14:textId="77777777" w:rsidR="006A3665" w:rsidRPr="006A3665" w:rsidRDefault="006A3665" w:rsidP="006A3665">
      <w:pPr>
        <w:autoSpaceDE w:val="0"/>
        <w:autoSpaceDN w:val="0"/>
        <w:adjustRightInd w:val="0"/>
        <w:rPr>
          <w:szCs w:val="22"/>
          <w:lang w:eastAsia="cs-CZ"/>
        </w:rPr>
      </w:pPr>
    </w:p>
    <w:p w14:paraId="296A5154" w14:textId="77777777" w:rsidR="006A3665" w:rsidRPr="006A3665" w:rsidRDefault="00A23047" w:rsidP="006A3665">
      <w:pPr>
        <w:autoSpaceDE w:val="0"/>
        <w:autoSpaceDN w:val="0"/>
        <w:adjustRightInd w:val="0"/>
        <w:rPr>
          <w:szCs w:val="22"/>
          <w:lang w:eastAsia="cs-CZ"/>
        </w:rPr>
      </w:pPr>
      <w:r>
        <w:rPr>
          <w:szCs w:val="22"/>
          <w:lang w:eastAsia="cs-CZ"/>
        </w:rPr>
        <w:t>V </w:t>
      </w:r>
      <w:r w:rsidR="006A3665" w:rsidRPr="006A3665">
        <w:rPr>
          <w:szCs w:val="22"/>
          <w:lang w:eastAsia="cs-CZ"/>
        </w:rPr>
        <w:t>štúdiách reprodukčnej toxicity nemal dexmedetomidín žiadny účinok n</w:t>
      </w:r>
      <w:r>
        <w:rPr>
          <w:szCs w:val="22"/>
          <w:lang w:eastAsia="cs-CZ"/>
        </w:rPr>
        <w:t>a plodnosť samcov alebo samíc u potkanov a </w:t>
      </w:r>
      <w:r w:rsidR="006A3665" w:rsidRPr="006A3665">
        <w:rPr>
          <w:szCs w:val="22"/>
          <w:lang w:eastAsia="cs-CZ"/>
        </w:rPr>
        <w:t>žiadne teratogenné účinky sa nepozorovali na potkanoch ani na králikoch. V štúdii na králikoch viedlo intravenó</w:t>
      </w:r>
      <w:r>
        <w:rPr>
          <w:szCs w:val="22"/>
          <w:lang w:eastAsia="cs-CZ"/>
        </w:rPr>
        <w:t>zne podanie maximálnej dávky 96 </w:t>
      </w:r>
      <w:r w:rsidR="006A3665" w:rsidRPr="006A3665">
        <w:rPr>
          <w:szCs w:val="22"/>
          <w:lang w:eastAsia="cs-CZ"/>
        </w:rPr>
        <w:t>µ</w:t>
      </w:r>
      <w:r>
        <w:rPr>
          <w:szCs w:val="22"/>
          <w:lang w:eastAsia="cs-CZ"/>
        </w:rPr>
        <w:t>g/kg/deň k </w:t>
      </w:r>
      <w:r w:rsidR="006A3665" w:rsidRPr="006A3665">
        <w:rPr>
          <w:szCs w:val="22"/>
          <w:lang w:eastAsia="cs-CZ"/>
        </w:rPr>
        <w:t xml:space="preserve">expozíciám, ktoré sú podobné tým, </w:t>
      </w:r>
      <w:r>
        <w:rPr>
          <w:szCs w:val="22"/>
          <w:lang w:eastAsia="cs-CZ"/>
        </w:rPr>
        <w:t>ktoré sa pozorovali klinicky. U </w:t>
      </w:r>
      <w:r w:rsidR="006A3665" w:rsidRPr="006A3665">
        <w:rPr>
          <w:szCs w:val="22"/>
          <w:lang w:eastAsia="cs-CZ"/>
        </w:rPr>
        <w:t>potkanov vyvolalo subkutánne podanie maximálnej dávky 2</w:t>
      </w:r>
      <w:r>
        <w:rPr>
          <w:szCs w:val="22"/>
          <w:lang w:eastAsia="cs-CZ"/>
        </w:rPr>
        <w:t>00 </w:t>
      </w:r>
      <w:r w:rsidR="006A3665" w:rsidRPr="006A3665">
        <w:rPr>
          <w:szCs w:val="22"/>
          <w:lang w:eastAsia="cs-CZ"/>
        </w:rPr>
        <w:t>µg/kg/deň z</w:t>
      </w:r>
      <w:r>
        <w:rPr>
          <w:szCs w:val="22"/>
          <w:lang w:eastAsia="cs-CZ"/>
        </w:rPr>
        <w:t>výšenie embryofetálnych úmrtí a </w:t>
      </w:r>
      <w:r w:rsidR="006A3665" w:rsidRPr="006A3665">
        <w:rPr>
          <w:szCs w:val="22"/>
          <w:lang w:eastAsia="cs-CZ"/>
        </w:rPr>
        <w:t>zníženie telesnej hmotnosti pl</w:t>
      </w:r>
      <w:r>
        <w:rPr>
          <w:szCs w:val="22"/>
          <w:lang w:eastAsia="cs-CZ"/>
        </w:rPr>
        <w:t>odov. Tieto účinky sa spájali s </w:t>
      </w:r>
      <w:r w:rsidR="006A3665" w:rsidRPr="006A3665">
        <w:rPr>
          <w:szCs w:val="22"/>
          <w:lang w:eastAsia="cs-CZ"/>
        </w:rPr>
        <w:t>výraznou toxicitou matky. Znížená telesná hmotnosť plodov sa pozorovala aj v štúdii fert</w:t>
      </w:r>
      <w:r>
        <w:rPr>
          <w:szCs w:val="22"/>
          <w:lang w:eastAsia="cs-CZ"/>
        </w:rPr>
        <w:t>ility na potkanoch pri dávke 18 </w:t>
      </w:r>
      <w:r w:rsidR="006A3665" w:rsidRPr="006A3665">
        <w:rPr>
          <w:szCs w:val="22"/>
          <w:lang w:eastAsia="cs-CZ"/>
        </w:rPr>
        <w:t>µ</w:t>
      </w:r>
      <w:r>
        <w:rPr>
          <w:szCs w:val="22"/>
          <w:lang w:eastAsia="cs-CZ"/>
        </w:rPr>
        <w:t>g/kg/deň a </w:t>
      </w:r>
      <w:r w:rsidR="006A3665" w:rsidRPr="006A3665">
        <w:rPr>
          <w:szCs w:val="22"/>
          <w:lang w:eastAsia="cs-CZ"/>
        </w:rPr>
        <w:t>sprevádzala ju one</w:t>
      </w:r>
      <w:r>
        <w:rPr>
          <w:szCs w:val="22"/>
          <w:lang w:eastAsia="cs-CZ"/>
        </w:rPr>
        <w:t>skorená osifikácia pri dávke 54 </w:t>
      </w:r>
      <w:r w:rsidR="006A3665" w:rsidRPr="006A3665">
        <w:rPr>
          <w:szCs w:val="22"/>
          <w:lang w:eastAsia="cs-CZ"/>
        </w:rPr>
        <w:t>µg/kg/deň.</w:t>
      </w:r>
      <w:r>
        <w:rPr>
          <w:szCs w:val="22"/>
          <w:lang w:eastAsia="cs-CZ"/>
        </w:rPr>
        <w:t xml:space="preserve"> Pozorované hladiny expozície u </w:t>
      </w:r>
      <w:r w:rsidR="006A3665" w:rsidRPr="006A3665">
        <w:rPr>
          <w:szCs w:val="22"/>
          <w:lang w:eastAsia="cs-CZ"/>
        </w:rPr>
        <w:t>potkanov sú nižšie ako rozsah klinického pôsobenia.</w:t>
      </w:r>
    </w:p>
    <w:p w14:paraId="6EBEBC02" w14:textId="77777777" w:rsidR="00812D16" w:rsidRPr="00A23047" w:rsidRDefault="00812D16" w:rsidP="00204AAB">
      <w:pPr>
        <w:spacing w:line="240" w:lineRule="auto"/>
      </w:pPr>
    </w:p>
    <w:p w14:paraId="263F9748" w14:textId="77777777" w:rsidR="00A23047" w:rsidRPr="00A72672" w:rsidRDefault="00A23047" w:rsidP="00204AAB">
      <w:pPr>
        <w:spacing w:line="240" w:lineRule="auto"/>
      </w:pPr>
    </w:p>
    <w:p w14:paraId="709B770D" w14:textId="77777777" w:rsidR="00812D16" w:rsidRPr="00891D76" w:rsidRDefault="0050541A" w:rsidP="00572506">
      <w:pPr>
        <w:keepNext/>
        <w:numPr>
          <w:ilvl w:val="0"/>
          <w:numId w:val="6"/>
        </w:numPr>
        <w:suppressAutoHyphens/>
        <w:spacing w:line="240" w:lineRule="auto"/>
        <w:rPr>
          <w:b/>
        </w:rPr>
      </w:pPr>
      <w:r w:rsidRPr="00BF5AB0">
        <w:rPr>
          <w:b/>
        </w:rPr>
        <w:t>FARMACEUTICKÉ INFORMÁCIE</w:t>
      </w:r>
    </w:p>
    <w:p w14:paraId="17331C05" w14:textId="77777777" w:rsidR="00812D16" w:rsidRPr="0082445A" w:rsidRDefault="00812D16" w:rsidP="00085939">
      <w:pPr>
        <w:keepNext/>
        <w:spacing w:line="240" w:lineRule="auto"/>
      </w:pPr>
    </w:p>
    <w:p w14:paraId="1EC6ADAE" w14:textId="77777777" w:rsidR="00812D16" w:rsidRPr="00891D76" w:rsidRDefault="0050541A" w:rsidP="00572506">
      <w:pPr>
        <w:keepNext/>
        <w:numPr>
          <w:ilvl w:val="1"/>
          <w:numId w:val="6"/>
        </w:numPr>
        <w:spacing w:line="240" w:lineRule="auto"/>
        <w:outlineLvl w:val="0"/>
      </w:pPr>
      <w:r w:rsidRPr="00BF5AB0">
        <w:rPr>
          <w:b/>
        </w:rPr>
        <w:t>Zoznam pomocných látok</w:t>
      </w:r>
    </w:p>
    <w:p w14:paraId="4701B916" w14:textId="77777777" w:rsidR="00812D16" w:rsidRPr="00085939" w:rsidRDefault="00812D16" w:rsidP="00085939">
      <w:pPr>
        <w:keepNext/>
        <w:spacing w:line="240" w:lineRule="auto"/>
        <w:rPr>
          <w:i/>
        </w:rPr>
      </w:pPr>
    </w:p>
    <w:p w14:paraId="282668C5" w14:textId="77777777" w:rsidR="00812D16" w:rsidRDefault="00A23047" w:rsidP="00204AAB">
      <w:pPr>
        <w:spacing w:line="240" w:lineRule="auto"/>
      </w:pPr>
      <w:r>
        <w:t xml:space="preserve">chlorid </w:t>
      </w:r>
      <w:r w:rsidR="007D67A9">
        <w:t>sodný</w:t>
      </w:r>
    </w:p>
    <w:p w14:paraId="648E16FF" w14:textId="77777777" w:rsidR="00A23047" w:rsidRDefault="00A23047" w:rsidP="00204AAB">
      <w:pPr>
        <w:spacing w:line="240" w:lineRule="auto"/>
      </w:pPr>
      <w:r>
        <w:t>voda na injekcie</w:t>
      </w:r>
    </w:p>
    <w:p w14:paraId="3A150EC7" w14:textId="77777777" w:rsidR="00A23047" w:rsidRPr="0082445A" w:rsidRDefault="00A23047" w:rsidP="00204AAB">
      <w:pPr>
        <w:spacing w:line="240" w:lineRule="auto"/>
      </w:pPr>
    </w:p>
    <w:p w14:paraId="54E4AF79" w14:textId="77777777" w:rsidR="00812D16" w:rsidRPr="00891D76" w:rsidRDefault="0050541A" w:rsidP="00572506">
      <w:pPr>
        <w:keepNext/>
        <w:numPr>
          <w:ilvl w:val="1"/>
          <w:numId w:val="6"/>
        </w:numPr>
        <w:spacing w:line="240" w:lineRule="auto"/>
        <w:outlineLvl w:val="0"/>
      </w:pPr>
      <w:r w:rsidRPr="00BF5AB0">
        <w:rPr>
          <w:b/>
        </w:rPr>
        <w:lastRenderedPageBreak/>
        <w:t>Inkompatibility</w:t>
      </w:r>
    </w:p>
    <w:p w14:paraId="642CA439" w14:textId="77777777" w:rsidR="00812D16" w:rsidRPr="0082445A" w:rsidRDefault="00812D16" w:rsidP="00085939">
      <w:pPr>
        <w:keepNext/>
        <w:spacing w:line="240" w:lineRule="auto"/>
      </w:pPr>
    </w:p>
    <w:p w14:paraId="1FA514CC" w14:textId="77777777" w:rsidR="00812D16" w:rsidRPr="00891D76" w:rsidRDefault="0050541A" w:rsidP="00204AAB">
      <w:pPr>
        <w:spacing w:line="240" w:lineRule="auto"/>
      </w:pPr>
      <w:r w:rsidRPr="0082445A">
        <w:t>Tento liek sa nesmie miešať s</w:t>
      </w:r>
      <w:r w:rsidR="00851AE0">
        <w:t> </w:t>
      </w:r>
      <w:r w:rsidRPr="00BF5AB0">
        <w:t>inými liekmi okrem tých, ktoré sú uvedené v</w:t>
      </w:r>
      <w:r w:rsidR="00851AE0">
        <w:t> </w:t>
      </w:r>
      <w:r w:rsidR="00A23047">
        <w:t>časti 6.6.</w:t>
      </w:r>
    </w:p>
    <w:p w14:paraId="1B1B93C7" w14:textId="77777777" w:rsidR="00A23047" w:rsidRPr="002550D2" w:rsidRDefault="00E20FEF" w:rsidP="00A23047">
      <w:pPr>
        <w:rPr>
          <w:szCs w:val="22"/>
        </w:rPr>
      </w:pPr>
      <w:r>
        <w:rPr>
          <w:szCs w:val="22"/>
        </w:rPr>
        <w:t>Š</w:t>
      </w:r>
      <w:r w:rsidRPr="003021DE">
        <w:rPr>
          <w:szCs w:val="22"/>
        </w:rPr>
        <w:t>túdie kompatibility</w:t>
      </w:r>
      <w:r w:rsidRPr="002550D2">
        <w:rPr>
          <w:szCs w:val="22"/>
        </w:rPr>
        <w:t xml:space="preserve"> </w:t>
      </w:r>
      <w:r>
        <w:rPr>
          <w:szCs w:val="22"/>
        </w:rPr>
        <w:t>preukázali, že e</w:t>
      </w:r>
      <w:r w:rsidR="00A23047" w:rsidRPr="002550D2">
        <w:rPr>
          <w:szCs w:val="22"/>
        </w:rPr>
        <w:t>xistuje</w:t>
      </w:r>
      <w:r>
        <w:rPr>
          <w:szCs w:val="22"/>
        </w:rPr>
        <w:t xml:space="preserve"> </w:t>
      </w:r>
      <w:r w:rsidR="00A23047" w:rsidRPr="002550D2">
        <w:rPr>
          <w:szCs w:val="22"/>
        </w:rPr>
        <w:t>možnosť adsorpcie dexmedetomid</w:t>
      </w:r>
      <w:r w:rsidR="00A23047">
        <w:rPr>
          <w:szCs w:val="22"/>
        </w:rPr>
        <w:t>í</w:t>
      </w:r>
      <w:r w:rsidR="00A23047" w:rsidRPr="002550D2">
        <w:rPr>
          <w:szCs w:val="22"/>
        </w:rPr>
        <w:t>n</w:t>
      </w:r>
      <w:r w:rsidR="008F1425">
        <w:rPr>
          <w:szCs w:val="22"/>
        </w:rPr>
        <w:t>u určitými typmi prírodnej gumy. I </w:t>
      </w:r>
      <w:r w:rsidR="00A23047" w:rsidRPr="002550D2">
        <w:rPr>
          <w:szCs w:val="22"/>
        </w:rPr>
        <w:t>napriek tomu, že sa dexmedetomid</w:t>
      </w:r>
      <w:r w:rsidR="00A23047">
        <w:rPr>
          <w:szCs w:val="22"/>
        </w:rPr>
        <w:t>í</w:t>
      </w:r>
      <w:r w:rsidR="00A23047" w:rsidRPr="002550D2">
        <w:rPr>
          <w:szCs w:val="22"/>
        </w:rPr>
        <w:t>n dávkuje podľa účinku, od</w:t>
      </w:r>
      <w:r w:rsidR="008F1425">
        <w:rPr>
          <w:szCs w:val="22"/>
        </w:rPr>
        <w:t>porúča sa používať komponenty s </w:t>
      </w:r>
      <w:r w:rsidR="00A23047" w:rsidRPr="002550D2">
        <w:rPr>
          <w:szCs w:val="22"/>
        </w:rPr>
        <w:t>tesnením zo syntetickej alebo potiahnutej prírodnej gumy.</w:t>
      </w:r>
    </w:p>
    <w:p w14:paraId="0C00FF94" w14:textId="77777777" w:rsidR="00812D16" w:rsidRPr="0082445A" w:rsidRDefault="00812D16" w:rsidP="00204AAB">
      <w:pPr>
        <w:spacing w:line="240" w:lineRule="auto"/>
      </w:pPr>
    </w:p>
    <w:p w14:paraId="1D5992C8" w14:textId="77777777" w:rsidR="00812D16" w:rsidRPr="00891D76" w:rsidRDefault="0050541A" w:rsidP="00572506">
      <w:pPr>
        <w:keepNext/>
        <w:numPr>
          <w:ilvl w:val="1"/>
          <w:numId w:val="6"/>
        </w:numPr>
        <w:spacing w:line="240" w:lineRule="auto"/>
        <w:outlineLvl w:val="0"/>
      </w:pPr>
      <w:r w:rsidRPr="00BF5AB0">
        <w:rPr>
          <w:b/>
        </w:rPr>
        <w:t>Čas použiteľnosti</w:t>
      </w:r>
    </w:p>
    <w:p w14:paraId="1060B71C" w14:textId="77777777" w:rsidR="00812D16" w:rsidRPr="0082445A" w:rsidRDefault="00812D16" w:rsidP="00085939">
      <w:pPr>
        <w:keepNext/>
        <w:spacing w:line="240" w:lineRule="auto"/>
      </w:pPr>
    </w:p>
    <w:p w14:paraId="695D6657" w14:textId="77777777" w:rsidR="007D67A9" w:rsidRPr="002550D2" w:rsidRDefault="007D67A9" w:rsidP="007D67A9">
      <w:pPr>
        <w:rPr>
          <w:szCs w:val="22"/>
        </w:rPr>
      </w:pPr>
      <w:r>
        <w:rPr>
          <w:szCs w:val="22"/>
        </w:rPr>
        <w:t>2</w:t>
      </w:r>
      <w:r w:rsidRPr="002550D2">
        <w:rPr>
          <w:szCs w:val="22"/>
        </w:rPr>
        <w:t> roky</w:t>
      </w:r>
    </w:p>
    <w:p w14:paraId="3F2C0826" w14:textId="77777777" w:rsidR="007D67A9" w:rsidRPr="002550D2" w:rsidRDefault="007D67A9" w:rsidP="007D67A9">
      <w:pPr>
        <w:rPr>
          <w:szCs w:val="22"/>
        </w:rPr>
      </w:pPr>
    </w:p>
    <w:p w14:paraId="17416CE7" w14:textId="77777777" w:rsidR="007D67A9" w:rsidRPr="002550D2" w:rsidRDefault="007D67A9" w:rsidP="008F1425">
      <w:pPr>
        <w:keepNext/>
        <w:rPr>
          <w:i/>
          <w:szCs w:val="22"/>
        </w:rPr>
      </w:pPr>
      <w:r w:rsidRPr="002550D2">
        <w:rPr>
          <w:i/>
          <w:szCs w:val="22"/>
        </w:rPr>
        <w:t>Po nariedení</w:t>
      </w:r>
    </w:p>
    <w:p w14:paraId="43FB9E41" w14:textId="77777777" w:rsidR="005209C2" w:rsidRDefault="005209C2" w:rsidP="008F1425">
      <w:pPr>
        <w:keepNext/>
        <w:rPr>
          <w:szCs w:val="22"/>
        </w:rPr>
      </w:pPr>
    </w:p>
    <w:p w14:paraId="26F2F044" w14:textId="77777777" w:rsidR="007D67A9" w:rsidRPr="002550D2" w:rsidRDefault="007D67A9" w:rsidP="007D67A9">
      <w:pPr>
        <w:rPr>
          <w:szCs w:val="22"/>
        </w:rPr>
      </w:pPr>
      <w:r>
        <w:rPr>
          <w:szCs w:val="22"/>
        </w:rPr>
        <w:t>Chemická a </w:t>
      </w:r>
      <w:r w:rsidRPr="002550D2">
        <w:rPr>
          <w:szCs w:val="22"/>
        </w:rPr>
        <w:t>fyzikálna stabilita po nariedení p</w:t>
      </w:r>
      <w:r>
        <w:rPr>
          <w:szCs w:val="22"/>
        </w:rPr>
        <w:t>red použitím sa preukázala na 24 hodín pri 25 </w:t>
      </w:r>
      <w:r w:rsidRPr="002550D2">
        <w:rPr>
          <w:szCs w:val="22"/>
        </w:rPr>
        <w:t>°C</w:t>
      </w:r>
      <w:r>
        <w:rPr>
          <w:szCs w:val="22"/>
        </w:rPr>
        <w:t>.</w:t>
      </w:r>
    </w:p>
    <w:p w14:paraId="50F83393" w14:textId="0B5EA0BE" w:rsidR="004B6C22" w:rsidRDefault="004B6C22" w:rsidP="004B6C22">
      <w:pPr>
        <w:rPr>
          <w:szCs w:val="22"/>
        </w:rPr>
      </w:pPr>
      <w:r>
        <w:rPr>
          <w:szCs w:val="22"/>
        </w:rPr>
        <w:t>Z </w:t>
      </w:r>
      <w:r w:rsidRPr="002550D2">
        <w:rPr>
          <w:szCs w:val="22"/>
        </w:rPr>
        <w:t>mikrobiologického hľadiska</w:t>
      </w:r>
      <w:r w:rsidRPr="004B6C22">
        <w:rPr>
          <w:szCs w:val="22"/>
        </w:rPr>
        <w:t xml:space="preserve"> </w:t>
      </w:r>
      <w:r w:rsidRPr="002550D2">
        <w:rPr>
          <w:szCs w:val="22"/>
        </w:rPr>
        <w:t xml:space="preserve">sa má liek </w:t>
      </w:r>
      <w:r>
        <w:rPr>
          <w:szCs w:val="22"/>
        </w:rPr>
        <w:t>použiť okamžite,</w:t>
      </w:r>
      <w:r w:rsidRPr="002550D2">
        <w:rPr>
          <w:szCs w:val="22"/>
        </w:rPr>
        <w:t xml:space="preserve"> pokiaľ </w:t>
      </w:r>
      <w:r>
        <w:rPr>
          <w:szCs w:val="22"/>
        </w:rPr>
        <w:t xml:space="preserve">spôsob otvorenia/riedenia </w:t>
      </w:r>
      <w:r w:rsidR="009133AF">
        <w:rPr>
          <w:szCs w:val="22"/>
        </w:rPr>
        <w:t>nevylučuje riziko</w:t>
      </w:r>
      <w:r>
        <w:rPr>
          <w:szCs w:val="22"/>
        </w:rPr>
        <w:t xml:space="preserve"> mikrobiálnej kontamináci</w:t>
      </w:r>
      <w:r w:rsidR="009133AF">
        <w:rPr>
          <w:szCs w:val="22"/>
        </w:rPr>
        <w:t>e</w:t>
      </w:r>
      <w:r>
        <w:rPr>
          <w:szCs w:val="22"/>
        </w:rPr>
        <w:t>.</w:t>
      </w:r>
    </w:p>
    <w:p w14:paraId="5CDF6432" w14:textId="77777777" w:rsidR="007D67A9" w:rsidRPr="002550D2" w:rsidRDefault="007D67A9" w:rsidP="007D67A9">
      <w:pPr>
        <w:rPr>
          <w:szCs w:val="22"/>
        </w:rPr>
      </w:pPr>
      <w:r w:rsidRPr="002550D2">
        <w:rPr>
          <w:szCs w:val="22"/>
        </w:rPr>
        <w:t>Ak sa nepoužije okamžite, za čas a podmienky ucho</w:t>
      </w:r>
      <w:r w:rsidR="009133AF">
        <w:rPr>
          <w:szCs w:val="22"/>
        </w:rPr>
        <w:t>vá</w:t>
      </w:r>
      <w:r w:rsidRPr="002550D2">
        <w:rPr>
          <w:szCs w:val="22"/>
        </w:rPr>
        <w:t>vania pre</w:t>
      </w:r>
      <w:r w:rsidR="005209C2">
        <w:rPr>
          <w:szCs w:val="22"/>
        </w:rPr>
        <w:t>d použitím zodpovedá používateľ.</w:t>
      </w:r>
    </w:p>
    <w:p w14:paraId="0113AB2F" w14:textId="77777777" w:rsidR="00812D16" w:rsidRPr="00A72672" w:rsidRDefault="00812D16" w:rsidP="00204AAB">
      <w:pPr>
        <w:spacing w:line="240" w:lineRule="auto"/>
      </w:pPr>
    </w:p>
    <w:p w14:paraId="6A9AD575" w14:textId="77777777" w:rsidR="00812D16" w:rsidRPr="00891D76" w:rsidRDefault="0050541A" w:rsidP="00572506">
      <w:pPr>
        <w:keepNext/>
        <w:numPr>
          <w:ilvl w:val="1"/>
          <w:numId w:val="6"/>
        </w:numPr>
        <w:spacing w:line="240" w:lineRule="auto"/>
        <w:outlineLvl w:val="0"/>
        <w:rPr>
          <w:b/>
        </w:rPr>
      </w:pPr>
      <w:r w:rsidRPr="00BF5AB0">
        <w:rPr>
          <w:b/>
        </w:rPr>
        <w:t>Špeciálne upozornenia na uchovávanie</w:t>
      </w:r>
    </w:p>
    <w:p w14:paraId="50FBC9DD" w14:textId="77777777" w:rsidR="005108A3" w:rsidRPr="0082445A" w:rsidRDefault="005108A3" w:rsidP="00085939">
      <w:pPr>
        <w:keepNext/>
        <w:spacing w:line="240" w:lineRule="auto"/>
        <w:ind w:left="567" w:hanging="567"/>
        <w:outlineLvl w:val="0"/>
      </w:pPr>
    </w:p>
    <w:p w14:paraId="667BF8DA" w14:textId="77777777" w:rsidR="005209C2" w:rsidRPr="002550D2" w:rsidRDefault="005209C2" w:rsidP="005209C2">
      <w:bookmarkStart w:id="4" w:name="_Hlk536190987"/>
      <w:r w:rsidRPr="002550D2">
        <w:t>Tento liek nevyžaduje žiadne zvláštne podmienky na uchovávanie.</w:t>
      </w:r>
    </w:p>
    <w:bookmarkEnd w:id="4"/>
    <w:p w14:paraId="3D06ADAB" w14:textId="77777777" w:rsidR="005209C2" w:rsidRPr="002550D2" w:rsidRDefault="005209C2" w:rsidP="005209C2">
      <w:pPr>
        <w:rPr>
          <w:iCs/>
        </w:rPr>
      </w:pPr>
    </w:p>
    <w:p w14:paraId="4441573B" w14:textId="77777777" w:rsidR="00812D16" w:rsidRDefault="005209C2" w:rsidP="005209C2">
      <w:pPr>
        <w:spacing w:line="240" w:lineRule="auto"/>
        <w:rPr>
          <w:szCs w:val="22"/>
        </w:rPr>
      </w:pPr>
      <w:r w:rsidRPr="002550D2">
        <w:rPr>
          <w:szCs w:val="22"/>
        </w:rPr>
        <w:t>Podmienky na uchovávanie</w:t>
      </w:r>
      <w:r w:rsidR="008F1425">
        <w:rPr>
          <w:szCs w:val="22"/>
        </w:rPr>
        <w:t xml:space="preserve"> po nariedení lieku, pozri časť </w:t>
      </w:r>
      <w:r w:rsidRPr="002550D2">
        <w:rPr>
          <w:szCs w:val="22"/>
        </w:rPr>
        <w:t>6.3.</w:t>
      </w:r>
    </w:p>
    <w:p w14:paraId="19BC51AC" w14:textId="77777777" w:rsidR="005209C2" w:rsidRPr="00A72672" w:rsidRDefault="005209C2" w:rsidP="005209C2">
      <w:pPr>
        <w:spacing w:line="240" w:lineRule="auto"/>
      </w:pPr>
    </w:p>
    <w:p w14:paraId="6895E1CA" w14:textId="77777777" w:rsidR="00812D16" w:rsidRPr="0082445A" w:rsidRDefault="0050541A" w:rsidP="00572506">
      <w:pPr>
        <w:keepNext/>
        <w:numPr>
          <w:ilvl w:val="1"/>
          <w:numId w:val="6"/>
        </w:numPr>
        <w:tabs>
          <w:tab w:val="clear" w:pos="567"/>
        </w:tabs>
        <w:spacing w:line="240" w:lineRule="auto"/>
        <w:ind w:left="567" w:hanging="567"/>
        <w:outlineLvl w:val="0"/>
        <w:rPr>
          <w:b/>
        </w:rPr>
      </w:pPr>
      <w:r w:rsidRPr="00BF5AB0">
        <w:rPr>
          <w:b/>
        </w:rPr>
        <w:t>Druh obalu a</w:t>
      </w:r>
      <w:r w:rsidR="00851AE0">
        <w:rPr>
          <w:b/>
        </w:rPr>
        <w:t> </w:t>
      </w:r>
      <w:r w:rsidRPr="00BF5AB0">
        <w:rPr>
          <w:b/>
        </w:rPr>
        <w:t>obsah balenia</w:t>
      </w:r>
    </w:p>
    <w:p w14:paraId="5903E5F6" w14:textId="77777777" w:rsidR="00812D16" w:rsidRPr="003F7DA0" w:rsidRDefault="00812D16" w:rsidP="00085939">
      <w:pPr>
        <w:keepNext/>
        <w:spacing w:line="240" w:lineRule="auto"/>
        <w:outlineLvl w:val="0"/>
      </w:pPr>
    </w:p>
    <w:p w14:paraId="0599F792" w14:textId="77777777" w:rsidR="005209C2" w:rsidRDefault="00B620D9" w:rsidP="005209C2">
      <w:pPr>
        <w:tabs>
          <w:tab w:val="clear" w:pos="567"/>
        </w:tabs>
        <w:autoSpaceDE w:val="0"/>
        <w:autoSpaceDN w:val="0"/>
        <w:adjustRightInd w:val="0"/>
        <w:spacing w:line="240" w:lineRule="auto"/>
        <w:rPr>
          <w:rFonts w:eastAsia="TimesNewRoman"/>
          <w:szCs w:val="22"/>
          <w:lang w:eastAsia="en-GB" w:bidi="ar-SA"/>
        </w:rPr>
      </w:pPr>
      <w:r>
        <w:rPr>
          <w:rFonts w:eastAsia="TimesNewRoman"/>
          <w:szCs w:val="22"/>
          <w:lang w:eastAsia="en-GB" w:bidi="ar-SA"/>
        </w:rPr>
        <w:t>I</w:t>
      </w:r>
      <w:r w:rsidR="005209C2" w:rsidRPr="005209C2">
        <w:rPr>
          <w:rFonts w:eastAsia="TimesNewRoman"/>
          <w:szCs w:val="22"/>
          <w:lang w:eastAsia="en-GB" w:bidi="ar-SA"/>
        </w:rPr>
        <w:t xml:space="preserve">njekčné liekovky zo skla typu I, sivý uzáver </w:t>
      </w:r>
      <w:r>
        <w:rPr>
          <w:rFonts w:eastAsia="TimesNewRoman"/>
          <w:szCs w:val="22"/>
          <w:lang w:eastAsia="en-GB" w:bidi="ar-SA"/>
        </w:rPr>
        <w:t>z </w:t>
      </w:r>
      <w:r w:rsidR="008F1425">
        <w:rPr>
          <w:rFonts w:eastAsia="TimesNewRoman"/>
          <w:szCs w:val="22"/>
          <w:lang w:eastAsia="en-GB" w:bidi="ar-SA"/>
        </w:rPr>
        <w:t>chlór</w:t>
      </w:r>
      <w:r w:rsidR="005209C2" w:rsidRPr="005209C2">
        <w:rPr>
          <w:rFonts w:eastAsia="TimesNewRoman"/>
          <w:szCs w:val="22"/>
          <w:lang w:eastAsia="en-GB" w:bidi="ar-SA"/>
        </w:rPr>
        <w:t>butylovej gumy</w:t>
      </w:r>
      <w:r>
        <w:rPr>
          <w:rFonts w:eastAsia="TimesNewRoman"/>
          <w:szCs w:val="22"/>
          <w:lang w:eastAsia="en-GB" w:bidi="ar-SA"/>
        </w:rPr>
        <w:t>.</w:t>
      </w:r>
    </w:p>
    <w:p w14:paraId="7EBB5069" w14:textId="77777777" w:rsidR="00B620D9" w:rsidRDefault="00B620D9" w:rsidP="005209C2">
      <w:pPr>
        <w:tabs>
          <w:tab w:val="clear" w:pos="567"/>
        </w:tabs>
        <w:autoSpaceDE w:val="0"/>
        <w:autoSpaceDN w:val="0"/>
        <w:adjustRightInd w:val="0"/>
        <w:spacing w:line="240" w:lineRule="auto"/>
        <w:rPr>
          <w:rFonts w:eastAsia="TimesNewRoman"/>
          <w:szCs w:val="22"/>
          <w:lang w:eastAsia="en-GB" w:bidi="ar-SA"/>
        </w:rPr>
      </w:pPr>
    </w:p>
    <w:p w14:paraId="7308CB12" w14:textId="77777777" w:rsidR="00B620D9" w:rsidRPr="008F1425" w:rsidRDefault="00B620D9" w:rsidP="008F1425">
      <w:pPr>
        <w:keepNext/>
        <w:spacing w:line="240" w:lineRule="auto"/>
        <w:ind w:right="-23"/>
        <w:jc w:val="both"/>
        <w:rPr>
          <w:i/>
          <w:szCs w:val="22"/>
        </w:rPr>
      </w:pPr>
      <w:r w:rsidRPr="008F1425">
        <w:rPr>
          <w:i/>
          <w:szCs w:val="22"/>
        </w:rPr>
        <w:t>Veľkosť balenia</w:t>
      </w:r>
    </w:p>
    <w:p w14:paraId="3363665A" w14:textId="77777777" w:rsidR="00B620D9" w:rsidRPr="008F1425" w:rsidRDefault="00B620D9" w:rsidP="00B620D9">
      <w:pPr>
        <w:spacing w:line="240" w:lineRule="auto"/>
        <w:ind w:right="-20"/>
        <w:jc w:val="both"/>
        <w:rPr>
          <w:szCs w:val="22"/>
        </w:rPr>
      </w:pPr>
      <w:r w:rsidRPr="008F1425">
        <w:rPr>
          <w:szCs w:val="22"/>
        </w:rPr>
        <w:t>5 x 2 ml</w:t>
      </w:r>
      <w:r w:rsidRPr="008F1425">
        <w:rPr>
          <w:spacing w:val="-1"/>
          <w:szCs w:val="22"/>
        </w:rPr>
        <w:t xml:space="preserve"> </w:t>
      </w:r>
      <w:r w:rsidRPr="008F1425">
        <w:rPr>
          <w:szCs w:val="22"/>
        </w:rPr>
        <w:t>injekčné liekovky</w:t>
      </w:r>
    </w:p>
    <w:p w14:paraId="075A6B6E" w14:textId="77777777" w:rsidR="00B620D9" w:rsidRPr="008F1425" w:rsidRDefault="00B620D9" w:rsidP="00B620D9">
      <w:pPr>
        <w:spacing w:line="240" w:lineRule="auto"/>
        <w:ind w:right="-20"/>
        <w:jc w:val="both"/>
        <w:rPr>
          <w:szCs w:val="22"/>
        </w:rPr>
      </w:pPr>
      <w:r w:rsidRPr="008F1425">
        <w:rPr>
          <w:szCs w:val="22"/>
        </w:rPr>
        <w:t>25 x 2 ml</w:t>
      </w:r>
      <w:r w:rsidRPr="008F1425">
        <w:rPr>
          <w:spacing w:val="-1"/>
          <w:szCs w:val="22"/>
        </w:rPr>
        <w:t xml:space="preserve"> </w:t>
      </w:r>
      <w:r w:rsidRPr="008F1425">
        <w:rPr>
          <w:szCs w:val="22"/>
        </w:rPr>
        <w:t>injekčné liekovky</w:t>
      </w:r>
    </w:p>
    <w:p w14:paraId="32D8218B" w14:textId="77777777" w:rsidR="00B620D9" w:rsidRPr="005209C2" w:rsidRDefault="00B620D9" w:rsidP="005209C2">
      <w:pPr>
        <w:tabs>
          <w:tab w:val="clear" w:pos="567"/>
        </w:tabs>
        <w:autoSpaceDE w:val="0"/>
        <w:autoSpaceDN w:val="0"/>
        <w:adjustRightInd w:val="0"/>
        <w:spacing w:line="240" w:lineRule="auto"/>
        <w:rPr>
          <w:rFonts w:eastAsia="TimesNewRoman"/>
          <w:szCs w:val="22"/>
          <w:lang w:eastAsia="en-GB" w:bidi="ar-SA"/>
        </w:rPr>
      </w:pPr>
    </w:p>
    <w:p w14:paraId="288BAF62" w14:textId="77777777" w:rsidR="00812D16" w:rsidRPr="00891D76" w:rsidRDefault="0050541A" w:rsidP="005209C2">
      <w:pPr>
        <w:spacing w:line="240" w:lineRule="auto"/>
      </w:pPr>
      <w:r w:rsidRPr="00BF5AB0">
        <w:t>Na trh nemusia byť u</w:t>
      </w:r>
      <w:r w:rsidR="005209C2">
        <w:t>vedené všetky veľkosti balenia.</w:t>
      </w:r>
    </w:p>
    <w:p w14:paraId="11D40CEF" w14:textId="77777777" w:rsidR="00812D16" w:rsidRPr="0082445A" w:rsidRDefault="00812D16" w:rsidP="00204AAB">
      <w:pPr>
        <w:spacing w:line="240" w:lineRule="auto"/>
      </w:pPr>
    </w:p>
    <w:p w14:paraId="0F00E77F" w14:textId="77777777" w:rsidR="00812D16" w:rsidRPr="00891D76" w:rsidRDefault="0050541A" w:rsidP="00572506">
      <w:pPr>
        <w:keepNext/>
        <w:numPr>
          <w:ilvl w:val="1"/>
          <w:numId w:val="6"/>
        </w:numPr>
        <w:spacing w:line="240" w:lineRule="auto"/>
        <w:outlineLvl w:val="0"/>
      </w:pPr>
      <w:bookmarkStart w:id="5" w:name="OLE_LINK1"/>
      <w:r w:rsidRPr="00BF5AB0">
        <w:rPr>
          <w:b/>
        </w:rPr>
        <w:t>Špe</w:t>
      </w:r>
      <w:r w:rsidR="00F1727F">
        <w:rPr>
          <w:b/>
        </w:rPr>
        <w:t xml:space="preserve">ciálne opatrenia na likvidáciu </w:t>
      </w:r>
      <w:r w:rsidRPr="00BF5AB0">
        <w:rPr>
          <w:b/>
        </w:rPr>
        <w:t>a</w:t>
      </w:r>
      <w:r w:rsidR="00851AE0">
        <w:rPr>
          <w:b/>
          <w:noProof/>
        </w:rPr>
        <w:t> </w:t>
      </w:r>
      <w:r w:rsidRPr="00BF5AB0">
        <w:rPr>
          <w:b/>
        </w:rPr>
        <w:t>iné zaobchádzanie s</w:t>
      </w:r>
      <w:r w:rsidR="00851AE0">
        <w:rPr>
          <w:b/>
          <w:noProof/>
        </w:rPr>
        <w:t> </w:t>
      </w:r>
      <w:r w:rsidRPr="00BF5AB0">
        <w:rPr>
          <w:b/>
        </w:rPr>
        <w:t>liekom</w:t>
      </w:r>
    </w:p>
    <w:p w14:paraId="30BDAF3B" w14:textId="77777777" w:rsidR="00812D16" w:rsidRPr="0082445A" w:rsidRDefault="00812D16" w:rsidP="00085939">
      <w:pPr>
        <w:keepNext/>
        <w:spacing w:line="240" w:lineRule="auto"/>
      </w:pPr>
    </w:p>
    <w:p w14:paraId="77F837D5" w14:textId="77777777" w:rsidR="00812D16" w:rsidRPr="00A72672" w:rsidRDefault="00B620D9" w:rsidP="00204AAB">
      <w:pPr>
        <w:spacing w:line="240" w:lineRule="auto"/>
        <w:rPr>
          <w:i/>
        </w:rPr>
      </w:pPr>
      <w:r>
        <w:rPr>
          <w:rFonts w:eastAsia="TimesNewRoman"/>
          <w:szCs w:val="22"/>
          <w:lang w:eastAsia="en-GB" w:bidi="ar-SA"/>
        </w:rPr>
        <w:t>I</w:t>
      </w:r>
      <w:r w:rsidRPr="005209C2">
        <w:rPr>
          <w:rFonts w:eastAsia="TimesNewRoman"/>
          <w:szCs w:val="22"/>
          <w:lang w:eastAsia="en-GB" w:bidi="ar-SA"/>
        </w:rPr>
        <w:t>njekčné liekovky</w:t>
      </w:r>
      <w:r w:rsidRPr="00B620D9">
        <w:rPr>
          <w:bCs/>
        </w:rPr>
        <w:t xml:space="preserve"> </w:t>
      </w:r>
      <w:r w:rsidRPr="002550D2">
        <w:rPr>
          <w:bCs/>
        </w:rPr>
        <w:t>sú určené iba na jednorazové použitie u jedného pacienta.</w:t>
      </w:r>
    </w:p>
    <w:p w14:paraId="0882D893" w14:textId="77777777" w:rsidR="00560EDA" w:rsidRPr="00085939" w:rsidRDefault="00560EDA" w:rsidP="00204AAB">
      <w:pPr>
        <w:spacing w:line="240" w:lineRule="auto"/>
        <w:rPr>
          <w:i/>
        </w:rPr>
      </w:pPr>
    </w:p>
    <w:p w14:paraId="1EBB2BFD" w14:textId="77777777" w:rsidR="00B620D9" w:rsidRPr="002550D2" w:rsidRDefault="00B620D9" w:rsidP="002F5BFD">
      <w:pPr>
        <w:keepNext/>
        <w:rPr>
          <w:i/>
        </w:rPr>
      </w:pPr>
      <w:r w:rsidRPr="002550D2">
        <w:rPr>
          <w:i/>
        </w:rPr>
        <w:t>Príprava roztoku</w:t>
      </w:r>
    </w:p>
    <w:p w14:paraId="0D933F50" w14:textId="3E40AC5E" w:rsidR="00B620D9" w:rsidRPr="002550D2" w:rsidRDefault="00AD3843" w:rsidP="00B620D9">
      <w:r>
        <w:rPr>
          <w:szCs w:val="22"/>
        </w:rPr>
        <w:t>Dexmedetomidine Mylan</w:t>
      </w:r>
      <w:r w:rsidRPr="002550D2">
        <w:rPr>
          <w:szCs w:val="22"/>
        </w:rPr>
        <w:t xml:space="preserve"> </w:t>
      </w:r>
      <w:r w:rsidR="00B620D9" w:rsidRPr="002550D2">
        <w:t>možno nariediť v</w:t>
      </w:r>
      <w:r>
        <w:t> </w:t>
      </w:r>
      <w:r w:rsidR="00F1727F">
        <w:t>glukóze 50 </w:t>
      </w:r>
      <w:r w:rsidR="00B620D9" w:rsidRPr="002550D2">
        <w:t>mg/ml (5</w:t>
      </w:r>
      <w:r w:rsidR="00F1727F">
        <w:t> </w:t>
      </w:r>
      <w:r w:rsidR="00B620D9" w:rsidRPr="002550D2">
        <w:t>%),</w:t>
      </w:r>
      <w:r w:rsidR="00B620D9">
        <w:t xml:space="preserve"> </w:t>
      </w:r>
      <w:r w:rsidR="00B620D9" w:rsidRPr="002550D2">
        <w:t>Ringerovom roztoku</w:t>
      </w:r>
      <w:r w:rsidR="00B620D9">
        <w:t xml:space="preserve"> s mliečnanom</w:t>
      </w:r>
      <w:r w:rsidR="00B620D9" w:rsidRPr="002550D2">
        <w:t>, manitole</w:t>
      </w:r>
      <w:r w:rsidR="009133AF">
        <w:t xml:space="preserve"> </w:t>
      </w:r>
      <w:r w:rsidR="009133AF" w:rsidRPr="00E765A1">
        <w:rPr>
          <w:szCs w:val="22"/>
        </w:rPr>
        <w:t>200</w:t>
      </w:r>
      <w:r w:rsidR="005555B9">
        <w:rPr>
          <w:szCs w:val="22"/>
        </w:rPr>
        <w:t> </w:t>
      </w:r>
      <w:r w:rsidR="009133AF" w:rsidRPr="00E765A1">
        <w:rPr>
          <w:szCs w:val="22"/>
        </w:rPr>
        <w:t>mg/ml (20</w:t>
      </w:r>
      <w:r w:rsidR="005555B9">
        <w:rPr>
          <w:szCs w:val="22"/>
        </w:rPr>
        <w:t> </w:t>
      </w:r>
      <w:r w:rsidR="009133AF" w:rsidRPr="00E765A1">
        <w:rPr>
          <w:szCs w:val="22"/>
        </w:rPr>
        <w:t>%)</w:t>
      </w:r>
      <w:r w:rsidR="00B620D9" w:rsidRPr="002550D2">
        <w:t xml:space="preserve"> alebo roztoku chloridu sodného </w:t>
      </w:r>
      <w:r w:rsidR="00B620D9">
        <w:t xml:space="preserve">s koncentráciou </w:t>
      </w:r>
      <w:r w:rsidR="00F1727F">
        <w:t>9 </w:t>
      </w:r>
      <w:r w:rsidR="00B620D9" w:rsidRPr="002550D2">
        <w:t>mg/ml (0,9</w:t>
      </w:r>
      <w:r w:rsidR="00F1727F">
        <w:t> </w:t>
      </w:r>
      <w:r w:rsidR="00B620D9" w:rsidRPr="002550D2">
        <w:t>%) na injekciu, aby sa pred podaním dosiahla požadovaná koncentrácia buď 4 mikrogramy/ml al</w:t>
      </w:r>
      <w:r w:rsidR="00F1727F">
        <w:t>ebo 8 </w:t>
      </w:r>
      <w:r w:rsidR="00B620D9" w:rsidRPr="002550D2">
        <w:t>mikrogramov/ml. Pozri nižši</w:t>
      </w:r>
      <w:r w:rsidR="00B620D9">
        <w:t>e</w:t>
      </w:r>
      <w:r w:rsidR="00ED5AD2">
        <w:t xml:space="preserve"> tabuľky</w:t>
      </w:r>
      <w:r w:rsidR="00B620D9" w:rsidRPr="002550D2">
        <w:t xml:space="preserve"> objemov potrebných na prípravu infúzie.</w:t>
      </w:r>
    </w:p>
    <w:p w14:paraId="64F08E97" w14:textId="77777777" w:rsidR="00B620D9" w:rsidRPr="002550D2" w:rsidRDefault="00B620D9" w:rsidP="00B620D9"/>
    <w:p w14:paraId="7B9B2F56" w14:textId="77777777" w:rsidR="00B620D9" w:rsidRPr="002550D2" w:rsidRDefault="00F1727F" w:rsidP="00F11586">
      <w:pPr>
        <w:keepNext/>
      </w:pPr>
      <w:r>
        <w:rPr>
          <w:b/>
          <w:u w:val="single"/>
        </w:rPr>
        <w:t>Ak je požadovaná koncentrácia 4 </w:t>
      </w:r>
      <w:r w:rsidR="00B620D9" w:rsidRPr="002550D2">
        <w:rPr>
          <w:b/>
          <w:u w:val="single"/>
        </w:rPr>
        <w:t>mikrogramy/ml:</w:t>
      </w:r>
    </w:p>
    <w:p w14:paraId="0B73F972" w14:textId="77777777" w:rsidR="00B620D9" w:rsidRPr="002550D2" w:rsidRDefault="00B620D9" w:rsidP="00F11586">
      <w:pPr>
        <w:keepN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B620D9" w:rsidRPr="002550D2" w14:paraId="4756F3F4" w14:textId="77777777" w:rsidTr="005E706C">
        <w:trPr>
          <w:trHeight w:hRule="exact" w:val="1344"/>
        </w:trPr>
        <w:tc>
          <w:tcPr>
            <w:tcW w:w="2834" w:type="dxa"/>
            <w:vAlign w:val="center"/>
          </w:tcPr>
          <w:p w14:paraId="7B353FFC" w14:textId="5221708F" w:rsidR="00B620D9" w:rsidRPr="002550D2" w:rsidRDefault="00B620D9" w:rsidP="005E706C">
            <w:pPr>
              <w:pStyle w:val="TableParagraph"/>
              <w:ind w:left="176" w:right="107"/>
              <w:jc w:val="center"/>
              <w:rPr>
                <w:b/>
                <w:lang w:val="sk-SK"/>
              </w:rPr>
            </w:pPr>
            <w:r w:rsidRPr="002550D2">
              <w:rPr>
                <w:b/>
                <w:lang w:val="sk-SK"/>
              </w:rPr>
              <w:t xml:space="preserve">Objem </w:t>
            </w:r>
            <w:r w:rsidR="00A459AA" w:rsidRPr="00E765A1">
              <w:rPr>
                <w:b/>
                <w:lang w:val="sk-SK"/>
              </w:rPr>
              <w:t>Dexmedetomidin</w:t>
            </w:r>
            <w:r w:rsidR="009133AF" w:rsidRPr="00E765A1">
              <w:rPr>
                <w:b/>
                <w:lang w:val="sk-SK"/>
              </w:rPr>
              <w:t>e</w:t>
            </w:r>
            <w:r w:rsidR="00AD3843" w:rsidRPr="00E765A1">
              <w:rPr>
                <w:b/>
                <w:lang w:val="sk-SK"/>
              </w:rPr>
              <w:t xml:space="preserve"> Mylan</w:t>
            </w:r>
            <w:r w:rsidR="00AD3843" w:rsidRPr="00E765A1">
              <w:rPr>
                <w:lang w:val="sk-SK"/>
              </w:rPr>
              <w:t xml:space="preserve"> </w:t>
            </w:r>
            <w:r w:rsidRPr="002550D2">
              <w:rPr>
                <w:b/>
                <w:lang w:val="sk-SK"/>
              </w:rPr>
              <w:t>100 mikrogramov/ml</w:t>
            </w:r>
          </w:p>
          <w:p w14:paraId="44E4A1E1" w14:textId="77777777" w:rsidR="00B620D9" w:rsidRPr="002550D2" w:rsidRDefault="00B620D9" w:rsidP="005E706C">
            <w:pPr>
              <w:pStyle w:val="TableParagraph"/>
              <w:ind w:left="123"/>
              <w:jc w:val="center"/>
              <w:rPr>
                <w:b/>
                <w:lang w:val="sk-SK"/>
              </w:rPr>
            </w:pPr>
            <w:r w:rsidRPr="002550D2">
              <w:rPr>
                <w:b/>
                <w:lang w:val="sk-SK"/>
              </w:rPr>
              <w:t>infúzny koncentrát</w:t>
            </w:r>
          </w:p>
        </w:tc>
        <w:tc>
          <w:tcPr>
            <w:tcW w:w="2554" w:type="dxa"/>
            <w:vAlign w:val="center"/>
          </w:tcPr>
          <w:p w14:paraId="12230DFB" w14:textId="77777777" w:rsidR="00B620D9" w:rsidRPr="002550D2" w:rsidRDefault="00B620D9" w:rsidP="005E706C">
            <w:pPr>
              <w:pStyle w:val="TableParagraph"/>
              <w:ind w:left="405" w:right="409"/>
              <w:jc w:val="center"/>
              <w:rPr>
                <w:b/>
                <w:lang w:val="sk-SK"/>
              </w:rPr>
            </w:pPr>
            <w:r w:rsidRPr="002550D2">
              <w:rPr>
                <w:b/>
                <w:lang w:val="sk-SK"/>
              </w:rPr>
              <w:t>Objem roztoku na riedenie</w:t>
            </w:r>
          </w:p>
        </w:tc>
        <w:tc>
          <w:tcPr>
            <w:tcW w:w="2693" w:type="dxa"/>
            <w:vAlign w:val="center"/>
          </w:tcPr>
          <w:p w14:paraId="65DC1678" w14:textId="77777777" w:rsidR="00B620D9" w:rsidRPr="002550D2" w:rsidRDefault="00B620D9" w:rsidP="005E706C">
            <w:pPr>
              <w:pStyle w:val="TableParagraph"/>
              <w:ind w:left="174" w:right="176"/>
              <w:jc w:val="center"/>
              <w:rPr>
                <w:b/>
                <w:lang w:val="sk-SK"/>
              </w:rPr>
            </w:pPr>
            <w:r w:rsidRPr="002550D2">
              <w:rPr>
                <w:b/>
                <w:lang w:val="sk-SK"/>
              </w:rPr>
              <w:t>Celkový objem infúzie</w:t>
            </w:r>
          </w:p>
        </w:tc>
      </w:tr>
      <w:tr w:rsidR="00B620D9" w:rsidRPr="002550D2" w14:paraId="17589356" w14:textId="77777777" w:rsidTr="005E706C">
        <w:trPr>
          <w:trHeight w:val="340"/>
        </w:trPr>
        <w:tc>
          <w:tcPr>
            <w:tcW w:w="2834" w:type="dxa"/>
            <w:vAlign w:val="center"/>
          </w:tcPr>
          <w:p w14:paraId="6DD9A2DE" w14:textId="77777777" w:rsidR="00B620D9" w:rsidRPr="002550D2" w:rsidRDefault="00F1727F" w:rsidP="005E706C">
            <w:pPr>
              <w:pStyle w:val="TableParagraph"/>
              <w:ind w:left="118"/>
              <w:jc w:val="center"/>
              <w:rPr>
                <w:lang w:val="sk-SK"/>
              </w:rPr>
            </w:pPr>
            <w:r>
              <w:rPr>
                <w:lang w:val="sk-SK"/>
              </w:rPr>
              <w:t>2 </w:t>
            </w:r>
            <w:r w:rsidR="00B620D9" w:rsidRPr="002550D2">
              <w:rPr>
                <w:lang w:val="sk-SK"/>
              </w:rPr>
              <w:t>ml</w:t>
            </w:r>
          </w:p>
        </w:tc>
        <w:tc>
          <w:tcPr>
            <w:tcW w:w="2554" w:type="dxa"/>
            <w:vAlign w:val="center"/>
          </w:tcPr>
          <w:p w14:paraId="514A0693" w14:textId="77777777" w:rsidR="00B620D9" w:rsidRPr="002550D2" w:rsidRDefault="00F1727F" w:rsidP="005E706C">
            <w:pPr>
              <w:pStyle w:val="TableParagraph"/>
              <w:ind w:right="408"/>
              <w:jc w:val="center"/>
              <w:rPr>
                <w:lang w:val="sk-SK"/>
              </w:rPr>
            </w:pPr>
            <w:r>
              <w:rPr>
                <w:lang w:val="sk-SK"/>
              </w:rPr>
              <w:t>48 </w:t>
            </w:r>
            <w:r w:rsidR="00B620D9" w:rsidRPr="002550D2">
              <w:rPr>
                <w:lang w:val="sk-SK"/>
              </w:rPr>
              <w:t>ml</w:t>
            </w:r>
          </w:p>
        </w:tc>
        <w:tc>
          <w:tcPr>
            <w:tcW w:w="2693" w:type="dxa"/>
            <w:vAlign w:val="center"/>
          </w:tcPr>
          <w:p w14:paraId="1FEB0CD9" w14:textId="77777777" w:rsidR="00B620D9" w:rsidRPr="002550D2" w:rsidRDefault="00F1727F" w:rsidP="005E706C">
            <w:pPr>
              <w:pStyle w:val="TableParagraph"/>
              <w:ind w:left="169" w:right="176"/>
              <w:jc w:val="center"/>
              <w:rPr>
                <w:lang w:val="sk-SK"/>
              </w:rPr>
            </w:pPr>
            <w:r>
              <w:rPr>
                <w:lang w:val="sk-SK"/>
              </w:rPr>
              <w:t>50 </w:t>
            </w:r>
            <w:r w:rsidR="00B620D9" w:rsidRPr="002550D2">
              <w:rPr>
                <w:lang w:val="sk-SK"/>
              </w:rPr>
              <w:t>ml</w:t>
            </w:r>
          </w:p>
        </w:tc>
      </w:tr>
    </w:tbl>
    <w:p w14:paraId="3C190E0E" w14:textId="77777777" w:rsidR="00B620D9" w:rsidRPr="002550D2" w:rsidRDefault="00B620D9" w:rsidP="00B620D9"/>
    <w:p w14:paraId="283CF153" w14:textId="77777777" w:rsidR="00B620D9" w:rsidRPr="002550D2" w:rsidRDefault="00F11586" w:rsidP="00F11586">
      <w:pPr>
        <w:keepNext/>
      </w:pPr>
      <w:r>
        <w:rPr>
          <w:b/>
          <w:u w:val="single"/>
        </w:rPr>
        <w:lastRenderedPageBreak/>
        <w:t>Ak je požadovaná koncentrácia 8 </w:t>
      </w:r>
      <w:r w:rsidR="00B620D9" w:rsidRPr="002550D2">
        <w:rPr>
          <w:b/>
          <w:u w:val="single"/>
        </w:rPr>
        <w:t>mikrogramov/ml:</w:t>
      </w:r>
    </w:p>
    <w:p w14:paraId="4502C682" w14:textId="77777777" w:rsidR="00B620D9" w:rsidRPr="002550D2" w:rsidRDefault="00B620D9" w:rsidP="00F11586">
      <w:pPr>
        <w:keepN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B620D9" w:rsidRPr="002550D2" w14:paraId="3DA206BD" w14:textId="77777777" w:rsidTr="005E706C">
        <w:trPr>
          <w:trHeight w:hRule="exact" w:val="1344"/>
        </w:trPr>
        <w:tc>
          <w:tcPr>
            <w:tcW w:w="2834" w:type="dxa"/>
            <w:vAlign w:val="center"/>
          </w:tcPr>
          <w:p w14:paraId="16863C66" w14:textId="67E7F2B1" w:rsidR="00B620D9" w:rsidRPr="002550D2" w:rsidRDefault="00B620D9" w:rsidP="005E706C">
            <w:pPr>
              <w:pStyle w:val="TableParagraph"/>
              <w:ind w:left="176" w:right="107"/>
              <w:jc w:val="center"/>
              <w:rPr>
                <w:b/>
                <w:lang w:val="sk-SK"/>
              </w:rPr>
            </w:pPr>
            <w:r w:rsidRPr="002550D2">
              <w:rPr>
                <w:b/>
                <w:lang w:val="sk-SK"/>
              </w:rPr>
              <w:t xml:space="preserve">Objem </w:t>
            </w:r>
            <w:r w:rsidR="00A459AA" w:rsidRPr="00E765A1">
              <w:rPr>
                <w:b/>
                <w:lang w:val="sk-SK"/>
              </w:rPr>
              <w:t>Dexmedetomidin</w:t>
            </w:r>
            <w:r w:rsidR="009133AF" w:rsidRPr="00E765A1">
              <w:rPr>
                <w:b/>
                <w:lang w:val="sk-SK"/>
              </w:rPr>
              <w:t>e</w:t>
            </w:r>
            <w:r w:rsidR="00AD3843" w:rsidRPr="00E765A1">
              <w:rPr>
                <w:b/>
                <w:lang w:val="sk-SK"/>
              </w:rPr>
              <w:t xml:space="preserve"> Mylan</w:t>
            </w:r>
            <w:r w:rsidR="00AD3843" w:rsidRPr="00E765A1">
              <w:rPr>
                <w:lang w:val="sk-SK"/>
              </w:rPr>
              <w:t xml:space="preserve"> </w:t>
            </w:r>
            <w:r w:rsidRPr="002550D2">
              <w:rPr>
                <w:b/>
                <w:lang w:val="sk-SK"/>
              </w:rPr>
              <w:t>100 mikrogramov/ml</w:t>
            </w:r>
          </w:p>
          <w:p w14:paraId="36C7E05C" w14:textId="77777777" w:rsidR="00B620D9" w:rsidRPr="002550D2" w:rsidRDefault="00B620D9" w:rsidP="005E706C">
            <w:pPr>
              <w:pStyle w:val="TableParagraph"/>
              <w:ind w:left="123"/>
              <w:jc w:val="center"/>
              <w:rPr>
                <w:b/>
                <w:lang w:val="sk-SK"/>
              </w:rPr>
            </w:pPr>
            <w:r w:rsidRPr="002550D2">
              <w:rPr>
                <w:b/>
                <w:lang w:val="sk-SK"/>
              </w:rPr>
              <w:t>infúzny koncentrát</w:t>
            </w:r>
          </w:p>
        </w:tc>
        <w:tc>
          <w:tcPr>
            <w:tcW w:w="2554" w:type="dxa"/>
            <w:vAlign w:val="center"/>
          </w:tcPr>
          <w:p w14:paraId="2CF6F1F4" w14:textId="77777777" w:rsidR="00B620D9" w:rsidRPr="002550D2" w:rsidRDefault="00B620D9" w:rsidP="005E706C">
            <w:pPr>
              <w:pStyle w:val="TableParagraph"/>
              <w:ind w:left="405" w:right="409"/>
              <w:jc w:val="center"/>
              <w:rPr>
                <w:b/>
                <w:lang w:val="sk-SK"/>
              </w:rPr>
            </w:pPr>
            <w:r w:rsidRPr="002550D2">
              <w:rPr>
                <w:b/>
                <w:lang w:val="sk-SK"/>
              </w:rPr>
              <w:t>Objem roztoku na riedenie</w:t>
            </w:r>
          </w:p>
        </w:tc>
        <w:tc>
          <w:tcPr>
            <w:tcW w:w="2693" w:type="dxa"/>
            <w:vAlign w:val="center"/>
          </w:tcPr>
          <w:p w14:paraId="18ACF0E4" w14:textId="77777777" w:rsidR="00B620D9" w:rsidRPr="002550D2" w:rsidRDefault="00B620D9" w:rsidP="005E706C">
            <w:pPr>
              <w:pStyle w:val="TableParagraph"/>
              <w:ind w:left="174" w:right="176"/>
              <w:jc w:val="center"/>
              <w:rPr>
                <w:b/>
                <w:lang w:val="sk-SK"/>
              </w:rPr>
            </w:pPr>
            <w:r w:rsidRPr="002550D2">
              <w:rPr>
                <w:b/>
                <w:lang w:val="sk-SK"/>
              </w:rPr>
              <w:t>Celkový objem infúzie</w:t>
            </w:r>
          </w:p>
        </w:tc>
      </w:tr>
      <w:tr w:rsidR="00B620D9" w:rsidRPr="002550D2" w14:paraId="48AE661C" w14:textId="77777777" w:rsidTr="005E706C">
        <w:trPr>
          <w:trHeight w:val="340"/>
        </w:trPr>
        <w:tc>
          <w:tcPr>
            <w:tcW w:w="2834" w:type="dxa"/>
            <w:vAlign w:val="center"/>
          </w:tcPr>
          <w:p w14:paraId="0BE94513" w14:textId="77777777" w:rsidR="00B620D9" w:rsidRPr="002550D2" w:rsidRDefault="002F5BFD" w:rsidP="005E706C">
            <w:pPr>
              <w:pStyle w:val="TableParagraph"/>
              <w:ind w:left="118"/>
              <w:jc w:val="center"/>
              <w:rPr>
                <w:lang w:val="sk-SK"/>
              </w:rPr>
            </w:pPr>
            <w:r>
              <w:rPr>
                <w:lang w:val="sk-SK"/>
              </w:rPr>
              <w:t>4</w:t>
            </w:r>
            <w:r w:rsidR="00F1727F">
              <w:rPr>
                <w:lang w:val="sk-SK"/>
              </w:rPr>
              <w:t> </w:t>
            </w:r>
            <w:r w:rsidR="00B620D9" w:rsidRPr="002550D2">
              <w:rPr>
                <w:lang w:val="sk-SK"/>
              </w:rPr>
              <w:t>ml</w:t>
            </w:r>
          </w:p>
        </w:tc>
        <w:tc>
          <w:tcPr>
            <w:tcW w:w="2554" w:type="dxa"/>
            <w:vAlign w:val="center"/>
          </w:tcPr>
          <w:p w14:paraId="0F0B972A" w14:textId="77777777" w:rsidR="00B620D9" w:rsidRPr="002550D2" w:rsidRDefault="00F1727F" w:rsidP="005E706C">
            <w:pPr>
              <w:pStyle w:val="TableParagraph"/>
              <w:ind w:right="408"/>
              <w:jc w:val="center"/>
              <w:rPr>
                <w:lang w:val="sk-SK"/>
              </w:rPr>
            </w:pPr>
            <w:r>
              <w:rPr>
                <w:lang w:val="sk-SK"/>
              </w:rPr>
              <w:t>46 </w:t>
            </w:r>
            <w:r w:rsidR="00B620D9" w:rsidRPr="002550D2">
              <w:rPr>
                <w:lang w:val="sk-SK"/>
              </w:rPr>
              <w:t>ml</w:t>
            </w:r>
          </w:p>
        </w:tc>
        <w:tc>
          <w:tcPr>
            <w:tcW w:w="2693" w:type="dxa"/>
            <w:vAlign w:val="center"/>
          </w:tcPr>
          <w:p w14:paraId="4AB2CEA5" w14:textId="77777777" w:rsidR="00B620D9" w:rsidRPr="002550D2" w:rsidRDefault="00F1727F" w:rsidP="005E706C">
            <w:pPr>
              <w:pStyle w:val="TableParagraph"/>
              <w:ind w:left="169" w:right="176"/>
              <w:jc w:val="center"/>
              <w:rPr>
                <w:lang w:val="sk-SK"/>
              </w:rPr>
            </w:pPr>
            <w:r>
              <w:rPr>
                <w:lang w:val="sk-SK"/>
              </w:rPr>
              <w:t>50 </w:t>
            </w:r>
            <w:r w:rsidR="00B620D9" w:rsidRPr="002550D2">
              <w:rPr>
                <w:lang w:val="sk-SK"/>
              </w:rPr>
              <w:t>ml</w:t>
            </w:r>
          </w:p>
        </w:tc>
      </w:tr>
    </w:tbl>
    <w:p w14:paraId="659015AA" w14:textId="77777777" w:rsidR="00B620D9" w:rsidRPr="002550D2" w:rsidRDefault="00B620D9" w:rsidP="00B620D9">
      <w:pPr>
        <w:rPr>
          <w:szCs w:val="22"/>
        </w:rPr>
      </w:pPr>
    </w:p>
    <w:p w14:paraId="639BFE43" w14:textId="77777777" w:rsidR="00B620D9" w:rsidRPr="002550D2" w:rsidRDefault="00B620D9" w:rsidP="00B620D9">
      <w:pPr>
        <w:autoSpaceDE w:val="0"/>
        <w:autoSpaceDN w:val="0"/>
        <w:adjustRightInd w:val="0"/>
        <w:rPr>
          <w:szCs w:val="22"/>
        </w:rPr>
      </w:pPr>
      <w:r w:rsidRPr="002550D2">
        <w:rPr>
          <w:szCs w:val="22"/>
        </w:rPr>
        <w:t>Roztok sa má zľahka potrepať, aby sa dobre premiešal.</w:t>
      </w:r>
    </w:p>
    <w:p w14:paraId="72763291" w14:textId="77777777" w:rsidR="00B620D9" w:rsidRPr="002550D2" w:rsidRDefault="00B620D9" w:rsidP="00B620D9">
      <w:pPr>
        <w:autoSpaceDE w:val="0"/>
        <w:autoSpaceDN w:val="0"/>
        <w:adjustRightInd w:val="0"/>
        <w:rPr>
          <w:szCs w:val="22"/>
        </w:rPr>
      </w:pPr>
    </w:p>
    <w:p w14:paraId="3B7EE9E6" w14:textId="77777777" w:rsidR="00B620D9" w:rsidRPr="002550D2" w:rsidRDefault="002F5BFD" w:rsidP="00B620D9">
      <w:pPr>
        <w:autoSpaceDE w:val="0"/>
        <w:autoSpaceDN w:val="0"/>
        <w:adjustRightInd w:val="0"/>
        <w:rPr>
          <w:szCs w:val="22"/>
        </w:rPr>
      </w:pPr>
      <w:r>
        <w:rPr>
          <w:szCs w:val="22"/>
        </w:rPr>
        <w:t>Dexmedetomidine Mylan</w:t>
      </w:r>
      <w:r w:rsidR="00B620D9" w:rsidRPr="002550D2">
        <w:rPr>
          <w:szCs w:val="22"/>
        </w:rPr>
        <w:t xml:space="preserve"> sa musí pred podaním vizuálne skontr</w:t>
      </w:r>
      <w:r>
        <w:rPr>
          <w:szCs w:val="22"/>
        </w:rPr>
        <w:t>olovať, či neobsahuje častice a </w:t>
      </w:r>
      <w:r w:rsidR="00B620D9" w:rsidRPr="002550D2">
        <w:rPr>
          <w:szCs w:val="22"/>
        </w:rPr>
        <w:t>či nemá zmenu sfarbenia.</w:t>
      </w:r>
    </w:p>
    <w:p w14:paraId="0EDFF4E6" w14:textId="77777777" w:rsidR="00B620D9" w:rsidRPr="002550D2" w:rsidRDefault="00B620D9" w:rsidP="00B620D9">
      <w:pPr>
        <w:autoSpaceDE w:val="0"/>
        <w:autoSpaceDN w:val="0"/>
        <w:adjustRightInd w:val="0"/>
        <w:rPr>
          <w:szCs w:val="22"/>
        </w:rPr>
      </w:pPr>
    </w:p>
    <w:p w14:paraId="40C2D4F3" w14:textId="77777777" w:rsidR="00B620D9" w:rsidRPr="002F5BFD" w:rsidRDefault="00B620D9" w:rsidP="00A459AA">
      <w:pPr>
        <w:keepNext/>
        <w:autoSpaceDE w:val="0"/>
        <w:autoSpaceDN w:val="0"/>
        <w:adjustRightInd w:val="0"/>
        <w:rPr>
          <w:szCs w:val="22"/>
          <w:u w:val="single"/>
        </w:rPr>
      </w:pPr>
      <w:r w:rsidRPr="002F5BFD">
        <w:rPr>
          <w:szCs w:val="22"/>
          <w:u w:val="single"/>
        </w:rPr>
        <w:t xml:space="preserve">Preukázalo sa, že </w:t>
      </w:r>
      <w:r w:rsidR="002F5BFD" w:rsidRPr="002F5BFD">
        <w:rPr>
          <w:szCs w:val="22"/>
          <w:u w:val="single"/>
        </w:rPr>
        <w:t>Dexmedetomidine Mylan</w:t>
      </w:r>
      <w:r w:rsidRPr="002F5BFD">
        <w:rPr>
          <w:szCs w:val="22"/>
          <w:u w:val="single"/>
        </w:rPr>
        <w:t xml:space="preserve"> </w:t>
      </w:r>
      <w:r w:rsidR="002F5BFD">
        <w:rPr>
          <w:szCs w:val="22"/>
          <w:u w:val="single"/>
        </w:rPr>
        <w:t>je pri podaní kompatibilný s </w:t>
      </w:r>
      <w:r w:rsidRPr="002F5BFD">
        <w:rPr>
          <w:szCs w:val="22"/>
          <w:u w:val="single"/>
        </w:rPr>
        <w:t>nasledovnými intravenóznymi roztokmi a liekmi:</w:t>
      </w:r>
    </w:p>
    <w:p w14:paraId="0D704D5D" w14:textId="77777777" w:rsidR="002F5BFD" w:rsidRDefault="002F5BFD" w:rsidP="00B620D9">
      <w:pPr>
        <w:autoSpaceDE w:val="0"/>
        <w:autoSpaceDN w:val="0"/>
        <w:adjustRightInd w:val="0"/>
        <w:rPr>
          <w:szCs w:val="22"/>
        </w:rPr>
      </w:pPr>
    </w:p>
    <w:p w14:paraId="2854AF85" w14:textId="77777777" w:rsidR="00B620D9" w:rsidRPr="002550D2" w:rsidRDefault="00B620D9" w:rsidP="00B620D9">
      <w:pPr>
        <w:autoSpaceDE w:val="0"/>
        <w:autoSpaceDN w:val="0"/>
        <w:adjustRightInd w:val="0"/>
        <w:rPr>
          <w:szCs w:val="22"/>
        </w:rPr>
      </w:pPr>
      <w:r w:rsidRPr="002550D2">
        <w:rPr>
          <w:szCs w:val="22"/>
        </w:rPr>
        <w:t>Ringerov roztok</w:t>
      </w:r>
      <w:r w:rsidR="002F5BFD">
        <w:rPr>
          <w:szCs w:val="22"/>
        </w:rPr>
        <w:t xml:space="preserve"> s </w:t>
      </w:r>
      <w:r>
        <w:rPr>
          <w:szCs w:val="22"/>
        </w:rPr>
        <w:t>mliečnanom</w:t>
      </w:r>
      <w:r w:rsidRPr="002550D2">
        <w:rPr>
          <w:szCs w:val="22"/>
        </w:rPr>
        <w:t>, 5</w:t>
      </w:r>
      <w:r w:rsidR="002F5BFD">
        <w:rPr>
          <w:szCs w:val="22"/>
        </w:rPr>
        <w:t> </w:t>
      </w:r>
      <w:r w:rsidRPr="002550D2">
        <w:rPr>
          <w:szCs w:val="22"/>
        </w:rPr>
        <w:t xml:space="preserve">% roztok glukózy, roztok chloridu sodného </w:t>
      </w:r>
      <w:r>
        <w:rPr>
          <w:szCs w:val="22"/>
        </w:rPr>
        <w:t xml:space="preserve">s koncentráciou </w:t>
      </w:r>
      <w:r w:rsidR="002F5BFD">
        <w:rPr>
          <w:szCs w:val="22"/>
        </w:rPr>
        <w:t>9 </w:t>
      </w:r>
      <w:r w:rsidRPr="002550D2">
        <w:rPr>
          <w:szCs w:val="22"/>
        </w:rPr>
        <w:t>mg/ml (0,9</w:t>
      </w:r>
      <w:r w:rsidR="002F5BFD">
        <w:rPr>
          <w:szCs w:val="22"/>
        </w:rPr>
        <w:t> </w:t>
      </w:r>
      <w:r w:rsidRPr="002550D2">
        <w:rPr>
          <w:szCs w:val="22"/>
        </w:rPr>
        <w:t xml:space="preserve">%) na </w:t>
      </w:r>
      <w:r w:rsidR="002F5BFD">
        <w:rPr>
          <w:szCs w:val="22"/>
        </w:rPr>
        <w:t>injekciu, manitol 200 </w:t>
      </w:r>
      <w:r w:rsidRPr="002550D2">
        <w:rPr>
          <w:szCs w:val="22"/>
        </w:rPr>
        <w:t>mg/ml (20</w:t>
      </w:r>
      <w:r w:rsidR="002F5BFD">
        <w:t> </w:t>
      </w:r>
      <w:r w:rsidRPr="002550D2">
        <w:rPr>
          <w:szCs w:val="22"/>
        </w:rPr>
        <w:t>%)</w:t>
      </w:r>
      <w:r w:rsidR="002F5BFD">
        <w:rPr>
          <w:szCs w:val="22"/>
        </w:rPr>
        <w:t>.</w:t>
      </w:r>
    </w:p>
    <w:p w14:paraId="53DE46C6" w14:textId="77777777" w:rsidR="00560EDA" w:rsidRPr="0082445A" w:rsidRDefault="00560EDA" w:rsidP="00204AAB">
      <w:pPr>
        <w:spacing w:line="240" w:lineRule="auto"/>
      </w:pPr>
    </w:p>
    <w:p w14:paraId="114E0262" w14:textId="77777777" w:rsidR="00812D16" w:rsidRPr="00BF5AB0" w:rsidRDefault="0050541A" w:rsidP="00204AAB">
      <w:pPr>
        <w:spacing w:line="240" w:lineRule="auto"/>
      </w:pPr>
      <w:r w:rsidRPr="00A72672">
        <w:t>Všetok nepoužitý liek alebo odpad vzniknutý z</w:t>
      </w:r>
      <w:r w:rsidR="00851AE0">
        <w:t> </w:t>
      </w:r>
      <w:r w:rsidRPr="00BF5AB0">
        <w:t>lieku sa má zlikvidovať v s</w:t>
      </w:r>
      <w:r w:rsidR="00B620D9">
        <w:t>úlade s národnými požiadavkami.</w:t>
      </w:r>
    </w:p>
    <w:bookmarkEnd w:id="5"/>
    <w:p w14:paraId="78BE2504" w14:textId="77777777" w:rsidR="00812D16" w:rsidRPr="00891D76" w:rsidRDefault="00812D16" w:rsidP="00204AAB">
      <w:pPr>
        <w:spacing w:line="240" w:lineRule="auto"/>
      </w:pPr>
    </w:p>
    <w:p w14:paraId="319F0C3B" w14:textId="77777777" w:rsidR="00812D16" w:rsidRPr="0082445A" w:rsidRDefault="00812D16" w:rsidP="00204AAB">
      <w:pPr>
        <w:spacing w:line="240" w:lineRule="auto"/>
      </w:pPr>
    </w:p>
    <w:p w14:paraId="3DA4FDFD" w14:textId="77777777" w:rsidR="00812D16" w:rsidRPr="00891D76" w:rsidRDefault="0050541A" w:rsidP="00572506">
      <w:pPr>
        <w:keepNext/>
        <w:numPr>
          <w:ilvl w:val="0"/>
          <w:numId w:val="6"/>
        </w:numPr>
        <w:spacing w:line="240" w:lineRule="auto"/>
      </w:pPr>
      <w:r w:rsidRPr="00BF5AB0">
        <w:rPr>
          <w:b/>
        </w:rPr>
        <w:t>DRŽITEĽ ROZHODNUTIA O</w:t>
      </w:r>
      <w:r>
        <w:rPr>
          <w:b/>
          <w:noProof/>
        </w:rPr>
        <w:t> </w:t>
      </w:r>
      <w:r w:rsidRPr="00BF5AB0">
        <w:rPr>
          <w:b/>
        </w:rPr>
        <w:t>REGISTRÁCII</w:t>
      </w:r>
    </w:p>
    <w:p w14:paraId="7DB0A27B" w14:textId="77777777" w:rsidR="00812D16" w:rsidRPr="0082445A" w:rsidRDefault="00812D16" w:rsidP="00085939">
      <w:pPr>
        <w:keepNext/>
        <w:spacing w:line="240" w:lineRule="auto"/>
      </w:pPr>
    </w:p>
    <w:p w14:paraId="7C564523" w14:textId="77777777" w:rsidR="002F5BFD" w:rsidRDefault="002F5BFD" w:rsidP="002F5BFD">
      <w:pPr>
        <w:keepNext/>
      </w:pPr>
      <w:r w:rsidRPr="008F4ED0">
        <w:t>Mylan Ireland Limited</w:t>
      </w:r>
    </w:p>
    <w:p w14:paraId="14A744AE" w14:textId="77777777" w:rsidR="002F5BFD" w:rsidRDefault="002F5BFD" w:rsidP="002F5BFD">
      <w:pPr>
        <w:keepNext/>
        <w:spacing w:line="240" w:lineRule="auto"/>
      </w:pPr>
      <w:r>
        <w:t>Unit 35/36 Grange Parade</w:t>
      </w:r>
    </w:p>
    <w:p w14:paraId="70028F84" w14:textId="77777777" w:rsidR="002F5BFD" w:rsidRDefault="002F5BFD" w:rsidP="002F5BFD">
      <w:pPr>
        <w:keepNext/>
        <w:spacing w:line="240" w:lineRule="auto"/>
      </w:pPr>
      <w:r>
        <w:t>Baldoyle Industrial Estate</w:t>
      </w:r>
    </w:p>
    <w:p w14:paraId="2D489FA9" w14:textId="77777777" w:rsidR="002F5BFD" w:rsidRDefault="002F5BFD" w:rsidP="002F5BFD">
      <w:pPr>
        <w:keepNext/>
        <w:spacing w:line="240" w:lineRule="auto"/>
      </w:pPr>
      <w:r>
        <w:t>Dublin 13</w:t>
      </w:r>
    </w:p>
    <w:p w14:paraId="5621CEAA" w14:textId="77777777" w:rsidR="00812D16" w:rsidRDefault="002F5BFD" w:rsidP="002F5BFD">
      <w:pPr>
        <w:keepNext/>
        <w:spacing w:line="240" w:lineRule="auto"/>
      </w:pPr>
      <w:r>
        <w:t>Írsko</w:t>
      </w:r>
    </w:p>
    <w:p w14:paraId="6A023968" w14:textId="77777777" w:rsidR="002F5BFD" w:rsidRPr="00A72672" w:rsidRDefault="002F5BFD" w:rsidP="00204AAB">
      <w:pPr>
        <w:spacing w:line="240" w:lineRule="auto"/>
      </w:pPr>
    </w:p>
    <w:p w14:paraId="726128F7" w14:textId="77777777" w:rsidR="00812D16" w:rsidRPr="00A72672" w:rsidRDefault="00812D16" w:rsidP="00204AAB">
      <w:pPr>
        <w:spacing w:line="240" w:lineRule="auto"/>
      </w:pPr>
    </w:p>
    <w:p w14:paraId="146D71F0" w14:textId="77777777" w:rsidR="00812D16" w:rsidRPr="00BF5AB0" w:rsidRDefault="002F5BFD" w:rsidP="00572506">
      <w:pPr>
        <w:keepNext/>
        <w:numPr>
          <w:ilvl w:val="0"/>
          <w:numId w:val="6"/>
        </w:numPr>
        <w:spacing w:line="240" w:lineRule="auto"/>
        <w:rPr>
          <w:b/>
        </w:rPr>
      </w:pPr>
      <w:r>
        <w:rPr>
          <w:b/>
        </w:rPr>
        <w:t xml:space="preserve">REGISTRAČNÉ </w:t>
      </w:r>
      <w:r w:rsidR="0050541A" w:rsidRPr="00BF5AB0">
        <w:rPr>
          <w:b/>
        </w:rPr>
        <w:t>ČÍSLO</w:t>
      </w:r>
    </w:p>
    <w:p w14:paraId="45B8AE5F" w14:textId="77777777" w:rsidR="00812D16" w:rsidRPr="00891D76" w:rsidRDefault="00812D16" w:rsidP="00085939">
      <w:pPr>
        <w:keepNext/>
        <w:spacing w:line="240" w:lineRule="auto"/>
      </w:pPr>
    </w:p>
    <w:p w14:paraId="59065677" w14:textId="055C1C57" w:rsidR="00AB27EA" w:rsidRDefault="00177FD2" w:rsidP="00204AAB">
      <w:pPr>
        <w:spacing w:line="240" w:lineRule="auto"/>
      </w:pPr>
      <w:r w:rsidRPr="00177FD2">
        <w:t>57/0375/19-S</w:t>
      </w:r>
    </w:p>
    <w:p w14:paraId="39B7F200" w14:textId="77777777" w:rsidR="00177FD2" w:rsidRDefault="00177FD2" w:rsidP="00204AAB">
      <w:pPr>
        <w:spacing w:line="240" w:lineRule="auto"/>
      </w:pPr>
    </w:p>
    <w:p w14:paraId="632FF8E8" w14:textId="77777777" w:rsidR="00AB27EA" w:rsidRPr="0082445A" w:rsidRDefault="00AB27EA" w:rsidP="00204AAB">
      <w:pPr>
        <w:spacing w:line="240" w:lineRule="auto"/>
      </w:pPr>
    </w:p>
    <w:p w14:paraId="426CC8C7" w14:textId="77777777" w:rsidR="00812D16" w:rsidRPr="0082445A" w:rsidRDefault="0050541A" w:rsidP="00572506">
      <w:pPr>
        <w:keepNext/>
        <w:numPr>
          <w:ilvl w:val="0"/>
          <w:numId w:val="6"/>
        </w:numPr>
        <w:spacing w:line="240" w:lineRule="auto"/>
      </w:pPr>
      <w:r w:rsidRPr="00BF5AB0">
        <w:rPr>
          <w:b/>
        </w:rPr>
        <w:t>DÁTUM PRVEJ REGISTRÁCIE/PREDĹŽENIA REGISTRÁ</w:t>
      </w:r>
      <w:r w:rsidRPr="00891D76">
        <w:rPr>
          <w:b/>
        </w:rPr>
        <w:t>CIE</w:t>
      </w:r>
    </w:p>
    <w:p w14:paraId="625F54BB" w14:textId="77777777" w:rsidR="00812D16" w:rsidRPr="00085939" w:rsidRDefault="00812D16" w:rsidP="00085939">
      <w:pPr>
        <w:keepNext/>
        <w:spacing w:line="240" w:lineRule="auto"/>
        <w:rPr>
          <w:i/>
        </w:rPr>
      </w:pPr>
    </w:p>
    <w:p w14:paraId="7E426CFC" w14:textId="5FF399DE" w:rsidR="00812D16" w:rsidRPr="002F5BFD" w:rsidRDefault="0050541A" w:rsidP="008F1425">
      <w:pPr>
        <w:spacing w:line="240" w:lineRule="auto"/>
        <w:rPr>
          <w:i/>
        </w:rPr>
      </w:pPr>
      <w:r w:rsidRPr="00BF5AB0">
        <w:t>Dátum prvej registr</w:t>
      </w:r>
      <w:r w:rsidR="002F5BFD">
        <w:t>ácie:</w:t>
      </w:r>
      <w:r w:rsidR="000D65AA">
        <w:t xml:space="preserve"> 29. novembra 2019</w:t>
      </w:r>
    </w:p>
    <w:p w14:paraId="555C04B2" w14:textId="77777777" w:rsidR="00812D16" w:rsidRPr="00A72672" w:rsidRDefault="00812D16" w:rsidP="00204AAB">
      <w:pPr>
        <w:spacing w:line="240" w:lineRule="auto"/>
      </w:pPr>
    </w:p>
    <w:p w14:paraId="462CF1F6" w14:textId="77777777" w:rsidR="00812D16" w:rsidRPr="00A72672" w:rsidRDefault="00812D16" w:rsidP="00204AAB">
      <w:pPr>
        <w:spacing w:line="240" w:lineRule="auto"/>
      </w:pPr>
    </w:p>
    <w:p w14:paraId="454B4747" w14:textId="77777777" w:rsidR="00812D16" w:rsidRPr="00891D76" w:rsidRDefault="0050541A" w:rsidP="00572506">
      <w:pPr>
        <w:keepNext/>
        <w:numPr>
          <w:ilvl w:val="0"/>
          <w:numId w:val="6"/>
        </w:numPr>
        <w:spacing w:line="240" w:lineRule="auto"/>
        <w:rPr>
          <w:b/>
        </w:rPr>
      </w:pPr>
      <w:r w:rsidRPr="00BF5AB0">
        <w:rPr>
          <w:b/>
        </w:rPr>
        <w:t>DÁTUM REVÍZIE TEXTU</w:t>
      </w:r>
    </w:p>
    <w:p w14:paraId="73FA519F" w14:textId="77777777" w:rsidR="00812D16" w:rsidRDefault="00812D16" w:rsidP="00085939">
      <w:pPr>
        <w:keepNext/>
        <w:spacing w:line="240" w:lineRule="auto"/>
      </w:pPr>
    </w:p>
    <w:p w14:paraId="38D6D119" w14:textId="59699476" w:rsidR="00812D16" w:rsidRDefault="00426632" w:rsidP="00204AAB">
      <w:pPr>
        <w:spacing w:line="240" w:lineRule="auto"/>
      </w:pPr>
      <w:r>
        <w:t>0</w:t>
      </w:r>
      <w:r w:rsidR="000173CE">
        <w:t>4</w:t>
      </w:r>
      <w:r>
        <w:t>/2020</w:t>
      </w:r>
    </w:p>
    <w:p w14:paraId="45A57924" w14:textId="77777777" w:rsidR="00177FD2" w:rsidRPr="00A72672" w:rsidRDefault="00177FD2" w:rsidP="00204AAB">
      <w:pPr>
        <w:spacing w:line="240" w:lineRule="auto"/>
      </w:pPr>
      <w:bookmarkStart w:id="6" w:name="_GoBack"/>
      <w:bookmarkEnd w:id="6"/>
    </w:p>
    <w:p w14:paraId="24208ED7" w14:textId="77777777" w:rsidR="00586412" w:rsidRDefault="00586412" w:rsidP="00F05FC8">
      <w:pPr>
        <w:spacing w:line="240" w:lineRule="auto"/>
        <w:rPr>
          <w:noProof/>
        </w:rPr>
      </w:pPr>
      <w:r w:rsidRPr="003021DE">
        <w:rPr>
          <w:noProof/>
          <w:szCs w:val="22"/>
        </w:rPr>
        <w:t xml:space="preserve">Podrobné informácie o tomto lieku sú dostupné na internetovej stránke </w:t>
      </w:r>
      <w:r>
        <w:rPr>
          <w:noProof/>
        </w:rPr>
        <w:t>Štátneho ústavu pre kontrolu liečiv (</w:t>
      </w:r>
      <w:hyperlink r:id="rId9" w:history="1">
        <w:r w:rsidRPr="00E65206">
          <w:rPr>
            <w:rStyle w:val="Hypertextovprepojenie"/>
            <w:noProof/>
          </w:rPr>
          <w:t>www.sukl.sk</w:t>
        </w:r>
      </w:hyperlink>
      <w:r>
        <w:rPr>
          <w:noProof/>
        </w:rPr>
        <w:t>).</w:t>
      </w:r>
    </w:p>
    <w:p w14:paraId="10149105" w14:textId="77777777" w:rsidR="00B64B2F" w:rsidRPr="00993B4C" w:rsidRDefault="00B64B2F" w:rsidP="00204AAB">
      <w:pPr>
        <w:spacing w:line="240" w:lineRule="auto"/>
        <w:outlineLvl w:val="0"/>
      </w:pPr>
    </w:p>
    <w:p w14:paraId="000C282A" w14:textId="77777777" w:rsidR="00ED5AD2" w:rsidRPr="00BF5AB0" w:rsidRDefault="00ED5AD2" w:rsidP="00993B4C">
      <w:pPr>
        <w:spacing w:line="240" w:lineRule="auto"/>
        <w:outlineLvl w:val="0"/>
      </w:pPr>
    </w:p>
    <w:sectPr w:rsidR="00ED5AD2" w:rsidRPr="00BF5AB0" w:rsidSect="00085939">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B1796" w14:textId="77777777" w:rsidR="005F3EDE" w:rsidRDefault="005F3EDE">
      <w:pPr>
        <w:spacing w:line="240" w:lineRule="auto"/>
      </w:pPr>
      <w:r>
        <w:separator/>
      </w:r>
    </w:p>
  </w:endnote>
  <w:endnote w:type="continuationSeparator" w:id="0">
    <w:p w14:paraId="62DFA634" w14:textId="77777777" w:rsidR="005F3EDE" w:rsidRDefault="005F3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5EDF" w14:textId="73700523" w:rsidR="005E706C" w:rsidRPr="00E765A1" w:rsidRDefault="005E706C" w:rsidP="00085939">
    <w:pPr>
      <w:pStyle w:val="Pta1"/>
      <w:tabs>
        <w:tab w:val="right" w:pos="8931"/>
      </w:tabs>
      <w:ind w:right="96"/>
      <w:jc w:val="center"/>
      <w:rPr>
        <w:rFonts w:ascii="Times New Roman" w:hAnsi="Times New Roman"/>
        <w:sz w:val="18"/>
        <w:szCs w:val="18"/>
      </w:rPr>
    </w:pPr>
    <w:r w:rsidRPr="00A72672">
      <w:fldChar w:fldCharType="begin"/>
    </w:r>
    <w:r w:rsidRPr="00A72672">
      <w:instrText xml:space="preserve"> EQ </w:instrText>
    </w:r>
    <w:r w:rsidRPr="00A72672">
      <w:fldChar w:fldCharType="end"/>
    </w:r>
    <w:r w:rsidRPr="00E765A1">
      <w:rPr>
        <w:rStyle w:val="slostrany1"/>
        <w:rFonts w:ascii="Times New Roman" w:hAnsi="Times New Roman"/>
        <w:sz w:val="18"/>
        <w:szCs w:val="18"/>
      </w:rPr>
      <w:fldChar w:fldCharType="begin"/>
    </w:r>
    <w:r w:rsidRPr="00E765A1">
      <w:rPr>
        <w:rStyle w:val="slostrany1"/>
        <w:rFonts w:ascii="Times New Roman" w:hAnsi="Times New Roman"/>
        <w:sz w:val="18"/>
        <w:szCs w:val="18"/>
      </w:rPr>
      <w:instrText xml:space="preserve">PAGE  </w:instrText>
    </w:r>
    <w:r w:rsidRPr="00E765A1">
      <w:rPr>
        <w:rStyle w:val="slostrany1"/>
        <w:rFonts w:ascii="Times New Roman" w:hAnsi="Times New Roman"/>
        <w:sz w:val="18"/>
        <w:szCs w:val="18"/>
      </w:rPr>
      <w:fldChar w:fldCharType="separate"/>
    </w:r>
    <w:r w:rsidR="000173CE">
      <w:rPr>
        <w:rStyle w:val="slostrany1"/>
        <w:rFonts w:ascii="Times New Roman" w:hAnsi="Times New Roman"/>
        <w:sz w:val="18"/>
        <w:szCs w:val="18"/>
      </w:rPr>
      <w:t>1</w:t>
    </w:r>
    <w:r w:rsidRPr="00E765A1">
      <w:rPr>
        <w:rStyle w:val="slostrany1"/>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BF2F" w14:textId="77777777" w:rsidR="005E706C" w:rsidRDefault="005E706C" w:rsidP="00085939">
    <w:pPr>
      <w:pStyle w:val="Pta1"/>
      <w:tabs>
        <w:tab w:val="right" w:pos="8931"/>
      </w:tabs>
      <w:ind w:right="96"/>
      <w:jc w:val="center"/>
    </w:pPr>
    <w:r>
      <w:fldChar w:fldCharType="begin"/>
    </w:r>
    <w:r>
      <w:instrText xml:space="preserve"> EQ </w:instrText>
    </w:r>
    <w:r>
      <w:fldChar w:fldCharType="end"/>
    </w:r>
    <w:r w:rsidRPr="00BF5AB0">
      <w:rPr>
        <w:rStyle w:val="slostrany1"/>
      </w:rPr>
      <w:fldChar w:fldCharType="begin"/>
    </w:r>
    <w:r w:rsidRPr="00A72672">
      <w:rPr>
        <w:rStyle w:val="slostrany1"/>
      </w:rPr>
      <w:instrText xml:space="preserve">PAGE  </w:instrText>
    </w:r>
    <w:r w:rsidRPr="00BF5AB0">
      <w:rPr>
        <w:rStyle w:val="slostrany1"/>
      </w:rPr>
      <w:fldChar w:fldCharType="separate"/>
    </w:r>
    <w:r>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03BEC" w14:textId="77777777" w:rsidR="005F3EDE" w:rsidRDefault="005F3EDE">
      <w:pPr>
        <w:spacing w:line="240" w:lineRule="auto"/>
      </w:pPr>
      <w:r>
        <w:separator/>
      </w:r>
    </w:p>
  </w:footnote>
  <w:footnote w:type="continuationSeparator" w:id="0">
    <w:p w14:paraId="4F368C86" w14:textId="77777777" w:rsidR="005F3EDE" w:rsidRDefault="005F3E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3FC28" w14:textId="279B741B" w:rsidR="003E2AC0" w:rsidRDefault="00F04218">
    <w:pPr>
      <w:pStyle w:val="Hlavika1"/>
      <w:spacing w:line="240" w:lineRule="auto"/>
      <w:rPr>
        <w:rFonts w:ascii="Times New Roman" w:hAnsi="Times New Roman"/>
        <w:sz w:val="18"/>
        <w:szCs w:val="18"/>
      </w:rPr>
    </w:pPr>
    <w:r w:rsidRPr="00C05472">
      <w:rPr>
        <w:rFonts w:ascii="Times New Roman" w:hAnsi="Times New Roman"/>
        <w:sz w:val="18"/>
        <w:szCs w:val="18"/>
      </w:rPr>
      <w:t xml:space="preserve">Príloha č. 1 k notifikácii o zmene, ev. č.: </w:t>
    </w:r>
    <w:r w:rsidR="00BD2744" w:rsidRPr="000173CE">
      <w:rPr>
        <w:rFonts w:ascii="Times New Roman" w:hAnsi="Times New Roman"/>
        <w:sz w:val="18"/>
        <w:szCs w:val="18"/>
      </w:rPr>
      <w:t>2020/01226-Z1A</w:t>
    </w:r>
  </w:p>
  <w:p w14:paraId="79AA5192" w14:textId="77777777" w:rsidR="005E706C" w:rsidRDefault="005E706C" w:rsidP="00E765A1">
    <w:pPr>
      <w:pStyle w:val="Hlavika1"/>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D0106B6A">
      <w:start w:val="1"/>
      <w:numFmt w:val="bullet"/>
      <w:lvlText w:val=""/>
      <w:lvlJc w:val="left"/>
      <w:pPr>
        <w:tabs>
          <w:tab w:val="num" w:pos="720"/>
        </w:tabs>
        <w:ind w:left="720" w:hanging="360"/>
      </w:pPr>
      <w:rPr>
        <w:rFonts w:ascii="Symbol" w:hAnsi="Symbol" w:hint="default"/>
      </w:rPr>
    </w:lvl>
    <w:lvl w:ilvl="1" w:tplc="4B2A143C" w:tentative="1">
      <w:start w:val="1"/>
      <w:numFmt w:val="bullet"/>
      <w:lvlText w:val="o"/>
      <w:lvlJc w:val="left"/>
      <w:pPr>
        <w:tabs>
          <w:tab w:val="num" w:pos="1440"/>
        </w:tabs>
        <w:ind w:left="1440" w:hanging="360"/>
      </w:pPr>
      <w:rPr>
        <w:rFonts w:ascii="Courier New" w:hAnsi="Courier New" w:cs="Courier New" w:hint="default"/>
      </w:rPr>
    </w:lvl>
    <w:lvl w:ilvl="2" w:tplc="7E1ED612" w:tentative="1">
      <w:start w:val="1"/>
      <w:numFmt w:val="bullet"/>
      <w:lvlText w:val=""/>
      <w:lvlJc w:val="left"/>
      <w:pPr>
        <w:tabs>
          <w:tab w:val="num" w:pos="2160"/>
        </w:tabs>
        <w:ind w:left="2160" w:hanging="360"/>
      </w:pPr>
      <w:rPr>
        <w:rFonts w:ascii="Wingdings" w:hAnsi="Wingdings" w:hint="default"/>
      </w:rPr>
    </w:lvl>
    <w:lvl w:ilvl="3" w:tplc="0A22FF96" w:tentative="1">
      <w:start w:val="1"/>
      <w:numFmt w:val="bullet"/>
      <w:lvlText w:val=""/>
      <w:lvlJc w:val="left"/>
      <w:pPr>
        <w:tabs>
          <w:tab w:val="num" w:pos="2880"/>
        </w:tabs>
        <w:ind w:left="2880" w:hanging="360"/>
      </w:pPr>
      <w:rPr>
        <w:rFonts w:ascii="Symbol" w:hAnsi="Symbol" w:hint="default"/>
      </w:rPr>
    </w:lvl>
    <w:lvl w:ilvl="4" w:tplc="A7C0F102" w:tentative="1">
      <w:start w:val="1"/>
      <w:numFmt w:val="bullet"/>
      <w:lvlText w:val="o"/>
      <w:lvlJc w:val="left"/>
      <w:pPr>
        <w:tabs>
          <w:tab w:val="num" w:pos="3600"/>
        </w:tabs>
        <w:ind w:left="3600" w:hanging="360"/>
      </w:pPr>
      <w:rPr>
        <w:rFonts w:ascii="Courier New" w:hAnsi="Courier New" w:cs="Courier New" w:hint="default"/>
      </w:rPr>
    </w:lvl>
    <w:lvl w:ilvl="5" w:tplc="8E4EAC02" w:tentative="1">
      <w:start w:val="1"/>
      <w:numFmt w:val="bullet"/>
      <w:lvlText w:val=""/>
      <w:lvlJc w:val="left"/>
      <w:pPr>
        <w:tabs>
          <w:tab w:val="num" w:pos="4320"/>
        </w:tabs>
        <w:ind w:left="4320" w:hanging="360"/>
      </w:pPr>
      <w:rPr>
        <w:rFonts w:ascii="Wingdings" w:hAnsi="Wingdings" w:hint="default"/>
      </w:rPr>
    </w:lvl>
    <w:lvl w:ilvl="6" w:tplc="4DDA13CE" w:tentative="1">
      <w:start w:val="1"/>
      <w:numFmt w:val="bullet"/>
      <w:lvlText w:val=""/>
      <w:lvlJc w:val="left"/>
      <w:pPr>
        <w:tabs>
          <w:tab w:val="num" w:pos="5040"/>
        </w:tabs>
        <w:ind w:left="5040" w:hanging="360"/>
      </w:pPr>
      <w:rPr>
        <w:rFonts w:ascii="Symbol" w:hAnsi="Symbol" w:hint="default"/>
      </w:rPr>
    </w:lvl>
    <w:lvl w:ilvl="7" w:tplc="48C41064" w:tentative="1">
      <w:start w:val="1"/>
      <w:numFmt w:val="bullet"/>
      <w:lvlText w:val="o"/>
      <w:lvlJc w:val="left"/>
      <w:pPr>
        <w:tabs>
          <w:tab w:val="num" w:pos="5760"/>
        </w:tabs>
        <w:ind w:left="5760" w:hanging="360"/>
      </w:pPr>
      <w:rPr>
        <w:rFonts w:ascii="Courier New" w:hAnsi="Courier New" w:cs="Courier New" w:hint="default"/>
      </w:rPr>
    </w:lvl>
    <w:lvl w:ilvl="8" w:tplc="104ED0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56B69"/>
    <w:multiLevelType w:val="hybridMultilevel"/>
    <w:tmpl w:val="EAF8C6D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B4663616">
      <w:start w:val="1"/>
      <w:numFmt w:val="decimal"/>
      <w:lvlText w:val="%1."/>
      <w:lvlJc w:val="left"/>
      <w:pPr>
        <w:ind w:left="930" w:hanging="570"/>
      </w:pPr>
      <w:rPr>
        <w:rFonts w:hint="default"/>
      </w:rPr>
    </w:lvl>
    <w:lvl w:ilvl="1" w:tplc="521EE282" w:tentative="1">
      <w:start w:val="1"/>
      <w:numFmt w:val="lowerLetter"/>
      <w:lvlText w:val="%2."/>
      <w:lvlJc w:val="left"/>
      <w:pPr>
        <w:ind w:left="1440" w:hanging="360"/>
      </w:pPr>
    </w:lvl>
    <w:lvl w:ilvl="2" w:tplc="4DD8C14E" w:tentative="1">
      <w:start w:val="1"/>
      <w:numFmt w:val="lowerRoman"/>
      <w:lvlText w:val="%3."/>
      <w:lvlJc w:val="right"/>
      <w:pPr>
        <w:ind w:left="2160" w:hanging="180"/>
      </w:pPr>
    </w:lvl>
    <w:lvl w:ilvl="3" w:tplc="7DF0D4E4" w:tentative="1">
      <w:start w:val="1"/>
      <w:numFmt w:val="decimal"/>
      <w:lvlText w:val="%4."/>
      <w:lvlJc w:val="left"/>
      <w:pPr>
        <w:ind w:left="2880" w:hanging="360"/>
      </w:pPr>
    </w:lvl>
    <w:lvl w:ilvl="4" w:tplc="E91A32C8" w:tentative="1">
      <w:start w:val="1"/>
      <w:numFmt w:val="lowerLetter"/>
      <w:lvlText w:val="%5."/>
      <w:lvlJc w:val="left"/>
      <w:pPr>
        <w:ind w:left="3600" w:hanging="360"/>
      </w:pPr>
    </w:lvl>
    <w:lvl w:ilvl="5" w:tplc="815C384A" w:tentative="1">
      <w:start w:val="1"/>
      <w:numFmt w:val="lowerRoman"/>
      <w:lvlText w:val="%6."/>
      <w:lvlJc w:val="right"/>
      <w:pPr>
        <w:ind w:left="4320" w:hanging="180"/>
      </w:pPr>
    </w:lvl>
    <w:lvl w:ilvl="6" w:tplc="F5986874" w:tentative="1">
      <w:start w:val="1"/>
      <w:numFmt w:val="decimal"/>
      <w:lvlText w:val="%7."/>
      <w:lvlJc w:val="left"/>
      <w:pPr>
        <w:ind w:left="5040" w:hanging="360"/>
      </w:pPr>
    </w:lvl>
    <w:lvl w:ilvl="7" w:tplc="928A24B4" w:tentative="1">
      <w:start w:val="1"/>
      <w:numFmt w:val="lowerLetter"/>
      <w:lvlText w:val="%8."/>
      <w:lvlJc w:val="left"/>
      <w:pPr>
        <w:ind w:left="5760" w:hanging="360"/>
      </w:pPr>
    </w:lvl>
    <w:lvl w:ilvl="8" w:tplc="64742DFC" w:tentative="1">
      <w:start w:val="1"/>
      <w:numFmt w:val="lowerRoman"/>
      <w:lvlText w:val="%9."/>
      <w:lvlJc w:val="right"/>
      <w:pPr>
        <w:ind w:left="6480" w:hanging="180"/>
      </w:pPr>
    </w:lvl>
  </w:abstractNum>
  <w:abstractNum w:abstractNumId="4" w15:restartNumberingAfterBreak="0">
    <w:nsid w:val="2D3F14CF"/>
    <w:multiLevelType w:val="hybridMultilevel"/>
    <w:tmpl w:val="6FC0A652"/>
    <w:lvl w:ilvl="0" w:tplc="AE30EE2A">
      <w:start w:val="1"/>
      <w:numFmt w:val="decimal"/>
      <w:lvlText w:val="%1."/>
      <w:lvlJc w:val="left"/>
      <w:pPr>
        <w:ind w:left="780" w:hanging="420"/>
      </w:pPr>
      <w:rPr>
        <w:rFonts w:hint="default"/>
      </w:rPr>
    </w:lvl>
    <w:lvl w:ilvl="1" w:tplc="6B3C41A8" w:tentative="1">
      <w:start w:val="1"/>
      <w:numFmt w:val="lowerLetter"/>
      <w:lvlText w:val="%2."/>
      <w:lvlJc w:val="left"/>
      <w:pPr>
        <w:ind w:left="1440" w:hanging="360"/>
      </w:pPr>
    </w:lvl>
    <w:lvl w:ilvl="2" w:tplc="2E109E72" w:tentative="1">
      <w:start w:val="1"/>
      <w:numFmt w:val="lowerRoman"/>
      <w:lvlText w:val="%3."/>
      <w:lvlJc w:val="right"/>
      <w:pPr>
        <w:ind w:left="2160" w:hanging="180"/>
      </w:pPr>
    </w:lvl>
    <w:lvl w:ilvl="3" w:tplc="F5C407A4" w:tentative="1">
      <w:start w:val="1"/>
      <w:numFmt w:val="decimal"/>
      <w:lvlText w:val="%4."/>
      <w:lvlJc w:val="left"/>
      <w:pPr>
        <w:ind w:left="2880" w:hanging="360"/>
      </w:pPr>
    </w:lvl>
    <w:lvl w:ilvl="4" w:tplc="8604EFCA" w:tentative="1">
      <w:start w:val="1"/>
      <w:numFmt w:val="lowerLetter"/>
      <w:lvlText w:val="%5."/>
      <w:lvlJc w:val="left"/>
      <w:pPr>
        <w:ind w:left="3600" w:hanging="360"/>
      </w:pPr>
    </w:lvl>
    <w:lvl w:ilvl="5" w:tplc="DEE8EBFA" w:tentative="1">
      <w:start w:val="1"/>
      <w:numFmt w:val="lowerRoman"/>
      <w:lvlText w:val="%6."/>
      <w:lvlJc w:val="right"/>
      <w:pPr>
        <w:ind w:left="4320" w:hanging="180"/>
      </w:pPr>
    </w:lvl>
    <w:lvl w:ilvl="6" w:tplc="7854C032" w:tentative="1">
      <w:start w:val="1"/>
      <w:numFmt w:val="decimal"/>
      <w:lvlText w:val="%7."/>
      <w:lvlJc w:val="left"/>
      <w:pPr>
        <w:ind w:left="5040" w:hanging="360"/>
      </w:pPr>
    </w:lvl>
    <w:lvl w:ilvl="7" w:tplc="B8B0F0F2" w:tentative="1">
      <w:start w:val="1"/>
      <w:numFmt w:val="lowerLetter"/>
      <w:lvlText w:val="%8."/>
      <w:lvlJc w:val="left"/>
      <w:pPr>
        <w:ind w:left="5760" w:hanging="360"/>
      </w:pPr>
    </w:lvl>
    <w:lvl w:ilvl="8" w:tplc="3244A58A"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DD3CC408">
      <w:start w:val="1"/>
      <w:numFmt w:val="decimal"/>
      <w:lvlText w:val="%1."/>
      <w:lvlJc w:val="left"/>
      <w:pPr>
        <w:ind w:left="930" w:hanging="570"/>
      </w:pPr>
      <w:rPr>
        <w:rFonts w:hint="default"/>
        <w:b/>
      </w:rPr>
    </w:lvl>
    <w:lvl w:ilvl="1" w:tplc="0BF4E6BA" w:tentative="1">
      <w:start w:val="1"/>
      <w:numFmt w:val="lowerLetter"/>
      <w:lvlText w:val="%2."/>
      <w:lvlJc w:val="left"/>
      <w:pPr>
        <w:ind w:left="1440" w:hanging="360"/>
      </w:pPr>
    </w:lvl>
    <w:lvl w:ilvl="2" w:tplc="F140C12E" w:tentative="1">
      <w:start w:val="1"/>
      <w:numFmt w:val="lowerRoman"/>
      <w:lvlText w:val="%3."/>
      <w:lvlJc w:val="right"/>
      <w:pPr>
        <w:ind w:left="2160" w:hanging="180"/>
      </w:pPr>
    </w:lvl>
    <w:lvl w:ilvl="3" w:tplc="7E1EB318" w:tentative="1">
      <w:start w:val="1"/>
      <w:numFmt w:val="decimal"/>
      <w:lvlText w:val="%4."/>
      <w:lvlJc w:val="left"/>
      <w:pPr>
        <w:ind w:left="2880" w:hanging="360"/>
      </w:pPr>
    </w:lvl>
    <w:lvl w:ilvl="4" w:tplc="187E1070" w:tentative="1">
      <w:start w:val="1"/>
      <w:numFmt w:val="lowerLetter"/>
      <w:lvlText w:val="%5."/>
      <w:lvlJc w:val="left"/>
      <w:pPr>
        <w:ind w:left="3600" w:hanging="360"/>
      </w:pPr>
    </w:lvl>
    <w:lvl w:ilvl="5" w:tplc="1CC4DCCC" w:tentative="1">
      <w:start w:val="1"/>
      <w:numFmt w:val="lowerRoman"/>
      <w:lvlText w:val="%6."/>
      <w:lvlJc w:val="right"/>
      <w:pPr>
        <w:ind w:left="4320" w:hanging="180"/>
      </w:pPr>
    </w:lvl>
    <w:lvl w:ilvl="6" w:tplc="07746382" w:tentative="1">
      <w:start w:val="1"/>
      <w:numFmt w:val="decimal"/>
      <w:lvlText w:val="%7."/>
      <w:lvlJc w:val="left"/>
      <w:pPr>
        <w:ind w:left="5040" w:hanging="360"/>
      </w:pPr>
    </w:lvl>
    <w:lvl w:ilvl="7" w:tplc="DD0EDC66" w:tentative="1">
      <w:start w:val="1"/>
      <w:numFmt w:val="lowerLetter"/>
      <w:lvlText w:val="%8."/>
      <w:lvlJc w:val="left"/>
      <w:pPr>
        <w:ind w:left="5760" w:hanging="360"/>
      </w:pPr>
    </w:lvl>
    <w:lvl w:ilvl="8" w:tplc="DB3AF6D0" w:tentative="1">
      <w:start w:val="1"/>
      <w:numFmt w:val="lowerRoman"/>
      <w:lvlText w:val="%9."/>
      <w:lvlJc w:val="right"/>
      <w:pPr>
        <w:ind w:left="6480" w:hanging="180"/>
      </w:pPr>
    </w:lvl>
  </w:abstractNum>
  <w:abstractNum w:abstractNumId="6" w15:restartNumberingAfterBreak="0">
    <w:nsid w:val="32E36A09"/>
    <w:multiLevelType w:val="hybridMultilevel"/>
    <w:tmpl w:val="5D2E472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613732"/>
    <w:multiLevelType w:val="hybridMultilevel"/>
    <w:tmpl w:val="5808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1015A7"/>
    <w:multiLevelType w:val="hybridMultilevel"/>
    <w:tmpl w:val="E6C831A4"/>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C96CB2"/>
    <w:multiLevelType w:val="hybridMultilevel"/>
    <w:tmpl w:val="8C669D6A"/>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8668D692">
      <w:start w:val="1"/>
      <w:numFmt w:val="upperLetter"/>
      <w:lvlText w:val="%1."/>
      <w:lvlJc w:val="left"/>
      <w:pPr>
        <w:ind w:left="1701" w:hanging="708"/>
      </w:pPr>
      <w:rPr>
        <w:rFonts w:hint="default"/>
      </w:rPr>
    </w:lvl>
    <w:lvl w:ilvl="1" w:tplc="58D41508">
      <w:start w:val="1"/>
      <w:numFmt w:val="decimal"/>
      <w:lvlText w:val="%2."/>
      <w:lvlJc w:val="left"/>
      <w:pPr>
        <w:ind w:left="2283" w:hanging="570"/>
      </w:pPr>
      <w:rPr>
        <w:rFonts w:hint="default"/>
      </w:rPr>
    </w:lvl>
    <w:lvl w:ilvl="2" w:tplc="119015E2" w:tentative="1">
      <w:start w:val="1"/>
      <w:numFmt w:val="lowerRoman"/>
      <w:lvlText w:val="%3."/>
      <w:lvlJc w:val="right"/>
      <w:pPr>
        <w:ind w:left="2793" w:hanging="180"/>
      </w:pPr>
    </w:lvl>
    <w:lvl w:ilvl="3" w:tplc="0310EAE2" w:tentative="1">
      <w:start w:val="1"/>
      <w:numFmt w:val="decimal"/>
      <w:lvlText w:val="%4."/>
      <w:lvlJc w:val="left"/>
      <w:pPr>
        <w:ind w:left="3513" w:hanging="360"/>
      </w:pPr>
    </w:lvl>
    <w:lvl w:ilvl="4" w:tplc="5FCEDF06" w:tentative="1">
      <w:start w:val="1"/>
      <w:numFmt w:val="lowerLetter"/>
      <w:lvlText w:val="%5."/>
      <w:lvlJc w:val="left"/>
      <w:pPr>
        <w:ind w:left="4233" w:hanging="360"/>
      </w:pPr>
    </w:lvl>
    <w:lvl w:ilvl="5" w:tplc="72468A0A" w:tentative="1">
      <w:start w:val="1"/>
      <w:numFmt w:val="lowerRoman"/>
      <w:lvlText w:val="%6."/>
      <w:lvlJc w:val="right"/>
      <w:pPr>
        <w:ind w:left="4953" w:hanging="180"/>
      </w:pPr>
    </w:lvl>
    <w:lvl w:ilvl="6" w:tplc="283A91EE" w:tentative="1">
      <w:start w:val="1"/>
      <w:numFmt w:val="decimal"/>
      <w:lvlText w:val="%7."/>
      <w:lvlJc w:val="left"/>
      <w:pPr>
        <w:ind w:left="5673" w:hanging="360"/>
      </w:pPr>
    </w:lvl>
    <w:lvl w:ilvl="7" w:tplc="02A4BF34" w:tentative="1">
      <w:start w:val="1"/>
      <w:numFmt w:val="lowerLetter"/>
      <w:lvlText w:val="%8."/>
      <w:lvlJc w:val="left"/>
      <w:pPr>
        <w:ind w:left="6393" w:hanging="360"/>
      </w:pPr>
    </w:lvl>
    <w:lvl w:ilvl="8" w:tplc="A7BA1F18" w:tentative="1">
      <w:start w:val="1"/>
      <w:numFmt w:val="lowerRoman"/>
      <w:lvlText w:val="%9."/>
      <w:lvlJc w:val="right"/>
      <w:pPr>
        <w:ind w:left="7113" w:hanging="180"/>
      </w:pPr>
    </w:lvl>
  </w:abstractNum>
  <w:abstractNum w:abstractNumId="1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689579D3"/>
    <w:multiLevelType w:val="hybridMultilevel"/>
    <w:tmpl w:val="B8261F1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8DE4793"/>
    <w:multiLevelType w:val="hybridMultilevel"/>
    <w:tmpl w:val="1A7EDB3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8D5693"/>
    <w:multiLevelType w:val="hybridMultilevel"/>
    <w:tmpl w:val="00C4B920"/>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829E8938">
      <w:start w:val="1"/>
      <w:numFmt w:val="bullet"/>
      <w:lvlText w:val=""/>
      <w:lvlJc w:val="left"/>
      <w:pPr>
        <w:tabs>
          <w:tab w:val="num" w:pos="720"/>
        </w:tabs>
        <w:ind w:left="720" w:hanging="360"/>
      </w:pPr>
      <w:rPr>
        <w:rFonts w:ascii="Symbol" w:hAnsi="Symbol" w:hint="default"/>
      </w:rPr>
    </w:lvl>
    <w:lvl w:ilvl="1" w:tplc="BB1C9C7E" w:tentative="1">
      <w:start w:val="1"/>
      <w:numFmt w:val="bullet"/>
      <w:lvlText w:val="o"/>
      <w:lvlJc w:val="left"/>
      <w:pPr>
        <w:tabs>
          <w:tab w:val="num" w:pos="1440"/>
        </w:tabs>
        <w:ind w:left="1440" w:hanging="360"/>
      </w:pPr>
      <w:rPr>
        <w:rFonts w:ascii="Courier New" w:hAnsi="Courier New" w:cs="Courier New" w:hint="default"/>
      </w:rPr>
    </w:lvl>
    <w:lvl w:ilvl="2" w:tplc="3350002A" w:tentative="1">
      <w:start w:val="1"/>
      <w:numFmt w:val="bullet"/>
      <w:lvlText w:val=""/>
      <w:lvlJc w:val="left"/>
      <w:pPr>
        <w:tabs>
          <w:tab w:val="num" w:pos="2160"/>
        </w:tabs>
        <w:ind w:left="2160" w:hanging="360"/>
      </w:pPr>
      <w:rPr>
        <w:rFonts w:ascii="Wingdings" w:hAnsi="Wingdings" w:hint="default"/>
      </w:rPr>
    </w:lvl>
    <w:lvl w:ilvl="3" w:tplc="B65C8732" w:tentative="1">
      <w:start w:val="1"/>
      <w:numFmt w:val="bullet"/>
      <w:lvlText w:val=""/>
      <w:lvlJc w:val="left"/>
      <w:pPr>
        <w:tabs>
          <w:tab w:val="num" w:pos="2880"/>
        </w:tabs>
        <w:ind w:left="2880" w:hanging="360"/>
      </w:pPr>
      <w:rPr>
        <w:rFonts w:ascii="Symbol" w:hAnsi="Symbol" w:hint="default"/>
      </w:rPr>
    </w:lvl>
    <w:lvl w:ilvl="4" w:tplc="12629E66" w:tentative="1">
      <w:start w:val="1"/>
      <w:numFmt w:val="bullet"/>
      <w:lvlText w:val="o"/>
      <w:lvlJc w:val="left"/>
      <w:pPr>
        <w:tabs>
          <w:tab w:val="num" w:pos="3600"/>
        </w:tabs>
        <w:ind w:left="3600" w:hanging="360"/>
      </w:pPr>
      <w:rPr>
        <w:rFonts w:ascii="Courier New" w:hAnsi="Courier New" w:cs="Courier New" w:hint="default"/>
      </w:rPr>
    </w:lvl>
    <w:lvl w:ilvl="5" w:tplc="1AB8752A" w:tentative="1">
      <w:start w:val="1"/>
      <w:numFmt w:val="bullet"/>
      <w:lvlText w:val=""/>
      <w:lvlJc w:val="left"/>
      <w:pPr>
        <w:tabs>
          <w:tab w:val="num" w:pos="4320"/>
        </w:tabs>
        <w:ind w:left="4320" w:hanging="360"/>
      </w:pPr>
      <w:rPr>
        <w:rFonts w:ascii="Wingdings" w:hAnsi="Wingdings" w:hint="default"/>
      </w:rPr>
    </w:lvl>
    <w:lvl w:ilvl="6" w:tplc="32A2E326" w:tentative="1">
      <w:start w:val="1"/>
      <w:numFmt w:val="bullet"/>
      <w:lvlText w:val=""/>
      <w:lvlJc w:val="left"/>
      <w:pPr>
        <w:tabs>
          <w:tab w:val="num" w:pos="5040"/>
        </w:tabs>
        <w:ind w:left="5040" w:hanging="360"/>
      </w:pPr>
      <w:rPr>
        <w:rFonts w:ascii="Symbol" w:hAnsi="Symbol" w:hint="default"/>
      </w:rPr>
    </w:lvl>
    <w:lvl w:ilvl="7" w:tplc="EB90B1F2" w:tentative="1">
      <w:start w:val="1"/>
      <w:numFmt w:val="bullet"/>
      <w:lvlText w:val="o"/>
      <w:lvlJc w:val="left"/>
      <w:pPr>
        <w:tabs>
          <w:tab w:val="num" w:pos="5760"/>
        </w:tabs>
        <w:ind w:left="5760" w:hanging="360"/>
      </w:pPr>
      <w:rPr>
        <w:rFonts w:ascii="Courier New" w:hAnsi="Courier New" w:cs="Courier New" w:hint="default"/>
      </w:rPr>
    </w:lvl>
    <w:lvl w:ilvl="8" w:tplc="119838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16347"/>
    <w:multiLevelType w:val="hybridMultilevel"/>
    <w:tmpl w:val="DE5064A0"/>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9462F672">
      <w:start w:val="1"/>
      <w:numFmt w:val="upperLetter"/>
      <w:lvlText w:val="%1."/>
      <w:lvlJc w:val="left"/>
      <w:pPr>
        <w:ind w:left="5670" w:hanging="5670"/>
      </w:pPr>
      <w:rPr>
        <w:rFonts w:hint="default"/>
        <w:b/>
      </w:rPr>
    </w:lvl>
    <w:lvl w:ilvl="1" w:tplc="3578C9F4">
      <w:start w:val="1"/>
      <w:numFmt w:val="decimal"/>
      <w:lvlText w:val="%2."/>
      <w:lvlJc w:val="left"/>
      <w:pPr>
        <w:ind w:left="1650" w:hanging="570"/>
      </w:pPr>
      <w:rPr>
        <w:rFonts w:hint="default"/>
        <w:b/>
        <w:i w:val="0"/>
      </w:rPr>
    </w:lvl>
    <w:lvl w:ilvl="2" w:tplc="38B002C8" w:tentative="1">
      <w:start w:val="1"/>
      <w:numFmt w:val="lowerRoman"/>
      <w:lvlText w:val="%3."/>
      <w:lvlJc w:val="right"/>
      <w:pPr>
        <w:ind w:left="2160" w:hanging="180"/>
      </w:pPr>
    </w:lvl>
    <w:lvl w:ilvl="3" w:tplc="1062EBB2" w:tentative="1">
      <w:start w:val="1"/>
      <w:numFmt w:val="decimal"/>
      <w:lvlText w:val="%4."/>
      <w:lvlJc w:val="left"/>
      <w:pPr>
        <w:ind w:left="2880" w:hanging="360"/>
      </w:pPr>
    </w:lvl>
    <w:lvl w:ilvl="4" w:tplc="A392B602" w:tentative="1">
      <w:start w:val="1"/>
      <w:numFmt w:val="lowerLetter"/>
      <w:lvlText w:val="%5."/>
      <w:lvlJc w:val="left"/>
      <w:pPr>
        <w:ind w:left="3600" w:hanging="360"/>
      </w:pPr>
    </w:lvl>
    <w:lvl w:ilvl="5" w:tplc="D8B67A50" w:tentative="1">
      <w:start w:val="1"/>
      <w:numFmt w:val="lowerRoman"/>
      <w:lvlText w:val="%6."/>
      <w:lvlJc w:val="right"/>
      <w:pPr>
        <w:ind w:left="4320" w:hanging="180"/>
      </w:pPr>
    </w:lvl>
    <w:lvl w:ilvl="6" w:tplc="B914EDAC" w:tentative="1">
      <w:start w:val="1"/>
      <w:numFmt w:val="decimal"/>
      <w:lvlText w:val="%7."/>
      <w:lvlJc w:val="left"/>
      <w:pPr>
        <w:ind w:left="5040" w:hanging="360"/>
      </w:pPr>
    </w:lvl>
    <w:lvl w:ilvl="7" w:tplc="6F5A5F30" w:tentative="1">
      <w:start w:val="1"/>
      <w:numFmt w:val="lowerLetter"/>
      <w:lvlText w:val="%8."/>
      <w:lvlJc w:val="left"/>
      <w:pPr>
        <w:ind w:left="5760" w:hanging="360"/>
      </w:pPr>
    </w:lvl>
    <w:lvl w:ilvl="8" w:tplc="0A768B4A" w:tentative="1">
      <w:start w:val="1"/>
      <w:numFmt w:val="lowerRoman"/>
      <w:lvlText w:val="%9."/>
      <w:lvlJc w:val="right"/>
      <w:pPr>
        <w:ind w:left="6480" w:hanging="180"/>
      </w:pPr>
    </w:lvl>
  </w:abstractNum>
  <w:abstractNum w:abstractNumId="18" w15:restartNumberingAfterBreak="0">
    <w:nsid w:val="7CE539E1"/>
    <w:multiLevelType w:val="hybridMultilevel"/>
    <w:tmpl w:val="690A227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15"/>
  </w:num>
  <w:num w:numId="5">
    <w:abstractNumId w:val="15"/>
  </w:num>
  <w:num w:numId="6">
    <w:abstractNumId w:val="11"/>
  </w:num>
  <w:num w:numId="7">
    <w:abstractNumId w:val="10"/>
  </w:num>
  <w:num w:numId="8">
    <w:abstractNumId w:val="17"/>
  </w:num>
  <w:num w:numId="9">
    <w:abstractNumId w:val="3"/>
  </w:num>
  <w:num w:numId="10">
    <w:abstractNumId w:val="5"/>
  </w:num>
  <w:num w:numId="11">
    <w:abstractNumId w:val="4"/>
  </w:num>
  <w:num w:numId="12">
    <w:abstractNumId w:val="18"/>
  </w:num>
  <w:num w:numId="13">
    <w:abstractNumId w:val="6"/>
  </w:num>
  <w:num w:numId="14">
    <w:abstractNumId w:val="8"/>
  </w:num>
  <w:num w:numId="15">
    <w:abstractNumId w:val="7"/>
  </w:num>
  <w:num w:numId="16">
    <w:abstractNumId w:val="16"/>
  </w:num>
  <w:num w:numId="17">
    <w:abstractNumId w:val="14"/>
  </w:num>
  <w:num w:numId="18">
    <w:abstractNumId w:val="12"/>
  </w:num>
  <w:num w:numId="19">
    <w:abstractNumId w:val="1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701"/>
    <w:rsid w:val="00005A09"/>
    <w:rsid w:val="00006669"/>
    <w:rsid w:val="0000706B"/>
    <w:rsid w:val="00007528"/>
    <w:rsid w:val="00011197"/>
    <w:rsid w:val="0001164F"/>
    <w:rsid w:val="00012872"/>
    <w:rsid w:val="00012A56"/>
    <w:rsid w:val="00014869"/>
    <w:rsid w:val="000150D3"/>
    <w:rsid w:val="000166C1"/>
    <w:rsid w:val="000173CE"/>
    <w:rsid w:val="0002006B"/>
    <w:rsid w:val="00020152"/>
    <w:rsid w:val="00020AE8"/>
    <w:rsid w:val="000212BB"/>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410CC"/>
    <w:rsid w:val="00042263"/>
    <w:rsid w:val="00042C8C"/>
    <w:rsid w:val="00043505"/>
    <w:rsid w:val="00043C70"/>
    <w:rsid w:val="00043E88"/>
    <w:rsid w:val="00044042"/>
    <w:rsid w:val="000454C7"/>
    <w:rsid w:val="000474D2"/>
    <w:rsid w:val="000479C5"/>
    <w:rsid w:val="00050DFD"/>
    <w:rsid w:val="0005336C"/>
    <w:rsid w:val="00053809"/>
    <w:rsid w:val="00053914"/>
    <w:rsid w:val="00053960"/>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2056"/>
    <w:rsid w:val="0008506F"/>
    <w:rsid w:val="000851A9"/>
    <w:rsid w:val="00085600"/>
    <w:rsid w:val="00085939"/>
    <w:rsid w:val="00086028"/>
    <w:rsid w:val="00091430"/>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6721"/>
    <w:rsid w:val="000A6BA6"/>
    <w:rsid w:val="000A75FF"/>
    <w:rsid w:val="000A7BF0"/>
    <w:rsid w:val="000B0097"/>
    <w:rsid w:val="000B101F"/>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F4F"/>
    <w:rsid w:val="000D2C1D"/>
    <w:rsid w:val="000D2EAA"/>
    <w:rsid w:val="000D4D07"/>
    <w:rsid w:val="000D65AA"/>
    <w:rsid w:val="000D7535"/>
    <w:rsid w:val="000E0BCE"/>
    <w:rsid w:val="000E165D"/>
    <w:rsid w:val="000E1BAF"/>
    <w:rsid w:val="000E223E"/>
    <w:rsid w:val="000E2491"/>
    <w:rsid w:val="000E295E"/>
    <w:rsid w:val="000E2EA9"/>
    <w:rsid w:val="000E46A3"/>
    <w:rsid w:val="000E4E88"/>
    <w:rsid w:val="000E5726"/>
    <w:rsid w:val="000E6C94"/>
    <w:rsid w:val="000F0CCA"/>
    <w:rsid w:val="000F1BB2"/>
    <w:rsid w:val="000F217A"/>
    <w:rsid w:val="000F3F94"/>
    <w:rsid w:val="000F4279"/>
    <w:rsid w:val="000F5235"/>
    <w:rsid w:val="000F5B21"/>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7A50"/>
    <w:rsid w:val="00117C1D"/>
    <w:rsid w:val="00117C33"/>
    <w:rsid w:val="00123688"/>
    <w:rsid w:val="00126B26"/>
    <w:rsid w:val="001278C1"/>
    <w:rsid w:val="00127F47"/>
    <w:rsid w:val="00133572"/>
    <w:rsid w:val="00133CA3"/>
    <w:rsid w:val="00135F24"/>
    <w:rsid w:val="001364FB"/>
    <w:rsid w:val="001365F2"/>
    <w:rsid w:val="00136A93"/>
    <w:rsid w:val="00136D7A"/>
    <w:rsid w:val="001374C5"/>
    <w:rsid w:val="001378F7"/>
    <w:rsid w:val="00140476"/>
    <w:rsid w:val="00141470"/>
    <w:rsid w:val="00141540"/>
    <w:rsid w:val="00143516"/>
    <w:rsid w:val="001449DF"/>
    <w:rsid w:val="00145459"/>
    <w:rsid w:val="0014569B"/>
    <w:rsid w:val="001468A3"/>
    <w:rsid w:val="001470E0"/>
    <w:rsid w:val="001478B8"/>
    <w:rsid w:val="00150060"/>
    <w:rsid w:val="001507A2"/>
    <w:rsid w:val="00154C69"/>
    <w:rsid w:val="00155D7F"/>
    <w:rsid w:val="00156108"/>
    <w:rsid w:val="0015704C"/>
    <w:rsid w:val="0015744E"/>
    <w:rsid w:val="00157895"/>
    <w:rsid w:val="00161701"/>
    <w:rsid w:val="00161E87"/>
    <w:rsid w:val="00162098"/>
    <w:rsid w:val="0016566C"/>
    <w:rsid w:val="0016718C"/>
    <w:rsid w:val="00170769"/>
    <w:rsid w:val="00170A61"/>
    <w:rsid w:val="001727F0"/>
    <w:rsid w:val="00172B06"/>
    <w:rsid w:val="0017347E"/>
    <w:rsid w:val="00173E7A"/>
    <w:rsid w:val="001752D8"/>
    <w:rsid w:val="00175931"/>
    <w:rsid w:val="00176A15"/>
    <w:rsid w:val="00176B25"/>
    <w:rsid w:val="00177736"/>
    <w:rsid w:val="00177FD2"/>
    <w:rsid w:val="0018238B"/>
    <w:rsid w:val="00183419"/>
    <w:rsid w:val="0018394A"/>
    <w:rsid w:val="001845BE"/>
    <w:rsid w:val="00184DCC"/>
    <w:rsid w:val="00186A9D"/>
    <w:rsid w:val="001874A6"/>
    <w:rsid w:val="0018765B"/>
    <w:rsid w:val="00187DC4"/>
    <w:rsid w:val="00190913"/>
    <w:rsid w:val="00190E4C"/>
    <w:rsid w:val="0019236A"/>
    <w:rsid w:val="00193980"/>
    <w:rsid w:val="00193B21"/>
    <w:rsid w:val="00193DD3"/>
    <w:rsid w:val="001946BE"/>
    <w:rsid w:val="001948AA"/>
    <w:rsid w:val="00195F65"/>
    <w:rsid w:val="001960DE"/>
    <w:rsid w:val="001967A7"/>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2DB4"/>
    <w:rsid w:val="001C3228"/>
    <w:rsid w:val="001C35E9"/>
    <w:rsid w:val="001C36BD"/>
    <w:rsid w:val="001C3733"/>
    <w:rsid w:val="001C49B3"/>
    <w:rsid w:val="001C5B30"/>
    <w:rsid w:val="001C75F7"/>
    <w:rsid w:val="001C7F88"/>
    <w:rsid w:val="001D19A4"/>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3C22"/>
    <w:rsid w:val="00204AAB"/>
    <w:rsid w:val="00205180"/>
    <w:rsid w:val="00206D54"/>
    <w:rsid w:val="00207CED"/>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309D2"/>
    <w:rsid w:val="00231B61"/>
    <w:rsid w:val="00232C35"/>
    <w:rsid w:val="00232F52"/>
    <w:rsid w:val="0023315B"/>
    <w:rsid w:val="002347FE"/>
    <w:rsid w:val="002365F7"/>
    <w:rsid w:val="00236876"/>
    <w:rsid w:val="0024178D"/>
    <w:rsid w:val="00242244"/>
    <w:rsid w:val="00242619"/>
    <w:rsid w:val="002435F5"/>
    <w:rsid w:val="0024392B"/>
    <w:rsid w:val="002450C6"/>
    <w:rsid w:val="00245DCF"/>
    <w:rsid w:val="00246C65"/>
    <w:rsid w:val="0024721F"/>
    <w:rsid w:val="00251A10"/>
    <w:rsid w:val="00252BFF"/>
    <w:rsid w:val="0025349D"/>
    <w:rsid w:val="00253732"/>
    <w:rsid w:val="002542A8"/>
    <w:rsid w:val="002572CD"/>
    <w:rsid w:val="00260A11"/>
    <w:rsid w:val="00261316"/>
    <w:rsid w:val="0026169A"/>
    <w:rsid w:val="00261A37"/>
    <w:rsid w:val="00262763"/>
    <w:rsid w:val="002636C8"/>
    <w:rsid w:val="00264BEA"/>
    <w:rsid w:val="002669E0"/>
    <w:rsid w:val="00267850"/>
    <w:rsid w:val="00267D53"/>
    <w:rsid w:val="00271032"/>
    <w:rsid w:val="00273E3E"/>
    <w:rsid w:val="00274147"/>
    <w:rsid w:val="00275189"/>
    <w:rsid w:val="002756DC"/>
    <w:rsid w:val="00276412"/>
    <w:rsid w:val="00276437"/>
    <w:rsid w:val="002771C9"/>
    <w:rsid w:val="00280053"/>
    <w:rsid w:val="0028063F"/>
    <w:rsid w:val="00280740"/>
    <w:rsid w:val="00280CD6"/>
    <w:rsid w:val="00283B02"/>
    <w:rsid w:val="00283C5D"/>
    <w:rsid w:val="002844B0"/>
    <w:rsid w:val="00285DE6"/>
    <w:rsid w:val="00286136"/>
    <w:rsid w:val="00286322"/>
    <w:rsid w:val="00291302"/>
    <w:rsid w:val="00296B03"/>
    <w:rsid w:val="00296C1F"/>
    <w:rsid w:val="002A1A88"/>
    <w:rsid w:val="002A2434"/>
    <w:rsid w:val="002A294E"/>
    <w:rsid w:val="002A32BE"/>
    <w:rsid w:val="002A3A10"/>
    <w:rsid w:val="002A41E6"/>
    <w:rsid w:val="002A44C8"/>
    <w:rsid w:val="002A5E48"/>
    <w:rsid w:val="002B0059"/>
    <w:rsid w:val="002B0455"/>
    <w:rsid w:val="002B1941"/>
    <w:rsid w:val="002B261C"/>
    <w:rsid w:val="002B2BEE"/>
    <w:rsid w:val="002B35C5"/>
    <w:rsid w:val="002B3935"/>
    <w:rsid w:val="002B406A"/>
    <w:rsid w:val="002B41D4"/>
    <w:rsid w:val="002B543F"/>
    <w:rsid w:val="002B6165"/>
    <w:rsid w:val="002B7D73"/>
    <w:rsid w:val="002C054C"/>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43CA"/>
    <w:rsid w:val="002F57AA"/>
    <w:rsid w:val="002F5BFD"/>
    <w:rsid w:val="002F6AF8"/>
    <w:rsid w:val="002F6EF7"/>
    <w:rsid w:val="002F714C"/>
    <w:rsid w:val="002F77BF"/>
    <w:rsid w:val="003004A2"/>
    <w:rsid w:val="00302CA4"/>
    <w:rsid w:val="00303DD5"/>
    <w:rsid w:val="00305D2B"/>
    <w:rsid w:val="003071E9"/>
    <w:rsid w:val="00307B74"/>
    <w:rsid w:val="003102C6"/>
    <w:rsid w:val="0031034C"/>
    <w:rsid w:val="00310764"/>
    <w:rsid w:val="00311BFD"/>
    <w:rsid w:val="00314718"/>
    <w:rsid w:val="00314875"/>
    <w:rsid w:val="0031488A"/>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BF3"/>
    <w:rsid w:val="00340C09"/>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3C7"/>
    <w:rsid w:val="00367C66"/>
    <w:rsid w:val="003700B2"/>
    <w:rsid w:val="0037233D"/>
    <w:rsid w:val="003736EF"/>
    <w:rsid w:val="003737E3"/>
    <w:rsid w:val="00373D26"/>
    <w:rsid w:val="00374297"/>
    <w:rsid w:val="00380448"/>
    <w:rsid w:val="00380A1A"/>
    <w:rsid w:val="00380A57"/>
    <w:rsid w:val="00380D80"/>
    <w:rsid w:val="0038500E"/>
    <w:rsid w:val="003874A8"/>
    <w:rsid w:val="0038761D"/>
    <w:rsid w:val="003906F8"/>
    <w:rsid w:val="003935EE"/>
    <w:rsid w:val="00393EE9"/>
    <w:rsid w:val="0039408A"/>
    <w:rsid w:val="003945F5"/>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BA3"/>
    <w:rsid w:val="003C7D52"/>
    <w:rsid w:val="003D3642"/>
    <w:rsid w:val="003D4E9C"/>
    <w:rsid w:val="003D5EE8"/>
    <w:rsid w:val="003E0D78"/>
    <w:rsid w:val="003E1CAB"/>
    <w:rsid w:val="003E1CB1"/>
    <w:rsid w:val="003E2AC0"/>
    <w:rsid w:val="003E374A"/>
    <w:rsid w:val="003E3A1D"/>
    <w:rsid w:val="003E3E49"/>
    <w:rsid w:val="003E5991"/>
    <w:rsid w:val="003E6CA0"/>
    <w:rsid w:val="003F1F41"/>
    <w:rsid w:val="003F2FDE"/>
    <w:rsid w:val="003F330B"/>
    <w:rsid w:val="003F6FDF"/>
    <w:rsid w:val="003F7DA0"/>
    <w:rsid w:val="00400D04"/>
    <w:rsid w:val="004016F5"/>
    <w:rsid w:val="00402B07"/>
    <w:rsid w:val="004045AA"/>
    <w:rsid w:val="0040549A"/>
    <w:rsid w:val="00405CC9"/>
    <w:rsid w:val="00405FDA"/>
    <w:rsid w:val="004063D0"/>
    <w:rsid w:val="0040711E"/>
    <w:rsid w:val="00407D67"/>
    <w:rsid w:val="00407D6C"/>
    <w:rsid w:val="00412450"/>
    <w:rsid w:val="004138DE"/>
    <w:rsid w:val="00413B39"/>
    <w:rsid w:val="004143E8"/>
    <w:rsid w:val="00414B2F"/>
    <w:rsid w:val="00415E58"/>
    <w:rsid w:val="00416231"/>
    <w:rsid w:val="004208AB"/>
    <w:rsid w:val="00420F63"/>
    <w:rsid w:val="004219EF"/>
    <w:rsid w:val="00421A72"/>
    <w:rsid w:val="00424348"/>
    <w:rsid w:val="00426632"/>
    <w:rsid w:val="00426A7B"/>
    <w:rsid w:val="00426CD9"/>
    <w:rsid w:val="00426DE2"/>
    <w:rsid w:val="004272E0"/>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695E"/>
    <w:rsid w:val="00457946"/>
    <w:rsid w:val="00457D8B"/>
    <w:rsid w:val="00460466"/>
    <w:rsid w:val="0046069D"/>
    <w:rsid w:val="00460A17"/>
    <w:rsid w:val="0046236C"/>
    <w:rsid w:val="00462F79"/>
    <w:rsid w:val="00463438"/>
    <w:rsid w:val="0046383A"/>
    <w:rsid w:val="00463ECE"/>
    <w:rsid w:val="00465388"/>
    <w:rsid w:val="004677C9"/>
    <w:rsid w:val="00467D90"/>
    <w:rsid w:val="0047002E"/>
    <w:rsid w:val="00470CB5"/>
    <w:rsid w:val="00471EAB"/>
    <w:rsid w:val="004723EE"/>
    <w:rsid w:val="004738E9"/>
    <w:rsid w:val="00475A92"/>
    <w:rsid w:val="00477BB9"/>
    <w:rsid w:val="004800EF"/>
    <w:rsid w:val="00480431"/>
    <w:rsid w:val="0048417C"/>
    <w:rsid w:val="00485117"/>
    <w:rsid w:val="004859EE"/>
    <w:rsid w:val="004866D9"/>
    <w:rsid w:val="00487366"/>
    <w:rsid w:val="004873E4"/>
    <w:rsid w:val="0049072C"/>
    <w:rsid w:val="004907AD"/>
    <w:rsid w:val="00490FD1"/>
    <w:rsid w:val="00491444"/>
    <w:rsid w:val="00491AD2"/>
    <w:rsid w:val="004926BE"/>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7536"/>
    <w:rsid w:val="004A77B0"/>
    <w:rsid w:val="004B08A9"/>
    <w:rsid w:val="004B109A"/>
    <w:rsid w:val="004B1CED"/>
    <w:rsid w:val="004B34A7"/>
    <w:rsid w:val="004B3B06"/>
    <w:rsid w:val="004B3ED5"/>
    <w:rsid w:val="004B4643"/>
    <w:rsid w:val="004B5448"/>
    <w:rsid w:val="004B5D02"/>
    <w:rsid w:val="004B6C2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E735A"/>
    <w:rsid w:val="004E7EDB"/>
    <w:rsid w:val="004F1437"/>
    <w:rsid w:val="004F29DB"/>
    <w:rsid w:val="004F3540"/>
    <w:rsid w:val="004F52DB"/>
    <w:rsid w:val="004F5624"/>
    <w:rsid w:val="004F5DA4"/>
    <w:rsid w:val="004F62B2"/>
    <w:rsid w:val="004F6424"/>
    <w:rsid w:val="005022E6"/>
    <w:rsid w:val="005040CD"/>
    <w:rsid w:val="00505229"/>
    <w:rsid w:val="0050541A"/>
    <w:rsid w:val="0050664A"/>
    <w:rsid w:val="00507F98"/>
    <w:rsid w:val="005108A3"/>
    <w:rsid w:val="00510DB5"/>
    <w:rsid w:val="00510F6E"/>
    <w:rsid w:val="00511422"/>
    <w:rsid w:val="005118AE"/>
    <w:rsid w:val="0051212F"/>
    <w:rsid w:val="0051587A"/>
    <w:rsid w:val="005158FA"/>
    <w:rsid w:val="005169AD"/>
    <w:rsid w:val="005208B9"/>
    <w:rsid w:val="005209C2"/>
    <w:rsid w:val="005212EB"/>
    <w:rsid w:val="005221F0"/>
    <w:rsid w:val="0052256B"/>
    <w:rsid w:val="00522AE6"/>
    <w:rsid w:val="0052379E"/>
    <w:rsid w:val="005237D2"/>
    <w:rsid w:val="00523E07"/>
    <w:rsid w:val="00524140"/>
    <w:rsid w:val="00524807"/>
    <w:rsid w:val="005252FE"/>
    <w:rsid w:val="00525FF9"/>
    <w:rsid w:val="00530F59"/>
    <w:rsid w:val="00532C41"/>
    <w:rsid w:val="00532D3F"/>
    <w:rsid w:val="00532DC5"/>
    <w:rsid w:val="0053386D"/>
    <w:rsid w:val="00533A2A"/>
    <w:rsid w:val="00533A3F"/>
    <w:rsid w:val="00534700"/>
    <w:rsid w:val="00535ACD"/>
    <w:rsid w:val="0053791F"/>
    <w:rsid w:val="00540AA5"/>
    <w:rsid w:val="00542104"/>
    <w:rsid w:val="00544F5D"/>
    <w:rsid w:val="0054506E"/>
    <w:rsid w:val="00546622"/>
    <w:rsid w:val="00547538"/>
    <w:rsid w:val="005502FA"/>
    <w:rsid w:val="005522E0"/>
    <w:rsid w:val="00553BFA"/>
    <w:rsid w:val="005546C5"/>
    <w:rsid w:val="00554D05"/>
    <w:rsid w:val="005555B9"/>
    <w:rsid w:val="00555B69"/>
    <w:rsid w:val="0056077E"/>
    <w:rsid w:val="00560EDA"/>
    <w:rsid w:val="0056212D"/>
    <w:rsid w:val="005628B4"/>
    <w:rsid w:val="005629EE"/>
    <w:rsid w:val="00562D53"/>
    <w:rsid w:val="0056378C"/>
    <w:rsid w:val="00563E46"/>
    <w:rsid w:val="00564472"/>
    <w:rsid w:val="0056447C"/>
    <w:rsid w:val="005648FA"/>
    <w:rsid w:val="00564D50"/>
    <w:rsid w:val="00567346"/>
    <w:rsid w:val="00572506"/>
    <w:rsid w:val="0057371B"/>
    <w:rsid w:val="00573F55"/>
    <w:rsid w:val="00575EB8"/>
    <w:rsid w:val="0057613A"/>
    <w:rsid w:val="00576A4F"/>
    <w:rsid w:val="00576E5E"/>
    <w:rsid w:val="00582A9B"/>
    <w:rsid w:val="005832AB"/>
    <w:rsid w:val="00584001"/>
    <w:rsid w:val="0058437C"/>
    <w:rsid w:val="00586412"/>
    <w:rsid w:val="00587B6A"/>
    <w:rsid w:val="00592E6E"/>
    <w:rsid w:val="0059327E"/>
    <w:rsid w:val="005935F4"/>
    <w:rsid w:val="005938C8"/>
    <w:rsid w:val="00593E0A"/>
    <w:rsid w:val="005965DA"/>
    <w:rsid w:val="00596683"/>
    <w:rsid w:val="005971B0"/>
    <w:rsid w:val="005A0C8D"/>
    <w:rsid w:val="005A0DFB"/>
    <w:rsid w:val="005A167F"/>
    <w:rsid w:val="005A346E"/>
    <w:rsid w:val="005A454E"/>
    <w:rsid w:val="005A4EE0"/>
    <w:rsid w:val="005A5A3E"/>
    <w:rsid w:val="005A73CF"/>
    <w:rsid w:val="005B3F6F"/>
    <w:rsid w:val="005B4002"/>
    <w:rsid w:val="005B41F4"/>
    <w:rsid w:val="005B528A"/>
    <w:rsid w:val="005B798B"/>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6FF9"/>
    <w:rsid w:val="005D783D"/>
    <w:rsid w:val="005E0ABB"/>
    <w:rsid w:val="005E0C85"/>
    <w:rsid w:val="005E11C1"/>
    <w:rsid w:val="005E2563"/>
    <w:rsid w:val="005E2EBE"/>
    <w:rsid w:val="005E31AC"/>
    <w:rsid w:val="005E394C"/>
    <w:rsid w:val="005E42BF"/>
    <w:rsid w:val="005E4E70"/>
    <w:rsid w:val="005E65BB"/>
    <w:rsid w:val="005E706C"/>
    <w:rsid w:val="005F0143"/>
    <w:rsid w:val="005F0161"/>
    <w:rsid w:val="005F0DA0"/>
    <w:rsid w:val="005F2767"/>
    <w:rsid w:val="005F3EDE"/>
    <w:rsid w:val="005F4914"/>
    <w:rsid w:val="005F62B7"/>
    <w:rsid w:val="005F67FC"/>
    <w:rsid w:val="005F6869"/>
    <w:rsid w:val="005F6BB9"/>
    <w:rsid w:val="00603148"/>
    <w:rsid w:val="00606FC7"/>
    <w:rsid w:val="00610456"/>
    <w:rsid w:val="0061053A"/>
    <w:rsid w:val="00611473"/>
    <w:rsid w:val="00611B36"/>
    <w:rsid w:val="00612DD6"/>
    <w:rsid w:val="0061378B"/>
    <w:rsid w:val="00613A34"/>
    <w:rsid w:val="00615ADA"/>
    <w:rsid w:val="006221CD"/>
    <w:rsid w:val="00622220"/>
    <w:rsid w:val="00622E32"/>
    <w:rsid w:val="006266A9"/>
    <w:rsid w:val="00630426"/>
    <w:rsid w:val="006316C1"/>
    <w:rsid w:val="00631ED4"/>
    <w:rsid w:val="006320E0"/>
    <w:rsid w:val="00633BC7"/>
    <w:rsid w:val="00633C24"/>
    <w:rsid w:val="00635015"/>
    <w:rsid w:val="00635174"/>
    <w:rsid w:val="00635AC7"/>
    <w:rsid w:val="00635E9C"/>
    <w:rsid w:val="0063753F"/>
    <w:rsid w:val="00637B41"/>
    <w:rsid w:val="00637E95"/>
    <w:rsid w:val="00637EFA"/>
    <w:rsid w:val="00640197"/>
    <w:rsid w:val="006414EE"/>
    <w:rsid w:val="00641BDE"/>
    <w:rsid w:val="00642524"/>
    <w:rsid w:val="00642D0A"/>
    <w:rsid w:val="0064431A"/>
    <w:rsid w:val="0064630E"/>
    <w:rsid w:val="00646FE1"/>
    <w:rsid w:val="00647075"/>
    <w:rsid w:val="00647BDA"/>
    <w:rsid w:val="0065043E"/>
    <w:rsid w:val="00651099"/>
    <w:rsid w:val="00651E31"/>
    <w:rsid w:val="006524C8"/>
    <w:rsid w:val="0065380A"/>
    <w:rsid w:val="0065581D"/>
    <w:rsid w:val="00655C2F"/>
    <w:rsid w:val="00657765"/>
    <w:rsid w:val="00660403"/>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80498"/>
    <w:rsid w:val="00680581"/>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3665"/>
    <w:rsid w:val="006A5450"/>
    <w:rsid w:val="006B0199"/>
    <w:rsid w:val="006B0A32"/>
    <w:rsid w:val="006B0BD8"/>
    <w:rsid w:val="006B2C2B"/>
    <w:rsid w:val="006B301A"/>
    <w:rsid w:val="006B34B6"/>
    <w:rsid w:val="006B4557"/>
    <w:rsid w:val="006C0251"/>
    <w:rsid w:val="006C0320"/>
    <w:rsid w:val="006C2B9A"/>
    <w:rsid w:val="006C39BB"/>
    <w:rsid w:val="006C4502"/>
    <w:rsid w:val="006C6114"/>
    <w:rsid w:val="006C68C0"/>
    <w:rsid w:val="006C6C6A"/>
    <w:rsid w:val="006D2288"/>
    <w:rsid w:val="006D4464"/>
    <w:rsid w:val="006D4EF4"/>
    <w:rsid w:val="006D5E91"/>
    <w:rsid w:val="006D7E87"/>
    <w:rsid w:val="006E10B2"/>
    <w:rsid w:val="006E14E6"/>
    <w:rsid w:val="006E1AEE"/>
    <w:rsid w:val="006E2F52"/>
    <w:rsid w:val="006E32A9"/>
    <w:rsid w:val="006E3B9C"/>
    <w:rsid w:val="006E3E10"/>
    <w:rsid w:val="006E51A2"/>
    <w:rsid w:val="006E6DC5"/>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1D69"/>
    <w:rsid w:val="0071343E"/>
    <w:rsid w:val="00713907"/>
    <w:rsid w:val="00713CB5"/>
    <w:rsid w:val="0071434A"/>
    <w:rsid w:val="00714E3F"/>
    <w:rsid w:val="0071558B"/>
    <w:rsid w:val="0071776A"/>
    <w:rsid w:val="00717893"/>
    <w:rsid w:val="007207E5"/>
    <w:rsid w:val="00721189"/>
    <w:rsid w:val="007221C3"/>
    <w:rsid w:val="007227E4"/>
    <w:rsid w:val="00722F2C"/>
    <w:rsid w:val="007254D1"/>
    <w:rsid w:val="00725B32"/>
    <w:rsid w:val="00725B3C"/>
    <w:rsid w:val="007270A0"/>
    <w:rsid w:val="00732B42"/>
    <w:rsid w:val="00733D54"/>
    <w:rsid w:val="00736A4F"/>
    <w:rsid w:val="0073708B"/>
    <w:rsid w:val="00737753"/>
    <w:rsid w:val="00737768"/>
    <w:rsid w:val="00740BB8"/>
    <w:rsid w:val="00740CE9"/>
    <w:rsid w:val="007428E3"/>
    <w:rsid w:val="0074394E"/>
    <w:rsid w:val="007441DC"/>
    <w:rsid w:val="0074422D"/>
    <w:rsid w:val="00750D0A"/>
    <w:rsid w:val="00751D93"/>
    <w:rsid w:val="00752300"/>
    <w:rsid w:val="00753BF5"/>
    <w:rsid w:val="007546F8"/>
    <w:rsid w:val="0075579B"/>
    <w:rsid w:val="00755BAB"/>
    <w:rsid w:val="00755F5B"/>
    <w:rsid w:val="00757ECC"/>
    <w:rsid w:val="0076080E"/>
    <w:rsid w:val="00762C91"/>
    <w:rsid w:val="0076411D"/>
    <w:rsid w:val="00764505"/>
    <w:rsid w:val="00764D4B"/>
    <w:rsid w:val="0076670C"/>
    <w:rsid w:val="0076690F"/>
    <w:rsid w:val="007670F8"/>
    <w:rsid w:val="007671D4"/>
    <w:rsid w:val="00770A85"/>
    <w:rsid w:val="00773C8C"/>
    <w:rsid w:val="00773DC9"/>
    <w:rsid w:val="0077572E"/>
    <w:rsid w:val="00777BE4"/>
    <w:rsid w:val="00777F55"/>
    <w:rsid w:val="0078031B"/>
    <w:rsid w:val="007803D0"/>
    <w:rsid w:val="00784F44"/>
    <w:rsid w:val="00786672"/>
    <w:rsid w:val="007872CF"/>
    <w:rsid w:val="00790668"/>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A5C4F"/>
    <w:rsid w:val="007A7B18"/>
    <w:rsid w:val="007B1014"/>
    <w:rsid w:val="007B103F"/>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760C"/>
    <w:rsid w:val="007D08FD"/>
    <w:rsid w:val="007D0A87"/>
    <w:rsid w:val="007D1584"/>
    <w:rsid w:val="007D2044"/>
    <w:rsid w:val="007D4F33"/>
    <w:rsid w:val="007D554B"/>
    <w:rsid w:val="007D65C7"/>
    <w:rsid w:val="007D67A9"/>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0C99"/>
    <w:rsid w:val="008015B6"/>
    <w:rsid w:val="00803FD4"/>
    <w:rsid w:val="0080481C"/>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5558"/>
    <w:rsid w:val="00826509"/>
    <w:rsid w:val="00826B20"/>
    <w:rsid w:val="00831B01"/>
    <w:rsid w:val="0083354D"/>
    <w:rsid w:val="0083561B"/>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481"/>
    <w:rsid w:val="00855508"/>
    <w:rsid w:val="00856354"/>
    <w:rsid w:val="008568E1"/>
    <w:rsid w:val="00856BE9"/>
    <w:rsid w:val="00856F6B"/>
    <w:rsid w:val="008578F8"/>
    <w:rsid w:val="00857E29"/>
    <w:rsid w:val="00860566"/>
    <w:rsid w:val="0086129A"/>
    <w:rsid w:val="0086165C"/>
    <w:rsid w:val="00861B26"/>
    <w:rsid w:val="00861DE7"/>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C17"/>
    <w:rsid w:val="00875E32"/>
    <w:rsid w:val="008763DF"/>
    <w:rsid w:val="0087673D"/>
    <w:rsid w:val="008770D4"/>
    <w:rsid w:val="008800E5"/>
    <w:rsid w:val="0088127F"/>
    <w:rsid w:val="008815EF"/>
    <w:rsid w:val="00883ED5"/>
    <w:rsid w:val="00885273"/>
    <w:rsid w:val="00885F2C"/>
    <w:rsid w:val="008861F4"/>
    <w:rsid w:val="00886386"/>
    <w:rsid w:val="0088701C"/>
    <w:rsid w:val="00891D76"/>
    <w:rsid w:val="00892459"/>
    <w:rsid w:val="008929AA"/>
    <w:rsid w:val="00892AA5"/>
    <w:rsid w:val="0089499B"/>
    <w:rsid w:val="00894ACA"/>
    <w:rsid w:val="00894EC5"/>
    <w:rsid w:val="00895B09"/>
    <w:rsid w:val="00896658"/>
    <w:rsid w:val="008967B5"/>
    <w:rsid w:val="008A03AC"/>
    <w:rsid w:val="008A06DF"/>
    <w:rsid w:val="008A1008"/>
    <w:rsid w:val="008A1F1A"/>
    <w:rsid w:val="008A345A"/>
    <w:rsid w:val="008A3DB9"/>
    <w:rsid w:val="008A5552"/>
    <w:rsid w:val="008A6A5C"/>
    <w:rsid w:val="008A7316"/>
    <w:rsid w:val="008A7352"/>
    <w:rsid w:val="008B01A4"/>
    <w:rsid w:val="008B1696"/>
    <w:rsid w:val="008B3DA4"/>
    <w:rsid w:val="008B4A1C"/>
    <w:rsid w:val="008B500A"/>
    <w:rsid w:val="008B7973"/>
    <w:rsid w:val="008C090B"/>
    <w:rsid w:val="008C1610"/>
    <w:rsid w:val="008C2F1E"/>
    <w:rsid w:val="008C30E5"/>
    <w:rsid w:val="008C3B5B"/>
    <w:rsid w:val="008C409F"/>
    <w:rsid w:val="008C4677"/>
    <w:rsid w:val="008C602D"/>
    <w:rsid w:val="008C6656"/>
    <w:rsid w:val="008C6BCC"/>
    <w:rsid w:val="008C6E31"/>
    <w:rsid w:val="008D098D"/>
    <w:rsid w:val="008D0CBD"/>
    <w:rsid w:val="008D135A"/>
    <w:rsid w:val="008D2205"/>
    <w:rsid w:val="008D2331"/>
    <w:rsid w:val="008D28EA"/>
    <w:rsid w:val="008D347F"/>
    <w:rsid w:val="008D35AD"/>
    <w:rsid w:val="008D36CD"/>
    <w:rsid w:val="008D4380"/>
    <w:rsid w:val="008D48D1"/>
    <w:rsid w:val="008D4EA5"/>
    <w:rsid w:val="008D4EED"/>
    <w:rsid w:val="008D52E1"/>
    <w:rsid w:val="008D6BE8"/>
    <w:rsid w:val="008D748C"/>
    <w:rsid w:val="008E27E9"/>
    <w:rsid w:val="008E2A0F"/>
    <w:rsid w:val="008E42DE"/>
    <w:rsid w:val="008E5373"/>
    <w:rsid w:val="008E66A2"/>
    <w:rsid w:val="008F0CAC"/>
    <w:rsid w:val="008F1425"/>
    <w:rsid w:val="008F1F3A"/>
    <w:rsid w:val="008F2C49"/>
    <w:rsid w:val="008F32CD"/>
    <w:rsid w:val="008F36F0"/>
    <w:rsid w:val="008F66BC"/>
    <w:rsid w:val="008F7CFF"/>
    <w:rsid w:val="008F7ED1"/>
    <w:rsid w:val="008F7FEA"/>
    <w:rsid w:val="009013E4"/>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33AF"/>
    <w:rsid w:val="00914BE6"/>
    <w:rsid w:val="00914E0E"/>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6958"/>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C34"/>
    <w:rsid w:val="0098035D"/>
    <w:rsid w:val="00980FE0"/>
    <w:rsid w:val="00985686"/>
    <w:rsid w:val="00985F8B"/>
    <w:rsid w:val="009868E7"/>
    <w:rsid w:val="00987D67"/>
    <w:rsid w:val="00990C3B"/>
    <w:rsid w:val="00991CBD"/>
    <w:rsid w:val="009921E6"/>
    <w:rsid w:val="009928B7"/>
    <w:rsid w:val="0099321A"/>
    <w:rsid w:val="00993B4C"/>
    <w:rsid w:val="009947E8"/>
    <w:rsid w:val="009960B7"/>
    <w:rsid w:val="00996F08"/>
    <w:rsid w:val="009972FE"/>
    <w:rsid w:val="009A18AD"/>
    <w:rsid w:val="009A4C2D"/>
    <w:rsid w:val="009B0152"/>
    <w:rsid w:val="009B061C"/>
    <w:rsid w:val="009B2C91"/>
    <w:rsid w:val="009B3096"/>
    <w:rsid w:val="009B3239"/>
    <w:rsid w:val="009B3DC4"/>
    <w:rsid w:val="009B536C"/>
    <w:rsid w:val="009B5C19"/>
    <w:rsid w:val="009B6496"/>
    <w:rsid w:val="009C01DA"/>
    <w:rsid w:val="009C03B2"/>
    <w:rsid w:val="009C10C1"/>
    <w:rsid w:val="009C1528"/>
    <w:rsid w:val="009C1F2C"/>
    <w:rsid w:val="009C20CC"/>
    <w:rsid w:val="009C286A"/>
    <w:rsid w:val="009C2BDF"/>
    <w:rsid w:val="009C3057"/>
    <w:rsid w:val="009C3558"/>
    <w:rsid w:val="009C504A"/>
    <w:rsid w:val="009C562E"/>
    <w:rsid w:val="009C5E44"/>
    <w:rsid w:val="009C7531"/>
    <w:rsid w:val="009D0862"/>
    <w:rsid w:val="009D18E4"/>
    <w:rsid w:val="009D220C"/>
    <w:rsid w:val="009D221F"/>
    <w:rsid w:val="009D55B7"/>
    <w:rsid w:val="009E09F0"/>
    <w:rsid w:val="009E19E8"/>
    <w:rsid w:val="009E377C"/>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E10"/>
    <w:rsid w:val="009F502C"/>
    <w:rsid w:val="009F54F8"/>
    <w:rsid w:val="009F58EC"/>
    <w:rsid w:val="009F603B"/>
    <w:rsid w:val="009F6987"/>
    <w:rsid w:val="009F720F"/>
    <w:rsid w:val="00A010E7"/>
    <w:rsid w:val="00A01A17"/>
    <w:rsid w:val="00A01A60"/>
    <w:rsid w:val="00A02A8E"/>
    <w:rsid w:val="00A04AD9"/>
    <w:rsid w:val="00A05C86"/>
    <w:rsid w:val="00A06E6E"/>
    <w:rsid w:val="00A076F9"/>
    <w:rsid w:val="00A07997"/>
    <w:rsid w:val="00A07F87"/>
    <w:rsid w:val="00A13659"/>
    <w:rsid w:val="00A158E7"/>
    <w:rsid w:val="00A1637F"/>
    <w:rsid w:val="00A206ED"/>
    <w:rsid w:val="00A20806"/>
    <w:rsid w:val="00A20C7F"/>
    <w:rsid w:val="00A21D41"/>
    <w:rsid w:val="00A22422"/>
    <w:rsid w:val="00A22DBA"/>
    <w:rsid w:val="00A23047"/>
    <w:rsid w:val="00A230F6"/>
    <w:rsid w:val="00A2329D"/>
    <w:rsid w:val="00A238A8"/>
    <w:rsid w:val="00A2490E"/>
    <w:rsid w:val="00A25442"/>
    <w:rsid w:val="00A25BFF"/>
    <w:rsid w:val="00A26648"/>
    <w:rsid w:val="00A26F79"/>
    <w:rsid w:val="00A27522"/>
    <w:rsid w:val="00A30F9A"/>
    <w:rsid w:val="00A3136F"/>
    <w:rsid w:val="00A3237A"/>
    <w:rsid w:val="00A3263E"/>
    <w:rsid w:val="00A34D0C"/>
    <w:rsid w:val="00A34D76"/>
    <w:rsid w:val="00A365D0"/>
    <w:rsid w:val="00A37645"/>
    <w:rsid w:val="00A37A23"/>
    <w:rsid w:val="00A402B8"/>
    <w:rsid w:val="00A4043E"/>
    <w:rsid w:val="00A4264A"/>
    <w:rsid w:val="00A437D9"/>
    <w:rsid w:val="00A43B7C"/>
    <w:rsid w:val="00A43C16"/>
    <w:rsid w:val="00A4422A"/>
    <w:rsid w:val="00A443A6"/>
    <w:rsid w:val="00A459AA"/>
    <w:rsid w:val="00A45A1A"/>
    <w:rsid w:val="00A45E61"/>
    <w:rsid w:val="00A472DD"/>
    <w:rsid w:val="00A47E66"/>
    <w:rsid w:val="00A47F32"/>
    <w:rsid w:val="00A505E4"/>
    <w:rsid w:val="00A5185B"/>
    <w:rsid w:val="00A53220"/>
    <w:rsid w:val="00A538E6"/>
    <w:rsid w:val="00A54465"/>
    <w:rsid w:val="00A54514"/>
    <w:rsid w:val="00A5597C"/>
    <w:rsid w:val="00A55A3C"/>
    <w:rsid w:val="00A56102"/>
    <w:rsid w:val="00A56800"/>
    <w:rsid w:val="00A56D7E"/>
    <w:rsid w:val="00A57404"/>
    <w:rsid w:val="00A575BD"/>
    <w:rsid w:val="00A60EEC"/>
    <w:rsid w:val="00A617FB"/>
    <w:rsid w:val="00A63B83"/>
    <w:rsid w:val="00A63F14"/>
    <w:rsid w:val="00A65BD9"/>
    <w:rsid w:val="00A66718"/>
    <w:rsid w:val="00A66A7C"/>
    <w:rsid w:val="00A671EF"/>
    <w:rsid w:val="00A70B31"/>
    <w:rsid w:val="00A72672"/>
    <w:rsid w:val="00A734B6"/>
    <w:rsid w:val="00A73A74"/>
    <w:rsid w:val="00A759FE"/>
    <w:rsid w:val="00A75CF2"/>
    <w:rsid w:val="00A75FE1"/>
    <w:rsid w:val="00A76D67"/>
    <w:rsid w:val="00A770C1"/>
    <w:rsid w:val="00A77562"/>
    <w:rsid w:val="00A776B8"/>
    <w:rsid w:val="00A77DB9"/>
    <w:rsid w:val="00A81A9F"/>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5887"/>
    <w:rsid w:val="00AA6A7B"/>
    <w:rsid w:val="00AB19F8"/>
    <w:rsid w:val="00AB27EA"/>
    <w:rsid w:val="00AB2A61"/>
    <w:rsid w:val="00AB3A12"/>
    <w:rsid w:val="00AB49D5"/>
    <w:rsid w:val="00AB4FB3"/>
    <w:rsid w:val="00AB51CC"/>
    <w:rsid w:val="00AB59FE"/>
    <w:rsid w:val="00AB5A8D"/>
    <w:rsid w:val="00AB5C05"/>
    <w:rsid w:val="00AB6642"/>
    <w:rsid w:val="00AC26A9"/>
    <w:rsid w:val="00AC2EFE"/>
    <w:rsid w:val="00AC3930"/>
    <w:rsid w:val="00AC3AB1"/>
    <w:rsid w:val="00AC68C6"/>
    <w:rsid w:val="00AC79C1"/>
    <w:rsid w:val="00AC7CA4"/>
    <w:rsid w:val="00AD1FF3"/>
    <w:rsid w:val="00AD384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DCE"/>
    <w:rsid w:val="00AE4FAC"/>
    <w:rsid w:val="00AE5525"/>
    <w:rsid w:val="00AE6381"/>
    <w:rsid w:val="00AE640C"/>
    <w:rsid w:val="00AE656F"/>
    <w:rsid w:val="00AE6CB0"/>
    <w:rsid w:val="00AE7C3A"/>
    <w:rsid w:val="00AE7D78"/>
    <w:rsid w:val="00AF0C33"/>
    <w:rsid w:val="00AF2CCF"/>
    <w:rsid w:val="00AF308B"/>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7B03"/>
    <w:rsid w:val="00B31160"/>
    <w:rsid w:val="00B31B62"/>
    <w:rsid w:val="00B3208E"/>
    <w:rsid w:val="00B328C1"/>
    <w:rsid w:val="00B33711"/>
    <w:rsid w:val="00B34889"/>
    <w:rsid w:val="00B35303"/>
    <w:rsid w:val="00B357FE"/>
    <w:rsid w:val="00B37550"/>
    <w:rsid w:val="00B402C6"/>
    <w:rsid w:val="00B4195B"/>
    <w:rsid w:val="00B41DC1"/>
    <w:rsid w:val="00B42607"/>
    <w:rsid w:val="00B42F69"/>
    <w:rsid w:val="00B43C2C"/>
    <w:rsid w:val="00B46EC7"/>
    <w:rsid w:val="00B50A91"/>
    <w:rsid w:val="00B5160B"/>
    <w:rsid w:val="00B51761"/>
    <w:rsid w:val="00B51871"/>
    <w:rsid w:val="00B52022"/>
    <w:rsid w:val="00B52187"/>
    <w:rsid w:val="00B544C8"/>
    <w:rsid w:val="00B54691"/>
    <w:rsid w:val="00B56D93"/>
    <w:rsid w:val="00B60CCD"/>
    <w:rsid w:val="00B620D9"/>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FF8"/>
    <w:rsid w:val="00B74858"/>
    <w:rsid w:val="00B752EB"/>
    <w:rsid w:val="00B76313"/>
    <w:rsid w:val="00B77BE4"/>
    <w:rsid w:val="00B812BE"/>
    <w:rsid w:val="00B813D5"/>
    <w:rsid w:val="00B81EA6"/>
    <w:rsid w:val="00B8258D"/>
    <w:rsid w:val="00B825B4"/>
    <w:rsid w:val="00B83704"/>
    <w:rsid w:val="00B84E7E"/>
    <w:rsid w:val="00B8643B"/>
    <w:rsid w:val="00B86608"/>
    <w:rsid w:val="00B875F2"/>
    <w:rsid w:val="00B87847"/>
    <w:rsid w:val="00B87F84"/>
    <w:rsid w:val="00B90477"/>
    <w:rsid w:val="00B91047"/>
    <w:rsid w:val="00B92AA5"/>
    <w:rsid w:val="00B9368A"/>
    <w:rsid w:val="00B93904"/>
    <w:rsid w:val="00B94C2B"/>
    <w:rsid w:val="00B955FE"/>
    <w:rsid w:val="00B96634"/>
    <w:rsid w:val="00B96744"/>
    <w:rsid w:val="00B97F4D"/>
    <w:rsid w:val="00BA010A"/>
    <w:rsid w:val="00BA0B9F"/>
    <w:rsid w:val="00BA126E"/>
    <w:rsid w:val="00BA3287"/>
    <w:rsid w:val="00BA5273"/>
    <w:rsid w:val="00BA5821"/>
    <w:rsid w:val="00BA6419"/>
    <w:rsid w:val="00BA6550"/>
    <w:rsid w:val="00BB0FC6"/>
    <w:rsid w:val="00BB3642"/>
    <w:rsid w:val="00BB4A3B"/>
    <w:rsid w:val="00BB59F6"/>
    <w:rsid w:val="00BB5EF0"/>
    <w:rsid w:val="00BB66AB"/>
    <w:rsid w:val="00BB7BBA"/>
    <w:rsid w:val="00BC0AD6"/>
    <w:rsid w:val="00BC122E"/>
    <w:rsid w:val="00BC3584"/>
    <w:rsid w:val="00BC5838"/>
    <w:rsid w:val="00BC6075"/>
    <w:rsid w:val="00BC6DC2"/>
    <w:rsid w:val="00BD2744"/>
    <w:rsid w:val="00BE2D2C"/>
    <w:rsid w:val="00BE4ED6"/>
    <w:rsid w:val="00BE54F3"/>
    <w:rsid w:val="00BE5F67"/>
    <w:rsid w:val="00BE7920"/>
    <w:rsid w:val="00BF1E46"/>
    <w:rsid w:val="00BF22CD"/>
    <w:rsid w:val="00BF2A3A"/>
    <w:rsid w:val="00BF2B4B"/>
    <w:rsid w:val="00BF2CD1"/>
    <w:rsid w:val="00BF4B6A"/>
    <w:rsid w:val="00BF5135"/>
    <w:rsid w:val="00BF5AB0"/>
    <w:rsid w:val="00BF60A0"/>
    <w:rsid w:val="00BF7DD0"/>
    <w:rsid w:val="00C00312"/>
    <w:rsid w:val="00C00828"/>
    <w:rsid w:val="00C009F5"/>
    <w:rsid w:val="00C01129"/>
    <w:rsid w:val="00C015E8"/>
    <w:rsid w:val="00C02239"/>
    <w:rsid w:val="00C022E1"/>
    <w:rsid w:val="00C0398D"/>
    <w:rsid w:val="00C03E65"/>
    <w:rsid w:val="00C03EA6"/>
    <w:rsid w:val="00C05472"/>
    <w:rsid w:val="00C05C3D"/>
    <w:rsid w:val="00C071AC"/>
    <w:rsid w:val="00C07EF8"/>
    <w:rsid w:val="00C100F1"/>
    <w:rsid w:val="00C109A2"/>
    <w:rsid w:val="00C11E4C"/>
    <w:rsid w:val="00C12A1E"/>
    <w:rsid w:val="00C12CE4"/>
    <w:rsid w:val="00C145C8"/>
    <w:rsid w:val="00C14954"/>
    <w:rsid w:val="00C14E7E"/>
    <w:rsid w:val="00C1519B"/>
    <w:rsid w:val="00C16C78"/>
    <w:rsid w:val="00C179B0"/>
    <w:rsid w:val="00C2015D"/>
    <w:rsid w:val="00C20245"/>
    <w:rsid w:val="00C208C6"/>
    <w:rsid w:val="00C20CA6"/>
    <w:rsid w:val="00C226F9"/>
    <w:rsid w:val="00C23398"/>
    <w:rsid w:val="00C233E9"/>
    <w:rsid w:val="00C23B23"/>
    <w:rsid w:val="00C2428B"/>
    <w:rsid w:val="00C25BB2"/>
    <w:rsid w:val="00C26C22"/>
    <w:rsid w:val="00C27B03"/>
    <w:rsid w:val="00C3089B"/>
    <w:rsid w:val="00C34B40"/>
    <w:rsid w:val="00C35836"/>
    <w:rsid w:val="00C4116B"/>
    <w:rsid w:val="00C41CD3"/>
    <w:rsid w:val="00C43438"/>
    <w:rsid w:val="00C44264"/>
    <w:rsid w:val="00C44632"/>
    <w:rsid w:val="00C46251"/>
    <w:rsid w:val="00C46B49"/>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1E45"/>
    <w:rsid w:val="00C62568"/>
    <w:rsid w:val="00C64143"/>
    <w:rsid w:val="00C6434D"/>
    <w:rsid w:val="00C652E5"/>
    <w:rsid w:val="00C667D6"/>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2283"/>
    <w:rsid w:val="00CA2AEF"/>
    <w:rsid w:val="00CA2CA3"/>
    <w:rsid w:val="00CA325F"/>
    <w:rsid w:val="00CA33B8"/>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544E"/>
    <w:rsid w:val="00CD077C"/>
    <w:rsid w:val="00CD2B1A"/>
    <w:rsid w:val="00CD342A"/>
    <w:rsid w:val="00CD3940"/>
    <w:rsid w:val="00CD46E4"/>
    <w:rsid w:val="00CD7577"/>
    <w:rsid w:val="00CE2F14"/>
    <w:rsid w:val="00CE4239"/>
    <w:rsid w:val="00CE52B8"/>
    <w:rsid w:val="00CE6A0B"/>
    <w:rsid w:val="00CE7BF6"/>
    <w:rsid w:val="00CF0950"/>
    <w:rsid w:val="00CF3B07"/>
    <w:rsid w:val="00CF4C13"/>
    <w:rsid w:val="00CF4D03"/>
    <w:rsid w:val="00CF62E0"/>
    <w:rsid w:val="00CF6384"/>
    <w:rsid w:val="00CF6902"/>
    <w:rsid w:val="00D02B8F"/>
    <w:rsid w:val="00D03851"/>
    <w:rsid w:val="00D039E7"/>
    <w:rsid w:val="00D0401F"/>
    <w:rsid w:val="00D06607"/>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6C9A"/>
    <w:rsid w:val="00D303E8"/>
    <w:rsid w:val="00D31BA6"/>
    <w:rsid w:val="00D33373"/>
    <w:rsid w:val="00D335E1"/>
    <w:rsid w:val="00D33A7D"/>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487B"/>
    <w:rsid w:val="00D662F2"/>
    <w:rsid w:val="00D665F1"/>
    <w:rsid w:val="00D6711E"/>
    <w:rsid w:val="00D72E79"/>
    <w:rsid w:val="00D73B08"/>
    <w:rsid w:val="00D740C3"/>
    <w:rsid w:val="00D75DF0"/>
    <w:rsid w:val="00D80127"/>
    <w:rsid w:val="00D804E2"/>
    <w:rsid w:val="00D805D1"/>
    <w:rsid w:val="00D80F13"/>
    <w:rsid w:val="00D81FB3"/>
    <w:rsid w:val="00D82FD7"/>
    <w:rsid w:val="00D84FA6"/>
    <w:rsid w:val="00D85585"/>
    <w:rsid w:val="00D85C5F"/>
    <w:rsid w:val="00D85ECC"/>
    <w:rsid w:val="00D864C7"/>
    <w:rsid w:val="00D86EB7"/>
    <w:rsid w:val="00D907A5"/>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514"/>
    <w:rsid w:val="00DD7667"/>
    <w:rsid w:val="00DD777C"/>
    <w:rsid w:val="00DE0D2F"/>
    <w:rsid w:val="00DE0D75"/>
    <w:rsid w:val="00DE11BE"/>
    <w:rsid w:val="00DE19EB"/>
    <w:rsid w:val="00DE2E15"/>
    <w:rsid w:val="00DE5B0F"/>
    <w:rsid w:val="00DE684D"/>
    <w:rsid w:val="00DE79FA"/>
    <w:rsid w:val="00DF0FE3"/>
    <w:rsid w:val="00DF2CB1"/>
    <w:rsid w:val="00DF3EAF"/>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0FEF"/>
    <w:rsid w:val="00E2109D"/>
    <w:rsid w:val="00E2249E"/>
    <w:rsid w:val="00E22B76"/>
    <w:rsid w:val="00E234F1"/>
    <w:rsid w:val="00E241ED"/>
    <w:rsid w:val="00E24415"/>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50007"/>
    <w:rsid w:val="00E51141"/>
    <w:rsid w:val="00E5387C"/>
    <w:rsid w:val="00E53E2C"/>
    <w:rsid w:val="00E54EF2"/>
    <w:rsid w:val="00E56AB2"/>
    <w:rsid w:val="00E60A5E"/>
    <w:rsid w:val="00E60DC5"/>
    <w:rsid w:val="00E61036"/>
    <w:rsid w:val="00E63559"/>
    <w:rsid w:val="00E646F4"/>
    <w:rsid w:val="00E64DCB"/>
    <w:rsid w:val="00E67180"/>
    <w:rsid w:val="00E676E2"/>
    <w:rsid w:val="00E72D27"/>
    <w:rsid w:val="00E74B53"/>
    <w:rsid w:val="00E74FA5"/>
    <w:rsid w:val="00E756A8"/>
    <w:rsid w:val="00E76032"/>
    <w:rsid w:val="00E765A1"/>
    <w:rsid w:val="00E768F2"/>
    <w:rsid w:val="00E77E9E"/>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1D72"/>
    <w:rsid w:val="00EA5257"/>
    <w:rsid w:val="00EA59B6"/>
    <w:rsid w:val="00EA7415"/>
    <w:rsid w:val="00EB0062"/>
    <w:rsid w:val="00EB0433"/>
    <w:rsid w:val="00EB1B8B"/>
    <w:rsid w:val="00EB24EC"/>
    <w:rsid w:val="00EB3C54"/>
    <w:rsid w:val="00EB4951"/>
    <w:rsid w:val="00EB566F"/>
    <w:rsid w:val="00EB595B"/>
    <w:rsid w:val="00EC098E"/>
    <w:rsid w:val="00EC0BCB"/>
    <w:rsid w:val="00EC0E71"/>
    <w:rsid w:val="00EC2AF7"/>
    <w:rsid w:val="00EC4094"/>
    <w:rsid w:val="00ED0778"/>
    <w:rsid w:val="00ED1A18"/>
    <w:rsid w:val="00ED399C"/>
    <w:rsid w:val="00ED5AD2"/>
    <w:rsid w:val="00ED613A"/>
    <w:rsid w:val="00ED6CFA"/>
    <w:rsid w:val="00ED6D53"/>
    <w:rsid w:val="00EE1855"/>
    <w:rsid w:val="00EE266A"/>
    <w:rsid w:val="00EE2B68"/>
    <w:rsid w:val="00EE359F"/>
    <w:rsid w:val="00EE35A8"/>
    <w:rsid w:val="00EE3733"/>
    <w:rsid w:val="00EE395E"/>
    <w:rsid w:val="00EE3EDC"/>
    <w:rsid w:val="00EE4CD6"/>
    <w:rsid w:val="00EE6D70"/>
    <w:rsid w:val="00EF04B4"/>
    <w:rsid w:val="00EF1386"/>
    <w:rsid w:val="00EF1485"/>
    <w:rsid w:val="00EF2491"/>
    <w:rsid w:val="00EF256B"/>
    <w:rsid w:val="00EF5277"/>
    <w:rsid w:val="00EF5CAD"/>
    <w:rsid w:val="00EF611F"/>
    <w:rsid w:val="00EF76E1"/>
    <w:rsid w:val="00F029AF"/>
    <w:rsid w:val="00F03441"/>
    <w:rsid w:val="00F03E0D"/>
    <w:rsid w:val="00F04099"/>
    <w:rsid w:val="00F04218"/>
    <w:rsid w:val="00F05B66"/>
    <w:rsid w:val="00F05FC8"/>
    <w:rsid w:val="00F07C09"/>
    <w:rsid w:val="00F1030E"/>
    <w:rsid w:val="00F10925"/>
    <w:rsid w:val="00F11586"/>
    <w:rsid w:val="00F12063"/>
    <w:rsid w:val="00F12F6C"/>
    <w:rsid w:val="00F13DAE"/>
    <w:rsid w:val="00F13DCE"/>
    <w:rsid w:val="00F14BCA"/>
    <w:rsid w:val="00F157D8"/>
    <w:rsid w:val="00F1727F"/>
    <w:rsid w:val="00F201AD"/>
    <w:rsid w:val="00F21189"/>
    <w:rsid w:val="00F213FA"/>
    <w:rsid w:val="00F21481"/>
    <w:rsid w:val="00F215B1"/>
    <w:rsid w:val="00F21B21"/>
    <w:rsid w:val="00F222BB"/>
    <w:rsid w:val="00F2252E"/>
    <w:rsid w:val="00F22ACC"/>
    <w:rsid w:val="00F24594"/>
    <w:rsid w:val="00F2491A"/>
    <w:rsid w:val="00F24EF6"/>
    <w:rsid w:val="00F254E4"/>
    <w:rsid w:val="00F25719"/>
    <w:rsid w:val="00F26AAB"/>
    <w:rsid w:val="00F26F5D"/>
    <w:rsid w:val="00F26FF8"/>
    <w:rsid w:val="00F274AA"/>
    <w:rsid w:val="00F277CD"/>
    <w:rsid w:val="00F34C92"/>
    <w:rsid w:val="00F3543E"/>
    <w:rsid w:val="00F35D19"/>
    <w:rsid w:val="00F377AE"/>
    <w:rsid w:val="00F40712"/>
    <w:rsid w:val="00F41269"/>
    <w:rsid w:val="00F41319"/>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8C7"/>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A0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FC4D7"/>
  <w15:docId w15:val="{246332C7-67F6-458E-B9A4-1CFD06E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Hlavika">
    <w:name w:val="header"/>
    <w:basedOn w:val="Normlny"/>
    <w:link w:val="HlavikaChar1"/>
    <w:rsid w:val="0050541A"/>
    <w:pPr>
      <w:tabs>
        <w:tab w:val="center" w:pos="4153"/>
        <w:tab w:val="right" w:pos="8306"/>
      </w:tabs>
      <w:spacing w:line="240" w:lineRule="auto"/>
    </w:pPr>
    <w:rPr>
      <w:rFonts w:ascii="Helvetica" w:hAnsi="Helvetica"/>
      <w:sz w:val="20"/>
      <w:lang w:val="cs-CZ" w:eastAsia="en-US" w:bidi="ar-SA"/>
    </w:rPr>
  </w:style>
  <w:style w:type="character" w:customStyle="1" w:styleId="HlavikaChar1">
    <w:name w:val="Hlavička Char1"/>
    <w:basedOn w:val="Predvolenpsmoodseku"/>
    <w:link w:val="Hlavika"/>
    <w:rsid w:val="0050541A"/>
    <w:rPr>
      <w:rFonts w:ascii="Helvetica" w:eastAsia="Times New Roman" w:hAnsi="Helvetica"/>
      <w:lang w:val="cs-CZ" w:eastAsia="en-US"/>
    </w:rPr>
  </w:style>
  <w:style w:type="paragraph" w:styleId="Zkladntext">
    <w:name w:val="Body Text"/>
    <w:basedOn w:val="Normlny"/>
    <w:link w:val="ZkladntextChar"/>
    <w:rsid w:val="009C286A"/>
    <w:pPr>
      <w:tabs>
        <w:tab w:val="clear" w:pos="567"/>
      </w:tabs>
      <w:spacing w:line="240" w:lineRule="auto"/>
    </w:pPr>
    <w:rPr>
      <w:szCs w:val="24"/>
      <w:lang w:bidi="ar-SA"/>
    </w:rPr>
  </w:style>
  <w:style w:type="character" w:customStyle="1" w:styleId="ZkladntextChar">
    <w:name w:val="Základný text Char"/>
    <w:basedOn w:val="Predvolenpsmoodseku"/>
    <w:link w:val="Zkladntext"/>
    <w:rsid w:val="009C286A"/>
    <w:rPr>
      <w:rFonts w:eastAsia="Times New Roman"/>
      <w:sz w:val="22"/>
      <w:szCs w:val="24"/>
      <w:lang w:val="sk-SK" w:eastAsia="sk-SK"/>
    </w:rPr>
  </w:style>
  <w:style w:type="character" w:styleId="Hypertextovprepojenie">
    <w:name w:val="Hyperlink"/>
    <w:rsid w:val="00612DD6"/>
    <w:rPr>
      <w:color w:val="0000FF"/>
      <w:u w:val="single"/>
    </w:rPr>
  </w:style>
  <w:style w:type="paragraph" w:customStyle="1" w:styleId="Default">
    <w:name w:val="Default"/>
    <w:rsid w:val="00F22ACC"/>
    <w:pPr>
      <w:autoSpaceDE w:val="0"/>
      <w:autoSpaceDN w:val="0"/>
      <w:adjustRightInd w:val="0"/>
    </w:pPr>
    <w:rPr>
      <w:rFonts w:eastAsia="Times New Roman"/>
      <w:color w:val="000000"/>
      <w:sz w:val="24"/>
      <w:szCs w:val="24"/>
      <w:lang w:val="cs-CZ" w:eastAsia="cs-CZ"/>
    </w:rPr>
  </w:style>
  <w:style w:type="paragraph" w:styleId="Pta">
    <w:name w:val="footer"/>
    <w:basedOn w:val="Normlny"/>
    <w:link w:val="PtaChar1"/>
    <w:uiPriority w:val="99"/>
    <w:unhideWhenUsed/>
    <w:rsid w:val="00A37A23"/>
    <w:pPr>
      <w:tabs>
        <w:tab w:val="clear" w:pos="567"/>
        <w:tab w:val="center" w:pos="4536"/>
        <w:tab w:val="right" w:pos="9072"/>
      </w:tabs>
    </w:pPr>
  </w:style>
  <w:style w:type="character" w:customStyle="1" w:styleId="PtaChar1">
    <w:name w:val="Päta Char1"/>
    <w:basedOn w:val="Predvolenpsmoodseku"/>
    <w:link w:val="Pta"/>
    <w:uiPriority w:val="99"/>
    <w:rsid w:val="00A37A23"/>
    <w:rPr>
      <w:rFonts w:eastAsia="Times New Roman"/>
      <w:sz w:val="22"/>
      <w:lang w:val="sk-SK" w:eastAsia="sk-SK" w:bidi="sk-SK"/>
    </w:rPr>
  </w:style>
  <w:style w:type="paragraph" w:customStyle="1" w:styleId="TableParagraph">
    <w:name w:val="Table Paragraph"/>
    <w:basedOn w:val="Normlny"/>
    <w:uiPriority w:val="1"/>
    <w:qFormat/>
    <w:rsid w:val="006A3665"/>
    <w:pPr>
      <w:widowControl w:val="0"/>
      <w:tabs>
        <w:tab w:val="clear" w:pos="567"/>
      </w:tabs>
      <w:autoSpaceDE w:val="0"/>
      <w:autoSpaceDN w:val="0"/>
      <w:spacing w:line="240" w:lineRule="auto"/>
      <w:ind w:left="103"/>
    </w:pPr>
    <w:rPr>
      <w:szCs w:val="22"/>
      <w:lang w:val="en-US" w:eastAsia="en-US" w:bidi="ar-SA"/>
    </w:rPr>
  </w:style>
  <w:style w:type="paragraph" w:styleId="Textbubliny">
    <w:name w:val="Balloon Text"/>
    <w:basedOn w:val="Normlny"/>
    <w:link w:val="TextbublinyChar1"/>
    <w:uiPriority w:val="99"/>
    <w:semiHidden/>
    <w:unhideWhenUsed/>
    <w:rsid w:val="005D6FF9"/>
    <w:pPr>
      <w:spacing w:line="240" w:lineRule="auto"/>
    </w:pPr>
    <w:rPr>
      <w:rFonts w:ascii="Segoe UI" w:hAnsi="Segoe UI" w:cs="Segoe UI"/>
      <w:sz w:val="18"/>
      <w:szCs w:val="18"/>
    </w:rPr>
  </w:style>
  <w:style w:type="character" w:customStyle="1" w:styleId="TextbublinyChar1">
    <w:name w:val="Text bubliny Char1"/>
    <w:basedOn w:val="Predvolenpsmoodseku"/>
    <w:link w:val="Textbubliny"/>
    <w:uiPriority w:val="99"/>
    <w:semiHidden/>
    <w:rsid w:val="005D6FF9"/>
    <w:rPr>
      <w:rFonts w:ascii="Segoe UI" w:eastAsia="Times New Roman" w:hAnsi="Segoe UI" w:cs="Segoe UI"/>
      <w:sz w:val="18"/>
      <w:szCs w:val="18"/>
      <w:lang w:val="sk-SK" w:eastAsia="sk-SK" w:bidi="sk-SK"/>
    </w:rPr>
  </w:style>
  <w:style w:type="character" w:styleId="Odkaznakomentr">
    <w:name w:val="annotation reference"/>
    <w:basedOn w:val="Predvolenpsmoodseku"/>
    <w:uiPriority w:val="99"/>
    <w:semiHidden/>
    <w:unhideWhenUsed/>
    <w:rsid w:val="00193980"/>
    <w:rPr>
      <w:sz w:val="16"/>
      <w:szCs w:val="16"/>
    </w:rPr>
  </w:style>
  <w:style w:type="paragraph" w:styleId="Textkomentra">
    <w:name w:val="annotation text"/>
    <w:basedOn w:val="Normlny"/>
    <w:link w:val="TextkomentraChar1"/>
    <w:uiPriority w:val="99"/>
    <w:semiHidden/>
    <w:unhideWhenUsed/>
    <w:rsid w:val="00193980"/>
    <w:pPr>
      <w:spacing w:line="240" w:lineRule="auto"/>
    </w:pPr>
    <w:rPr>
      <w:sz w:val="20"/>
    </w:rPr>
  </w:style>
  <w:style w:type="character" w:customStyle="1" w:styleId="TextkomentraChar1">
    <w:name w:val="Text komentára Char1"/>
    <w:basedOn w:val="Predvolenpsmoodseku"/>
    <w:link w:val="Textkomentra"/>
    <w:uiPriority w:val="99"/>
    <w:semiHidden/>
    <w:rsid w:val="00193980"/>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193980"/>
    <w:rPr>
      <w:b/>
      <w:bCs/>
    </w:rPr>
  </w:style>
  <w:style w:type="character" w:customStyle="1" w:styleId="PredmetkomentraChar1">
    <w:name w:val="Predmet komentára Char1"/>
    <w:basedOn w:val="TextkomentraChar1"/>
    <w:link w:val="Predmetkomentra"/>
    <w:uiPriority w:val="99"/>
    <w:semiHidden/>
    <w:rsid w:val="00193980"/>
    <w:rPr>
      <w:rFonts w:eastAsia="Times New Roman"/>
      <w:b/>
      <w:bCs/>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6214-D727-44CB-AE31-DF93B47B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5564</Words>
  <Characters>31715</Characters>
  <Application>Microsoft Office Word</Application>
  <DocSecurity>0</DocSecurity>
  <Lines>264</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Hqrdtemplateclean_sk</vt:lpstr>
      <vt:lpstr>Hqrdtemplateclean_sk</vt:lpstr>
    </vt:vector>
  </TitlesOfParts>
  <Company>Translation Centre</Company>
  <LinksUpToDate>false</LinksUpToDate>
  <CharactersWithSpaces>37205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zuzana molnarova</cp:lastModifiedBy>
  <cp:revision>2</cp:revision>
  <cp:lastPrinted>2019-06-11T20:08:00Z</cp:lastPrinted>
  <dcterms:created xsi:type="dcterms:W3CDTF">2020-04-21T06:13:00Z</dcterms:created>
  <dcterms:modified xsi:type="dcterms:W3CDTF">2020-04-21T06:13:00Z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