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E8" w:rsidRDefault="00037DE8" w:rsidP="00037DE8">
      <w:pPr>
        <w:pStyle w:val="Hlavika"/>
        <w:rPr>
          <w:sz w:val="22"/>
          <w:szCs w:val="24"/>
        </w:rPr>
      </w:pPr>
    </w:p>
    <w:p w:rsidR="00A63E55" w:rsidRPr="004022D3" w:rsidRDefault="00A63E55" w:rsidP="007F175D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C44CA8">
      <w:pPr>
        <w:pStyle w:val="Nadpis8"/>
        <w:rPr>
          <w:rFonts w:ascii="Times New Roman" w:hAnsi="Times New Roman" w:cs="Times New Roman"/>
          <w:caps/>
          <w:sz w:val="22"/>
          <w:szCs w:val="22"/>
        </w:rPr>
      </w:pPr>
      <w:r w:rsidRPr="004022D3">
        <w:rPr>
          <w:rFonts w:ascii="Times New Roman" w:hAnsi="Times New Roman" w:cs="Times New Roman"/>
          <w:caps/>
          <w:sz w:val="22"/>
          <w:szCs w:val="22"/>
        </w:rPr>
        <w:t>Súhrn charakteristických vlastností lieku</w:t>
      </w:r>
    </w:p>
    <w:p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EC5EF7" w:rsidRPr="00850A72" w:rsidRDefault="00EC5EF7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6710E8" w:rsidRPr="004022D3" w:rsidRDefault="00054C2B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Allegra</w:t>
      </w:r>
      <w:r w:rsidR="00A63E55"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120 mg </w:t>
      </w:r>
    </w:p>
    <w:p w:rsidR="00A63E55" w:rsidRPr="004022D3" w:rsidRDefault="00A63E55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filmom obalené tablety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2.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kvalitatívne a kvantitatívne Zloženie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Každá tableta obsahuje 120 mg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čo zodpovedá 112 mg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99108C" w:rsidRPr="004022D3" w:rsidRDefault="0099108C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322D92" w:rsidRPr="004022D3" w:rsidRDefault="00322D92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Úplný zoznam pomocných látok, pozri časť 6.1.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6D425B" w:rsidRPr="004022D3" w:rsidRDefault="006D425B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3.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Lieková forma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Filmom obalen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tablet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a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781BF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Tableta v tvare kapsuly,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broskyňovej farby, obalená filmovou vrstvou</w:t>
      </w:r>
      <w:r w:rsidR="00E00664" w:rsidRPr="004022D3">
        <w:rPr>
          <w:rFonts w:ascii="Times New Roman" w:hAnsi="Times New Roman"/>
          <w:sz w:val="22"/>
          <w:szCs w:val="22"/>
          <w:lang w:val="sk-SK"/>
        </w:rPr>
        <w:t>,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4A00">
        <w:rPr>
          <w:rFonts w:ascii="Times New Roman" w:hAnsi="Times New Roman"/>
          <w:sz w:val="22"/>
          <w:szCs w:val="22"/>
          <w:lang w:val="sk-SK"/>
        </w:rPr>
        <w:t xml:space="preserve">s rozmermi 6,1 x 15,8 mm, 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s </w:t>
      </w:r>
      <w:r w:rsidR="00E013A4" w:rsidRPr="004022D3">
        <w:rPr>
          <w:rFonts w:ascii="Times New Roman" w:hAnsi="Times New Roman"/>
          <w:sz w:val="22"/>
          <w:szCs w:val="22"/>
          <w:lang w:val="sk-SK"/>
        </w:rPr>
        <w:t>označením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„012“</w:t>
      </w:r>
      <w:r w:rsidR="00135F70" w:rsidRPr="004022D3">
        <w:rPr>
          <w:rFonts w:ascii="Times New Roman" w:hAnsi="Times New Roman"/>
          <w:sz w:val="22"/>
          <w:szCs w:val="22"/>
          <w:lang w:val="sk-SK"/>
        </w:rPr>
        <w:t xml:space="preserve"> na jednej </w:t>
      </w:r>
      <w:r w:rsidR="00135F70" w:rsidRPr="00FA6C54">
        <w:rPr>
          <w:rFonts w:ascii="Times New Roman" w:hAnsi="Times New Roman"/>
          <w:sz w:val="22"/>
          <w:szCs w:val="22"/>
          <w:lang w:val="sk-SK"/>
        </w:rPr>
        <w:t>strane</w:t>
      </w:r>
      <w:r w:rsidR="00680675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a</w:t>
      </w:r>
      <w:r w:rsidR="00FA6C54" w:rsidRPr="007F175D">
        <w:rPr>
          <w:rFonts w:ascii="Times New Roman" w:hAnsi="Times New Roman"/>
          <w:sz w:val="22"/>
          <w:szCs w:val="22"/>
          <w:lang w:val="sk-SK"/>
        </w:rPr>
        <w:t xml:space="preserve"> nápisom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„e“</w:t>
      </w:r>
      <w:r w:rsidR="00135F70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na druhej strane</w:t>
      </w:r>
      <w:r w:rsidR="00A63E55" w:rsidRPr="00FA6C54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850A72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Terapeutické indikácie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B818B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Allegra 120 mg sa používa u dospelých paci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>entov a u detí vo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 xml:space="preserve"> veku 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 xml:space="preserve">od 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>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na z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miernenie príznakov spojených so sezónnou alergickou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rinitídou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Dávkovanie a spôsob podávania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B818B5" w:rsidRPr="004022D3" w:rsidRDefault="00B818B5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pre dospelých je 120 mg raz denne. Užíva sa pred jedlom.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je farmakologicky účinný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5B1923" w:rsidRPr="004022D3" w:rsidRDefault="005B1923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5B1923" w:rsidRPr="004022D3" w:rsidRDefault="005B1923" w:rsidP="007649D1">
      <w:pPr>
        <w:numPr>
          <w:ilvl w:val="0"/>
          <w:numId w:val="14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vo veku 12 rokov a </w:t>
      </w:r>
      <w:r w:rsidR="00B93086" w:rsidRPr="004022D3">
        <w:rPr>
          <w:rFonts w:ascii="Times New Roman" w:hAnsi="Times New Roman"/>
          <w:sz w:val="22"/>
          <w:szCs w:val="22"/>
          <w:lang w:val="sk-SK"/>
        </w:rPr>
        <w:t>staršie</w:t>
      </w:r>
    </w:p>
    <w:p w:rsidR="005B1923" w:rsidRPr="004022D3" w:rsidRDefault="005B1923" w:rsidP="005B192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0B6B" w:rsidRPr="004022D3">
        <w:rPr>
          <w:rFonts w:ascii="Times New Roman" w:hAnsi="Times New Roman"/>
          <w:sz w:val="22"/>
          <w:szCs w:val="22"/>
          <w:lang w:val="sk-SK"/>
        </w:rPr>
        <w:t>pre deti vo veku od 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 120 mg raz denne. Užíva sa pred jedlom.</w:t>
      </w:r>
    </w:p>
    <w:p w:rsidR="005B1923" w:rsidRPr="004022D3" w:rsidRDefault="005B1923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numPr>
          <w:ilvl w:val="0"/>
          <w:numId w:val="1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mladšie ako 12 rokov</w:t>
      </w:r>
    </w:p>
    <w:p w:rsidR="00A63E55" w:rsidRPr="004022D3" w:rsidRDefault="0015128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16C6" w:rsidRPr="004022D3">
        <w:rPr>
          <w:rFonts w:ascii="Times New Roman" w:hAnsi="Times New Roman"/>
          <w:sz w:val="22"/>
          <w:szCs w:val="22"/>
          <w:lang w:val="sk-SK"/>
        </w:rPr>
        <w:t xml:space="preserve">120 mg </w:t>
      </w:r>
      <w:r w:rsidRPr="004022D3">
        <w:rPr>
          <w:rFonts w:ascii="Times New Roman" w:hAnsi="Times New Roman"/>
          <w:sz w:val="22"/>
          <w:szCs w:val="22"/>
          <w:lang w:val="sk-SK"/>
        </w:rPr>
        <w:t>u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detí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do 12 rokov </w:t>
      </w:r>
      <w:r w:rsidRPr="004022D3">
        <w:rPr>
          <w:rFonts w:ascii="Times New Roman" w:hAnsi="Times New Roman"/>
          <w:sz w:val="22"/>
          <w:szCs w:val="22"/>
          <w:lang w:val="sk-SK"/>
        </w:rPr>
        <w:t>nebola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doteraz </w:t>
      </w:r>
      <w:r w:rsidRPr="004022D3">
        <w:rPr>
          <w:rFonts w:ascii="Times New Roman" w:hAnsi="Times New Roman"/>
          <w:sz w:val="22"/>
          <w:szCs w:val="22"/>
          <w:lang w:val="sk-SK"/>
        </w:rPr>
        <w:t>stanovená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</w:p>
    <w:p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 detí vo veku od 6 do 11 rokov: 30 mg tableta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437F" w:rsidRPr="004022D3">
        <w:rPr>
          <w:rFonts w:ascii="Times New Roman" w:hAnsi="Times New Roman"/>
          <w:sz w:val="22"/>
          <w:szCs w:val="22"/>
          <w:lang w:val="sk-SK"/>
        </w:rPr>
        <w:t>je vhodná formulácia na pod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anie a dávkovanie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 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>tejto skupin</w:t>
      </w:r>
      <w:r w:rsidR="0012748A">
        <w:rPr>
          <w:rFonts w:ascii="Times New Roman" w:hAnsi="Times New Roman"/>
          <w:sz w:val="22"/>
          <w:szCs w:val="22"/>
          <w:lang w:val="sk-SK"/>
        </w:rPr>
        <w:t>e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 pacientov.</w:t>
      </w:r>
    </w:p>
    <w:p w:rsidR="00A63E55" w:rsidRPr="004022D3" w:rsidRDefault="00A63E55">
      <w:pPr>
        <w:pStyle w:val="Nadpis3"/>
        <w:ind w:left="0"/>
        <w:rPr>
          <w:rFonts w:ascii="Times New Roman" w:hAnsi="Times New Roman"/>
          <w:sz w:val="22"/>
          <w:szCs w:val="22"/>
        </w:rPr>
      </w:pPr>
    </w:p>
    <w:p w:rsidR="005E3545" w:rsidRPr="00FA6C54" w:rsidRDefault="00A81A62" w:rsidP="005E3545">
      <w:pPr>
        <w:pStyle w:val="Nadpis3"/>
        <w:ind w:left="0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i/>
          <w:sz w:val="22"/>
          <w:szCs w:val="22"/>
          <w:u w:val="none"/>
        </w:rPr>
        <w:t>Osobitné</w:t>
      </w:r>
      <w:r w:rsidR="007176B4" w:rsidRPr="00FA6C54">
        <w:rPr>
          <w:rFonts w:ascii="Times New Roman" w:hAnsi="Times New Roman"/>
          <w:i/>
          <w:sz w:val="22"/>
          <w:szCs w:val="22"/>
          <w:u w:val="none"/>
        </w:rPr>
        <w:t xml:space="preserve"> </w:t>
      </w:r>
      <w:r w:rsidR="005F71FC" w:rsidRPr="00FA6C54">
        <w:rPr>
          <w:rFonts w:ascii="Times New Roman" w:hAnsi="Times New Roman"/>
          <w:i/>
          <w:sz w:val="22"/>
          <w:szCs w:val="22"/>
          <w:u w:val="none"/>
        </w:rPr>
        <w:t>skupiny pacientov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850A72">
        <w:rPr>
          <w:rFonts w:ascii="Times New Roman" w:hAnsi="Times New Roman"/>
          <w:sz w:val="22"/>
          <w:szCs w:val="22"/>
          <w:lang w:val="sk-SK"/>
        </w:rPr>
        <w:t xml:space="preserve">Štúdie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76B4" w:rsidRPr="004022D3">
        <w:rPr>
          <w:rFonts w:ascii="Times New Roman" w:hAnsi="Times New Roman"/>
          <w:sz w:val="22"/>
          <w:szCs w:val="22"/>
          <w:lang w:val="sk-SK"/>
        </w:rPr>
        <w:t xml:space="preserve">osobitných </w:t>
      </w:r>
      <w:r w:rsidRPr="004022D3">
        <w:rPr>
          <w:rFonts w:ascii="Times New Roman" w:hAnsi="Times New Roman"/>
          <w:sz w:val="22"/>
          <w:szCs w:val="22"/>
          <w:lang w:val="sk-SK"/>
        </w:rPr>
        <w:t>rizikových skup</w:t>
      </w:r>
      <w:r w:rsidR="0012748A">
        <w:rPr>
          <w:rFonts w:ascii="Times New Roman" w:hAnsi="Times New Roman"/>
          <w:sz w:val="22"/>
          <w:szCs w:val="22"/>
          <w:lang w:val="sk-SK"/>
        </w:rPr>
        <w:t>i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12748A">
        <w:rPr>
          <w:rFonts w:ascii="Times New Roman" w:hAnsi="Times New Roman"/>
          <w:sz w:val="22"/>
          <w:szCs w:val="22"/>
          <w:lang w:val="sk-SK"/>
        </w:rPr>
        <w:t>ách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(starší, pacienti s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 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) ukazujú, že upravovať dávkovanie </w:t>
      </w:r>
      <w:proofErr w:type="spellStart"/>
      <w:r w:rsidR="00C57FC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57FC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pre týchto pacientov nie je potrebné.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Kontraindikácie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1F22E2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Precitlivenosť na liečivo alebo na ktorúkoľvek z pomocných látok</w:t>
      </w:r>
      <w:r w:rsidR="00BD449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5063D" w:rsidRPr="004022D3">
        <w:rPr>
          <w:rFonts w:ascii="Times New Roman" w:hAnsi="Times New Roman"/>
          <w:sz w:val="22"/>
          <w:szCs w:val="22"/>
          <w:lang w:val="sk-SK"/>
        </w:rPr>
        <w:t>uvedených v časti 6.1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Osobitné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upozornenia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 opatrenia pri používaní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U starších pacientov a pacientov s 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sú k dispozícii len obmedzené skúsenosti s podávaním </w:t>
      </w:r>
      <w:proofErr w:type="spellStart"/>
      <w:r w:rsidR="00054C2B" w:rsidRPr="004022D3">
        <w:rPr>
          <w:rFonts w:ascii="Times New Roman" w:hAnsi="Times New Roman"/>
          <w:sz w:val="22"/>
          <w:szCs w:val="22"/>
          <w:lang w:val="sk-SK"/>
        </w:rPr>
        <w:t>Allegry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čo platí pre väčšinu nových liekov. V týchto prípadoch sa má podávať </w:t>
      </w:r>
      <w:proofErr w:type="spellStart"/>
      <w:r w:rsidR="00585EF6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 s opatrnosťou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1F22E2" w:rsidRPr="004022D3" w:rsidRDefault="001F22E2" w:rsidP="00A456D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Pa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cienti, ktorí majú v súčasnosti alebo v anamnéze ochorenie srdca, musia byť upozornení, že lieky patriace do skupiny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antihistaminík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 sa spájajú s nežiaducimi </w:t>
      </w:r>
      <w:r w:rsidR="006C1A3D" w:rsidRPr="004022D3">
        <w:rPr>
          <w:rFonts w:ascii="Times New Roman" w:hAnsi="Times New Roman"/>
          <w:sz w:val="22"/>
          <w:szCs w:val="22"/>
          <w:lang w:val="sk-SK" w:eastAsia="sk-SK"/>
        </w:rPr>
        <w:t xml:space="preserve">účinkami 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ako je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tachykardia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palpitácie</w:t>
      </w:r>
      <w:proofErr w:type="spellEnd"/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pozri časť </w:t>
      </w:r>
      <w:r w:rsidRPr="004022D3">
        <w:rPr>
          <w:rFonts w:ascii="Times New Roman" w:hAnsi="Times New Roman"/>
          <w:sz w:val="22"/>
          <w:szCs w:val="22"/>
          <w:lang w:val="sk-SK" w:eastAsia="sk-SK"/>
        </w:rPr>
        <w:t>4.8).</w:t>
      </w:r>
    </w:p>
    <w:p w:rsidR="009605BB" w:rsidRPr="004022D3" w:rsidRDefault="009605BB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Liekové a iné interakcie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nepodlieha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hepatálnej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biotransformácii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preto nedochádza k interakciám s inými liekmi hepatálnym mechanizmom. Súčasné podanie </w:t>
      </w:r>
      <w:proofErr w:type="spellStart"/>
      <w:r w:rsidR="006C1A3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erytromycínu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ketokonazolu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sa prejavilo dvoj- až trojnásobným zvýšením hladiny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 plazme. Tieto zmeny nemali žiadny účinok na QT interval a v porovnaní s oddeleným užívaním jednotlivých liekov nespôsobili zvýšený výskyt nežiaducich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účinkov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Štúdie na zvieratách ukázali, že zvýšenie hladín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pri 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sú</w:t>
      </w:r>
      <w:r w:rsidR="0012748A">
        <w:rPr>
          <w:rFonts w:ascii="Times New Roman" w:hAnsi="Times New Roman"/>
          <w:sz w:val="22"/>
          <w:szCs w:val="22"/>
          <w:lang w:val="sk-SK"/>
        </w:rPr>
        <w:t>bež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nom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podávaní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erytromycínu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ketokonazolu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je spôsobené zvýšenou gastrointestinálnou absor</w:t>
      </w:r>
      <w:r w:rsidR="002A36CA" w:rsidRPr="004022D3">
        <w:rPr>
          <w:rFonts w:ascii="Times New Roman" w:hAnsi="Times New Roman"/>
          <w:sz w:val="22"/>
          <w:szCs w:val="22"/>
          <w:lang w:val="sk-SK"/>
        </w:rPr>
        <w:t>p</w:t>
      </w:r>
      <w:r w:rsidRPr="004022D3">
        <w:rPr>
          <w:rFonts w:ascii="Times New Roman" w:hAnsi="Times New Roman"/>
          <w:sz w:val="22"/>
          <w:szCs w:val="22"/>
          <w:lang w:val="sk-SK"/>
        </w:rPr>
        <w:t>ciou a zníženým vylučovaním žlče alebo znížením gastrointestinálnej sekrécie.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Medzi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omeprazolom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sa nepozorovali interakcie. Avšak užitie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antacíd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obsahujúcich hliník a gélov s obsahom hydroxidu horčíka 15 minút pred užitím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zníži</w:t>
      </w:r>
      <w:r w:rsidR="00531224" w:rsidRPr="004022D3">
        <w:rPr>
          <w:rFonts w:ascii="Times New Roman" w:hAnsi="Times New Roman"/>
          <w:sz w:val="22"/>
          <w:szCs w:val="22"/>
          <w:lang w:val="sk-SK"/>
        </w:rPr>
        <w:t>lo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jeho biologickú dostupnosť pravdepodobne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kvôli </w:t>
      </w:r>
      <w:r w:rsidRPr="004022D3">
        <w:rPr>
          <w:rFonts w:ascii="Times New Roman" w:hAnsi="Times New Roman"/>
          <w:sz w:val="22"/>
          <w:szCs w:val="22"/>
          <w:lang w:val="sk-SK"/>
        </w:rPr>
        <w:t>naviazani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 gastrointestinálnom trakte. Odporúča sa dodržať dvojhodinový časový interval medzi užitím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antacíd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obsahujúcich hliník a hydroxid horčíka.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4.6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="0020446E" w:rsidRPr="004022D3">
        <w:rPr>
          <w:rFonts w:ascii="Times New Roman" w:hAnsi="Times New Roman"/>
          <w:b/>
          <w:bCs/>
          <w:sz w:val="22"/>
          <w:szCs w:val="22"/>
          <w:lang w:val="sk-SK"/>
        </w:rPr>
        <w:t>Fertilita</w:t>
      </w:r>
      <w:proofErr w:type="spellEnd"/>
      <w:r w:rsidR="0020446E" w:rsidRPr="004022D3">
        <w:rPr>
          <w:rFonts w:ascii="Times New Roman" w:hAnsi="Times New Roman"/>
          <w:b/>
          <w:bCs/>
          <w:sz w:val="22"/>
          <w:szCs w:val="22"/>
          <w:lang w:val="sk-SK"/>
        </w:rPr>
        <w:t>, g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ravidita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laktácia</w:t>
      </w:r>
    </w:p>
    <w:p w:rsidR="005E3545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084A00" w:rsidRPr="004022D3" w:rsidRDefault="00084A00" w:rsidP="00084A00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Nie sú k dispozícii dostatočné údaje o použití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 gravidných žien. Štúdie na zvieratách nepreukázali priame alebo nepriame škodlivé účinky na graviditu, embryonálny/fetálny vývoj, pôrod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postnatálny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vývoj (pozri </w:t>
      </w:r>
      <w:r w:rsidR="00F81314" w:rsidRPr="004022D3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5.3).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má byť užívaný počas gravidity len v nevyhnutných prípadoch.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494D3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5E3545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Nie sú žiadne údaje o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>obsahu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v materskom mlieku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po jeho podaní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Avšak pri podávaní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dojčiacim matkám sa zistilo,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prechádza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do materského mlieka. Preto sa užívanie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dojčiacim matkám neodporúča.</w:t>
      </w:r>
    </w:p>
    <w:p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695481" w:rsidRDefault="00695481" w:rsidP="00695481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:rsidR="00695481" w:rsidRDefault="00695481" w:rsidP="0069548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Nie sú dostupné žiadne údaje o vplyve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hydrochloridu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plodnosť. U myší liečených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hydrochloridom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nebol pozorovaný žiaden vplyv na plodnosť (pozri časť 5.3).</w:t>
      </w:r>
    </w:p>
    <w:p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695481" w:rsidRPr="00461687" w:rsidRDefault="00695481" w:rsidP="00695481">
      <w:pPr>
        <w:tabs>
          <w:tab w:val="left" w:pos="851"/>
        </w:tabs>
        <w:rPr>
          <w:sz w:val="22"/>
          <w:szCs w:val="22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4.7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Ovplyvnenie schopnosti viesť vozidlá a obsluhovať stroje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základe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farmakodynamického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profilu a hlásených nežiaducich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účinkov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je nepravdepodobné, že tablety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majú vplyv na schopnosť viesť vozidl</w:t>
      </w:r>
      <w:r w:rsidR="00465A1C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alebo obsluhovať stroje. Pri objektívnych testoch nemá </w:t>
      </w:r>
      <w:r w:rsidR="00054C2B" w:rsidRPr="004022D3">
        <w:rPr>
          <w:rFonts w:ascii="Times New Roman" w:hAnsi="Times New Roman"/>
          <w:sz w:val="22"/>
          <w:szCs w:val="22"/>
          <w:lang w:val="sk-SK"/>
        </w:rPr>
        <w:t>Allegra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významný vplyv na funkciu centrálneho nervového systému. To znamená, že pacienti smú viesť vozidl</w:t>
      </w:r>
      <w:r w:rsidR="00464877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vykonávať úlohy, ktoré 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 xml:space="preserve">si </w:t>
      </w:r>
      <w:r w:rsidRPr="004022D3">
        <w:rPr>
          <w:rFonts w:ascii="Times New Roman" w:hAnsi="Times New Roman"/>
          <w:sz w:val="22"/>
          <w:szCs w:val="22"/>
          <w:lang w:val="sk-SK"/>
        </w:rPr>
        <w:t>vyžadujú sústredenie. Pred začiatkom takýchto činností sa však odporúča preveriť individuálnu reakciu, aby sa identifikovali citliví pacienti s neobvyklými reakciami na lieky.</w:t>
      </w:r>
    </w:p>
    <w:p w:rsidR="005E3545" w:rsidRPr="004022D3" w:rsidRDefault="005E3545" w:rsidP="005E3545">
      <w:pPr>
        <w:ind w:left="1095"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4.8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Nežiaduce účinky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F81314" w:rsidRPr="007F175D" w:rsidRDefault="00F81314" w:rsidP="00F81314">
      <w:pPr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sz w:val="22"/>
          <w:szCs w:val="22"/>
          <w:lang w:val="sk-SK"/>
        </w:rPr>
        <w:t xml:space="preserve">Nežiaduce účinky </w:t>
      </w:r>
      <w:r w:rsidR="00A90996" w:rsidRPr="007F175D">
        <w:rPr>
          <w:rFonts w:ascii="Times New Roman" w:hAnsi="Times New Roman"/>
          <w:sz w:val="22"/>
          <w:szCs w:val="22"/>
          <w:lang w:val="sk-SK"/>
        </w:rPr>
        <w:t xml:space="preserve">sú </w:t>
      </w:r>
      <w:r w:rsidRPr="007F175D">
        <w:rPr>
          <w:rFonts w:ascii="Times New Roman" w:hAnsi="Times New Roman"/>
          <w:sz w:val="22"/>
          <w:szCs w:val="22"/>
          <w:lang w:val="sk-SK"/>
        </w:rPr>
        <w:t>usporiadané podľa nasledujúcej klasifikácie frekvencie výskytu:</w:t>
      </w:r>
    </w:p>
    <w:p w:rsidR="00F81314" w:rsidRPr="007F175D" w:rsidRDefault="00C920C8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časté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1/100 až &lt;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menej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1/1 000 až &lt; 1/100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zriedkavé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1/10 000 až &lt; 1/1 000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zriedkavé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&lt; 1/10 000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 a neznáme (z dostupných údajov). </w:t>
      </w:r>
    </w:p>
    <w:p w:rsidR="00F81314" w:rsidRPr="007F175D" w:rsidRDefault="00F81314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>V rámci jednotlivých skupín frekvencií sú nežiaduce účinky usporiadané v poradí klesajúcej závažnosti.</w:t>
      </w:r>
    </w:p>
    <w:p w:rsidR="00F81314" w:rsidRPr="004022D3" w:rsidRDefault="00F81314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U dospelých sa v klinických štúdiách zaznamenali s frekvenciou výskytu podobnou ako pri placebe nasledujúce nežiaduce účinky:</w:t>
      </w:r>
    </w:p>
    <w:p w:rsidR="00D2640C" w:rsidRPr="00FA6C54" w:rsidRDefault="00D2640C" w:rsidP="005A727D">
      <w:pPr>
        <w:rPr>
          <w:rFonts w:ascii="Times New Roman" w:hAnsi="Times New Roman"/>
          <w:i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850A72">
        <w:rPr>
          <w:rFonts w:ascii="Times New Roman" w:hAnsi="Times New Roman"/>
          <w:i/>
          <w:sz w:val="22"/>
          <w:lang w:val="sk-SK"/>
        </w:rPr>
        <w:t>Poru</w:t>
      </w:r>
      <w:r w:rsidRPr="004022D3">
        <w:rPr>
          <w:rFonts w:ascii="Times New Roman" w:hAnsi="Times New Roman"/>
          <w:i/>
          <w:sz w:val="22"/>
          <w:lang w:val="sk-SK"/>
        </w:rPr>
        <w:t>chy nervového systému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bolesť hlavy, ospalosť, závrat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Poruchy gastr</w:t>
      </w:r>
      <w:r w:rsidR="00133BBC" w:rsidRPr="004022D3">
        <w:rPr>
          <w:rFonts w:ascii="Times New Roman" w:hAnsi="Times New Roman"/>
          <w:i/>
          <w:sz w:val="22"/>
          <w:lang w:val="sk-SK"/>
        </w:rPr>
        <w:t>o</w:t>
      </w:r>
      <w:r w:rsidRPr="004022D3">
        <w:rPr>
          <w:rFonts w:ascii="Times New Roman" w:hAnsi="Times New Roman"/>
          <w:i/>
          <w:sz w:val="22"/>
          <w:lang w:val="sk-SK"/>
        </w:rPr>
        <w:t>intestinálneho traktu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nevoľnosť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Celkové poruchy a reakcie v mieste podania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Menej časté: únava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V rámci </w:t>
      </w:r>
      <w:proofErr w:type="spellStart"/>
      <w:r w:rsidRPr="004022D3">
        <w:rPr>
          <w:rFonts w:ascii="Times New Roman" w:hAnsi="Times New Roman"/>
          <w:sz w:val="22"/>
          <w:lang w:val="sk-SK"/>
        </w:rPr>
        <w:t>postmarketingového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 sledovania sa s neznámou frekvenciou </w:t>
      </w:r>
      <w:r w:rsidR="00006FA0" w:rsidRPr="004022D3">
        <w:rPr>
          <w:rFonts w:ascii="Times New Roman" w:hAnsi="Times New Roman"/>
          <w:sz w:val="22"/>
          <w:lang w:val="sk-SK"/>
        </w:rPr>
        <w:t xml:space="preserve">výskytu </w:t>
      </w:r>
      <w:r w:rsidRPr="004022D3">
        <w:rPr>
          <w:rFonts w:ascii="Times New Roman" w:hAnsi="Times New Roman"/>
          <w:sz w:val="22"/>
          <w:lang w:val="sk-SK"/>
        </w:rPr>
        <w:t xml:space="preserve">(z dostupných údajov) zaznamenali nasledujúce nežiaduce účinky: 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Poruchy imunitného systému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reakcie z precitlivenosti </w:t>
      </w:r>
      <w:r w:rsidR="00E96BDD" w:rsidRPr="004022D3">
        <w:rPr>
          <w:rFonts w:ascii="Times New Roman" w:hAnsi="Times New Roman"/>
          <w:sz w:val="22"/>
          <w:lang w:val="sk-SK"/>
        </w:rPr>
        <w:t>(</w:t>
      </w:r>
      <w:r w:rsidRPr="004022D3">
        <w:rPr>
          <w:rFonts w:ascii="Times New Roman" w:hAnsi="Times New Roman"/>
          <w:sz w:val="22"/>
          <w:lang w:val="sk-SK"/>
        </w:rPr>
        <w:t xml:space="preserve">s prejavmi ako je </w:t>
      </w:r>
      <w:proofErr w:type="spellStart"/>
      <w:r w:rsidRPr="004022D3">
        <w:rPr>
          <w:rFonts w:ascii="Times New Roman" w:hAnsi="Times New Roman"/>
          <w:sz w:val="22"/>
          <w:lang w:val="sk-SK"/>
        </w:rPr>
        <w:t>angioedém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, </w:t>
      </w:r>
      <w:r w:rsidR="00E96BDD" w:rsidRPr="004022D3">
        <w:rPr>
          <w:rFonts w:ascii="Times New Roman" w:hAnsi="Times New Roman"/>
          <w:sz w:val="22"/>
          <w:lang w:val="sk-SK"/>
        </w:rPr>
        <w:t>pocit tlaku na hrudi</w:t>
      </w:r>
      <w:r w:rsidRPr="004022D3">
        <w:rPr>
          <w:rFonts w:ascii="Times New Roman" w:hAnsi="Times New Roman"/>
          <w:sz w:val="22"/>
          <w:lang w:val="sk-SK"/>
        </w:rPr>
        <w:t xml:space="preserve">, dýchavičnosť, návaly horúčavy a systémová </w:t>
      </w:r>
      <w:proofErr w:type="spellStart"/>
      <w:r w:rsidRPr="004022D3">
        <w:rPr>
          <w:rFonts w:ascii="Times New Roman" w:hAnsi="Times New Roman"/>
          <w:sz w:val="22"/>
          <w:lang w:val="sk-SK"/>
        </w:rPr>
        <w:t>anafylaxia</w:t>
      </w:r>
      <w:proofErr w:type="spellEnd"/>
      <w:r w:rsidR="00E96BDD" w:rsidRPr="004022D3">
        <w:rPr>
          <w:rFonts w:ascii="Times New Roman" w:hAnsi="Times New Roman"/>
          <w:sz w:val="22"/>
          <w:lang w:val="sk-SK"/>
        </w:rPr>
        <w:t>)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Psychické poruchy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nespavosť, nervozita, poruchy spánku alebo nočné mory/</w:t>
      </w:r>
      <w:r w:rsidR="00BD449A" w:rsidRPr="004022D3">
        <w:rPr>
          <w:rFonts w:ascii="Times New Roman" w:hAnsi="Times New Roman"/>
          <w:sz w:val="22"/>
          <w:lang w:val="sk-SK"/>
        </w:rPr>
        <w:t>chorobné snenie</w:t>
      </w:r>
      <w:r w:rsidRPr="004022D3">
        <w:rPr>
          <w:rFonts w:ascii="Times New Roman" w:hAnsi="Times New Roman"/>
          <w:sz w:val="22"/>
          <w:lang w:val="sk-SK"/>
        </w:rPr>
        <w:t xml:space="preserve"> (</w:t>
      </w:r>
      <w:proofErr w:type="spellStart"/>
      <w:r w:rsidRPr="004022D3">
        <w:rPr>
          <w:rFonts w:ascii="Times New Roman" w:hAnsi="Times New Roman"/>
          <w:sz w:val="22"/>
          <w:lang w:val="sk-SK"/>
        </w:rPr>
        <w:t>paroníria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) 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srdca a srdcovej činnosti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tachykardia</w:t>
      </w:r>
      <w:proofErr w:type="spellEnd"/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palpitácie</w:t>
      </w:r>
      <w:proofErr w:type="spellEnd"/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gastrointestinálneho traktu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hnačka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kože a podkožného tkaniva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vyrážka, žihľavka, </w:t>
      </w: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pruritus</w:t>
      </w:r>
      <w:proofErr w:type="spellEnd"/>
    </w:p>
    <w:p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F81314" w:rsidRPr="004022D3" w:rsidRDefault="00F81314" w:rsidP="007649D1">
      <w:pPr>
        <w:keepNext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 rizika lieku.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F51372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51372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7F175D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rílohe</w:t>
        </w:r>
        <w:proofErr w:type="spellEnd"/>
        <w:r w:rsidRPr="007F175D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 xml:space="preserve"> </w:t>
        </w:r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V</w:t>
        </w:r>
      </w:hyperlink>
      <w:r w:rsidRPr="004022D3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6D425B" w:rsidRPr="004022D3" w:rsidRDefault="006D425B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sz w:val="22"/>
          <w:szCs w:val="22"/>
          <w:lang w:val="sk-SK"/>
        </w:rPr>
        <w:lastRenderedPageBreak/>
        <w:t>4.9</w:t>
      </w:r>
      <w:r w:rsidRPr="004022D3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5E3545" w:rsidRPr="00FA6C54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</w:p>
    <w:p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sz w:val="22"/>
          <w:szCs w:val="22"/>
        </w:rPr>
        <w:t xml:space="preserve">Pri predávkovaní </w:t>
      </w:r>
      <w:proofErr w:type="spellStart"/>
      <w:r w:rsidR="00313015" w:rsidRPr="00FA6C54">
        <w:rPr>
          <w:rFonts w:ascii="Times New Roman" w:hAnsi="Times New Roman"/>
          <w:sz w:val="22"/>
          <w:szCs w:val="22"/>
        </w:rPr>
        <w:t>fexofenadíniumchloridom</w:t>
      </w:r>
      <w:proofErr w:type="spellEnd"/>
      <w:r w:rsidR="00313015" w:rsidRPr="00FA6C54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zaznamenali: závrat, ospalosť, únava a sucho v ústach. </w:t>
      </w:r>
      <w:r w:rsidR="00640282" w:rsidRPr="004022D3">
        <w:rPr>
          <w:rFonts w:ascii="Times New Roman" w:hAnsi="Times New Roman"/>
          <w:sz w:val="22"/>
          <w:szCs w:val="22"/>
        </w:rPr>
        <w:t>Z</w:t>
      </w:r>
      <w:r w:rsidRPr="004022D3">
        <w:rPr>
          <w:rFonts w:ascii="Times New Roman" w:hAnsi="Times New Roman"/>
          <w:sz w:val="22"/>
          <w:szCs w:val="22"/>
        </w:rPr>
        <w:t xml:space="preserve">dravým </w:t>
      </w:r>
      <w:r w:rsidR="005A727D" w:rsidRPr="004022D3">
        <w:rPr>
          <w:rFonts w:ascii="Times New Roman" w:hAnsi="Times New Roman"/>
          <w:sz w:val="22"/>
          <w:szCs w:val="22"/>
        </w:rPr>
        <w:t>dospelým</w:t>
      </w:r>
      <w:r w:rsidRPr="004022D3">
        <w:rPr>
          <w:rFonts w:ascii="Times New Roman" w:hAnsi="Times New Roman"/>
          <w:sz w:val="22"/>
          <w:szCs w:val="22"/>
        </w:rPr>
        <w:t xml:space="preserve"> sa podávali jednorazové dávky do 800 mg </w:t>
      </w:r>
      <w:r w:rsidR="005A727D" w:rsidRPr="004022D3">
        <w:rPr>
          <w:rFonts w:ascii="Times New Roman" w:hAnsi="Times New Roman"/>
          <w:sz w:val="22"/>
          <w:szCs w:val="22"/>
        </w:rPr>
        <w:t xml:space="preserve">jedenkrát denne </w:t>
      </w:r>
      <w:r w:rsidRPr="004022D3">
        <w:rPr>
          <w:rFonts w:ascii="Times New Roman" w:hAnsi="Times New Roman"/>
          <w:sz w:val="22"/>
          <w:szCs w:val="22"/>
        </w:rPr>
        <w:t xml:space="preserve">a dávky do 690 mg dvakrát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mesiaca alebo 240 mg raz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roka bez toho, </w:t>
      </w:r>
      <w:r w:rsidR="00531224" w:rsidRPr="004022D3">
        <w:rPr>
          <w:rFonts w:ascii="Times New Roman" w:hAnsi="Times New Roman"/>
          <w:sz w:val="22"/>
          <w:szCs w:val="22"/>
        </w:rPr>
        <w:t>aby</w:t>
      </w:r>
      <w:r w:rsidRPr="004022D3">
        <w:rPr>
          <w:rFonts w:ascii="Times New Roman" w:hAnsi="Times New Roman"/>
          <w:sz w:val="22"/>
          <w:szCs w:val="22"/>
        </w:rPr>
        <w:t xml:space="preserve"> sa rozvinuli klinicky signifikantné nežiaduce </w:t>
      </w:r>
      <w:r w:rsidR="00313015" w:rsidRPr="004022D3">
        <w:rPr>
          <w:rFonts w:ascii="Times New Roman" w:hAnsi="Times New Roman"/>
          <w:sz w:val="22"/>
          <w:szCs w:val="22"/>
        </w:rPr>
        <w:t xml:space="preserve">účinky </w:t>
      </w:r>
      <w:r w:rsidRPr="004022D3">
        <w:rPr>
          <w:rFonts w:ascii="Times New Roman" w:hAnsi="Times New Roman"/>
          <w:sz w:val="22"/>
          <w:szCs w:val="22"/>
        </w:rPr>
        <w:t xml:space="preserve">v porovnaní s placebom. Maximálna tolerovaná dávka </w:t>
      </w:r>
      <w:proofErr w:type="spellStart"/>
      <w:r w:rsidR="00313015" w:rsidRPr="004022D3">
        <w:rPr>
          <w:rFonts w:ascii="Times New Roman" w:hAnsi="Times New Roman"/>
          <w:sz w:val="22"/>
          <w:szCs w:val="22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nestanovila. </w:t>
      </w:r>
    </w:p>
    <w:p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odstránenie neabsorbovaného lieku 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použiť obvyklé opatrenia. Odporúča sa symptomatická a podporná liečba. Hemodialýza nie je účinná na odstránenie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z krvi.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FARMAKOLOGICKÉ VLASTNOSTI</w:t>
      </w:r>
    </w:p>
    <w:p w:rsidR="005E3545" w:rsidRPr="004022D3" w:rsidRDefault="005E3545" w:rsidP="007649D1">
      <w:pPr>
        <w:keepNext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na systémové použitie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;</w:t>
      </w:r>
      <w:r w:rsidR="004555E4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ATC kód: R06AX26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5E3545" w:rsidRPr="004022D3" w:rsidRDefault="0031301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je netlmiv</w:t>
      </w:r>
      <w:r w:rsidR="003823AD" w:rsidRPr="004022D3">
        <w:rPr>
          <w:rFonts w:ascii="Times New Roman" w:hAnsi="Times New Roman"/>
          <w:sz w:val="22"/>
          <w:szCs w:val="22"/>
          <w:lang w:val="sk-SK"/>
        </w:rPr>
        <w:t>é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H</w:t>
      </w:r>
      <w:r w:rsidR="005E3545"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antihistaminikum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je farmakologicky aktívny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Klinická účinnosť a bezpečnosť</w:t>
      </w:r>
    </w:p>
    <w:p w:rsidR="005E3545" w:rsidRPr="004022D3" w:rsidRDefault="002E3E9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istamínové štúdie pupencov a sčervenenia kože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ľudí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po užití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jedenkrát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alebo dvakrát denne dokazujú, že liek má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antihistamínový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účinok, ktorý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sa prejaví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do jednej hodiny, maximum dosahuje za 6 hodín a trvá 24 hodín. Po 28 dňoch dávkovania sa nedokázal vznik tolerancie. Pozitívna odpoveď sa zistila v rozpätí perorálnych dávok od 10 mg do 130 mg. Zistilo sa, že pri tomto type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antihistamínového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účinku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na dosiahnutie stabilného 24-hodinového účinku dávku najmenej 130 mg. Maximálny útlm kožných pupencov a sčervenenia bol väčší než 80%. Klinické štúdie zamerané na sezónnu alergickú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rinitídu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ukázali, že dávka 120 mg postačuje na 24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hodinový účinok.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 pacientov so sezónnou alergickou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rinitídou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ktorí užívali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dva týždne v dávkach do 240 mg dvakrát denne, sa v porov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>n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aní s placebom nepozorovali žiadne výrazné zmeny intervalov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. Ani u zdravých jedincov, ktorí užívali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v dávkach do 60 mg dvakrát denne počas 6 mesiacov, 400 mg dvakrát denne počas 6,5 d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ňa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240 mg 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denne počas jedného roka, sa nepozorovali v porovnaní s placebom žiadne výrazné zmeny intervalov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 koncentráciách 32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-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krát väčších ako terapeutická koncentrácia u ľudí nemal žiadny účinok na 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oneskorený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napriamovač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>+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kanál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delayed</w:t>
      </w:r>
      <w:proofErr w:type="spellEnd"/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rectifier</w:t>
      </w:r>
      <w:proofErr w:type="spellEnd"/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+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channel</w:t>
      </w:r>
      <w:proofErr w:type="spellEnd"/>
      <w:r w:rsidR="002A36CA" w:rsidRPr="004022D3">
        <w:rPr>
          <w:rFonts w:ascii="Times New Roman" w:hAnsi="Times New Roman"/>
          <w:sz w:val="22"/>
          <w:szCs w:val="22"/>
          <w:lang w:val="sk-SK"/>
        </w:rPr>
        <w:t>)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klonovaný z ľudského srdca.</w:t>
      </w:r>
    </w:p>
    <w:p w:rsidR="00D01FA9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 w:rsidDel="00D01FA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(5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 mg/kg perorálne) inhiboval u citlivých morských prasiatok antigén spôsobujúci bronchospazmus a uvoľňovanie histamínu z peritoneálnych žírnych buniek pri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supraterapeutických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koncentráciách (10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100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mol/l). 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5E3545" w:rsidRPr="00FA6C54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B23AD9" w:rsidRPr="00850A72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850A72">
        <w:rPr>
          <w:rFonts w:ascii="Times New Roman" w:hAnsi="Times New Roman"/>
          <w:sz w:val="22"/>
          <w:szCs w:val="22"/>
          <w:u w:val="single"/>
        </w:rPr>
        <w:t>Absorpcia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Po perorálnom užití sa </w:t>
      </w:r>
      <w:proofErr w:type="spellStart"/>
      <w:r w:rsidR="00D01FA9" w:rsidRPr="004022D3">
        <w:rPr>
          <w:rFonts w:ascii="Times New Roman" w:hAnsi="Times New Roman"/>
          <w:sz w:val="22"/>
          <w:szCs w:val="22"/>
        </w:rPr>
        <w:t>fexofenadíniumchlorid</w:t>
      </w:r>
      <w:proofErr w:type="spellEnd"/>
      <w:r w:rsidR="00D01FA9" w:rsidRPr="004022D3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rýchlo vstrebáva do organizmu, </w:t>
      </w:r>
      <w:proofErr w:type="spellStart"/>
      <w:r w:rsidR="00D01FA9" w:rsidRPr="004022D3">
        <w:rPr>
          <w:rFonts w:ascii="Times New Roman" w:hAnsi="Times New Roman"/>
          <w:sz w:val="22"/>
          <w:szCs w:val="22"/>
        </w:rPr>
        <w:t>t</w:t>
      </w:r>
      <w:r w:rsidRPr="004022D3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4022D3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dosahuje približne 1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3 hodiny po podaní. Pri dávkach 1</w:t>
      </w:r>
      <w:r w:rsidR="00DA0A35" w:rsidRPr="004022D3">
        <w:rPr>
          <w:rFonts w:ascii="Times New Roman" w:hAnsi="Times New Roman"/>
          <w:sz w:val="22"/>
          <w:szCs w:val="22"/>
        </w:rPr>
        <w:t>2</w:t>
      </w:r>
      <w:r w:rsidRPr="004022D3">
        <w:rPr>
          <w:rFonts w:ascii="Times New Roman" w:hAnsi="Times New Roman"/>
          <w:sz w:val="22"/>
          <w:szCs w:val="22"/>
        </w:rPr>
        <w:t xml:space="preserve">0 mg raz denne bola priemerná hodnota </w:t>
      </w:r>
      <w:proofErr w:type="spellStart"/>
      <w:r w:rsidRPr="004022D3">
        <w:rPr>
          <w:rFonts w:ascii="Times New Roman" w:hAnsi="Times New Roman"/>
          <w:sz w:val="22"/>
          <w:szCs w:val="22"/>
        </w:rPr>
        <w:t>C</w:t>
      </w:r>
      <w:r w:rsidRPr="004022D3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4022D3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>približne 4</w:t>
      </w:r>
      <w:r w:rsidR="00DA0A35" w:rsidRPr="004022D3">
        <w:rPr>
          <w:rFonts w:ascii="Times New Roman" w:hAnsi="Times New Roman"/>
          <w:sz w:val="22"/>
          <w:szCs w:val="22"/>
        </w:rPr>
        <w:t>27</w:t>
      </w:r>
      <w:r w:rsidRPr="004022D3">
        <w:rPr>
          <w:rFonts w:ascii="Times New Roman" w:hAnsi="Times New Roman"/>
          <w:sz w:val="22"/>
          <w:szCs w:val="22"/>
        </w:rPr>
        <w:t> </w:t>
      </w:r>
      <w:proofErr w:type="spellStart"/>
      <w:r w:rsidRPr="004022D3">
        <w:rPr>
          <w:rFonts w:ascii="Times New Roman" w:hAnsi="Times New Roman"/>
          <w:sz w:val="22"/>
          <w:szCs w:val="22"/>
        </w:rPr>
        <w:t>ng</w:t>
      </w:r>
      <w:proofErr w:type="spellEnd"/>
      <w:r w:rsidRPr="004022D3">
        <w:rPr>
          <w:rFonts w:ascii="Times New Roman" w:hAnsi="Times New Roman"/>
          <w:sz w:val="22"/>
          <w:szCs w:val="22"/>
        </w:rPr>
        <w:t>/ml.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4022D3">
        <w:rPr>
          <w:rFonts w:ascii="Times New Roman" w:hAnsi="Times New Roman"/>
          <w:sz w:val="22"/>
          <w:szCs w:val="22"/>
          <w:u w:val="single"/>
        </w:rPr>
        <w:t>Distribúcia</w:t>
      </w:r>
    </w:p>
    <w:p w:rsidR="00B23AD9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60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70 %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sa viaže na </w:t>
      </w:r>
      <w:r w:rsidR="00BD449A" w:rsidRPr="004022D3">
        <w:rPr>
          <w:rFonts w:ascii="Times New Roman" w:hAnsi="Times New Roman"/>
          <w:sz w:val="22"/>
          <w:szCs w:val="22"/>
        </w:rPr>
        <w:t>plazmatick</w:t>
      </w:r>
      <w:r w:rsidR="00D01FA9" w:rsidRPr="004022D3">
        <w:rPr>
          <w:rFonts w:ascii="Times New Roman" w:hAnsi="Times New Roman"/>
          <w:sz w:val="22"/>
          <w:szCs w:val="22"/>
        </w:rPr>
        <w:t>é</w:t>
      </w:r>
      <w:r w:rsidR="00BD449A" w:rsidRPr="004022D3">
        <w:rPr>
          <w:rFonts w:ascii="Times New Roman" w:hAnsi="Times New Roman"/>
          <w:sz w:val="22"/>
          <w:szCs w:val="22"/>
        </w:rPr>
        <w:t xml:space="preserve"> proteín</w:t>
      </w:r>
      <w:r w:rsidR="00D01FA9" w:rsidRPr="004022D3">
        <w:rPr>
          <w:rFonts w:ascii="Times New Roman" w:hAnsi="Times New Roman"/>
          <w:sz w:val="22"/>
          <w:szCs w:val="22"/>
        </w:rPr>
        <w:t>y</w:t>
      </w:r>
      <w:r w:rsidRPr="004022D3">
        <w:rPr>
          <w:rFonts w:ascii="Times New Roman" w:hAnsi="Times New Roman"/>
          <w:sz w:val="22"/>
          <w:szCs w:val="22"/>
        </w:rPr>
        <w:t xml:space="preserve">. </w:t>
      </w:r>
    </w:p>
    <w:p w:rsidR="00B23AD9" w:rsidRPr="004022D3" w:rsidRDefault="00B23AD9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4022D3">
        <w:rPr>
          <w:rFonts w:ascii="Times New Roman" w:hAnsi="Times New Roman"/>
          <w:sz w:val="22"/>
          <w:szCs w:val="22"/>
          <w:u w:val="single"/>
        </w:rPr>
        <w:t>Biotransformácia</w:t>
      </w:r>
      <w:proofErr w:type="spellEnd"/>
      <w:r w:rsidRPr="004022D3">
        <w:rPr>
          <w:rFonts w:ascii="Times New Roman" w:hAnsi="Times New Roman"/>
          <w:sz w:val="22"/>
          <w:szCs w:val="22"/>
          <w:u w:val="single"/>
        </w:rPr>
        <w:t xml:space="preserve"> a eliminácia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proofErr w:type="spellStart"/>
      <w:r w:rsidRPr="004022D3">
        <w:rPr>
          <w:rFonts w:ascii="Times New Roman" w:hAnsi="Times New Roman"/>
          <w:sz w:val="22"/>
          <w:szCs w:val="22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sa metabolizuje (</w:t>
      </w:r>
      <w:proofErr w:type="spellStart"/>
      <w:r w:rsidR="00BD449A" w:rsidRPr="004022D3">
        <w:rPr>
          <w:rFonts w:ascii="Times New Roman" w:hAnsi="Times New Roman"/>
          <w:sz w:val="22"/>
          <w:szCs w:val="22"/>
        </w:rPr>
        <w:t>hepatálne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C11814" w:rsidRPr="004022D3">
        <w:rPr>
          <w:rFonts w:ascii="Times New Roman" w:hAnsi="Times New Roman"/>
          <w:sz w:val="22"/>
          <w:szCs w:val="22"/>
        </w:rPr>
        <w:t>mimo</w:t>
      </w:r>
      <w:r w:rsidR="00AD7077" w:rsidRPr="004022D3">
        <w:rPr>
          <w:rFonts w:ascii="Times New Roman" w:hAnsi="Times New Roman"/>
          <w:sz w:val="22"/>
          <w:szCs w:val="22"/>
        </w:rPr>
        <w:t>hepatálne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) len zanedbateľne, pretože v moči a v stolici zvierat a ľudí sa identifikovala len </w:t>
      </w:r>
      <w:r w:rsidR="002A36CA" w:rsidRPr="004022D3">
        <w:rPr>
          <w:rFonts w:ascii="Times New Roman" w:hAnsi="Times New Roman"/>
          <w:sz w:val="22"/>
          <w:szCs w:val="22"/>
        </w:rPr>
        <w:t>nezm</w:t>
      </w:r>
      <w:r w:rsidR="004C32D1" w:rsidRPr="004022D3">
        <w:rPr>
          <w:rFonts w:ascii="Times New Roman" w:hAnsi="Times New Roman"/>
          <w:sz w:val="22"/>
          <w:szCs w:val="22"/>
        </w:rPr>
        <w:t xml:space="preserve">enená </w:t>
      </w:r>
      <w:r w:rsidRPr="004022D3">
        <w:rPr>
          <w:rFonts w:ascii="Times New Roman" w:hAnsi="Times New Roman"/>
          <w:sz w:val="22"/>
          <w:szCs w:val="22"/>
        </w:rPr>
        <w:t xml:space="preserve">látka. Profil plazmatickej koncentrácie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pri viacnásobnom dávkovaní má </w:t>
      </w:r>
      <w:proofErr w:type="spellStart"/>
      <w:r w:rsidRPr="004022D3">
        <w:rPr>
          <w:rFonts w:ascii="Times New Roman" w:hAnsi="Times New Roman"/>
          <w:sz w:val="22"/>
          <w:szCs w:val="22"/>
        </w:rPr>
        <w:t>biexponenciálny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pokles s polčasom terminálnej eliminácie v rozpätí 11 až 15 hodín. </w:t>
      </w:r>
      <w:proofErr w:type="spellStart"/>
      <w:r w:rsidRPr="004022D3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pri perorálnom podaní jednorazovej dávky alebo opakovaných dávok do 120 mg </w:t>
      </w:r>
      <w:r w:rsidR="004C32D1" w:rsidRPr="004022D3">
        <w:rPr>
          <w:rFonts w:ascii="Times New Roman" w:hAnsi="Times New Roman"/>
          <w:sz w:val="22"/>
          <w:szCs w:val="22"/>
        </w:rPr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je lineárna. Dávka 240 mg </w:t>
      </w:r>
      <w:r w:rsidR="00D01FA9" w:rsidRPr="004022D3">
        <w:rPr>
          <w:rFonts w:ascii="Times New Roman" w:hAnsi="Times New Roman"/>
          <w:sz w:val="22"/>
          <w:szCs w:val="22"/>
        </w:rPr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spôsobí o niečo väčšie než proporcionálne zväčšenie (8,8%) </w:t>
      </w:r>
      <w:r w:rsidR="004022D3" w:rsidRPr="004022D3">
        <w:rPr>
          <w:rFonts w:ascii="Times New Roman" w:hAnsi="Times New Roman"/>
          <w:sz w:val="22"/>
          <w:szCs w:val="22"/>
        </w:rPr>
        <w:t>plochy pod krivkou v rovnovážnom stave</w:t>
      </w:r>
      <w:r w:rsidRPr="004022D3">
        <w:rPr>
          <w:rFonts w:ascii="Times New Roman" w:hAnsi="Times New Roman"/>
          <w:sz w:val="22"/>
          <w:szCs w:val="22"/>
        </w:rPr>
        <w:t xml:space="preserve">, čo znamená, že </w:t>
      </w:r>
      <w:proofErr w:type="spellStart"/>
      <w:r w:rsidRPr="004022D3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je pri dávkach v rozpätí od 40 mg do 240 mg užívaných denne prakticky lineárna. Biliárna exkrécia sa považuje za hlavný spôsob vylučovania, zatiaľ čo 10% užitej dávky sa vylučuje močom bez zmeny.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5E3545" w:rsidRPr="004022D3" w:rsidRDefault="004C32D1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Psy </w:t>
      </w:r>
      <w:r w:rsidR="005E3545" w:rsidRPr="004022D3">
        <w:rPr>
          <w:rFonts w:ascii="Times New Roman" w:hAnsi="Times New Roman"/>
          <w:sz w:val="22"/>
          <w:szCs w:val="22"/>
        </w:rPr>
        <w:t xml:space="preserve">tolerujú množstvo 450 mg/kg podávané dvakrát denne počas šiestich mesiacov bez prejavov toxicity okrem príležitostného </w:t>
      </w:r>
      <w:r w:rsidR="004022D3" w:rsidRPr="004022D3">
        <w:rPr>
          <w:rFonts w:ascii="Times New Roman" w:hAnsi="Times New Roman"/>
          <w:sz w:val="22"/>
          <w:szCs w:val="22"/>
        </w:rPr>
        <w:t>vracania</w:t>
      </w:r>
      <w:r w:rsidR="005E3545" w:rsidRPr="004022D3">
        <w:rPr>
          <w:rFonts w:ascii="Times New Roman" w:hAnsi="Times New Roman"/>
          <w:sz w:val="22"/>
          <w:szCs w:val="22"/>
        </w:rPr>
        <w:t>. V štúdiách na psoch a</w:t>
      </w:r>
      <w:r w:rsidRPr="004022D3">
        <w:rPr>
          <w:rFonts w:ascii="Times New Roman" w:hAnsi="Times New Roman"/>
          <w:sz w:val="22"/>
          <w:szCs w:val="22"/>
        </w:rPr>
        <w:t xml:space="preserve"> na</w:t>
      </w:r>
      <w:r w:rsidR="005E3545" w:rsidRPr="004022D3">
        <w:rPr>
          <w:rFonts w:ascii="Times New Roman" w:hAnsi="Times New Roman"/>
          <w:sz w:val="22"/>
          <w:szCs w:val="22"/>
        </w:rPr>
        <w:t xml:space="preserve"> hlodavcoch po jednorazovej dávke sa pri pitve nepozorovali makroskopické nálezy súvisiace s liečbou.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Distribučné štúdie </w:t>
      </w:r>
      <w:r w:rsidR="00AD7077" w:rsidRPr="004022D3">
        <w:rPr>
          <w:rFonts w:ascii="Times New Roman" w:hAnsi="Times New Roman"/>
          <w:sz w:val="22"/>
          <w:szCs w:val="22"/>
          <w:lang w:val="sk-SK"/>
        </w:rPr>
        <w:t>izotopom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označeného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 tkanivách potkanov ukazujú,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neprechádza cez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hematoencefalickú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bariéru.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031D5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Viacerými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in vitro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 xml:space="preserve">in </w:t>
      </w:r>
      <w:proofErr w:type="spellStart"/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vivo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estami na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mutagenitu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sa zistilo,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nie je mutagénny.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Karcinogénny potenciál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sa posudzoval na základe </w:t>
      </w:r>
      <w:r w:rsidR="00086AAC">
        <w:rPr>
          <w:rFonts w:ascii="Times New Roman" w:hAnsi="Times New Roman"/>
          <w:sz w:val="22"/>
          <w:szCs w:val="22"/>
          <w:lang w:val="sk-SK"/>
        </w:rPr>
        <w:t xml:space="preserve">testov </w:t>
      </w:r>
      <w:r w:rsidRPr="004022D3">
        <w:rPr>
          <w:rFonts w:ascii="Times New Roman" w:hAnsi="Times New Roman"/>
          <w:sz w:val="22"/>
          <w:szCs w:val="22"/>
          <w:lang w:val="sk-SK"/>
        </w:rPr>
        <w:t>s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podporných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farmakokinetických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štúdií preukazujúcich expozíciu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(sledovaním hodnôt AUC). U myší a potkanov sa po užívaní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(do 150 mg/kg/deň) nezistili žiadne dôkazy karcinogenity.</w:t>
      </w:r>
    </w:p>
    <w:p w:rsidR="005E3545" w:rsidRPr="004022D3" w:rsidRDefault="005E3545" w:rsidP="005E3545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V </w:t>
      </w:r>
      <w:r w:rsidR="00086AAC">
        <w:rPr>
          <w:rFonts w:ascii="Times New Roman" w:hAnsi="Times New Roman"/>
          <w:sz w:val="22"/>
          <w:szCs w:val="22"/>
          <w:lang w:val="sk-SK"/>
        </w:rPr>
        <w:t>testoch</w:t>
      </w:r>
      <w:r w:rsidR="00086AAC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reprodukčnej toxicity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myší nezhoršoval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nebol teratogénny a nepoškodzoval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prenatálny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postnatálny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vývoj.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0C6833" w:rsidRPr="004022D3" w:rsidRDefault="000C6833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FARMACEUTICKÉ INFORMÁCIE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Zoznam pomocných látok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Jadro tablety: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ikrokryštalická celulóza</w:t>
      </w:r>
    </w:p>
    <w:p w:rsidR="00F60750" w:rsidRPr="004022D3" w:rsidRDefault="00DE315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kukuričný škrob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predželatínovaný</w:t>
      </w:r>
      <w:proofErr w:type="spellEnd"/>
    </w:p>
    <w:p w:rsidR="00F60750" w:rsidRPr="004022D3" w:rsidRDefault="005C0113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kros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karmelóz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>, sodná soľ</w:t>
      </w:r>
    </w:p>
    <w:p w:rsidR="00A63E55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agn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éziumstearát</w:t>
      </w:r>
      <w:proofErr w:type="spellEnd"/>
    </w:p>
    <w:p w:rsidR="00A63E55" w:rsidRPr="004022D3" w:rsidRDefault="00A63E55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Filmová vrstva: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yprome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lóza</w:t>
      </w:r>
      <w:proofErr w:type="spellEnd"/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ovid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ón</w:t>
      </w:r>
      <w:proofErr w:type="spellEnd"/>
      <w:r w:rsidR="00084A00">
        <w:rPr>
          <w:rFonts w:ascii="Times New Roman" w:hAnsi="Times New Roman"/>
          <w:sz w:val="22"/>
          <w:szCs w:val="22"/>
          <w:lang w:val="sk-SK"/>
        </w:rPr>
        <w:t xml:space="preserve"> K30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 xml:space="preserve">xid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/>
        </w:rPr>
        <w:t>titaničitý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(E171)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b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ezvodý oxid kremičitý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akrogol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400</w:t>
      </w:r>
    </w:p>
    <w:p w:rsidR="00A63E55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červený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xid želez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 xml:space="preserve"> (E172)</w:t>
      </w:r>
    </w:p>
    <w:p w:rsidR="00084A00" w:rsidRPr="004022D3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žltý oxid železa (E172)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664F6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6.2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Inkompatibility</w:t>
      </w:r>
    </w:p>
    <w:p w:rsidR="00A63E55" w:rsidRPr="004022D3" w:rsidRDefault="00A63E55" w:rsidP="00664F6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456DE" w:rsidP="00664F6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Čas použiteľnosti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3 roky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Špeciálne u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pozornenia na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uchovávanie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Tento liek nevyžaduje zvláštne podmienky na uchovávanie.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Druh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obalu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obsah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balenia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4022D3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PVC/PE/PVDC/A1</w:t>
      </w:r>
      <w:r w:rsidR="006D565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07BFF" w:rsidRPr="004022D3">
        <w:rPr>
          <w:rFonts w:ascii="Times New Roman" w:hAnsi="Times New Roman"/>
          <w:sz w:val="22"/>
          <w:szCs w:val="22"/>
          <w:lang w:val="sk-SK"/>
        </w:rPr>
        <w:t xml:space="preserve">alebo PVC/PVDC/Al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blistre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 papierových 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škatuľkách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0C683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2 (iba vzorka), 7, 10, 15, 20, 30, 50, 100 a 200 (ako 10 x 20) tabliet v balení.</w:t>
      </w:r>
    </w:p>
    <w:p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>a trh nemusia byť uvedené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všetky veľkosti balenia.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0C3373" w:rsidRPr="004022D3" w:rsidRDefault="000C3373" w:rsidP="000C3373">
      <w:pPr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>6.6</w:t>
      </w: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022D3">
        <w:rPr>
          <w:rFonts w:ascii="Times New Roman" w:hAnsi="Times New Roman"/>
          <w:b/>
          <w:bCs/>
          <w:noProof/>
          <w:sz w:val="22"/>
          <w:szCs w:val="22"/>
          <w:lang w:val="sk-SK"/>
        </w:rPr>
        <w:t>Špeciálne opatrenia na likvidáciu a iné zaobchádzanie s liekom</w:t>
      </w:r>
    </w:p>
    <w:p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Žiadne zvláštne požiadavky.</w:t>
      </w:r>
      <w:bookmarkStart w:id="0" w:name="_GoBack"/>
      <w:bookmarkEnd w:id="0"/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C920C8" w:rsidRPr="004022D3" w:rsidRDefault="00C920C8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7.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Držiteľ rozhodnutia O registrÁCII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sanofi-a</w:t>
      </w:r>
      <w:r w:rsidR="00182769" w:rsidRPr="004022D3">
        <w:rPr>
          <w:rFonts w:ascii="Times New Roman" w:hAnsi="Times New Roman"/>
          <w:sz w:val="22"/>
          <w:szCs w:val="22"/>
          <w:lang w:val="sk-SK"/>
        </w:rPr>
        <w:t>ventis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Slovakia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s.r.o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.,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>Einsteinova 24, 851</w:t>
      </w:r>
      <w:r w:rsidR="00D079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 xml:space="preserve">01 </w:t>
      </w:r>
      <w:r w:rsidRPr="004022D3">
        <w:rPr>
          <w:rFonts w:ascii="Times New Roman" w:hAnsi="Times New Roman"/>
          <w:sz w:val="22"/>
          <w:szCs w:val="22"/>
          <w:lang w:val="sk-SK"/>
        </w:rPr>
        <w:t>Bratislava, Slovenská republika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8.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REGISTRAČNÉ ČÍSLO</w:t>
      </w:r>
    </w:p>
    <w:p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</w:p>
    <w:p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24/0473/15-S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890639" w:rsidRPr="004022D3" w:rsidRDefault="00890639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 xml:space="preserve">DÁTUM </w:t>
      </w:r>
      <w:r w:rsidR="0053182B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PRVEJ 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REGISTRÁCIE</w:t>
      </w:r>
      <w:r w:rsidR="00890639" w:rsidRPr="004022D3">
        <w:rPr>
          <w:rFonts w:ascii="Times New Roman" w:hAnsi="Times New Roman"/>
          <w:b/>
          <w:bCs/>
          <w:sz w:val="22"/>
          <w:szCs w:val="22"/>
          <w:lang w:val="sk-SK"/>
        </w:rPr>
        <w:t>/PREDĹŽENIA REGISTRÁCIE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88204F" w:rsidRPr="007F175D" w:rsidRDefault="00E70789">
      <w:pPr>
        <w:pStyle w:val="Hoechs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prvej registrácie: </w:t>
      </w:r>
      <w:r w:rsidR="00532A3C">
        <w:rPr>
          <w:rFonts w:ascii="Times New Roman" w:hAnsi="Times New Roman"/>
          <w:color w:val="000000"/>
          <w:sz w:val="22"/>
          <w:szCs w:val="22"/>
          <w:lang w:val="sk-SK"/>
        </w:rPr>
        <w:t>26. novembra 2015</w:t>
      </w:r>
    </w:p>
    <w:p w:rsidR="00A63E55" w:rsidRPr="004022D3" w:rsidRDefault="00E70789">
      <w:pPr>
        <w:pStyle w:val="Hoechst"/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</w:t>
      </w:r>
      <w:r w:rsidR="005C0394"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posledného </w:t>
      </w: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>predĺženia registrácie:</w:t>
      </w:r>
      <w:r w:rsidRPr="007F175D">
        <w:rPr>
          <w:color w:val="000000"/>
          <w:sz w:val="22"/>
          <w:szCs w:val="22"/>
          <w:lang w:val="sk-SK"/>
        </w:rPr>
        <w:t xml:space="preserve"> 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0C3373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FA6C54" w:rsidRDefault="00A63E55" w:rsidP="007649D1">
      <w:pPr>
        <w:keepNext/>
        <w:numPr>
          <w:ilvl w:val="0"/>
          <w:numId w:val="1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FA6C54">
        <w:rPr>
          <w:rFonts w:ascii="Times New Roman" w:hAnsi="Times New Roman"/>
          <w:b/>
          <w:bCs/>
          <w:sz w:val="22"/>
          <w:szCs w:val="22"/>
          <w:lang w:val="sk-SK"/>
        </w:rPr>
        <w:t>DÁTUM REVÍZIE TEXTU</w:t>
      </w:r>
    </w:p>
    <w:p w:rsidR="00890639" w:rsidRPr="00850A72" w:rsidRDefault="00890639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12F78" w:rsidRPr="004022D3" w:rsidRDefault="002433F9" w:rsidP="00A456D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Apríl 2020</w:t>
      </w:r>
    </w:p>
    <w:sectPr w:rsidR="00712F78" w:rsidRPr="004022D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8C" w:rsidRDefault="00E0388C">
      <w:r>
        <w:separator/>
      </w:r>
    </w:p>
  </w:endnote>
  <w:endnote w:type="continuationSeparator" w:id="0">
    <w:p w:rsidR="00E0388C" w:rsidRDefault="00E0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E0B6B" w:rsidRDefault="007E0B6B" w:rsidP="009605B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63C96">
      <w:rPr>
        <w:rStyle w:val="slostrany"/>
        <w:noProof/>
      </w:rPr>
      <w:t>5</w:t>
    </w:r>
    <w:r>
      <w:rPr>
        <w:rStyle w:val="slostrany"/>
      </w:rPr>
      <w:fldChar w:fldCharType="end"/>
    </w:r>
  </w:p>
  <w:p w:rsidR="007E0B6B" w:rsidRDefault="007E0B6B" w:rsidP="009605B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8C" w:rsidRDefault="00E0388C">
      <w:r>
        <w:separator/>
      </w:r>
    </w:p>
  </w:footnote>
  <w:footnote w:type="continuationSeparator" w:id="0">
    <w:p w:rsidR="00E0388C" w:rsidRDefault="00E0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F9" w:rsidRPr="002433F9" w:rsidRDefault="002433F9" w:rsidP="002433F9">
    <w:pPr>
      <w:ind w:left="567" w:hanging="567"/>
      <w:outlineLvl w:val="0"/>
      <w:rPr>
        <w:rFonts w:ascii="Times New Roman" w:hAnsi="Times New Roman"/>
        <w:sz w:val="18"/>
        <w:szCs w:val="18"/>
        <w:lang w:val="sk-SK" w:eastAsia="sk-SK"/>
      </w:rPr>
    </w:pPr>
    <w:r w:rsidRPr="002433F9">
      <w:rPr>
        <w:rFonts w:ascii="Times New Roman" w:hAnsi="Times New Roman"/>
        <w:sz w:val="18"/>
        <w:szCs w:val="18"/>
        <w:lang w:val="sk-SK" w:eastAsia="sk-SK"/>
      </w:rPr>
      <w:t xml:space="preserve">Príloha č.2 k notifikácii o zmene, </w:t>
    </w:r>
    <w:proofErr w:type="spellStart"/>
    <w:r w:rsidRPr="002433F9">
      <w:rPr>
        <w:rFonts w:ascii="Times New Roman" w:hAnsi="Times New Roman"/>
        <w:sz w:val="18"/>
        <w:szCs w:val="18"/>
        <w:lang w:val="sk-SK" w:eastAsia="sk-SK"/>
      </w:rPr>
      <w:t>ev.č</w:t>
    </w:r>
    <w:proofErr w:type="spellEnd"/>
    <w:r w:rsidRPr="002433F9">
      <w:rPr>
        <w:rFonts w:ascii="Times New Roman" w:hAnsi="Times New Roman"/>
        <w:sz w:val="18"/>
        <w:szCs w:val="18"/>
        <w:lang w:val="sk-SK" w:eastAsia="sk-SK"/>
      </w:rPr>
      <w:t>.</w:t>
    </w:r>
    <w:r w:rsidRPr="002433F9">
      <w:rPr>
        <w:rFonts w:ascii="Tahoma" w:hAnsi="Tahoma" w:cs="Tahoma"/>
        <w:sz w:val="20"/>
        <w:lang w:val="sk-SK" w:eastAsia="sk-SK"/>
      </w:rPr>
      <w:t xml:space="preserve"> </w:t>
    </w:r>
    <w:r w:rsidRPr="002433F9">
      <w:rPr>
        <w:rFonts w:ascii="Times New Roman" w:hAnsi="Times New Roman"/>
        <w:sz w:val="18"/>
        <w:szCs w:val="18"/>
        <w:lang w:val="sk-SK" w:eastAsia="sk-SK"/>
      </w:rPr>
      <w:t>2018/03706-Z1B</w:t>
    </w:r>
  </w:p>
  <w:p w:rsidR="002433F9" w:rsidRDefault="002433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241"/>
    <w:multiLevelType w:val="singleLevel"/>
    <w:tmpl w:val="18CEE892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3B35C23"/>
    <w:multiLevelType w:val="multilevel"/>
    <w:tmpl w:val="041E5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2" w15:restartNumberingAfterBreak="0">
    <w:nsid w:val="15104799"/>
    <w:multiLevelType w:val="multilevel"/>
    <w:tmpl w:val="0ADE3080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2520"/>
      </w:pPr>
      <w:rPr>
        <w:rFonts w:hint="default"/>
      </w:rPr>
    </w:lvl>
  </w:abstractNum>
  <w:abstractNum w:abstractNumId="3" w15:restartNumberingAfterBreak="0">
    <w:nsid w:val="16876B22"/>
    <w:multiLevelType w:val="hybridMultilevel"/>
    <w:tmpl w:val="7444E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66E5"/>
    <w:multiLevelType w:val="multilevel"/>
    <w:tmpl w:val="5B34754C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5" w15:restartNumberingAfterBreak="0">
    <w:nsid w:val="21CC4899"/>
    <w:multiLevelType w:val="multilevel"/>
    <w:tmpl w:val="2A8ED3F2"/>
    <w:lvl w:ilvl="0">
      <w:start w:val="2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281C7404"/>
    <w:multiLevelType w:val="multilevel"/>
    <w:tmpl w:val="023ADDD4"/>
    <w:lvl w:ilvl="0">
      <w:start w:val="6"/>
      <w:numFmt w:val="decimal"/>
      <w:pStyle w:val="Nadpis5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</w:rPr>
    </w:lvl>
  </w:abstractNum>
  <w:abstractNum w:abstractNumId="7" w15:restartNumberingAfterBreak="0">
    <w:nsid w:val="350D6656"/>
    <w:multiLevelType w:val="multilevel"/>
    <w:tmpl w:val="79F6492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65"/>
        </w:tabs>
        <w:ind w:left="43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520"/>
      </w:pPr>
      <w:rPr>
        <w:rFonts w:hint="default"/>
      </w:rPr>
    </w:lvl>
  </w:abstractNum>
  <w:abstractNum w:abstractNumId="8" w15:restartNumberingAfterBreak="0">
    <w:nsid w:val="41C97D9B"/>
    <w:multiLevelType w:val="hybridMultilevel"/>
    <w:tmpl w:val="66B6D88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B743A"/>
    <w:multiLevelType w:val="hybridMultilevel"/>
    <w:tmpl w:val="5554CF8E"/>
    <w:lvl w:ilvl="0" w:tplc="F94A230A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A07D06"/>
    <w:multiLevelType w:val="hybridMultilevel"/>
    <w:tmpl w:val="0704688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2E6896"/>
    <w:multiLevelType w:val="multilevel"/>
    <w:tmpl w:val="16D2DFE6"/>
    <w:lvl w:ilvl="0">
      <w:start w:val="5"/>
      <w:numFmt w:val="decimal"/>
      <w:pStyle w:val="Nadpis4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abstractNum w:abstractNumId="12" w15:restartNumberingAfterBreak="0">
    <w:nsid w:val="5E756ACD"/>
    <w:multiLevelType w:val="hybridMultilevel"/>
    <w:tmpl w:val="F4DA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70532"/>
    <w:multiLevelType w:val="multilevel"/>
    <w:tmpl w:val="021657B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5"/>
        </w:tabs>
        <w:ind w:left="36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45"/>
    <w:rsid w:val="00006FA0"/>
    <w:rsid w:val="00007BFF"/>
    <w:rsid w:val="00021810"/>
    <w:rsid w:val="00031D5F"/>
    <w:rsid w:val="00037DE8"/>
    <w:rsid w:val="0004385D"/>
    <w:rsid w:val="00054C2B"/>
    <w:rsid w:val="00073E8C"/>
    <w:rsid w:val="00084A00"/>
    <w:rsid w:val="00086AAC"/>
    <w:rsid w:val="00095F43"/>
    <w:rsid w:val="000A260D"/>
    <w:rsid w:val="000A6CD6"/>
    <w:rsid w:val="000C3373"/>
    <w:rsid w:val="000C6833"/>
    <w:rsid w:val="000E0B78"/>
    <w:rsid w:val="000E596E"/>
    <w:rsid w:val="0012748A"/>
    <w:rsid w:val="00133BBC"/>
    <w:rsid w:val="00135F70"/>
    <w:rsid w:val="00136E3A"/>
    <w:rsid w:val="00151282"/>
    <w:rsid w:val="00174EA8"/>
    <w:rsid w:val="00182769"/>
    <w:rsid w:val="001F22E2"/>
    <w:rsid w:val="0020446E"/>
    <w:rsid w:val="00206CC8"/>
    <w:rsid w:val="00230592"/>
    <w:rsid w:val="002433F9"/>
    <w:rsid w:val="00252127"/>
    <w:rsid w:val="002652E8"/>
    <w:rsid w:val="00272685"/>
    <w:rsid w:val="00283EED"/>
    <w:rsid w:val="002A36CA"/>
    <w:rsid w:val="002A7C91"/>
    <w:rsid w:val="002E3E95"/>
    <w:rsid w:val="0031049B"/>
    <w:rsid w:val="00313015"/>
    <w:rsid w:val="00315B2D"/>
    <w:rsid w:val="003203C6"/>
    <w:rsid w:val="00322D92"/>
    <w:rsid w:val="0033199B"/>
    <w:rsid w:val="00380532"/>
    <w:rsid w:val="003823AD"/>
    <w:rsid w:val="00397DAB"/>
    <w:rsid w:val="003D5DB3"/>
    <w:rsid w:val="003E6024"/>
    <w:rsid w:val="00401FAF"/>
    <w:rsid w:val="004022D3"/>
    <w:rsid w:val="00413E7B"/>
    <w:rsid w:val="00426FAF"/>
    <w:rsid w:val="004555E4"/>
    <w:rsid w:val="00464877"/>
    <w:rsid w:val="00465A1C"/>
    <w:rsid w:val="0048320D"/>
    <w:rsid w:val="00484B37"/>
    <w:rsid w:val="004853F9"/>
    <w:rsid w:val="00486261"/>
    <w:rsid w:val="00490E7B"/>
    <w:rsid w:val="00494D3F"/>
    <w:rsid w:val="00496BF9"/>
    <w:rsid w:val="004A40C4"/>
    <w:rsid w:val="004A4553"/>
    <w:rsid w:val="004C32D1"/>
    <w:rsid w:val="004D423A"/>
    <w:rsid w:val="004E2AF8"/>
    <w:rsid w:val="005005E7"/>
    <w:rsid w:val="00506B29"/>
    <w:rsid w:val="005246F4"/>
    <w:rsid w:val="00531224"/>
    <w:rsid w:val="0053182B"/>
    <w:rsid w:val="00532A3C"/>
    <w:rsid w:val="005356CA"/>
    <w:rsid w:val="0055063D"/>
    <w:rsid w:val="00566B9C"/>
    <w:rsid w:val="005853DB"/>
    <w:rsid w:val="00585EF6"/>
    <w:rsid w:val="005A727D"/>
    <w:rsid w:val="005B1923"/>
    <w:rsid w:val="005B73B5"/>
    <w:rsid w:val="005C0113"/>
    <w:rsid w:val="005C0394"/>
    <w:rsid w:val="005E3545"/>
    <w:rsid w:val="005E5A4D"/>
    <w:rsid w:val="005E758E"/>
    <w:rsid w:val="005F2F02"/>
    <w:rsid w:val="005F71FC"/>
    <w:rsid w:val="00640282"/>
    <w:rsid w:val="0064693B"/>
    <w:rsid w:val="00663C96"/>
    <w:rsid w:val="00664F61"/>
    <w:rsid w:val="006710E8"/>
    <w:rsid w:val="00680675"/>
    <w:rsid w:val="006833D8"/>
    <w:rsid w:val="00691784"/>
    <w:rsid w:val="00692C78"/>
    <w:rsid w:val="00695481"/>
    <w:rsid w:val="006A5647"/>
    <w:rsid w:val="006C1A3D"/>
    <w:rsid w:val="006C6781"/>
    <w:rsid w:val="006D425B"/>
    <w:rsid w:val="006D565D"/>
    <w:rsid w:val="006E5D92"/>
    <w:rsid w:val="006F4F8A"/>
    <w:rsid w:val="006F618E"/>
    <w:rsid w:val="00700137"/>
    <w:rsid w:val="00712F78"/>
    <w:rsid w:val="0071670D"/>
    <w:rsid w:val="007176B4"/>
    <w:rsid w:val="007247F5"/>
    <w:rsid w:val="00734424"/>
    <w:rsid w:val="00744EB6"/>
    <w:rsid w:val="00745DD9"/>
    <w:rsid w:val="007469B0"/>
    <w:rsid w:val="007649D1"/>
    <w:rsid w:val="007742D8"/>
    <w:rsid w:val="007771A0"/>
    <w:rsid w:val="00781BF2"/>
    <w:rsid w:val="0079174C"/>
    <w:rsid w:val="007E0B6B"/>
    <w:rsid w:val="007E3B74"/>
    <w:rsid w:val="007F1522"/>
    <w:rsid w:val="007F175D"/>
    <w:rsid w:val="007F6A77"/>
    <w:rsid w:val="0080087E"/>
    <w:rsid w:val="00850A72"/>
    <w:rsid w:val="008772E2"/>
    <w:rsid w:val="0088204F"/>
    <w:rsid w:val="00890639"/>
    <w:rsid w:val="008E3DB6"/>
    <w:rsid w:val="008E4FA9"/>
    <w:rsid w:val="0091373E"/>
    <w:rsid w:val="00913F35"/>
    <w:rsid w:val="00915582"/>
    <w:rsid w:val="009369E7"/>
    <w:rsid w:val="0094176D"/>
    <w:rsid w:val="00957380"/>
    <w:rsid w:val="009605BB"/>
    <w:rsid w:val="00971170"/>
    <w:rsid w:val="0099108C"/>
    <w:rsid w:val="00992E91"/>
    <w:rsid w:val="009A2FCC"/>
    <w:rsid w:val="009B00F2"/>
    <w:rsid w:val="009B0C1A"/>
    <w:rsid w:val="009C2445"/>
    <w:rsid w:val="009C4722"/>
    <w:rsid w:val="009E5392"/>
    <w:rsid w:val="00A16517"/>
    <w:rsid w:val="00A456DE"/>
    <w:rsid w:val="00A551AD"/>
    <w:rsid w:val="00A63E55"/>
    <w:rsid w:val="00A81A62"/>
    <w:rsid w:val="00A85279"/>
    <w:rsid w:val="00A90996"/>
    <w:rsid w:val="00A93869"/>
    <w:rsid w:val="00AB437F"/>
    <w:rsid w:val="00AC2626"/>
    <w:rsid w:val="00AD7077"/>
    <w:rsid w:val="00AF1723"/>
    <w:rsid w:val="00AF18F1"/>
    <w:rsid w:val="00B001C2"/>
    <w:rsid w:val="00B132D5"/>
    <w:rsid w:val="00B144D9"/>
    <w:rsid w:val="00B23AD9"/>
    <w:rsid w:val="00B32A1F"/>
    <w:rsid w:val="00B531A9"/>
    <w:rsid w:val="00B60FD5"/>
    <w:rsid w:val="00B74936"/>
    <w:rsid w:val="00B818B5"/>
    <w:rsid w:val="00B927BA"/>
    <w:rsid w:val="00B93086"/>
    <w:rsid w:val="00B940D3"/>
    <w:rsid w:val="00BB7E20"/>
    <w:rsid w:val="00BD449A"/>
    <w:rsid w:val="00BE1263"/>
    <w:rsid w:val="00BE1E8B"/>
    <w:rsid w:val="00C11814"/>
    <w:rsid w:val="00C216D0"/>
    <w:rsid w:val="00C27BA1"/>
    <w:rsid w:val="00C434E2"/>
    <w:rsid w:val="00C44CA8"/>
    <w:rsid w:val="00C57FC5"/>
    <w:rsid w:val="00C6551C"/>
    <w:rsid w:val="00C920C8"/>
    <w:rsid w:val="00CA284B"/>
    <w:rsid w:val="00CD6AD0"/>
    <w:rsid w:val="00D01FA9"/>
    <w:rsid w:val="00D0794B"/>
    <w:rsid w:val="00D14635"/>
    <w:rsid w:val="00D20A30"/>
    <w:rsid w:val="00D2640C"/>
    <w:rsid w:val="00D32950"/>
    <w:rsid w:val="00D560E9"/>
    <w:rsid w:val="00D61E74"/>
    <w:rsid w:val="00D64BF2"/>
    <w:rsid w:val="00D70AC4"/>
    <w:rsid w:val="00D809ED"/>
    <w:rsid w:val="00D816C6"/>
    <w:rsid w:val="00DA0A35"/>
    <w:rsid w:val="00DA6FE4"/>
    <w:rsid w:val="00DD6F75"/>
    <w:rsid w:val="00DE315E"/>
    <w:rsid w:val="00DE6520"/>
    <w:rsid w:val="00DE6D9A"/>
    <w:rsid w:val="00E00664"/>
    <w:rsid w:val="00E013A4"/>
    <w:rsid w:val="00E0388C"/>
    <w:rsid w:val="00E25B1A"/>
    <w:rsid w:val="00E42171"/>
    <w:rsid w:val="00E539EA"/>
    <w:rsid w:val="00E7014C"/>
    <w:rsid w:val="00E70789"/>
    <w:rsid w:val="00E76980"/>
    <w:rsid w:val="00E96BDD"/>
    <w:rsid w:val="00EC5B6C"/>
    <w:rsid w:val="00EC5EF7"/>
    <w:rsid w:val="00F14249"/>
    <w:rsid w:val="00F23C8F"/>
    <w:rsid w:val="00F3197B"/>
    <w:rsid w:val="00F34FA4"/>
    <w:rsid w:val="00F51372"/>
    <w:rsid w:val="00F60750"/>
    <w:rsid w:val="00F70D51"/>
    <w:rsid w:val="00F81314"/>
    <w:rsid w:val="00F81F64"/>
    <w:rsid w:val="00FA6C54"/>
    <w:rsid w:val="00FB0494"/>
    <w:rsid w:val="00FE767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55BD00-2F54-4478-A55A-09ECFFD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ITC Garamond Bk AT" w:hAnsi="ITC Garamond Bk AT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num" w:pos="360"/>
      </w:tabs>
      <w:ind w:left="360" w:hanging="360"/>
      <w:outlineLvl w:val="1"/>
    </w:pPr>
    <w:rPr>
      <w:b/>
      <w:lang w:val="sk-SK"/>
    </w:rPr>
  </w:style>
  <w:style w:type="paragraph" w:styleId="Nadpis3">
    <w:name w:val="heading 3"/>
    <w:basedOn w:val="Normlny"/>
    <w:next w:val="Normlny"/>
    <w:qFormat/>
    <w:pPr>
      <w:keepNext/>
      <w:ind w:left="1080"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numId w:val="6"/>
      </w:numPr>
      <w:outlineLvl w:val="3"/>
    </w:pPr>
    <w:rPr>
      <w:b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numId w:val="8"/>
      </w:numPr>
      <w:outlineLvl w:val="4"/>
    </w:pPr>
    <w:rPr>
      <w:b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numId w:val="1"/>
      </w:numPr>
      <w:outlineLvl w:val="5"/>
    </w:pPr>
    <w:rPr>
      <w:rFonts w:ascii="Arial" w:hAnsi="Arial" w:cs="Arial"/>
      <w:b/>
      <w:caps/>
      <w:sz w:val="20"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b/>
      <w:bCs/>
      <w:sz w:val="20"/>
      <w:lang w:val="sk-SK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ostrana">
    <w:name w:val="normostrana"/>
    <w:basedOn w:val="Normlny"/>
    <w:pPr>
      <w:spacing w:line="348" w:lineRule="auto"/>
      <w:jc w:val="both"/>
    </w:pPr>
    <w:rPr>
      <w:spacing w:val="30"/>
      <w:sz w:val="28"/>
      <w:lang w:val="cs-CZ"/>
    </w:rPr>
  </w:style>
  <w:style w:type="paragraph" w:customStyle="1" w:styleId="Hoechst">
    <w:name w:val="Hoechst"/>
    <w:rPr>
      <w:rFonts w:ascii="ITC Garamond Bk AT" w:hAnsi="ITC Garamond Bk AT"/>
      <w:noProof/>
      <w:sz w:val="24"/>
      <w:lang w:val="en-US" w:eastAsia="en-US"/>
    </w:rPr>
  </w:style>
  <w:style w:type="paragraph" w:styleId="Zarkazkladnhotextu">
    <w:name w:val="Body Text Indent"/>
    <w:basedOn w:val="Normlny"/>
    <w:pPr>
      <w:ind w:left="900"/>
    </w:pPr>
    <w:rPr>
      <w:lang w:val="sk-SK"/>
    </w:rPr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sk-SK"/>
    </w:rPr>
  </w:style>
  <w:style w:type="paragraph" w:styleId="Zkladntext2">
    <w:name w:val="Body Text 2"/>
    <w:basedOn w:val="Normlny"/>
    <w:rPr>
      <w:rFonts w:ascii="Times New Roman" w:hAnsi="Times New Roman"/>
      <w:sz w:val="22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lang w:val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sk-SK"/>
    </w:rPr>
  </w:style>
  <w:style w:type="paragraph" w:styleId="Textbubliny">
    <w:name w:val="Balloon Text"/>
    <w:basedOn w:val="Normlny"/>
    <w:semiHidden/>
    <w:rsid w:val="005E3545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9605B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605BB"/>
  </w:style>
  <w:style w:type="character" w:styleId="Hypertextovprepojenie">
    <w:name w:val="Hyperlink"/>
    <w:rsid w:val="00F81314"/>
    <w:rPr>
      <w:color w:val="0000FF"/>
      <w:u w:val="single"/>
    </w:rPr>
  </w:style>
  <w:style w:type="character" w:styleId="Odkaznakomentr">
    <w:name w:val="annotation reference"/>
    <w:rsid w:val="00C44CA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4CA8"/>
    <w:rPr>
      <w:sz w:val="20"/>
    </w:rPr>
  </w:style>
  <w:style w:type="character" w:customStyle="1" w:styleId="TextkomentraChar">
    <w:name w:val="Text komentára Char"/>
    <w:link w:val="Textkomentra"/>
    <w:rsid w:val="00C44CA8"/>
    <w:rPr>
      <w:rFonts w:ascii="ITC Garamond Bk AT" w:hAnsi="ITC Garamond Bk AT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4CA8"/>
    <w:rPr>
      <w:b/>
      <w:bCs/>
    </w:rPr>
  </w:style>
  <w:style w:type="character" w:customStyle="1" w:styleId="PredmetkomentraChar">
    <w:name w:val="Predmet komentára Char"/>
    <w:link w:val="Predmetkomentra"/>
    <w:rsid w:val="00C44CA8"/>
    <w:rPr>
      <w:rFonts w:ascii="ITC Garamond Bk AT" w:hAnsi="ITC Garamond Bk AT"/>
      <w:b/>
      <w:bCs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037DE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45079-6E69-4530-8D69-C2419959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1633</Words>
  <Characters>10698</Characters>
  <Application>Microsoft Office Word</Application>
  <DocSecurity>0</DocSecurity>
  <Lines>89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Aktuálny súhrn charakteristických vlastností  prípravku</vt:lpstr>
      <vt:lpstr>Aktuálny súhrn charakteristických vlastností  prípravku</vt:lpstr>
      <vt:lpstr>Aktuálny súhrn charakteristických vlastností  prípravku</vt:lpstr>
    </vt:vector>
  </TitlesOfParts>
  <Company>sanofi-aventis</Company>
  <LinksUpToDate>false</LinksUpToDate>
  <CharactersWithSpaces>12307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Aktuálny súhrn charakteristických vlastností  prípravku</dc:title>
  <dc:creator>aaa</dc:creator>
  <cp:lastModifiedBy>ME</cp:lastModifiedBy>
  <cp:revision>3</cp:revision>
  <cp:lastPrinted>2015-03-02T07:21:00Z</cp:lastPrinted>
  <dcterms:created xsi:type="dcterms:W3CDTF">2020-04-21T06:51:00Z</dcterms:created>
  <dcterms:modified xsi:type="dcterms:W3CDTF">2020-04-21T06:51:00Z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