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8415A" w14:textId="77777777" w:rsidR="000222EC" w:rsidRPr="00CA75AB" w:rsidRDefault="000222EC" w:rsidP="00B23DDB">
      <w:pPr>
        <w:pStyle w:val="SPCaPILhlavika"/>
        <w:rPr>
          <w:lang w:val="sk-SK"/>
        </w:rPr>
      </w:pPr>
    </w:p>
    <w:p w14:paraId="342FD33E" w14:textId="77777777" w:rsidR="00B23DDB" w:rsidRPr="00CA75AB" w:rsidRDefault="00B23DDB" w:rsidP="00B23DDB">
      <w:pPr>
        <w:pStyle w:val="SPCaPILhlavika"/>
        <w:rPr>
          <w:lang w:val="sk-SK"/>
        </w:rPr>
      </w:pPr>
      <w:r w:rsidRPr="00CA75AB">
        <w:rPr>
          <w:lang w:val="sk-SK"/>
        </w:rPr>
        <w:t xml:space="preserve">SÚHRN </w:t>
      </w:r>
      <w:r w:rsidRPr="00CA75AB">
        <w:rPr>
          <w:sz w:val="24"/>
          <w:lang w:val="sk-SK"/>
        </w:rPr>
        <w:t xml:space="preserve">CHARAKTERISTICKÝCH </w:t>
      </w:r>
      <w:r w:rsidRPr="00CA75AB">
        <w:rPr>
          <w:lang w:val="sk-SK"/>
        </w:rPr>
        <w:t>VLASTNOSTÍ LIEKU</w:t>
      </w:r>
    </w:p>
    <w:p w14:paraId="29C7B82F" w14:textId="77777777" w:rsidR="00B23DDB" w:rsidRPr="00CA75AB" w:rsidRDefault="00B23DDB" w:rsidP="00CE70E9">
      <w:pPr>
        <w:pStyle w:val="Styl1"/>
      </w:pPr>
      <w:r w:rsidRPr="00CA75AB">
        <w:t>NÁZOV LIEKU</w:t>
      </w:r>
    </w:p>
    <w:p w14:paraId="6DF1A190" w14:textId="3469C0C2" w:rsidR="00C226C1" w:rsidRPr="00CA75AB" w:rsidRDefault="00B23DDB" w:rsidP="00CA249A">
      <w:pPr>
        <w:pStyle w:val="Normlndobloku"/>
      </w:pPr>
      <w:r w:rsidRPr="00CA75AB">
        <w:t>ACCEL 5 mg</w:t>
      </w:r>
    </w:p>
    <w:p w14:paraId="69CFFDE2" w14:textId="2CF82787" w:rsidR="00C226C1" w:rsidRPr="00CA75AB" w:rsidRDefault="00B23DDB" w:rsidP="00CA249A">
      <w:pPr>
        <w:pStyle w:val="Normlndobloku"/>
      </w:pPr>
      <w:r w:rsidRPr="00A00667">
        <w:rPr>
          <w:highlight w:val="lightGray"/>
        </w:rPr>
        <w:t>ACCEL 10 mg</w:t>
      </w:r>
    </w:p>
    <w:p w14:paraId="6B4BA895" w14:textId="77777777" w:rsidR="00B23DDB" w:rsidRPr="00CA75AB" w:rsidRDefault="00D87A7F" w:rsidP="00CA249A">
      <w:pPr>
        <w:pStyle w:val="Normlndobloku"/>
      </w:pPr>
      <w:r>
        <w:t>tablety</w:t>
      </w:r>
    </w:p>
    <w:p w14:paraId="508F4208" w14:textId="7C06102F" w:rsidR="00B23DDB" w:rsidRPr="00CA75AB" w:rsidRDefault="00B23DDB" w:rsidP="00CE70E9">
      <w:pPr>
        <w:pStyle w:val="Styl1"/>
      </w:pPr>
      <w:r w:rsidRPr="00CA75AB">
        <w:t>KVALITATÍVNE A</w:t>
      </w:r>
      <w:r w:rsidR="00446EF1">
        <w:t xml:space="preserve"> </w:t>
      </w:r>
      <w:r w:rsidRPr="00CA75AB">
        <w:t>KVANTITATÍVNE ZLOŽENIE</w:t>
      </w:r>
    </w:p>
    <w:p w14:paraId="22E507F2" w14:textId="0FA7D523" w:rsidR="00B23DDB" w:rsidRPr="00CA75AB" w:rsidRDefault="00B23DDB" w:rsidP="00CA249A">
      <w:pPr>
        <w:pStyle w:val="Normlndobloku"/>
      </w:pPr>
      <w:r w:rsidRPr="00CA75AB">
        <w:t>ACCEL 5 mg:</w:t>
      </w:r>
      <w:r w:rsidR="00C226C1" w:rsidRPr="00CA75AB">
        <w:t xml:space="preserve"> </w:t>
      </w:r>
      <w:r w:rsidR="0068563E">
        <w:t>Jedna</w:t>
      </w:r>
      <w:r w:rsidRPr="00CA75AB">
        <w:t xml:space="preserve"> tableta obsahuje 5 mg amlodipínu (vo forme amlodipínium</w:t>
      </w:r>
      <w:r w:rsidR="004417EE">
        <w:t>-</w:t>
      </w:r>
      <w:r w:rsidRPr="00CA75AB">
        <w:t>be</w:t>
      </w:r>
      <w:r w:rsidR="00591B95">
        <w:rPr>
          <w:lang w:val="sk-SK"/>
        </w:rPr>
        <w:t>z</w:t>
      </w:r>
      <w:r w:rsidRPr="00CA75AB">
        <w:t>ylátu).</w:t>
      </w:r>
    </w:p>
    <w:p w14:paraId="476E9CFD" w14:textId="37F11775" w:rsidR="00B23DDB" w:rsidRPr="00CA75AB" w:rsidRDefault="00B23DDB" w:rsidP="00CA249A">
      <w:pPr>
        <w:pStyle w:val="Normlndobloku"/>
      </w:pPr>
      <w:r w:rsidRPr="00A00667">
        <w:rPr>
          <w:highlight w:val="lightGray"/>
        </w:rPr>
        <w:t>ACCEL 10 mg:</w:t>
      </w:r>
      <w:r w:rsidR="00C226C1" w:rsidRPr="00A00667">
        <w:rPr>
          <w:highlight w:val="lightGray"/>
        </w:rPr>
        <w:t xml:space="preserve"> </w:t>
      </w:r>
      <w:r w:rsidR="0068563E" w:rsidRPr="00A00667">
        <w:rPr>
          <w:highlight w:val="lightGray"/>
        </w:rPr>
        <w:t>Jedna</w:t>
      </w:r>
      <w:r w:rsidRPr="00A00667">
        <w:rPr>
          <w:highlight w:val="lightGray"/>
        </w:rPr>
        <w:t xml:space="preserve"> tableta obsahuje 10 mg amlodipínu (vo forme amlodipínium</w:t>
      </w:r>
      <w:r w:rsidR="004417EE">
        <w:rPr>
          <w:highlight w:val="lightGray"/>
        </w:rPr>
        <w:t>-</w:t>
      </w:r>
      <w:r w:rsidRPr="00A00667">
        <w:rPr>
          <w:highlight w:val="lightGray"/>
        </w:rPr>
        <w:t>be</w:t>
      </w:r>
      <w:r w:rsidR="00591B95">
        <w:rPr>
          <w:highlight w:val="lightGray"/>
          <w:lang w:val="sk-SK"/>
        </w:rPr>
        <w:t>z</w:t>
      </w:r>
      <w:r w:rsidRPr="00A00667">
        <w:rPr>
          <w:highlight w:val="lightGray"/>
        </w:rPr>
        <w:t>ylátu).</w:t>
      </w:r>
    </w:p>
    <w:p w14:paraId="79897A16" w14:textId="77777777" w:rsidR="00B23DDB" w:rsidRPr="00CA75AB" w:rsidRDefault="00B23DDB" w:rsidP="00CA249A">
      <w:pPr>
        <w:pStyle w:val="Normlndobloku"/>
      </w:pPr>
      <w:r w:rsidRPr="00CA75AB">
        <w:t>Úplný zoznam pomocných látok, pozri časť 6.1.</w:t>
      </w:r>
    </w:p>
    <w:p w14:paraId="2A1D9894" w14:textId="77777777" w:rsidR="00B23DDB" w:rsidRPr="00CA75AB" w:rsidRDefault="00B23DDB" w:rsidP="00CE70E9">
      <w:pPr>
        <w:pStyle w:val="Styl1"/>
      </w:pPr>
      <w:r w:rsidRPr="00CA75AB">
        <w:t>LIEKOVÁ FORMA</w:t>
      </w:r>
    </w:p>
    <w:p w14:paraId="4C731F89" w14:textId="371DB540" w:rsidR="00B23DDB" w:rsidRPr="00CA75AB" w:rsidRDefault="00B23DDB" w:rsidP="00CA249A">
      <w:pPr>
        <w:pStyle w:val="Normlndobloku"/>
      </w:pPr>
      <w:r w:rsidRPr="00CA75AB">
        <w:t>Tableta</w:t>
      </w:r>
    </w:p>
    <w:p w14:paraId="778DA654" w14:textId="07EB82C8" w:rsidR="00B23DDB" w:rsidRPr="00CA75AB" w:rsidRDefault="00B23DDB" w:rsidP="00CA249A">
      <w:pPr>
        <w:pStyle w:val="Normlndobloku"/>
      </w:pPr>
      <w:r w:rsidRPr="00CA75AB">
        <w:t>ACCEL 5 mg:</w:t>
      </w:r>
      <w:r w:rsidR="00C226C1" w:rsidRPr="00CA75AB">
        <w:t xml:space="preserve"> </w:t>
      </w:r>
      <w:r w:rsidRPr="00CA75AB">
        <w:t>Tablety sú okrúhle a</w:t>
      </w:r>
      <w:r w:rsidR="00446EF1">
        <w:t xml:space="preserve"> </w:t>
      </w:r>
      <w:r w:rsidRPr="00CA75AB">
        <w:t xml:space="preserve">biele s priemerom približne </w:t>
      </w:r>
      <w:smartTag w:uri="urn:schemas-microsoft-com:office:smarttags" w:element="metricconverter">
        <w:smartTagPr>
          <w:attr w:name="ProductID" w:val="8ﾠmm"/>
        </w:smartTagPr>
        <w:r w:rsidRPr="00CA75AB">
          <w:t>8 mm</w:t>
        </w:r>
      </w:smartTag>
      <w:r w:rsidRPr="00CA75AB">
        <w:t>.</w:t>
      </w:r>
    </w:p>
    <w:p w14:paraId="1032E35F" w14:textId="458D322C" w:rsidR="00B23DDB" w:rsidRPr="00CA75AB" w:rsidRDefault="00B23DDB" w:rsidP="00CA249A">
      <w:pPr>
        <w:pStyle w:val="Normlndobloku"/>
      </w:pPr>
      <w:r w:rsidRPr="00A00667">
        <w:rPr>
          <w:highlight w:val="lightGray"/>
        </w:rPr>
        <w:t>ACCEL 10 mg:</w:t>
      </w:r>
      <w:r w:rsidR="00C226C1" w:rsidRPr="00A00667">
        <w:rPr>
          <w:highlight w:val="lightGray"/>
        </w:rPr>
        <w:t xml:space="preserve"> </w:t>
      </w:r>
      <w:r w:rsidRPr="00A00667">
        <w:rPr>
          <w:highlight w:val="lightGray"/>
        </w:rPr>
        <w:t>Tablety sú okrúhle a</w:t>
      </w:r>
      <w:r w:rsidR="00446EF1">
        <w:rPr>
          <w:highlight w:val="lightGray"/>
        </w:rPr>
        <w:t xml:space="preserve"> </w:t>
      </w:r>
      <w:r w:rsidRPr="00A00667">
        <w:rPr>
          <w:highlight w:val="lightGray"/>
        </w:rPr>
        <w:t>biele, s</w:t>
      </w:r>
      <w:r w:rsidR="00446EF1">
        <w:rPr>
          <w:highlight w:val="lightGray"/>
        </w:rPr>
        <w:t xml:space="preserve"> </w:t>
      </w:r>
      <w:r w:rsidRPr="00A00667">
        <w:rPr>
          <w:highlight w:val="lightGray"/>
        </w:rPr>
        <w:t>deliacou ryhou na jednej strane a</w:t>
      </w:r>
      <w:r w:rsidR="00446EF1">
        <w:rPr>
          <w:highlight w:val="lightGray"/>
        </w:rPr>
        <w:t xml:space="preserve"> </w:t>
      </w:r>
      <w:r w:rsidRPr="00A00667">
        <w:rPr>
          <w:highlight w:val="lightGray"/>
        </w:rPr>
        <w:t>s</w:t>
      </w:r>
      <w:r w:rsidR="00446EF1">
        <w:rPr>
          <w:highlight w:val="lightGray"/>
        </w:rPr>
        <w:t xml:space="preserve"> </w:t>
      </w:r>
      <w:r w:rsidRPr="00A00667">
        <w:rPr>
          <w:highlight w:val="lightGray"/>
        </w:rPr>
        <w:t>priemerom približne 10,5 mm.</w:t>
      </w:r>
    </w:p>
    <w:p w14:paraId="0B497AEC" w14:textId="62F03A74" w:rsidR="00B23DDB" w:rsidRPr="00CA75AB" w:rsidRDefault="00B23DDB" w:rsidP="00CA249A">
      <w:pPr>
        <w:pStyle w:val="Normlndobloku"/>
      </w:pPr>
      <w:r w:rsidRPr="00A00667">
        <w:rPr>
          <w:highlight w:val="lightGray"/>
        </w:rPr>
        <w:t xml:space="preserve">Tableta sa môže rozdeliť na rovnaké </w:t>
      </w:r>
      <w:r w:rsidR="00471751" w:rsidRPr="00A00667">
        <w:rPr>
          <w:highlight w:val="lightGray"/>
        </w:rPr>
        <w:t>dávky</w:t>
      </w:r>
      <w:r w:rsidRPr="00A00667">
        <w:rPr>
          <w:highlight w:val="lightGray"/>
        </w:rPr>
        <w:t>.</w:t>
      </w:r>
    </w:p>
    <w:p w14:paraId="1CFD672F" w14:textId="77777777" w:rsidR="00B23DDB" w:rsidRPr="00CA75AB" w:rsidRDefault="00B23DDB" w:rsidP="00CE70E9">
      <w:pPr>
        <w:pStyle w:val="Styl1"/>
      </w:pPr>
      <w:r w:rsidRPr="00CA75AB">
        <w:t>KLINICKÉ ÚDAJE</w:t>
      </w:r>
    </w:p>
    <w:p w14:paraId="406C396F" w14:textId="77777777" w:rsidR="00B23DDB" w:rsidRPr="00CA75AB" w:rsidRDefault="00B23DDB" w:rsidP="00CE70E9">
      <w:pPr>
        <w:pStyle w:val="Styl2"/>
      </w:pPr>
      <w:r w:rsidRPr="00CA75AB">
        <w:t>4.1</w:t>
      </w:r>
      <w:r w:rsidRPr="00CA75AB">
        <w:tab/>
        <w:t>Terapeutické indikácie</w:t>
      </w:r>
    </w:p>
    <w:p w14:paraId="12E43C7B" w14:textId="77777777" w:rsidR="00B23DDB" w:rsidRPr="00CA75AB" w:rsidRDefault="00B23DDB" w:rsidP="00CA249A">
      <w:pPr>
        <w:pStyle w:val="Normlndobloku"/>
      </w:pPr>
      <w:r w:rsidRPr="00CA75AB">
        <w:t>Esenciálna hypertenzia</w:t>
      </w:r>
    </w:p>
    <w:p w14:paraId="58F0F666" w14:textId="77777777" w:rsidR="00B23DDB" w:rsidRPr="00CA75AB" w:rsidRDefault="00B23DDB" w:rsidP="00CA249A">
      <w:pPr>
        <w:pStyle w:val="Normlndobloku"/>
      </w:pPr>
      <w:r w:rsidRPr="00CA75AB">
        <w:t>Chronická stabilná a vazospastická angina pectoris</w:t>
      </w:r>
    </w:p>
    <w:p w14:paraId="6AAC5009" w14:textId="34FF67C2" w:rsidR="00A65906" w:rsidRDefault="00B23DDB" w:rsidP="00A00667">
      <w:pPr>
        <w:pStyle w:val="Styl2"/>
      </w:pPr>
      <w:r w:rsidRPr="00CA75AB">
        <w:t>4.2</w:t>
      </w:r>
      <w:r w:rsidRPr="00CA75AB">
        <w:tab/>
        <w:t>Dávkovanie a spôsob podávania</w:t>
      </w:r>
    </w:p>
    <w:p w14:paraId="6F8760B4" w14:textId="77777777" w:rsidR="0068563E" w:rsidRPr="00D87A7F" w:rsidRDefault="0068563E" w:rsidP="00CA249A">
      <w:pPr>
        <w:pStyle w:val="Normlndobloku"/>
      </w:pPr>
      <w:r w:rsidRPr="00D87A7F">
        <w:t>Dávkovanie</w:t>
      </w:r>
    </w:p>
    <w:p w14:paraId="3795C7C3" w14:textId="77777777" w:rsidR="00B23DDB" w:rsidRPr="00CA75AB" w:rsidRDefault="00B23DDB" w:rsidP="00C32C3A">
      <w:pPr>
        <w:pStyle w:val="Styl3"/>
      </w:pPr>
      <w:r w:rsidRPr="00CA75AB">
        <w:t>Dospelí</w:t>
      </w:r>
    </w:p>
    <w:p w14:paraId="081D4CC0" w14:textId="453C3B5E" w:rsidR="00B23DDB" w:rsidRPr="00CA75AB" w:rsidRDefault="00B23DDB" w:rsidP="00CA249A">
      <w:pPr>
        <w:pStyle w:val="Normlndobloku"/>
      </w:pPr>
      <w:r w:rsidRPr="00CA75AB">
        <w:t>Počiatočná dávka na liečbu hypertenzie a anginy pectoris je 5 mg jedenkrát denne. Ak sa požadovaný terapeutický účinok nedosiahne v priebehu 2</w:t>
      </w:r>
      <w:r w:rsidR="00D87A7F">
        <w:t> </w:t>
      </w:r>
      <w:r w:rsidR="00B91360" w:rsidRPr="00CA75AB">
        <w:rPr>
          <w:rFonts w:ascii="Times New Roman" w:hAnsi="Times New Roman"/>
        </w:rPr>
        <w:t>‒</w:t>
      </w:r>
      <w:r w:rsidR="00D87A7F">
        <w:rPr>
          <w:rFonts w:ascii="Times New Roman" w:hAnsi="Times New Roman"/>
        </w:rPr>
        <w:t> </w:t>
      </w:r>
      <w:r w:rsidRPr="00CA75AB">
        <w:t>4 týždňov, dávka sa môže zvýšiť na maximálnu dávku 10 mg denne (</w:t>
      </w:r>
      <w:r w:rsidR="00DF7BF2">
        <w:t xml:space="preserve">v </w:t>
      </w:r>
      <w:r w:rsidRPr="00CA75AB">
        <w:t>jedn</w:t>
      </w:r>
      <w:r w:rsidR="00DF7BF2">
        <w:t>ej dávke</w:t>
      </w:r>
      <w:r w:rsidRPr="00CA75AB">
        <w:t>) v závislosti od individuálnej odpovede pacienta. U pacientov s angina pectoris sa amlodipín</w:t>
      </w:r>
      <w:r w:rsidR="00DF0741" w:rsidRPr="00CA75AB">
        <w:t xml:space="preserve"> </w:t>
      </w:r>
      <w:r w:rsidRPr="00CA75AB">
        <w:t>môže používať ako monoterapia alebo v kombinácii s inými antianginóznymi liekmi.</w:t>
      </w:r>
    </w:p>
    <w:p w14:paraId="67160B1C" w14:textId="32BE6056" w:rsidR="00B23DDB" w:rsidRPr="00CA75AB" w:rsidRDefault="00D87A7F" w:rsidP="00C32C3A">
      <w:pPr>
        <w:pStyle w:val="Styl3"/>
      </w:pPr>
      <w:r>
        <w:t>Pediatrická populácia</w:t>
      </w:r>
    </w:p>
    <w:p w14:paraId="53B51533" w14:textId="4A245C8D" w:rsidR="00B23DDB" w:rsidRPr="00CA75AB" w:rsidRDefault="00B23DDB" w:rsidP="00CA249A">
      <w:pPr>
        <w:pStyle w:val="Normlndobloku"/>
      </w:pPr>
      <w:r w:rsidRPr="00CA75AB">
        <w:t>Amlodipín sa neodporúča používať u</w:t>
      </w:r>
      <w:r w:rsidR="00446EF1">
        <w:t xml:space="preserve"> </w:t>
      </w:r>
      <w:r w:rsidRPr="00CA75AB">
        <w:t>detí a mladistvých mladších ako 18 rokov kvôli nedostatočným údajom o bezpečnosti a účinnosti.</w:t>
      </w:r>
    </w:p>
    <w:p w14:paraId="64FB322C" w14:textId="77777777" w:rsidR="00B23DDB" w:rsidRPr="00CA75AB" w:rsidRDefault="00B23DDB" w:rsidP="00C32C3A">
      <w:pPr>
        <w:pStyle w:val="Styl3"/>
      </w:pPr>
      <w:r w:rsidRPr="00CA75AB">
        <w:t>Starší pacienti</w:t>
      </w:r>
    </w:p>
    <w:p w14:paraId="13C0AA5D" w14:textId="77777777" w:rsidR="00B23DDB" w:rsidRPr="00CA75AB" w:rsidRDefault="00B23DDB" w:rsidP="00CA249A">
      <w:pPr>
        <w:pStyle w:val="Normlndobloku"/>
      </w:pPr>
      <w:r w:rsidRPr="00CA75AB">
        <w:t>U starších pacientov sa odporúčajú zvyčajné dávkovacie schémy, avšak zvýšenie dávky sa má</w:t>
      </w:r>
      <w:r w:rsidR="00DF0741" w:rsidRPr="00CA75AB">
        <w:t xml:space="preserve"> </w:t>
      </w:r>
      <w:r w:rsidRPr="00CA75AB">
        <w:t>uskutočniť opatrne (pozri časť 5.2).</w:t>
      </w:r>
    </w:p>
    <w:p w14:paraId="6154663C" w14:textId="77777777" w:rsidR="00B23DDB" w:rsidRPr="00CA75AB" w:rsidRDefault="00B23DDB" w:rsidP="00C32C3A">
      <w:pPr>
        <w:pStyle w:val="Styl3"/>
      </w:pPr>
      <w:r w:rsidRPr="00CA75AB">
        <w:t>Pacienti s poruchou funkcie obličiek</w:t>
      </w:r>
    </w:p>
    <w:p w14:paraId="7DE2EB54" w14:textId="3366CAE4" w:rsidR="00B23DDB" w:rsidRPr="00CA75AB" w:rsidRDefault="00B23DDB" w:rsidP="00CA249A">
      <w:pPr>
        <w:pStyle w:val="Normlndobloku"/>
      </w:pPr>
      <w:r w:rsidRPr="00CA75AB">
        <w:t>Odporúčajú sa zvyčajné dávkovacie schémy (pozri časť 5.2). Amlodipín nie je dialyzovateľný. Amlodipín sa má podávať s opatrnosťou u</w:t>
      </w:r>
      <w:r w:rsidR="00446EF1">
        <w:t xml:space="preserve"> </w:t>
      </w:r>
      <w:r w:rsidRPr="00CA75AB">
        <w:t>pacientov podstupujúcich dialýzu.</w:t>
      </w:r>
    </w:p>
    <w:p w14:paraId="056AE610" w14:textId="6A81419A" w:rsidR="00B23DDB" w:rsidRPr="00CA75AB" w:rsidRDefault="00B23DDB" w:rsidP="00C32C3A">
      <w:pPr>
        <w:pStyle w:val="Styl3"/>
      </w:pPr>
      <w:r w:rsidRPr="00CA75AB">
        <w:lastRenderedPageBreak/>
        <w:t>Pacienti s</w:t>
      </w:r>
      <w:r w:rsidR="00446EF1">
        <w:t xml:space="preserve"> </w:t>
      </w:r>
      <w:r w:rsidRPr="00CA75AB">
        <w:t>poruchou funkcie pečene</w:t>
      </w:r>
    </w:p>
    <w:p w14:paraId="7108A0B1" w14:textId="5AB3721A" w:rsidR="00B23DDB" w:rsidRDefault="00B23DDB" w:rsidP="00CA249A">
      <w:pPr>
        <w:pStyle w:val="Normlndobloku"/>
      </w:pPr>
      <w:r w:rsidRPr="00CA75AB">
        <w:t>Dávkovacia schéma pre pacientov s</w:t>
      </w:r>
      <w:r w:rsidR="00446EF1">
        <w:t xml:space="preserve"> </w:t>
      </w:r>
      <w:r w:rsidRPr="00CA75AB">
        <w:t>poruchou funkcie pečene nebola stanovená, preto sa im má amlodipín podávať opatrne (pozri časť 4.4).</w:t>
      </w:r>
    </w:p>
    <w:p w14:paraId="73099EEF" w14:textId="77777777" w:rsidR="00A65906" w:rsidRDefault="0068563E" w:rsidP="00A04C61">
      <w:pPr>
        <w:pStyle w:val="Styl3"/>
      </w:pPr>
      <w:r w:rsidRPr="00D87A7F">
        <w:t xml:space="preserve">Spôsob </w:t>
      </w:r>
      <w:r w:rsidR="00A65906" w:rsidRPr="00D87A7F">
        <w:t>podávania</w:t>
      </w:r>
      <w:r w:rsidR="00A65906" w:rsidRPr="00A65906">
        <w:t xml:space="preserve"> </w:t>
      </w:r>
    </w:p>
    <w:p w14:paraId="532321BF" w14:textId="77777777" w:rsidR="00A65906" w:rsidRPr="00CA75AB" w:rsidRDefault="00A65906" w:rsidP="00CA249A">
      <w:pPr>
        <w:pStyle w:val="Normlndobloku"/>
      </w:pPr>
      <w:r w:rsidRPr="00CA75AB">
        <w:t>Na perorálne použitie.</w:t>
      </w:r>
    </w:p>
    <w:p w14:paraId="05D27E06" w14:textId="2C22AC5E" w:rsidR="0068563E" w:rsidRPr="00A65906" w:rsidRDefault="00A65906" w:rsidP="00CA249A">
      <w:pPr>
        <w:pStyle w:val="Normlndobloku"/>
      </w:pPr>
      <w:r w:rsidRPr="00CA75AB">
        <w:t>Tablety sa majú užívať s pohárom tekutiny (napr.</w:t>
      </w:r>
      <w:r w:rsidR="00446EF1">
        <w:t xml:space="preserve"> </w:t>
      </w:r>
      <w:r w:rsidRPr="00CA75AB">
        <w:t>pohár vody)</w:t>
      </w:r>
      <w:r w:rsidR="00DF7AE6">
        <w:t>,</w:t>
      </w:r>
      <w:r w:rsidRPr="00CA75AB">
        <w:t xml:space="preserve"> s jedlom alebo bez neho. Súbežné podávanie grapefruitu alebo grapefruitovej šťavy nemá žiadny vplyv na účinok amlodipínu.</w:t>
      </w:r>
    </w:p>
    <w:p w14:paraId="7739534A" w14:textId="77777777" w:rsidR="00B23DDB" w:rsidRPr="00CA75AB" w:rsidRDefault="00B23DDB" w:rsidP="00CE70E9">
      <w:pPr>
        <w:pStyle w:val="Styl2"/>
      </w:pPr>
      <w:r w:rsidRPr="00CA75AB">
        <w:t>4.3</w:t>
      </w:r>
      <w:r w:rsidRPr="00CA75AB">
        <w:tab/>
        <w:t>Kontraindikácie</w:t>
      </w:r>
    </w:p>
    <w:p w14:paraId="6D3D370A" w14:textId="038E89EB" w:rsidR="00B23DDB" w:rsidRPr="00A04C61" w:rsidRDefault="00B23DDB" w:rsidP="00CA249A">
      <w:pPr>
        <w:pStyle w:val="Normlndobloku"/>
      </w:pPr>
      <w:r w:rsidRPr="00CA75AB">
        <w:t xml:space="preserve">Amlodipín </w:t>
      </w:r>
      <w:r w:rsidRPr="00A04C61">
        <w:t>je kontraindikovaný u</w:t>
      </w:r>
      <w:r w:rsidR="00446EF1" w:rsidRPr="00A04C61">
        <w:t xml:space="preserve"> </w:t>
      </w:r>
      <w:r w:rsidRPr="00A04C61">
        <w:t>pacientov</w:t>
      </w:r>
      <w:r w:rsidR="00471751" w:rsidRPr="00A04C61">
        <w:t xml:space="preserve"> s/so</w:t>
      </w:r>
      <w:r w:rsidRPr="00A04C61">
        <w:t>:</w:t>
      </w:r>
    </w:p>
    <w:p w14:paraId="60756FE5" w14:textId="6539E260" w:rsidR="00B23DDB" w:rsidRPr="00A04C61" w:rsidRDefault="00B23DDB" w:rsidP="00CA249A">
      <w:pPr>
        <w:pStyle w:val="Normlndoblokusodrkami"/>
      </w:pPr>
      <w:r w:rsidRPr="00A04C61">
        <w:t>precitlivenosťou na dihydropyridínové deriváty</w:t>
      </w:r>
      <w:r w:rsidR="00471751" w:rsidRPr="00A04C61">
        <w:t>, amlodipín</w:t>
      </w:r>
      <w:r w:rsidRPr="00A04C61">
        <w:t xml:space="preserve"> alebo na </w:t>
      </w:r>
      <w:r w:rsidR="00471751" w:rsidRPr="00A04C61">
        <w:t>ktorúkoľvek</w:t>
      </w:r>
      <w:r w:rsidRPr="00A04C61">
        <w:t xml:space="preserve"> z</w:t>
      </w:r>
      <w:r w:rsidR="00446EF1" w:rsidRPr="00A04C61">
        <w:t xml:space="preserve"> </w:t>
      </w:r>
      <w:r w:rsidRPr="00A04C61">
        <w:t>pomocných látok</w:t>
      </w:r>
      <w:r w:rsidR="00471751" w:rsidRPr="00A04C61">
        <w:t xml:space="preserve"> uvedených v časti 6.1</w:t>
      </w:r>
    </w:p>
    <w:p w14:paraId="14528860" w14:textId="78AE7C66" w:rsidR="00B23DDB" w:rsidRPr="00A04C61" w:rsidRDefault="00B23DDB" w:rsidP="00CA249A">
      <w:pPr>
        <w:pStyle w:val="Normlndoblokusodrkami"/>
      </w:pPr>
      <w:r w:rsidRPr="00A04C61">
        <w:t>závažnou hypotenziou</w:t>
      </w:r>
    </w:p>
    <w:p w14:paraId="3D4678BB" w14:textId="6D1D5B09" w:rsidR="00B23DDB" w:rsidRPr="00A04C61" w:rsidRDefault="00B23DDB" w:rsidP="00CA249A">
      <w:pPr>
        <w:pStyle w:val="Normlndoblokusodrkami"/>
      </w:pPr>
      <w:r w:rsidRPr="00A04C61">
        <w:t>šok</w:t>
      </w:r>
      <w:r w:rsidR="00471751" w:rsidRPr="00A04C61">
        <w:t>om</w:t>
      </w:r>
      <w:r w:rsidRPr="00A04C61">
        <w:t xml:space="preserve"> </w:t>
      </w:r>
      <w:r w:rsidR="00AD3C6B" w:rsidRPr="00A04C61">
        <w:t>(</w:t>
      </w:r>
      <w:r w:rsidRPr="00A04C61">
        <w:t>vrátane kardiogénneho šoku</w:t>
      </w:r>
      <w:r w:rsidR="00AD3C6B" w:rsidRPr="00A04C61">
        <w:t>)</w:t>
      </w:r>
    </w:p>
    <w:p w14:paraId="53927E11" w14:textId="58CA750C" w:rsidR="0037031F" w:rsidRPr="00CA75AB" w:rsidRDefault="00B23DDB" w:rsidP="00CA249A">
      <w:pPr>
        <w:pStyle w:val="Normlndoblokusodrkami"/>
      </w:pPr>
      <w:r w:rsidRPr="00A04C61">
        <w:t>obštrukciou</w:t>
      </w:r>
      <w:r w:rsidRPr="00CA75AB">
        <w:t xml:space="preserve"> výtoku ľavej komory (napr.</w:t>
      </w:r>
      <w:r w:rsidR="00446EF1">
        <w:t xml:space="preserve"> </w:t>
      </w:r>
      <w:r w:rsidRPr="00CA75AB">
        <w:t>vysoký stupeň aortálnej stenózy)</w:t>
      </w:r>
    </w:p>
    <w:p w14:paraId="35FB2DBD" w14:textId="47389404" w:rsidR="00BD74F5" w:rsidRPr="00BD74F5" w:rsidRDefault="0037031F" w:rsidP="00CA249A">
      <w:pPr>
        <w:pStyle w:val="Normlndoblokusodrkami"/>
      </w:pPr>
      <w:r w:rsidRPr="00CA75AB">
        <w:t>hemodynamick</w:t>
      </w:r>
      <w:r w:rsidR="00471751">
        <w:t>y</w:t>
      </w:r>
      <w:r w:rsidRPr="00CA75AB">
        <w:t xml:space="preserve"> nestabiln</w:t>
      </w:r>
      <w:r w:rsidR="00471751">
        <w:t>ým</w:t>
      </w:r>
      <w:r w:rsidRPr="00CA75AB">
        <w:t xml:space="preserve"> srdcov</w:t>
      </w:r>
      <w:r w:rsidR="00471751">
        <w:t>ým</w:t>
      </w:r>
      <w:r w:rsidRPr="00CA75AB">
        <w:t xml:space="preserve"> zlyhan</w:t>
      </w:r>
      <w:r w:rsidR="00471751">
        <w:t>ím</w:t>
      </w:r>
      <w:r w:rsidRPr="00CA75AB">
        <w:t xml:space="preserve"> po akútnom </w:t>
      </w:r>
      <w:r w:rsidR="00C226C1" w:rsidRPr="00CA75AB">
        <w:t>infarkt</w:t>
      </w:r>
      <w:r w:rsidR="009751B4">
        <w:rPr>
          <w:lang w:val="sk-SK"/>
        </w:rPr>
        <w:t>e</w:t>
      </w:r>
      <w:r w:rsidRPr="00CA75AB">
        <w:t xml:space="preserve"> myokardu</w:t>
      </w:r>
    </w:p>
    <w:p w14:paraId="00168428" w14:textId="77777777" w:rsidR="00B23DDB" w:rsidRPr="00CA75AB" w:rsidRDefault="00B23DDB" w:rsidP="00CE70E9">
      <w:pPr>
        <w:pStyle w:val="Styl2"/>
      </w:pPr>
      <w:r w:rsidRPr="00CA75AB">
        <w:t>4.4</w:t>
      </w:r>
      <w:r w:rsidRPr="00CA75AB">
        <w:tab/>
        <w:t>Osobitné upozornenia a opatrenia pri používaní</w:t>
      </w:r>
    </w:p>
    <w:p w14:paraId="7AD8937F" w14:textId="77777777" w:rsidR="00B23DDB" w:rsidRPr="00CA75AB" w:rsidRDefault="00B23DDB" w:rsidP="00CA249A">
      <w:pPr>
        <w:pStyle w:val="Normlndobloku"/>
      </w:pPr>
      <w:r w:rsidRPr="00CA75AB">
        <w:t>Bezpečnosť a účinnosť amlodipínu pri hypertenznej kríze nebola stanovená.</w:t>
      </w:r>
    </w:p>
    <w:p w14:paraId="619F6C57" w14:textId="77777777" w:rsidR="00B23DDB" w:rsidRPr="00CA75AB" w:rsidRDefault="00B23DDB" w:rsidP="00C32C3A">
      <w:pPr>
        <w:pStyle w:val="Styl3"/>
      </w:pPr>
      <w:r w:rsidRPr="00CA75AB">
        <w:t>Pacienti so srdcovým zlyhaním</w:t>
      </w:r>
    </w:p>
    <w:p w14:paraId="3C0C412A" w14:textId="77777777" w:rsidR="00B23DDB" w:rsidRPr="00CA75AB" w:rsidRDefault="00B23DDB" w:rsidP="00CA249A">
      <w:pPr>
        <w:pStyle w:val="Normlndobloku"/>
      </w:pPr>
      <w:r w:rsidRPr="00CA75AB">
        <w:t>Pacienti so srdcovým zlyhaním sa majú liečiť opatrne. V</w:t>
      </w:r>
      <w:r w:rsidR="0037031F" w:rsidRPr="00CA75AB">
        <w:t> </w:t>
      </w:r>
      <w:r w:rsidRPr="00CA75AB">
        <w:t>dlhodobej</w:t>
      </w:r>
      <w:r w:rsidR="0037031F" w:rsidRPr="00CA75AB">
        <w:t xml:space="preserve"> placebo</w:t>
      </w:r>
      <w:r w:rsidR="009966FB" w:rsidRPr="00CA75AB">
        <w:t>m</w:t>
      </w:r>
      <w:r w:rsidR="0037031F" w:rsidRPr="00CA75AB">
        <w:t xml:space="preserve"> kontrolovanej</w:t>
      </w:r>
      <w:r w:rsidR="00DF0741" w:rsidRPr="00CA75AB">
        <w:t xml:space="preserve"> </w:t>
      </w:r>
      <w:r w:rsidRPr="00CA75AB">
        <w:t xml:space="preserve">štúdii </w:t>
      </w:r>
      <w:r w:rsidR="009966FB" w:rsidRPr="00CA75AB">
        <w:t>u</w:t>
      </w:r>
      <w:r w:rsidR="00171C6D" w:rsidRPr="00CA75AB">
        <w:t> </w:t>
      </w:r>
      <w:r w:rsidRPr="00CA75AB">
        <w:t>pacientov so závažným srdcovým zlyhaním (triedy III</w:t>
      </w:r>
      <w:r w:rsidR="00B91360" w:rsidRPr="00CA75AB">
        <w:t>‒</w:t>
      </w:r>
      <w:r w:rsidRPr="00CA75AB">
        <w:t>IV podľa NYHA) bol hlásený vyšší výskyt edému pľúc v skupine liečenej amlodipínom ako v placebovej skupine, nespájal sa však so zhoršením srdcového zlyhania (pozri časť 5.1).</w:t>
      </w:r>
    </w:p>
    <w:p w14:paraId="3D2CAFE4" w14:textId="63DF5DE6" w:rsidR="00B23DDB" w:rsidRPr="00CA75AB" w:rsidRDefault="009966FB" w:rsidP="00C32C3A">
      <w:pPr>
        <w:pStyle w:val="Styl3"/>
      </w:pPr>
      <w:r w:rsidRPr="00CA75AB">
        <w:t>Použitie u</w:t>
      </w:r>
      <w:r w:rsidR="00446EF1">
        <w:t xml:space="preserve"> </w:t>
      </w:r>
      <w:r w:rsidRPr="00CA75AB">
        <w:t>p</w:t>
      </w:r>
      <w:r w:rsidR="00B23DDB" w:rsidRPr="00CA75AB">
        <w:t>acient</w:t>
      </w:r>
      <w:r w:rsidR="0013073F">
        <w:t>ov</w:t>
      </w:r>
      <w:r w:rsidR="00B23DDB" w:rsidRPr="00CA75AB">
        <w:t xml:space="preserve"> s poruchou funkcie pečene</w:t>
      </w:r>
    </w:p>
    <w:p w14:paraId="76648A2D" w14:textId="77777777" w:rsidR="00B23DDB" w:rsidRPr="00CA75AB" w:rsidRDefault="00B23DDB" w:rsidP="00CA249A">
      <w:pPr>
        <w:pStyle w:val="Normlndobloku"/>
      </w:pPr>
      <w:r w:rsidRPr="00CA75AB">
        <w:t>Polčas amlodipínu je u pacientov s poruchou funkcie pečene predĺžený; odporúčané dávkovanie sa nestanovilo. Amlodipín sa má preto podávať týmto pacientom opatrne.</w:t>
      </w:r>
    </w:p>
    <w:p w14:paraId="0A15E413" w14:textId="77777777" w:rsidR="00B23DDB" w:rsidRPr="00CA75AB" w:rsidRDefault="0037031F" w:rsidP="00C32C3A">
      <w:pPr>
        <w:pStyle w:val="Styl3"/>
      </w:pPr>
      <w:r w:rsidRPr="00CA75AB">
        <w:t>Použitie u starších pacientov</w:t>
      </w:r>
    </w:p>
    <w:p w14:paraId="04DB6CF8" w14:textId="77777777" w:rsidR="0037031F" w:rsidRPr="00CA75AB" w:rsidRDefault="0058368C" w:rsidP="00CA249A">
      <w:pPr>
        <w:pStyle w:val="Normlndobloku"/>
      </w:pPr>
      <w:r w:rsidRPr="00CA75AB">
        <w:t>U starších pacientov je potrebná opatrnosť pri zvyšovaní dávky (pozri časť 5.2)</w:t>
      </w:r>
      <w:r w:rsidR="005D6684" w:rsidRPr="00CA75AB">
        <w:t>.</w:t>
      </w:r>
    </w:p>
    <w:p w14:paraId="70F0252E" w14:textId="77777777" w:rsidR="0058368C" w:rsidRPr="00CA75AB" w:rsidRDefault="00A65906" w:rsidP="00C32C3A">
      <w:pPr>
        <w:pStyle w:val="Styl3"/>
      </w:pPr>
      <w:r>
        <w:t>Pediatrická populácia</w:t>
      </w:r>
    </w:p>
    <w:p w14:paraId="47CF53AA" w14:textId="77777777" w:rsidR="0058368C" w:rsidRPr="00CA75AB" w:rsidRDefault="0058368C" w:rsidP="00CA249A">
      <w:pPr>
        <w:pStyle w:val="Normlndobloku"/>
      </w:pPr>
      <w:r w:rsidRPr="00CA75AB">
        <w:t>Aml</w:t>
      </w:r>
      <w:r w:rsidR="00C226C1" w:rsidRPr="00CA75AB">
        <w:t>o</w:t>
      </w:r>
      <w:r w:rsidRPr="00CA75AB">
        <w:t>dipín nie je indikovaný u detí.</w:t>
      </w:r>
    </w:p>
    <w:p w14:paraId="77C987A2" w14:textId="3B51ED34" w:rsidR="00B23DDB" w:rsidRPr="00CA75AB" w:rsidRDefault="00B23DDB" w:rsidP="00C32C3A">
      <w:pPr>
        <w:pStyle w:val="Styl3"/>
      </w:pPr>
      <w:r w:rsidRPr="00CA75AB">
        <w:t xml:space="preserve">Pacienti </w:t>
      </w:r>
      <w:r w:rsidR="009966FB" w:rsidRPr="00CA75AB">
        <w:t>s</w:t>
      </w:r>
      <w:r w:rsidR="00446EF1">
        <w:t xml:space="preserve"> </w:t>
      </w:r>
      <w:r w:rsidR="009966FB" w:rsidRPr="00CA75AB">
        <w:t>renálnym zlyhaním</w:t>
      </w:r>
    </w:p>
    <w:p w14:paraId="09653AC1" w14:textId="77777777" w:rsidR="00B91360" w:rsidRPr="00CA75AB" w:rsidRDefault="00C226C1" w:rsidP="00CA249A">
      <w:pPr>
        <w:pStyle w:val="Normlndobloku"/>
      </w:pPr>
      <w:r w:rsidRPr="00CA75AB">
        <w:t>Amlodipín</w:t>
      </w:r>
      <w:r w:rsidR="0058368C" w:rsidRPr="00CA75AB">
        <w:t xml:space="preserve"> môže byť u týchto pacientov podávaný v bežných dávkach. Zmeny plazmatických</w:t>
      </w:r>
      <w:r w:rsidR="001F0B9A" w:rsidRPr="00CA75AB">
        <w:t xml:space="preserve"> koncentrácií amlodipínu nesúvis</w:t>
      </w:r>
      <w:r w:rsidR="009966FB" w:rsidRPr="00CA75AB">
        <w:t>ia</w:t>
      </w:r>
      <w:r w:rsidR="001F0B9A" w:rsidRPr="00CA75AB">
        <w:t xml:space="preserve"> so stupňom poškodenia </w:t>
      </w:r>
      <w:r w:rsidRPr="00CA75AB">
        <w:t>obličiek</w:t>
      </w:r>
      <w:r w:rsidR="001F0B9A" w:rsidRPr="00CA75AB">
        <w:t>.</w:t>
      </w:r>
      <w:r w:rsidRPr="00CA75AB">
        <w:t xml:space="preserve"> </w:t>
      </w:r>
      <w:r w:rsidR="00B23DDB" w:rsidRPr="00CA75AB">
        <w:t>Amlodipín nie je dialyzovateľný.</w:t>
      </w:r>
    </w:p>
    <w:p w14:paraId="0B8BBCFB" w14:textId="61782132" w:rsidR="00B23DDB" w:rsidRPr="00CA75AB" w:rsidRDefault="00B23DDB" w:rsidP="00C32C3A">
      <w:pPr>
        <w:pStyle w:val="Styl2"/>
        <w:numPr>
          <w:ilvl w:val="1"/>
          <w:numId w:val="13"/>
        </w:numPr>
      </w:pPr>
      <w:r w:rsidRPr="00CA75AB">
        <w:t>Liekové a</w:t>
      </w:r>
      <w:r w:rsidR="00446EF1">
        <w:t xml:space="preserve"> </w:t>
      </w:r>
      <w:r w:rsidRPr="00CA75AB">
        <w:t>iné interakcie</w:t>
      </w:r>
    </w:p>
    <w:p w14:paraId="0ADDABE0" w14:textId="77777777" w:rsidR="00B23DDB" w:rsidRPr="00CA75AB" w:rsidRDefault="00B23DDB" w:rsidP="00B91360">
      <w:pPr>
        <w:pStyle w:val="Styl3"/>
      </w:pPr>
      <w:r w:rsidRPr="00CA75AB">
        <w:t>Účinky iných liekov na amlodipín</w:t>
      </w:r>
    </w:p>
    <w:p w14:paraId="1B6A4A5F" w14:textId="427212B4" w:rsidR="00C32C3A" w:rsidRPr="00CA75AB" w:rsidRDefault="00B23DDB" w:rsidP="00CA249A">
      <w:pPr>
        <w:pStyle w:val="Normlndobloku"/>
      </w:pPr>
      <w:r w:rsidRPr="00CA75AB">
        <w:t>Inhibítory CYP3A4:</w:t>
      </w:r>
      <w:r w:rsidR="001F0B9A" w:rsidRPr="00CA75AB">
        <w:t xml:space="preserve"> pri súčasnom </w:t>
      </w:r>
      <w:r w:rsidR="003F36A5" w:rsidRPr="00CA75AB">
        <w:t>použití</w:t>
      </w:r>
      <w:r w:rsidR="001F0B9A" w:rsidRPr="00CA75AB">
        <w:t xml:space="preserve"> s </w:t>
      </w:r>
      <w:r w:rsidR="003F36A5" w:rsidRPr="00CA75AB">
        <w:t>inhibítorom</w:t>
      </w:r>
      <w:r w:rsidR="001F0B9A" w:rsidRPr="00CA75AB">
        <w:t xml:space="preserve"> CYP3A4 erytromycínom u mladých </w:t>
      </w:r>
      <w:r w:rsidR="003F36A5" w:rsidRPr="00CA75AB">
        <w:t>pacientov</w:t>
      </w:r>
      <w:r w:rsidR="001F0B9A" w:rsidRPr="00CA75AB">
        <w:t xml:space="preserve"> a s diltiazemom u starších pacientov sa plazmatická koncentrácia amlodipínu zvýšila o 22</w:t>
      </w:r>
      <w:r w:rsidR="00CA75AB">
        <w:t> %</w:t>
      </w:r>
      <w:r w:rsidR="001F0B9A" w:rsidRPr="00CA75AB">
        <w:t xml:space="preserve"> </w:t>
      </w:r>
      <w:r w:rsidR="003F36A5" w:rsidRPr="00CA75AB">
        <w:t>respektíve</w:t>
      </w:r>
      <w:r w:rsidR="001F0B9A" w:rsidRPr="00CA75AB">
        <w:t xml:space="preserve"> 50</w:t>
      </w:r>
      <w:r w:rsidR="00CA75AB">
        <w:t> %</w:t>
      </w:r>
      <w:r w:rsidR="001F0B9A" w:rsidRPr="00CA75AB">
        <w:t xml:space="preserve">. </w:t>
      </w:r>
      <w:r w:rsidR="009966FB" w:rsidRPr="00CA75AB">
        <w:t>K</w:t>
      </w:r>
      <w:r w:rsidR="001F0B9A" w:rsidRPr="00CA75AB">
        <w:t xml:space="preserve">linický význam tohto zistenia je </w:t>
      </w:r>
      <w:r w:rsidR="009966FB" w:rsidRPr="00CA75AB">
        <w:t xml:space="preserve">však </w:t>
      </w:r>
      <w:r w:rsidR="001F0B9A" w:rsidRPr="00CA75AB">
        <w:t>neistý.</w:t>
      </w:r>
      <w:r w:rsidRPr="00CA75AB">
        <w:t xml:space="preserve"> Nie je možné vylúčiť, že silnejšie inhibítory CYP3A4 (t.j.</w:t>
      </w:r>
      <w:r w:rsidR="00446EF1">
        <w:t xml:space="preserve"> </w:t>
      </w:r>
      <w:r w:rsidRPr="00CA75AB">
        <w:t>ketokonazol, itrakonazol, ritonavir)</w:t>
      </w:r>
      <w:r w:rsidR="005D6684" w:rsidRPr="00CA75AB">
        <w:t xml:space="preserve"> </w:t>
      </w:r>
      <w:r w:rsidR="001F0B9A" w:rsidRPr="00CA75AB">
        <w:t xml:space="preserve">môžu </w:t>
      </w:r>
      <w:r w:rsidR="003F36A5" w:rsidRPr="00CA75AB">
        <w:t>zvyšovať plazmatickú</w:t>
      </w:r>
      <w:r w:rsidRPr="00CA75AB">
        <w:t xml:space="preserve"> koncentráciu amlodipínu vo väčšej miere ako diltiazem.</w:t>
      </w:r>
      <w:r w:rsidR="005D6684" w:rsidRPr="00CA75AB">
        <w:t xml:space="preserve"> </w:t>
      </w:r>
      <w:r w:rsidR="003F36A5" w:rsidRPr="00CA75AB">
        <w:t>Amlodipín</w:t>
      </w:r>
      <w:r w:rsidR="001F0B9A" w:rsidRPr="00CA75AB">
        <w:t xml:space="preserve"> </w:t>
      </w:r>
      <w:r w:rsidR="009966FB" w:rsidRPr="00CA75AB">
        <w:t>sa má používať</w:t>
      </w:r>
      <w:r w:rsidR="001F0B9A" w:rsidRPr="00CA75AB">
        <w:t xml:space="preserve"> v kombinácii s</w:t>
      </w:r>
      <w:r w:rsidR="00446EF1">
        <w:t xml:space="preserve"> </w:t>
      </w:r>
      <w:r w:rsidR="003F36A5" w:rsidRPr="00CA75AB">
        <w:t>inhibítormi</w:t>
      </w:r>
      <w:r w:rsidR="001D4876">
        <w:t xml:space="preserve"> </w:t>
      </w:r>
      <w:r w:rsidR="001F0B9A" w:rsidRPr="00CA75AB">
        <w:t xml:space="preserve">CYP3A4 s opatrnosťou. </w:t>
      </w:r>
      <w:r w:rsidR="009966FB" w:rsidRPr="00CA75AB">
        <w:t>Ž</w:t>
      </w:r>
      <w:r w:rsidR="008B180B" w:rsidRPr="00CA75AB">
        <w:t xml:space="preserve">iadne </w:t>
      </w:r>
      <w:r w:rsidR="003F36A5" w:rsidRPr="00CA75AB">
        <w:t>nežiaduce</w:t>
      </w:r>
      <w:r w:rsidR="008B180B" w:rsidRPr="00CA75AB">
        <w:t xml:space="preserve"> účinky súvisiace s týmito interakciami </w:t>
      </w:r>
      <w:r w:rsidR="009966FB" w:rsidRPr="00CA75AB">
        <w:t xml:space="preserve">však </w:t>
      </w:r>
      <w:r w:rsidR="008B180B" w:rsidRPr="00CA75AB">
        <w:t>neboli hláse</w:t>
      </w:r>
      <w:r w:rsidR="003F36A5" w:rsidRPr="00CA75AB">
        <w:t>n</w:t>
      </w:r>
      <w:r w:rsidR="008B180B" w:rsidRPr="00CA75AB">
        <w:t>é.</w:t>
      </w:r>
    </w:p>
    <w:p w14:paraId="2C73FB94" w14:textId="725B52A5" w:rsidR="00B23DDB" w:rsidRPr="00A04C61" w:rsidRDefault="00B23DDB" w:rsidP="00CA249A">
      <w:pPr>
        <w:pStyle w:val="Normlndobloku"/>
      </w:pPr>
      <w:r w:rsidRPr="00CA75AB">
        <w:rPr>
          <w:lang w:val="sk-SK"/>
        </w:rPr>
        <w:t xml:space="preserve">Induktory CYP3A4: </w:t>
      </w:r>
      <w:r w:rsidR="001D4876" w:rsidRPr="00A04C61">
        <w:t>Pri súbežnom podávaní známych induktorov CYP3A4 sa môže meniť plazmatická koncentrácia amlodipínu. Preto sa v</w:t>
      </w:r>
      <w:r w:rsidR="00F936D3" w:rsidRPr="00A04C61">
        <w:t> </w:t>
      </w:r>
      <w:r w:rsidR="001D4876" w:rsidRPr="00A04C61">
        <w:t xml:space="preserve">prípade súbežného podávania najmä so silnými induktormi </w:t>
      </w:r>
      <w:r w:rsidR="001D4876" w:rsidRPr="00A04C61">
        <w:lastRenderedPageBreak/>
        <w:t xml:space="preserve">CYP3A4 (napr. rifampicínom, </w:t>
      </w:r>
      <w:r w:rsidR="004417EE" w:rsidRPr="00A04C61">
        <w:rPr>
          <w:i/>
          <w:lang w:val="sk-SK"/>
        </w:rPr>
        <w:t>H</w:t>
      </w:r>
      <w:r w:rsidR="001D4876" w:rsidRPr="00A04C61">
        <w:rPr>
          <w:i/>
        </w:rPr>
        <w:t>ypericum perforatum</w:t>
      </w:r>
      <w:r w:rsidR="001D4876" w:rsidRPr="00A04C61">
        <w:t xml:space="preserve"> – Ľubovníkom bodkovaným) </w:t>
      </w:r>
      <w:r w:rsidR="00F464C6" w:rsidRPr="00A04C61">
        <w:rPr>
          <w:lang w:val="sk-SK"/>
        </w:rPr>
        <w:t xml:space="preserve">odporúča </w:t>
      </w:r>
      <w:r w:rsidR="001D4876" w:rsidRPr="00A04C61">
        <w:t>monitorovať krvný tlak a</w:t>
      </w:r>
      <w:r w:rsidR="00F936D3" w:rsidRPr="00A04C61">
        <w:t> </w:t>
      </w:r>
      <w:r w:rsidR="001D4876" w:rsidRPr="00A04C61">
        <w:t>zvážiť reguláci</w:t>
      </w:r>
      <w:r w:rsidR="00F464C6" w:rsidRPr="00A04C61">
        <w:rPr>
          <w:lang w:val="sk-SK"/>
        </w:rPr>
        <w:t>u</w:t>
      </w:r>
      <w:r w:rsidR="001D4876" w:rsidRPr="00A04C61">
        <w:t xml:space="preserve"> dávkovania počas súbežnej liečby aj po nej.</w:t>
      </w:r>
      <w:r w:rsidR="00F464C6" w:rsidRPr="00A04C61">
        <w:rPr>
          <w:lang w:val="sk-SK"/>
        </w:rPr>
        <w:t xml:space="preserve"> </w:t>
      </w:r>
      <w:r w:rsidR="003F36A5" w:rsidRPr="00A04C61">
        <w:t>V</w:t>
      </w:r>
      <w:r w:rsidR="008B180B" w:rsidRPr="00A04C61">
        <w:t xml:space="preserve"> klinických </w:t>
      </w:r>
      <w:r w:rsidR="00C32C3A" w:rsidRPr="00A04C61">
        <w:t xml:space="preserve">interakčných </w:t>
      </w:r>
      <w:r w:rsidR="008B180B" w:rsidRPr="00A04C61">
        <w:t xml:space="preserve">štúdiách </w:t>
      </w:r>
      <w:r w:rsidR="003F36A5" w:rsidRPr="00A04C61">
        <w:t>grapefruitový</w:t>
      </w:r>
      <w:r w:rsidR="008B180B" w:rsidRPr="00A04C61">
        <w:t xml:space="preserve"> džús, cimetidin, hliník/horčík (antacidum) a sildenafil neovplyvňovali farmakokinetiku </w:t>
      </w:r>
      <w:r w:rsidR="003F36A5" w:rsidRPr="00A04C61">
        <w:t>amlodipínu</w:t>
      </w:r>
      <w:r w:rsidR="008B180B" w:rsidRPr="00A04C61">
        <w:t>.</w:t>
      </w:r>
    </w:p>
    <w:p w14:paraId="78872777" w14:textId="12D0F438" w:rsidR="00AD3C6B" w:rsidRPr="00A04C61" w:rsidRDefault="00AD3C6B" w:rsidP="00CA249A">
      <w:pPr>
        <w:pStyle w:val="Normlndobloku"/>
      </w:pPr>
      <w:r w:rsidRPr="00A04C61">
        <w:t xml:space="preserve">Pri </w:t>
      </w:r>
      <w:r w:rsidR="004734A5" w:rsidRPr="00A04C61">
        <w:t>súbež</w:t>
      </w:r>
      <w:r w:rsidRPr="00A04C61">
        <w:t>nom užívaní takrolimu</w:t>
      </w:r>
      <w:r w:rsidR="004734A5" w:rsidRPr="00A04C61">
        <w:t>su</w:t>
      </w:r>
      <w:r w:rsidRPr="00A04C61">
        <w:t xml:space="preserve"> </w:t>
      </w:r>
      <w:r w:rsidR="004734A5" w:rsidRPr="00A04C61">
        <w:t xml:space="preserve">spolu </w:t>
      </w:r>
      <w:r w:rsidRPr="00A04C61">
        <w:t>s amlodipínom existuje riziko zvýšenej hladiny takrolimu</w:t>
      </w:r>
      <w:r w:rsidR="004734A5" w:rsidRPr="00A04C61">
        <w:t>su</w:t>
      </w:r>
      <w:r w:rsidRPr="00A04C61">
        <w:t xml:space="preserve"> v krvi. Aby sa zamedzilo toxicite takrolimu</w:t>
      </w:r>
      <w:r w:rsidR="004734A5" w:rsidRPr="00A04C61">
        <w:t>su</w:t>
      </w:r>
      <w:r w:rsidRPr="00A04C61">
        <w:t xml:space="preserve">, </w:t>
      </w:r>
      <w:r w:rsidR="00220060" w:rsidRPr="00A04C61">
        <w:t>pri podávaní amlodipínu u</w:t>
      </w:r>
      <w:r w:rsidRPr="00A04C61">
        <w:t> pacientov liečených takrolim</w:t>
      </w:r>
      <w:r w:rsidR="004734A5" w:rsidRPr="00A04C61">
        <w:t>us</w:t>
      </w:r>
      <w:r w:rsidRPr="00A04C61">
        <w:t xml:space="preserve">om </w:t>
      </w:r>
      <w:r w:rsidR="00220060" w:rsidRPr="00A04C61">
        <w:t xml:space="preserve">sa vyžaduje </w:t>
      </w:r>
      <w:r w:rsidRPr="00A04C61">
        <w:t>monitorova</w:t>
      </w:r>
      <w:r w:rsidR="00220060" w:rsidRPr="00A04C61">
        <w:t>nie</w:t>
      </w:r>
      <w:r w:rsidRPr="00A04C61">
        <w:t xml:space="preserve"> hlad</w:t>
      </w:r>
      <w:r w:rsidR="00220060" w:rsidRPr="00A04C61">
        <w:t>ín</w:t>
      </w:r>
      <w:r w:rsidRPr="00A04C61">
        <w:t xml:space="preserve"> takrolimu</w:t>
      </w:r>
      <w:r w:rsidR="00220060" w:rsidRPr="00A04C61">
        <w:t>su</w:t>
      </w:r>
      <w:r w:rsidRPr="00A04C61">
        <w:t xml:space="preserve"> v krvi a v prípade potreby upraviť dávkovanie takrolimu</w:t>
      </w:r>
      <w:r w:rsidR="00220060" w:rsidRPr="00A04C61">
        <w:t>su</w:t>
      </w:r>
      <w:r w:rsidRPr="00A04C61">
        <w:t>.</w:t>
      </w:r>
    </w:p>
    <w:p w14:paraId="0C644DAA" w14:textId="095C8349" w:rsidR="00F464C6" w:rsidRPr="00A04C61" w:rsidRDefault="00AD3C6B" w:rsidP="00CA249A">
      <w:pPr>
        <w:pStyle w:val="Normlndobloku"/>
      </w:pPr>
      <w:r w:rsidRPr="00A04C61">
        <w:t>Klaritromycín je inhibítor CYP3A4. U pacientov užívajúcich klaritromycín sú</w:t>
      </w:r>
      <w:r w:rsidR="00220060" w:rsidRPr="00A04C61">
        <w:rPr>
          <w:lang w:val="sk-SK"/>
        </w:rPr>
        <w:t>bež</w:t>
      </w:r>
      <w:r w:rsidRPr="00A04C61">
        <w:t xml:space="preserve">ne s amlodipínom existuje zvýšené riziko </w:t>
      </w:r>
      <w:r w:rsidR="00E42519" w:rsidRPr="00A04C61">
        <w:rPr>
          <w:lang w:val="sk-SK"/>
        </w:rPr>
        <w:t xml:space="preserve">vzniku </w:t>
      </w:r>
      <w:r w:rsidRPr="00A04C61">
        <w:t>hypotenzie. Ak je amlodipín podávaný sú</w:t>
      </w:r>
      <w:r w:rsidR="00220060" w:rsidRPr="00A04C61">
        <w:rPr>
          <w:lang w:val="sk-SK"/>
        </w:rPr>
        <w:t>bež</w:t>
      </w:r>
      <w:r w:rsidRPr="00A04C61">
        <w:t>ne s klaritromycínom, odporúča sa dôkladné pozorovanie pacientov.</w:t>
      </w:r>
    </w:p>
    <w:p w14:paraId="7F041BBD" w14:textId="77777777" w:rsidR="00B23DDB" w:rsidRPr="00CA75AB" w:rsidRDefault="00B23DDB" w:rsidP="00C32C3A">
      <w:pPr>
        <w:pStyle w:val="Styl3"/>
      </w:pPr>
      <w:r w:rsidRPr="00A04C61">
        <w:t>Účinky amlodipínu na iné lieky</w:t>
      </w:r>
    </w:p>
    <w:p w14:paraId="5BA92F93" w14:textId="77777777" w:rsidR="00DF0741" w:rsidRDefault="008B180B" w:rsidP="00CA249A">
      <w:pPr>
        <w:pStyle w:val="Normlndobloku"/>
      </w:pPr>
      <w:r w:rsidRPr="00CA75AB">
        <w:t xml:space="preserve">Antihypertenzné účinky amlodipínu sa sčítajú s účinkami iných </w:t>
      </w:r>
      <w:r w:rsidR="00C32C3A" w:rsidRPr="00CA75AB">
        <w:t>liekov</w:t>
      </w:r>
      <w:r w:rsidRPr="00CA75AB">
        <w:t xml:space="preserve"> znižujúcich krvný tlak.</w:t>
      </w:r>
    </w:p>
    <w:p w14:paraId="14DEBE21" w14:textId="77777777" w:rsidR="00B23DDB" w:rsidRPr="00CA75AB" w:rsidRDefault="00B23DDB" w:rsidP="00CA249A">
      <w:pPr>
        <w:pStyle w:val="Normlndobloku"/>
      </w:pPr>
      <w:r w:rsidRPr="00CA75AB">
        <w:t xml:space="preserve">V klinických interakčných štúdiách amlodipín neovplyvňoval farmakokinetiku atorvastatínu, digoxínu, </w:t>
      </w:r>
      <w:r w:rsidR="003F36A5" w:rsidRPr="00CA75AB">
        <w:t>etanolu</w:t>
      </w:r>
      <w:r w:rsidR="008B180B" w:rsidRPr="00CA75AB">
        <w:t xml:space="preserve"> (alkoholu), </w:t>
      </w:r>
      <w:r w:rsidRPr="00CA75AB">
        <w:t>warfarínu alebo cyklosporínu.</w:t>
      </w:r>
    </w:p>
    <w:p w14:paraId="4030B5CE" w14:textId="77777777" w:rsidR="00B23DDB" w:rsidRPr="00CA75AB" w:rsidRDefault="00B23DDB" w:rsidP="00CA249A">
      <w:pPr>
        <w:pStyle w:val="Normlndobloku"/>
      </w:pPr>
      <w:r w:rsidRPr="00CA75AB">
        <w:t>Amlodipín neovplyvňuje výsledky laboratórnych vyšetrení.</w:t>
      </w:r>
    </w:p>
    <w:p w14:paraId="27BB740F" w14:textId="566F502A" w:rsidR="00B23DDB" w:rsidRPr="00CA75AB" w:rsidRDefault="00B23DDB" w:rsidP="00CE70E9">
      <w:pPr>
        <w:pStyle w:val="Styl2"/>
      </w:pPr>
      <w:r w:rsidRPr="00CA75AB">
        <w:t>4.6</w:t>
      </w:r>
      <w:r w:rsidRPr="00CA75AB">
        <w:tab/>
      </w:r>
      <w:r w:rsidR="00A65906">
        <w:t>Fertilita, g</w:t>
      </w:r>
      <w:r w:rsidRPr="00CA75AB">
        <w:t>ravidita a</w:t>
      </w:r>
      <w:r w:rsidR="00446EF1">
        <w:t xml:space="preserve"> </w:t>
      </w:r>
      <w:r w:rsidRPr="00CA75AB">
        <w:t>laktácia</w:t>
      </w:r>
    </w:p>
    <w:p w14:paraId="5D601D38" w14:textId="77777777" w:rsidR="00B23DDB" w:rsidRPr="00CA75AB" w:rsidRDefault="00B23DDB" w:rsidP="00C32C3A">
      <w:pPr>
        <w:pStyle w:val="Styl3"/>
      </w:pPr>
      <w:r w:rsidRPr="00CA75AB">
        <w:t>Gravidita</w:t>
      </w:r>
    </w:p>
    <w:p w14:paraId="4B4DC8E8" w14:textId="77777777" w:rsidR="008B180B" w:rsidRPr="00CA75AB" w:rsidRDefault="008B180B" w:rsidP="00CA249A">
      <w:pPr>
        <w:pStyle w:val="Normlndobloku"/>
      </w:pPr>
      <w:r w:rsidRPr="00CA75AB">
        <w:t>Bezpečnosť amlodipínu v gravidite u človeka nebola stanovená.</w:t>
      </w:r>
    </w:p>
    <w:p w14:paraId="022144C7" w14:textId="6DA7E485" w:rsidR="008B180B" w:rsidRPr="00CA75AB" w:rsidRDefault="008B180B" w:rsidP="00CA249A">
      <w:pPr>
        <w:pStyle w:val="Normlndobloku"/>
      </w:pPr>
      <w:r w:rsidRPr="00CA75AB">
        <w:t>Reprodukčn</w:t>
      </w:r>
      <w:r w:rsidR="00C32C3A" w:rsidRPr="00CA75AB">
        <w:t>é</w:t>
      </w:r>
      <w:r w:rsidRPr="00CA75AB">
        <w:t xml:space="preserve"> štúdi</w:t>
      </w:r>
      <w:r w:rsidR="00C32C3A" w:rsidRPr="00CA75AB">
        <w:t>e</w:t>
      </w:r>
      <w:r w:rsidRPr="00CA75AB">
        <w:t xml:space="preserve"> u </w:t>
      </w:r>
      <w:r w:rsidR="003F36A5" w:rsidRPr="00CA75AB">
        <w:t>potkanov</w:t>
      </w:r>
      <w:r w:rsidRPr="00CA75AB">
        <w:t xml:space="preserve"> nepreukázali toxicitu s výnimkou oneskoreného dátumu pôrodu a predlženia doby p</w:t>
      </w:r>
      <w:r w:rsidR="00E6207F" w:rsidRPr="00CA75AB">
        <w:t>ôrodu pri dávkach 50</w:t>
      </w:r>
      <w:r w:rsidR="002D36CD">
        <w:t>-</w:t>
      </w:r>
      <w:r w:rsidR="00E6207F" w:rsidRPr="00CA75AB">
        <w:t>krát vyšších ako je maximáln</w:t>
      </w:r>
      <w:r w:rsidR="00591E3C">
        <w:t>a</w:t>
      </w:r>
      <w:r w:rsidR="00E6207F" w:rsidRPr="00CA75AB">
        <w:t xml:space="preserve"> doporučená dávka pre človeka.</w:t>
      </w:r>
    </w:p>
    <w:p w14:paraId="51582743" w14:textId="77777777" w:rsidR="00E6207F" w:rsidRPr="00CA75AB" w:rsidRDefault="00E6207F" w:rsidP="00CA249A">
      <w:pPr>
        <w:pStyle w:val="Normlndobloku"/>
      </w:pPr>
      <w:r w:rsidRPr="00CA75AB">
        <w:t xml:space="preserve">Použitie v tehotenstve sa </w:t>
      </w:r>
      <w:r w:rsidR="003F36A5" w:rsidRPr="00CA75AB">
        <w:t>o</w:t>
      </w:r>
      <w:r w:rsidRPr="00CA75AB">
        <w:t>dpor</w:t>
      </w:r>
      <w:r w:rsidR="003F36A5" w:rsidRPr="00CA75AB">
        <w:t>úča</w:t>
      </w:r>
      <w:r w:rsidR="00C32C3A" w:rsidRPr="00CA75AB">
        <w:t>,</w:t>
      </w:r>
      <w:r w:rsidRPr="00CA75AB">
        <w:t xml:space="preserve"> len ak neexistuje bezpečnejšia alternatíva a choroba sama o sebe prináša vyššie riziko pre matku i plod.</w:t>
      </w:r>
    </w:p>
    <w:p w14:paraId="3DE70C2F" w14:textId="77777777" w:rsidR="00B23DDB" w:rsidRPr="00CA75AB" w:rsidRDefault="00A65906" w:rsidP="00B91360">
      <w:pPr>
        <w:pStyle w:val="Styl3"/>
      </w:pPr>
      <w:r>
        <w:t>Dojčenie</w:t>
      </w:r>
    </w:p>
    <w:p w14:paraId="08385AAA" w14:textId="245C6D31" w:rsidR="00591E3C" w:rsidRPr="00A04C61" w:rsidRDefault="001D4876" w:rsidP="00CA249A">
      <w:pPr>
        <w:pStyle w:val="Normlndobloku"/>
      </w:pPr>
      <w:r w:rsidRPr="00A04C61">
        <w:t>Amlodipín sa vylučuje do ľudského materského mlieka. Podiel dávky podanej matke, ktorý dostane dieťa, sa odhadol s</w:t>
      </w:r>
      <w:r w:rsidR="00807C41" w:rsidRPr="00A04C61">
        <w:t> </w:t>
      </w:r>
      <w:r w:rsidRPr="00A04C61">
        <w:t>interkvartilovým rozsahom 3 až 7</w:t>
      </w:r>
      <w:r w:rsidR="00807C41" w:rsidRPr="00A04C61">
        <w:t> </w:t>
      </w:r>
      <w:r w:rsidRPr="00A04C61">
        <w:t>%, s</w:t>
      </w:r>
      <w:r w:rsidR="00807C41" w:rsidRPr="00A04C61">
        <w:t> </w:t>
      </w:r>
      <w:r w:rsidRPr="00A04C61">
        <w:t>maximom 15</w:t>
      </w:r>
      <w:r w:rsidR="00807C41" w:rsidRPr="00A04C61">
        <w:t> </w:t>
      </w:r>
      <w:r w:rsidRPr="00A04C61">
        <w:t>%. Účinok amlodipínu na deti nie je známy.</w:t>
      </w:r>
    </w:p>
    <w:p w14:paraId="74FAEBD2" w14:textId="77777777" w:rsidR="004E3134" w:rsidRPr="00A04C61" w:rsidRDefault="00E6207F" w:rsidP="00CA249A">
      <w:pPr>
        <w:pStyle w:val="Normlndobloku"/>
      </w:pPr>
      <w:r w:rsidRPr="00A04C61">
        <w:t xml:space="preserve">Pri rozhodovaní, či pokračovať/prerušiť laktáciu alebo pokračovať/prerušiť liečbu amlodipínom, je treba vziať </w:t>
      </w:r>
      <w:r w:rsidR="00E01A05" w:rsidRPr="00A04C61">
        <w:t>do úvahy</w:t>
      </w:r>
      <w:r w:rsidRPr="00A04C61">
        <w:t xml:space="preserve"> prínos laktácie pre dieťa a prínos liečby amlodipínom pre matku.</w:t>
      </w:r>
    </w:p>
    <w:p w14:paraId="5935BCBE" w14:textId="0ABADF0D" w:rsidR="00B23DDB" w:rsidRPr="00A04C61" w:rsidRDefault="00B23DDB" w:rsidP="00E6207F">
      <w:pPr>
        <w:pStyle w:val="Styl2"/>
      </w:pPr>
      <w:r w:rsidRPr="00A04C61">
        <w:t>4.7</w:t>
      </w:r>
      <w:r w:rsidRPr="00A04C61">
        <w:tab/>
        <w:t>Ovplyvnenie schopnosti viesť vozidlá a</w:t>
      </w:r>
      <w:r w:rsidR="00446EF1" w:rsidRPr="00A04C61">
        <w:t xml:space="preserve"> </w:t>
      </w:r>
      <w:r w:rsidRPr="00A04C61">
        <w:t>obsluhovať stroje</w:t>
      </w:r>
    </w:p>
    <w:p w14:paraId="7D969CC3" w14:textId="5EFCAB7E" w:rsidR="00B23DDB" w:rsidRPr="00A04C61" w:rsidRDefault="00B23DDB" w:rsidP="00CA249A">
      <w:pPr>
        <w:pStyle w:val="Normlndobloku"/>
      </w:pPr>
      <w:r w:rsidRPr="00A04C61">
        <w:t>Amlodipín</w:t>
      </w:r>
      <w:r w:rsidR="00E6207F" w:rsidRPr="00A04C61">
        <w:t xml:space="preserve"> môže mať zanedbateľný alebo mierny vplyv</w:t>
      </w:r>
      <w:r w:rsidR="005D6684" w:rsidRPr="00A04C61">
        <w:t xml:space="preserve"> </w:t>
      </w:r>
      <w:r w:rsidRPr="00A04C61">
        <w:t>na schopnosť viesť vozidlá a</w:t>
      </w:r>
      <w:r w:rsidR="00446EF1" w:rsidRPr="00A04C61">
        <w:t xml:space="preserve"> </w:t>
      </w:r>
      <w:r w:rsidRPr="00A04C61">
        <w:t xml:space="preserve">obsluhovať stroje. </w:t>
      </w:r>
      <w:r w:rsidR="00E01A05" w:rsidRPr="00A04C61">
        <w:t>Ak</w:t>
      </w:r>
      <w:r w:rsidR="00E6207F" w:rsidRPr="00A04C61">
        <w:t xml:space="preserve"> pacienti užívajúci amlodipín trpia </w:t>
      </w:r>
      <w:r w:rsidRPr="00A04C61">
        <w:t>závrat</w:t>
      </w:r>
      <w:r w:rsidR="00E6207F" w:rsidRPr="00A04C61">
        <w:t>om</w:t>
      </w:r>
      <w:r w:rsidRPr="00A04C61">
        <w:t>, boles</w:t>
      </w:r>
      <w:r w:rsidR="003F36A5" w:rsidRPr="00A04C61">
        <w:t>ť</w:t>
      </w:r>
      <w:r w:rsidR="00E6207F" w:rsidRPr="00A04C61">
        <w:t>ou</w:t>
      </w:r>
      <w:r w:rsidR="003F36A5" w:rsidRPr="00A04C61">
        <w:t xml:space="preserve"> </w:t>
      </w:r>
      <w:r w:rsidRPr="00A04C61">
        <w:t>hlavy, únav</w:t>
      </w:r>
      <w:r w:rsidR="00E6207F" w:rsidRPr="00A04C61">
        <w:t>ou</w:t>
      </w:r>
      <w:r w:rsidRPr="00A04C61">
        <w:t xml:space="preserve"> alebo nauze</w:t>
      </w:r>
      <w:r w:rsidR="00E6207F" w:rsidRPr="00A04C61">
        <w:t>o</w:t>
      </w:r>
      <w:r w:rsidRPr="00A04C61">
        <w:t>u</w:t>
      </w:r>
      <w:r w:rsidR="00E01A05" w:rsidRPr="00A04C61">
        <w:t>,</w:t>
      </w:r>
      <w:r w:rsidRPr="00A04C61">
        <w:t xml:space="preserve"> môže byť narušená </w:t>
      </w:r>
      <w:r w:rsidR="00E6207F" w:rsidRPr="00A04C61">
        <w:t xml:space="preserve">ich </w:t>
      </w:r>
      <w:r w:rsidRPr="00A04C61">
        <w:t>schopnosť reagovať.</w:t>
      </w:r>
    </w:p>
    <w:p w14:paraId="1608D995" w14:textId="77777777" w:rsidR="00B23DDB" w:rsidRPr="00A04C61" w:rsidRDefault="00B23DDB" w:rsidP="00CE70E9">
      <w:pPr>
        <w:pStyle w:val="Styl2"/>
      </w:pPr>
      <w:r w:rsidRPr="00A04C61">
        <w:t>4.8</w:t>
      </w:r>
      <w:r w:rsidRPr="00A04C61">
        <w:tab/>
        <w:t>Nežiaduce účinky</w:t>
      </w:r>
    </w:p>
    <w:p w14:paraId="6C8FDC9A" w14:textId="1E4BEEB2" w:rsidR="00B23DDB" w:rsidRPr="00CA75AB" w:rsidRDefault="003F36A5" w:rsidP="00CA249A">
      <w:pPr>
        <w:pStyle w:val="Normlndobloku"/>
      </w:pPr>
      <w:r w:rsidRPr="00A04C61">
        <w:t>Počas</w:t>
      </w:r>
      <w:r w:rsidR="00E6207F" w:rsidRPr="00A04C61">
        <w:t xml:space="preserve"> liečby amlodipínom boli pozorované a hlásené nasledujúce </w:t>
      </w:r>
      <w:r w:rsidRPr="00A04C61">
        <w:t>nežiaduce</w:t>
      </w:r>
      <w:r w:rsidR="00E6207F" w:rsidRPr="00A04C61">
        <w:t xml:space="preserve"> účinky s frekvenciami definovanými takto: veľmi časté</w:t>
      </w:r>
      <w:r w:rsidR="00DF0741" w:rsidRPr="00A04C61">
        <w:t xml:space="preserve"> </w:t>
      </w:r>
      <w:r w:rsidR="00E6207F" w:rsidRPr="00A04C61">
        <w:t xml:space="preserve">(≥1/10); časté (≥1/100 až &lt;1/10), </w:t>
      </w:r>
      <w:r w:rsidRPr="00A04C61">
        <w:t>menej</w:t>
      </w:r>
      <w:r w:rsidR="00E6207F" w:rsidRPr="00A04C61">
        <w:t xml:space="preserve"> časté (≥1/1000 až &lt;1/100), zriedkavé (≥1/10000 až &lt;1/1000); </w:t>
      </w:r>
      <w:r w:rsidRPr="00A04C61">
        <w:t>veľmi</w:t>
      </w:r>
      <w:r w:rsidR="00E6207F" w:rsidRPr="00A04C61">
        <w:t xml:space="preserve"> zriedkavé (&lt;1/10000)</w:t>
      </w:r>
      <w:r w:rsidR="002D36CD" w:rsidRPr="00A04C61">
        <w:t>, neznáme (z dostupn</w:t>
      </w:r>
      <w:r w:rsidR="00EB2273" w:rsidRPr="00A04C61">
        <w:t>ých údajov nemožno určiť</w:t>
      </w:r>
      <w:r w:rsidR="002D36CD" w:rsidRPr="00A04C61">
        <w:t>).</w:t>
      </w:r>
    </w:p>
    <w:p w14:paraId="660EF7FA" w14:textId="77777777" w:rsidR="00171C6D" w:rsidRPr="00CA75AB" w:rsidRDefault="00171C6D" w:rsidP="00CA249A">
      <w:pPr>
        <w:pStyle w:val="Normlndobloku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2282"/>
        <w:gridCol w:w="4279"/>
      </w:tblGrid>
      <w:tr w:rsidR="00E6207F" w:rsidRPr="00CA75AB" w14:paraId="577FA4FB" w14:textId="77777777" w:rsidTr="001D4876">
        <w:trPr>
          <w:trHeight w:val="640"/>
          <w:tblHeader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31B9" w14:textId="77777777" w:rsidR="00E6207F" w:rsidRPr="00CA75AB" w:rsidRDefault="00E6207F" w:rsidP="00171C6D">
            <w:pPr>
              <w:rPr>
                <w:b/>
              </w:rPr>
            </w:pPr>
            <w:r w:rsidRPr="00CA75AB">
              <w:rPr>
                <w:b/>
              </w:rPr>
              <w:t>Orgánový systém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25E" w14:textId="77777777" w:rsidR="00E6207F" w:rsidRPr="00CA75AB" w:rsidRDefault="00E6207F" w:rsidP="00171C6D">
            <w:pPr>
              <w:rPr>
                <w:b/>
              </w:rPr>
            </w:pPr>
            <w:r w:rsidRPr="00CA75AB">
              <w:rPr>
                <w:b/>
              </w:rPr>
              <w:t>Frekvencia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A05" w14:textId="77777777" w:rsidR="00E6207F" w:rsidRPr="00CA75AB" w:rsidRDefault="0066431E" w:rsidP="00171C6D">
            <w:pPr>
              <w:rPr>
                <w:b/>
              </w:rPr>
            </w:pPr>
            <w:r w:rsidRPr="00CA75AB">
              <w:rPr>
                <w:b/>
              </w:rPr>
              <w:t>Nežiaduce</w:t>
            </w:r>
            <w:r w:rsidR="00E6207F" w:rsidRPr="00CA75AB">
              <w:rPr>
                <w:b/>
              </w:rPr>
              <w:t xml:space="preserve"> účinky</w:t>
            </w:r>
          </w:p>
        </w:tc>
      </w:tr>
      <w:tr w:rsidR="00171C6D" w:rsidRPr="00CA75AB" w14:paraId="2A024594" w14:textId="77777777" w:rsidTr="001D487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911FD" w14:textId="77777777" w:rsidR="00171C6D" w:rsidRPr="00CA75AB" w:rsidRDefault="00171C6D" w:rsidP="00171C6D">
            <w:r w:rsidRPr="00CA75AB">
              <w:t>Poruchy krvi a lymfatického systému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40AD3" w14:textId="77777777" w:rsidR="00171C6D" w:rsidRPr="00CA75AB" w:rsidRDefault="00171C6D" w:rsidP="00171C6D">
            <w:r w:rsidRPr="00CA75AB">
              <w:t>Veľmi zriedkavé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01A6C" w14:textId="77777777" w:rsidR="00171C6D" w:rsidRPr="00CA75AB" w:rsidRDefault="00171C6D" w:rsidP="00171C6D">
            <w:r w:rsidRPr="00CA75AB">
              <w:t>Leukocytopénia, trombocytopénia</w:t>
            </w:r>
          </w:p>
        </w:tc>
      </w:tr>
      <w:tr w:rsidR="00E6207F" w:rsidRPr="00CA75AB" w14:paraId="2326C0C0" w14:textId="77777777" w:rsidTr="001D487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3F5EA" w14:textId="77777777" w:rsidR="00E6207F" w:rsidRPr="00CA75AB" w:rsidRDefault="00E6207F" w:rsidP="00171C6D">
            <w:r w:rsidRPr="00CA75AB">
              <w:lastRenderedPageBreak/>
              <w:t xml:space="preserve">Poruchy </w:t>
            </w:r>
            <w:r w:rsidR="0066431E" w:rsidRPr="00CA75AB">
              <w:t>imunitného</w:t>
            </w:r>
            <w:r w:rsidRPr="00CA75AB">
              <w:t xml:space="preserve"> systému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DFDC" w14:textId="77777777" w:rsidR="00E6207F" w:rsidRPr="00CA75AB" w:rsidRDefault="0066431E" w:rsidP="00171C6D">
            <w:r w:rsidRPr="00CA75AB">
              <w:t>Veľmi zriedkavé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CA32" w14:textId="77777777" w:rsidR="00E6207F" w:rsidRPr="00CA75AB" w:rsidRDefault="00E6207F" w:rsidP="00171C6D">
            <w:r w:rsidRPr="00CA75AB">
              <w:t xml:space="preserve">Alergické </w:t>
            </w:r>
            <w:r w:rsidR="0066431E" w:rsidRPr="00CA75AB">
              <w:t>reakcie</w:t>
            </w:r>
          </w:p>
        </w:tc>
      </w:tr>
      <w:tr w:rsidR="00E6207F" w:rsidRPr="00CA75AB" w14:paraId="14F447BA" w14:textId="77777777" w:rsidTr="001D4876">
        <w:trPr>
          <w:trHeight w:val="470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D3E66" w14:textId="77777777" w:rsidR="00E6207F" w:rsidRPr="00CA75AB" w:rsidRDefault="00E6207F" w:rsidP="00171C6D">
            <w:r w:rsidRPr="00CA75AB">
              <w:t xml:space="preserve">Poruchy </w:t>
            </w:r>
            <w:r w:rsidR="0066431E" w:rsidRPr="00CA75AB">
              <w:t>metabolizmu</w:t>
            </w:r>
            <w:r w:rsidRPr="00CA75AB">
              <w:t xml:space="preserve"> a</w:t>
            </w:r>
            <w:r w:rsidR="00171C6D" w:rsidRPr="00CA75AB">
              <w:t> </w:t>
            </w:r>
            <w:r w:rsidRPr="00CA75AB">
              <w:t>výživy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F8ED2" w14:textId="77777777" w:rsidR="00E6207F" w:rsidRPr="00CA75AB" w:rsidRDefault="0066431E" w:rsidP="00171C6D">
            <w:r w:rsidRPr="00CA75AB">
              <w:t>Veľmi zriedkavé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6D7DE" w14:textId="77777777" w:rsidR="00E6207F" w:rsidRPr="00CA75AB" w:rsidRDefault="00E6207F" w:rsidP="00171C6D">
            <w:r w:rsidRPr="00CA75AB">
              <w:t>Hyperglykémi</w:t>
            </w:r>
            <w:r w:rsidR="00E01A05" w:rsidRPr="00CA75AB">
              <w:t>a</w:t>
            </w:r>
          </w:p>
        </w:tc>
      </w:tr>
      <w:tr w:rsidR="00171C6D" w:rsidRPr="00CA75AB" w14:paraId="105B40BB" w14:textId="77777777" w:rsidTr="001D4876">
        <w:trPr>
          <w:trHeight w:val="422"/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06982" w14:textId="77777777" w:rsidR="00171C6D" w:rsidRPr="00CA75AB" w:rsidRDefault="00171C6D" w:rsidP="00171C6D">
            <w:r w:rsidRPr="00CA75AB">
              <w:t>Psychiatrické poruchy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C903F" w14:textId="77777777" w:rsidR="00171C6D" w:rsidRPr="00CA75AB" w:rsidRDefault="00171C6D" w:rsidP="00171C6D">
            <w:r w:rsidRPr="00CA75AB">
              <w:t>Menej 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689A5" w14:textId="77777777" w:rsidR="00171C6D" w:rsidRPr="00CA75AB" w:rsidRDefault="00171C6D" w:rsidP="00171C6D">
            <w:r w:rsidRPr="00CA75AB">
              <w:t>Nespavosť, zmeny nálady (vrátane úzkosti), depresie</w:t>
            </w:r>
          </w:p>
        </w:tc>
      </w:tr>
      <w:tr w:rsidR="00171C6D" w:rsidRPr="00CA75AB" w14:paraId="28F2349C" w14:textId="77777777" w:rsidTr="001D4876">
        <w:trPr>
          <w:trHeight w:val="315"/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F0BD8" w14:textId="77777777" w:rsidR="00171C6D" w:rsidRPr="00CA75AB" w:rsidRDefault="00171C6D" w:rsidP="00171C6D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62300" w14:textId="77777777" w:rsidR="00171C6D" w:rsidRPr="00CA75AB" w:rsidRDefault="00171C6D" w:rsidP="00171C6D">
            <w:r w:rsidRPr="00CA75AB">
              <w:t>Zriedkavé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9A66A" w14:textId="77777777" w:rsidR="00171C6D" w:rsidRPr="00CA75AB" w:rsidRDefault="00171C6D" w:rsidP="00171C6D">
            <w:r w:rsidRPr="00CA75AB">
              <w:t>Zmätenosť</w:t>
            </w:r>
          </w:p>
        </w:tc>
      </w:tr>
      <w:tr w:rsidR="00171C6D" w:rsidRPr="00CA75AB" w14:paraId="5D651C6A" w14:textId="77777777" w:rsidTr="001D4876">
        <w:trPr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90123" w14:textId="77777777" w:rsidR="00171C6D" w:rsidRPr="00CA75AB" w:rsidRDefault="00171C6D" w:rsidP="00171C6D">
            <w:r w:rsidRPr="00CA75AB">
              <w:t>Poruchy nervového systému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D8BF6" w14:textId="77777777" w:rsidR="00171C6D" w:rsidRPr="00CA75AB" w:rsidRDefault="00171C6D" w:rsidP="00171C6D">
            <w:r w:rsidRPr="00CA75AB">
              <w:t>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F13BE" w14:textId="77777777" w:rsidR="00171C6D" w:rsidRPr="00CA75AB" w:rsidRDefault="00171C6D" w:rsidP="00171C6D">
            <w:r w:rsidRPr="00CA75AB">
              <w:t>Ospalosť, závrat, bolesť hlavy (najmä na začiatku liečby)</w:t>
            </w:r>
          </w:p>
        </w:tc>
      </w:tr>
      <w:tr w:rsidR="00E6207F" w:rsidRPr="00CA75AB" w14:paraId="4F75D71C" w14:textId="77777777" w:rsidTr="001D4876">
        <w:trPr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FF7C9" w14:textId="77777777" w:rsidR="00E6207F" w:rsidRPr="00CA75AB" w:rsidRDefault="00E6207F" w:rsidP="00171C6D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55E" w14:textId="77777777" w:rsidR="00E6207F" w:rsidRPr="00CA75AB" w:rsidRDefault="0066431E" w:rsidP="00171C6D">
            <w:r w:rsidRPr="00CA75AB">
              <w:t>Menej 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E53B" w14:textId="77777777" w:rsidR="00E6207F" w:rsidRPr="00CA75AB" w:rsidRDefault="00E6207F" w:rsidP="00171C6D">
            <w:r w:rsidRPr="00CA75AB">
              <w:t>T</w:t>
            </w:r>
            <w:r w:rsidR="0066431E" w:rsidRPr="00CA75AB">
              <w:t>ras</w:t>
            </w:r>
            <w:r w:rsidRPr="00CA75AB">
              <w:t xml:space="preserve">, </w:t>
            </w:r>
            <w:r w:rsidR="0066431E" w:rsidRPr="00CA75AB">
              <w:t>zmeny chuti, synkopa, hypestézia</w:t>
            </w:r>
            <w:r w:rsidRPr="00CA75AB">
              <w:t>, parestézi</w:t>
            </w:r>
            <w:r w:rsidR="0066431E" w:rsidRPr="00CA75AB">
              <w:t>a</w:t>
            </w:r>
          </w:p>
        </w:tc>
      </w:tr>
      <w:tr w:rsidR="002D36CD" w:rsidRPr="00CA75AB" w14:paraId="0DBED9DF" w14:textId="77777777" w:rsidTr="001D4876">
        <w:trPr>
          <w:trHeight w:val="165"/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A1C5E" w14:textId="77777777" w:rsidR="002D36CD" w:rsidRPr="00CA75AB" w:rsidRDefault="002D36CD" w:rsidP="00171C6D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F4220" w14:textId="77777777" w:rsidR="002D36CD" w:rsidRPr="00CA75AB" w:rsidRDefault="002D36CD" w:rsidP="00F04438">
            <w:r w:rsidRPr="00CA75AB">
              <w:t>Veľmi zriedkavé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A8C1" w14:textId="6210E80C" w:rsidR="002D36CD" w:rsidRPr="00CA75AB" w:rsidRDefault="002D36CD" w:rsidP="00F04438">
            <w:r w:rsidRPr="00CA75AB">
              <w:t>Hypert</w:t>
            </w:r>
            <w:r>
              <w:t>ó</w:t>
            </w:r>
            <w:r w:rsidRPr="00CA75AB">
              <w:t>nia, periférna neuropatia</w:t>
            </w:r>
          </w:p>
        </w:tc>
      </w:tr>
      <w:tr w:rsidR="002D36CD" w:rsidRPr="00CA75AB" w14:paraId="545D6292" w14:textId="77777777" w:rsidTr="001D4876">
        <w:trPr>
          <w:trHeight w:val="165"/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8E6BF" w14:textId="77777777" w:rsidR="002D36CD" w:rsidRPr="00CA75AB" w:rsidRDefault="002D36CD" w:rsidP="00171C6D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92A11" w14:textId="77777777" w:rsidR="002D36CD" w:rsidRPr="00A04C61" w:rsidRDefault="002D36CD" w:rsidP="00171C6D">
            <w:r w:rsidRPr="00A04C61">
              <w:t>Neznáme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B19A" w14:textId="77777777" w:rsidR="002D36CD" w:rsidRPr="00A04C61" w:rsidRDefault="002D36CD" w:rsidP="00171C6D">
            <w:r w:rsidRPr="00A04C61">
              <w:t>Extrapyramídová porucha</w:t>
            </w:r>
          </w:p>
        </w:tc>
      </w:tr>
      <w:tr w:rsidR="002D36CD" w:rsidRPr="00CA75AB" w14:paraId="5856E4CE" w14:textId="77777777" w:rsidTr="001D4876">
        <w:trPr>
          <w:trHeight w:val="165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B5E06" w14:textId="77777777" w:rsidR="002D36CD" w:rsidRPr="00CA75AB" w:rsidRDefault="002D36CD" w:rsidP="00171C6D">
            <w:r w:rsidRPr="00CA75AB">
              <w:t>Poruchy oka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72BDA1" w14:textId="77777777" w:rsidR="002D36CD" w:rsidRPr="00CA75AB" w:rsidRDefault="002D36CD" w:rsidP="00171C6D">
            <w:r w:rsidRPr="00CA75AB">
              <w:t>Menej 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E1C533" w14:textId="77777777" w:rsidR="002D36CD" w:rsidRPr="00CA75AB" w:rsidRDefault="002D36CD" w:rsidP="00171C6D">
            <w:r w:rsidRPr="00CA75AB">
              <w:t>Poruchy videnia (vrátane diplopie)</w:t>
            </w:r>
          </w:p>
        </w:tc>
      </w:tr>
      <w:tr w:rsidR="002D36CD" w:rsidRPr="00CA75AB" w14:paraId="7C78D2D9" w14:textId="77777777" w:rsidTr="001D4876">
        <w:trPr>
          <w:trHeight w:val="293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4A448" w14:textId="77777777" w:rsidR="002D36CD" w:rsidRPr="00CA75AB" w:rsidRDefault="002D36CD" w:rsidP="00171C6D">
            <w:r w:rsidRPr="00CA75AB">
              <w:t>Poruchy ucha a labyrintu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F11C9" w14:textId="77777777" w:rsidR="002D36CD" w:rsidRPr="00CA75AB" w:rsidRDefault="002D36CD" w:rsidP="00171C6D">
            <w:r w:rsidRPr="00CA75AB">
              <w:t>Menej časté</w:t>
            </w:r>
          </w:p>
        </w:tc>
        <w:tc>
          <w:tcPr>
            <w:tcW w:w="4280" w:type="dxa"/>
            <w:tcBorders>
              <w:left w:val="single" w:sz="4" w:space="0" w:color="auto"/>
            </w:tcBorders>
            <w:shd w:val="clear" w:color="auto" w:fill="auto"/>
          </w:tcPr>
          <w:p w14:paraId="550A0544" w14:textId="77777777" w:rsidR="002D36CD" w:rsidRPr="00CA75AB" w:rsidRDefault="002D36CD" w:rsidP="00171C6D">
            <w:r w:rsidRPr="00CA75AB">
              <w:t>Tinitus</w:t>
            </w:r>
          </w:p>
        </w:tc>
      </w:tr>
      <w:tr w:rsidR="002D36CD" w:rsidRPr="00CA75AB" w14:paraId="79DFB527" w14:textId="77777777" w:rsidTr="001D4876">
        <w:trPr>
          <w:trHeight w:val="420"/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DC42C" w14:textId="77777777" w:rsidR="002D36CD" w:rsidRPr="00CA75AB" w:rsidRDefault="002D36CD" w:rsidP="00171C6D">
            <w:r w:rsidRPr="00CA75AB">
              <w:t>Poruchy srdca a srdcovej činnosti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B90D8" w14:textId="77777777" w:rsidR="002D36CD" w:rsidRPr="00CA75AB" w:rsidRDefault="002D36CD" w:rsidP="00171C6D">
            <w:r w:rsidRPr="00CA75AB">
              <w:t>Menej 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0858A" w14:textId="3DA2F5D7" w:rsidR="002D36CD" w:rsidRPr="00CA75AB" w:rsidRDefault="00FA0D23" w:rsidP="00171C6D">
            <w:r>
              <w:t>P</w:t>
            </w:r>
            <w:r w:rsidR="002D36CD" w:rsidRPr="00CA75AB">
              <w:t>alpitácie</w:t>
            </w:r>
          </w:p>
        </w:tc>
      </w:tr>
      <w:tr w:rsidR="002D36CD" w:rsidRPr="00CA75AB" w14:paraId="43AE7E9A" w14:textId="77777777" w:rsidTr="001D4876">
        <w:trPr>
          <w:trHeight w:val="420"/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97F3" w14:textId="77777777" w:rsidR="002D36CD" w:rsidRPr="00CA75AB" w:rsidRDefault="002D36CD" w:rsidP="00171C6D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305A5" w14:textId="77777777" w:rsidR="002D36CD" w:rsidRPr="00CA75AB" w:rsidRDefault="002D36CD" w:rsidP="00171C6D">
            <w:r w:rsidRPr="00CA75AB">
              <w:t>Veľmi zriedkavé</w:t>
            </w:r>
          </w:p>
        </w:tc>
        <w:tc>
          <w:tcPr>
            <w:tcW w:w="4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C3F8A" w14:textId="77777777" w:rsidR="002D36CD" w:rsidRPr="00CA75AB" w:rsidRDefault="002D36CD" w:rsidP="00171C6D">
            <w:r w:rsidRPr="00CA75AB">
              <w:t>Infarkt myokardu, arytmia (vrátane bradykardie, ventrikulárna tachykardia a atriálna fibrilácia)</w:t>
            </w:r>
          </w:p>
        </w:tc>
      </w:tr>
      <w:tr w:rsidR="002D36CD" w:rsidRPr="00CA75AB" w14:paraId="0E4C8DDE" w14:textId="77777777" w:rsidTr="001D4876">
        <w:trPr>
          <w:trHeight w:val="110"/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BC253" w14:textId="77777777" w:rsidR="002D36CD" w:rsidRPr="00CA75AB" w:rsidRDefault="002D36CD" w:rsidP="00171C6D">
            <w:r w:rsidRPr="00CA75AB">
              <w:t>Poruchy ciev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A9E9A" w14:textId="77777777" w:rsidR="002D36CD" w:rsidRPr="00CA75AB" w:rsidRDefault="002D36CD" w:rsidP="00171C6D">
            <w:r w:rsidRPr="00CA75AB">
              <w:t>Časté</w:t>
            </w:r>
          </w:p>
        </w:tc>
        <w:tc>
          <w:tcPr>
            <w:tcW w:w="4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3597B" w14:textId="77777777" w:rsidR="002D36CD" w:rsidRPr="00CA75AB" w:rsidRDefault="002D36CD" w:rsidP="00171C6D">
            <w:r w:rsidRPr="00CA75AB">
              <w:t>Návaly</w:t>
            </w:r>
          </w:p>
        </w:tc>
      </w:tr>
      <w:tr w:rsidR="002D36CD" w:rsidRPr="00CA75AB" w14:paraId="3AB1FEFA" w14:textId="77777777" w:rsidTr="001D4876">
        <w:trPr>
          <w:trHeight w:val="110"/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B2A62" w14:textId="77777777" w:rsidR="002D36CD" w:rsidRPr="00CA75AB" w:rsidRDefault="002D36CD" w:rsidP="00171C6D"/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5B5F0" w14:textId="77777777" w:rsidR="002D36CD" w:rsidRPr="00CA75AB" w:rsidRDefault="002D36CD" w:rsidP="00171C6D">
            <w:r w:rsidRPr="00CA75AB">
              <w:t>Menej časté</w:t>
            </w:r>
          </w:p>
        </w:tc>
        <w:tc>
          <w:tcPr>
            <w:tcW w:w="4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184D6" w14:textId="77777777" w:rsidR="002D36CD" w:rsidRPr="00CA75AB" w:rsidRDefault="002D36CD" w:rsidP="00171C6D">
            <w:r w:rsidRPr="00CA75AB">
              <w:t>Hypotenzia</w:t>
            </w:r>
          </w:p>
        </w:tc>
      </w:tr>
      <w:tr w:rsidR="002D36CD" w:rsidRPr="00CA75AB" w14:paraId="2AE14A07" w14:textId="77777777" w:rsidTr="001D4876">
        <w:trPr>
          <w:trHeight w:val="110"/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F929D" w14:textId="77777777" w:rsidR="002D36CD" w:rsidRPr="00CA75AB" w:rsidRDefault="002D36CD" w:rsidP="00171C6D"/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86A0C" w14:textId="77777777" w:rsidR="002D36CD" w:rsidRPr="00CA75AB" w:rsidRDefault="002D36CD" w:rsidP="00171C6D">
            <w:r w:rsidRPr="00CA75AB">
              <w:t>Veľmi zriedkavé</w:t>
            </w:r>
          </w:p>
        </w:tc>
        <w:tc>
          <w:tcPr>
            <w:tcW w:w="4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94679" w14:textId="77777777" w:rsidR="002D36CD" w:rsidRPr="00CA75AB" w:rsidRDefault="002D36CD" w:rsidP="00171C6D">
            <w:r w:rsidRPr="00CA75AB">
              <w:t>Vaskulitída</w:t>
            </w:r>
          </w:p>
        </w:tc>
      </w:tr>
      <w:tr w:rsidR="002D36CD" w:rsidRPr="00CA75AB" w14:paraId="19080DCB" w14:textId="77777777" w:rsidTr="001D4876">
        <w:trPr>
          <w:trHeight w:val="210"/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1BF9E" w14:textId="77777777" w:rsidR="002D36CD" w:rsidRPr="00CA75AB" w:rsidRDefault="002D36CD" w:rsidP="00171C6D">
            <w:r w:rsidRPr="00CA75AB">
              <w:t>Poruchy dýchacej sústavy, hrudníka a mediastína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80D868" w14:textId="77777777" w:rsidR="002D36CD" w:rsidRPr="00CA75AB" w:rsidRDefault="002D36CD" w:rsidP="00171C6D">
            <w:r w:rsidRPr="00CA75AB">
              <w:t>Menej časté</w:t>
            </w:r>
          </w:p>
        </w:tc>
        <w:tc>
          <w:tcPr>
            <w:tcW w:w="4280" w:type="dxa"/>
            <w:tcBorders>
              <w:left w:val="single" w:sz="4" w:space="0" w:color="auto"/>
            </w:tcBorders>
            <w:shd w:val="clear" w:color="auto" w:fill="auto"/>
          </w:tcPr>
          <w:p w14:paraId="13FAD69D" w14:textId="77777777" w:rsidR="002D36CD" w:rsidRPr="00CA75AB" w:rsidRDefault="002D36CD" w:rsidP="00171C6D">
            <w:r w:rsidRPr="00CA75AB">
              <w:t>Dyspnoe, nádcha</w:t>
            </w:r>
          </w:p>
        </w:tc>
      </w:tr>
      <w:tr w:rsidR="002D36CD" w:rsidRPr="00CA75AB" w14:paraId="3921D371" w14:textId="77777777" w:rsidTr="001D4876">
        <w:trPr>
          <w:trHeight w:val="210"/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5E688" w14:textId="77777777" w:rsidR="002D36CD" w:rsidRPr="00CA75AB" w:rsidRDefault="002D36CD" w:rsidP="00171C6D"/>
        </w:tc>
        <w:tc>
          <w:tcPr>
            <w:tcW w:w="2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DBAE" w14:textId="77777777" w:rsidR="002D36CD" w:rsidRPr="00CA75AB" w:rsidRDefault="002D36CD" w:rsidP="00171C6D">
            <w:r w:rsidRPr="00CA75AB">
              <w:t>Veľmi zriedkavé</w:t>
            </w:r>
          </w:p>
        </w:tc>
        <w:tc>
          <w:tcPr>
            <w:tcW w:w="4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67BF" w14:textId="77777777" w:rsidR="002D36CD" w:rsidRPr="00CA75AB" w:rsidRDefault="002D36CD" w:rsidP="00171C6D">
            <w:r w:rsidRPr="00CA75AB">
              <w:t>Kašeľ</w:t>
            </w:r>
          </w:p>
        </w:tc>
      </w:tr>
      <w:tr w:rsidR="002D36CD" w:rsidRPr="00CA75AB" w14:paraId="2F568565" w14:textId="77777777" w:rsidTr="001D4876">
        <w:trPr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973B6" w14:textId="77777777" w:rsidR="002D36CD" w:rsidRPr="00CA75AB" w:rsidRDefault="002D36CD" w:rsidP="00171C6D">
            <w:r w:rsidRPr="00CA75AB">
              <w:t>Poruchy gastrointestinálneho traktu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8E8E8" w14:textId="77777777" w:rsidR="002D36CD" w:rsidRPr="00CA75AB" w:rsidRDefault="002D36CD" w:rsidP="00171C6D">
            <w:r w:rsidRPr="00CA75AB">
              <w:t>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BD350" w14:textId="77777777" w:rsidR="002D36CD" w:rsidRPr="00CA75AB" w:rsidRDefault="002D36CD" w:rsidP="00171C6D">
            <w:r w:rsidRPr="00CA75AB">
              <w:t>Bolesť brucha, nevoľnosť</w:t>
            </w:r>
          </w:p>
        </w:tc>
      </w:tr>
      <w:tr w:rsidR="002D36CD" w:rsidRPr="00CA75AB" w14:paraId="01CD2A31" w14:textId="77777777" w:rsidTr="001D4876">
        <w:trPr>
          <w:trHeight w:val="110"/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84BA9" w14:textId="77777777" w:rsidR="002D36CD" w:rsidRPr="00CA75AB" w:rsidRDefault="002D36CD" w:rsidP="00171C6D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4F4F" w14:textId="77777777" w:rsidR="002D36CD" w:rsidRPr="00CA75AB" w:rsidRDefault="002D36CD" w:rsidP="00171C6D">
            <w:r w:rsidRPr="00CA75AB">
              <w:t>Menej 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E7D64" w14:textId="2BB86AC4" w:rsidR="002D36CD" w:rsidRPr="00CA75AB" w:rsidRDefault="002D36CD" w:rsidP="00171C6D">
            <w:r w:rsidRPr="00CA75AB">
              <w:t>Zvracanie, dyspepsia, porucha vyprázdňovania (vrátane hnačky a zápchy), sucho v</w:t>
            </w:r>
            <w:r w:rsidR="00446EF1">
              <w:t xml:space="preserve"> </w:t>
            </w:r>
            <w:r w:rsidRPr="00CA75AB">
              <w:t>ústach</w:t>
            </w:r>
          </w:p>
        </w:tc>
      </w:tr>
      <w:tr w:rsidR="002D36CD" w:rsidRPr="00CA75AB" w14:paraId="73B616C7" w14:textId="77777777" w:rsidTr="001D4876">
        <w:trPr>
          <w:trHeight w:val="110"/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84A81" w14:textId="77777777" w:rsidR="002D36CD" w:rsidRPr="00CA75AB" w:rsidRDefault="002D36CD" w:rsidP="00171C6D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341" w14:textId="77777777" w:rsidR="002D36CD" w:rsidRPr="00CA75AB" w:rsidRDefault="002D36CD" w:rsidP="00171C6D">
            <w:r w:rsidRPr="00CA75AB">
              <w:t>Veľmi zriedkavé</w:t>
            </w:r>
          </w:p>
        </w:tc>
        <w:tc>
          <w:tcPr>
            <w:tcW w:w="4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26DAB" w14:textId="77777777" w:rsidR="002D36CD" w:rsidRPr="00CA75AB" w:rsidRDefault="002D36CD" w:rsidP="00171C6D">
            <w:r w:rsidRPr="00CA75AB">
              <w:t>Pankreatída, gastritída, gingiválna hyperplázia</w:t>
            </w:r>
          </w:p>
        </w:tc>
      </w:tr>
      <w:tr w:rsidR="002D36CD" w:rsidRPr="00CA75AB" w14:paraId="03AC153F" w14:textId="77777777" w:rsidTr="001D4876">
        <w:trPr>
          <w:trHeight w:val="410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4D272" w14:textId="77777777" w:rsidR="002D36CD" w:rsidRPr="00CA75AB" w:rsidRDefault="002D36CD" w:rsidP="00171C6D">
            <w:r w:rsidRPr="00CA75AB">
              <w:t>Poruchy pečene a žlčových ciest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A2686" w14:textId="77777777" w:rsidR="002D36CD" w:rsidRPr="00CA75AB" w:rsidRDefault="002D36CD" w:rsidP="00171C6D">
            <w:r w:rsidRPr="00CA75AB">
              <w:t>Veľmi zriedkavé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4A49E" w14:textId="77777777" w:rsidR="002D36CD" w:rsidRPr="00CA75AB" w:rsidRDefault="002D36CD" w:rsidP="00171C6D">
            <w:r w:rsidRPr="00CA75AB">
              <w:t>Hepatitída, žltačka, zvýšené pečeňové enzýmy*</w:t>
            </w:r>
          </w:p>
        </w:tc>
      </w:tr>
      <w:tr w:rsidR="001D4876" w:rsidRPr="00CA75AB" w14:paraId="0AABA8DA" w14:textId="77777777" w:rsidTr="001D4876">
        <w:trPr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7CF2D" w14:textId="77777777" w:rsidR="001D4876" w:rsidRPr="00CA75AB" w:rsidRDefault="001D4876" w:rsidP="00171C6D">
            <w:r w:rsidRPr="00CA75AB">
              <w:t>Poruchy kože a podkožného tkaniva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184" w14:textId="77777777" w:rsidR="001D4876" w:rsidRPr="00CA75AB" w:rsidRDefault="001D4876" w:rsidP="00171C6D">
            <w:r w:rsidRPr="00CA75AB">
              <w:t>Menej 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BA6" w14:textId="77777777" w:rsidR="001D4876" w:rsidRPr="00CA75AB" w:rsidRDefault="001D4876" w:rsidP="00171C6D">
            <w:r w:rsidRPr="00CA75AB">
              <w:t>Alopecia, purpura, zmena farby kože, hyperhidróza, svrbenie, vyrážka, exantém</w:t>
            </w:r>
          </w:p>
        </w:tc>
      </w:tr>
      <w:tr w:rsidR="001D4876" w:rsidRPr="00CA75AB" w14:paraId="7ADC909B" w14:textId="77777777" w:rsidTr="001D4876">
        <w:trPr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979DA" w14:textId="77777777" w:rsidR="001D4876" w:rsidRPr="00CA75AB" w:rsidRDefault="001D4876" w:rsidP="00171C6D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50D" w14:textId="77777777" w:rsidR="001D4876" w:rsidRPr="00A04C61" w:rsidRDefault="001D4876" w:rsidP="00171C6D">
            <w:r w:rsidRPr="00A04C61">
              <w:t>Veľmi zriedkavé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A15" w14:textId="77777777" w:rsidR="001D4876" w:rsidRPr="00A04C61" w:rsidRDefault="001D4876" w:rsidP="00171C6D">
            <w:r w:rsidRPr="00A04C61">
              <w:t>Angioedém, erythema multiforme, žihľavka, exfoliativná dermatitída, Stevens-Johnsonov syndróm, Quinckeho edém, fotosenzitivita</w:t>
            </w:r>
          </w:p>
        </w:tc>
      </w:tr>
      <w:tr w:rsidR="001D4876" w:rsidRPr="00CA75AB" w14:paraId="79576967" w14:textId="77777777" w:rsidTr="001D4876">
        <w:trPr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4875C" w14:textId="77777777" w:rsidR="001D4876" w:rsidRPr="00CA75AB" w:rsidRDefault="001D4876" w:rsidP="00171C6D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DAC5" w14:textId="77777777" w:rsidR="001D4876" w:rsidRPr="00A04C61" w:rsidRDefault="00807C41" w:rsidP="00171C6D">
            <w:r w:rsidRPr="00A04C61">
              <w:t>N</w:t>
            </w:r>
            <w:r w:rsidR="001D4876" w:rsidRPr="00A04C61">
              <w:t>eznám</w:t>
            </w:r>
            <w:r w:rsidRPr="00A04C61">
              <w:t>e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544" w14:textId="77777777" w:rsidR="001D4876" w:rsidRPr="00A04C61" w:rsidRDefault="001D4876" w:rsidP="00171C6D">
            <w:r w:rsidRPr="00A04C61">
              <w:t>Toxická epidermálna nekrolýza</w:t>
            </w:r>
          </w:p>
        </w:tc>
      </w:tr>
      <w:tr w:rsidR="002D36CD" w:rsidRPr="00CA75AB" w14:paraId="4DDD0555" w14:textId="77777777" w:rsidTr="001D4876">
        <w:trPr>
          <w:trHeight w:val="420"/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37D3F" w14:textId="77777777" w:rsidR="002D36CD" w:rsidRPr="00CA75AB" w:rsidRDefault="002D36CD" w:rsidP="00171C6D">
            <w:r w:rsidRPr="00CA75AB">
              <w:t>Poruchy kostrovej a svalovej sústavy a spojivového tkaniva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1DC" w14:textId="77777777" w:rsidR="002D36CD" w:rsidRPr="00A04C61" w:rsidRDefault="002D36CD" w:rsidP="00171C6D">
            <w:r w:rsidRPr="00A04C61">
              <w:t>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072B2" w14:textId="77777777" w:rsidR="002D36CD" w:rsidRPr="00A04C61" w:rsidRDefault="002D36CD" w:rsidP="00171C6D">
            <w:r w:rsidRPr="00A04C61">
              <w:t>Opuch členkov</w:t>
            </w:r>
          </w:p>
        </w:tc>
      </w:tr>
      <w:tr w:rsidR="002D36CD" w:rsidRPr="00CA75AB" w14:paraId="31C26F99" w14:textId="77777777" w:rsidTr="001D4876">
        <w:trPr>
          <w:trHeight w:val="420"/>
          <w:jc w:val="center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27295" w14:textId="77777777" w:rsidR="002D36CD" w:rsidRPr="00CA75AB" w:rsidRDefault="002D36CD" w:rsidP="00171C6D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CC3" w14:textId="77777777" w:rsidR="002D36CD" w:rsidRPr="00A04C61" w:rsidRDefault="002D36CD" w:rsidP="00171C6D">
            <w:r w:rsidRPr="00A04C61">
              <w:t>Menej časté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CE7D" w14:textId="77777777" w:rsidR="002D36CD" w:rsidRPr="00A04C61" w:rsidRDefault="002D36CD" w:rsidP="00171C6D">
            <w:r w:rsidRPr="00A04C61">
              <w:t>Artralgia, myalgia, kŕče svalov, bolesť chrbta</w:t>
            </w:r>
          </w:p>
        </w:tc>
      </w:tr>
      <w:tr w:rsidR="002D36CD" w:rsidRPr="00CA75AB" w14:paraId="01A5695B" w14:textId="77777777" w:rsidTr="001D487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0006D" w14:textId="77777777" w:rsidR="002D36CD" w:rsidRPr="00CA75AB" w:rsidRDefault="002D36CD" w:rsidP="00171C6D">
            <w:r w:rsidRPr="00CA75AB">
              <w:t>Poruchy obličiek a močových ciest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CFFC9" w14:textId="77777777" w:rsidR="002D36CD" w:rsidRPr="00A04C61" w:rsidRDefault="002D36CD" w:rsidP="00171C6D">
            <w:r w:rsidRPr="00A04C61">
              <w:t>Menej 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D7F9C" w14:textId="77777777" w:rsidR="002D36CD" w:rsidRPr="00A04C61" w:rsidRDefault="002D36CD" w:rsidP="00171C6D">
            <w:r w:rsidRPr="00A04C61">
              <w:t>Poruchy močenia, nykturia, zvýšená frekvencia močenia</w:t>
            </w:r>
          </w:p>
        </w:tc>
      </w:tr>
      <w:tr w:rsidR="002D36CD" w:rsidRPr="00CA75AB" w14:paraId="53D21429" w14:textId="77777777" w:rsidTr="001D4876">
        <w:trPr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67D4" w14:textId="77777777" w:rsidR="002D36CD" w:rsidRPr="00CA75AB" w:rsidRDefault="002D36CD" w:rsidP="00171C6D">
            <w:r w:rsidRPr="00CA75AB">
              <w:t>Poruchy reprodukčného systému a prsníkov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0A75" w14:textId="77777777" w:rsidR="002D36CD" w:rsidRPr="00A04C61" w:rsidRDefault="002D36CD" w:rsidP="00171C6D">
            <w:r w:rsidRPr="00A04C61">
              <w:t>Menej 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2A9" w14:textId="77777777" w:rsidR="002D36CD" w:rsidRPr="00A04C61" w:rsidRDefault="002D36CD" w:rsidP="00171C6D">
            <w:r w:rsidRPr="00A04C61">
              <w:t>Impotencia, gynekomastia</w:t>
            </w:r>
          </w:p>
        </w:tc>
      </w:tr>
      <w:tr w:rsidR="002D36CD" w:rsidRPr="00CA75AB" w14:paraId="2BEFEC8E" w14:textId="77777777" w:rsidTr="001D4876">
        <w:trPr>
          <w:trHeight w:val="420"/>
          <w:jc w:val="center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4FC6" w14:textId="77777777" w:rsidR="002D36CD" w:rsidRPr="00CA75AB" w:rsidRDefault="002D36CD" w:rsidP="00171C6D">
            <w:r w:rsidRPr="00CA75AB">
              <w:t>Celkové poruchy a reakcie v mieste podania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178" w14:textId="77777777" w:rsidR="002D36CD" w:rsidRPr="00CA75AB" w:rsidRDefault="002D36CD" w:rsidP="00171C6D">
            <w:r w:rsidRPr="00CA75AB">
              <w:t>Časté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9B776" w14:textId="77777777" w:rsidR="002D36CD" w:rsidRPr="00CA75AB" w:rsidRDefault="002D36CD" w:rsidP="00171C6D">
            <w:r w:rsidRPr="00CA75AB">
              <w:t>Opuchy, únava, bolesť na hrudi, asténia, bolesť, malátnosť</w:t>
            </w:r>
          </w:p>
        </w:tc>
      </w:tr>
      <w:tr w:rsidR="002D36CD" w:rsidRPr="00CA75AB" w14:paraId="59C13372" w14:textId="77777777" w:rsidTr="001D4876">
        <w:trPr>
          <w:trHeight w:val="420"/>
          <w:jc w:val="center"/>
        </w:trPr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064" w14:textId="77777777" w:rsidR="002D36CD" w:rsidRPr="00CA75AB" w:rsidRDefault="002D36CD" w:rsidP="00171C6D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46C6" w14:textId="77777777" w:rsidR="002D36CD" w:rsidRPr="00CA75AB" w:rsidRDefault="002D36CD" w:rsidP="00171C6D">
            <w:r w:rsidRPr="00CA75AB">
              <w:t>Menej časté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E77B" w14:textId="77777777" w:rsidR="002D36CD" w:rsidRPr="00CA75AB" w:rsidRDefault="002D36CD" w:rsidP="00171C6D">
            <w:r w:rsidRPr="00CA75AB">
              <w:t>Bolesť na hrudi, asténia, bolesť, malátnosť</w:t>
            </w:r>
          </w:p>
        </w:tc>
      </w:tr>
      <w:tr w:rsidR="002D36CD" w:rsidRPr="00CA75AB" w14:paraId="5FE971BA" w14:textId="77777777" w:rsidTr="001D4876">
        <w:trPr>
          <w:trHeight w:val="381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F8D7B" w14:textId="77777777" w:rsidR="002D36CD" w:rsidRPr="00CA75AB" w:rsidRDefault="002D36CD" w:rsidP="00171C6D">
            <w:r w:rsidRPr="00CA75AB">
              <w:t>Vyšetrenie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532" w14:textId="77777777" w:rsidR="002D36CD" w:rsidRPr="00CA75AB" w:rsidRDefault="002D36CD" w:rsidP="00171C6D">
            <w:r w:rsidRPr="00CA75AB">
              <w:t xml:space="preserve">Menej časté 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9D04" w14:textId="77777777" w:rsidR="002D36CD" w:rsidRPr="00CA75AB" w:rsidRDefault="002D36CD" w:rsidP="00171C6D">
            <w:r w:rsidRPr="00CA75AB">
              <w:t>Zvýšenie alebo zníženie hmotnosti</w:t>
            </w:r>
          </w:p>
        </w:tc>
      </w:tr>
    </w:tbl>
    <w:p w14:paraId="19BCCD28" w14:textId="5CE4AF47" w:rsidR="006A2A9C" w:rsidRDefault="006A2A9C" w:rsidP="00CA249A">
      <w:pPr>
        <w:pStyle w:val="Normlndobloku"/>
      </w:pPr>
      <w:r w:rsidRPr="00CA75AB">
        <w:lastRenderedPageBreak/>
        <w:t>*</w:t>
      </w:r>
      <w:r w:rsidR="00323ACD" w:rsidRPr="00CA75AB">
        <w:t>predovšetkým v súvislosti s</w:t>
      </w:r>
      <w:r w:rsidR="00A65906">
        <w:t> </w:t>
      </w:r>
      <w:r w:rsidR="00323ACD" w:rsidRPr="00CA75AB">
        <w:t>cholestázou</w:t>
      </w:r>
    </w:p>
    <w:p w14:paraId="7B17302C" w14:textId="77777777" w:rsidR="00A65906" w:rsidRPr="008B483C" w:rsidRDefault="00A65906" w:rsidP="00A65906">
      <w:pPr>
        <w:pStyle w:val="Styl3"/>
        <w:rPr>
          <w:szCs w:val="22"/>
        </w:rPr>
      </w:pPr>
      <w:r w:rsidRPr="008B483C">
        <w:rPr>
          <w:szCs w:val="22"/>
        </w:rPr>
        <w:t>Hlásenie</w:t>
      </w:r>
      <w:r w:rsidRPr="005A671A">
        <w:t xml:space="preserve"> podozrení</w:t>
      </w:r>
      <w:r w:rsidRPr="008B483C">
        <w:rPr>
          <w:szCs w:val="22"/>
        </w:rPr>
        <w:t xml:space="preserve"> na</w:t>
      </w:r>
      <w:r w:rsidRPr="005A671A">
        <w:t xml:space="preserve"> nežiaduce reakcie</w:t>
      </w:r>
    </w:p>
    <w:p w14:paraId="43A0147A" w14:textId="01094AFC" w:rsidR="00A65906" w:rsidRPr="00A04C61" w:rsidRDefault="00A65906" w:rsidP="00CA249A">
      <w:pPr>
        <w:pStyle w:val="Normlndobloku"/>
        <w:rPr>
          <w:lang w:val="sk-SK"/>
        </w:rPr>
      </w:pPr>
      <w:r w:rsidRPr="008B483C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</w:t>
      </w:r>
      <w:r w:rsidRPr="00A04C61">
        <w:t xml:space="preserve">reakcie </w:t>
      </w:r>
      <w:r w:rsidR="00EB2273" w:rsidRPr="00A04C61">
        <w:rPr>
          <w:lang w:val="sk-SK"/>
        </w:rPr>
        <w:t>na národné centrum</w:t>
      </w:r>
      <w:r w:rsidRPr="00A04C61">
        <w:t xml:space="preserve"> hlásenia uvedené v </w:t>
      </w:r>
      <w:hyperlink r:id="rId8" w:history="1">
        <w:r w:rsidRPr="00A04C61">
          <w:rPr>
            <w:rStyle w:val="Hypertextovprepojenie"/>
          </w:rPr>
          <w:t>Prílohe V</w:t>
        </w:r>
      </w:hyperlink>
      <w:r w:rsidRPr="00A04C61">
        <w:t>.</w:t>
      </w:r>
    </w:p>
    <w:p w14:paraId="6F3E55F9" w14:textId="77777777" w:rsidR="00B23DDB" w:rsidRPr="00CA75AB" w:rsidRDefault="00B23DDB" w:rsidP="00CE70E9">
      <w:pPr>
        <w:pStyle w:val="Styl2"/>
      </w:pPr>
      <w:r w:rsidRPr="00CA75AB">
        <w:t>4.9</w:t>
      </w:r>
      <w:r w:rsidRPr="00CA75AB">
        <w:tab/>
        <w:t>Predávkovanie</w:t>
      </w:r>
    </w:p>
    <w:p w14:paraId="45752080" w14:textId="77777777" w:rsidR="00C24534" w:rsidRPr="00CA75AB" w:rsidRDefault="00B23DDB" w:rsidP="00CA249A">
      <w:pPr>
        <w:pStyle w:val="Normlndobloku"/>
      </w:pPr>
      <w:r w:rsidRPr="00CA75AB">
        <w:t>Skúsenosti s úmyselným predávkovaním u ľudí sú obmedzené.</w:t>
      </w:r>
    </w:p>
    <w:p w14:paraId="396CAFD5" w14:textId="77777777" w:rsidR="00C24534" w:rsidRPr="00CA75AB" w:rsidRDefault="00C24534" w:rsidP="00C32C3A">
      <w:pPr>
        <w:pStyle w:val="Styl3"/>
      </w:pPr>
      <w:r w:rsidRPr="00CA75AB">
        <w:t>Príznaky</w:t>
      </w:r>
    </w:p>
    <w:p w14:paraId="19A25659" w14:textId="0B1F6F8A" w:rsidR="00B23DDB" w:rsidRPr="00CA75AB" w:rsidRDefault="00B23DDB" w:rsidP="00CA249A">
      <w:pPr>
        <w:pStyle w:val="Normlndobloku"/>
      </w:pPr>
      <w:r w:rsidRPr="00CA75AB">
        <w:t xml:space="preserve">Dostupné údaje </w:t>
      </w:r>
      <w:r w:rsidR="005148DD" w:rsidRPr="00CA75AB">
        <w:t>naznačujú</w:t>
      </w:r>
      <w:r w:rsidRPr="008A7B06">
        <w:t xml:space="preserve">, </w:t>
      </w:r>
      <w:r w:rsidRPr="00A00667">
        <w:t xml:space="preserve">že </w:t>
      </w:r>
      <w:r w:rsidR="00FA0D23" w:rsidRPr="00A00667">
        <w:t xml:space="preserve">masívne </w:t>
      </w:r>
      <w:r w:rsidRPr="00A00667">
        <w:t>p</w:t>
      </w:r>
      <w:r w:rsidRPr="008A7B06">
        <w:t>redávkovanie</w:t>
      </w:r>
      <w:r w:rsidR="005D6684" w:rsidRPr="00CA75AB">
        <w:t xml:space="preserve"> </w:t>
      </w:r>
      <w:r w:rsidR="00C24534" w:rsidRPr="00CA75AB">
        <w:t>môže</w:t>
      </w:r>
      <w:r w:rsidR="005D6684" w:rsidRPr="00CA75AB">
        <w:t xml:space="preserve"> </w:t>
      </w:r>
      <w:r w:rsidRPr="00CA75AB">
        <w:t>viesť k</w:t>
      </w:r>
      <w:r w:rsidR="00446EF1">
        <w:t xml:space="preserve"> </w:t>
      </w:r>
      <w:r w:rsidR="005148DD" w:rsidRPr="00CA75AB">
        <w:t>excesívnej</w:t>
      </w:r>
      <w:r w:rsidRPr="00CA75AB">
        <w:t xml:space="preserve"> periférnej vazodilatácii </w:t>
      </w:r>
      <w:r w:rsidR="00C24534" w:rsidRPr="00CA75AB">
        <w:t>a pravdepodobne k reflexnej tachykardii.</w:t>
      </w:r>
      <w:r w:rsidR="005D6684" w:rsidRPr="00CA75AB">
        <w:t xml:space="preserve"> </w:t>
      </w:r>
      <w:r w:rsidR="00C24534" w:rsidRPr="00CA75AB">
        <w:t>Bola hlásená výrazná a pravdepodobne dlhšie trvajúca systémová hypotenzia vedúca až k šoku s fatálnym koncom.</w:t>
      </w:r>
    </w:p>
    <w:p w14:paraId="03D75141" w14:textId="77777777" w:rsidR="00C226C1" w:rsidRPr="00CA75AB" w:rsidRDefault="00C24534" w:rsidP="00C32C3A">
      <w:pPr>
        <w:pStyle w:val="Styl3"/>
      </w:pPr>
      <w:r w:rsidRPr="00CA75AB">
        <w:t>Liečba</w:t>
      </w:r>
    </w:p>
    <w:p w14:paraId="7654D193" w14:textId="6B2A94D7" w:rsidR="00B23DDB" w:rsidRPr="00CA75AB" w:rsidRDefault="00B23DDB" w:rsidP="00CA249A">
      <w:pPr>
        <w:pStyle w:val="Normlndobloku"/>
      </w:pPr>
      <w:r w:rsidRPr="00CA75AB">
        <w:t>Klinicky signifikantná hypotenzia spôsobená predávkovaním amlodipínom vyžaduje aktívnu kardiovaskulárnu podporu vrátane častého monitorovania srdcovej a</w:t>
      </w:r>
      <w:r w:rsidR="00446EF1">
        <w:t xml:space="preserve"> </w:t>
      </w:r>
      <w:r w:rsidRPr="00CA75AB">
        <w:t>respiračnej funkcie, zvýšenia polohy končatín, sledovania cirkulujúceho objemu tekutín a</w:t>
      </w:r>
      <w:r w:rsidR="00446EF1">
        <w:t xml:space="preserve"> </w:t>
      </w:r>
      <w:r w:rsidRPr="00CA75AB">
        <w:t>výdaja moču.</w:t>
      </w:r>
    </w:p>
    <w:p w14:paraId="2EF8DFA0" w14:textId="562D7AF3" w:rsidR="00B23DDB" w:rsidRPr="00CA75AB" w:rsidRDefault="00B23DDB" w:rsidP="00CA249A">
      <w:pPr>
        <w:pStyle w:val="Normlndobloku"/>
      </w:pPr>
      <w:r w:rsidRPr="00CA75AB">
        <w:t>Vazokonstrikčná látka môže napomôcť k</w:t>
      </w:r>
      <w:r w:rsidR="00446EF1">
        <w:t xml:space="preserve"> </w:t>
      </w:r>
      <w:r w:rsidRPr="00CA75AB">
        <w:t>obnoveniu vaskulárneho tonusu a</w:t>
      </w:r>
      <w:r w:rsidR="00446EF1">
        <w:t xml:space="preserve"> </w:t>
      </w:r>
      <w:r w:rsidRPr="00CA75AB">
        <w:t>krvného tlaku za predpokladu, že jej použitie nie je kontraindikované. Intravenózny kalciumglukonát môže byť prospešný v</w:t>
      </w:r>
      <w:r w:rsidR="00446EF1">
        <w:t xml:space="preserve"> </w:t>
      </w:r>
      <w:r w:rsidRPr="00CA75AB">
        <w:t>zvrátení účinkov blokády kalciových kanálov. V</w:t>
      </w:r>
      <w:r w:rsidR="00446EF1">
        <w:t xml:space="preserve"> </w:t>
      </w:r>
      <w:r w:rsidRPr="00CA75AB">
        <w:t>niektorých prípadoch môže byť užitočný výplach žalúdka. U</w:t>
      </w:r>
      <w:r w:rsidR="00446EF1">
        <w:t xml:space="preserve"> </w:t>
      </w:r>
      <w:r w:rsidRPr="00CA75AB">
        <w:t>zdravých dobrovoľníkov sa ukázalo, že použitie živočíšneho uhlia do 2</w:t>
      </w:r>
      <w:r w:rsidR="00446EF1">
        <w:t xml:space="preserve"> </w:t>
      </w:r>
      <w:r w:rsidRPr="00CA75AB">
        <w:t>hodín po podaní 10 mg amlodipínu znížilo rýchlosť absorpcie amlodipínu. Pretože sa amlodipín značne viaže na proteíny, nie je pravdepodobné, že by dialýza bola prospešná.</w:t>
      </w:r>
    </w:p>
    <w:p w14:paraId="1CA7D445" w14:textId="77777777" w:rsidR="00B23DDB" w:rsidRPr="00CA75AB" w:rsidRDefault="00B23DDB" w:rsidP="00CE70E9">
      <w:pPr>
        <w:pStyle w:val="Styl1"/>
      </w:pPr>
      <w:r w:rsidRPr="00CA75AB">
        <w:t>FARMAKOLOGICKÉ VLASTNOSTI</w:t>
      </w:r>
    </w:p>
    <w:p w14:paraId="6D87180E" w14:textId="77777777" w:rsidR="00B23DDB" w:rsidRPr="00CA75AB" w:rsidRDefault="00B23DDB" w:rsidP="00CE70E9">
      <w:pPr>
        <w:pStyle w:val="Styl2"/>
      </w:pPr>
      <w:r w:rsidRPr="00CA75AB">
        <w:t>5.1</w:t>
      </w:r>
      <w:r w:rsidRPr="00CA75AB">
        <w:tab/>
        <w:t>Farmakodynamické vlastnosti</w:t>
      </w:r>
    </w:p>
    <w:p w14:paraId="72B2CBBE" w14:textId="77777777" w:rsidR="00B23DDB" w:rsidRPr="00CA75AB" w:rsidRDefault="00B23DDB" w:rsidP="00CA249A">
      <w:pPr>
        <w:pStyle w:val="Normlndobloku"/>
      </w:pPr>
      <w:r w:rsidRPr="00CA75AB">
        <w:t>Farmakoterapeutická skupina: dihydropyridínové deriváty</w:t>
      </w:r>
    </w:p>
    <w:p w14:paraId="503F1F33" w14:textId="77777777" w:rsidR="00B23DDB" w:rsidRDefault="00B23DDB" w:rsidP="00CA249A">
      <w:pPr>
        <w:pStyle w:val="Normlndobloku"/>
      </w:pPr>
      <w:r w:rsidRPr="00CA75AB">
        <w:t>ATC kód: C08CA01</w:t>
      </w:r>
    </w:p>
    <w:p w14:paraId="209CC604" w14:textId="77777777" w:rsidR="00A65906" w:rsidRPr="00A00667" w:rsidRDefault="00A65906" w:rsidP="00CA249A">
      <w:pPr>
        <w:pStyle w:val="Normlndobloku"/>
        <w:rPr>
          <w:u w:val="single"/>
        </w:rPr>
      </w:pPr>
      <w:r w:rsidRPr="00A00667">
        <w:rPr>
          <w:u w:val="single"/>
        </w:rPr>
        <w:t>Mechanizmus účinku</w:t>
      </w:r>
    </w:p>
    <w:p w14:paraId="39653CCE" w14:textId="0F8526AF" w:rsidR="006F7A74" w:rsidRDefault="005D6684" w:rsidP="00CA249A">
      <w:pPr>
        <w:pStyle w:val="Normlndobloku"/>
      </w:pPr>
      <w:r w:rsidRPr="00CA75AB">
        <w:t>Amlodipín ja kalciový antagonista, ktorý inhibuje transmembránový vstup kalciových iónov do srdca a hladkého svalstva. Mechanizmus antihypertenzného účinku je v</w:t>
      </w:r>
      <w:r w:rsidR="00446EF1">
        <w:t xml:space="preserve"> </w:t>
      </w:r>
      <w:r w:rsidRPr="00CA75AB">
        <w:t>priamej relaxácii hladkého svalstva ciev. Presný mechanizmus, ktorým amlodipín zmierňuje anginu pectoris, nie je úplne známy, ale podieľajú sa na ňom nasledovné dva procesy:</w:t>
      </w:r>
    </w:p>
    <w:p w14:paraId="7BDA6AE5" w14:textId="0229CBC3" w:rsidR="005D6684" w:rsidRPr="00CA75AB" w:rsidRDefault="00A65906" w:rsidP="00CA249A">
      <w:pPr>
        <w:pStyle w:val="Normlndobloku"/>
      </w:pPr>
      <w:r>
        <w:t xml:space="preserve">1. </w:t>
      </w:r>
      <w:r w:rsidR="006F7A74">
        <w:t>A</w:t>
      </w:r>
      <w:r w:rsidR="005D6684" w:rsidRPr="00CA75AB">
        <w:t>mlodipín dilatuje periférne arterioly a tak znižuje celkovú periférnu rezistenciu (afterload), proti ktorej srdce pracuje. Týmto odľahčením práce srdca sa znižuje spotreba energie v</w:t>
      </w:r>
      <w:r w:rsidR="00171C6D" w:rsidRPr="00114C9A">
        <w:rPr>
          <w:rFonts w:ascii="Calibri" w:hAnsi="Calibri"/>
        </w:rPr>
        <w:t> </w:t>
      </w:r>
      <w:r w:rsidR="005D6684" w:rsidRPr="00CA75AB">
        <w:t>myokarde a jeho nároky na kyslík.</w:t>
      </w:r>
    </w:p>
    <w:p w14:paraId="0543DF03" w14:textId="77777777" w:rsidR="005D6684" w:rsidRPr="00CA75AB" w:rsidRDefault="00A65906" w:rsidP="00CA249A">
      <w:pPr>
        <w:pStyle w:val="Normlndobloku"/>
      </w:pPr>
      <w:r>
        <w:t xml:space="preserve">2. </w:t>
      </w:r>
      <w:r w:rsidR="005D6684" w:rsidRPr="00CA75AB">
        <w:t>Mechanizmus účinku pravdepodobne tiež zahŕňa dilatáciu hlavných koronárnych artérií a koronárnych arteriol. Táto dilatácia zvyšuje zásobovanie srdcového svalu kyslíkom u pacientov so záchvatom Prinzmetalovej anginy.</w:t>
      </w:r>
    </w:p>
    <w:p w14:paraId="17CF2778" w14:textId="77777777" w:rsidR="005D6684" w:rsidRPr="00CA75AB" w:rsidRDefault="005D6684" w:rsidP="00CA249A">
      <w:pPr>
        <w:pStyle w:val="Normlndobloku"/>
      </w:pPr>
      <w:r w:rsidRPr="00CA75AB">
        <w:t>U pacientov s hypertenziou dávkovanie jedenkrát denne zabezpečí klinicky významné zníženie krvného tlaku (vo vodorovnej i vzpriamenej polohe) trvajúce 24 hodín. Pretože farmakologický účinok amlodipínu má pomalý nástup, nespôsobuje akútnu hypotenziu.</w:t>
      </w:r>
    </w:p>
    <w:p w14:paraId="0129F4F9" w14:textId="77777777" w:rsidR="005D6684" w:rsidRPr="00CA75AB" w:rsidRDefault="005D6684" w:rsidP="00CA249A">
      <w:pPr>
        <w:pStyle w:val="Normlndobloku"/>
      </w:pPr>
      <w:r w:rsidRPr="00CA75AB">
        <w:t xml:space="preserve">U pacientov s angínou, dávkovanie amlodipínu jedenkrát denne predlžuje celkový čas tolerancie fyzickej záťaže, </w:t>
      </w:r>
      <w:r w:rsidR="00B91360" w:rsidRPr="00CA75AB">
        <w:t>odďaľuje</w:t>
      </w:r>
      <w:r w:rsidRPr="00CA75AB">
        <w:t xml:space="preserve"> vznik anginózneho záchvatu a výskyt 1-mm ST intervalu. Amlodipín znižuje frekvenciu záchvatov anginy i spotrebu glyceroltrinitrátových tabliet.</w:t>
      </w:r>
    </w:p>
    <w:p w14:paraId="41A7A7C8" w14:textId="36BA40B4" w:rsidR="005D6684" w:rsidRPr="00CA75AB" w:rsidRDefault="005D6684" w:rsidP="00CA249A">
      <w:pPr>
        <w:pStyle w:val="Normlndobloku"/>
      </w:pPr>
      <w:r w:rsidRPr="00CA75AB">
        <w:t>Nepozorovali sa žiadne metabolické účinky počas liečby amlodipínom, napr.</w:t>
      </w:r>
      <w:r w:rsidR="00446EF1">
        <w:t xml:space="preserve"> </w:t>
      </w:r>
      <w:r w:rsidRPr="00CA75AB">
        <w:t>na metabolizmus plazmatických lipidov alebo na metabolizmus glukózy.</w:t>
      </w:r>
    </w:p>
    <w:p w14:paraId="57DC8DC1" w14:textId="77777777" w:rsidR="00B23DDB" w:rsidRPr="00CA75AB" w:rsidRDefault="00B23DDB" w:rsidP="00C32C3A">
      <w:pPr>
        <w:pStyle w:val="Styl3"/>
      </w:pPr>
      <w:r w:rsidRPr="00CA75AB">
        <w:t>Pacienti so srdcovým zlyhaním</w:t>
      </w:r>
    </w:p>
    <w:p w14:paraId="43371236" w14:textId="77777777" w:rsidR="00B23DDB" w:rsidRPr="00CA75AB" w:rsidRDefault="00B23DDB" w:rsidP="00CA249A">
      <w:pPr>
        <w:pStyle w:val="Normlndobloku"/>
      </w:pPr>
      <w:r w:rsidRPr="00CA75AB">
        <w:lastRenderedPageBreak/>
        <w:t>Hemodynamické štúdie a klinické záťažové štúdie u pacientov so srdcovým zlyhaním triedy II</w:t>
      </w:r>
      <w:r w:rsidR="00B91360" w:rsidRPr="00CA75AB">
        <w:t>‒</w:t>
      </w:r>
      <w:r w:rsidRPr="00CA75AB">
        <w:t>IV podľa NYHA ukázali, že amlodipín na základe záťažovej tolerancie, ejekčnej frakcie ľavej komory a klinickej symptomatológie nespôsobuje klinické zhoršenie stavu.</w:t>
      </w:r>
    </w:p>
    <w:p w14:paraId="32C26714" w14:textId="77777777" w:rsidR="00B23DDB" w:rsidRPr="00CA75AB" w:rsidRDefault="00B23DDB" w:rsidP="00CA249A">
      <w:pPr>
        <w:pStyle w:val="Normlndobloku"/>
      </w:pPr>
      <w:r w:rsidRPr="00CA75AB">
        <w:t>Placebom kontrolovaná štúdia (PRAISE) hodnotiaca pacientov so srdcovým zlyhaním triedy III</w:t>
      </w:r>
      <w:r w:rsidR="00B91360" w:rsidRPr="00CA75AB">
        <w:t>‒</w:t>
      </w:r>
      <w:r w:rsidRPr="00CA75AB">
        <w:t xml:space="preserve">IV podľa NYHA užívajúcich digoxín, diuretiká a inhibítory ACE </w:t>
      </w:r>
      <w:r w:rsidR="00C24534" w:rsidRPr="00CA75AB">
        <w:t>(angiotensin</w:t>
      </w:r>
      <w:r w:rsidR="00D67DFC" w:rsidRPr="00CA75AB">
        <w:t xml:space="preserve">-converting enzyme) </w:t>
      </w:r>
      <w:r w:rsidRPr="00CA75AB">
        <w:t>preukázala, že amlodipín nezvyšuje riziko mortality alebo kombinovanej mortality a morbidity pri srdcovom zlyhaní.</w:t>
      </w:r>
    </w:p>
    <w:p w14:paraId="66F92C5A" w14:textId="185652E6" w:rsidR="00B23DDB" w:rsidRPr="00CA75AB" w:rsidRDefault="00D67DFC" w:rsidP="00CA249A">
      <w:pPr>
        <w:pStyle w:val="Normlndobloku"/>
      </w:pPr>
      <w:r w:rsidRPr="00CA75AB">
        <w:t>Následná dlhodobá placebom kontrolovaná štúdia (PRAISE 2) ukázala, že amlodipín nemal vplyv na celkovú</w:t>
      </w:r>
      <w:r w:rsidR="00A17918" w:rsidRPr="00CA75AB">
        <w:t xml:space="preserve"> kardiovaskulárnu</w:t>
      </w:r>
      <w:r w:rsidR="00DF0741" w:rsidRPr="00CA75AB">
        <w:t xml:space="preserve"> </w:t>
      </w:r>
      <w:r w:rsidR="00A17918" w:rsidRPr="00CA75AB">
        <w:t>mortalitu u pacientov so srdcovým zlyhaním triedy III a IV NYHA bez klinických príznakov alebo objektívneho zistenia poukazujúceho na základ ische</w:t>
      </w:r>
      <w:r w:rsidR="00D3537D" w:rsidRPr="00CA75AB">
        <w:t>m</w:t>
      </w:r>
      <w:r w:rsidR="00A17918" w:rsidRPr="00CA75AB">
        <w:t xml:space="preserve">ickej choroby, ktorí užívajú stabilné dávky ACE </w:t>
      </w:r>
      <w:r w:rsidR="003F36A5" w:rsidRPr="00CA75AB">
        <w:t>inhibítorov</w:t>
      </w:r>
      <w:r w:rsidR="00A17918" w:rsidRPr="00CA75AB">
        <w:t>, digitalis a </w:t>
      </w:r>
      <w:r w:rsidR="003F36A5" w:rsidRPr="00CA75AB">
        <w:t>diuretík</w:t>
      </w:r>
      <w:r w:rsidR="00A17918" w:rsidRPr="00CA75AB">
        <w:t>. U</w:t>
      </w:r>
      <w:r w:rsidR="006A07B0" w:rsidRPr="00CA75AB">
        <w:t> </w:t>
      </w:r>
      <w:r w:rsidR="003F36A5" w:rsidRPr="00CA75AB">
        <w:t>tej</w:t>
      </w:r>
      <w:r w:rsidR="006A07B0" w:rsidRPr="00CA75AB">
        <w:t xml:space="preserve"> istej </w:t>
      </w:r>
      <w:r w:rsidR="003F36A5" w:rsidRPr="00CA75AB">
        <w:t>populácie</w:t>
      </w:r>
      <w:r w:rsidR="00DF0741" w:rsidRPr="00CA75AB">
        <w:t xml:space="preserve"> </w:t>
      </w:r>
      <w:r w:rsidR="006A07B0" w:rsidRPr="00CA75AB">
        <w:t>bola liečba amlodipínom spojen</w:t>
      </w:r>
      <w:r w:rsidR="00926A94" w:rsidRPr="00CA75AB">
        <w:t>á</w:t>
      </w:r>
      <w:r w:rsidR="006A07B0" w:rsidRPr="00CA75AB">
        <w:t xml:space="preserve"> so zvýšeným výskytom edému </w:t>
      </w:r>
      <w:r w:rsidR="003F36A5" w:rsidRPr="00CA75AB">
        <w:t>pľúc</w:t>
      </w:r>
      <w:r w:rsidR="006A07B0" w:rsidRPr="00CA75AB">
        <w:t>, napriek</w:t>
      </w:r>
      <w:r w:rsidR="00DF0741" w:rsidRPr="00CA75AB">
        <w:t xml:space="preserve"> </w:t>
      </w:r>
      <w:r w:rsidR="006A07B0" w:rsidRPr="00CA75AB">
        <w:t>tomu nebol žiadny vý</w:t>
      </w:r>
      <w:r w:rsidR="00D3537D" w:rsidRPr="00CA75AB">
        <w:t>znamný rozdiel vo výskyt</w:t>
      </w:r>
      <w:r w:rsidR="00186D8F">
        <w:t>e</w:t>
      </w:r>
      <w:r w:rsidR="00D3537D" w:rsidRPr="00CA75AB">
        <w:t xml:space="preserve"> zhoršenia srdcového zlyhania v porovnaní s placebom.</w:t>
      </w:r>
    </w:p>
    <w:p w14:paraId="00275A7B" w14:textId="77777777" w:rsidR="00B23DDB" w:rsidRPr="00CA75AB" w:rsidRDefault="00B23DDB" w:rsidP="00CE70E9">
      <w:pPr>
        <w:pStyle w:val="Styl2"/>
      </w:pPr>
      <w:r w:rsidRPr="00CA75AB">
        <w:t>5.2</w:t>
      </w:r>
      <w:r w:rsidRPr="00CA75AB">
        <w:tab/>
        <w:t>Farmakokinetické vlastnosti</w:t>
      </w:r>
    </w:p>
    <w:p w14:paraId="00C6D5BD" w14:textId="77777777" w:rsidR="00B23DDB" w:rsidRPr="00CA75AB" w:rsidRDefault="00B23DDB" w:rsidP="00C32C3A">
      <w:pPr>
        <w:pStyle w:val="Styl3"/>
      </w:pPr>
      <w:r w:rsidRPr="00CA75AB">
        <w:t>Absorpcia/Distribúcia</w:t>
      </w:r>
    </w:p>
    <w:p w14:paraId="670257DA" w14:textId="77777777" w:rsidR="00B23DDB" w:rsidRPr="00CA75AB" w:rsidRDefault="00B23DDB" w:rsidP="00CA249A">
      <w:pPr>
        <w:pStyle w:val="Normlndobloku"/>
      </w:pPr>
      <w:r w:rsidRPr="00CA75AB">
        <w:t xml:space="preserve">Po perorálnom podaní terapeutických dávok sa amlodipín pomaly absorbuje. Absorpcia amlodipínu nie je ovplyvnená súbežným </w:t>
      </w:r>
      <w:r w:rsidR="003F36A5" w:rsidRPr="00CA75AB">
        <w:t>príjmom</w:t>
      </w:r>
      <w:r w:rsidRPr="00CA75AB">
        <w:t xml:space="preserve"> potravy. Absolútna biodostupnosť nezmeneného liečiva sa odhaduje na 64</w:t>
      </w:r>
      <w:r w:rsidR="006F7A74">
        <w:t> </w:t>
      </w:r>
      <w:r w:rsidR="00B91360" w:rsidRPr="00CA75AB">
        <w:t>‒</w:t>
      </w:r>
      <w:r w:rsidR="006F7A74">
        <w:t> </w:t>
      </w:r>
      <w:r w:rsidRPr="00CA75AB">
        <w:t>80</w:t>
      </w:r>
      <w:r w:rsidR="00CA75AB">
        <w:t> %</w:t>
      </w:r>
      <w:r w:rsidRPr="00CA75AB">
        <w:t>. Maximálne plazmatické hladiny sa dosahujú 6</w:t>
      </w:r>
      <w:r w:rsidR="006F7A74">
        <w:t> </w:t>
      </w:r>
      <w:r w:rsidR="00B91360" w:rsidRPr="00CA75AB">
        <w:rPr>
          <w:rFonts w:ascii="Times New Roman" w:hAnsi="Times New Roman"/>
        </w:rPr>
        <w:t>‒</w:t>
      </w:r>
      <w:r w:rsidR="006F7A74">
        <w:rPr>
          <w:rFonts w:ascii="Times New Roman" w:hAnsi="Times New Roman"/>
        </w:rPr>
        <w:t> </w:t>
      </w:r>
      <w:r w:rsidRPr="00CA75AB">
        <w:t xml:space="preserve">12 hodín po podaní. Distribučný objem je približne 21 l/kg. Hodnota </w:t>
      </w:r>
      <w:r w:rsidRPr="00CA75AB">
        <w:rPr>
          <w:snapToGrid w:val="0"/>
        </w:rPr>
        <w:t>pK</w:t>
      </w:r>
      <w:r w:rsidRPr="00CA75AB">
        <w:rPr>
          <w:snapToGrid w:val="0"/>
          <w:vertAlign w:val="subscript"/>
        </w:rPr>
        <w:t>a</w:t>
      </w:r>
      <w:r w:rsidRPr="00CA75AB">
        <w:rPr>
          <w:snapToGrid w:val="0"/>
        </w:rPr>
        <w:t xml:space="preserve"> amlodipínu je 8,6. </w:t>
      </w:r>
      <w:r w:rsidRPr="00CA75AB">
        <w:rPr>
          <w:rStyle w:val="Bacil"/>
          <w:lang w:val="sk-SK"/>
        </w:rPr>
        <w:t>In vitro</w:t>
      </w:r>
      <w:r w:rsidRPr="00CA75AB">
        <w:rPr>
          <w:snapToGrid w:val="0"/>
        </w:rPr>
        <w:t xml:space="preserve"> štúdie preukázali, že asi 97,5</w:t>
      </w:r>
      <w:r w:rsidR="00CA75AB">
        <w:rPr>
          <w:snapToGrid w:val="0"/>
        </w:rPr>
        <w:t> %</w:t>
      </w:r>
      <w:r w:rsidRPr="00CA75AB">
        <w:rPr>
          <w:snapToGrid w:val="0"/>
        </w:rPr>
        <w:t xml:space="preserve"> amlodipínu sa viaže na plazmatické proteíny.</w:t>
      </w:r>
    </w:p>
    <w:p w14:paraId="5FF12424" w14:textId="7F396D34" w:rsidR="00B23DDB" w:rsidRPr="00CA75AB" w:rsidRDefault="00B23DDB" w:rsidP="00C32C3A">
      <w:pPr>
        <w:pStyle w:val="Styl3"/>
      </w:pPr>
      <w:r w:rsidRPr="00CA75AB">
        <w:t>Metabolizmus/</w:t>
      </w:r>
      <w:r w:rsidR="004417EE">
        <w:t>E</w:t>
      </w:r>
      <w:r w:rsidR="007E35F1">
        <w:t>liminácia</w:t>
      </w:r>
    </w:p>
    <w:p w14:paraId="4104655A" w14:textId="262FC8F2" w:rsidR="00B23DDB" w:rsidRPr="00CA75AB" w:rsidRDefault="00B23DDB" w:rsidP="00CA249A">
      <w:pPr>
        <w:pStyle w:val="Normlndobloku"/>
      </w:pPr>
      <w:r w:rsidRPr="00CA75AB">
        <w:t>Plazmatický polčas eliminácie je približne 35</w:t>
      </w:r>
      <w:r w:rsidR="006F7A74">
        <w:t> </w:t>
      </w:r>
      <w:r w:rsidR="00B91360" w:rsidRPr="00CA75AB">
        <w:rPr>
          <w:rFonts w:ascii="Times New Roman" w:hAnsi="Times New Roman"/>
        </w:rPr>
        <w:t>‒</w:t>
      </w:r>
      <w:r w:rsidR="006F7A74">
        <w:rPr>
          <w:rFonts w:ascii="Times New Roman" w:hAnsi="Times New Roman"/>
        </w:rPr>
        <w:t> </w:t>
      </w:r>
      <w:r w:rsidRPr="00CA75AB">
        <w:t>50 hodín. Rovnovážne plazmatické hladiny sa dosahujú po 7</w:t>
      </w:r>
      <w:r w:rsidR="006F7A74">
        <w:t> </w:t>
      </w:r>
      <w:r w:rsidR="00B91360" w:rsidRPr="00CA75AB">
        <w:rPr>
          <w:rFonts w:ascii="Times New Roman" w:hAnsi="Times New Roman"/>
        </w:rPr>
        <w:t>‒</w:t>
      </w:r>
      <w:r w:rsidR="006F7A74">
        <w:rPr>
          <w:rFonts w:ascii="Times New Roman" w:hAnsi="Times New Roman"/>
        </w:rPr>
        <w:t> </w:t>
      </w:r>
      <w:r w:rsidRPr="00CA75AB">
        <w:t>8 po sebe nasledujúcich dňoch. Amlodipín sa v</w:t>
      </w:r>
      <w:r w:rsidR="00446EF1">
        <w:t xml:space="preserve"> </w:t>
      </w:r>
      <w:r w:rsidRPr="00CA75AB">
        <w:t>rozsiahlej miere metabolizuje na inaktívne metabolity. Asi 60</w:t>
      </w:r>
      <w:r w:rsidR="00CA75AB">
        <w:t> %</w:t>
      </w:r>
      <w:r w:rsidRPr="00CA75AB">
        <w:t xml:space="preserve"> podanej dávky sa vylučuje močom, z čoho 10</w:t>
      </w:r>
      <w:r w:rsidR="00CA75AB">
        <w:t> %</w:t>
      </w:r>
      <w:r w:rsidRPr="00CA75AB">
        <w:t xml:space="preserve"> ako nezmenený amlodipín.</w:t>
      </w:r>
    </w:p>
    <w:p w14:paraId="60B0F33A" w14:textId="77777777" w:rsidR="00B23DDB" w:rsidRPr="00CA75AB" w:rsidRDefault="00B23DDB" w:rsidP="00C32C3A">
      <w:pPr>
        <w:pStyle w:val="Styl3"/>
      </w:pPr>
      <w:r w:rsidRPr="00CA75AB">
        <w:t>Starší pacienti</w:t>
      </w:r>
    </w:p>
    <w:p w14:paraId="7F6FE77C" w14:textId="3D1A15B6" w:rsidR="005D6684" w:rsidRPr="00CA75AB" w:rsidRDefault="00B23DDB" w:rsidP="00CA249A">
      <w:pPr>
        <w:pStyle w:val="Normlndobloku"/>
      </w:pPr>
      <w:r w:rsidRPr="00CA75AB">
        <w:t xml:space="preserve">Čas na dosiahnutie maximálnych plazmatických koncentrácií </w:t>
      </w:r>
      <w:r w:rsidR="00F46E6F" w:rsidRPr="00CA75AB">
        <w:t xml:space="preserve">amlodipínu </w:t>
      </w:r>
      <w:r w:rsidRPr="00CA75AB">
        <w:t xml:space="preserve">je podobný u starších i mladších pacientov. Klírens </w:t>
      </w:r>
      <w:r w:rsidR="00F46E6F" w:rsidRPr="00CA75AB">
        <w:t xml:space="preserve">amlodipínu </w:t>
      </w:r>
      <w:r w:rsidRPr="00CA75AB">
        <w:t>sa znižuje, čo vedie</w:t>
      </w:r>
      <w:r w:rsidR="00926A94" w:rsidRPr="00CA75AB">
        <w:t xml:space="preserve"> u starších pacientov</w:t>
      </w:r>
      <w:r w:rsidRPr="00CA75AB">
        <w:t xml:space="preserve"> k zvýšeniu „plochy pod krivkou“ (AUC) a</w:t>
      </w:r>
      <w:r w:rsidR="00446EF1">
        <w:t xml:space="preserve"> </w:t>
      </w:r>
      <w:r w:rsidRPr="00CA75AB">
        <w:t xml:space="preserve">polčasu eliminácie. </w:t>
      </w:r>
      <w:r w:rsidR="00926A94" w:rsidRPr="00CA75AB">
        <w:t>Podľa očakávania došlo u študovanej vekovej skupiny pacientov s</w:t>
      </w:r>
      <w:r w:rsidR="006A2A9C" w:rsidRPr="00CA75AB">
        <w:t> kon</w:t>
      </w:r>
      <w:r w:rsidR="003F36A5" w:rsidRPr="00CA75AB">
        <w:t>g</w:t>
      </w:r>
      <w:r w:rsidR="006A2A9C" w:rsidRPr="00CA75AB">
        <w:t>estívnym srdcovým zlyhaním ku zvýšeniu AUC a eliminačného polčasu (pozri časť 4.4)</w:t>
      </w:r>
    </w:p>
    <w:p w14:paraId="03108413" w14:textId="77777777" w:rsidR="00B23DDB" w:rsidRPr="00CA75AB" w:rsidRDefault="00B23DDB" w:rsidP="00C32C3A">
      <w:pPr>
        <w:pStyle w:val="Styl3"/>
      </w:pPr>
      <w:r w:rsidRPr="00CA75AB">
        <w:t>Pacienti so zlyhaním obličiek</w:t>
      </w:r>
    </w:p>
    <w:p w14:paraId="2BA7827A" w14:textId="77777777" w:rsidR="00B23DDB" w:rsidRPr="00CA75AB" w:rsidRDefault="00B23DDB" w:rsidP="00CA249A">
      <w:pPr>
        <w:pStyle w:val="Normlndobloku"/>
      </w:pPr>
      <w:r w:rsidRPr="00CA75AB">
        <w:t>Amlodipín sa v rozsiahlej miere metabolizuje na inaktívne metabolity. 10</w:t>
      </w:r>
      <w:r w:rsidR="00CA75AB">
        <w:t> %</w:t>
      </w:r>
      <w:r w:rsidRPr="00CA75AB">
        <w:t xml:space="preserve"> pôvodnej látky sa vylučuje močom v nezmenenej forme. Zmeny v koncentrácii amlodipínu nekorelujú so stupňom renálneho poškodenia. Preto sa odporúča normálne dávkovanie. Amlodipín nie je dialyzovateľný.</w:t>
      </w:r>
    </w:p>
    <w:p w14:paraId="5445574A" w14:textId="77777777" w:rsidR="00B23DDB" w:rsidRPr="00CA75AB" w:rsidRDefault="00B23DDB" w:rsidP="00C32C3A">
      <w:pPr>
        <w:pStyle w:val="Styl3"/>
      </w:pPr>
      <w:r w:rsidRPr="00CA75AB">
        <w:t>Pacienti s poruchou funkcie pečene</w:t>
      </w:r>
    </w:p>
    <w:p w14:paraId="0332A1FB" w14:textId="2CBFCD52" w:rsidR="00B23DDB" w:rsidRPr="00CA75AB" w:rsidRDefault="00B23DDB" w:rsidP="00CA249A">
      <w:pPr>
        <w:pStyle w:val="Normlndobloku"/>
      </w:pPr>
      <w:r w:rsidRPr="00CA75AB">
        <w:t>U pacientov s poruchou funkcie pečene je polčas amlodipínu predĺžený.</w:t>
      </w:r>
    </w:p>
    <w:p w14:paraId="487CC378" w14:textId="5D052E32" w:rsidR="00B23DDB" w:rsidRPr="00CA75AB" w:rsidRDefault="00B23DDB" w:rsidP="00CE70E9">
      <w:pPr>
        <w:pStyle w:val="Styl2"/>
      </w:pPr>
      <w:r w:rsidRPr="00CA75AB">
        <w:t>5.3</w:t>
      </w:r>
      <w:r w:rsidRPr="00CA75AB">
        <w:tab/>
        <w:t>Predklinické údaje o</w:t>
      </w:r>
      <w:r w:rsidR="00446EF1">
        <w:t xml:space="preserve"> </w:t>
      </w:r>
      <w:r w:rsidRPr="00CA75AB">
        <w:t>bezpečnosti</w:t>
      </w:r>
    </w:p>
    <w:p w14:paraId="7563AFA7" w14:textId="264E399B" w:rsidR="00B23DDB" w:rsidRPr="00CA75AB" w:rsidRDefault="00B23DDB" w:rsidP="00CA249A">
      <w:pPr>
        <w:pStyle w:val="Normlndobloku"/>
      </w:pPr>
      <w:r w:rsidRPr="00CA75AB">
        <w:t>Predklinické údaje na základe obvyklých štúdií farmakologickej bezpečnosti, toxicity po opakovanom podávaní, genotoxicity a</w:t>
      </w:r>
      <w:r w:rsidR="00446EF1">
        <w:t xml:space="preserve"> </w:t>
      </w:r>
      <w:r w:rsidRPr="00CA75AB">
        <w:t>karcinogénneho potenciálu neodhalili žiadne osobitné riziko pre ľudí. V štúdiách na zvieratách s ohľadom na reprodukciu u potkanov pri vysokých dávkach bol pozorovaný oneskorený pôrod, ťažký pôrod a porucha fetálneho prežívania a prežívania mláďat.</w:t>
      </w:r>
    </w:p>
    <w:p w14:paraId="0C56A171" w14:textId="77777777" w:rsidR="00B23DDB" w:rsidRPr="00CA75AB" w:rsidRDefault="00B23DDB" w:rsidP="00CE70E9">
      <w:pPr>
        <w:pStyle w:val="Styl1"/>
      </w:pPr>
      <w:r w:rsidRPr="00CA75AB">
        <w:t>FARMACEUTICKÉ INFORMÁCIE</w:t>
      </w:r>
    </w:p>
    <w:p w14:paraId="727C249E" w14:textId="77777777" w:rsidR="00B23DDB" w:rsidRPr="00CA75AB" w:rsidRDefault="00B23DDB" w:rsidP="00CE70E9">
      <w:pPr>
        <w:pStyle w:val="Styl2"/>
      </w:pPr>
      <w:r w:rsidRPr="00CA75AB">
        <w:t>6.1</w:t>
      </w:r>
      <w:r w:rsidRPr="00CA75AB">
        <w:tab/>
        <w:t>Zoznam pomocných látok</w:t>
      </w:r>
    </w:p>
    <w:p w14:paraId="1F95C6EC" w14:textId="77777777" w:rsidR="00B23DDB" w:rsidRPr="00CA75AB" w:rsidRDefault="00B23DDB" w:rsidP="00CA249A">
      <w:pPr>
        <w:pStyle w:val="Normlndobloku"/>
      </w:pPr>
      <w:r w:rsidRPr="00CA75AB">
        <w:t>Mikrokryštalická celulóza</w:t>
      </w:r>
    </w:p>
    <w:p w14:paraId="4FFD1996" w14:textId="26FCC9A9" w:rsidR="00B23DDB" w:rsidRPr="00CA75AB" w:rsidRDefault="00B23DDB" w:rsidP="00CA249A">
      <w:pPr>
        <w:pStyle w:val="Normlndobloku"/>
      </w:pPr>
      <w:r w:rsidRPr="00CA75AB">
        <w:t>Bezvodý hydrog</w:t>
      </w:r>
      <w:r w:rsidR="004417EE">
        <w:t>e</w:t>
      </w:r>
      <w:r w:rsidRPr="00CA75AB">
        <w:t>nfosforečnan vápenatý</w:t>
      </w:r>
    </w:p>
    <w:p w14:paraId="3BCB5EC4" w14:textId="77777777" w:rsidR="00B23DDB" w:rsidRPr="00CA75AB" w:rsidRDefault="00B23DDB" w:rsidP="00CA249A">
      <w:pPr>
        <w:pStyle w:val="Normlndobloku"/>
      </w:pPr>
      <w:r w:rsidRPr="00CA75AB">
        <w:lastRenderedPageBreak/>
        <w:t>Sodná soľ karboxymetylškrobu (typ</w:t>
      </w:r>
      <w:r w:rsidR="005D6684" w:rsidRPr="00CA75AB">
        <w:t xml:space="preserve"> </w:t>
      </w:r>
      <w:r w:rsidRPr="00CA75AB">
        <w:t>A)</w:t>
      </w:r>
    </w:p>
    <w:p w14:paraId="03FF65CA" w14:textId="4AD110D1" w:rsidR="00B23DDB" w:rsidRPr="00CA75AB" w:rsidRDefault="004417EE" w:rsidP="00CA249A">
      <w:pPr>
        <w:pStyle w:val="Normlndobloku"/>
      </w:pPr>
      <w:r>
        <w:t>Stearát horečnatý</w:t>
      </w:r>
    </w:p>
    <w:p w14:paraId="77F0AF07" w14:textId="77777777" w:rsidR="00B23DDB" w:rsidRPr="00CA75AB" w:rsidRDefault="00B23DDB" w:rsidP="00CE70E9">
      <w:pPr>
        <w:pStyle w:val="Styl2"/>
      </w:pPr>
      <w:r w:rsidRPr="00CA75AB">
        <w:t>6.2</w:t>
      </w:r>
      <w:r w:rsidRPr="00CA75AB">
        <w:tab/>
        <w:t>Inkompatibility</w:t>
      </w:r>
    </w:p>
    <w:p w14:paraId="677785AB" w14:textId="77777777" w:rsidR="00B23DDB" w:rsidRPr="00CA75AB" w:rsidRDefault="00B23DDB" w:rsidP="00CA249A">
      <w:pPr>
        <w:pStyle w:val="Normlndobloku"/>
      </w:pPr>
      <w:r w:rsidRPr="00CA75AB">
        <w:t>Neaplikovateľné</w:t>
      </w:r>
    </w:p>
    <w:p w14:paraId="6F4FE123" w14:textId="77777777" w:rsidR="00B23DDB" w:rsidRPr="00CA75AB" w:rsidRDefault="00B23DDB" w:rsidP="00CE70E9">
      <w:pPr>
        <w:pStyle w:val="Styl2"/>
      </w:pPr>
      <w:r w:rsidRPr="00CA75AB">
        <w:t>6.3</w:t>
      </w:r>
      <w:r w:rsidRPr="00CA75AB">
        <w:tab/>
        <w:t>Čas použiteľnosti</w:t>
      </w:r>
    </w:p>
    <w:p w14:paraId="667CEAC2" w14:textId="77777777" w:rsidR="00B23DDB" w:rsidRPr="00CA75AB" w:rsidRDefault="00B23DDB" w:rsidP="00CA249A">
      <w:pPr>
        <w:pStyle w:val="Normlndobloku"/>
      </w:pPr>
      <w:r w:rsidRPr="00CA75AB">
        <w:t>3 roky</w:t>
      </w:r>
    </w:p>
    <w:p w14:paraId="6146F5CF" w14:textId="77777777" w:rsidR="00B23DDB" w:rsidRPr="00CA75AB" w:rsidRDefault="00B23DDB" w:rsidP="00CE70E9">
      <w:pPr>
        <w:pStyle w:val="Styl2"/>
      </w:pPr>
      <w:r w:rsidRPr="00CA75AB">
        <w:t>6.4</w:t>
      </w:r>
      <w:r w:rsidRPr="00CA75AB">
        <w:tab/>
        <w:t>Špeciálne upozornenia na uchovávanie</w:t>
      </w:r>
    </w:p>
    <w:p w14:paraId="7A50DE29" w14:textId="77777777" w:rsidR="00B23DDB" w:rsidRPr="00CA75AB" w:rsidRDefault="00B23DDB" w:rsidP="00CA249A">
      <w:pPr>
        <w:pStyle w:val="Normlndobloku"/>
      </w:pPr>
      <w:r w:rsidRPr="00CA75AB">
        <w:t>Tento liek nevyžaduje žiadne zvláštne podmienky na uchovávanie.</w:t>
      </w:r>
    </w:p>
    <w:p w14:paraId="0B67D48B" w14:textId="0E42CEC0" w:rsidR="00B23DDB" w:rsidRPr="00CA75AB" w:rsidRDefault="00B23DDB" w:rsidP="00CE70E9">
      <w:pPr>
        <w:pStyle w:val="Styl2"/>
      </w:pPr>
      <w:r w:rsidRPr="00CA75AB">
        <w:t>6.5</w:t>
      </w:r>
      <w:r w:rsidRPr="00CA75AB">
        <w:tab/>
        <w:t>Druh obalu a</w:t>
      </w:r>
      <w:r w:rsidR="00446EF1">
        <w:t xml:space="preserve"> </w:t>
      </w:r>
      <w:r w:rsidRPr="00CA75AB">
        <w:t>obsah balenia</w:t>
      </w:r>
    </w:p>
    <w:p w14:paraId="29517F89" w14:textId="77777777" w:rsidR="00B23DDB" w:rsidRPr="00CA75AB" w:rsidRDefault="00B23DDB" w:rsidP="00CA249A">
      <w:pPr>
        <w:pStyle w:val="Normlndobloku"/>
      </w:pPr>
      <w:r w:rsidRPr="00CA75AB">
        <w:t>PVC/PE/PVDC/Al blister</w:t>
      </w:r>
    </w:p>
    <w:p w14:paraId="36967699" w14:textId="77777777" w:rsidR="00B23DDB" w:rsidRPr="00CA75AB" w:rsidRDefault="00B23DDB" w:rsidP="00CA249A">
      <w:pPr>
        <w:pStyle w:val="Normlndobloku"/>
      </w:pPr>
      <w:r w:rsidRPr="00CA75AB">
        <w:t>Veľkosť balenia: 30 a 50 tabliet</w:t>
      </w:r>
    </w:p>
    <w:p w14:paraId="40DE7DCE" w14:textId="77777777" w:rsidR="006F7A74" w:rsidRPr="00CA75AB" w:rsidRDefault="006F7A74" w:rsidP="00CA249A">
      <w:pPr>
        <w:pStyle w:val="Normlndobloku"/>
      </w:pPr>
      <w:r>
        <w:t>Na trh nemusia byť uvedené všetky veľkosti balenia.</w:t>
      </w:r>
    </w:p>
    <w:p w14:paraId="328D1CBB" w14:textId="77777777" w:rsidR="00B23DDB" w:rsidRPr="00CA75AB" w:rsidRDefault="00B23DDB" w:rsidP="00CE70E9">
      <w:pPr>
        <w:pStyle w:val="Styl2"/>
      </w:pPr>
      <w:r w:rsidRPr="00CA75AB">
        <w:t>6.6</w:t>
      </w:r>
      <w:r w:rsidRPr="00CA75AB">
        <w:tab/>
        <w:t>Špeciálne opatrenia na likvidáciu</w:t>
      </w:r>
    </w:p>
    <w:p w14:paraId="6A94040D" w14:textId="77777777" w:rsidR="00B23DDB" w:rsidRPr="00CA75AB" w:rsidRDefault="00B23DDB" w:rsidP="00CA249A">
      <w:pPr>
        <w:pStyle w:val="Normlndobloku"/>
      </w:pPr>
      <w:r w:rsidRPr="00CA75AB">
        <w:t>Žiadne zvláštne požiadavky.</w:t>
      </w:r>
    </w:p>
    <w:p w14:paraId="4B6C69EC" w14:textId="77777777" w:rsidR="00B23DDB" w:rsidRPr="00CA75AB" w:rsidRDefault="00B23DDB" w:rsidP="00CE70E9">
      <w:pPr>
        <w:pStyle w:val="Styl1"/>
      </w:pPr>
      <w:r w:rsidRPr="00CA75AB">
        <w:t>DRŽITEĽ ROZHODNUTIA O REGISTRÁCII</w:t>
      </w:r>
    </w:p>
    <w:p w14:paraId="19285E99" w14:textId="008AF648" w:rsidR="00B23DDB" w:rsidRPr="00CA75AB" w:rsidRDefault="00A27105" w:rsidP="00CA249A">
      <w:pPr>
        <w:pStyle w:val="Normlndobloku"/>
      </w:pPr>
      <w:r w:rsidRPr="00CA75AB">
        <w:t xml:space="preserve">MEDOCHEMIE </w:t>
      </w:r>
      <w:r w:rsidR="00B23DDB" w:rsidRPr="00CA75AB">
        <w:t>Ltd.,</w:t>
      </w:r>
      <w:r w:rsidR="009D739C">
        <w:t xml:space="preserve"> 1</w:t>
      </w:r>
      <w:r w:rsidR="007E35F1">
        <w:t>-</w:t>
      </w:r>
      <w:r w:rsidR="009D739C">
        <w:t xml:space="preserve">10 Constantinoupoleos </w:t>
      </w:r>
      <w:r w:rsidR="00F52C49">
        <w:t>S</w:t>
      </w:r>
      <w:r w:rsidR="009D739C">
        <w:t>treet, 3011</w:t>
      </w:r>
      <w:r w:rsidR="00B23DDB" w:rsidRPr="00CA75AB">
        <w:t xml:space="preserve"> Limassol, Cyprus</w:t>
      </w:r>
    </w:p>
    <w:p w14:paraId="3CC1E195" w14:textId="77777777" w:rsidR="00B23DDB" w:rsidRPr="00CA75AB" w:rsidRDefault="00B23DDB" w:rsidP="00CE70E9">
      <w:pPr>
        <w:pStyle w:val="Styl1"/>
      </w:pPr>
      <w:r w:rsidRPr="00CA75AB">
        <w:t>REGISTRAČNÉ ČÍSLA</w:t>
      </w:r>
    </w:p>
    <w:p w14:paraId="74F7EE56" w14:textId="77777777" w:rsidR="00B23DDB" w:rsidRPr="00CA75AB" w:rsidRDefault="00B23DDB" w:rsidP="00CA249A">
      <w:pPr>
        <w:pStyle w:val="Normlndobloku"/>
      </w:pPr>
      <w:r w:rsidRPr="00CA75AB">
        <w:t>ACCEL 5 mg: 83/0463/07-S</w:t>
      </w:r>
    </w:p>
    <w:p w14:paraId="667F57F2" w14:textId="77777777" w:rsidR="00B23DDB" w:rsidRPr="00CA75AB" w:rsidRDefault="00B23DDB" w:rsidP="00CA249A">
      <w:pPr>
        <w:pStyle w:val="Normlndobloku"/>
      </w:pPr>
      <w:r w:rsidRPr="00A00667">
        <w:rPr>
          <w:highlight w:val="lightGray"/>
        </w:rPr>
        <w:t>ACCEL 10 mg: 83/0464/07-S</w:t>
      </w:r>
    </w:p>
    <w:p w14:paraId="3E5DBEBF" w14:textId="77777777" w:rsidR="00B23DDB" w:rsidRPr="00CA75AB" w:rsidRDefault="00B23DDB" w:rsidP="00CE70E9">
      <w:pPr>
        <w:pStyle w:val="Styl1"/>
      </w:pPr>
      <w:r w:rsidRPr="00CA75AB">
        <w:t>DÁTUM PRVEJ REGISTRÁCIE/ PREDĹŽENIA REGISTRÁCIE</w:t>
      </w:r>
    </w:p>
    <w:p w14:paraId="2D6B8B71" w14:textId="77777777" w:rsidR="00B23DDB" w:rsidRDefault="009D739C" w:rsidP="00B23DDB">
      <w:pPr>
        <w:rPr>
          <w:szCs w:val="22"/>
        </w:rPr>
      </w:pPr>
      <w:r>
        <w:rPr>
          <w:szCs w:val="22"/>
        </w:rPr>
        <w:t xml:space="preserve">Dátum prvej registrácie: </w:t>
      </w:r>
      <w:r w:rsidR="006A2A9C" w:rsidRPr="00CA75AB">
        <w:rPr>
          <w:szCs w:val="22"/>
        </w:rPr>
        <w:t>07.</w:t>
      </w:r>
      <w:r>
        <w:rPr>
          <w:szCs w:val="22"/>
        </w:rPr>
        <w:t xml:space="preserve"> decembra</w:t>
      </w:r>
      <w:r w:rsidR="00F52C49">
        <w:rPr>
          <w:szCs w:val="22"/>
        </w:rPr>
        <w:t xml:space="preserve"> </w:t>
      </w:r>
      <w:r w:rsidR="006A2A9C" w:rsidRPr="00CA75AB">
        <w:rPr>
          <w:szCs w:val="22"/>
        </w:rPr>
        <w:t>2007</w:t>
      </w:r>
    </w:p>
    <w:p w14:paraId="11D130AA" w14:textId="77777777" w:rsidR="009D739C" w:rsidRPr="00CA75AB" w:rsidRDefault="009D739C" w:rsidP="00B23DDB">
      <w:pPr>
        <w:rPr>
          <w:szCs w:val="22"/>
        </w:rPr>
      </w:pPr>
      <w:r>
        <w:rPr>
          <w:szCs w:val="22"/>
        </w:rPr>
        <w:t>Dátum posledného predĺženia registrácie: 26. novembra 2012</w:t>
      </w:r>
    </w:p>
    <w:p w14:paraId="2144AF98" w14:textId="77777777" w:rsidR="00B23DDB" w:rsidRPr="00CA75AB" w:rsidRDefault="00B23DDB" w:rsidP="00CE70E9">
      <w:pPr>
        <w:pStyle w:val="Styl1"/>
      </w:pPr>
      <w:r w:rsidRPr="00CA75AB">
        <w:t>DÁTUM REVÍZIE TEXTU</w:t>
      </w:r>
    </w:p>
    <w:p w14:paraId="631118C8" w14:textId="347E7F0D" w:rsidR="004060BB" w:rsidRPr="00CA75AB" w:rsidRDefault="004417EE" w:rsidP="00C226C1">
      <w:r>
        <w:t>0</w:t>
      </w:r>
      <w:r w:rsidR="00A04C61">
        <w:t>4</w:t>
      </w:r>
      <w:bookmarkStart w:id="0" w:name="_GoBack"/>
      <w:bookmarkEnd w:id="0"/>
      <w:r>
        <w:t>/2020</w:t>
      </w:r>
    </w:p>
    <w:sectPr w:rsidR="004060BB" w:rsidRPr="00CA75AB" w:rsidSect="00A0066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A8AE79" w16cid:durableId="221DFE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3CA45" w14:textId="77777777" w:rsidR="00B768FF" w:rsidRDefault="00B768FF" w:rsidP="001828AF">
      <w:r>
        <w:separator/>
      </w:r>
    </w:p>
  </w:endnote>
  <w:endnote w:type="continuationSeparator" w:id="0">
    <w:p w14:paraId="3A219E13" w14:textId="77777777" w:rsidR="00B768FF" w:rsidRDefault="00B768FF" w:rsidP="0018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8364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3949940" w14:textId="77777777" w:rsidR="00BD74F5" w:rsidRPr="00A00667" w:rsidRDefault="00BD74F5">
        <w:pPr>
          <w:pStyle w:val="Pta"/>
          <w:jc w:val="center"/>
          <w:rPr>
            <w:sz w:val="18"/>
            <w:szCs w:val="18"/>
          </w:rPr>
        </w:pPr>
        <w:r w:rsidRPr="00A00667">
          <w:rPr>
            <w:sz w:val="18"/>
            <w:szCs w:val="18"/>
          </w:rPr>
          <w:fldChar w:fldCharType="begin"/>
        </w:r>
        <w:r w:rsidRPr="00A00667">
          <w:rPr>
            <w:sz w:val="18"/>
            <w:szCs w:val="18"/>
          </w:rPr>
          <w:instrText>PAGE   \* MERGEFORMAT</w:instrText>
        </w:r>
        <w:r w:rsidRPr="00A00667">
          <w:rPr>
            <w:sz w:val="18"/>
            <w:szCs w:val="18"/>
          </w:rPr>
          <w:fldChar w:fldCharType="separate"/>
        </w:r>
        <w:r w:rsidR="00A04C61">
          <w:rPr>
            <w:noProof/>
            <w:sz w:val="18"/>
            <w:szCs w:val="18"/>
          </w:rPr>
          <w:t>7</w:t>
        </w:r>
        <w:r w:rsidRPr="00A00667">
          <w:rPr>
            <w:sz w:val="18"/>
            <w:szCs w:val="18"/>
          </w:rPr>
          <w:fldChar w:fldCharType="end"/>
        </w:r>
      </w:p>
    </w:sdtContent>
  </w:sdt>
  <w:p w14:paraId="46C7EFE9" w14:textId="77777777" w:rsidR="00BC7013" w:rsidRDefault="00BC7013" w:rsidP="00C226C1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72FA" w14:textId="77777777" w:rsidR="00BC7013" w:rsidRDefault="00BC7013" w:rsidP="00C226C1">
    <w:pPr>
      <w:pStyle w:val="Pta"/>
      <w:jc w:val="center"/>
    </w:pPr>
    <w:r w:rsidRPr="00774049">
      <w:rPr>
        <w:sz w:val="24"/>
      </w:rPr>
      <w:fldChar w:fldCharType="begin"/>
    </w:r>
    <w:r w:rsidRPr="00774049">
      <w:instrText>PAGE</w:instrText>
    </w:r>
    <w:r w:rsidRPr="00774049">
      <w:rPr>
        <w:sz w:val="24"/>
      </w:rPr>
      <w:fldChar w:fldCharType="separate"/>
    </w:r>
    <w:r w:rsidR="00F936D3">
      <w:rPr>
        <w:noProof/>
      </w:rPr>
      <w:t>1</w:t>
    </w:r>
    <w:r w:rsidRPr="00774049">
      <w:rPr>
        <w:sz w:val="24"/>
      </w:rPr>
      <w:fldChar w:fldCharType="end"/>
    </w:r>
    <w:r w:rsidRPr="00774049">
      <w:t>/</w:t>
    </w:r>
    <w:r w:rsidRPr="00774049">
      <w:rPr>
        <w:sz w:val="24"/>
      </w:rPr>
      <w:fldChar w:fldCharType="begin"/>
    </w:r>
    <w:r w:rsidRPr="00774049">
      <w:instrText>NUMPAGES</w:instrText>
    </w:r>
    <w:r w:rsidRPr="00774049">
      <w:rPr>
        <w:sz w:val="24"/>
      </w:rPr>
      <w:fldChar w:fldCharType="separate"/>
    </w:r>
    <w:r w:rsidR="00F936D3">
      <w:rPr>
        <w:noProof/>
      </w:rPr>
      <w:t>8</w:t>
    </w:r>
    <w:r w:rsidRPr="00774049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557FF" w14:textId="77777777" w:rsidR="00B768FF" w:rsidRDefault="00B768FF" w:rsidP="001828AF">
      <w:r>
        <w:separator/>
      </w:r>
    </w:p>
  </w:footnote>
  <w:footnote w:type="continuationSeparator" w:id="0">
    <w:p w14:paraId="04F60B6B" w14:textId="77777777" w:rsidR="00B768FF" w:rsidRDefault="00B768FF" w:rsidP="00182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3A9E3" w14:textId="2677EC07" w:rsidR="00F936D3" w:rsidRDefault="00F936D3" w:rsidP="00F936D3">
    <w:pPr>
      <w:pStyle w:val="Hlavika"/>
      <w:rPr>
        <w:sz w:val="20"/>
      </w:rPr>
    </w:pPr>
    <w:r>
      <w:rPr>
        <w:sz w:val="20"/>
      </w:rPr>
      <w:t>Príloha č. 1 k no</w:t>
    </w:r>
    <w:r w:rsidRPr="006539E1">
      <w:rPr>
        <w:sz w:val="20"/>
      </w:rPr>
      <w:t>tifikácii o </w:t>
    </w:r>
    <w:r w:rsidRPr="00A04C61">
      <w:rPr>
        <w:sz w:val="20"/>
      </w:rPr>
      <w:t>zmene, ev. č.: 2016/03500-ZIB</w:t>
    </w:r>
    <w:r w:rsidR="00BD74F5" w:rsidRPr="00A04C61">
      <w:rPr>
        <w:sz w:val="20"/>
      </w:rPr>
      <w:t>, 2018/00363-ZIA</w:t>
    </w:r>
    <w:r w:rsidR="00BD74F5" w:rsidRPr="006539E1" w:rsidDel="00F936D3">
      <w:rPr>
        <w:sz w:val="20"/>
      </w:rPr>
      <w:t xml:space="preserve"> </w:t>
    </w:r>
  </w:p>
  <w:p w14:paraId="2E196F41" w14:textId="77777777" w:rsidR="00F936D3" w:rsidRDefault="00F936D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EE04D" w14:textId="77777777" w:rsidR="00BC7013" w:rsidRDefault="00BC7013">
    <w:pPr>
      <w:pStyle w:val="Hlavika"/>
      <w:rPr>
        <w:sz w:val="20"/>
      </w:rPr>
    </w:pPr>
  </w:p>
  <w:p w14:paraId="458F961B" w14:textId="77777777" w:rsidR="0068563E" w:rsidRDefault="006539E1">
    <w:pPr>
      <w:pStyle w:val="Hlavika"/>
      <w:rPr>
        <w:sz w:val="20"/>
      </w:rPr>
    </w:pPr>
    <w:r>
      <w:rPr>
        <w:sz w:val="20"/>
      </w:rPr>
      <w:t>Príloha č. 1 k no</w:t>
    </w:r>
    <w:r w:rsidR="0068563E" w:rsidRPr="006539E1">
      <w:rPr>
        <w:sz w:val="20"/>
      </w:rPr>
      <w:t>tifikácii o zmene, ev. č.:</w:t>
    </w:r>
    <w:r w:rsidRPr="006539E1">
      <w:rPr>
        <w:sz w:val="20"/>
      </w:rPr>
      <w:t xml:space="preserve"> </w:t>
    </w:r>
    <w:r w:rsidR="00F52C49">
      <w:rPr>
        <w:sz w:val="20"/>
      </w:rPr>
      <w:t>2015/03986-ZIB, 2016/03500-ZIB</w:t>
    </w:r>
    <w:r w:rsidRPr="006539E1">
      <w:rPr>
        <w:sz w:val="20"/>
      </w:rPr>
      <w:t>2015/03986</w:t>
    </w:r>
  </w:p>
  <w:p w14:paraId="307E6320" w14:textId="77777777" w:rsidR="001D4876" w:rsidRPr="006539E1" w:rsidRDefault="001D4876">
    <w:pPr>
      <w:pStyle w:val="Hlavika"/>
      <w:rPr>
        <w:sz w:val="20"/>
      </w:rPr>
    </w:pPr>
    <w:r>
      <w:rPr>
        <w:sz w:val="20"/>
      </w:rPr>
      <w:t>Príloha č. 1 k no</w:t>
    </w:r>
    <w:r w:rsidRPr="006539E1">
      <w:rPr>
        <w:sz w:val="20"/>
      </w:rPr>
      <w:t>tifikácii o zmene, ev. 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C84C5C"/>
    <w:multiLevelType w:val="hybridMultilevel"/>
    <w:tmpl w:val="60E8F9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28B1"/>
    <w:multiLevelType w:val="hybridMultilevel"/>
    <w:tmpl w:val="888277EA"/>
    <w:lvl w:ilvl="0" w:tplc="EDF8C102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46221"/>
    <w:multiLevelType w:val="multilevel"/>
    <w:tmpl w:val="9326A41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AAD4AA7"/>
    <w:multiLevelType w:val="multilevel"/>
    <w:tmpl w:val="7C728A6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NewRoman" w:eastAsia="Calibri" w:hAnsi="TimesNew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3777D85"/>
    <w:multiLevelType w:val="hybridMultilevel"/>
    <w:tmpl w:val="6846DD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3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DB"/>
    <w:rsid w:val="0000662B"/>
    <w:rsid w:val="000114F9"/>
    <w:rsid w:val="000222EC"/>
    <w:rsid w:val="000B75A7"/>
    <w:rsid w:val="00114C9A"/>
    <w:rsid w:val="0013073F"/>
    <w:rsid w:val="0014397F"/>
    <w:rsid w:val="00171C6D"/>
    <w:rsid w:val="001828AF"/>
    <w:rsid w:val="00186D8F"/>
    <w:rsid w:val="001D4876"/>
    <w:rsid w:val="001F0B9A"/>
    <w:rsid w:val="001F313B"/>
    <w:rsid w:val="001F336D"/>
    <w:rsid w:val="00220060"/>
    <w:rsid w:val="00237F9A"/>
    <w:rsid w:val="00251267"/>
    <w:rsid w:val="00287887"/>
    <w:rsid w:val="002B3071"/>
    <w:rsid w:val="002D36CD"/>
    <w:rsid w:val="002E501E"/>
    <w:rsid w:val="002E7963"/>
    <w:rsid w:val="00323ACD"/>
    <w:rsid w:val="003263FF"/>
    <w:rsid w:val="0037031F"/>
    <w:rsid w:val="0038091E"/>
    <w:rsid w:val="003F36A5"/>
    <w:rsid w:val="00405A15"/>
    <w:rsid w:val="004060BB"/>
    <w:rsid w:val="004417EE"/>
    <w:rsid w:val="00446EF1"/>
    <w:rsid w:val="004614A8"/>
    <w:rsid w:val="00471751"/>
    <w:rsid w:val="004734A5"/>
    <w:rsid w:val="00484519"/>
    <w:rsid w:val="004A0D5B"/>
    <w:rsid w:val="004E3134"/>
    <w:rsid w:val="004F7D8A"/>
    <w:rsid w:val="00511335"/>
    <w:rsid w:val="005148DD"/>
    <w:rsid w:val="00524428"/>
    <w:rsid w:val="00525EF0"/>
    <w:rsid w:val="005813A9"/>
    <w:rsid w:val="0058368C"/>
    <w:rsid w:val="00591B95"/>
    <w:rsid w:val="00591E3C"/>
    <w:rsid w:val="005C4B22"/>
    <w:rsid w:val="005C7265"/>
    <w:rsid w:val="005D6684"/>
    <w:rsid w:val="005F0460"/>
    <w:rsid w:val="00614850"/>
    <w:rsid w:val="00617344"/>
    <w:rsid w:val="006539E1"/>
    <w:rsid w:val="0066431E"/>
    <w:rsid w:val="00674102"/>
    <w:rsid w:val="0068563E"/>
    <w:rsid w:val="006A07B0"/>
    <w:rsid w:val="006A2A9C"/>
    <w:rsid w:val="006B2CF3"/>
    <w:rsid w:val="006E13DD"/>
    <w:rsid w:val="006F2914"/>
    <w:rsid w:val="006F7A74"/>
    <w:rsid w:val="00711777"/>
    <w:rsid w:val="00734268"/>
    <w:rsid w:val="00742B20"/>
    <w:rsid w:val="00744B7B"/>
    <w:rsid w:val="007571F2"/>
    <w:rsid w:val="00762345"/>
    <w:rsid w:val="007C1676"/>
    <w:rsid w:val="007E32AC"/>
    <w:rsid w:val="007E35F1"/>
    <w:rsid w:val="00800851"/>
    <w:rsid w:val="00807C41"/>
    <w:rsid w:val="00815C51"/>
    <w:rsid w:val="00890280"/>
    <w:rsid w:val="008A1DC1"/>
    <w:rsid w:val="008A7B06"/>
    <w:rsid w:val="008B180B"/>
    <w:rsid w:val="008C31D7"/>
    <w:rsid w:val="008E124A"/>
    <w:rsid w:val="009004F6"/>
    <w:rsid w:val="0090328B"/>
    <w:rsid w:val="00907635"/>
    <w:rsid w:val="00913375"/>
    <w:rsid w:val="00926A94"/>
    <w:rsid w:val="00944487"/>
    <w:rsid w:val="00966F5F"/>
    <w:rsid w:val="009751B4"/>
    <w:rsid w:val="00975F8D"/>
    <w:rsid w:val="009966FB"/>
    <w:rsid w:val="009D5146"/>
    <w:rsid w:val="009D739C"/>
    <w:rsid w:val="009E5082"/>
    <w:rsid w:val="00A00667"/>
    <w:rsid w:val="00A04C61"/>
    <w:rsid w:val="00A14017"/>
    <w:rsid w:val="00A17918"/>
    <w:rsid w:val="00A233FE"/>
    <w:rsid w:val="00A27105"/>
    <w:rsid w:val="00A34A91"/>
    <w:rsid w:val="00A61D45"/>
    <w:rsid w:val="00A62AE3"/>
    <w:rsid w:val="00A65906"/>
    <w:rsid w:val="00AD1762"/>
    <w:rsid w:val="00AD3C6B"/>
    <w:rsid w:val="00AE4ACC"/>
    <w:rsid w:val="00B0160B"/>
    <w:rsid w:val="00B10596"/>
    <w:rsid w:val="00B12DAB"/>
    <w:rsid w:val="00B16FCA"/>
    <w:rsid w:val="00B23DDB"/>
    <w:rsid w:val="00B308FE"/>
    <w:rsid w:val="00B45B13"/>
    <w:rsid w:val="00B536A0"/>
    <w:rsid w:val="00B768FF"/>
    <w:rsid w:val="00B91360"/>
    <w:rsid w:val="00BC7013"/>
    <w:rsid w:val="00BD0E46"/>
    <w:rsid w:val="00BD74F5"/>
    <w:rsid w:val="00BE629A"/>
    <w:rsid w:val="00BF2BC2"/>
    <w:rsid w:val="00C1390B"/>
    <w:rsid w:val="00C226C1"/>
    <w:rsid w:val="00C24411"/>
    <w:rsid w:val="00C24534"/>
    <w:rsid w:val="00C32C3A"/>
    <w:rsid w:val="00C400C8"/>
    <w:rsid w:val="00C71986"/>
    <w:rsid w:val="00C76611"/>
    <w:rsid w:val="00CA249A"/>
    <w:rsid w:val="00CA75AB"/>
    <w:rsid w:val="00CB068D"/>
    <w:rsid w:val="00CE70E9"/>
    <w:rsid w:val="00D3537D"/>
    <w:rsid w:val="00D622C4"/>
    <w:rsid w:val="00D67DFC"/>
    <w:rsid w:val="00D87A7F"/>
    <w:rsid w:val="00D954F6"/>
    <w:rsid w:val="00D9783F"/>
    <w:rsid w:val="00D979DF"/>
    <w:rsid w:val="00DC799A"/>
    <w:rsid w:val="00DF0741"/>
    <w:rsid w:val="00DF25E5"/>
    <w:rsid w:val="00DF7AE6"/>
    <w:rsid w:val="00DF7BF2"/>
    <w:rsid w:val="00E01A05"/>
    <w:rsid w:val="00E42519"/>
    <w:rsid w:val="00E61C81"/>
    <w:rsid w:val="00E6207F"/>
    <w:rsid w:val="00E72F0E"/>
    <w:rsid w:val="00EB2273"/>
    <w:rsid w:val="00F04438"/>
    <w:rsid w:val="00F06175"/>
    <w:rsid w:val="00F464C6"/>
    <w:rsid w:val="00F46E6F"/>
    <w:rsid w:val="00F52C49"/>
    <w:rsid w:val="00F936D3"/>
    <w:rsid w:val="00FA0D23"/>
    <w:rsid w:val="00FA36D5"/>
    <w:rsid w:val="00FC4DC9"/>
    <w:rsid w:val="00FE7197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58A6BB"/>
  <w15:docId w15:val="{53C5C16F-2FAD-4F5C-A94C-F8992616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75AB"/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BE629A"/>
    <w:pPr>
      <w:keepNext/>
      <w:ind w:right="-109" w:hanging="2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link w:val="Nadpis7Char"/>
    <w:qFormat/>
    <w:rsid w:val="00BE629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cil">
    <w:name w:val="Bacil"/>
    <w:qFormat/>
    <w:rsid w:val="00907635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CA249A"/>
    <w:pPr>
      <w:suppressAutoHyphens/>
      <w:spacing w:after="120"/>
      <w:jc w:val="both"/>
    </w:pPr>
    <w:rPr>
      <w:rFonts w:ascii="TimesNewRoman" w:eastAsia="Calibri" w:hAnsi="TimesNewRoman"/>
      <w:lang w:val="x-none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17344"/>
    <w:pPr>
      <w:numPr>
        <w:numId w:val="8"/>
      </w:numPr>
    </w:pPr>
  </w:style>
  <w:style w:type="paragraph" w:customStyle="1" w:styleId="SPCaPILhlavika">
    <w:name w:val="SPC a PIL hlavička"/>
    <w:basedOn w:val="Normlny"/>
    <w:autoRedefine/>
    <w:qFormat/>
    <w:rsid w:val="00907635"/>
    <w:pPr>
      <w:spacing w:before="240" w:after="120"/>
      <w:jc w:val="center"/>
    </w:pPr>
    <w:rPr>
      <w:b/>
      <w:lang w:val="cs-CZ"/>
    </w:rPr>
  </w:style>
  <w:style w:type="paragraph" w:customStyle="1" w:styleId="Styl1">
    <w:name w:val="Styl1"/>
    <w:basedOn w:val="Normlny"/>
    <w:autoRedefine/>
    <w:rsid w:val="00CE70E9"/>
    <w:pPr>
      <w:keepNext/>
      <w:numPr>
        <w:numId w:val="5"/>
      </w:numPr>
      <w:tabs>
        <w:tab w:val="left" w:pos="567"/>
      </w:tabs>
      <w:spacing w:before="360" w:after="120"/>
    </w:pPr>
    <w:rPr>
      <w:b/>
      <w:bCs/>
      <w:caps/>
    </w:rPr>
  </w:style>
  <w:style w:type="paragraph" w:customStyle="1" w:styleId="Styl2">
    <w:name w:val="Styl2"/>
    <w:basedOn w:val="Normlny"/>
    <w:autoRedefine/>
    <w:qFormat/>
    <w:rsid w:val="00742B20"/>
    <w:pPr>
      <w:keepNext/>
      <w:suppressAutoHyphens/>
      <w:spacing w:before="240" w:after="120"/>
    </w:pPr>
    <w:rPr>
      <w:b/>
      <w:bCs/>
    </w:rPr>
  </w:style>
  <w:style w:type="paragraph" w:customStyle="1" w:styleId="Styl3">
    <w:name w:val="Styl3"/>
    <w:basedOn w:val="Normlny"/>
    <w:link w:val="Styl3Char"/>
    <w:autoRedefine/>
    <w:qFormat/>
    <w:rsid w:val="00B91360"/>
    <w:pPr>
      <w:suppressAutoHyphens/>
      <w:spacing w:after="120"/>
      <w:jc w:val="both"/>
    </w:pPr>
    <w:rPr>
      <w:rFonts w:ascii="TimesNewRoman" w:hAnsi="TimesNewRoman" w:cs="TimesNewRoman"/>
      <w:u w:val="single"/>
      <w:lang w:eastAsia="cs-CZ"/>
    </w:rPr>
  </w:style>
  <w:style w:type="paragraph" w:customStyle="1" w:styleId="EMEAEnBodyText">
    <w:name w:val="EMEA En Body Text"/>
    <w:basedOn w:val="Normlny"/>
    <w:rsid w:val="00B23DDB"/>
    <w:pPr>
      <w:spacing w:before="120" w:after="12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semiHidden/>
    <w:rsid w:val="00B23DDB"/>
  </w:style>
  <w:style w:type="character" w:customStyle="1" w:styleId="ZkladntextChar">
    <w:name w:val="Základný text Char"/>
    <w:link w:val="Zkladntext"/>
    <w:semiHidden/>
    <w:rsid w:val="00B23DDB"/>
    <w:rPr>
      <w:rFonts w:ascii="Times New Roman" w:eastAsia="Times New Roman" w:hAnsi="Times New Roman"/>
      <w:sz w:val="22"/>
      <w:szCs w:val="24"/>
      <w:lang w:eastAsia="sk-SK"/>
    </w:rPr>
  </w:style>
  <w:style w:type="paragraph" w:styleId="Hlavika">
    <w:name w:val="header"/>
    <w:basedOn w:val="Normlny"/>
    <w:link w:val="HlavikaChar"/>
    <w:semiHidden/>
    <w:rsid w:val="00B23DDB"/>
    <w:pPr>
      <w:widowControl w:val="0"/>
      <w:tabs>
        <w:tab w:val="center" w:pos="4153"/>
        <w:tab w:val="right" w:pos="8306"/>
      </w:tabs>
    </w:pPr>
    <w:rPr>
      <w:szCs w:val="20"/>
      <w:lang w:val="en-US" w:eastAsia="en-US"/>
    </w:rPr>
  </w:style>
  <w:style w:type="character" w:customStyle="1" w:styleId="HlavikaChar">
    <w:name w:val="Hlavička Char"/>
    <w:link w:val="Hlavika"/>
    <w:semiHidden/>
    <w:rsid w:val="00B23DDB"/>
    <w:rPr>
      <w:rFonts w:ascii="Times New Roman" w:eastAsia="Times New Roman" w:hAnsi="Times New Roman"/>
      <w:sz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B23DD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23DDB"/>
    <w:rPr>
      <w:rFonts w:ascii="Times New Roman" w:eastAsia="Times New Roman" w:hAnsi="Times New Roman"/>
      <w:sz w:val="22"/>
      <w:szCs w:val="24"/>
      <w:lang w:eastAsia="sk-SK"/>
    </w:rPr>
  </w:style>
  <w:style w:type="paragraph" w:styleId="Normlnywebov">
    <w:name w:val="Normal (Web)"/>
    <w:basedOn w:val="Normlny"/>
    <w:uiPriority w:val="99"/>
    <w:semiHidden/>
    <w:rsid w:val="00B23DDB"/>
    <w:pPr>
      <w:spacing w:before="100" w:beforeAutospacing="1" w:after="100" w:afterAutospacing="1"/>
    </w:pPr>
    <w:rPr>
      <w:sz w:val="24"/>
      <w:lang w:val="pl-PL" w:eastAsia="pl-PL"/>
    </w:rPr>
  </w:style>
  <w:style w:type="paragraph" w:styleId="Textbubliny">
    <w:name w:val="Balloon Text"/>
    <w:basedOn w:val="Normlny"/>
    <w:link w:val="TextbublinyChar"/>
    <w:semiHidden/>
    <w:unhideWhenUsed/>
    <w:rsid w:val="003703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031F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link w:val="Nadpis1"/>
    <w:rsid w:val="00BE629A"/>
    <w:rPr>
      <w:rFonts w:ascii="Times New Roman" w:eastAsia="Times New Roman" w:hAnsi="Times New Roman"/>
      <w:b/>
      <w:noProof/>
      <w:sz w:val="22"/>
      <w:szCs w:val="22"/>
      <w:lang w:val="sk-SK" w:eastAsia="sk-SK"/>
    </w:rPr>
  </w:style>
  <w:style w:type="character" w:customStyle="1" w:styleId="Nadpis7Char">
    <w:name w:val="Nadpis 7 Char"/>
    <w:link w:val="Nadpis7"/>
    <w:rsid w:val="00BE629A"/>
    <w:rPr>
      <w:rFonts w:ascii="Times New Roman" w:eastAsia="Times New Roman" w:hAnsi="Times New Roman"/>
      <w:i/>
      <w:sz w:val="22"/>
      <w:lang w:eastAsia="en-US"/>
    </w:rPr>
  </w:style>
  <w:style w:type="character" w:styleId="Hypertextovprepojenie">
    <w:name w:val="Hyperlink"/>
    <w:rsid w:val="00BE629A"/>
    <w:rPr>
      <w:color w:val="0000FF"/>
      <w:u w:val="single"/>
    </w:rPr>
  </w:style>
  <w:style w:type="character" w:styleId="Odkaznakomentr">
    <w:name w:val="annotation reference"/>
    <w:semiHidden/>
    <w:rsid w:val="00BE629A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BE629A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BE629A"/>
    <w:rPr>
      <w:rFonts w:ascii="Times New Roman" w:eastAsia="Times New Roman" w:hAnsi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BE629A"/>
    <w:rPr>
      <w:b/>
      <w:bCs/>
    </w:rPr>
  </w:style>
  <w:style w:type="character" w:customStyle="1" w:styleId="PredmetkomentraChar">
    <w:name w:val="Predmet komentára Char"/>
    <w:link w:val="Predmetkomentra"/>
    <w:semiHidden/>
    <w:rsid w:val="00BE629A"/>
    <w:rPr>
      <w:rFonts w:ascii="Times New Roman" w:eastAsia="Times New Roman" w:hAnsi="Times New Roman"/>
      <w:b/>
      <w:bCs/>
      <w:lang w:val="sk-SK" w:eastAsia="sk-SK"/>
    </w:rPr>
  </w:style>
  <w:style w:type="paragraph" w:styleId="Nzov">
    <w:name w:val="Title"/>
    <w:basedOn w:val="Normlny"/>
    <w:link w:val="NzovChar"/>
    <w:qFormat/>
    <w:rsid w:val="00BE629A"/>
    <w:pPr>
      <w:jc w:val="center"/>
    </w:pPr>
    <w:rPr>
      <w:b/>
      <w:szCs w:val="20"/>
      <w:lang w:val="en-GB" w:eastAsia="en-US"/>
    </w:rPr>
  </w:style>
  <w:style w:type="character" w:customStyle="1" w:styleId="NzovChar">
    <w:name w:val="Názov Char"/>
    <w:link w:val="Nzov"/>
    <w:rsid w:val="00BE629A"/>
    <w:rPr>
      <w:rFonts w:ascii="Times New Roman" w:eastAsia="Times New Roman" w:hAnsi="Times New Roman"/>
      <w:b/>
      <w:sz w:val="22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BE629A"/>
    <w:pPr>
      <w:tabs>
        <w:tab w:val="left" w:pos="567"/>
      </w:tabs>
    </w:pPr>
    <w:rPr>
      <w:szCs w:val="20"/>
      <w:lang w:val="en-GB" w:eastAsia="en-US"/>
    </w:rPr>
  </w:style>
  <w:style w:type="character" w:customStyle="1" w:styleId="TextvysvetlivkyChar">
    <w:name w:val="Text vysvetlivky Char"/>
    <w:link w:val="Textvysvetlivky"/>
    <w:semiHidden/>
    <w:rsid w:val="00BE629A"/>
    <w:rPr>
      <w:rFonts w:ascii="Times New Roman" w:eastAsia="Times New Roman" w:hAnsi="Times New Roman"/>
      <w:sz w:val="22"/>
      <w:lang w:val="en-GB" w:eastAsia="en-US"/>
    </w:rPr>
  </w:style>
  <w:style w:type="character" w:customStyle="1" w:styleId="CharChar">
    <w:name w:val="Char Char"/>
    <w:rsid w:val="00BE629A"/>
    <w:rPr>
      <w:sz w:val="22"/>
      <w:szCs w:val="24"/>
    </w:rPr>
  </w:style>
  <w:style w:type="character" w:customStyle="1" w:styleId="CharChar1">
    <w:name w:val="Char Char1"/>
    <w:semiHidden/>
    <w:rsid w:val="00BE629A"/>
    <w:rPr>
      <w:sz w:val="22"/>
      <w:lang w:val="en-US" w:eastAsia="en-US"/>
    </w:rPr>
  </w:style>
  <w:style w:type="character" w:customStyle="1" w:styleId="NormlndoblokuChar">
    <w:name w:val="Normální do bloku Char"/>
    <w:link w:val="Normlndobloku"/>
    <w:locked/>
    <w:rsid w:val="00CA249A"/>
    <w:rPr>
      <w:rFonts w:ascii="TimesNewRoman" w:hAnsi="TimesNewRoman"/>
      <w:sz w:val="22"/>
      <w:szCs w:val="24"/>
      <w:lang w:val="x-none" w:eastAsia="en-US"/>
    </w:rPr>
  </w:style>
  <w:style w:type="character" w:customStyle="1" w:styleId="Styl3Char">
    <w:name w:val="Styl3 Char"/>
    <w:link w:val="Styl3"/>
    <w:rsid w:val="00A65906"/>
    <w:rPr>
      <w:rFonts w:ascii="TimesNewRoman" w:eastAsia="Times New Roman" w:hAnsi="TimesNewRoman" w:cs="TimesNewRoman"/>
      <w:sz w:val="22"/>
      <w:szCs w:val="24"/>
      <w:u w:val="single"/>
      <w:lang w:eastAsia="cs-CZ"/>
    </w:rPr>
  </w:style>
  <w:style w:type="paragraph" w:styleId="Revzia">
    <w:name w:val="Revision"/>
    <w:hidden/>
    <w:uiPriority w:val="99"/>
    <w:semiHidden/>
    <w:rsid w:val="00CA249A"/>
    <w:rPr>
      <w:rFonts w:ascii="Times New Roman" w:eastAsia="Times New Roman" w:hAnsi="Times New Roman"/>
      <w:sz w:val="22"/>
      <w:szCs w:val="24"/>
    </w:rPr>
  </w:style>
  <w:style w:type="character" w:styleId="Siln">
    <w:name w:val="Strong"/>
    <w:basedOn w:val="Predvolenpsmoodseku"/>
    <w:uiPriority w:val="22"/>
    <w:qFormat/>
    <w:rsid w:val="00CA249A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91B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71151-AB75-4A51-8B06-34B1A25D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2455</Words>
  <Characters>13997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16420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Jacková</dc:creator>
  <cp:keywords/>
  <dc:description/>
  <cp:lastModifiedBy>Kuziaková, Marianna</cp:lastModifiedBy>
  <cp:revision>2</cp:revision>
  <cp:lastPrinted>2012-11-22T08:02:00Z</cp:lastPrinted>
  <dcterms:created xsi:type="dcterms:W3CDTF">2020-04-15T10:12:00Z</dcterms:created>
  <dcterms:modified xsi:type="dcterms:W3CDTF">2020-04-15T10:12:00Z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General-EMEA/381256/2006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11/10/2006 12:28:49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11/10/2006 12:28:49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EMEA/381256/2006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381256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