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8CB" w:rsidRPr="00B63E7D" w:rsidRDefault="006968CB" w:rsidP="00F55242">
      <w:pPr>
        <w:spacing w:line="240" w:lineRule="auto"/>
        <w:ind w:right="-1"/>
        <w:jc w:val="center"/>
        <w:rPr>
          <w:b/>
          <w:snapToGrid w:val="0"/>
          <w:sz w:val="22"/>
          <w:szCs w:val="22"/>
          <w:lang w:eastAsia="en-US"/>
        </w:rPr>
      </w:pPr>
      <w:r w:rsidRPr="00B63E7D">
        <w:rPr>
          <w:b/>
          <w:snapToGrid w:val="0"/>
          <w:sz w:val="22"/>
          <w:szCs w:val="22"/>
          <w:lang w:eastAsia="en-US"/>
        </w:rPr>
        <w:t>SÚHRN CHARAKTERISTICKÝCH VLASTNOSTÍ LIEKU</w:t>
      </w:r>
    </w:p>
    <w:p w:rsidR="00A830AC" w:rsidRPr="00B63E7D" w:rsidRDefault="00A830AC" w:rsidP="00F55242">
      <w:pPr>
        <w:spacing w:line="240" w:lineRule="auto"/>
        <w:rPr>
          <w:b/>
          <w:snapToGrid w:val="0"/>
          <w:sz w:val="22"/>
          <w:szCs w:val="22"/>
          <w:lang w:eastAsia="en-US"/>
        </w:rPr>
      </w:pPr>
    </w:p>
    <w:p w:rsidR="00B15AD9" w:rsidRPr="00B63E7D" w:rsidRDefault="00B15AD9" w:rsidP="00F55242">
      <w:pPr>
        <w:spacing w:line="240" w:lineRule="auto"/>
        <w:rPr>
          <w:b/>
          <w:snapToGrid w:val="0"/>
          <w:sz w:val="22"/>
          <w:szCs w:val="22"/>
          <w:lang w:eastAsia="en-US"/>
        </w:rPr>
      </w:pPr>
      <w:bookmarkStart w:id="0" w:name="_GoBack"/>
      <w:bookmarkEnd w:id="0"/>
    </w:p>
    <w:p w:rsidR="00625326" w:rsidRPr="00B63E7D" w:rsidRDefault="00625326" w:rsidP="00F55242">
      <w:pPr>
        <w:spacing w:line="240" w:lineRule="auto"/>
        <w:rPr>
          <w:rFonts w:eastAsia="TimesNewRoman,Bold"/>
          <w:b/>
          <w:sz w:val="22"/>
          <w:szCs w:val="22"/>
        </w:rPr>
      </w:pPr>
      <w:r w:rsidRPr="00B63E7D">
        <w:rPr>
          <w:rFonts w:eastAsia="TimesNewRoman,Bold"/>
          <w:b/>
          <w:sz w:val="22"/>
          <w:szCs w:val="22"/>
        </w:rPr>
        <w:t>1.</w:t>
      </w:r>
      <w:r w:rsidRPr="00B63E7D">
        <w:rPr>
          <w:rFonts w:eastAsia="TimesNewRoman,Bold"/>
          <w:b/>
          <w:sz w:val="22"/>
          <w:szCs w:val="22"/>
        </w:rPr>
        <w:tab/>
        <w:t>NÁZOV LIEKU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186B14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Dexmedetomidine EVER Pharma 100 </w:t>
      </w:r>
      <w:r w:rsidR="00625326" w:rsidRPr="00B63E7D">
        <w:rPr>
          <w:rFonts w:eastAsia="TimesNewRoman"/>
          <w:sz w:val="22"/>
          <w:szCs w:val="22"/>
        </w:rPr>
        <w:t>mikrogramov/ml infúzny koncentrát</w:t>
      </w:r>
    </w:p>
    <w:p w:rsidR="00625326" w:rsidRPr="00B63E7D" w:rsidRDefault="00625326" w:rsidP="00F55242">
      <w:pPr>
        <w:spacing w:line="240" w:lineRule="auto"/>
        <w:rPr>
          <w:rFonts w:eastAsia="TimesNewRoman,Bold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,Bold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,Bold"/>
          <w:b/>
          <w:sz w:val="22"/>
          <w:szCs w:val="22"/>
        </w:rPr>
      </w:pPr>
      <w:r w:rsidRPr="00B63E7D">
        <w:rPr>
          <w:rFonts w:eastAsia="TimesNewRoman,Bold"/>
          <w:b/>
          <w:sz w:val="22"/>
          <w:szCs w:val="22"/>
        </w:rPr>
        <w:t>2.</w:t>
      </w:r>
      <w:r w:rsidRPr="00B63E7D">
        <w:rPr>
          <w:rFonts w:eastAsia="TimesNewRoman,Bold"/>
          <w:b/>
          <w:sz w:val="22"/>
          <w:szCs w:val="22"/>
        </w:rPr>
        <w:tab/>
        <w:t>KVALITATÍVNE A KVANTITATÍVNE ZLOŽENIE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Každý 1 ml koncentrátu obsahuje 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niumchlorid zodpovedajúci 100</w:t>
      </w:r>
      <w:r w:rsidR="00186B14" w:rsidRPr="00B63E7D">
        <w:rPr>
          <w:rFonts w:eastAsia="TimesNewRoman"/>
          <w:sz w:val="22"/>
          <w:szCs w:val="22"/>
        </w:rPr>
        <w:t> </w:t>
      </w:r>
      <w:r w:rsidRPr="00B63E7D">
        <w:rPr>
          <w:rFonts w:eastAsia="TimesNewRoman"/>
          <w:sz w:val="22"/>
          <w:szCs w:val="22"/>
        </w:rPr>
        <w:t>mikrogramom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nu.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Každá 2</w:t>
      </w:r>
      <w:r w:rsidR="00186B14" w:rsidRPr="00B63E7D">
        <w:rPr>
          <w:rFonts w:eastAsia="TimesNewRoman"/>
          <w:sz w:val="22"/>
          <w:szCs w:val="22"/>
        </w:rPr>
        <w:t> ml ampulka obsahuje 200 </w:t>
      </w:r>
      <w:r w:rsidRPr="00B63E7D">
        <w:rPr>
          <w:rFonts w:eastAsia="TimesNewRoman"/>
          <w:sz w:val="22"/>
          <w:szCs w:val="22"/>
        </w:rPr>
        <w:t>mikrogramov 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nu.</w:t>
      </w:r>
    </w:p>
    <w:p w:rsidR="005E6D3A" w:rsidRPr="00B63E7D" w:rsidRDefault="005E6D3A" w:rsidP="005E6D3A">
      <w:pPr>
        <w:spacing w:line="240" w:lineRule="auto"/>
        <w:rPr>
          <w:rFonts w:eastAsia="TimesNewRoman"/>
          <w:sz w:val="22"/>
          <w:szCs w:val="22"/>
        </w:rPr>
      </w:pPr>
    </w:p>
    <w:p w:rsidR="005E6D3A" w:rsidRPr="00B63E7D" w:rsidRDefault="005E6D3A" w:rsidP="005E6D3A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 xml:space="preserve">Každá 4 ml </w:t>
      </w:r>
      <w:r>
        <w:rPr>
          <w:rFonts w:eastAsia="TimesNewRoman"/>
          <w:sz w:val="22"/>
          <w:szCs w:val="22"/>
        </w:rPr>
        <w:t>ampulka</w:t>
      </w:r>
      <w:r w:rsidRPr="00B63E7D">
        <w:rPr>
          <w:rFonts w:eastAsia="TimesNewRoman"/>
          <w:sz w:val="22"/>
          <w:szCs w:val="22"/>
        </w:rPr>
        <w:t xml:space="preserve"> obsahuje 400 mikrogramov 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nu.</w:t>
      </w:r>
    </w:p>
    <w:p w:rsidR="005E6D3A" w:rsidRPr="00B63E7D" w:rsidRDefault="005E6D3A" w:rsidP="005E6D3A">
      <w:pPr>
        <w:spacing w:line="240" w:lineRule="auto"/>
        <w:rPr>
          <w:rFonts w:eastAsia="TimesNewRoman"/>
          <w:sz w:val="22"/>
          <w:szCs w:val="22"/>
        </w:rPr>
      </w:pPr>
    </w:p>
    <w:p w:rsidR="005E6D3A" w:rsidRPr="00B63E7D" w:rsidRDefault="005E6D3A" w:rsidP="005E6D3A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 xml:space="preserve">Každá 10 ml </w:t>
      </w:r>
      <w:r>
        <w:rPr>
          <w:rFonts w:eastAsia="TimesNewRoman"/>
          <w:sz w:val="22"/>
          <w:szCs w:val="22"/>
        </w:rPr>
        <w:t>ampulka</w:t>
      </w:r>
      <w:r w:rsidRPr="00B63E7D">
        <w:rPr>
          <w:rFonts w:eastAsia="TimesNewRoman"/>
          <w:sz w:val="22"/>
          <w:szCs w:val="22"/>
        </w:rPr>
        <w:t xml:space="preserve"> obsahuje 1 000 mikrogramov 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nu.</w:t>
      </w:r>
    </w:p>
    <w:p w:rsidR="00625326" w:rsidRPr="00B63E7D" w:rsidRDefault="00625326" w:rsidP="00F55242">
      <w:pPr>
        <w:tabs>
          <w:tab w:val="left" w:pos="3720"/>
        </w:tabs>
        <w:spacing w:line="240" w:lineRule="auto"/>
        <w:rPr>
          <w:rFonts w:eastAsia="TimesNewRoman"/>
          <w:sz w:val="22"/>
          <w:szCs w:val="22"/>
        </w:rPr>
      </w:pPr>
      <w:r w:rsidRPr="00B63E7D">
        <w:rPr>
          <w:sz w:val="22"/>
          <w:szCs w:val="22"/>
        </w:rPr>
        <w:tab/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Každá 2</w:t>
      </w:r>
      <w:r w:rsidR="00186B14" w:rsidRPr="00B63E7D">
        <w:rPr>
          <w:rFonts w:eastAsia="TimesNewRoman"/>
          <w:sz w:val="22"/>
          <w:szCs w:val="22"/>
        </w:rPr>
        <w:t> </w:t>
      </w:r>
      <w:r w:rsidRPr="00B63E7D">
        <w:rPr>
          <w:rFonts w:eastAsia="TimesNewRoman"/>
          <w:sz w:val="22"/>
          <w:szCs w:val="22"/>
        </w:rPr>
        <w:t>ml injekčná liekovka obsahuje 200</w:t>
      </w:r>
      <w:r w:rsidR="00186B14" w:rsidRPr="00B63E7D">
        <w:rPr>
          <w:rFonts w:eastAsia="TimesNewRoman"/>
          <w:sz w:val="22"/>
          <w:szCs w:val="22"/>
        </w:rPr>
        <w:t> </w:t>
      </w:r>
      <w:r w:rsidRPr="00B63E7D">
        <w:rPr>
          <w:rFonts w:eastAsia="TimesNewRoman"/>
          <w:sz w:val="22"/>
          <w:szCs w:val="22"/>
        </w:rPr>
        <w:t>mikrogramov 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nu.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Každá 4</w:t>
      </w:r>
      <w:r w:rsidR="00186B14" w:rsidRPr="00B63E7D">
        <w:rPr>
          <w:rFonts w:eastAsia="TimesNewRoman"/>
          <w:sz w:val="22"/>
          <w:szCs w:val="22"/>
        </w:rPr>
        <w:t> </w:t>
      </w:r>
      <w:r w:rsidRPr="00B63E7D">
        <w:rPr>
          <w:rFonts w:eastAsia="TimesNewRoman"/>
          <w:sz w:val="22"/>
          <w:szCs w:val="22"/>
        </w:rPr>
        <w:t>ml injekčná liekovka obsahuje 400</w:t>
      </w:r>
      <w:r w:rsidR="00186B14" w:rsidRPr="00B63E7D">
        <w:rPr>
          <w:rFonts w:eastAsia="TimesNewRoman"/>
          <w:sz w:val="22"/>
          <w:szCs w:val="22"/>
        </w:rPr>
        <w:t> </w:t>
      </w:r>
      <w:r w:rsidRPr="00B63E7D">
        <w:rPr>
          <w:rFonts w:eastAsia="TimesNewRoman"/>
          <w:sz w:val="22"/>
          <w:szCs w:val="22"/>
        </w:rPr>
        <w:t>mikrogramov 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nu.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Každá 10</w:t>
      </w:r>
      <w:r w:rsidR="00186B14" w:rsidRPr="00B63E7D">
        <w:rPr>
          <w:rFonts w:eastAsia="TimesNewRoman"/>
          <w:sz w:val="22"/>
          <w:szCs w:val="22"/>
        </w:rPr>
        <w:t> </w:t>
      </w:r>
      <w:r w:rsidRPr="00B63E7D">
        <w:rPr>
          <w:rFonts w:eastAsia="TimesNewRoman"/>
          <w:sz w:val="22"/>
          <w:szCs w:val="22"/>
        </w:rPr>
        <w:t>ml injekčná liekovka obsahuje 1</w:t>
      </w:r>
      <w:r w:rsidR="00186B14" w:rsidRPr="00B63E7D">
        <w:rPr>
          <w:rFonts w:eastAsia="TimesNewRoman"/>
          <w:sz w:val="22"/>
          <w:szCs w:val="22"/>
        </w:rPr>
        <w:t> </w:t>
      </w:r>
      <w:r w:rsidRPr="00B63E7D">
        <w:rPr>
          <w:rFonts w:eastAsia="TimesNewRoman"/>
          <w:sz w:val="22"/>
          <w:szCs w:val="22"/>
        </w:rPr>
        <w:t>000</w:t>
      </w:r>
      <w:r w:rsidR="00186B14" w:rsidRPr="00B63E7D">
        <w:rPr>
          <w:rFonts w:eastAsia="TimesNewRoman"/>
          <w:sz w:val="22"/>
          <w:szCs w:val="22"/>
        </w:rPr>
        <w:t> </w:t>
      </w:r>
      <w:r w:rsidRPr="00B63E7D">
        <w:rPr>
          <w:rFonts w:eastAsia="TimesNewRoman"/>
          <w:sz w:val="22"/>
          <w:szCs w:val="22"/>
        </w:rPr>
        <w:t>mikrogramov 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nu.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Koncentrácia konečného roztoku po nariedení má byť buď 4</w:t>
      </w:r>
      <w:r w:rsidR="00186B14" w:rsidRPr="00B63E7D">
        <w:rPr>
          <w:rFonts w:eastAsia="TimesNewRoman"/>
          <w:sz w:val="22"/>
          <w:szCs w:val="22"/>
        </w:rPr>
        <w:t> </w:t>
      </w:r>
      <w:r w:rsidRPr="00B63E7D">
        <w:rPr>
          <w:rFonts w:eastAsia="TimesNewRoman"/>
          <w:sz w:val="22"/>
          <w:szCs w:val="22"/>
        </w:rPr>
        <w:t>mikrogramy/ml, alebo 8</w:t>
      </w:r>
      <w:r w:rsidR="00186B14" w:rsidRPr="00B63E7D">
        <w:rPr>
          <w:rFonts w:eastAsia="TimesNewRoman"/>
          <w:sz w:val="22"/>
          <w:szCs w:val="22"/>
        </w:rPr>
        <w:t> </w:t>
      </w:r>
      <w:r w:rsidRPr="00B63E7D">
        <w:rPr>
          <w:rFonts w:eastAsia="TimesNewRoman"/>
          <w:sz w:val="22"/>
          <w:szCs w:val="22"/>
        </w:rPr>
        <w:t>mikrogramov/ml.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Pomocná látka so známym účinkom: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Každý ml koncentrátu obsahuje menej ako 1 mmol (približne 3,5</w:t>
      </w:r>
      <w:r w:rsidR="00186B14" w:rsidRPr="00B63E7D">
        <w:rPr>
          <w:rFonts w:eastAsia="TimesNewRoman"/>
          <w:sz w:val="22"/>
          <w:szCs w:val="22"/>
        </w:rPr>
        <w:t> </w:t>
      </w:r>
      <w:r w:rsidRPr="00B63E7D">
        <w:rPr>
          <w:rFonts w:eastAsia="TimesNewRoman"/>
          <w:sz w:val="22"/>
          <w:szCs w:val="22"/>
        </w:rPr>
        <w:t>mg) sodíka.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Úplný zoznam pomocných látok, pozri časť</w:t>
      </w:r>
      <w:r w:rsidR="00186B14" w:rsidRPr="00B63E7D">
        <w:rPr>
          <w:rFonts w:eastAsia="TimesNewRoman"/>
          <w:sz w:val="22"/>
          <w:szCs w:val="22"/>
        </w:rPr>
        <w:t> </w:t>
      </w:r>
      <w:r w:rsidRPr="00B63E7D">
        <w:rPr>
          <w:rFonts w:eastAsia="TimesNewRoman"/>
          <w:sz w:val="22"/>
          <w:szCs w:val="22"/>
        </w:rPr>
        <w:t>6.1.</w:t>
      </w:r>
    </w:p>
    <w:p w:rsidR="00541A00" w:rsidRPr="00B63E7D" w:rsidRDefault="00541A00" w:rsidP="00F55242">
      <w:pPr>
        <w:spacing w:line="240" w:lineRule="auto"/>
        <w:rPr>
          <w:sz w:val="22"/>
          <w:szCs w:val="22"/>
        </w:rPr>
      </w:pPr>
    </w:p>
    <w:p w:rsidR="00541A00" w:rsidRPr="00B63E7D" w:rsidRDefault="00541A00" w:rsidP="00F55242">
      <w:pPr>
        <w:spacing w:line="240" w:lineRule="auto"/>
        <w:rPr>
          <w:sz w:val="22"/>
          <w:szCs w:val="22"/>
        </w:rPr>
      </w:pPr>
    </w:p>
    <w:p w:rsidR="00541A00" w:rsidRPr="00B63E7D" w:rsidRDefault="00541A00" w:rsidP="00F55242">
      <w:pPr>
        <w:spacing w:line="240" w:lineRule="auto"/>
        <w:ind w:left="567" w:hanging="567"/>
        <w:rPr>
          <w:b/>
          <w:caps/>
          <w:sz w:val="22"/>
          <w:szCs w:val="22"/>
        </w:rPr>
      </w:pPr>
      <w:r w:rsidRPr="00B63E7D">
        <w:rPr>
          <w:b/>
          <w:sz w:val="22"/>
          <w:szCs w:val="22"/>
        </w:rPr>
        <w:t>3.</w:t>
      </w:r>
      <w:r w:rsidRPr="00B63E7D">
        <w:rPr>
          <w:b/>
          <w:sz w:val="22"/>
          <w:szCs w:val="22"/>
        </w:rPr>
        <w:tab/>
      </w:r>
      <w:r w:rsidR="00732359" w:rsidRPr="00B63E7D">
        <w:rPr>
          <w:b/>
          <w:sz w:val="22"/>
          <w:szCs w:val="22"/>
        </w:rPr>
        <w:t>LIEKOVÁ FORMA</w:t>
      </w:r>
    </w:p>
    <w:p w:rsidR="00541A00" w:rsidRPr="00B63E7D" w:rsidRDefault="00541A00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Infúzny koncentrát (sterilný koncentrát).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Koncentrát je číry, bezfarebný roztok, pH 4,5 – 7,0</w:t>
      </w:r>
    </w:p>
    <w:p w:rsidR="00541A00" w:rsidRPr="00B63E7D" w:rsidRDefault="00541A00" w:rsidP="00F55242">
      <w:pPr>
        <w:spacing w:line="240" w:lineRule="auto"/>
        <w:rPr>
          <w:sz w:val="22"/>
          <w:szCs w:val="22"/>
        </w:rPr>
      </w:pPr>
    </w:p>
    <w:p w:rsidR="00541A00" w:rsidRPr="00B63E7D" w:rsidRDefault="00541A00" w:rsidP="00F55242">
      <w:pPr>
        <w:spacing w:line="240" w:lineRule="auto"/>
        <w:rPr>
          <w:sz w:val="22"/>
          <w:szCs w:val="22"/>
        </w:rPr>
      </w:pPr>
    </w:p>
    <w:p w:rsidR="00541A00" w:rsidRPr="00B63E7D" w:rsidRDefault="00541A00" w:rsidP="00F55242">
      <w:pPr>
        <w:spacing w:line="240" w:lineRule="auto"/>
        <w:ind w:left="567" w:hanging="567"/>
        <w:rPr>
          <w:caps/>
          <w:sz w:val="22"/>
          <w:szCs w:val="22"/>
        </w:rPr>
      </w:pPr>
      <w:r w:rsidRPr="00B63E7D">
        <w:rPr>
          <w:b/>
          <w:caps/>
          <w:sz w:val="22"/>
          <w:szCs w:val="22"/>
        </w:rPr>
        <w:t>4.</w:t>
      </w:r>
      <w:r w:rsidRPr="00B63E7D">
        <w:rPr>
          <w:b/>
          <w:caps/>
          <w:sz w:val="22"/>
          <w:szCs w:val="22"/>
        </w:rPr>
        <w:tab/>
      </w:r>
      <w:r w:rsidR="00732359" w:rsidRPr="00B63E7D">
        <w:rPr>
          <w:b/>
          <w:caps/>
          <w:sz w:val="22"/>
          <w:szCs w:val="22"/>
        </w:rPr>
        <w:t>KLINICKÉ ÚDAJE</w:t>
      </w:r>
    </w:p>
    <w:p w:rsidR="00541A00" w:rsidRPr="00B63E7D" w:rsidRDefault="00541A00" w:rsidP="00F55242">
      <w:pPr>
        <w:spacing w:line="240" w:lineRule="auto"/>
        <w:rPr>
          <w:sz w:val="22"/>
          <w:szCs w:val="22"/>
        </w:rPr>
      </w:pPr>
    </w:p>
    <w:p w:rsidR="00541A00" w:rsidRPr="00B63E7D" w:rsidRDefault="00541A00" w:rsidP="00F55242">
      <w:pPr>
        <w:spacing w:line="240" w:lineRule="auto"/>
        <w:ind w:left="567" w:hanging="567"/>
        <w:rPr>
          <w:sz w:val="22"/>
          <w:szCs w:val="22"/>
        </w:rPr>
      </w:pPr>
      <w:r w:rsidRPr="00B63E7D">
        <w:rPr>
          <w:b/>
          <w:sz w:val="22"/>
          <w:szCs w:val="22"/>
        </w:rPr>
        <w:t>4.1</w:t>
      </w:r>
      <w:r w:rsidRPr="00B63E7D">
        <w:rPr>
          <w:b/>
          <w:sz w:val="22"/>
          <w:szCs w:val="22"/>
        </w:rPr>
        <w:tab/>
        <w:t>T</w:t>
      </w:r>
      <w:r w:rsidR="00732359" w:rsidRPr="00B63E7D">
        <w:rPr>
          <w:b/>
          <w:sz w:val="22"/>
          <w:szCs w:val="22"/>
        </w:rPr>
        <w:t>erapeutické indikácie</w:t>
      </w:r>
    </w:p>
    <w:p w:rsidR="00541A00" w:rsidRPr="00B63E7D" w:rsidRDefault="00541A00" w:rsidP="00F55242">
      <w:pPr>
        <w:spacing w:line="240" w:lineRule="auto"/>
        <w:rPr>
          <w:sz w:val="22"/>
          <w:szCs w:val="22"/>
        </w:rPr>
      </w:pPr>
    </w:p>
    <w:p w:rsidR="000F7BC4" w:rsidRPr="00B63E7D" w:rsidRDefault="000F7BC4" w:rsidP="00F55242">
      <w:pPr>
        <w:numPr>
          <w:ilvl w:val="0"/>
          <w:numId w:val="19"/>
        </w:numPr>
        <w:tabs>
          <w:tab w:val="left" w:pos="284"/>
        </w:tabs>
        <w:suppressAutoHyphens w:val="0"/>
        <w:overflowPunct/>
        <w:spacing w:line="240" w:lineRule="auto"/>
        <w:ind w:left="284" w:hanging="284"/>
        <w:textAlignment w:val="auto"/>
        <w:rPr>
          <w:sz w:val="22"/>
          <w:szCs w:val="22"/>
          <w:lang w:eastAsia="sk-SK"/>
        </w:rPr>
      </w:pPr>
      <w:r w:rsidRPr="00B63E7D">
        <w:rPr>
          <w:sz w:val="22"/>
          <w:szCs w:val="22"/>
          <w:lang w:eastAsia="sk-SK"/>
        </w:rPr>
        <w:t>Na sedáciu dospelých pacientov na JIS (jednotka intenzívnej starostlivosti), ktorí si vyžadujú úroveň sedácie, ktorá nie je hlbšia ako vzbudenie v reakcii na verbálnu stimuláciu (zodpovedajúca hodnote 0 až -3 na stupnici RASS (Richmond Agitation-Sedation Scale)).</w:t>
      </w:r>
    </w:p>
    <w:p w:rsidR="000F7BC4" w:rsidRPr="00B63E7D" w:rsidRDefault="000F7BC4" w:rsidP="00F55242">
      <w:pPr>
        <w:spacing w:line="240" w:lineRule="auto"/>
        <w:rPr>
          <w:sz w:val="22"/>
          <w:szCs w:val="22"/>
        </w:rPr>
      </w:pPr>
    </w:p>
    <w:p w:rsidR="003F7383" w:rsidRPr="00B63E7D" w:rsidRDefault="003F7383" w:rsidP="00F55242">
      <w:pPr>
        <w:numPr>
          <w:ilvl w:val="0"/>
          <w:numId w:val="19"/>
        </w:numPr>
        <w:tabs>
          <w:tab w:val="left" w:pos="284"/>
        </w:tabs>
        <w:spacing w:line="240" w:lineRule="auto"/>
        <w:ind w:left="284" w:hanging="284"/>
        <w:rPr>
          <w:sz w:val="22"/>
          <w:szCs w:val="22"/>
          <w:lang w:eastAsia="en-US"/>
        </w:rPr>
      </w:pPr>
      <w:r w:rsidRPr="00B63E7D">
        <w:rPr>
          <w:sz w:val="22"/>
          <w:szCs w:val="22"/>
        </w:rPr>
        <w:t>Na sedáciu dospelých neintubovaných pacientov pred a/alebo počas diagnostických alebo chirurgických výkonov vyžadujúcich si sedáciu, na</w:t>
      </w:r>
      <w:r w:rsidR="00186B14" w:rsidRPr="00B63E7D">
        <w:rPr>
          <w:sz w:val="22"/>
          <w:szCs w:val="22"/>
        </w:rPr>
        <w:t xml:space="preserve">pr. </w:t>
      </w:r>
      <w:r w:rsidR="00A94DC6" w:rsidRPr="00B63E7D">
        <w:rPr>
          <w:sz w:val="22"/>
          <w:szCs w:val="22"/>
        </w:rPr>
        <w:t xml:space="preserve">procedurálna </w:t>
      </w:r>
      <w:r w:rsidR="00186B14" w:rsidRPr="00B63E7D">
        <w:rPr>
          <w:sz w:val="22"/>
          <w:szCs w:val="22"/>
        </w:rPr>
        <w:t>sedácia/</w:t>
      </w:r>
      <w:r w:rsidR="00A94DC6" w:rsidRPr="00B63E7D">
        <w:rPr>
          <w:sz w:val="22"/>
          <w:szCs w:val="22"/>
        </w:rPr>
        <w:t xml:space="preserve">sedácia pri </w:t>
      </w:r>
      <w:r w:rsidR="00186B14" w:rsidRPr="00B63E7D">
        <w:rPr>
          <w:sz w:val="22"/>
          <w:szCs w:val="22"/>
        </w:rPr>
        <w:t>vedomí.</w:t>
      </w:r>
    </w:p>
    <w:p w:rsidR="00541A00" w:rsidRPr="00B63E7D" w:rsidRDefault="00541A00" w:rsidP="00F55242">
      <w:pPr>
        <w:spacing w:line="240" w:lineRule="auto"/>
        <w:rPr>
          <w:sz w:val="22"/>
          <w:szCs w:val="22"/>
        </w:rPr>
      </w:pPr>
    </w:p>
    <w:p w:rsidR="00541A00" w:rsidRPr="00B63E7D" w:rsidRDefault="00541A00" w:rsidP="00F55242">
      <w:pPr>
        <w:spacing w:line="240" w:lineRule="auto"/>
        <w:ind w:left="567" w:hanging="567"/>
        <w:rPr>
          <w:b/>
          <w:sz w:val="22"/>
          <w:szCs w:val="22"/>
        </w:rPr>
      </w:pPr>
      <w:r w:rsidRPr="00B63E7D">
        <w:rPr>
          <w:b/>
          <w:sz w:val="22"/>
          <w:szCs w:val="22"/>
        </w:rPr>
        <w:t>4.2</w:t>
      </w:r>
      <w:r w:rsidRPr="00B63E7D">
        <w:rPr>
          <w:b/>
          <w:sz w:val="22"/>
          <w:szCs w:val="22"/>
        </w:rPr>
        <w:tab/>
      </w:r>
      <w:r w:rsidR="00732359" w:rsidRPr="00B63E7D">
        <w:rPr>
          <w:b/>
          <w:sz w:val="22"/>
          <w:szCs w:val="22"/>
        </w:rPr>
        <w:t>Dávkovanie a spôsob podávania</w:t>
      </w:r>
    </w:p>
    <w:p w:rsidR="00541A00" w:rsidRPr="00B63E7D" w:rsidRDefault="00541A00" w:rsidP="00F55242">
      <w:pPr>
        <w:spacing w:line="240" w:lineRule="auto"/>
        <w:ind w:left="567" w:hanging="567"/>
        <w:rPr>
          <w:sz w:val="22"/>
          <w:szCs w:val="22"/>
        </w:rPr>
      </w:pPr>
    </w:p>
    <w:p w:rsidR="000F7BC4" w:rsidRPr="00B63E7D" w:rsidRDefault="000F7BC4" w:rsidP="00F55242">
      <w:pPr>
        <w:suppressAutoHyphens w:val="0"/>
        <w:overflowPunct/>
        <w:spacing w:line="240" w:lineRule="auto"/>
        <w:textAlignment w:val="auto"/>
        <w:rPr>
          <w:b/>
          <w:sz w:val="22"/>
          <w:szCs w:val="22"/>
          <w:lang w:eastAsia="sk-SK"/>
        </w:rPr>
      </w:pPr>
      <w:r w:rsidRPr="00B63E7D">
        <w:rPr>
          <w:b/>
          <w:sz w:val="22"/>
          <w:szCs w:val="22"/>
          <w:lang w:eastAsia="sk-SK"/>
        </w:rPr>
        <w:t>Indikácia 1. Na sedáciu dospelých pacientov na JIS (jednotka intenzívnej starostlivosti), ktorí si vyžadujú úroveň sedácie, ktorá nie je hlbšia ako vzbudenie v reakcii na verbálnu stimuláciu (zodpovedajúca hodnote 0 až -3 na stupnici RASS (Richmond Agitation-Sedation Scale)).</w:t>
      </w:r>
    </w:p>
    <w:p w:rsidR="000F7BC4" w:rsidRPr="00B63E7D" w:rsidRDefault="000F7BC4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  <w:lang w:eastAsia="sk-SK"/>
        </w:rPr>
      </w:pPr>
    </w:p>
    <w:p w:rsidR="000F7BC4" w:rsidRPr="00B63E7D" w:rsidRDefault="000F7BC4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  <w:lang w:eastAsia="sk-SK"/>
        </w:rPr>
      </w:pPr>
      <w:r w:rsidRPr="00B63E7D">
        <w:rPr>
          <w:sz w:val="22"/>
          <w:szCs w:val="22"/>
          <w:lang w:eastAsia="sk-SK"/>
        </w:rPr>
        <w:t xml:space="preserve">Len na použitie v nemocnici. </w:t>
      </w:r>
      <w:r w:rsidRPr="00B63E7D">
        <w:rPr>
          <w:rFonts w:eastAsia="TimesNewRoman"/>
          <w:sz w:val="22"/>
          <w:szCs w:val="22"/>
        </w:rPr>
        <w:t xml:space="preserve">Dexmedetomidine EVER Pharma </w:t>
      </w:r>
      <w:r w:rsidRPr="00B63E7D">
        <w:rPr>
          <w:sz w:val="22"/>
          <w:szCs w:val="22"/>
          <w:lang w:eastAsia="sk-SK"/>
        </w:rPr>
        <w:t>majú podávať zdravotnícki pracovníci so skúsenosťami s manažmentom pacientov vyžadujúcich si intenzívnu starostlivosť.</w:t>
      </w:r>
    </w:p>
    <w:p w:rsidR="00A5775A" w:rsidRPr="00B63E7D" w:rsidRDefault="00A5775A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  <w:lang w:eastAsia="sk-SK"/>
        </w:rPr>
      </w:pPr>
    </w:p>
    <w:p w:rsidR="000F7BC4" w:rsidRPr="00B63E7D" w:rsidRDefault="000F7BC4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  <w:lang w:eastAsia="sk-SK"/>
        </w:rPr>
      </w:pPr>
      <w:r w:rsidRPr="00B63E7D">
        <w:rPr>
          <w:sz w:val="22"/>
          <w:szCs w:val="22"/>
          <w:lang w:eastAsia="sk-SK"/>
        </w:rPr>
        <w:t>Pacienti, ktorí sú už intubovaní a dostali sedatívum, môžu byť prestavení na dexmedetomid</w:t>
      </w:r>
      <w:r w:rsidR="00A27209">
        <w:rPr>
          <w:sz w:val="22"/>
          <w:szCs w:val="22"/>
          <w:lang w:eastAsia="sk-SK"/>
        </w:rPr>
        <w:t>í</w:t>
      </w:r>
      <w:r w:rsidRPr="00B63E7D">
        <w:rPr>
          <w:sz w:val="22"/>
          <w:szCs w:val="22"/>
          <w:lang w:eastAsia="sk-SK"/>
        </w:rPr>
        <w:t>n so</w:t>
      </w:r>
    </w:p>
    <w:p w:rsidR="000F7BC4" w:rsidRPr="00B63E7D" w:rsidRDefault="000F7BC4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  <w:lang w:eastAsia="sk-SK"/>
        </w:rPr>
      </w:pPr>
      <w:r w:rsidRPr="00B63E7D">
        <w:rPr>
          <w:sz w:val="22"/>
          <w:szCs w:val="22"/>
          <w:lang w:eastAsia="sk-SK"/>
        </w:rPr>
        <w:t>začiatočnou rýchlosťou infúzie 0,7 mikrogramov/kg/h, ktorá sa môže potom postupne upravovať</w:t>
      </w:r>
    </w:p>
    <w:p w:rsidR="000F7BC4" w:rsidRPr="00B63E7D" w:rsidRDefault="000F7BC4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  <w:lang w:eastAsia="sk-SK"/>
        </w:rPr>
      </w:pPr>
      <w:r w:rsidRPr="00B63E7D">
        <w:rPr>
          <w:sz w:val="22"/>
          <w:szCs w:val="22"/>
          <w:lang w:eastAsia="sk-SK"/>
        </w:rPr>
        <w:t>v rozmedzí dávky od 0,2 až 1,4 mikrogramu/kg/h, aby sa dosiahla požadovaná úroveň sedácie</w:t>
      </w:r>
    </w:p>
    <w:p w:rsidR="000F7BC4" w:rsidRPr="00B63E7D" w:rsidRDefault="000F7BC4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  <w:lang w:eastAsia="sk-SK"/>
        </w:rPr>
      </w:pPr>
      <w:r w:rsidRPr="00B63E7D">
        <w:rPr>
          <w:sz w:val="22"/>
          <w:szCs w:val="22"/>
          <w:lang w:eastAsia="sk-SK"/>
        </w:rPr>
        <w:t>v závislosti od reakcie pacienta. U telesne slabých pacientov možno zvážiť nižšiu začiatočnú rýchlosť</w:t>
      </w:r>
    </w:p>
    <w:p w:rsidR="000F7BC4" w:rsidRPr="00B63E7D" w:rsidRDefault="000F7BC4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  <w:lang w:eastAsia="sk-SK"/>
        </w:rPr>
      </w:pPr>
      <w:r w:rsidRPr="00B63E7D">
        <w:rPr>
          <w:sz w:val="22"/>
          <w:szCs w:val="22"/>
          <w:lang w:eastAsia="sk-SK"/>
        </w:rPr>
        <w:t>infúzie. Dexmedetomid</w:t>
      </w:r>
      <w:r w:rsidR="00A27209">
        <w:rPr>
          <w:sz w:val="22"/>
          <w:szCs w:val="22"/>
          <w:lang w:eastAsia="sk-SK"/>
        </w:rPr>
        <w:t>í</w:t>
      </w:r>
      <w:r w:rsidRPr="00B63E7D">
        <w:rPr>
          <w:sz w:val="22"/>
          <w:szCs w:val="22"/>
          <w:lang w:eastAsia="sk-SK"/>
        </w:rPr>
        <w:t xml:space="preserve">n je veľmi silný a rýchlosť infúzie sa uvádza za </w:t>
      </w:r>
      <w:r w:rsidRPr="00B63E7D">
        <w:rPr>
          <w:rFonts w:eastAsia="TimesNewRoman,Bold"/>
          <w:b/>
          <w:bCs/>
          <w:sz w:val="22"/>
          <w:szCs w:val="22"/>
          <w:lang w:eastAsia="sk-SK"/>
        </w:rPr>
        <w:t xml:space="preserve">hodinu. </w:t>
      </w:r>
      <w:r w:rsidRPr="00B63E7D">
        <w:rPr>
          <w:sz w:val="22"/>
          <w:szCs w:val="22"/>
          <w:lang w:eastAsia="sk-SK"/>
        </w:rPr>
        <w:t>Po úprave dávky sa</w:t>
      </w:r>
    </w:p>
    <w:p w:rsidR="000F7BC4" w:rsidRPr="00B63E7D" w:rsidRDefault="000F7BC4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  <w:lang w:eastAsia="sk-SK"/>
        </w:rPr>
      </w:pPr>
      <w:r w:rsidRPr="00B63E7D">
        <w:rPr>
          <w:sz w:val="22"/>
          <w:szCs w:val="22"/>
          <w:lang w:eastAsia="sk-SK"/>
        </w:rPr>
        <w:t>nemusí dosiahnuť nový rovnovážny stav úrovne sedácie až do jednej hodiny.</w:t>
      </w:r>
    </w:p>
    <w:p w:rsidR="000F7BC4" w:rsidRPr="00B63E7D" w:rsidRDefault="000F7BC4" w:rsidP="00F55242">
      <w:pPr>
        <w:suppressAutoHyphens w:val="0"/>
        <w:overflowPunct/>
        <w:spacing w:line="240" w:lineRule="auto"/>
        <w:textAlignment w:val="auto"/>
        <w:rPr>
          <w:i/>
          <w:iCs/>
          <w:sz w:val="22"/>
          <w:szCs w:val="22"/>
          <w:lang w:eastAsia="sk-SK"/>
        </w:rPr>
      </w:pPr>
    </w:p>
    <w:p w:rsidR="000F7BC4" w:rsidRPr="00B63E7D" w:rsidRDefault="000F7BC4" w:rsidP="00F55242">
      <w:pPr>
        <w:suppressAutoHyphens w:val="0"/>
        <w:overflowPunct/>
        <w:spacing w:line="240" w:lineRule="auto"/>
        <w:textAlignment w:val="auto"/>
        <w:rPr>
          <w:i/>
          <w:iCs/>
          <w:sz w:val="22"/>
          <w:szCs w:val="22"/>
          <w:u w:val="single"/>
          <w:lang w:eastAsia="sk-SK"/>
        </w:rPr>
      </w:pPr>
      <w:r w:rsidRPr="00B63E7D">
        <w:rPr>
          <w:i/>
          <w:iCs/>
          <w:sz w:val="22"/>
          <w:szCs w:val="22"/>
          <w:u w:val="single"/>
          <w:lang w:eastAsia="sk-SK"/>
        </w:rPr>
        <w:t>Maximálna dávka</w:t>
      </w:r>
    </w:p>
    <w:p w:rsidR="000F7BC4" w:rsidRPr="00B63E7D" w:rsidRDefault="000F7BC4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  <w:lang w:eastAsia="sk-SK"/>
        </w:rPr>
      </w:pPr>
      <w:r w:rsidRPr="00B63E7D">
        <w:rPr>
          <w:sz w:val="22"/>
          <w:szCs w:val="22"/>
          <w:lang w:eastAsia="sk-SK"/>
        </w:rPr>
        <w:t>Maximálna dávka 1,4 mikrogramu/kg/h sa nemá prekročiť. Pacienti, ktorí nedosiahnu adekvátnu</w:t>
      </w:r>
    </w:p>
    <w:p w:rsidR="000F7BC4" w:rsidRPr="00B63E7D" w:rsidRDefault="000F7BC4" w:rsidP="00F55242">
      <w:pPr>
        <w:spacing w:line="240" w:lineRule="auto"/>
        <w:rPr>
          <w:sz w:val="22"/>
          <w:szCs w:val="22"/>
          <w:lang w:eastAsia="sk-SK"/>
        </w:rPr>
      </w:pPr>
      <w:r w:rsidRPr="00B63E7D">
        <w:rPr>
          <w:sz w:val="22"/>
          <w:szCs w:val="22"/>
          <w:lang w:eastAsia="sk-SK"/>
        </w:rPr>
        <w:t>úroveň sedácie po maximálnej dávke dexmedetomid</w:t>
      </w:r>
      <w:r w:rsidR="00A27209">
        <w:rPr>
          <w:sz w:val="22"/>
          <w:szCs w:val="22"/>
          <w:lang w:eastAsia="sk-SK"/>
        </w:rPr>
        <w:t>í</w:t>
      </w:r>
      <w:r w:rsidRPr="00B63E7D">
        <w:rPr>
          <w:sz w:val="22"/>
          <w:szCs w:val="22"/>
          <w:lang w:eastAsia="sk-SK"/>
        </w:rPr>
        <w:t>nu, sa majú prestaviť na alternatívne sedatívum.</w:t>
      </w:r>
    </w:p>
    <w:p w:rsidR="000F7BC4" w:rsidRPr="00B63E7D" w:rsidRDefault="000F7BC4" w:rsidP="00F55242">
      <w:pPr>
        <w:spacing w:line="240" w:lineRule="auto"/>
        <w:rPr>
          <w:sz w:val="22"/>
          <w:szCs w:val="22"/>
          <w:lang w:eastAsia="sk-SK"/>
        </w:rPr>
      </w:pPr>
    </w:p>
    <w:p w:rsidR="000F7BC4" w:rsidRPr="00B63E7D" w:rsidRDefault="000F7BC4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  <w:lang w:eastAsia="sk-SK"/>
        </w:rPr>
      </w:pPr>
      <w:r w:rsidRPr="00B63E7D">
        <w:rPr>
          <w:sz w:val="22"/>
          <w:szCs w:val="22"/>
          <w:lang w:eastAsia="sk-SK"/>
        </w:rPr>
        <w:t xml:space="preserve">Použitie záťažovej dávky </w:t>
      </w:r>
      <w:r w:rsidRPr="00B63E7D">
        <w:rPr>
          <w:rFonts w:eastAsia="TimesNewRoman"/>
          <w:sz w:val="22"/>
          <w:szCs w:val="22"/>
        </w:rPr>
        <w:t xml:space="preserve">Dexmedetomidinu EVER Pharma </w:t>
      </w:r>
      <w:r w:rsidRPr="00B63E7D">
        <w:rPr>
          <w:sz w:val="22"/>
          <w:szCs w:val="22"/>
          <w:lang w:eastAsia="sk-SK"/>
        </w:rPr>
        <w:t>sa neodporúča a spája sa so zvýšeným výskytom nežiaducich účinkov. Ak sa nedosiahnu klinické účinky dexmedetomid</w:t>
      </w:r>
      <w:r w:rsidR="00A27209">
        <w:rPr>
          <w:sz w:val="22"/>
          <w:szCs w:val="22"/>
          <w:lang w:eastAsia="sk-SK"/>
        </w:rPr>
        <w:t>í</w:t>
      </w:r>
      <w:r w:rsidRPr="00B63E7D">
        <w:rPr>
          <w:sz w:val="22"/>
          <w:szCs w:val="22"/>
          <w:lang w:eastAsia="sk-SK"/>
        </w:rPr>
        <w:t>nu, v prípade potreby možno podať propofol alebo midazolam.</w:t>
      </w:r>
    </w:p>
    <w:p w:rsidR="000F7BC4" w:rsidRPr="00B63E7D" w:rsidRDefault="000F7BC4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  <w:lang w:eastAsia="sk-SK"/>
        </w:rPr>
      </w:pPr>
    </w:p>
    <w:p w:rsidR="000F7BC4" w:rsidRPr="00B63E7D" w:rsidRDefault="000F7BC4" w:rsidP="00F55242">
      <w:pPr>
        <w:suppressAutoHyphens w:val="0"/>
        <w:overflowPunct/>
        <w:spacing w:line="240" w:lineRule="auto"/>
        <w:textAlignment w:val="auto"/>
        <w:rPr>
          <w:i/>
          <w:iCs/>
          <w:sz w:val="22"/>
          <w:szCs w:val="22"/>
          <w:u w:val="single"/>
          <w:lang w:eastAsia="sk-SK"/>
        </w:rPr>
      </w:pPr>
      <w:r w:rsidRPr="00B63E7D">
        <w:rPr>
          <w:i/>
          <w:iCs/>
          <w:sz w:val="22"/>
          <w:szCs w:val="22"/>
          <w:u w:val="single"/>
          <w:lang w:eastAsia="sk-SK"/>
        </w:rPr>
        <w:t>Dĺžka podávania</w:t>
      </w:r>
    </w:p>
    <w:p w:rsidR="000F7BC4" w:rsidRPr="00B63E7D" w:rsidRDefault="000F7BC4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</w:rPr>
      </w:pPr>
      <w:r w:rsidRPr="00B63E7D">
        <w:rPr>
          <w:sz w:val="22"/>
          <w:szCs w:val="22"/>
          <w:lang w:eastAsia="sk-SK"/>
        </w:rPr>
        <w:t xml:space="preserve">S dlhším používaním </w:t>
      </w:r>
      <w:r w:rsidRPr="00B63E7D">
        <w:rPr>
          <w:rFonts w:eastAsia="TimesNewRoman"/>
          <w:sz w:val="22"/>
          <w:szCs w:val="22"/>
        </w:rPr>
        <w:t xml:space="preserve">Dexmedetomidinu EVER Pharma </w:t>
      </w:r>
      <w:r w:rsidRPr="00B63E7D">
        <w:rPr>
          <w:sz w:val="22"/>
          <w:szCs w:val="22"/>
          <w:lang w:eastAsia="sk-SK"/>
        </w:rPr>
        <w:t xml:space="preserve">ako 14 dní nie sú žiadne skúsenosti. Používanie </w:t>
      </w:r>
      <w:r w:rsidRPr="00B63E7D">
        <w:rPr>
          <w:rFonts w:eastAsia="TimesNewRoman"/>
          <w:sz w:val="22"/>
          <w:szCs w:val="22"/>
        </w:rPr>
        <w:t xml:space="preserve">Dexmedetomidinu EVER Pharma </w:t>
      </w:r>
      <w:r w:rsidRPr="00B63E7D">
        <w:rPr>
          <w:sz w:val="22"/>
          <w:szCs w:val="22"/>
          <w:lang w:eastAsia="sk-SK"/>
        </w:rPr>
        <w:t>dlhšie ako je toto obdobie, sa má pravidelne prehodnocovať.</w:t>
      </w:r>
    </w:p>
    <w:p w:rsidR="000F7BC4" w:rsidRPr="00B63E7D" w:rsidRDefault="000F7BC4" w:rsidP="00F55242">
      <w:pPr>
        <w:spacing w:line="240" w:lineRule="auto"/>
        <w:rPr>
          <w:sz w:val="22"/>
          <w:szCs w:val="22"/>
        </w:rPr>
      </w:pPr>
    </w:p>
    <w:p w:rsidR="003F7383" w:rsidRPr="00B63E7D" w:rsidRDefault="000F7BC4" w:rsidP="00F55242">
      <w:pPr>
        <w:spacing w:line="240" w:lineRule="auto"/>
        <w:rPr>
          <w:b/>
          <w:sz w:val="22"/>
          <w:szCs w:val="22"/>
          <w:lang w:eastAsia="en-US"/>
        </w:rPr>
      </w:pPr>
      <w:r w:rsidRPr="00B63E7D">
        <w:rPr>
          <w:b/>
          <w:sz w:val="22"/>
          <w:szCs w:val="22"/>
          <w:lang w:eastAsia="sk-SK"/>
        </w:rPr>
        <w:t xml:space="preserve">Indikácia 2. </w:t>
      </w:r>
      <w:r w:rsidR="003F7383" w:rsidRPr="00B63E7D">
        <w:rPr>
          <w:b/>
          <w:sz w:val="22"/>
          <w:szCs w:val="22"/>
        </w:rPr>
        <w:t>Na sedáciu dospelých neintubovaných pacientov pred a/alebo počas diagnostických alebo chirurgických výkonov vyžadujúcich si sedáciu, na</w:t>
      </w:r>
      <w:r w:rsidR="00186B14" w:rsidRPr="00B63E7D">
        <w:rPr>
          <w:b/>
          <w:sz w:val="22"/>
          <w:szCs w:val="22"/>
        </w:rPr>
        <w:t xml:space="preserve">pr. </w:t>
      </w:r>
      <w:r w:rsidR="000E5AEE" w:rsidRPr="00B63E7D">
        <w:rPr>
          <w:b/>
          <w:sz w:val="22"/>
          <w:szCs w:val="22"/>
        </w:rPr>
        <w:t>procedurálna sedácia/sedácia pri vedomí</w:t>
      </w:r>
      <w:r w:rsidR="00186B14" w:rsidRPr="00B63E7D">
        <w:rPr>
          <w:b/>
          <w:sz w:val="22"/>
          <w:szCs w:val="22"/>
        </w:rPr>
        <w:t>.</w:t>
      </w:r>
    </w:p>
    <w:p w:rsidR="003F7383" w:rsidRPr="00B63E7D" w:rsidRDefault="003F7383" w:rsidP="00F55242">
      <w:pPr>
        <w:spacing w:line="240" w:lineRule="auto"/>
        <w:rPr>
          <w:sz w:val="22"/>
          <w:szCs w:val="22"/>
        </w:rPr>
      </w:pPr>
    </w:p>
    <w:p w:rsidR="00625326" w:rsidRPr="00B63E7D" w:rsidRDefault="00213687" w:rsidP="00F55242">
      <w:pPr>
        <w:spacing w:line="240" w:lineRule="auto"/>
        <w:rPr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 xml:space="preserve">Dexmedetomidine EVER Pharma </w:t>
      </w:r>
      <w:r w:rsidR="003F7383" w:rsidRPr="00B63E7D">
        <w:rPr>
          <w:rFonts w:eastAsia="TimesNewRoman"/>
          <w:sz w:val="22"/>
          <w:szCs w:val="22"/>
        </w:rPr>
        <w:t>m</w:t>
      </w:r>
      <w:r w:rsidR="00EB6C86" w:rsidRPr="00B63E7D">
        <w:rPr>
          <w:rFonts w:eastAsia="TimesNewRoman"/>
          <w:sz w:val="22"/>
          <w:szCs w:val="22"/>
        </w:rPr>
        <w:t xml:space="preserve">ajú </w:t>
      </w:r>
      <w:r w:rsidR="003F7383" w:rsidRPr="00B63E7D">
        <w:rPr>
          <w:rFonts w:eastAsia="TimesNewRoman"/>
          <w:sz w:val="22"/>
          <w:szCs w:val="22"/>
        </w:rPr>
        <w:t xml:space="preserve">podávať </w:t>
      </w:r>
      <w:r w:rsidR="003C6BDB" w:rsidRPr="00B63E7D">
        <w:rPr>
          <w:rFonts w:eastAsia="TimesNewRoman"/>
          <w:sz w:val="22"/>
          <w:szCs w:val="22"/>
        </w:rPr>
        <w:t>iba</w:t>
      </w:r>
      <w:r w:rsidR="003C6BDB" w:rsidRPr="00B63E7D">
        <w:rPr>
          <w:sz w:val="22"/>
          <w:szCs w:val="22"/>
        </w:rPr>
        <w:t xml:space="preserve"> zdravotníck</w:t>
      </w:r>
      <w:r w:rsidR="00EB6C86" w:rsidRPr="00B63E7D">
        <w:rPr>
          <w:sz w:val="22"/>
          <w:szCs w:val="22"/>
        </w:rPr>
        <w:t xml:space="preserve">i </w:t>
      </w:r>
      <w:r w:rsidR="003C6BDB" w:rsidRPr="00B63E7D">
        <w:rPr>
          <w:sz w:val="22"/>
          <w:szCs w:val="22"/>
        </w:rPr>
        <w:t>pracovníci so skúsenosťami s </w:t>
      </w:r>
      <w:r w:rsidR="00EB6C86" w:rsidRPr="00B63E7D">
        <w:rPr>
          <w:sz w:val="22"/>
          <w:szCs w:val="22"/>
        </w:rPr>
        <w:t xml:space="preserve">anestetickou liečbou </w:t>
      </w:r>
      <w:r w:rsidR="003C6BDB" w:rsidRPr="00B63E7D">
        <w:rPr>
          <w:sz w:val="22"/>
          <w:szCs w:val="22"/>
        </w:rPr>
        <w:t xml:space="preserve">pacientov </w:t>
      </w:r>
      <w:r w:rsidR="00EB6C86" w:rsidRPr="00B63E7D">
        <w:rPr>
          <w:sz w:val="22"/>
          <w:szCs w:val="22"/>
        </w:rPr>
        <w:t>v operačn</w:t>
      </w:r>
      <w:r w:rsidR="00886948" w:rsidRPr="00B63E7D">
        <w:rPr>
          <w:sz w:val="22"/>
          <w:szCs w:val="22"/>
        </w:rPr>
        <w:t xml:space="preserve">ej </w:t>
      </w:r>
      <w:r w:rsidR="00EB6C86" w:rsidRPr="00B63E7D">
        <w:rPr>
          <w:sz w:val="22"/>
          <w:szCs w:val="22"/>
        </w:rPr>
        <w:t>sál</w:t>
      </w:r>
      <w:r w:rsidR="00886948" w:rsidRPr="00B63E7D">
        <w:rPr>
          <w:sz w:val="22"/>
          <w:szCs w:val="22"/>
        </w:rPr>
        <w:t xml:space="preserve">e </w:t>
      </w:r>
      <w:r w:rsidR="00EB6C86" w:rsidRPr="00B63E7D">
        <w:rPr>
          <w:sz w:val="22"/>
          <w:szCs w:val="22"/>
        </w:rPr>
        <w:t>alebo počas diagnostických výkonov</w:t>
      </w:r>
      <w:r w:rsidR="003C6BDB" w:rsidRPr="00B63E7D">
        <w:rPr>
          <w:sz w:val="22"/>
          <w:szCs w:val="22"/>
        </w:rPr>
        <w:t xml:space="preserve">. </w:t>
      </w:r>
      <w:r w:rsidR="00886948" w:rsidRPr="00B63E7D">
        <w:rPr>
          <w:sz w:val="22"/>
          <w:szCs w:val="22"/>
        </w:rPr>
        <w:t xml:space="preserve">Ak sa </w:t>
      </w:r>
      <w:r w:rsidRPr="00B63E7D">
        <w:rPr>
          <w:rFonts w:eastAsia="TimesNewRoman"/>
          <w:sz w:val="22"/>
          <w:szCs w:val="22"/>
        </w:rPr>
        <w:t xml:space="preserve">Dexmedetomidine EVER Pharma </w:t>
      </w:r>
      <w:r w:rsidR="00886948" w:rsidRPr="00B63E7D">
        <w:rPr>
          <w:rFonts w:eastAsia="TimesNewRoman"/>
          <w:sz w:val="22"/>
          <w:szCs w:val="22"/>
        </w:rPr>
        <w:t>podáva na sedáciu pri vedomí</w:t>
      </w:r>
      <w:r w:rsidR="00625326" w:rsidRPr="00B63E7D">
        <w:rPr>
          <w:sz w:val="22"/>
          <w:szCs w:val="22"/>
        </w:rPr>
        <w:t>, pa</w:t>
      </w:r>
      <w:r w:rsidR="00886948" w:rsidRPr="00B63E7D">
        <w:rPr>
          <w:sz w:val="22"/>
          <w:szCs w:val="22"/>
        </w:rPr>
        <w:t xml:space="preserve">cienti majú </w:t>
      </w:r>
      <w:r w:rsidR="006C76BD" w:rsidRPr="00B63E7D">
        <w:rPr>
          <w:sz w:val="22"/>
          <w:szCs w:val="22"/>
        </w:rPr>
        <w:t xml:space="preserve">byť nepretržite sledovaní osobami, ktoré nie sú zapojené do vykonania </w:t>
      </w:r>
      <w:r w:rsidR="00625326" w:rsidRPr="00B63E7D">
        <w:rPr>
          <w:sz w:val="22"/>
          <w:szCs w:val="22"/>
        </w:rPr>
        <w:t>diagnostic</w:t>
      </w:r>
      <w:r w:rsidR="006C76BD" w:rsidRPr="00B63E7D">
        <w:rPr>
          <w:sz w:val="22"/>
          <w:szCs w:val="22"/>
        </w:rPr>
        <w:t>kého alebo chirurgického výkonu</w:t>
      </w:r>
      <w:r w:rsidR="00625326" w:rsidRPr="00B63E7D">
        <w:rPr>
          <w:sz w:val="22"/>
          <w:szCs w:val="22"/>
        </w:rPr>
        <w:t xml:space="preserve">. </w:t>
      </w:r>
      <w:r w:rsidR="00A12415" w:rsidRPr="00B63E7D">
        <w:rPr>
          <w:sz w:val="22"/>
          <w:szCs w:val="22"/>
        </w:rPr>
        <w:t xml:space="preserve">Pacienti majú byť nepretržite sledovaní z dôvodu </w:t>
      </w:r>
      <w:r w:rsidR="00186B14" w:rsidRPr="00B63E7D">
        <w:rPr>
          <w:sz w:val="22"/>
          <w:szCs w:val="22"/>
        </w:rPr>
        <w:t xml:space="preserve">skorých </w:t>
      </w:r>
      <w:r w:rsidR="00A12415" w:rsidRPr="00B63E7D">
        <w:rPr>
          <w:sz w:val="22"/>
          <w:szCs w:val="22"/>
        </w:rPr>
        <w:t xml:space="preserve">prejavov </w:t>
      </w:r>
      <w:r w:rsidR="00625326" w:rsidRPr="00B63E7D">
        <w:rPr>
          <w:sz w:val="22"/>
          <w:szCs w:val="22"/>
        </w:rPr>
        <w:t>hypoten</w:t>
      </w:r>
      <w:r w:rsidR="00A12415" w:rsidRPr="00B63E7D">
        <w:rPr>
          <w:sz w:val="22"/>
          <w:szCs w:val="22"/>
        </w:rPr>
        <w:t>zie</w:t>
      </w:r>
      <w:r w:rsidR="00625326" w:rsidRPr="00B63E7D">
        <w:rPr>
          <w:sz w:val="22"/>
          <w:szCs w:val="22"/>
        </w:rPr>
        <w:t>, hyperten</w:t>
      </w:r>
      <w:r w:rsidR="00A12415" w:rsidRPr="00B63E7D">
        <w:rPr>
          <w:sz w:val="22"/>
          <w:szCs w:val="22"/>
        </w:rPr>
        <w:t>zie</w:t>
      </w:r>
      <w:r w:rsidR="00625326" w:rsidRPr="00B63E7D">
        <w:rPr>
          <w:sz w:val="22"/>
          <w:szCs w:val="22"/>
        </w:rPr>
        <w:t>, brady</w:t>
      </w:r>
      <w:r w:rsidR="00A12415" w:rsidRPr="00B63E7D">
        <w:rPr>
          <w:sz w:val="22"/>
          <w:szCs w:val="22"/>
        </w:rPr>
        <w:t>k</w:t>
      </w:r>
      <w:r w:rsidR="00625326" w:rsidRPr="00B63E7D">
        <w:rPr>
          <w:sz w:val="22"/>
          <w:szCs w:val="22"/>
        </w:rPr>
        <w:t>ardi</w:t>
      </w:r>
      <w:r w:rsidR="00A12415" w:rsidRPr="00B63E7D">
        <w:rPr>
          <w:sz w:val="22"/>
          <w:szCs w:val="22"/>
        </w:rPr>
        <w:t>e</w:t>
      </w:r>
      <w:r w:rsidR="00625326" w:rsidRPr="00B63E7D">
        <w:rPr>
          <w:sz w:val="22"/>
          <w:szCs w:val="22"/>
        </w:rPr>
        <w:t>, respira</w:t>
      </w:r>
      <w:r w:rsidR="00A12415" w:rsidRPr="00B63E7D">
        <w:rPr>
          <w:sz w:val="22"/>
          <w:szCs w:val="22"/>
        </w:rPr>
        <w:t>čnej depresie</w:t>
      </w:r>
      <w:r w:rsidR="00625326" w:rsidRPr="00B63E7D">
        <w:rPr>
          <w:sz w:val="22"/>
          <w:szCs w:val="22"/>
        </w:rPr>
        <w:t>, apnoe, dyspnoe a/</w:t>
      </w:r>
      <w:r w:rsidR="00A12415" w:rsidRPr="00B63E7D">
        <w:rPr>
          <w:sz w:val="22"/>
          <w:szCs w:val="22"/>
        </w:rPr>
        <w:t>alebo desaturácie kyslík</w:t>
      </w:r>
      <w:r w:rsidR="002621CD" w:rsidRPr="00B63E7D">
        <w:rPr>
          <w:sz w:val="22"/>
          <w:szCs w:val="22"/>
        </w:rPr>
        <w:t>om</w:t>
      </w:r>
      <w:r w:rsidR="00625326" w:rsidRPr="00B63E7D">
        <w:rPr>
          <w:sz w:val="22"/>
          <w:szCs w:val="22"/>
        </w:rPr>
        <w:t xml:space="preserve"> (</w:t>
      </w:r>
      <w:r w:rsidR="00A12415" w:rsidRPr="00B63E7D">
        <w:rPr>
          <w:sz w:val="22"/>
          <w:szCs w:val="22"/>
        </w:rPr>
        <w:t>pozri časť</w:t>
      </w:r>
      <w:r w:rsidR="00186B14" w:rsidRPr="00B63E7D">
        <w:rPr>
          <w:sz w:val="22"/>
          <w:szCs w:val="22"/>
        </w:rPr>
        <w:t> </w:t>
      </w:r>
      <w:r w:rsidR="00625326" w:rsidRPr="00B63E7D">
        <w:rPr>
          <w:sz w:val="22"/>
          <w:szCs w:val="22"/>
        </w:rPr>
        <w:t>4.8).</w:t>
      </w:r>
      <w:r w:rsidR="00625326" w:rsidRPr="00B63E7D">
        <w:rPr>
          <w:sz w:val="22"/>
          <w:szCs w:val="22"/>
        </w:rPr>
        <w:br/>
      </w:r>
      <w:r w:rsidR="00186B14" w:rsidRPr="00B63E7D">
        <w:rPr>
          <w:sz w:val="22"/>
          <w:szCs w:val="22"/>
        </w:rPr>
        <w:t>Ak je to indikované, s</w:t>
      </w:r>
      <w:r w:rsidR="002621CD" w:rsidRPr="00B63E7D">
        <w:rPr>
          <w:sz w:val="22"/>
          <w:szCs w:val="22"/>
        </w:rPr>
        <w:t>uplementárny kyslík má byť okamžite dostupný a poskytnutý.</w:t>
      </w:r>
      <w:r w:rsidR="00625326" w:rsidRPr="00B63E7D">
        <w:rPr>
          <w:sz w:val="22"/>
          <w:szCs w:val="22"/>
        </w:rPr>
        <w:t xml:space="preserve"> </w:t>
      </w:r>
      <w:r w:rsidR="002621CD" w:rsidRPr="00B63E7D">
        <w:rPr>
          <w:sz w:val="22"/>
          <w:szCs w:val="22"/>
        </w:rPr>
        <w:t>Saturácia kyslíkom sa má sledovať</w:t>
      </w:r>
      <w:r w:rsidR="00625326" w:rsidRPr="00B63E7D">
        <w:rPr>
          <w:sz w:val="22"/>
          <w:szCs w:val="22"/>
        </w:rPr>
        <w:t>.</w:t>
      </w:r>
    </w:p>
    <w:p w:rsidR="002621CD" w:rsidRPr="00B63E7D" w:rsidRDefault="002621CD" w:rsidP="00F55242">
      <w:pPr>
        <w:spacing w:line="240" w:lineRule="auto"/>
        <w:rPr>
          <w:sz w:val="22"/>
          <w:szCs w:val="22"/>
        </w:rPr>
      </w:pPr>
    </w:p>
    <w:p w:rsidR="00625326" w:rsidRPr="00B63E7D" w:rsidRDefault="00213687" w:rsidP="00F55242">
      <w:pPr>
        <w:spacing w:line="240" w:lineRule="auto"/>
        <w:rPr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 xml:space="preserve">Dexmedetomidine EVER Pharma </w:t>
      </w:r>
      <w:r w:rsidR="002853DB" w:rsidRPr="00B63E7D">
        <w:rPr>
          <w:rFonts w:eastAsia="TimesNewRoman"/>
          <w:sz w:val="22"/>
          <w:szCs w:val="22"/>
        </w:rPr>
        <w:t xml:space="preserve">sa podáva ako </w:t>
      </w:r>
      <w:r w:rsidR="002853DB" w:rsidRPr="00B63E7D">
        <w:rPr>
          <w:sz w:val="22"/>
          <w:szCs w:val="22"/>
        </w:rPr>
        <w:t>záťažová infúzia, po ktorej nasleduje udržiavacia infúzia</w:t>
      </w:r>
      <w:r w:rsidR="00625326" w:rsidRPr="00B63E7D">
        <w:rPr>
          <w:sz w:val="22"/>
          <w:szCs w:val="22"/>
        </w:rPr>
        <w:t xml:space="preserve">. </w:t>
      </w:r>
      <w:r w:rsidR="002853DB" w:rsidRPr="00B63E7D">
        <w:rPr>
          <w:sz w:val="22"/>
          <w:szCs w:val="22"/>
        </w:rPr>
        <w:t xml:space="preserve">V závislosti od výkonu môže byť na dosiahnutie požadovaného klinického účinku súbežne potrebná lokálna </w:t>
      </w:r>
      <w:r w:rsidR="00625326" w:rsidRPr="00B63E7D">
        <w:rPr>
          <w:sz w:val="22"/>
          <w:szCs w:val="22"/>
        </w:rPr>
        <w:t>analg</w:t>
      </w:r>
      <w:r w:rsidR="002853DB" w:rsidRPr="00B63E7D">
        <w:rPr>
          <w:sz w:val="22"/>
          <w:szCs w:val="22"/>
        </w:rPr>
        <w:t>ézia</w:t>
      </w:r>
      <w:r w:rsidR="00625326" w:rsidRPr="00B63E7D">
        <w:rPr>
          <w:sz w:val="22"/>
          <w:szCs w:val="22"/>
        </w:rPr>
        <w:t xml:space="preserve">. </w:t>
      </w:r>
      <w:r w:rsidR="009172E9" w:rsidRPr="00B63E7D">
        <w:rPr>
          <w:sz w:val="22"/>
          <w:szCs w:val="22"/>
        </w:rPr>
        <w:t xml:space="preserve">V prípade bolestivých výkonov alebo, ak je nevyhnutná hlboká sedácia, odporúča </w:t>
      </w:r>
      <w:r w:rsidR="000B631A" w:rsidRPr="00B63E7D">
        <w:rPr>
          <w:sz w:val="22"/>
          <w:szCs w:val="22"/>
        </w:rPr>
        <w:t xml:space="preserve">sa </w:t>
      </w:r>
      <w:r w:rsidR="009172E9" w:rsidRPr="00B63E7D">
        <w:rPr>
          <w:sz w:val="22"/>
          <w:szCs w:val="22"/>
        </w:rPr>
        <w:t>d</w:t>
      </w:r>
      <w:r w:rsidR="002853DB" w:rsidRPr="00B63E7D">
        <w:rPr>
          <w:sz w:val="22"/>
          <w:szCs w:val="22"/>
        </w:rPr>
        <w:t xml:space="preserve">odatočná </w:t>
      </w:r>
      <w:r w:rsidR="00625326" w:rsidRPr="00B63E7D">
        <w:rPr>
          <w:sz w:val="22"/>
          <w:szCs w:val="22"/>
        </w:rPr>
        <w:t>analg</w:t>
      </w:r>
      <w:r w:rsidR="002853DB" w:rsidRPr="00B63E7D">
        <w:rPr>
          <w:sz w:val="22"/>
          <w:szCs w:val="22"/>
        </w:rPr>
        <w:t xml:space="preserve">ézia alebo </w:t>
      </w:r>
      <w:r w:rsidR="00625326" w:rsidRPr="00B63E7D">
        <w:rPr>
          <w:sz w:val="22"/>
          <w:szCs w:val="22"/>
        </w:rPr>
        <w:t>sedat</w:t>
      </w:r>
      <w:r w:rsidR="002853DB" w:rsidRPr="00B63E7D">
        <w:rPr>
          <w:sz w:val="22"/>
          <w:szCs w:val="22"/>
        </w:rPr>
        <w:t xml:space="preserve">íva </w:t>
      </w:r>
      <w:r w:rsidR="00625326" w:rsidRPr="00B63E7D">
        <w:rPr>
          <w:sz w:val="22"/>
          <w:szCs w:val="22"/>
        </w:rPr>
        <w:t>(</w:t>
      </w:r>
      <w:r w:rsidR="002853DB" w:rsidRPr="00B63E7D">
        <w:rPr>
          <w:sz w:val="22"/>
          <w:szCs w:val="22"/>
        </w:rPr>
        <w:t xml:space="preserve">napr. </w:t>
      </w:r>
      <w:r w:rsidR="00625326" w:rsidRPr="00B63E7D">
        <w:rPr>
          <w:sz w:val="22"/>
          <w:szCs w:val="22"/>
        </w:rPr>
        <w:t>midazolam, propofol a opi</w:t>
      </w:r>
      <w:r w:rsidR="005B7609" w:rsidRPr="00B63E7D">
        <w:rPr>
          <w:sz w:val="22"/>
          <w:szCs w:val="22"/>
        </w:rPr>
        <w:t>áty</w:t>
      </w:r>
      <w:r w:rsidR="00625326" w:rsidRPr="00B63E7D">
        <w:rPr>
          <w:sz w:val="22"/>
          <w:szCs w:val="22"/>
        </w:rPr>
        <w:t>).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F5382C" w:rsidP="00F55242">
      <w:pPr>
        <w:spacing w:line="240" w:lineRule="auto"/>
        <w:rPr>
          <w:i/>
          <w:sz w:val="22"/>
          <w:szCs w:val="22"/>
        </w:rPr>
      </w:pPr>
      <w:r w:rsidRPr="00B63E7D">
        <w:rPr>
          <w:i/>
          <w:sz w:val="22"/>
          <w:szCs w:val="22"/>
        </w:rPr>
        <w:t>Začatie p</w:t>
      </w:r>
      <w:r w:rsidR="00997D5C" w:rsidRPr="00B63E7D">
        <w:rPr>
          <w:i/>
          <w:sz w:val="22"/>
          <w:szCs w:val="22"/>
        </w:rPr>
        <w:t xml:space="preserve">rocedurálnej </w:t>
      </w:r>
      <w:r w:rsidRPr="00B63E7D">
        <w:rPr>
          <w:i/>
          <w:sz w:val="22"/>
          <w:szCs w:val="22"/>
        </w:rPr>
        <w:t>sedácie</w:t>
      </w:r>
      <w:r w:rsidR="00625326" w:rsidRPr="00B63E7D">
        <w:rPr>
          <w:i/>
          <w:sz w:val="22"/>
          <w:szCs w:val="22"/>
        </w:rPr>
        <w:t>: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F5382C" w:rsidP="00F55242">
      <w:pPr>
        <w:pStyle w:val="Odsekzoznamu"/>
        <w:numPr>
          <w:ilvl w:val="0"/>
          <w:numId w:val="13"/>
        </w:numPr>
        <w:suppressAutoHyphens/>
        <w:spacing w:after="0" w:line="240" w:lineRule="auto"/>
        <w:ind w:left="567" w:hanging="567"/>
        <w:contextualSpacing w:val="0"/>
        <w:rPr>
          <w:rFonts w:ascii="Times New Roman" w:hAnsi="Times New Roman"/>
        </w:rPr>
      </w:pPr>
      <w:r w:rsidRPr="00B63E7D">
        <w:rPr>
          <w:rFonts w:ascii="Times New Roman" w:hAnsi="Times New Roman"/>
          <w:b/>
          <w:bCs/>
        </w:rPr>
        <w:t xml:space="preserve">U dospelých </w:t>
      </w:r>
      <w:r w:rsidR="00625326" w:rsidRPr="00B63E7D">
        <w:rPr>
          <w:rFonts w:ascii="Times New Roman" w:hAnsi="Times New Roman"/>
          <w:b/>
          <w:bCs/>
        </w:rPr>
        <w:t>pa</w:t>
      </w:r>
      <w:r w:rsidRPr="00B63E7D">
        <w:rPr>
          <w:rFonts w:ascii="Times New Roman" w:hAnsi="Times New Roman"/>
          <w:b/>
          <w:bCs/>
        </w:rPr>
        <w:t>cientov</w:t>
      </w:r>
      <w:r w:rsidR="00625326" w:rsidRPr="00B63E7D">
        <w:rPr>
          <w:rFonts w:ascii="Times New Roman" w:hAnsi="Times New Roman"/>
          <w:b/>
          <w:bCs/>
        </w:rPr>
        <w:t>:</w:t>
      </w:r>
      <w:r w:rsidR="00625326" w:rsidRPr="00B63E7D">
        <w:rPr>
          <w:rFonts w:ascii="Times New Roman" w:hAnsi="Times New Roman"/>
        </w:rPr>
        <w:t xml:space="preserve"> </w:t>
      </w:r>
      <w:r w:rsidR="00341BC9" w:rsidRPr="00B63E7D">
        <w:rPr>
          <w:rFonts w:ascii="Times New Roman" w:hAnsi="Times New Roman"/>
        </w:rPr>
        <w:t xml:space="preserve">Záťažová infúzia v dávke </w:t>
      </w:r>
      <w:r w:rsidR="00625326" w:rsidRPr="00B63E7D">
        <w:rPr>
          <w:rFonts w:ascii="Times New Roman" w:hAnsi="Times New Roman"/>
        </w:rPr>
        <w:t>1</w:t>
      </w:r>
      <w:r w:rsidR="00341BC9" w:rsidRPr="00B63E7D">
        <w:rPr>
          <w:rFonts w:ascii="Times New Roman" w:hAnsi="Times New Roman"/>
        </w:rPr>
        <w:t>,</w:t>
      </w:r>
      <w:r w:rsidR="00625326" w:rsidRPr="00B63E7D">
        <w:rPr>
          <w:rFonts w:ascii="Times New Roman" w:hAnsi="Times New Roman"/>
        </w:rPr>
        <w:t>0</w:t>
      </w:r>
      <w:r w:rsidR="00341BC9" w:rsidRPr="00B63E7D">
        <w:rPr>
          <w:rFonts w:ascii="Times New Roman" w:hAnsi="Times New Roman"/>
        </w:rPr>
        <w:t> </w:t>
      </w:r>
      <w:r w:rsidR="00341BC9" w:rsidRPr="00B63E7D">
        <w:rPr>
          <w:rFonts w:ascii="Times New Roman" w:eastAsia="TimesNewRoman" w:hAnsi="Times New Roman"/>
        </w:rPr>
        <w:t>mikrogram/</w:t>
      </w:r>
      <w:r w:rsidR="00625326" w:rsidRPr="00B63E7D">
        <w:rPr>
          <w:rFonts w:ascii="Times New Roman" w:hAnsi="Times New Roman"/>
        </w:rPr>
        <w:t xml:space="preserve">kg </w:t>
      </w:r>
      <w:r w:rsidR="00341BC9" w:rsidRPr="00B63E7D">
        <w:rPr>
          <w:rFonts w:ascii="Times New Roman" w:hAnsi="Times New Roman"/>
        </w:rPr>
        <w:t>počas</w:t>
      </w:r>
      <w:r w:rsidR="00625326" w:rsidRPr="00B63E7D">
        <w:rPr>
          <w:rFonts w:ascii="Times New Roman" w:hAnsi="Times New Roman"/>
        </w:rPr>
        <w:t xml:space="preserve"> 10</w:t>
      </w:r>
      <w:r w:rsidR="00341BC9" w:rsidRPr="00B63E7D">
        <w:rPr>
          <w:rFonts w:ascii="Times New Roman" w:hAnsi="Times New Roman"/>
        </w:rPr>
        <w:t> </w:t>
      </w:r>
      <w:r w:rsidR="00625326" w:rsidRPr="00B63E7D">
        <w:rPr>
          <w:rFonts w:ascii="Times New Roman" w:hAnsi="Times New Roman"/>
          <w:bCs/>
        </w:rPr>
        <w:t>min</w:t>
      </w:r>
      <w:r w:rsidR="00341BC9" w:rsidRPr="00B63E7D">
        <w:rPr>
          <w:rFonts w:ascii="Times New Roman" w:hAnsi="Times New Roman"/>
          <w:bCs/>
        </w:rPr>
        <w:t>út</w:t>
      </w:r>
      <w:r w:rsidR="00625326" w:rsidRPr="00B63E7D">
        <w:rPr>
          <w:rFonts w:ascii="Times New Roman" w:hAnsi="Times New Roman"/>
        </w:rPr>
        <w:t xml:space="preserve">. </w:t>
      </w:r>
      <w:r w:rsidR="00341BC9" w:rsidRPr="00B63E7D">
        <w:rPr>
          <w:rFonts w:ascii="Times New Roman" w:hAnsi="Times New Roman"/>
        </w:rPr>
        <w:t xml:space="preserve">Na menej invazívne výkony, ako je </w:t>
      </w:r>
      <w:r w:rsidR="00625326" w:rsidRPr="00B63E7D">
        <w:rPr>
          <w:rFonts w:ascii="Times New Roman" w:hAnsi="Times New Roman"/>
        </w:rPr>
        <w:t>o</w:t>
      </w:r>
      <w:r w:rsidR="00341BC9" w:rsidRPr="00B63E7D">
        <w:rPr>
          <w:rFonts w:ascii="Times New Roman" w:hAnsi="Times New Roman"/>
        </w:rPr>
        <w:t>f</w:t>
      </w:r>
      <w:r w:rsidR="00625326" w:rsidRPr="00B63E7D">
        <w:rPr>
          <w:rFonts w:ascii="Times New Roman" w:hAnsi="Times New Roman"/>
        </w:rPr>
        <w:t>talm</w:t>
      </w:r>
      <w:r w:rsidR="00341BC9" w:rsidRPr="00B63E7D">
        <w:rPr>
          <w:rFonts w:ascii="Times New Roman" w:hAnsi="Times New Roman"/>
        </w:rPr>
        <w:t>ologická operácia</w:t>
      </w:r>
      <w:r w:rsidR="00625326" w:rsidRPr="00B63E7D">
        <w:rPr>
          <w:rFonts w:ascii="Times New Roman" w:hAnsi="Times New Roman"/>
        </w:rPr>
        <w:t xml:space="preserve">, </w:t>
      </w:r>
      <w:r w:rsidR="00341BC9" w:rsidRPr="00B63E7D">
        <w:rPr>
          <w:rFonts w:ascii="Times New Roman" w:hAnsi="Times New Roman"/>
        </w:rPr>
        <w:t xml:space="preserve">môže byť vhodná záťažová infúzia </w:t>
      </w:r>
      <w:r w:rsidR="00625326" w:rsidRPr="00B63E7D">
        <w:rPr>
          <w:rFonts w:ascii="Times New Roman" w:hAnsi="Times New Roman"/>
        </w:rPr>
        <w:t>0</w:t>
      </w:r>
      <w:r w:rsidR="00341BC9" w:rsidRPr="00B63E7D">
        <w:rPr>
          <w:rFonts w:ascii="Times New Roman" w:hAnsi="Times New Roman"/>
        </w:rPr>
        <w:t>,</w:t>
      </w:r>
      <w:r w:rsidR="00625326" w:rsidRPr="00B63E7D">
        <w:rPr>
          <w:rFonts w:ascii="Times New Roman" w:hAnsi="Times New Roman"/>
        </w:rPr>
        <w:t>5</w:t>
      </w:r>
      <w:r w:rsidR="00341BC9" w:rsidRPr="00B63E7D">
        <w:rPr>
          <w:rFonts w:ascii="Times New Roman" w:hAnsi="Times New Roman"/>
        </w:rPr>
        <w:t> </w:t>
      </w:r>
      <w:r w:rsidR="00625326" w:rsidRPr="00B63E7D">
        <w:rPr>
          <w:rFonts w:ascii="Times New Roman" w:hAnsi="Times New Roman"/>
        </w:rPr>
        <w:t>mi</w:t>
      </w:r>
      <w:r w:rsidR="00341BC9" w:rsidRPr="00B63E7D">
        <w:rPr>
          <w:rFonts w:ascii="Times New Roman" w:hAnsi="Times New Roman"/>
        </w:rPr>
        <w:t>k</w:t>
      </w:r>
      <w:r w:rsidR="00625326" w:rsidRPr="00B63E7D">
        <w:rPr>
          <w:rFonts w:ascii="Times New Roman" w:hAnsi="Times New Roman"/>
        </w:rPr>
        <w:t>rogram</w:t>
      </w:r>
      <w:r w:rsidR="00341BC9" w:rsidRPr="00B63E7D">
        <w:rPr>
          <w:rFonts w:ascii="Times New Roman" w:hAnsi="Times New Roman"/>
        </w:rPr>
        <w:t>ov</w:t>
      </w:r>
      <w:r w:rsidR="00625326" w:rsidRPr="00B63E7D">
        <w:rPr>
          <w:rFonts w:ascii="Times New Roman" w:hAnsi="Times New Roman"/>
        </w:rPr>
        <w:t xml:space="preserve">/kg </w:t>
      </w:r>
      <w:r w:rsidR="00341BC9" w:rsidRPr="00B63E7D">
        <w:rPr>
          <w:rFonts w:ascii="Times New Roman" w:hAnsi="Times New Roman"/>
        </w:rPr>
        <w:t xml:space="preserve">podávaná počas </w:t>
      </w:r>
      <w:r w:rsidR="00625326" w:rsidRPr="00B63E7D">
        <w:rPr>
          <w:rFonts w:ascii="Times New Roman" w:hAnsi="Times New Roman"/>
        </w:rPr>
        <w:t>10</w:t>
      </w:r>
      <w:r w:rsidR="00341BC9" w:rsidRPr="00B63E7D">
        <w:rPr>
          <w:rFonts w:ascii="Times New Roman" w:hAnsi="Times New Roman"/>
        </w:rPr>
        <w:t> </w:t>
      </w:r>
      <w:r w:rsidR="00625326" w:rsidRPr="00B63E7D">
        <w:rPr>
          <w:rFonts w:ascii="Times New Roman" w:hAnsi="Times New Roman"/>
          <w:bCs/>
        </w:rPr>
        <w:t>min</w:t>
      </w:r>
      <w:r w:rsidR="00341BC9" w:rsidRPr="00B63E7D">
        <w:rPr>
          <w:rFonts w:ascii="Times New Roman" w:hAnsi="Times New Roman"/>
          <w:bCs/>
        </w:rPr>
        <w:t>út</w:t>
      </w:r>
      <w:r w:rsidR="00625326" w:rsidRPr="00B63E7D">
        <w:rPr>
          <w:rFonts w:ascii="Times New Roman" w:hAnsi="Times New Roman"/>
        </w:rPr>
        <w:t>.</w:t>
      </w:r>
    </w:p>
    <w:p w:rsidR="00625326" w:rsidRPr="00B63E7D" w:rsidRDefault="005C71F7" w:rsidP="00F55242">
      <w:pPr>
        <w:pStyle w:val="Odsekzoznamu"/>
        <w:numPr>
          <w:ilvl w:val="0"/>
          <w:numId w:val="13"/>
        </w:numPr>
        <w:suppressAutoHyphens/>
        <w:spacing w:after="0" w:line="240" w:lineRule="auto"/>
        <w:ind w:left="567" w:hanging="567"/>
        <w:contextualSpacing w:val="0"/>
        <w:rPr>
          <w:rFonts w:ascii="Times New Roman" w:hAnsi="Times New Roman"/>
        </w:rPr>
      </w:pPr>
      <w:r w:rsidRPr="00B63E7D">
        <w:rPr>
          <w:rFonts w:ascii="Times New Roman" w:hAnsi="Times New Roman"/>
          <w:b/>
        </w:rPr>
        <w:t>Na fibrooptickú intubáciu u dospelých pacientov pri vedomí</w:t>
      </w:r>
      <w:r w:rsidR="00625326" w:rsidRPr="00B63E7D">
        <w:rPr>
          <w:rFonts w:ascii="Times New Roman" w:hAnsi="Times New Roman"/>
          <w:b/>
        </w:rPr>
        <w:t>:</w:t>
      </w:r>
      <w:r w:rsidR="00625326" w:rsidRPr="00B63E7D">
        <w:rPr>
          <w:rFonts w:ascii="Times New Roman" w:hAnsi="Times New Roman"/>
        </w:rPr>
        <w:t xml:space="preserve"> </w:t>
      </w:r>
      <w:r w:rsidRPr="00B63E7D">
        <w:rPr>
          <w:rFonts w:ascii="Times New Roman" w:hAnsi="Times New Roman"/>
        </w:rPr>
        <w:t>Záťažová infúzia v dávke 1,0 </w:t>
      </w:r>
      <w:r w:rsidRPr="00B63E7D">
        <w:rPr>
          <w:rFonts w:ascii="Times New Roman" w:eastAsia="TimesNewRoman" w:hAnsi="Times New Roman"/>
        </w:rPr>
        <w:t>mikrogram/</w:t>
      </w:r>
      <w:r w:rsidRPr="00B63E7D">
        <w:rPr>
          <w:rFonts w:ascii="Times New Roman" w:hAnsi="Times New Roman"/>
        </w:rPr>
        <w:t>kg počas 10 </w:t>
      </w:r>
      <w:r w:rsidRPr="00B63E7D">
        <w:rPr>
          <w:rFonts w:ascii="Times New Roman" w:hAnsi="Times New Roman"/>
          <w:bCs/>
        </w:rPr>
        <w:t>minút</w:t>
      </w:r>
      <w:r w:rsidR="00625326" w:rsidRPr="00B63E7D">
        <w:rPr>
          <w:rFonts w:ascii="Times New Roman" w:hAnsi="Times New Roman"/>
        </w:rPr>
        <w:t>.</w:t>
      </w:r>
    </w:p>
    <w:p w:rsidR="00625326" w:rsidRPr="00B63E7D" w:rsidRDefault="005C71F7" w:rsidP="00F55242">
      <w:pPr>
        <w:pStyle w:val="Odsekzoznamu"/>
        <w:numPr>
          <w:ilvl w:val="0"/>
          <w:numId w:val="13"/>
        </w:numPr>
        <w:suppressAutoHyphens/>
        <w:spacing w:after="0" w:line="240" w:lineRule="auto"/>
        <w:ind w:left="567" w:hanging="567"/>
        <w:contextualSpacing w:val="0"/>
        <w:rPr>
          <w:rFonts w:ascii="Times New Roman" w:hAnsi="Times New Roman"/>
        </w:rPr>
      </w:pPr>
      <w:r w:rsidRPr="00B63E7D">
        <w:rPr>
          <w:rFonts w:ascii="Times New Roman" w:hAnsi="Times New Roman"/>
          <w:b/>
          <w:bCs/>
        </w:rPr>
        <w:t>U pacientov</w:t>
      </w:r>
      <w:r w:rsidRPr="00B63E7D">
        <w:rPr>
          <w:rFonts w:ascii="Times New Roman" w:hAnsi="Times New Roman"/>
          <w:b/>
        </w:rPr>
        <w:t xml:space="preserve"> vo veku nad </w:t>
      </w:r>
      <w:r w:rsidR="00625326" w:rsidRPr="00B63E7D">
        <w:rPr>
          <w:rFonts w:ascii="Times New Roman" w:hAnsi="Times New Roman"/>
          <w:b/>
        </w:rPr>
        <w:t>65</w:t>
      </w:r>
      <w:r w:rsidRPr="00B63E7D">
        <w:rPr>
          <w:rFonts w:ascii="Times New Roman" w:hAnsi="Times New Roman"/>
          <w:b/>
        </w:rPr>
        <w:t> rokov</w:t>
      </w:r>
      <w:r w:rsidR="00625326" w:rsidRPr="00B63E7D">
        <w:rPr>
          <w:rFonts w:ascii="Times New Roman" w:hAnsi="Times New Roman"/>
          <w:b/>
        </w:rPr>
        <w:t xml:space="preserve">: </w:t>
      </w:r>
      <w:r w:rsidRPr="00B63E7D">
        <w:rPr>
          <w:rFonts w:ascii="Times New Roman" w:hAnsi="Times New Roman"/>
        </w:rPr>
        <w:t>Má sa zvážiť zníženie dávky</w:t>
      </w:r>
      <w:r w:rsidR="00625326" w:rsidRPr="00B63E7D">
        <w:rPr>
          <w:rFonts w:ascii="Times New Roman" w:hAnsi="Times New Roman"/>
        </w:rPr>
        <w:t>.</w:t>
      </w:r>
    </w:p>
    <w:p w:rsidR="00625326" w:rsidRPr="00B63E7D" w:rsidRDefault="005C71F7" w:rsidP="00F55242">
      <w:pPr>
        <w:pStyle w:val="Odsekzoznamu"/>
        <w:numPr>
          <w:ilvl w:val="0"/>
          <w:numId w:val="13"/>
        </w:numPr>
        <w:suppressAutoHyphens/>
        <w:spacing w:after="0" w:line="240" w:lineRule="auto"/>
        <w:ind w:left="567" w:hanging="567"/>
        <w:contextualSpacing w:val="0"/>
        <w:rPr>
          <w:rFonts w:ascii="Times New Roman" w:hAnsi="Times New Roman"/>
        </w:rPr>
      </w:pPr>
      <w:r w:rsidRPr="00B63E7D">
        <w:rPr>
          <w:rFonts w:ascii="Times New Roman" w:hAnsi="Times New Roman"/>
          <w:b/>
          <w:bCs/>
        </w:rPr>
        <w:t>U dospelých pacientov</w:t>
      </w:r>
      <w:r w:rsidRPr="00B63E7D">
        <w:rPr>
          <w:rFonts w:ascii="Times New Roman" w:hAnsi="Times New Roman"/>
          <w:b/>
        </w:rPr>
        <w:t xml:space="preserve"> s poruchou funkcie pečene</w:t>
      </w:r>
      <w:r w:rsidR="00625326" w:rsidRPr="00B63E7D">
        <w:rPr>
          <w:rFonts w:ascii="Times New Roman" w:hAnsi="Times New Roman"/>
          <w:b/>
        </w:rPr>
        <w:t>:</w:t>
      </w:r>
      <w:r w:rsidR="00625326" w:rsidRPr="00B63E7D">
        <w:rPr>
          <w:rFonts w:ascii="Times New Roman" w:hAnsi="Times New Roman"/>
        </w:rPr>
        <w:t xml:space="preserve"> </w:t>
      </w:r>
      <w:r w:rsidR="00D57845" w:rsidRPr="00B63E7D">
        <w:rPr>
          <w:rFonts w:ascii="Times New Roman" w:hAnsi="Times New Roman"/>
        </w:rPr>
        <w:t>Má sa zvážiť zníženie dávky</w:t>
      </w:r>
      <w:r w:rsidR="00625326" w:rsidRPr="00B63E7D">
        <w:rPr>
          <w:rFonts w:ascii="Times New Roman" w:hAnsi="Times New Roman"/>
        </w:rPr>
        <w:t>.</w:t>
      </w:r>
    </w:p>
    <w:p w:rsidR="00625326" w:rsidRPr="00B63E7D" w:rsidRDefault="00625326" w:rsidP="00F55242">
      <w:pPr>
        <w:pStyle w:val="Odsekzoznamu"/>
        <w:spacing w:after="0" w:line="240" w:lineRule="auto"/>
        <w:rPr>
          <w:rFonts w:ascii="Times New Roman" w:hAnsi="Times New Roman"/>
        </w:rPr>
      </w:pPr>
    </w:p>
    <w:p w:rsidR="00625326" w:rsidRPr="00B63E7D" w:rsidRDefault="009C0848" w:rsidP="00F55242">
      <w:pPr>
        <w:spacing w:line="240" w:lineRule="auto"/>
        <w:ind w:left="567" w:hanging="567"/>
        <w:rPr>
          <w:sz w:val="22"/>
          <w:szCs w:val="22"/>
        </w:rPr>
      </w:pPr>
      <w:r w:rsidRPr="00B63E7D">
        <w:rPr>
          <w:i/>
          <w:sz w:val="22"/>
          <w:szCs w:val="22"/>
        </w:rPr>
        <w:t xml:space="preserve">Udržiavanie </w:t>
      </w:r>
      <w:r w:rsidR="00997D5C" w:rsidRPr="00B63E7D">
        <w:rPr>
          <w:i/>
          <w:sz w:val="22"/>
          <w:szCs w:val="22"/>
        </w:rPr>
        <w:t>procedurálnej sedácie</w:t>
      </w:r>
      <w:r w:rsidRPr="00B63E7D">
        <w:rPr>
          <w:i/>
          <w:sz w:val="22"/>
          <w:szCs w:val="22"/>
        </w:rPr>
        <w:t>:</w:t>
      </w:r>
    </w:p>
    <w:p w:rsidR="00625326" w:rsidRPr="00B63E7D" w:rsidRDefault="00625326" w:rsidP="00F55242">
      <w:pPr>
        <w:spacing w:line="240" w:lineRule="auto"/>
        <w:ind w:left="567" w:hanging="567"/>
        <w:rPr>
          <w:sz w:val="22"/>
          <w:szCs w:val="22"/>
        </w:rPr>
      </w:pPr>
    </w:p>
    <w:p w:rsidR="00625326" w:rsidRPr="00B63E7D" w:rsidRDefault="001B2E00" w:rsidP="00F55242">
      <w:pPr>
        <w:pStyle w:val="Odsekzoznamu"/>
        <w:numPr>
          <w:ilvl w:val="0"/>
          <w:numId w:val="14"/>
        </w:numPr>
        <w:suppressAutoHyphens/>
        <w:spacing w:after="0" w:line="240" w:lineRule="auto"/>
        <w:ind w:left="567" w:hanging="567"/>
        <w:contextualSpacing w:val="0"/>
        <w:rPr>
          <w:rFonts w:ascii="Times New Roman" w:hAnsi="Times New Roman"/>
        </w:rPr>
      </w:pPr>
      <w:r w:rsidRPr="00B63E7D">
        <w:rPr>
          <w:rFonts w:ascii="Times New Roman" w:hAnsi="Times New Roman"/>
          <w:b/>
          <w:bCs/>
        </w:rPr>
        <w:t>U dospelých pacientov</w:t>
      </w:r>
      <w:r w:rsidR="00625326" w:rsidRPr="00B63E7D">
        <w:rPr>
          <w:rFonts w:ascii="Times New Roman" w:hAnsi="Times New Roman"/>
          <w:b/>
          <w:bCs/>
        </w:rPr>
        <w:t>:</w:t>
      </w:r>
      <w:r w:rsidR="00625326" w:rsidRPr="00B63E7D">
        <w:rPr>
          <w:rFonts w:ascii="Times New Roman" w:hAnsi="Times New Roman"/>
        </w:rPr>
        <w:t xml:space="preserve"> </w:t>
      </w:r>
      <w:r w:rsidRPr="00B63E7D">
        <w:rPr>
          <w:rFonts w:ascii="Times New Roman" w:hAnsi="Times New Roman"/>
        </w:rPr>
        <w:t xml:space="preserve">Udržiavacia infúzia zvyčajne začína dávkou </w:t>
      </w:r>
      <w:r w:rsidR="00625326" w:rsidRPr="00B63E7D">
        <w:rPr>
          <w:rFonts w:ascii="Times New Roman" w:hAnsi="Times New Roman"/>
        </w:rPr>
        <w:t>0</w:t>
      </w:r>
      <w:r w:rsidRPr="00B63E7D">
        <w:rPr>
          <w:rFonts w:ascii="Times New Roman" w:hAnsi="Times New Roman"/>
        </w:rPr>
        <w:t>,</w:t>
      </w:r>
      <w:r w:rsidR="00625326" w:rsidRPr="00B63E7D">
        <w:rPr>
          <w:rFonts w:ascii="Times New Roman" w:hAnsi="Times New Roman"/>
        </w:rPr>
        <w:t>6</w:t>
      </w:r>
      <w:r w:rsidRPr="00B63E7D">
        <w:rPr>
          <w:rFonts w:ascii="Times New Roman" w:hAnsi="Times New Roman"/>
        </w:rPr>
        <w:t> </w:t>
      </w:r>
      <w:r w:rsidR="00625326" w:rsidRPr="00B63E7D">
        <w:rPr>
          <w:rFonts w:ascii="Times New Roman" w:hAnsi="Times New Roman"/>
        </w:rPr>
        <w:t>mi</w:t>
      </w:r>
      <w:r w:rsidRPr="00B63E7D">
        <w:rPr>
          <w:rFonts w:ascii="Times New Roman" w:hAnsi="Times New Roman"/>
        </w:rPr>
        <w:t>k</w:t>
      </w:r>
      <w:r w:rsidR="00625326" w:rsidRPr="00B63E7D">
        <w:rPr>
          <w:rFonts w:ascii="Times New Roman" w:hAnsi="Times New Roman"/>
        </w:rPr>
        <w:t>rogram</w:t>
      </w:r>
      <w:r w:rsidRPr="00B63E7D">
        <w:rPr>
          <w:rFonts w:ascii="Times New Roman" w:hAnsi="Times New Roman"/>
        </w:rPr>
        <w:t>ov</w:t>
      </w:r>
      <w:r w:rsidR="00625326" w:rsidRPr="00B63E7D">
        <w:rPr>
          <w:rFonts w:ascii="Times New Roman" w:hAnsi="Times New Roman"/>
        </w:rPr>
        <w:t>/kg</w:t>
      </w:r>
      <w:r w:rsidR="008B2DF5" w:rsidRPr="00B63E7D">
        <w:rPr>
          <w:rFonts w:ascii="Times New Roman" w:hAnsi="Times New Roman"/>
        </w:rPr>
        <w:t>/hod.</w:t>
      </w:r>
      <w:r w:rsidR="00625326" w:rsidRPr="00B63E7D">
        <w:rPr>
          <w:rFonts w:ascii="Times New Roman" w:hAnsi="Times New Roman"/>
        </w:rPr>
        <w:t xml:space="preserve"> a titr</w:t>
      </w:r>
      <w:r w:rsidR="009A221D" w:rsidRPr="00B63E7D">
        <w:rPr>
          <w:rFonts w:ascii="Times New Roman" w:hAnsi="Times New Roman"/>
        </w:rPr>
        <w:t xml:space="preserve">uje sa tak, aby sa dosiahol požadovaný klinický účinok s dávkami v rozsahu od </w:t>
      </w:r>
      <w:r w:rsidR="00625326" w:rsidRPr="00B63E7D">
        <w:rPr>
          <w:rFonts w:ascii="Times New Roman" w:hAnsi="Times New Roman"/>
        </w:rPr>
        <w:t>0</w:t>
      </w:r>
      <w:r w:rsidR="009A221D" w:rsidRPr="00B63E7D">
        <w:rPr>
          <w:rFonts w:ascii="Times New Roman" w:hAnsi="Times New Roman"/>
        </w:rPr>
        <w:t>,</w:t>
      </w:r>
      <w:r w:rsidR="00625326" w:rsidRPr="00B63E7D">
        <w:rPr>
          <w:rFonts w:ascii="Times New Roman" w:hAnsi="Times New Roman"/>
        </w:rPr>
        <w:t xml:space="preserve">2 </w:t>
      </w:r>
      <w:r w:rsidR="009A221D" w:rsidRPr="00B63E7D">
        <w:rPr>
          <w:rFonts w:ascii="Times New Roman" w:hAnsi="Times New Roman"/>
        </w:rPr>
        <w:t xml:space="preserve">až </w:t>
      </w:r>
      <w:r w:rsidR="00625326" w:rsidRPr="00B63E7D">
        <w:rPr>
          <w:rFonts w:ascii="Times New Roman" w:hAnsi="Times New Roman"/>
        </w:rPr>
        <w:lastRenderedPageBreak/>
        <w:t>1</w:t>
      </w:r>
      <w:r w:rsidR="009A221D" w:rsidRPr="00B63E7D">
        <w:rPr>
          <w:rFonts w:ascii="Times New Roman" w:hAnsi="Times New Roman"/>
        </w:rPr>
        <w:t> </w:t>
      </w:r>
      <w:r w:rsidR="00625326" w:rsidRPr="00B63E7D">
        <w:rPr>
          <w:rFonts w:ascii="Times New Roman" w:hAnsi="Times New Roman"/>
        </w:rPr>
        <w:t>mi</w:t>
      </w:r>
      <w:r w:rsidR="009A221D" w:rsidRPr="00B63E7D">
        <w:rPr>
          <w:rFonts w:ascii="Times New Roman" w:hAnsi="Times New Roman"/>
        </w:rPr>
        <w:t>k</w:t>
      </w:r>
      <w:r w:rsidR="00625326" w:rsidRPr="00B63E7D">
        <w:rPr>
          <w:rFonts w:ascii="Times New Roman" w:hAnsi="Times New Roman"/>
        </w:rPr>
        <w:t>rogram/kg</w:t>
      </w:r>
      <w:r w:rsidR="008B2DF5" w:rsidRPr="00B63E7D">
        <w:rPr>
          <w:rFonts w:ascii="Times New Roman" w:hAnsi="Times New Roman"/>
        </w:rPr>
        <w:t>/hod.</w:t>
      </w:r>
      <w:r w:rsidR="00625326" w:rsidRPr="00B63E7D">
        <w:rPr>
          <w:rFonts w:ascii="Times New Roman" w:hAnsi="Times New Roman"/>
        </w:rPr>
        <w:t xml:space="preserve"> </w:t>
      </w:r>
      <w:r w:rsidR="009E59F2" w:rsidRPr="00B63E7D">
        <w:rPr>
          <w:rFonts w:ascii="Times New Roman" w:hAnsi="Times New Roman"/>
        </w:rPr>
        <w:t>Rýchlosť udržiavacej infúzie sa má upraviť tak, aby sa dosiahla požadovaná úroveň sedácie</w:t>
      </w:r>
      <w:r w:rsidR="00625326" w:rsidRPr="00B63E7D">
        <w:rPr>
          <w:rFonts w:ascii="Times New Roman" w:hAnsi="Times New Roman"/>
        </w:rPr>
        <w:t>.</w:t>
      </w:r>
    </w:p>
    <w:p w:rsidR="00625326" w:rsidRPr="00B63E7D" w:rsidRDefault="009E59F2" w:rsidP="00F55242">
      <w:pPr>
        <w:pStyle w:val="Odsekzoznamu"/>
        <w:numPr>
          <w:ilvl w:val="0"/>
          <w:numId w:val="14"/>
        </w:numPr>
        <w:suppressAutoHyphens/>
        <w:spacing w:after="0" w:line="240" w:lineRule="auto"/>
        <w:ind w:left="567" w:hanging="567"/>
        <w:contextualSpacing w:val="0"/>
        <w:rPr>
          <w:rFonts w:ascii="Times New Roman" w:hAnsi="Times New Roman"/>
        </w:rPr>
      </w:pPr>
      <w:r w:rsidRPr="00B63E7D">
        <w:rPr>
          <w:rFonts w:ascii="Times New Roman" w:hAnsi="Times New Roman"/>
          <w:b/>
        </w:rPr>
        <w:t>Na fibrooptickú intubáciu u dospelých pacientov pri vedomí</w:t>
      </w:r>
      <w:r w:rsidR="00625326" w:rsidRPr="00B63E7D">
        <w:rPr>
          <w:rFonts w:ascii="Times New Roman" w:hAnsi="Times New Roman"/>
          <w:b/>
          <w:bCs/>
        </w:rPr>
        <w:t>:</w:t>
      </w:r>
      <w:r w:rsidR="00625326" w:rsidRPr="00B63E7D">
        <w:rPr>
          <w:rFonts w:ascii="Times New Roman" w:hAnsi="Times New Roman"/>
        </w:rPr>
        <w:t xml:space="preserve"> </w:t>
      </w:r>
      <w:r w:rsidR="00F35A90" w:rsidRPr="00B63E7D">
        <w:rPr>
          <w:rFonts w:ascii="Times New Roman" w:hAnsi="Times New Roman"/>
          <w:bCs/>
        </w:rPr>
        <w:t xml:space="preserve">Kým je zaistená </w:t>
      </w:r>
      <w:r w:rsidR="00F35A90" w:rsidRPr="00B63E7D">
        <w:rPr>
          <w:rFonts w:ascii="Times New Roman" w:hAnsi="Times New Roman"/>
        </w:rPr>
        <w:t>endotracheálna trubica, o</w:t>
      </w:r>
      <w:r w:rsidR="006E139F" w:rsidRPr="00B63E7D">
        <w:rPr>
          <w:rFonts w:ascii="Times New Roman" w:hAnsi="Times New Roman"/>
        </w:rPr>
        <w:t xml:space="preserve">dporúča sa udržiavacia infúzia v dávke </w:t>
      </w:r>
      <w:r w:rsidR="00625326" w:rsidRPr="00B63E7D">
        <w:rPr>
          <w:rFonts w:ascii="Times New Roman" w:hAnsi="Times New Roman"/>
        </w:rPr>
        <w:t>0</w:t>
      </w:r>
      <w:r w:rsidR="006E139F" w:rsidRPr="00B63E7D">
        <w:rPr>
          <w:rFonts w:ascii="Times New Roman" w:hAnsi="Times New Roman"/>
        </w:rPr>
        <w:t>,</w:t>
      </w:r>
      <w:r w:rsidR="00625326" w:rsidRPr="00B63E7D">
        <w:rPr>
          <w:rFonts w:ascii="Times New Roman" w:hAnsi="Times New Roman"/>
        </w:rPr>
        <w:t>7</w:t>
      </w:r>
      <w:r w:rsidR="006E139F" w:rsidRPr="00B63E7D">
        <w:rPr>
          <w:rFonts w:ascii="Times New Roman" w:hAnsi="Times New Roman"/>
        </w:rPr>
        <w:t> </w:t>
      </w:r>
      <w:r w:rsidR="00625326" w:rsidRPr="00B63E7D">
        <w:rPr>
          <w:rFonts w:ascii="Times New Roman" w:hAnsi="Times New Roman"/>
        </w:rPr>
        <w:t>mi</w:t>
      </w:r>
      <w:r w:rsidR="006E139F" w:rsidRPr="00B63E7D">
        <w:rPr>
          <w:rFonts w:ascii="Times New Roman" w:hAnsi="Times New Roman"/>
        </w:rPr>
        <w:t>k</w:t>
      </w:r>
      <w:r w:rsidR="00625326" w:rsidRPr="00B63E7D">
        <w:rPr>
          <w:rFonts w:ascii="Times New Roman" w:hAnsi="Times New Roman"/>
        </w:rPr>
        <w:t>rogram</w:t>
      </w:r>
      <w:r w:rsidR="006E139F" w:rsidRPr="00B63E7D">
        <w:rPr>
          <w:rFonts w:ascii="Times New Roman" w:hAnsi="Times New Roman"/>
        </w:rPr>
        <w:t>u</w:t>
      </w:r>
      <w:r w:rsidR="00625326" w:rsidRPr="00B63E7D">
        <w:rPr>
          <w:rFonts w:ascii="Times New Roman" w:hAnsi="Times New Roman"/>
        </w:rPr>
        <w:t>/kg</w:t>
      </w:r>
      <w:r w:rsidR="008B2DF5" w:rsidRPr="00B63E7D">
        <w:rPr>
          <w:rFonts w:ascii="Times New Roman" w:hAnsi="Times New Roman"/>
        </w:rPr>
        <w:t>/hod.</w:t>
      </w:r>
    </w:p>
    <w:p w:rsidR="00625326" w:rsidRPr="00B63E7D" w:rsidRDefault="00F35A90" w:rsidP="00F55242">
      <w:pPr>
        <w:pStyle w:val="Odsekzoznamu"/>
        <w:numPr>
          <w:ilvl w:val="0"/>
          <w:numId w:val="14"/>
        </w:numPr>
        <w:suppressAutoHyphens/>
        <w:spacing w:after="0" w:line="240" w:lineRule="auto"/>
        <w:ind w:left="567" w:hanging="567"/>
        <w:contextualSpacing w:val="0"/>
        <w:rPr>
          <w:rFonts w:ascii="Times New Roman" w:hAnsi="Times New Roman"/>
        </w:rPr>
      </w:pPr>
      <w:r w:rsidRPr="00B63E7D">
        <w:rPr>
          <w:rFonts w:ascii="Times New Roman" w:hAnsi="Times New Roman"/>
          <w:b/>
          <w:bCs/>
        </w:rPr>
        <w:t>U pacientov</w:t>
      </w:r>
      <w:r w:rsidRPr="00B63E7D">
        <w:rPr>
          <w:rFonts w:ascii="Times New Roman" w:hAnsi="Times New Roman"/>
          <w:b/>
        </w:rPr>
        <w:t xml:space="preserve"> vo veku nad 65 rokov</w:t>
      </w:r>
      <w:r w:rsidR="00625326" w:rsidRPr="00B63E7D">
        <w:rPr>
          <w:rFonts w:ascii="Times New Roman" w:hAnsi="Times New Roman"/>
          <w:b/>
          <w:bCs/>
        </w:rPr>
        <w:t>:</w:t>
      </w:r>
      <w:r w:rsidR="00625326" w:rsidRPr="00B63E7D">
        <w:rPr>
          <w:rFonts w:ascii="Times New Roman" w:hAnsi="Times New Roman"/>
        </w:rPr>
        <w:t xml:space="preserve"> </w:t>
      </w:r>
      <w:r w:rsidRPr="00B63E7D">
        <w:rPr>
          <w:rFonts w:ascii="Times New Roman" w:hAnsi="Times New Roman"/>
        </w:rPr>
        <w:t>Má sa zvážiť zníženie dávky.</w:t>
      </w:r>
    </w:p>
    <w:p w:rsidR="00625326" w:rsidRPr="00B63E7D" w:rsidRDefault="00F35A90" w:rsidP="00F55242">
      <w:pPr>
        <w:pStyle w:val="Odsekzoznamu"/>
        <w:numPr>
          <w:ilvl w:val="0"/>
          <w:numId w:val="14"/>
        </w:numPr>
        <w:suppressAutoHyphens/>
        <w:spacing w:after="0" w:line="240" w:lineRule="auto"/>
        <w:ind w:left="567" w:hanging="567"/>
        <w:contextualSpacing w:val="0"/>
        <w:rPr>
          <w:rFonts w:ascii="Times New Roman" w:hAnsi="Times New Roman"/>
        </w:rPr>
      </w:pPr>
      <w:r w:rsidRPr="00B63E7D">
        <w:rPr>
          <w:rFonts w:ascii="Times New Roman" w:hAnsi="Times New Roman"/>
          <w:b/>
          <w:bCs/>
        </w:rPr>
        <w:t>U dospelých pacientov</w:t>
      </w:r>
      <w:r w:rsidRPr="00B63E7D">
        <w:rPr>
          <w:rFonts w:ascii="Times New Roman" w:hAnsi="Times New Roman"/>
          <w:b/>
        </w:rPr>
        <w:t xml:space="preserve"> s poruchou funkcie pečene:</w:t>
      </w:r>
      <w:r w:rsidR="00625326" w:rsidRPr="00B63E7D">
        <w:rPr>
          <w:rFonts w:ascii="Times New Roman" w:hAnsi="Times New Roman"/>
        </w:rPr>
        <w:t xml:space="preserve"> </w:t>
      </w:r>
      <w:r w:rsidRPr="00B63E7D">
        <w:rPr>
          <w:rFonts w:ascii="Times New Roman" w:hAnsi="Times New Roman"/>
        </w:rPr>
        <w:t>Má sa zvážiť zníženie dávky.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  <w:u w:val="single"/>
        </w:rPr>
      </w:pPr>
      <w:r w:rsidRPr="00B63E7D">
        <w:rPr>
          <w:rFonts w:eastAsia="TimesNewRoman"/>
          <w:sz w:val="22"/>
          <w:szCs w:val="22"/>
          <w:u w:val="single"/>
        </w:rPr>
        <w:t>Osobitné populácie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i/>
          <w:sz w:val="22"/>
          <w:szCs w:val="22"/>
        </w:rPr>
        <w:t>Starší pacienti:</w:t>
      </w:r>
      <w:r w:rsidRPr="00B63E7D">
        <w:rPr>
          <w:rFonts w:eastAsia="TimesNewRoman"/>
          <w:sz w:val="22"/>
          <w:szCs w:val="22"/>
        </w:rPr>
        <w:t xml:space="preserve"> Má sa zvážiť zníženie dávky. Pozri, prosím, časť</w:t>
      </w:r>
      <w:r w:rsidR="00106C78" w:rsidRPr="00B63E7D">
        <w:rPr>
          <w:rFonts w:eastAsia="TimesNewRoman"/>
          <w:sz w:val="22"/>
          <w:szCs w:val="22"/>
        </w:rPr>
        <w:t> </w:t>
      </w:r>
      <w:r w:rsidRPr="00B63E7D">
        <w:rPr>
          <w:rFonts w:eastAsia="TimesNewRoman"/>
          <w:sz w:val="22"/>
          <w:szCs w:val="22"/>
        </w:rPr>
        <w:t>4.4.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i/>
          <w:iCs/>
          <w:sz w:val="22"/>
          <w:szCs w:val="22"/>
        </w:rPr>
        <w:t xml:space="preserve">Porucha funkcie obličiek: </w:t>
      </w:r>
      <w:r w:rsidRPr="00B63E7D">
        <w:rPr>
          <w:rFonts w:eastAsia="TimesNewRoman"/>
          <w:sz w:val="22"/>
          <w:szCs w:val="22"/>
        </w:rPr>
        <w:t>U pacientov s poruchou funkcie obličiek sa nevyžaduje žiadna úprava dávky.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i/>
          <w:iCs/>
          <w:sz w:val="22"/>
          <w:szCs w:val="22"/>
        </w:rPr>
        <w:t xml:space="preserve">Porucha funkcie pečene: </w:t>
      </w:r>
      <w:r w:rsidR="00213687" w:rsidRPr="00B63E7D">
        <w:rPr>
          <w:rFonts w:eastAsia="TimesNewRoman"/>
          <w:sz w:val="22"/>
          <w:szCs w:val="22"/>
        </w:rPr>
        <w:t xml:space="preserve">Dexmedetomidine EVER Pharma </w:t>
      </w:r>
      <w:r w:rsidRPr="00B63E7D">
        <w:rPr>
          <w:rFonts w:eastAsia="TimesNewRoman"/>
          <w:sz w:val="22"/>
          <w:szCs w:val="22"/>
        </w:rPr>
        <w:t>sa metabolizuje v pečeni a u pacientov s poruchou funkcie pečene sa má používať opatrne. Možno zvážiť zníženú udržiavaciu dávku (pozri časti</w:t>
      </w:r>
      <w:r w:rsidR="00106C78" w:rsidRPr="00B63E7D">
        <w:rPr>
          <w:rFonts w:eastAsia="TimesNewRoman"/>
          <w:sz w:val="22"/>
          <w:szCs w:val="22"/>
        </w:rPr>
        <w:t> </w:t>
      </w:r>
      <w:r w:rsidRPr="00B63E7D">
        <w:rPr>
          <w:rFonts w:eastAsia="TimesNewRoman"/>
          <w:sz w:val="22"/>
          <w:szCs w:val="22"/>
        </w:rPr>
        <w:t>4.4 a 5.2).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i/>
          <w:sz w:val="22"/>
          <w:szCs w:val="22"/>
        </w:rPr>
      </w:pPr>
      <w:r w:rsidRPr="00B63E7D">
        <w:rPr>
          <w:rFonts w:eastAsia="TimesNewRoman"/>
          <w:i/>
          <w:sz w:val="22"/>
          <w:szCs w:val="22"/>
        </w:rPr>
        <w:t>Pediatrická populácia: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 xml:space="preserve">Bezpečnosť a účinnosť </w:t>
      </w:r>
      <w:r w:rsidR="00213687" w:rsidRPr="00B63E7D">
        <w:rPr>
          <w:rFonts w:eastAsia="TimesNewRoman"/>
          <w:sz w:val="22"/>
          <w:szCs w:val="22"/>
        </w:rPr>
        <w:t xml:space="preserve">Dexmedetomidine EVER Pharma </w:t>
      </w:r>
      <w:r w:rsidR="00106C78" w:rsidRPr="00B63E7D">
        <w:rPr>
          <w:rFonts w:eastAsia="TimesNewRoman"/>
          <w:sz w:val="22"/>
          <w:szCs w:val="22"/>
        </w:rPr>
        <w:t>u detí vo veku 0 až 18 rokov neboli doteraz stanovené.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V súčasnosti sú do</w:t>
      </w:r>
      <w:r w:rsidR="00005F96" w:rsidRPr="00B63E7D">
        <w:rPr>
          <w:rFonts w:eastAsia="TimesNewRoman"/>
          <w:sz w:val="22"/>
          <w:szCs w:val="22"/>
        </w:rPr>
        <w:t>stupné údaje opísané v častiach </w:t>
      </w:r>
      <w:r w:rsidRPr="00B63E7D">
        <w:rPr>
          <w:rFonts w:eastAsia="TimesNewRoman"/>
          <w:sz w:val="22"/>
          <w:szCs w:val="22"/>
        </w:rPr>
        <w:t>4.8, 5.1 a 5.2, no neumožňujú uviesť odporúčania na dávkovanie.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  <w:u w:val="single"/>
        </w:rPr>
      </w:pPr>
      <w:r w:rsidRPr="00B63E7D">
        <w:rPr>
          <w:rFonts w:eastAsia="TimesNewRoman"/>
          <w:sz w:val="22"/>
          <w:szCs w:val="22"/>
          <w:u w:val="single"/>
        </w:rPr>
        <w:t>Spôsob podávania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213687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 xml:space="preserve">Dexmedetomidine EVER Pharma </w:t>
      </w:r>
      <w:r w:rsidR="00625326" w:rsidRPr="00B63E7D">
        <w:rPr>
          <w:rFonts w:eastAsia="TimesNewRoman"/>
          <w:sz w:val="22"/>
          <w:szCs w:val="22"/>
        </w:rPr>
        <w:t>sa musí podávať iba ako zriedená intravenózna infúzia pomocou kontrolovaného infúzneho prístroja. Pokyny na riedenie</w:t>
      </w:r>
      <w:r w:rsidR="001F4BDB" w:rsidRPr="00B63E7D">
        <w:rPr>
          <w:rFonts w:eastAsia="TimesNewRoman"/>
          <w:sz w:val="22"/>
          <w:szCs w:val="22"/>
        </w:rPr>
        <w:t xml:space="preserve"> lieku pred podaním, pozri časť </w:t>
      </w:r>
      <w:r w:rsidR="00625326" w:rsidRPr="00B63E7D">
        <w:rPr>
          <w:rFonts w:eastAsia="TimesNewRoman"/>
          <w:sz w:val="22"/>
          <w:szCs w:val="22"/>
        </w:rPr>
        <w:t xml:space="preserve">6.6. </w:t>
      </w:r>
      <w:r w:rsidRPr="00B63E7D">
        <w:rPr>
          <w:rFonts w:eastAsia="TimesNewRoman"/>
          <w:sz w:val="22"/>
          <w:szCs w:val="22"/>
        </w:rPr>
        <w:t xml:space="preserve">Dexmedetomidine EVER Pharma </w:t>
      </w:r>
      <w:r w:rsidR="00625326" w:rsidRPr="00B63E7D">
        <w:rPr>
          <w:rFonts w:eastAsia="TimesNewRoman"/>
          <w:sz w:val="22"/>
          <w:szCs w:val="22"/>
        </w:rPr>
        <w:t>sa nemá podávať ako bolusová dávka. Pozri</w:t>
      </w:r>
      <w:r w:rsidR="001F4BDB" w:rsidRPr="00B63E7D">
        <w:rPr>
          <w:rFonts w:eastAsia="TimesNewRoman"/>
          <w:sz w:val="22"/>
          <w:szCs w:val="22"/>
        </w:rPr>
        <w:t xml:space="preserve"> tiež všeobecné opatrenia, časť </w:t>
      </w:r>
      <w:r w:rsidR="00625326" w:rsidRPr="00B63E7D">
        <w:rPr>
          <w:rFonts w:eastAsia="TimesNewRoman"/>
          <w:sz w:val="22"/>
          <w:szCs w:val="22"/>
        </w:rPr>
        <w:t>4.4.</w:t>
      </w:r>
    </w:p>
    <w:p w:rsidR="003D4812" w:rsidRPr="00B63E7D" w:rsidRDefault="003D4812" w:rsidP="00F55242">
      <w:pPr>
        <w:spacing w:line="240" w:lineRule="auto"/>
        <w:rPr>
          <w:b/>
          <w:sz w:val="22"/>
          <w:szCs w:val="22"/>
        </w:rPr>
      </w:pPr>
    </w:p>
    <w:p w:rsidR="00541A00" w:rsidRPr="00B63E7D" w:rsidRDefault="00541A00" w:rsidP="00F55242">
      <w:pPr>
        <w:spacing w:line="240" w:lineRule="auto"/>
        <w:ind w:left="567" w:hanging="567"/>
        <w:rPr>
          <w:sz w:val="22"/>
          <w:szCs w:val="22"/>
        </w:rPr>
      </w:pPr>
      <w:r w:rsidRPr="00B63E7D">
        <w:rPr>
          <w:b/>
          <w:sz w:val="22"/>
          <w:szCs w:val="22"/>
        </w:rPr>
        <w:t>4.3</w:t>
      </w:r>
      <w:r w:rsidRPr="00B63E7D">
        <w:rPr>
          <w:b/>
          <w:sz w:val="22"/>
          <w:szCs w:val="22"/>
        </w:rPr>
        <w:tab/>
      </w:r>
      <w:r w:rsidR="00732359" w:rsidRPr="00B63E7D">
        <w:rPr>
          <w:b/>
          <w:sz w:val="22"/>
          <w:szCs w:val="22"/>
        </w:rPr>
        <w:t>Kontraindikácie</w:t>
      </w:r>
    </w:p>
    <w:p w:rsidR="00541A00" w:rsidRPr="00B63E7D" w:rsidRDefault="00541A00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Precitlivenosť na liečivo alebo na ktorúkoľvek z pomocných látok uvedených v časti</w:t>
      </w:r>
      <w:r w:rsidR="001F4BDB" w:rsidRPr="00B63E7D">
        <w:rPr>
          <w:rFonts w:eastAsia="TimesNewRoman"/>
          <w:sz w:val="22"/>
          <w:szCs w:val="22"/>
        </w:rPr>
        <w:t> </w:t>
      </w:r>
      <w:r w:rsidRPr="00B63E7D">
        <w:rPr>
          <w:rFonts w:eastAsia="TimesNewRoman"/>
          <w:sz w:val="22"/>
          <w:szCs w:val="22"/>
        </w:rPr>
        <w:t>6.1.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1F4BDB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Pokročilá srdcová blokáda (2. alebo 3. </w:t>
      </w:r>
      <w:r w:rsidR="00625326" w:rsidRPr="00B63E7D">
        <w:rPr>
          <w:rFonts w:eastAsia="TimesNewRoman"/>
          <w:sz w:val="22"/>
          <w:szCs w:val="22"/>
        </w:rPr>
        <w:t>stupňa), ak nie je upravená.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Nekontrolovateľná hypotenzia.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Akútne cerebrovaskulárne ochorenia.</w:t>
      </w:r>
    </w:p>
    <w:p w:rsidR="00541A00" w:rsidRPr="00B63E7D" w:rsidRDefault="00541A00" w:rsidP="00F55242">
      <w:pPr>
        <w:spacing w:line="240" w:lineRule="auto"/>
        <w:rPr>
          <w:sz w:val="22"/>
          <w:szCs w:val="22"/>
        </w:rPr>
      </w:pPr>
    </w:p>
    <w:p w:rsidR="00881C68" w:rsidRPr="00B63E7D" w:rsidRDefault="00881C68" w:rsidP="00F55242">
      <w:pPr>
        <w:tabs>
          <w:tab w:val="left" w:pos="720"/>
        </w:tabs>
        <w:spacing w:line="240" w:lineRule="auto"/>
        <w:ind w:left="567" w:hanging="567"/>
        <w:rPr>
          <w:b/>
          <w:sz w:val="22"/>
          <w:szCs w:val="22"/>
        </w:rPr>
      </w:pPr>
      <w:r w:rsidRPr="00B63E7D">
        <w:rPr>
          <w:b/>
          <w:sz w:val="22"/>
          <w:szCs w:val="22"/>
        </w:rPr>
        <w:t>4.4</w:t>
      </w:r>
      <w:r w:rsidRPr="00B63E7D">
        <w:rPr>
          <w:b/>
          <w:sz w:val="22"/>
          <w:szCs w:val="22"/>
        </w:rPr>
        <w:tab/>
        <w:t>Osobitné upozornenia a opatrenia pri používaní</w:t>
      </w:r>
    </w:p>
    <w:p w:rsidR="00881C68" w:rsidRPr="00B63E7D" w:rsidRDefault="00881C68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881C68" w:rsidRPr="00B63E7D" w:rsidRDefault="00881C68" w:rsidP="00F55242">
      <w:pPr>
        <w:tabs>
          <w:tab w:val="left" w:pos="720"/>
        </w:tabs>
        <w:spacing w:line="240" w:lineRule="auto"/>
        <w:rPr>
          <w:sz w:val="22"/>
          <w:szCs w:val="22"/>
          <w:u w:val="single"/>
        </w:rPr>
      </w:pPr>
      <w:r w:rsidRPr="00B63E7D">
        <w:rPr>
          <w:sz w:val="22"/>
          <w:szCs w:val="22"/>
          <w:u w:val="single"/>
        </w:rPr>
        <w:t>Sledovanie</w:t>
      </w:r>
    </w:p>
    <w:p w:rsidR="00881C68" w:rsidRPr="00B63E7D" w:rsidRDefault="00881C68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272986" w:rsidRPr="00B63E7D" w:rsidRDefault="00727C2B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 xml:space="preserve">Na základe indikácií je </w:t>
      </w:r>
      <w:r w:rsidR="00213687" w:rsidRPr="00B63E7D">
        <w:rPr>
          <w:rFonts w:eastAsia="TimesNewRoman"/>
          <w:sz w:val="22"/>
          <w:szCs w:val="22"/>
        </w:rPr>
        <w:t xml:space="preserve">Dexmedetomidine EVER Pharma </w:t>
      </w:r>
      <w:r w:rsidR="00881C68" w:rsidRPr="00B63E7D">
        <w:rPr>
          <w:sz w:val="22"/>
          <w:szCs w:val="22"/>
        </w:rPr>
        <w:t>určený na použitie v </w:t>
      </w:r>
      <w:r w:rsidRPr="00B63E7D">
        <w:rPr>
          <w:sz w:val="22"/>
          <w:szCs w:val="22"/>
        </w:rPr>
        <w:t>operačn</w:t>
      </w:r>
      <w:r w:rsidR="00CC06B9" w:rsidRPr="00B63E7D">
        <w:rPr>
          <w:sz w:val="22"/>
          <w:szCs w:val="22"/>
        </w:rPr>
        <w:t xml:space="preserve">ej </w:t>
      </w:r>
      <w:r w:rsidRPr="00B63E7D">
        <w:rPr>
          <w:sz w:val="22"/>
          <w:szCs w:val="22"/>
        </w:rPr>
        <w:t>sál</w:t>
      </w:r>
      <w:r w:rsidR="00CC06B9" w:rsidRPr="00B63E7D">
        <w:rPr>
          <w:sz w:val="22"/>
          <w:szCs w:val="22"/>
        </w:rPr>
        <w:t xml:space="preserve">e </w:t>
      </w:r>
      <w:r w:rsidRPr="00B63E7D">
        <w:rPr>
          <w:sz w:val="22"/>
          <w:szCs w:val="22"/>
        </w:rPr>
        <w:t xml:space="preserve">a počas diagnostických výkonov. </w:t>
      </w:r>
      <w:r w:rsidR="00CC06B9" w:rsidRPr="00B63E7D">
        <w:rPr>
          <w:sz w:val="22"/>
          <w:szCs w:val="22"/>
        </w:rPr>
        <w:t xml:space="preserve">Používanie pri iných okolnostiach sa neodporúča. </w:t>
      </w:r>
      <w:r w:rsidR="00881C68" w:rsidRPr="00B63E7D">
        <w:rPr>
          <w:sz w:val="22"/>
          <w:szCs w:val="22"/>
        </w:rPr>
        <w:t xml:space="preserve">U všetkých pacientov sa počas infúzie </w:t>
      </w:r>
      <w:r w:rsidR="00213687" w:rsidRPr="00B63E7D">
        <w:rPr>
          <w:rFonts w:eastAsia="TimesNewRoman"/>
          <w:sz w:val="22"/>
          <w:szCs w:val="22"/>
        </w:rPr>
        <w:t xml:space="preserve">Dexmedetomidine EVER Pharma </w:t>
      </w:r>
      <w:r w:rsidR="00881C68" w:rsidRPr="00B63E7D">
        <w:rPr>
          <w:sz w:val="22"/>
          <w:szCs w:val="22"/>
        </w:rPr>
        <w:t xml:space="preserve">má nepretržite </w:t>
      </w:r>
      <w:r w:rsidR="00272986" w:rsidRPr="00B63E7D">
        <w:rPr>
          <w:sz w:val="22"/>
          <w:szCs w:val="22"/>
        </w:rPr>
        <w:t>sledovať</w:t>
      </w:r>
      <w:r w:rsidR="00881C68" w:rsidRPr="00B63E7D">
        <w:rPr>
          <w:sz w:val="22"/>
          <w:szCs w:val="22"/>
        </w:rPr>
        <w:t xml:space="preserve"> funkcia srdca</w:t>
      </w:r>
      <w:r w:rsidR="00272986" w:rsidRPr="00B63E7D">
        <w:rPr>
          <w:sz w:val="22"/>
          <w:szCs w:val="22"/>
        </w:rPr>
        <w:t>.</w:t>
      </w:r>
    </w:p>
    <w:p w:rsidR="00272986" w:rsidRPr="00B63E7D" w:rsidRDefault="00272986" w:rsidP="00F55242">
      <w:pPr>
        <w:spacing w:line="240" w:lineRule="auto"/>
        <w:rPr>
          <w:sz w:val="22"/>
          <w:szCs w:val="22"/>
        </w:rPr>
      </w:pPr>
    </w:p>
    <w:p w:rsidR="00625326" w:rsidRPr="00B63E7D" w:rsidRDefault="00C049B6" w:rsidP="00F55242">
      <w:p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 xml:space="preserve">Je hlásené, že čas na </w:t>
      </w:r>
      <w:r w:rsidR="00FA1F58" w:rsidRPr="00B63E7D">
        <w:rPr>
          <w:sz w:val="22"/>
          <w:szCs w:val="22"/>
        </w:rPr>
        <w:t>zotavenie</w:t>
      </w:r>
      <w:r w:rsidRPr="00B63E7D">
        <w:rPr>
          <w:sz w:val="22"/>
          <w:szCs w:val="22"/>
        </w:rPr>
        <w:t xml:space="preserve"> </w:t>
      </w:r>
      <w:r w:rsidR="00E4289A" w:rsidRPr="00B63E7D">
        <w:rPr>
          <w:sz w:val="22"/>
          <w:szCs w:val="22"/>
        </w:rPr>
        <w:t xml:space="preserve">sa </w:t>
      </w:r>
      <w:r w:rsidRPr="00B63E7D">
        <w:rPr>
          <w:sz w:val="22"/>
          <w:szCs w:val="22"/>
        </w:rPr>
        <w:t xml:space="preserve">po použití </w:t>
      </w:r>
      <w:r w:rsidRPr="00B63E7D">
        <w:rPr>
          <w:rFonts w:eastAsia="TimesNewRoman"/>
          <w:sz w:val="22"/>
          <w:szCs w:val="22"/>
        </w:rPr>
        <w:t>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nu</w:t>
      </w:r>
      <w:r w:rsidRPr="00B63E7D">
        <w:rPr>
          <w:sz w:val="22"/>
          <w:szCs w:val="22"/>
        </w:rPr>
        <w:t xml:space="preserve"> je približne jedna hodna</w:t>
      </w:r>
      <w:r w:rsidR="00625326" w:rsidRPr="00B63E7D">
        <w:rPr>
          <w:sz w:val="22"/>
          <w:szCs w:val="22"/>
        </w:rPr>
        <w:t>.</w:t>
      </w:r>
      <w:r w:rsidR="00625326" w:rsidRPr="00B63E7D">
        <w:rPr>
          <w:sz w:val="22"/>
          <w:szCs w:val="22"/>
        </w:rPr>
        <w:br/>
      </w:r>
      <w:r w:rsidR="00FA1F58" w:rsidRPr="00B63E7D">
        <w:rPr>
          <w:sz w:val="22"/>
          <w:szCs w:val="22"/>
        </w:rPr>
        <w:t>Ak sa použije u nehospitalizovaných pacientov</w:t>
      </w:r>
      <w:r w:rsidR="0088576B" w:rsidRPr="00B63E7D">
        <w:rPr>
          <w:sz w:val="22"/>
          <w:szCs w:val="22"/>
        </w:rPr>
        <w:t>,</w:t>
      </w:r>
      <w:r w:rsidR="004D5AD5" w:rsidRPr="00B63E7D">
        <w:rPr>
          <w:sz w:val="22"/>
          <w:szCs w:val="22"/>
        </w:rPr>
        <w:t xml:space="preserve"> </w:t>
      </w:r>
      <w:r w:rsidR="00FA1F58" w:rsidRPr="00B63E7D">
        <w:rPr>
          <w:sz w:val="22"/>
          <w:szCs w:val="22"/>
        </w:rPr>
        <w:t>na základe individuálneho stavu pacienta</w:t>
      </w:r>
      <w:r w:rsidR="004D5AD5" w:rsidRPr="00B63E7D">
        <w:rPr>
          <w:sz w:val="22"/>
          <w:szCs w:val="22"/>
        </w:rPr>
        <w:t xml:space="preserve"> </w:t>
      </w:r>
      <w:r w:rsidR="000C7009" w:rsidRPr="00B63E7D">
        <w:rPr>
          <w:sz w:val="22"/>
          <w:szCs w:val="22"/>
        </w:rPr>
        <w:t xml:space="preserve">je dôkladné sledovanie </w:t>
      </w:r>
      <w:r w:rsidR="0088576B" w:rsidRPr="00B63E7D">
        <w:rPr>
          <w:sz w:val="22"/>
          <w:szCs w:val="22"/>
        </w:rPr>
        <w:t xml:space="preserve">nevyhnutné </w:t>
      </w:r>
      <w:r w:rsidR="000C7009" w:rsidRPr="00B63E7D">
        <w:rPr>
          <w:sz w:val="22"/>
          <w:szCs w:val="22"/>
        </w:rPr>
        <w:t xml:space="preserve">minimálne počas tohto časového obdobia a lekársky dohľad má </w:t>
      </w:r>
      <w:r w:rsidR="004D5AD5" w:rsidRPr="00B63E7D">
        <w:rPr>
          <w:sz w:val="22"/>
          <w:szCs w:val="22"/>
        </w:rPr>
        <w:t xml:space="preserve">pokračovať </w:t>
      </w:r>
      <w:r w:rsidR="00E4289A" w:rsidRPr="00B63E7D">
        <w:rPr>
          <w:sz w:val="22"/>
          <w:szCs w:val="22"/>
        </w:rPr>
        <w:t>minimálne ďalšiu hodinu</w:t>
      </w:r>
      <w:r w:rsidR="00FA1F58" w:rsidRPr="00B63E7D">
        <w:rPr>
          <w:sz w:val="22"/>
          <w:szCs w:val="22"/>
        </w:rPr>
        <w:t>, aby sa za</w:t>
      </w:r>
      <w:r w:rsidR="00186BA7" w:rsidRPr="00B63E7D">
        <w:rPr>
          <w:sz w:val="22"/>
          <w:szCs w:val="22"/>
        </w:rPr>
        <w:t xml:space="preserve">ručila </w:t>
      </w:r>
      <w:r w:rsidR="00FA1F58" w:rsidRPr="00B63E7D">
        <w:rPr>
          <w:sz w:val="22"/>
          <w:szCs w:val="22"/>
        </w:rPr>
        <w:t>bezpečnosť pacienta</w:t>
      </w:r>
      <w:r w:rsidR="00625326" w:rsidRPr="00B63E7D">
        <w:rPr>
          <w:sz w:val="22"/>
          <w:szCs w:val="22"/>
        </w:rPr>
        <w:t>.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  <w:u w:val="single"/>
        </w:rPr>
      </w:pPr>
      <w:r w:rsidRPr="00B63E7D">
        <w:rPr>
          <w:rFonts w:eastAsia="TimesNewRoman"/>
          <w:sz w:val="22"/>
          <w:szCs w:val="22"/>
          <w:u w:val="single"/>
        </w:rPr>
        <w:t>Všeobecné opatrenia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213687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 xml:space="preserve">Dexmedetomidine EVER Pharma </w:t>
      </w:r>
      <w:r w:rsidR="00E375F1" w:rsidRPr="00B63E7D">
        <w:rPr>
          <w:rFonts w:eastAsia="TimesNewRoman"/>
          <w:sz w:val="22"/>
          <w:szCs w:val="22"/>
        </w:rPr>
        <w:t xml:space="preserve">sa nemá podávať ako </w:t>
      </w:r>
      <w:r w:rsidR="00625326" w:rsidRPr="00B63E7D">
        <w:rPr>
          <w:sz w:val="22"/>
          <w:szCs w:val="22"/>
        </w:rPr>
        <w:t>bolus</w:t>
      </w:r>
      <w:r w:rsidR="00E375F1" w:rsidRPr="00B63E7D">
        <w:rPr>
          <w:sz w:val="22"/>
          <w:szCs w:val="22"/>
        </w:rPr>
        <w:t xml:space="preserve">ová </w:t>
      </w:r>
      <w:r w:rsidR="006E68BE" w:rsidRPr="00B63E7D">
        <w:rPr>
          <w:sz w:val="22"/>
          <w:szCs w:val="22"/>
        </w:rPr>
        <w:t>dávka</w:t>
      </w:r>
      <w:r w:rsidR="00625326" w:rsidRPr="00B63E7D">
        <w:rPr>
          <w:sz w:val="22"/>
          <w:szCs w:val="22"/>
        </w:rPr>
        <w:t xml:space="preserve">. </w:t>
      </w:r>
      <w:r w:rsidR="006E7B52" w:rsidRPr="00B63E7D">
        <w:rPr>
          <w:sz w:val="22"/>
          <w:szCs w:val="22"/>
        </w:rPr>
        <w:t xml:space="preserve">Na JIS sa neodporúča ani záťažová dávka. </w:t>
      </w:r>
      <w:r w:rsidR="006E68BE" w:rsidRPr="00B63E7D">
        <w:rPr>
          <w:sz w:val="22"/>
          <w:szCs w:val="22"/>
        </w:rPr>
        <w:t xml:space="preserve">Používatelia majú byť spravidla pripravení na použitie </w:t>
      </w:r>
      <w:r w:rsidR="00625326" w:rsidRPr="00B63E7D">
        <w:rPr>
          <w:sz w:val="22"/>
          <w:szCs w:val="22"/>
        </w:rPr>
        <w:t>alternat</w:t>
      </w:r>
      <w:r w:rsidR="006E68BE" w:rsidRPr="00B63E7D">
        <w:rPr>
          <w:sz w:val="22"/>
          <w:szCs w:val="22"/>
        </w:rPr>
        <w:t xml:space="preserve">ívneho sedatíva na akútnu kontrolu </w:t>
      </w:r>
      <w:r w:rsidR="00625326" w:rsidRPr="00B63E7D">
        <w:rPr>
          <w:sz w:val="22"/>
          <w:szCs w:val="22"/>
        </w:rPr>
        <w:t>agit</w:t>
      </w:r>
      <w:r w:rsidR="006E68BE" w:rsidRPr="00B63E7D">
        <w:rPr>
          <w:sz w:val="22"/>
          <w:szCs w:val="22"/>
        </w:rPr>
        <w:t>ácie</w:t>
      </w:r>
      <w:r w:rsidR="006E7B52" w:rsidRPr="00B63E7D">
        <w:rPr>
          <w:sz w:val="22"/>
          <w:szCs w:val="22"/>
        </w:rPr>
        <w:t xml:space="preserve">, u pacientov na JIS najmä </w:t>
      </w:r>
      <w:r w:rsidR="006E7B52" w:rsidRPr="00B63E7D">
        <w:rPr>
          <w:sz w:val="22"/>
          <w:szCs w:val="22"/>
          <w:lang w:eastAsia="sk-SK"/>
        </w:rPr>
        <w:t>počas prvých hodín liečby.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 xml:space="preserve">U niektorých pacientov, ktorí dostávali Dexmedetomidine EVER Pharma, sa pri stimulácii pozorovala agitácia a bdelosť. Toto samotné sa nemá považovať za dôkaz nedostatočnej účinnosti, ak nie sú prítomné ďalšie klinické prejavy a </w:t>
      </w:r>
      <w:r w:rsidR="00C8157A" w:rsidRPr="00B63E7D">
        <w:rPr>
          <w:rFonts w:eastAsia="TimesNewRoman"/>
          <w:sz w:val="22"/>
          <w:szCs w:val="22"/>
        </w:rPr>
        <w:t>symptómy</w:t>
      </w:r>
      <w:r w:rsidRPr="00B63E7D">
        <w:rPr>
          <w:rFonts w:eastAsia="TimesNewRoman"/>
          <w:sz w:val="22"/>
          <w:szCs w:val="22"/>
        </w:rPr>
        <w:t>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Dexmedetomidine EVER Pharma sa nemá používať ako indukčné činidlo na intubáciu ani na zabezpečenie sedácie pri používaní myorelaxancia.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 nemá antikonvulzívny účinok ako niektoré iné sedatíva, a preto nebude potláčať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aktivitu záchvatov kŕčov.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Opatrnosť je potrebná pri kombinovaní 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nu s inými liečivami so sedatívnymi alebo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kardiovaskulárnymi účinkami, pretože sa môžu prejaviť aditívne účinky.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4771F7" w:rsidP="00F55242">
      <w:pPr>
        <w:spacing w:line="240" w:lineRule="auto"/>
        <w:rPr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Dexmedetomidine EVER Pharma sa neodporúča pre pacienta s kontrolovanou sedáciou</w:t>
      </w:r>
      <w:r w:rsidR="00625326" w:rsidRPr="00B63E7D">
        <w:rPr>
          <w:sz w:val="22"/>
          <w:szCs w:val="22"/>
        </w:rPr>
        <w:t xml:space="preserve">. </w:t>
      </w:r>
      <w:r w:rsidR="00E4053F" w:rsidRPr="00B63E7D">
        <w:rPr>
          <w:sz w:val="22"/>
          <w:szCs w:val="22"/>
        </w:rPr>
        <w:t>Nie sú dostupné dostatočné údaje</w:t>
      </w:r>
      <w:r w:rsidR="00625326" w:rsidRPr="00B63E7D">
        <w:rPr>
          <w:sz w:val="22"/>
          <w:szCs w:val="22"/>
        </w:rPr>
        <w:t>.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FC3005" w:rsidP="00F55242">
      <w:p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 xml:space="preserve">Ak sa </w:t>
      </w:r>
      <w:r w:rsidRPr="00B63E7D">
        <w:rPr>
          <w:rFonts w:eastAsia="TimesNewRoman"/>
          <w:sz w:val="22"/>
          <w:szCs w:val="22"/>
        </w:rPr>
        <w:t xml:space="preserve">Dexmedetomidine EVER Pharma použil u nehospitalizovaných pacientov </w:t>
      </w:r>
      <w:r w:rsidR="00593F8C" w:rsidRPr="00B63E7D">
        <w:rPr>
          <w:sz w:val="22"/>
          <w:szCs w:val="22"/>
        </w:rPr>
        <w:t xml:space="preserve">majú sa </w:t>
      </w:r>
      <w:r w:rsidRPr="00B63E7D">
        <w:rPr>
          <w:rFonts w:eastAsia="TimesNewRoman"/>
          <w:sz w:val="22"/>
          <w:szCs w:val="22"/>
        </w:rPr>
        <w:t>účinky 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nu</w:t>
      </w:r>
      <w:r w:rsidR="00625326" w:rsidRPr="00B63E7D">
        <w:rPr>
          <w:sz w:val="22"/>
          <w:szCs w:val="22"/>
        </w:rPr>
        <w:t xml:space="preserve">, </w:t>
      </w:r>
      <w:r w:rsidRPr="00B63E7D">
        <w:rPr>
          <w:sz w:val="22"/>
          <w:szCs w:val="22"/>
        </w:rPr>
        <w:t>výkon</w:t>
      </w:r>
      <w:r w:rsidR="00625326" w:rsidRPr="00B63E7D">
        <w:rPr>
          <w:sz w:val="22"/>
          <w:szCs w:val="22"/>
        </w:rPr>
        <w:t xml:space="preserve">, </w:t>
      </w:r>
      <w:r w:rsidRPr="00B63E7D">
        <w:rPr>
          <w:sz w:val="22"/>
          <w:szCs w:val="22"/>
        </w:rPr>
        <w:t>súbežne podané lieky</w:t>
      </w:r>
      <w:r w:rsidR="00625326" w:rsidRPr="00B63E7D">
        <w:rPr>
          <w:sz w:val="22"/>
          <w:szCs w:val="22"/>
        </w:rPr>
        <w:t xml:space="preserve">, </w:t>
      </w:r>
      <w:r w:rsidRPr="00B63E7D">
        <w:rPr>
          <w:sz w:val="22"/>
          <w:szCs w:val="22"/>
        </w:rPr>
        <w:t xml:space="preserve">vek </w:t>
      </w:r>
      <w:r w:rsidR="00625326" w:rsidRPr="00B63E7D">
        <w:rPr>
          <w:sz w:val="22"/>
          <w:szCs w:val="22"/>
        </w:rPr>
        <w:t xml:space="preserve">a </w:t>
      </w:r>
      <w:r w:rsidRPr="00B63E7D">
        <w:rPr>
          <w:sz w:val="22"/>
          <w:szCs w:val="22"/>
        </w:rPr>
        <w:t>stav pacienta zohľadniť, ak pacientom radíme o</w:t>
      </w:r>
      <w:r w:rsidR="00625326" w:rsidRPr="00B63E7D">
        <w:rPr>
          <w:sz w:val="22"/>
          <w:szCs w:val="22"/>
        </w:rPr>
        <w:t>:</w:t>
      </w:r>
    </w:p>
    <w:p w:rsidR="002B1D33" w:rsidRPr="00B63E7D" w:rsidRDefault="002B1D33" w:rsidP="00F55242">
      <w:pPr>
        <w:spacing w:line="240" w:lineRule="auto"/>
        <w:rPr>
          <w:sz w:val="22"/>
          <w:szCs w:val="22"/>
        </w:rPr>
      </w:pPr>
    </w:p>
    <w:p w:rsidR="002B1D33" w:rsidRPr="00B63E7D" w:rsidRDefault="00FC3005" w:rsidP="00F55242">
      <w:pPr>
        <w:numPr>
          <w:ilvl w:val="0"/>
          <w:numId w:val="18"/>
        </w:num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 xml:space="preserve">Vhodnosti </w:t>
      </w:r>
      <w:r w:rsidR="00593F8C" w:rsidRPr="00B63E7D">
        <w:rPr>
          <w:sz w:val="22"/>
          <w:szCs w:val="22"/>
        </w:rPr>
        <w:t>s</w:t>
      </w:r>
      <w:r w:rsidRPr="00B63E7D">
        <w:rPr>
          <w:sz w:val="22"/>
          <w:szCs w:val="22"/>
        </w:rPr>
        <w:t>prevádzania pri opúšťaní miesta podania</w:t>
      </w:r>
      <w:r w:rsidR="00593F8C" w:rsidRPr="00B63E7D">
        <w:rPr>
          <w:sz w:val="22"/>
          <w:szCs w:val="22"/>
        </w:rPr>
        <w:t xml:space="preserve"> infúzie</w:t>
      </w:r>
    </w:p>
    <w:p w:rsidR="002B1D33" w:rsidRPr="00B63E7D" w:rsidRDefault="00FC3005" w:rsidP="00F55242">
      <w:pPr>
        <w:numPr>
          <w:ilvl w:val="0"/>
          <w:numId w:val="18"/>
        </w:num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Plánovaní obnovenia odborných alebo nebezpečných úloh, ako je vedenie vozidiel</w:t>
      </w:r>
    </w:p>
    <w:p w:rsidR="00625326" w:rsidRPr="00B63E7D" w:rsidRDefault="002B1D33" w:rsidP="00F55242">
      <w:pPr>
        <w:numPr>
          <w:ilvl w:val="0"/>
          <w:numId w:val="18"/>
        </w:num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P</w:t>
      </w:r>
      <w:r w:rsidR="00FC3005" w:rsidRPr="00B63E7D">
        <w:rPr>
          <w:sz w:val="22"/>
          <w:szCs w:val="22"/>
        </w:rPr>
        <w:t xml:space="preserve">oužití iných látok, ktoré môžu utlmovať </w:t>
      </w:r>
      <w:r w:rsidR="00625326" w:rsidRPr="00B63E7D">
        <w:rPr>
          <w:sz w:val="22"/>
          <w:szCs w:val="22"/>
        </w:rPr>
        <w:t>(</w:t>
      </w:r>
      <w:r w:rsidR="00FC3005" w:rsidRPr="00B63E7D">
        <w:rPr>
          <w:sz w:val="22"/>
          <w:szCs w:val="22"/>
        </w:rPr>
        <w:t xml:space="preserve">napr. </w:t>
      </w:r>
      <w:r w:rsidR="00625326" w:rsidRPr="00B63E7D">
        <w:rPr>
          <w:sz w:val="22"/>
          <w:szCs w:val="22"/>
        </w:rPr>
        <w:t>benzodiazep</w:t>
      </w:r>
      <w:r w:rsidR="00FC3005" w:rsidRPr="00B63E7D">
        <w:rPr>
          <w:sz w:val="22"/>
          <w:szCs w:val="22"/>
        </w:rPr>
        <w:t>íny, opi</w:t>
      </w:r>
      <w:r w:rsidR="005B7A22" w:rsidRPr="00B63E7D">
        <w:rPr>
          <w:sz w:val="22"/>
          <w:szCs w:val="22"/>
        </w:rPr>
        <w:t>áty</w:t>
      </w:r>
      <w:r w:rsidR="00625326" w:rsidRPr="00B63E7D">
        <w:rPr>
          <w:sz w:val="22"/>
          <w:szCs w:val="22"/>
        </w:rPr>
        <w:t>, al</w:t>
      </w:r>
      <w:r w:rsidR="00FC3005" w:rsidRPr="00B63E7D">
        <w:rPr>
          <w:sz w:val="22"/>
          <w:szCs w:val="22"/>
        </w:rPr>
        <w:t>kohol</w:t>
      </w:r>
      <w:r w:rsidR="00625326" w:rsidRPr="00B63E7D">
        <w:rPr>
          <w:sz w:val="22"/>
          <w:szCs w:val="22"/>
        </w:rPr>
        <w:t>)</w:t>
      </w:r>
      <w:r w:rsidR="00FC3005" w:rsidRPr="00B63E7D">
        <w:rPr>
          <w:sz w:val="22"/>
          <w:szCs w:val="22"/>
        </w:rPr>
        <w:t>.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2B1D33" w:rsidP="00F55242">
      <w:pPr>
        <w:spacing w:line="240" w:lineRule="auto"/>
        <w:rPr>
          <w:sz w:val="22"/>
          <w:szCs w:val="22"/>
          <w:u w:val="single"/>
        </w:rPr>
      </w:pPr>
      <w:r w:rsidRPr="00B63E7D">
        <w:rPr>
          <w:sz w:val="22"/>
          <w:szCs w:val="22"/>
          <w:u w:val="single"/>
        </w:rPr>
        <w:t xml:space="preserve">Starší </w:t>
      </w:r>
      <w:r w:rsidR="001B6315" w:rsidRPr="00B63E7D">
        <w:rPr>
          <w:sz w:val="22"/>
          <w:szCs w:val="22"/>
          <w:u w:val="single"/>
        </w:rPr>
        <w:t>pacienti</w:t>
      </w:r>
    </w:p>
    <w:p w:rsidR="008509A0" w:rsidRPr="00B63E7D" w:rsidRDefault="008509A0" w:rsidP="00F55242">
      <w:pPr>
        <w:spacing w:line="240" w:lineRule="auto"/>
        <w:rPr>
          <w:sz w:val="22"/>
          <w:szCs w:val="22"/>
        </w:rPr>
      </w:pPr>
    </w:p>
    <w:p w:rsidR="00625326" w:rsidRPr="00B63E7D" w:rsidRDefault="001B6315" w:rsidP="00F55242">
      <w:p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 xml:space="preserve">Ak sa </w:t>
      </w:r>
      <w:r w:rsidRPr="00B63E7D">
        <w:rPr>
          <w:rFonts w:eastAsia="TimesNewRoman"/>
          <w:sz w:val="22"/>
          <w:szCs w:val="22"/>
        </w:rPr>
        <w:t>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 podáva starším pacientom, je potrebná opatrnosť</w:t>
      </w:r>
      <w:r w:rsidR="00625326" w:rsidRPr="00B63E7D">
        <w:rPr>
          <w:sz w:val="22"/>
          <w:szCs w:val="22"/>
        </w:rPr>
        <w:t>.</w:t>
      </w:r>
    </w:p>
    <w:p w:rsidR="008509A0" w:rsidRPr="00B63E7D" w:rsidRDefault="008509A0" w:rsidP="00F55242">
      <w:pPr>
        <w:spacing w:line="240" w:lineRule="auto"/>
        <w:rPr>
          <w:sz w:val="22"/>
          <w:szCs w:val="22"/>
        </w:rPr>
      </w:pPr>
    </w:p>
    <w:p w:rsidR="00625326" w:rsidRPr="00B63E7D" w:rsidRDefault="00F63C01" w:rsidP="00F55242">
      <w:p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 xml:space="preserve">Starší pacienti vo veku nad </w:t>
      </w:r>
      <w:r w:rsidR="00625326" w:rsidRPr="00B63E7D">
        <w:rPr>
          <w:sz w:val="22"/>
          <w:szCs w:val="22"/>
        </w:rPr>
        <w:t>65</w:t>
      </w:r>
      <w:r w:rsidRPr="00B63E7D">
        <w:rPr>
          <w:sz w:val="22"/>
          <w:szCs w:val="22"/>
        </w:rPr>
        <w:t xml:space="preserve"> rokov sú po podaní </w:t>
      </w:r>
      <w:r w:rsidRPr="00B63E7D">
        <w:rPr>
          <w:rFonts w:eastAsia="TimesNewRoman"/>
          <w:sz w:val="22"/>
          <w:szCs w:val="22"/>
        </w:rPr>
        <w:t>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nu</w:t>
      </w:r>
      <w:r w:rsidRPr="00B63E7D">
        <w:rPr>
          <w:sz w:val="22"/>
          <w:szCs w:val="22"/>
        </w:rPr>
        <w:t xml:space="preserve"> náchylnejší na vznik hypotenzie</w:t>
      </w:r>
      <w:r w:rsidR="00625326" w:rsidRPr="00B63E7D">
        <w:rPr>
          <w:sz w:val="22"/>
          <w:szCs w:val="22"/>
        </w:rPr>
        <w:t xml:space="preserve">. </w:t>
      </w:r>
      <w:r w:rsidR="00C32B22" w:rsidRPr="00B63E7D">
        <w:rPr>
          <w:rFonts w:eastAsia="TimesNewRoman"/>
          <w:sz w:val="22"/>
          <w:szCs w:val="22"/>
        </w:rPr>
        <w:t>Má sa zvážiť zníženie dávky. Pozri, prosím, časť 4.2</w:t>
      </w:r>
      <w:r w:rsidR="00625326" w:rsidRPr="00B63E7D">
        <w:rPr>
          <w:sz w:val="22"/>
          <w:szCs w:val="22"/>
        </w:rPr>
        <w:t>.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  <w:u w:val="single"/>
        </w:rPr>
      </w:pPr>
      <w:r w:rsidRPr="00B63E7D">
        <w:rPr>
          <w:rFonts w:eastAsia="TimesNewRoman"/>
          <w:sz w:val="22"/>
          <w:szCs w:val="22"/>
          <w:u w:val="single"/>
        </w:rPr>
        <w:t>Kardiovaskulárne účinky a opatrenia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Dexmedetomidine EVER Pharma znižuje tepovú frekvenciu a krvný tlak prostredníctvom centrálneho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sympatolytického účinku, no pri vyšších koncentráciách spôsobuje periférnu vazokonstrikciu, ktorá</w:t>
      </w:r>
    </w:p>
    <w:p w:rsidR="00625326" w:rsidRPr="00B63E7D" w:rsidRDefault="00B340CB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vedie k hypertenzii (pozri časť </w:t>
      </w:r>
      <w:r w:rsidR="00625326" w:rsidRPr="00B63E7D">
        <w:rPr>
          <w:rFonts w:eastAsia="TimesNewRoman"/>
          <w:sz w:val="22"/>
          <w:szCs w:val="22"/>
        </w:rPr>
        <w:t>5.1). Dexmedetomidine EVER Pharma zvyčajne nespôsobuje hlbokú sedáciu a pacientov možno ľahko prebudiť. Dexmedetomidine EVER Pharma preto nie je vhodný pre pacientov, ktorí neznášajú tento profil účinkov, napríklad u tých, u ktorých sa vyžaduje nepretržitá hlboká sedácia alebo u tých, ktorí majú ťažkú kardiovaskulárnu nestabilitu.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8B7847" w:rsidRPr="00B63E7D" w:rsidRDefault="00625326" w:rsidP="008B7847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Opatrnosť je potrebná pri podávaní dexmedetomid</w:t>
      </w:r>
      <w:r w:rsidR="00D60F12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 xml:space="preserve">nu pacientom s </w:t>
      </w:r>
      <w:r w:rsidR="00D60F12">
        <w:rPr>
          <w:rFonts w:eastAsia="TimesNewRoman"/>
          <w:sz w:val="22"/>
          <w:szCs w:val="22"/>
        </w:rPr>
        <w:t>pre</w:t>
      </w:r>
      <w:r w:rsidRPr="00B63E7D">
        <w:rPr>
          <w:rFonts w:eastAsia="TimesNewRoman"/>
          <w:sz w:val="22"/>
          <w:szCs w:val="22"/>
        </w:rPr>
        <w:t>existujúcou bradykardiou. Údaje</w:t>
      </w:r>
      <w:r w:rsidR="00D60F12">
        <w:rPr>
          <w:rFonts w:eastAsia="TimesNewRoman"/>
          <w:sz w:val="22"/>
          <w:szCs w:val="22"/>
        </w:rPr>
        <w:t xml:space="preserve"> </w:t>
      </w:r>
      <w:r w:rsidRPr="00B63E7D">
        <w:rPr>
          <w:rFonts w:eastAsia="TimesNewRoman"/>
          <w:sz w:val="22"/>
          <w:szCs w:val="22"/>
        </w:rPr>
        <w:t xml:space="preserve">o účinkoch Dexmedetomidinu EVER Pharma u pacientov s </w:t>
      </w:r>
      <w:r w:rsidR="00B340CB" w:rsidRPr="00B63E7D">
        <w:rPr>
          <w:rFonts w:eastAsia="TimesNewRoman"/>
          <w:sz w:val="22"/>
          <w:szCs w:val="22"/>
        </w:rPr>
        <w:t>tepo</w:t>
      </w:r>
      <w:r w:rsidR="00D60F12">
        <w:rPr>
          <w:rFonts w:eastAsia="TimesNewRoman"/>
          <w:sz w:val="22"/>
          <w:szCs w:val="22"/>
        </w:rPr>
        <w:t>m</w:t>
      </w:r>
      <w:r w:rsidR="00B340CB" w:rsidRPr="00B63E7D">
        <w:rPr>
          <w:rFonts w:eastAsia="TimesNewRoman"/>
          <w:sz w:val="22"/>
          <w:szCs w:val="22"/>
        </w:rPr>
        <w:t xml:space="preserve"> </w:t>
      </w:r>
      <w:r w:rsidRPr="00B63E7D">
        <w:rPr>
          <w:rFonts w:eastAsia="TimesNewRoman"/>
          <w:sz w:val="22"/>
          <w:szCs w:val="22"/>
        </w:rPr>
        <w:t>&lt;</w:t>
      </w:r>
      <w:r w:rsidR="00B340CB" w:rsidRPr="00B63E7D">
        <w:rPr>
          <w:rFonts w:eastAsia="TimesNewRoman"/>
          <w:sz w:val="22"/>
          <w:szCs w:val="22"/>
        </w:rPr>
        <w:t> </w:t>
      </w:r>
      <w:r w:rsidRPr="00B63E7D">
        <w:rPr>
          <w:rFonts w:eastAsia="TimesNewRoman"/>
          <w:sz w:val="22"/>
          <w:szCs w:val="22"/>
        </w:rPr>
        <w:t>60 sú veľmi obmedzené</w:t>
      </w:r>
      <w:r w:rsidR="00D60F12">
        <w:rPr>
          <w:rFonts w:eastAsia="TimesNewRoman"/>
          <w:sz w:val="22"/>
          <w:szCs w:val="22"/>
        </w:rPr>
        <w:t>,</w:t>
      </w:r>
      <w:r w:rsidRPr="00B63E7D">
        <w:rPr>
          <w:rFonts w:eastAsia="TimesNewRoman"/>
          <w:sz w:val="22"/>
          <w:szCs w:val="22"/>
        </w:rPr>
        <w:t xml:space="preserve"> a u týchto pacientov je potrebná mimoriadna starostlivosť. Bradykardia si normálne nevyžaduje liečbu, no zvyčajne reaguje na anticholinergiká alebo na zníženie dávky, ak to bolo potrebné. Pacienti s v</w:t>
      </w:r>
      <w:r w:rsidR="00B340CB" w:rsidRPr="00B63E7D">
        <w:rPr>
          <w:rFonts w:eastAsia="TimesNewRoman"/>
          <w:sz w:val="22"/>
          <w:szCs w:val="22"/>
        </w:rPr>
        <w:t>ysokou</w:t>
      </w:r>
      <w:r w:rsidR="00D60F12">
        <w:rPr>
          <w:rFonts w:eastAsia="TimesNewRoman"/>
          <w:sz w:val="22"/>
          <w:szCs w:val="22"/>
        </w:rPr>
        <w:t xml:space="preserve"> </w:t>
      </w:r>
      <w:r w:rsidR="008B7847">
        <w:rPr>
          <w:rFonts w:eastAsia="TimesNewRoman"/>
          <w:sz w:val="22"/>
          <w:szCs w:val="22"/>
        </w:rPr>
        <w:t xml:space="preserve">úrovňou </w:t>
      </w:r>
      <w:r w:rsidRPr="00B63E7D">
        <w:rPr>
          <w:rFonts w:eastAsia="TimesNewRoman"/>
          <w:sz w:val="22"/>
          <w:szCs w:val="22"/>
        </w:rPr>
        <w:t>fyzick</w:t>
      </w:r>
      <w:r w:rsidR="008B7847">
        <w:rPr>
          <w:rFonts w:eastAsia="TimesNewRoman"/>
          <w:sz w:val="22"/>
          <w:szCs w:val="22"/>
        </w:rPr>
        <w:t>ej</w:t>
      </w:r>
      <w:r w:rsidRPr="00B63E7D">
        <w:rPr>
          <w:rFonts w:eastAsia="TimesNewRoman"/>
          <w:sz w:val="22"/>
          <w:szCs w:val="22"/>
        </w:rPr>
        <w:t xml:space="preserve"> kondíci</w:t>
      </w:r>
      <w:r w:rsidR="00D60F12">
        <w:rPr>
          <w:rFonts w:eastAsia="TimesNewRoman"/>
          <w:sz w:val="22"/>
          <w:szCs w:val="22"/>
        </w:rPr>
        <w:t>e</w:t>
      </w:r>
      <w:r w:rsidRPr="00B63E7D">
        <w:rPr>
          <w:rFonts w:eastAsia="TimesNewRoman"/>
          <w:sz w:val="22"/>
          <w:szCs w:val="22"/>
        </w:rPr>
        <w:t xml:space="preserve"> a</w:t>
      </w:r>
      <w:r w:rsidR="00D60F12">
        <w:rPr>
          <w:rFonts w:eastAsia="TimesNewRoman"/>
          <w:sz w:val="22"/>
          <w:szCs w:val="22"/>
        </w:rPr>
        <w:t> </w:t>
      </w:r>
      <w:r w:rsidRPr="00B63E7D">
        <w:rPr>
          <w:rFonts w:eastAsia="TimesNewRoman"/>
          <w:sz w:val="22"/>
          <w:szCs w:val="22"/>
        </w:rPr>
        <w:t>pomal</w:t>
      </w:r>
      <w:r w:rsidR="008B7847">
        <w:rPr>
          <w:rFonts w:eastAsia="TimesNewRoman"/>
          <w:sz w:val="22"/>
          <w:szCs w:val="22"/>
        </w:rPr>
        <w:t>ým</w:t>
      </w:r>
      <w:r w:rsidR="00D60F12">
        <w:rPr>
          <w:rFonts w:eastAsia="TimesNewRoman"/>
          <w:sz w:val="22"/>
          <w:szCs w:val="22"/>
        </w:rPr>
        <w:t xml:space="preserve"> </w:t>
      </w:r>
      <w:r w:rsidR="008B7847">
        <w:rPr>
          <w:rFonts w:eastAsia="TimesNewRoman"/>
          <w:sz w:val="22"/>
          <w:szCs w:val="22"/>
        </w:rPr>
        <w:t>pokojovým t</w:t>
      </w:r>
      <w:r w:rsidRPr="00B63E7D">
        <w:rPr>
          <w:rFonts w:eastAsia="TimesNewRoman"/>
          <w:sz w:val="22"/>
          <w:szCs w:val="22"/>
        </w:rPr>
        <w:t>epo</w:t>
      </w:r>
      <w:r w:rsidR="008B7847">
        <w:rPr>
          <w:rFonts w:eastAsia="TimesNewRoman"/>
          <w:sz w:val="22"/>
          <w:szCs w:val="22"/>
        </w:rPr>
        <w:t>m</w:t>
      </w:r>
      <w:r w:rsidR="00D60F12">
        <w:rPr>
          <w:rFonts w:eastAsia="TimesNewRoman"/>
          <w:sz w:val="22"/>
          <w:szCs w:val="22"/>
        </w:rPr>
        <w:t xml:space="preserve"> </w:t>
      </w:r>
      <w:r w:rsidRPr="00B63E7D">
        <w:rPr>
          <w:rFonts w:eastAsia="TimesNewRoman"/>
          <w:sz w:val="22"/>
          <w:szCs w:val="22"/>
        </w:rPr>
        <w:t>môžu byť osobitne citliví na bradykardické účinky agonistov alfa-2 receptor a hlásili sa prípady prechodného zastavenia sínusového uzla.</w:t>
      </w:r>
      <w:r w:rsidR="00D60F12">
        <w:rPr>
          <w:rFonts w:eastAsia="TimesNewRoman"/>
          <w:sz w:val="22"/>
          <w:szCs w:val="22"/>
        </w:rPr>
        <w:t xml:space="preserve"> </w:t>
      </w:r>
      <w:r w:rsidR="008B7847">
        <w:rPr>
          <w:rFonts w:eastAsia="TimesNewRoman"/>
          <w:sz w:val="22"/>
          <w:szCs w:val="22"/>
        </w:rPr>
        <w:t>Boli hlásené aj prípady zástavy srdca, ktorým často predchádzala bradykardia alebo atrioventrikulárny blok (pozri časť 4.8).</w:t>
      </w:r>
    </w:p>
    <w:p w:rsidR="008B7847" w:rsidRPr="00B63E7D" w:rsidRDefault="008B7847" w:rsidP="008B7847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 xml:space="preserve">Hypotenzné účinky Dexmedetomidinu EVER Pharma môžu mať väčšiu dôležitosť u pacientov s existujúcou hypotenziou (najmä, ak nereagujú na vazopresíva), hypovolémiou, chronickou hypotenziou alebo zníženou funkčnou rezervou, ako sú pacienti s ťažkou ventrikulárnou dysfunkciou a </w:t>
      </w:r>
      <w:r w:rsidRPr="00B63E7D">
        <w:rPr>
          <w:rFonts w:eastAsia="TimesNewRoman"/>
          <w:sz w:val="22"/>
          <w:szCs w:val="22"/>
        </w:rPr>
        <w:lastRenderedPageBreak/>
        <w:t>staršie osoby a takéto prípady si vyžadujú mimor</w:t>
      </w:r>
      <w:r w:rsidR="00B340CB" w:rsidRPr="00B63E7D">
        <w:rPr>
          <w:rFonts w:eastAsia="TimesNewRoman"/>
          <w:sz w:val="22"/>
          <w:szCs w:val="22"/>
        </w:rPr>
        <w:t>iadnu starostlivosť (pozri časť </w:t>
      </w:r>
      <w:r w:rsidRPr="00B63E7D">
        <w:rPr>
          <w:rFonts w:eastAsia="TimesNewRoman"/>
          <w:sz w:val="22"/>
          <w:szCs w:val="22"/>
        </w:rPr>
        <w:t>4.3). Hypotenzia si normálne nevyžaduje špecifickú liečbu, no tam, kde je to potrebné, musia byť používatelia pripravení zasiahnuť pomocou zníženia dávky, tekutinami a/alebo vazokonstriktormi.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U pacientov s poškodenou periférnou autonómnou činnosťou (napr. v dôsledku poranenia miechy) sa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môžu prejaviť omnoho nápadnejšie hemodynamické zmeny po začatí používania Dexmedetomidinu EVER Pharma a majú sa liečiť s opatrnosťou.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 xml:space="preserve">Prechodná hypertenzia sa pozorovala predovšetkým počas záťažovej dávky </w:t>
      </w:r>
      <w:r w:rsidR="00B340CB" w:rsidRPr="00B63E7D">
        <w:rPr>
          <w:rFonts w:eastAsia="TimesNewRoman"/>
          <w:sz w:val="22"/>
          <w:szCs w:val="22"/>
        </w:rPr>
        <w:t>v súvislosti s periférnymi vazokonstriktívnymi účinkami dexmedetomid</w:t>
      </w:r>
      <w:r w:rsidR="00A27209">
        <w:rPr>
          <w:rFonts w:eastAsia="TimesNewRoman"/>
          <w:sz w:val="22"/>
          <w:szCs w:val="22"/>
        </w:rPr>
        <w:t>í</w:t>
      </w:r>
      <w:r w:rsidR="00B340CB" w:rsidRPr="00B63E7D">
        <w:rPr>
          <w:rFonts w:eastAsia="TimesNewRoman"/>
          <w:sz w:val="22"/>
          <w:szCs w:val="22"/>
        </w:rPr>
        <w:t>nu</w:t>
      </w:r>
      <w:r w:rsidR="00B340CB" w:rsidRPr="00B63E7D">
        <w:rPr>
          <w:sz w:val="22"/>
          <w:szCs w:val="22"/>
        </w:rPr>
        <w:t xml:space="preserve"> </w:t>
      </w:r>
      <w:r w:rsidR="009934B0" w:rsidRPr="00B63E7D">
        <w:rPr>
          <w:sz w:val="22"/>
          <w:szCs w:val="22"/>
        </w:rPr>
        <w:t xml:space="preserve">a </w:t>
      </w:r>
      <w:r w:rsidR="009934B0" w:rsidRPr="00B63E7D">
        <w:rPr>
          <w:rFonts w:eastAsia="TimesNewRoman"/>
          <w:sz w:val="22"/>
          <w:szCs w:val="22"/>
        </w:rPr>
        <w:t xml:space="preserve">záťažová dávka na sedáciu </w:t>
      </w:r>
      <w:r w:rsidR="008509A0" w:rsidRPr="00B63E7D">
        <w:rPr>
          <w:sz w:val="22"/>
          <w:szCs w:val="22"/>
        </w:rPr>
        <w:t xml:space="preserve">na JIS (jednotka intenzívnej starostlivosti) </w:t>
      </w:r>
      <w:r w:rsidR="009934B0" w:rsidRPr="00B63E7D">
        <w:rPr>
          <w:rFonts w:eastAsia="TimesNewRoman"/>
          <w:sz w:val="22"/>
          <w:szCs w:val="22"/>
        </w:rPr>
        <w:t>sa neodporúča</w:t>
      </w:r>
      <w:r w:rsidRPr="00B63E7D">
        <w:rPr>
          <w:rFonts w:eastAsia="TimesNewRoman"/>
          <w:sz w:val="22"/>
          <w:szCs w:val="22"/>
        </w:rPr>
        <w:t>. Liečba hypertenzie zvyčajne nebola potrebná, no môže byť vhodné zníženie rýchlosti kontinuálnej infúzie.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Lokálna vazokonstrikcia pri vyššej koncentrácii môže byť oveľa významnejšia u pacientov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s ischemickou chorobou srdca alebo ťažkým cerebrovaskulárnym ochorením, ktorí sa majú pozorne</w:t>
      </w:r>
    </w:p>
    <w:p w:rsidR="00625326" w:rsidRPr="00B63E7D" w:rsidRDefault="00725AA2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sledovať</w:t>
      </w:r>
      <w:r w:rsidR="00625326" w:rsidRPr="00B63E7D">
        <w:rPr>
          <w:rFonts w:eastAsia="TimesNewRoman"/>
          <w:sz w:val="22"/>
          <w:szCs w:val="22"/>
        </w:rPr>
        <w:t xml:space="preserve">. Zníženie dávky alebo vysadenie </w:t>
      </w:r>
      <w:r w:rsidR="00472212" w:rsidRPr="00B63E7D">
        <w:rPr>
          <w:rFonts w:eastAsia="TimesNewRoman"/>
          <w:sz w:val="22"/>
          <w:szCs w:val="22"/>
        </w:rPr>
        <w:t xml:space="preserve">lieku </w:t>
      </w:r>
      <w:r w:rsidR="00625326" w:rsidRPr="00B63E7D">
        <w:rPr>
          <w:rFonts w:eastAsia="TimesNewRoman"/>
          <w:sz w:val="22"/>
          <w:szCs w:val="22"/>
        </w:rPr>
        <w:t xml:space="preserve">sa má zvážiť u pacientov, u ktorých sa vyvíjajú </w:t>
      </w:r>
      <w:r w:rsidR="007A2FA8" w:rsidRPr="00B63E7D">
        <w:rPr>
          <w:rFonts w:eastAsia="TimesNewRoman"/>
          <w:sz w:val="22"/>
          <w:szCs w:val="22"/>
        </w:rPr>
        <w:t>prejavy</w:t>
      </w:r>
      <w:r w:rsidR="00472212" w:rsidRPr="00B63E7D">
        <w:rPr>
          <w:rFonts w:eastAsia="TimesNewRoman"/>
          <w:sz w:val="22"/>
          <w:szCs w:val="22"/>
        </w:rPr>
        <w:t xml:space="preserve"> </w:t>
      </w:r>
      <w:r w:rsidR="00625326" w:rsidRPr="00B63E7D">
        <w:rPr>
          <w:rFonts w:eastAsia="TimesNewRoman"/>
          <w:sz w:val="22"/>
          <w:szCs w:val="22"/>
        </w:rPr>
        <w:t>myokardiálnej alebo cerebrálnej ischémie.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  <w:u w:val="single"/>
        </w:rPr>
      </w:pPr>
      <w:r w:rsidRPr="00B63E7D">
        <w:rPr>
          <w:rFonts w:eastAsia="TimesNewRoman"/>
          <w:sz w:val="22"/>
          <w:szCs w:val="22"/>
          <w:u w:val="single"/>
        </w:rPr>
        <w:t>Pacienti s poruchou funkcie pečene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Opatrnosť je potrebná pri ťažk</w:t>
      </w:r>
      <w:r w:rsidR="007F57AC" w:rsidRPr="00B63E7D">
        <w:rPr>
          <w:rFonts w:eastAsia="TimesNewRoman"/>
          <w:sz w:val="22"/>
          <w:szCs w:val="22"/>
        </w:rPr>
        <w:t xml:space="preserve">ej poruche </w:t>
      </w:r>
      <w:r w:rsidRPr="00B63E7D">
        <w:rPr>
          <w:rFonts w:eastAsia="TimesNewRoman"/>
          <w:sz w:val="22"/>
          <w:szCs w:val="22"/>
        </w:rPr>
        <w:t>funkcie pečene, pretože príliš vysoké dávky môžu zvýšiť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riziko nežiaducich reakcií, nadmernej sedácie alebo predĺžiť účinok v dôsledku zníženého klírensu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nu.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  <w:u w:val="single"/>
        </w:rPr>
      </w:pPr>
      <w:r w:rsidRPr="00B63E7D">
        <w:rPr>
          <w:rFonts w:eastAsia="TimesNewRoman"/>
          <w:sz w:val="22"/>
          <w:szCs w:val="22"/>
          <w:u w:val="single"/>
        </w:rPr>
        <w:t xml:space="preserve">Pacienti s neurologickými </w:t>
      </w:r>
      <w:r w:rsidR="007F57AC" w:rsidRPr="00B63E7D">
        <w:rPr>
          <w:rFonts w:eastAsia="TimesNewRoman"/>
          <w:sz w:val="22"/>
          <w:szCs w:val="22"/>
          <w:u w:val="single"/>
        </w:rPr>
        <w:t>poruchami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Skúsenosti s Dexmedetomidinom EVER Pharma pri ťažkých neurologických poruchách, ako je poranenie hlavy a stav po neurochirurgii, sú obmedzené a má sa používať s opatrnosťou, najmä ak sa požaduje hlboká sedácia. Dexmedetomidin</w:t>
      </w:r>
      <w:r w:rsidR="0018517F" w:rsidRPr="00B63E7D">
        <w:rPr>
          <w:rFonts w:eastAsia="TimesNewRoman"/>
          <w:sz w:val="22"/>
          <w:szCs w:val="22"/>
        </w:rPr>
        <w:t>e</w:t>
      </w:r>
      <w:r w:rsidRPr="00B63E7D">
        <w:rPr>
          <w:rFonts w:eastAsia="TimesNewRoman"/>
          <w:sz w:val="22"/>
          <w:szCs w:val="22"/>
        </w:rPr>
        <w:t xml:space="preserve"> EVER Pharma môže znížiť prietok krvi v mozgu a intrakraniálny tlak, čo sa má pri výbere liečby zohľadniť.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  <w:u w:val="single"/>
        </w:rPr>
      </w:pPr>
      <w:r w:rsidRPr="00B63E7D">
        <w:rPr>
          <w:rFonts w:eastAsia="TimesNewRoman"/>
          <w:sz w:val="22"/>
          <w:szCs w:val="22"/>
          <w:u w:val="single"/>
        </w:rPr>
        <w:t>Ďalšie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Alfa-2 agonisty sa zriedkavo spája</w:t>
      </w:r>
      <w:r w:rsidR="00187B56" w:rsidRPr="00B63E7D">
        <w:rPr>
          <w:rFonts w:eastAsia="TimesNewRoman"/>
          <w:sz w:val="22"/>
          <w:szCs w:val="22"/>
        </w:rPr>
        <w:t xml:space="preserve">li </w:t>
      </w:r>
      <w:r w:rsidRPr="00B63E7D">
        <w:rPr>
          <w:rFonts w:eastAsia="TimesNewRoman"/>
          <w:sz w:val="22"/>
          <w:szCs w:val="22"/>
        </w:rPr>
        <w:t xml:space="preserve">s reakciami </w:t>
      </w:r>
      <w:r w:rsidR="003C1F48" w:rsidRPr="00B63E7D">
        <w:rPr>
          <w:rFonts w:eastAsia="TimesNewRoman"/>
          <w:sz w:val="22"/>
          <w:szCs w:val="22"/>
        </w:rPr>
        <w:t>z</w:t>
      </w:r>
      <w:r w:rsidRPr="00B63E7D">
        <w:rPr>
          <w:rFonts w:eastAsia="TimesNewRoman"/>
          <w:sz w:val="22"/>
          <w:szCs w:val="22"/>
        </w:rPr>
        <w:t xml:space="preserve"> vysadenia</w:t>
      </w:r>
      <w:r w:rsidR="00187B56" w:rsidRPr="00B63E7D">
        <w:rPr>
          <w:rFonts w:eastAsia="TimesNewRoman"/>
          <w:sz w:val="22"/>
          <w:szCs w:val="22"/>
        </w:rPr>
        <w:t xml:space="preserve"> lieku</w:t>
      </w:r>
      <w:r w:rsidRPr="00B63E7D">
        <w:rPr>
          <w:rFonts w:eastAsia="TimesNewRoman"/>
          <w:sz w:val="22"/>
          <w:szCs w:val="22"/>
        </w:rPr>
        <w:t>, ak sa náhle vysadia po dlhom užívaní.</w:t>
      </w:r>
      <w:r w:rsidR="00187B56" w:rsidRPr="00B63E7D">
        <w:rPr>
          <w:rFonts w:eastAsia="TimesNewRoman"/>
          <w:sz w:val="22"/>
          <w:szCs w:val="22"/>
        </w:rPr>
        <w:t xml:space="preserve"> </w:t>
      </w:r>
      <w:r w:rsidRPr="00B63E7D">
        <w:rPr>
          <w:rFonts w:eastAsia="TimesNewRoman"/>
          <w:sz w:val="22"/>
          <w:szCs w:val="22"/>
        </w:rPr>
        <w:t>Táto možnosť sa má zohľadniť</w:t>
      </w:r>
      <w:r w:rsidR="00187B56" w:rsidRPr="00B63E7D">
        <w:rPr>
          <w:rFonts w:eastAsia="TimesNewRoman"/>
          <w:sz w:val="22"/>
          <w:szCs w:val="22"/>
        </w:rPr>
        <w:t>,</w:t>
      </w:r>
      <w:r w:rsidRPr="00B63E7D">
        <w:rPr>
          <w:rFonts w:eastAsia="TimesNewRoman"/>
          <w:sz w:val="22"/>
          <w:szCs w:val="22"/>
        </w:rPr>
        <w:t xml:space="preserve"> ak sa u pacienta prejaví agitácia a hypertenzia krátko po vysadení</w:t>
      </w:r>
      <w:r w:rsidR="00187B56" w:rsidRPr="00B63E7D">
        <w:rPr>
          <w:rFonts w:eastAsia="TimesNewRoman"/>
          <w:sz w:val="22"/>
          <w:szCs w:val="22"/>
        </w:rPr>
        <w:t xml:space="preserve"> </w:t>
      </w:r>
      <w:r w:rsidRPr="00B63E7D">
        <w:rPr>
          <w:rFonts w:eastAsia="TimesNewRoman"/>
          <w:sz w:val="22"/>
          <w:szCs w:val="22"/>
        </w:rPr>
        <w:t>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nu.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 xml:space="preserve">Liečba </w:t>
      </w:r>
      <w:r w:rsidR="008D2BC8" w:rsidRPr="00B63E7D">
        <w:rPr>
          <w:rFonts w:eastAsia="TimesNewRoman"/>
          <w:sz w:val="22"/>
          <w:szCs w:val="22"/>
        </w:rPr>
        <w:t>d</w:t>
      </w:r>
      <w:r w:rsidRPr="00B63E7D">
        <w:rPr>
          <w:rFonts w:eastAsia="TimesNewRoman"/>
          <w:sz w:val="22"/>
          <w:szCs w:val="22"/>
        </w:rPr>
        <w:t>exmedetomid</w:t>
      </w:r>
      <w:r w:rsidR="008D2BC8" w:rsidRPr="00B63E7D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 xml:space="preserve">nom sa má ukončiť v prípade </w:t>
      </w:r>
      <w:r w:rsidR="008D2BC8" w:rsidRPr="00B63E7D">
        <w:rPr>
          <w:rFonts w:eastAsia="TimesNewRoman"/>
          <w:sz w:val="22"/>
          <w:szCs w:val="22"/>
        </w:rPr>
        <w:t xml:space="preserve">pretrvávajúcej </w:t>
      </w:r>
      <w:r w:rsidRPr="00B63E7D">
        <w:rPr>
          <w:rFonts w:eastAsia="TimesNewRoman"/>
          <w:sz w:val="22"/>
          <w:szCs w:val="22"/>
        </w:rPr>
        <w:t>horúčky z neobjasnenej príčiny</w:t>
      </w:r>
      <w:r w:rsidR="008D2BC8" w:rsidRPr="00B63E7D">
        <w:rPr>
          <w:rFonts w:eastAsia="TimesNewRoman"/>
          <w:sz w:val="22"/>
          <w:szCs w:val="22"/>
        </w:rPr>
        <w:t xml:space="preserve"> a liečba sa neodporúča u pacientov citlivých na malígnu hypertermiu</w:t>
      </w:r>
      <w:r w:rsidRPr="00B63E7D">
        <w:rPr>
          <w:rFonts w:eastAsia="TimesNewRoman"/>
          <w:sz w:val="22"/>
          <w:szCs w:val="22"/>
        </w:rPr>
        <w:t>.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Pomocná látka so známym účinkom: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Každý ml k</w:t>
      </w:r>
      <w:r w:rsidR="003E3E6D" w:rsidRPr="00B63E7D">
        <w:rPr>
          <w:rFonts w:eastAsia="TimesNewRoman"/>
          <w:sz w:val="22"/>
          <w:szCs w:val="22"/>
        </w:rPr>
        <w:t>oncentrátu obsahuje menej ako 1 </w:t>
      </w:r>
      <w:r w:rsidRPr="00B63E7D">
        <w:rPr>
          <w:rFonts w:eastAsia="TimesNewRoman"/>
          <w:sz w:val="22"/>
          <w:szCs w:val="22"/>
        </w:rPr>
        <w:t>mmol (približne 3,5</w:t>
      </w:r>
      <w:r w:rsidR="003E3E6D" w:rsidRPr="00B63E7D">
        <w:rPr>
          <w:rFonts w:eastAsia="TimesNewRoman"/>
          <w:sz w:val="22"/>
          <w:szCs w:val="22"/>
        </w:rPr>
        <w:t> </w:t>
      </w:r>
      <w:r w:rsidRPr="00B63E7D">
        <w:rPr>
          <w:rFonts w:eastAsia="TimesNewRoman"/>
          <w:sz w:val="22"/>
          <w:szCs w:val="22"/>
        </w:rPr>
        <w:t>mg) sodíka.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0A5B53" w:rsidP="00F55242">
      <w:pPr>
        <w:spacing w:line="240" w:lineRule="auto"/>
        <w:rPr>
          <w:rFonts w:eastAsia="TimesNewRoman"/>
          <w:b/>
          <w:sz w:val="22"/>
          <w:szCs w:val="22"/>
        </w:rPr>
      </w:pPr>
      <w:r w:rsidRPr="00B63E7D">
        <w:rPr>
          <w:rFonts w:eastAsia="TimesNewRoman"/>
          <w:b/>
          <w:sz w:val="22"/>
          <w:szCs w:val="22"/>
        </w:rPr>
        <w:t>4.5</w:t>
      </w:r>
      <w:r w:rsidRPr="00B63E7D">
        <w:rPr>
          <w:rFonts w:eastAsia="TimesNewRoman"/>
          <w:b/>
          <w:sz w:val="22"/>
          <w:szCs w:val="22"/>
        </w:rPr>
        <w:tab/>
      </w:r>
      <w:r w:rsidR="00625326" w:rsidRPr="00B63E7D">
        <w:rPr>
          <w:rFonts w:eastAsia="TimesNewRoman"/>
          <w:b/>
          <w:sz w:val="22"/>
          <w:szCs w:val="22"/>
        </w:rPr>
        <w:t>Liekové a iné interakcie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D2148E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sz w:val="22"/>
          <w:szCs w:val="22"/>
        </w:rPr>
        <w:t>Interakčné š</w:t>
      </w:r>
      <w:r w:rsidR="00625326" w:rsidRPr="00B63E7D">
        <w:rPr>
          <w:rFonts w:eastAsia="TimesNewRoman"/>
          <w:sz w:val="22"/>
          <w:szCs w:val="22"/>
        </w:rPr>
        <w:t>túdie sa uskutočnili len s dospelými.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Súbežné podávanie 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nu s anestetikami, sedatívami, hypnotikami a opiátmi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pravdepodobne povedie k zosilneniu účinkov, vrátane sedatívnych, anestetických a kardiorespiračných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účinkov. Špecifické štúdie potvrdili zvýšené účinky s izofluranom, propofolom, alfentanilom a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midazolamom.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Nepreukázali sa žiadne farmakokinetické interakcie medzi 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nom a izofluranom,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propofolom, alfentanilom a midazolamom. Z dôvodu možných farmakodynamických interakcií sa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však pri súbežnom podávaní s 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nom môže požadovať zníženie dávky 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nu</w:t>
      </w:r>
      <w:r w:rsidR="00A27209">
        <w:rPr>
          <w:rFonts w:eastAsia="TimesNewRoman"/>
          <w:sz w:val="22"/>
          <w:szCs w:val="22"/>
        </w:rPr>
        <w:t xml:space="preserve"> </w:t>
      </w:r>
      <w:r w:rsidRPr="00B63E7D">
        <w:rPr>
          <w:rFonts w:eastAsia="TimesNewRoman"/>
          <w:sz w:val="22"/>
          <w:szCs w:val="22"/>
        </w:rPr>
        <w:t>alebo súbežne podávaného anestetika, sedatíva, hypnotika alebo opiátu.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lastRenderedPageBreak/>
        <w:t xml:space="preserve">Inhibícia enzýmov CYP vrátane CYP2B6 </w:t>
      </w:r>
      <w:r w:rsidR="0086403B" w:rsidRPr="00B63E7D">
        <w:rPr>
          <w:rFonts w:eastAsia="TimesNewRoman"/>
          <w:sz w:val="22"/>
          <w:szCs w:val="22"/>
        </w:rPr>
        <w:t xml:space="preserve">prostredníctvom </w:t>
      </w:r>
      <w:r w:rsidRPr="00B63E7D">
        <w:rPr>
          <w:rFonts w:eastAsia="TimesNewRoman"/>
          <w:sz w:val="22"/>
          <w:szCs w:val="22"/>
        </w:rPr>
        <w:t>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</w:t>
      </w:r>
      <w:r w:rsidR="000E2F7C" w:rsidRPr="00B63E7D">
        <w:rPr>
          <w:rFonts w:eastAsia="TimesNewRoman"/>
          <w:sz w:val="22"/>
          <w:szCs w:val="22"/>
        </w:rPr>
        <w:t xml:space="preserve">u </w:t>
      </w:r>
      <w:r w:rsidRPr="00B63E7D">
        <w:rPr>
          <w:rFonts w:eastAsia="TimesNewRoman"/>
          <w:sz w:val="22"/>
          <w:szCs w:val="22"/>
        </w:rPr>
        <w:t>sa študovala na inkubovaných</w:t>
      </w:r>
      <w:r w:rsidR="0086403B" w:rsidRPr="00B63E7D">
        <w:rPr>
          <w:rFonts w:eastAsia="TimesNewRoman"/>
          <w:sz w:val="22"/>
          <w:szCs w:val="22"/>
        </w:rPr>
        <w:t xml:space="preserve"> </w:t>
      </w:r>
      <w:r w:rsidRPr="00B63E7D">
        <w:rPr>
          <w:rFonts w:eastAsia="TimesNewRoman"/>
          <w:sz w:val="22"/>
          <w:szCs w:val="22"/>
        </w:rPr>
        <w:t xml:space="preserve">mikrozómoch ľudskej pečene. </w:t>
      </w:r>
      <w:r w:rsidRPr="00B63E7D">
        <w:rPr>
          <w:rFonts w:eastAsia="TimesNewRoman"/>
          <w:i/>
          <w:iCs/>
          <w:sz w:val="22"/>
          <w:szCs w:val="22"/>
        </w:rPr>
        <w:t xml:space="preserve">In vitro </w:t>
      </w:r>
      <w:r w:rsidRPr="00B63E7D">
        <w:rPr>
          <w:rFonts w:eastAsia="TimesNewRoman"/>
          <w:sz w:val="22"/>
          <w:szCs w:val="22"/>
        </w:rPr>
        <w:t xml:space="preserve">štúdia naznačuje, že existuje možnosť interakcií </w:t>
      </w:r>
      <w:r w:rsidRPr="00B63E7D">
        <w:rPr>
          <w:rFonts w:eastAsia="TimesNewRoman"/>
          <w:i/>
          <w:iCs/>
          <w:sz w:val="22"/>
          <w:szCs w:val="22"/>
        </w:rPr>
        <w:t xml:space="preserve">in vivo </w:t>
      </w:r>
      <w:r w:rsidRPr="00B63E7D">
        <w:rPr>
          <w:rFonts w:eastAsia="TimesNewRoman"/>
          <w:sz w:val="22"/>
          <w:szCs w:val="22"/>
        </w:rPr>
        <w:t>medzi</w:t>
      </w:r>
      <w:r w:rsidR="0086403B" w:rsidRPr="00B63E7D">
        <w:rPr>
          <w:rFonts w:eastAsia="TimesNewRoman"/>
          <w:sz w:val="22"/>
          <w:szCs w:val="22"/>
        </w:rPr>
        <w:t xml:space="preserve"> </w:t>
      </w:r>
      <w:r w:rsidRPr="00B63E7D">
        <w:rPr>
          <w:rFonts w:eastAsia="TimesNewRoman"/>
          <w:sz w:val="22"/>
          <w:szCs w:val="22"/>
        </w:rPr>
        <w:t>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nom a substrátmi s dominantným metabolizmom CYP2B6.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Indukcia 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 xml:space="preserve">nu </w:t>
      </w:r>
      <w:r w:rsidRPr="00B63E7D">
        <w:rPr>
          <w:rFonts w:eastAsia="TimesNewRoman"/>
          <w:i/>
          <w:iCs/>
          <w:sz w:val="22"/>
          <w:szCs w:val="22"/>
        </w:rPr>
        <w:t xml:space="preserve">in vitro </w:t>
      </w:r>
      <w:r w:rsidRPr="00B63E7D">
        <w:rPr>
          <w:rFonts w:eastAsia="TimesNewRoman"/>
          <w:sz w:val="22"/>
          <w:szCs w:val="22"/>
        </w:rPr>
        <w:t>sa pozorovala u CYP1A2, CYP2B6, CYP2C8, CYP2C9 a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 xml:space="preserve">CYP3A4, a indukciu </w:t>
      </w:r>
      <w:r w:rsidRPr="00B63E7D">
        <w:rPr>
          <w:rFonts w:eastAsia="TimesNewRoman"/>
          <w:i/>
          <w:iCs/>
          <w:sz w:val="22"/>
          <w:szCs w:val="22"/>
        </w:rPr>
        <w:t xml:space="preserve">in vivo </w:t>
      </w:r>
      <w:r w:rsidRPr="00B63E7D">
        <w:rPr>
          <w:rFonts w:eastAsia="TimesNewRoman"/>
          <w:sz w:val="22"/>
          <w:szCs w:val="22"/>
        </w:rPr>
        <w:t>nemožno vylúčiť. Klinický význam nie je známy.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Možnosť zvýšených hypotenzných a bradykardických účinkov sa má zvážiť u pacientov, ktorí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dostávajú iné lieky, ktoré tieto účinky vyvolávajú, napr</w:t>
      </w:r>
      <w:r w:rsidR="00CA37BD" w:rsidRPr="00B63E7D">
        <w:rPr>
          <w:rFonts w:eastAsia="TimesNewRoman"/>
          <w:sz w:val="22"/>
          <w:szCs w:val="22"/>
        </w:rPr>
        <w:t>íklad</w:t>
      </w:r>
      <w:r w:rsidRPr="00B63E7D">
        <w:rPr>
          <w:rFonts w:eastAsia="TimesNewRoman"/>
          <w:sz w:val="22"/>
          <w:szCs w:val="22"/>
        </w:rPr>
        <w:t xml:space="preserve"> beta blokátory, hoci aditívne účinky v </w:t>
      </w:r>
      <w:r w:rsidR="00CA37BD" w:rsidRPr="00B63E7D">
        <w:rPr>
          <w:rFonts w:eastAsia="TimesNewRoman"/>
          <w:sz w:val="22"/>
          <w:szCs w:val="22"/>
        </w:rPr>
        <w:t xml:space="preserve">interakčnej </w:t>
      </w:r>
      <w:r w:rsidRPr="00B63E7D">
        <w:rPr>
          <w:rFonts w:eastAsia="TimesNewRoman"/>
          <w:sz w:val="22"/>
          <w:szCs w:val="22"/>
        </w:rPr>
        <w:t>štúdii</w:t>
      </w:r>
      <w:r w:rsidR="00CA37BD" w:rsidRPr="00B63E7D">
        <w:rPr>
          <w:rFonts w:eastAsia="TimesNewRoman"/>
          <w:sz w:val="22"/>
          <w:szCs w:val="22"/>
        </w:rPr>
        <w:t xml:space="preserve"> </w:t>
      </w:r>
      <w:r w:rsidRPr="00B63E7D">
        <w:rPr>
          <w:rFonts w:eastAsia="TimesNewRoman"/>
          <w:sz w:val="22"/>
          <w:szCs w:val="22"/>
        </w:rPr>
        <w:t>s esmololom boli mierne.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,Bold"/>
          <w:b/>
          <w:sz w:val="22"/>
          <w:szCs w:val="22"/>
        </w:rPr>
      </w:pPr>
      <w:r w:rsidRPr="00B63E7D">
        <w:rPr>
          <w:rFonts w:eastAsia="TimesNewRoman,Bold"/>
          <w:b/>
          <w:sz w:val="22"/>
          <w:szCs w:val="22"/>
        </w:rPr>
        <w:t xml:space="preserve">4.6 </w:t>
      </w:r>
      <w:r w:rsidRPr="00B63E7D">
        <w:rPr>
          <w:rFonts w:eastAsia="TimesNewRoman,Bold"/>
          <w:b/>
          <w:sz w:val="22"/>
          <w:szCs w:val="22"/>
        </w:rPr>
        <w:tab/>
        <w:t>Fertilita, gravidita a laktácia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  <w:u w:val="single"/>
        </w:rPr>
      </w:pPr>
      <w:r w:rsidRPr="00B63E7D">
        <w:rPr>
          <w:rFonts w:eastAsia="TimesNewRoman"/>
          <w:sz w:val="22"/>
          <w:szCs w:val="22"/>
          <w:u w:val="single"/>
        </w:rPr>
        <w:t>Gravidita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Nie sú k dispozícii žiadne adekvátne údaje o používaní 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nu u gravidných žien.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Štúdie na zvieratách preukázali r</w:t>
      </w:r>
      <w:r w:rsidR="00CA37BD" w:rsidRPr="00B63E7D">
        <w:rPr>
          <w:rFonts w:eastAsia="TimesNewRoman"/>
          <w:sz w:val="22"/>
          <w:szCs w:val="22"/>
        </w:rPr>
        <w:t>eprodukčnú toxicitu (pozri časť </w:t>
      </w:r>
      <w:r w:rsidRPr="00B63E7D">
        <w:rPr>
          <w:rFonts w:eastAsia="TimesNewRoman"/>
          <w:sz w:val="22"/>
          <w:szCs w:val="22"/>
        </w:rPr>
        <w:t>5.3). Dexmedetomidin</w:t>
      </w:r>
      <w:r w:rsidR="00381169" w:rsidRPr="00B63E7D">
        <w:rPr>
          <w:rFonts w:eastAsia="TimesNewRoman"/>
          <w:sz w:val="22"/>
          <w:szCs w:val="22"/>
        </w:rPr>
        <w:t>e</w:t>
      </w:r>
      <w:r w:rsidRPr="00B63E7D">
        <w:rPr>
          <w:rFonts w:eastAsia="TimesNewRoman"/>
          <w:sz w:val="22"/>
          <w:szCs w:val="22"/>
        </w:rPr>
        <w:t xml:space="preserve"> EVER Pharma sa neodporúča počas gravidity a u žien vo fertilnom veku, ktoré nepoužívajú antikoncepciu.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  <w:u w:val="single"/>
        </w:rPr>
      </w:pPr>
      <w:r w:rsidRPr="00B63E7D">
        <w:rPr>
          <w:rFonts w:eastAsia="TimesNewRoman"/>
          <w:sz w:val="22"/>
          <w:szCs w:val="22"/>
          <w:u w:val="single"/>
        </w:rPr>
        <w:t>Dojčenie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Dostupné údaje na potkanoch preukázali vylučovanie 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nu alebo metabolitov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do mlieka. Riziko pre dojčatá nemožno vylúčiť. Musí sa rozhodnúť, či ukončiť dojčenie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 xml:space="preserve">alebo </w:t>
      </w:r>
      <w:r w:rsidR="00C77196" w:rsidRPr="00B63E7D">
        <w:rPr>
          <w:rFonts w:eastAsia="TimesNewRoman"/>
          <w:sz w:val="22"/>
          <w:szCs w:val="22"/>
        </w:rPr>
        <w:t xml:space="preserve">či </w:t>
      </w:r>
      <w:r w:rsidRPr="00B63E7D">
        <w:rPr>
          <w:rFonts w:eastAsia="TimesNewRoman"/>
          <w:sz w:val="22"/>
          <w:szCs w:val="22"/>
        </w:rPr>
        <w:t>ukončiť liečbu 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nom pri zohľadnení prospechu dojčenia pre dieťa a pr</w:t>
      </w:r>
      <w:r w:rsidR="00C77196" w:rsidRPr="00B63E7D">
        <w:rPr>
          <w:rFonts w:eastAsia="TimesNewRoman"/>
          <w:sz w:val="22"/>
          <w:szCs w:val="22"/>
        </w:rPr>
        <w:t xml:space="preserve">ínos 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liečby pre ženu.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  <w:u w:val="single"/>
        </w:rPr>
      </w:pPr>
      <w:r w:rsidRPr="00B63E7D">
        <w:rPr>
          <w:rFonts w:eastAsia="TimesNewRoman"/>
          <w:sz w:val="22"/>
          <w:szCs w:val="22"/>
          <w:u w:val="single"/>
        </w:rPr>
        <w:t>Fertilita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V štúdii fertility na potkanoch nemal dexmedetomid</w:t>
      </w:r>
      <w:r w:rsidR="00A27209">
        <w:rPr>
          <w:rFonts w:eastAsia="TimesNewRoman"/>
          <w:sz w:val="22"/>
          <w:szCs w:val="22"/>
        </w:rPr>
        <w:t>í</w:t>
      </w:r>
      <w:r w:rsidRPr="00B63E7D">
        <w:rPr>
          <w:rFonts w:eastAsia="TimesNewRoman"/>
          <w:sz w:val="22"/>
          <w:szCs w:val="22"/>
        </w:rPr>
        <w:t>n žiadny účinok na fertilitu samcov a</w:t>
      </w:r>
      <w:r w:rsidR="00323DDB" w:rsidRPr="00B63E7D">
        <w:rPr>
          <w:rFonts w:eastAsia="TimesNewRoman"/>
          <w:sz w:val="22"/>
          <w:szCs w:val="22"/>
        </w:rPr>
        <w:t xml:space="preserve">ni </w:t>
      </w:r>
      <w:r w:rsidRPr="00B63E7D">
        <w:rPr>
          <w:rFonts w:eastAsia="TimesNewRoman"/>
          <w:sz w:val="22"/>
          <w:szCs w:val="22"/>
        </w:rPr>
        <w:t>samíc.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b/>
          <w:sz w:val="22"/>
          <w:szCs w:val="22"/>
        </w:rPr>
      </w:pPr>
      <w:r w:rsidRPr="00B63E7D">
        <w:rPr>
          <w:rFonts w:eastAsia="TimesNewRoman,Bold"/>
          <w:b/>
          <w:sz w:val="22"/>
          <w:szCs w:val="22"/>
        </w:rPr>
        <w:t xml:space="preserve">4.7 </w:t>
      </w:r>
      <w:r w:rsidRPr="00B63E7D">
        <w:rPr>
          <w:rFonts w:eastAsia="TimesNewRoman,Bold"/>
          <w:b/>
          <w:sz w:val="22"/>
          <w:szCs w:val="22"/>
        </w:rPr>
        <w:tab/>
        <w:t>Ovplyvnenie schopnosti viesť vozidlá a obsluhovať stroje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>Dexmedetomidin</w:t>
      </w:r>
      <w:r w:rsidR="00C51A6A" w:rsidRPr="00B63E7D">
        <w:rPr>
          <w:rFonts w:eastAsia="TimesNewRoman"/>
          <w:sz w:val="22"/>
          <w:szCs w:val="22"/>
        </w:rPr>
        <w:t>e</w:t>
      </w:r>
      <w:r w:rsidRPr="00B63E7D">
        <w:rPr>
          <w:rFonts w:eastAsia="TimesNewRoman"/>
          <w:sz w:val="22"/>
          <w:szCs w:val="22"/>
        </w:rPr>
        <w:t xml:space="preserve"> EVER Pharma má veľký vplyv na schopnosť viesť vozidlá a obsluhovať stroje.</w:t>
      </w:r>
    </w:p>
    <w:p w:rsidR="00625326" w:rsidRPr="00B63E7D" w:rsidRDefault="00625326" w:rsidP="00F55242">
      <w:pPr>
        <w:spacing w:line="240" w:lineRule="auto"/>
        <w:rPr>
          <w:rFonts w:eastAsia="TimesNewRoman"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rFonts w:eastAsia="TimesNewRoman"/>
          <w:b/>
          <w:sz w:val="22"/>
          <w:szCs w:val="22"/>
        </w:rPr>
      </w:pPr>
      <w:r w:rsidRPr="00B63E7D">
        <w:rPr>
          <w:rFonts w:eastAsia="TimesNewRoman"/>
          <w:b/>
          <w:sz w:val="22"/>
          <w:szCs w:val="22"/>
        </w:rPr>
        <w:t>4.8</w:t>
      </w:r>
      <w:r w:rsidRPr="00B63E7D">
        <w:rPr>
          <w:rFonts w:eastAsia="TimesNewRoman"/>
          <w:b/>
          <w:sz w:val="22"/>
          <w:szCs w:val="22"/>
        </w:rPr>
        <w:tab/>
        <w:t>Nežiaduce účinky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sz w:val="22"/>
          <w:szCs w:val="22"/>
          <w:u w:val="single"/>
        </w:rPr>
      </w:pPr>
      <w:r w:rsidRPr="00B63E7D">
        <w:rPr>
          <w:sz w:val="22"/>
          <w:szCs w:val="22"/>
          <w:u w:val="single"/>
        </w:rPr>
        <w:t>Súhrn profilu bezpečnosti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5E4C83" w:rsidRPr="00B63E7D" w:rsidRDefault="005E4C83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  <w:u w:val="single"/>
          <w:lang w:eastAsia="sk-SK"/>
        </w:rPr>
      </w:pPr>
      <w:r w:rsidRPr="00B63E7D">
        <w:rPr>
          <w:sz w:val="22"/>
          <w:szCs w:val="22"/>
          <w:u w:val="single"/>
          <w:lang w:eastAsia="sk-SK"/>
        </w:rPr>
        <w:t>Indikácia 1: Sedácia dospelých pacientov na JIS (jednotka intenzívnej starostlivosti)</w:t>
      </w:r>
    </w:p>
    <w:p w:rsidR="005E4C83" w:rsidRPr="00B63E7D" w:rsidRDefault="005E4C83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  <w:lang w:eastAsia="sk-SK"/>
        </w:rPr>
      </w:pPr>
      <w:r w:rsidRPr="00B63E7D">
        <w:rPr>
          <w:sz w:val="22"/>
          <w:szCs w:val="22"/>
          <w:lang w:eastAsia="sk-SK"/>
        </w:rPr>
        <w:t>Najčastejšie hlásenými nežiaducimi účinkami dexmedetomid</w:t>
      </w:r>
      <w:r w:rsidR="00A27209">
        <w:rPr>
          <w:sz w:val="22"/>
          <w:szCs w:val="22"/>
          <w:lang w:eastAsia="sk-SK"/>
        </w:rPr>
        <w:t>í</w:t>
      </w:r>
      <w:r w:rsidRPr="00B63E7D">
        <w:rPr>
          <w:sz w:val="22"/>
          <w:szCs w:val="22"/>
          <w:lang w:eastAsia="sk-SK"/>
        </w:rPr>
        <w:t>nu sú hypotenzia, hypertenzia a</w:t>
      </w:r>
    </w:p>
    <w:p w:rsidR="005E4C83" w:rsidRPr="00B63E7D" w:rsidRDefault="005E4C83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  <w:lang w:eastAsia="sk-SK"/>
        </w:rPr>
      </w:pPr>
      <w:r w:rsidRPr="00B63E7D">
        <w:rPr>
          <w:sz w:val="22"/>
          <w:szCs w:val="22"/>
          <w:lang w:eastAsia="sk-SK"/>
        </w:rPr>
        <w:t>bradykardia, ktoré sa vyskytujú u približne 25 %, 15 % a 13 % (v uvedenom poradí) pacientov.</w:t>
      </w:r>
    </w:p>
    <w:p w:rsidR="005E4C83" w:rsidRPr="00B63E7D" w:rsidRDefault="005E4C83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  <w:lang w:eastAsia="sk-SK"/>
        </w:rPr>
      </w:pPr>
    </w:p>
    <w:p w:rsidR="005E4C83" w:rsidRPr="00B63E7D" w:rsidRDefault="005E4C83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  <w:lang w:eastAsia="sk-SK"/>
        </w:rPr>
      </w:pPr>
      <w:r w:rsidRPr="00B63E7D">
        <w:rPr>
          <w:sz w:val="22"/>
          <w:szCs w:val="22"/>
          <w:lang w:eastAsia="sk-SK"/>
        </w:rPr>
        <w:t>Hypotenzia a bradykardia boli aj najčastejšími závažnými nežiaducimi účinkami súvisiacimi</w:t>
      </w:r>
    </w:p>
    <w:p w:rsidR="005E4C83" w:rsidRPr="00B63E7D" w:rsidRDefault="005E4C83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  <w:lang w:eastAsia="sk-SK"/>
        </w:rPr>
      </w:pPr>
      <w:r w:rsidRPr="00B63E7D">
        <w:rPr>
          <w:sz w:val="22"/>
          <w:szCs w:val="22"/>
          <w:lang w:eastAsia="sk-SK"/>
        </w:rPr>
        <w:t>s dexmedetomid</w:t>
      </w:r>
      <w:r w:rsidR="00A27209">
        <w:rPr>
          <w:sz w:val="22"/>
          <w:szCs w:val="22"/>
          <w:lang w:eastAsia="sk-SK"/>
        </w:rPr>
        <w:t>í</w:t>
      </w:r>
      <w:r w:rsidRPr="00B63E7D">
        <w:rPr>
          <w:sz w:val="22"/>
          <w:szCs w:val="22"/>
          <w:lang w:eastAsia="sk-SK"/>
        </w:rPr>
        <w:t>nom, ktoré sa vyskytli u 1,7 % a 0,9 % (v uvedenom poradí) randomizovaných</w:t>
      </w:r>
    </w:p>
    <w:p w:rsidR="005E4C83" w:rsidRPr="00B63E7D" w:rsidRDefault="005E4C83" w:rsidP="00F55242">
      <w:pPr>
        <w:spacing w:line="240" w:lineRule="auto"/>
        <w:rPr>
          <w:sz w:val="22"/>
          <w:szCs w:val="22"/>
          <w:lang w:eastAsia="sk-SK"/>
        </w:rPr>
      </w:pPr>
      <w:r w:rsidRPr="00B63E7D">
        <w:rPr>
          <w:sz w:val="22"/>
          <w:szCs w:val="22"/>
          <w:lang w:eastAsia="sk-SK"/>
        </w:rPr>
        <w:t>pacientov na jednotke intenzívnej starostlivosti (JIS).</w:t>
      </w:r>
    </w:p>
    <w:p w:rsidR="005E4C83" w:rsidRPr="00B63E7D" w:rsidRDefault="005E4C83" w:rsidP="00F55242">
      <w:pPr>
        <w:spacing w:line="240" w:lineRule="auto"/>
        <w:rPr>
          <w:sz w:val="22"/>
          <w:szCs w:val="22"/>
        </w:rPr>
      </w:pPr>
    </w:p>
    <w:p w:rsidR="005E4C83" w:rsidRPr="00B63E7D" w:rsidRDefault="005E4C83" w:rsidP="00F55242">
      <w:pPr>
        <w:spacing w:line="240" w:lineRule="auto"/>
        <w:rPr>
          <w:sz w:val="22"/>
          <w:szCs w:val="22"/>
          <w:u w:val="single"/>
        </w:rPr>
      </w:pPr>
      <w:r w:rsidRPr="00B63E7D">
        <w:rPr>
          <w:sz w:val="22"/>
          <w:szCs w:val="22"/>
          <w:u w:val="single"/>
        </w:rPr>
        <w:t>Indikácia 2: Procedurálna sedácia/sedácia pri vedomí</w:t>
      </w:r>
    </w:p>
    <w:p w:rsidR="00625326" w:rsidRPr="00B63E7D" w:rsidRDefault="008B6B1B" w:rsidP="00F55242">
      <w:p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Najčastejšie hlásenými nežiaducimi reakciami</w:t>
      </w:r>
      <w:r w:rsidR="00625326" w:rsidRPr="00B63E7D">
        <w:rPr>
          <w:sz w:val="22"/>
          <w:szCs w:val="22"/>
        </w:rPr>
        <w:t xml:space="preserve"> dexmedetomid</w:t>
      </w:r>
      <w:r w:rsidR="00A27209">
        <w:rPr>
          <w:sz w:val="22"/>
          <w:szCs w:val="22"/>
        </w:rPr>
        <w:t>í</w:t>
      </w:r>
      <w:r w:rsidR="00625326" w:rsidRPr="00B63E7D">
        <w:rPr>
          <w:sz w:val="22"/>
          <w:szCs w:val="22"/>
        </w:rPr>
        <w:t>n</w:t>
      </w:r>
      <w:r w:rsidR="003E4DBF" w:rsidRPr="00B63E7D">
        <w:rPr>
          <w:sz w:val="22"/>
          <w:szCs w:val="22"/>
        </w:rPr>
        <w:t>u</w:t>
      </w:r>
      <w:r w:rsidR="00625326" w:rsidRPr="00B63E7D">
        <w:rPr>
          <w:sz w:val="22"/>
          <w:szCs w:val="22"/>
        </w:rPr>
        <w:t xml:space="preserve"> </w:t>
      </w:r>
      <w:r w:rsidRPr="00B63E7D">
        <w:rPr>
          <w:sz w:val="22"/>
          <w:szCs w:val="22"/>
        </w:rPr>
        <w:t>pri procedurálnej sedácii sú</w:t>
      </w:r>
      <w:r w:rsidR="00625326" w:rsidRPr="00B63E7D">
        <w:rPr>
          <w:sz w:val="22"/>
          <w:szCs w:val="22"/>
        </w:rPr>
        <w:t>:</w:t>
      </w:r>
      <w:r w:rsidR="00625326" w:rsidRPr="00B63E7D">
        <w:rPr>
          <w:sz w:val="22"/>
          <w:szCs w:val="22"/>
        </w:rPr>
        <w:br/>
        <w:t xml:space="preserve">- </w:t>
      </w:r>
      <w:r w:rsidR="00905964" w:rsidRPr="00B63E7D">
        <w:rPr>
          <w:sz w:val="22"/>
          <w:szCs w:val="22"/>
        </w:rPr>
        <w:t>Hypotenzia</w:t>
      </w:r>
      <w:r w:rsidR="00625326" w:rsidRPr="00B63E7D">
        <w:rPr>
          <w:sz w:val="22"/>
          <w:szCs w:val="22"/>
        </w:rPr>
        <w:t xml:space="preserve"> (54</w:t>
      </w:r>
      <w:r w:rsidR="00905964" w:rsidRPr="00B63E7D">
        <w:rPr>
          <w:sz w:val="22"/>
          <w:szCs w:val="22"/>
        </w:rPr>
        <w:t> </w:t>
      </w:r>
      <w:r w:rsidR="00625326" w:rsidRPr="00B63E7D">
        <w:rPr>
          <w:sz w:val="22"/>
          <w:szCs w:val="22"/>
        </w:rPr>
        <w:t xml:space="preserve">% </w:t>
      </w:r>
      <w:r w:rsidR="00905964" w:rsidRPr="00B63E7D">
        <w:rPr>
          <w:sz w:val="22"/>
          <w:szCs w:val="22"/>
        </w:rPr>
        <w:t xml:space="preserve">v skupine s </w:t>
      </w:r>
      <w:r w:rsidR="00625326" w:rsidRPr="00B63E7D">
        <w:rPr>
          <w:sz w:val="22"/>
          <w:szCs w:val="22"/>
        </w:rPr>
        <w:t>dexmedetomid</w:t>
      </w:r>
      <w:r w:rsidR="00A27209">
        <w:rPr>
          <w:sz w:val="22"/>
          <w:szCs w:val="22"/>
        </w:rPr>
        <w:t>í</w:t>
      </w:r>
      <w:r w:rsidR="00625326" w:rsidRPr="00B63E7D">
        <w:rPr>
          <w:sz w:val="22"/>
          <w:szCs w:val="22"/>
        </w:rPr>
        <w:t>n</w:t>
      </w:r>
      <w:r w:rsidR="00905964" w:rsidRPr="00B63E7D">
        <w:rPr>
          <w:sz w:val="22"/>
          <w:szCs w:val="22"/>
        </w:rPr>
        <w:t xml:space="preserve">om oproti </w:t>
      </w:r>
      <w:r w:rsidR="00625326" w:rsidRPr="00B63E7D">
        <w:rPr>
          <w:sz w:val="22"/>
          <w:szCs w:val="22"/>
        </w:rPr>
        <w:t>30</w:t>
      </w:r>
      <w:r w:rsidR="00905964" w:rsidRPr="00B63E7D">
        <w:rPr>
          <w:sz w:val="22"/>
          <w:szCs w:val="22"/>
        </w:rPr>
        <w:t> </w:t>
      </w:r>
      <w:r w:rsidR="00625326" w:rsidRPr="00B63E7D">
        <w:rPr>
          <w:sz w:val="22"/>
          <w:szCs w:val="22"/>
        </w:rPr>
        <w:t xml:space="preserve">% </w:t>
      </w:r>
      <w:r w:rsidR="00905964" w:rsidRPr="00B63E7D">
        <w:rPr>
          <w:sz w:val="22"/>
          <w:szCs w:val="22"/>
        </w:rPr>
        <w:t>v skupine s placebom</w:t>
      </w:r>
      <w:r w:rsidR="00625326" w:rsidRPr="00B63E7D">
        <w:rPr>
          <w:sz w:val="22"/>
          <w:szCs w:val="22"/>
        </w:rPr>
        <w:t>)</w:t>
      </w:r>
      <w:r w:rsidR="00625326" w:rsidRPr="00B63E7D">
        <w:rPr>
          <w:sz w:val="22"/>
          <w:szCs w:val="22"/>
        </w:rPr>
        <w:br/>
        <w:t xml:space="preserve">- </w:t>
      </w:r>
      <w:r w:rsidR="00905964" w:rsidRPr="00B63E7D">
        <w:rPr>
          <w:sz w:val="22"/>
          <w:szCs w:val="22"/>
        </w:rPr>
        <w:t xml:space="preserve">Zastavenie dýchania </w:t>
      </w:r>
      <w:r w:rsidR="00625326" w:rsidRPr="00B63E7D">
        <w:rPr>
          <w:sz w:val="22"/>
          <w:szCs w:val="22"/>
        </w:rPr>
        <w:t>(37</w:t>
      </w:r>
      <w:r w:rsidR="00905964" w:rsidRPr="00B63E7D">
        <w:rPr>
          <w:sz w:val="22"/>
          <w:szCs w:val="22"/>
        </w:rPr>
        <w:t> </w:t>
      </w:r>
      <w:r w:rsidR="00625326" w:rsidRPr="00B63E7D">
        <w:rPr>
          <w:sz w:val="22"/>
          <w:szCs w:val="22"/>
        </w:rPr>
        <w:t xml:space="preserve">% </w:t>
      </w:r>
      <w:r w:rsidR="00905964" w:rsidRPr="00B63E7D">
        <w:rPr>
          <w:sz w:val="22"/>
          <w:szCs w:val="22"/>
        </w:rPr>
        <w:t>v skupine s dexmedetomid</w:t>
      </w:r>
      <w:r w:rsidR="00A27209">
        <w:rPr>
          <w:sz w:val="22"/>
          <w:szCs w:val="22"/>
        </w:rPr>
        <w:t>í</w:t>
      </w:r>
      <w:r w:rsidR="00905964" w:rsidRPr="00B63E7D">
        <w:rPr>
          <w:sz w:val="22"/>
          <w:szCs w:val="22"/>
        </w:rPr>
        <w:t xml:space="preserve">nom oproti </w:t>
      </w:r>
      <w:r w:rsidR="00625326" w:rsidRPr="00B63E7D">
        <w:rPr>
          <w:sz w:val="22"/>
          <w:szCs w:val="22"/>
        </w:rPr>
        <w:t>32</w:t>
      </w:r>
      <w:r w:rsidR="00905964" w:rsidRPr="00B63E7D">
        <w:rPr>
          <w:sz w:val="22"/>
          <w:szCs w:val="22"/>
        </w:rPr>
        <w:t> </w:t>
      </w:r>
      <w:r w:rsidR="00625326" w:rsidRPr="00B63E7D">
        <w:rPr>
          <w:sz w:val="22"/>
          <w:szCs w:val="22"/>
        </w:rPr>
        <w:t xml:space="preserve">% </w:t>
      </w:r>
      <w:r w:rsidR="00905964" w:rsidRPr="00B63E7D">
        <w:rPr>
          <w:sz w:val="22"/>
          <w:szCs w:val="22"/>
        </w:rPr>
        <w:t>v skupine s placebom</w:t>
      </w:r>
      <w:r w:rsidR="00625326" w:rsidRPr="00B63E7D">
        <w:rPr>
          <w:sz w:val="22"/>
          <w:szCs w:val="22"/>
        </w:rPr>
        <w:t>)</w:t>
      </w:r>
      <w:r w:rsidR="00625326" w:rsidRPr="00B63E7D">
        <w:rPr>
          <w:sz w:val="22"/>
          <w:szCs w:val="22"/>
        </w:rPr>
        <w:br/>
        <w:t>- Brady</w:t>
      </w:r>
      <w:r w:rsidR="00905964" w:rsidRPr="00B63E7D">
        <w:rPr>
          <w:sz w:val="22"/>
          <w:szCs w:val="22"/>
        </w:rPr>
        <w:t>k</w:t>
      </w:r>
      <w:r w:rsidR="00625326" w:rsidRPr="00B63E7D">
        <w:rPr>
          <w:sz w:val="22"/>
          <w:szCs w:val="22"/>
        </w:rPr>
        <w:t>ardia (14</w:t>
      </w:r>
      <w:r w:rsidR="00905964" w:rsidRPr="00B63E7D">
        <w:rPr>
          <w:sz w:val="22"/>
          <w:szCs w:val="22"/>
        </w:rPr>
        <w:t> </w:t>
      </w:r>
      <w:r w:rsidR="00625326" w:rsidRPr="00B63E7D">
        <w:rPr>
          <w:sz w:val="22"/>
          <w:szCs w:val="22"/>
        </w:rPr>
        <w:t>%</w:t>
      </w:r>
      <w:r w:rsidR="00905964" w:rsidRPr="00B63E7D">
        <w:rPr>
          <w:sz w:val="22"/>
          <w:szCs w:val="22"/>
        </w:rPr>
        <w:t xml:space="preserve"> v skupine s dexmedetomid</w:t>
      </w:r>
      <w:r w:rsidR="00A27209">
        <w:rPr>
          <w:sz w:val="22"/>
          <w:szCs w:val="22"/>
        </w:rPr>
        <w:t>í</w:t>
      </w:r>
      <w:r w:rsidR="00905964" w:rsidRPr="00B63E7D">
        <w:rPr>
          <w:sz w:val="22"/>
          <w:szCs w:val="22"/>
        </w:rPr>
        <w:t>nom oproti 4 </w:t>
      </w:r>
      <w:r w:rsidR="00625326" w:rsidRPr="00B63E7D">
        <w:rPr>
          <w:sz w:val="22"/>
          <w:szCs w:val="22"/>
        </w:rPr>
        <w:t xml:space="preserve">% </w:t>
      </w:r>
      <w:r w:rsidR="00905964" w:rsidRPr="00B63E7D">
        <w:rPr>
          <w:sz w:val="22"/>
          <w:szCs w:val="22"/>
        </w:rPr>
        <w:t>v skupine s placebom</w:t>
      </w:r>
      <w:r w:rsidR="00625326" w:rsidRPr="00B63E7D">
        <w:rPr>
          <w:sz w:val="22"/>
          <w:szCs w:val="22"/>
        </w:rPr>
        <w:t>)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sz w:val="22"/>
          <w:szCs w:val="22"/>
          <w:u w:val="single"/>
        </w:rPr>
      </w:pPr>
      <w:r w:rsidRPr="00B63E7D">
        <w:rPr>
          <w:sz w:val="22"/>
          <w:szCs w:val="22"/>
          <w:u w:val="single"/>
        </w:rPr>
        <w:t>Zoznam nežiaducich reakcií v tabuľkovej forme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CD4CDB" w:rsidP="00F55242">
      <w:p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Nežiaduce reakcie uvedené v t</w:t>
      </w:r>
      <w:r w:rsidR="00625326" w:rsidRPr="00B63E7D">
        <w:rPr>
          <w:sz w:val="22"/>
          <w:szCs w:val="22"/>
        </w:rPr>
        <w:t>ab</w:t>
      </w:r>
      <w:r w:rsidRPr="00B63E7D">
        <w:rPr>
          <w:sz w:val="22"/>
          <w:szCs w:val="22"/>
        </w:rPr>
        <w:t>uľke </w:t>
      </w:r>
      <w:r w:rsidR="00625326" w:rsidRPr="00B63E7D">
        <w:rPr>
          <w:sz w:val="22"/>
          <w:szCs w:val="22"/>
        </w:rPr>
        <w:t xml:space="preserve">1 </w:t>
      </w:r>
      <w:r w:rsidRPr="00B63E7D">
        <w:rPr>
          <w:sz w:val="22"/>
          <w:szCs w:val="22"/>
        </w:rPr>
        <w:t>sú zhromaždené zo súhrnných údajov klinických skúšaní v podmienkach intenzívnej starostlivosti pozostávajúcich z 3 </w:t>
      </w:r>
      <w:r w:rsidR="00625326" w:rsidRPr="00B63E7D">
        <w:rPr>
          <w:sz w:val="22"/>
          <w:szCs w:val="22"/>
        </w:rPr>
        <w:t>137 randomi</w:t>
      </w:r>
      <w:r w:rsidRPr="00B63E7D">
        <w:rPr>
          <w:sz w:val="22"/>
          <w:szCs w:val="22"/>
        </w:rPr>
        <w:t xml:space="preserve">zovaných </w:t>
      </w:r>
      <w:r w:rsidR="00625326" w:rsidRPr="00B63E7D">
        <w:rPr>
          <w:sz w:val="22"/>
          <w:szCs w:val="22"/>
        </w:rPr>
        <w:t>pa</w:t>
      </w:r>
      <w:r w:rsidRPr="00B63E7D">
        <w:rPr>
          <w:sz w:val="22"/>
          <w:szCs w:val="22"/>
        </w:rPr>
        <w:t xml:space="preserve">cientov </w:t>
      </w:r>
      <w:r w:rsidR="00625326" w:rsidRPr="00B63E7D">
        <w:rPr>
          <w:sz w:val="22"/>
          <w:szCs w:val="22"/>
        </w:rPr>
        <w:lastRenderedPageBreak/>
        <w:t>(1</w:t>
      </w:r>
      <w:r w:rsidRPr="00B63E7D">
        <w:rPr>
          <w:sz w:val="22"/>
          <w:szCs w:val="22"/>
        </w:rPr>
        <w:t> </w:t>
      </w:r>
      <w:r w:rsidR="00625326" w:rsidRPr="00B63E7D">
        <w:rPr>
          <w:sz w:val="22"/>
          <w:szCs w:val="22"/>
        </w:rPr>
        <w:t>879</w:t>
      </w:r>
      <w:r w:rsidRPr="00B63E7D">
        <w:rPr>
          <w:sz w:val="22"/>
          <w:szCs w:val="22"/>
        </w:rPr>
        <w:t xml:space="preserve"> liečených </w:t>
      </w:r>
      <w:r w:rsidR="00625326" w:rsidRPr="00B63E7D">
        <w:rPr>
          <w:sz w:val="22"/>
          <w:szCs w:val="22"/>
        </w:rPr>
        <w:t>dexmedetomid</w:t>
      </w:r>
      <w:r w:rsidR="00A27209">
        <w:rPr>
          <w:sz w:val="22"/>
          <w:szCs w:val="22"/>
        </w:rPr>
        <w:t>í</w:t>
      </w:r>
      <w:r w:rsidR="00625326" w:rsidRPr="00B63E7D">
        <w:rPr>
          <w:sz w:val="22"/>
          <w:szCs w:val="22"/>
        </w:rPr>
        <w:t>n</w:t>
      </w:r>
      <w:r w:rsidRPr="00B63E7D">
        <w:rPr>
          <w:sz w:val="22"/>
          <w:szCs w:val="22"/>
        </w:rPr>
        <w:t>om</w:t>
      </w:r>
      <w:r w:rsidR="00625326" w:rsidRPr="00B63E7D">
        <w:rPr>
          <w:sz w:val="22"/>
          <w:szCs w:val="22"/>
        </w:rPr>
        <w:t>, 864</w:t>
      </w:r>
      <w:r w:rsidRPr="00B63E7D">
        <w:rPr>
          <w:sz w:val="22"/>
          <w:szCs w:val="22"/>
        </w:rPr>
        <w:t> liečených aktívnymi k</w:t>
      </w:r>
      <w:r w:rsidR="00625326" w:rsidRPr="00B63E7D">
        <w:rPr>
          <w:sz w:val="22"/>
          <w:szCs w:val="22"/>
        </w:rPr>
        <w:t>ompar</w:t>
      </w:r>
      <w:r w:rsidRPr="00B63E7D">
        <w:rPr>
          <w:sz w:val="22"/>
          <w:szCs w:val="22"/>
        </w:rPr>
        <w:t>átormi</w:t>
      </w:r>
      <w:r w:rsidR="00625326" w:rsidRPr="00B63E7D">
        <w:rPr>
          <w:sz w:val="22"/>
          <w:szCs w:val="22"/>
        </w:rPr>
        <w:t xml:space="preserve"> a</w:t>
      </w:r>
      <w:r w:rsidRPr="00B63E7D">
        <w:rPr>
          <w:sz w:val="22"/>
          <w:szCs w:val="22"/>
        </w:rPr>
        <w:t xml:space="preserve"> 394 liečených placebom</w:t>
      </w:r>
      <w:r w:rsidR="00625326" w:rsidRPr="00B63E7D">
        <w:rPr>
          <w:sz w:val="22"/>
          <w:szCs w:val="22"/>
        </w:rPr>
        <w:t>) a</w:t>
      </w:r>
      <w:r w:rsidRPr="00B63E7D">
        <w:rPr>
          <w:sz w:val="22"/>
          <w:szCs w:val="22"/>
        </w:rPr>
        <w:t xml:space="preserve"> zo súhrnných údajov klinických skúšaní vykonaných s procedurálnou </w:t>
      </w:r>
      <w:r w:rsidR="00625326" w:rsidRPr="00B63E7D">
        <w:rPr>
          <w:sz w:val="22"/>
          <w:szCs w:val="22"/>
        </w:rPr>
        <w:t>sed</w:t>
      </w:r>
      <w:r w:rsidRPr="00B63E7D">
        <w:rPr>
          <w:sz w:val="22"/>
          <w:szCs w:val="22"/>
        </w:rPr>
        <w:t>áciou so</w:t>
      </w:r>
      <w:r w:rsidR="00625326" w:rsidRPr="00B63E7D">
        <w:rPr>
          <w:sz w:val="22"/>
          <w:szCs w:val="22"/>
        </w:rPr>
        <w:t xml:space="preserve"> 431</w:t>
      </w:r>
      <w:r w:rsidRPr="00B63E7D">
        <w:rPr>
          <w:sz w:val="22"/>
          <w:szCs w:val="22"/>
        </w:rPr>
        <w:t> </w:t>
      </w:r>
      <w:r w:rsidR="00625326" w:rsidRPr="00B63E7D">
        <w:rPr>
          <w:sz w:val="22"/>
          <w:szCs w:val="22"/>
        </w:rPr>
        <w:t>randomi</w:t>
      </w:r>
      <w:r w:rsidRPr="00B63E7D">
        <w:rPr>
          <w:sz w:val="22"/>
          <w:szCs w:val="22"/>
        </w:rPr>
        <w:t xml:space="preserve">zovanými </w:t>
      </w:r>
      <w:r w:rsidR="00625326" w:rsidRPr="00B63E7D">
        <w:rPr>
          <w:sz w:val="22"/>
          <w:szCs w:val="22"/>
        </w:rPr>
        <w:t>pa</w:t>
      </w:r>
      <w:r w:rsidRPr="00B63E7D">
        <w:rPr>
          <w:sz w:val="22"/>
          <w:szCs w:val="22"/>
        </w:rPr>
        <w:t xml:space="preserve">cientmi </w:t>
      </w:r>
      <w:r w:rsidR="00625326" w:rsidRPr="00B63E7D">
        <w:rPr>
          <w:sz w:val="22"/>
          <w:szCs w:val="22"/>
        </w:rPr>
        <w:t>(381</w:t>
      </w:r>
      <w:r w:rsidRPr="00B63E7D">
        <w:rPr>
          <w:sz w:val="22"/>
          <w:szCs w:val="22"/>
        </w:rPr>
        <w:t> liečených dexmedetomid</w:t>
      </w:r>
      <w:r w:rsidR="00A27209">
        <w:rPr>
          <w:sz w:val="22"/>
          <w:szCs w:val="22"/>
        </w:rPr>
        <w:t>í</w:t>
      </w:r>
      <w:r w:rsidRPr="00B63E7D">
        <w:rPr>
          <w:sz w:val="22"/>
          <w:szCs w:val="22"/>
        </w:rPr>
        <w:t>nom</w:t>
      </w:r>
      <w:r w:rsidR="00625326" w:rsidRPr="00B63E7D">
        <w:rPr>
          <w:sz w:val="22"/>
          <w:szCs w:val="22"/>
        </w:rPr>
        <w:t xml:space="preserve"> a 113</w:t>
      </w:r>
      <w:r w:rsidRPr="00B63E7D">
        <w:rPr>
          <w:sz w:val="22"/>
          <w:szCs w:val="22"/>
        </w:rPr>
        <w:t> liečených placebom</w:t>
      </w:r>
      <w:r w:rsidR="00625326" w:rsidRPr="00B63E7D">
        <w:rPr>
          <w:sz w:val="22"/>
          <w:szCs w:val="22"/>
        </w:rPr>
        <w:t>).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Frekvencia nežiaducich reakcií uvedená nižšie je definovaná podľa nasledovnej konvencie:</w:t>
      </w:r>
    </w:p>
    <w:p w:rsidR="00625326" w:rsidRPr="00B63E7D" w:rsidRDefault="00625326" w:rsidP="00F55242">
      <w:pPr>
        <w:spacing w:line="240" w:lineRule="auto"/>
        <w:rPr>
          <w:sz w:val="22"/>
          <w:szCs w:val="22"/>
          <w:lang w:eastAsia="de-AT"/>
        </w:rPr>
      </w:pPr>
      <w:r w:rsidRPr="00B63E7D">
        <w:rPr>
          <w:sz w:val="22"/>
          <w:szCs w:val="22"/>
        </w:rPr>
        <w:t xml:space="preserve">Veľmi časté </w:t>
      </w:r>
      <w:r w:rsidRPr="00B63E7D">
        <w:rPr>
          <w:sz w:val="22"/>
          <w:szCs w:val="22"/>
          <w:lang w:eastAsia="de-AT"/>
        </w:rPr>
        <w:t xml:space="preserve"> (≥1/10); časté (≥1/1</w:t>
      </w:r>
      <w:r w:rsidR="00141FE4" w:rsidRPr="00B63E7D">
        <w:rPr>
          <w:sz w:val="22"/>
          <w:szCs w:val="22"/>
          <w:lang w:eastAsia="de-AT"/>
        </w:rPr>
        <w:t xml:space="preserve">00 </w:t>
      </w:r>
      <w:r w:rsidR="003E4DBF" w:rsidRPr="00B63E7D">
        <w:rPr>
          <w:sz w:val="22"/>
          <w:szCs w:val="22"/>
          <w:lang w:eastAsia="de-AT"/>
        </w:rPr>
        <w:t>až</w:t>
      </w:r>
      <w:r w:rsidR="00141FE4" w:rsidRPr="00B63E7D">
        <w:rPr>
          <w:sz w:val="22"/>
          <w:szCs w:val="22"/>
          <w:lang w:eastAsia="de-AT"/>
        </w:rPr>
        <w:t xml:space="preserve"> &lt;1/10); menej časté (≥1/1 </w:t>
      </w:r>
      <w:r w:rsidRPr="00B63E7D">
        <w:rPr>
          <w:sz w:val="22"/>
          <w:szCs w:val="22"/>
          <w:lang w:eastAsia="de-AT"/>
        </w:rPr>
        <w:t xml:space="preserve">000 </w:t>
      </w:r>
      <w:r w:rsidR="003E4DBF" w:rsidRPr="00B63E7D">
        <w:rPr>
          <w:sz w:val="22"/>
          <w:szCs w:val="22"/>
          <w:lang w:eastAsia="de-AT"/>
        </w:rPr>
        <w:t>až</w:t>
      </w:r>
      <w:r w:rsidRPr="00B63E7D">
        <w:rPr>
          <w:sz w:val="22"/>
          <w:szCs w:val="22"/>
          <w:lang w:eastAsia="de-AT"/>
        </w:rPr>
        <w:t xml:space="preserve"> &lt;1/100); zriedkavé (≥1/10</w:t>
      </w:r>
      <w:r w:rsidR="00141FE4" w:rsidRPr="00B63E7D">
        <w:rPr>
          <w:sz w:val="22"/>
          <w:szCs w:val="22"/>
          <w:lang w:eastAsia="de-AT"/>
        </w:rPr>
        <w:t> </w:t>
      </w:r>
      <w:r w:rsidRPr="00B63E7D">
        <w:rPr>
          <w:sz w:val="22"/>
          <w:szCs w:val="22"/>
          <w:lang w:eastAsia="de-AT"/>
        </w:rPr>
        <w:t xml:space="preserve">000 </w:t>
      </w:r>
      <w:r w:rsidR="003E4DBF" w:rsidRPr="00B63E7D">
        <w:rPr>
          <w:sz w:val="22"/>
          <w:szCs w:val="22"/>
          <w:lang w:eastAsia="de-AT"/>
        </w:rPr>
        <w:t>až</w:t>
      </w:r>
      <w:r w:rsidRPr="00B63E7D">
        <w:rPr>
          <w:sz w:val="22"/>
          <w:szCs w:val="22"/>
          <w:lang w:eastAsia="de-AT"/>
        </w:rPr>
        <w:t xml:space="preserve"> &lt;1/1</w:t>
      </w:r>
      <w:r w:rsidR="00141FE4" w:rsidRPr="00B63E7D">
        <w:rPr>
          <w:sz w:val="22"/>
          <w:szCs w:val="22"/>
          <w:lang w:eastAsia="de-AT"/>
        </w:rPr>
        <w:t> </w:t>
      </w:r>
      <w:r w:rsidRPr="00B63E7D">
        <w:rPr>
          <w:sz w:val="22"/>
          <w:szCs w:val="22"/>
          <w:lang w:eastAsia="de-AT"/>
        </w:rPr>
        <w:t>000). V rámci každej skupiny frekvencií sú nežiaduce reakcie uvedené v p</w:t>
      </w:r>
      <w:r w:rsidR="008509A0" w:rsidRPr="00B63E7D">
        <w:rPr>
          <w:sz w:val="22"/>
          <w:szCs w:val="22"/>
          <w:lang w:eastAsia="de-AT"/>
        </w:rPr>
        <w:t>o</w:t>
      </w:r>
      <w:r w:rsidR="00141FE4" w:rsidRPr="00B63E7D">
        <w:rPr>
          <w:sz w:val="22"/>
          <w:szCs w:val="22"/>
          <w:lang w:eastAsia="de-AT"/>
        </w:rPr>
        <w:t>radí klesajúcej závažnosti.</w:t>
      </w:r>
    </w:p>
    <w:p w:rsidR="00625326" w:rsidRPr="00B63E7D" w:rsidRDefault="00625326" w:rsidP="00F55242">
      <w:pPr>
        <w:spacing w:line="240" w:lineRule="auto"/>
        <w:rPr>
          <w:sz w:val="22"/>
          <w:szCs w:val="22"/>
          <w:lang w:eastAsia="de-AT"/>
        </w:rPr>
      </w:pP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Tabuľka 1: Nežiaduce reakcie</w:t>
      </w:r>
      <w:r w:rsidR="005E4C83" w:rsidRPr="00B63E7D">
        <w:rPr>
          <w:sz w:val="22"/>
          <w:szCs w:val="22"/>
        </w:rPr>
        <w:t xml:space="preserve"> (indikácia 1 a indikácia 2)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1278"/>
        <w:gridCol w:w="1607"/>
        <w:gridCol w:w="1875"/>
        <w:gridCol w:w="1159"/>
        <w:gridCol w:w="1064"/>
      </w:tblGrid>
      <w:tr w:rsidR="00B63E7D" w:rsidRPr="00B63E7D" w:rsidTr="00CB0477">
        <w:tc>
          <w:tcPr>
            <w:tcW w:w="2123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  <w:r w:rsidRPr="00B63E7D">
              <w:rPr>
                <w:b/>
                <w:sz w:val="22"/>
                <w:szCs w:val="22"/>
              </w:rPr>
              <w:t>MEdDRA trieda orgánového systému</w:t>
            </w:r>
          </w:p>
        </w:tc>
        <w:tc>
          <w:tcPr>
            <w:tcW w:w="1429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  <w:r w:rsidRPr="00B63E7D">
              <w:rPr>
                <w:b/>
                <w:sz w:val="22"/>
                <w:szCs w:val="22"/>
              </w:rPr>
              <w:t>Veľmi časté</w:t>
            </w:r>
          </w:p>
        </w:tc>
        <w:tc>
          <w:tcPr>
            <w:tcW w:w="1760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  <w:r w:rsidRPr="00B63E7D">
              <w:rPr>
                <w:b/>
                <w:sz w:val="22"/>
                <w:szCs w:val="22"/>
              </w:rPr>
              <w:t>Časté</w:t>
            </w:r>
          </w:p>
        </w:tc>
        <w:tc>
          <w:tcPr>
            <w:tcW w:w="1977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  <w:r w:rsidRPr="00B63E7D">
              <w:rPr>
                <w:b/>
                <w:sz w:val="22"/>
                <w:szCs w:val="22"/>
              </w:rPr>
              <w:t>Menej časté</w:t>
            </w:r>
          </w:p>
        </w:tc>
        <w:tc>
          <w:tcPr>
            <w:tcW w:w="1298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  <w:r w:rsidRPr="00B63E7D">
              <w:rPr>
                <w:b/>
                <w:sz w:val="22"/>
                <w:szCs w:val="22"/>
              </w:rPr>
              <w:t>Zriedkavé</w:t>
            </w:r>
          </w:p>
        </w:tc>
        <w:tc>
          <w:tcPr>
            <w:tcW w:w="700" w:type="dxa"/>
          </w:tcPr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Neznáme</w:t>
            </w:r>
          </w:p>
        </w:tc>
      </w:tr>
      <w:tr w:rsidR="00B63E7D" w:rsidRPr="00B63E7D" w:rsidTr="00CB0477">
        <w:tc>
          <w:tcPr>
            <w:tcW w:w="2123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  <w:r w:rsidRPr="00B63E7D">
              <w:rPr>
                <w:b/>
                <w:sz w:val="22"/>
                <w:szCs w:val="22"/>
              </w:rPr>
              <w:t>Poruchy metabolizmu a výživy</w:t>
            </w:r>
          </w:p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Hyperglykémia, hypoglykémia</w:t>
            </w:r>
            <w:r w:rsidRPr="00B63E7D">
              <w:rPr>
                <w:sz w:val="22"/>
                <w:szCs w:val="22"/>
                <w:u w:val="single"/>
              </w:rPr>
              <w:t>*</w:t>
            </w:r>
          </w:p>
        </w:tc>
        <w:tc>
          <w:tcPr>
            <w:tcW w:w="1977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Metabolická acidóza</w:t>
            </w:r>
            <w:r w:rsidRPr="00B63E7D">
              <w:rPr>
                <w:sz w:val="22"/>
                <w:szCs w:val="22"/>
                <w:u w:val="single"/>
              </w:rPr>
              <w:t>*</w:t>
            </w:r>
            <w:r w:rsidRPr="00B63E7D">
              <w:rPr>
                <w:sz w:val="22"/>
                <w:szCs w:val="22"/>
              </w:rPr>
              <w:t>, hypoalbuminémia</w:t>
            </w:r>
            <w:r w:rsidRPr="00B63E7D">
              <w:rPr>
                <w:sz w:val="22"/>
                <w:szCs w:val="22"/>
                <w:u w:val="single"/>
              </w:rPr>
              <w:t>*</w:t>
            </w:r>
          </w:p>
        </w:tc>
        <w:tc>
          <w:tcPr>
            <w:tcW w:w="1298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0" w:type="dxa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63E7D" w:rsidRPr="00B63E7D" w:rsidTr="00CB0477">
        <w:tc>
          <w:tcPr>
            <w:tcW w:w="2123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  <w:r w:rsidRPr="00B63E7D">
              <w:rPr>
                <w:b/>
                <w:sz w:val="22"/>
                <w:szCs w:val="22"/>
              </w:rPr>
              <w:t>Psychické poruchy</w:t>
            </w:r>
          </w:p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Agitácia</w:t>
            </w:r>
            <w:r w:rsidRPr="00B63E7D">
              <w:rPr>
                <w:sz w:val="22"/>
                <w:szCs w:val="22"/>
                <w:u w:val="single"/>
              </w:rPr>
              <w:t>*</w:t>
            </w:r>
          </w:p>
        </w:tc>
        <w:tc>
          <w:tcPr>
            <w:tcW w:w="1977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Halucinácie</w:t>
            </w:r>
            <w:r w:rsidRPr="00B63E7D">
              <w:rPr>
                <w:sz w:val="22"/>
                <w:szCs w:val="22"/>
                <w:u w:val="single"/>
              </w:rPr>
              <w:t>*</w:t>
            </w:r>
          </w:p>
        </w:tc>
        <w:tc>
          <w:tcPr>
            <w:tcW w:w="1298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0" w:type="dxa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63E7D" w:rsidRPr="00B63E7D" w:rsidTr="00CB0477">
        <w:tc>
          <w:tcPr>
            <w:tcW w:w="2123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  <w:r w:rsidRPr="00B63E7D">
              <w:rPr>
                <w:b/>
                <w:sz w:val="22"/>
                <w:szCs w:val="22"/>
              </w:rPr>
              <w:t>Poruchy srdca a srdcovej činnosti</w:t>
            </w:r>
          </w:p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  <w:lang w:eastAsia="fi-FI" w:bidi="ne-NP"/>
              </w:rPr>
              <w:t>Bradykardia</w:t>
            </w:r>
          </w:p>
        </w:tc>
        <w:tc>
          <w:tcPr>
            <w:tcW w:w="1760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  <w:lang w:eastAsia="fi-FI" w:bidi="ne-NP"/>
              </w:rPr>
              <w:t>Ischémia alebo infarkt myokardu</w:t>
            </w:r>
            <w:r w:rsidRPr="00B63E7D">
              <w:rPr>
                <w:sz w:val="22"/>
                <w:szCs w:val="22"/>
                <w:u w:val="single"/>
              </w:rPr>
              <w:t>*</w:t>
            </w:r>
            <w:r w:rsidRPr="00B63E7D">
              <w:rPr>
                <w:sz w:val="22"/>
                <w:szCs w:val="22"/>
                <w:lang w:eastAsia="fi-FI" w:bidi="ne-NP"/>
              </w:rPr>
              <w:t>, tachykardia</w:t>
            </w:r>
          </w:p>
        </w:tc>
        <w:tc>
          <w:tcPr>
            <w:tcW w:w="1977" w:type="dxa"/>
            <w:shd w:val="clear" w:color="auto" w:fill="auto"/>
          </w:tcPr>
          <w:p w:rsidR="00B63E7D" w:rsidRPr="00B63E7D" w:rsidRDefault="00B63E7D" w:rsidP="00A27209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Atrioventrikulárna blokáda prvého stupňa, znížený srdcový výdaj</w:t>
            </w:r>
            <w:r w:rsidR="00D60F12">
              <w:rPr>
                <w:sz w:val="22"/>
                <w:szCs w:val="22"/>
              </w:rPr>
              <w:t>, zástava srdca</w:t>
            </w:r>
            <w:r w:rsidRPr="00B63E7D">
              <w:rPr>
                <w:sz w:val="22"/>
                <w:szCs w:val="22"/>
                <w:u w:val="single"/>
              </w:rPr>
              <w:t>*</w:t>
            </w:r>
          </w:p>
        </w:tc>
        <w:tc>
          <w:tcPr>
            <w:tcW w:w="1298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0" w:type="dxa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63E7D" w:rsidRPr="00B63E7D" w:rsidTr="00CB0477">
        <w:tc>
          <w:tcPr>
            <w:tcW w:w="2123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  <w:r w:rsidRPr="00B63E7D">
              <w:rPr>
                <w:b/>
                <w:sz w:val="22"/>
                <w:szCs w:val="22"/>
              </w:rPr>
              <w:t>Poruchy ciev</w:t>
            </w:r>
          </w:p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Hypotenzia, hypertenzia</w:t>
            </w:r>
          </w:p>
        </w:tc>
        <w:tc>
          <w:tcPr>
            <w:tcW w:w="1760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0" w:type="dxa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63E7D" w:rsidRPr="00B63E7D" w:rsidTr="00CB0477">
        <w:tc>
          <w:tcPr>
            <w:tcW w:w="2123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  <w:r w:rsidRPr="00B63E7D">
              <w:rPr>
                <w:b/>
                <w:sz w:val="22"/>
                <w:szCs w:val="22"/>
              </w:rPr>
              <w:t>Poruchy dýchacej sústavy, hrudníka a mediastína</w:t>
            </w:r>
          </w:p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Zastavenie dýchania</w:t>
            </w:r>
          </w:p>
        </w:tc>
        <w:tc>
          <w:tcPr>
            <w:tcW w:w="1760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Dyspnoe</w:t>
            </w:r>
            <w:r w:rsidRPr="00B63E7D">
              <w:rPr>
                <w:sz w:val="22"/>
                <w:szCs w:val="22"/>
                <w:u w:val="single"/>
              </w:rPr>
              <w:t>*</w:t>
            </w:r>
            <w:r w:rsidRPr="00B63E7D">
              <w:rPr>
                <w:sz w:val="22"/>
                <w:szCs w:val="22"/>
              </w:rPr>
              <w:t>, apnoe</w:t>
            </w:r>
            <w:r w:rsidRPr="00B63E7D">
              <w:rPr>
                <w:sz w:val="22"/>
                <w:szCs w:val="22"/>
                <w:u w:val="single"/>
              </w:rPr>
              <w:t>*</w:t>
            </w:r>
          </w:p>
        </w:tc>
        <w:tc>
          <w:tcPr>
            <w:tcW w:w="1298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0" w:type="dxa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63E7D" w:rsidRPr="00B63E7D" w:rsidTr="00CB0477">
        <w:tc>
          <w:tcPr>
            <w:tcW w:w="2123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  <w:r w:rsidRPr="00B63E7D">
              <w:rPr>
                <w:b/>
                <w:sz w:val="22"/>
                <w:szCs w:val="22"/>
              </w:rPr>
              <w:t>Poruchy gastrointestinálneho traktu</w:t>
            </w:r>
          </w:p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Nauzea, vracanie, sucho v ústach</w:t>
            </w:r>
          </w:p>
        </w:tc>
        <w:tc>
          <w:tcPr>
            <w:tcW w:w="1977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Abdominálna distenzia</w:t>
            </w:r>
            <w:r w:rsidRPr="00B63E7D">
              <w:rPr>
                <w:sz w:val="22"/>
                <w:szCs w:val="22"/>
                <w:u w:val="single"/>
              </w:rPr>
              <w:t>*</w:t>
            </w:r>
          </w:p>
        </w:tc>
        <w:tc>
          <w:tcPr>
            <w:tcW w:w="1298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0" w:type="dxa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63E7D" w:rsidRPr="00B63E7D" w:rsidTr="00B63E7D">
        <w:tc>
          <w:tcPr>
            <w:tcW w:w="2123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Poruchy obličiek a močových ciest</w:t>
            </w:r>
          </w:p>
        </w:tc>
        <w:tc>
          <w:tcPr>
            <w:tcW w:w="1429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0" w:type="dxa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Polyúria</w:t>
            </w:r>
          </w:p>
        </w:tc>
      </w:tr>
      <w:tr w:rsidR="00B63E7D" w:rsidRPr="00B63E7D" w:rsidTr="00CB0477">
        <w:tc>
          <w:tcPr>
            <w:tcW w:w="2123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  <w:r w:rsidRPr="00B63E7D">
              <w:rPr>
                <w:b/>
                <w:sz w:val="22"/>
                <w:szCs w:val="22"/>
              </w:rPr>
              <w:t>Celkové poruchy a reakcie v mieste podania</w:t>
            </w:r>
          </w:p>
          <w:p w:rsidR="00B63E7D" w:rsidRPr="00B63E7D" w:rsidRDefault="00B63E7D" w:rsidP="00F55242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Syndróm z vynechania, hypertermia</w:t>
            </w:r>
            <w:r w:rsidRPr="00B63E7D">
              <w:rPr>
                <w:sz w:val="22"/>
                <w:szCs w:val="22"/>
                <w:u w:val="single"/>
              </w:rPr>
              <w:t>*</w:t>
            </w:r>
          </w:p>
        </w:tc>
        <w:tc>
          <w:tcPr>
            <w:tcW w:w="1977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Neúčinnosť lieku, smäd</w:t>
            </w:r>
            <w:r w:rsidRPr="00B63E7D">
              <w:rPr>
                <w:sz w:val="22"/>
                <w:szCs w:val="22"/>
                <w:u w:val="single"/>
              </w:rPr>
              <w:t>*</w:t>
            </w:r>
          </w:p>
        </w:tc>
        <w:tc>
          <w:tcPr>
            <w:tcW w:w="1298" w:type="dxa"/>
            <w:shd w:val="clear" w:color="auto" w:fill="auto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0" w:type="dxa"/>
          </w:tcPr>
          <w:p w:rsidR="00B63E7D" w:rsidRPr="00B63E7D" w:rsidRDefault="00B63E7D" w:rsidP="00F55242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49442F" w:rsidRPr="00B63E7D" w:rsidRDefault="005E4C83" w:rsidP="00F55242">
      <w:pPr>
        <w:spacing w:line="240" w:lineRule="auto"/>
        <w:rPr>
          <w:sz w:val="22"/>
          <w:szCs w:val="22"/>
          <w:u w:val="single"/>
        </w:rPr>
      </w:pPr>
      <w:r w:rsidRPr="00B63E7D">
        <w:rPr>
          <w:sz w:val="22"/>
          <w:szCs w:val="22"/>
          <w:u w:val="single"/>
        </w:rPr>
        <w:t>* Nežiaduce reakcie hlásené iba pri indikácii 1</w:t>
      </w:r>
    </w:p>
    <w:p w:rsidR="005E4C83" w:rsidRPr="00B63E7D" w:rsidRDefault="005E4C83" w:rsidP="00F55242">
      <w:pPr>
        <w:spacing w:line="240" w:lineRule="auto"/>
        <w:rPr>
          <w:sz w:val="22"/>
          <w:szCs w:val="22"/>
          <w:u w:val="single"/>
        </w:rPr>
      </w:pPr>
    </w:p>
    <w:p w:rsidR="00625326" w:rsidRPr="00B63E7D" w:rsidRDefault="005B2D46" w:rsidP="00F55242">
      <w:pPr>
        <w:spacing w:line="240" w:lineRule="auto"/>
        <w:rPr>
          <w:sz w:val="22"/>
          <w:szCs w:val="22"/>
          <w:u w:val="single"/>
        </w:rPr>
      </w:pPr>
      <w:r w:rsidRPr="00B63E7D">
        <w:rPr>
          <w:sz w:val="22"/>
          <w:szCs w:val="22"/>
          <w:u w:val="single"/>
        </w:rPr>
        <w:t>O</w:t>
      </w:r>
      <w:r w:rsidR="00625326" w:rsidRPr="00B63E7D">
        <w:rPr>
          <w:sz w:val="22"/>
          <w:szCs w:val="22"/>
          <w:u w:val="single"/>
        </w:rPr>
        <w:t>pis vybraných nežiaducich reakcií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Klinicky významná hypotenzia alebo bradykardia sa má liečiť podľa opisu v časti</w:t>
      </w:r>
      <w:r w:rsidR="00364B18" w:rsidRPr="00B63E7D">
        <w:rPr>
          <w:sz w:val="22"/>
          <w:szCs w:val="22"/>
        </w:rPr>
        <w:t> </w:t>
      </w:r>
      <w:r w:rsidRPr="00B63E7D">
        <w:rPr>
          <w:sz w:val="22"/>
          <w:szCs w:val="22"/>
        </w:rPr>
        <w:t>4.4.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Default="00625326" w:rsidP="00F55242">
      <w:pPr>
        <w:spacing w:line="240" w:lineRule="auto"/>
        <w:rPr>
          <w:rFonts w:eastAsia="TimesNewRoman"/>
          <w:sz w:val="22"/>
          <w:szCs w:val="22"/>
        </w:rPr>
      </w:pPr>
      <w:r w:rsidRPr="00B63E7D">
        <w:rPr>
          <w:sz w:val="22"/>
          <w:szCs w:val="22"/>
        </w:rPr>
        <w:t xml:space="preserve">U relatívne zdravých pacientov mimo JIS, liečených </w:t>
      </w:r>
      <w:r w:rsidRPr="00B63E7D">
        <w:rPr>
          <w:bCs/>
          <w:sz w:val="22"/>
          <w:szCs w:val="22"/>
        </w:rPr>
        <w:t>dexmedetomid</w:t>
      </w:r>
      <w:r w:rsidR="00D60F12">
        <w:rPr>
          <w:bCs/>
          <w:sz w:val="22"/>
          <w:szCs w:val="22"/>
        </w:rPr>
        <w:t>í</w:t>
      </w:r>
      <w:r w:rsidRPr="00B63E7D">
        <w:rPr>
          <w:bCs/>
          <w:sz w:val="22"/>
          <w:szCs w:val="22"/>
        </w:rPr>
        <w:t>nom</w:t>
      </w:r>
      <w:r w:rsidRPr="00B63E7D">
        <w:rPr>
          <w:sz w:val="22"/>
          <w:szCs w:val="22"/>
        </w:rPr>
        <w:t xml:space="preserve">, viedla bradykardia niekedy k zastaveniu sínusového uzla alebo sínusovej pauze. Symptómy reagovali na zdvihnutie </w:t>
      </w:r>
      <w:r w:rsidR="00D60F12">
        <w:rPr>
          <w:sz w:val="22"/>
          <w:szCs w:val="22"/>
        </w:rPr>
        <w:t xml:space="preserve">nôh </w:t>
      </w:r>
      <w:r w:rsidRPr="00B63E7D">
        <w:rPr>
          <w:sz w:val="22"/>
          <w:szCs w:val="22"/>
        </w:rPr>
        <w:t>a anticholinergiká, ako je atropín alebo glykopyrolát. V ojedinelých prípadoch u pacientov s existujúcou bradykardiou progredovala bradykardia do asystoly.</w:t>
      </w:r>
      <w:r w:rsidR="00D60F12">
        <w:rPr>
          <w:sz w:val="22"/>
          <w:szCs w:val="22"/>
        </w:rPr>
        <w:t xml:space="preserve"> </w:t>
      </w:r>
      <w:r w:rsidR="008B7847">
        <w:rPr>
          <w:rFonts w:eastAsia="TimesNewRoman"/>
          <w:sz w:val="22"/>
          <w:szCs w:val="22"/>
        </w:rPr>
        <w:t>Boli hlásené aj prípady zástavy srdca, ktorým často predchádzala bradykardia alebo atrioventrikulárny blok.</w:t>
      </w:r>
    </w:p>
    <w:p w:rsidR="008B7847" w:rsidRPr="00B63E7D" w:rsidRDefault="008B7847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Hypertenzia s</w:t>
      </w:r>
      <w:r w:rsidR="004D1EBB" w:rsidRPr="00B63E7D">
        <w:rPr>
          <w:sz w:val="22"/>
          <w:szCs w:val="22"/>
        </w:rPr>
        <w:t xml:space="preserve">a spájala </w:t>
      </w:r>
      <w:r w:rsidRPr="00B63E7D">
        <w:rPr>
          <w:sz w:val="22"/>
          <w:szCs w:val="22"/>
        </w:rPr>
        <w:t>s použitím záťažovej dávky</w:t>
      </w:r>
      <w:r w:rsidR="008509A0" w:rsidRPr="00B63E7D">
        <w:rPr>
          <w:sz w:val="22"/>
          <w:szCs w:val="22"/>
        </w:rPr>
        <w:t xml:space="preserve"> </w:t>
      </w:r>
      <w:r w:rsidR="004D1EBB" w:rsidRPr="00B63E7D">
        <w:rPr>
          <w:sz w:val="22"/>
          <w:szCs w:val="22"/>
        </w:rPr>
        <w:t xml:space="preserve">pri používaní </w:t>
      </w:r>
      <w:r w:rsidR="008509A0" w:rsidRPr="00B63E7D">
        <w:rPr>
          <w:sz w:val="22"/>
          <w:szCs w:val="22"/>
        </w:rPr>
        <w:t>na JIS</w:t>
      </w:r>
      <w:r w:rsidRPr="00B63E7D">
        <w:rPr>
          <w:sz w:val="22"/>
          <w:szCs w:val="22"/>
        </w:rPr>
        <w:t xml:space="preserve"> a t</w:t>
      </w:r>
      <w:r w:rsidR="004D1EBB" w:rsidRPr="00B63E7D">
        <w:rPr>
          <w:sz w:val="22"/>
          <w:szCs w:val="22"/>
        </w:rPr>
        <w:t xml:space="preserve">úto reakciu </w:t>
      </w:r>
      <w:r w:rsidRPr="00B63E7D">
        <w:rPr>
          <w:sz w:val="22"/>
          <w:szCs w:val="22"/>
        </w:rPr>
        <w:t>možno znížiť tak, že sa záťažovej dávke vyhne</w:t>
      </w:r>
      <w:r w:rsidR="004D1EBB" w:rsidRPr="00B63E7D">
        <w:rPr>
          <w:sz w:val="22"/>
          <w:szCs w:val="22"/>
        </w:rPr>
        <w:t>,</w:t>
      </w:r>
      <w:r w:rsidRPr="00B63E7D">
        <w:rPr>
          <w:sz w:val="22"/>
          <w:szCs w:val="22"/>
        </w:rPr>
        <w:t xml:space="preserve"> alebo sa zníži rýchlosť infúzie </w:t>
      </w:r>
      <w:r w:rsidR="004D1EBB" w:rsidRPr="00B63E7D">
        <w:rPr>
          <w:sz w:val="22"/>
          <w:szCs w:val="22"/>
        </w:rPr>
        <w:t xml:space="preserve">alebo </w:t>
      </w:r>
      <w:r w:rsidRPr="00B63E7D">
        <w:rPr>
          <w:sz w:val="22"/>
          <w:szCs w:val="22"/>
        </w:rPr>
        <w:t>veľkosť záťažovej dávky.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i/>
          <w:sz w:val="22"/>
          <w:szCs w:val="22"/>
          <w:u w:val="single"/>
        </w:rPr>
      </w:pPr>
      <w:r w:rsidRPr="00B63E7D">
        <w:rPr>
          <w:sz w:val="22"/>
          <w:szCs w:val="22"/>
          <w:u w:val="single"/>
        </w:rPr>
        <w:lastRenderedPageBreak/>
        <w:t>Pediatrická populácia</w:t>
      </w:r>
    </w:p>
    <w:p w:rsidR="008509A0" w:rsidRPr="00B63E7D" w:rsidRDefault="008509A0" w:rsidP="00F55242">
      <w:pPr>
        <w:spacing w:line="240" w:lineRule="auto"/>
        <w:rPr>
          <w:sz w:val="22"/>
          <w:szCs w:val="22"/>
        </w:rPr>
      </w:pPr>
    </w:p>
    <w:p w:rsidR="00625326" w:rsidRPr="00B63E7D" w:rsidRDefault="00A510F3" w:rsidP="005E6D3A">
      <w:p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U detí vo veku &gt; </w:t>
      </w:r>
      <w:r w:rsidR="00625326" w:rsidRPr="00B63E7D">
        <w:rPr>
          <w:sz w:val="22"/>
          <w:szCs w:val="22"/>
        </w:rPr>
        <w:t>1 mesiac po narodení, prevažne po operácii, sa hodnotila liečba do 24 hodín na JIS</w:t>
      </w:r>
      <w:r w:rsidRPr="00B63E7D">
        <w:rPr>
          <w:sz w:val="22"/>
          <w:szCs w:val="22"/>
        </w:rPr>
        <w:t xml:space="preserve"> a p</w:t>
      </w:r>
      <w:r w:rsidR="00625326" w:rsidRPr="00B63E7D">
        <w:rPr>
          <w:sz w:val="22"/>
          <w:szCs w:val="22"/>
        </w:rPr>
        <w:t>ozoroval sa podobný bezpečnostný profil ako u dospelých. Údaje od novorodencov (28-44 týždňov gestácie) sú veľmi limitované a obmedzené na udržiava</w:t>
      </w:r>
      <w:r w:rsidRPr="00B63E7D">
        <w:rPr>
          <w:sz w:val="22"/>
          <w:szCs w:val="22"/>
        </w:rPr>
        <w:t xml:space="preserve">ciu </w:t>
      </w:r>
      <w:r w:rsidR="00625326" w:rsidRPr="00B63E7D">
        <w:rPr>
          <w:sz w:val="22"/>
          <w:szCs w:val="22"/>
        </w:rPr>
        <w:t>dávku ≤ 0,2 </w:t>
      </w:r>
      <w:r w:rsidR="008509A0" w:rsidRPr="00B63E7D">
        <w:rPr>
          <w:sz w:val="22"/>
          <w:szCs w:val="22"/>
        </w:rPr>
        <w:t>mikrogram</w:t>
      </w:r>
      <w:r w:rsidRPr="00B63E7D">
        <w:rPr>
          <w:sz w:val="22"/>
          <w:szCs w:val="22"/>
        </w:rPr>
        <w:t>u</w:t>
      </w:r>
      <w:r w:rsidR="00625326" w:rsidRPr="00B63E7D">
        <w:rPr>
          <w:sz w:val="22"/>
          <w:szCs w:val="22"/>
        </w:rPr>
        <w:t>/kg</w:t>
      </w:r>
      <w:r w:rsidR="008B2DF5" w:rsidRPr="00B63E7D">
        <w:rPr>
          <w:sz w:val="22"/>
          <w:szCs w:val="22"/>
        </w:rPr>
        <w:t>/hod.</w:t>
      </w:r>
      <w:r w:rsidR="00625326" w:rsidRPr="00B63E7D">
        <w:rPr>
          <w:sz w:val="22"/>
          <w:szCs w:val="22"/>
        </w:rPr>
        <w:t xml:space="preserve">. V literatúre sa </w:t>
      </w:r>
      <w:r w:rsidRPr="00B63E7D">
        <w:rPr>
          <w:sz w:val="22"/>
          <w:szCs w:val="22"/>
        </w:rPr>
        <w:t xml:space="preserve">hlásil </w:t>
      </w:r>
      <w:r w:rsidR="00625326" w:rsidRPr="00B63E7D">
        <w:rPr>
          <w:sz w:val="22"/>
          <w:szCs w:val="22"/>
        </w:rPr>
        <w:t>jed</w:t>
      </w:r>
      <w:r w:rsidRPr="00B63E7D">
        <w:rPr>
          <w:sz w:val="22"/>
          <w:szCs w:val="22"/>
        </w:rPr>
        <w:t xml:space="preserve">en </w:t>
      </w:r>
      <w:r w:rsidR="00625326" w:rsidRPr="00B63E7D">
        <w:rPr>
          <w:sz w:val="22"/>
          <w:szCs w:val="22"/>
        </w:rPr>
        <w:t>prípad hypotermickej bradykardie u novorodenca.</w:t>
      </w:r>
    </w:p>
    <w:p w:rsidR="00625326" w:rsidRPr="00B63E7D" w:rsidRDefault="00625326" w:rsidP="005E6D3A">
      <w:pPr>
        <w:spacing w:line="240" w:lineRule="auto"/>
        <w:rPr>
          <w:sz w:val="22"/>
          <w:szCs w:val="22"/>
        </w:rPr>
      </w:pPr>
    </w:p>
    <w:p w:rsidR="005E6D3A" w:rsidRDefault="005E6D3A" w:rsidP="005E6D3A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sz w:val="22"/>
          <w:u w:val="single"/>
        </w:rPr>
      </w:pPr>
      <w:r>
        <w:rPr>
          <w:sz w:val="22"/>
          <w:u w:val="single"/>
        </w:rPr>
        <w:t>Hlásenie podozrení na nežiaduce reakcie</w:t>
      </w:r>
    </w:p>
    <w:p w:rsidR="005E6D3A" w:rsidRDefault="005E6D3A" w:rsidP="005E6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rPr>
          <w:rStyle w:val="Hypertextovprepojenie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7" w:history="1">
        <w:r>
          <w:rPr>
            <w:rStyle w:val="Hypertextovprepojenie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sz w:val="22"/>
        </w:rPr>
        <w:t>.</w:t>
      </w:r>
    </w:p>
    <w:p w:rsidR="008509A0" w:rsidRPr="00B63E7D" w:rsidRDefault="008509A0" w:rsidP="005E6D3A">
      <w:pPr>
        <w:tabs>
          <w:tab w:val="left" w:pos="720"/>
        </w:tabs>
        <w:spacing w:line="240" w:lineRule="auto"/>
        <w:ind w:left="567" w:hanging="567"/>
        <w:outlineLvl w:val="0"/>
        <w:rPr>
          <w:b/>
          <w:sz w:val="22"/>
          <w:szCs w:val="22"/>
        </w:rPr>
      </w:pPr>
    </w:p>
    <w:p w:rsidR="008509A0" w:rsidRPr="00B63E7D" w:rsidRDefault="008509A0" w:rsidP="005E6D3A">
      <w:pPr>
        <w:tabs>
          <w:tab w:val="left" w:pos="720"/>
        </w:tabs>
        <w:spacing w:line="240" w:lineRule="auto"/>
        <w:ind w:left="567" w:hanging="567"/>
        <w:outlineLvl w:val="0"/>
        <w:rPr>
          <w:sz w:val="22"/>
          <w:szCs w:val="22"/>
        </w:rPr>
      </w:pPr>
      <w:r w:rsidRPr="00B63E7D">
        <w:rPr>
          <w:b/>
          <w:sz w:val="22"/>
          <w:szCs w:val="22"/>
        </w:rPr>
        <w:t>4.9</w:t>
      </w:r>
      <w:r w:rsidRPr="00B63E7D">
        <w:rPr>
          <w:b/>
          <w:sz w:val="22"/>
          <w:szCs w:val="22"/>
        </w:rPr>
        <w:tab/>
        <w:t>Predávkovanie</w:t>
      </w:r>
    </w:p>
    <w:p w:rsidR="008509A0" w:rsidRPr="00B63E7D" w:rsidRDefault="008509A0" w:rsidP="005E6D3A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8509A0" w:rsidRPr="00B63E7D" w:rsidRDefault="00A510F3" w:rsidP="005E6D3A">
      <w:pPr>
        <w:tabs>
          <w:tab w:val="left" w:pos="720"/>
        </w:tabs>
        <w:spacing w:line="240" w:lineRule="auto"/>
        <w:rPr>
          <w:sz w:val="22"/>
          <w:szCs w:val="22"/>
          <w:u w:val="single"/>
        </w:rPr>
      </w:pPr>
      <w:r w:rsidRPr="00B63E7D">
        <w:rPr>
          <w:sz w:val="22"/>
          <w:szCs w:val="22"/>
          <w:u w:val="single"/>
        </w:rPr>
        <w:t>Symptómy</w:t>
      </w:r>
    </w:p>
    <w:p w:rsidR="008509A0" w:rsidRPr="00B63E7D" w:rsidRDefault="008509A0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8509A0" w:rsidRPr="00B63E7D" w:rsidRDefault="008509A0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Niekoľko prípadov predávkovania dexmedetomid</w:t>
      </w:r>
      <w:r w:rsidR="00247A9F">
        <w:rPr>
          <w:sz w:val="22"/>
          <w:szCs w:val="22"/>
        </w:rPr>
        <w:t>í</w:t>
      </w:r>
      <w:r w:rsidRPr="00B63E7D">
        <w:rPr>
          <w:sz w:val="22"/>
          <w:szCs w:val="22"/>
        </w:rPr>
        <w:t xml:space="preserve">nom sa hlásilo v klinickom skúšaní aj v údajoch po </w:t>
      </w:r>
      <w:r w:rsidR="00A469F5" w:rsidRPr="00B63E7D">
        <w:rPr>
          <w:sz w:val="22"/>
          <w:szCs w:val="22"/>
        </w:rPr>
        <w:t>uvedení lieku na trh</w:t>
      </w:r>
      <w:r w:rsidRPr="00B63E7D">
        <w:rPr>
          <w:sz w:val="22"/>
          <w:szCs w:val="22"/>
        </w:rPr>
        <w:t>. Hlásené najvyššie rýchlosti infúzie dexmedetomid</w:t>
      </w:r>
      <w:r w:rsidR="00247A9F">
        <w:rPr>
          <w:sz w:val="22"/>
          <w:szCs w:val="22"/>
        </w:rPr>
        <w:t>í</w:t>
      </w:r>
      <w:r w:rsidRPr="00B63E7D">
        <w:rPr>
          <w:sz w:val="22"/>
          <w:szCs w:val="22"/>
        </w:rPr>
        <w:t>nu v týchto prípadoch dosiahli až 60 µg/kg</w:t>
      </w:r>
      <w:r w:rsidR="008B2DF5" w:rsidRPr="00B63E7D">
        <w:rPr>
          <w:sz w:val="22"/>
          <w:szCs w:val="22"/>
        </w:rPr>
        <w:t>/hod.</w:t>
      </w:r>
      <w:r w:rsidRPr="00B63E7D">
        <w:rPr>
          <w:sz w:val="22"/>
          <w:szCs w:val="22"/>
        </w:rPr>
        <w:t xml:space="preserve"> počas 36 minút u 20-mesačného dieťaťa a 30 µg/kg</w:t>
      </w:r>
      <w:r w:rsidR="008B2DF5" w:rsidRPr="00B63E7D">
        <w:rPr>
          <w:sz w:val="22"/>
          <w:szCs w:val="22"/>
        </w:rPr>
        <w:t>/hod.</w:t>
      </w:r>
      <w:r w:rsidRPr="00B63E7D">
        <w:rPr>
          <w:sz w:val="22"/>
          <w:szCs w:val="22"/>
        </w:rPr>
        <w:t xml:space="preserve"> počas 15 minút u dospelého </w:t>
      </w:r>
      <w:r w:rsidR="000731ED" w:rsidRPr="00B63E7D">
        <w:rPr>
          <w:sz w:val="22"/>
          <w:szCs w:val="22"/>
        </w:rPr>
        <w:t>pacienta</w:t>
      </w:r>
      <w:r w:rsidRPr="00B63E7D">
        <w:rPr>
          <w:sz w:val="22"/>
          <w:szCs w:val="22"/>
        </w:rPr>
        <w:t xml:space="preserve">. Najčastejšie nežiaduce </w:t>
      </w:r>
      <w:r w:rsidR="000731ED" w:rsidRPr="00B63E7D">
        <w:rPr>
          <w:sz w:val="22"/>
          <w:szCs w:val="22"/>
        </w:rPr>
        <w:t>reakcie</w:t>
      </w:r>
      <w:r w:rsidRPr="00B63E7D">
        <w:rPr>
          <w:sz w:val="22"/>
          <w:szCs w:val="22"/>
        </w:rPr>
        <w:t xml:space="preserve">, hlásené v týchto prípadoch v súvislosti s predávkovaním zahŕňali bradykardiu, hypotenziu, </w:t>
      </w:r>
      <w:r w:rsidR="00391C35" w:rsidRPr="00B63E7D">
        <w:rPr>
          <w:sz w:val="22"/>
          <w:szCs w:val="22"/>
        </w:rPr>
        <w:t xml:space="preserve">hypertenziu, </w:t>
      </w:r>
      <w:r w:rsidRPr="00B63E7D">
        <w:rPr>
          <w:sz w:val="22"/>
          <w:szCs w:val="22"/>
        </w:rPr>
        <w:t xml:space="preserve">nadmernú sedáciu, </w:t>
      </w:r>
      <w:r w:rsidR="00391C35" w:rsidRPr="00B63E7D">
        <w:rPr>
          <w:sz w:val="22"/>
          <w:szCs w:val="22"/>
        </w:rPr>
        <w:t>respiračnú depresiu</w:t>
      </w:r>
      <w:r w:rsidR="00391C35" w:rsidRPr="00B63E7D" w:rsidDel="00391C35">
        <w:rPr>
          <w:sz w:val="22"/>
          <w:szCs w:val="22"/>
        </w:rPr>
        <w:t xml:space="preserve"> </w:t>
      </w:r>
      <w:r w:rsidRPr="00B63E7D">
        <w:rPr>
          <w:sz w:val="22"/>
          <w:szCs w:val="22"/>
        </w:rPr>
        <w:t>a zastavenie srdca.</w:t>
      </w:r>
    </w:p>
    <w:p w:rsidR="008509A0" w:rsidRPr="00B63E7D" w:rsidRDefault="008509A0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8509A0" w:rsidRPr="00B63E7D" w:rsidRDefault="008509A0" w:rsidP="00F55242">
      <w:pPr>
        <w:tabs>
          <w:tab w:val="left" w:pos="720"/>
        </w:tabs>
        <w:spacing w:line="240" w:lineRule="auto"/>
        <w:rPr>
          <w:sz w:val="22"/>
          <w:szCs w:val="22"/>
          <w:u w:val="single"/>
        </w:rPr>
      </w:pPr>
      <w:r w:rsidRPr="00B63E7D">
        <w:rPr>
          <w:sz w:val="22"/>
          <w:szCs w:val="22"/>
          <w:u w:val="single"/>
        </w:rPr>
        <w:t>Liečba</w:t>
      </w:r>
    </w:p>
    <w:p w:rsidR="008509A0" w:rsidRPr="00B63E7D" w:rsidRDefault="008509A0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8509A0" w:rsidRPr="00B63E7D" w:rsidRDefault="008509A0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V prípadoch predávkovania s klinickými symptómami sa</w:t>
      </w:r>
      <w:r w:rsidR="005B132F" w:rsidRPr="00B63E7D">
        <w:rPr>
          <w:sz w:val="22"/>
          <w:szCs w:val="22"/>
        </w:rPr>
        <w:t xml:space="preserve"> </w:t>
      </w:r>
      <w:r w:rsidRPr="00B63E7D">
        <w:rPr>
          <w:sz w:val="22"/>
          <w:szCs w:val="22"/>
        </w:rPr>
        <w:t xml:space="preserve">má infúzia </w:t>
      </w:r>
      <w:r w:rsidRPr="00B63E7D">
        <w:rPr>
          <w:bCs/>
          <w:sz w:val="22"/>
          <w:szCs w:val="22"/>
        </w:rPr>
        <w:t>dexmedetomid</w:t>
      </w:r>
      <w:r w:rsidR="00247A9F">
        <w:rPr>
          <w:bCs/>
          <w:sz w:val="22"/>
          <w:szCs w:val="22"/>
        </w:rPr>
        <w:t>í</w:t>
      </w:r>
      <w:r w:rsidRPr="00B63E7D">
        <w:rPr>
          <w:bCs/>
          <w:sz w:val="22"/>
          <w:szCs w:val="22"/>
        </w:rPr>
        <w:t>nu znížiť alebo ukončiť</w:t>
      </w:r>
      <w:r w:rsidRPr="00B63E7D">
        <w:rPr>
          <w:sz w:val="22"/>
          <w:szCs w:val="22"/>
        </w:rPr>
        <w:t>. Očakávané sú predovšetkým kardiovaskulárne účinky a majú sa liečiť podľa toho</w:t>
      </w:r>
      <w:r w:rsidR="005B132F" w:rsidRPr="00B63E7D">
        <w:rPr>
          <w:sz w:val="22"/>
          <w:szCs w:val="22"/>
        </w:rPr>
        <w:t>,</w:t>
      </w:r>
      <w:r w:rsidRPr="00B63E7D">
        <w:rPr>
          <w:sz w:val="22"/>
          <w:szCs w:val="22"/>
        </w:rPr>
        <w:t xml:space="preserve"> ako je klinicky indikované (pozri časť</w:t>
      </w:r>
      <w:r w:rsidR="005B132F" w:rsidRPr="00B63E7D">
        <w:rPr>
          <w:sz w:val="22"/>
          <w:szCs w:val="22"/>
        </w:rPr>
        <w:t> </w:t>
      </w:r>
      <w:r w:rsidRPr="00B63E7D">
        <w:rPr>
          <w:sz w:val="22"/>
          <w:szCs w:val="22"/>
        </w:rPr>
        <w:t>4.4). Pri vysokej koncentrácii môže byť hypertenzia nápadnejšia než hypotenzia. V klinických štúdiách sa prípady zastavenia sínusového uzla buď spontánne zvrátili alebo reagovali na liečbu atropínom a glykopyrolátom. Resuscitácia bola potrebná v ojedinelých prípadoch závažného predávkovania, ktoré viedlo k zastaveniu srdca.</w:t>
      </w:r>
    </w:p>
    <w:p w:rsidR="00094BED" w:rsidRPr="00B63E7D" w:rsidRDefault="00094BED" w:rsidP="00F55242">
      <w:pPr>
        <w:keepNext/>
        <w:keepLines/>
        <w:tabs>
          <w:tab w:val="left" w:pos="720"/>
        </w:tabs>
        <w:spacing w:line="240" w:lineRule="auto"/>
        <w:ind w:left="567" w:hanging="567"/>
        <w:rPr>
          <w:b/>
          <w:sz w:val="22"/>
          <w:szCs w:val="22"/>
        </w:rPr>
      </w:pPr>
    </w:p>
    <w:p w:rsidR="00094BED" w:rsidRPr="00B63E7D" w:rsidRDefault="00094BED" w:rsidP="00F55242">
      <w:pPr>
        <w:keepNext/>
        <w:keepLines/>
        <w:tabs>
          <w:tab w:val="left" w:pos="720"/>
        </w:tabs>
        <w:spacing w:line="240" w:lineRule="auto"/>
        <w:ind w:left="567" w:hanging="567"/>
        <w:rPr>
          <w:b/>
          <w:sz w:val="22"/>
          <w:szCs w:val="22"/>
        </w:rPr>
      </w:pPr>
    </w:p>
    <w:p w:rsidR="00094BED" w:rsidRPr="00B63E7D" w:rsidRDefault="00094BED" w:rsidP="00F55242">
      <w:pPr>
        <w:keepNext/>
        <w:keepLines/>
        <w:tabs>
          <w:tab w:val="left" w:pos="720"/>
        </w:tabs>
        <w:spacing w:line="240" w:lineRule="auto"/>
        <w:ind w:left="567" w:hanging="567"/>
        <w:rPr>
          <w:sz w:val="22"/>
          <w:szCs w:val="22"/>
        </w:rPr>
      </w:pPr>
      <w:r w:rsidRPr="00B63E7D">
        <w:rPr>
          <w:b/>
          <w:sz w:val="22"/>
          <w:szCs w:val="22"/>
        </w:rPr>
        <w:t>5.</w:t>
      </w:r>
      <w:r w:rsidRPr="00B63E7D">
        <w:rPr>
          <w:b/>
          <w:sz w:val="22"/>
          <w:szCs w:val="22"/>
        </w:rPr>
        <w:tab/>
      </w:r>
      <w:r w:rsidRPr="00B63E7D">
        <w:rPr>
          <w:b/>
          <w:bCs/>
          <w:sz w:val="22"/>
          <w:szCs w:val="22"/>
        </w:rPr>
        <w:t>FARMAKOLOGICKÉ VLASTNOSTI</w:t>
      </w:r>
    </w:p>
    <w:p w:rsidR="00094BED" w:rsidRPr="00B63E7D" w:rsidRDefault="00094BED" w:rsidP="00F55242">
      <w:pPr>
        <w:keepNext/>
        <w:keepLines/>
        <w:tabs>
          <w:tab w:val="left" w:pos="720"/>
        </w:tabs>
        <w:spacing w:line="240" w:lineRule="auto"/>
        <w:rPr>
          <w:sz w:val="22"/>
          <w:szCs w:val="22"/>
        </w:rPr>
      </w:pPr>
    </w:p>
    <w:p w:rsidR="00094BED" w:rsidRPr="00B63E7D" w:rsidRDefault="00094BED" w:rsidP="00F55242">
      <w:pPr>
        <w:tabs>
          <w:tab w:val="left" w:pos="720"/>
        </w:tabs>
        <w:spacing w:line="240" w:lineRule="auto"/>
        <w:ind w:left="567" w:hanging="567"/>
        <w:outlineLvl w:val="0"/>
        <w:rPr>
          <w:b/>
          <w:sz w:val="22"/>
          <w:szCs w:val="22"/>
        </w:rPr>
      </w:pPr>
      <w:r w:rsidRPr="00B63E7D">
        <w:rPr>
          <w:b/>
          <w:sz w:val="22"/>
          <w:szCs w:val="22"/>
        </w:rPr>
        <w:t xml:space="preserve">5.1 </w:t>
      </w:r>
      <w:r w:rsidRPr="00B63E7D">
        <w:rPr>
          <w:b/>
          <w:sz w:val="22"/>
          <w:szCs w:val="22"/>
        </w:rPr>
        <w:tab/>
        <w:t>Farmakodynamické vlastnosti</w:t>
      </w:r>
    </w:p>
    <w:p w:rsidR="00625326" w:rsidRPr="00B63E7D" w:rsidRDefault="00625326" w:rsidP="00F55242">
      <w:pPr>
        <w:spacing w:line="240" w:lineRule="auto"/>
        <w:rPr>
          <w:sz w:val="22"/>
          <w:szCs w:val="22"/>
          <w:lang w:eastAsia="de-AT"/>
        </w:rPr>
      </w:pPr>
    </w:p>
    <w:p w:rsidR="00094BED" w:rsidRPr="00B63E7D" w:rsidRDefault="00094BED" w:rsidP="00F55242">
      <w:pPr>
        <w:keepNext/>
        <w:keepLines/>
        <w:tabs>
          <w:tab w:val="left" w:pos="720"/>
        </w:tabs>
        <w:spacing w:line="240" w:lineRule="auto"/>
        <w:outlineLvl w:val="0"/>
        <w:rPr>
          <w:sz w:val="22"/>
          <w:szCs w:val="22"/>
        </w:rPr>
      </w:pPr>
      <w:r w:rsidRPr="00B63E7D">
        <w:rPr>
          <w:sz w:val="22"/>
          <w:szCs w:val="22"/>
        </w:rPr>
        <w:t>Farmakoterapeutická skupina: Psycholeptiká, iné hypnotiká a sedatíva, ATC kód: N05CM18</w:t>
      </w:r>
    </w:p>
    <w:p w:rsidR="00094BED" w:rsidRPr="00B63E7D" w:rsidRDefault="00094BED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</w:p>
    <w:p w:rsidR="00094BED" w:rsidRPr="00B63E7D" w:rsidRDefault="00094BED" w:rsidP="00F55242">
      <w:p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Dexmedetomid</w:t>
      </w:r>
      <w:r w:rsidR="00247A9F">
        <w:rPr>
          <w:sz w:val="22"/>
          <w:szCs w:val="22"/>
        </w:rPr>
        <w:t>í</w:t>
      </w:r>
      <w:r w:rsidRPr="00B63E7D">
        <w:rPr>
          <w:sz w:val="22"/>
          <w:szCs w:val="22"/>
        </w:rPr>
        <w:t>n je selektívny agonista alfa-2 receptora so širokou škálou farmakologických vlastností. Má sympatolytický účinok znižovaným uvoľňovaním noradrenalínu v sympatických nervových zakončeniach. Sedatívne účinky sú sprostredkované zníženým odpaľovaním neurónov v locus coeruleus, dominantného noradrenergného jadra, ktor</w:t>
      </w:r>
      <w:r w:rsidR="00CC0015" w:rsidRPr="00B63E7D">
        <w:rPr>
          <w:sz w:val="22"/>
          <w:szCs w:val="22"/>
        </w:rPr>
        <w:t>é sa nachádza v mozgovom kmeni.</w:t>
      </w:r>
    </w:p>
    <w:p w:rsidR="00094BED" w:rsidRPr="00B63E7D" w:rsidRDefault="00094BED" w:rsidP="00F55242">
      <w:pPr>
        <w:spacing w:line="240" w:lineRule="auto"/>
        <w:rPr>
          <w:sz w:val="22"/>
          <w:szCs w:val="22"/>
        </w:rPr>
      </w:pPr>
    </w:p>
    <w:p w:rsidR="00094BED" w:rsidRPr="00B63E7D" w:rsidRDefault="00094BED" w:rsidP="00F55242">
      <w:pPr>
        <w:spacing w:line="240" w:lineRule="auto"/>
        <w:rPr>
          <w:noProof/>
          <w:sz w:val="22"/>
          <w:szCs w:val="22"/>
        </w:rPr>
      </w:pPr>
      <w:r w:rsidRPr="00B63E7D">
        <w:rPr>
          <w:sz w:val="22"/>
          <w:szCs w:val="22"/>
        </w:rPr>
        <w:t>Dexmedetomid</w:t>
      </w:r>
      <w:r w:rsidR="00247A9F">
        <w:rPr>
          <w:sz w:val="22"/>
          <w:szCs w:val="22"/>
        </w:rPr>
        <w:t>í</w:t>
      </w:r>
      <w:r w:rsidRPr="00B63E7D">
        <w:rPr>
          <w:sz w:val="22"/>
          <w:szCs w:val="22"/>
        </w:rPr>
        <w:t>n má analgetické a anesteticko</w:t>
      </w:r>
      <w:r w:rsidR="004408DD" w:rsidRPr="00B63E7D">
        <w:rPr>
          <w:sz w:val="22"/>
          <w:szCs w:val="22"/>
        </w:rPr>
        <w:t>/</w:t>
      </w:r>
      <w:r w:rsidRPr="00B63E7D">
        <w:rPr>
          <w:sz w:val="22"/>
          <w:szCs w:val="22"/>
        </w:rPr>
        <w:t>analgetické šetriace účinky. Kardiovaskulárne účinky závisia od dávky</w:t>
      </w:r>
      <w:r w:rsidR="004408DD" w:rsidRPr="00B63E7D">
        <w:rPr>
          <w:sz w:val="22"/>
          <w:szCs w:val="22"/>
        </w:rPr>
        <w:t xml:space="preserve">; </w:t>
      </w:r>
      <w:r w:rsidRPr="00B63E7D">
        <w:rPr>
          <w:sz w:val="22"/>
          <w:szCs w:val="22"/>
        </w:rPr>
        <w:t>pri nižších rýchlostiach infúzie prevládajú centrálne účinky, ktoré vedú k zníženiu tep</w:t>
      </w:r>
      <w:r w:rsidR="004408DD" w:rsidRPr="00B63E7D">
        <w:rPr>
          <w:sz w:val="22"/>
          <w:szCs w:val="22"/>
        </w:rPr>
        <w:t xml:space="preserve">ovej frekvencie </w:t>
      </w:r>
      <w:r w:rsidRPr="00B63E7D">
        <w:rPr>
          <w:sz w:val="22"/>
          <w:szCs w:val="22"/>
        </w:rPr>
        <w:t>a krvného tlaku. Pri vyšších dávkach prevládajú periférne vazokonstrikčné účinky, ktoré vedú k zvýšeniu systémovej vaskulárnej rezistencie a krvného tlaku, a ďalej sa zdôrazňuje bradykardický účinok. Dexmedetomid</w:t>
      </w:r>
      <w:r w:rsidR="00247A9F">
        <w:rPr>
          <w:sz w:val="22"/>
          <w:szCs w:val="22"/>
        </w:rPr>
        <w:t>í</w:t>
      </w:r>
      <w:r w:rsidRPr="00B63E7D">
        <w:rPr>
          <w:sz w:val="22"/>
          <w:szCs w:val="22"/>
        </w:rPr>
        <w:t xml:space="preserve">n relatívne nemá tlmivé účinky na dýchanie, ak sa podáva </w:t>
      </w:r>
      <w:r w:rsidR="004408DD" w:rsidRPr="00B63E7D">
        <w:rPr>
          <w:noProof/>
          <w:sz w:val="22"/>
          <w:szCs w:val="22"/>
        </w:rPr>
        <w:t>zdravým jedincom</w:t>
      </w:r>
      <w:r w:rsidR="004408DD" w:rsidRPr="00B63E7D">
        <w:rPr>
          <w:sz w:val="22"/>
          <w:szCs w:val="22"/>
        </w:rPr>
        <w:t xml:space="preserve"> </w:t>
      </w:r>
      <w:r w:rsidRPr="00B63E7D">
        <w:rPr>
          <w:sz w:val="22"/>
          <w:szCs w:val="22"/>
        </w:rPr>
        <w:t xml:space="preserve">ako </w:t>
      </w:r>
      <w:r w:rsidRPr="00B63E7D">
        <w:rPr>
          <w:noProof/>
          <w:sz w:val="22"/>
          <w:szCs w:val="22"/>
        </w:rPr>
        <w:t>monoterapia</w:t>
      </w:r>
      <w:r w:rsidRPr="00B63E7D">
        <w:rPr>
          <w:sz w:val="22"/>
          <w:szCs w:val="22"/>
        </w:rPr>
        <w:t>.</w:t>
      </w:r>
    </w:p>
    <w:p w:rsidR="00094BED" w:rsidRPr="00B63E7D" w:rsidRDefault="00094BED" w:rsidP="00F55242">
      <w:pPr>
        <w:shd w:val="clear" w:color="auto" w:fill="FFFFFF"/>
        <w:spacing w:line="240" w:lineRule="auto"/>
        <w:rPr>
          <w:sz w:val="22"/>
          <w:szCs w:val="22"/>
        </w:rPr>
      </w:pPr>
    </w:p>
    <w:p w:rsidR="00094BED" w:rsidRPr="00B63E7D" w:rsidRDefault="00220303" w:rsidP="00F55242">
      <w:pPr>
        <w:shd w:val="clear" w:color="auto" w:fill="FFFFFF"/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 xml:space="preserve">Fyziologické odpovede sprostredkované pomocou alfa-2 adrenoreceptormi sa líšia z hľadiska lokalizácie. Z anesteziologického hľadiska je kľúčovým elementom v mechanizme účinku agonistov alfa-2 adrenoreceptorov </w:t>
      </w:r>
      <w:r w:rsidR="00094BED" w:rsidRPr="00B63E7D">
        <w:rPr>
          <w:sz w:val="22"/>
          <w:szCs w:val="22"/>
        </w:rPr>
        <w:t>hyperpolariz</w:t>
      </w:r>
      <w:r w:rsidRPr="00B63E7D">
        <w:rPr>
          <w:sz w:val="22"/>
          <w:szCs w:val="22"/>
        </w:rPr>
        <w:t>ácia neurónov v centr</w:t>
      </w:r>
      <w:r w:rsidR="008E008C" w:rsidRPr="00B63E7D">
        <w:rPr>
          <w:sz w:val="22"/>
          <w:szCs w:val="22"/>
        </w:rPr>
        <w:t>álnom a</w:t>
      </w:r>
      <w:r w:rsidRPr="00B63E7D">
        <w:rPr>
          <w:sz w:val="22"/>
          <w:szCs w:val="22"/>
        </w:rPr>
        <w:t>j v perifér</w:t>
      </w:r>
      <w:r w:rsidR="008E008C" w:rsidRPr="00B63E7D">
        <w:rPr>
          <w:sz w:val="22"/>
          <w:szCs w:val="22"/>
        </w:rPr>
        <w:t xml:space="preserve">nom </w:t>
      </w:r>
      <w:r w:rsidR="0004204C" w:rsidRPr="00B63E7D">
        <w:rPr>
          <w:sz w:val="22"/>
          <w:szCs w:val="22"/>
        </w:rPr>
        <w:t xml:space="preserve">nervovom </w:t>
      </w:r>
      <w:r w:rsidR="008E008C" w:rsidRPr="00B63E7D">
        <w:rPr>
          <w:sz w:val="22"/>
          <w:szCs w:val="22"/>
        </w:rPr>
        <w:t>systéme</w:t>
      </w:r>
      <w:r w:rsidR="00094BED" w:rsidRPr="00B63E7D">
        <w:rPr>
          <w:sz w:val="22"/>
          <w:szCs w:val="22"/>
        </w:rPr>
        <w:t xml:space="preserve">. </w:t>
      </w:r>
      <w:r w:rsidRPr="00B63E7D">
        <w:rPr>
          <w:sz w:val="22"/>
          <w:szCs w:val="22"/>
        </w:rPr>
        <w:t>V</w:t>
      </w:r>
      <w:r w:rsidR="008658AC" w:rsidRPr="00B63E7D">
        <w:rPr>
          <w:sz w:val="22"/>
          <w:szCs w:val="22"/>
        </w:rPr>
        <w:t>o v</w:t>
      </w:r>
      <w:r w:rsidRPr="00B63E7D">
        <w:rPr>
          <w:sz w:val="22"/>
          <w:szCs w:val="22"/>
        </w:rPr>
        <w:t>šeobecn</w:t>
      </w:r>
      <w:r w:rsidR="008658AC" w:rsidRPr="00B63E7D">
        <w:rPr>
          <w:sz w:val="22"/>
          <w:szCs w:val="22"/>
        </w:rPr>
        <w:t xml:space="preserve">osti </w:t>
      </w:r>
      <w:r w:rsidR="00094BED" w:rsidRPr="00B63E7D">
        <w:rPr>
          <w:sz w:val="22"/>
          <w:szCs w:val="22"/>
        </w:rPr>
        <w:t>presynaptic</w:t>
      </w:r>
      <w:r w:rsidRPr="00B63E7D">
        <w:rPr>
          <w:sz w:val="22"/>
          <w:szCs w:val="22"/>
        </w:rPr>
        <w:t xml:space="preserve">ká aktivácia alfa-2 adrenoreceptorov inhibuje uvoľňovanie </w:t>
      </w:r>
      <w:r w:rsidR="004E28B0" w:rsidRPr="00B63E7D">
        <w:rPr>
          <w:sz w:val="22"/>
          <w:szCs w:val="22"/>
        </w:rPr>
        <w:t>noradrenalínu (</w:t>
      </w:r>
      <w:r w:rsidR="00094BED" w:rsidRPr="00B63E7D">
        <w:rPr>
          <w:sz w:val="22"/>
          <w:szCs w:val="22"/>
        </w:rPr>
        <w:t>norepine</w:t>
      </w:r>
      <w:r w:rsidRPr="00B63E7D">
        <w:rPr>
          <w:sz w:val="22"/>
          <w:szCs w:val="22"/>
        </w:rPr>
        <w:t>frínu</w:t>
      </w:r>
      <w:r w:rsidR="004E28B0" w:rsidRPr="00B63E7D">
        <w:rPr>
          <w:sz w:val="22"/>
          <w:szCs w:val="22"/>
        </w:rPr>
        <w:t>)</w:t>
      </w:r>
      <w:r w:rsidR="00094BED" w:rsidRPr="00B63E7D">
        <w:rPr>
          <w:sz w:val="22"/>
          <w:szCs w:val="22"/>
        </w:rPr>
        <w:t xml:space="preserve">, </w:t>
      </w:r>
      <w:r w:rsidR="00AA0CEB" w:rsidRPr="00B63E7D">
        <w:rPr>
          <w:sz w:val="22"/>
          <w:szCs w:val="22"/>
        </w:rPr>
        <w:t xml:space="preserve">čo </w:t>
      </w:r>
      <w:r w:rsidRPr="00B63E7D">
        <w:rPr>
          <w:sz w:val="22"/>
          <w:szCs w:val="22"/>
        </w:rPr>
        <w:t>preruš</w:t>
      </w:r>
      <w:r w:rsidR="00AA0CEB" w:rsidRPr="00B63E7D">
        <w:rPr>
          <w:sz w:val="22"/>
          <w:szCs w:val="22"/>
        </w:rPr>
        <w:t xml:space="preserve">uje </w:t>
      </w:r>
      <w:r w:rsidRPr="00B63E7D">
        <w:rPr>
          <w:sz w:val="22"/>
          <w:szCs w:val="22"/>
        </w:rPr>
        <w:t>šírenia signálov bolesti</w:t>
      </w:r>
      <w:r w:rsidR="00094BED" w:rsidRPr="00B63E7D">
        <w:rPr>
          <w:sz w:val="22"/>
          <w:szCs w:val="22"/>
        </w:rPr>
        <w:t>.</w:t>
      </w:r>
    </w:p>
    <w:p w:rsidR="00094BED" w:rsidRPr="00B63E7D" w:rsidRDefault="00094BED" w:rsidP="00F55242">
      <w:pPr>
        <w:shd w:val="clear" w:color="auto" w:fill="FFFFFF"/>
        <w:spacing w:line="240" w:lineRule="auto"/>
        <w:rPr>
          <w:sz w:val="22"/>
          <w:szCs w:val="22"/>
        </w:rPr>
      </w:pPr>
    </w:p>
    <w:p w:rsidR="00094BED" w:rsidRPr="00B63E7D" w:rsidRDefault="00094BED" w:rsidP="00F55242">
      <w:pPr>
        <w:shd w:val="clear" w:color="auto" w:fill="FFFFFF"/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lastRenderedPageBreak/>
        <w:t>Posynaptic</w:t>
      </w:r>
      <w:r w:rsidR="00255AD1" w:rsidRPr="00B63E7D">
        <w:rPr>
          <w:sz w:val="22"/>
          <w:szCs w:val="22"/>
        </w:rPr>
        <w:t xml:space="preserve">ká aktivácia alfa-2 adrenoreceptorov v </w:t>
      </w:r>
      <w:r w:rsidRPr="00B63E7D">
        <w:rPr>
          <w:sz w:val="22"/>
          <w:szCs w:val="22"/>
        </w:rPr>
        <w:t>centr</w:t>
      </w:r>
      <w:r w:rsidR="00255AD1" w:rsidRPr="00B63E7D">
        <w:rPr>
          <w:sz w:val="22"/>
          <w:szCs w:val="22"/>
        </w:rPr>
        <w:t xml:space="preserve">álnom nervovom systéme </w:t>
      </w:r>
      <w:r w:rsidRPr="00B63E7D">
        <w:rPr>
          <w:sz w:val="22"/>
          <w:szCs w:val="22"/>
        </w:rPr>
        <w:t>(CNS) inhib</w:t>
      </w:r>
      <w:r w:rsidR="00255AD1" w:rsidRPr="00B63E7D">
        <w:rPr>
          <w:sz w:val="22"/>
          <w:szCs w:val="22"/>
        </w:rPr>
        <w:t xml:space="preserve">uje </w:t>
      </w:r>
      <w:r w:rsidR="00EC083B" w:rsidRPr="00B63E7D">
        <w:rPr>
          <w:sz w:val="22"/>
          <w:szCs w:val="22"/>
        </w:rPr>
        <w:t xml:space="preserve">aktivitu </w:t>
      </w:r>
      <w:r w:rsidRPr="00B63E7D">
        <w:rPr>
          <w:sz w:val="22"/>
          <w:szCs w:val="22"/>
        </w:rPr>
        <w:t>sympati</w:t>
      </w:r>
      <w:r w:rsidR="00EC083B" w:rsidRPr="00B63E7D">
        <w:rPr>
          <w:sz w:val="22"/>
          <w:szCs w:val="22"/>
        </w:rPr>
        <w:t>ku</w:t>
      </w:r>
      <w:r w:rsidR="00255AD1" w:rsidRPr="00B63E7D">
        <w:rPr>
          <w:sz w:val="22"/>
          <w:szCs w:val="22"/>
        </w:rPr>
        <w:t xml:space="preserve">, a </w:t>
      </w:r>
      <w:r w:rsidR="00EC083B" w:rsidRPr="00B63E7D">
        <w:rPr>
          <w:sz w:val="22"/>
          <w:szCs w:val="22"/>
        </w:rPr>
        <w:t xml:space="preserve">to </w:t>
      </w:r>
      <w:r w:rsidR="00255AD1" w:rsidRPr="00B63E7D">
        <w:rPr>
          <w:sz w:val="22"/>
          <w:szCs w:val="22"/>
        </w:rPr>
        <w:t xml:space="preserve">môže znížiť krvný tlak </w:t>
      </w:r>
      <w:r w:rsidRPr="00B63E7D">
        <w:rPr>
          <w:sz w:val="22"/>
          <w:szCs w:val="22"/>
        </w:rPr>
        <w:t xml:space="preserve">a </w:t>
      </w:r>
      <w:r w:rsidR="00255AD1" w:rsidRPr="00B63E7D">
        <w:rPr>
          <w:sz w:val="22"/>
          <w:szCs w:val="22"/>
        </w:rPr>
        <w:t>tepovú frekvenciu. K</w:t>
      </w:r>
      <w:r w:rsidRPr="00B63E7D">
        <w:rPr>
          <w:sz w:val="22"/>
          <w:szCs w:val="22"/>
        </w:rPr>
        <w:t>ombin</w:t>
      </w:r>
      <w:r w:rsidR="00255AD1" w:rsidRPr="00B63E7D">
        <w:rPr>
          <w:sz w:val="22"/>
          <w:szCs w:val="22"/>
        </w:rPr>
        <w:t xml:space="preserve">áciou týchto účinkov sa môže navodiť </w:t>
      </w:r>
      <w:r w:rsidRPr="00B63E7D">
        <w:rPr>
          <w:sz w:val="22"/>
          <w:szCs w:val="22"/>
        </w:rPr>
        <w:t>analg</w:t>
      </w:r>
      <w:r w:rsidR="00255AD1" w:rsidRPr="00B63E7D">
        <w:rPr>
          <w:sz w:val="22"/>
          <w:szCs w:val="22"/>
        </w:rPr>
        <w:t>ézia</w:t>
      </w:r>
      <w:r w:rsidRPr="00B63E7D">
        <w:rPr>
          <w:sz w:val="22"/>
          <w:szCs w:val="22"/>
        </w:rPr>
        <w:t>, sed</w:t>
      </w:r>
      <w:r w:rsidR="00255AD1" w:rsidRPr="00B63E7D">
        <w:rPr>
          <w:sz w:val="22"/>
          <w:szCs w:val="22"/>
        </w:rPr>
        <w:t>ácia</w:t>
      </w:r>
      <w:r w:rsidRPr="00B63E7D">
        <w:rPr>
          <w:sz w:val="22"/>
          <w:szCs w:val="22"/>
        </w:rPr>
        <w:t xml:space="preserve"> a anxiol</w:t>
      </w:r>
      <w:r w:rsidR="00255AD1" w:rsidRPr="00B63E7D">
        <w:rPr>
          <w:sz w:val="22"/>
          <w:szCs w:val="22"/>
        </w:rPr>
        <w:t>ýza</w:t>
      </w:r>
      <w:r w:rsidRPr="00B63E7D">
        <w:rPr>
          <w:sz w:val="22"/>
          <w:szCs w:val="22"/>
        </w:rPr>
        <w:t xml:space="preserve">. </w:t>
      </w:r>
      <w:r w:rsidR="00EC083B" w:rsidRPr="00B63E7D">
        <w:rPr>
          <w:sz w:val="22"/>
          <w:szCs w:val="22"/>
        </w:rPr>
        <w:t>Pri d</w:t>
      </w:r>
      <w:r w:rsidRPr="00B63E7D">
        <w:rPr>
          <w:sz w:val="22"/>
          <w:szCs w:val="22"/>
        </w:rPr>
        <w:t>exmedetomidin</w:t>
      </w:r>
      <w:r w:rsidR="00EC083B" w:rsidRPr="00B63E7D">
        <w:rPr>
          <w:sz w:val="22"/>
          <w:szCs w:val="22"/>
        </w:rPr>
        <w:t xml:space="preserve">e sa kombinujú </w:t>
      </w:r>
      <w:r w:rsidR="00255AD1" w:rsidRPr="00B63E7D">
        <w:rPr>
          <w:sz w:val="22"/>
          <w:szCs w:val="22"/>
        </w:rPr>
        <w:t>všetky tieto účinky</w:t>
      </w:r>
      <w:r w:rsidRPr="00B63E7D">
        <w:rPr>
          <w:sz w:val="22"/>
          <w:szCs w:val="22"/>
        </w:rPr>
        <w:t xml:space="preserve">, </w:t>
      </w:r>
      <w:r w:rsidR="00255AD1" w:rsidRPr="00B63E7D">
        <w:rPr>
          <w:sz w:val="22"/>
          <w:szCs w:val="22"/>
        </w:rPr>
        <w:t xml:space="preserve">preto </w:t>
      </w:r>
      <w:r w:rsidR="00EC083B" w:rsidRPr="00B63E7D">
        <w:rPr>
          <w:sz w:val="22"/>
          <w:szCs w:val="22"/>
        </w:rPr>
        <w:t>sa na vyhnutie niektorým nežiaducim účinkom majú podať terapie s viacerými látkami</w:t>
      </w:r>
      <w:r w:rsidRPr="00B63E7D">
        <w:rPr>
          <w:sz w:val="22"/>
          <w:szCs w:val="22"/>
        </w:rPr>
        <w:t xml:space="preserve">. </w:t>
      </w:r>
      <w:r w:rsidR="00AC29BA" w:rsidRPr="00B63E7D">
        <w:rPr>
          <w:sz w:val="22"/>
          <w:szCs w:val="22"/>
        </w:rPr>
        <w:t>Pomocou farmakologických štúdií (afinita pre rôzne alfa-2 antagonisty) aj pomocou biologických vyšetrení sa definovali m</w:t>
      </w:r>
      <w:r w:rsidR="00EC083B" w:rsidRPr="00B63E7D">
        <w:rPr>
          <w:sz w:val="22"/>
          <w:szCs w:val="22"/>
        </w:rPr>
        <w:t xml:space="preserve">inimálne </w:t>
      </w:r>
      <w:r w:rsidRPr="00B63E7D">
        <w:rPr>
          <w:sz w:val="22"/>
          <w:szCs w:val="22"/>
        </w:rPr>
        <w:t>3</w:t>
      </w:r>
      <w:r w:rsidR="00EC083B" w:rsidRPr="00B63E7D">
        <w:rPr>
          <w:sz w:val="22"/>
          <w:szCs w:val="22"/>
        </w:rPr>
        <w:t xml:space="preserve"> odlišné alfa-2 </w:t>
      </w:r>
      <w:r w:rsidRPr="00B63E7D">
        <w:rPr>
          <w:sz w:val="22"/>
          <w:szCs w:val="22"/>
        </w:rPr>
        <w:t>i</w:t>
      </w:r>
      <w:r w:rsidR="00EC083B" w:rsidRPr="00B63E7D">
        <w:rPr>
          <w:sz w:val="22"/>
          <w:szCs w:val="22"/>
        </w:rPr>
        <w:t>z</w:t>
      </w:r>
      <w:r w:rsidRPr="00B63E7D">
        <w:rPr>
          <w:sz w:val="22"/>
          <w:szCs w:val="22"/>
        </w:rPr>
        <w:t>oreceptor</w:t>
      </w:r>
      <w:r w:rsidR="00EC083B" w:rsidRPr="00B63E7D">
        <w:rPr>
          <w:sz w:val="22"/>
          <w:szCs w:val="22"/>
        </w:rPr>
        <w:t>y</w:t>
      </w:r>
      <w:r w:rsidRPr="00B63E7D">
        <w:rPr>
          <w:sz w:val="22"/>
          <w:szCs w:val="22"/>
        </w:rPr>
        <w:t>.</w:t>
      </w:r>
    </w:p>
    <w:p w:rsidR="00094BED" w:rsidRPr="00B63E7D" w:rsidRDefault="00094BED" w:rsidP="00F55242">
      <w:pPr>
        <w:shd w:val="clear" w:color="auto" w:fill="FFFFFF"/>
        <w:spacing w:line="240" w:lineRule="auto"/>
        <w:rPr>
          <w:sz w:val="22"/>
          <w:szCs w:val="22"/>
        </w:rPr>
      </w:pPr>
    </w:p>
    <w:p w:rsidR="00094BED" w:rsidRPr="00B63E7D" w:rsidRDefault="00227AAA" w:rsidP="00F55242">
      <w:pPr>
        <w:shd w:val="clear" w:color="auto" w:fill="FFFFFF"/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 xml:space="preserve">Alfa-2 adrenoreceptory sprostredkúvajú ich účinky aktiváciou regulačných </w:t>
      </w:r>
      <w:r w:rsidRPr="00B63E7D">
        <w:rPr>
          <w:rStyle w:val="Zvraznenie"/>
          <w:b w:val="0"/>
          <w:sz w:val="22"/>
          <w:szCs w:val="22"/>
        </w:rPr>
        <w:t>proteínov viažucich guanínové nukleotidy</w:t>
      </w:r>
      <w:r w:rsidRPr="00B63E7D">
        <w:rPr>
          <w:b/>
          <w:sz w:val="22"/>
          <w:szCs w:val="22"/>
        </w:rPr>
        <w:t xml:space="preserve"> </w:t>
      </w:r>
      <w:r w:rsidR="00094BED" w:rsidRPr="00B63E7D">
        <w:rPr>
          <w:sz w:val="22"/>
          <w:szCs w:val="22"/>
        </w:rPr>
        <w:t>(G prote</w:t>
      </w:r>
      <w:r w:rsidRPr="00B63E7D">
        <w:rPr>
          <w:sz w:val="22"/>
          <w:szCs w:val="22"/>
        </w:rPr>
        <w:t>íny</w:t>
      </w:r>
      <w:r w:rsidR="00094BED" w:rsidRPr="00B63E7D">
        <w:rPr>
          <w:sz w:val="22"/>
          <w:szCs w:val="22"/>
        </w:rPr>
        <w:t>). A</w:t>
      </w:r>
      <w:r w:rsidRPr="00B63E7D">
        <w:rPr>
          <w:sz w:val="22"/>
          <w:szCs w:val="22"/>
        </w:rPr>
        <w:t xml:space="preserve">ktivované </w:t>
      </w:r>
      <w:r w:rsidR="00094BED" w:rsidRPr="00B63E7D">
        <w:rPr>
          <w:sz w:val="22"/>
          <w:szCs w:val="22"/>
        </w:rPr>
        <w:t>G prote</w:t>
      </w:r>
      <w:r w:rsidRPr="00B63E7D">
        <w:rPr>
          <w:sz w:val="22"/>
          <w:szCs w:val="22"/>
        </w:rPr>
        <w:t>íny</w:t>
      </w:r>
      <w:r w:rsidR="00094BED" w:rsidRPr="00B63E7D">
        <w:rPr>
          <w:sz w:val="22"/>
          <w:szCs w:val="22"/>
        </w:rPr>
        <w:t xml:space="preserve"> modul</w:t>
      </w:r>
      <w:r w:rsidRPr="00B63E7D">
        <w:rPr>
          <w:sz w:val="22"/>
          <w:szCs w:val="22"/>
        </w:rPr>
        <w:t xml:space="preserve">ujú bunkovú aktivitu prostredníctvom </w:t>
      </w:r>
      <w:r w:rsidR="006221E8" w:rsidRPr="00B63E7D">
        <w:rPr>
          <w:sz w:val="22"/>
          <w:szCs w:val="22"/>
        </w:rPr>
        <w:t xml:space="preserve">signálnej dráhy druhého posla </w:t>
      </w:r>
      <w:r w:rsidRPr="00B63E7D">
        <w:rPr>
          <w:sz w:val="22"/>
          <w:szCs w:val="22"/>
        </w:rPr>
        <w:t xml:space="preserve">alebo </w:t>
      </w:r>
      <w:r w:rsidR="006221E8" w:rsidRPr="00B63E7D">
        <w:rPr>
          <w:sz w:val="22"/>
          <w:szCs w:val="22"/>
        </w:rPr>
        <w:t xml:space="preserve">pomocou </w:t>
      </w:r>
      <w:r w:rsidRPr="00B63E7D">
        <w:rPr>
          <w:sz w:val="22"/>
          <w:szCs w:val="22"/>
        </w:rPr>
        <w:t>moduláci</w:t>
      </w:r>
      <w:r w:rsidR="006221E8" w:rsidRPr="00B63E7D">
        <w:rPr>
          <w:sz w:val="22"/>
          <w:szCs w:val="22"/>
        </w:rPr>
        <w:t xml:space="preserve">e </w:t>
      </w:r>
      <w:r w:rsidRPr="00B63E7D">
        <w:rPr>
          <w:sz w:val="22"/>
          <w:szCs w:val="22"/>
        </w:rPr>
        <w:t>aktivity iónových kanálov</w:t>
      </w:r>
      <w:r w:rsidR="00094BED" w:rsidRPr="00B63E7D">
        <w:rPr>
          <w:sz w:val="22"/>
          <w:szCs w:val="22"/>
        </w:rPr>
        <w:t xml:space="preserve">. </w:t>
      </w:r>
      <w:r w:rsidR="006221E8" w:rsidRPr="00B63E7D">
        <w:rPr>
          <w:sz w:val="22"/>
          <w:szCs w:val="22"/>
        </w:rPr>
        <w:t xml:space="preserve">Po aktivácii dráhy </w:t>
      </w:r>
      <w:r w:rsidRPr="00B63E7D">
        <w:rPr>
          <w:sz w:val="22"/>
          <w:szCs w:val="22"/>
        </w:rPr>
        <w:t xml:space="preserve">druhého </w:t>
      </w:r>
      <w:r w:rsidR="006221E8" w:rsidRPr="00B63E7D">
        <w:rPr>
          <w:sz w:val="22"/>
          <w:szCs w:val="22"/>
        </w:rPr>
        <w:t xml:space="preserve">posla dochádza </w:t>
      </w:r>
      <w:r w:rsidRPr="00B63E7D">
        <w:rPr>
          <w:sz w:val="22"/>
          <w:szCs w:val="22"/>
        </w:rPr>
        <w:t xml:space="preserve">k </w:t>
      </w:r>
      <w:r w:rsidR="00094BED" w:rsidRPr="00B63E7D">
        <w:rPr>
          <w:sz w:val="22"/>
          <w:szCs w:val="22"/>
        </w:rPr>
        <w:t>inhib</w:t>
      </w:r>
      <w:r w:rsidRPr="00B63E7D">
        <w:rPr>
          <w:sz w:val="22"/>
          <w:szCs w:val="22"/>
        </w:rPr>
        <w:t xml:space="preserve">ícii </w:t>
      </w:r>
      <w:r w:rsidR="00094BED" w:rsidRPr="00B63E7D">
        <w:rPr>
          <w:sz w:val="22"/>
          <w:szCs w:val="22"/>
        </w:rPr>
        <w:t>adenyl</w:t>
      </w:r>
      <w:r w:rsidRPr="00B63E7D">
        <w:rPr>
          <w:sz w:val="22"/>
          <w:szCs w:val="22"/>
        </w:rPr>
        <w:t>átcyklázy</w:t>
      </w:r>
      <w:r w:rsidR="00094BED" w:rsidRPr="00B63E7D">
        <w:rPr>
          <w:sz w:val="22"/>
          <w:szCs w:val="22"/>
        </w:rPr>
        <w:t xml:space="preserve">, </w:t>
      </w:r>
      <w:r w:rsidRPr="00B63E7D">
        <w:rPr>
          <w:sz w:val="22"/>
          <w:szCs w:val="22"/>
        </w:rPr>
        <w:t>ktorá</w:t>
      </w:r>
      <w:r w:rsidR="00094BED" w:rsidRPr="00B63E7D">
        <w:rPr>
          <w:sz w:val="22"/>
          <w:szCs w:val="22"/>
        </w:rPr>
        <w:t xml:space="preserve"> </w:t>
      </w:r>
      <w:r w:rsidRPr="00B63E7D">
        <w:rPr>
          <w:sz w:val="22"/>
          <w:szCs w:val="22"/>
        </w:rPr>
        <w:t>naopak</w:t>
      </w:r>
      <w:r w:rsidR="00094BED" w:rsidRPr="00B63E7D">
        <w:rPr>
          <w:sz w:val="22"/>
          <w:szCs w:val="22"/>
        </w:rPr>
        <w:t xml:space="preserve">, </w:t>
      </w:r>
      <w:r w:rsidRPr="00B63E7D">
        <w:rPr>
          <w:sz w:val="22"/>
          <w:szCs w:val="22"/>
        </w:rPr>
        <w:t>vedie k znížen</w:t>
      </w:r>
      <w:r w:rsidR="006221E8" w:rsidRPr="00B63E7D">
        <w:rPr>
          <w:sz w:val="22"/>
          <w:szCs w:val="22"/>
        </w:rPr>
        <w:t xml:space="preserve">iu </w:t>
      </w:r>
      <w:r w:rsidRPr="00B63E7D">
        <w:rPr>
          <w:sz w:val="22"/>
          <w:szCs w:val="22"/>
        </w:rPr>
        <w:t>tvorb</w:t>
      </w:r>
      <w:r w:rsidR="006221E8" w:rsidRPr="00B63E7D">
        <w:rPr>
          <w:sz w:val="22"/>
          <w:szCs w:val="22"/>
        </w:rPr>
        <w:t xml:space="preserve">y </w:t>
      </w:r>
      <w:r w:rsidR="00094BED" w:rsidRPr="00B63E7D">
        <w:rPr>
          <w:sz w:val="22"/>
          <w:szCs w:val="22"/>
        </w:rPr>
        <w:t>3,5-cy</w:t>
      </w:r>
      <w:r w:rsidRPr="00B63E7D">
        <w:rPr>
          <w:sz w:val="22"/>
          <w:szCs w:val="22"/>
        </w:rPr>
        <w:t xml:space="preserve">klického </w:t>
      </w:r>
      <w:r w:rsidR="00094BED" w:rsidRPr="00B63E7D">
        <w:rPr>
          <w:sz w:val="22"/>
          <w:szCs w:val="22"/>
        </w:rPr>
        <w:t>adeno</w:t>
      </w:r>
      <w:r w:rsidRPr="00B63E7D">
        <w:rPr>
          <w:sz w:val="22"/>
          <w:szCs w:val="22"/>
        </w:rPr>
        <w:t>zín</w:t>
      </w:r>
      <w:r w:rsidR="00094BED" w:rsidRPr="00B63E7D">
        <w:rPr>
          <w:sz w:val="22"/>
          <w:szCs w:val="22"/>
        </w:rPr>
        <w:t>mono</w:t>
      </w:r>
      <w:r w:rsidRPr="00B63E7D">
        <w:rPr>
          <w:sz w:val="22"/>
          <w:szCs w:val="22"/>
        </w:rPr>
        <w:t>f</w:t>
      </w:r>
      <w:r w:rsidR="00094BED" w:rsidRPr="00B63E7D">
        <w:rPr>
          <w:sz w:val="22"/>
          <w:szCs w:val="22"/>
        </w:rPr>
        <w:t>os</w:t>
      </w:r>
      <w:r w:rsidRPr="00B63E7D">
        <w:rPr>
          <w:sz w:val="22"/>
          <w:szCs w:val="22"/>
        </w:rPr>
        <w:t>fátu</w:t>
      </w:r>
      <w:r w:rsidR="00094BED" w:rsidRPr="00B63E7D">
        <w:rPr>
          <w:sz w:val="22"/>
          <w:szCs w:val="22"/>
        </w:rPr>
        <w:t xml:space="preserve"> (cAMP). </w:t>
      </w:r>
      <w:r w:rsidRPr="00B63E7D">
        <w:rPr>
          <w:sz w:val="22"/>
          <w:szCs w:val="22"/>
        </w:rPr>
        <w:t>Š</w:t>
      </w:r>
      <w:r w:rsidR="00094BED" w:rsidRPr="00B63E7D">
        <w:rPr>
          <w:sz w:val="22"/>
          <w:szCs w:val="22"/>
        </w:rPr>
        <w:t>pecific</w:t>
      </w:r>
      <w:r w:rsidRPr="00B63E7D">
        <w:rPr>
          <w:sz w:val="22"/>
          <w:szCs w:val="22"/>
        </w:rPr>
        <w:t xml:space="preserve">ké kinázy závislé od </w:t>
      </w:r>
      <w:r w:rsidR="00094BED" w:rsidRPr="00B63E7D">
        <w:rPr>
          <w:sz w:val="22"/>
          <w:szCs w:val="22"/>
        </w:rPr>
        <w:t>cAMP modif</w:t>
      </w:r>
      <w:r w:rsidRPr="00B63E7D">
        <w:rPr>
          <w:sz w:val="22"/>
          <w:szCs w:val="22"/>
        </w:rPr>
        <w:t xml:space="preserve">ikujú aktivitu cieľových proteínov prostredníctvom kontroly </w:t>
      </w:r>
      <w:r w:rsidR="006221E8" w:rsidRPr="00B63E7D">
        <w:rPr>
          <w:sz w:val="22"/>
          <w:szCs w:val="22"/>
        </w:rPr>
        <w:t xml:space="preserve">stavu </w:t>
      </w:r>
      <w:r w:rsidRPr="00B63E7D">
        <w:rPr>
          <w:sz w:val="22"/>
          <w:szCs w:val="22"/>
        </w:rPr>
        <w:t>ich fosforylácie</w:t>
      </w:r>
      <w:r w:rsidR="00094BED" w:rsidRPr="00B63E7D">
        <w:rPr>
          <w:sz w:val="22"/>
          <w:szCs w:val="22"/>
        </w:rPr>
        <w:t>.</w:t>
      </w:r>
    </w:p>
    <w:p w:rsidR="00094BED" w:rsidRPr="00B63E7D" w:rsidRDefault="00094BED" w:rsidP="00F55242">
      <w:pPr>
        <w:shd w:val="clear" w:color="auto" w:fill="FFFFFF"/>
        <w:spacing w:line="240" w:lineRule="auto"/>
        <w:rPr>
          <w:sz w:val="22"/>
          <w:szCs w:val="22"/>
        </w:rPr>
      </w:pPr>
    </w:p>
    <w:p w:rsidR="00094BED" w:rsidRPr="00B63E7D" w:rsidRDefault="00015E79" w:rsidP="00F55242">
      <w:pPr>
        <w:shd w:val="clear" w:color="auto" w:fill="FFFFFF"/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Modulácia aktivity iónových kanálov vedie k</w:t>
      </w:r>
      <w:r w:rsidR="00094BED" w:rsidRPr="00B63E7D">
        <w:rPr>
          <w:sz w:val="22"/>
          <w:szCs w:val="22"/>
        </w:rPr>
        <w:t xml:space="preserve"> hyperpolariz</w:t>
      </w:r>
      <w:r w:rsidRPr="00B63E7D">
        <w:rPr>
          <w:sz w:val="22"/>
          <w:szCs w:val="22"/>
        </w:rPr>
        <w:t>ácii bunkových membrán</w:t>
      </w:r>
      <w:r w:rsidR="00094BED" w:rsidRPr="00B63E7D">
        <w:rPr>
          <w:sz w:val="22"/>
          <w:szCs w:val="22"/>
        </w:rPr>
        <w:t xml:space="preserve">. Eflux </w:t>
      </w:r>
      <w:r w:rsidRPr="00B63E7D">
        <w:rPr>
          <w:sz w:val="22"/>
          <w:szCs w:val="22"/>
        </w:rPr>
        <w:t xml:space="preserve">draslíka cez aktivovaný kanál </w:t>
      </w:r>
      <w:r w:rsidR="00094BED" w:rsidRPr="00B63E7D">
        <w:rPr>
          <w:sz w:val="22"/>
          <w:szCs w:val="22"/>
        </w:rPr>
        <w:t>hyperpolariz</w:t>
      </w:r>
      <w:r w:rsidRPr="00B63E7D">
        <w:rPr>
          <w:sz w:val="22"/>
          <w:szCs w:val="22"/>
        </w:rPr>
        <w:t xml:space="preserve">uje </w:t>
      </w:r>
      <w:r w:rsidR="00094BED" w:rsidRPr="00B63E7D">
        <w:rPr>
          <w:sz w:val="22"/>
          <w:szCs w:val="22"/>
        </w:rPr>
        <w:t>excitab</w:t>
      </w:r>
      <w:r w:rsidRPr="00B63E7D">
        <w:rPr>
          <w:sz w:val="22"/>
          <w:szCs w:val="22"/>
        </w:rPr>
        <w:t xml:space="preserve">ilnú </w:t>
      </w:r>
      <w:r w:rsidR="00094BED" w:rsidRPr="00B63E7D">
        <w:rPr>
          <w:sz w:val="22"/>
          <w:szCs w:val="22"/>
        </w:rPr>
        <w:t>membr</w:t>
      </w:r>
      <w:r w:rsidRPr="00B63E7D">
        <w:rPr>
          <w:sz w:val="22"/>
          <w:szCs w:val="22"/>
        </w:rPr>
        <w:t xml:space="preserve">ánu </w:t>
      </w:r>
      <w:r w:rsidR="00094BED" w:rsidRPr="00B63E7D">
        <w:rPr>
          <w:sz w:val="22"/>
          <w:szCs w:val="22"/>
        </w:rPr>
        <w:t>a</w:t>
      </w:r>
      <w:r w:rsidRPr="00B63E7D">
        <w:rPr>
          <w:sz w:val="22"/>
          <w:szCs w:val="22"/>
        </w:rPr>
        <w:t xml:space="preserve"> poskytuje účinné prostriedky </w:t>
      </w:r>
      <w:r w:rsidR="006D2485" w:rsidRPr="00B63E7D">
        <w:rPr>
          <w:sz w:val="22"/>
          <w:szCs w:val="22"/>
        </w:rPr>
        <w:t xml:space="preserve">na </w:t>
      </w:r>
      <w:r w:rsidRPr="00B63E7D">
        <w:rPr>
          <w:sz w:val="22"/>
          <w:szCs w:val="22"/>
        </w:rPr>
        <w:t>potlačeni</w:t>
      </w:r>
      <w:r w:rsidR="006D2485" w:rsidRPr="00B63E7D">
        <w:rPr>
          <w:sz w:val="22"/>
          <w:szCs w:val="22"/>
        </w:rPr>
        <w:t>e</w:t>
      </w:r>
      <w:r w:rsidRPr="00B63E7D">
        <w:rPr>
          <w:sz w:val="22"/>
          <w:szCs w:val="22"/>
        </w:rPr>
        <w:t xml:space="preserve"> aktivácie neurónov</w:t>
      </w:r>
      <w:r w:rsidR="00094BED" w:rsidRPr="00B63E7D">
        <w:rPr>
          <w:sz w:val="22"/>
          <w:szCs w:val="22"/>
        </w:rPr>
        <w:t>. Stimul</w:t>
      </w:r>
      <w:r w:rsidRPr="00B63E7D">
        <w:rPr>
          <w:sz w:val="22"/>
          <w:szCs w:val="22"/>
        </w:rPr>
        <w:t xml:space="preserve">ácia alfa-2 adrenoreceptorov potláča aj vstup vápnika do </w:t>
      </w:r>
      <w:r w:rsidR="00F401AC" w:rsidRPr="00B63E7D">
        <w:rPr>
          <w:sz w:val="22"/>
          <w:szCs w:val="22"/>
        </w:rPr>
        <w:t xml:space="preserve">terminálneho zakončenia </w:t>
      </w:r>
      <w:r w:rsidR="00094BED" w:rsidRPr="00B63E7D">
        <w:rPr>
          <w:sz w:val="22"/>
          <w:szCs w:val="22"/>
        </w:rPr>
        <w:t>ne</w:t>
      </w:r>
      <w:r w:rsidR="00F401AC" w:rsidRPr="00B63E7D">
        <w:rPr>
          <w:sz w:val="22"/>
          <w:szCs w:val="22"/>
        </w:rPr>
        <w:t>urónov</w:t>
      </w:r>
      <w:r w:rsidR="00094BED" w:rsidRPr="00B63E7D">
        <w:rPr>
          <w:sz w:val="22"/>
          <w:szCs w:val="22"/>
        </w:rPr>
        <w:t xml:space="preserve">, </w:t>
      </w:r>
      <w:r w:rsidR="00F401AC" w:rsidRPr="00B63E7D">
        <w:rPr>
          <w:sz w:val="22"/>
          <w:szCs w:val="22"/>
        </w:rPr>
        <w:t xml:space="preserve">čo </w:t>
      </w:r>
      <w:r w:rsidRPr="00B63E7D">
        <w:rPr>
          <w:sz w:val="22"/>
          <w:szCs w:val="22"/>
        </w:rPr>
        <w:t>môže zodpoved</w:t>
      </w:r>
      <w:r w:rsidR="00F401AC" w:rsidRPr="00B63E7D">
        <w:rPr>
          <w:sz w:val="22"/>
          <w:szCs w:val="22"/>
        </w:rPr>
        <w:t xml:space="preserve">ať </w:t>
      </w:r>
      <w:r w:rsidRPr="00B63E7D">
        <w:rPr>
          <w:sz w:val="22"/>
          <w:szCs w:val="22"/>
        </w:rPr>
        <w:t xml:space="preserve">za jeho inhibičný účinok v sekrécii </w:t>
      </w:r>
      <w:r w:rsidR="00094BED" w:rsidRPr="00B63E7D">
        <w:rPr>
          <w:sz w:val="22"/>
          <w:szCs w:val="22"/>
        </w:rPr>
        <w:t>neurotransmiter</w:t>
      </w:r>
      <w:r w:rsidRPr="00B63E7D">
        <w:rPr>
          <w:sz w:val="22"/>
          <w:szCs w:val="22"/>
        </w:rPr>
        <w:t>ov</w:t>
      </w:r>
      <w:r w:rsidR="00094BED" w:rsidRPr="00B63E7D">
        <w:rPr>
          <w:sz w:val="22"/>
          <w:szCs w:val="22"/>
        </w:rPr>
        <w:t xml:space="preserve">. </w:t>
      </w:r>
      <w:r w:rsidRPr="00B63E7D">
        <w:rPr>
          <w:sz w:val="22"/>
          <w:szCs w:val="22"/>
        </w:rPr>
        <w:t>Z anesteziologického hľadiska je kľúčovým elementom v mechanizme účinku agonistov alfa-2 adrenoreceptorov hyperpolarizácia neurónov</w:t>
      </w:r>
      <w:r w:rsidR="00094BED" w:rsidRPr="00B63E7D">
        <w:rPr>
          <w:sz w:val="22"/>
          <w:szCs w:val="22"/>
        </w:rPr>
        <w:t>.</w:t>
      </w:r>
    </w:p>
    <w:p w:rsidR="00094BED" w:rsidRPr="00B63E7D" w:rsidRDefault="00094BED" w:rsidP="00F55242">
      <w:pPr>
        <w:shd w:val="clear" w:color="auto" w:fill="FFFFFF"/>
        <w:spacing w:line="240" w:lineRule="auto"/>
        <w:rPr>
          <w:sz w:val="22"/>
          <w:szCs w:val="22"/>
        </w:rPr>
      </w:pPr>
    </w:p>
    <w:p w:rsidR="00094BED" w:rsidRPr="00B63E7D" w:rsidRDefault="00C915AD" w:rsidP="00F55242">
      <w:pPr>
        <w:shd w:val="clear" w:color="auto" w:fill="FFFFFF"/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 xml:space="preserve">Vo všeobecnosti presynaptická aktivácia alfa-2 adrenoreceptorov inhibuje uvoľňovanie noradrenalínu (norepinefrínu), čo prerušuje šírenia signálov bolesti. Posynaptická aktivácia alfa-2 adrenoreceptorov v centrálnom nervovom systéme (CNS) inhibuje aktivitu sympatiku, a to môže znížiť krvný tlak a tepovú frekvenciu. </w:t>
      </w:r>
      <w:r w:rsidR="00A608FA" w:rsidRPr="00B63E7D">
        <w:rPr>
          <w:sz w:val="22"/>
          <w:szCs w:val="22"/>
        </w:rPr>
        <w:t>Kombináciou týchto účinkov sa môže navodiť analgézia, sedácia a anxiolýza.</w:t>
      </w:r>
      <w:r w:rsidR="00094BED" w:rsidRPr="00B63E7D">
        <w:rPr>
          <w:sz w:val="22"/>
          <w:szCs w:val="22"/>
        </w:rPr>
        <w:t xml:space="preserve"> </w:t>
      </w:r>
      <w:r w:rsidR="00B843A4" w:rsidRPr="00B63E7D">
        <w:rPr>
          <w:sz w:val="22"/>
          <w:szCs w:val="22"/>
        </w:rPr>
        <w:t xml:space="preserve">Pri dexmedetomidine sa kombinujú všetky tieto účinky, preto sa na vyhnutie niektorým nežiaducim účinkom majú podať terapie s viacerými látkami. </w:t>
      </w:r>
      <w:r w:rsidR="00094BED" w:rsidRPr="00B63E7D">
        <w:rPr>
          <w:sz w:val="22"/>
          <w:szCs w:val="22"/>
        </w:rPr>
        <w:t>Dexmedetomid</w:t>
      </w:r>
      <w:r w:rsidR="00247A9F">
        <w:rPr>
          <w:sz w:val="22"/>
          <w:szCs w:val="22"/>
        </w:rPr>
        <w:t>í</w:t>
      </w:r>
      <w:r w:rsidR="00094BED" w:rsidRPr="00B63E7D">
        <w:rPr>
          <w:sz w:val="22"/>
          <w:szCs w:val="22"/>
        </w:rPr>
        <w:t>n</w:t>
      </w:r>
      <w:r w:rsidR="00B843A4" w:rsidRPr="00B63E7D">
        <w:rPr>
          <w:sz w:val="22"/>
          <w:szCs w:val="22"/>
        </w:rPr>
        <w:t xml:space="preserve"> je agonista alfa-2 adrenoreceptorov so </w:t>
      </w:r>
      <w:r w:rsidR="007B04F3" w:rsidRPr="00B63E7D">
        <w:rPr>
          <w:sz w:val="22"/>
          <w:szCs w:val="22"/>
        </w:rPr>
        <w:t xml:space="preserve">selektivitou na alfa-2 adrenoreceptor v </w:t>
      </w:r>
      <w:r w:rsidR="00B843A4" w:rsidRPr="00B63E7D">
        <w:rPr>
          <w:sz w:val="22"/>
          <w:szCs w:val="22"/>
        </w:rPr>
        <w:t>závisl</w:t>
      </w:r>
      <w:r w:rsidR="007B04F3" w:rsidRPr="00B63E7D">
        <w:rPr>
          <w:sz w:val="22"/>
          <w:szCs w:val="22"/>
        </w:rPr>
        <w:t xml:space="preserve">osti </w:t>
      </w:r>
      <w:r w:rsidR="00B843A4" w:rsidRPr="00B63E7D">
        <w:rPr>
          <w:sz w:val="22"/>
          <w:szCs w:val="22"/>
        </w:rPr>
        <w:t>od dávky.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5E4C83" w:rsidRPr="00B63E7D" w:rsidRDefault="005E4C83" w:rsidP="00F55242">
      <w:pPr>
        <w:suppressAutoHyphens w:val="0"/>
        <w:overflowPunct/>
        <w:spacing w:line="240" w:lineRule="auto"/>
        <w:textAlignment w:val="auto"/>
        <w:rPr>
          <w:sz w:val="22"/>
          <w:szCs w:val="22"/>
          <w:u w:val="single"/>
          <w:lang w:eastAsia="sk-SK"/>
        </w:rPr>
      </w:pPr>
      <w:r w:rsidRPr="00B63E7D">
        <w:rPr>
          <w:sz w:val="22"/>
          <w:szCs w:val="22"/>
          <w:u w:val="single"/>
          <w:lang w:eastAsia="sk-SK"/>
        </w:rPr>
        <w:t>Indikácia 1: Sedácia dospelých pacientov na JIS (jednotka intenzívnej starostlivosti)</w:t>
      </w:r>
    </w:p>
    <w:p w:rsidR="005E4C83" w:rsidRPr="00B63E7D" w:rsidRDefault="005E4C83" w:rsidP="00F55242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:rsidR="00094BED" w:rsidRPr="00B63E7D" w:rsidRDefault="00094BED" w:rsidP="00F55242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B63E7D">
        <w:rPr>
          <w:sz w:val="22"/>
          <w:szCs w:val="22"/>
        </w:rPr>
        <w:t>V placebom kontrolovaných skúšaniach s</w:t>
      </w:r>
      <w:r w:rsidR="00544377" w:rsidRPr="00B63E7D">
        <w:rPr>
          <w:sz w:val="22"/>
          <w:szCs w:val="22"/>
        </w:rPr>
        <w:t xml:space="preserve"> populáciou </w:t>
      </w:r>
      <w:r w:rsidRPr="00B63E7D">
        <w:rPr>
          <w:sz w:val="22"/>
          <w:szCs w:val="22"/>
        </w:rPr>
        <w:t>pacientov po operácii na JIS, ktorí boli predtým intubovaní a pod vplyvom sedatíva midazolamu alebo propofolu</w:t>
      </w:r>
      <w:r w:rsidR="00544377" w:rsidRPr="00B63E7D">
        <w:rPr>
          <w:sz w:val="22"/>
          <w:szCs w:val="22"/>
        </w:rPr>
        <w:t>,</w:t>
      </w:r>
      <w:r w:rsidRPr="00B63E7D">
        <w:rPr>
          <w:sz w:val="22"/>
          <w:szCs w:val="22"/>
        </w:rPr>
        <w:t xml:space="preserve"> dexmedetomidín významne znížil potrebu záchranného sedatíva (midazolamu alebo propofolu) a</w:t>
      </w:r>
      <w:r w:rsidR="00544377" w:rsidRPr="00B63E7D">
        <w:rPr>
          <w:sz w:val="22"/>
          <w:szCs w:val="22"/>
        </w:rPr>
        <w:t xml:space="preserve"> </w:t>
      </w:r>
      <w:r w:rsidRPr="00B63E7D">
        <w:rPr>
          <w:sz w:val="22"/>
          <w:szCs w:val="22"/>
        </w:rPr>
        <w:t xml:space="preserve">opiátov počas sedácie až do 24 hodín. Väčšina pacientov s dexmedetomidinom si nevyžadovala dodatočnú sedatívnu liečbu. Pacienti mohli byť úspešne extubovaní bez prerušenia infúzie </w:t>
      </w:r>
      <w:r w:rsidR="00544377" w:rsidRPr="00B63E7D">
        <w:rPr>
          <w:sz w:val="22"/>
          <w:szCs w:val="22"/>
        </w:rPr>
        <w:t>dexmedetomidínu.</w:t>
      </w:r>
    </w:p>
    <w:p w:rsidR="00094BED" w:rsidRPr="00B63E7D" w:rsidRDefault="00094BED" w:rsidP="00F55242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:rsidR="00094BED" w:rsidRPr="00B63E7D" w:rsidRDefault="00094BED" w:rsidP="00F55242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B63E7D">
        <w:rPr>
          <w:sz w:val="22"/>
          <w:szCs w:val="22"/>
        </w:rPr>
        <w:t>Dexmedetomid</w:t>
      </w:r>
      <w:r w:rsidR="00247A9F">
        <w:rPr>
          <w:sz w:val="22"/>
          <w:szCs w:val="22"/>
        </w:rPr>
        <w:t>í</w:t>
      </w:r>
      <w:r w:rsidRPr="00B63E7D">
        <w:rPr>
          <w:sz w:val="22"/>
          <w:szCs w:val="22"/>
        </w:rPr>
        <w:t xml:space="preserve">n </w:t>
      </w:r>
      <w:r w:rsidR="00544377" w:rsidRPr="00B63E7D">
        <w:rPr>
          <w:sz w:val="22"/>
          <w:szCs w:val="22"/>
        </w:rPr>
        <w:t xml:space="preserve">bol podobný </w:t>
      </w:r>
      <w:r w:rsidRPr="00B63E7D">
        <w:rPr>
          <w:sz w:val="22"/>
          <w:szCs w:val="22"/>
        </w:rPr>
        <w:t>midazolamu (pomer 1,07; 95 % CI 0,971, 1,176) a propofolu (pomer 1,00; 95</w:t>
      </w:r>
      <w:r w:rsidR="00544377" w:rsidRPr="00B63E7D">
        <w:rPr>
          <w:sz w:val="22"/>
          <w:szCs w:val="22"/>
        </w:rPr>
        <w:t> </w:t>
      </w:r>
      <w:r w:rsidRPr="00B63E7D">
        <w:rPr>
          <w:sz w:val="22"/>
          <w:szCs w:val="22"/>
        </w:rPr>
        <w:t xml:space="preserve">% CI 0,922, 1,075) v čase cieľového rozmedzia sedácie najmä v skupine liečených pacientov, u ktorých bola potrebná mierne predĺžená až stredne dlhá sedácia (RASS 0 až -3) na JIS až do 14 dní, skrátil trvanie mechanickej ventilácie v porovnaní s midazolamom a skrátil čas do extubácie v porovnaní s midazolamom a propofolom. V porovnaní s propofolom aj midazolamom sa pacienti ľahšie prebúdzali, </w:t>
      </w:r>
      <w:r w:rsidR="001B2D53" w:rsidRPr="00B63E7D">
        <w:rPr>
          <w:sz w:val="22"/>
          <w:szCs w:val="22"/>
        </w:rPr>
        <w:t xml:space="preserve">viac </w:t>
      </w:r>
      <w:r w:rsidRPr="00B63E7D">
        <w:rPr>
          <w:sz w:val="22"/>
          <w:szCs w:val="22"/>
        </w:rPr>
        <w:t>spolupracovali a dokázali lepšie vyjadriť, či majú alebo nemajú boles</w:t>
      </w:r>
      <w:r w:rsidR="001B2D53" w:rsidRPr="00B63E7D">
        <w:rPr>
          <w:sz w:val="22"/>
          <w:szCs w:val="22"/>
        </w:rPr>
        <w:t>ť</w:t>
      </w:r>
      <w:r w:rsidRPr="00B63E7D">
        <w:rPr>
          <w:sz w:val="22"/>
          <w:szCs w:val="22"/>
        </w:rPr>
        <w:t>. Pacienti liečení dexmedetomidinom mali častejšie hypotenziu a bradykardiu, no menej tachykardiu než pacienti, ktorí dostávali midazolam, a častejšie tachykardiu, no podobnú hypotenziu ako pacienti liečení propofolom. Delírium merané stupnicou CAM-ICU sa v štúdii znížilo v porovnaní s midazolamom a po dexmedetomid</w:t>
      </w:r>
      <w:r w:rsidR="00247A9F">
        <w:rPr>
          <w:sz w:val="22"/>
          <w:szCs w:val="22"/>
        </w:rPr>
        <w:t>í</w:t>
      </w:r>
      <w:r w:rsidRPr="00B63E7D">
        <w:rPr>
          <w:sz w:val="22"/>
          <w:szCs w:val="22"/>
        </w:rPr>
        <w:t>ne bolo menej nežiaducich účinkov súvisiacich s delíriom v porovnaní s propofolom. Pacienti, u ktorých sa podávanie vysadilo z dôvodu nedostatočnej sedácie, boli prestavení buď na propofol alebo na midazolam. Bezprostredne pred prestavením bolo zvýšené riziko nedostatočnej sedácie u pacientov, u ktorých bola problémová sedácia pri štandardnej starostlivosti.</w:t>
      </w:r>
    </w:p>
    <w:p w:rsidR="00094BED" w:rsidRPr="00B63E7D" w:rsidRDefault="00094BED" w:rsidP="00F55242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:rsidR="00094BED" w:rsidRPr="00B63E7D" w:rsidRDefault="00094BED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Dôkaz účinnosti lieku u </w:t>
      </w:r>
      <w:r w:rsidR="001B2D53" w:rsidRPr="00B63E7D">
        <w:rPr>
          <w:sz w:val="22"/>
          <w:szCs w:val="22"/>
        </w:rPr>
        <w:t xml:space="preserve">pediatrických pacientov </w:t>
      </w:r>
      <w:r w:rsidRPr="00B63E7D">
        <w:rPr>
          <w:sz w:val="22"/>
          <w:szCs w:val="22"/>
        </w:rPr>
        <w:t xml:space="preserve">sa pozoroval </w:t>
      </w:r>
      <w:r w:rsidR="00D86F89" w:rsidRPr="00B63E7D">
        <w:rPr>
          <w:sz w:val="22"/>
          <w:szCs w:val="22"/>
        </w:rPr>
        <w:t xml:space="preserve">v </w:t>
      </w:r>
      <w:r w:rsidR="001062B2" w:rsidRPr="00B63E7D">
        <w:rPr>
          <w:sz w:val="22"/>
          <w:szCs w:val="22"/>
        </w:rPr>
        <w:t xml:space="preserve">štúdii s </w:t>
      </w:r>
      <w:r w:rsidRPr="00B63E7D">
        <w:rPr>
          <w:sz w:val="22"/>
          <w:szCs w:val="22"/>
        </w:rPr>
        <w:t>kontrolovan</w:t>
      </w:r>
      <w:r w:rsidR="001062B2" w:rsidRPr="00B63E7D">
        <w:rPr>
          <w:sz w:val="22"/>
          <w:szCs w:val="22"/>
        </w:rPr>
        <w:t xml:space="preserve">ou dávkou </w:t>
      </w:r>
      <w:r w:rsidRPr="00B63E7D">
        <w:rPr>
          <w:sz w:val="22"/>
          <w:szCs w:val="22"/>
        </w:rPr>
        <w:t>na JIS v populácii prevažne po operácii vo veku 1</w:t>
      </w:r>
      <w:r w:rsidR="001062B2" w:rsidRPr="00B63E7D">
        <w:rPr>
          <w:sz w:val="22"/>
          <w:szCs w:val="22"/>
        </w:rPr>
        <w:t> mesiac až ≤ </w:t>
      </w:r>
      <w:r w:rsidRPr="00B63E7D">
        <w:rPr>
          <w:sz w:val="22"/>
          <w:szCs w:val="22"/>
        </w:rPr>
        <w:t>17 rokov. Približne 50 % pacientov liečených dexmedetomidínom nepotrebovala pridanie záchranného sedatíva midazolam</w:t>
      </w:r>
      <w:r w:rsidR="001062B2" w:rsidRPr="00B63E7D">
        <w:rPr>
          <w:sz w:val="22"/>
          <w:szCs w:val="22"/>
        </w:rPr>
        <w:t>u</w:t>
      </w:r>
      <w:r w:rsidRPr="00B63E7D">
        <w:rPr>
          <w:sz w:val="22"/>
          <w:szCs w:val="22"/>
        </w:rPr>
        <w:t xml:space="preserve"> počas liečby s</w:t>
      </w:r>
      <w:r w:rsidR="001062B2" w:rsidRPr="00B63E7D">
        <w:rPr>
          <w:sz w:val="22"/>
          <w:szCs w:val="22"/>
        </w:rPr>
        <w:t xml:space="preserve"> mediánom </w:t>
      </w:r>
      <w:r w:rsidRPr="00B63E7D">
        <w:rPr>
          <w:sz w:val="22"/>
          <w:szCs w:val="22"/>
        </w:rPr>
        <w:t>trvania 20,3 hod</w:t>
      </w:r>
      <w:r w:rsidR="001062B2" w:rsidRPr="00B63E7D">
        <w:rPr>
          <w:sz w:val="22"/>
          <w:szCs w:val="22"/>
        </w:rPr>
        <w:t>iny</w:t>
      </w:r>
      <w:r w:rsidRPr="00B63E7D">
        <w:rPr>
          <w:sz w:val="22"/>
          <w:szCs w:val="22"/>
        </w:rPr>
        <w:t xml:space="preserve">, neprekračujúc 24 hodín. Údaje o liečbe trvajúcej </w:t>
      </w:r>
      <w:r w:rsidRPr="00B63E7D">
        <w:rPr>
          <w:noProof/>
          <w:sz w:val="22"/>
          <w:szCs w:val="22"/>
        </w:rPr>
        <w:t>&gt;</w:t>
      </w:r>
      <w:r w:rsidR="001062B2" w:rsidRPr="00B63E7D">
        <w:rPr>
          <w:sz w:val="22"/>
          <w:szCs w:val="22"/>
        </w:rPr>
        <w:t> </w:t>
      </w:r>
      <w:r w:rsidRPr="00B63E7D">
        <w:rPr>
          <w:sz w:val="22"/>
          <w:szCs w:val="22"/>
        </w:rPr>
        <w:t xml:space="preserve">24 hodín nie sú k dispozícii. Údaje od novorodencov (28-44 týždňov gestácie) sú veľmi limitované a obmedzené na </w:t>
      </w:r>
      <w:r w:rsidR="001062B2" w:rsidRPr="00B63E7D">
        <w:rPr>
          <w:sz w:val="22"/>
          <w:szCs w:val="22"/>
        </w:rPr>
        <w:lastRenderedPageBreak/>
        <w:t xml:space="preserve">nízku </w:t>
      </w:r>
      <w:r w:rsidRPr="00B63E7D">
        <w:rPr>
          <w:sz w:val="22"/>
          <w:szCs w:val="22"/>
        </w:rPr>
        <w:t xml:space="preserve">dávku </w:t>
      </w:r>
      <w:r w:rsidR="001062B2" w:rsidRPr="00B63E7D">
        <w:rPr>
          <w:noProof/>
          <w:sz w:val="22"/>
          <w:szCs w:val="22"/>
        </w:rPr>
        <w:t>≤ </w:t>
      </w:r>
      <w:r w:rsidRPr="00B63E7D">
        <w:rPr>
          <w:noProof/>
          <w:sz w:val="22"/>
          <w:szCs w:val="22"/>
        </w:rPr>
        <w:t>0,2 mikrogram</w:t>
      </w:r>
      <w:r w:rsidR="001062B2" w:rsidRPr="00B63E7D">
        <w:rPr>
          <w:noProof/>
          <w:sz w:val="22"/>
          <w:szCs w:val="22"/>
        </w:rPr>
        <w:t>u</w:t>
      </w:r>
      <w:r w:rsidRPr="00B63E7D">
        <w:rPr>
          <w:noProof/>
          <w:sz w:val="22"/>
          <w:szCs w:val="22"/>
        </w:rPr>
        <w:t>/kg</w:t>
      </w:r>
      <w:r w:rsidR="008B2DF5" w:rsidRPr="00B63E7D">
        <w:rPr>
          <w:noProof/>
          <w:sz w:val="22"/>
          <w:szCs w:val="22"/>
        </w:rPr>
        <w:t>/hod.</w:t>
      </w:r>
      <w:r w:rsidRPr="00B63E7D">
        <w:rPr>
          <w:noProof/>
          <w:sz w:val="22"/>
          <w:szCs w:val="22"/>
        </w:rPr>
        <w:t xml:space="preserve"> (pozri časti</w:t>
      </w:r>
      <w:r w:rsidR="001062B2" w:rsidRPr="00B63E7D">
        <w:rPr>
          <w:noProof/>
          <w:sz w:val="22"/>
          <w:szCs w:val="22"/>
        </w:rPr>
        <w:t> </w:t>
      </w:r>
      <w:r w:rsidRPr="00B63E7D">
        <w:rPr>
          <w:noProof/>
          <w:sz w:val="22"/>
          <w:szCs w:val="22"/>
        </w:rPr>
        <w:t>5.2 a 4.4).</w:t>
      </w:r>
      <w:r w:rsidRPr="00B63E7D">
        <w:rPr>
          <w:sz w:val="22"/>
          <w:szCs w:val="22"/>
        </w:rPr>
        <w:t xml:space="preserve"> Novorodenci môžu byť osobitne citliví na bradykardické účinky dexmedetomidínu </w:t>
      </w:r>
      <w:r w:rsidR="001062B2" w:rsidRPr="00B63E7D">
        <w:rPr>
          <w:sz w:val="22"/>
          <w:szCs w:val="22"/>
        </w:rPr>
        <w:t xml:space="preserve">v prítomnosti </w:t>
      </w:r>
      <w:r w:rsidRPr="00B63E7D">
        <w:rPr>
          <w:sz w:val="22"/>
          <w:szCs w:val="22"/>
        </w:rPr>
        <w:t>hypotermii a pri stavoch tepovej frekvencie závislej od srdcového výdaja.</w:t>
      </w:r>
    </w:p>
    <w:p w:rsidR="00094BED" w:rsidRPr="00B63E7D" w:rsidRDefault="00094BED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094BED" w:rsidRPr="00B63E7D" w:rsidRDefault="00094BED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bCs/>
          <w:sz w:val="22"/>
          <w:szCs w:val="22"/>
        </w:rPr>
        <w:t>V dvojito zaslepených komparátorom kontrolovaných štúdiách na JIS bol výskyt supresie kortizolu u pacientov liečených dexmedetomidinom (n=778) 0,5 % v porovnaní s 0 % u pacientov liečených buď midazolamom (n=338) alebo propofolom (n=275). </w:t>
      </w:r>
      <w:r w:rsidR="00601586" w:rsidRPr="00B63E7D">
        <w:rPr>
          <w:bCs/>
          <w:sz w:val="22"/>
          <w:szCs w:val="22"/>
        </w:rPr>
        <w:t xml:space="preserve">Udalosť </w:t>
      </w:r>
      <w:r w:rsidRPr="00B63E7D">
        <w:rPr>
          <w:bCs/>
          <w:sz w:val="22"/>
          <w:szCs w:val="22"/>
        </w:rPr>
        <w:t>sa hlásila ako mierna v 1 prípade a stredne závažná v 3 prípadoch.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094BED" w:rsidRPr="00B63E7D" w:rsidRDefault="005E4C83" w:rsidP="00F55242">
      <w:pPr>
        <w:spacing w:line="240" w:lineRule="auto"/>
        <w:rPr>
          <w:sz w:val="22"/>
          <w:szCs w:val="22"/>
          <w:u w:val="single"/>
        </w:rPr>
      </w:pPr>
      <w:r w:rsidRPr="00B63E7D">
        <w:rPr>
          <w:sz w:val="22"/>
          <w:szCs w:val="22"/>
          <w:u w:val="single"/>
        </w:rPr>
        <w:t xml:space="preserve">Indikácia 2: </w:t>
      </w:r>
      <w:r w:rsidR="00094BED" w:rsidRPr="00B63E7D">
        <w:rPr>
          <w:sz w:val="22"/>
          <w:szCs w:val="22"/>
          <w:u w:val="single"/>
        </w:rPr>
        <w:t>Procedur</w:t>
      </w:r>
      <w:r w:rsidR="0057455E" w:rsidRPr="00B63E7D">
        <w:rPr>
          <w:sz w:val="22"/>
          <w:szCs w:val="22"/>
          <w:u w:val="single"/>
        </w:rPr>
        <w:t>álna sedácia/sedácia pri vedomí</w:t>
      </w:r>
    </w:p>
    <w:p w:rsidR="00094BED" w:rsidRPr="00B63E7D" w:rsidRDefault="00094BED" w:rsidP="00F55242">
      <w:pPr>
        <w:shd w:val="clear" w:color="auto" w:fill="FFFFFF"/>
        <w:spacing w:line="240" w:lineRule="auto"/>
        <w:rPr>
          <w:sz w:val="22"/>
          <w:szCs w:val="22"/>
        </w:rPr>
      </w:pPr>
    </w:p>
    <w:p w:rsidR="00094BED" w:rsidRPr="00B63E7D" w:rsidRDefault="006C3517" w:rsidP="00F55242">
      <w:pPr>
        <w:shd w:val="clear" w:color="auto" w:fill="FFFFFF"/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 xml:space="preserve">Bezpečnosť a účinnosť </w:t>
      </w:r>
      <w:r w:rsidR="00094BED" w:rsidRPr="00B63E7D">
        <w:rPr>
          <w:sz w:val="22"/>
          <w:szCs w:val="22"/>
        </w:rPr>
        <w:t>dexmedetomidin</w:t>
      </w:r>
      <w:r w:rsidRPr="00B63E7D">
        <w:rPr>
          <w:sz w:val="22"/>
          <w:szCs w:val="22"/>
        </w:rPr>
        <w:t xml:space="preserve">u na sedáciu </w:t>
      </w:r>
      <w:r w:rsidR="00094BED" w:rsidRPr="00B63E7D">
        <w:rPr>
          <w:sz w:val="22"/>
          <w:szCs w:val="22"/>
        </w:rPr>
        <w:t>n</w:t>
      </w:r>
      <w:r w:rsidRPr="00B63E7D">
        <w:rPr>
          <w:sz w:val="22"/>
          <w:szCs w:val="22"/>
        </w:rPr>
        <w:t>e</w:t>
      </w:r>
      <w:r w:rsidR="00094BED" w:rsidRPr="00B63E7D">
        <w:rPr>
          <w:sz w:val="22"/>
          <w:szCs w:val="22"/>
        </w:rPr>
        <w:t>intub</w:t>
      </w:r>
      <w:r w:rsidRPr="00B63E7D">
        <w:rPr>
          <w:sz w:val="22"/>
          <w:szCs w:val="22"/>
        </w:rPr>
        <w:t xml:space="preserve">ovaných </w:t>
      </w:r>
      <w:r w:rsidR="00094BED" w:rsidRPr="00B63E7D">
        <w:rPr>
          <w:sz w:val="22"/>
          <w:szCs w:val="22"/>
        </w:rPr>
        <w:t>pa</w:t>
      </w:r>
      <w:r w:rsidRPr="00B63E7D">
        <w:rPr>
          <w:sz w:val="22"/>
          <w:szCs w:val="22"/>
        </w:rPr>
        <w:t xml:space="preserve">cientov pred </w:t>
      </w:r>
      <w:r w:rsidR="00094BED" w:rsidRPr="00B63E7D">
        <w:rPr>
          <w:sz w:val="22"/>
          <w:szCs w:val="22"/>
        </w:rPr>
        <w:t>a/</w:t>
      </w:r>
      <w:r w:rsidRPr="00B63E7D">
        <w:rPr>
          <w:sz w:val="22"/>
          <w:szCs w:val="22"/>
        </w:rPr>
        <w:t xml:space="preserve">alebo počas chirurgického výkonu </w:t>
      </w:r>
      <w:r w:rsidR="00094BED" w:rsidRPr="00B63E7D">
        <w:rPr>
          <w:sz w:val="22"/>
          <w:szCs w:val="22"/>
        </w:rPr>
        <w:t>a diagnostic</w:t>
      </w:r>
      <w:r w:rsidRPr="00B63E7D">
        <w:rPr>
          <w:sz w:val="22"/>
          <w:szCs w:val="22"/>
        </w:rPr>
        <w:t xml:space="preserve">kej procedúry sa hodnotili v dvoch </w:t>
      </w:r>
      <w:r w:rsidR="00094BED" w:rsidRPr="00B63E7D">
        <w:rPr>
          <w:sz w:val="22"/>
          <w:szCs w:val="22"/>
        </w:rPr>
        <w:t>randomiz</w:t>
      </w:r>
      <w:r w:rsidRPr="00B63E7D">
        <w:rPr>
          <w:sz w:val="22"/>
          <w:szCs w:val="22"/>
        </w:rPr>
        <w:t>ovaných</w:t>
      </w:r>
      <w:r w:rsidR="00094BED" w:rsidRPr="00B63E7D">
        <w:rPr>
          <w:sz w:val="22"/>
          <w:szCs w:val="22"/>
        </w:rPr>
        <w:t xml:space="preserve">, </w:t>
      </w:r>
      <w:r w:rsidRPr="00B63E7D">
        <w:rPr>
          <w:sz w:val="22"/>
          <w:szCs w:val="22"/>
        </w:rPr>
        <w:t>dvojito zaslepených</w:t>
      </w:r>
      <w:r w:rsidR="00094BED" w:rsidRPr="00B63E7D">
        <w:rPr>
          <w:sz w:val="22"/>
          <w:szCs w:val="22"/>
        </w:rPr>
        <w:t>, placebo</w:t>
      </w:r>
      <w:r w:rsidRPr="00B63E7D">
        <w:rPr>
          <w:sz w:val="22"/>
          <w:szCs w:val="22"/>
        </w:rPr>
        <w:t>m k</w:t>
      </w:r>
      <w:r w:rsidR="00094BED" w:rsidRPr="00B63E7D">
        <w:rPr>
          <w:sz w:val="22"/>
          <w:szCs w:val="22"/>
        </w:rPr>
        <w:t>ontrol</w:t>
      </w:r>
      <w:r w:rsidRPr="00B63E7D">
        <w:rPr>
          <w:sz w:val="22"/>
          <w:szCs w:val="22"/>
        </w:rPr>
        <w:t xml:space="preserve">ovaných </w:t>
      </w:r>
      <w:r w:rsidR="00094BED" w:rsidRPr="00B63E7D">
        <w:rPr>
          <w:sz w:val="22"/>
          <w:szCs w:val="22"/>
        </w:rPr>
        <w:t>multicentr</w:t>
      </w:r>
      <w:r w:rsidRPr="00B63E7D">
        <w:rPr>
          <w:sz w:val="22"/>
          <w:szCs w:val="22"/>
        </w:rPr>
        <w:t>ických klinických skúšaniach</w:t>
      </w:r>
      <w:r w:rsidR="00094BED" w:rsidRPr="00B63E7D">
        <w:rPr>
          <w:sz w:val="22"/>
          <w:szCs w:val="22"/>
        </w:rPr>
        <w:t>.</w:t>
      </w:r>
    </w:p>
    <w:p w:rsidR="00094BED" w:rsidRPr="00B63E7D" w:rsidRDefault="00094BED" w:rsidP="00F55242">
      <w:pPr>
        <w:shd w:val="clear" w:color="auto" w:fill="FFFFFF"/>
        <w:spacing w:line="240" w:lineRule="auto"/>
        <w:rPr>
          <w:sz w:val="22"/>
          <w:szCs w:val="22"/>
        </w:rPr>
      </w:pPr>
    </w:p>
    <w:p w:rsidR="00094BED" w:rsidRPr="00B63E7D" w:rsidRDefault="0062714C" w:rsidP="00F55242">
      <w:pPr>
        <w:pStyle w:val="Odsekzoznamu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/>
        </w:rPr>
      </w:pPr>
      <w:r w:rsidRPr="00B63E7D">
        <w:rPr>
          <w:rFonts w:ascii="Times New Roman" w:eastAsia="Times New Roman" w:hAnsi="Times New Roman"/>
        </w:rPr>
        <w:t>Štúdia </w:t>
      </w:r>
      <w:r w:rsidR="00094BED" w:rsidRPr="00B63E7D">
        <w:rPr>
          <w:rFonts w:ascii="Times New Roman" w:eastAsia="Times New Roman" w:hAnsi="Times New Roman"/>
        </w:rPr>
        <w:t xml:space="preserve">1 </w:t>
      </w:r>
      <w:r w:rsidRPr="00B63E7D">
        <w:rPr>
          <w:rFonts w:ascii="Times New Roman" w:eastAsia="Times New Roman" w:hAnsi="Times New Roman"/>
        </w:rPr>
        <w:t xml:space="preserve">hodnotila sedatívne vlastnosti </w:t>
      </w:r>
      <w:r w:rsidR="00094BED" w:rsidRPr="00B63E7D">
        <w:rPr>
          <w:rFonts w:ascii="Times New Roman" w:eastAsia="Times New Roman" w:hAnsi="Times New Roman"/>
        </w:rPr>
        <w:t>dexmedetomid</w:t>
      </w:r>
      <w:r w:rsidR="00247A9F">
        <w:rPr>
          <w:rFonts w:ascii="Times New Roman" w:eastAsia="Times New Roman" w:hAnsi="Times New Roman"/>
        </w:rPr>
        <w:t>í</w:t>
      </w:r>
      <w:r w:rsidR="00094BED" w:rsidRPr="00B63E7D">
        <w:rPr>
          <w:rFonts w:ascii="Times New Roman" w:eastAsia="Times New Roman" w:hAnsi="Times New Roman"/>
        </w:rPr>
        <w:t>n</w:t>
      </w:r>
      <w:r w:rsidRPr="00B63E7D">
        <w:rPr>
          <w:rFonts w:ascii="Times New Roman" w:eastAsia="Times New Roman" w:hAnsi="Times New Roman"/>
        </w:rPr>
        <w:t xml:space="preserve">u u pacientov, ktorí mali rôzne </w:t>
      </w:r>
      <w:r w:rsidR="00094BED" w:rsidRPr="00B63E7D">
        <w:rPr>
          <w:rFonts w:ascii="Times New Roman" w:eastAsia="Times New Roman" w:hAnsi="Times New Roman"/>
        </w:rPr>
        <w:t>ele</w:t>
      </w:r>
      <w:r w:rsidRPr="00B63E7D">
        <w:rPr>
          <w:rFonts w:ascii="Times New Roman" w:eastAsia="Times New Roman" w:hAnsi="Times New Roman"/>
        </w:rPr>
        <w:t>ktívne chirurgické výkony</w:t>
      </w:r>
      <w:r w:rsidR="00094BED" w:rsidRPr="00B63E7D">
        <w:rPr>
          <w:rFonts w:ascii="Times New Roman" w:eastAsia="Times New Roman" w:hAnsi="Times New Roman"/>
        </w:rPr>
        <w:t>/proced</w:t>
      </w:r>
      <w:r w:rsidRPr="00B63E7D">
        <w:rPr>
          <w:rFonts w:ascii="Times New Roman" w:eastAsia="Times New Roman" w:hAnsi="Times New Roman"/>
        </w:rPr>
        <w:t xml:space="preserve">úry vykonané pri sledovaní </w:t>
      </w:r>
      <w:r w:rsidR="00094BED" w:rsidRPr="00B63E7D">
        <w:rPr>
          <w:rFonts w:ascii="Times New Roman" w:eastAsia="Times New Roman" w:hAnsi="Times New Roman"/>
        </w:rPr>
        <w:t>anes</w:t>
      </w:r>
      <w:r w:rsidRPr="00B63E7D">
        <w:rPr>
          <w:rFonts w:ascii="Times New Roman" w:eastAsia="Times New Roman" w:hAnsi="Times New Roman"/>
        </w:rPr>
        <w:t>tetickej starostlivosti v porovnaní s percentom pacientov</w:t>
      </w:r>
      <w:r w:rsidR="0075056C" w:rsidRPr="00B63E7D">
        <w:rPr>
          <w:rFonts w:ascii="Times New Roman" w:eastAsia="Times New Roman" w:hAnsi="Times New Roman"/>
        </w:rPr>
        <w:t xml:space="preserve">, </w:t>
      </w:r>
      <w:r w:rsidR="00B45121" w:rsidRPr="00B63E7D">
        <w:rPr>
          <w:rFonts w:ascii="Times New Roman" w:eastAsia="Times New Roman" w:hAnsi="Times New Roman"/>
        </w:rPr>
        <w:t xml:space="preserve">u </w:t>
      </w:r>
      <w:r w:rsidR="0075056C" w:rsidRPr="00B63E7D">
        <w:rPr>
          <w:rFonts w:ascii="Times New Roman" w:eastAsia="Times New Roman" w:hAnsi="Times New Roman"/>
        </w:rPr>
        <w:t>ktor</w:t>
      </w:r>
      <w:r w:rsidR="00B45121" w:rsidRPr="00B63E7D">
        <w:rPr>
          <w:rFonts w:ascii="Times New Roman" w:eastAsia="Times New Roman" w:hAnsi="Times New Roman"/>
        </w:rPr>
        <w:t xml:space="preserve">ých sa </w:t>
      </w:r>
      <w:r w:rsidR="0075056C" w:rsidRPr="00B63E7D">
        <w:rPr>
          <w:rFonts w:ascii="Times New Roman" w:eastAsia="Times New Roman" w:hAnsi="Times New Roman"/>
        </w:rPr>
        <w:t>nevyžadoval</w:t>
      </w:r>
      <w:r w:rsidR="00B45121" w:rsidRPr="00B63E7D">
        <w:rPr>
          <w:rFonts w:ascii="Times New Roman" w:eastAsia="Times New Roman" w:hAnsi="Times New Roman"/>
        </w:rPr>
        <w:t>a</w:t>
      </w:r>
      <w:r w:rsidR="0075056C" w:rsidRPr="00B63E7D">
        <w:rPr>
          <w:rFonts w:ascii="Times New Roman" w:eastAsia="Times New Roman" w:hAnsi="Times New Roman"/>
        </w:rPr>
        <w:t xml:space="preserve"> záchrann</w:t>
      </w:r>
      <w:r w:rsidR="00B45121" w:rsidRPr="00B63E7D">
        <w:rPr>
          <w:rFonts w:ascii="Times New Roman" w:eastAsia="Times New Roman" w:hAnsi="Times New Roman"/>
        </w:rPr>
        <w:t xml:space="preserve">á liečba </w:t>
      </w:r>
      <w:r w:rsidR="00094BED" w:rsidRPr="00B63E7D">
        <w:rPr>
          <w:rFonts w:ascii="Times New Roman" w:hAnsi="Times New Roman"/>
        </w:rPr>
        <w:t>midazolam</w:t>
      </w:r>
      <w:r w:rsidR="00B45121" w:rsidRPr="00B63E7D">
        <w:rPr>
          <w:rFonts w:ascii="Times New Roman" w:hAnsi="Times New Roman"/>
        </w:rPr>
        <w:t>om</w:t>
      </w:r>
      <w:r w:rsidR="0075056C" w:rsidRPr="00B63E7D">
        <w:rPr>
          <w:rFonts w:ascii="Times New Roman" w:hAnsi="Times New Roman"/>
        </w:rPr>
        <w:t xml:space="preserve"> na dosiahnutie š</w:t>
      </w:r>
      <w:r w:rsidR="00094BED" w:rsidRPr="00B63E7D">
        <w:rPr>
          <w:rFonts w:ascii="Times New Roman" w:hAnsi="Times New Roman"/>
        </w:rPr>
        <w:t>pecifi</w:t>
      </w:r>
      <w:r w:rsidR="0075056C" w:rsidRPr="00B63E7D">
        <w:rPr>
          <w:rFonts w:ascii="Times New Roman" w:hAnsi="Times New Roman"/>
        </w:rPr>
        <w:t xml:space="preserve">kovanej hladiny </w:t>
      </w:r>
      <w:r w:rsidR="00094BED" w:rsidRPr="00B63E7D">
        <w:rPr>
          <w:rFonts w:ascii="Times New Roman" w:hAnsi="Times New Roman"/>
        </w:rPr>
        <w:t>sed</w:t>
      </w:r>
      <w:r w:rsidR="0075056C" w:rsidRPr="00B63E7D">
        <w:rPr>
          <w:rFonts w:ascii="Times New Roman" w:hAnsi="Times New Roman"/>
        </w:rPr>
        <w:t>ácie použitím štandardizovaného skóre bdelosti/sedácie hodnoten</w:t>
      </w:r>
      <w:r w:rsidR="00B45121" w:rsidRPr="00B63E7D">
        <w:rPr>
          <w:rFonts w:ascii="Times New Roman" w:hAnsi="Times New Roman"/>
        </w:rPr>
        <w:t xml:space="preserve">é </w:t>
      </w:r>
      <w:r w:rsidR="0075056C" w:rsidRPr="00B63E7D">
        <w:rPr>
          <w:rFonts w:ascii="Times New Roman" w:hAnsi="Times New Roman"/>
        </w:rPr>
        <w:t>pozorovateľ</w:t>
      </w:r>
      <w:r w:rsidR="00B45121" w:rsidRPr="00B63E7D">
        <w:rPr>
          <w:rFonts w:ascii="Times New Roman" w:hAnsi="Times New Roman"/>
        </w:rPr>
        <w:t>om</w:t>
      </w:r>
      <w:r w:rsidR="0075056C" w:rsidRPr="00B63E7D">
        <w:rPr>
          <w:rFonts w:ascii="Times New Roman" w:hAnsi="Times New Roman"/>
        </w:rPr>
        <w:t xml:space="preserve"> (</w:t>
      </w:r>
      <w:r w:rsidR="00094BED" w:rsidRPr="00B63E7D">
        <w:rPr>
          <w:rFonts w:ascii="Times New Roman" w:hAnsi="Times New Roman"/>
        </w:rPr>
        <w:t>Observer’s Assessment of Alertness/Sedation Scale</w:t>
      </w:r>
      <w:r w:rsidR="0075056C" w:rsidRPr="00B63E7D">
        <w:rPr>
          <w:rFonts w:ascii="Times New Roman" w:hAnsi="Times New Roman"/>
        </w:rPr>
        <w:t>)</w:t>
      </w:r>
      <w:r w:rsidR="00094BED" w:rsidRPr="00B63E7D">
        <w:rPr>
          <w:rFonts w:ascii="Times New Roman" w:hAnsi="Times New Roman"/>
        </w:rPr>
        <w:t>.</w:t>
      </w:r>
    </w:p>
    <w:p w:rsidR="00094BED" w:rsidRPr="00B63E7D" w:rsidRDefault="00094BED" w:rsidP="00F55242">
      <w:pPr>
        <w:pStyle w:val="Odsekzoznamu"/>
        <w:spacing w:after="0" w:line="240" w:lineRule="auto"/>
        <w:contextualSpacing w:val="0"/>
        <w:rPr>
          <w:rFonts w:ascii="Times New Roman" w:hAnsi="Times New Roman"/>
        </w:rPr>
      </w:pPr>
      <w:r w:rsidRPr="00B63E7D">
        <w:rPr>
          <w:rFonts w:ascii="Times New Roman" w:hAnsi="Times New Roman"/>
        </w:rPr>
        <w:t>Pa</w:t>
      </w:r>
      <w:r w:rsidR="0075056C" w:rsidRPr="00B63E7D">
        <w:rPr>
          <w:rFonts w:ascii="Times New Roman" w:hAnsi="Times New Roman"/>
        </w:rPr>
        <w:t xml:space="preserve">cienti boli </w:t>
      </w:r>
      <w:r w:rsidRPr="00B63E7D">
        <w:rPr>
          <w:rFonts w:ascii="Times New Roman" w:hAnsi="Times New Roman"/>
        </w:rPr>
        <w:t>randomiz</w:t>
      </w:r>
      <w:r w:rsidR="0075056C" w:rsidRPr="00B63E7D">
        <w:rPr>
          <w:rFonts w:ascii="Times New Roman" w:hAnsi="Times New Roman"/>
        </w:rPr>
        <w:t>ovaní na užívanie záťažovej infúzie buď</w:t>
      </w:r>
      <w:r w:rsidRPr="00B63E7D">
        <w:rPr>
          <w:rFonts w:ascii="Times New Roman" w:hAnsi="Times New Roman"/>
        </w:rPr>
        <w:t xml:space="preserve"> dexmedetomidin</w:t>
      </w:r>
      <w:r w:rsidR="0075056C" w:rsidRPr="00B63E7D">
        <w:rPr>
          <w:rFonts w:ascii="Times New Roman" w:hAnsi="Times New Roman"/>
        </w:rPr>
        <w:t>u</w:t>
      </w:r>
      <w:r w:rsidRPr="00B63E7D">
        <w:rPr>
          <w:rFonts w:ascii="Times New Roman" w:hAnsi="Times New Roman"/>
        </w:rPr>
        <w:t xml:space="preserve"> 1</w:t>
      </w:r>
      <w:r w:rsidR="0075056C" w:rsidRPr="00B63E7D">
        <w:rPr>
          <w:rFonts w:ascii="Times New Roman" w:hAnsi="Times New Roman"/>
        </w:rPr>
        <w:t> </w:t>
      </w:r>
      <w:r w:rsidRPr="00B63E7D">
        <w:rPr>
          <w:rFonts w:ascii="Times New Roman" w:hAnsi="Times New Roman"/>
        </w:rPr>
        <w:t>µg/kg (n=129), dexmedetomidin</w:t>
      </w:r>
      <w:r w:rsidR="0075056C" w:rsidRPr="00B63E7D">
        <w:rPr>
          <w:rFonts w:ascii="Times New Roman" w:hAnsi="Times New Roman"/>
        </w:rPr>
        <w:t>u</w:t>
      </w:r>
      <w:r w:rsidRPr="00B63E7D">
        <w:rPr>
          <w:rFonts w:ascii="Times New Roman" w:hAnsi="Times New Roman"/>
        </w:rPr>
        <w:t xml:space="preserve"> 0</w:t>
      </w:r>
      <w:r w:rsidR="0075056C" w:rsidRPr="00B63E7D">
        <w:rPr>
          <w:rFonts w:ascii="Times New Roman" w:hAnsi="Times New Roman"/>
        </w:rPr>
        <w:t>,</w:t>
      </w:r>
      <w:r w:rsidRPr="00B63E7D">
        <w:rPr>
          <w:rFonts w:ascii="Times New Roman" w:hAnsi="Times New Roman"/>
        </w:rPr>
        <w:t>5</w:t>
      </w:r>
      <w:r w:rsidR="0075056C" w:rsidRPr="00B63E7D">
        <w:rPr>
          <w:rFonts w:ascii="Times New Roman" w:hAnsi="Times New Roman"/>
        </w:rPr>
        <w:t> </w:t>
      </w:r>
      <w:r w:rsidRPr="00B63E7D">
        <w:rPr>
          <w:rFonts w:ascii="Times New Roman" w:hAnsi="Times New Roman"/>
        </w:rPr>
        <w:t>µg/kg (n=134)</w:t>
      </w:r>
      <w:r w:rsidR="0075056C" w:rsidRPr="00B63E7D">
        <w:rPr>
          <w:rFonts w:ascii="Times New Roman" w:hAnsi="Times New Roman"/>
        </w:rPr>
        <w:t xml:space="preserve"> alebo </w:t>
      </w:r>
      <w:r w:rsidRPr="00B63E7D">
        <w:rPr>
          <w:rFonts w:ascii="Times New Roman" w:hAnsi="Times New Roman"/>
        </w:rPr>
        <w:t>placeb</w:t>
      </w:r>
      <w:r w:rsidR="0075056C" w:rsidRPr="00B63E7D">
        <w:rPr>
          <w:rFonts w:ascii="Times New Roman" w:hAnsi="Times New Roman"/>
        </w:rPr>
        <w:t>a</w:t>
      </w:r>
      <w:r w:rsidRPr="00B63E7D">
        <w:rPr>
          <w:rFonts w:ascii="Times New Roman" w:hAnsi="Times New Roman"/>
        </w:rPr>
        <w:t xml:space="preserve"> (</w:t>
      </w:r>
      <w:r w:rsidR="0075056C" w:rsidRPr="00B63E7D">
        <w:rPr>
          <w:rFonts w:ascii="Times New Roman" w:hAnsi="Times New Roman"/>
        </w:rPr>
        <w:t>fyziologický roztok</w:t>
      </w:r>
      <w:r w:rsidRPr="00B63E7D">
        <w:rPr>
          <w:rFonts w:ascii="Times New Roman" w:hAnsi="Times New Roman"/>
        </w:rPr>
        <w:t xml:space="preserve">) (n=63) </w:t>
      </w:r>
      <w:r w:rsidR="0075056C" w:rsidRPr="00B63E7D">
        <w:rPr>
          <w:rFonts w:ascii="Times New Roman" w:hAnsi="Times New Roman"/>
        </w:rPr>
        <w:t xml:space="preserve">podávanej v priebehu </w:t>
      </w:r>
      <w:r w:rsidRPr="00B63E7D">
        <w:rPr>
          <w:rFonts w:ascii="Times New Roman" w:hAnsi="Times New Roman"/>
        </w:rPr>
        <w:t>10</w:t>
      </w:r>
      <w:r w:rsidR="0075056C" w:rsidRPr="00B63E7D">
        <w:rPr>
          <w:rFonts w:ascii="Times New Roman" w:hAnsi="Times New Roman"/>
        </w:rPr>
        <w:t> </w:t>
      </w:r>
      <w:r w:rsidRPr="00B63E7D">
        <w:rPr>
          <w:rFonts w:ascii="Times New Roman" w:hAnsi="Times New Roman"/>
        </w:rPr>
        <w:t>min</w:t>
      </w:r>
      <w:r w:rsidR="0075056C" w:rsidRPr="00B63E7D">
        <w:rPr>
          <w:rFonts w:ascii="Times New Roman" w:hAnsi="Times New Roman"/>
        </w:rPr>
        <w:t xml:space="preserve">út </w:t>
      </w:r>
      <w:r w:rsidRPr="00B63E7D">
        <w:rPr>
          <w:rFonts w:ascii="Times New Roman" w:hAnsi="Times New Roman"/>
        </w:rPr>
        <w:t xml:space="preserve">a </w:t>
      </w:r>
      <w:r w:rsidR="0075056C" w:rsidRPr="00B63E7D">
        <w:rPr>
          <w:rFonts w:ascii="Times New Roman" w:hAnsi="Times New Roman"/>
        </w:rPr>
        <w:t>po nej nasledovala udržiavacia infúzia začínajúca dávkou 0,</w:t>
      </w:r>
      <w:r w:rsidRPr="00B63E7D">
        <w:rPr>
          <w:rFonts w:ascii="Times New Roman" w:hAnsi="Times New Roman"/>
        </w:rPr>
        <w:t>6</w:t>
      </w:r>
      <w:r w:rsidR="0075056C" w:rsidRPr="00B63E7D">
        <w:rPr>
          <w:rFonts w:ascii="Times New Roman" w:hAnsi="Times New Roman"/>
        </w:rPr>
        <w:t> </w:t>
      </w:r>
      <w:r w:rsidRPr="00B63E7D">
        <w:rPr>
          <w:rFonts w:ascii="Times New Roman" w:hAnsi="Times New Roman"/>
        </w:rPr>
        <w:t>µg/kg</w:t>
      </w:r>
      <w:r w:rsidR="008B2DF5" w:rsidRPr="00B63E7D">
        <w:rPr>
          <w:rFonts w:ascii="Times New Roman" w:hAnsi="Times New Roman"/>
        </w:rPr>
        <w:t>/hod.</w:t>
      </w:r>
      <w:r w:rsidRPr="00B63E7D">
        <w:rPr>
          <w:rFonts w:ascii="Times New Roman" w:hAnsi="Times New Roman"/>
        </w:rPr>
        <w:t xml:space="preserve">. </w:t>
      </w:r>
      <w:r w:rsidR="00B45121" w:rsidRPr="00B63E7D">
        <w:rPr>
          <w:rFonts w:ascii="Times New Roman" w:hAnsi="Times New Roman"/>
        </w:rPr>
        <w:t xml:space="preserve">Udržiavacia infúzia skúšaného </w:t>
      </w:r>
      <w:r w:rsidR="0075056C" w:rsidRPr="00B63E7D">
        <w:rPr>
          <w:rFonts w:ascii="Times New Roman" w:hAnsi="Times New Roman"/>
        </w:rPr>
        <w:t>lie</w:t>
      </w:r>
      <w:r w:rsidR="00B45121" w:rsidRPr="00B63E7D">
        <w:rPr>
          <w:rFonts w:ascii="Times New Roman" w:hAnsi="Times New Roman"/>
        </w:rPr>
        <w:t>čiva sa</w:t>
      </w:r>
      <w:r w:rsidR="0075056C" w:rsidRPr="00B63E7D">
        <w:rPr>
          <w:rFonts w:ascii="Times New Roman" w:hAnsi="Times New Roman"/>
        </w:rPr>
        <w:t xml:space="preserve"> mohla titrova</w:t>
      </w:r>
      <w:r w:rsidR="00B45121" w:rsidRPr="00B63E7D">
        <w:rPr>
          <w:rFonts w:ascii="Times New Roman" w:hAnsi="Times New Roman"/>
        </w:rPr>
        <w:t xml:space="preserve">ť </w:t>
      </w:r>
      <w:r w:rsidR="0075056C" w:rsidRPr="00B63E7D">
        <w:rPr>
          <w:rFonts w:ascii="Times New Roman" w:hAnsi="Times New Roman"/>
        </w:rPr>
        <w:t xml:space="preserve">od </w:t>
      </w:r>
      <w:r w:rsidRPr="00B63E7D">
        <w:rPr>
          <w:rFonts w:ascii="Times New Roman" w:hAnsi="Times New Roman"/>
        </w:rPr>
        <w:t>0</w:t>
      </w:r>
      <w:r w:rsidR="0075056C" w:rsidRPr="00B63E7D">
        <w:rPr>
          <w:rFonts w:ascii="Times New Roman" w:hAnsi="Times New Roman"/>
        </w:rPr>
        <w:t>,</w:t>
      </w:r>
      <w:r w:rsidRPr="00B63E7D">
        <w:rPr>
          <w:rFonts w:ascii="Times New Roman" w:hAnsi="Times New Roman"/>
        </w:rPr>
        <w:t>2</w:t>
      </w:r>
      <w:r w:rsidR="0075056C" w:rsidRPr="00B63E7D">
        <w:rPr>
          <w:rFonts w:ascii="Times New Roman" w:hAnsi="Times New Roman"/>
        </w:rPr>
        <w:t> </w:t>
      </w:r>
      <w:r w:rsidRPr="00B63E7D">
        <w:rPr>
          <w:rFonts w:ascii="Times New Roman" w:hAnsi="Times New Roman"/>
        </w:rPr>
        <w:t>mµ/kg</w:t>
      </w:r>
      <w:r w:rsidR="008B2DF5" w:rsidRPr="00B63E7D">
        <w:rPr>
          <w:rFonts w:ascii="Times New Roman" w:hAnsi="Times New Roman"/>
        </w:rPr>
        <w:t>/hod.</w:t>
      </w:r>
      <w:r w:rsidRPr="00B63E7D">
        <w:rPr>
          <w:rFonts w:ascii="Times New Roman" w:hAnsi="Times New Roman"/>
        </w:rPr>
        <w:t xml:space="preserve"> </w:t>
      </w:r>
      <w:r w:rsidR="0075056C" w:rsidRPr="00B63E7D">
        <w:rPr>
          <w:rFonts w:ascii="Times New Roman" w:hAnsi="Times New Roman"/>
        </w:rPr>
        <w:t xml:space="preserve">do </w:t>
      </w:r>
      <w:r w:rsidRPr="00B63E7D">
        <w:rPr>
          <w:rFonts w:ascii="Times New Roman" w:hAnsi="Times New Roman"/>
        </w:rPr>
        <w:t>1</w:t>
      </w:r>
      <w:r w:rsidR="0075056C" w:rsidRPr="00B63E7D">
        <w:rPr>
          <w:rFonts w:ascii="Times New Roman" w:hAnsi="Times New Roman"/>
        </w:rPr>
        <w:t> </w:t>
      </w:r>
      <w:r w:rsidRPr="00B63E7D">
        <w:rPr>
          <w:rFonts w:ascii="Times New Roman" w:hAnsi="Times New Roman"/>
        </w:rPr>
        <w:t>µg/kg</w:t>
      </w:r>
      <w:r w:rsidR="008B2DF5" w:rsidRPr="00B63E7D">
        <w:rPr>
          <w:rFonts w:ascii="Times New Roman" w:hAnsi="Times New Roman"/>
        </w:rPr>
        <w:t>/hod.</w:t>
      </w:r>
      <w:r w:rsidRPr="00B63E7D">
        <w:rPr>
          <w:rFonts w:ascii="Times New Roman" w:hAnsi="Times New Roman"/>
        </w:rPr>
        <w:t xml:space="preserve"> </w:t>
      </w:r>
      <w:r w:rsidR="0075056C" w:rsidRPr="00B63E7D">
        <w:rPr>
          <w:rFonts w:ascii="Times New Roman" w:hAnsi="Times New Roman"/>
        </w:rPr>
        <w:t xml:space="preserve">na dosiahnutie cieľového skóre sedácie </w:t>
      </w:r>
      <w:r w:rsidRPr="00B63E7D">
        <w:rPr>
          <w:rFonts w:ascii="Times New Roman" w:hAnsi="Times New Roman"/>
        </w:rPr>
        <w:t>(</w:t>
      </w:r>
      <w:r w:rsidR="00B45121" w:rsidRPr="00B63E7D">
        <w:rPr>
          <w:rFonts w:ascii="Times New Roman" w:hAnsi="Times New Roman"/>
        </w:rPr>
        <w:t xml:space="preserve">skóre bdelosti/sedácie hodnotené pozorovateľom </w:t>
      </w:r>
      <w:r w:rsidRPr="00B63E7D">
        <w:rPr>
          <w:rFonts w:ascii="Times New Roman" w:hAnsi="Times New Roman"/>
        </w:rPr>
        <w:t>≤</w:t>
      </w:r>
      <w:r w:rsidR="0075056C" w:rsidRPr="00B63E7D">
        <w:rPr>
          <w:rFonts w:ascii="Times New Roman" w:hAnsi="Times New Roman"/>
        </w:rPr>
        <w:t> </w:t>
      </w:r>
      <w:r w:rsidRPr="00B63E7D">
        <w:rPr>
          <w:rFonts w:ascii="Times New Roman" w:hAnsi="Times New Roman"/>
        </w:rPr>
        <w:t>4). Pa</w:t>
      </w:r>
      <w:r w:rsidR="0075056C" w:rsidRPr="00B63E7D">
        <w:rPr>
          <w:rFonts w:ascii="Times New Roman" w:hAnsi="Times New Roman"/>
        </w:rPr>
        <w:t>cient</w:t>
      </w:r>
      <w:r w:rsidR="00F909ED" w:rsidRPr="00B63E7D">
        <w:rPr>
          <w:rFonts w:ascii="Times New Roman" w:hAnsi="Times New Roman"/>
        </w:rPr>
        <w:t xml:space="preserve">om </w:t>
      </w:r>
      <w:r w:rsidR="0075056C" w:rsidRPr="00B63E7D">
        <w:rPr>
          <w:rFonts w:ascii="Times New Roman" w:hAnsi="Times New Roman"/>
        </w:rPr>
        <w:t xml:space="preserve">bolo </w:t>
      </w:r>
      <w:r w:rsidR="00F909ED" w:rsidRPr="00B63E7D">
        <w:rPr>
          <w:rFonts w:ascii="Times New Roman" w:hAnsi="Times New Roman"/>
        </w:rPr>
        <w:t xml:space="preserve">umožnené </w:t>
      </w:r>
      <w:r w:rsidR="0075056C" w:rsidRPr="00B63E7D">
        <w:rPr>
          <w:rFonts w:ascii="Times New Roman" w:hAnsi="Times New Roman"/>
        </w:rPr>
        <w:t>užiť záchrann</w:t>
      </w:r>
      <w:r w:rsidR="00F909ED" w:rsidRPr="00B63E7D">
        <w:rPr>
          <w:rFonts w:ascii="Times New Roman" w:hAnsi="Times New Roman"/>
        </w:rPr>
        <w:t xml:space="preserve">ú liečbu </w:t>
      </w:r>
      <w:r w:rsidRPr="00B63E7D">
        <w:rPr>
          <w:rFonts w:ascii="Times New Roman" w:hAnsi="Times New Roman"/>
        </w:rPr>
        <w:t>midazolam</w:t>
      </w:r>
      <w:r w:rsidR="00F909ED" w:rsidRPr="00B63E7D">
        <w:rPr>
          <w:rFonts w:ascii="Times New Roman" w:hAnsi="Times New Roman"/>
        </w:rPr>
        <w:t>om,</w:t>
      </w:r>
      <w:r w:rsidRPr="00B63E7D">
        <w:rPr>
          <w:rFonts w:ascii="Times New Roman" w:hAnsi="Times New Roman"/>
        </w:rPr>
        <w:t xml:space="preserve"> a</w:t>
      </w:r>
      <w:r w:rsidR="0075056C" w:rsidRPr="00B63E7D">
        <w:rPr>
          <w:rFonts w:ascii="Times New Roman" w:hAnsi="Times New Roman"/>
        </w:rPr>
        <w:t xml:space="preserve">k to bolo potrebné na dosiahnutie </w:t>
      </w:r>
      <w:r w:rsidRPr="00B63E7D">
        <w:rPr>
          <w:rFonts w:ascii="Times New Roman" w:hAnsi="Times New Roman"/>
        </w:rPr>
        <w:t>a/</w:t>
      </w:r>
      <w:r w:rsidR="0075056C" w:rsidRPr="00B63E7D">
        <w:rPr>
          <w:rFonts w:ascii="Times New Roman" w:hAnsi="Times New Roman"/>
        </w:rPr>
        <w:t xml:space="preserve">alebo udržanie </w:t>
      </w:r>
      <w:r w:rsidR="00F909ED" w:rsidRPr="00B63E7D">
        <w:rPr>
          <w:rFonts w:ascii="Times New Roman" w:hAnsi="Times New Roman"/>
        </w:rPr>
        <w:t xml:space="preserve">skóre bdelosti/sedácie hodnotené pozorovateľom </w:t>
      </w:r>
      <w:r w:rsidRPr="00B63E7D">
        <w:rPr>
          <w:rFonts w:ascii="Times New Roman" w:hAnsi="Times New Roman"/>
        </w:rPr>
        <w:t>≤</w:t>
      </w:r>
      <w:r w:rsidR="0075056C" w:rsidRPr="00B63E7D">
        <w:rPr>
          <w:rFonts w:ascii="Times New Roman" w:hAnsi="Times New Roman"/>
        </w:rPr>
        <w:t> </w:t>
      </w:r>
      <w:r w:rsidRPr="00B63E7D">
        <w:rPr>
          <w:rFonts w:ascii="Times New Roman" w:hAnsi="Times New Roman"/>
        </w:rPr>
        <w:t xml:space="preserve">4. </w:t>
      </w:r>
      <w:r w:rsidR="0075056C" w:rsidRPr="00B63E7D">
        <w:rPr>
          <w:rFonts w:ascii="Times New Roman" w:hAnsi="Times New Roman"/>
        </w:rPr>
        <w:t xml:space="preserve">Po dosiahnutí požadovanej hladiny </w:t>
      </w:r>
      <w:r w:rsidRPr="00B63E7D">
        <w:rPr>
          <w:rFonts w:ascii="Times New Roman" w:hAnsi="Times New Roman"/>
        </w:rPr>
        <w:t>sed</w:t>
      </w:r>
      <w:r w:rsidR="0075056C" w:rsidRPr="00B63E7D">
        <w:rPr>
          <w:rFonts w:ascii="Times New Roman" w:hAnsi="Times New Roman"/>
        </w:rPr>
        <w:t>ácie</w:t>
      </w:r>
      <w:r w:rsidRPr="00B63E7D">
        <w:rPr>
          <w:rFonts w:ascii="Times New Roman" w:hAnsi="Times New Roman"/>
        </w:rPr>
        <w:t xml:space="preserve"> </w:t>
      </w:r>
      <w:r w:rsidR="0075056C" w:rsidRPr="00B63E7D">
        <w:rPr>
          <w:rFonts w:ascii="Times New Roman" w:hAnsi="Times New Roman"/>
        </w:rPr>
        <w:t xml:space="preserve">sa vykonala </w:t>
      </w:r>
      <w:r w:rsidR="00AD4186" w:rsidRPr="00B63E7D">
        <w:rPr>
          <w:rFonts w:ascii="Times New Roman" w:hAnsi="Times New Roman"/>
        </w:rPr>
        <w:t xml:space="preserve">lokálna alebo regionálna </w:t>
      </w:r>
      <w:r w:rsidR="0075056C" w:rsidRPr="00B63E7D">
        <w:rPr>
          <w:rFonts w:ascii="Times New Roman" w:hAnsi="Times New Roman"/>
        </w:rPr>
        <w:t>anestetická blokáda</w:t>
      </w:r>
      <w:r w:rsidRPr="00B63E7D">
        <w:rPr>
          <w:rFonts w:ascii="Times New Roman" w:hAnsi="Times New Roman"/>
        </w:rPr>
        <w:t>. Demogra</w:t>
      </w:r>
      <w:r w:rsidR="0075056C" w:rsidRPr="00B63E7D">
        <w:rPr>
          <w:rFonts w:ascii="Times New Roman" w:hAnsi="Times New Roman"/>
        </w:rPr>
        <w:t xml:space="preserve">fické </w:t>
      </w:r>
      <w:r w:rsidRPr="00B63E7D">
        <w:rPr>
          <w:rFonts w:ascii="Times New Roman" w:hAnsi="Times New Roman"/>
        </w:rPr>
        <w:t>chara</w:t>
      </w:r>
      <w:r w:rsidR="0075056C" w:rsidRPr="00B63E7D">
        <w:rPr>
          <w:rFonts w:ascii="Times New Roman" w:hAnsi="Times New Roman"/>
        </w:rPr>
        <w:t>k</w:t>
      </w:r>
      <w:r w:rsidRPr="00B63E7D">
        <w:rPr>
          <w:rFonts w:ascii="Times New Roman" w:hAnsi="Times New Roman"/>
        </w:rPr>
        <w:t>teristi</w:t>
      </w:r>
      <w:r w:rsidR="0075056C" w:rsidRPr="00B63E7D">
        <w:rPr>
          <w:rFonts w:ascii="Times New Roman" w:hAnsi="Times New Roman"/>
        </w:rPr>
        <w:t xml:space="preserve">ky boli medzi skupinami s </w:t>
      </w:r>
      <w:r w:rsidRPr="00B63E7D">
        <w:rPr>
          <w:rFonts w:ascii="Times New Roman" w:hAnsi="Times New Roman"/>
        </w:rPr>
        <w:t>dexmedetomidin</w:t>
      </w:r>
      <w:r w:rsidR="0075056C" w:rsidRPr="00B63E7D">
        <w:rPr>
          <w:rFonts w:ascii="Times New Roman" w:hAnsi="Times New Roman"/>
        </w:rPr>
        <w:t xml:space="preserve">om </w:t>
      </w:r>
      <w:r w:rsidRPr="00B63E7D">
        <w:rPr>
          <w:rFonts w:ascii="Times New Roman" w:hAnsi="Times New Roman"/>
        </w:rPr>
        <w:t>a placebo</w:t>
      </w:r>
      <w:r w:rsidR="0075056C" w:rsidRPr="00B63E7D">
        <w:rPr>
          <w:rFonts w:ascii="Times New Roman" w:hAnsi="Times New Roman"/>
        </w:rPr>
        <w:t>m</w:t>
      </w:r>
      <w:r w:rsidR="00705D57" w:rsidRPr="00B63E7D">
        <w:rPr>
          <w:rFonts w:ascii="Times New Roman" w:hAnsi="Times New Roman"/>
        </w:rPr>
        <w:t xml:space="preserve"> podobné.</w:t>
      </w:r>
      <w:r w:rsidRPr="00B63E7D">
        <w:rPr>
          <w:rFonts w:ascii="Times New Roman" w:hAnsi="Times New Roman"/>
        </w:rPr>
        <w:br/>
      </w:r>
      <w:r w:rsidR="00465D0E" w:rsidRPr="00B63E7D">
        <w:rPr>
          <w:rFonts w:ascii="Times New Roman" w:hAnsi="Times New Roman"/>
        </w:rPr>
        <w:t xml:space="preserve">Výsledky účinnosti preukázali, že </w:t>
      </w:r>
      <w:r w:rsidRPr="00B63E7D">
        <w:rPr>
          <w:rFonts w:ascii="Times New Roman" w:hAnsi="Times New Roman"/>
        </w:rPr>
        <w:t>dexmedetomid</w:t>
      </w:r>
      <w:r w:rsidR="00247A9F">
        <w:rPr>
          <w:rFonts w:ascii="Times New Roman" w:hAnsi="Times New Roman"/>
        </w:rPr>
        <w:t>í</w:t>
      </w:r>
      <w:r w:rsidRPr="00B63E7D">
        <w:rPr>
          <w:rFonts w:ascii="Times New Roman" w:hAnsi="Times New Roman"/>
        </w:rPr>
        <w:t>n</w:t>
      </w:r>
      <w:r w:rsidR="00465D0E" w:rsidRPr="00B63E7D">
        <w:rPr>
          <w:rFonts w:ascii="Times New Roman" w:hAnsi="Times New Roman"/>
        </w:rPr>
        <w:t xml:space="preserve"> bol účinnejší než skupina s placebom, ak sa použ</w:t>
      </w:r>
      <w:r w:rsidR="00F42854" w:rsidRPr="00B63E7D">
        <w:rPr>
          <w:rFonts w:ascii="Times New Roman" w:hAnsi="Times New Roman"/>
        </w:rPr>
        <w:t>il n</w:t>
      </w:r>
      <w:r w:rsidR="00465D0E" w:rsidRPr="00B63E7D">
        <w:rPr>
          <w:rFonts w:ascii="Times New Roman" w:hAnsi="Times New Roman"/>
        </w:rPr>
        <w:t>a sedáciu neintubovaných pacientov</w:t>
      </w:r>
      <w:r w:rsidRPr="00B63E7D">
        <w:rPr>
          <w:rFonts w:ascii="Times New Roman" w:hAnsi="Times New Roman"/>
        </w:rPr>
        <w:t>. 54</w:t>
      </w:r>
      <w:r w:rsidR="00465D0E" w:rsidRPr="00B63E7D">
        <w:rPr>
          <w:rFonts w:ascii="Times New Roman" w:hAnsi="Times New Roman"/>
        </w:rPr>
        <w:t> </w:t>
      </w:r>
      <w:r w:rsidRPr="00B63E7D">
        <w:rPr>
          <w:rFonts w:ascii="Times New Roman" w:hAnsi="Times New Roman"/>
        </w:rPr>
        <w:t>% pa</w:t>
      </w:r>
      <w:r w:rsidR="00465D0E" w:rsidRPr="00B63E7D">
        <w:rPr>
          <w:rFonts w:ascii="Times New Roman" w:hAnsi="Times New Roman"/>
        </w:rPr>
        <w:t>cientov dost</w:t>
      </w:r>
      <w:r w:rsidR="00F42854" w:rsidRPr="00B63E7D">
        <w:rPr>
          <w:rFonts w:ascii="Times New Roman" w:hAnsi="Times New Roman"/>
        </w:rPr>
        <w:t xml:space="preserve">ávalo </w:t>
      </w:r>
      <w:r w:rsidRPr="00B63E7D">
        <w:rPr>
          <w:rFonts w:ascii="Times New Roman" w:hAnsi="Times New Roman"/>
        </w:rPr>
        <w:t>dexmedetomid</w:t>
      </w:r>
      <w:r w:rsidR="00247A9F">
        <w:rPr>
          <w:rFonts w:ascii="Times New Roman" w:hAnsi="Times New Roman"/>
        </w:rPr>
        <w:t>í</w:t>
      </w:r>
      <w:r w:rsidRPr="00B63E7D">
        <w:rPr>
          <w:rFonts w:ascii="Times New Roman" w:hAnsi="Times New Roman"/>
        </w:rPr>
        <w:t>n</w:t>
      </w:r>
      <w:r w:rsidR="00465D0E" w:rsidRPr="00B63E7D">
        <w:rPr>
          <w:rFonts w:ascii="Times New Roman" w:hAnsi="Times New Roman"/>
        </w:rPr>
        <w:t xml:space="preserve"> v dávke </w:t>
      </w:r>
      <w:r w:rsidRPr="00B63E7D">
        <w:rPr>
          <w:rFonts w:ascii="Times New Roman" w:hAnsi="Times New Roman"/>
        </w:rPr>
        <w:t>1</w:t>
      </w:r>
      <w:r w:rsidR="00465D0E" w:rsidRPr="00B63E7D">
        <w:rPr>
          <w:rFonts w:ascii="Times New Roman" w:hAnsi="Times New Roman"/>
        </w:rPr>
        <w:t> </w:t>
      </w:r>
      <w:r w:rsidRPr="00B63E7D">
        <w:rPr>
          <w:rFonts w:ascii="Times New Roman" w:hAnsi="Times New Roman"/>
        </w:rPr>
        <w:t>µg/kg a 40</w:t>
      </w:r>
      <w:r w:rsidR="00465D0E" w:rsidRPr="00B63E7D">
        <w:rPr>
          <w:rFonts w:ascii="Times New Roman" w:hAnsi="Times New Roman"/>
        </w:rPr>
        <w:t> </w:t>
      </w:r>
      <w:r w:rsidRPr="00B63E7D">
        <w:rPr>
          <w:rFonts w:ascii="Times New Roman" w:hAnsi="Times New Roman"/>
        </w:rPr>
        <w:t xml:space="preserve">% </w:t>
      </w:r>
      <w:r w:rsidR="00465D0E" w:rsidRPr="00B63E7D">
        <w:rPr>
          <w:rFonts w:ascii="Times New Roman" w:hAnsi="Times New Roman"/>
        </w:rPr>
        <w:t xml:space="preserve">pacientov </w:t>
      </w:r>
      <w:r w:rsidR="00F42854" w:rsidRPr="00B63E7D">
        <w:rPr>
          <w:rFonts w:ascii="Times New Roman" w:hAnsi="Times New Roman"/>
        </w:rPr>
        <w:t xml:space="preserve">dostávalo </w:t>
      </w:r>
      <w:r w:rsidR="00465D0E" w:rsidRPr="00B63E7D">
        <w:rPr>
          <w:rFonts w:ascii="Times New Roman" w:hAnsi="Times New Roman"/>
        </w:rPr>
        <w:t>0,</w:t>
      </w:r>
      <w:r w:rsidRPr="00B63E7D">
        <w:rPr>
          <w:rFonts w:ascii="Times New Roman" w:hAnsi="Times New Roman"/>
        </w:rPr>
        <w:t>5</w:t>
      </w:r>
      <w:r w:rsidR="00465D0E" w:rsidRPr="00B63E7D">
        <w:rPr>
          <w:rFonts w:ascii="Times New Roman" w:hAnsi="Times New Roman"/>
        </w:rPr>
        <w:t> </w:t>
      </w:r>
      <w:r w:rsidRPr="00B63E7D">
        <w:rPr>
          <w:rFonts w:ascii="Times New Roman" w:hAnsi="Times New Roman"/>
        </w:rPr>
        <w:t>µg/kg dexmedetomid</w:t>
      </w:r>
      <w:r w:rsidR="00247A9F">
        <w:rPr>
          <w:rFonts w:ascii="Times New Roman" w:hAnsi="Times New Roman"/>
        </w:rPr>
        <w:t>í</w:t>
      </w:r>
      <w:r w:rsidRPr="00B63E7D">
        <w:rPr>
          <w:rFonts w:ascii="Times New Roman" w:hAnsi="Times New Roman"/>
        </w:rPr>
        <w:t>n</w:t>
      </w:r>
      <w:r w:rsidR="00465D0E" w:rsidRPr="00B63E7D">
        <w:rPr>
          <w:rFonts w:ascii="Times New Roman" w:hAnsi="Times New Roman"/>
        </w:rPr>
        <w:t>u</w:t>
      </w:r>
      <w:r w:rsidR="00F42854" w:rsidRPr="00B63E7D">
        <w:rPr>
          <w:rFonts w:ascii="Times New Roman" w:hAnsi="Times New Roman"/>
        </w:rPr>
        <w:t xml:space="preserve">, ktorí </w:t>
      </w:r>
      <w:r w:rsidR="00465D0E" w:rsidRPr="00B63E7D">
        <w:rPr>
          <w:rFonts w:ascii="Times New Roman" w:hAnsi="Times New Roman"/>
        </w:rPr>
        <w:t>s</w:t>
      </w:r>
      <w:r w:rsidR="00F42854" w:rsidRPr="00B63E7D">
        <w:rPr>
          <w:rFonts w:ascii="Times New Roman" w:hAnsi="Times New Roman"/>
        </w:rPr>
        <w:t xml:space="preserve">i </w:t>
      </w:r>
      <w:r w:rsidR="00465D0E" w:rsidRPr="00B63E7D">
        <w:rPr>
          <w:rFonts w:ascii="Times New Roman" w:hAnsi="Times New Roman"/>
        </w:rPr>
        <w:t>nevyžadoval</w:t>
      </w:r>
      <w:r w:rsidR="00F42854" w:rsidRPr="00B63E7D">
        <w:rPr>
          <w:rFonts w:ascii="Times New Roman" w:hAnsi="Times New Roman"/>
        </w:rPr>
        <w:t xml:space="preserve">i </w:t>
      </w:r>
      <w:r w:rsidR="00465D0E" w:rsidRPr="00B63E7D">
        <w:rPr>
          <w:rFonts w:ascii="Times New Roman" w:hAnsi="Times New Roman"/>
        </w:rPr>
        <w:t>záchrann</w:t>
      </w:r>
      <w:r w:rsidR="00F42854" w:rsidRPr="00B63E7D">
        <w:rPr>
          <w:rFonts w:ascii="Times New Roman" w:hAnsi="Times New Roman"/>
        </w:rPr>
        <w:t xml:space="preserve">ú liečbu </w:t>
      </w:r>
      <w:r w:rsidR="00465D0E" w:rsidRPr="00B63E7D">
        <w:rPr>
          <w:rFonts w:ascii="Times New Roman" w:hAnsi="Times New Roman"/>
        </w:rPr>
        <w:t>mi</w:t>
      </w:r>
      <w:r w:rsidRPr="00B63E7D">
        <w:rPr>
          <w:rFonts w:ascii="Times New Roman" w:hAnsi="Times New Roman"/>
        </w:rPr>
        <w:t>dazolam</w:t>
      </w:r>
      <w:r w:rsidR="00F42854" w:rsidRPr="00B63E7D">
        <w:rPr>
          <w:rFonts w:ascii="Times New Roman" w:hAnsi="Times New Roman"/>
        </w:rPr>
        <w:t xml:space="preserve">om </w:t>
      </w:r>
      <w:r w:rsidR="00465D0E" w:rsidRPr="00B63E7D">
        <w:rPr>
          <w:rFonts w:ascii="Times New Roman" w:hAnsi="Times New Roman"/>
        </w:rPr>
        <w:t xml:space="preserve">oproti </w:t>
      </w:r>
      <w:r w:rsidRPr="00B63E7D">
        <w:rPr>
          <w:rFonts w:ascii="Times New Roman" w:hAnsi="Times New Roman"/>
        </w:rPr>
        <w:t>3</w:t>
      </w:r>
      <w:r w:rsidR="00465D0E" w:rsidRPr="00B63E7D">
        <w:rPr>
          <w:rFonts w:ascii="Times New Roman" w:hAnsi="Times New Roman"/>
        </w:rPr>
        <w:t> </w:t>
      </w:r>
      <w:r w:rsidRPr="00B63E7D">
        <w:rPr>
          <w:rFonts w:ascii="Times New Roman" w:hAnsi="Times New Roman"/>
        </w:rPr>
        <w:t>% pa</w:t>
      </w:r>
      <w:r w:rsidR="00465D0E" w:rsidRPr="00B63E7D">
        <w:rPr>
          <w:rFonts w:ascii="Times New Roman" w:hAnsi="Times New Roman"/>
        </w:rPr>
        <w:t xml:space="preserve">cientov, ktorí </w:t>
      </w:r>
      <w:r w:rsidR="00F42854" w:rsidRPr="00B63E7D">
        <w:rPr>
          <w:rFonts w:ascii="Times New Roman" w:hAnsi="Times New Roman"/>
        </w:rPr>
        <w:t xml:space="preserve">dostávali </w:t>
      </w:r>
      <w:r w:rsidR="00465D0E" w:rsidRPr="00B63E7D">
        <w:rPr>
          <w:rFonts w:ascii="Times New Roman" w:hAnsi="Times New Roman"/>
        </w:rPr>
        <w:t>placebo</w:t>
      </w:r>
      <w:r w:rsidRPr="00B63E7D">
        <w:rPr>
          <w:rFonts w:ascii="Times New Roman" w:hAnsi="Times New Roman"/>
        </w:rPr>
        <w:t>.</w:t>
      </w:r>
    </w:p>
    <w:p w:rsidR="00094BED" w:rsidRPr="00B63E7D" w:rsidRDefault="005D7C76" w:rsidP="00F55242">
      <w:pPr>
        <w:pStyle w:val="Odsekzoznamu"/>
        <w:numPr>
          <w:ilvl w:val="0"/>
          <w:numId w:val="15"/>
        </w:numPr>
        <w:spacing w:after="0" w:line="240" w:lineRule="auto"/>
        <w:ind w:left="714" w:hanging="357"/>
        <w:contextualSpacing w:val="0"/>
        <w:rPr>
          <w:rFonts w:ascii="Times New Roman" w:hAnsi="Times New Roman"/>
        </w:rPr>
      </w:pPr>
      <w:r w:rsidRPr="00B63E7D">
        <w:rPr>
          <w:rFonts w:ascii="Times New Roman" w:eastAsia="Times New Roman" w:hAnsi="Times New Roman"/>
        </w:rPr>
        <w:t>Štúdia </w:t>
      </w:r>
      <w:r w:rsidR="00094BED" w:rsidRPr="00B63E7D">
        <w:rPr>
          <w:rFonts w:ascii="Times New Roman" w:eastAsia="Times New Roman" w:hAnsi="Times New Roman"/>
        </w:rPr>
        <w:t xml:space="preserve">2 </w:t>
      </w:r>
      <w:r w:rsidR="00090B26" w:rsidRPr="00B63E7D">
        <w:rPr>
          <w:rFonts w:ascii="Times New Roman" w:eastAsia="Times New Roman" w:hAnsi="Times New Roman"/>
        </w:rPr>
        <w:t xml:space="preserve">hodnotila </w:t>
      </w:r>
      <w:r w:rsidR="00094BED" w:rsidRPr="00B63E7D">
        <w:rPr>
          <w:rFonts w:ascii="Times New Roman" w:eastAsia="Times New Roman" w:hAnsi="Times New Roman"/>
        </w:rPr>
        <w:t>dexmedetomidin</w:t>
      </w:r>
      <w:r w:rsidR="00090B26" w:rsidRPr="00B63E7D">
        <w:rPr>
          <w:rFonts w:ascii="Times New Roman" w:eastAsia="Times New Roman" w:hAnsi="Times New Roman"/>
        </w:rPr>
        <w:t xml:space="preserve"> u pacientov podstupujúcich </w:t>
      </w:r>
      <w:r w:rsidR="00A2215B" w:rsidRPr="00B63E7D">
        <w:rPr>
          <w:rFonts w:ascii="Times New Roman" w:hAnsi="Times New Roman"/>
        </w:rPr>
        <w:t>fibrooptickú intubáciu pri vedomí</w:t>
      </w:r>
      <w:r w:rsidR="00A2215B" w:rsidRPr="00B63E7D">
        <w:rPr>
          <w:rFonts w:ascii="Times New Roman" w:eastAsia="Times New Roman" w:hAnsi="Times New Roman"/>
        </w:rPr>
        <w:t xml:space="preserve"> pred chirurgickým výkonom alebo </w:t>
      </w:r>
      <w:r w:rsidR="00094BED" w:rsidRPr="00B63E7D">
        <w:rPr>
          <w:rFonts w:ascii="Times New Roman" w:eastAsia="Times New Roman" w:hAnsi="Times New Roman"/>
        </w:rPr>
        <w:t>diagnostic</w:t>
      </w:r>
      <w:r w:rsidR="00A2215B" w:rsidRPr="00B63E7D">
        <w:rPr>
          <w:rFonts w:ascii="Times New Roman" w:eastAsia="Times New Roman" w:hAnsi="Times New Roman"/>
        </w:rPr>
        <w:t>kou procedúrou</w:t>
      </w:r>
      <w:r w:rsidR="00094BED" w:rsidRPr="00B63E7D">
        <w:rPr>
          <w:rFonts w:ascii="Times New Roman" w:eastAsia="Times New Roman" w:hAnsi="Times New Roman"/>
        </w:rPr>
        <w:t>.</w:t>
      </w:r>
      <w:r w:rsidR="00094BED" w:rsidRPr="00B63E7D">
        <w:rPr>
          <w:rFonts w:ascii="Times New Roman" w:hAnsi="Times New Roman"/>
        </w:rPr>
        <w:br/>
      </w:r>
      <w:r w:rsidR="001F25BB" w:rsidRPr="00B63E7D">
        <w:rPr>
          <w:rFonts w:ascii="Times New Roman" w:hAnsi="Times New Roman"/>
        </w:rPr>
        <w:t>S</w:t>
      </w:r>
      <w:r w:rsidR="00094BED" w:rsidRPr="00B63E7D">
        <w:rPr>
          <w:rFonts w:ascii="Times New Roman" w:hAnsi="Times New Roman"/>
        </w:rPr>
        <w:t>edat</w:t>
      </w:r>
      <w:r w:rsidR="001F25BB" w:rsidRPr="00B63E7D">
        <w:rPr>
          <w:rFonts w:ascii="Times New Roman" w:hAnsi="Times New Roman"/>
        </w:rPr>
        <w:t xml:space="preserve">ívne vlastnosti </w:t>
      </w:r>
      <w:r w:rsidR="00094BED" w:rsidRPr="00B63E7D">
        <w:rPr>
          <w:rFonts w:ascii="Times New Roman" w:hAnsi="Times New Roman"/>
        </w:rPr>
        <w:t>dexmedetomid</w:t>
      </w:r>
      <w:r w:rsidR="00247A9F">
        <w:rPr>
          <w:rFonts w:ascii="Times New Roman" w:hAnsi="Times New Roman"/>
        </w:rPr>
        <w:t>í</w:t>
      </w:r>
      <w:r w:rsidR="00094BED" w:rsidRPr="00B63E7D">
        <w:rPr>
          <w:rFonts w:ascii="Times New Roman" w:hAnsi="Times New Roman"/>
        </w:rPr>
        <w:t>n</w:t>
      </w:r>
      <w:r w:rsidR="001F25BB" w:rsidRPr="00B63E7D">
        <w:rPr>
          <w:rFonts w:ascii="Times New Roman" w:hAnsi="Times New Roman"/>
        </w:rPr>
        <w:t xml:space="preserve">u sa hodnotili v porovnaní s percentom </w:t>
      </w:r>
      <w:r w:rsidR="00094BED" w:rsidRPr="00B63E7D">
        <w:rPr>
          <w:rFonts w:ascii="Times New Roman" w:hAnsi="Times New Roman"/>
        </w:rPr>
        <w:t>pa</w:t>
      </w:r>
      <w:r w:rsidR="001F25BB" w:rsidRPr="00B63E7D">
        <w:rPr>
          <w:rFonts w:ascii="Times New Roman" w:hAnsi="Times New Roman"/>
        </w:rPr>
        <w:t>cientov</w:t>
      </w:r>
      <w:r w:rsidR="00A548FE" w:rsidRPr="00B63E7D">
        <w:rPr>
          <w:rFonts w:ascii="Times New Roman" w:hAnsi="Times New Roman"/>
        </w:rPr>
        <w:t>, ktorí si vyžadovali záchrannú liečbu midazolamom</w:t>
      </w:r>
      <w:r w:rsidR="001F25BB" w:rsidRPr="00B63E7D">
        <w:rPr>
          <w:rFonts w:ascii="Times New Roman" w:hAnsi="Times New Roman"/>
        </w:rPr>
        <w:t xml:space="preserve"> </w:t>
      </w:r>
      <w:r w:rsidR="00A548FE" w:rsidRPr="00B63E7D">
        <w:rPr>
          <w:rFonts w:ascii="Times New Roman" w:hAnsi="Times New Roman"/>
        </w:rPr>
        <w:t xml:space="preserve">na dosiahnutie alebo udržanie špecifikovanej hladiny sedácie použitím úrovne sedácie podľa </w:t>
      </w:r>
      <w:r w:rsidR="00094BED" w:rsidRPr="00B63E7D">
        <w:rPr>
          <w:rFonts w:ascii="Times New Roman" w:hAnsi="Times New Roman"/>
        </w:rPr>
        <w:t>Ramsay</w:t>
      </w:r>
      <w:r w:rsidR="00A548FE" w:rsidRPr="00B63E7D">
        <w:rPr>
          <w:rFonts w:ascii="Times New Roman" w:hAnsi="Times New Roman"/>
        </w:rPr>
        <w:t xml:space="preserve">a </w:t>
      </w:r>
      <w:r w:rsidR="00094BED" w:rsidRPr="00B63E7D">
        <w:rPr>
          <w:rFonts w:ascii="Times New Roman" w:hAnsi="Times New Roman"/>
        </w:rPr>
        <w:t>s</w:t>
      </w:r>
      <w:r w:rsidR="00A548FE" w:rsidRPr="00B63E7D">
        <w:rPr>
          <w:rFonts w:ascii="Times New Roman" w:hAnsi="Times New Roman"/>
        </w:rPr>
        <w:t xml:space="preserve">kóre </w:t>
      </w:r>
      <w:r w:rsidR="00094BED" w:rsidRPr="00B63E7D">
        <w:rPr>
          <w:rFonts w:ascii="Times New Roman" w:hAnsi="Times New Roman"/>
        </w:rPr>
        <w:t>≥</w:t>
      </w:r>
      <w:r w:rsidR="00A548FE" w:rsidRPr="00B63E7D">
        <w:rPr>
          <w:rFonts w:ascii="Times New Roman" w:hAnsi="Times New Roman"/>
        </w:rPr>
        <w:t> </w:t>
      </w:r>
      <w:r w:rsidR="00094BED" w:rsidRPr="00B63E7D">
        <w:rPr>
          <w:rFonts w:ascii="Times New Roman" w:hAnsi="Times New Roman"/>
        </w:rPr>
        <w:t>2. Pa</w:t>
      </w:r>
      <w:r w:rsidR="00A548FE" w:rsidRPr="00B63E7D">
        <w:rPr>
          <w:rFonts w:ascii="Times New Roman" w:hAnsi="Times New Roman"/>
        </w:rPr>
        <w:t xml:space="preserve">cienti boli </w:t>
      </w:r>
      <w:r w:rsidR="00094BED" w:rsidRPr="00B63E7D">
        <w:rPr>
          <w:rFonts w:ascii="Times New Roman" w:hAnsi="Times New Roman"/>
        </w:rPr>
        <w:t>randomiz</w:t>
      </w:r>
      <w:r w:rsidR="00A548FE" w:rsidRPr="00B63E7D">
        <w:rPr>
          <w:rFonts w:ascii="Times New Roman" w:hAnsi="Times New Roman"/>
        </w:rPr>
        <w:t xml:space="preserve">ovaní na užívanie záťažovej infúzie </w:t>
      </w:r>
      <w:r w:rsidR="00094BED" w:rsidRPr="00B63E7D">
        <w:rPr>
          <w:rFonts w:ascii="Times New Roman" w:hAnsi="Times New Roman"/>
        </w:rPr>
        <w:t>dexmedetomidin</w:t>
      </w:r>
      <w:r w:rsidR="00A548FE" w:rsidRPr="00B63E7D">
        <w:rPr>
          <w:rFonts w:ascii="Times New Roman" w:hAnsi="Times New Roman"/>
        </w:rPr>
        <w:t>u v dávke 1 </w:t>
      </w:r>
      <w:r w:rsidR="00094BED" w:rsidRPr="00B63E7D">
        <w:rPr>
          <w:rFonts w:ascii="Times New Roman" w:hAnsi="Times New Roman"/>
        </w:rPr>
        <w:t>µg/kg (n=55)</w:t>
      </w:r>
      <w:r w:rsidR="00A548FE" w:rsidRPr="00B63E7D">
        <w:rPr>
          <w:rFonts w:ascii="Times New Roman" w:hAnsi="Times New Roman"/>
        </w:rPr>
        <w:t xml:space="preserve"> alebo </w:t>
      </w:r>
      <w:r w:rsidR="00094BED" w:rsidRPr="00B63E7D">
        <w:rPr>
          <w:rFonts w:ascii="Times New Roman" w:hAnsi="Times New Roman"/>
        </w:rPr>
        <w:t>placebo (</w:t>
      </w:r>
      <w:r w:rsidR="00A548FE" w:rsidRPr="00B63E7D">
        <w:rPr>
          <w:rFonts w:ascii="Times New Roman" w:hAnsi="Times New Roman"/>
        </w:rPr>
        <w:t>fyziologický roztok</w:t>
      </w:r>
      <w:r w:rsidR="00094BED" w:rsidRPr="00B63E7D">
        <w:rPr>
          <w:rFonts w:ascii="Times New Roman" w:hAnsi="Times New Roman"/>
        </w:rPr>
        <w:t xml:space="preserve">) (n=50) </w:t>
      </w:r>
      <w:r w:rsidR="00A548FE" w:rsidRPr="00B63E7D">
        <w:rPr>
          <w:rFonts w:ascii="Times New Roman" w:hAnsi="Times New Roman"/>
        </w:rPr>
        <w:t xml:space="preserve">podávanej v priebehu </w:t>
      </w:r>
      <w:r w:rsidR="00094BED" w:rsidRPr="00B63E7D">
        <w:rPr>
          <w:rFonts w:ascii="Times New Roman" w:hAnsi="Times New Roman"/>
        </w:rPr>
        <w:t>10</w:t>
      </w:r>
      <w:r w:rsidR="00A548FE" w:rsidRPr="00B63E7D">
        <w:rPr>
          <w:rFonts w:ascii="Times New Roman" w:hAnsi="Times New Roman"/>
        </w:rPr>
        <w:t> </w:t>
      </w:r>
      <w:r w:rsidR="00094BED" w:rsidRPr="00B63E7D">
        <w:rPr>
          <w:rFonts w:ascii="Times New Roman" w:hAnsi="Times New Roman"/>
        </w:rPr>
        <w:t>min</w:t>
      </w:r>
      <w:r w:rsidR="00A548FE" w:rsidRPr="00B63E7D">
        <w:rPr>
          <w:rFonts w:ascii="Times New Roman" w:hAnsi="Times New Roman"/>
        </w:rPr>
        <w:t xml:space="preserve">út </w:t>
      </w:r>
      <w:r w:rsidR="00094BED" w:rsidRPr="00B63E7D">
        <w:rPr>
          <w:rFonts w:ascii="Times New Roman" w:hAnsi="Times New Roman"/>
        </w:rPr>
        <w:t>a</w:t>
      </w:r>
      <w:r w:rsidR="00A548FE" w:rsidRPr="00B63E7D">
        <w:rPr>
          <w:rFonts w:ascii="Times New Roman" w:hAnsi="Times New Roman"/>
        </w:rPr>
        <w:t xml:space="preserve"> </w:t>
      </w:r>
      <w:r w:rsidR="002D0D39" w:rsidRPr="00B63E7D">
        <w:rPr>
          <w:rFonts w:ascii="Times New Roman" w:hAnsi="Times New Roman"/>
        </w:rPr>
        <w:t>po nej nasledovala fixná udržiavacia infúzia v dávke 0,7 µg/kg</w:t>
      </w:r>
      <w:r w:rsidR="008B2DF5" w:rsidRPr="00B63E7D">
        <w:rPr>
          <w:rFonts w:ascii="Times New Roman" w:hAnsi="Times New Roman"/>
        </w:rPr>
        <w:t>/hod.</w:t>
      </w:r>
      <w:r w:rsidR="00094BED" w:rsidRPr="00B63E7D">
        <w:rPr>
          <w:rFonts w:ascii="Times New Roman" w:hAnsi="Times New Roman"/>
        </w:rPr>
        <w:t xml:space="preserve"> </w:t>
      </w:r>
      <w:r w:rsidR="002D0D39" w:rsidRPr="00B63E7D">
        <w:rPr>
          <w:rFonts w:ascii="Times New Roman" w:hAnsi="Times New Roman"/>
        </w:rPr>
        <w:t>Po dosiahnutí požadovanej hladiny sedácie</w:t>
      </w:r>
      <w:r w:rsidR="00094BED" w:rsidRPr="00B63E7D">
        <w:rPr>
          <w:rFonts w:ascii="Times New Roman" w:hAnsi="Times New Roman"/>
        </w:rPr>
        <w:t xml:space="preserve">, </w:t>
      </w:r>
      <w:r w:rsidR="002D0D39" w:rsidRPr="00B63E7D">
        <w:rPr>
          <w:rFonts w:ascii="Times New Roman" w:hAnsi="Times New Roman"/>
        </w:rPr>
        <w:t xml:space="preserve">došlo ku </w:t>
      </w:r>
      <w:r w:rsidR="00094BED" w:rsidRPr="00B63E7D">
        <w:rPr>
          <w:rFonts w:ascii="Times New Roman" w:hAnsi="Times New Roman"/>
        </w:rPr>
        <w:t>topi</w:t>
      </w:r>
      <w:r w:rsidR="002D0D39" w:rsidRPr="00B63E7D">
        <w:rPr>
          <w:rFonts w:ascii="Times New Roman" w:hAnsi="Times New Roman"/>
        </w:rPr>
        <w:t>k</w:t>
      </w:r>
      <w:r w:rsidR="00094BED" w:rsidRPr="00B63E7D">
        <w:rPr>
          <w:rFonts w:ascii="Times New Roman" w:hAnsi="Times New Roman"/>
        </w:rPr>
        <w:t>ali</w:t>
      </w:r>
      <w:r w:rsidR="002D0D39" w:rsidRPr="00B63E7D">
        <w:rPr>
          <w:rFonts w:ascii="Times New Roman" w:hAnsi="Times New Roman"/>
        </w:rPr>
        <w:t>zácii dýchacích ciest</w:t>
      </w:r>
      <w:r w:rsidR="00094BED" w:rsidRPr="00B63E7D">
        <w:rPr>
          <w:rFonts w:ascii="Times New Roman" w:hAnsi="Times New Roman"/>
        </w:rPr>
        <w:t>. Pa</w:t>
      </w:r>
      <w:r w:rsidR="002D0D39" w:rsidRPr="00B63E7D">
        <w:rPr>
          <w:rFonts w:ascii="Times New Roman" w:hAnsi="Times New Roman"/>
        </w:rPr>
        <w:t xml:space="preserve">cientom bolo umožnené užiť záchrannú liečbu </w:t>
      </w:r>
      <w:r w:rsidR="00094BED" w:rsidRPr="00B63E7D">
        <w:rPr>
          <w:rFonts w:ascii="Times New Roman" w:hAnsi="Times New Roman"/>
        </w:rPr>
        <w:t>midazolam</w:t>
      </w:r>
      <w:r w:rsidR="002D0D39" w:rsidRPr="00B63E7D">
        <w:rPr>
          <w:rFonts w:ascii="Times New Roman" w:hAnsi="Times New Roman"/>
        </w:rPr>
        <w:t xml:space="preserve">om, ak to bolo potrebné na dosiahnutie </w:t>
      </w:r>
      <w:r w:rsidR="00094BED" w:rsidRPr="00B63E7D">
        <w:rPr>
          <w:rFonts w:ascii="Times New Roman" w:hAnsi="Times New Roman"/>
        </w:rPr>
        <w:t>a/</w:t>
      </w:r>
      <w:r w:rsidR="002D0D39" w:rsidRPr="00B63E7D">
        <w:rPr>
          <w:rFonts w:ascii="Times New Roman" w:hAnsi="Times New Roman"/>
        </w:rPr>
        <w:t xml:space="preserve">alebo udržanie úrovne sedácie podľa Ramsaya skóre </w:t>
      </w:r>
      <w:r w:rsidR="00094BED" w:rsidRPr="00B63E7D">
        <w:rPr>
          <w:rFonts w:ascii="Times New Roman" w:hAnsi="Times New Roman"/>
        </w:rPr>
        <w:t>≥</w:t>
      </w:r>
      <w:r w:rsidR="002D0D39" w:rsidRPr="00B63E7D">
        <w:rPr>
          <w:rFonts w:ascii="Times New Roman" w:hAnsi="Times New Roman"/>
        </w:rPr>
        <w:t> </w:t>
      </w:r>
      <w:r w:rsidR="00094BED" w:rsidRPr="00B63E7D">
        <w:rPr>
          <w:rFonts w:ascii="Times New Roman" w:hAnsi="Times New Roman"/>
        </w:rPr>
        <w:t xml:space="preserve">2. </w:t>
      </w:r>
      <w:r w:rsidR="002D0D39" w:rsidRPr="00B63E7D">
        <w:rPr>
          <w:rFonts w:ascii="Times New Roman" w:hAnsi="Times New Roman"/>
        </w:rPr>
        <w:t>Demografické charakteristiky boli medzi skupinami s dexmedetomid</w:t>
      </w:r>
      <w:r w:rsidR="00247A9F">
        <w:rPr>
          <w:rFonts w:ascii="Times New Roman" w:hAnsi="Times New Roman"/>
        </w:rPr>
        <w:t>í</w:t>
      </w:r>
      <w:r w:rsidR="002D0D39" w:rsidRPr="00B63E7D">
        <w:rPr>
          <w:rFonts w:ascii="Times New Roman" w:hAnsi="Times New Roman"/>
        </w:rPr>
        <w:t>nom a placebom podobné.</w:t>
      </w:r>
    </w:p>
    <w:p w:rsidR="00094BED" w:rsidRPr="00B63E7D" w:rsidRDefault="002D0D39" w:rsidP="00F55242">
      <w:pPr>
        <w:pStyle w:val="Odsekzoznamu"/>
        <w:spacing w:after="0" w:line="240" w:lineRule="auto"/>
        <w:ind w:left="714"/>
        <w:contextualSpacing w:val="0"/>
        <w:rPr>
          <w:rFonts w:ascii="Times New Roman" w:hAnsi="Times New Roman"/>
        </w:rPr>
      </w:pPr>
      <w:r w:rsidRPr="00B63E7D">
        <w:rPr>
          <w:rFonts w:ascii="Times New Roman" w:hAnsi="Times New Roman"/>
        </w:rPr>
        <w:t>Výsledky účinnosti preukázali, že dexmedetomid</w:t>
      </w:r>
      <w:r w:rsidR="00247A9F">
        <w:rPr>
          <w:rFonts w:ascii="Times New Roman" w:hAnsi="Times New Roman"/>
        </w:rPr>
        <w:t>í</w:t>
      </w:r>
      <w:r w:rsidRPr="00B63E7D">
        <w:rPr>
          <w:rFonts w:ascii="Times New Roman" w:hAnsi="Times New Roman"/>
        </w:rPr>
        <w:t xml:space="preserve">n bol účinnejší než skupina s placebom, ak sa použil na sedáciu </w:t>
      </w:r>
      <w:r w:rsidR="00094BED" w:rsidRPr="00B63E7D">
        <w:rPr>
          <w:rFonts w:ascii="Times New Roman" w:hAnsi="Times New Roman"/>
        </w:rPr>
        <w:t>n</w:t>
      </w:r>
      <w:r w:rsidRPr="00B63E7D">
        <w:rPr>
          <w:rFonts w:ascii="Times New Roman" w:hAnsi="Times New Roman"/>
        </w:rPr>
        <w:t xml:space="preserve">eintubovaných </w:t>
      </w:r>
      <w:r w:rsidR="00094BED" w:rsidRPr="00B63E7D">
        <w:rPr>
          <w:rFonts w:ascii="Times New Roman" w:hAnsi="Times New Roman"/>
        </w:rPr>
        <w:t>pa</w:t>
      </w:r>
      <w:r w:rsidRPr="00B63E7D">
        <w:rPr>
          <w:rFonts w:ascii="Times New Roman" w:hAnsi="Times New Roman"/>
        </w:rPr>
        <w:t>cientov</w:t>
      </w:r>
      <w:r w:rsidR="00094BED" w:rsidRPr="00B63E7D">
        <w:rPr>
          <w:rFonts w:ascii="Times New Roman" w:hAnsi="Times New Roman"/>
        </w:rPr>
        <w:t>. 53</w:t>
      </w:r>
      <w:r w:rsidRPr="00B63E7D">
        <w:rPr>
          <w:rFonts w:ascii="Times New Roman" w:hAnsi="Times New Roman"/>
        </w:rPr>
        <w:t> </w:t>
      </w:r>
      <w:r w:rsidR="00094BED" w:rsidRPr="00B63E7D">
        <w:rPr>
          <w:rFonts w:ascii="Times New Roman" w:hAnsi="Times New Roman"/>
        </w:rPr>
        <w:t xml:space="preserve">% </w:t>
      </w:r>
      <w:r w:rsidRPr="00B63E7D">
        <w:rPr>
          <w:rFonts w:ascii="Times New Roman" w:hAnsi="Times New Roman"/>
        </w:rPr>
        <w:t>pacientov dostávalo dexmedetomid</w:t>
      </w:r>
      <w:r w:rsidR="00247A9F">
        <w:rPr>
          <w:rFonts w:ascii="Times New Roman" w:hAnsi="Times New Roman"/>
        </w:rPr>
        <w:t>í</w:t>
      </w:r>
      <w:r w:rsidRPr="00B63E7D">
        <w:rPr>
          <w:rFonts w:ascii="Times New Roman" w:hAnsi="Times New Roman"/>
        </w:rPr>
        <w:t xml:space="preserve">n v dávke </w:t>
      </w:r>
      <w:r w:rsidR="00094BED" w:rsidRPr="00B63E7D">
        <w:rPr>
          <w:rFonts w:ascii="Times New Roman" w:hAnsi="Times New Roman"/>
        </w:rPr>
        <w:t>1</w:t>
      </w:r>
      <w:r w:rsidRPr="00B63E7D">
        <w:rPr>
          <w:rFonts w:ascii="Times New Roman" w:hAnsi="Times New Roman"/>
        </w:rPr>
        <w:t> </w:t>
      </w:r>
      <w:r w:rsidR="00094BED" w:rsidRPr="00B63E7D">
        <w:rPr>
          <w:rFonts w:ascii="Times New Roman" w:hAnsi="Times New Roman"/>
        </w:rPr>
        <w:t>µg/kg</w:t>
      </w:r>
      <w:r w:rsidR="00070F3D" w:rsidRPr="00B63E7D">
        <w:rPr>
          <w:rFonts w:ascii="Times New Roman" w:hAnsi="Times New Roman"/>
        </w:rPr>
        <w:t>, ktorí si nevyžadovali záchrannú liečbu midazolamom oproti</w:t>
      </w:r>
      <w:r w:rsidR="00094BED" w:rsidRPr="00B63E7D">
        <w:rPr>
          <w:rFonts w:ascii="Times New Roman" w:hAnsi="Times New Roman"/>
        </w:rPr>
        <w:t xml:space="preserve"> 14</w:t>
      </w:r>
      <w:r w:rsidR="00070F3D" w:rsidRPr="00B63E7D">
        <w:rPr>
          <w:rFonts w:ascii="Times New Roman" w:hAnsi="Times New Roman"/>
        </w:rPr>
        <w:t> </w:t>
      </w:r>
      <w:r w:rsidR="00094BED" w:rsidRPr="00B63E7D">
        <w:rPr>
          <w:rFonts w:ascii="Times New Roman" w:hAnsi="Times New Roman"/>
        </w:rPr>
        <w:t xml:space="preserve">% </w:t>
      </w:r>
      <w:r w:rsidR="00D42970" w:rsidRPr="00B63E7D">
        <w:rPr>
          <w:rFonts w:ascii="Times New Roman" w:hAnsi="Times New Roman"/>
        </w:rPr>
        <w:t>pacientov, ktorí dostávali placebo.</w:t>
      </w:r>
    </w:p>
    <w:p w:rsidR="00094BED" w:rsidRPr="00B63E7D" w:rsidRDefault="00094BED" w:rsidP="00F55242">
      <w:pPr>
        <w:numPr>
          <w:ilvl w:val="12"/>
          <w:numId w:val="0"/>
        </w:numPr>
        <w:spacing w:line="240" w:lineRule="auto"/>
        <w:ind w:right="-2"/>
        <w:rPr>
          <w:iCs/>
          <w:sz w:val="22"/>
          <w:szCs w:val="22"/>
        </w:rPr>
      </w:pPr>
    </w:p>
    <w:p w:rsidR="00094BED" w:rsidRPr="00B63E7D" w:rsidRDefault="00094BED" w:rsidP="00F55242">
      <w:pPr>
        <w:numPr>
          <w:ilvl w:val="1"/>
          <w:numId w:val="16"/>
        </w:numPr>
        <w:suppressAutoHyphens w:val="0"/>
        <w:overflowPunct/>
        <w:autoSpaceDE/>
        <w:autoSpaceDN/>
        <w:adjustRightInd/>
        <w:spacing w:line="240" w:lineRule="auto"/>
        <w:textAlignment w:val="auto"/>
        <w:outlineLvl w:val="0"/>
        <w:rPr>
          <w:b/>
          <w:sz w:val="22"/>
          <w:szCs w:val="22"/>
        </w:rPr>
      </w:pPr>
      <w:r w:rsidRPr="00B63E7D">
        <w:rPr>
          <w:b/>
          <w:bCs/>
          <w:sz w:val="22"/>
          <w:szCs w:val="22"/>
        </w:rPr>
        <w:t>Farmakokinetické vlastnosti</w:t>
      </w:r>
    </w:p>
    <w:p w:rsidR="00094BED" w:rsidRPr="00B63E7D" w:rsidRDefault="00094BED" w:rsidP="00F55242">
      <w:pPr>
        <w:spacing w:line="240" w:lineRule="auto"/>
        <w:outlineLvl w:val="0"/>
        <w:rPr>
          <w:b/>
          <w:sz w:val="22"/>
          <w:szCs w:val="22"/>
        </w:rPr>
      </w:pPr>
    </w:p>
    <w:p w:rsidR="00094BED" w:rsidRPr="00B63E7D" w:rsidRDefault="00094BED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  <w:r w:rsidRPr="00B63E7D">
        <w:rPr>
          <w:sz w:val="22"/>
          <w:szCs w:val="22"/>
        </w:rPr>
        <w:t xml:space="preserve">Farmakokinetika dexmedetomidinu sa hodnotila po krátkodobom i.v. podávaní zdravým dobrovoľníkom a po dlhodobej infúzii </w:t>
      </w:r>
      <w:r w:rsidR="00B20BE5" w:rsidRPr="00B63E7D">
        <w:rPr>
          <w:sz w:val="22"/>
          <w:szCs w:val="22"/>
        </w:rPr>
        <w:t xml:space="preserve">podanej </w:t>
      </w:r>
      <w:r w:rsidRPr="00B63E7D">
        <w:rPr>
          <w:sz w:val="22"/>
          <w:szCs w:val="22"/>
        </w:rPr>
        <w:t>p</w:t>
      </w:r>
      <w:r w:rsidR="00B20BE5" w:rsidRPr="00B63E7D">
        <w:rPr>
          <w:sz w:val="22"/>
          <w:szCs w:val="22"/>
        </w:rPr>
        <w:t xml:space="preserve">opulácii </w:t>
      </w:r>
      <w:r w:rsidRPr="00B63E7D">
        <w:rPr>
          <w:sz w:val="22"/>
          <w:szCs w:val="22"/>
        </w:rPr>
        <w:t>na JIS.</w:t>
      </w:r>
    </w:p>
    <w:p w:rsidR="00094BED" w:rsidRPr="00B63E7D" w:rsidRDefault="00094BED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  <w:u w:val="single"/>
        </w:rPr>
      </w:pPr>
      <w:r w:rsidRPr="00B63E7D">
        <w:rPr>
          <w:sz w:val="22"/>
          <w:szCs w:val="22"/>
          <w:u w:val="single"/>
        </w:rPr>
        <w:lastRenderedPageBreak/>
        <w:t>Distribúcia</w:t>
      </w:r>
    </w:p>
    <w:p w:rsidR="00094BED" w:rsidRPr="00B63E7D" w:rsidRDefault="00094BED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  <w:u w:val="single"/>
        </w:rPr>
      </w:pPr>
    </w:p>
    <w:p w:rsidR="00094BED" w:rsidRPr="00B63E7D" w:rsidRDefault="00094BED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  <w:r w:rsidRPr="00B63E7D">
        <w:rPr>
          <w:sz w:val="22"/>
          <w:szCs w:val="22"/>
        </w:rPr>
        <w:t>Dexmedetomid</w:t>
      </w:r>
      <w:r w:rsidR="00247A9F">
        <w:rPr>
          <w:sz w:val="22"/>
          <w:szCs w:val="22"/>
        </w:rPr>
        <w:t>í</w:t>
      </w:r>
      <w:r w:rsidRPr="00B63E7D">
        <w:rPr>
          <w:sz w:val="22"/>
          <w:szCs w:val="22"/>
        </w:rPr>
        <w:t>n vykazuje dvojkompartmentový dispozičný model. U zdravých dobrovoľníkov vykazoval rýchlu distribučnú fázu s</w:t>
      </w:r>
      <w:r w:rsidR="00E67391" w:rsidRPr="00B63E7D">
        <w:rPr>
          <w:sz w:val="22"/>
          <w:szCs w:val="22"/>
        </w:rPr>
        <w:t xml:space="preserve"> centrálnym </w:t>
      </w:r>
      <w:r w:rsidRPr="00B63E7D">
        <w:rPr>
          <w:sz w:val="22"/>
          <w:szCs w:val="22"/>
        </w:rPr>
        <w:t>odhadom polčasu distribúcie (t</w:t>
      </w:r>
      <w:r w:rsidRPr="00B63E7D">
        <w:rPr>
          <w:sz w:val="22"/>
          <w:szCs w:val="22"/>
          <w:vertAlign w:val="subscript"/>
        </w:rPr>
        <w:t>1/2α</w:t>
      </w:r>
      <w:r w:rsidRPr="00B63E7D">
        <w:rPr>
          <w:sz w:val="22"/>
          <w:szCs w:val="22"/>
        </w:rPr>
        <w:t xml:space="preserve">) asi 6 minút. </w:t>
      </w:r>
      <w:r w:rsidR="008B2DF5" w:rsidRPr="00B63E7D">
        <w:rPr>
          <w:sz w:val="22"/>
          <w:szCs w:val="22"/>
        </w:rPr>
        <w:t>Priemerný o</w:t>
      </w:r>
      <w:r w:rsidRPr="00B63E7D">
        <w:rPr>
          <w:sz w:val="22"/>
          <w:szCs w:val="22"/>
        </w:rPr>
        <w:t>dhad polčasu konečnej eliminácie (t</w:t>
      </w:r>
      <w:r w:rsidRPr="00B63E7D">
        <w:rPr>
          <w:sz w:val="22"/>
          <w:szCs w:val="22"/>
          <w:vertAlign w:val="subscript"/>
        </w:rPr>
        <w:t>1/2</w:t>
      </w:r>
      <w:r w:rsidRPr="00B63E7D">
        <w:rPr>
          <w:sz w:val="22"/>
          <w:szCs w:val="22"/>
        </w:rPr>
        <w:t>) je približne 1,9 až 2,5 hod. (min. 1,35; max. 3,68 hod.) a priemerný odhad objemu distribúcie v rovnovážnom stave (Vss) je približne 1,16 až 2,16</w:t>
      </w:r>
      <w:r w:rsidR="002F2D7A" w:rsidRPr="00B63E7D">
        <w:rPr>
          <w:sz w:val="22"/>
          <w:szCs w:val="22"/>
        </w:rPr>
        <w:t> </w:t>
      </w:r>
      <w:r w:rsidRPr="00B63E7D">
        <w:rPr>
          <w:sz w:val="22"/>
          <w:szCs w:val="22"/>
        </w:rPr>
        <w:t>l/kg (90 až 151 litrov). Plazmatický klírens (Cl) má priemernú odhadovanú hodnotu 0,46 až 0,73 l</w:t>
      </w:r>
      <w:r w:rsidR="008B2DF5" w:rsidRPr="00B63E7D">
        <w:rPr>
          <w:sz w:val="22"/>
          <w:szCs w:val="22"/>
        </w:rPr>
        <w:t>/hod.</w:t>
      </w:r>
      <w:r w:rsidRPr="00B63E7D">
        <w:rPr>
          <w:sz w:val="22"/>
          <w:szCs w:val="22"/>
        </w:rPr>
        <w:t>/kg (35,7 až 51,1 l</w:t>
      </w:r>
      <w:r w:rsidR="008B2DF5" w:rsidRPr="00B63E7D">
        <w:rPr>
          <w:sz w:val="22"/>
          <w:szCs w:val="22"/>
        </w:rPr>
        <w:t>/hod.</w:t>
      </w:r>
      <w:r w:rsidRPr="00B63E7D">
        <w:rPr>
          <w:sz w:val="22"/>
          <w:szCs w:val="22"/>
        </w:rPr>
        <w:t>). Priemerná telesná hmotnosť s</w:t>
      </w:r>
      <w:r w:rsidR="002F2D7A" w:rsidRPr="00B63E7D">
        <w:rPr>
          <w:sz w:val="22"/>
          <w:szCs w:val="22"/>
        </w:rPr>
        <w:t xml:space="preserve">úvisiaca </w:t>
      </w:r>
      <w:r w:rsidRPr="00B63E7D">
        <w:rPr>
          <w:sz w:val="22"/>
          <w:szCs w:val="22"/>
        </w:rPr>
        <w:t>s týmito odhadmi Vss a Cl bola 69 kg. Farmakokinetika dexmedetomid</w:t>
      </w:r>
      <w:r w:rsidR="00247A9F">
        <w:rPr>
          <w:sz w:val="22"/>
          <w:szCs w:val="22"/>
        </w:rPr>
        <w:t>í</w:t>
      </w:r>
      <w:r w:rsidRPr="00B63E7D">
        <w:rPr>
          <w:sz w:val="22"/>
          <w:szCs w:val="22"/>
        </w:rPr>
        <w:t xml:space="preserve">nu v plazme je podobná </w:t>
      </w:r>
      <w:r w:rsidR="002F2D7A" w:rsidRPr="00B63E7D">
        <w:rPr>
          <w:sz w:val="22"/>
          <w:szCs w:val="22"/>
        </w:rPr>
        <w:t>populácii</w:t>
      </w:r>
      <w:r w:rsidRPr="00B63E7D">
        <w:rPr>
          <w:sz w:val="22"/>
          <w:szCs w:val="22"/>
        </w:rPr>
        <w:t xml:space="preserve"> pacientov na JIS po &gt; 24 hod. infúzii. Odhadované farmakokinetické parametre sú: t</w:t>
      </w:r>
      <w:r w:rsidRPr="00B63E7D">
        <w:rPr>
          <w:sz w:val="22"/>
          <w:szCs w:val="22"/>
          <w:vertAlign w:val="subscript"/>
        </w:rPr>
        <w:t>1/2</w:t>
      </w:r>
      <w:r w:rsidRPr="00B63E7D">
        <w:rPr>
          <w:sz w:val="22"/>
          <w:szCs w:val="22"/>
        </w:rPr>
        <w:t xml:space="preserve"> približne 1,5 hodín, Vss približne 93 litrov a Cl približne 43 l</w:t>
      </w:r>
      <w:r w:rsidR="008B2DF5" w:rsidRPr="00B63E7D">
        <w:rPr>
          <w:sz w:val="22"/>
          <w:szCs w:val="22"/>
        </w:rPr>
        <w:t>/hod.</w:t>
      </w:r>
      <w:r w:rsidRPr="00B63E7D">
        <w:rPr>
          <w:sz w:val="22"/>
          <w:szCs w:val="22"/>
        </w:rPr>
        <w:t xml:space="preserve"> Farmakokinetika dexmedetomidinu je lineárna v rozmedzí dávkovania od 0,2 do 1,4 µg/kg</w:t>
      </w:r>
      <w:r w:rsidR="008B2DF5" w:rsidRPr="00B63E7D">
        <w:rPr>
          <w:sz w:val="22"/>
          <w:szCs w:val="22"/>
        </w:rPr>
        <w:t>/hod.</w:t>
      </w:r>
      <w:r w:rsidRPr="00B63E7D">
        <w:rPr>
          <w:sz w:val="22"/>
          <w:szCs w:val="22"/>
        </w:rPr>
        <w:t xml:space="preserve"> a pri liečbe trvajúcej až do 14 dní sa nekumuluje. 94 % dexmedetomidinu sa  viaže na </w:t>
      </w:r>
      <w:r w:rsidR="002F2D7A" w:rsidRPr="00B63E7D">
        <w:rPr>
          <w:sz w:val="22"/>
          <w:szCs w:val="22"/>
        </w:rPr>
        <w:t>bielkoviny</w:t>
      </w:r>
      <w:r w:rsidRPr="00B63E7D">
        <w:rPr>
          <w:sz w:val="22"/>
          <w:szCs w:val="22"/>
        </w:rPr>
        <w:t xml:space="preserve"> v plazme. Väzba na </w:t>
      </w:r>
      <w:r w:rsidR="002F2D7A" w:rsidRPr="00B63E7D">
        <w:rPr>
          <w:sz w:val="22"/>
          <w:szCs w:val="22"/>
        </w:rPr>
        <w:t>bielkoviny</w:t>
      </w:r>
      <w:r w:rsidRPr="00B63E7D">
        <w:rPr>
          <w:sz w:val="22"/>
          <w:szCs w:val="22"/>
        </w:rPr>
        <w:t xml:space="preserve"> v plazme je konštantná v rozmedzí koncentrácie 0,85 až 85 ng/ml. Dexmedetomid</w:t>
      </w:r>
      <w:r w:rsidR="00247A9F">
        <w:rPr>
          <w:sz w:val="22"/>
          <w:szCs w:val="22"/>
        </w:rPr>
        <w:t>í</w:t>
      </w:r>
      <w:r w:rsidRPr="00B63E7D">
        <w:rPr>
          <w:sz w:val="22"/>
          <w:szCs w:val="22"/>
        </w:rPr>
        <w:t>n sa viaže na albumín v ľudskom sére aj na alfa-1-kyslý glykoproteín s albumínom v sére</w:t>
      </w:r>
      <w:r w:rsidR="002F2D7A" w:rsidRPr="00B63E7D">
        <w:rPr>
          <w:sz w:val="22"/>
          <w:szCs w:val="22"/>
        </w:rPr>
        <w:t>,</w:t>
      </w:r>
      <w:r w:rsidRPr="00B63E7D">
        <w:rPr>
          <w:sz w:val="22"/>
          <w:szCs w:val="22"/>
        </w:rPr>
        <w:t xml:space="preserve"> ako hlavný väzobný proteín dexmedetomid</w:t>
      </w:r>
      <w:r w:rsidR="00247A9F">
        <w:rPr>
          <w:sz w:val="22"/>
          <w:szCs w:val="22"/>
        </w:rPr>
        <w:t>í</w:t>
      </w:r>
      <w:r w:rsidRPr="00B63E7D">
        <w:rPr>
          <w:sz w:val="22"/>
          <w:szCs w:val="22"/>
        </w:rPr>
        <w:t>nu v plazme.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  <w:u w:val="single"/>
        </w:rPr>
      </w:pPr>
      <w:r w:rsidRPr="00B63E7D">
        <w:rPr>
          <w:sz w:val="22"/>
          <w:szCs w:val="22"/>
          <w:u w:val="single"/>
        </w:rPr>
        <w:t>Biotransformácia a eliminácia</w:t>
      </w:r>
    </w:p>
    <w:p w:rsidR="00094BED" w:rsidRPr="00B63E7D" w:rsidRDefault="00094BED" w:rsidP="00F55242">
      <w:pPr>
        <w:pStyle w:val="Nadpis2"/>
        <w:spacing w:before="0" w:after="0" w:line="240" w:lineRule="auto"/>
        <w:rPr>
          <w:sz w:val="22"/>
          <w:szCs w:val="22"/>
        </w:rPr>
      </w:pPr>
    </w:p>
    <w:p w:rsidR="00094BED" w:rsidRPr="00B63E7D" w:rsidRDefault="00094BED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  <w:r w:rsidRPr="00B63E7D">
        <w:rPr>
          <w:sz w:val="22"/>
          <w:szCs w:val="22"/>
        </w:rPr>
        <w:t>Dexmedetomid</w:t>
      </w:r>
      <w:r w:rsidR="00247A9F">
        <w:rPr>
          <w:sz w:val="22"/>
          <w:szCs w:val="22"/>
        </w:rPr>
        <w:t>í</w:t>
      </w:r>
      <w:r w:rsidRPr="00B63E7D">
        <w:rPr>
          <w:sz w:val="22"/>
          <w:szCs w:val="22"/>
        </w:rPr>
        <w:t>n sa eliminuje extenzívnym metabolizmom v pečeni. Existujú tri typy začiatočných metabolických reakcií; priama N-glukuronidácia, priama N-metylácia a cytochrómom P450 katalyzovaná oxidácia. Najpočetnejšími cirkulujúcimi metabolitmi dexmedetomid</w:t>
      </w:r>
      <w:r w:rsidR="00247A9F">
        <w:rPr>
          <w:sz w:val="22"/>
          <w:szCs w:val="22"/>
        </w:rPr>
        <w:t>í</w:t>
      </w:r>
      <w:r w:rsidRPr="00B63E7D">
        <w:rPr>
          <w:sz w:val="22"/>
          <w:szCs w:val="22"/>
        </w:rPr>
        <w:t>nu sú dva izomérne N-glukuronidy. Metabolit H-1, N-metyl 3-hydroxymetyl-dexmedetomidin- O-glukuronid je tiež hlavným cirkulujúcim produktom biotransformácie dexmedetomidinu. Cytochróm P-450 katalyzuje tvorbu dvoch vedľajších cirkulujúcich metabolitov, 3-hydroxymetyldexmedetomidinu, ktorý vznikol hydroxyláciou na 3-metylovej skupine dexmedetomidinu a H-3, ktorý vznikol oxidáciou imidazolového prstenca. Dostupné údaje naznačujú, že vznik oxidovaných metabolitov je sprostredkovan</w:t>
      </w:r>
      <w:r w:rsidR="002F2D7A" w:rsidRPr="00B63E7D">
        <w:rPr>
          <w:sz w:val="22"/>
          <w:szCs w:val="22"/>
        </w:rPr>
        <w:t xml:space="preserve">ý </w:t>
      </w:r>
      <w:r w:rsidRPr="00B63E7D">
        <w:rPr>
          <w:sz w:val="22"/>
          <w:szCs w:val="22"/>
        </w:rPr>
        <w:t>niekoľkými formami CYP (CYP2A6, CYP1A2, CYP2E1, CYP2D6 a CYP2C19). Tieto metabolity majú zanedbateľnú farmakologickú aktivitu.</w:t>
      </w:r>
    </w:p>
    <w:p w:rsidR="00094BED" w:rsidRPr="00B63E7D" w:rsidRDefault="00094BED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</w:p>
    <w:p w:rsidR="00094BED" w:rsidRPr="00B63E7D" w:rsidRDefault="00D47570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  <w:r w:rsidRPr="00B63E7D">
        <w:rPr>
          <w:sz w:val="22"/>
          <w:szCs w:val="22"/>
        </w:rPr>
        <w:t>Po i.v. poda</w:t>
      </w:r>
      <w:r w:rsidR="00094BED" w:rsidRPr="00B63E7D">
        <w:rPr>
          <w:sz w:val="22"/>
          <w:szCs w:val="22"/>
        </w:rPr>
        <w:t>ní rádioaktívne značeného dexmedetomid</w:t>
      </w:r>
      <w:r w:rsidR="00247A9F">
        <w:rPr>
          <w:sz w:val="22"/>
          <w:szCs w:val="22"/>
        </w:rPr>
        <w:t>í</w:t>
      </w:r>
      <w:r w:rsidR="00094BED" w:rsidRPr="00B63E7D">
        <w:rPr>
          <w:sz w:val="22"/>
          <w:szCs w:val="22"/>
        </w:rPr>
        <w:t>nu sa v priemere 95 % rádioaktivity vylúčilo v moči a 4 % v stolici po deviatich dňoch. Hlavnými metabolitmi v moči sú dva izomérne N-glukuronidy, ktoré spol</w:t>
      </w:r>
      <w:r w:rsidR="00A176A3" w:rsidRPr="00B63E7D">
        <w:rPr>
          <w:sz w:val="22"/>
          <w:szCs w:val="22"/>
        </w:rPr>
        <w:t xml:space="preserve">u </w:t>
      </w:r>
      <w:r w:rsidR="00094BED" w:rsidRPr="00B63E7D">
        <w:rPr>
          <w:sz w:val="22"/>
          <w:szCs w:val="22"/>
        </w:rPr>
        <w:t>tvorili približne 34 % dávky a N-metyl-3-hydroxymetyl-dexmedetomidin-O-glukuronid, ktorý tvoril 14,51 % dávky. Vedľajšie metabolity dexmedetomidinu, kyselina karboxylová, 3-hydroxymetyl-dexmedetomidin a jeho O-glukuronid individuálne tvorili 1,11 až 7,66 % dávky. V moči sa vylúčilo menej než 1 % nezmeneného východiskového liečiva. Približne 28 % metabolitov v moči sú neidentifikované vedľajšie metabolity.</w:t>
      </w:r>
    </w:p>
    <w:p w:rsidR="00094BED" w:rsidRPr="00B63E7D" w:rsidRDefault="00094BED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</w:p>
    <w:p w:rsidR="00094BED" w:rsidRPr="00B63E7D" w:rsidRDefault="00A176A3" w:rsidP="00F55242">
      <w:pPr>
        <w:spacing w:line="240" w:lineRule="auto"/>
        <w:jc w:val="both"/>
        <w:rPr>
          <w:sz w:val="22"/>
          <w:szCs w:val="22"/>
          <w:u w:val="single"/>
        </w:rPr>
      </w:pPr>
      <w:r w:rsidRPr="00B63E7D">
        <w:rPr>
          <w:sz w:val="22"/>
          <w:szCs w:val="22"/>
          <w:u w:val="single"/>
        </w:rPr>
        <w:t xml:space="preserve">Špeciálne </w:t>
      </w:r>
      <w:r w:rsidR="00094BED" w:rsidRPr="00B63E7D">
        <w:rPr>
          <w:sz w:val="22"/>
          <w:szCs w:val="22"/>
          <w:u w:val="single"/>
        </w:rPr>
        <w:t>populácie</w:t>
      </w:r>
    </w:p>
    <w:p w:rsidR="00094BED" w:rsidRPr="00B63E7D" w:rsidRDefault="00094BED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</w:p>
    <w:p w:rsidR="00094BED" w:rsidRPr="00B63E7D" w:rsidRDefault="007A46BA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  <w:r w:rsidRPr="00B63E7D">
        <w:rPr>
          <w:sz w:val="22"/>
          <w:szCs w:val="22"/>
        </w:rPr>
        <w:t>Na základe pohlavia alebo veku sa n</w:t>
      </w:r>
      <w:r w:rsidR="00094BED" w:rsidRPr="00B63E7D">
        <w:rPr>
          <w:sz w:val="22"/>
          <w:szCs w:val="22"/>
        </w:rPr>
        <w:t>epozorovali žiadne významné farmakokinetické rozdiely.</w:t>
      </w:r>
    </w:p>
    <w:p w:rsidR="00094BED" w:rsidRPr="00B63E7D" w:rsidRDefault="00094BED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</w:p>
    <w:p w:rsidR="00094BED" w:rsidRPr="00B63E7D" w:rsidRDefault="00094BED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  <w:r w:rsidRPr="00B63E7D">
        <w:rPr>
          <w:sz w:val="22"/>
          <w:szCs w:val="22"/>
        </w:rPr>
        <w:t>Väzb</w:t>
      </w:r>
      <w:r w:rsidR="00465A2B" w:rsidRPr="00B63E7D">
        <w:rPr>
          <w:sz w:val="22"/>
          <w:szCs w:val="22"/>
        </w:rPr>
        <w:t>a</w:t>
      </w:r>
      <w:r w:rsidRPr="00B63E7D">
        <w:rPr>
          <w:sz w:val="22"/>
          <w:szCs w:val="22"/>
        </w:rPr>
        <w:t xml:space="preserve"> dexmedetomid</w:t>
      </w:r>
      <w:r w:rsidR="00247A9F">
        <w:rPr>
          <w:sz w:val="22"/>
          <w:szCs w:val="22"/>
        </w:rPr>
        <w:t>í</w:t>
      </w:r>
      <w:r w:rsidRPr="00B63E7D">
        <w:rPr>
          <w:sz w:val="22"/>
          <w:szCs w:val="22"/>
        </w:rPr>
        <w:t xml:space="preserve">nu </w:t>
      </w:r>
      <w:r w:rsidR="00465A2B" w:rsidRPr="00B63E7D">
        <w:rPr>
          <w:sz w:val="22"/>
          <w:szCs w:val="22"/>
        </w:rPr>
        <w:t xml:space="preserve">na </w:t>
      </w:r>
      <w:r w:rsidRPr="00B63E7D">
        <w:rPr>
          <w:sz w:val="22"/>
          <w:szCs w:val="22"/>
        </w:rPr>
        <w:t xml:space="preserve">plazmatické </w:t>
      </w:r>
      <w:r w:rsidR="00447D9E" w:rsidRPr="00B63E7D">
        <w:rPr>
          <w:sz w:val="22"/>
          <w:szCs w:val="22"/>
        </w:rPr>
        <w:t>bielkoviny</w:t>
      </w:r>
      <w:r w:rsidRPr="00B63E7D">
        <w:rPr>
          <w:sz w:val="22"/>
          <w:szCs w:val="22"/>
        </w:rPr>
        <w:t xml:space="preserve"> je znížená u jedincov s po</w:t>
      </w:r>
      <w:r w:rsidR="00447D9E" w:rsidRPr="00B63E7D">
        <w:rPr>
          <w:sz w:val="22"/>
          <w:szCs w:val="22"/>
        </w:rPr>
        <w:t xml:space="preserve">ruchou </w:t>
      </w:r>
      <w:r w:rsidRPr="00B63E7D">
        <w:rPr>
          <w:sz w:val="22"/>
          <w:szCs w:val="22"/>
        </w:rPr>
        <w:t>funkcie pečene v porovnaní so zdravými jedincami. Priemerný percentuálny podiel neviazaného dexmedetomidinu v plazme sa pohyboval od 8,5 % u zdravých jedincov do 17,9 % u jedincov s ťažk</w:t>
      </w:r>
      <w:r w:rsidR="006E303B" w:rsidRPr="00B63E7D">
        <w:rPr>
          <w:sz w:val="22"/>
          <w:szCs w:val="22"/>
        </w:rPr>
        <w:t xml:space="preserve">ou </w:t>
      </w:r>
      <w:r w:rsidRPr="00B63E7D">
        <w:rPr>
          <w:sz w:val="22"/>
          <w:szCs w:val="22"/>
        </w:rPr>
        <w:t>po</w:t>
      </w:r>
      <w:r w:rsidR="006E303B" w:rsidRPr="00B63E7D">
        <w:rPr>
          <w:sz w:val="22"/>
          <w:szCs w:val="22"/>
        </w:rPr>
        <w:t xml:space="preserve">ruchou </w:t>
      </w:r>
      <w:r w:rsidRPr="00B63E7D">
        <w:rPr>
          <w:sz w:val="22"/>
          <w:szCs w:val="22"/>
        </w:rPr>
        <w:t>funkcie pečene. U jedincov s rôznymi stupňami po</w:t>
      </w:r>
      <w:r w:rsidR="00420B9B" w:rsidRPr="00B63E7D">
        <w:rPr>
          <w:sz w:val="22"/>
          <w:szCs w:val="22"/>
        </w:rPr>
        <w:t xml:space="preserve">rúch </w:t>
      </w:r>
      <w:r w:rsidRPr="00B63E7D">
        <w:rPr>
          <w:sz w:val="22"/>
          <w:szCs w:val="22"/>
        </w:rPr>
        <w:t>funkcie pečene (Child-Pughova trieda A, B alebo C) bol hepatický klírens dexmedetomidinu znížený a mali predĺženú elimináciu z plazmy t</w:t>
      </w:r>
      <w:r w:rsidRPr="00B63E7D">
        <w:rPr>
          <w:sz w:val="22"/>
          <w:szCs w:val="22"/>
          <w:vertAlign w:val="subscript"/>
        </w:rPr>
        <w:t>1/2</w:t>
      </w:r>
      <w:r w:rsidRPr="00B63E7D">
        <w:rPr>
          <w:sz w:val="22"/>
          <w:szCs w:val="22"/>
        </w:rPr>
        <w:t xml:space="preserve">. Priemerné hodnoty klírensu neviazaného </w:t>
      </w:r>
      <w:r w:rsidRPr="00B63E7D">
        <w:rPr>
          <w:sz w:val="22"/>
          <w:szCs w:val="22"/>
          <w:lang w:eastAsia="zh-CN"/>
        </w:rPr>
        <w:t>dexmedetomid</w:t>
      </w:r>
      <w:r w:rsidR="00247A9F">
        <w:rPr>
          <w:sz w:val="22"/>
          <w:szCs w:val="22"/>
          <w:lang w:eastAsia="zh-CN"/>
        </w:rPr>
        <w:t>í</w:t>
      </w:r>
      <w:r w:rsidRPr="00B63E7D">
        <w:rPr>
          <w:sz w:val="22"/>
          <w:szCs w:val="22"/>
          <w:lang w:eastAsia="zh-CN"/>
        </w:rPr>
        <w:t xml:space="preserve">nu </w:t>
      </w:r>
      <w:r w:rsidRPr="00B63E7D">
        <w:rPr>
          <w:sz w:val="22"/>
          <w:szCs w:val="22"/>
        </w:rPr>
        <w:t xml:space="preserve">z plazmy </w:t>
      </w:r>
      <w:r w:rsidRPr="00B63E7D">
        <w:rPr>
          <w:sz w:val="22"/>
          <w:szCs w:val="22"/>
          <w:lang w:eastAsia="zh-CN"/>
        </w:rPr>
        <w:t>u jedincov s miern</w:t>
      </w:r>
      <w:r w:rsidR="002F39B3" w:rsidRPr="00B63E7D">
        <w:rPr>
          <w:sz w:val="22"/>
          <w:szCs w:val="22"/>
          <w:lang w:eastAsia="zh-CN"/>
        </w:rPr>
        <w:t>ou</w:t>
      </w:r>
      <w:r w:rsidRPr="00B63E7D">
        <w:rPr>
          <w:sz w:val="22"/>
          <w:szCs w:val="22"/>
          <w:lang w:eastAsia="zh-CN"/>
        </w:rPr>
        <w:t>, stredne ťažk</w:t>
      </w:r>
      <w:r w:rsidR="002F39B3" w:rsidRPr="00B63E7D">
        <w:rPr>
          <w:sz w:val="22"/>
          <w:szCs w:val="22"/>
          <w:lang w:eastAsia="zh-CN"/>
        </w:rPr>
        <w:t>ou</w:t>
      </w:r>
      <w:r w:rsidRPr="00B63E7D">
        <w:rPr>
          <w:sz w:val="22"/>
          <w:szCs w:val="22"/>
          <w:lang w:eastAsia="zh-CN"/>
        </w:rPr>
        <w:t xml:space="preserve"> a ťažk</w:t>
      </w:r>
      <w:r w:rsidR="002F39B3" w:rsidRPr="00B63E7D">
        <w:rPr>
          <w:sz w:val="22"/>
          <w:szCs w:val="22"/>
          <w:lang w:eastAsia="zh-CN"/>
        </w:rPr>
        <w:t xml:space="preserve">ou </w:t>
      </w:r>
      <w:r w:rsidRPr="00B63E7D">
        <w:rPr>
          <w:sz w:val="22"/>
          <w:szCs w:val="22"/>
          <w:lang w:eastAsia="zh-CN"/>
        </w:rPr>
        <w:t>po</w:t>
      </w:r>
      <w:r w:rsidR="002F39B3" w:rsidRPr="00B63E7D">
        <w:rPr>
          <w:sz w:val="22"/>
          <w:szCs w:val="22"/>
          <w:lang w:eastAsia="zh-CN"/>
        </w:rPr>
        <w:t xml:space="preserve">ruchou </w:t>
      </w:r>
      <w:r w:rsidRPr="00B63E7D">
        <w:rPr>
          <w:sz w:val="22"/>
          <w:szCs w:val="22"/>
          <w:lang w:eastAsia="zh-CN"/>
        </w:rPr>
        <w:t xml:space="preserve">funkcie pečene boli </w:t>
      </w:r>
      <w:r w:rsidRPr="00B63E7D">
        <w:rPr>
          <w:sz w:val="22"/>
          <w:szCs w:val="22"/>
        </w:rPr>
        <w:t>59 %, 51 % a 32 % (v uvedenom poradí) hodnôt pozorovaných u normálnych zdravých jedincov. Priemerný t</w:t>
      </w:r>
      <w:r w:rsidRPr="00B63E7D">
        <w:rPr>
          <w:sz w:val="22"/>
          <w:szCs w:val="22"/>
          <w:vertAlign w:val="subscript"/>
        </w:rPr>
        <w:t>1/2</w:t>
      </w:r>
      <w:r w:rsidRPr="00B63E7D">
        <w:rPr>
          <w:sz w:val="22"/>
          <w:szCs w:val="22"/>
        </w:rPr>
        <w:t xml:space="preserve"> </w:t>
      </w:r>
      <w:r w:rsidRPr="00B63E7D">
        <w:rPr>
          <w:sz w:val="22"/>
          <w:szCs w:val="22"/>
          <w:lang w:eastAsia="zh-CN"/>
        </w:rPr>
        <w:t>u jedincov s miern</w:t>
      </w:r>
      <w:r w:rsidR="00A02214" w:rsidRPr="00B63E7D">
        <w:rPr>
          <w:sz w:val="22"/>
          <w:szCs w:val="22"/>
          <w:lang w:eastAsia="zh-CN"/>
        </w:rPr>
        <w:t>ou</w:t>
      </w:r>
      <w:r w:rsidRPr="00B63E7D">
        <w:rPr>
          <w:sz w:val="22"/>
          <w:szCs w:val="22"/>
          <w:lang w:eastAsia="zh-CN"/>
        </w:rPr>
        <w:t>, stredne ťažk</w:t>
      </w:r>
      <w:r w:rsidR="00A02214" w:rsidRPr="00B63E7D">
        <w:rPr>
          <w:sz w:val="22"/>
          <w:szCs w:val="22"/>
          <w:lang w:eastAsia="zh-CN"/>
        </w:rPr>
        <w:t>ou</w:t>
      </w:r>
      <w:r w:rsidRPr="00B63E7D">
        <w:rPr>
          <w:sz w:val="22"/>
          <w:szCs w:val="22"/>
          <w:lang w:eastAsia="zh-CN"/>
        </w:rPr>
        <w:t xml:space="preserve"> a ťažk</w:t>
      </w:r>
      <w:r w:rsidR="00A02214" w:rsidRPr="00B63E7D">
        <w:rPr>
          <w:sz w:val="22"/>
          <w:szCs w:val="22"/>
          <w:lang w:eastAsia="zh-CN"/>
        </w:rPr>
        <w:t>ou</w:t>
      </w:r>
      <w:r w:rsidRPr="00B63E7D">
        <w:rPr>
          <w:sz w:val="22"/>
          <w:szCs w:val="22"/>
          <w:lang w:eastAsia="zh-CN"/>
        </w:rPr>
        <w:t xml:space="preserve"> po</w:t>
      </w:r>
      <w:r w:rsidR="00A02214" w:rsidRPr="00B63E7D">
        <w:rPr>
          <w:sz w:val="22"/>
          <w:szCs w:val="22"/>
          <w:lang w:eastAsia="zh-CN"/>
        </w:rPr>
        <w:t xml:space="preserve">ruchou </w:t>
      </w:r>
      <w:r w:rsidRPr="00B63E7D">
        <w:rPr>
          <w:sz w:val="22"/>
          <w:szCs w:val="22"/>
          <w:lang w:eastAsia="zh-CN"/>
        </w:rPr>
        <w:t>funkcie pečene</w:t>
      </w:r>
      <w:r w:rsidRPr="00B63E7D">
        <w:rPr>
          <w:sz w:val="22"/>
          <w:szCs w:val="22"/>
        </w:rPr>
        <w:t xml:space="preserve"> sa predĺžil na 3,9; 5,4 a 7,4 (v uvedenom poradí) hodín. </w:t>
      </w:r>
      <w:r w:rsidR="00A02214" w:rsidRPr="00B63E7D">
        <w:rPr>
          <w:sz w:val="22"/>
          <w:szCs w:val="22"/>
        </w:rPr>
        <w:t xml:space="preserve">Aj ak sa </w:t>
      </w:r>
      <w:r w:rsidRPr="00B63E7D">
        <w:rPr>
          <w:sz w:val="22"/>
          <w:szCs w:val="22"/>
        </w:rPr>
        <w:t>dexmedetomidin podáva podľa účinku, možno zvážiť zníženie začiatočnej/udržiavacej dávky u pacientov s po</w:t>
      </w:r>
      <w:r w:rsidR="003B5D8E" w:rsidRPr="00B63E7D">
        <w:rPr>
          <w:sz w:val="22"/>
          <w:szCs w:val="22"/>
        </w:rPr>
        <w:t xml:space="preserve">ruchou </w:t>
      </w:r>
      <w:r w:rsidRPr="00B63E7D">
        <w:rPr>
          <w:sz w:val="22"/>
          <w:szCs w:val="22"/>
        </w:rPr>
        <w:t>funkcie pečene v závislosti od stupňa poškodenia a od reakcie.</w:t>
      </w:r>
    </w:p>
    <w:p w:rsidR="00094BED" w:rsidRPr="00B63E7D" w:rsidRDefault="00094BED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</w:p>
    <w:p w:rsidR="00094BED" w:rsidRPr="00B63E7D" w:rsidRDefault="00094BED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  <w:r w:rsidRPr="00B63E7D">
        <w:rPr>
          <w:sz w:val="22"/>
          <w:szCs w:val="22"/>
        </w:rPr>
        <w:t>Farmakokinetika dexmedetomid</w:t>
      </w:r>
      <w:r w:rsidR="00247A9F">
        <w:rPr>
          <w:sz w:val="22"/>
          <w:szCs w:val="22"/>
        </w:rPr>
        <w:t>í</w:t>
      </w:r>
      <w:r w:rsidRPr="00B63E7D">
        <w:rPr>
          <w:sz w:val="22"/>
          <w:szCs w:val="22"/>
        </w:rPr>
        <w:t>nu u jedincov s ťažk</w:t>
      </w:r>
      <w:r w:rsidR="00AF7417" w:rsidRPr="00B63E7D">
        <w:rPr>
          <w:sz w:val="22"/>
          <w:szCs w:val="22"/>
        </w:rPr>
        <w:t xml:space="preserve">ou </w:t>
      </w:r>
      <w:r w:rsidRPr="00B63E7D">
        <w:rPr>
          <w:sz w:val="22"/>
          <w:szCs w:val="22"/>
        </w:rPr>
        <w:t>po</w:t>
      </w:r>
      <w:r w:rsidR="00AF7417" w:rsidRPr="00B63E7D">
        <w:rPr>
          <w:sz w:val="22"/>
          <w:szCs w:val="22"/>
        </w:rPr>
        <w:t xml:space="preserve">ruchou </w:t>
      </w:r>
      <w:r w:rsidRPr="00B63E7D">
        <w:rPr>
          <w:sz w:val="22"/>
          <w:szCs w:val="22"/>
        </w:rPr>
        <w:t>funkcie obličiek (klírens kreatinínu &lt; 30 ml/min) nie je zmenená v porovnaní so zdravými jedincami.</w:t>
      </w:r>
    </w:p>
    <w:p w:rsidR="00094BED" w:rsidRPr="00B63E7D" w:rsidRDefault="00094BED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</w:p>
    <w:p w:rsidR="00EE5C94" w:rsidRPr="00B63E7D" w:rsidRDefault="00094BED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  <w:r w:rsidRPr="00B63E7D">
        <w:rPr>
          <w:sz w:val="22"/>
          <w:szCs w:val="22"/>
        </w:rPr>
        <w:lastRenderedPageBreak/>
        <w:t>Údaje od novorodencov (28-44 týždňov gestácie) až po deti vo veku 17 rokov sú limitované.</w:t>
      </w:r>
    </w:p>
    <w:p w:rsidR="00094BED" w:rsidRPr="00B63E7D" w:rsidRDefault="00094BED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  <w:r w:rsidRPr="00B63E7D">
        <w:rPr>
          <w:sz w:val="22"/>
          <w:szCs w:val="22"/>
        </w:rPr>
        <w:t>Zdá sa, že je polčas dexmedetomidínu u detí (1 mesiac až 17 rokov) podobný ako sa pozoroval u dospelých, ale u novorodencov (mladších ako 1 mesiac) sa zdá byť dlhší. Vo vekových skupinách od 1 mesiaca do 6 rokov sa plazm</w:t>
      </w:r>
      <w:r w:rsidR="002876E0" w:rsidRPr="00B63E7D">
        <w:rPr>
          <w:sz w:val="22"/>
          <w:szCs w:val="22"/>
        </w:rPr>
        <w:t>atický</w:t>
      </w:r>
      <w:r w:rsidRPr="00B63E7D">
        <w:rPr>
          <w:sz w:val="22"/>
          <w:szCs w:val="22"/>
        </w:rPr>
        <w:t xml:space="preserve"> klírens upravený podľa telesnej hmotnosti javil vyšší, ale klesal u starších detí. Plazm</w:t>
      </w:r>
      <w:r w:rsidR="002876E0" w:rsidRPr="00B63E7D">
        <w:rPr>
          <w:sz w:val="22"/>
          <w:szCs w:val="22"/>
        </w:rPr>
        <w:t>atický</w:t>
      </w:r>
      <w:r w:rsidRPr="00B63E7D">
        <w:rPr>
          <w:sz w:val="22"/>
          <w:szCs w:val="22"/>
        </w:rPr>
        <w:t xml:space="preserve"> klírens upravený podľa telesnej hmotnosti u novorodencov (mladších ako 1</w:t>
      </w:r>
      <w:r w:rsidR="004D62C0" w:rsidRPr="00B63E7D">
        <w:rPr>
          <w:sz w:val="22"/>
          <w:szCs w:val="22"/>
        </w:rPr>
        <w:t> </w:t>
      </w:r>
      <w:r w:rsidRPr="00B63E7D">
        <w:rPr>
          <w:sz w:val="22"/>
          <w:szCs w:val="22"/>
        </w:rPr>
        <w:t xml:space="preserve">mesiac) sa kvôli </w:t>
      </w:r>
      <w:r w:rsidR="002876E0" w:rsidRPr="00B63E7D">
        <w:rPr>
          <w:sz w:val="22"/>
          <w:szCs w:val="22"/>
        </w:rPr>
        <w:t>nezrelosti</w:t>
      </w:r>
      <w:r w:rsidRPr="00B63E7D">
        <w:rPr>
          <w:sz w:val="22"/>
          <w:szCs w:val="22"/>
        </w:rPr>
        <w:t xml:space="preserve"> zdal byť nižší (0,91 l</w:t>
      </w:r>
      <w:r w:rsidR="008B2DF5" w:rsidRPr="00B63E7D">
        <w:rPr>
          <w:sz w:val="22"/>
          <w:szCs w:val="22"/>
        </w:rPr>
        <w:t>/hod.</w:t>
      </w:r>
      <w:r w:rsidRPr="00B63E7D">
        <w:rPr>
          <w:sz w:val="22"/>
          <w:szCs w:val="22"/>
        </w:rPr>
        <w:t>/kg) ako u starších skupín. Dostupné údaje sú zhrnuté v nasled</w:t>
      </w:r>
      <w:r w:rsidR="004939E4" w:rsidRPr="00B63E7D">
        <w:rPr>
          <w:sz w:val="22"/>
          <w:szCs w:val="22"/>
        </w:rPr>
        <w:t>ovnej</w:t>
      </w:r>
      <w:r w:rsidRPr="00B63E7D">
        <w:rPr>
          <w:sz w:val="22"/>
          <w:szCs w:val="22"/>
        </w:rPr>
        <w:t xml:space="preserve"> tabuľke.</w:t>
      </w:r>
    </w:p>
    <w:p w:rsidR="00094BED" w:rsidRPr="00B63E7D" w:rsidRDefault="00094BED" w:rsidP="00F55242">
      <w:p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1116"/>
        <w:gridCol w:w="1560"/>
        <w:gridCol w:w="1842"/>
      </w:tblGrid>
      <w:tr w:rsidR="00094BED" w:rsidRPr="00B63E7D" w:rsidTr="00666D4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ED" w:rsidRPr="00B63E7D" w:rsidRDefault="00094BED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ED" w:rsidRPr="00B63E7D" w:rsidRDefault="00094BED" w:rsidP="00F5524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Priemer (95 % CI)</w:t>
            </w:r>
          </w:p>
        </w:tc>
      </w:tr>
      <w:tr w:rsidR="00094BED" w:rsidRPr="00B63E7D" w:rsidTr="00666D4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Vek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Cl (l</w:t>
            </w:r>
            <w:r w:rsidR="008B2DF5" w:rsidRPr="00B63E7D">
              <w:rPr>
                <w:sz w:val="22"/>
                <w:szCs w:val="22"/>
              </w:rPr>
              <w:t>/hod.</w:t>
            </w:r>
            <w:r w:rsidRPr="00B63E7D">
              <w:rPr>
                <w:sz w:val="22"/>
                <w:szCs w:val="22"/>
              </w:rPr>
              <w:t>/kg)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t</w:t>
            </w:r>
            <w:r w:rsidRPr="00B63E7D">
              <w:rPr>
                <w:sz w:val="22"/>
                <w:szCs w:val="22"/>
                <w:vertAlign w:val="subscript"/>
              </w:rPr>
              <w:t xml:space="preserve">1/2 </w:t>
            </w:r>
            <w:r w:rsidRPr="00B63E7D">
              <w:rPr>
                <w:sz w:val="22"/>
                <w:szCs w:val="22"/>
              </w:rPr>
              <w:t>(h</w:t>
            </w:r>
            <w:r w:rsidR="008F2344" w:rsidRPr="00B63E7D">
              <w:rPr>
                <w:sz w:val="22"/>
                <w:szCs w:val="22"/>
              </w:rPr>
              <w:t>od.</w:t>
            </w:r>
            <w:r w:rsidRPr="00B63E7D">
              <w:rPr>
                <w:sz w:val="22"/>
                <w:szCs w:val="22"/>
              </w:rPr>
              <w:t>)</w:t>
            </w:r>
          </w:p>
        </w:tc>
      </w:tr>
      <w:tr w:rsidR="00094BED" w:rsidRPr="00B63E7D" w:rsidTr="00666D4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Mladší ako 1 mesiac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0,93</w:t>
            </w:r>
          </w:p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(0,76; 1,14)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4,47</w:t>
            </w:r>
          </w:p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(3,81; 5,25)</w:t>
            </w:r>
          </w:p>
        </w:tc>
      </w:tr>
      <w:tr w:rsidR="00094BED" w:rsidRPr="00B63E7D" w:rsidTr="00666D4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730FA4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1 až &lt; </w:t>
            </w:r>
            <w:r w:rsidR="00094BED" w:rsidRPr="00B63E7D">
              <w:rPr>
                <w:sz w:val="22"/>
                <w:szCs w:val="22"/>
              </w:rPr>
              <w:t>6 mesiacov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1,21</w:t>
            </w:r>
          </w:p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(0,99; 1,48)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2,05</w:t>
            </w:r>
          </w:p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(1,59; 2,65)</w:t>
            </w:r>
          </w:p>
        </w:tc>
      </w:tr>
      <w:tr w:rsidR="00094BED" w:rsidRPr="00B63E7D" w:rsidTr="00666D4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6 až &lt;</w:t>
            </w:r>
            <w:r w:rsidR="00730FA4" w:rsidRPr="00B63E7D">
              <w:rPr>
                <w:sz w:val="22"/>
                <w:szCs w:val="22"/>
              </w:rPr>
              <w:t> </w:t>
            </w:r>
            <w:r w:rsidRPr="00B63E7D">
              <w:rPr>
                <w:sz w:val="22"/>
                <w:szCs w:val="22"/>
              </w:rPr>
              <w:t>12 mesiacov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1,11</w:t>
            </w:r>
          </w:p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(0,94; 1,31)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2,01</w:t>
            </w:r>
          </w:p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(1,81; 2,22)</w:t>
            </w:r>
          </w:p>
        </w:tc>
      </w:tr>
      <w:tr w:rsidR="00094BED" w:rsidRPr="00B63E7D" w:rsidTr="00666D4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12 až &lt;</w:t>
            </w:r>
            <w:r w:rsidR="00730FA4" w:rsidRPr="00B63E7D">
              <w:rPr>
                <w:sz w:val="22"/>
                <w:szCs w:val="22"/>
              </w:rPr>
              <w:t> </w:t>
            </w:r>
            <w:r w:rsidRPr="00B63E7D">
              <w:rPr>
                <w:sz w:val="22"/>
                <w:szCs w:val="22"/>
              </w:rPr>
              <w:t>24 mesiacov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1,06</w:t>
            </w:r>
          </w:p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(0,87; 1,29)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1,97</w:t>
            </w:r>
          </w:p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(1,62; 2,39)</w:t>
            </w:r>
          </w:p>
        </w:tc>
      </w:tr>
      <w:tr w:rsidR="00094BED" w:rsidRPr="00B63E7D" w:rsidTr="00666D4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2 až &lt;</w:t>
            </w:r>
            <w:r w:rsidR="00730FA4" w:rsidRPr="00B63E7D">
              <w:rPr>
                <w:sz w:val="22"/>
                <w:szCs w:val="22"/>
              </w:rPr>
              <w:t> </w:t>
            </w:r>
            <w:r w:rsidRPr="00B63E7D">
              <w:rPr>
                <w:sz w:val="22"/>
                <w:szCs w:val="22"/>
              </w:rPr>
              <w:t>6 rokov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1,11</w:t>
            </w:r>
          </w:p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(1,00; 1,23)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1,75</w:t>
            </w:r>
          </w:p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(1,57; 1,96)</w:t>
            </w:r>
          </w:p>
        </w:tc>
      </w:tr>
      <w:tr w:rsidR="00094BED" w:rsidRPr="00B63E7D" w:rsidTr="00666D4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730FA4" w:rsidP="00F55242">
            <w:pPr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6 až &lt; </w:t>
            </w:r>
            <w:r w:rsidR="00094BED" w:rsidRPr="00B63E7D">
              <w:rPr>
                <w:sz w:val="22"/>
                <w:szCs w:val="22"/>
              </w:rPr>
              <w:t>17 rokov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0,80</w:t>
            </w:r>
          </w:p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(0,69; 0,92)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2,03</w:t>
            </w:r>
          </w:p>
          <w:p w:rsidR="00094BED" w:rsidRPr="00B63E7D" w:rsidRDefault="00094BED" w:rsidP="00F5524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(1,78; 2,31)</w:t>
            </w:r>
          </w:p>
        </w:tc>
      </w:tr>
    </w:tbl>
    <w:p w:rsidR="00094BED" w:rsidRPr="00B63E7D" w:rsidRDefault="00094BED" w:rsidP="00F55242">
      <w:pPr>
        <w:tabs>
          <w:tab w:val="left" w:pos="720"/>
        </w:tabs>
        <w:spacing w:line="240" w:lineRule="auto"/>
        <w:rPr>
          <w:b/>
          <w:sz w:val="22"/>
          <w:szCs w:val="22"/>
        </w:rPr>
      </w:pPr>
    </w:p>
    <w:p w:rsidR="00094BED" w:rsidRPr="00B63E7D" w:rsidRDefault="00094BED" w:rsidP="00F55242">
      <w:pPr>
        <w:tabs>
          <w:tab w:val="left" w:pos="720"/>
        </w:tabs>
        <w:spacing w:line="240" w:lineRule="auto"/>
        <w:ind w:left="567" w:hanging="567"/>
        <w:rPr>
          <w:sz w:val="22"/>
          <w:szCs w:val="22"/>
        </w:rPr>
      </w:pPr>
      <w:r w:rsidRPr="00B63E7D">
        <w:rPr>
          <w:b/>
          <w:sz w:val="22"/>
          <w:szCs w:val="22"/>
        </w:rPr>
        <w:t>5.3</w:t>
      </w:r>
      <w:r w:rsidRPr="00B63E7D">
        <w:rPr>
          <w:b/>
          <w:sz w:val="22"/>
          <w:szCs w:val="22"/>
        </w:rPr>
        <w:tab/>
        <w:t>Predklinické údaje o bezpečnosti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 xml:space="preserve">Predklinické údaje získané na základe obvyklých farmakologických štúdií bezpečnosti, toxicity po </w:t>
      </w:r>
      <w:r w:rsidR="00A449EA" w:rsidRPr="00B63E7D">
        <w:rPr>
          <w:sz w:val="22"/>
          <w:szCs w:val="22"/>
        </w:rPr>
        <w:t xml:space="preserve">jednorazovom a </w:t>
      </w:r>
      <w:r w:rsidRPr="00B63E7D">
        <w:rPr>
          <w:sz w:val="22"/>
          <w:szCs w:val="22"/>
        </w:rPr>
        <w:t>opakovanom podávaní a genotoxicity neodhalili žiadne osobitné riziko pre ľudí.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V štúdiách reprodukčnej toxicity nemal dexmedetomid</w:t>
      </w:r>
      <w:r w:rsidR="00247A9F">
        <w:rPr>
          <w:sz w:val="22"/>
          <w:szCs w:val="22"/>
        </w:rPr>
        <w:t>í</w:t>
      </w:r>
      <w:r w:rsidRPr="00B63E7D">
        <w:rPr>
          <w:sz w:val="22"/>
          <w:szCs w:val="22"/>
        </w:rPr>
        <w:t>n žiadny účinok na plodnosť samcov alebo samíc u potkanov a žiadne teratogenné účinky sa nepozorovali na potkanoch ani na králikoch. V štúdii na králikoch viedlo intravenózne podanie maximálnej dávky 96</w:t>
      </w:r>
      <w:r w:rsidRPr="00B63E7D">
        <w:rPr>
          <w:bCs/>
          <w:sz w:val="22"/>
          <w:szCs w:val="22"/>
        </w:rPr>
        <w:t> </w:t>
      </w:r>
      <w:r w:rsidRPr="00B63E7D">
        <w:rPr>
          <w:sz w:val="22"/>
          <w:szCs w:val="22"/>
        </w:rPr>
        <w:t xml:space="preserve">µg/kg/deň k expozíciám, ktoré sú podobné  tým, ktoré sa pozorovali klinicky. U potkanov vyvolalo subkutánne podanie najvyššej dávky 200 µg/kg/deň zvýšenie embryofetálnych úmrtí a </w:t>
      </w:r>
      <w:r w:rsidR="00A449EA" w:rsidRPr="00B63E7D">
        <w:rPr>
          <w:sz w:val="22"/>
          <w:szCs w:val="22"/>
        </w:rPr>
        <w:t>pokles</w:t>
      </w:r>
      <w:r w:rsidRPr="00B63E7D">
        <w:rPr>
          <w:sz w:val="22"/>
          <w:szCs w:val="22"/>
        </w:rPr>
        <w:t xml:space="preserve"> telesnej hmotnosti plodov. Tieto účinky sa spájali s výraznou toxicitou matky. Znížená telesná hmotnosť plodov sa pozorovala aj v štúdii fertility na  potkanoch pri dávke 18</w:t>
      </w:r>
      <w:r w:rsidRPr="00B63E7D">
        <w:rPr>
          <w:bCs/>
          <w:sz w:val="22"/>
          <w:szCs w:val="22"/>
        </w:rPr>
        <w:t> </w:t>
      </w:r>
      <w:r w:rsidRPr="00B63E7D">
        <w:rPr>
          <w:sz w:val="22"/>
          <w:szCs w:val="22"/>
        </w:rPr>
        <w:t>µg/kg/deň a sprevádzala ju oneskorená osifikácia pri dávke 54</w:t>
      </w:r>
      <w:r w:rsidRPr="00B63E7D">
        <w:rPr>
          <w:bCs/>
          <w:sz w:val="22"/>
          <w:szCs w:val="22"/>
        </w:rPr>
        <w:t> </w:t>
      </w:r>
      <w:r w:rsidRPr="00B63E7D">
        <w:rPr>
          <w:sz w:val="22"/>
          <w:szCs w:val="22"/>
        </w:rPr>
        <w:t>µg/kg/deň. Pozorované hladiny expozície u potkanov sú nižšie ako rozsah klinického pôsobenia.</w:t>
      </w:r>
    </w:p>
    <w:p w:rsidR="00094BED" w:rsidRPr="00B63E7D" w:rsidRDefault="00094BED" w:rsidP="00F55242">
      <w:pPr>
        <w:pStyle w:val="Odsekzoznamu"/>
        <w:spacing w:after="0" w:line="240" w:lineRule="auto"/>
        <w:ind w:left="0"/>
        <w:contextualSpacing w:val="0"/>
        <w:rPr>
          <w:rFonts w:ascii="Times New Roman" w:hAnsi="Times New Roman"/>
        </w:rPr>
      </w:pPr>
    </w:p>
    <w:p w:rsidR="004939E4" w:rsidRPr="00B63E7D" w:rsidRDefault="004939E4" w:rsidP="00F55242">
      <w:pPr>
        <w:pStyle w:val="Odsekzoznamu"/>
        <w:spacing w:after="0" w:line="240" w:lineRule="auto"/>
        <w:ind w:left="0"/>
        <w:contextualSpacing w:val="0"/>
        <w:rPr>
          <w:rFonts w:ascii="Times New Roman" w:hAnsi="Times New Roman"/>
        </w:rPr>
      </w:pPr>
    </w:p>
    <w:p w:rsidR="004939E4" w:rsidRPr="00B63E7D" w:rsidRDefault="004939E4" w:rsidP="00F55242">
      <w:pPr>
        <w:spacing w:line="240" w:lineRule="auto"/>
        <w:ind w:left="540" w:hanging="540"/>
        <w:rPr>
          <w:b/>
          <w:bCs/>
          <w:sz w:val="22"/>
          <w:szCs w:val="22"/>
        </w:rPr>
      </w:pPr>
      <w:r w:rsidRPr="00B63E7D">
        <w:rPr>
          <w:b/>
          <w:bCs/>
          <w:sz w:val="22"/>
          <w:szCs w:val="22"/>
        </w:rPr>
        <w:t>6.</w:t>
      </w:r>
      <w:r w:rsidRPr="00B63E7D">
        <w:rPr>
          <w:b/>
          <w:bCs/>
          <w:sz w:val="22"/>
          <w:szCs w:val="22"/>
        </w:rPr>
        <w:tab/>
        <w:t xml:space="preserve"> FARMACEUTICKÉ </w:t>
      </w:r>
      <w:r w:rsidRPr="00B63E7D">
        <w:rPr>
          <w:b/>
          <w:sz w:val="22"/>
          <w:szCs w:val="22"/>
        </w:rPr>
        <w:t>INFORMÁCIE</w:t>
      </w:r>
    </w:p>
    <w:p w:rsidR="004939E4" w:rsidRPr="00B63E7D" w:rsidRDefault="004939E4" w:rsidP="00F55242">
      <w:pPr>
        <w:pStyle w:val="Textvysvetlivky"/>
        <w:spacing w:after="0"/>
        <w:rPr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ind w:left="567" w:hanging="567"/>
        <w:rPr>
          <w:sz w:val="22"/>
          <w:szCs w:val="22"/>
        </w:rPr>
      </w:pPr>
      <w:r w:rsidRPr="00B63E7D">
        <w:rPr>
          <w:b/>
          <w:bCs/>
          <w:sz w:val="22"/>
          <w:szCs w:val="22"/>
        </w:rPr>
        <w:t>6.1</w:t>
      </w:r>
      <w:r w:rsidRPr="00B63E7D">
        <w:rPr>
          <w:b/>
          <w:bCs/>
          <w:sz w:val="22"/>
          <w:szCs w:val="22"/>
        </w:rPr>
        <w:tab/>
      </w:r>
      <w:r w:rsidRPr="00B63E7D">
        <w:rPr>
          <w:b/>
          <w:sz w:val="22"/>
          <w:szCs w:val="22"/>
        </w:rPr>
        <w:t>Zoznam pomocných látok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4939E4" w:rsidRPr="00B63E7D" w:rsidRDefault="00A449EA" w:rsidP="00F55242">
      <w:pPr>
        <w:tabs>
          <w:tab w:val="left" w:pos="720"/>
        </w:tabs>
        <w:spacing w:line="240" w:lineRule="auto"/>
        <w:rPr>
          <w:iCs/>
          <w:sz w:val="22"/>
          <w:szCs w:val="22"/>
        </w:rPr>
      </w:pPr>
      <w:r w:rsidRPr="00B63E7D">
        <w:rPr>
          <w:iCs/>
          <w:sz w:val="22"/>
          <w:szCs w:val="22"/>
        </w:rPr>
        <w:t>c</w:t>
      </w:r>
      <w:r w:rsidR="004939E4" w:rsidRPr="00B63E7D">
        <w:rPr>
          <w:iCs/>
          <w:sz w:val="22"/>
          <w:szCs w:val="22"/>
        </w:rPr>
        <w:t>hlorid sodný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iCs/>
          <w:sz w:val="22"/>
          <w:szCs w:val="22"/>
        </w:rPr>
      </w:pPr>
      <w:r w:rsidRPr="00B63E7D">
        <w:rPr>
          <w:sz w:val="22"/>
          <w:szCs w:val="22"/>
        </w:rPr>
        <w:t>voda na injekci</w:t>
      </w:r>
      <w:r w:rsidR="00AB1A7B">
        <w:rPr>
          <w:sz w:val="22"/>
          <w:szCs w:val="22"/>
        </w:rPr>
        <w:t>e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ind w:left="567" w:hanging="567"/>
        <w:rPr>
          <w:b/>
          <w:sz w:val="22"/>
          <w:szCs w:val="22"/>
        </w:rPr>
      </w:pPr>
      <w:r w:rsidRPr="00B63E7D">
        <w:rPr>
          <w:b/>
          <w:sz w:val="22"/>
          <w:szCs w:val="22"/>
        </w:rPr>
        <w:t>6.2</w:t>
      </w:r>
      <w:r w:rsidRPr="00B63E7D">
        <w:rPr>
          <w:b/>
          <w:sz w:val="22"/>
          <w:szCs w:val="22"/>
        </w:rPr>
        <w:tab/>
        <w:t>Inkompatibility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ind w:left="567" w:hanging="567"/>
        <w:rPr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Tento liek sa nesmie miešať s inými liekmi okrem tých, ktoré sú uvedené v časti</w:t>
      </w:r>
      <w:r w:rsidR="00A449EA" w:rsidRPr="00B63E7D">
        <w:rPr>
          <w:sz w:val="22"/>
          <w:szCs w:val="22"/>
        </w:rPr>
        <w:t> </w:t>
      </w:r>
      <w:r w:rsidRPr="00B63E7D">
        <w:rPr>
          <w:sz w:val="22"/>
          <w:szCs w:val="22"/>
        </w:rPr>
        <w:t>6.6.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Štúdie kompatibility preukázali potenciálnu adsorpciu dexmedetomidinu  určitými typmi prírodnej gumy. I napriek tomu, že sa dexmedetomid</w:t>
      </w:r>
      <w:r w:rsidR="00247A9F">
        <w:rPr>
          <w:sz w:val="22"/>
          <w:szCs w:val="22"/>
        </w:rPr>
        <w:t>í</w:t>
      </w:r>
      <w:r w:rsidRPr="00B63E7D">
        <w:rPr>
          <w:sz w:val="22"/>
          <w:szCs w:val="22"/>
        </w:rPr>
        <w:t xml:space="preserve">n dávkuje podľa účinku, odporúča sa používať komponenty s tesnením zo syntetickej alebo </w:t>
      </w:r>
      <w:r w:rsidR="00A449EA" w:rsidRPr="00B63E7D">
        <w:rPr>
          <w:sz w:val="22"/>
          <w:szCs w:val="22"/>
        </w:rPr>
        <w:t>obalenej prírodnej gumy</w:t>
      </w:r>
      <w:r w:rsidRPr="00B63E7D">
        <w:rPr>
          <w:sz w:val="22"/>
          <w:szCs w:val="22"/>
        </w:rPr>
        <w:t>.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ind w:left="567" w:hanging="567"/>
        <w:rPr>
          <w:sz w:val="22"/>
          <w:szCs w:val="22"/>
        </w:rPr>
      </w:pPr>
      <w:r w:rsidRPr="00B63E7D">
        <w:rPr>
          <w:b/>
          <w:sz w:val="22"/>
          <w:szCs w:val="22"/>
        </w:rPr>
        <w:t>6.3</w:t>
      </w:r>
      <w:r w:rsidRPr="00B63E7D">
        <w:rPr>
          <w:b/>
          <w:sz w:val="22"/>
          <w:szCs w:val="22"/>
        </w:rPr>
        <w:tab/>
        <w:t>Čas</w:t>
      </w:r>
      <w:r w:rsidRPr="00B63E7D">
        <w:rPr>
          <w:b/>
          <w:bCs/>
          <w:sz w:val="22"/>
          <w:szCs w:val="22"/>
        </w:rPr>
        <w:t xml:space="preserve"> použiteľnosti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4939E4" w:rsidRPr="00B63E7D" w:rsidRDefault="00C51DB9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="004939E4" w:rsidRPr="00B63E7D">
        <w:rPr>
          <w:sz w:val="22"/>
          <w:szCs w:val="22"/>
        </w:rPr>
        <w:t> roky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i/>
          <w:sz w:val="22"/>
          <w:szCs w:val="22"/>
        </w:rPr>
      </w:pPr>
      <w:r w:rsidRPr="00B63E7D">
        <w:rPr>
          <w:i/>
          <w:sz w:val="22"/>
          <w:szCs w:val="22"/>
        </w:rPr>
        <w:lastRenderedPageBreak/>
        <w:t>Po nariedení</w:t>
      </w:r>
    </w:p>
    <w:p w:rsidR="003333C3" w:rsidRPr="00B63E7D" w:rsidRDefault="003333C3" w:rsidP="00F55242">
      <w:pPr>
        <w:tabs>
          <w:tab w:val="left" w:pos="720"/>
        </w:tabs>
        <w:spacing w:line="240" w:lineRule="auto"/>
        <w:rPr>
          <w:i/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 xml:space="preserve">Chemická a fyzikálna stabilita nariedenej infúzie </w:t>
      </w:r>
      <w:r w:rsidR="003333C3" w:rsidRPr="00B63E7D">
        <w:rPr>
          <w:sz w:val="22"/>
          <w:szCs w:val="22"/>
        </w:rPr>
        <w:t xml:space="preserve">(stabilita infúzneho roztoku) </w:t>
      </w:r>
      <w:r w:rsidRPr="00B63E7D">
        <w:rPr>
          <w:sz w:val="22"/>
          <w:szCs w:val="22"/>
        </w:rPr>
        <w:t xml:space="preserve">sa preukázala na 48 hodín pri </w:t>
      </w:r>
      <w:r w:rsidR="003333C3" w:rsidRPr="00B63E7D">
        <w:rPr>
          <w:sz w:val="22"/>
          <w:szCs w:val="22"/>
        </w:rPr>
        <w:t xml:space="preserve">teplote </w:t>
      </w:r>
      <w:r w:rsidRPr="00B63E7D">
        <w:rPr>
          <w:sz w:val="22"/>
          <w:szCs w:val="22"/>
        </w:rPr>
        <w:t xml:space="preserve">25°C </w:t>
      </w:r>
      <w:r w:rsidR="0079585B" w:rsidRPr="00B63E7D">
        <w:rPr>
          <w:sz w:val="22"/>
          <w:szCs w:val="22"/>
        </w:rPr>
        <w:t xml:space="preserve">a </w:t>
      </w:r>
      <w:r w:rsidRPr="00B63E7D">
        <w:rPr>
          <w:sz w:val="22"/>
          <w:szCs w:val="22"/>
        </w:rPr>
        <w:t>v podmienkach chladu (2°C – 8°C).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Z mikrobiologického hľadiska sa má liek okamžite použiť. Ak sa nepoužije okamžite, za čas a podmienky uchovania pred použitím zodpovedá používateľ, a zvyčajne to nemá byť dlhšie ako 24 hodín pri teplote 2°C – 8°C, pokiaľ sa riedenie nevykonalo za kontrolovaných a validovaných aseptických podmienok.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4939E4" w:rsidRPr="00B63E7D" w:rsidRDefault="004939E4" w:rsidP="00F55242">
      <w:pPr>
        <w:spacing w:line="240" w:lineRule="auto"/>
        <w:ind w:left="540" w:hanging="540"/>
        <w:rPr>
          <w:sz w:val="22"/>
          <w:szCs w:val="22"/>
        </w:rPr>
      </w:pPr>
      <w:r w:rsidRPr="00B63E7D">
        <w:rPr>
          <w:b/>
          <w:sz w:val="22"/>
          <w:szCs w:val="22"/>
        </w:rPr>
        <w:t>6.4</w:t>
      </w:r>
      <w:r w:rsidRPr="00B63E7D">
        <w:rPr>
          <w:b/>
          <w:sz w:val="22"/>
          <w:szCs w:val="22"/>
        </w:rPr>
        <w:tab/>
        <w:t>Špeciálne upozornenia na uchovávanie</w:t>
      </w:r>
    </w:p>
    <w:p w:rsidR="004939E4" w:rsidRPr="00B63E7D" w:rsidRDefault="004939E4" w:rsidP="00F55242">
      <w:pPr>
        <w:spacing w:line="240" w:lineRule="auto"/>
        <w:rPr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noProof/>
          <w:sz w:val="22"/>
          <w:szCs w:val="22"/>
        </w:rPr>
      </w:pPr>
      <w:r w:rsidRPr="00B63E7D">
        <w:rPr>
          <w:bCs/>
          <w:sz w:val="22"/>
          <w:szCs w:val="22"/>
        </w:rPr>
        <w:t>Tento liek nevyžaduje žiadne zvláštne teplotné podmienky na uchovávanie</w:t>
      </w:r>
      <w:r w:rsidRPr="00B63E7D">
        <w:rPr>
          <w:noProof/>
          <w:sz w:val="22"/>
          <w:szCs w:val="22"/>
        </w:rPr>
        <w:t>. Ampulky alebo injekčné liekovky uchovávajte vo vonkajšom obale na ochranu pred svetlom.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color w:val="008000"/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Podmienky na uchovávanie</w:t>
      </w:r>
      <w:r w:rsidR="00AE2190" w:rsidRPr="00B63E7D">
        <w:rPr>
          <w:sz w:val="22"/>
          <w:szCs w:val="22"/>
        </w:rPr>
        <w:t xml:space="preserve"> po nariedení lieku, pozri časť </w:t>
      </w:r>
      <w:r w:rsidRPr="00B63E7D">
        <w:rPr>
          <w:sz w:val="22"/>
          <w:szCs w:val="22"/>
        </w:rPr>
        <w:t>6.3.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i/>
          <w:color w:val="008000"/>
          <w:sz w:val="22"/>
          <w:szCs w:val="22"/>
        </w:rPr>
      </w:pPr>
    </w:p>
    <w:p w:rsidR="004939E4" w:rsidRPr="00B63E7D" w:rsidRDefault="004939E4" w:rsidP="00F55242">
      <w:pPr>
        <w:numPr>
          <w:ilvl w:val="1"/>
          <w:numId w:val="17"/>
        </w:numPr>
        <w:tabs>
          <w:tab w:val="clear" w:pos="570"/>
          <w:tab w:val="left" w:pos="720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b/>
          <w:sz w:val="22"/>
          <w:szCs w:val="22"/>
        </w:rPr>
      </w:pPr>
      <w:r w:rsidRPr="00B63E7D">
        <w:rPr>
          <w:b/>
          <w:sz w:val="22"/>
          <w:szCs w:val="22"/>
        </w:rPr>
        <w:t>Druh obalu a obsah balenia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ind w:left="570"/>
        <w:rPr>
          <w:b/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2 ml ampulk</w:t>
      </w:r>
      <w:r w:rsidR="00AE2190" w:rsidRPr="00B63E7D">
        <w:rPr>
          <w:sz w:val="22"/>
          <w:szCs w:val="22"/>
        </w:rPr>
        <w:t xml:space="preserve">y </w:t>
      </w:r>
      <w:r w:rsidRPr="00B63E7D">
        <w:rPr>
          <w:sz w:val="22"/>
          <w:szCs w:val="22"/>
        </w:rPr>
        <w:t>z bezfarebného skla typu I</w:t>
      </w:r>
    </w:p>
    <w:p w:rsidR="00AE2190" w:rsidRPr="00B63E7D" w:rsidRDefault="00AE2190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2, 5 alebo 10 ml injekčné liekovky z bezfarebného skla typu I (s plniacim objemom 2, 4 a 10 ml), uzáver z brombutylovej gumy s fluorpolymerovým obalom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i/>
          <w:sz w:val="22"/>
          <w:szCs w:val="22"/>
        </w:rPr>
      </w:pPr>
      <w:r w:rsidRPr="00B63E7D">
        <w:rPr>
          <w:i/>
          <w:sz w:val="22"/>
          <w:szCs w:val="22"/>
        </w:rPr>
        <w:t>Veľkosti balenia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5 x 2 ml ampulky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25 x 2 ml ampulky</w:t>
      </w:r>
    </w:p>
    <w:p w:rsidR="005E6D3A" w:rsidRPr="00B63E7D" w:rsidRDefault="005E6D3A" w:rsidP="005E6D3A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4 x 4 ml ampulky</w:t>
      </w:r>
    </w:p>
    <w:p w:rsidR="005E6D3A" w:rsidRDefault="005E6D3A" w:rsidP="005E6D3A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 xml:space="preserve">5 x 4 ml ampulky </w:t>
      </w:r>
    </w:p>
    <w:p w:rsidR="005E6D3A" w:rsidRPr="00B63E7D" w:rsidRDefault="005E6D3A" w:rsidP="005E6D3A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4 x 10 ml ampulky</w:t>
      </w:r>
    </w:p>
    <w:p w:rsidR="005E6D3A" w:rsidRDefault="005E6D3A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 x 10 ml </w:t>
      </w:r>
      <w:r w:rsidRPr="00B63E7D">
        <w:rPr>
          <w:sz w:val="22"/>
          <w:szCs w:val="22"/>
        </w:rPr>
        <w:t>ampulky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5 x 2 ml injekčné liekovky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4 x 4 ml injekčné liekovky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5 x 4 ml injekčné liekovky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4 x 10 ml injekčné liekovky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5 x 10 ml injekčné liekovky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Na trh nemusia byť uvedené</w:t>
      </w:r>
      <w:r w:rsidRPr="00B63E7D">
        <w:rPr>
          <w:noProof/>
          <w:sz w:val="22"/>
          <w:szCs w:val="22"/>
        </w:rPr>
        <w:t xml:space="preserve"> všetky veľkosti balenia.</w:t>
      </w:r>
    </w:p>
    <w:p w:rsidR="004939E4" w:rsidRPr="00B63E7D" w:rsidRDefault="004939E4" w:rsidP="00F55242">
      <w:pPr>
        <w:pStyle w:val="Odsekzoznamu"/>
        <w:spacing w:after="0" w:line="240" w:lineRule="auto"/>
        <w:ind w:left="0"/>
        <w:contextualSpacing w:val="0"/>
        <w:rPr>
          <w:rFonts w:ascii="Times New Roman" w:hAnsi="Times New Roman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ind w:left="567" w:hanging="567"/>
        <w:rPr>
          <w:sz w:val="22"/>
          <w:szCs w:val="22"/>
        </w:rPr>
      </w:pPr>
      <w:r w:rsidRPr="00B63E7D">
        <w:rPr>
          <w:b/>
          <w:sz w:val="22"/>
          <w:szCs w:val="22"/>
        </w:rPr>
        <w:t>6.6</w:t>
      </w:r>
      <w:r w:rsidRPr="00B63E7D">
        <w:rPr>
          <w:b/>
          <w:sz w:val="22"/>
          <w:szCs w:val="22"/>
        </w:rPr>
        <w:tab/>
      </w:r>
      <w:r w:rsidRPr="00B63E7D">
        <w:rPr>
          <w:b/>
          <w:bCs/>
          <w:sz w:val="22"/>
          <w:szCs w:val="22"/>
        </w:rPr>
        <w:t>Špeciálne opatrenia na likvidáciu a iné zaobchádzanie s liekom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Ampulky a injekčné liekovky sú určené iba pre jediného pacienta.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i/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i/>
          <w:sz w:val="22"/>
          <w:szCs w:val="22"/>
        </w:rPr>
      </w:pPr>
      <w:r w:rsidRPr="00B63E7D">
        <w:rPr>
          <w:i/>
          <w:sz w:val="22"/>
          <w:szCs w:val="22"/>
        </w:rPr>
        <w:t>Príprava roztoku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4939E4" w:rsidRPr="00B63E7D" w:rsidRDefault="00C87837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 xml:space="preserve">Dexmedetomidine EVER Pharma </w:t>
      </w:r>
      <w:r w:rsidR="004939E4" w:rsidRPr="00B63E7D">
        <w:rPr>
          <w:sz w:val="22"/>
          <w:szCs w:val="22"/>
        </w:rPr>
        <w:t>možno nariediť v glukóze 50 mg/ml (5 %), Ringerovom roztoku, manitole alebo roztoku chloridu sodného 9 mg/ml (0,9 %) na injekciu, aby sa pred podaním dosiahla požadovaná koncentrácia buď 4 mikrogramy/ml alebo 8 mikrogramov/ml. Pozri nižšiu tabuľkovú formu  objemov potrebných na prípravu infúzie.</w:t>
      </w: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4939E4" w:rsidRPr="00B63E7D" w:rsidRDefault="004939E4" w:rsidP="00F55242">
      <w:pPr>
        <w:tabs>
          <w:tab w:val="left" w:pos="720"/>
        </w:tabs>
        <w:spacing w:line="240" w:lineRule="auto"/>
        <w:rPr>
          <w:b/>
          <w:noProof/>
          <w:sz w:val="22"/>
          <w:szCs w:val="22"/>
          <w:u w:val="single"/>
        </w:rPr>
      </w:pPr>
      <w:r w:rsidRPr="00B63E7D">
        <w:rPr>
          <w:b/>
          <w:noProof/>
          <w:sz w:val="22"/>
          <w:szCs w:val="22"/>
          <w:u w:val="single"/>
        </w:rPr>
        <w:t>Prípad, ak sa požaduje koncentrácia 4 mikrogramy/ml:</w:t>
      </w:r>
    </w:p>
    <w:p w:rsidR="00C87837" w:rsidRPr="00B63E7D" w:rsidRDefault="00C87837" w:rsidP="00F55242">
      <w:pPr>
        <w:tabs>
          <w:tab w:val="left" w:pos="720"/>
        </w:tabs>
        <w:spacing w:line="240" w:lineRule="auto"/>
        <w:rPr>
          <w:b/>
          <w:noProof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410"/>
        <w:gridCol w:w="2693"/>
      </w:tblGrid>
      <w:tr w:rsidR="00C87837" w:rsidRPr="00B63E7D" w:rsidTr="00C87837">
        <w:trPr>
          <w:trHeight w:val="8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widowControl w:val="0"/>
              <w:tabs>
                <w:tab w:val="left" w:pos="720"/>
              </w:tabs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63E7D">
              <w:rPr>
                <w:b/>
                <w:sz w:val="22"/>
                <w:szCs w:val="22"/>
              </w:rPr>
              <w:lastRenderedPageBreak/>
              <w:t xml:space="preserve">Objem infúzneho koncentrátu </w:t>
            </w:r>
            <w:r w:rsidRPr="00B63E7D">
              <w:rPr>
                <w:rFonts w:eastAsia="TimesNewRoman"/>
                <w:b/>
                <w:sz w:val="22"/>
                <w:szCs w:val="22"/>
              </w:rPr>
              <w:t xml:space="preserve">Dexmedetomidine EVER Pharma </w:t>
            </w:r>
            <w:r w:rsidRPr="00B63E7D">
              <w:rPr>
                <w:b/>
                <w:sz w:val="22"/>
                <w:szCs w:val="22"/>
              </w:rPr>
              <w:t>100 mikrogramov/ml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63E7D">
              <w:rPr>
                <w:b/>
                <w:sz w:val="22"/>
                <w:szCs w:val="22"/>
              </w:rPr>
              <w:t>Objem roztoku na riedenie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63E7D">
              <w:rPr>
                <w:b/>
                <w:sz w:val="22"/>
                <w:szCs w:val="22"/>
              </w:rPr>
              <w:t>Celkový objem infúzie</w:t>
            </w:r>
          </w:p>
        </w:tc>
      </w:tr>
      <w:tr w:rsidR="00C87837" w:rsidRPr="00B63E7D" w:rsidTr="00C87837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2 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48 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50 ml</w:t>
            </w:r>
          </w:p>
        </w:tc>
      </w:tr>
      <w:tr w:rsidR="00C87837" w:rsidRPr="00B63E7D" w:rsidTr="00C87837">
        <w:trPr>
          <w:trHeight w:val="4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4 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96 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100 ml</w:t>
            </w:r>
          </w:p>
        </w:tc>
      </w:tr>
      <w:tr w:rsidR="00C87837" w:rsidRPr="00B63E7D" w:rsidTr="00C87837">
        <w:trPr>
          <w:trHeight w:val="4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10 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240 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250 ml</w:t>
            </w:r>
          </w:p>
        </w:tc>
      </w:tr>
      <w:tr w:rsidR="00C87837" w:rsidRPr="00B63E7D" w:rsidTr="00C87837">
        <w:trPr>
          <w:trHeight w:val="4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20 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480 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sz w:val="22"/>
                <w:szCs w:val="22"/>
              </w:rPr>
            </w:pPr>
            <w:r w:rsidRPr="00B63E7D">
              <w:rPr>
                <w:sz w:val="22"/>
                <w:szCs w:val="22"/>
              </w:rPr>
              <w:t>500 ml</w:t>
            </w:r>
          </w:p>
        </w:tc>
      </w:tr>
    </w:tbl>
    <w:p w:rsidR="00C87837" w:rsidRPr="00B63E7D" w:rsidRDefault="00C87837" w:rsidP="00F55242">
      <w:pPr>
        <w:tabs>
          <w:tab w:val="left" w:pos="720"/>
        </w:tabs>
        <w:spacing w:line="240" w:lineRule="auto"/>
        <w:rPr>
          <w:b/>
          <w:noProof/>
          <w:sz w:val="22"/>
          <w:szCs w:val="22"/>
          <w:u w:val="single"/>
        </w:rPr>
      </w:pPr>
    </w:p>
    <w:p w:rsidR="00C87837" w:rsidRPr="00B63E7D" w:rsidRDefault="00C87837" w:rsidP="00F55242">
      <w:pPr>
        <w:tabs>
          <w:tab w:val="left" w:pos="720"/>
        </w:tabs>
        <w:spacing w:line="240" w:lineRule="auto"/>
        <w:rPr>
          <w:b/>
          <w:noProof/>
          <w:sz w:val="22"/>
          <w:szCs w:val="22"/>
          <w:u w:val="single"/>
        </w:rPr>
      </w:pPr>
      <w:r w:rsidRPr="00B63E7D">
        <w:rPr>
          <w:b/>
          <w:noProof/>
          <w:sz w:val="22"/>
          <w:szCs w:val="22"/>
          <w:u w:val="single"/>
        </w:rPr>
        <w:t>Prípad, ak sa požaduje koncentrácia 8 mikrogramov/ml:</w:t>
      </w:r>
    </w:p>
    <w:p w:rsidR="00C87837" w:rsidRPr="00B63E7D" w:rsidRDefault="00C87837" w:rsidP="00F55242">
      <w:pPr>
        <w:tabs>
          <w:tab w:val="left" w:pos="720"/>
        </w:tabs>
        <w:spacing w:line="240" w:lineRule="auto"/>
        <w:rPr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552"/>
        <w:gridCol w:w="2693"/>
      </w:tblGrid>
      <w:tr w:rsidR="00C87837" w:rsidRPr="00B63E7D" w:rsidTr="00C87837">
        <w:trPr>
          <w:trHeight w:val="8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widowControl w:val="0"/>
              <w:tabs>
                <w:tab w:val="left" w:pos="720"/>
              </w:tabs>
              <w:spacing w:line="24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B63E7D">
              <w:rPr>
                <w:b/>
                <w:sz w:val="22"/>
                <w:szCs w:val="22"/>
              </w:rPr>
              <w:t xml:space="preserve">Objem infúzneho koncentrátu </w:t>
            </w:r>
            <w:r w:rsidRPr="00B63E7D">
              <w:rPr>
                <w:rFonts w:eastAsia="TimesNewRoman"/>
                <w:b/>
                <w:sz w:val="22"/>
                <w:szCs w:val="22"/>
              </w:rPr>
              <w:t xml:space="preserve">Dexmedetomidine EVER Pharma </w:t>
            </w:r>
            <w:r w:rsidRPr="00B63E7D">
              <w:rPr>
                <w:b/>
                <w:sz w:val="22"/>
                <w:szCs w:val="22"/>
              </w:rPr>
              <w:t>100 mikrogramov/ml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B63E7D">
              <w:rPr>
                <w:b/>
                <w:sz w:val="22"/>
                <w:szCs w:val="22"/>
              </w:rPr>
              <w:t>Objem roztoku na riedenie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B63E7D">
              <w:rPr>
                <w:b/>
                <w:sz w:val="22"/>
                <w:szCs w:val="22"/>
              </w:rPr>
              <w:t>Celkový objem infúzie</w:t>
            </w:r>
          </w:p>
        </w:tc>
      </w:tr>
      <w:tr w:rsidR="00C87837" w:rsidRPr="00B63E7D" w:rsidTr="00C87837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B63E7D">
              <w:rPr>
                <w:noProof/>
                <w:sz w:val="22"/>
                <w:szCs w:val="22"/>
              </w:rPr>
              <w:t>4 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B63E7D">
              <w:rPr>
                <w:noProof/>
                <w:sz w:val="22"/>
                <w:szCs w:val="22"/>
              </w:rPr>
              <w:t>46 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B63E7D">
              <w:rPr>
                <w:noProof/>
                <w:sz w:val="22"/>
                <w:szCs w:val="22"/>
              </w:rPr>
              <w:t>50 ml</w:t>
            </w:r>
          </w:p>
        </w:tc>
      </w:tr>
      <w:tr w:rsidR="00C87837" w:rsidRPr="00B63E7D" w:rsidTr="00C87837">
        <w:trPr>
          <w:trHeight w:val="4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B63E7D">
              <w:rPr>
                <w:noProof/>
                <w:sz w:val="22"/>
                <w:szCs w:val="22"/>
              </w:rPr>
              <w:t>8 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B63E7D">
              <w:rPr>
                <w:noProof/>
                <w:sz w:val="22"/>
                <w:szCs w:val="22"/>
              </w:rPr>
              <w:t>92 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B63E7D">
              <w:rPr>
                <w:noProof/>
                <w:sz w:val="22"/>
                <w:szCs w:val="22"/>
              </w:rPr>
              <w:t>100 ml</w:t>
            </w:r>
          </w:p>
        </w:tc>
      </w:tr>
      <w:tr w:rsidR="00C87837" w:rsidRPr="00B63E7D" w:rsidTr="00C87837">
        <w:trPr>
          <w:trHeight w:val="4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B63E7D">
              <w:rPr>
                <w:noProof/>
                <w:sz w:val="22"/>
                <w:szCs w:val="22"/>
              </w:rPr>
              <w:t>20 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B63E7D">
              <w:rPr>
                <w:noProof/>
                <w:sz w:val="22"/>
                <w:szCs w:val="22"/>
              </w:rPr>
              <w:t>230 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B63E7D">
              <w:rPr>
                <w:noProof/>
                <w:sz w:val="22"/>
                <w:szCs w:val="22"/>
              </w:rPr>
              <w:t>250 ml</w:t>
            </w:r>
          </w:p>
        </w:tc>
      </w:tr>
      <w:tr w:rsidR="00C87837" w:rsidRPr="00B63E7D" w:rsidTr="00C87837">
        <w:trPr>
          <w:trHeight w:val="4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B63E7D">
              <w:rPr>
                <w:noProof/>
                <w:sz w:val="22"/>
                <w:szCs w:val="22"/>
              </w:rPr>
              <w:t>40 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B63E7D">
              <w:rPr>
                <w:noProof/>
                <w:sz w:val="22"/>
                <w:szCs w:val="22"/>
              </w:rPr>
              <w:t>460 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7" w:rsidRPr="00B63E7D" w:rsidRDefault="00C87837" w:rsidP="00F55242">
            <w:pPr>
              <w:keepNext/>
              <w:keepLines/>
              <w:tabs>
                <w:tab w:val="left" w:pos="720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B63E7D">
              <w:rPr>
                <w:noProof/>
                <w:sz w:val="22"/>
                <w:szCs w:val="22"/>
              </w:rPr>
              <w:t>500 ml</w:t>
            </w:r>
          </w:p>
        </w:tc>
      </w:tr>
    </w:tbl>
    <w:p w:rsidR="00C87837" w:rsidRPr="00B63E7D" w:rsidRDefault="00C87837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C87837" w:rsidRPr="00B63E7D" w:rsidRDefault="00C87837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Roztok sa má zľahka potrepať, aby sa dobre premiešal.</w:t>
      </w:r>
    </w:p>
    <w:p w:rsidR="00C87837" w:rsidRPr="00B63E7D" w:rsidRDefault="00C87837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C87837" w:rsidRPr="00B63E7D" w:rsidRDefault="00C87837" w:rsidP="00F55242">
      <w:pPr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rFonts w:eastAsia="TimesNewRoman"/>
          <w:sz w:val="22"/>
          <w:szCs w:val="22"/>
        </w:rPr>
        <w:t xml:space="preserve">Dexmedetomidine EVER Pharma </w:t>
      </w:r>
      <w:r w:rsidRPr="00B63E7D">
        <w:rPr>
          <w:sz w:val="22"/>
          <w:szCs w:val="22"/>
        </w:rPr>
        <w:t>sa musí pred podaním vizuálne skontrolovať, či neobsahuje častice a či nemá zmenu sfarbenia.</w:t>
      </w:r>
    </w:p>
    <w:p w:rsidR="00C87837" w:rsidRPr="00B63E7D" w:rsidRDefault="00C87837" w:rsidP="00F55242">
      <w:pPr>
        <w:tabs>
          <w:tab w:val="left" w:pos="720"/>
        </w:tabs>
        <w:spacing w:line="240" w:lineRule="auto"/>
        <w:rPr>
          <w:sz w:val="22"/>
          <w:szCs w:val="22"/>
        </w:rPr>
      </w:pPr>
    </w:p>
    <w:p w:rsidR="00C87837" w:rsidRPr="00B63E7D" w:rsidRDefault="00C87837" w:rsidP="00F55242">
      <w:pPr>
        <w:keepNext/>
        <w:keepLines/>
        <w:tabs>
          <w:tab w:val="left" w:pos="0"/>
        </w:tabs>
        <w:spacing w:line="240" w:lineRule="auto"/>
        <w:rPr>
          <w:sz w:val="22"/>
          <w:szCs w:val="22"/>
          <w:u w:val="single"/>
        </w:rPr>
      </w:pPr>
      <w:r w:rsidRPr="00B63E7D">
        <w:rPr>
          <w:sz w:val="22"/>
          <w:szCs w:val="22"/>
          <w:u w:val="single"/>
        </w:rPr>
        <w:t xml:space="preserve">Preukázalo sa, že </w:t>
      </w:r>
      <w:r w:rsidRPr="00B63E7D">
        <w:rPr>
          <w:rFonts w:eastAsia="TimesNewRoman"/>
          <w:sz w:val="22"/>
          <w:szCs w:val="22"/>
          <w:u w:val="single"/>
        </w:rPr>
        <w:t xml:space="preserve">Dexmedetomidine EVER Pharma </w:t>
      </w:r>
      <w:r w:rsidRPr="00B63E7D">
        <w:rPr>
          <w:sz w:val="22"/>
          <w:szCs w:val="22"/>
          <w:u w:val="single"/>
        </w:rPr>
        <w:t>je pri podaní kompatibilný s nasledovnými intravenóznymi roztokmi a liekmi:</w:t>
      </w:r>
    </w:p>
    <w:p w:rsidR="00C87837" w:rsidRPr="00B63E7D" w:rsidRDefault="00C87837" w:rsidP="00F55242">
      <w:pPr>
        <w:keepNext/>
        <w:keepLines/>
        <w:tabs>
          <w:tab w:val="left" w:pos="0"/>
        </w:tabs>
        <w:spacing w:line="240" w:lineRule="auto"/>
        <w:rPr>
          <w:sz w:val="22"/>
          <w:szCs w:val="22"/>
          <w:u w:val="single"/>
        </w:rPr>
      </w:pPr>
    </w:p>
    <w:p w:rsidR="00C87837" w:rsidRPr="00B63E7D" w:rsidRDefault="00C87837" w:rsidP="00F55242">
      <w:pPr>
        <w:keepNext/>
        <w:keepLines/>
        <w:tabs>
          <w:tab w:val="left" w:pos="720"/>
        </w:tabs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Laktovaný Ringerov roztok, 5 % roztok glukózy, roztok chloridu sodného 9 mg/ml (0,9 %) na injekciu, manitol 200 mg/ml (20 %), tiopental sodný, etomi</w:t>
      </w:r>
      <w:r w:rsidR="007640AA" w:rsidRPr="00B63E7D">
        <w:rPr>
          <w:sz w:val="22"/>
          <w:szCs w:val="22"/>
        </w:rPr>
        <w:t>d</w:t>
      </w:r>
      <w:r w:rsidRPr="00B63E7D">
        <w:rPr>
          <w:sz w:val="22"/>
          <w:szCs w:val="22"/>
        </w:rPr>
        <w:t xml:space="preserve">át, vekuroniumbromid, pankuroniumbromid, sukcinylcholín, atrakuriumbesylát, mivakuriumchlorid, rokuroniumbromid, glykopyrolátbromid, fenylefrín </w:t>
      </w:r>
      <w:r w:rsidR="007640AA" w:rsidRPr="00B63E7D">
        <w:rPr>
          <w:sz w:val="22"/>
          <w:szCs w:val="22"/>
        </w:rPr>
        <w:t>hydrochlorid</w:t>
      </w:r>
      <w:r w:rsidRPr="00B63E7D">
        <w:rPr>
          <w:sz w:val="22"/>
          <w:szCs w:val="22"/>
        </w:rPr>
        <w:t>, atropín sulfát, dopamín, noradrenalín, dobutamín, midazolam, morfín sulfát, fentanylcitrát a náhrada plazmy.</w:t>
      </w:r>
    </w:p>
    <w:p w:rsidR="00C87837" w:rsidRPr="00B63E7D" w:rsidRDefault="00C87837" w:rsidP="00F55242">
      <w:pPr>
        <w:spacing w:line="240" w:lineRule="auto"/>
        <w:rPr>
          <w:rFonts w:eastAsia="Calibri"/>
          <w:sz w:val="22"/>
          <w:szCs w:val="22"/>
          <w:lang w:eastAsia="zh-CN"/>
        </w:rPr>
      </w:pPr>
    </w:p>
    <w:p w:rsidR="00C87837" w:rsidRPr="00B63E7D" w:rsidRDefault="00C87837" w:rsidP="00F55242">
      <w:pPr>
        <w:tabs>
          <w:tab w:val="left" w:pos="720"/>
        </w:tabs>
        <w:spacing w:line="240" w:lineRule="auto"/>
        <w:ind w:left="567" w:hanging="567"/>
        <w:rPr>
          <w:sz w:val="22"/>
          <w:szCs w:val="22"/>
        </w:rPr>
      </w:pPr>
      <w:r w:rsidRPr="00B63E7D">
        <w:rPr>
          <w:sz w:val="22"/>
          <w:szCs w:val="22"/>
        </w:rPr>
        <w:t xml:space="preserve">Všetok nepoužitý liek alebo odpad vzniknutý z lieku sa má zlikvidovať v súlade s národnými </w:t>
      </w:r>
    </w:p>
    <w:p w:rsidR="00C87837" w:rsidRPr="00B63E7D" w:rsidRDefault="00C87837" w:rsidP="00F55242">
      <w:pPr>
        <w:tabs>
          <w:tab w:val="left" w:pos="720"/>
        </w:tabs>
        <w:spacing w:line="240" w:lineRule="auto"/>
        <w:ind w:left="567" w:hanging="567"/>
        <w:rPr>
          <w:b/>
          <w:sz w:val="22"/>
          <w:szCs w:val="22"/>
        </w:rPr>
      </w:pPr>
      <w:r w:rsidRPr="00B63E7D">
        <w:rPr>
          <w:sz w:val="22"/>
          <w:szCs w:val="22"/>
        </w:rPr>
        <w:t>požiadavkami</w:t>
      </w:r>
      <w:r w:rsidRPr="00B63E7D" w:rsidDel="005816A9">
        <w:rPr>
          <w:sz w:val="22"/>
          <w:szCs w:val="22"/>
        </w:rPr>
        <w:t xml:space="preserve"> </w:t>
      </w:r>
    </w:p>
    <w:p w:rsidR="00C87837" w:rsidRPr="00B63E7D" w:rsidRDefault="00C87837" w:rsidP="00F55242">
      <w:pPr>
        <w:tabs>
          <w:tab w:val="left" w:pos="720"/>
        </w:tabs>
        <w:spacing w:line="240" w:lineRule="auto"/>
        <w:rPr>
          <w:b/>
          <w:noProof/>
          <w:sz w:val="22"/>
          <w:szCs w:val="22"/>
          <w:u w:val="single"/>
        </w:rPr>
      </w:pPr>
    </w:p>
    <w:p w:rsidR="00094BED" w:rsidRPr="00B63E7D" w:rsidRDefault="00094BED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b/>
          <w:sz w:val="22"/>
          <w:szCs w:val="22"/>
        </w:rPr>
      </w:pPr>
      <w:r w:rsidRPr="00B63E7D">
        <w:rPr>
          <w:b/>
          <w:sz w:val="22"/>
          <w:szCs w:val="22"/>
        </w:rPr>
        <w:t>7.</w:t>
      </w:r>
      <w:r w:rsidRPr="00B63E7D">
        <w:rPr>
          <w:b/>
          <w:sz w:val="22"/>
          <w:szCs w:val="22"/>
        </w:rPr>
        <w:tab/>
        <w:t>DRŽITEĽ ROZHODNUTIA O REGISTRÁCII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EVER Valinject GmbH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Oberburgau 3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4866 Unterach am Attersee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Rakúsko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b/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b/>
          <w:sz w:val="22"/>
          <w:szCs w:val="22"/>
        </w:rPr>
      </w:pPr>
      <w:r w:rsidRPr="00B63E7D">
        <w:rPr>
          <w:b/>
          <w:sz w:val="22"/>
          <w:szCs w:val="22"/>
        </w:rPr>
        <w:t>8.</w:t>
      </w:r>
      <w:r w:rsidRPr="00B63E7D">
        <w:rPr>
          <w:b/>
          <w:sz w:val="22"/>
          <w:szCs w:val="22"/>
        </w:rPr>
        <w:tab/>
        <w:t xml:space="preserve">REGISTRAČNÉ ČÍSLO 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t>57/</w:t>
      </w:r>
      <w:r w:rsidR="00105130" w:rsidRPr="00B63E7D">
        <w:rPr>
          <w:sz w:val="22"/>
          <w:szCs w:val="22"/>
        </w:rPr>
        <w:t>0207/18-S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b/>
          <w:sz w:val="22"/>
          <w:szCs w:val="22"/>
        </w:rPr>
      </w:pPr>
      <w:r w:rsidRPr="00B63E7D">
        <w:rPr>
          <w:b/>
          <w:sz w:val="22"/>
          <w:szCs w:val="22"/>
        </w:rPr>
        <w:t>9.</w:t>
      </w:r>
      <w:r w:rsidRPr="00B63E7D">
        <w:rPr>
          <w:b/>
          <w:sz w:val="22"/>
          <w:szCs w:val="22"/>
        </w:rPr>
        <w:tab/>
        <w:t>DÁTUM PRVEJ REGISTRÁCIE/PREDĹŽENIA REGISTRÁCIE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7640AA" w:rsidP="00F55242">
      <w:pPr>
        <w:spacing w:line="240" w:lineRule="auto"/>
        <w:rPr>
          <w:sz w:val="22"/>
          <w:szCs w:val="22"/>
        </w:rPr>
      </w:pPr>
      <w:r w:rsidRPr="00B63E7D">
        <w:rPr>
          <w:sz w:val="22"/>
          <w:szCs w:val="22"/>
        </w:rPr>
        <w:lastRenderedPageBreak/>
        <w:t>Dátum prvej registrácie:</w:t>
      </w:r>
      <w:r w:rsidR="00A0496A" w:rsidRPr="00B63E7D">
        <w:rPr>
          <w:sz w:val="22"/>
          <w:szCs w:val="22"/>
        </w:rPr>
        <w:t xml:space="preserve"> 28. júna 2018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625326" w:rsidRPr="00B63E7D" w:rsidRDefault="00625326" w:rsidP="00F55242">
      <w:pPr>
        <w:spacing w:line="240" w:lineRule="auto"/>
        <w:rPr>
          <w:b/>
          <w:sz w:val="22"/>
          <w:szCs w:val="22"/>
        </w:rPr>
      </w:pPr>
      <w:r w:rsidRPr="00B63E7D">
        <w:rPr>
          <w:b/>
          <w:sz w:val="22"/>
          <w:szCs w:val="22"/>
        </w:rPr>
        <w:t>10.</w:t>
      </w:r>
      <w:r w:rsidRPr="00B63E7D">
        <w:rPr>
          <w:b/>
          <w:sz w:val="22"/>
          <w:szCs w:val="22"/>
        </w:rPr>
        <w:tab/>
        <w:t>DÁTUM REVÍZIE TEXTU</w:t>
      </w:r>
    </w:p>
    <w:p w:rsidR="00625326" w:rsidRPr="00B63E7D" w:rsidRDefault="00625326" w:rsidP="00F55242">
      <w:pPr>
        <w:spacing w:line="240" w:lineRule="auto"/>
        <w:rPr>
          <w:sz w:val="22"/>
          <w:szCs w:val="22"/>
        </w:rPr>
      </w:pPr>
    </w:p>
    <w:p w:rsidR="00541A00" w:rsidRPr="00B63E7D" w:rsidRDefault="00AB1A7B" w:rsidP="00F55242">
      <w:p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04/2020</w:t>
      </w:r>
    </w:p>
    <w:sectPr w:rsidR="00541A00" w:rsidRPr="00B63E7D" w:rsidSect="00F06B1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F44" w:rsidRDefault="00B76F44">
      <w:pPr>
        <w:pStyle w:val="Pta"/>
      </w:pPr>
    </w:p>
  </w:endnote>
  <w:endnote w:type="continuationSeparator" w:id="0">
    <w:p w:rsidR="00B76F44" w:rsidRDefault="00B76F44">
      <w:pPr>
        <w:pStyle w:val="Pt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47" w:rsidRDefault="008B7847" w:rsidP="0021361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3</w:t>
    </w:r>
    <w:r>
      <w:rPr>
        <w:rStyle w:val="slostrany"/>
      </w:rPr>
      <w:fldChar w:fldCharType="end"/>
    </w:r>
  </w:p>
  <w:p w:rsidR="008B7847" w:rsidRDefault="008B784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47" w:rsidRPr="00062A99" w:rsidRDefault="008B7847" w:rsidP="0021361B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062A99">
      <w:rPr>
        <w:rStyle w:val="slostrany"/>
        <w:sz w:val="18"/>
        <w:szCs w:val="18"/>
      </w:rPr>
      <w:fldChar w:fldCharType="begin"/>
    </w:r>
    <w:r w:rsidRPr="00062A99">
      <w:rPr>
        <w:rStyle w:val="slostrany"/>
        <w:sz w:val="18"/>
        <w:szCs w:val="18"/>
      </w:rPr>
      <w:instrText xml:space="preserve">PAGE  </w:instrText>
    </w:r>
    <w:r w:rsidRPr="00062A99">
      <w:rPr>
        <w:rStyle w:val="slostrany"/>
        <w:sz w:val="18"/>
        <w:szCs w:val="18"/>
      </w:rPr>
      <w:fldChar w:fldCharType="separate"/>
    </w:r>
    <w:r w:rsidR="00B7794E">
      <w:rPr>
        <w:rStyle w:val="slostrany"/>
        <w:noProof/>
        <w:sz w:val="18"/>
        <w:szCs w:val="18"/>
      </w:rPr>
      <w:t>11</w:t>
    </w:r>
    <w:r w:rsidRPr="00062A99">
      <w:rPr>
        <w:rStyle w:val="slostrany"/>
        <w:sz w:val="18"/>
        <w:szCs w:val="18"/>
      </w:rPr>
      <w:fldChar w:fldCharType="end"/>
    </w:r>
  </w:p>
  <w:p w:rsidR="008B7847" w:rsidRDefault="008B784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47" w:rsidRPr="00E17852" w:rsidRDefault="008B7847">
    <w:pPr>
      <w:pStyle w:val="Pta"/>
      <w:jc w:val="center"/>
      <w:rPr>
        <w:sz w:val="18"/>
        <w:szCs w:val="18"/>
      </w:rPr>
    </w:pPr>
    <w:r w:rsidRPr="00E17852">
      <w:rPr>
        <w:sz w:val="18"/>
        <w:szCs w:val="18"/>
      </w:rPr>
      <w:fldChar w:fldCharType="begin"/>
    </w:r>
    <w:r w:rsidRPr="00E17852">
      <w:rPr>
        <w:sz w:val="18"/>
        <w:szCs w:val="18"/>
      </w:rPr>
      <w:instrText>PAGE   \* MERGEFORMAT</w:instrText>
    </w:r>
    <w:r w:rsidRPr="00E17852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E17852">
      <w:rPr>
        <w:sz w:val="18"/>
        <w:szCs w:val="18"/>
      </w:rPr>
      <w:fldChar w:fldCharType="end"/>
    </w:r>
  </w:p>
  <w:p w:rsidR="008B7847" w:rsidRDefault="008B784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F44" w:rsidRDefault="00B76F44">
      <w:r>
        <w:separator/>
      </w:r>
    </w:p>
  </w:footnote>
  <w:footnote w:type="continuationSeparator" w:id="0">
    <w:p w:rsidR="00B76F44" w:rsidRDefault="00B76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47" w:rsidRPr="00BC7749" w:rsidRDefault="008B7847" w:rsidP="00C51DB9">
    <w:pPr>
      <w:pStyle w:val="Hlavika"/>
      <w:tabs>
        <w:tab w:val="left" w:pos="3686"/>
        <w:tab w:val="left" w:pos="5812"/>
      </w:tabs>
      <w:spacing w:line="240" w:lineRule="auto"/>
      <w:rPr>
        <w:sz w:val="18"/>
        <w:szCs w:val="18"/>
        <w:lang w:val="sk-SK"/>
      </w:rPr>
    </w:pPr>
    <w:r w:rsidRPr="00BC7749">
      <w:rPr>
        <w:sz w:val="18"/>
        <w:szCs w:val="18"/>
        <w:lang w:val="sk-SK"/>
      </w:rPr>
      <w:t>Príloha</w:t>
    </w:r>
    <w:r>
      <w:rPr>
        <w:sz w:val="18"/>
        <w:szCs w:val="18"/>
        <w:lang w:val="sk-SK"/>
      </w:rPr>
      <w:t xml:space="preserve"> č. 1 k notifikácii o zmene, ev. č.: 20</w:t>
    </w:r>
    <w:r w:rsidR="00B7794E">
      <w:rPr>
        <w:sz w:val="18"/>
        <w:szCs w:val="18"/>
        <w:lang w:val="sk-SK"/>
      </w:rPr>
      <w:t>20</w:t>
    </w:r>
    <w:r w:rsidRPr="00BC7749">
      <w:rPr>
        <w:sz w:val="18"/>
        <w:szCs w:val="18"/>
        <w:lang w:val="sk-SK"/>
      </w:rPr>
      <w:t>/</w:t>
    </w:r>
    <w:r>
      <w:rPr>
        <w:sz w:val="18"/>
        <w:szCs w:val="18"/>
        <w:lang w:val="sk-SK"/>
      </w:rPr>
      <w:t>0</w:t>
    </w:r>
    <w:r w:rsidR="00B7794E">
      <w:rPr>
        <w:sz w:val="18"/>
        <w:szCs w:val="18"/>
        <w:lang w:val="sk-SK"/>
      </w:rPr>
      <w:t>1589</w:t>
    </w:r>
    <w:r>
      <w:rPr>
        <w:sz w:val="18"/>
        <w:szCs w:val="18"/>
        <w:lang w:val="sk-SK"/>
      </w:rPr>
      <w:t>-Z1</w:t>
    </w:r>
    <w:r w:rsidR="00B7794E">
      <w:rPr>
        <w:sz w:val="18"/>
        <w:szCs w:val="18"/>
        <w:lang w:val="sk-SK"/>
      </w:rPr>
      <w:t>A</w:t>
    </w:r>
  </w:p>
  <w:p w:rsidR="008B7847" w:rsidRPr="008B7847" w:rsidRDefault="008B7847">
    <w:pPr>
      <w:pStyle w:val="Hlavika"/>
      <w:tabs>
        <w:tab w:val="left" w:pos="3686"/>
        <w:tab w:val="left" w:pos="5812"/>
      </w:tabs>
      <w:spacing w:line="240" w:lineRule="auto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47" w:rsidRPr="008C3219" w:rsidRDefault="008B7847">
    <w:pPr>
      <w:pStyle w:val="Hlavika"/>
      <w:tabs>
        <w:tab w:val="left" w:pos="3686"/>
        <w:tab w:val="left" w:pos="5812"/>
      </w:tabs>
      <w:spacing w:line="240" w:lineRule="auto"/>
    </w:pPr>
    <w:r>
      <w:rPr>
        <w:snapToGrid w:val="0"/>
        <w:sz w:val="18"/>
        <w:szCs w:val="18"/>
        <w:lang w:eastAsia="en-US"/>
      </w:rPr>
      <w:t xml:space="preserve">Schválený text k rozhodnutiu </w:t>
    </w:r>
    <w:r w:rsidRPr="00625326">
      <w:rPr>
        <w:snapToGrid w:val="0"/>
        <w:sz w:val="18"/>
        <w:szCs w:val="18"/>
        <w:lang w:eastAsia="en-US"/>
      </w:rPr>
      <w:t xml:space="preserve">o registrácii, ev. č.: </w:t>
    </w:r>
    <w:r w:rsidRPr="00625326">
      <w:rPr>
        <w:sz w:val="18"/>
        <w:szCs w:val="18"/>
      </w:rPr>
      <w:t>2016/02085-REG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60CDB"/>
    <w:multiLevelType w:val="hybridMultilevel"/>
    <w:tmpl w:val="C838A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85CC8"/>
    <w:multiLevelType w:val="hybridMultilevel"/>
    <w:tmpl w:val="7F8CB6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2A844050"/>
    <w:multiLevelType w:val="hybridMultilevel"/>
    <w:tmpl w:val="79DC7C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03F28CE"/>
    <w:multiLevelType w:val="hybridMultilevel"/>
    <w:tmpl w:val="22624A9A"/>
    <w:lvl w:ilvl="0" w:tplc="D94252D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CE71BD"/>
    <w:multiLevelType w:val="hybridMultilevel"/>
    <w:tmpl w:val="53AA08A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13A6"/>
    <w:multiLevelType w:val="hybridMultilevel"/>
    <w:tmpl w:val="47782F96"/>
    <w:lvl w:ilvl="0" w:tplc="8CD0B0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F094E"/>
    <w:multiLevelType w:val="multilevel"/>
    <w:tmpl w:val="9D8CA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005489"/>
    <w:multiLevelType w:val="hybridMultilevel"/>
    <w:tmpl w:val="D9A09220"/>
    <w:lvl w:ilvl="0" w:tplc="D94252D8">
      <w:start w:val="1"/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5D6838AE"/>
    <w:multiLevelType w:val="multilevel"/>
    <w:tmpl w:val="7590952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4" w15:restartNumberingAfterBreak="0">
    <w:nsid w:val="616A614F"/>
    <w:multiLevelType w:val="hybridMultilevel"/>
    <w:tmpl w:val="F6468DFC"/>
    <w:lvl w:ilvl="0" w:tplc="AF92F36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5"/>
  </w:num>
  <w:num w:numId="5">
    <w:abstractNumId w:val="11"/>
  </w:num>
  <w:num w:numId="6">
    <w:abstractNumId w:val="5"/>
  </w:num>
  <w:num w:numId="7">
    <w:abstractNumId w:val="16"/>
  </w:num>
  <w:num w:numId="8">
    <w:abstractNumId w:val="10"/>
  </w:num>
  <w:num w:numId="9">
    <w:abstractNumId w:val="3"/>
  </w:num>
  <w:num w:numId="1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14"/>
  </w:num>
  <w:num w:numId="12">
    <w:abstractNumId w:val="8"/>
  </w:num>
  <w:num w:numId="13">
    <w:abstractNumId w:val="12"/>
  </w:num>
  <w:num w:numId="14">
    <w:abstractNumId w:val="6"/>
  </w:num>
  <w:num w:numId="15">
    <w:abstractNumId w:val="7"/>
  </w:num>
  <w:num w:numId="16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da-DK" w:vendorID="666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00"/>
    <w:rsid w:val="00002BBF"/>
    <w:rsid w:val="0000469E"/>
    <w:rsid w:val="00005F2E"/>
    <w:rsid w:val="00005F96"/>
    <w:rsid w:val="00013AEE"/>
    <w:rsid w:val="00015E79"/>
    <w:rsid w:val="0001772D"/>
    <w:rsid w:val="00023538"/>
    <w:rsid w:val="00025047"/>
    <w:rsid w:val="000258F1"/>
    <w:rsid w:val="00035BAA"/>
    <w:rsid w:val="00040D68"/>
    <w:rsid w:val="0004204C"/>
    <w:rsid w:val="000469D4"/>
    <w:rsid w:val="000507E4"/>
    <w:rsid w:val="00055A6F"/>
    <w:rsid w:val="00062377"/>
    <w:rsid w:val="00062A99"/>
    <w:rsid w:val="000647EF"/>
    <w:rsid w:val="00067EAE"/>
    <w:rsid w:val="00070F3D"/>
    <w:rsid w:val="000731ED"/>
    <w:rsid w:val="000758CF"/>
    <w:rsid w:val="00076541"/>
    <w:rsid w:val="00083F6E"/>
    <w:rsid w:val="000877FD"/>
    <w:rsid w:val="00090B26"/>
    <w:rsid w:val="00094BED"/>
    <w:rsid w:val="000A323F"/>
    <w:rsid w:val="000A48A4"/>
    <w:rsid w:val="000A5B53"/>
    <w:rsid w:val="000B3C30"/>
    <w:rsid w:val="000B631A"/>
    <w:rsid w:val="000C7009"/>
    <w:rsid w:val="000D3C1B"/>
    <w:rsid w:val="000D4DF7"/>
    <w:rsid w:val="000E1C0A"/>
    <w:rsid w:val="000E2F7C"/>
    <w:rsid w:val="000E5AEE"/>
    <w:rsid w:val="000F6796"/>
    <w:rsid w:val="000F6C45"/>
    <w:rsid w:val="000F7BC4"/>
    <w:rsid w:val="001008BF"/>
    <w:rsid w:val="00105130"/>
    <w:rsid w:val="001062B2"/>
    <w:rsid w:val="00106C78"/>
    <w:rsid w:val="00114507"/>
    <w:rsid w:val="001165D4"/>
    <w:rsid w:val="00126BF2"/>
    <w:rsid w:val="001351EE"/>
    <w:rsid w:val="00141E37"/>
    <w:rsid w:val="00141FE4"/>
    <w:rsid w:val="00143CC1"/>
    <w:rsid w:val="001466E7"/>
    <w:rsid w:val="00155711"/>
    <w:rsid w:val="00161EAD"/>
    <w:rsid w:val="0016378A"/>
    <w:rsid w:val="00166E6B"/>
    <w:rsid w:val="001802FD"/>
    <w:rsid w:val="00180CA7"/>
    <w:rsid w:val="001841B0"/>
    <w:rsid w:val="0018517F"/>
    <w:rsid w:val="00186B14"/>
    <w:rsid w:val="00186BA7"/>
    <w:rsid w:val="00187B56"/>
    <w:rsid w:val="00194907"/>
    <w:rsid w:val="001966DF"/>
    <w:rsid w:val="001B2D53"/>
    <w:rsid w:val="001B2E00"/>
    <w:rsid w:val="001B6315"/>
    <w:rsid w:val="001B7495"/>
    <w:rsid w:val="001C066D"/>
    <w:rsid w:val="001C413F"/>
    <w:rsid w:val="001D25BC"/>
    <w:rsid w:val="001F0216"/>
    <w:rsid w:val="001F25BB"/>
    <w:rsid w:val="001F4BDB"/>
    <w:rsid w:val="001F777F"/>
    <w:rsid w:val="001F78CA"/>
    <w:rsid w:val="00207B38"/>
    <w:rsid w:val="002128D2"/>
    <w:rsid w:val="00212B46"/>
    <w:rsid w:val="0021361B"/>
    <w:rsid w:val="00213687"/>
    <w:rsid w:val="00213ABB"/>
    <w:rsid w:val="00220303"/>
    <w:rsid w:val="0022056E"/>
    <w:rsid w:val="00226379"/>
    <w:rsid w:val="00227AAA"/>
    <w:rsid w:val="00232C47"/>
    <w:rsid w:val="00240791"/>
    <w:rsid w:val="00242BB9"/>
    <w:rsid w:val="00247A9F"/>
    <w:rsid w:val="00255AD1"/>
    <w:rsid w:val="002621CD"/>
    <w:rsid w:val="0026550B"/>
    <w:rsid w:val="00265825"/>
    <w:rsid w:val="00272986"/>
    <w:rsid w:val="00274E6A"/>
    <w:rsid w:val="002819A1"/>
    <w:rsid w:val="002853DB"/>
    <w:rsid w:val="002876E0"/>
    <w:rsid w:val="002B1D33"/>
    <w:rsid w:val="002D0D39"/>
    <w:rsid w:val="002D19E5"/>
    <w:rsid w:val="002D1F70"/>
    <w:rsid w:val="002E22EB"/>
    <w:rsid w:val="002E5E33"/>
    <w:rsid w:val="002E5F2E"/>
    <w:rsid w:val="002F171E"/>
    <w:rsid w:val="002F1877"/>
    <w:rsid w:val="002F2D7A"/>
    <w:rsid w:val="002F39B3"/>
    <w:rsid w:val="002F4A2B"/>
    <w:rsid w:val="00304A8C"/>
    <w:rsid w:val="00315DC9"/>
    <w:rsid w:val="0032081B"/>
    <w:rsid w:val="00323DDB"/>
    <w:rsid w:val="00330911"/>
    <w:rsid w:val="003333C3"/>
    <w:rsid w:val="00340585"/>
    <w:rsid w:val="00341BC9"/>
    <w:rsid w:val="00342F72"/>
    <w:rsid w:val="0034337F"/>
    <w:rsid w:val="00346056"/>
    <w:rsid w:val="003503AA"/>
    <w:rsid w:val="003564CD"/>
    <w:rsid w:val="00360E83"/>
    <w:rsid w:val="00364B18"/>
    <w:rsid w:val="003809CB"/>
    <w:rsid w:val="00381169"/>
    <w:rsid w:val="00391C35"/>
    <w:rsid w:val="00393476"/>
    <w:rsid w:val="003971F2"/>
    <w:rsid w:val="003B0C32"/>
    <w:rsid w:val="003B5D8E"/>
    <w:rsid w:val="003B65E8"/>
    <w:rsid w:val="003C1F48"/>
    <w:rsid w:val="003C6BDB"/>
    <w:rsid w:val="003C7FD1"/>
    <w:rsid w:val="003D1E3F"/>
    <w:rsid w:val="003D21FA"/>
    <w:rsid w:val="003D2C33"/>
    <w:rsid w:val="003D4812"/>
    <w:rsid w:val="003D7A88"/>
    <w:rsid w:val="003E3E6D"/>
    <w:rsid w:val="003E4DBF"/>
    <w:rsid w:val="003F4631"/>
    <w:rsid w:val="003F4636"/>
    <w:rsid w:val="003F7157"/>
    <w:rsid w:val="003F7383"/>
    <w:rsid w:val="003F73A6"/>
    <w:rsid w:val="0041780F"/>
    <w:rsid w:val="00420B9B"/>
    <w:rsid w:val="00421993"/>
    <w:rsid w:val="00421FAB"/>
    <w:rsid w:val="00424E2B"/>
    <w:rsid w:val="00431A93"/>
    <w:rsid w:val="004405FD"/>
    <w:rsid w:val="004408DD"/>
    <w:rsid w:val="00447C16"/>
    <w:rsid w:val="00447D9E"/>
    <w:rsid w:val="00456840"/>
    <w:rsid w:val="0045757C"/>
    <w:rsid w:val="004625F9"/>
    <w:rsid w:val="00465A2B"/>
    <w:rsid w:val="00465D0E"/>
    <w:rsid w:val="00472212"/>
    <w:rsid w:val="004730E7"/>
    <w:rsid w:val="004771F7"/>
    <w:rsid w:val="00480CB9"/>
    <w:rsid w:val="00486C56"/>
    <w:rsid w:val="004939E4"/>
    <w:rsid w:val="0049442F"/>
    <w:rsid w:val="004C17F1"/>
    <w:rsid w:val="004C3BE2"/>
    <w:rsid w:val="004D1EBB"/>
    <w:rsid w:val="004D2223"/>
    <w:rsid w:val="004D5AD5"/>
    <w:rsid w:val="004D62C0"/>
    <w:rsid w:val="004E28B0"/>
    <w:rsid w:val="004E53C3"/>
    <w:rsid w:val="004E6547"/>
    <w:rsid w:val="004F6FEA"/>
    <w:rsid w:val="004F7A91"/>
    <w:rsid w:val="0053514D"/>
    <w:rsid w:val="005353F6"/>
    <w:rsid w:val="00537935"/>
    <w:rsid w:val="00541A00"/>
    <w:rsid w:val="00544377"/>
    <w:rsid w:val="005459F3"/>
    <w:rsid w:val="005503FD"/>
    <w:rsid w:val="00554F06"/>
    <w:rsid w:val="00557CE7"/>
    <w:rsid w:val="005619D3"/>
    <w:rsid w:val="00563E88"/>
    <w:rsid w:val="00564FEE"/>
    <w:rsid w:val="00565C16"/>
    <w:rsid w:val="0057455E"/>
    <w:rsid w:val="00575907"/>
    <w:rsid w:val="0057755F"/>
    <w:rsid w:val="005828F6"/>
    <w:rsid w:val="00586712"/>
    <w:rsid w:val="00590F9A"/>
    <w:rsid w:val="00593F8C"/>
    <w:rsid w:val="005A33E4"/>
    <w:rsid w:val="005A408A"/>
    <w:rsid w:val="005A7913"/>
    <w:rsid w:val="005B132F"/>
    <w:rsid w:val="005B2D46"/>
    <w:rsid w:val="005B5332"/>
    <w:rsid w:val="005B5433"/>
    <w:rsid w:val="005B7609"/>
    <w:rsid w:val="005B7A22"/>
    <w:rsid w:val="005C0396"/>
    <w:rsid w:val="005C6879"/>
    <w:rsid w:val="005C71F7"/>
    <w:rsid w:val="005D001D"/>
    <w:rsid w:val="005D56C8"/>
    <w:rsid w:val="005D7C76"/>
    <w:rsid w:val="005E1E85"/>
    <w:rsid w:val="005E4C83"/>
    <w:rsid w:val="005E6D3A"/>
    <w:rsid w:val="005F3C2F"/>
    <w:rsid w:val="00601586"/>
    <w:rsid w:val="00610DAD"/>
    <w:rsid w:val="00614172"/>
    <w:rsid w:val="006221E8"/>
    <w:rsid w:val="006230DD"/>
    <w:rsid w:val="00625326"/>
    <w:rsid w:val="0062714C"/>
    <w:rsid w:val="00634419"/>
    <w:rsid w:val="00653505"/>
    <w:rsid w:val="00666D40"/>
    <w:rsid w:val="00667FCA"/>
    <w:rsid w:val="00673FF9"/>
    <w:rsid w:val="006772B6"/>
    <w:rsid w:val="00691806"/>
    <w:rsid w:val="00693E87"/>
    <w:rsid w:val="00693FD2"/>
    <w:rsid w:val="00694877"/>
    <w:rsid w:val="006968CB"/>
    <w:rsid w:val="006A0A56"/>
    <w:rsid w:val="006A1BE4"/>
    <w:rsid w:val="006A2404"/>
    <w:rsid w:val="006A35F3"/>
    <w:rsid w:val="006A4079"/>
    <w:rsid w:val="006A6F76"/>
    <w:rsid w:val="006C3517"/>
    <w:rsid w:val="006C76BD"/>
    <w:rsid w:val="006D2485"/>
    <w:rsid w:val="006D4655"/>
    <w:rsid w:val="006E139F"/>
    <w:rsid w:val="006E1621"/>
    <w:rsid w:val="006E303B"/>
    <w:rsid w:val="006E68BE"/>
    <w:rsid w:val="006E6CC3"/>
    <w:rsid w:val="006E7B52"/>
    <w:rsid w:val="00700537"/>
    <w:rsid w:val="00701090"/>
    <w:rsid w:val="00703799"/>
    <w:rsid w:val="00705D57"/>
    <w:rsid w:val="00717455"/>
    <w:rsid w:val="0072394B"/>
    <w:rsid w:val="00725AA2"/>
    <w:rsid w:val="00727C2B"/>
    <w:rsid w:val="007306F4"/>
    <w:rsid w:val="00730FA4"/>
    <w:rsid w:val="00732359"/>
    <w:rsid w:val="00735874"/>
    <w:rsid w:val="0075056C"/>
    <w:rsid w:val="00753E72"/>
    <w:rsid w:val="007640AA"/>
    <w:rsid w:val="00765DD2"/>
    <w:rsid w:val="0076659A"/>
    <w:rsid w:val="00776ACA"/>
    <w:rsid w:val="0079585B"/>
    <w:rsid w:val="0079678D"/>
    <w:rsid w:val="007A2FA8"/>
    <w:rsid w:val="007A46BA"/>
    <w:rsid w:val="007B04F3"/>
    <w:rsid w:val="007B3D59"/>
    <w:rsid w:val="007C7AE6"/>
    <w:rsid w:val="007D71D0"/>
    <w:rsid w:val="007E3930"/>
    <w:rsid w:val="007E4E5C"/>
    <w:rsid w:val="007E6C87"/>
    <w:rsid w:val="007F57AC"/>
    <w:rsid w:val="00805F2C"/>
    <w:rsid w:val="008107D0"/>
    <w:rsid w:val="0081135F"/>
    <w:rsid w:val="00825C3A"/>
    <w:rsid w:val="00832905"/>
    <w:rsid w:val="0083398C"/>
    <w:rsid w:val="008509A0"/>
    <w:rsid w:val="00853CAF"/>
    <w:rsid w:val="008611FD"/>
    <w:rsid w:val="0086403B"/>
    <w:rsid w:val="008658AC"/>
    <w:rsid w:val="0087450D"/>
    <w:rsid w:val="00874E27"/>
    <w:rsid w:val="00881C68"/>
    <w:rsid w:val="0088576B"/>
    <w:rsid w:val="00886948"/>
    <w:rsid w:val="00887EB8"/>
    <w:rsid w:val="008958CE"/>
    <w:rsid w:val="00897630"/>
    <w:rsid w:val="008A02C1"/>
    <w:rsid w:val="008A0B78"/>
    <w:rsid w:val="008B2DF5"/>
    <w:rsid w:val="008B6B1B"/>
    <w:rsid w:val="008B7847"/>
    <w:rsid w:val="008C3219"/>
    <w:rsid w:val="008D09B9"/>
    <w:rsid w:val="008D2BC8"/>
    <w:rsid w:val="008E008C"/>
    <w:rsid w:val="008E2596"/>
    <w:rsid w:val="008E40E0"/>
    <w:rsid w:val="008E459E"/>
    <w:rsid w:val="008E6A36"/>
    <w:rsid w:val="008E6F4A"/>
    <w:rsid w:val="008F2344"/>
    <w:rsid w:val="008F24FF"/>
    <w:rsid w:val="00905964"/>
    <w:rsid w:val="0091239E"/>
    <w:rsid w:val="009172E9"/>
    <w:rsid w:val="00920F3D"/>
    <w:rsid w:val="0094069F"/>
    <w:rsid w:val="009435AB"/>
    <w:rsid w:val="00943EBE"/>
    <w:rsid w:val="00946470"/>
    <w:rsid w:val="00950D3B"/>
    <w:rsid w:val="00962E14"/>
    <w:rsid w:val="00980CD3"/>
    <w:rsid w:val="009934B0"/>
    <w:rsid w:val="00997D5C"/>
    <w:rsid w:val="009A0002"/>
    <w:rsid w:val="009A221D"/>
    <w:rsid w:val="009B06BF"/>
    <w:rsid w:val="009B4530"/>
    <w:rsid w:val="009B5D5D"/>
    <w:rsid w:val="009B6884"/>
    <w:rsid w:val="009B6DBA"/>
    <w:rsid w:val="009C0848"/>
    <w:rsid w:val="009E3C04"/>
    <w:rsid w:val="009E59F2"/>
    <w:rsid w:val="009F7823"/>
    <w:rsid w:val="00A02214"/>
    <w:rsid w:val="00A032B0"/>
    <w:rsid w:val="00A0496A"/>
    <w:rsid w:val="00A10093"/>
    <w:rsid w:val="00A12415"/>
    <w:rsid w:val="00A13412"/>
    <w:rsid w:val="00A14B7A"/>
    <w:rsid w:val="00A176A3"/>
    <w:rsid w:val="00A2215B"/>
    <w:rsid w:val="00A23BB3"/>
    <w:rsid w:val="00A27209"/>
    <w:rsid w:val="00A36E8F"/>
    <w:rsid w:val="00A371E4"/>
    <w:rsid w:val="00A449EA"/>
    <w:rsid w:val="00A469F5"/>
    <w:rsid w:val="00A510F3"/>
    <w:rsid w:val="00A548FE"/>
    <w:rsid w:val="00A5775A"/>
    <w:rsid w:val="00A608FA"/>
    <w:rsid w:val="00A666D1"/>
    <w:rsid w:val="00A67195"/>
    <w:rsid w:val="00A725DE"/>
    <w:rsid w:val="00A7323D"/>
    <w:rsid w:val="00A80DBA"/>
    <w:rsid w:val="00A830AC"/>
    <w:rsid w:val="00A84B60"/>
    <w:rsid w:val="00A86426"/>
    <w:rsid w:val="00A86700"/>
    <w:rsid w:val="00A8731E"/>
    <w:rsid w:val="00A94DC6"/>
    <w:rsid w:val="00AA0CEB"/>
    <w:rsid w:val="00AB1006"/>
    <w:rsid w:val="00AB1A7B"/>
    <w:rsid w:val="00AB2F0D"/>
    <w:rsid w:val="00AB6714"/>
    <w:rsid w:val="00AC1213"/>
    <w:rsid w:val="00AC1B20"/>
    <w:rsid w:val="00AC29BA"/>
    <w:rsid w:val="00AD4186"/>
    <w:rsid w:val="00AE2190"/>
    <w:rsid w:val="00AF0B8D"/>
    <w:rsid w:val="00AF7417"/>
    <w:rsid w:val="00B15AD9"/>
    <w:rsid w:val="00B20BE5"/>
    <w:rsid w:val="00B23FC2"/>
    <w:rsid w:val="00B340CB"/>
    <w:rsid w:val="00B422B9"/>
    <w:rsid w:val="00B42840"/>
    <w:rsid w:val="00B45121"/>
    <w:rsid w:val="00B46692"/>
    <w:rsid w:val="00B50F5D"/>
    <w:rsid w:val="00B518DE"/>
    <w:rsid w:val="00B53D10"/>
    <w:rsid w:val="00B56386"/>
    <w:rsid w:val="00B61CD7"/>
    <w:rsid w:val="00B63E18"/>
    <w:rsid w:val="00B63E7D"/>
    <w:rsid w:val="00B67677"/>
    <w:rsid w:val="00B70041"/>
    <w:rsid w:val="00B700D2"/>
    <w:rsid w:val="00B760FC"/>
    <w:rsid w:val="00B76F44"/>
    <w:rsid w:val="00B7732D"/>
    <w:rsid w:val="00B7794E"/>
    <w:rsid w:val="00B8385A"/>
    <w:rsid w:val="00B843A4"/>
    <w:rsid w:val="00B87706"/>
    <w:rsid w:val="00B959BF"/>
    <w:rsid w:val="00BA0B45"/>
    <w:rsid w:val="00BB1F1E"/>
    <w:rsid w:val="00BB4299"/>
    <w:rsid w:val="00BB5455"/>
    <w:rsid w:val="00BC3A9F"/>
    <w:rsid w:val="00BC7D8F"/>
    <w:rsid w:val="00BD077F"/>
    <w:rsid w:val="00BE2954"/>
    <w:rsid w:val="00BE3AC9"/>
    <w:rsid w:val="00BF22DF"/>
    <w:rsid w:val="00BF6010"/>
    <w:rsid w:val="00C03CD3"/>
    <w:rsid w:val="00C049B6"/>
    <w:rsid w:val="00C07A04"/>
    <w:rsid w:val="00C105DC"/>
    <w:rsid w:val="00C12174"/>
    <w:rsid w:val="00C145B6"/>
    <w:rsid w:val="00C22A27"/>
    <w:rsid w:val="00C264CF"/>
    <w:rsid w:val="00C26CDF"/>
    <w:rsid w:val="00C32B22"/>
    <w:rsid w:val="00C44138"/>
    <w:rsid w:val="00C50E04"/>
    <w:rsid w:val="00C51A6A"/>
    <w:rsid w:val="00C51AB4"/>
    <w:rsid w:val="00C51DB9"/>
    <w:rsid w:val="00C729CE"/>
    <w:rsid w:val="00C77196"/>
    <w:rsid w:val="00C8157A"/>
    <w:rsid w:val="00C84D76"/>
    <w:rsid w:val="00C85D7A"/>
    <w:rsid w:val="00C87837"/>
    <w:rsid w:val="00C915AD"/>
    <w:rsid w:val="00C92DCC"/>
    <w:rsid w:val="00C94421"/>
    <w:rsid w:val="00C94E03"/>
    <w:rsid w:val="00CA37BD"/>
    <w:rsid w:val="00CB0477"/>
    <w:rsid w:val="00CB3B51"/>
    <w:rsid w:val="00CC0015"/>
    <w:rsid w:val="00CC06B9"/>
    <w:rsid w:val="00CC5A8D"/>
    <w:rsid w:val="00CD3BBC"/>
    <w:rsid w:val="00CD4CDB"/>
    <w:rsid w:val="00CD7547"/>
    <w:rsid w:val="00CD7971"/>
    <w:rsid w:val="00CE5CC1"/>
    <w:rsid w:val="00D07912"/>
    <w:rsid w:val="00D2148E"/>
    <w:rsid w:val="00D24A73"/>
    <w:rsid w:val="00D34335"/>
    <w:rsid w:val="00D348F5"/>
    <w:rsid w:val="00D34A0E"/>
    <w:rsid w:val="00D42970"/>
    <w:rsid w:val="00D468C1"/>
    <w:rsid w:val="00D47570"/>
    <w:rsid w:val="00D51124"/>
    <w:rsid w:val="00D57845"/>
    <w:rsid w:val="00D60F12"/>
    <w:rsid w:val="00D66C3D"/>
    <w:rsid w:val="00D676A8"/>
    <w:rsid w:val="00D7278C"/>
    <w:rsid w:val="00D86F89"/>
    <w:rsid w:val="00D908FA"/>
    <w:rsid w:val="00D938A8"/>
    <w:rsid w:val="00D93F83"/>
    <w:rsid w:val="00D9659F"/>
    <w:rsid w:val="00DA4070"/>
    <w:rsid w:val="00DB0121"/>
    <w:rsid w:val="00DB4061"/>
    <w:rsid w:val="00DB7A53"/>
    <w:rsid w:val="00DC1D1C"/>
    <w:rsid w:val="00DD01D2"/>
    <w:rsid w:val="00DD6039"/>
    <w:rsid w:val="00DE6292"/>
    <w:rsid w:val="00DE65B1"/>
    <w:rsid w:val="00DF7341"/>
    <w:rsid w:val="00E040D6"/>
    <w:rsid w:val="00E05EB2"/>
    <w:rsid w:val="00E14474"/>
    <w:rsid w:val="00E14A3B"/>
    <w:rsid w:val="00E17852"/>
    <w:rsid w:val="00E30122"/>
    <w:rsid w:val="00E31AF5"/>
    <w:rsid w:val="00E375F1"/>
    <w:rsid w:val="00E4053F"/>
    <w:rsid w:val="00E4289A"/>
    <w:rsid w:val="00E47382"/>
    <w:rsid w:val="00E524D4"/>
    <w:rsid w:val="00E5300C"/>
    <w:rsid w:val="00E54015"/>
    <w:rsid w:val="00E578C9"/>
    <w:rsid w:val="00E67391"/>
    <w:rsid w:val="00E71CFD"/>
    <w:rsid w:val="00E74C58"/>
    <w:rsid w:val="00E829C7"/>
    <w:rsid w:val="00EA58FA"/>
    <w:rsid w:val="00EB379D"/>
    <w:rsid w:val="00EB4FF1"/>
    <w:rsid w:val="00EB68E8"/>
    <w:rsid w:val="00EB6C86"/>
    <w:rsid w:val="00EC083B"/>
    <w:rsid w:val="00ED1DD4"/>
    <w:rsid w:val="00ED36A6"/>
    <w:rsid w:val="00ED6EE8"/>
    <w:rsid w:val="00EE442A"/>
    <w:rsid w:val="00EE5C94"/>
    <w:rsid w:val="00EF15AD"/>
    <w:rsid w:val="00F06B17"/>
    <w:rsid w:val="00F24899"/>
    <w:rsid w:val="00F32C40"/>
    <w:rsid w:val="00F35A90"/>
    <w:rsid w:val="00F401AC"/>
    <w:rsid w:val="00F42854"/>
    <w:rsid w:val="00F46DCD"/>
    <w:rsid w:val="00F5382C"/>
    <w:rsid w:val="00F53EF1"/>
    <w:rsid w:val="00F55242"/>
    <w:rsid w:val="00F616FD"/>
    <w:rsid w:val="00F63C01"/>
    <w:rsid w:val="00F70EAE"/>
    <w:rsid w:val="00F72FAF"/>
    <w:rsid w:val="00F76594"/>
    <w:rsid w:val="00F90310"/>
    <w:rsid w:val="00F909ED"/>
    <w:rsid w:val="00F91653"/>
    <w:rsid w:val="00F94774"/>
    <w:rsid w:val="00FA1F58"/>
    <w:rsid w:val="00FC1EEA"/>
    <w:rsid w:val="00FC2668"/>
    <w:rsid w:val="00FC3005"/>
    <w:rsid w:val="00FD1FDF"/>
    <w:rsid w:val="00FD43F4"/>
    <w:rsid w:val="00FE59FC"/>
    <w:rsid w:val="00FF1D6D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3BE0EE4-E346-4902-AE45-20091AAF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overflowPunct w:val="0"/>
      <w:autoSpaceDE w:val="0"/>
      <w:autoSpaceDN w:val="0"/>
      <w:adjustRightInd w:val="0"/>
      <w:spacing w:line="264" w:lineRule="auto"/>
      <w:textAlignment w:val="baseline"/>
    </w:pPr>
    <w:rPr>
      <w:sz w:val="24"/>
      <w:lang w:eastAsia="en-GB"/>
    </w:rPr>
  </w:style>
  <w:style w:type="paragraph" w:styleId="Nadpis1">
    <w:name w:val="heading 1"/>
    <w:basedOn w:val="Normlny"/>
    <w:next w:val="Normlny"/>
    <w:qFormat/>
    <w:rsid w:val="002819A1"/>
    <w:pPr>
      <w:keepNext/>
      <w:tabs>
        <w:tab w:val="left" w:pos="709"/>
      </w:tabs>
      <w:spacing w:before="400" w:after="120"/>
      <w:ind w:left="709" w:hanging="709"/>
      <w:outlineLvl w:val="0"/>
    </w:pPr>
    <w:rPr>
      <w:b/>
      <w:smallCaps/>
      <w:sz w:val="32"/>
    </w:rPr>
  </w:style>
  <w:style w:type="paragraph" w:styleId="Nadpis2">
    <w:name w:val="heading 2"/>
    <w:basedOn w:val="Normlny"/>
    <w:next w:val="Normlny"/>
    <w:qFormat/>
    <w:pPr>
      <w:keepLines/>
      <w:tabs>
        <w:tab w:val="left" w:pos="851"/>
      </w:tabs>
      <w:spacing w:before="240" w:after="120"/>
      <w:ind w:left="851" w:hanging="851"/>
      <w:outlineLvl w:val="1"/>
    </w:pPr>
    <w:rPr>
      <w:b/>
      <w:smallCaps/>
    </w:rPr>
  </w:style>
  <w:style w:type="paragraph" w:styleId="Nadpis3">
    <w:name w:val="heading 3"/>
    <w:basedOn w:val="Normlny"/>
    <w:next w:val="Normlny"/>
    <w:qFormat/>
    <w:pPr>
      <w:tabs>
        <w:tab w:val="left" w:pos="1134"/>
      </w:tabs>
      <w:ind w:left="1134" w:hanging="1134"/>
      <w:outlineLvl w:val="2"/>
    </w:pPr>
    <w:rPr>
      <w:b/>
    </w:rPr>
  </w:style>
  <w:style w:type="paragraph" w:styleId="Nadpis4">
    <w:name w:val="heading 4"/>
    <w:basedOn w:val="Normlny"/>
    <w:next w:val="Normlny"/>
    <w:qFormat/>
    <w:pPr>
      <w:tabs>
        <w:tab w:val="left" w:pos="1418"/>
      </w:tabs>
      <w:ind w:left="1418" w:hanging="1418"/>
      <w:outlineLvl w:val="3"/>
    </w:pPr>
    <w:rPr>
      <w:b/>
    </w:rPr>
  </w:style>
  <w:style w:type="paragraph" w:styleId="Nadpis5">
    <w:name w:val="heading 5"/>
    <w:basedOn w:val="Normlny"/>
    <w:next w:val="Normlny"/>
    <w:qFormat/>
    <w:pPr>
      <w:tabs>
        <w:tab w:val="left" w:pos="1701"/>
      </w:tabs>
      <w:ind w:left="1701" w:hanging="1701"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tabs>
        <w:tab w:val="left" w:pos="1985"/>
      </w:tabs>
      <w:ind w:left="1985" w:hanging="1985"/>
      <w:outlineLvl w:val="5"/>
    </w:pPr>
    <w:rPr>
      <w:b/>
    </w:rPr>
  </w:style>
  <w:style w:type="paragraph" w:styleId="Nadpis7">
    <w:name w:val="heading 7"/>
    <w:basedOn w:val="Normlny"/>
    <w:next w:val="Normlny"/>
    <w:qFormat/>
    <w:pPr>
      <w:outlineLvl w:val="6"/>
    </w:pPr>
    <w:rPr>
      <w:b/>
    </w:rPr>
  </w:style>
  <w:style w:type="paragraph" w:styleId="Nadpis8">
    <w:name w:val="heading 8"/>
    <w:basedOn w:val="Normlny"/>
    <w:next w:val="Normlny"/>
    <w:qFormat/>
    <w:pPr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3">
    <w:name w:val="toc 3"/>
    <w:basedOn w:val="Obsah2"/>
    <w:next w:val="Normlny"/>
    <w:autoRedefine/>
    <w:semiHidden/>
    <w:pPr>
      <w:tabs>
        <w:tab w:val="clear" w:pos="1418"/>
        <w:tab w:val="left" w:pos="1701"/>
      </w:tabs>
      <w:spacing w:before="0"/>
      <w:ind w:left="1701" w:hanging="1134"/>
    </w:pPr>
    <w:rPr>
      <w:b w:val="0"/>
      <w:i/>
    </w:rPr>
  </w:style>
  <w:style w:type="paragraph" w:styleId="Obsah2">
    <w:name w:val="toc 2"/>
    <w:basedOn w:val="Obsah1"/>
    <w:next w:val="Normlny"/>
    <w:autoRedefine/>
    <w:semiHidden/>
    <w:pPr>
      <w:tabs>
        <w:tab w:val="left" w:pos="1418"/>
      </w:tabs>
      <w:spacing w:before="60"/>
      <w:ind w:left="1418" w:hanging="851"/>
    </w:pPr>
    <w:rPr>
      <w:smallCaps w:val="0"/>
    </w:rPr>
  </w:style>
  <w:style w:type="paragraph" w:styleId="Obsah1">
    <w:name w:val="toc 1"/>
    <w:basedOn w:val="Normlny"/>
    <w:next w:val="Normlny"/>
    <w:autoRedefine/>
    <w:semiHidden/>
    <w:pPr>
      <w:tabs>
        <w:tab w:val="left" w:pos="567"/>
        <w:tab w:val="right" w:leader="dot" w:pos="8789"/>
      </w:tabs>
      <w:spacing w:before="120" w:line="240" w:lineRule="auto"/>
      <w:ind w:left="567" w:right="454" w:hanging="567"/>
    </w:pPr>
    <w:rPr>
      <w:b/>
      <w:smallCaps/>
    </w:rPr>
  </w:style>
  <w:style w:type="paragraph" w:styleId="Pta">
    <w:name w:val="footer"/>
    <w:basedOn w:val="Hlavika"/>
    <w:link w:val="PtaChar"/>
    <w:uiPriority w:val="99"/>
  </w:style>
  <w:style w:type="paragraph" w:styleId="Hlavika">
    <w:name w:val="header"/>
    <w:basedOn w:val="Normlny"/>
    <w:link w:val="HlavikaChar"/>
    <w:uiPriority w:val="99"/>
    <w:pPr>
      <w:tabs>
        <w:tab w:val="center" w:pos="4394"/>
        <w:tab w:val="right" w:pos="8789"/>
      </w:tabs>
    </w:pPr>
    <w:rPr>
      <w:sz w:val="20"/>
      <w:lang w:val="en-GB"/>
    </w:rPr>
  </w:style>
  <w:style w:type="paragraph" w:styleId="Obsah4">
    <w:name w:val="toc 4"/>
    <w:basedOn w:val="Obsah3"/>
    <w:next w:val="Normlny"/>
    <w:autoRedefine/>
    <w:semiHidden/>
    <w:pPr>
      <w:tabs>
        <w:tab w:val="clear" w:pos="1701"/>
        <w:tab w:val="left" w:pos="1985"/>
      </w:tabs>
      <w:ind w:left="1985" w:hanging="1418"/>
    </w:pPr>
    <w:rPr>
      <w:i w:val="0"/>
    </w:rPr>
  </w:style>
  <w:style w:type="paragraph" w:styleId="Textvysvetlivky">
    <w:name w:val="endnote text"/>
    <w:basedOn w:val="Normlny"/>
    <w:semiHidden/>
    <w:pPr>
      <w:suppressLineNumbers/>
      <w:tabs>
        <w:tab w:val="left" w:pos="425"/>
      </w:tabs>
      <w:spacing w:after="120" w:line="240" w:lineRule="auto"/>
      <w:ind w:left="425" w:hanging="425"/>
    </w:pPr>
  </w:style>
  <w:style w:type="character" w:styleId="slostrany">
    <w:name w:val="page number"/>
    <w:basedOn w:val="Predvolenpsmoodseku"/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left" w:pos="284"/>
      </w:tabs>
      <w:spacing w:line="240" w:lineRule="auto"/>
      <w:ind w:left="284" w:hanging="284"/>
    </w:pPr>
    <w:rPr>
      <w:sz w:val="20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HeadingModuleTitle">
    <w:name w:val="Heading Module Title"/>
    <w:basedOn w:val="Normlny"/>
    <w:pPr>
      <w:jc w:val="center"/>
    </w:pPr>
    <w:rPr>
      <w:b/>
      <w:sz w:val="48"/>
    </w:rPr>
  </w:style>
  <w:style w:type="paragraph" w:customStyle="1" w:styleId="Documenttitle">
    <w:name w:val="Document title"/>
    <w:basedOn w:val="Normlny"/>
    <w:next w:val="Normlny"/>
    <w:rsid w:val="006A6F76"/>
    <w:pPr>
      <w:spacing w:after="400"/>
      <w:jc w:val="center"/>
    </w:pPr>
    <w:rPr>
      <w:b/>
      <w:smallCaps/>
      <w:sz w:val="36"/>
      <w:szCs w:val="32"/>
    </w:rPr>
  </w:style>
  <w:style w:type="paragraph" w:customStyle="1" w:styleId="Tablecaption">
    <w:name w:val="Table caption"/>
    <w:basedOn w:val="Normlny"/>
    <w:next w:val="Normlny"/>
    <w:rsid w:val="005D56C8"/>
    <w:rPr>
      <w:i/>
      <w:szCs w:val="24"/>
    </w:rPr>
  </w:style>
  <w:style w:type="paragraph" w:customStyle="1" w:styleId="Mriekatabuky1">
    <w:name w:val="Mriežka tabuľky1"/>
    <w:basedOn w:val="Normlny"/>
    <w:rsid w:val="005D56C8"/>
    <w:rPr>
      <w:rFonts w:ascii="Courier New" w:hAnsi="Courier New"/>
      <w:sz w:val="16"/>
      <w:szCs w:val="16"/>
    </w:rPr>
  </w:style>
  <w:style w:type="paragraph" w:customStyle="1" w:styleId="AHeader1">
    <w:name w:val="AHeader 1"/>
    <w:basedOn w:val="Normlny"/>
    <w:rsid w:val="00541A00"/>
    <w:pPr>
      <w:numPr>
        <w:numId w:val="9"/>
      </w:numPr>
      <w:suppressAutoHyphens w:val="0"/>
      <w:overflowPunct/>
      <w:autoSpaceDE/>
      <w:autoSpaceDN/>
      <w:adjustRightInd/>
      <w:spacing w:after="120" w:line="240" w:lineRule="auto"/>
      <w:textAlignment w:val="auto"/>
    </w:pPr>
    <w:rPr>
      <w:rFonts w:ascii="Arial" w:hAnsi="Arial" w:cs="Arial"/>
      <w:b/>
      <w:bCs/>
      <w:lang w:eastAsia="en-US"/>
    </w:rPr>
  </w:style>
  <w:style w:type="paragraph" w:customStyle="1" w:styleId="AHeader2">
    <w:name w:val="AHeader 2"/>
    <w:basedOn w:val="AHeader1"/>
    <w:rsid w:val="00541A00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541A00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541A00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541A00"/>
    <w:pPr>
      <w:numPr>
        <w:ilvl w:val="4"/>
      </w:numPr>
      <w:tabs>
        <w:tab w:val="clear" w:pos="1701"/>
        <w:tab w:val="num" w:pos="360"/>
      </w:tabs>
    </w:pPr>
  </w:style>
  <w:style w:type="table" w:styleId="Mriekatabuky">
    <w:name w:val="Table Grid"/>
    <w:basedOn w:val="Normlnatabuka"/>
    <w:uiPriority w:val="59"/>
    <w:rsid w:val="00541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486C56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3F4636"/>
    <w:rPr>
      <w:sz w:val="16"/>
      <w:szCs w:val="16"/>
    </w:rPr>
  </w:style>
  <w:style w:type="paragraph" w:styleId="Textkomentra">
    <w:name w:val="annotation text"/>
    <w:basedOn w:val="Normlny"/>
    <w:semiHidden/>
    <w:rsid w:val="003F4636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3F4636"/>
    <w:rPr>
      <w:b/>
      <w:bCs/>
    </w:rPr>
  </w:style>
  <w:style w:type="character" w:customStyle="1" w:styleId="HlavikaChar">
    <w:name w:val="Hlavička Char"/>
    <w:link w:val="Hlavika"/>
    <w:uiPriority w:val="99"/>
    <w:rsid w:val="00E17852"/>
    <w:rPr>
      <w:lang w:val="en-GB" w:eastAsia="en-GB"/>
    </w:rPr>
  </w:style>
  <w:style w:type="character" w:customStyle="1" w:styleId="PtaChar">
    <w:name w:val="Päta Char"/>
    <w:link w:val="Pta"/>
    <w:uiPriority w:val="99"/>
    <w:rsid w:val="00E17852"/>
    <w:rPr>
      <w:lang w:val="en-GB" w:eastAsia="en-GB"/>
    </w:rPr>
  </w:style>
  <w:style w:type="paragraph" w:styleId="Zkladntext">
    <w:name w:val="Body Text"/>
    <w:basedOn w:val="Normlny"/>
    <w:link w:val="ZkladntextChar"/>
    <w:rsid w:val="003D1E3F"/>
    <w:pPr>
      <w:widowControl w:val="0"/>
      <w:suppressAutoHyphens w:val="0"/>
      <w:overflowPunct/>
      <w:autoSpaceDE/>
      <w:autoSpaceDN/>
      <w:adjustRightInd/>
      <w:spacing w:line="240" w:lineRule="auto"/>
      <w:jc w:val="center"/>
      <w:textAlignment w:val="auto"/>
    </w:pPr>
    <w:rPr>
      <w:b/>
      <w:sz w:val="22"/>
      <w:lang w:val="en-US" w:eastAsia="en-US"/>
    </w:rPr>
  </w:style>
  <w:style w:type="character" w:customStyle="1" w:styleId="ZkladntextChar">
    <w:name w:val="Základný text Char"/>
    <w:link w:val="Zkladntext"/>
    <w:rsid w:val="003D1E3F"/>
    <w:rPr>
      <w:b/>
      <w:sz w:val="22"/>
      <w:lang w:val="en-US" w:eastAsia="en-US"/>
    </w:rPr>
  </w:style>
  <w:style w:type="paragraph" w:styleId="Revzia">
    <w:name w:val="Revision"/>
    <w:hidden/>
    <w:uiPriority w:val="99"/>
    <w:semiHidden/>
    <w:rsid w:val="007E6C87"/>
    <w:rPr>
      <w:sz w:val="24"/>
      <w:lang w:val="en-GB" w:eastAsia="en-GB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062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spacing w:line="240" w:lineRule="auto"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PredformtovanHTMLChar">
    <w:name w:val="Predformátované HTML Char"/>
    <w:link w:val="PredformtovanHTML"/>
    <w:uiPriority w:val="99"/>
    <w:rsid w:val="00062A99"/>
    <w:rPr>
      <w:rFonts w:ascii="Courier New" w:hAnsi="Courier New" w:cs="Courier New"/>
    </w:rPr>
  </w:style>
  <w:style w:type="paragraph" w:styleId="Odsekzoznamu">
    <w:name w:val="List Paragraph"/>
    <w:basedOn w:val="Normlny"/>
    <w:uiPriority w:val="34"/>
    <w:qFormat/>
    <w:rsid w:val="00625326"/>
    <w:pPr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Zvraznenie">
    <w:name w:val="Emphasis"/>
    <w:uiPriority w:val="20"/>
    <w:qFormat/>
    <w:rsid w:val="00227AAA"/>
    <w:rPr>
      <w:b/>
      <w:bCs/>
      <w:i w:val="0"/>
      <w:iCs w:val="0"/>
    </w:rPr>
  </w:style>
  <w:style w:type="character" w:customStyle="1" w:styleId="st1">
    <w:name w:val="st1"/>
    <w:rsid w:val="00A548FE"/>
  </w:style>
  <w:style w:type="character" w:customStyle="1" w:styleId="TextChar1">
    <w:name w:val="Text Char1"/>
    <w:link w:val="Text"/>
    <w:locked/>
    <w:rsid w:val="00A0496A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A0496A"/>
    <w:pPr>
      <w:suppressAutoHyphens w:val="0"/>
      <w:overflowPunct/>
      <w:autoSpaceDE/>
      <w:autoSpaceDN/>
      <w:adjustRightInd/>
      <w:spacing w:after="240" w:line="276" w:lineRule="auto"/>
      <w:ind w:left="1134"/>
      <w:jc w:val="both"/>
      <w:textAlignment w:val="auto"/>
    </w:pPr>
    <w:rPr>
      <w:rFonts w:ascii="SimSun" w:hAnsi="SimSun"/>
      <w:color w:val="000000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6042</Words>
  <Characters>34442</Characters>
  <Application>Microsoft Office Word</Application>
  <DocSecurity>0</DocSecurity>
  <Lines>287</Lines>
  <Paragraphs>80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Ferring Pharmaceuticals</Company>
  <LinksUpToDate>false</LinksUpToDate>
  <CharactersWithSpaces>40404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A4 Basic Template</dc:subject>
  <dc:creator>Regpharm</dc:creator>
  <cp:lastModifiedBy>zuzana molnarova</cp:lastModifiedBy>
  <cp:revision>4</cp:revision>
  <cp:lastPrinted>2020-04-21T09:12:00Z</cp:lastPrinted>
  <dcterms:created xsi:type="dcterms:W3CDTF">2020-04-21T08:45:00Z</dcterms:created>
  <dcterms:modified xsi:type="dcterms:W3CDTF">2020-04-21T09:12:00Z</dcterms:modified>
</cp:coreProperties>
</file>