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825C" w14:textId="77777777" w:rsidR="008B7661" w:rsidRPr="00A447D7" w:rsidRDefault="008B7661" w:rsidP="008B7661">
      <w:pPr>
        <w:spacing w:line="240" w:lineRule="auto"/>
        <w:jc w:val="center"/>
        <w:rPr>
          <w:b/>
          <w:sz w:val="18"/>
          <w:szCs w:val="18"/>
        </w:rPr>
      </w:pPr>
    </w:p>
    <w:p w14:paraId="4B67DE89" w14:textId="77777777" w:rsidR="008B7661" w:rsidRPr="00A447D7" w:rsidRDefault="008B7661" w:rsidP="008B7661">
      <w:pPr>
        <w:spacing w:line="240" w:lineRule="auto"/>
        <w:jc w:val="center"/>
        <w:outlineLvl w:val="0"/>
        <w:rPr>
          <w:b/>
          <w:caps/>
        </w:rPr>
      </w:pPr>
      <w:r w:rsidRPr="00A447D7">
        <w:rPr>
          <w:b/>
          <w:caps/>
        </w:rPr>
        <w:t>Súhrn charakteristických vlastností lieku</w:t>
      </w:r>
    </w:p>
    <w:p w14:paraId="6AD102D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bCs/>
          <w:sz w:val="22"/>
          <w:lang w:val="sk-SK"/>
        </w:rPr>
      </w:pPr>
    </w:p>
    <w:p w14:paraId="6F65C59E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bCs/>
          <w:sz w:val="22"/>
          <w:lang w:val="sk-SK"/>
        </w:rPr>
      </w:pPr>
    </w:p>
    <w:p w14:paraId="2E5B398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bCs/>
          <w:sz w:val="22"/>
          <w:lang w:val="sk-SK"/>
        </w:rPr>
      </w:pPr>
      <w:r w:rsidRPr="00A447D7">
        <w:rPr>
          <w:b/>
          <w:bCs/>
          <w:sz w:val="22"/>
          <w:lang w:val="sk-SK"/>
        </w:rPr>
        <w:t>1.</w:t>
      </w:r>
      <w:r w:rsidRPr="00A447D7">
        <w:rPr>
          <w:b/>
          <w:bCs/>
          <w:sz w:val="22"/>
          <w:lang w:val="sk-SK"/>
        </w:rPr>
        <w:tab/>
        <w:t>NÁZOV LIEKU</w:t>
      </w:r>
    </w:p>
    <w:p w14:paraId="7CB9F47C" w14:textId="77777777" w:rsidR="008B7661" w:rsidRPr="00A447D7" w:rsidRDefault="008B7661" w:rsidP="008B7661">
      <w:pPr>
        <w:spacing w:line="240" w:lineRule="auto"/>
      </w:pPr>
    </w:p>
    <w:p w14:paraId="04E5251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 </w:t>
      </w:r>
    </w:p>
    <w:p w14:paraId="65CCE0DC" w14:textId="77777777" w:rsidR="008B7661" w:rsidRPr="008F0B03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A447D7">
        <w:rPr>
          <w:sz w:val="22"/>
          <w:highlight w:val="lightGray"/>
          <w:lang w:val="sk-SK"/>
        </w:rPr>
        <w:t xml:space="preserve"> </w:t>
      </w:r>
      <w:r w:rsidRPr="008F0B03">
        <w:rPr>
          <w:sz w:val="22"/>
          <w:highlight w:val="lightGray"/>
          <w:lang w:val="sk-SK"/>
        </w:rPr>
        <w:t xml:space="preserve">100 mg/25 mg/200 mg </w:t>
      </w:r>
    </w:p>
    <w:p w14:paraId="7FDB3B46" w14:textId="77777777" w:rsidR="008B7661" w:rsidRPr="008F0B03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8F0B03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8F0B03">
        <w:rPr>
          <w:sz w:val="22"/>
          <w:highlight w:val="lightGray"/>
          <w:lang w:val="sk-SK"/>
        </w:rPr>
        <w:t xml:space="preserve"> 150 mg/37,5 mg/200 mg </w:t>
      </w:r>
    </w:p>
    <w:p w14:paraId="187DE717" w14:textId="77777777" w:rsidR="008B7661" w:rsidRPr="008F0B03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8F0B03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8F0B03">
        <w:rPr>
          <w:sz w:val="22"/>
          <w:highlight w:val="lightGray"/>
          <w:lang w:val="sk-SK"/>
        </w:rPr>
        <w:t xml:space="preserve"> 175 mg/43,75 mg/200 mg </w:t>
      </w:r>
    </w:p>
    <w:p w14:paraId="31171E2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8F0B03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8F0B03">
        <w:rPr>
          <w:sz w:val="22"/>
          <w:highlight w:val="lightGray"/>
          <w:lang w:val="sk-SK"/>
        </w:rPr>
        <w:t xml:space="preserve"> </w:t>
      </w:r>
      <w:r w:rsidRPr="00A447D7">
        <w:rPr>
          <w:sz w:val="22"/>
          <w:highlight w:val="lightGray"/>
          <w:lang w:val="sk-SK"/>
        </w:rPr>
        <w:t>200 mg/50 mg/200 mg</w:t>
      </w:r>
      <w:r w:rsidRPr="00A447D7">
        <w:rPr>
          <w:sz w:val="22"/>
          <w:lang w:val="sk-SK"/>
        </w:rPr>
        <w:t xml:space="preserve"> </w:t>
      </w:r>
    </w:p>
    <w:p w14:paraId="5EED3607" w14:textId="77777777" w:rsidR="00B420BC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filmom obalené tablety</w:t>
      </w:r>
    </w:p>
    <w:p w14:paraId="4D3EA5A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7765BBD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14E47F4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2.</w:t>
      </w:r>
      <w:r w:rsidRPr="00A447D7">
        <w:rPr>
          <w:b/>
          <w:sz w:val="22"/>
          <w:lang w:val="sk-SK"/>
        </w:rPr>
        <w:tab/>
        <w:t>KVALITATÍVNE A KVANTITATÍVNE ZLOŽENIE</w:t>
      </w:r>
    </w:p>
    <w:p w14:paraId="1CF37B9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b/>
          <w:sz w:val="22"/>
          <w:lang w:val="sk-SK"/>
        </w:rPr>
      </w:pPr>
    </w:p>
    <w:p w14:paraId="43DA3869" w14:textId="65E3C82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Každá </w:t>
      </w:r>
      <w:r w:rsidR="00EE74BF" w:rsidRPr="00A447D7">
        <w:rPr>
          <w:sz w:val="22"/>
          <w:lang w:val="sk-SK"/>
        </w:rPr>
        <w:t xml:space="preserve">filmom obalená </w:t>
      </w:r>
      <w:r w:rsidRPr="00A447D7">
        <w:rPr>
          <w:sz w:val="22"/>
          <w:lang w:val="sk-SK"/>
        </w:rPr>
        <w:t>tableta obsahuje 50 mg levodopy, 12,5 mg karbidopy (ako monohydrát) a 200 mg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nu.</w:t>
      </w:r>
    </w:p>
    <w:p w14:paraId="25B2F015" w14:textId="77DFCEF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Každá </w:t>
      </w:r>
      <w:r w:rsidR="00EE74BF" w:rsidRPr="00A447D7">
        <w:rPr>
          <w:sz w:val="22"/>
          <w:highlight w:val="lightGray"/>
          <w:lang w:val="sk-SK"/>
        </w:rPr>
        <w:t xml:space="preserve">filmom obalená </w:t>
      </w:r>
      <w:r w:rsidRPr="00A447D7">
        <w:rPr>
          <w:sz w:val="22"/>
          <w:highlight w:val="lightGray"/>
          <w:lang w:val="sk-SK"/>
        </w:rPr>
        <w:t xml:space="preserve">tableta obsahuje 100 mg levodopy, </w:t>
      </w:r>
      <w:r w:rsidR="00627908">
        <w:rPr>
          <w:sz w:val="22"/>
          <w:highlight w:val="lightGray"/>
          <w:lang w:val="sk-SK"/>
        </w:rPr>
        <w:t>2</w:t>
      </w:r>
      <w:r w:rsidR="00627908" w:rsidRPr="00A447D7">
        <w:rPr>
          <w:sz w:val="22"/>
          <w:highlight w:val="lightGray"/>
          <w:lang w:val="sk-SK"/>
        </w:rPr>
        <w:t>5 </w:t>
      </w:r>
      <w:r w:rsidRPr="00A447D7">
        <w:rPr>
          <w:sz w:val="22"/>
          <w:highlight w:val="lightGray"/>
          <w:lang w:val="sk-SK"/>
        </w:rPr>
        <w:t>mg karbidopy (ako monohydrát) a 200 mg entakap</w:t>
      </w:r>
      <w:r w:rsidR="007F636B">
        <w:rPr>
          <w:sz w:val="22"/>
          <w:highlight w:val="lightGray"/>
          <w:lang w:val="sk-SK"/>
        </w:rPr>
        <w:t>ó</w:t>
      </w:r>
      <w:r w:rsidRPr="00A447D7">
        <w:rPr>
          <w:sz w:val="22"/>
          <w:highlight w:val="lightGray"/>
          <w:lang w:val="sk-SK"/>
        </w:rPr>
        <w:t>nu.</w:t>
      </w:r>
    </w:p>
    <w:p w14:paraId="5CB12A99" w14:textId="6013D5F6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Každá </w:t>
      </w:r>
      <w:r w:rsidR="00EE74BF" w:rsidRPr="00A447D7">
        <w:rPr>
          <w:sz w:val="22"/>
          <w:highlight w:val="lightGray"/>
          <w:lang w:val="sk-SK"/>
        </w:rPr>
        <w:t xml:space="preserve">filmom obalená </w:t>
      </w:r>
      <w:r w:rsidRPr="00A447D7">
        <w:rPr>
          <w:sz w:val="22"/>
          <w:highlight w:val="lightGray"/>
          <w:lang w:val="sk-SK"/>
        </w:rPr>
        <w:t>tableta obsahuje 150 mg levodopy, 37,5 mg karbidopy (ako monohydrát) a 200 mg entakap</w:t>
      </w:r>
      <w:r w:rsidR="007F636B">
        <w:rPr>
          <w:sz w:val="22"/>
          <w:highlight w:val="lightGray"/>
          <w:lang w:val="sk-SK"/>
        </w:rPr>
        <w:t>ó</w:t>
      </w:r>
      <w:r w:rsidRPr="00A447D7">
        <w:rPr>
          <w:sz w:val="22"/>
          <w:highlight w:val="lightGray"/>
          <w:lang w:val="sk-SK"/>
        </w:rPr>
        <w:t>nu.</w:t>
      </w:r>
    </w:p>
    <w:p w14:paraId="13BC08AD" w14:textId="74041E7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Každá </w:t>
      </w:r>
      <w:r w:rsidR="00EE74BF" w:rsidRPr="00A447D7">
        <w:rPr>
          <w:sz w:val="22"/>
          <w:highlight w:val="lightGray"/>
          <w:lang w:val="sk-SK"/>
        </w:rPr>
        <w:t xml:space="preserve">filmom obalená </w:t>
      </w:r>
      <w:r w:rsidRPr="00A447D7">
        <w:rPr>
          <w:sz w:val="22"/>
          <w:highlight w:val="lightGray"/>
          <w:lang w:val="sk-SK"/>
        </w:rPr>
        <w:t>tableta obsahuje 175 mg levodopy, 43,75 mg karbidopy (ako monohydrát) a 200 mg entakap</w:t>
      </w:r>
      <w:r w:rsidR="007F636B">
        <w:rPr>
          <w:sz w:val="22"/>
          <w:highlight w:val="lightGray"/>
          <w:lang w:val="sk-SK"/>
        </w:rPr>
        <w:t>ó</w:t>
      </w:r>
      <w:r w:rsidRPr="00A447D7">
        <w:rPr>
          <w:sz w:val="22"/>
          <w:highlight w:val="lightGray"/>
          <w:lang w:val="sk-SK"/>
        </w:rPr>
        <w:t>nu.</w:t>
      </w:r>
    </w:p>
    <w:p w14:paraId="2FA58733" w14:textId="5D12F010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highlight w:val="lightGray"/>
          <w:lang w:val="sk-SK"/>
        </w:rPr>
        <w:t xml:space="preserve">Každá </w:t>
      </w:r>
      <w:r w:rsidR="00EE74BF" w:rsidRPr="00A447D7">
        <w:rPr>
          <w:sz w:val="22"/>
          <w:highlight w:val="lightGray"/>
          <w:lang w:val="sk-SK"/>
        </w:rPr>
        <w:t xml:space="preserve">filmom obalená </w:t>
      </w:r>
      <w:r w:rsidRPr="00A447D7">
        <w:rPr>
          <w:sz w:val="22"/>
          <w:highlight w:val="lightGray"/>
          <w:lang w:val="sk-SK"/>
        </w:rPr>
        <w:t>tableta obsahuje 200 mg levodopy, 50 mg karbidopy (ako monohydrát) a 200 mg entakap</w:t>
      </w:r>
      <w:r w:rsidR="007F636B">
        <w:rPr>
          <w:sz w:val="22"/>
          <w:highlight w:val="lightGray"/>
          <w:lang w:val="sk-SK"/>
        </w:rPr>
        <w:t>ó</w:t>
      </w:r>
      <w:r w:rsidRPr="00A447D7">
        <w:rPr>
          <w:sz w:val="22"/>
          <w:highlight w:val="lightGray"/>
          <w:lang w:val="sk-SK"/>
        </w:rPr>
        <w:t>nu.</w:t>
      </w:r>
    </w:p>
    <w:p w14:paraId="7C408BC3" w14:textId="77777777" w:rsidR="008B7661" w:rsidRPr="00A447D7" w:rsidRDefault="008B7661" w:rsidP="008B7661">
      <w:pPr>
        <w:spacing w:line="240" w:lineRule="auto"/>
        <w:outlineLvl w:val="0"/>
      </w:pPr>
    </w:p>
    <w:p w14:paraId="533EA8AE" w14:textId="13F05429" w:rsidR="008B7661" w:rsidRPr="00A447D7" w:rsidRDefault="008B7661" w:rsidP="008B7661">
      <w:pPr>
        <w:spacing w:line="240" w:lineRule="auto"/>
        <w:outlineLvl w:val="0"/>
        <w:rPr>
          <w:u w:val="single"/>
        </w:rPr>
      </w:pPr>
      <w:r w:rsidRPr="00A447D7">
        <w:rPr>
          <w:u w:val="single"/>
        </w:rPr>
        <w:t>Pomocná látka</w:t>
      </w:r>
      <w:r w:rsidRPr="00A447D7">
        <w:rPr>
          <w:szCs w:val="24"/>
          <w:u w:val="single"/>
        </w:rPr>
        <w:t xml:space="preserve"> so známym účinkom</w:t>
      </w:r>
      <w:r w:rsidRPr="00A447D7">
        <w:rPr>
          <w:u w:val="single"/>
        </w:rPr>
        <w:t xml:space="preserve"> </w:t>
      </w:r>
    </w:p>
    <w:p w14:paraId="25DA0A55" w14:textId="77777777" w:rsidR="008B7661" w:rsidRPr="00A447D7" w:rsidRDefault="008B7661" w:rsidP="008B7661">
      <w:pPr>
        <w:spacing w:line="240" w:lineRule="auto"/>
        <w:outlineLvl w:val="0"/>
      </w:pPr>
      <w:r w:rsidRPr="00A447D7">
        <w:t>Každá</w:t>
      </w:r>
      <w:r w:rsidR="00D065FB">
        <w:t xml:space="preserve"> filmom obalená</w:t>
      </w:r>
      <w:r w:rsidRPr="00A447D7">
        <w:t xml:space="preserve"> tableta</w:t>
      </w:r>
      <w:r w:rsidR="00D065FB">
        <w:t xml:space="preserve"> </w:t>
      </w:r>
      <w:r w:rsidRPr="00A447D7">
        <w:t>obsahuje 0,48 mg lecitínu (sójového) (E322).</w:t>
      </w:r>
    </w:p>
    <w:p w14:paraId="38CB20AB" w14:textId="77777777" w:rsidR="008B7661" w:rsidRPr="00D065FB" w:rsidRDefault="008B7661" w:rsidP="008B7661">
      <w:pPr>
        <w:spacing w:line="240" w:lineRule="auto"/>
        <w:outlineLvl w:val="0"/>
        <w:rPr>
          <w:highlight w:val="lightGray"/>
        </w:rPr>
      </w:pPr>
      <w:r w:rsidRPr="00A447D7">
        <w:rPr>
          <w:highlight w:val="lightGray"/>
        </w:rPr>
        <w:t xml:space="preserve">Každá </w:t>
      </w:r>
      <w:r w:rsidR="00D065FB" w:rsidRPr="00D065FB">
        <w:rPr>
          <w:highlight w:val="lightGray"/>
        </w:rPr>
        <w:t xml:space="preserve">filmom obalená </w:t>
      </w:r>
      <w:r w:rsidRPr="00D065FB">
        <w:rPr>
          <w:highlight w:val="lightGray"/>
        </w:rPr>
        <w:t>tableta obsahuje 0,60 mg lecitínu (sójového) (E322).</w:t>
      </w:r>
    </w:p>
    <w:p w14:paraId="63B10607" w14:textId="77777777" w:rsidR="008B7661" w:rsidRPr="00D065FB" w:rsidRDefault="008B7661" w:rsidP="008B7661">
      <w:pPr>
        <w:spacing w:line="240" w:lineRule="auto"/>
        <w:outlineLvl w:val="0"/>
        <w:rPr>
          <w:highlight w:val="lightGray"/>
        </w:rPr>
      </w:pPr>
      <w:r w:rsidRPr="00D065FB">
        <w:rPr>
          <w:highlight w:val="lightGray"/>
        </w:rPr>
        <w:t xml:space="preserve">Každá </w:t>
      </w:r>
      <w:r w:rsidR="00D065FB" w:rsidRPr="00D065FB">
        <w:rPr>
          <w:highlight w:val="lightGray"/>
        </w:rPr>
        <w:t xml:space="preserve">filmom obalená </w:t>
      </w:r>
      <w:r w:rsidRPr="00D065FB">
        <w:rPr>
          <w:highlight w:val="lightGray"/>
        </w:rPr>
        <w:t>tableta obsahuje 0,72 mg lecitínu (sójového) (E322).</w:t>
      </w:r>
    </w:p>
    <w:p w14:paraId="19412671" w14:textId="77777777" w:rsidR="008B7661" w:rsidRPr="00D065FB" w:rsidRDefault="008B7661" w:rsidP="008B7661">
      <w:pPr>
        <w:spacing w:line="240" w:lineRule="auto"/>
        <w:outlineLvl w:val="0"/>
        <w:rPr>
          <w:highlight w:val="lightGray"/>
        </w:rPr>
      </w:pPr>
      <w:r w:rsidRPr="00D065FB">
        <w:rPr>
          <w:highlight w:val="lightGray"/>
        </w:rPr>
        <w:t xml:space="preserve">Každá </w:t>
      </w:r>
      <w:r w:rsidR="00D065FB" w:rsidRPr="00D065FB">
        <w:rPr>
          <w:highlight w:val="lightGray"/>
        </w:rPr>
        <w:t xml:space="preserve">filmom obalená </w:t>
      </w:r>
      <w:r w:rsidRPr="00D065FB">
        <w:rPr>
          <w:highlight w:val="lightGray"/>
        </w:rPr>
        <w:t>tableta obsahuje 0,78 mg lecitínu (sójového) (E322).</w:t>
      </w:r>
    </w:p>
    <w:p w14:paraId="736C861A" w14:textId="77777777" w:rsidR="008B7661" w:rsidRPr="00A447D7" w:rsidRDefault="008B7661" w:rsidP="008B7661">
      <w:pPr>
        <w:spacing w:line="240" w:lineRule="auto"/>
        <w:outlineLvl w:val="0"/>
      </w:pPr>
      <w:r w:rsidRPr="00D065FB">
        <w:rPr>
          <w:highlight w:val="lightGray"/>
        </w:rPr>
        <w:t xml:space="preserve">Každá </w:t>
      </w:r>
      <w:r w:rsidR="00D065FB" w:rsidRPr="00D065FB">
        <w:rPr>
          <w:highlight w:val="lightGray"/>
        </w:rPr>
        <w:t xml:space="preserve">filmom obalená </w:t>
      </w:r>
      <w:r w:rsidRPr="00D065FB">
        <w:rPr>
          <w:highlight w:val="lightGray"/>
        </w:rPr>
        <w:t>t</w:t>
      </w:r>
      <w:r w:rsidRPr="00A447D7">
        <w:rPr>
          <w:highlight w:val="lightGray"/>
        </w:rPr>
        <w:t>ableta obsahuje 0,83 mg lecitínu (sójového) (E322).</w:t>
      </w:r>
    </w:p>
    <w:p w14:paraId="25619779" w14:textId="77777777" w:rsidR="008B7661" w:rsidRPr="00A447D7" w:rsidRDefault="008B7661" w:rsidP="008B7661">
      <w:pPr>
        <w:spacing w:line="240" w:lineRule="auto"/>
        <w:outlineLvl w:val="0"/>
      </w:pPr>
    </w:p>
    <w:p w14:paraId="2BFCB288" w14:textId="77777777" w:rsidR="008B7661" w:rsidRPr="00A447D7" w:rsidRDefault="008B7661" w:rsidP="008B7661">
      <w:pPr>
        <w:outlineLvl w:val="0"/>
        <w:rPr>
          <w:szCs w:val="22"/>
        </w:rPr>
      </w:pPr>
      <w:r w:rsidRPr="00A447D7">
        <w:rPr>
          <w:szCs w:val="22"/>
        </w:rPr>
        <w:t>Úplný zoznam pomocných látok, pozri časť 6.1.</w:t>
      </w:r>
    </w:p>
    <w:p w14:paraId="1859E06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4B019BF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17C92B7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3.</w:t>
      </w:r>
      <w:r w:rsidRPr="00A447D7">
        <w:rPr>
          <w:b/>
          <w:sz w:val="22"/>
          <w:lang w:val="sk-SK"/>
        </w:rPr>
        <w:tab/>
        <w:t>LIEKOVÁ FORMA</w:t>
      </w:r>
    </w:p>
    <w:p w14:paraId="1B9490A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b/>
          <w:sz w:val="22"/>
          <w:lang w:val="sk-SK"/>
        </w:rPr>
      </w:pPr>
    </w:p>
    <w:p w14:paraId="2D7E212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Filmom obalená tableta</w:t>
      </w:r>
    </w:p>
    <w:p w14:paraId="5ACA776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2453D15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mg: Hne</w:t>
      </w:r>
      <w:r w:rsidR="00B420BC">
        <w:rPr>
          <w:sz w:val="22"/>
          <w:lang w:val="sk-SK"/>
        </w:rPr>
        <w:t>dasto</w:t>
      </w:r>
      <w:r w:rsidRPr="00A447D7">
        <w:rPr>
          <w:sz w:val="22"/>
          <w:lang w:val="sk-SK"/>
        </w:rPr>
        <w:t xml:space="preserve">červená oválna, bikonvexná, filmom </w:t>
      </w:r>
      <w:r w:rsidR="00B420BC" w:rsidRPr="00A447D7">
        <w:rPr>
          <w:sz w:val="22"/>
          <w:lang w:val="sk-SK"/>
        </w:rPr>
        <w:t>obalená</w:t>
      </w:r>
      <w:r w:rsidRPr="00A447D7">
        <w:rPr>
          <w:sz w:val="22"/>
          <w:lang w:val="sk-SK"/>
        </w:rPr>
        <w:t xml:space="preserve"> tableta 6,85x14,2 mm s označením „50“ na jednej strane a „LEC“ na opačnej strane.</w:t>
      </w:r>
    </w:p>
    <w:p w14:paraId="3E938493" w14:textId="77777777" w:rsidR="008B7661" w:rsidRPr="008F0B03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="00B420BC">
        <w:rPr>
          <w:sz w:val="22"/>
          <w:highlight w:val="lightGray"/>
          <w:lang w:val="sk-SK"/>
        </w:rPr>
        <w:t xml:space="preserve"> </w:t>
      </w:r>
      <w:r w:rsidR="00B420BC" w:rsidRPr="008F0B03">
        <w:rPr>
          <w:sz w:val="22"/>
          <w:highlight w:val="lightGray"/>
          <w:lang w:val="sk-SK"/>
        </w:rPr>
        <w:t>100 mg/25 mg/200 mg: Hnedasto</w:t>
      </w:r>
      <w:r w:rsidRPr="008F0B03">
        <w:rPr>
          <w:sz w:val="22"/>
          <w:highlight w:val="lightGray"/>
          <w:lang w:val="sk-SK"/>
        </w:rPr>
        <w:t xml:space="preserve">červená oválna, bikonvexná, filmom </w:t>
      </w:r>
      <w:r w:rsidR="00B420BC" w:rsidRPr="008F0B03">
        <w:rPr>
          <w:sz w:val="22"/>
          <w:highlight w:val="lightGray"/>
          <w:lang w:val="sk-SK"/>
        </w:rPr>
        <w:t>obalená</w:t>
      </w:r>
      <w:r w:rsidRPr="008F0B03">
        <w:rPr>
          <w:sz w:val="22"/>
          <w:highlight w:val="lightGray"/>
          <w:lang w:val="sk-SK"/>
        </w:rPr>
        <w:t xml:space="preserve"> tableta 7,23x15,3 mm s označením „100“ na jednej strane a „LEC“ na opačnej strane. </w:t>
      </w:r>
    </w:p>
    <w:p w14:paraId="3C51C03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8F0B03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8F0B03">
        <w:rPr>
          <w:sz w:val="22"/>
          <w:highlight w:val="lightGray"/>
          <w:lang w:val="sk-SK"/>
        </w:rPr>
        <w:t xml:space="preserve"> </w:t>
      </w:r>
      <w:r w:rsidR="00B420BC">
        <w:rPr>
          <w:sz w:val="22"/>
          <w:highlight w:val="lightGray"/>
          <w:lang w:val="sk-SK"/>
        </w:rPr>
        <w:t>150 mg/37,5 mg/200 mg: Hnedasto</w:t>
      </w:r>
      <w:r w:rsidRPr="00A447D7">
        <w:rPr>
          <w:sz w:val="22"/>
          <w:highlight w:val="lightGray"/>
          <w:lang w:val="sk-SK"/>
        </w:rPr>
        <w:t xml:space="preserve">červená oválna, bikonvexná, filmom </w:t>
      </w:r>
      <w:r w:rsidR="00B420BC" w:rsidRPr="00A447D7">
        <w:rPr>
          <w:sz w:val="22"/>
          <w:highlight w:val="lightGray"/>
          <w:lang w:val="sk-SK"/>
        </w:rPr>
        <w:t>obalená</w:t>
      </w:r>
      <w:r w:rsidRPr="00A447D7">
        <w:rPr>
          <w:sz w:val="22"/>
          <w:highlight w:val="lightGray"/>
          <w:lang w:val="sk-SK"/>
        </w:rPr>
        <w:t xml:space="preserve"> tableta 7,68x16,2 mm s označením „150“ na jednej strane a „LEC“ na opačnej strane.</w:t>
      </w:r>
    </w:p>
    <w:p w14:paraId="2746C18A" w14:textId="77777777" w:rsidR="008B7661" w:rsidRPr="008F0B03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highlight w:val="lightGray"/>
          <w:lang w:val="sk-SK"/>
        </w:rPr>
      </w:pPr>
      <w:r w:rsidRPr="00A447D7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Pr="00A447D7">
        <w:rPr>
          <w:sz w:val="22"/>
          <w:highlight w:val="lightGray"/>
          <w:lang w:val="sk-SK"/>
        </w:rPr>
        <w:t xml:space="preserve"> </w:t>
      </w:r>
      <w:r w:rsidRPr="008F0B03">
        <w:rPr>
          <w:sz w:val="22"/>
          <w:highlight w:val="lightGray"/>
          <w:lang w:val="sk-SK"/>
        </w:rPr>
        <w:t>1</w:t>
      </w:r>
      <w:r w:rsidR="00B420BC" w:rsidRPr="008F0B03">
        <w:rPr>
          <w:sz w:val="22"/>
          <w:highlight w:val="lightGray"/>
          <w:lang w:val="sk-SK"/>
        </w:rPr>
        <w:t>75 mg/43,75 mg/200 mg: Hnedasto</w:t>
      </w:r>
      <w:r w:rsidRPr="008F0B03">
        <w:rPr>
          <w:sz w:val="22"/>
          <w:highlight w:val="lightGray"/>
          <w:lang w:val="sk-SK"/>
        </w:rPr>
        <w:t xml:space="preserve">červená oválna, bikonvexná, filmom </w:t>
      </w:r>
      <w:r w:rsidR="00B420BC" w:rsidRPr="008F0B03">
        <w:rPr>
          <w:sz w:val="22"/>
          <w:highlight w:val="lightGray"/>
          <w:lang w:val="sk-SK"/>
        </w:rPr>
        <w:t>obalená</w:t>
      </w:r>
      <w:r w:rsidRPr="008F0B03">
        <w:rPr>
          <w:sz w:val="22"/>
          <w:highlight w:val="lightGray"/>
          <w:lang w:val="sk-SK"/>
        </w:rPr>
        <w:t xml:space="preserve"> tableta 7,92x16,6 mm s označením „175“ na jednej strane a „LEC“ na opačnej strane a „LEC“ na opačnej strane.</w:t>
      </w:r>
    </w:p>
    <w:p w14:paraId="607B854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8F0B03">
        <w:rPr>
          <w:sz w:val="22"/>
          <w:highlight w:val="lightGray"/>
          <w:lang w:val="sk-SK"/>
        </w:rPr>
        <w:t xml:space="preserve">Levodopa/Carbidopa/Entacapone </w:t>
      </w:r>
      <w:r w:rsidR="008F0B03">
        <w:rPr>
          <w:sz w:val="22"/>
          <w:highlight w:val="lightGray"/>
          <w:lang w:val="sk-SK"/>
        </w:rPr>
        <w:t>Stada</w:t>
      </w:r>
      <w:r w:rsidR="00B420BC" w:rsidRPr="008F0B03">
        <w:rPr>
          <w:sz w:val="22"/>
          <w:highlight w:val="lightGray"/>
          <w:lang w:val="sk-SK"/>
        </w:rPr>
        <w:t xml:space="preserve"> </w:t>
      </w:r>
      <w:r w:rsidR="00B420BC">
        <w:rPr>
          <w:sz w:val="22"/>
          <w:highlight w:val="lightGray"/>
          <w:lang w:val="sk-SK"/>
        </w:rPr>
        <w:t>200 mg/50 mg/200 mg: Hnedasto</w:t>
      </w:r>
      <w:r w:rsidRPr="00A447D7">
        <w:rPr>
          <w:sz w:val="22"/>
          <w:highlight w:val="lightGray"/>
          <w:lang w:val="sk-SK"/>
        </w:rPr>
        <w:t xml:space="preserve">červená oválna, bikonvexná, filmom </w:t>
      </w:r>
      <w:r w:rsidR="00B420BC" w:rsidRPr="00A447D7">
        <w:rPr>
          <w:sz w:val="22"/>
          <w:highlight w:val="lightGray"/>
          <w:lang w:val="sk-SK"/>
        </w:rPr>
        <w:t>obalená</w:t>
      </w:r>
      <w:r w:rsidRPr="00A447D7">
        <w:rPr>
          <w:sz w:val="22"/>
          <w:highlight w:val="lightGray"/>
          <w:lang w:val="sk-SK"/>
        </w:rPr>
        <w:t xml:space="preserve"> tableta</w:t>
      </w:r>
      <w:r w:rsidR="00627908">
        <w:rPr>
          <w:sz w:val="22"/>
          <w:highlight w:val="lightGray"/>
          <w:lang w:val="sk-SK"/>
        </w:rPr>
        <w:t xml:space="preserve"> </w:t>
      </w:r>
      <w:r w:rsidRPr="00A447D7">
        <w:rPr>
          <w:sz w:val="22"/>
          <w:highlight w:val="lightGray"/>
          <w:lang w:val="sk-SK"/>
        </w:rPr>
        <w:t>8,21x17,2 mm s označením „200“ na jednej strane a „LEC“ na opačnej strane</w:t>
      </w:r>
      <w:r w:rsidR="00B420BC">
        <w:rPr>
          <w:sz w:val="22"/>
          <w:lang w:val="sk-SK"/>
        </w:rPr>
        <w:t>.</w:t>
      </w:r>
    </w:p>
    <w:p w14:paraId="7DB4CCD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1C22F1A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039C76D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caps/>
          <w:sz w:val="22"/>
          <w:lang w:val="sk-SK"/>
        </w:rPr>
      </w:pPr>
      <w:r w:rsidRPr="00A447D7">
        <w:rPr>
          <w:b/>
          <w:sz w:val="22"/>
          <w:lang w:val="sk-SK"/>
        </w:rPr>
        <w:t>4.</w:t>
      </w:r>
      <w:r w:rsidRPr="00A447D7">
        <w:rPr>
          <w:b/>
          <w:sz w:val="22"/>
          <w:lang w:val="sk-SK"/>
        </w:rPr>
        <w:tab/>
      </w:r>
      <w:r w:rsidRPr="00A447D7">
        <w:rPr>
          <w:b/>
          <w:caps/>
          <w:sz w:val="22"/>
          <w:lang w:val="sk-SK"/>
        </w:rPr>
        <w:t>KLINICKÉ ÚDAJE</w:t>
      </w:r>
    </w:p>
    <w:p w14:paraId="24880FA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b/>
          <w:sz w:val="22"/>
          <w:lang w:val="sk-SK"/>
        </w:rPr>
      </w:pPr>
    </w:p>
    <w:p w14:paraId="12CCD1E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rPr>
          <w:caps/>
          <w:sz w:val="22"/>
          <w:lang w:val="sk-SK"/>
        </w:rPr>
      </w:pPr>
      <w:r w:rsidRPr="00A447D7">
        <w:rPr>
          <w:b/>
          <w:sz w:val="22"/>
          <w:lang w:val="sk-SK"/>
        </w:rPr>
        <w:t>4.1</w:t>
      </w:r>
      <w:r w:rsidRPr="00A447D7">
        <w:rPr>
          <w:b/>
          <w:sz w:val="22"/>
          <w:lang w:val="sk-SK"/>
        </w:rPr>
        <w:tab/>
        <w:t>Terapeutické indikácie</w:t>
      </w:r>
    </w:p>
    <w:p w14:paraId="569C93A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FD8811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je indikovaná na liečbu dospelých pacientov s Parkinsonovou chorobou a kolísaním motorických funkcií na konci dávkovacieho intervalu, ktorí nie sú stabilizovaní liečbou na báze levodopa/inhibítor dopadekarboxylázy (DDK).</w:t>
      </w:r>
    </w:p>
    <w:p w14:paraId="3FDD6E5B" w14:textId="77777777" w:rsidR="008B7661" w:rsidRPr="00A447D7" w:rsidRDefault="008B7661" w:rsidP="008B7661">
      <w:pPr>
        <w:pStyle w:val="Textvysvtlivek"/>
      </w:pPr>
    </w:p>
    <w:p w14:paraId="2CDF5D7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4.2</w:t>
      </w:r>
      <w:r w:rsidRPr="00A447D7">
        <w:rPr>
          <w:b/>
          <w:sz w:val="22"/>
          <w:lang w:val="sk-SK"/>
        </w:rPr>
        <w:tab/>
        <w:t>Dávkovanie a spôsob podávania</w:t>
      </w:r>
    </w:p>
    <w:p w14:paraId="1011983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</w:p>
    <w:p w14:paraId="0E0944B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>Dávkovanie</w:t>
      </w:r>
    </w:p>
    <w:p w14:paraId="149E901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u w:val="single"/>
          <w:lang w:val="sk-SK"/>
        </w:rPr>
      </w:pPr>
    </w:p>
    <w:p w14:paraId="220B0AF1" w14:textId="3A906E74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Optimálna denná dávka musí byť stanovená u každého pacienta opatrnou titráciou levodopy. Denná dávka sa musí optimalizovať pokiaľ možno s použitím tabliet s jednou z </w:t>
      </w:r>
      <w:r w:rsidR="009B73F7">
        <w:rPr>
          <w:sz w:val="22"/>
          <w:lang w:val="sk-SK"/>
        </w:rPr>
        <w:t>piatich</w:t>
      </w:r>
      <w:r w:rsidR="009B73F7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dostupných síl (50 mg/12,5 mg/200 mg, 100 mg/25 mg/200 mg, 150 mg/37,5 mg/200 mg, 175 mg/43,75 mg/200 mg alebo 200 mg/50 mg/200 mg levodopa/karbidopa/entakap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n). </w:t>
      </w:r>
    </w:p>
    <w:p w14:paraId="1CAF7CB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134F7489" w14:textId="51EA2D69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Pacienti musia byť poučení tak, aby v každom čase podania dávky užili iba jednu tabletu</w:t>
      </w:r>
      <w:r w:rsidR="007F636B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 U pacientov, ktorí denne užívajú menej ako 70-100 mg karbidopy, je väčšia pravdepodobnosť výskytu nevoľnosti a vracania. Zatiaľ čo je skúsenosť s celkovou dennou dávkou viac ako 200 mg karbidopy obmedzená, maximálna odporúčaná denná dávka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je 2000 mg, a tak je maximálna denná dávka 10 tabliet za deň pre sily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mg, 100 mg/25 mg/200 mg, a 150 mg/37,5 mg/200 mg. Desať tabl</w:t>
      </w:r>
      <w:r w:rsidR="009B73F7">
        <w:rPr>
          <w:sz w:val="22"/>
          <w:lang w:val="sk-SK"/>
        </w:rPr>
        <w:t>i</w:t>
      </w:r>
      <w:r w:rsidRPr="00A447D7">
        <w:rPr>
          <w:sz w:val="22"/>
          <w:lang w:val="sk-SK"/>
        </w:rPr>
        <w:t xml:space="preserve">et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150 mg/37,5 mg/200 mg zodpovedá 375 mg karbidopy za deň. Podľa tejto dennej dávky karbidopy je maximálna odporúčaná denná </w:t>
      </w:r>
      <w:r w:rsidR="00052D05" w:rsidRPr="00A447D7">
        <w:rPr>
          <w:sz w:val="22"/>
          <w:lang w:val="sk-SK"/>
        </w:rPr>
        <w:t>dávk</w:t>
      </w:r>
      <w:r w:rsidR="00052D05">
        <w:rPr>
          <w:sz w:val="22"/>
          <w:lang w:val="sk-SK"/>
        </w:rPr>
        <w:t>a</w:t>
      </w:r>
      <w:r w:rsidR="00052D05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175 mg/43,75 mg/200 mg 8 tabliet na deň 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200 mg/50 mg/200 mg 7 tabliet na deň.</w:t>
      </w:r>
    </w:p>
    <w:p w14:paraId="6A36644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3B15CE5" w14:textId="1FDCE3B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zvyčajne používajú pacienti, ktorí sú aktuálne liečení zodpovedajúcimi dávkami levodopy/inhibítora DDK 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so štandardným uvoľňovaním. </w:t>
      </w:r>
    </w:p>
    <w:p w14:paraId="06458F0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358C4D6B" w14:textId="7819DE9D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  <w:r w:rsidRPr="00A447D7">
        <w:rPr>
          <w:i/>
          <w:sz w:val="22"/>
          <w:lang w:val="sk-SK"/>
        </w:rPr>
        <w:t>Ako uskutočniť prechod pacientov, ktorí užívajú lieky s obsahom levodopy/inhibítora DDK (karbidopa alebo benserazid) a tablety entakap</w:t>
      </w:r>
      <w:r w:rsidR="00E16B68">
        <w:rPr>
          <w:i/>
          <w:sz w:val="22"/>
          <w:lang w:val="sk-SK"/>
        </w:rPr>
        <w:t>ó</w:t>
      </w:r>
      <w:r w:rsidRPr="00A447D7">
        <w:rPr>
          <w:i/>
          <w:sz w:val="22"/>
          <w:lang w:val="sk-SK"/>
        </w:rPr>
        <w:t xml:space="preserve">nu na Levodopa/Carbidopa/Entacapone </w:t>
      </w:r>
      <w:r w:rsidR="008F0B03">
        <w:rPr>
          <w:i/>
          <w:sz w:val="22"/>
          <w:lang w:val="sk-SK"/>
        </w:rPr>
        <w:t>Stada</w:t>
      </w:r>
      <w:r w:rsidRPr="00A447D7">
        <w:rPr>
          <w:i/>
          <w:sz w:val="22"/>
          <w:lang w:val="sk-SK"/>
        </w:rPr>
        <w:t xml:space="preserve"> </w:t>
      </w:r>
    </w:p>
    <w:p w14:paraId="6282C7D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</w:p>
    <w:p w14:paraId="4E39E90F" w14:textId="137E3123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>a</w:t>
      </w:r>
      <w:r w:rsidRPr="00A447D7">
        <w:rPr>
          <w:sz w:val="22"/>
          <w:lang w:val="sk-SK"/>
        </w:rPr>
        <w:t>. Pacienti, ktorí sú aktuálne liečení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nom a liekom s obsahom levodopy/ karbidopy so štandardným uvoľňovaním v dávkach zhodujúcich sa so silou tablety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, môžu prejsť priamo na liečbu príslušnými tabletami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. </w:t>
      </w:r>
    </w:p>
    <w:p w14:paraId="1EAECFC0" w14:textId="231F7CF5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Napríklad, pacient užívajúci jednu tabletu s obsahom 50 mg/12,5 mg levodopy/karbidopy s jednou tabletou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200 mg štyrikrát denne, môže užiť jednu tabletu 50 mg/12,5 mg/200 mg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štyrikrát denne namiesto zvyčajných dávok levodopy/karbidopy 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nu. </w:t>
      </w:r>
    </w:p>
    <w:p w14:paraId="3364B06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8D0F780" w14:textId="0A097A61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 xml:space="preserve">b. </w:t>
      </w:r>
      <w:r w:rsidRPr="00A447D7">
        <w:rPr>
          <w:sz w:val="22"/>
          <w:lang w:val="sk-SK"/>
        </w:rPr>
        <w:t xml:space="preserve">Na začiatku liečby </w:t>
      </w:r>
      <w:r w:rsidR="00903392" w:rsidRPr="00A447D7">
        <w:rPr>
          <w:sz w:val="22"/>
          <w:lang w:val="sk-SK"/>
        </w:rPr>
        <w:t>l</w:t>
      </w:r>
      <w:r w:rsidR="00903392">
        <w:rPr>
          <w:sz w:val="22"/>
          <w:lang w:val="sk-SK"/>
        </w:rPr>
        <w:t>ie</w:t>
      </w:r>
      <w:r w:rsidR="00903392" w:rsidRPr="00A447D7">
        <w:rPr>
          <w:sz w:val="22"/>
          <w:lang w:val="sk-SK"/>
        </w:rPr>
        <w:t xml:space="preserve">kom </w:t>
      </w: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u pacientov aktuálne liečených dávkami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a levodopy/karbidopy, ktoré sa nezhodujú s dávkami v tabletách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 (alebo 100 mg/25 mg/200 mg </w:t>
      </w:r>
      <w:r w:rsidR="00304E49" w:rsidRPr="00A447D7">
        <w:rPr>
          <w:sz w:val="22"/>
          <w:lang w:val="sk-SK"/>
        </w:rPr>
        <w:t>alebo 150 mg/37,5 mg/200 mg</w:t>
      </w:r>
      <w:r w:rsidR="00304E49" w:rsidRPr="00304E49">
        <w:rPr>
          <w:sz w:val="22"/>
          <w:szCs w:val="22"/>
          <w:lang w:val="sk-SK"/>
        </w:rPr>
        <w:t xml:space="preserve"> </w:t>
      </w:r>
      <w:r w:rsidRPr="00304E49">
        <w:rPr>
          <w:sz w:val="22"/>
          <w:szCs w:val="22"/>
          <w:lang w:val="sk-SK"/>
        </w:rPr>
        <w:t>alebo</w:t>
      </w:r>
      <w:r w:rsidRPr="00A447D7">
        <w:rPr>
          <w:lang w:val="sk-SK"/>
        </w:rPr>
        <w:t xml:space="preserve"> </w:t>
      </w:r>
      <w:r w:rsidRPr="00A447D7">
        <w:rPr>
          <w:sz w:val="22"/>
          <w:lang w:val="sk-SK"/>
        </w:rPr>
        <w:t>175 mg/43,75 mg/200 mg</w:t>
      </w:r>
      <w:r w:rsidRPr="00A447D7">
        <w:rPr>
          <w:lang w:val="sk-SK"/>
        </w:rPr>
        <w:t xml:space="preserve"> </w:t>
      </w:r>
      <w:r w:rsidRPr="00A447D7">
        <w:rPr>
          <w:sz w:val="22"/>
          <w:lang w:val="sk-SK"/>
        </w:rPr>
        <w:t xml:space="preserve">alebo 200 mg/50 mg/200 mg), sa dávkovanie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musí opatrne vytitrovať na optimálnu klinickú odpoveď. Na začiatku sa dávkovanie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musí nastaviť tak, aby čo najviac zodpovedalo aktuálne používanej celkovej dennej dávke levodopy. </w:t>
      </w:r>
    </w:p>
    <w:p w14:paraId="43B3C24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2317416" w14:textId="28A897A2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>c.</w:t>
      </w:r>
      <w:r w:rsidRPr="00A447D7">
        <w:rPr>
          <w:sz w:val="22"/>
          <w:lang w:val="sk-SK"/>
        </w:rPr>
        <w:t xml:space="preserve"> Na začiatku liečby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u pacientov aktuálne liečených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nom a levodopou/benserazidom v liekoch so štandardným uvoľňovaním musí sa podávanie levodopy/benserazidu ukončiť predošlú noc a podávanie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musí začať nasledujúce ráno. Začiatočná dávka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musí zabezpečiť buď rovnaké alebo mierne vyššie (5-10%) dávky levodopy.</w:t>
      </w:r>
    </w:p>
    <w:p w14:paraId="1E3F5CB7" w14:textId="77777777" w:rsidR="008B7661" w:rsidRPr="00A447D7" w:rsidRDefault="008B7661" w:rsidP="008B7661">
      <w:pPr>
        <w:spacing w:line="240" w:lineRule="auto"/>
        <w:ind w:right="136"/>
        <w:rPr>
          <w:i/>
          <w:caps/>
        </w:rPr>
      </w:pPr>
    </w:p>
    <w:p w14:paraId="7FD4A175" w14:textId="66CDE4C3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lang w:val="sk-SK"/>
        </w:rPr>
      </w:pPr>
      <w:r w:rsidRPr="00A447D7">
        <w:rPr>
          <w:i/>
          <w:sz w:val="22"/>
          <w:lang w:val="sk-SK"/>
        </w:rPr>
        <w:lastRenderedPageBreak/>
        <w:t>Ako uskutočniť prechod pacientov, ktorí neužívajú entakap</w:t>
      </w:r>
      <w:r w:rsidR="00E16B68">
        <w:rPr>
          <w:i/>
          <w:sz w:val="22"/>
          <w:lang w:val="sk-SK"/>
        </w:rPr>
        <w:t>ó</w:t>
      </w:r>
      <w:r w:rsidRPr="00A447D7">
        <w:rPr>
          <w:i/>
          <w:sz w:val="22"/>
          <w:lang w:val="sk-SK"/>
        </w:rPr>
        <w:t xml:space="preserve">n, na Levodopa/Carbidopa/Entacapone </w:t>
      </w:r>
      <w:r w:rsidR="008F0B03">
        <w:rPr>
          <w:i/>
          <w:sz w:val="22"/>
          <w:lang w:val="sk-SK"/>
        </w:rPr>
        <w:t>Stada</w:t>
      </w:r>
    </w:p>
    <w:p w14:paraId="1B43029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lang w:val="sk-SK"/>
        </w:rPr>
      </w:pPr>
    </w:p>
    <w:p w14:paraId="74C607EE" w14:textId="0E45454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Začatie liečby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možno zvážiť s dávkami zodpovedajúcimi aktuálnej liečbe u niektorých pacientov s Parkinsonovou chorobou a kolísaním motorických funkcií na konci dávkovacieho intervalu, ktorí nie sú stabilizovaní pri svojej aktuálnej liečbe levodopou/inhibítorom DDK so štandardným uvoľňovaním. Avšak priamy prechod z levodopy/inhibítora DDK na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neodporúča u pacientov, ktorí trpia dyskinézami, alebo ktorých denné dávky levodopy prevyšujú 800 mg. U takýchto pacientov sa odporúča podávať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 ako osobitnú liečbu (entakap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 tablety) a ak je to nutné, upraviť dávku levodopy pred prechodom na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</w:t>
      </w:r>
    </w:p>
    <w:p w14:paraId="6C2B2973" w14:textId="77777777" w:rsidR="008B7661" w:rsidRPr="00A447D7" w:rsidRDefault="008B7661" w:rsidP="008B7661">
      <w:pPr>
        <w:spacing w:line="240" w:lineRule="auto"/>
      </w:pPr>
    </w:p>
    <w:p w14:paraId="4EE20182" w14:textId="12809004" w:rsidR="008B7661" w:rsidRPr="00A447D7" w:rsidRDefault="008B7661" w:rsidP="008B7661">
      <w:pPr>
        <w:spacing w:line="240" w:lineRule="auto"/>
      </w:pPr>
      <w:r w:rsidRPr="00A447D7">
        <w:t>Entakap</w:t>
      </w:r>
      <w:r w:rsidR="007F636B">
        <w:t>ó</w:t>
      </w:r>
      <w:r w:rsidRPr="00A447D7">
        <w:t xml:space="preserve">n stupňuje účinky levodopy. Preto môže byť predovšetkým u pacientov s dyskinézami nevyhnutné znížiť dávku levodopy o 10-30% počas prvých dní až prvých týždňov po začatí liečby Levodopa/Carbidopa/Entacapone </w:t>
      </w:r>
      <w:r w:rsidR="008F0B03">
        <w:t>Stada</w:t>
      </w:r>
      <w:r w:rsidRPr="00A447D7">
        <w:t xml:space="preserve">. Dennú dávku levodopy možno v závislosti od klinického stavu pacienta znížiť predĺžením dávkovacích intervalov a/alebo redukciou množstva levodopy v jednej dávke. </w:t>
      </w:r>
    </w:p>
    <w:p w14:paraId="4F60C53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E7BE6B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lang w:val="sk-SK"/>
        </w:rPr>
      </w:pPr>
      <w:r w:rsidRPr="00A447D7">
        <w:rPr>
          <w:i/>
          <w:sz w:val="22"/>
          <w:lang w:val="sk-SK"/>
        </w:rPr>
        <w:t>Úprava dávky v priebehu liečby</w:t>
      </w:r>
    </w:p>
    <w:p w14:paraId="024FCD3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lang w:val="sk-SK"/>
        </w:rPr>
      </w:pPr>
    </w:p>
    <w:p w14:paraId="4A8131D7" w14:textId="77777777" w:rsidR="008B7661" w:rsidRPr="00A447D7" w:rsidRDefault="008B7661" w:rsidP="008B7661">
      <w:pPr>
        <w:spacing w:line="240" w:lineRule="auto"/>
      </w:pPr>
      <w:r w:rsidRPr="00A447D7">
        <w:t xml:space="preserve">Ak sa vyžaduje podanie vyšších dávok levodopy, musí sa zvážiť zvýšenie frekvencie dávok a/alebo použitie alternatívnej sily Levodopa/Carbidopa/Entacapone </w:t>
      </w:r>
      <w:r w:rsidR="008F0B03">
        <w:t>Stada</w:t>
      </w:r>
      <w:r w:rsidRPr="00A447D7">
        <w:t xml:space="preserve"> v rámci odporúčaní pre dávku. </w:t>
      </w:r>
    </w:p>
    <w:p w14:paraId="5961E40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1B7649C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sa vyžaduje podanie nižších dávok levodopy, musí sa znížiť celková denná dávka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buď znížením frekvencie </w:t>
      </w:r>
      <w:r w:rsidR="001B0EFB" w:rsidRPr="00A447D7">
        <w:rPr>
          <w:sz w:val="22"/>
          <w:lang w:val="sk-SK"/>
        </w:rPr>
        <w:t>pod</w:t>
      </w:r>
      <w:r w:rsidR="001B0EFB">
        <w:rPr>
          <w:sz w:val="22"/>
          <w:lang w:val="sk-SK"/>
        </w:rPr>
        <w:t>áva</w:t>
      </w:r>
      <w:r w:rsidR="001B0EFB" w:rsidRPr="00A447D7">
        <w:rPr>
          <w:sz w:val="22"/>
          <w:lang w:val="sk-SK"/>
        </w:rPr>
        <w:t xml:space="preserve">nia </w:t>
      </w:r>
      <w:r w:rsidRPr="00A447D7">
        <w:rPr>
          <w:sz w:val="22"/>
          <w:lang w:val="sk-SK"/>
        </w:rPr>
        <w:t xml:space="preserve">predĺžením intervalov medzi dávkami, alebo znížením sily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počas podania.</w:t>
      </w:r>
    </w:p>
    <w:p w14:paraId="23F9DBB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36FF08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sú súčasne s tabletou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podávané iné lieky s obsahom levodopy, musia sa nasledovať odporúčania ohľadom maximálnej dávky.</w:t>
      </w:r>
    </w:p>
    <w:p w14:paraId="386C139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u w:val="single"/>
          <w:lang w:val="sk-SK"/>
        </w:rPr>
      </w:pPr>
    </w:p>
    <w:p w14:paraId="25391EF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 xml:space="preserve">Prerušenie liečby liekom Levodopa/Carbidopa/Entacapone </w:t>
      </w:r>
      <w:r w:rsidR="008F0B03">
        <w:rPr>
          <w:i/>
          <w:sz w:val="22"/>
          <w:u w:val="single"/>
          <w:lang w:val="sk-SK"/>
        </w:rPr>
        <w:t>Stada</w:t>
      </w:r>
      <w:r w:rsidRPr="00A447D7">
        <w:rPr>
          <w:i/>
          <w:sz w:val="22"/>
          <w:lang w:val="sk-SK"/>
        </w:rPr>
        <w:t xml:space="preserve">: </w:t>
      </w:r>
    </w:p>
    <w:p w14:paraId="1B65B4A9" w14:textId="47F5FA7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je liečba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(levodopa/karbidopa/entakap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n) prerušená a pacient je prevedený na liečbu s levodopou/inhibítorom DDK bez podania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nu, je nevyhnutné upraviť dávkovanie iných antiparkinsoník, predovšetkým levodopy, aby sa dosiahla dostatočná úroveň kontroly symptómov parkinsonizmu.</w:t>
      </w:r>
    </w:p>
    <w:p w14:paraId="27D0837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u w:val="single"/>
          <w:lang w:val="sk-SK"/>
        </w:rPr>
      </w:pPr>
    </w:p>
    <w:p w14:paraId="70D88BFC" w14:textId="77777777" w:rsidR="00F4390F" w:rsidRDefault="008B7661" w:rsidP="008B7661">
      <w:pPr>
        <w:pStyle w:val="Text"/>
        <w:tabs>
          <w:tab w:val="left" w:pos="567"/>
        </w:tabs>
        <w:spacing w:before="0"/>
        <w:jc w:val="left"/>
        <w:rPr>
          <w:lang w:val="sk-SK"/>
        </w:rPr>
      </w:pPr>
      <w:r w:rsidRPr="00A447D7">
        <w:rPr>
          <w:i/>
          <w:sz w:val="22"/>
          <w:szCs w:val="22"/>
          <w:u w:val="single"/>
          <w:lang w:val="sk-SK"/>
        </w:rPr>
        <w:t>Pediatrická populácia</w:t>
      </w:r>
      <w:r w:rsidRPr="00A447D7">
        <w:rPr>
          <w:i/>
          <w:sz w:val="22"/>
          <w:lang w:val="sk-SK"/>
        </w:rPr>
        <w:t>:</w:t>
      </w:r>
      <w:r w:rsidRPr="00A447D7">
        <w:rPr>
          <w:lang w:val="sk-SK"/>
        </w:rPr>
        <w:t xml:space="preserve"> </w:t>
      </w:r>
    </w:p>
    <w:p w14:paraId="054F9445" w14:textId="4297BD44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Bezpečnosť a účinnosť </w:t>
      </w:r>
      <w:r w:rsidR="00140FAD">
        <w:rPr>
          <w:sz w:val="22"/>
          <w:lang w:val="sk-SK"/>
        </w:rPr>
        <w:t>l</w:t>
      </w:r>
      <w:r w:rsidRPr="00A447D7">
        <w:rPr>
          <w:sz w:val="22"/>
          <w:lang w:val="sk-SK"/>
        </w:rPr>
        <w:t>evodop</w:t>
      </w:r>
      <w:r w:rsidR="00140FAD">
        <w:rPr>
          <w:sz w:val="22"/>
          <w:lang w:val="sk-SK"/>
        </w:rPr>
        <w:t>y</w:t>
      </w:r>
      <w:r w:rsidRPr="00A447D7">
        <w:rPr>
          <w:sz w:val="22"/>
          <w:lang w:val="sk-SK"/>
        </w:rPr>
        <w:t>/</w:t>
      </w:r>
      <w:r w:rsidR="00140FAD">
        <w:rPr>
          <w:sz w:val="22"/>
          <w:lang w:val="sk-SK"/>
        </w:rPr>
        <w:t>k</w:t>
      </w:r>
      <w:r w:rsidRPr="00A447D7">
        <w:rPr>
          <w:sz w:val="22"/>
          <w:lang w:val="sk-SK"/>
        </w:rPr>
        <w:t>arbidop</w:t>
      </w:r>
      <w:r w:rsidR="00140FAD">
        <w:rPr>
          <w:sz w:val="22"/>
          <w:lang w:val="sk-SK"/>
        </w:rPr>
        <w:t>y</w:t>
      </w:r>
      <w:r w:rsidRPr="00A447D7">
        <w:rPr>
          <w:sz w:val="22"/>
          <w:lang w:val="sk-SK"/>
        </w:rPr>
        <w:t>/</w:t>
      </w:r>
      <w:r w:rsidR="00140FAD">
        <w:rPr>
          <w:sz w:val="22"/>
          <w:lang w:val="sk-SK"/>
        </w:rPr>
        <w:t>e</w:t>
      </w:r>
      <w:r w:rsidRPr="00A447D7">
        <w:rPr>
          <w:sz w:val="22"/>
          <w:lang w:val="sk-SK"/>
        </w:rPr>
        <w:t>nta</w:t>
      </w:r>
      <w:r w:rsidR="00140FAD">
        <w:rPr>
          <w:sz w:val="22"/>
          <w:lang w:val="sk-SK"/>
        </w:rPr>
        <w:t>k</w:t>
      </w:r>
      <w:r w:rsidRPr="00A447D7">
        <w:rPr>
          <w:sz w:val="22"/>
          <w:lang w:val="sk-SK"/>
        </w:rPr>
        <w:t>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</w:t>
      </w:r>
      <w:r w:rsidR="00140FAD">
        <w:rPr>
          <w:sz w:val="22"/>
          <w:lang w:val="sk-SK"/>
        </w:rPr>
        <w:t>u</w:t>
      </w:r>
      <w:r w:rsidRPr="00A447D7">
        <w:rPr>
          <w:sz w:val="22"/>
          <w:lang w:val="sk-SK"/>
        </w:rPr>
        <w:t xml:space="preserve"> u detí vo veku do 1</w:t>
      </w:r>
      <w:r w:rsidRPr="00A447D7">
        <w:rPr>
          <w:sz w:val="22"/>
          <w:szCs w:val="22"/>
          <w:lang w:val="sk-SK"/>
        </w:rPr>
        <w:t>8</w:t>
      </w:r>
      <w:r w:rsidRPr="00A447D7">
        <w:rPr>
          <w:sz w:val="22"/>
          <w:lang w:val="sk-SK"/>
        </w:rPr>
        <w:t xml:space="preserve"> rokov neboli dot</w:t>
      </w:r>
      <w:r w:rsidR="00B420BC">
        <w:rPr>
          <w:sz w:val="22"/>
          <w:lang w:val="sk-SK"/>
        </w:rPr>
        <w:t>e</w:t>
      </w:r>
      <w:r w:rsidRPr="00A447D7">
        <w:rPr>
          <w:sz w:val="22"/>
          <w:lang w:val="sk-SK"/>
        </w:rPr>
        <w:t>r</w:t>
      </w:r>
      <w:r w:rsidR="00B420BC">
        <w:rPr>
          <w:sz w:val="22"/>
          <w:lang w:val="sk-SK"/>
        </w:rPr>
        <w:t>a</w:t>
      </w:r>
      <w:r w:rsidRPr="00A447D7">
        <w:rPr>
          <w:sz w:val="22"/>
          <w:lang w:val="sk-SK"/>
        </w:rPr>
        <w:t xml:space="preserve">z stanovené. </w:t>
      </w:r>
      <w:r w:rsidRPr="00A447D7">
        <w:rPr>
          <w:sz w:val="22"/>
          <w:szCs w:val="22"/>
          <w:lang w:val="sk-SK"/>
        </w:rPr>
        <w:t>K dispozícii nie sú žiadne údaje</w:t>
      </w:r>
      <w:r w:rsidRPr="00A447D7">
        <w:rPr>
          <w:szCs w:val="22"/>
          <w:lang w:val="sk-SK"/>
        </w:rPr>
        <w:t>.</w:t>
      </w:r>
    </w:p>
    <w:p w14:paraId="58F7C51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4514C7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>Starší pacienti</w:t>
      </w:r>
      <w:r w:rsidRPr="00A447D7">
        <w:rPr>
          <w:i/>
          <w:sz w:val="22"/>
          <w:lang w:val="sk-SK"/>
        </w:rPr>
        <w:t>:</w:t>
      </w:r>
      <w:r w:rsidRPr="00A447D7">
        <w:rPr>
          <w:sz w:val="22"/>
          <w:lang w:val="sk-SK"/>
        </w:rPr>
        <w:t xml:space="preserve"> U starších pacientov nie sú potrebné žiadne úpravy dávky.</w:t>
      </w:r>
    </w:p>
    <w:p w14:paraId="2DEF38C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u w:val="single"/>
          <w:lang w:val="sk-SK"/>
        </w:rPr>
      </w:pPr>
    </w:p>
    <w:p w14:paraId="4D6262C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szCs w:val="22"/>
          <w:u w:val="single"/>
          <w:lang w:val="sk-SK"/>
        </w:rPr>
        <w:t xml:space="preserve">Pacienti s </w:t>
      </w:r>
      <w:r w:rsidR="001B0EFB" w:rsidRPr="00A447D7">
        <w:rPr>
          <w:i/>
          <w:sz w:val="22"/>
          <w:szCs w:val="22"/>
          <w:u w:val="single"/>
          <w:lang w:val="sk-SK"/>
        </w:rPr>
        <w:t>poškoden</w:t>
      </w:r>
      <w:r w:rsidR="001B0EFB">
        <w:rPr>
          <w:i/>
          <w:sz w:val="22"/>
          <w:szCs w:val="22"/>
          <w:u w:val="single"/>
          <w:lang w:val="sk-SK"/>
        </w:rPr>
        <w:t>ím</w:t>
      </w:r>
      <w:r w:rsidR="001B0EFB" w:rsidRPr="00A447D7">
        <w:rPr>
          <w:i/>
          <w:sz w:val="22"/>
          <w:szCs w:val="22"/>
          <w:u w:val="single"/>
          <w:lang w:val="sk-SK"/>
        </w:rPr>
        <w:t xml:space="preserve"> </w:t>
      </w:r>
      <w:r w:rsidRPr="00A447D7">
        <w:rPr>
          <w:i/>
          <w:sz w:val="22"/>
          <w:szCs w:val="22"/>
          <w:u w:val="single"/>
          <w:lang w:val="sk-SK"/>
        </w:rPr>
        <w:t>pečene:</w:t>
      </w:r>
      <w:r w:rsidRPr="00A447D7">
        <w:rPr>
          <w:i/>
          <w:sz w:val="22"/>
          <w:lang w:val="sk-SK"/>
        </w:rPr>
        <w:t xml:space="preserve"> </w:t>
      </w: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má podávať opatrne pacientom s miernym až stredne ťažkým poškodením pečene. Je možné, že bude potrebné znížiť dávku (pozri časť 5.2). </w:t>
      </w:r>
      <w:r w:rsidR="008F1E41">
        <w:rPr>
          <w:sz w:val="22"/>
          <w:lang w:val="sk-SK"/>
        </w:rPr>
        <w:t>Ť</w:t>
      </w:r>
      <w:r w:rsidRPr="00A447D7">
        <w:rPr>
          <w:sz w:val="22"/>
          <w:lang w:val="sk-SK"/>
        </w:rPr>
        <w:t>ažk</w:t>
      </w:r>
      <w:r w:rsidR="008F1E41">
        <w:rPr>
          <w:sz w:val="22"/>
          <w:lang w:val="sk-SK"/>
        </w:rPr>
        <w:t>é</w:t>
      </w:r>
      <w:r w:rsidRPr="00A447D7">
        <w:rPr>
          <w:sz w:val="22"/>
          <w:lang w:val="sk-SK"/>
        </w:rPr>
        <w:t xml:space="preserve"> poškoden</w:t>
      </w:r>
      <w:r w:rsidR="008F1E41">
        <w:rPr>
          <w:sz w:val="22"/>
          <w:lang w:val="sk-SK"/>
        </w:rPr>
        <w:t>ie</w:t>
      </w:r>
      <w:r w:rsidRPr="00A447D7">
        <w:rPr>
          <w:sz w:val="22"/>
          <w:lang w:val="sk-SK"/>
        </w:rPr>
        <w:t xml:space="preserve"> pečene</w:t>
      </w:r>
      <w:r w:rsidR="008F1E41">
        <w:rPr>
          <w:sz w:val="22"/>
          <w:lang w:val="sk-SK"/>
        </w:rPr>
        <w:t>,</w:t>
      </w:r>
      <w:r w:rsidRPr="00A447D7">
        <w:rPr>
          <w:sz w:val="22"/>
          <w:lang w:val="sk-SK"/>
        </w:rPr>
        <w:t xml:space="preserve"> </w:t>
      </w:r>
      <w:r w:rsidR="008F1E41" w:rsidRPr="008F1E41">
        <w:rPr>
          <w:sz w:val="22"/>
          <w:lang w:val="sk-SK"/>
        </w:rPr>
        <w:t>pozri časť 4.3.</w:t>
      </w:r>
    </w:p>
    <w:p w14:paraId="5273DAAF" w14:textId="5244BF74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szCs w:val="22"/>
          <w:u w:val="single"/>
          <w:lang w:val="sk-SK"/>
        </w:rPr>
        <w:t xml:space="preserve">Pacienti s </w:t>
      </w:r>
      <w:r w:rsidR="001B0EFB" w:rsidRPr="00A447D7">
        <w:rPr>
          <w:i/>
          <w:sz w:val="22"/>
          <w:szCs w:val="22"/>
          <w:u w:val="single"/>
          <w:lang w:val="sk-SK"/>
        </w:rPr>
        <w:t>poškoden</w:t>
      </w:r>
      <w:r w:rsidR="001B0EFB">
        <w:rPr>
          <w:i/>
          <w:sz w:val="22"/>
          <w:szCs w:val="22"/>
          <w:u w:val="single"/>
          <w:lang w:val="sk-SK"/>
        </w:rPr>
        <w:t>ím</w:t>
      </w:r>
      <w:r w:rsidR="001B0EFB" w:rsidRPr="00A447D7">
        <w:rPr>
          <w:i/>
          <w:sz w:val="22"/>
          <w:szCs w:val="22"/>
          <w:u w:val="single"/>
          <w:lang w:val="sk-SK"/>
        </w:rPr>
        <w:t xml:space="preserve"> </w:t>
      </w:r>
      <w:r w:rsidRPr="00A447D7">
        <w:rPr>
          <w:i/>
          <w:sz w:val="22"/>
          <w:szCs w:val="22"/>
          <w:u w:val="single"/>
          <w:lang w:val="sk-SK"/>
        </w:rPr>
        <w:t>obličiek</w:t>
      </w:r>
      <w:r w:rsidRPr="00A447D7">
        <w:rPr>
          <w:i/>
          <w:sz w:val="22"/>
          <w:szCs w:val="22"/>
          <w:lang w:val="sk-SK"/>
        </w:rPr>
        <w:t>:</w:t>
      </w:r>
      <w:r w:rsidRPr="00A447D7">
        <w:rPr>
          <w:sz w:val="22"/>
          <w:szCs w:val="22"/>
          <w:lang w:val="sk-SK"/>
        </w:rPr>
        <w:t xml:space="preserve"> </w:t>
      </w:r>
      <w:r w:rsidRPr="00A447D7">
        <w:rPr>
          <w:iCs/>
          <w:sz w:val="22"/>
          <w:szCs w:val="22"/>
          <w:lang w:val="sk-SK"/>
        </w:rPr>
        <w:t>Poškodenie obličiek</w:t>
      </w:r>
      <w:r w:rsidRPr="00A447D7">
        <w:rPr>
          <w:iCs/>
          <w:sz w:val="22"/>
          <w:lang w:val="sk-SK"/>
        </w:rPr>
        <w:t xml:space="preserve"> </w:t>
      </w:r>
      <w:r w:rsidRPr="00A447D7">
        <w:rPr>
          <w:sz w:val="22"/>
          <w:lang w:val="sk-SK"/>
        </w:rPr>
        <w:t>nemá vplyv na farmakokinetiku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nu. Neboli hlásené osobitné štúdie so zameraním na farmakokinetiku levodopy a karbidopy u pacientov s poškodením obličiek, preto sa má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opatrne podávať u pacientov s ťažkým poškodením obličiek vrátane tých, ktorí dostávajú dialyzačnú liečbu (pozri časť 5.2). </w:t>
      </w:r>
    </w:p>
    <w:p w14:paraId="4199517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1D7905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>Spôsob podávania</w:t>
      </w:r>
    </w:p>
    <w:p w14:paraId="35C9E78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Každá tableta je na perorálne podanie buď s jedlom alebo bez jedla (pozri časť 5.2). Jedna tableta obsahuje jednu liečebnú dávku a môže byť podaná len celá.</w:t>
      </w:r>
    </w:p>
    <w:p w14:paraId="1DC2D75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56CB12A5" w14:textId="77777777" w:rsidR="008B7661" w:rsidRPr="00A447D7" w:rsidRDefault="008B7661" w:rsidP="008B7661">
      <w:pPr>
        <w:spacing w:line="240" w:lineRule="auto"/>
        <w:ind w:left="540" w:hanging="540"/>
      </w:pPr>
      <w:r w:rsidRPr="00A447D7">
        <w:rPr>
          <w:b/>
        </w:rPr>
        <w:t>4.3</w:t>
      </w:r>
      <w:r w:rsidRPr="00A447D7">
        <w:rPr>
          <w:b/>
        </w:rPr>
        <w:tab/>
        <w:t>Kontraindikácie</w:t>
      </w:r>
    </w:p>
    <w:p w14:paraId="47972413" w14:textId="77777777" w:rsidR="008B7661" w:rsidRPr="00A447D7" w:rsidRDefault="008B7661" w:rsidP="008B7661">
      <w:pPr>
        <w:spacing w:line="240" w:lineRule="auto"/>
      </w:pPr>
    </w:p>
    <w:p w14:paraId="0C4FC87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lastRenderedPageBreak/>
        <w:t>-</w:t>
      </w:r>
      <w:r w:rsidRPr="00A447D7">
        <w:rPr>
          <w:sz w:val="22"/>
          <w:szCs w:val="22"/>
          <w:lang w:val="sk-SK"/>
        </w:rPr>
        <w:tab/>
        <w:t>Precitlivenosť na liečivá</w:t>
      </w:r>
      <w:r w:rsidR="008F1E41">
        <w:rPr>
          <w:sz w:val="22"/>
          <w:szCs w:val="22"/>
          <w:lang w:val="sk-SK"/>
        </w:rPr>
        <w:t>, sóju, arašidy</w:t>
      </w:r>
      <w:r w:rsidRPr="00A447D7">
        <w:rPr>
          <w:sz w:val="22"/>
          <w:szCs w:val="22"/>
          <w:lang w:val="sk-SK"/>
        </w:rPr>
        <w:t xml:space="preserve"> alebo na ktorúkoľvek z pomocných látok uvedených v časti 6.1.</w:t>
      </w:r>
    </w:p>
    <w:p w14:paraId="6BCA55B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i/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Ťažké poškodenie pečene.</w:t>
      </w:r>
    </w:p>
    <w:p w14:paraId="4C47618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Glaukóm s</w:t>
      </w:r>
      <w:r w:rsidR="008F1E41">
        <w:rPr>
          <w:sz w:val="22"/>
          <w:lang w:val="sk-SK"/>
        </w:rPr>
        <w:t>o</w:t>
      </w:r>
      <w:r w:rsidRPr="00A447D7">
        <w:rPr>
          <w:sz w:val="22"/>
          <w:lang w:val="sk-SK"/>
        </w:rPr>
        <w:t xml:space="preserve"> </w:t>
      </w:r>
      <w:r w:rsidR="008F1E41">
        <w:rPr>
          <w:sz w:val="22"/>
          <w:lang w:val="sk-SK"/>
        </w:rPr>
        <w:t>zatvoren</w:t>
      </w:r>
      <w:r w:rsidR="008F1E41" w:rsidRPr="00A447D7">
        <w:rPr>
          <w:sz w:val="22"/>
          <w:lang w:val="sk-SK"/>
        </w:rPr>
        <w:t xml:space="preserve">ým </w:t>
      </w:r>
      <w:r w:rsidRPr="00A447D7">
        <w:rPr>
          <w:sz w:val="22"/>
          <w:lang w:val="sk-SK"/>
        </w:rPr>
        <w:t>uhlom.</w:t>
      </w:r>
    </w:p>
    <w:p w14:paraId="6975C1F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Feochromocytóm.</w:t>
      </w:r>
    </w:p>
    <w:p w14:paraId="659F5B4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Súčasné podávanie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 neselektívnymi inhibítormi monoamínooxidázy (MAO-A a MAO-B) (napr. fenelzín, tranylcypromín). </w:t>
      </w:r>
    </w:p>
    <w:p w14:paraId="2D7E7DC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Súčasné podávanie selektívneho MAO-A inhibítora a selektívneho MAO-B inhibítora (pozri časť 4.5). </w:t>
      </w:r>
    </w:p>
    <w:p w14:paraId="68AB145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Predošlá anamnéza neuroleptického malígneho syndrómu (NMS) a/alebo netraumatickej rabdomyolýzy.</w:t>
      </w:r>
    </w:p>
    <w:p w14:paraId="0638A63A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464DB74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b/>
          <w:sz w:val="22"/>
          <w:lang w:val="sk-SK"/>
        </w:rPr>
        <w:t>4.4</w:t>
      </w:r>
      <w:r w:rsidRPr="00A447D7">
        <w:rPr>
          <w:b/>
          <w:sz w:val="22"/>
          <w:lang w:val="sk-SK"/>
        </w:rPr>
        <w:tab/>
        <w:t>Osobitné upozornenia a opatrenia pri používaní</w:t>
      </w:r>
    </w:p>
    <w:p w14:paraId="2E7C8E6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7B6F27E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neodporúča pre liečbu extrapyramidálnych reakcií vyvolaných liekmi. </w:t>
      </w:r>
    </w:p>
    <w:p w14:paraId="725AD51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caps/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Liečba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musí podávať opatrne pacientom s ischemickou chorobou srdca, ťažkým kardiovaskulárnym alebo pľúcnym ochorením, bronchiálnou astmou, ochorením obličiek alebo žliaz s vnútorným vylučovaním, s peptickým vredom alebo kŕčmi v anamnéze. </w:t>
      </w:r>
    </w:p>
    <w:p w14:paraId="21AE675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U pacientov s anamnézou myokardiálneho infarktu, ktorí majú pretrvávajúce atriálne uzlové alebo ventrikulárne arytmie; musia byť kardiálne funkcie obzvlášť pozorne sledované v období začiatočných úprav dávky.</w:t>
      </w:r>
    </w:p>
    <w:p w14:paraId="3ABE67A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Všetci pacienti liečení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musia byť pozorne sledovaní pre prípad vývoja mentálnych zmien, depresie so samovražednými tendenciami a iného závažného spoločensky škodlivého správania. Pacienti s psychózami pozorovanými v minulosti alebo súčasnosti musia byť liečení s opatrnosťou.</w:t>
      </w:r>
    </w:p>
    <w:p w14:paraId="359BCB6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Súčasné podávanie antipsychotík s blokujúcimi účinkami na dopamínové receptory, obzvlášť antagonistov receptora D</w:t>
      </w:r>
      <w:r w:rsidRPr="00A447D7">
        <w:rPr>
          <w:sz w:val="22"/>
          <w:vertAlign w:val="subscript"/>
          <w:lang w:val="sk-SK"/>
        </w:rPr>
        <w:t>2</w:t>
      </w:r>
      <w:r w:rsidRPr="00A447D7">
        <w:rPr>
          <w:sz w:val="22"/>
          <w:lang w:val="sk-SK"/>
        </w:rPr>
        <w:t>, sa musí vykonávať s obozretnosťou a pacient musí byť pozorne sledovaný pre prípad straty antiparkinsonických účinkov alebo zhoršenia parkinsonických príznakov.</w:t>
      </w:r>
    </w:p>
    <w:p w14:paraId="34D74F2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b/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Pacientov s chronickým glaukómom s otvoreným uhlom je možné liečiť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 opatrnosťou za predpokladu, že je vnútroočný tlak dobre kontrolovaný a pacient je pozorne sledovaný pre prípad zmien vnútroočného tlaku.</w:t>
      </w:r>
    </w:p>
    <w:p w14:paraId="4303E34E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môže vyvolať ortostatickú hypotenziu. Preto sa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musí podávať opatrne pacientom užívajúcich iné lieky, ktoré môžu spôsobiť ortostatickú hypotenziu.</w:t>
      </w:r>
    </w:p>
    <w:p w14:paraId="07340F44" w14:textId="3271B89B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 bol v spojení s levodopou viazaný na výskyt ospanlivosti a/alebo príhod náhleho upadnutia do spánku u pacientov s Parkinsonovou chorobou, a preto sa pri vedení vozidiel a obsluhe strojov musí postupovať obozretne (pozri časť 4.7).</w:t>
      </w:r>
    </w:p>
    <w:p w14:paraId="733A54B4" w14:textId="29C0258E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V klinických štúdiách sa dopaminergné nežiaduce účinky, napr. dyskinéza, vyskytovali častejšie u pacientov, ktorí užívali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 a antagonistov dopamínu (akým je bromokriptín), selegilín alebo amantadín, v porovnaní s tými, ktorí v tejto kombinácii užívali placebo. Dávky iných antiparkinsoník bude možno nutné upraviť, keď sa liečba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nahrádza u pacienta, ktorý nie je aktuálne liečený s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nom.</w:t>
      </w:r>
    </w:p>
    <w:p w14:paraId="1FD075A7" w14:textId="74373394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>U pacientov s Parkinsonovou chorobou bola sekundárne k ťažkej dyskinéze a neuroleptickému malígnemu syndrómu (NMS) zriedkavo pozorovaná rabdomyolýza. Preto každé náhle zníženie dávky alebo prerušenie podávania levodopy musí byť pozorne sledované, najmä u pacientov, ktorí dostávajú aj neuroleptiká. NMS, vrátane rabdomyolýzy a hypertermie, je charakterizovaný motorickými symptómami (stuhlosť, myoklonus, chvenie), zmenami mentálneho stavu (napr. vzrušenie, zmätenosť, kóma), hypertermiou, poruchou autonomických funkcií (tachykardia, nestály tlak krvi) a zvýšenými hladinami sérovej kreatinínfosfokinázy. V individuálnych prípadoch môžu byť zreteľné iba niektoré z týchto príznakov a/alebo nálezov. Skorá diagnóza je dôležitá pre náležitú liečbu NMS. Syndróm podobný neuroleptickému malígnemu syndrómu zahŕňajúci svalovú stuh</w:t>
      </w:r>
      <w:r w:rsidR="00B420BC">
        <w:rPr>
          <w:sz w:val="22"/>
          <w:lang w:val="sk-SK"/>
        </w:rPr>
        <w:t>nut</w:t>
      </w:r>
      <w:r w:rsidRPr="00A447D7">
        <w:rPr>
          <w:sz w:val="22"/>
          <w:lang w:val="sk-SK"/>
        </w:rPr>
        <w:t xml:space="preserve">osť, zvýšenú telesnú teplotu, mentálne zmeny a zvýšenie sérovej kreatinínfosfokinázy bol hlásený v súvislosti s náhlym prerušením podávania antiparkinsoník. V </w:t>
      </w:r>
      <w:r w:rsidRPr="00A447D7">
        <w:rPr>
          <w:sz w:val="22"/>
          <w:lang w:val="sk-SK"/>
        </w:rPr>
        <w:lastRenderedPageBreak/>
        <w:t>spojení s liečbou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nom neboli v kontrolovaných štúdiách, kde bolo podávanie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nu náhle prerušené, hlásené NMS ani rabdomyolýza. Od uvedenia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na trh boli hlásené izolované prípady NMS, zvlášť po náhlom znížení alebo vysadení entkaponu alebo iných súčasne podávaných dopaminergných liekov. Ak sa to považuje za nutné, náhradu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levodopou a inhibítorom DDK bez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nu alebo inej dopam</w:t>
      </w:r>
      <w:r w:rsidR="00B420BC">
        <w:rPr>
          <w:sz w:val="22"/>
          <w:lang w:val="sk-SK"/>
        </w:rPr>
        <w:t>í</w:t>
      </w:r>
      <w:r w:rsidRPr="00A447D7">
        <w:rPr>
          <w:sz w:val="22"/>
          <w:lang w:val="sk-SK"/>
        </w:rPr>
        <w:t>nergnej liečby treba vykonať pomaly a zvýšenie dávky levodopy môže byť nevyhnutné.</w:t>
      </w:r>
    </w:p>
    <w:p w14:paraId="1B3E4FA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Ak sa vyžaduje celková anestéza, v liečbe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je možné pokračovať kým je pacientovi dovolené perorálne prijímať tekutiny a lieky. Ak je potrebné liečbu dočasne zastaviť,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možno opäť podať v rovnakej dennej dávke ako pred tým, len čo je možné prijímať lieky perorálne. </w:t>
      </w:r>
    </w:p>
    <w:p w14:paraId="408368AE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Pravidelné hodnotenie hepatálnych, hematopoetických, kardiovaskulárnych a renálnych funkcií sa odporúča počas predĺženej liečby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</w:t>
      </w:r>
    </w:p>
    <w:p w14:paraId="0C53A3F8" w14:textId="04C2B0B3" w:rsidR="008B7661" w:rsidRPr="00A447D7" w:rsidRDefault="008B7661" w:rsidP="008B7661">
      <w:pPr>
        <w:pStyle w:val="Text"/>
        <w:numPr>
          <w:ilvl w:val="0"/>
          <w:numId w:val="11"/>
        </w:numPr>
        <w:tabs>
          <w:tab w:val="clear" w:pos="720"/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color w:val="000000"/>
          <w:szCs w:val="22"/>
          <w:lang w:val="sk-SK"/>
        </w:rPr>
        <w:t xml:space="preserve">Odporúča sa sledovať telesnú hmotnosť pacientov, u ktorých sa vyskytne hnačka, aby sa predišlo prípadnému nadmernému zníženiu ich hmotnosti. </w:t>
      </w:r>
      <w:r w:rsidRPr="00A447D7">
        <w:rPr>
          <w:sz w:val="22"/>
          <w:szCs w:val="22"/>
          <w:lang w:val="sk-SK"/>
        </w:rPr>
        <w:t>Dlhodobá alebo pretrvávajúca hnačka vyskytujúca sa počas liečby entakap</w:t>
      </w:r>
      <w:r w:rsidR="007F636B">
        <w:rPr>
          <w:sz w:val="22"/>
          <w:szCs w:val="22"/>
          <w:lang w:val="sk-SK"/>
        </w:rPr>
        <w:t>ó</w:t>
      </w:r>
      <w:r w:rsidRPr="00A447D7">
        <w:rPr>
          <w:sz w:val="22"/>
          <w:szCs w:val="22"/>
          <w:lang w:val="sk-SK"/>
        </w:rPr>
        <w:t xml:space="preserve">nom môže byť prejavom kolitídy. V prípade dlhodobo sa vyskytujúcej alebo pretrvávajúcej hnačky sa liek má vysadiť a má sa zvážiť patričná liečba a vyšetrenia. </w:t>
      </w:r>
    </w:p>
    <w:p w14:paraId="7FC622E1" w14:textId="77777777" w:rsidR="008B7661" w:rsidRDefault="008B7661" w:rsidP="008B7661">
      <w:pPr>
        <w:pStyle w:val="Zkladntext3"/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right="96" w:hanging="567"/>
        <w:jc w:val="left"/>
        <w:rPr>
          <w:b w:val="0"/>
          <w:i w:val="0"/>
          <w:szCs w:val="22"/>
          <w:lang w:val="sk-SK"/>
        </w:rPr>
      </w:pPr>
      <w:r w:rsidRPr="00A447D7">
        <w:rPr>
          <w:b w:val="0"/>
          <w:i w:val="0"/>
          <w:szCs w:val="22"/>
          <w:lang w:val="sk-SK"/>
        </w:rPr>
        <w:t xml:space="preserve">Pacientov je potrebné pravidelne sledovať na vznik porúch impulzívnej kontroly. Pacientov a ich ošetrujúcich je potrebné upozorniť, že pri liečbe dopamínovými agonistami a/alebo pri inej dopamínergickej liečbe s obsahom levodopy vrátane </w:t>
      </w:r>
      <w:r w:rsidRPr="00A447D7">
        <w:rPr>
          <w:b w:val="0"/>
          <w:i w:val="0"/>
          <w:lang w:val="sk-SK"/>
        </w:rPr>
        <w:t xml:space="preserve">Levodopa/Carbidopa/Entacapone </w:t>
      </w:r>
      <w:r w:rsidR="008F0B03">
        <w:rPr>
          <w:b w:val="0"/>
          <w:i w:val="0"/>
          <w:lang w:val="sk-SK"/>
        </w:rPr>
        <w:t>Stada</w:t>
      </w:r>
      <w:r w:rsidRPr="00A447D7">
        <w:rPr>
          <w:b w:val="0"/>
          <w:i w:val="0"/>
          <w:szCs w:val="22"/>
          <w:lang w:val="sk-SK"/>
        </w:rPr>
        <w:t>, sa môžu vyskytnúť v správaní prejavy porúch impulzívnej kontroly, ktoré zahŕňajú patologické hranie hazardných hier, zvýšené libido, hypersexualitu, kompulzívne míňanie a nakupovanie, hltavé prejedanie sa a kompulzívne prejedanie sa. V prípade vzniku uvedených príznakov sa odporúča prehodnotenie liečby.</w:t>
      </w:r>
    </w:p>
    <w:p w14:paraId="6F34FE02" w14:textId="77777777" w:rsidR="00140FAD" w:rsidRPr="0054611E" w:rsidRDefault="00140FAD" w:rsidP="00BA12A1">
      <w:pPr>
        <w:numPr>
          <w:ilvl w:val="0"/>
          <w:numId w:val="11"/>
        </w:numPr>
        <w:ind w:hanging="720"/>
        <w:rPr>
          <w:bCs/>
        </w:rPr>
      </w:pPr>
      <w:r w:rsidRPr="0054611E">
        <w:rPr>
          <w:bCs/>
        </w:rPr>
        <w:t>Syndróm dopamínovej dysregulácie (DDS) je návyková porucha pozorovaná u niektorých</w:t>
      </w:r>
    </w:p>
    <w:p w14:paraId="5F017EB2" w14:textId="77777777" w:rsidR="00140FAD" w:rsidRPr="0054611E" w:rsidRDefault="00140FAD" w:rsidP="00F3620E">
      <w:pPr>
        <w:ind w:left="567"/>
        <w:rPr>
          <w:bCs/>
        </w:rPr>
      </w:pPr>
      <w:r w:rsidRPr="0054611E">
        <w:rPr>
          <w:bCs/>
        </w:rPr>
        <w:t>pacientov liečených karbidopou/levodopou, ktorá vedie k nadmernému užívaniu lieku. Pred</w:t>
      </w:r>
    </w:p>
    <w:p w14:paraId="0EDBD123" w14:textId="64700E80" w:rsidR="00140FAD" w:rsidRPr="00A447D7" w:rsidRDefault="00140FAD" w:rsidP="00BA12A1">
      <w:pPr>
        <w:ind w:left="567"/>
      </w:pPr>
      <w:r w:rsidRPr="0054611E">
        <w:rPr>
          <w:bCs/>
        </w:rPr>
        <w:t>začatím liečby majú byť pacienti a opatrovatelia upozornení na možné riziko vzniku DDS (pozri</w:t>
      </w:r>
      <w:r>
        <w:rPr>
          <w:bCs/>
        </w:rPr>
        <w:t xml:space="preserve"> </w:t>
      </w:r>
      <w:r w:rsidRPr="0054611E">
        <w:rPr>
          <w:bCs/>
        </w:rPr>
        <w:t>tiež časť 4.8).</w:t>
      </w:r>
    </w:p>
    <w:p w14:paraId="21F2DD65" w14:textId="77777777" w:rsidR="008B7661" w:rsidRPr="00A447D7" w:rsidRDefault="008B7661" w:rsidP="008B7661">
      <w:pPr>
        <w:pStyle w:val="Text"/>
        <w:numPr>
          <w:ilvl w:val="0"/>
          <w:numId w:val="11"/>
        </w:numPr>
        <w:tabs>
          <w:tab w:val="clear" w:pos="720"/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U pacientov, u ktorých sa vyskytne progredujúca anorexia, asténia a pokles telesnej hmotnosti v pomerne krátkom čase, sa má zvážiť vyhodnotenie celkového stavu lekárom, vrátane funkcie pečene.</w:t>
      </w:r>
    </w:p>
    <w:p w14:paraId="7D242F93" w14:textId="77777777" w:rsidR="008B7661" w:rsidRPr="00A447D7" w:rsidRDefault="008B7661" w:rsidP="008B7661">
      <w:pPr>
        <w:pStyle w:val="Text"/>
        <w:numPr>
          <w:ilvl w:val="0"/>
          <w:numId w:val="11"/>
        </w:numPr>
        <w:tabs>
          <w:tab w:val="clear" w:pos="720"/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Levodopa/karbidopa môžu spôsobiť falošný pozitívny výsledok, keď sa na skúšku na močové ketóny použije lakmusový papierik a táto reakcia sa nemení zahriatím vzorky moču na bod varu. Použitie metód na báze glukózooxidázy môže vykázať falošné negatívne výsledky na glykozúriu.</w:t>
      </w:r>
    </w:p>
    <w:p w14:paraId="704209F8" w14:textId="77777777" w:rsidR="008B7661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2194F1BF" w14:textId="3F7164FD" w:rsidR="00A73BB7" w:rsidRPr="00CB5A04" w:rsidRDefault="00A73BB7">
      <w:pPr>
        <w:pStyle w:val="Text"/>
        <w:tabs>
          <w:tab w:val="left" w:pos="567"/>
        </w:tabs>
        <w:spacing w:before="0"/>
        <w:jc w:val="left"/>
        <w:rPr>
          <w:i/>
          <w:iCs/>
          <w:sz w:val="22"/>
          <w:lang w:val="sk-SK"/>
        </w:rPr>
      </w:pPr>
      <w:r w:rsidRPr="00CB5A04">
        <w:rPr>
          <w:i/>
          <w:iCs/>
          <w:sz w:val="22"/>
          <w:lang w:val="sk-SK"/>
        </w:rPr>
        <w:t>Sodík</w:t>
      </w:r>
    </w:p>
    <w:p w14:paraId="06C1A06D" w14:textId="0E0CC4E4" w:rsidR="00A73BB7" w:rsidRPr="00A73BB7" w:rsidRDefault="00A73BB7" w:rsidP="00F26802">
      <w:pPr>
        <w:pStyle w:val="Text"/>
        <w:spacing w:before="0"/>
        <w:rPr>
          <w:sz w:val="22"/>
          <w:lang w:val="sk-SK"/>
        </w:rPr>
      </w:pPr>
      <w:r w:rsidRPr="00A73BB7">
        <w:rPr>
          <w:sz w:val="22"/>
          <w:lang w:val="sk-SK"/>
        </w:rPr>
        <w:t xml:space="preserve">Tento liek obsahuje menej ako 1 mmol sodíka (23 mg) v </w:t>
      </w:r>
      <w:r>
        <w:rPr>
          <w:sz w:val="22"/>
          <w:lang w:val="sk-SK"/>
        </w:rPr>
        <w:t>tablete</w:t>
      </w:r>
      <w:r w:rsidRPr="00A73BB7">
        <w:rPr>
          <w:sz w:val="22"/>
          <w:lang w:val="sk-SK"/>
        </w:rPr>
        <w:t xml:space="preserve">, t.j. v podstate zanedbateľné množstvo </w:t>
      </w:r>
    </w:p>
    <w:p w14:paraId="56B2478C" w14:textId="3C01874A" w:rsidR="00CB5A04" w:rsidRDefault="00A73BB7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73BB7">
        <w:rPr>
          <w:sz w:val="22"/>
          <w:lang w:val="sk-SK"/>
        </w:rPr>
        <w:t>sodíka.</w:t>
      </w:r>
    </w:p>
    <w:p w14:paraId="1AEA0BA3" w14:textId="77777777" w:rsidR="00A73BB7" w:rsidRPr="00A73BB7" w:rsidRDefault="00A73BB7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0855AC4" w14:textId="77777777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ind w:left="540" w:hanging="54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4.5</w:t>
      </w:r>
      <w:r w:rsidRPr="00A447D7">
        <w:rPr>
          <w:b/>
          <w:sz w:val="22"/>
          <w:lang w:val="sk-SK"/>
        </w:rPr>
        <w:tab/>
        <w:t>Liekové a iné interakcie</w:t>
      </w:r>
    </w:p>
    <w:p w14:paraId="06F7EBCC" w14:textId="77777777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rPr>
          <w:b/>
          <w:sz w:val="22"/>
          <w:lang w:val="sk-SK"/>
        </w:rPr>
      </w:pPr>
    </w:p>
    <w:p w14:paraId="701D955F" w14:textId="41E2818A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>Iné antiparkinsoniká</w:t>
      </w:r>
      <w:r w:rsidRPr="00A447D7">
        <w:rPr>
          <w:sz w:val="22"/>
          <w:lang w:val="sk-SK"/>
        </w:rPr>
        <w:t xml:space="preserve">: Doteraz sa nevyskytli známky interakcií ktoré by zamedzili súčasnému používaniu štandardných antiparkinsoník a lieku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 môže vo vysokých dávkach ovplyvniť absorpciu karbidopy. Žiadne interakcie s karbidopou však neboli pozorované v rámci odporúčaného liečebného plánu (200 mg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nu až 10-krát denne). Interakcie medzi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nom a selegilínom boli vyšetrované v štúdiách s opakovanými dávkami u pacientov s Parkinsonovou chorobou liečených levodopou/inhibítorom DDK a neboli pozorované žiadne interakcie. Denná dávka 10 mg selegilínu nesmie byť prekročená, keď sa selegilín používa s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</w:t>
      </w:r>
    </w:p>
    <w:p w14:paraId="39F85A6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trike/>
          <w:sz w:val="22"/>
          <w:lang w:val="sk-SK"/>
        </w:rPr>
      </w:pPr>
    </w:p>
    <w:p w14:paraId="07B18CE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Pri súčasnom podávaní nasledovných liečiv a levodopy sa musí postupovať opatrne.</w:t>
      </w:r>
    </w:p>
    <w:p w14:paraId="4177E93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b/>
          <w:sz w:val="22"/>
          <w:lang w:val="sk-SK"/>
        </w:rPr>
      </w:pPr>
    </w:p>
    <w:p w14:paraId="303BA92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  <w:r w:rsidRPr="00A447D7">
        <w:rPr>
          <w:i/>
          <w:sz w:val="22"/>
          <w:lang w:val="sk-SK"/>
        </w:rPr>
        <w:t>Antihypertenzíva</w:t>
      </w:r>
      <w:r w:rsidRPr="00A447D7">
        <w:rPr>
          <w:sz w:val="22"/>
          <w:lang w:val="sk-SK"/>
        </w:rPr>
        <w:t xml:space="preserve">: Symptomatická posturála hypotenzia sa môže objaviť, keď sa levodopa pridá k liečbe pacientov, ktorí už užívajú antihypertenzíva. Môže sa vyžadovať úprava dávky antihypertenzíva. </w:t>
      </w:r>
    </w:p>
    <w:p w14:paraId="7BD4BE1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</w:p>
    <w:p w14:paraId="2B8C72E9" w14:textId="476D8D71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 xml:space="preserve">Antidepresíva: </w:t>
      </w:r>
      <w:r w:rsidRPr="00A447D7">
        <w:rPr>
          <w:sz w:val="22"/>
          <w:lang w:val="sk-SK"/>
        </w:rPr>
        <w:t>Zriedkavo boli v prípade súčasného používania tricyklických antidepresív a levodopy/karbidopy hlásené reakcie vrátane hypertenzie a dyskinézy. Interakcie medzi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nom a imipramínom a medzi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nom a moklobemidom boli zisťované v štúdii s jednorazovou dávkou u zdravých pacientov. Neboli pozorované žiadne farmakodynamické interakcie. Významný počet pacientov s Parkinsonovou chorobou bol liečený kombináciou levodopy, karbidopy 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s niekoľkými liečivami zahŕňajúcimi inhibítory MAO-A, tricyklické antidepresíva, inhibítory spätného vychytávania noradrenalínu ako sú desipramín, maprotilín a venlafaxín a lieky, ktoré sú metabolizované COMT (napr. zlúčeniny štruktúrne podobné katecholu, paroxetín). Neboli pozorované žiadne farmakodynamické interakcie. Pri súčasnom používaní týchto liekov a lieku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však musí postupovať opatrne (pozri časti 4.3 a 4.4).</w:t>
      </w:r>
    </w:p>
    <w:p w14:paraId="46211B4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lang w:val="sk-SK"/>
        </w:rPr>
      </w:pPr>
    </w:p>
    <w:p w14:paraId="7F213DD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 xml:space="preserve">Iné liečivá: </w:t>
      </w:r>
      <w:r w:rsidRPr="00A447D7">
        <w:rPr>
          <w:sz w:val="22"/>
          <w:lang w:val="sk-SK"/>
        </w:rPr>
        <w:t>Antagonisty dopamínových receptorov (napr. niektoré antipsychotiká a antiemetiká), fenytoín a papaverín môžu znižovať terapeutické účinky levodopy. Pacienti užívajúci tieto lieky s liekom</w:t>
      </w:r>
      <w:r w:rsidR="00EF1B89" w:rsidRPr="00EF1B89">
        <w:rPr>
          <w:sz w:val="22"/>
          <w:lang w:val="sk-SK"/>
        </w:rPr>
        <w:t xml:space="preserve"> </w:t>
      </w:r>
      <w:r w:rsidR="00EF1B89" w:rsidRPr="00A447D7">
        <w:rPr>
          <w:sz w:val="22"/>
          <w:lang w:val="sk-SK"/>
        </w:rPr>
        <w:t xml:space="preserve">Levodopa/Carbidopa/Entacapone </w:t>
      </w:r>
      <w:r w:rsidR="00EF1B89">
        <w:rPr>
          <w:sz w:val="22"/>
          <w:lang w:val="sk-SK"/>
        </w:rPr>
        <w:t>Stada</w:t>
      </w:r>
      <w:r w:rsidR="00EF1B89" w:rsidDel="00EF1B89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musia byť pozorne sledovaní pre prípad straty terapeutickej odpovede.</w:t>
      </w:r>
    </w:p>
    <w:p w14:paraId="394DB43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7507D030" w14:textId="0A153645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Vzhľadom na afinitu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k cytochrómu P450 2C9 </w:t>
      </w:r>
      <w:r w:rsidRPr="00A447D7">
        <w:rPr>
          <w:i/>
          <w:sz w:val="22"/>
          <w:lang w:val="sk-SK"/>
        </w:rPr>
        <w:t>in vitro</w:t>
      </w:r>
      <w:r w:rsidRPr="00A447D7">
        <w:rPr>
          <w:sz w:val="22"/>
          <w:lang w:val="sk-SK"/>
        </w:rPr>
        <w:t xml:space="preserve"> (pozri časť 5.2) môže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potenciálne ovplyvňovať liečivá, ktorých metabolizmus závisí od tohto izoenzýmu, ako je </w:t>
      </w:r>
      <w:r w:rsidRPr="00A447D7">
        <w:rPr>
          <w:i/>
          <w:iCs/>
          <w:sz w:val="22"/>
          <w:lang w:val="sk-SK"/>
        </w:rPr>
        <w:t>S</w:t>
      </w:r>
      <w:r w:rsidRPr="00A447D7">
        <w:rPr>
          <w:sz w:val="22"/>
          <w:lang w:val="sk-SK"/>
        </w:rPr>
        <w:t>-warfarín. Avšak v interakčnej štúdii so zdravými dobrovoľníkmi nespôsobil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 zmenu hladín </w:t>
      </w:r>
      <w:r w:rsidRPr="00A447D7">
        <w:rPr>
          <w:i/>
          <w:iCs/>
          <w:sz w:val="22"/>
          <w:lang w:val="sk-SK"/>
        </w:rPr>
        <w:t>S</w:t>
      </w:r>
      <w:r w:rsidRPr="00A447D7">
        <w:rPr>
          <w:sz w:val="22"/>
          <w:lang w:val="sk-SK"/>
        </w:rPr>
        <w:t xml:space="preserve">-warfarínu v plazme, zatiaľ čo sa hodnota AUC </w:t>
      </w:r>
      <w:r w:rsidRPr="00A447D7">
        <w:rPr>
          <w:i/>
          <w:iCs/>
          <w:sz w:val="22"/>
          <w:lang w:val="sk-SK"/>
        </w:rPr>
        <w:t>R</w:t>
      </w:r>
      <w:r w:rsidRPr="00A447D7">
        <w:rPr>
          <w:sz w:val="22"/>
          <w:lang w:val="sk-SK"/>
        </w:rPr>
        <w:t>-warfarínu zvýšila v priemere o 18% [CI</w:t>
      </w:r>
      <w:r w:rsidRPr="00A447D7">
        <w:rPr>
          <w:sz w:val="22"/>
          <w:vertAlign w:val="subscript"/>
          <w:lang w:val="sk-SK"/>
        </w:rPr>
        <w:t>90</w:t>
      </w:r>
      <w:r w:rsidRPr="00A447D7">
        <w:rPr>
          <w:sz w:val="22"/>
          <w:lang w:val="sk-SK"/>
        </w:rPr>
        <w:t xml:space="preserve"> 11-26%]. Hodnoty INR sa zvýšili v priemere o 13% [CI</w:t>
      </w:r>
      <w:r w:rsidRPr="00A447D7">
        <w:rPr>
          <w:sz w:val="22"/>
          <w:vertAlign w:val="subscript"/>
          <w:lang w:val="sk-SK"/>
        </w:rPr>
        <w:t>90</w:t>
      </w:r>
      <w:r w:rsidRPr="00A447D7">
        <w:rPr>
          <w:sz w:val="22"/>
          <w:lang w:val="sk-SK"/>
        </w:rPr>
        <w:t xml:space="preserve"> 6-19%]. Preto sa odporúča kontrolovať INR, keď sa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začína podávať pacientom užívajúcim warfarín.</w:t>
      </w:r>
    </w:p>
    <w:p w14:paraId="47CAA75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4828FA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>Iné formy interakcií:</w:t>
      </w:r>
      <w:r w:rsidRPr="00A447D7">
        <w:rPr>
          <w:sz w:val="22"/>
          <w:lang w:val="sk-SK"/>
        </w:rPr>
        <w:t xml:space="preserve"> Keďže levodopa súťaží s určitými aminokyselinami, absorpcia lieku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môže byť znížená u niektorých pacientov na diéte s vysokým obsahom proteínov.</w:t>
      </w:r>
    </w:p>
    <w:p w14:paraId="5FCD7B0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8F52CA1" w14:textId="6ACFB42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Levodopa 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 môžu so železom v gastrointestinálnom trakte tvoriť cheláty. Preto sa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a prípravky s obsahom železa musia užívať s rozdielom aspoň 2-3 hodín (pozri časť 4.8).</w:t>
      </w:r>
    </w:p>
    <w:p w14:paraId="20BE171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787EDAC" w14:textId="3D3F3A1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lang w:val="sk-SK"/>
        </w:rPr>
        <w:t>In vitro údaje:</w:t>
      </w:r>
      <w:r w:rsidRPr="00A447D7">
        <w:rPr>
          <w:sz w:val="22"/>
          <w:lang w:val="sk-SK"/>
        </w:rPr>
        <w:t xml:space="preserve">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 sa viaže na väzobné miesto II ľudského albumínu, na ktoré sa tiež viaže niekoľko iných liečiv vrátane diazepamu a ibuprofénu. Podľa údajov z </w:t>
      </w:r>
      <w:r w:rsidRPr="00A447D7">
        <w:rPr>
          <w:i/>
          <w:sz w:val="22"/>
          <w:lang w:val="sk-SK"/>
        </w:rPr>
        <w:t>in vitro</w:t>
      </w:r>
      <w:r w:rsidRPr="00A447D7">
        <w:rPr>
          <w:sz w:val="22"/>
          <w:lang w:val="sk-SK"/>
        </w:rPr>
        <w:t xml:space="preserve"> štúdií sa významné vytesnenie pri terapeutických koncentráciách liečiv neočakáva. Preto sa náznaky takýchto interakcií doteraz neobjavili.</w:t>
      </w:r>
    </w:p>
    <w:p w14:paraId="74B5BB0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7AD593D9" w14:textId="77777777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4.6</w:t>
      </w:r>
      <w:r w:rsidRPr="00A447D7">
        <w:rPr>
          <w:b/>
          <w:sz w:val="22"/>
          <w:lang w:val="sk-SK"/>
        </w:rPr>
        <w:tab/>
        <w:t>Fertilita, gravidita a laktácia</w:t>
      </w:r>
    </w:p>
    <w:p w14:paraId="6E95D999" w14:textId="77777777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05C9C6D6" w14:textId="77777777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>Gravidita</w:t>
      </w:r>
    </w:p>
    <w:p w14:paraId="28DDA3C9" w14:textId="3DA59E24" w:rsidR="008B7661" w:rsidRPr="00A447D7" w:rsidRDefault="008B7661" w:rsidP="00BA12A1">
      <w:pPr>
        <w:pStyle w:val="Text"/>
        <w:keepNext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Nie sú k dispozícii dostatočné údaje o používaní kombinácie levodopa/karbidopa/entakap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 u gravidných žien. Štúdie na zvieratách ukázali reprodukčnú toxicitu jednotlivých zlúčenín (pozri časť 5.3). Pote</w:t>
      </w:r>
      <w:r w:rsidR="00B420BC">
        <w:rPr>
          <w:sz w:val="22"/>
          <w:lang w:val="sk-SK"/>
        </w:rPr>
        <w:t>n</w:t>
      </w:r>
      <w:r w:rsidRPr="00A447D7">
        <w:rPr>
          <w:sz w:val="22"/>
          <w:lang w:val="sk-SK"/>
        </w:rPr>
        <w:t xml:space="preserve">ciálne riziko pre ľudí nie je známe.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nesmie používať v gravidite, iba ak prínos pre matku preváži nad možným</w:t>
      </w:r>
      <w:r w:rsidR="00C97EF7">
        <w:rPr>
          <w:sz w:val="22"/>
          <w:lang w:val="sk-SK"/>
        </w:rPr>
        <w:t>i</w:t>
      </w:r>
      <w:r w:rsidRPr="00A447D7">
        <w:rPr>
          <w:sz w:val="22"/>
          <w:lang w:val="sk-SK"/>
        </w:rPr>
        <w:t xml:space="preserve"> rizik</w:t>
      </w:r>
      <w:r w:rsidR="00C97EF7">
        <w:rPr>
          <w:sz w:val="22"/>
          <w:lang w:val="sk-SK"/>
        </w:rPr>
        <w:t>ami</w:t>
      </w:r>
      <w:r w:rsidRPr="00A447D7">
        <w:rPr>
          <w:sz w:val="22"/>
          <w:lang w:val="sk-SK"/>
        </w:rPr>
        <w:t xml:space="preserve"> pre plod.</w:t>
      </w:r>
    </w:p>
    <w:p w14:paraId="59E117A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44E14C3" w14:textId="77777777" w:rsidR="00DB3B7C" w:rsidRDefault="002B6C09" w:rsidP="008B7661">
      <w:pPr>
        <w:pStyle w:val="Text"/>
        <w:tabs>
          <w:tab w:val="left" w:pos="567"/>
        </w:tabs>
        <w:spacing w:befor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 xml:space="preserve">Dojčenie </w:t>
      </w:r>
    </w:p>
    <w:p w14:paraId="0644F1EE" w14:textId="3135A544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 sa vylučuje do ľudského materského mlieka. </w:t>
      </w:r>
      <w:r w:rsidR="00D502C4">
        <w:rPr>
          <w:sz w:val="22"/>
          <w:lang w:val="sk-SK"/>
        </w:rPr>
        <w:t>E</w:t>
      </w:r>
      <w:r w:rsidR="00D502C4" w:rsidRPr="00A447D7">
        <w:rPr>
          <w:sz w:val="22"/>
          <w:lang w:val="sk-SK"/>
        </w:rPr>
        <w:t xml:space="preserve">xistujú </w:t>
      </w:r>
      <w:r w:rsidRPr="00A447D7">
        <w:rPr>
          <w:sz w:val="22"/>
          <w:lang w:val="sk-SK"/>
        </w:rPr>
        <w:t xml:space="preserve">dôkazy o tom, že </w:t>
      </w:r>
      <w:r w:rsidR="00C97EF7">
        <w:rPr>
          <w:sz w:val="22"/>
          <w:lang w:val="sk-SK"/>
        </w:rPr>
        <w:t xml:space="preserve">laktácia </w:t>
      </w:r>
      <w:r w:rsidR="00D502C4">
        <w:rPr>
          <w:sz w:val="22"/>
          <w:lang w:val="sk-SK"/>
        </w:rPr>
        <w:t>je</w:t>
      </w:r>
      <w:r w:rsidRPr="00A447D7">
        <w:rPr>
          <w:sz w:val="22"/>
          <w:lang w:val="sk-SK"/>
        </w:rPr>
        <w:t xml:space="preserve"> počas liečby levodopou </w:t>
      </w:r>
      <w:r w:rsidR="00C97EF7" w:rsidRPr="00A447D7">
        <w:rPr>
          <w:sz w:val="22"/>
          <w:lang w:val="sk-SK"/>
        </w:rPr>
        <w:t>potlačen</w:t>
      </w:r>
      <w:r w:rsidR="00C97EF7">
        <w:rPr>
          <w:sz w:val="22"/>
          <w:lang w:val="sk-SK"/>
        </w:rPr>
        <w:t>á</w:t>
      </w:r>
      <w:r w:rsidRPr="00A447D7">
        <w:rPr>
          <w:sz w:val="22"/>
          <w:lang w:val="sk-SK"/>
        </w:rPr>
        <w:t>. Karbidopa a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>n sa vylučovali do materského mlieka zvierat, ale nie je známe, či sa vylučujú do ľudského materského mlieka. Bezpečnosť levodopy, karbidopy alebo entakap</w:t>
      </w:r>
      <w:r w:rsidR="007F636B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pre dojča nie je známa. Ženy počas liečby liekom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nesmú dojčiť.</w:t>
      </w:r>
    </w:p>
    <w:p w14:paraId="1E01D968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7FE291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>Fertilita</w:t>
      </w:r>
    </w:p>
    <w:p w14:paraId="7C7C68E5" w14:textId="33739D21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szCs w:val="22"/>
          <w:lang w:val="sk-SK"/>
        </w:rPr>
        <w:t>V predklinických štúdiách so samotným entakap</w:t>
      </w:r>
      <w:r w:rsidR="007F636B">
        <w:rPr>
          <w:sz w:val="22"/>
          <w:szCs w:val="22"/>
          <w:lang w:val="sk-SK"/>
        </w:rPr>
        <w:t>ó</w:t>
      </w:r>
      <w:r w:rsidRPr="00A447D7">
        <w:rPr>
          <w:sz w:val="22"/>
          <w:szCs w:val="22"/>
          <w:lang w:val="sk-SK"/>
        </w:rPr>
        <w:t>nom, karbidopou alebo levodopou neboli pozorované žiadne negatívne účinky na fertilitu. Štúdie fertility na zvieratách sa nevykonali s kombináciou entakap</w:t>
      </w:r>
      <w:r w:rsidR="007F636B">
        <w:rPr>
          <w:sz w:val="22"/>
          <w:szCs w:val="22"/>
          <w:lang w:val="sk-SK"/>
        </w:rPr>
        <w:t>ó</w:t>
      </w:r>
      <w:r w:rsidRPr="00A447D7">
        <w:rPr>
          <w:sz w:val="22"/>
          <w:szCs w:val="22"/>
          <w:lang w:val="sk-SK"/>
        </w:rPr>
        <w:t>nu, karbidopy a levodopy.</w:t>
      </w:r>
    </w:p>
    <w:p w14:paraId="4BD102D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2C66D07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4.7</w:t>
      </w:r>
      <w:r w:rsidRPr="00A447D7">
        <w:rPr>
          <w:b/>
          <w:sz w:val="22"/>
          <w:lang w:val="sk-SK"/>
        </w:rPr>
        <w:tab/>
        <w:t>Ovplyvnenie schopnosti viesť vozidlá a obsluhovať stroje</w:t>
      </w:r>
    </w:p>
    <w:p w14:paraId="7F574CD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532B2952" w14:textId="755FDBDE" w:rsidR="008B7661" w:rsidRPr="00A447D7" w:rsidRDefault="008B7661" w:rsidP="008B7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" w:hAnsi="TimesNewRoman" w:cs="TimesNewRoman"/>
          <w:sz w:val="20"/>
          <w:lang w:eastAsia="en-GB"/>
        </w:rPr>
      </w:pPr>
      <w:r w:rsidRPr="00D065FB">
        <w:rPr>
          <w:szCs w:val="22"/>
          <w:lang w:eastAsia="en-GB"/>
        </w:rPr>
        <w:t xml:space="preserve">Levodopa/Carbidopa/Entacapone </w:t>
      </w:r>
      <w:r w:rsidR="008F0B03">
        <w:rPr>
          <w:szCs w:val="22"/>
          <w:lang w:eastAsia="en-GB"/>
        </w:rPr>
        <w:t>Stada</w:t>
      </w:r>
      <w:r w:rsidRPr="00D065FB">
        <w:rPr>
          <w:szCs w:val="22"/>
          <w:lang w:eastAsia="en-GB"/>
        </w:rPr>
        <w:t xml:space="preserve"> môže mať veľký vplyv na schopnosť viesť vozidlá a obsluhovať stroje.</w:t>
      </w:r>
      <w:r w:rsidRPr="00A447D7">
        <w:rPr>
          <w:rFonts w:ascii="TimesNewRoman" w:hAnsi="TimesNewRoman" w:cs="TimesNewRoman"/>
          <w:szCs w:val="22"/>
          <w:lang w:eastAsia="en-GB"/>
        </w:rPr>
        <w:t xml:space="preserve"> </w:t>
      </w:r>
      <w:r w:rsidRPr="00A447D7">
        <w:t>Levodopa, karbidopa a entakap</w:t>
      </w:r>
      <w:r w:rsidR="007F636B">
        <w:t>ó</w:t>
      </w:r>
      <w:r w:rsidRPr="00A447D7">
        <w:t>n spoločne môžu spôsobovať závrat a symptomatické poruchy rovnováhy. Preto sa pri riadení vozidla a obsluhe strojov musí dbať na opatrnosť.</w:t>
      </w:r>
    </w:p>
    <w:p w14:paraId="39DD139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7144874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Pacienti liečení </w:t>
      </w:r>
      <w:r w:rsidR="00A04575" w:rsidRPr="00A447D7">
        <w:rPr>
          <w:sz w:val="22"/>
          <w:lang w:val="sk-SK"/>
        </w:rPr>
        <w:t>l</w:t>
      </w:r>
      <w:r w:rsidR="00A04575">
        <w:rPr>
          <w:sz w:val="22"/>
          <w:lang w:val="sk-SK"/>
        </w:rPr>
        <w:t>ie</w:t>
      </w:r>
      <w:r w:rsidR="00A04575" w:rsidRPr="00A447D7">
        <w:rPr>
          <w:sz w:val="22"/>
          <w:lang w:val="sk-SK"/>
        </w:rPr>
        <w:t xml:space="preserve">kom </w:t>
      </w: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>, u ktorých sa objavia ospalosť a/alebo epizódy náhleho upadnutia do spánku, musia byť poučení, aby sa zdržiavali vedenia vozidiel alebo vykonávania aktivít, pri ktorých by znížená bdelosť mohla ich alebo iné osoby vystaviť nebezpeč</w:t>
      </w:r>
      <w:r w:rsidR="00B420BC">
        <w:rPr>
          <w:sz w:val="22"/>
          <w:lang w:val="sk-SK"/>
        </w:rPr>
        <w:t>enstvu</w:t>
      </w:r>
      <w:r w:rsidRPr="00A447D7">
        <w:rPr>
          <w:sz w:val="22"/>
          <w:lang w:val="sk-SK"/>
        </w:rPr>
        <w:t xml:space="preserve"> vážnych úrazov alebo smrti (napr. obsluha strojov), kým tieto opakujúce sa epizódy pominú (pozri časť 4.4).</w:t>
      </w:r>
    </w:p>
    <w:p w14:paraId="6D06945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3074EC6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4.8</w:t>
      </w:r>
      <w:r w:rsidRPr="00A447D7">
        <w:rPr>
          <w:b/>
          <w:sz w:val="22"/>
          <w:lang w:val="sk-SK"/>
        </w:rPr>
        <w:tab/>
        <w:t>Nežiaduce účinky</w:t>
      </w:r>
    </w:p>
    <w:p w14:paraId="109ED4F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</w:p>
    <w:p w14:paraId="385CA028" w14:textId="77777777" w:rsidR="008B7661" w:rsidRPr="00A447D7" w:rsidRDefault="008B7661" w:rsidP="008B766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A447D7">
        <w:rPr>
          <w:b/>
        </w:rPr>
        <w:t>Súhrn bezpečnostného profilu</w:t>
      </w:r>
    </w:p>
    <w:p w14:paraId="5479009D" w14:textId="77777777" w:rsidR="008B7661" w:rsidRPr="00A447D7" w:rsidRDefault="008B7661" w:rsidP="008B7661">
      <w:pPr>
        <w:jc w:val="both"/>
      </w:pPr>
    </w:p>
    <w:p w14:paraId="411957F5" w14:textId="55C45055" w:rsidR="008B7661" w:rsidRPr="00A447D7" w:rsidRDefault="008B7661" w:rsidP="008B7661">
      <w:r w:rsidRPr="00A447D7">
        <w:t>Najčastejšie hlásenými nežiaducimi reakciami s levodopou/karbidopou/entakap</w:t>
      </w:r>
      <w:r w:rsidR="007F636B">
        <w:t>ó</w:t>
      </w:r>
      <w:r w:rsidRPr="00A447D7">
        <w:t>nom sú dyskinézy, ktoré sa vyskytujú u približne 19% pacientov; gastrointestinálne príznaky vrátane nauzey vyskytujúce sa u približne 15% pacientov a hnačky vyskytujúce sa u približne 12% pacientov; bolesť svalov, muskuloskeletálneho a spojivového tkaniva vyskytujúca sa u približne 12% pacientov; a neškodné červeno-hnedé zafarbenie moču  (chromatúria) vyskytujúce sa u približne 10% pacientov. Závažné udalosti gastrointestinálneho krvácania (menej časté) a angioedém (zriedkavé) boli identifikované v klinických štúdiách s levodopou/karbidopou/entakap</w:t>
      </w:r>
      <w:r w:rsidR="007F636B">
        <w:t>ó</w:t>
      </w:r>
      <w:r w:rsidRPr="00A447D7">
        <w:t>nom alebo entkaponom v kombinácii s levodopou/</w:t>
      </w:r>
      <w:r w:rsidR="00A04575" w:rsidRPr="00A447D7">
        <w:t>DD</w:t>
      </w:r>
      <w:r w:rsidR="00A04575">
        <w:t>K</w:t>
      </w:r>
      <w:r w:rsidR="00A04575" w:rsidRPr="00A447D7">
        <w:t xml:space="preserve"> </w:t>
      </w:r>
      <w:r w:rsidRPr="00A447D7">
        <w:t>inhibítorom. Pri použití levodopy/karbidopy/entakap</w:t>
      </w:r>
      <w:r w:rsidR="007F636B">
        <w:t>ó</w:t>
      </w:r>
      <w:r w:rsidRPr="00A447D7">
        <w:t xml:space="preserve">nu sa môže objaviť závažná hepatitída s prevažne cholestatickým charakterom, rabdomyolýza a neuroleptický malígny syndróm, hoci z údajov klinických štúdií neboli identifikované žiadne prípady. </w:t>
      </w:r>
    </w:p>
    <w:p w14:paraId="0450327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</w:p>
    <w:p w14:paraId="13ABC3C3" w14:textId="77777777" w:rsidR="008B7661" w:rsidRPr="00A447D7" w:rsidRDefault="008B7661" w:rsidP="008B7661">
      <w:pPr>
        <w:numPr>
          <w:ilvl w:val="0"/>
          <w:numId w:val="35"/>
        </w:numPr>
        <w:spacing w:line="240" w:lineRule="auto"/>
        <w:ind w:left="567" w:hanging="567"/>
        <w:rPr>
          <w:b/>
        </w:rPr>
      </w:pPr>
      <w:r w:rsidRPr="00A447D7">
        <w:rPr>
          <w:b/>
        </w:rPr>
        <w:t>Tabuľka nežiaducich reakcií</w:t>
      </w:r>
    </w:p>
    <w:p w14:paraId="3F81D7D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</w:p>
    <w:p w14:paraId="734268A9" w14:textId="01DC64F1" w:rsidR="008B7661" w:rsidRPr="00A447D7" w:rsidRDefault="008B7661" w:rsidP="008B7661">
      <w:pPr>
        <w:tabs>
          <w:tab w:val="left" w:pos="2530"/>
        </w:tabs>
      </w:pPr>
      <w:r w:rsidRPr="00A447D7">
        <w:t>Nasledovné nežiaduce reakcie uvedené v tabuľke 1 boli zhromaždené zo spoločných údajov z jedenástich dvojito zaslepených klinických skúšaní zahŕňajúcich 3230 pacientov (1810 liečených s levodopou/karbidopou/entakap</w:t>
      </w:r>
      <w:r w:rsidR="007F636B">
        <w:t>ó</w:t>
      </w:r>
      <w:r w:rsidRPr="00A447D7">
        <w:t>nom alebo entakap</w:t>
      </w:r>
      <w:r w:rsidR="007F636B">
        <w:t>ó</w:t>
      </w:r>
      <w:r w:rsidRPr="00A447D7">
        <w:t>nom v kombinácii s levodopou/</w:t>
      </w:r>
      <w:r w:rsidR="00791703" w:rsidRPr="00A447D7">
        <w:t>DD</w:t>
      </w:r>
      <w:r w:rsidR="00791703">
        <w:t>K</w:t>
      </w:r>
      <w:r w:rsidR="00791703" w:rsidRPr="00A447D7">
        <w:t xml:space="preserve"> </w:t>
      </w:r>
      <w:r w:rsidRPr="00A447D7">
        <w:t>inhibítorom, a 1420 liečených placebom v kombinácii s levodopou</w:t>
      </w:r>
      <w:r w:rsidRPr="00A447D7">
        <w:rPr>
          <w:szCs w:val="24"/>
        </w:rPr>
        <w:t>/</w:t>
      </w:r>
      <w:r w:rsidR="00791703" w:rsidRPr="00A447D7">
        <w:rPr>
          <w:szCs w:val="24"/>
        </w:rPr>
        <w:t>DD</w:t>
      </w:r>
      <w:r w:rsidR="00791703">
        <w:rPr>
          <w:szCs w:val="24"/>
        </w:rPr>
        <w:t>K</w:t>
      </w:r>
      <w:r w:rsidR="00791703" w:rsidRPr="00A447D7">
        <w:t xml:space="preserve"> </w:t>
      </w:r>
      <w:r w:rsidRPr="00A447D7">
        <w:t>inhibí</w:t>
      </w:r>
      <w:r w:rsidRPr="00A447D7">
        <w:rPr>
          <w:szCs w:val="24"/>
        </w:rPr>
        <w:t>tor</w:t>
      </w:r>
      <w:r w:rsidRPr="00A447D7">
        <w:t>om alebo k</w:t>
      </w:r>
      <w:r w:rsidRPr="00A447D7">
        <w:rPr>
          <w:szCs w:val="24"/>
        </w:rPr>
        <w:t>abergol</w:t>
      </w:r>
      <w:r w:rsidRPr="00A447D7">
        <w:t>í</w:t>
      </w:r>
      <w:r w:rsidRPr="00A447D7">
        <w:rPr>
          <w:szCs w:val="24"/>
        </w:rPr>
        <w:t>n</w:t>
      </w:r>
      <w:r w:rsidRPr="00A447D7">
        <w:t>om</w:t>
      </w:r>
      <w:r w:rsidRPr="00A447D7">
        <w:rPr>
          <w:szCs w:val="24"/>
        </w:rPr>
        <w:t xml:space="preserve"> </w:t>
      </w:r>
      <w:r w:rsidRPr="00A447D7">
        <w:t>v kombinácii s levodopou</w:t>
      </w:r>
      <w:r w:rsidRPr="00A447D7">
        <w:rPr>
          <w:szCs w:val="24"/>
        </w:rPr>
        <w:t xml:space="preserve">/ </w:t>
      </w:r>
      <w:r w:rsidR="00791703" w:rsidRPr="00A447D7">
        <w:rPr>
          <w:szCs w:val="24"/>
        </w:rPr>
        <w:t>DD</w:t>
      </w:r>
      <w:r w:rsidR="00791703">
        <w:rPr>
          <w:szCs w:val="24"/>
        </w:rPr>
        <w:t>K</w:t>
      </w:r>
      <w:r w:rsidR="00791703" w:rsidRPr="00A447D7">
        <w:t xml:space="preserve"> </w:t>
      </w:r>
      <w:r w:rsidRPr="00A447D7">
        <w:t>inhibí</w:t>
      </w:r>
      <w:r w:rsidRPr="00A447D7">
        <w:rPr>
          <w:szCs w:val="24"/>
        </w:rPr>
        <w:t>tor</w:t>
      </w:r>
      <w:r w:rsidRPr="00A447D7">
        <w:t>om), a z postmarketingových údajov od uvedenia entakap</w:t>
      </w:r>
      <w:r w:rsidR="007F636B">
        <w:t>ó</w:t>
      </w:r>
      <w:r w:rsidRPr="00A447D7">
        <w:t>nu na trh pre kombinované použitie entkaponu s levodopou/</w:t>
      </w:r>
      <w:r w:rsidR="00791703" w:rsidRPr="00A447D7">
        <w:t>DD</w:t>
      </w:r>
      <w:r w:rsidR="00791703">
        <w:t>K</w:t>
      </w:r>
      <w:r w:rsidR="00791703" w:rsidRPr="00A447D7">
        <w:t xml:space="preserve"> </w:t>
      </w:r>
      <w:r w:rsidRPr="00A447D7">
        <w:t xml:space="preserve">inhibítorom. </w:t>
      </w:r>
    </w:p>
    <w:p w14:paraId="55B60A8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sz w:val="22"/>
          <w:lang w:val="sk-SK"/>
        </w:rPr>
      </w:pPr>
    </w:p>
    <w:p w14:paraId="43BE2BD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b/>
          <w:sz w:val="22"/>
          <w:lang w:val="sk-SK"/>
        </w:rPr>
      </w:pPr>
      <w:r w:rsidRPr="00A447D7">
        <w:rPr>
          <w:sz w:val="22"/>
          <w:szCs w:val="22"/>
          <w:lang w:val="sk-SK"/>
        </w:rPr>
        <w:t>Nežiaduce reakcie sú zoradené z hľadiska frekvencie, najčastejšie najskôr s použitím nasledovnej konvencie: Veľmi časté (</w:t>
      </w:r>
      <w:r w:rsidRPr="00A447D7">
        <w:rPr>
          <w:b/>
          <w:lang w:val="sk-SK"/>
        </w:rPr>
        <w:t>≥</w:t>
      </w:r>
      <w:r w:rsidRPr="00A447D7">
        <w:rPr>
          <w:sz w:val="22"/>
          <w:szCs w:val="22"/>
          <w:lang w:val="sk-SK"/>
        </w:rPr>
        <w:t>1/10); časté (≥1</w:t>
      </w:r>
      <w:r w:rsidRPr="00A447D7">
        <w:rPr>
          <w:b/>
          <w:lang w:val="sk-SK"/>
        </w:rPr>
        <w:t>/</w:t>
      </w:r>
      <w:r w:rsidRPr="00A447D7">
        <w:rPr>
          <w:sz w:val="22"/>
          <w:szCs w:val="22"/>
          <w:lang w:val="sk-SK"/>
        </w:rPr>
        <w:t>100 až &lt;1/10); menej časté (</w:t>
      </w:r>
      <w:r w:rsidRPr="00A447D7">
        <w:rPr>
          <w:b/>
          <w:lang w:val="sk-SK"/>
        </w:rPr>
        <w:t>≥</w:t>
      </w:r>
      <w:r w:rsidRPr="00A447D7">
        <w:rPr>
          <w:sz w:val="22"/>
          <w:szCs w:val="22"/>
          <w:lang w:val="sk-SK"/>
        </w:rPr>
        <w:t>1/1 000 až &lt;1/100); zriedkavé (</w:t>
      </w:r>
      <w:r w:rsidRPr="00A447D7">
        <w:rPr>
          <w:b/>
          <w:lang w:val="sk-SK"/>
        </w:rPr>
        <w:t>≥</w:t>
      </w:r>
      <w:r w:rsidRPr="00A447D7">
        <w:rPr>
          <w:sz w:val="22"/>
          <w:szCs w:val="22"/>
          <w:lang w:val="sk-SK"/>
        </w:rPr>
        <w:t xml:space="preserve">1/10 000 až &lt;1/1 000), veľmi zriedkavé (&lt;1/10 000), </w:t>
      </w:r>
      <w:r w:rsidRPr="00A447D7">
        <w:rPr>
          <w:color w:val="000000"/>
          <w:sz w:val="22"/>
          <w:szCs w:val="22"/>
          <w:lang w:val="sk-SK"/>
        </w:rPr>
        <w:t>neznáme (z dostupných údajov nemožno odhadnúť, keďže z klinických alebo epidemiologických štúdií nemožno vyvodiť nijaký odhad).</w:t>
      </w:r>
    </w:p>
    <w:p w14:paraId="71A3BDCD" w14:textId="77777777" w:rsidR="008B7661" w:rsidRPr="00A447D7" w:rsidRDefault="008B7661" w:rsidP="008B7661">
      <w:pPr>
        <w:spacing w:line="240" w:lineRule="auto"/>
        <w:jc w:val="both"/>
      </w:pPr>
    </w:p>
    <w:p w14:paraId="31B54940" w14:textId="77777777" w:rsidR="008B7661" w:rsidRPr="00A447D7" w:rsidRDefault="008B7661" w:rsidP="008B7661">
      <w:pPr>
        <w:widowControl w:val="0"/>
        <w:jc w:val="both"/>
      </w:pPr>
      <w:r w:rsidRPr="00A447D7">
        <w:rPr>
          <w:b/>
        </w:rPr>
        <w:t>Tabuľka 1.</w:t>
      </w:r>
      <w:r w:rsidRPr="00A447D7">
        <w:t xml:space="preserve"> Nežiaduce účinky</w:t>
      </w:r>
    </w:p>
    <w:p w14:paraId="12C7E5C2" w14:textId="77777777" w:rsidR="008B7661" w:rsidRPr="00A447D7" w:rsidRDefault="008B7661" w:rsidP="008B7661">
      <w:pPr>
        <w:widowControl w:val="0"/>
        <w:jc w:val="both"/>
      </w:pPr>
    </w:p>
    <w:p w14:paraId="19C5FE39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 xml:space="preserve">Poruchy krvi a lymfatického systému </w:t>
      </w:r>
    </w:p>
    <w:p w14:paraId="5BB693C4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Anémia</w:t>
      </w:r>
    </w:p>
    <w:p w14:paraId="064FB5DA" w14:textId="77777777" w:rsidR="008B7661" w:rsidRPr="00A447D7" w:rsidRDefault="008B7661" w:rsidP="008B7661">
      <w:pPr>
        <w:widowControl w:val="0"/>
        <w:jc w:val="both"/>
      </w:pPr>
      <w:r w:rsidRPr="00A447D7">
        <w:t xml:space="preserve">Menej časté: </w:t>
      </w:r>
      <w:r w:rsidRPr="00A447D7">
        <w:tab/>
      </w:r>
      <w:r w:rsidRPr="00A447D7">
        <w:tab/>
        <w:t>Trombocytopénia</w:t>
      </w:r>
    </w:p>
    <w:p w14:paraId="3B001209" w14:textId="77777777" w:rsidR="008B7661" w:rsidRPr="00A447D7" w:rsidRDefault="008B7661" w:rsidP="008B7661">
      <w:pPr>
        <w:widowControl w:val="0"/>
        <w:jc w:val="both"/>
      </w:pPr>
    </w:p>
    <w:p w14:paraId="0CC0B2B2" w14:textId="77777777" w:rsidR="008B7661" w:rsidRPr="00A447D7" w:rsidRDefault="008B7661" w:rsidP="008B7661">
      <w:pPr>
        <w:widowControl w:val="0"/>
        <w:jc w:val="both"/>
        <w:rPr>
          <w:i/>
        </w:rPr>
      </w:pPr>
      <w:r w:rsidRPr="00A447D7">
        <w:rPr>
          <w:b/>
          <w:bCs/>
          <w:i/>
        </w:rPr>
        <w:t xml:space="preserve">Poruchy metabolizmu a výživy </w:t>
      </w:r>
    </w:p>
    <w:p w14:paraId="57941ED2" w14:textId="77777777" w:rsidR="008B7661" w:rsidRPr="00A447D7" w:rsidRDefault="008B7661" w:rsidP="008B7661">
      <w:pPr>
        <w:widowControl w:val="0"/>
        <w:jc w:val="both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 xml:space="preserve">Znížená telesná </w:t>
      </w:r>
      <w:r w:rsidR="00B420BC" w:rsidRPr="00A447D7">
        <w:t>hmotnosť</w:t>
      </w:r>
      <w:r w:rsidRPr="00A447D7">
        <w:t>*, znížená chuť do jedla*</w:t>
      </w:r>
    </w:p>
    <w:p w14:paraId="686F350E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</w:p>
    <w:p w14:paraId="0D5340F7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 xml:space="preserve">Psychické poruchy </w:t>
      </w:r>
    </w:p>
    <w:p w14:paraId="4DF00644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Depresia, halucinácie, zmätenosť*, a</w:t>
      </w:r>
      <w:r w:rsidR="00791703">
        <w:t>b</w:t>
      </w:r>
      <w:r w:rsidRPr="00A447D7">
        <w:t>no</w:t>
      </w:r>
      <w:r w:rsidR="00791703">
        <w:t>r</w:t>
      </w:r>
      <w:r w:rsidRPr="00A447D7">
        <w:t>málne sny*, úzkosť, nespavosť</w:t>
      </w:r>
    </w:p>
    <w:p w14:paraId="0C2D43EF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Menej časté:</w:t>
      </w:r>
      <w:r w:rsidRPr="00A447D7">
        <w:tab/>
      </w:r>
      <w:r w:rsidRPr="00A447D7">
        <w:tab/>
      </w:r>
      <w:r w:rsidRPr="00A447D7">
        <w:tab/>
        <w:t>Psychóza, agitovanosť*</w:t>
      </w:r>
    </w:p>
    <w:p w14:paraId="3F93EA83" w14:textId="77777777" w:rsidR="00140FAD" w:rsidRPr="0054611E" w:rsidRDefault="008B7661" w:rsidP="00140FAD">
      <w:pPr>
        <w:rPr>
          <w:bCs/>
        </w:rPr>
      </w:pPr>
      <w:r w:rsidRPr="00A447D7">
        <w:lastRenderedPageBreak/>
        <w:t xml:space="preserve">Neznáme: </w:t>
      </w:r>
      <w:r w:rsidRPr="00A447D7">
        <w:tab/>
      </w:r>
      <w:r w:rsidRPr="00A447D7">
        <w:tab/>
      </w:r>
      <w:r w:rsidRPr="00A447D7">
        <w:tab/>
        <w:t>Samovražedné správanie</w:t>
      </w:r>
      <w:r w:rsidR="00140FAD">
        <w:t xml:space="preserve">, </w:t>
      </w:r>
      <w:r w:rsidR="00140FAD" w:rsidRPr="0054611E">
        <w:rPr>
          <w:bCs/>
        </w:rPr>
        <w:t>syndróm dopamínovej dysregulácie</w:t>
      </w:r>
    </w:p>
    <w:p w14:paraId="28987065" w14:textId="77777777" w:rsidR="008B7661" w:rsidRPr="00A447D7" w:rsidRDefault="008B7661" w:rsidP="00BA12A1">
      <w:pPr>
        <w:spacing w:line="240" w:lineRule="auto"/>
      </w:pPr>
    </w:p>
    <w:p w14:paraId="7B1C8D22" w14:textId="77777777" w:rsidR="008B7661" w:rsidRPr="00A447D7" w:rsidRDefault="008B7661" w:rsidP="008B7661">
      <w:pPr>
        <w:spacing w:line="240" w:lineRule="auto"/>
        <w:ind w:left="1440" w:hanging="1440"/>
        <w:jc w:val="both"/>
      </w:pPr>
    </w:p>
    <w:p w14:paraId="115F4545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>Poruchy nervového systému</w:t>
      </w:r>
    </w:p>
    <w:p w14:paraId="0EF11B8C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Veľmi časté:</w:t>
      </w:r>
      <w:r w:rsidRPr="00A447D7">
        <w:tab/>
      </w:r>
      <w:r w:rsidRPr="00A447D7">
        <w:tab/>
      </w:r>
      <w:r w:rsidRPr="00A447D7">
        <w:tab/>
        <w:t>Dyskinéza*</w:t>
      </w:r>
    </w:p>
    <w:p w14:paraId="52BA752B" w14:textId="77777777" w:rsidR="008B7661" w:rsidRPr="00A447D7" w:rsidRDefault="008B7661" w:rsidP="008B7661">
      <w:pPr>
        <w:spacing w:line="240" w:lineRule="auto"/>
        <w:ind w:left="2268" w:hanging="2268"/>
      </w:pPr>
      <w:r w:rsidRPr="00A447D7">
        <w:t xml:space="preserve">Časté: </w:t>
      </w:r>
      <w:r w:rsidRPr="00A447D7">
        <w:tab/>
        <w:t>Zhoršenie parkinsonizmu (napr. bradykinéza)*, tremor, fenomenón “on and off“, dystónia, mentálne poruchy (napr. porucha pamäte, demencia), somnolencia, závrate*, bolesť hlavy</w:t>
      </w:r>
    </w:p>
    <w:p w14:paraId="562DCC02" w14:textId="77777777" w:rsidR="008B7661" w:rsidRPr="00A447D7" w:rsidRDefault="008B7661" w:rsidP="008B7661">
      <w:pPr>
        <w:spacing w:line="240" w:lineRule="auto"/>
        <w:ind w:left="2268" w:hanging="2268"/>
        <w:rPr>
          <w:b/>
        </w:rPr>
      </w:pPr>
      <w:r w:rsidRPr="00A447D7">
        <w:t>Neznáme:</w:t>
      </w:r>
      <w:r w:rsidRPr="00A447D7">
        <w:tab/>
        <w:t>Neuroleptický malígny syndróm*</w:t>
      </w:r>
    </w:p>
    <w:p w14:paraId="35F85D51" w14:textId="77777777" w:rsidR="008B7661" w:rsidRPr="00A447D7" w:rsidRDefault="008B7661" w:rsidP="008B7661">
      <w:pPr>
        <w:widowControl w:val="0"/>
        <w:jc w:val="both"/>
      </w:pPr>
    </w:p>
    <w:p w14:paraId="1420B82E" w14:textId="77777777" w:rsidR="008B7661" w:rsidRPr="00A447D7" w:rsidRDefault="008B7661" w:rsidP="008B7661">
      <w:pPr>
        <w:widowControl w:val="0"/>
        <w:jc w:val="both"/>
        <w:rPr>
          <w:b/>
          <w:bCs/>
          <w:i/>
        </w:rPr>
      </w:pPr>
      <w:r w:rsidRPr="00A447D7">
        <w:rPr>
          <w:b/>
          <w:bCs/>
          <w:i/>
        </w:rPr>
        <w:t xml:space="preserve">Poruchy oka </w:t>
      </w:r>
    </w:p>
    <w:p w14:paraId="464688B0" w14:textId="77777777" w:rsidR="008B7661" w:rsidRPr="00A447D7" w:rsidRDefault="008B7661" w:rsidP="008B7661">
      <w:pPr>
        <w:widowControl w:val="0"/>
        <w:jc w:val="both"/>
      </w:pPr>
      <w:r w:rsidRPr="00A447D7">
        <w:t xml:space="preserve">Časté: </w:t>
      </w:r>
      <w:r w:rsidRPr="00A447D7">
        <w:tab/>
      </w:r>
      <w:r w:rsidRPr="00A447D7">
        <w:tab/>
      </w:r>
      <w:r w:rsidRPr="00A447D7">
        <w:tab/>
        <w:t>rozmazané videnie</w:t>
      </w:r>
    </w:p>
    <w:p w14:paraId="1AF6A8D3" w14:textId="77777777" w:rsidR="008B7661" w:rsidRPr="00A447D7" w:rsidRDefault="008B7661" w:rsidP="008B7661">
      <w:pPr>
        <w:widowControl w:val="0"/>
        <w:jc w:val="both"/>
      </w:pPr>
    </w:p>
    <w:p w14:paraId="03B754D0" w14:textId="77777777" w:rsidR="008B7661" w:rsidRPr="00A447D7" w:rsidRDefault="008B7661" w:rsidP="008B7661">
      <w:pPr>
        <w:rPr>
          <w:b/>
          <w:i/>
        </w:rPr>
      </w:pPr>
      <w:r w:rsidRPr="00A447D7">
        <w:rPr>
          <w:b/>
          <w:i/>
        </w:rPr>
        <w:t xml:space="preserve">Poruchy srdca a srdcovej činnosti </w:t>
      </w:r>
    </w:p>
    <w:p w14:paraId="2B3D5ED8" w14:textId="77777777" w:rsidR="008B7661" w:rsidRPr="00A447D7" w:rsidRDefault="008B7661" w:rsidP="008B7661">
      <w:pPr>
        <w:ind w:left="2268" w:hanging="2268"/>
        <w:rPr>
          <w:lang w:eastAsia="fi-FI" w:bidi="ne-NP"/>
        </w:rPr>
      </w:pPr>
      <w:r w:rsidRPr="00A447D7">
        <w:rPr>
          <w:lang w:eastAsia="fi-FI" w:bidi="ne-NP"/>
        </w:rPr>
        <w:t xml:space="preserve">Časté: </w:t>
      </w:r>
      <w:r w:rsidRPr="00A447D7">
        <w:rPr>
          <w:lang w:eastAsia="fi-FI" w:bidi="ne-NP"/>
        </w:rPr>
        <w:tab/>
        <w:t>Príhody ischemiskej choroby srdca okrem infarkt</w:t>
      </w:r>
      <w:r w:rsidR="00791703">
        <w:rPr>
          <w:lang w:eastAsia="fi-FI" w:bidi="ne-NP"/>
        </w:rPr>
        <w:t>u</w:t>
      </w:r>
      <w:r w:rsidRPr="00A447D7">
        <w:rPr>
          <w:lang w:eastAsia="fi-FI" w:bidi="ne-NP"/>
        </w:rPr>
        <w:t xml:space="preserve"> myokardu (napr. angina pectoris)</w:t>
      </w:r>
      <w:r w:rsidRPr="00A447D7">
        <w:t>**, nepravidelný rytmus srdca</w:t>
      </w:r>
      <w:r w:rsidRPr="00A447D7">
        <w:rPr>
          <w:lang w:eastAsia="fi-FI" w:bidi="ne-NP"/>
        </w:rPr>
        <w:t xml:space="preserve"> </w:t>
      </w:r>
    </w:p>
    <w:p w14:paraId="6C6C4F8B" w14:textId="77777777" w:rsidR="008B7661" w:rsidRPr="00A447D7" w:rsidRDefault="00B420BC" w:rsidP="00F26802">
      <w:pPr>
        <w:tabs>
          <w:tab w:val="clear" w:pos="567"/>
        </w:tabs>
        <w:ind w:left="2127" w:hanging="2127"/>
      </w:pPr>
      <w:r>
        <w:t>Menej časté:</w:t>
      </w:r>
      <w:r>
        <w:tab/>
      </w:r>
      <w:r>
        <w:tab/>
      </w:r>
      <w:r w:rsidR="008B7661" w:rsidRPr="00A447D7">
        <w:t>Infarkt my</w:t>
      </w:r>
      <w:r w:rsidR="004C10B1">
        <w:t>o</w:t>
      </w:r>
      <w:r w:rsidR="008B7661" w:rsidRPr="00A447D7">
        <w:t>kardu**</w:t>
      </w:r>
    </w:p>
    <w:p w14:paraId="123487DA" w14:textId="77777777" w:rsidR="008B7661" w:rsidRPr="00A447D7" w:rsidRDefault="008B7661" w:rsidP="008B7661"/>
    <w:p w14:paraId="044C6F85" w14:textId="77777777" w:rsidR="008B7661" w:rsidRPr="00A447D7" w:rsidRDefault="008B7661" w:rsidP="008B7661">
      <w:pPr>
        <w:rPr>
          <w:b/>
          <w:bCs/>
          <w:i/>
        </w:rPr>
      </w:pPr>
      <w:r w:rsidRPr="00A447D7">
        <w:rPr>
          <w:b/>
          <w:bCs/>
          <w:i/>
        </w:rPr>
        <w:t xml:space="preserve">Poruchy ciev </w:t>
      </w:r>
    </w:p>
    <w:p w14:paraId="035EF313" w14:textId="77777777" w:rsidR="008B7661" w:rsidRPr="00A447D7" w:rsidRDefault="008B7661" w:rsidP="008B7661"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Ortostatická hypotenzia, hypertenzia</w:t>
      </w:r>
    </w:p>
    <w:p w14:paraId="6C9FC464" w14:textId="77777777" w:rsidR="008B7661" w:rsidRPr="00A447D7" w:rsidRDefault="00B420BC" w:rsidP="00F26802">
      <w:pPr>
        <w:ind w:left="2127" w:hanging="2127"/>
      </w:pPr>
      <w:r>
        <w:t>Menej časté:</w:t>
      </w:r>
      <w:r>
        <w:tab/>
      </w:r>
      <w:r>
        <w:tab/>
      </w:r>
      <w:r w:rsidR="008B7661" w:rsidRPr="00A447D7">
        <w:t>Gatrointestinálne krvácanie</w:t>
      </w:r>
    </w:p>
    <w:p w14:paraId="483E1BC6" w14:textId="77777777" w:rsidR="008B7661" w:rsidRPr="00A447D7" w:rsidRDefault="008B7661" w:rsidP="008B7661"/>
    <w:p w14:paraId="11BC670E" w14:textId="77777777" w:rsidR="008B7661" w:rsidRPr="00A447D7" w:rsidRDefault="008B7661" w:rsidP="008B7661">
      <w:pPr>
        <w:rPr>
          <w:i/>
        </w:rPr>
      </w:pPr>
      <w:r w:rsidRPr="00A447D7">
        <w:rPr>
          <w:b/>
          <w:bCs/>
          <w:i/>
        </w:rPr>
        <w:t xml:space="preserve">Poruchy dýchacej sústavy, hrudníka a mediastína </w:t>
      </w:r>
    </w:p>
    <w:p w14:paraId="03CA3BB0" w14:textId="77777777" w:rsidR="008B7661" w:rsidRPr="00A447D7" w:rsidRDefault="008B7661" w:rsidP="008B7661">
      <w:pPr>
        <w:spacing w:line="240" w:lineRule="auto"/>
        <w:jc w:val="both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Dyspnoe</w:t>
      </w:r>
    </w:p>
    <w:p w14:paraId="006079E0" w14:textId="77777777" w:rsidR="008B7661" w:rsidRPr="00A447D7" w:rsidRDefault="008B7661" w:rsidP="008B7661">
      <w:pPr>
        <w:spacing w:line="240" w:lineRule="auto"/>
        <w:jc w:val="both"/>
      </w:pPr>
    </w:p>
    <w:p w14:paraId="10303CED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 xml:space="preserve">Poruchy gastrointestinálneho traktu </w:t>
      </w:r>
    </w:p>
    <w:p w14:paraId="259E0C91" w14:textId="77777777" w:rsidR="008B7661" w:rsidRPr="00A447D7" w:rsidRDefault="008B7661" w:rsidP="008B7661">
      <w:pPr>
        <w:pStyle w:val="Textvysvtlivek"/>
        <w:ind w:left="1440" w:hanging="1440"/>
      </w:pPr>
      <w:r w:rsidRPr="00A447D7">
        <w:t>Veľmi časté:</w:t>
      </w:r>
      <w:r w:rsidRPr="00A447D7">
        <w:tab/>
      </w:r>
      <w:r w:rsidRPr="00A447D7">
        <w:tab/>
      </w:r>
      <w:r w:rsidRPr="00A447D7">
        <w:tab/>
        <w:t>Hnačka*, nauzea*</w:t>
      </w:r>
    </w:p>
    <w:p w14:paraId="3B54EEEC" w14:textId="77777777" w:rsidR="008B7661" w:rsidRPr="00A447D7" w:rsidRDefault="008B7661" w:rsidP="008B7661">
      <w:pPr>
        <w:spacing w:line="240" w:lineRule="auto"/>
        <w:ind w:left="2268" w:hanging="2268"/>
      </w:pPr>
      <w:r w:rsidRPr="00A447D7">
        <w:t>Časté:</w:t>
      </w:r>
      <w:r w:rsidRPr="00A447D7">
        <w:tab/>
      </w:r>
      <w:r w:rsidRPr="00A447D7">
        <w:tab/>
        <w:t xml:space="preserve">Zápcha*, vracanie*, dyspepsia, bolesť brucha a nevoľnosť*, sucho v ústach* </w:t>
      </w:r>
    </w:p>
    <w:p w14:paraId="445EB464" w14:textId="77777777" w:rsidR="008B7661" w:rsidRPr="00A447D7" w:rsidRDefault="008B7661" w:rsidP="008B7661">
      <w:pPr>
        <w:spacing w:line="240" w:lineRule="auto"/>
        <w:ind w:left="1440" w:hanging="1440"/>
        <w:jc w:val="both"/>
      </w:pPr>
      <w:r w:rsidRPr="00A447D7">
        <w:t>Menej časté:</w:t>
      </w:r>
      <w:r w:rsidRPr="00A447D7">
        <w:tab/>
      </w:r>
      <w:r w:rsidRPr="00A447D7">
        <w:tab/>
      </w:r>
      <w:r w:rsidRPr="00A447D7">
        <w:tab/>
        <w:t>Kolitída*, dysfágia</w:t>
      </w:r>
    </w:p>
    <w:p w14:paraId="003B464F" w14:textId="77777777" w:rsidR="008B7661" w:rsidRPr="00A447D7" w:rsidRDefault="008B7661" w:rsidP="008B7661">
      <w:pPr>
        <w:spacing w:line="240" w:lineRule="auto"/>
        <w:ind w:left="1440" w:hanging="1440"/>
        <w:jc w:val="both"/>
      </w:pPr>
    </w:p>
    <w:p w14:paraId="7D050057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>Poruchy pečene a žlčových ciest</w:t>
      </w:r>
    </w:p>
    <w:p w14:paraId="43EAF9ED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Menej časté:</w:t>
      </w:r>
      <w:r w:rsidRPr="00A447D7">
        <w:tab/>
      </w:r>
      <w:r w:rsidRPr="00A447D7">
        <w:tab/>
      </w:r>
      <w:r w:rsidRPr="00A447D7">
        <w:tab/>
        <w:t>Abnormálne hodnoty pečeňových funkčných testov*</w:t>
      </w:r>
    </w:p>
    <w:p w14:paraId="2882C5C0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Neznáme:</w:t>
      </w:r>
      <w:r w:rsidRPr="00A447D7">
        <w:tab/>
      </w:r>
      <w:r w:rsidRPr="00A447D7">
        <w:tab/>
      </w:r>
      <w:r w:rsidRPr="00A447D7">
        <w:tab/>
        <w:t xml:space="preserve">Hepatitída s prevažne cholestatickými charakterom (pozri časť 4.4)*  </w:t>
      </w:r>
    </w:p>
    <w:p w14:paraId="3BE9299F" w14:textId="77777777" w:rsidR="008B7661" w:rsidRPr="00A447D7" w:rsidRDefault="008B7661" w:rsidP="008B7661">
      <w:pPr>
        <w:spacing w:line="240" w:lineRule="auto"/>
        <w:ind w:left="1440" w:hanging="1440"/>
      </w:pPr>
    </w:p>
    <w:p w14:paraId="7AEE8E8D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>Poruchy kože a podkožného tkaniva</w:t>
      </w:r>
    </w:p>
    <w:p w14:paraId="2CDFB69A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</w:t>
      </w:r>
      <w:r w:rsidR="00791703">
        <w:t>s</w:t>
      </w:r>
      <w:r w:rsidRPr="00A447D7">
        <w:t xml:space="preserve">té: </w:t>
      </w:r>
      <w:r w:rsidRPr="00A447D7">
        <w:tab/>
      </w:r>
      <w:r w:rsidRPr="00A447D7">
        <w:tab/>
      </w:r>
      <w:r w:rsidRPr="00A447D7">
        <w:tab/>
        <w:t xml:space="preserve">Vyrážky*, </w:t>
      </w:r>
      <w:r w:rsidR="00791703">
        <w:t xml:space="preserve"> </w:t>
      </w:r>
      <w:r w:rsidR="00791703" w:rsidRPr="00A447D7">
        <w:t>hyperh</w:t>
      </w:r>
      <w:r w:rsidR="00791703">
        <w:t>i</w:t>
      </w:r>
      <w:r w:rsidR="00791703" w:rsidRPr="00A447D7">
        <w:t>dróza</w:t>
      </w:r>
    </w:p>
    <w:p w14:paraId="1D6D03B2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Menej časté:</w:t>
      </w:r>
      <w:r w:rsidRPr="00A447D7">
        <w:tab/>
      </w:r>
      <w:r w:rsidRPr="00A447D7">
        <w:tab/>
      </w:r>
      <w:r w:rsidRPr="00A447D7">
        <w:tab/>
        <w:t>Zmena farby okrem zmeny farby moču (napr. koža, nechty, vlasy, pot)*</w:t>
      </w:r>
    </w:p>
    <w:p w14:paraId="7A337DA8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Zriedkavé:</w:t>
      </w:r>
      <w:r w:rsidRPr="00A447D7">
        <w:tab/>
      </w:r>
      <w:r w:rsidRPr="00A447D7">
        <w:tab/>
      </w:r>
      <w:r w:rsidRPr="00A447D7">
        <w:tab/>
        <w:t>Angioedém</w:t>
      </w:r>
    </w:p>
    <w:p w14:paraId="24688680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Neznáme:</w:t>
      </w:r>
      <w:r w:rsidRPr="00A447D7">
        <w:tab/>
      </w:r>
      <w:r w:rsidRPr="00A447D7">
        <w:tab/>
      </w:r>
      <w:r w:rsidRPr="00A447D7">
        <w:tab/>
        <w:t>Urtikária*</w:t>
      </w:r>
    </w:p>
    <w:p w14:paraId="58FCA8B3" w14:textId="77777777" w:rsidR="008B7661" w:rsidRPr="00A447D7" w:rsidRDefault="008B7661" w:rsidP="008B7661">
      <w:pPr>
        <w:spacing w:line="240" w:lineRule="auto"/>
        <w:ind w:left="1440" w:hanging="1440"/>
        <w:rPr>
          <w:b/>
          <w:bCs/>
          <w:i/>
          <w:iCs/>
        </w:rPr>
      </w:pPr>
    </w:p>
    <w:p w14:paraId="6FE0D0D0" w14:textId="77777777" w:rsidR="008B7661" w:rsidRPr="00A447D7" w:rsidRDefault="008B7661" w:rsidP="008B7661">
      <w:pPr>
        <w:spacing w:line="240" w:lineRule="auto"/>
        <w:ind w:left="1440" w:hanging="1440"/>
        <w:rPr>
          <w:b/>
          <w:bCs/>
          <w:i/>
        </w:rPr>
      </w:pPr>
      <w:r w:rsidRPr="00A447D7">
        <w:rPr>
          <w:b/>
          <w:bCs/>
          <w:i/>
        </w:rPr>
        <w:t xml:space="preserve">Poruchy kostrovej a svalovej sústavy a spojivového tkaniva </w:t>
      </w:r>
    </w:p>
    <w:p w14:paraId="1EB7AA16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Veľmi časté:</w:t>
      </w:r>
      <w:r w:rsidRPr="00A447D7">
        <w:tab/>
      </w:r>
      <w:r w:rsidRPr="00A447D7">
        <w:tab/>
      </w:r>
      <w:r w:rsidRPr="00A447D7">
        <w:tab/>
        <w:t>Bolesť svalov, muskuloskeletálneho a spojivového tkaniva*</w:t>
      </w:r>
    </w:p>
    <w:p w14:paraId="0704BE79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Svalové kŕče, a</w:t>
      </w:r>
      <w:r w:rsidR="00791703">
        <w:t>r</w:t>
      </w:r>
      <w:r w:rsidRPr="00A447D7">
        <w:t>tralgia</w:t>
      </w:r>
    </w:p>
    <w:p w14:paraId="5C0BEF70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Neznáme:</w:t>
      </w:r>
      <w:r w:rsidRPr="00A447D7">
        <w:tab/>
      </w:r>
      <w:r w:rsidRPr="00A447D7">
        <w:tab/>
      </w:r>
      <w:r w:rsidRPr="00A447D7">
        <w:tab/>
        <w:t>Rabdomyolýza*</w:t>
      </w:r>
    </w:p>
    <w:p w14:paraId="50ED8077" w14:textId="77777777" w:rsidR="008B7661" w:rsidRPr="00A447D7" w:rsidRDefault="008B7661" w:rsidP="008B7661">
      <w:pPr>
        <w:spacing w:line="240" w:lineRule="auto"/>
        <w:ind w:left="1440" w:hanging="1440"/>
        <w:rPr>
          <w:b/>
          <w:bCs/>
          <w:i/>
          <w:iCs/>
        </w:rPr>
      </w:pPr>
    </w:p>
    <w:p w14:paraId="42663AD5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>Poruchy obličiek a močových ciest</w:t>
      </w:r>
    </w:p>
    <w:p w14:paraId="66EBE2E8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Veľmi časté:</w:t>
      </w:r>
      <w:r w:rsidRPr="00A447D7">
        <w:tab/>
      </w:r>
      <w:r w:rsidRPr="00A447D7">
        <w:tab/>
      </w:r>
      <w:r w:rsidRPr="00A447D7">
        <w:tab/>
        <w:t>Chromatúria*</w:t>
      </w:r>
    </w:p>
    <w:p w14:paraId="026CBCD8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Infekcie močových ciest</w:t>
      </w:r>
    </w:p>
    <w:p w14:paraId="209566CA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Menej časté:</w:t>
      </w:r>
      <w:r w:rsidRPr="00A447D7">
        <w:tab/>
      </w:r>
      <w:r w:rsidRPr="00A447D7">
        <w:tab/>
      </w:r>
      <w:r w:rsidRPr="00A447D7">
        <w:tab/>
        <w:t>Zadržiavanie moču</w:t>
      </w:r>
    </w:p>
    <w:p w14:paraId="1E950F55" w14:textId="77777777" w:rsidR="008B7661" w:rsidRPr="00A447D7" w:rsidRDefault="008B7661" w:rsidP="008B7661">
      <w:pPr>
        <w:spacing w:line="240" w:lineRule="auto"/>
        <w:ind w:left="1440" w:hanging="1440"/>
      </w:pPr>
    </w:p>
    <w:p w14:paraId="5779DFFB" w14:textId="77777777" w:rsidR="008B7661" w:rsidRPr="00A447D7" w:rsidRDefault="008B7661" w:rsidP="008B7661">
      <w:pPr>
        <w:spacing w:line="240" w:lineRule="auto"/>
        <w:jc w:val="both"/>
        <w:rPr>
          <w:b/>
          <w:bCs/>
          <w:i/>
          <w:iCs/>
        </w:rPr>
      </w:pPr>
      <w:r w:rsidRPr="00A447D7">
        <w:rPr>
          <w:b/>
          <w:bCs/>
          <w:i/>
          <w:iCs/>
        </w:rPr>
        <w:t>Celkové poruchy a reakcie v mieste podania</w:t>
      </w:r>
    </w:p>
    <w:p w14:paraId="7992918C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>Časté:</w:t>
      </w:r>
      <w:r w:rsidRPr="00A447D7">
        <w:tab/>
      </w:r>
      <w:r w:rsidRPr="00A447D7">
        <w:tab/>
      </w:r>
      <w:r w:rsidRPr="00A447D7">
        <w:tab/>
      </w:r>
      <w:r w:rsidRPr="00A447D7">
        <w:tab/>
        <w:t>Bolesť na hrudi, per</w:t>
      </w:r>
      <w:r w:rsidR="00B420BC">
        <w:t>if</w:t>
      </w:r>
      <w:r w:rsidRPr="00A447D7">
        <w:t>érny edém, pády, poruchy chôdze, asténia, únava</w:t>
      </w:r>
    </w:p>
    <w:p w14:paraId="06E6A13F" w14:textId="77777777" w:rsidR="008B7661" w:rsidRPr="00A447D7" w:rsidRDefault="008B7661" w:rsidP="008B7661">
      <w:pPr>
        <w:spacing w:line="240" w:lineRule="auto"/>
        <w:ind w:left="1440" w:hanging="1440"/>
      </w:pPr>
      <w:r w:rsidRPr="00A447D7">
        <w:t xml:space="preserve">Menej časté: </w:t>
      </w:r>
      <w:r w:rsidRPr="00A447D7">
        <w:tab/>
      </w:r>
      <w:r w:rsidRPr="00A447D7">
        <w:tab/>
      </w:r>
      <w:r w:rsidRPr="00A447D7">
        <w:tab/>
        <w:t>Nevoľnosť</w:t>
      </w:r>
    </w:p>
    <w:p w14:paraId="58C4AB40" w14:textId="77777777" w:rsidR="008B7661" w:rsidRPr="00A447D7" w:rsidRDefault="008B7661" w:rsidP="008B7661">
      <w:pPr>
        <w:spacing w:line="240" w:lineRule="auto"/>
        <w:ind w:left="1440" w:hanging="1440"/>
        <w:jc w:val="both"/>
      </w:pPr>
    </w:p>
    <w:p w14:paraId="0BEAAD64" w14:textId="022CF50A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*Nežiaduce reakcie, ktoré sa pripisujú hlavne entkaponu alebo sa vyskytujú častejšie (rozdiel frekvencie výskytu aspoň 1% z údajov klinických skúšaní) s entakap</w:t>
      </w:r>
      <w:r w:rsidR="007F636B">
        <w:rPr>
          <w:sz w:val="22"/>
          <w:szCs w:val="22"/>
          <w:lang w:val="sk-SK"/>
        </w:rPr>
        <w:t>ó</w:t>
      </w:r>
      <w:r w:rsidRPr="00A447D7">
        <w:rPr>
          <w:sz w:val="22"/>
          <w:szCs w:val="22"/>
          <w:lang w:val="sk-SK"/>
        </w:rPr>
        <w:t>nom ako s levodopou/</w:t>
      </w:r>
      <w:r w:rsidR="002C118E" w:rsidRPr="00A447D7">
        <w:rPr>
          <w:sz w:val="22"/>
          <w:szCs w:val="22"/>
          <w:lang w:val="sk-SK"/>
        </w:rPr>
        <w:t>DD</w:t>
      </w:r>
      <w:r w:rsidR="002C118E">
        <w:rPr>
          <w:sz w:val="22"/>
          <w:szCs w:val="22"/>
          <w:lang w:val="sk-SK"/>
        </w:rPr>
        <w:t>K</w:t>
      </w:r>
      <w:r w:rsidR="002C118E" w:rsidRPr="00A447D7">
        <w:rPr>
          <w:sz w:val="22"/>
          <w:szCs w:val="22"/>
          <w:lang w:val="sk-SK"/>
        </w:rPr>
        <w:t xml:space="preserve"> </w:t>
      </w:r>
      <w:r w:rsidRPr="00A447D7">
        <w:rPr>
          <w:sz w:val="22"/>
          <w:szCs w:val="22"/>
          <w:lang w:val="sk-SK"/>
        </w:rPr>
        <w:t>inhibítorom</w:t>
      </w:r>
      <w:r w:rsidR="005A4662">
        <w:rPr>
          <w:sz w:val="22"/>
          <w:szCs w:val="22"/>
          <w:lang w:val="sk-SK"/>
        </w:rPr>
        <w:t xml:space="preserve"> bez entakap</w:t>
      </w:r>
      <w:r w:rsidR="007F636B">
        <w:rPr>
          <w:sz w:val="22"/>
          <w:szCs w:val="22"/>
          <w:lang w:val="sk-SK"/>
        </w:rPr>
        <w:t>ó</w:t>
      </w:r>
      <w:r w:rsidR="005A4662">
        <w:rPr>
          <w:sz w:val="22"/>
          <w:szCs w:val="22"/>
          <w:lang w:val="sk-SK"/>
        </w:rPr>
        <w:t>nu</w:t>
      </w:r>
      <w:r w:rsidRPr="00A447D7">
        <w:rPr>
          <w:sz w:val="22"/>
          <w:szCs w:val="22"/>
          <w:lang w:val="sk-SK"/>
        </w:rPr>
        <w:t>. Pozri časť c.</w:t>
      </w:r>
    </w:p>
    <w:p w14:paraId="450A817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3F15652F" w14:textId="11C1444C" w:rsidR="008B7661" w:rsidRPr="00A447D7" w:rsidRDefault="008B7661" w:rsidP="00F26802">
      <w:pPr>
        <w:pStyle w:val="Zkladntext2"/>
        <w:jc w:val="left"/>
        <w:rPr>
          <w:b w:val="0"/>
          <w:caps/>
        </w:rPr>
      </w:pPr>
      <w:r w:rsidRPr="00A447D7">
        <w:rPr>
          <w:b w:val="0"/>
          <w:lang w:eastAsia="fi-FI" w:bidi="ne-NP"/>
        </w:rPr>
        <w:t xml:space="preserve">**Výskyt infarktu myokardu a iných príhod ischemickej choroby srdca (0,43% a 1,54%) sú odvodené z analýzy 13 dvojito zaslepených štúdií s 2 082 pacientmi </w:t>
      </w:r>
      <w:r w:rsidR="002174D4" w:rsidRPr="00A447D7">
        <w:rPr>
          <w:b w:val="0"/>
          <w:lang w:eastAsia="fi-FI" w:bidi="ne-NP"/>
        </w:rPr>
        <w:t>užívajúcimi entakap</w:t>
      </w:r>
      <w:r w:rsidR="007F636B">
        <w:rPr>
          <w:b w:val="0"/>
          <w:lang w:eastAsia="fi-FI" w:bidi="ne-NP"/>
        </w:rPr>
        <w:t>ó</w:t>
      </w:r>
      <w:r w:rsidR="002174D4" w:rsidRPr="00A447D7">
        <w:rPr>
          <w:b w:val="0"/>
          <w:lang w:eastAsia="fi-FI" w:bidi="ne-NP"/>
        </w:rPr>
        <w:t xml:space="preserve">n </w:t>
      </w:r>
      <w:r w:rsidRPr="00A447D7">
        <w:rPr>
          <w:b w:val="0"/>
          <w:lang w:eastAsia="fi-FI" w:bidi="ne-NP"/>
        </w:rPr>
        <w:t xml:space="preserve">s motorickými  fluktuáciami </w:t>
      </w:r>
      <w:r w:rsidR="002174D4" w:rsidRPr="002174D4">
        <w:rPr>
          <w:b w:val="0"/>
          <w:lang w:eastAsia="fi-FI" w:bidi="ne-NP"/>
        </w:rPr>
        <w:t>na konci účinku dávky lieku</w:t>
      </w:r>
      <w:r w:rsidRPr="00A447D7">
        <w:rPr>
          <w:b w:val="0"/>
          <w:color w:val="FF0000"/>
          <w:lang w:eastAsia="fi-FI"/>
        </w:rPr>
        <w:t>.</w:t>
      </w:r>
    </w:p>
    <w:p w14:paraId="32D7835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10D623C1" w14:textId="77777777" w:rsidR="008B7661" w:rsidRPr="00A447D7" w:rsidRDefault="008B7661" w:rsidP="008B766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A447D7">
        <w:rPr>
          <w:b/>
        </w:rPr>
        <w:t>Opis vybraných nežiaducich reakcií</w:t>
      </w:r>
    </w:p>
    <w:p w14:paraId="02266EB8" w14:textId="77777777" w:rsidR="008B7661" w:rsidRPr="00A447D7" w:rsidRDefault="008B7661" w:rsidP="008B7661">
      <w:pPr>
        <w:jc w:val="both"/>
      </w:pPr>
    </w:p>
    <w:p w14:paraId="177246E3" w14:textId="2E93443E" w:rsidR="005A4662" w:rsidRPr="005A4662" w:rsidRDefault="008B7661" w:rsidP="005A4662">
      <w:r w:rsidRPr="00A447D7">
        <w:t>Nežiaduce reakcie, ktoré sa pripisujú prevažne entakap</w:t>
      </w:r>
      <w:r w:rsidR="007F636B">
        <w:t>ó</w:t>
      </w:r>
      <w:r w:rsidRPr="00A447D7">
        <w:t>nu alebo sa vyskytujú častejšie s entakap</w:t>
      </w:r>
      <w:r w:rsidR="007F636B">
        <w:t>ó</w:t>
      </w:r>
      <w:r w:rsidRPr="00A447D7">
        <w:t>nom ako s levodopou/</w:t>
      </w:r>
      <w:r w:rsidR="002C118E" w:rsidRPr="00A447D7">
        <w:t>DD</w:t>
      </w:r>
      <w:r w:rsidR="002C118E">
        <w:t>K</w:t>
      </w:r>
      <w:r w:rsidR="002C118E" w:rsidRPr="00A447D7">
        <w:t xml:space="preserve"> </w:t>
      </w:r>
      <w:r w:rsidRPr="00A447D7">
        <w:t xml:space="preserve">inhibítorom </w:t>
      </w:r>
      <w:r w:rsidR="005A4662">
        <w:t>bez entakap</w:t>
      </w:r>
      <w:r w:rsidR="00E16B68">
        <w:t>ó</w:t>
      </w:r>
      <w:r w:rsidR="005A4662">
        <w:t xml:space="preserve">nu </w:t>
      </w:r>
      <w:r w:rsidRPr="00A447D7">
        <w:t xml:space="preserve">sú v tabuľke 1 v časti 4.8b označené hviezdičkou. Niektoré z týchto nežiaducich reakcií súvisia so zvýšenou dopamínergnou aktivitou (napr. dyskinéza, nauzea a vracanie) a vyskytujú sa najčastejšie na začiatku liečby. Zníženie dávky levodopy znižuje závažnosť a frekvenciu týchto dopamínergných reakcií. </w:t>
      </w:r>
    </w:p>
    <w:p w14:paraId="1616353B" w14:textId="1FBA3B5F" w:rsidR="008B7661" w:rsidRPr="00A447D7" w:rsidRDefault="005A4662" w:rsidP="008B7661">
      <w:r w:rsidRPr="005A4662">
        <w:t>Je známe, že niekoľko nežiaducich reakcií</w:t>
      </w:r>
      <w:r>
        <w:t xml:space="preserve"> </w:t>
      </w:r>
      <w:r w:rsidR="008B7661" w:rsidRPr="00A447D7">
        <w:t>možno priamo pripísať lieč</w:t>
      </w:r>
      <w:r w:rsidR="00B420BC">
        <w:t>ivu entakap</w:t>
      </w:r>
      <w:r w:rsidR="007F636B">
        <w:t>ó</w:t>
      </w:r>
      <w:r w:rsidR="00B420BC">
        <w:t xml:space="preserve">n </w:t>
      </w:r>
      <w:r w:rsidR="008B7661" w:rsidRPr="00A447D7">
        <w:t>vrátane hnačky a zmeny farby moča na červenohnedú. Entakap</w:t>
      </w:r>
      <w:r w:rsidR="007F636B">
        <w:t>ó</w:t>
      </w:r>
      <w:r w:rsidR="008B7661" w:rsidRPr="00A447D7">
        <w:t>n môže tiež v niektorých prípadoch spôsobovať zmenu farby napr. kože, nechtov, vlasov alebo potu. Iné nežiaduce reakcie s hviezdičkou v tabuľke 1 v časti 4.8b sú označené na základe buď vyššej frekvencie ich výskytu (podľa rozdielu frekvencie aspoň 1%)</w:t>
      </w:r>
      <w:r w:rsidR="008B7661" w:rsidRPr="00A447D7">
        <w:rPr>
          <w:szCs w:val="22"/>
        </w:rPr>
        <w:t xml:space="preserve"> v údajoch z klinických skúšaní s entakap</w:t>
      </w:r>
      <w:r w:rsidR="007F636B">
        <w:rPr>
          <w:szCs w:val="22"/>
        </w:rPr>
        <w:t>ó</w:t>
      </w:r>
      <w:r w:rsidR="008B7661" w:rsidRPr="00A447D7">
        <w:rPr>
          <w:szCs w:val="22"/>
        </w:rPr>
        <w:t>n</w:t>
      </w:r>
      <w:r w:rsidR="00B420BC">
        <w:rPr>
          <w:szCs w:val="22"/>
        </w:rPr>
        <w:t>om</w:t>
      </w:r>
      <w:r w:rsidR="008B7661" w:rsidRPr="00A447D7">
        <w:rPr>
          <w:szCs w:val="22"/>
        </w:rPr>
        <w:t xml:space="preserve"> v porovnaní s levodopou/</w:t>
      </w:r>
      <w:r w:rsidR="00663996" w:rsidRPr="00A447D7">
        <w:rPr>
          <w:szCs w:val="22"/>
        </w:rPr>
        <w:t>DD</w:t>
      </w:r>
      <w:r w:rsidR="00663996">
        <w:rPr>
          <w:szCs w:val="22"/>
        </w:rPr>
        <w:t>K</w:t>
      </w:r>
      <w:r w:rsidR="008B7661" w:rsidRPr="00A447D7">
        <w:rPr>
          <w:szCs w:val="22"/>
        </w:rPr>
        <w:t>, alebo z jednotlivých hlásení o bezpečnosti lieku, ktoré boli prijaté po uvedení entakap</w:t>
      </w:r>
      <w:r w:rsidR="007F636B">
        <w:rPr>
          <w:szCs w:val="22"/>
        </w:rPr>
        <w:t>ó</w:t>
      </w:r>
      <w:r w:rsidR="008B7661" w:rsidRPr="00A447D7">
        <w:rPr>
          <w:szCs w:val="22"/>
        </w:rPr>
        <w:t>nu na trh</w:t>
      </w:r>
      <w:r w:rsidR="008B7661" w:rsidRPr="00A447D7">
        <w:t>.</w:t>
      </w:r>
    </w:p>
    <w:p w14:paraId="6D04DCD7" w14:textId="77777777" w:rsidR="008B7661" w:rsidRPr="00A447D7" w:rsidRDefault="008B7661" w:rsidP="008B7661">
      <w:pPr>
        <w:jc w:val="both"/>
      </w:pPr>
    </w:p>
    <w:p w14:paraId="6E991E1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Kŕče sa s levodopou/karbidopou objavili zriedkavo; avšak príčinná súvislosť s liečbou levodopou/karbidopou nebola potvrdená.</w:t>
      </w:r>
    </w:p>
    <w:p w14:paraId="0324271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1CFD0D0E" w14:textId="77777777" w:rsidR="008B7661" w:rsidRPr="00A447D7" w:rsidRDefault="008B7661" w:rsidP="008B7661">
      <w:pPr>
        <w:pStyle w:val="Zkladntext3"/>
        <w:widowControl w:val="0"/>
        <w:ind w:right="96"/>
        <w:jc w:val="left"/>
        <w:rPr>
          <w:b w:val="0"/>
          <w:i w:val="0"/>
          <w:szCs w:val="22"/>
          <w:lang w:val="sk-SK"/>
        </w:rPr>
      </w:pPr>
      <w:r w:rsidRPr="00A447D7">
        <w:rPr>
          <w:b w:val="0"/>
          <w:i w:val="0"/>
          <w:szCs w:val="22"/>
          <w:lang w:val="sk-SK"/>
        </w:rPr>
        <w:t xml:space="preserve">Poruchy impulzívnej kontroly: Patologické hranie hazardných hier, zvýšené libido a hypersexualita, kompulzívne míňanie a nakupovanie, hltavé prejedanie sa a kompulzívne prejedanie sa môžu vyskytnúť u pacientov liečených dopamínovými agonistmi a/alebo pri inej dopamínergnej liečbe s obsahom levodopy vrátane lieku </w:t>
      </w:r>
      <w:r w:rsidRPr="00A447D7">
        <w:rPr>
          <w:b w:val="0"/>
          <w:i w:val="0"/>
          <w:lang w:val="sk-SK"/>
        </w:rPr>
        <w:t xml:space="preserve">Levodopa/Carbidopa/Entacapone </w:t>
      </w:r>
      <w:r w:rsidR="008F0B03">
        <w:rPr>
          <w:b w:val="0"/>
          <w:i w:val="0"/>
          <w:lang w:val="sk-SK"/>
        </w:rPr>
        <w:t>Stada</w:t>
      </w:r>
      <w:r w:rsidRPr="00A447D7">
        <w:rPr>
          <w:b w:val="0"/>
          <w:i w:val="0"/>
          <w:szCs w:val="22"/>
          <w:lang w:val="sk-SK"/>
        </w:rPr>
        <w:t xml:space="preserve"> (pozri časť 4.4).</w:t>
      </w:r>
    </w:p>
    <w:p w14:paraId="32EA8830" w14:textId="77777777" w:rsidR="00140FAD" w:rsidRPr="00F4390F" w:rsidRDefault="00140FAD" w:rsidP="00BA12A1"/>
    <w:p w14:paraId="6A776975" w14:textId="77777777" w:rsidR="00140FAD" w:rsidRPr="00DC0309" w:rsidRDefault="00140FAD" w:rsidP="00140FAD">
      <w:pPr>
        <w:rPr>
          <w:bCs/>
        </w:rPr>
      </w:pPr>
      <w:r w:rsidRPr="00DC0309">
        <w:rPr>
          <w:bCs/>
        </w:rPr>
        <w:t>Syndróm dopamínovej dysregulácie (DDS) je návyková porucha pozorovaná u niektorých</w:t>
      </w:r>
    </w:p>
    <w:p w14:paraId="0215AD69" w14:textId="77777777" w:rsidR="00140FAD" w:rsidRPr="00DC0309" w:rsidRDefault="00140FAD" w:rsidP="00140FAD">
      <w:pPr>
        <w:rPr>
          <w:bCs/>
        </w:rPr>
      </w:pPr>
      <w:r w:rsidRPr="00DC0309">
        <w:rPr>
          <w:bCs/>
        </w:rPr>
        <w:t>pacientov liečených karbidopou/levodopou. U pacientov s touto poruchou dochádza ku</w:t>
      </w:r>
    </w:p>
    <w:p w14:paraId="14AA4AF2" w14:textId="77777777" w:rsidR="00140FAD" w:rsidRPr="00DC0309" w:rsidRDefault="00140FAD" w:rsidP="00140FAD">
      <w:pPr>
        <w:rPr>
          <w:bCs/>
        </w:rPr>
      </w:pPr>
      <w:r w:rsidRPr="00DC0309">
        <w:rPr>
          <w:bCs/>
        </w:rPr>
        <w:t>kompulzívnemu zneužívaniu dopamínergných liekov v dávkach vyšších, ako sú dávky</w:t>
      </w:r>
    </w:p>
    <w:p w14:paraId="6409E96D" w14:textId="77777777" w:rsidR="00140FAD" w:rsidRPr="00F3620E" w:rsidRDefault="00140FAD" w:rsidP="00140FAD">
      <w:pPr>
        <w:rPr>
          <w:bCs/>
        </w:rPr>
      </w:pPr>
      <w:r w:rsidRPr="00F3620E">
        <w:rPr>
          <w:bCs/>
        </w:rPr>
        <w:t>primerané na kontrolu motorických príznakov, čo môže mať v niektorých prípadoch za</w:t>
      </w:r>
    </w:p>
    <w:p w14:paraId="6B4CDE53" w14:textId="77777777" w:rsidR="00140FAD" w:rsidRPr="00F3620E" w:rsidRDefault="00140FAD" w:rsidP="00140FAD">
      <w:pPr>
        <w:rPr>
          <w:bCs/>
        </w:rPr>
      </w:pPr>
      <w:r w:rsidRPr="00F3620E">
        <w:rPr>
          <w:bCs/>
        </w:rPr>
        <w:t>následok závažné dyskinézy (pozri tiež časť 4.4).</w:t>
      </w:r>
    </w:p>
    <w:p w14:paraId="7EFA0D49" w14:textId="77777777" w:rsidR="008B7661" w:rsidRPr="00F3620E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59DCA287" w14:textId="46847DC8" w:rsidR="008B7661" w:rsidRPr="00F3620E" w:rsidRDefault="008B7661" w:rsidP="008B7661">
      <w:pPr>
        <w:jc w:val="both"/>
      </w:pPr>
      <w:r w:rsidRPr="00F3620E">
        <w:t>Entakap</w:t>
      </w:r>
      <w:r w:rsidR="00E16B68">
        <w:t>ó</w:t>
      </w:r>
      <w:r w:rsidRPr="00F3620E">
        <w:t>n bol v spojení s levodopou viazaný na výskyt izolovaných prípadov nadmernej ospalosti počas dňa a príhod náhleho upadnutia do spánku.</w:t>
      </w:r>
    </w:p>
    <w:p w14:paraId="0053FC60" w14:textId="77777777" w:rsidR="002174D4" w:rsidRPr="00F3620E" w:rsidRDefault="002174D4" w:rsidP="008B7661">
      <w:pPr>
        <w:jc w:val="both"/>
      </w:pPr>
    </w:p>
    <w:p w14:paraId="5BDD641D" w14:textId="77777777" w:rsidR="00A73BB7" w:rsidRDefault="00A73BB7" w:rsidP="00A73BB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14:paraId="5756A1A6" w14:textId="77777777" w:rsidR="00A73BB7" w:rsidRDefault="00A73BB7" w:rsidP="00A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odkaz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odkaz"/>
            <w:shd w:val="clear" w:color="auto" w:fill="C0C0C0"/>
          </w:rPr>
          <w:t>Prílohe V</w:t>
        </w:r>
      </w:hyperlink>
      <w:r>
        <w:rPr>
          <w:rStyle w:val="Hypertextovodkaz"/>
        </w:rPr>
        <w:t>.</w:t>
      </w:r>
    </w:p>
    <w:p w14:paraId="385FE8E6" w14:textId="77777777" w:rsidR="002174D4" w:rsidRPr="00A447D7" w:rsidRDefault="002174D4" w:rsidP="008B7661">
      <w:pPr>
        <w:jc w:val="both"/>
      </w:pPr>
    </w:p>
    <w:p w14:paraId="527698CB" w14:textId="77777777" w:rsidR="008B7661" w:rsidRPr="00A447D7" w:rsidRDefault="008B7661" w:rsidP="008B7661">
      <w:pPr>
        <w:spacing w:line="240" w:lineRule="auto"/>
      </w:pPr>
      <w:r w:rsidRPr="00A447D7">
        <w:rPr>
          <w:b/>
        </w:rPr>
        <w:t>4.9</w:t>
      </w:r>
      <w:r w:rsidRPr="00A447D7">
        <w:rPr>
          <w:b/>
        </w:rPr>
        <w:tab/>
        <w:t>Predávkovanie</w:t>
      </w:r>
    </w:p>
    <w:p w14:paraId="2AD08A66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1D5A3F0D" w14:textId="2EF76AE8" w:rsidR="008B7661" w:rsidRPr="00A447D7" w:rsidRDefault="001F357C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1F357C">
        <w:rPr>
          <w:sz w:val="22"/>
          <w:lang w:val="sk-SK"/>
        </w:rPr>
        <w:t>Vyskytli sa</w:t>
      </w:r>
      <w:r w:rsidR="008B7661" w:rsidRPr="00A447D7">
        <w:rPr>
          <w:sz w:val="22"/>
          <w:lang w:val="sk-SK"/>
        </w:rPr>
        <w:t xml:space="preserve"> jednotlivé prípady predávkovania, v ktorých boli hlásené najvyššie denné dávky levodopy najmenej 10 000 mg a entakap</w:t>
      </w:r>
      <w:r w:rsidR="00E16B68">
        <w:rPr>
          <w:sz w:val="22"/>
          <w:lang w:val="sk-SK"/>
        </w:rPr>
        <w:t>ó</w:t>
      </w:r>
      <w:r w:rsidR="008B7661" w:rsidRPr="00A447D7">
        <w:rPr>
          <w:sz w:val="22"/>
          <w:lang w:val="sk-SK"/>
        </w:rPr>
        <w:t>nu najmenej 40 000 mg. Akútne symptómy a </w:t>
      </w:r>
      <w:r w:rsidR="002174D4" w:rsidRPr="00A447D7">
        <w:rPr>
          <w:sz w:val="22"/>
          <w:lang w:val="sk-SK"/>
        </w:rPr>
        <w:t>pr</w:t>
      </w:r>
      <w:r w:rsidR="002174D4">
        <w:rPr>
          <w:sz w:val="22"/>
          <w:lang w:val="sk-SK"/>
        </w:rPr>
        <w:t>ejavy</w:t>
      </w:r>
      <w:r w:rsidR="002174D4" w:rsidRPr="00A447D7">
        <w:rPr>
          <w:sz w:val="22"/>
          <w:lang w:val="sk-SK"/>
        </w:rPr>
        <w:t xml:space="preserve"> </w:t>
      </w:r>
      <w:r w:rsidR="008B7661" w:rsidRPr="00A447D7">
        <w:rPr>
          <w:sz w:val="22"/>
          <w:lang w:val="sk-SK"/>
        </w:rPr>
        <w:t xml:space="preserve">v týchto prípadoch predávkovania zahŕňali vzrušenie, stav zmätenosti, kómu, bradykardiu, ventrikulárnu tachykardiu, Cheynovo-Stokesovo dýchanie, zmenu farby pokožky, jazyka a očnej spojovky a chromatúriu. Zvládnutie akútneho predávkovania liekom Levodopa/Carbidopa/Entacapone </w:t>
      </w:r>
      <w:r w:rsidR="008F0B03">
        <w:rPr>
          <w:sz w:val="22"/>
          <w:lang w:val="sk-SK"/>
        </w:rPr>
        <w:t>Stada</w:t>
      </w:r>
      <w:r w:rsidR="008B7661" w:rsidRPr="00A447D7">
        <w:rPr>
          <w:sz w:val="22"/>
          <w:lang w:val="sk-SK"/>
        </w:rPr>
        <w:t xml:space="preserve"> je podobné akútnemu predávkovaniu levodopou. Pyridoxín však na zvrátenie účinkov levodopy/karbidopy/entakap</w:t>
      </w:r>
      <w:r w:rsidR="00E16B68">
        <w:rPr>
          <w:sz w:val="22"/>
          <w:lang w:val="sk-SK"/>
        </w:rPr>
        <w:t>ó</w:t>
      </w:r>
      <w:r w:rsidR="008B7661" w:rsidRPr="00A447D7">
        <w:rPr>
          <w:sz w:val="22"/>
          <w:lang w:val="sk-SK"/>
        </w:rPr>
        <w:t>nu neúčinkuje. Odporúča sa hospitalizácia a musia sa uplatniť všeobecné podporné opatrenia s okamžitým výplachom žalúdka a opakovanými dávkami aktívneho uhlia. To môže urýchliť elimináciu entakap</w:t>
      </w:r>
      <w:r w:rsidR="00E16B68">
        <w:rPr>
          <w:sz w:val="22"/>
          <w:lang w:val="sk-SK"/>
        </w:rPr>
        <w:t>ó</w:t>
      </w:r>
      <w:r w:rsidR="008B7661" w:rsidRPr="00A447D7">
        <w:rPr>
          <w:sz w:val="22"/>
          <w:lang w:val="sk-SK"/>
        </w:rPr>
        <w:t>nu obzvlášť spomalením jeho absorpcie/</w:t>
      </w:r>
      <w:r w:rsidR="002174D4" w:rsidRPr="00A447D7">
        <w:rPr>
          <w:sz w:val="22"/>
          <w:lang w:val="sk-SK"/>
        </w:rPr>
        <w:t>opätovn</w:t>
      </w:r>
      <w:r w:rsidR="002174D4">
        <w:rPr>
          <w:sz w:val="22"/>
          <w:lang w:val="sk-SK"/>
        </w:rPr>
        <w:t>ej</w:t>
      </w:r>
      <w:r w:rsidR="002174D4" w:rsidRPr="00A447D7">
        <w:rPr>
          <w:sz w:val="22"/>
          <w:lang w:val="sk-SK"/>
        </w:rPr>
        <w:t xml:space="preserve"> </w:t>
      </w:r>
      <w:r w:rsidR="008B7661" w:rsidRPr="00A447D7">
        <w:rPr>
          <w:sz w:val="22"/>
          <w:lang w:val="sk-SK"/>
        </w:rPr>
        <w:t xml:space="preserve">absorpcie z GI traktu. Musí </w:t>
      </w:r>
      <w:r w:rsidR="002174D4">
        <w:rPr>
          <w:sz w:val="22"/>
          <w:lang w:val="sk-SK"/>
        </w:rPr>
        <w:t>sa</w:t>
      </w:r>
      <w:r w:rsidR="002174D4" w:rsidRPr="00A447D7">
        <w:rPr>
          <w:sz w:val="22"/>
          <w:lang w:val="sk-SK"/>
        </w:rPr>
        <w:t xml:space="preserve"> </w:t>
      </w:r>
      <w:r w:rsidR="008B7661" w:rsidRPr="00A447D7">
        <w:rPr>
          <w:sz w:val="22"/>
          <w:lang w:val="sk-SK"/>
        </w:rPr>
        <w:t xml:space="preserve">pozorne sledovať primeraná funkčnosť respiračného, obehového a renálneho systému a uplatniť príslušné podporné opatrenia. Musí sa začať s kontrolou EKG a pozorným </w:t>
      </w:r>
      <w:r w:rsidR="00B420BC" w:rsidRPr="00A447D7">
        <w:rPr>
          <w:sz w:val="22"/>
          <w:lang w:val="sk-SK"/>
        </w:rPr>
        <w:t>sledovaním</w:t>
      </w:r>
      <w:r w:rsidR="008B7661" w:rsidRPr="00A447D7">
        <w:rPr>
          <w:sz w:val="22"/>
          <w:lang w:val="sk-SK"/>
        </w:rPr>
        <w:t xml:space="preserve"> pacienta pre prípad možného vývoja arytmií. Ak sa to vyžaduje, musí sa podať </w:t>
      </w:r>
      <w:r w:rsidR="00B420BC" w:rsidRPr="00A447D7">
        <w:rPr>
          <w:sz w:val="22"/>
          <w:lang w:val="sk-SK"/>
        </w:rPr>
        <w:t>vhodná</w:t>
      </w:r>
      <w:r w:rsidR="008B7661" w:rsidRPr="00A447D7">
        <w:rPr>
          <w:sz w:val="22"/>
          <w:lang w:val="sk-SK"/>
        </w:rPr>
        <w:t xml:space="preserve"> antiarytmická </w:t>
      </w:r>
      <w:r w:rsidR="008B7661" w:rsidRPr="00A447D7">
        <w:rPr>
          <w:sz w:val="22"/>
          <w:lang w:val="sk-SK"/>
        </w:rPr>
        <w:lastRenderedPageBreak/>
        <w:t>terapia. Musí sa zvážiť možnosť, že pacient okrem levodopy/karbidopy/entakap</w:t>
      </w:r>
      <w:r w:rsidR="00E16B68">
        <w:rPr>
          <w:sz w:val="22"/>
          <w:lang w:val="sk-SK"/>
        </w:rPr>
        <w:t>ó</w:t>
      </w:r>
      <w:r w:rsidR="008B7661" w:rsidRPr="00A447D7">
        <w:rPr>
          <w:sz w:val="22"/>
          <w:lang w:val="sk-SK"/>
        </w:rPr>
        <w:t>nu užil aj iné liečivá. Účinnosť dialýzy v liečbe predávkovania nie je známa.</w:t>
      </w:r>
    </w:p>
    <w:p w14:paraId="2A31A0F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4CF8723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72420C4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rPr>
          <w:sz w:val="22"/>
          <w:lang w:val="sk-SK"/>
        </w:rPr>
      </w:pPr>
      <w:r w:rsidRPr="00A447D7">
        <w:rPr>
          <w:b/>
          <w:sz w:val="22"/>
          <w:lang w:val="sk-SK"/>
        </w:rPr>
        <w:t>5.</w:t>
      </w:r>
      <w:r w:rsidRPr="00A447D7">
        <w:rPr>
          <w:b/>
          <w:sz w:val="22"/>
          <w:lang w:val="sk-SK"/>
        </w:rPr>
        <w:tab/>
        <w:t>FARMAKOLOGICKÉ VLASTNOSTI</w:t>
      </w:r>
    </w:p>
    <w:p w14:paraId="6ADD11D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3E038662" w14:textId="77777777" w:rsidR="008B7661" w:rsidRPr="00A447D7" w:rsidRDefault="008B7661" w:rsidP="008B7661">
      <w:pPr>
        <w:spacing w:line="240" w:lineRule="auto"/>
      </w:pPr>
      <w:r w:rsidRPr="00A447D7">
        <w:rPr>
          <w:b/>
        </w:rPr>
        <w:t>5.1</w:t>
      </w:r>
      <w:r w:rsidRPr="00A447D7">
        <w:rPr>
          <w:b/>
        </w:rPr>
        <w:tab/>
        <w:t>Farmakodynamické vlastnosti</w:t>
      </w:r>
    </w:p>
    <w:p w14:paraId="2847268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rPr>
          <w:sz w:val="22"/>
          <w:lang w:val="sk-SK"/>
        </w:rPr>
      </w:pPr>
    </w:p>
    <w:p w14:paraId="0E71444F" w14:textId="22842CC7" w:rsidR="00F4390F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Farmakoterapeutická skupina: Antiparkinsonik</w:t>
      </w:r>
      <w:r w:rsidR="002B6C09">
        <w:rPr>
          <w:sz w:val="22"/>
          <w:lang w:val="sk-SK"/>
        </w:rPr>
        <w:t>á</w:t>
      </w:r>
      <w:r w:rsidRPr="00A447D7">
        <w:rPr>
          <w:sz w:val="22"/>
          <w:lang w:val="sk-SK"/>
        </w:rPr>
        <w:t xml:space="preserve">, dopa a deriváty dopy, </w:t>
      </w:r>
    </w:p>
    <w:p w14:paraId="4C9D18F3" w14:textId="2A5638B5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ATC kód:</w:t>
      </w:r>
      <w:r w:rsidRPr="00A447D7">
        <w:rPr>
          <w:b/>
          <w:sz w:val="22"/>
          <w:lang w:val="sk-SK"/>
        </w:rPr>
        <w:t xml:space="preserve"> </w:t>
      </w:r>
      <w:r w:rsidRPr="00A447D7">
        <w:rPr>
          <w:sz w:val="22"/>
          <w:lang w:val="sk-SK"/>
        </w:rPr>
        <w:t>N04BA03</w:t>
      </w:r>
    </w:p>
    <w:p w14:paraId="41D3064F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sz w:val="22"/>
          <w:lang w:val="sk-SK"/>
        </w:rPr>
      </w:pPr>
    </w:p>
    <w:p w14:paraId="57A5CAF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Podľa súčasných vedomostí súvisia symptómy Parkinsonovej choroby s depléciou dopamínu v corpus striatum. Dopamín neprestupuje hematoencefalickou bariérou. Levodopa, prekurzor dopamínu, prestupuje hematoencefalickou bariérou a zmierňuje symptómy </w:t>
      </w:r>
      <w:r w:rsidR="00CD57B6">
        <w:rPr>
          <w:sz w:val="22"/>
          <w:lang w:val="sk-SK"/>
        </w:rPr>
        <w:t>choroby</w:t>
      </w:r>
      <w:r w:rsidRPr="00A447D7">
        <w:rPr>
          <w:sz w:val="22"/>
          <w:lang w:val="sk-SK"/>
        </w:rPr>
        <w:t xml:space="preserve">. Keďže levodopa sa do značnej miery metabolizuje na periférii, len malá časť podanej dávky sa dostane do centrálneho nervového systému, keď sa levodopa podá bez inhibítorov metabolizujúceho enzýmu. </w:t>
      </w:r>
    </w:p>
    <w:p w14:paraId="0E68E79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98833C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Karbidopa a benserazid sú periférne inhibítory DDK, ktoré tlmia periférny metabolizmus levodopy na dopamín a tak je pre mozog k dispozícii viac levodopy. Keď je rozsah dekarboxylácie levodopy znížený pomocou súčasného podania inhibítora DDK, je možné použiť nižšiu dávku levodopy a výskyt </w:t>
      </w:r>
      <w:r w:rsidR="00092949" w:rsidRPr="00A447D7">
        <w:rPr>
          <w:sz w:val="22"/>
          <w:lang w:val="sk-SK"/>
        </w:rPr>
        <w:t>nežiaducich</w:t>
      </w:r>
      <w:r w:rsidRPr="00A447D7">
        <w:rPr>
          <w:sz w:val="22"/>
          <w:lang w:val="sk-SK"/>
        </w:rPr>
        <w:t xml:space="preserve"> reakcií, ako je nevoľnosť, je znížený. </w:t>
      </w:r>
    </w:p>
    <w:p w14:paraId="29369F6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2F8CF00E" w14:textId="2BAF5E70" w:rsidR="008B7661" w:rsidRPr="00A447D7" w:rsidRDefault="008B7661" w:rsidP="008B7661">
      <w:pPr>
        <w:pStyle w:val="Text"/>
        <w:shd w:val="clear" w:color="auto" w:fill="FFFFFF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Inhibíciou dekarboxylázy inhibítorom DDK sa katechol-</w:t>
      </w:r>
      <w:r w:rsidRPr="00A447D7">
        <w:rPr>
          <w:i/>
          <w:sz w:val="22"/>
          <w:lang w:val="sk-SK"/>
        </w:rPr>
        <w:t>O</w:t>
      </w:r>
      <w:r w:rsidRPr="00A447D7">
        <w:rPr>
          <w:sz w:val="22"/>
          <w:lang w:val="sk-SK"/>
        </w:rPr>
        <w:t>-metyltransferáza (catechol-</w:t>
      </w:r>
      <w:r w:rsidRPr="00A447D7">
        <w:rPr>
          <w:i/>
          <w:sz w:val="22"/>
          <w:lang w:val="sk-SK"/>
        </w:rPr>
        <w:t>O</w:t>
      </w:r>
      <w:r w:rsidRPr="00A447D7">
        <w:rPr>
          <w:sz w:val="22"/>
          <w:lang w:val="sk-SK"/>
        </w:rPr>
        <w:t>-met</w:t>
      </w:r>
      <w:r w:rsidR="00B420BC">
        <w:rPr>
          <w:sz w:val="22"/>
          <w:lang w:val="sk-SK"/>
        </w:rPr>
        <w:t>h</w:t>
      </w:r>
      <w:r w:rsidRPr="00A447D7">
        <w:rPr>
          <w:sz w:val="22"/>
          <w:lang w:val="sk-SK"/>
        </w:rPr>
        <w:t>yltransferase, COMT) stane hlavnou periférnou metabolickou dráhou katalyzujúcou premenu levodopy na 3-O-metyldopu (3-OMD), potenciálne škodlivý metabolit levodopy.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je reverzibilný, špecifický a prevažne periférne pôsobiaci inhibítor COMT určený na súčasné podávanie s levodopou.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spomaľuje klírens levodopy z krvného obehu, čo vedie k zvýšeniu hodnôt plochy pod krivkou (AUC) vo farmakokinetickom profile levodopy. V dôsledku toho je klinická odpoveď na každú dávku levodopy vystupňovaná a predĺžená.</w:t>
      </w:r>
    </w:p>
    <w:p w14:paraId="4CE21C2E" w14:textId="77777777" w:rsidR="008B7661" w:rsidRPr="00A447D7" w:rsidRDefault="008B7661" w:rsidP="008B7661">
      <w:pPr>
        <w:pStyle w:val="Text"/>
        <w:shd w:val="clear" w:color="auto" w:fill="FFFFFF"/>
        <w:tabs>
          <w:tab w:val="left" w:pos="567"/>
        </w:tabs>
        <w:spacing w:before="0"/>
        <w:jc w:val="left"/>
        <w:rPr>
          <w:strike/>
          <w:sz w:val="22"/>
          <w:lang w:val="sk-SK"/>
        </w:rPr>
      </w:pPr>
    </w:p>
    <w:p w14:paraId="195FFB69" w14:textId="6750AEB9" w:rsidR="008B7661" w:rsidRPr="00A447D7" w:rsidRDefault="008B7661" w:rsidP="008B7661">
      <w:pPr>
        <w:spacing w:line="240" w:lineRule="auto"/>
      </w:pPr>
      <w:r w:rsidRPr="00A447D7">
        <w:t>Terapeutické účinky levodopy/karbidopy/entakap</w:t>
      </w:r>
      <w:r w:rsidR="00E16B68">
        <w:t>ó</w:t>
      </w:r>
      <w:r w:rsidRPr="00A447D7">
        <w:t>nu boli preukázané v dvoch dvojito slepých štúdiách III. fázy, v ktorých dostalo 376 pacientov s Parkinsonovou chorobou a kolísaním motorických funkcií na konci dávkovacieho intervalu buď entakap</w:t>
      </w:r>
      <w:r w:rsidR="00E16B68">
        <w:t>ó</w:t>
      </w:r>
      <w:r w:rsidRPr="00A447D7">
        <w:t>n alebo placebo s každou dávkou levodopy/inhibítora DDK. Hodnoty denného “ON time” (obdobie stavu mobility) s entakap</w:t>
      </w:r>
      <w:r w:rsidR="00E16B68">
        <w:t>ó</w:t>
      </w:r>
      <w:r w:rsidRPr="00A447D7">
        <w:t>nom a be</w:t>
      </w:r>
      <w:r w:rsidR="00B420BC">
        <w:t>z neho boli zaznamenané pacient</w:t>
      </w:r>
      <w:r w:rsidRPr="00A447D7">
        <w:t>mi v ich domácich denníkoch. V prvej štúdii entakap</w:t>
      </w:r>
      <w:r w:rsidR="00E16B68">
        <w:t>ó</w:t>
      </w:r>
      <w:r w:rsidRPr="00A447D7">
        <w:t>n zvýšil priemerné hodnoty denného “ON time” o 1 hod 20 min (CI</w:t>
      </w:r>
      <w:r w:rsidRPr="00A447D7">
        <w:rPr>
          <w:vertAlign w:val="subscript"/>
        </w:rPr>
        <w:t>95%</w:t>
      </w:r>
      <w:r w:rsidRPr="00A447D7">
        <w:t xml:space="preserve"> 45 min, 1 h o 56 min) v porovnaní so základnými hodnotami. Toto zodpovedalo 8,3%-nému zvýšeniu rozsahu denného “ON time”. V dôsledku toho bol pokles denného “OFF time” (obdobie stavu zníženej mobility) 24% v skupine s entakap</w:t>
      </w:r>
      <w:r w:rsidR="00E16B68">
        <w:t>ó</w:t>
      </w:r>
      <w:r w:rsidRPr="00A447D7">
        <w:t>nom a 0% v skupine s placebom. V druhej štúdii sa priemerný rozsah denného “ON time” zvýšil o 4,5% (CI</w:t>
      </w:r>
      <w:r w:rsidRPr="00A447D7">
        <w:rPr>
          <w:vertAlign w:val="subscript"/>
        </w:rPr>
        <w:t>95%</w:t>
      </w:r>
      <w:r w:rsidRPr="00A447D7">
        <w:t xml:space="preserve"> 0,93%, 7,97%) v porovnaní so základnými hodnotami. Toto znamená priemerný nárast 35 min v dennom “ON time”. V súlade s tým poklesne denný “OFF time” o 18% v prípade entakap</w:t>
      </w:r>
      <w:r w:rsidR="00E16B68">
        <w:t>ó</w:t>
      </w:r>
      <w:r w:rsidRPr="00A447D7">
        <w:t xml:space="preserve">nu a o 5% v prípade placeba. Pretože účinky tabliet Levodopa/Carbidopa/Entacapone </w:t>
      </w:r>
      <w:r w:rsidR="008F0B03">
        <w:t>Stada</w:t>
      </w:r>
      <w:r w:rsidRPr="00A447D7">
        <w:t xml:space="preserve"> sa zhodujú s účinkami 200 mg tablety entakap</w:t>
      </w:r>
      <w:r w:rsidR="00E16B68">
        <w:t>ó</w:t>
      </w:r>
      <w:r w:rsidRPr="00A447D7">
        <w:t>nu podanej súčasne s komerčne dostupnými prípravkami karbidopy/levodopy so štandardným uvoľňovaním v príslušných dávkach, sú tieto výsledky taktiež použiteľné pre popísanie účinkov levodopy/karbidopy/entakap</w:t>
      </w:r>
      <w:r w:rsidR="00E16B68">
        <w:t>ó</w:t>
      </w:r>
      <w:r w:rsidRPr="00A447D7">
        <w:t>nu.</w:t>
      </w:r>
    </w:p>
    <w:p w14:paraId="123CB7CD" w14:textId="77777777" w:rsidR="008B7661" w:rsidRPr="00A447D7" w:rsidRDefault="008B7661" w:rsidP="008B7661">
      <w:pPr>
        <w:spacing w:line="240" w:lineRule="auto"/>
        <w:rPr>
          <w:caps/>
        </w:rPr>
      </w:pPr>
    </w:p>
    <w:p w14:paraId="3E63DFFB" w14:textId="77777777" w:rsidR="008B7661" w:rsidRPr="00A447D7" w:rsidRDefault="008B7661" w:rsidP="008B7661">
      <w:pPr>
        <w:pStyle w:val="Text"/>
        <w:numPr>
          <w:ilvl w:val="1"/>
          <w:numId w:val="8"/>
        </w:numPr>
        <w:tabs>
          <w:tab w:val="clear" w:pos="540"/>
          <w:tab w:val="left" w:pos="567"/>
        </w:tabs>
        <w:spacing w:before="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Farmakokinetické vlastnosti</w:t>
      </w:r>
    </w:p>
    <w:p w14:paraId="189475FB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sz w:val="22"/>
          <w:lang w:val="sk-SK"/>
        </w:rPr>
      </w:pPr>
    </w:p>
    <w:p w14:paraId="127ED0D7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rPr>
          <w:i/>
          <w:sz w:val="22"/>
          <w:u w:val="single"/>
          <w:lang w:val="sk-SK"/>
        </w:rPr>
      </w:pPr>
      <w:r w:rsidRPr="00A447D7">
        <w:rPr>
          <w:i/>
          <w:sz w:val="22"/>
          <w:u w:val="single"/>
          <w:lang w:val="sk-SK"/>
        </w:rPr>
        <w:t>Všeobecné vlastnosti liečiv</w:t>
      </w:r>
    </w:p>
    <w:p w14:paraId="261E737E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b/>
          <w:i/>
          <w:sz w:val="22"/>
          <w:lang w:val="sk-SK"/>
        </w:rPr>
      </w:pPr>
    </w:p>
    <w:p w14:paraId="794162C4" w14:textId="78CD2B7A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>Absorpcia/distribúcia</w:t>
      </w:r>
      <w:r w:rsidRPr="00A447D7">
        <w:rPr>
          <w:i/>
          <w:sz w:val="22"/>
          <w:lang w:val="sk-SK"/>
        </w:rPr>
        <w:t>:</w:t>
      </w:r>
      <w:r w:rsidRPr="00A447D7">
        <w:rPr>
          <w:sz w:val="22"/>
          <w:lang w:val="sk-SK"/>
        </w:rPr>
        <w:t xml:space="preserve"> V absorpcii levodopy, karbidopy</w:t>
      </w:r>
      <w:r w:rsidRPr="00A447D7">
        <w:rPr>
          <w:sz w:val="22"/>
          <w:vertAlign w:val="superscript"/>
          <w:lang w:val="sk-SK"/>
        </w:rPr>
        <w:t xml:space="preserve"> </w:t>
      </w:r>
      <w:r w:rsidRPr="00A447D7">
        <w:rPr>
          <w:sz w:val="22"/>
          <w:lang w:val="sk-SK"/>
        </w:rPr>
        <w:t>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sú podstatné inter- a intra-individuálne odchýlky. Obe látky, levodopa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n, sa rýchlo absorbujú a vylučujú. Karbidopa sa absorbuje a vylučuje nepatrne pomalšie v porovnaní s levodopou. Ak sa podáva samostatne bez ostatných dvoch liečiv, je biologická dostupnosť levodopy 15-33%, karbidopy 40-70%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35% po perorálnej dávke 200 mg. Strava bohatá na veľké neutrálne aminokyseliny môže oneskoriť a znížiť absorpciu levodopy. Potrava neovplyvňuje významne absorpciu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nu. Distribučný objem </w:t>
      </w:r>
      <w:r w:rsidRPr="00A447D7">
        <w:rPr>
          <w:sz w:val="22"/>
          <w:lang w:val="sk-SK"/>
        </w:rPr>
        <w:lastRenderedPageBreak/>
        <w:t>levodopy (Vd 0,36–1,6 l/kg)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(Vd</w:t>
      </w:r>
      <w:r w:rsidRPr="00A447D7">
        <w:rPr>
          <w:sz w:val="22"/>
          <w:vertAlign w:val="subscript"/>
          <w:lang w:val="sk-SK"/>
        </w:rPr>
        <w:t>ss</w:t>
      </w:r>
      <w:r w:rsidRPr="00A447D7">
        <w:rPr>
          <w:sz w:val="22"/>
          <w:lang w:val="sk-SK"/>
        </w:rPr>
        <w:t xml:space="preserve"> 0,27 l/kg), je pomerne malý, zatiaľ</w:t>
      </w:r>
      <w:r w:rsidR="00B420BC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čo pre karbidopu nie sú k dispozícii žiadne údaje.</w:t>
      </w:r>
    </w:p>
    <w:p w14:paraId="5C76E9AB" w14:textId="77777777" w:rsidR="008B7661" w:rsidRPr="00A447D7" w:rsidRDefault="008B7661" w:rsidP="008B7661">
      <w:pPr>
        <w:spacing w:line="240" w:lineRule="auto"/>
        <w:jc w:val="both"/>
      </w:pPr>
    </w:p>
    <w:p w14:paraId="58EF37AF" w14:textId="7D3DFCE0" w:rsidR="008B7661" w:rsidRPr="00A447D7" w:rsidRDefault="008B7661" w:rsidP="008B7661">
      <w:pPr>
        <w:spacing w:line="240" w:lineRule="auto"/>
        <w:ind w:right="-45"/>
      </w:pPr>
      <w:r w:rsidRPr="00A447D7">
        <w:t xml:space="preserve">Levodopa sa viaže na proteíny plazmy iba </w:t>
      </w:r>
      <w:r w:rsidR="00CD57B6">
        <w:t>v</w:t>
      </w:r>
      <w:r w:rsidR="00CD57B6" w:rsidRPr="00A447D7">
        <w:t xml:space="preserve"> </w:t>
      </w:r>
      <w:r w:rsidRPr="00A447D7">
        <w:t>malej mier</w:t>
      </w:r>
      <w:r w:rsidR="00CD57B6">
        <w:t>e</w:t>
      </w:r>
      <w:r w:rsidRPr="00A447D7">
        <w:t>, asi 10-30%, karbidop</w:t>
      </w:r>
      <w:r w:rsidRPr="00A447D7">
        <w:rPr>
          <w:snapToGrid w:val="0"/>
        </w:rPr>
        <w:t>a sa viaže približne 36%</w:t>
      </w:r>
      <w:r w:rsidRPr="00A447D7">
        <w:t xml:space="preserve">, </w:t>
      </w:r>
      <w:r w:rsidRPr="00A447D7">
        <w:rPr>
          <w:snapToGrid w:val="0"/>
        </w:rPr>
        <w:t>kým entakap</w:t>
      </w:r>
      <w:r w:rsidR="00E16B68">
        <w:t>ó</w:t>
      </w:r>
      <w:r w:rsidRPr="00A447D7">
        <w:t>n sa na proteíny plazmy viaže do značnej miery (asi 98%) - najmä na sérový albumín. Pri terapeutických koncentráciách entakap</w:t>
      </w:r>
      <w:r w:rsidR="00E16B68">
        <w:t>ó</w:t>
      </w:r>
      <w:r w:rsidRPr="00A447D7">
        <w:t xml:space="preserve">n nevytesňuje z väzby iné značne viazané liečivá (napr. warfarín, kyselinu salicylovú, fenylbutazón alebo diazepam), ani nie je týmito liečivami pri terapeutických alebo vyšších </w:t>
      </w:r>
      <w:r w:rsidR="00B420BC" w:rsidRPr="00A447D7">
        <w:t>koncentráciách</w:t>
      </w:r>
      <w:r w:rsidRPr="00A447D7">
        <w:t xml:space="preserve"> vo významnej miere </w:t>
      </w:r>
      <w:r w:rsidR="00092949" w:rsidRPr="00A447D7">
        <w:t>vytes</w:t>
      </w:r>
      <w:r w:rsidR="00092949">
        <w:t>ne</w:t>
      </w:r>
      <w:r w:rsidR="00092949" w:rsidRPr="00A447D7">
        <w:t>ný</w:t>
      </w:r>
      <w:r w:rsidRPr="00A447D7">
        <w:t>.</w:t>
      </w:r>
    </w:p>
    <w:p w14:paraId="6C382A5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i/>
          <w:sz w:val="22"/>
          <w:u w:val="single"/>
          <w:lang w:val="sk-SK"/>
        </w:rPr>
      </w:pPr>
    </w:p>
    <w:p w14:paraId="41BDF9F1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vertAlign w:val="superscript"/>
          <w:lang w:val="sk-SK"/>
        </w:rPr>
      </w:pPr>
      <w:r w:rsidRPr="00A447D7">
        <w:rPr>
          <w:i/>
          <w:sz w:val="22"/>
          <w:u w:val="single"/>
          <w:lang w:val="sk-SK"/>
        </w:rPr>
        <w:t>Biotransformácia a eliminácia</w:t>
      </w:r>
      <w:r w:rsidRPr="00A447D7">
        <w:rPr>
          <w:i/>
          <w:sz w:val="22"/>
          <w:lang w:val="sk-SK"/>
        </w:rPr>
        <w:t>:</w:t>
      </w:r>
      <w:r w:rsidRPr="00A447D7">
        <w:rPr>
          <w:sz w:val="22"/>
          <w:lang w:val="sk-SK"/>
        </w:rPr>
        <w:t xml:space="preserve"> Levodopa je rozsiahle metabolizovaná na niekoľko metabolitov: dekarboxylácia dopadekarboxylázou (DDK) a O-metylácia katechol-O-metyltransferázou (COMT) sú najdôležitejšími metabolickými procesmi.</w:t>
      </w:r>
    </w:p>
    <w:p w14:paraId="302A696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61A0F2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Karbidopa je metabolizovaná na dva hlavné metabolity, ktoré sa vylučujú v moči vo forme glukuronidov a nekonjugovaných zlúčenín. Nezmenená karbidopa predstavuje 30% celkovej exkrécie v moči.</w:t>
      </w:r>
    </w:p>
    <w:p w14:paraId="10C4EFC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E2EF171" w14:textId="02D176EE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sa takmer úplne metabolizuje pred vylučovaním močom (10 až 20%) a žlčou/stolicou (80 až 90%). Hlavnou metabolickou dráhou je glukuronidácia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a jeho aktívnych metabolitov, cis-izoméru, ktorý predstavuje asi 5% celkového množstva v plazme.</w:t>
      </w:r>
    </w:p>
    <w:p w14:paraId="19F1619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trike/>
          <w:sz w:val="22"/>
          <w:lang w:val="sk-SK"/>
        </w:rPr>
      </w:pPr>
    </w:p>
    <w:p w14:paraId="5C394966" w14:textId="0B9D74F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Celkový klírens levodopy je v rozmedzí 0,55–1,38 l/kg/h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v rozmedzí 0,70 l/kg/h. Eliminačný polčas (t</w:t>
      </w:r>
      <w:r w:rsidRPr="00A447D7">
        <w:rPr>
          <w:sz w:val="22"/>
          <w:vertAlign w:val="subscript"/>
          <w:lang w:val="sk-SK"/>
        </w:rPr>
        <w:t>1/2</w:t>
      </w:r>
      <w:r w:rsidRPr="00A447D7">
        <w:rPr>
          <w:sz w:val="22"/>
          <w:lang w:val="sk-SK"/>
        </w:rPr>
        <w:t>) je 0,6–1,3 hodín pre levodopu, 2-3 hodiny pre karbidopu a 0,4–0,7 hodiny pre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po ich samostatnom podaní.</w:t>
      </w:r>
    </w:p>
    <w:p w14:paraId="1CC1B7B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4EB15293" w14:textId="329CD1EB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Kvôli krátkym eliminačným polčasom nenastáva po opakovanom podaní pravá akumulácia levodopy alebo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nu.</w:t>
      </w:r>
    </w:p>
    <w:p w14:paraId="03B9B79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06C585DC" w14:textId="0C42800C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trike/>
          <w:sz w:val="22"/>
          <w:lang w:val="sk-SK"/>
        </w:rPr>
      </w:pPr>
      <w:r w:rsidRPr="00A447D7">
        <w:rPr>
          <w:sz w:val="22"/>
          <w:lang w:val="sk-SK"/>
        </w:rPr>
        <w:t xml:space="preserve">Údaje z </w:t>
      </w:r>
      <w:r w:rsidRPr="00A447D7">
        <w:rPr>
          <w:i/>
          <w:sz w:val="22"/>
          <w:lang w:val="sk-SK"/>
        </w:rPr>
        <w:t>in vitro</w:t>
      </w:r>
      <w:r w:rsidRPr="00A447D7">
        <w:rPr>
          <w:sz w:val="22"/>
          <w:lang w:val="sk-SK"/>
        </w:rPr>
        <w:t xml:space="preserve"> štúdií s použitím ľudských mikrozomálnych preparátov pečene naznačujú, že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inhibuje cytochróm P450 2C9 (IC50 ~ 4 µM).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 vykazoval slabú alebo žiadnu inhibíciu iných typov P450 izoenzýmov (CYP1A2, CYP2A6, CYP2D6, CYP2E1, CYP3A a CYP2C19); pozri časť 4.5.</w:t>
      </w:r>
      <w:r w:rsidRPr="00A447D7">
        <w:rPr>
          <w:strike/>
          <w:sz w:val="22"/>
          <w:lang w:val="sk-SK"/>
        </w:rPr>
        <w:t xml:space="preserve"> </w:t>
      </w:r>
    </w:p>
    <w:p w14:paraId="62AD068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u w:val="single"/>
          <w:lang w:val="sk-SK"/>
        </w:rPr>
      </w:pPr>
    </w:p>
    <w:p w14:paraId="22DFB545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u w:val="single"/>
          <w:lang w:val="sk-SK"/>
        </w:rPr>
      </w:pPr>
      <w:r w:rsidRPr="00A447D7">
        <w:rPr>
          <w:i/>
          <w:sz w:val="22"/>
          <w:u w:val="single"/>
          <w:lang w:val="sk-SK"/>
        </w:rPr>
        <w:t>Vlastnosti v závislosti od pacientov</w:t>
      </w:r>
    </w:p>
    <w:p w14:paraId="7B39DE3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i/>
          <w:sz w:val="22"/>
          <w:lang w:val="sk-SK"/>
        </w:rPr>
      </w:pPr>
    </w:p>
    <w:p w14:paraId="760E24F6" w14:textId="51CD4636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 xml:space="preserve">Starší </w:t>
      </w:r>
      <w:r w:rsidRPr="00A447D7">
        <w:rPr>
          <w:i/>
          <w:sz w:val="22"/>
          <w:szCs w:val="22"/>
          <w:u w:val="single"/>
          <w:lang w:val="sk-SK"/>
        </w:rPr>
        <w:t>pacienti</w:t>
      </w:r>
      <w:r w:rsidRPr="00A447D7">
        <w:rPr>
          <w:sz w:val="22"/>
          <w:lang w:val="sk-SK"/>
        </w:rPr>
        <w:t>: Ak sa levodopa podáva bez karbidopy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nu, je jej absorpcia u starších jedincov výraznejšia a eliminácia pomalšia v porovnaní s mladšími jedincami. Avšak po skombinovaní karbidopy a levodopy je absorpcia levodopy podobná medzi staršími a mladšími jedincami, ale AUC hodnoty sú stále 1,5-krát vyššie u starších ľudí, a to kvôli zníženej aktivite DDK a nižšiemu klírens vzhľadom na vek. Nie sú známe významné rozdiely v AUC hodnotách karbidopy alebo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medzi mladšími (45–64 rokov) staršími jedincami (65–75 rokov).</w:t>
      </w:r>
    </w:p>
    <w:p w14:paraId="17ACFAD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220AFBF" w14:textId="4B0B68B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>Pohlavie</w:t>
      </w:r>
      <w:r w:rsidRPr="00A447D7">
        <w:rPr>
          <w:i/>
          <w:sz w:val="22"/>
          <w:lang w:val="sk-SK"/>
        </w:rPr>
        <w:t xml:space="preserve">: </w:t>
      </w:r>
      <w:r w:rsidRPr="00A447D7">
        <w:rPr>
          <w:sz w:val="22"/>
          <w:lang w:val="sk-SK"/>
        </w:rPr>
        <w:t>Biologická dostupnosť levodopy je významne vyššia u žien ako u mužov. Vo farmakokinetických štúdiách s</w:t>
      </w:r>
      <w:r w:rsidR="00EF1B89">
        <w:rPr>
          <w:sz w:val="22"/>
          <w:lang w:val="sk-SK"/>
        </w:rPr>
        <w:t xml:space="preserve"> liekom</w:t>
      </w:r>
      <w:r w:rsidRPr="00A447D7">
        <w:rPr>
          <w:sz w:val="22"/>
          <w:lang w:val="sk-SK"/>
        </w:rPr>
        <w:t xml:space="preserve">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je</w:t>
      </w:r>
      <w:r w:rsidRPr="00A447D7">
        <w:rPr>
          <w:sz w:val="22"/>
          <w:vertAlign w:val="superscript"/>
          <w:lang w:val="sk-SK"/>
        </w:rPr>
        <w:t xml:space="preserve"> </w:t>
      </w:r>
      <w:r w:rsidRPr="00A447D7">
        <w:rPr>
          <w:sz w:val="22"/>
          <w:lang w:val="sk-SK"/>
        </w:rPr>
        <w:t>biologická dostupnosť levodopy vyššia u žien ako u m</w:t>
      </w:r>
      <w:r w:rsidR="006D7327">
        <w:rPr>
          <w:sz w:val="22"/>
          <w:lang w:val="sk-SK"/>
        </w:rPr>
        <w:t>u</w:t>
      </w:r>
      <w:r w:rsidRPr="00A447D7">
        <w:rPr>
          <w:sz w:val="22"/>
          <w:lang w:val="sk-SK"/>
        </w:rPr>
        <w:t>žov, najmä kvôli rozdielom v telesnej hmotnosti, kým s karbidopou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nom nie sú známe rozdiely vzhľadom na pohlavie.</w:t>
      </w:r>
    </w:p>
    <w:p w14:paraId="1B032CD2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63DB467C" w14:textId="12A22B2F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>Poškodenie pečene</w:t>
      </w:r>
      <w:r w:rsidRPr="00A447D7">
        <w:rPr>
          <w:i/>
          <w:sz w:val="22"/>
          <w:lang w:val="sk-SK"/>
        </w:rPr>
        <w:t xml:space="preserve">: </w:t>
      </w:r>
      <w:r w:rsidRPr="00A447D7">
        <w:rPr>
          <w:sz w:val="22"/>
          <w:lang w:val="sk-SK"/>
        </w:rPr>
        <w:t>Metabolizmus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je spomalený u pacientov s miernym až stredným poškodením pečene (stupnica Child-Pugh, trieda A a B) a to vedie k zvýšeniu koncentrácie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v plazme počas fázy absorpcie a eliminácie (pozri časti 4.2 a 4.3). Neboli hlásené osobitné štúdie farmakokinetiky karbidopy a levodopy u pacientov s poškodením pečene, odporúča sa však, aby sa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pacie</w:t>
      </w:r>
      <w:r w:rsidR="006D7327">
        <w:rPr>
          <w:sz w:val="22"/>
          <w:lang w:val="sk-SK"/>
        </w:rPr>
        <w:t>n</w:t>
      </w:r>
      <w:r w:rsidRPr="00A447D7">
        <w:rPr>
          <w:sz w:val="22"/>
          <w:lang w:val="sk-SK"/>
        </w:rPr>
        <w:t xml:space="preserve">tom s miernym alebo stredným poškodením pečene podávalo s opatrnosťou. </w:t>
      </w:r>
    </w:p>
    <w:p w14:paraId="6E2BE6D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254410F0" w14:textId="725F5A0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i/>
          <w:sz w:val="22"/>
          <w:u w:val="single"/>
          <w:lang w:val="sk-SK"/>
        </w:rPr>
        <w:t>Poškodenie obličiek</w:t>
      </w:r>
      <w:r w:rsidRPr="00A447D7">
        <w:rPr>
          <w:sz w:val="22"/>
          <w:lang w:val="sk-SK"/>
        </w:rPr>
        <w:t>: Poškodenie obličiek nemá vplyv na farmakokinetiku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nu. Neboli hlásené osobitné štúdie farmakokinetiky levodopy a karbidopy u pacientov s poškodením obličiek. Je však </w:t>
      </w:r>
      <w:r w:rsidRPr="00A447D7">
        <w:rPr>
          <w:sz w:val="22"/>
          <w:lang w:val="sk-SK"/>
        </w:rPr>
        <w:lastRenderedPageBreak/>
        <w:t xml:space="preserve">možné, že bude nutné zvážiť dlhšie dávkovacie intervaly lieku 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u pacientov, ktorí dostávajú dialyzačnú liečbu (pozri časť 4.2).</w:t>
      </w:r>
    </w:p>
    <w:p w14:paraId="3F4A95A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2B5B6EE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ind w:left="540" w:hanging="540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>5.3</w:t>
      </w:r>
      <w:r w:rsidRPr="00A447D7">
        <w:rPr>
          <w:b/>
          <w:sz w:val="22"/>
          <w:lang w:val="sk-SK"/>
        </w:rPr>
        <w:tab/>
        <w:t>Predklinické údaje o bezpečnosti</w:t>
      </w:r>
    </w:p>
    <w:p w14:paraId="6DB946FD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rPr>
          <w:sz w:val="22"/>
          <w:lang w:val="sk-SK"/>
        </w:rPr>
      </w:pPr>
    </w:p>
    <w:p w14:paraId="77E539EA" w14:textId="45B2495C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Predklinické údaje o levodope, karbidope a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ne testované samostatne alebo v kombinácii a </w:t>
      </w:r>
      <w:r w:rsidR="00CD57B6" w:rsidRPr="00CD57B6">
        <w:rPr>
          <w:sz w:val="22"/>
          <w:lang w:val="en-GB"/>
        </w:rPr>
        <w:t>získané na základe obvyklých farmakologických štúdií bezpečnosti, toxicity po opakovanom podávaní, genotoxicity a karcinogénneho potenciálu</w:t>
      </w:r>
      <w:r w:rsidRPr="00A447D7">
        <w:rPr>
          <w:sz w:val="22"/>
          <w:lang w:val="sk-SK"/>
        </w:rPr>
        <w:t xml:space="preserve">neodhalili žiadne </w:t>
      </w:r>
      <w:r w:rsidR="00CD57B6" w:rsidRPr="00CD57B6">
        <w:rPr>
          <w:sz w:val="22"/>
          <w:lang w:val="en-GB"/>
        </w:rPr>
        <w:t>osobitné</w:t>
      </w:r>
      <w:r w:rsidRPr="00A447D7">
        <w:rPr>
          <w:sz w:val="22"/>
          <w:lang w:val="sk-SK"/>
        </w:rPr>
        <w:t xml:space="preserve"> riziko pre ľudí. V štúdiách na toxicitu opakovaných dávok s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nom bola pozorovaná anémia, najpravdepodobnejšie kvôli schopnosti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>nu tvoriť cheláty so železom. Ohľadom reprodukčnej toxicity entakap</w:t>
      </w:r>
      <w:r w:rsidR="00E16B68">
        <w:rPr>
          <w:sz w:val="22"/>
          <w:lang w:val="sk-SK"/>
        </w:rPr>
        <w:t>ó</w:t>
      </w:r>
      <w:r w:rsidRPr="00A447D7">
        <w:rPr>
          <w:sz w:val="22"/>
          <w:lang w:val="sk-SK"/>
        </w:rPr>
        <w:t xml:space="preserve">nu bolo pozorované zníženie hmotnosti plodu a mierne oneskorenie vývoja kostí u králikov vystavených systémovým hladinám v terapeutickom rozpätí. Levodopa a kombinácie karbidopy a levodopy spôsobili viscerálne a skeletálne malformácie králikov. </w:t>
      </w:r>
    </w:p>
    <w:p w14:paraId="2FEBB654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00BE72C9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25463A53" w14:textId="77777777" w:rsidR="008B7661" w:rsidRPr="00A447D7" w:rsidRDefault="008B7661" w:rsidP="008B7661">
      <w:pPr>
        <w:spacing w:line="240" w:lineRule="auto"/>
        <w:ind w:left="540" w:hanging="540"/>
        <w:rPr>
          <w:b/>
        </w:rPr>
      </w:pPr>
      <w:r w:rsidRPr="00A447D7">
        <w:rPr>
          <w:b/>
        </w:rPr>
        <w:t>6.</w:t>
      </w:r>
      <w:r w:rsidRPr="00A447D7">
        <w:rPr>
          <w:b/>
        </w:rPr>
        <w:tab/>
        <w:t>FARMACEUTICKÉ INFORMÁCIE</w:t>
      </w:r>
    </w:p>
    <w:p w14:paraId="12384990" w14:textId="77777777" w:rsidR="008B7661" w:rsidRPr="00A447D7" w:rsidRDefault="008B7661" w:rsidP="008B7661">
      <w:pPr>
        <w:spacing w:line="240" w:lineRule="auto"/>
        <w:rPr>
          <w:b/>
        </w:rPr>
      </w:pPr>
    </w:p>
    <w:p w14:paraId="146ADC44" w14:textId="77777777" w:rsidR="008B7661" w:rsidRPr="00A447D7" w:rsidRDefault="008B7661" w:rsidP="008B7661">
      <w:pPr>
        <w:spacing w:line="240" w:lineRule="auto"/>
        <w:ind w:left="540" w:hanging="540"/>
      </w:pPr>
      <w:r w:rsidRPr="00A447D7">
        <w:rPr>
          <w:b/>
        </w:rPr>
        <w:t>6.1</w:t>
      </w:r>
      <w:r w:rsidRPr="00A447D7">
        <w:rPr>
          <w:b/>
        </w:rPr>
        <w:tab/>
        <w:t>Zoznam pomocných látok</w:t>
      </w:r>
    </w:p>
    <w:p w14:paraId="6290C859" w14:textId="77777777" w:rsidR="008B7661" w:rsidRPr="00A447D7" w:rsidRDefault="008B7661" w:rsidP="008B7661">
      <w:pPr>
        <w:spacing w:line="240" w:lineRule="auto"/>
      </w:pPr>
    </w:p>
    <w:p w14:paraId="6762E3E5" w14:textId="77777777" w:rsidR="008B7661" w:rsidRPr="00A447D7" w:rsidRDefault="008B7661" w:rsidP="008B7661">
      <w:pPr>
        <w:spacing w:line="240" w:lineRule="auto"/>
        <w:rPr>
          <w:i/>
        </w:rPr>
      </w:pPr>
      <w:r w:rsidRPr="00A447D7">
        <w:rPr>
          <w:i/>
        </w:rPr>
        <w:t>Jadro tablety:</w:t>
      </w:r>
    </w:p>
    <w:p w14:paraId="57CDBD61" w14:textId="6DFF21C1" w:rsidR="008B7661" w:rsidRPr="00A447D7" w:rsidRDefault="008B7661" w:rsidP="008B7661">
      <w:pPr>
        <w:spacing w:line="240" w:lineRule="auto"/>
      </w:pPr>
      <w:r w:rsidRPr="00A447D7">
        <w:t>kroskarmelóz</w:t>
      </w:r>
      <w:r w:rsidR="007C4552">
        <w:t>a,</w:t>
      </w:r>
      <w:r w:rsidR="007C4552" w:rsidRPr="007C4552">
        <w:t xml:space="preserve"> </w:t>
      </w:r>
      <w:r w:rsidR="007C4552">
        <w:t>s</w:t>
      </w:r>
      <w:r w:rsidR="007C4552" w:rsidRPr="00A447D7">
        <w:t>odná soľ</w:t>
      </w:r>
    </w:p>
    <w:p w14:paraId="0AE70F61" w14:textId="77777777" w:rsidR="008B7661" w:rsidRPr="00A447D7" w:rsidRDefault="001F357C" w:rsidP="008B7661">
      <w:pPr>
        <w:spacing w:line="240" w:lineRule="auto"/>
      </w:pPr>
      <w:r>
        <w:t>h</w:t>
      </w:r>
      <w:r w:rsidRPr="00A447D7">
        <w:t>ydroxypropylcelulóza</w:t>
      </w:r>
    </w:p>
    <w:p w14:paraId="5D45A73F" w14:textId="76941E5E" w:rsidR="008B7661" w:rsidRPr="00A447D7" w:rsidRDefault="008B7661" w:rsidP="008B7661">
      <w:pPr>
        <w:spacing w:line="240" w:lineRule="auto"/>
      </w:pPr>
      <w:r w:rsidRPr="00A447D7">
        <w:t>trehalóz</w:t>
      </w:r>
      <w:r w:rsidR="007C4552">
        <w:t>a,</w:t>
      </w:r>
      <w:r w:rsidR="007C4552" w:rsidRPr="007C4552">
        <w:t xml:space="preserve"> </w:t>
      </w:r>
      <w:r w:rsidR="007C4552">
        <w:t>d</w:t>
      </w:r>
      <w:r w:rsidR="007C4552" w:rsidRPr="00A447D7">
        <w:t>ihydrát</w:t>
      </w:r>
    </w:p>
    <w:p w14:paraId="542DFFC4" w14:textId="6FB82C41" w:rsidR="008B7661" w:rsidRPr="00A447D7" w:rsidRDefault="001F357C" w:rsidP="008B7661">
      <w:pPr>
        <w:spacing w:line="240" w:lineRule="auto"/>
      </w:pPr>
      <w:r>
        <w:t>c</w:t>
      </w:r>
      <w:r w:rsidRPr="00A447D7">
        <w:t>elulóza</w:t>
      </w:r>
      <w:r w:rsidR="007C4552">
        <w:t>,</w:t>
      </w:r>
      <w:r w:rsidRPr="00A447D7">
        <w:t xml:space="preserve"> </w:t>
      </w:r>
      <w:r w:rsidR="008B7661" w:rsidRPr="00A447D7">
        <w:t>práškov</w:t>
      </w:r>
      <w:r w:rsidR="007C4552">
        <w:t>an</w:t>
      </w:r>
      <w:r w:rsidR="008B7661" w:rsidRPr="00A447D7">
        <w:t>á</w:t>
      </w:r>
    </w:p>
    <w:p w14:paraId="03B9E0EB" w14:textId="77777777" w:rsidR="008B7661" w:rsidRPr="00A447D7" w:rsidRDefault="001F357C" w:rsidP="008B7661">
      <w:pPr>
        <w:spacing w:line="240" w:lineRule="auto"/>
      </w:pPr>
      <w:r>
        <w:t>s</w:t>
      </w:r>
      <w:r w:rsidRPr="00A447D7">
        <w:t xml:space="preserve">íran </w:t>
      </w:r>
      <w:r w:rsidR="008B7661" w:rsidRPr="00A447D7">
        <w:t>sodný</w:t>
      </w:r>
      <w:r w:rsidR="00CD57B6">
        <w:t>, bezvodý</w:t>
      </w:r>
    </w:p>
    <w:p w14:paraId="0CF63B44" w14:textId="4B8DA9B8" w:rsidR="008B7661" w:rsidRPr="00A447D7" w:rsidRDefault="008B7661" w:rsidP="008B7661">
      <w:pPr>
        <w:spacing w:line="240" w:lineRule="auto"/>
      </w:pPr>
      <w:r w:rsidRPr="00A447D7">
        <w:t>celulóza</w:t>
      </w:r>
      <w:r w:rsidR="00CB5A04">
        <w:t>,</w:t>
      </w:r>
      <w:r w:rsidR="00CB5A04" w:rsidRPr="00CB5A04">
        <w:t xml:space="preserve"> </w:t>
      </w:r>
      <w:r w:rsidR="00CB5A04">
        <w:t>m</w:t>
      </w:r>
      <w:r w:rsidR="00CB5A04" w:rsidRPr="00A447D7">
        <w:t>ikrokryštalická</w:t>
      </w:r>
    </w:p>
    <w:p w14:paraId="5D4C5367" w14:textId="7B15F320" w:rsidR="008B7661" w:rsidRPr="00A447D7" w:rsidRDefault="001F357C" w:rsidP="008B7661">
      <w:pPr>
        <w:spacing w:line="240" w:lineRule="auto"/>
      </w:pPr>
      <w:r w:rsidRPr="00A447D7">
        <w:t>stearát</w:t>
      </w:r>
      <w:r w:rsidR="007C4552">
        <w:t xml:space="preserve"> horečnatý</w:t>
      </w:r>
    </w:p>
    <w:p w14:paraId="54287CFE" w14:textId="77777777" w:rsidR="008B7661" w:rsidRPr="00A447D7" w:rsidRDefault="008B7661" w:rsidP="008B7661">
      <w:pPr>
        <w:spacing w:line="240" w:lineRule="auto"/>
      </w:pPr>
    </w:p>
    <w:p w14:paraId="30500FAA" w14:textId="77777777" w:rsidR="008B7661" w:rsidRPr="00A447D7" w:rsidRDefault="008B7661" w:rsidP="008B7661">
      <w:pPr>
        <w:spacing w:line="240" w:lineRule="auto"/>
        <w:rPr>
          <w:i/>
        </w:rPr>
      </w:pPr>
      <w:r w:rsidRPr="00A447D7">
        <w:rPr>
          <w:i/>
        </w:rPr>
        <w:t>Filmová vrstva:</w:t>
      </w:r>
    </w:p>
    <w:p w14:paraId="0A75BC1C" w14:textId="2C025A79" w:rsidR="008B7661" w:rsidRPr="00A447D7" w:rsidRDefault="008B7661" w:rsidP="008B7661">
      <w:pPr>
        <w:spacing w:line="240" w:lineRule="auto"/>
      </w:pPr>
      <w:r w:rsidRPr="00A447D7">
        <w:t>polyvinylalkohol</w:t>
      </w:r>
      <w:r w:rsidR="00CB5A04">
        <w:t>,</w:t>
      </w:r>
      <w:r w:rsidR="00CB5A04" w:rsidRPr="00CB5A04">
        <w:t xml:space="preserve"> </w:t>
      </w:r>
      <w:r w:rsidR="00CB5A04">
        <w:t>č</w:t>
      </w:r>
      <w:r w:rsidR="00CB5A04" w:rsidRPr="00A447D7">
        <w:t>iastočne hydrolyzovaný</w:t>
      </w:r>
    </w:p>
    <w:p w14:paraId="61BE3F5C" w14:textId="77777777" w:rsidR="008B7661" w:rsidRPr="00A447D7" w:rsidRDefault="001F357C" w:rsidP="008B7661">
      <w:pPr>
        <w:spacing w:line="240" w:lineRule="auto"/>
      </w:pPr>
      <w:r>
        <w:t>m</w:t>
      </w:r>
      <w:r w:rsidRPr="00A447D7">
        <w:t>astenec</w:t>
      </w:r>
    </w:p>
    <w:p w14:paraId="5A91874F" w14:textId="77777777" w:rsidR="008B7661" w:rsidRPr="00A447D7" w:rsidRDefault="001F357C" w:rsidP="008B7661">
      <w:pPr>
        <w:spacing w:line="240" w:lineRule="auto"/>
      </w:pPr>
      <w:r>
        <w:t>o</w:t>
      </w:r>
      <w:r w:rsidRPr="00A447D7">
        <w:t xml:space="preserve">xid </w:t>
      </w:r>
      <w:r w:rsidR="008B7661" w:rsidRPr="00A447D7">
        <w:t>titaničitý (E171)</w:t>
      </w:r>
    </w:p>
    <w:p w14:paraId="1C00C834" w14:textId="77777777" w:rsidR="008B7661" w:rsidRPr="00A447D7" w:rsidRDefault="001F357C" w:rsidP="008B7661">
      <w:pPr>
        <w:spacing w:line="240" w:lineRule="auto"/>
      </w:pPr>
      <w:r>
        <w:t>m</w:t>
      </w:r>
      <w:r w:rsidRPr="00A447D7">
        <w:t>akrogol</w:t>
      </w:r>
    </w:p>
    <w:p w14:paraId="650D38F2" w14:textId="77777777" w:rsidR="008B7661" w:rsidRPr="00A447D7" w:rsidRDefault="001F357C" w:rsidP="008B7661">
      <w:pPr>
        <w:spacing w:line="240" w:lineRule="auto"/>
      </w:pPr>
      <w:r>
        <w:t>č</w:t>
      </w:r>
      <w:r w:rsidRPr="00A447D7">
        <w:t xml:space="preserve">ervený </w:t>
      </w:r>
      <w:r w:rsidR="008B7661" w:rsidRPr="00A447D7">
        <w:t>oxid železitý (E172)</w:t>
      </w:r>
    </w:p>
    <w:p w14:paraId="474E95BF" w14:textId="77777777" w:rsidR="008B7661" w:rsidRPr="00A447D7" w:rsidRDefault="001F357C" w:rsidP="008B7661">
      <w:pPr>
        <w:spacing w:line="240" w:lineRule="auto"/>
      </w:pPr>
      <w:r>
        <w:t>l</w:t>
      </w:r>
      <w:r w:rsidRPr="00A447D7">
        <w:t xml:space="preserve">ecitín </w:t>
      </w:r>
      <w:r w:rsidR="008B7661" w:rsidRPr="00A447D7">
        <w:t>(sójový) (E322)</w:t>
      </w:r>
    </w:p>
    <w:p w14:paraId="2CD3A791" w14:textId="77777777" w:rsidR="008B7661" w:rsidRPr="00A447D7" w:rsidRDefault="001F357C" w:rsidP="008B7661">
      <w:pPr>
        <w:spacing w:line="240" w:lineRule="auto"/>
      </w:pPr>
      <w:r>
        <w:t>ž</w:t>
      </w:r>
      <w:r w:rsidRPr="00A447D7">
        <w:t xml:space="preserve">ltý </w:t>
      </w:r>
      <w:r w:rsidR="008B7661" w:rsidRPr="00A447D7">
        <w:t>oxid železitý (E172)</w:t>
      </w:r>
    </w:p>
    <w:p w14:paraId="4ED01DB9" w14:textId="77777777" w:rsidR="008B7661" w:rsidRPr="00A447D7" w:rsidRDefault="008B7661" w:rsidP="008B7661">
      <w:pPr>
        <w:spacing w:line="240" w:lineRule="auto"/>
      </w:pPr>
    </w:p>
    <w:p w14:paraId="211116F4" w14:textId="77777777" w:rsidR="008B7661" w:rsidRPr="00A447D7" w:rsidRDefault="008B7661" w:rsidP="008B7661">
      <w:pPr>
        <w:numPr>
          <w:ilvl w:val="1"/>
          <w:numId w:val="7"/>
        </w:numPr>
        <w:tabs>
          <w:tab w:val="clear" w:pos="540"/>
        </w:tabs>
        <w:spacing w:line="240" w:lineRule="auto"/>
        <w:rPr>
          <w:b/>
        </w:rPr>
      </w:pPr>
      <w:r w:rsidRPr="00A447D7">
        <w:rPr>
          <w:b/>
        </w:rPr>
        <w:t>Inkompatibility</w:t>
      </w:r>
    </w:p>
    <w:p w14:paraId="27AA52D4" w14:textId="77777777" w:rsidR="008B7661" w:rsidRPr="00A447D7" w:rsidRDefault="008B7661" w:rsidP="008B7661">
      <w:pPr>
        <w:spacing w:line="240" w:lineRule="auto"/>
      </w:pPr>
    </w:p>
    <w:p w14:paraId="4C384DBB" w14:textId="77777777" w:rsidR="008B7661" w:rsidRPr="00A447D7" w:rsidRDefault="008B7661" w:rsidP="008B7661">
      <w:pPr>
        <w:spacing w:line="240" w:lineRule="auto"/>
      </w:pPr>
      <w:r w:rsidRPr="00A447D7">
        <w:t>Neaplikovateľné.</w:t>
      </w:r>
    </w:p>
    <w:p w14:paraId="270ADA0C" w14:textId="77777777" w:rsidR="008B7661" w:rsidRPr="00A447D7" w:rsidRDefault="008B7661" w:rsidP="008B7661">
      <w:pPr>
        <w:spacing w:line="240" w:lineRule="auto"/>
      </w:pPr>
    </w:p>
    <w:p w14:paraId="665BD367" w14:textId="77777777" w:rsidR="008B7661" w:rsidRPr="00A447D7" w:rsidRDefault="008B7661" w:rsidP="008B7661">
      <w:pPr>
        <w:spacing w:line="240" w:lineRule="auto"/>
        <w:ind w:left="540" w:hanging="540"/>
      </w:pPr>
      <w:r w:rsidRPr="00A447D7">
        <w:rPr>
          <w:b/>
        </w:rPr>
        <w:t>6.3</w:t>
      </w:r>
      <w:r w:rsidRPr="00A447D7">
        <w:rPr>
          <w:b/>
        </w:rPr>
        <w:tab/>
        <w:t>Čas použiteľnosti</w:t>
      </w:r>
    </w:p>
    <w:p w14:paraId="6BC9F679" w14:textId="77777777" w:rsidR="008B7661" w:rsidRPr="00A447D7" w:rsidRDefault="008B7661" w:rsidP="008B7661">
      <w:pPr>
        <w:spacing w:line="240" w:lineRule="auto"/>
      </w:pPr>
    </w:p>
    <w:p w14:paraId="3E017AEA" w14:textId="43B693FA" w:rsidR="008B7661" w:rsidRPr="00A447D7" w:rsidRDefault="006F2920" w:rsidP="008B7661">
      <w:pPr>
        <w:spacing w:line="240" w:lineRule="auto"/>
      </w:pPr>
      <w:r>
        <w:t>2</w:t>
      </w:r>
      <w:r w:rsidRPr="00A447D7">
        <w:t xml:space="preserve"> </w:t>
      </w:r>
      <w:r w:rsidR="002B6C09">
        <w:t>roky</w:t>
      </w:r>
    </w:p>
    <w:p w14:paraId="59D53FB1" w14:textId="77777777" w:rsidR="008B7661" w:rsidRPr="00A447D7" w:rsidRDefault="008B7661" w:rsidP="008B7661">
      <w:pPr>
        <w:spacing w:line="240" w:lineRule="auto"/>
      </w:pPr>
    </w:p>
    <w:p w14:paraId="64F95D96" w14:textId="77777777" w:rsidR="008B7661" w:rsidRPr="00A447D7" w:rsidRDefault="008B7661" w:rsidP="008B7661">
      <w:pPr>
        <w:spacing w:line="240" w:lineRule="auto"/>
        <w:ind w:left="540" w:hanging="540"/>
      </w:pPr>
      <w:r w:rsidRPr="00A447D7">
        <w:rPr>
          <w:b/>
        </w:rPr>
        <w:t>6.4</w:t>
      </w:r>
      <w:r w:rsidRPr="00A447D7">
        <w:rPr>
          <w:b/>
        </w:rPr>
        <w:tab/>
        <w:t>Špeciálne upozornenia na uchovávanie</w:t>
      </w:r>
    </w:p>
    <w:p w14:paraId="4D884019" w14:textId="77777777" w:rsidR="008B7661" w:rsidRPr="00A447D7" w:rsidRDefault="008B7661" w:rsidP="008B7661">
      <w:pPr>
        <w:spacing w:line="240" w:lineRule="auto"/>
      </w:pPr>
    </w:p>
    <w:p w14:paraId="1E6642E2" w14:textId="15C064FC" w:rsidR="008B7661" w:rsidRDefault="002B6C09" w:rsidP="008B7661">
      <w:pPr>
        <w:spacing w:line="240" w:lineRule="auto"/>
        <w:ind w:left="540" w:hanging="540"/>
      </w:pPr>
      <w:r>
        <w:t>Uchovávajte pri teplote neprevyšujúcej 30</w:t>
      </w:r>
      <w:r w:rsidR="00846737">
        <w:t> </w:t>
      </w:r>
      <w:r>
        <w:t>°C.</w:t>
      </w:r>
    </w:p>
    <w:p w14:paraId="5420946B" w14:textId="77777777" w:rsidR="002B6C09" w:rsidRPr="00A447D7" w:rsidRDefault="002B6C09" w:rsidP="008B7661">
      <w:pPr>
        <w:spacing w:line="240" w:lineRule="auto"/>
        <w:ind w:left="540" w:hanging="540"/>
      </w:pPr>
    </w:p>
    <w:p w14:paraId="00EAAF2E" w14:textId="77777777" w:rsidR="008B7661" w:rsidRPr="00A447D7" w:rsidRDefault="008B7661" w:rsidP="008B7661">
      <w:pPr>
        <w:spacing w:line="240" w:lineRule="auto"/>
        <w:ind w:left="540" w:hanging="540"/>
      </w:pPr>
      <w:r w:rsidRPr="00A447D7">
        <w:rPr>
          <w:b/>
        </w:rPr>
        <w:t>6.5</w:t>
      </w:r>
      <w:r w:rsidRPr="00A447D7">
        <w:rPr>
          <w:b/>
        </w:rPr>
        <w:tab/>
        <w:t>Druh obalu a obsah balenia</w:t>
      </w:r>
    </w:p>
    <w:p w14:paraId="464F372D" w14:textId="77777777" w:rsidR="008B7661" w:rsidRPr="00A447D7" w:rsidRDefault="008B7661" w:rsidP="008B7661">
      <w:pPr>
        <w:spacing w:line="240" w:lineRule="auto"/>
      </w:pPr>
    </w:p>
    <w:p w14:paraId="68048D6B" w14:textId="77777777" w:rsidR="008B7661" w:rsidRPr="00A447D7" w:rsidRDefault="008B7661" w:rsidP="008B7661">
      <w:pPr>
        <w:spacing w:line="240" w:lineRule="auto"/>
      </w:pPr>
      <w:r w:rsidRPr="00A447D7">
        <w:t>HDPE nádoba na tablety utesnená fóliou a uzatvorená PP skrutkovacím uzáverom.</w:t>
      </w:r>
    </w:p>
    <w:p w14:paraId="11B21F89" w14:textId="77777777" w:rsidR="008B7661" w:rsidRPr="00A447D7" w:rsidRDefault="008B7661" w:rsidP="008B7661">
      <w:pPr>
        <w:pStyle w:val="Textvysvtlivek"/>
      </w:pPr>
    </w:p>
    <w:p w14:paraId="79708031" w14:textId="77777777" w:rsidR="008B7661" w:rsidRPr="00A447D7" w:rsidRDefault="008B7661" w:rsidP="008B7661">
      <w:pPr>
        <w:spacing w:line="240" w:lineRule="auto"/>
      </w:pPr>
      <w:r w:rsidRPr="00A447D7">
        <w:t>Veľkosti balenia:</w:t>
      </w:r>
    </w:p>
    <w:p w14:paraId="6BF2C532" w14:textId="77777777" w:rsidR="008B7661" w:rsidRPr="00A447D7" w:rsidRDefault="008B7661" w:rsidP="008B7661">
      <w:pPr>
        <w:spacing w:line="240" w:lineRule="auto"/>
      </w:pPr>
      <w:r w:rsidRPr="00A447D7">
        <w:t>10, 30, 100, 130, 150, 160, 175 a 200 filmom obalených tabliet.</w:t>
      </w:r>
    </w:p>
    <w:p w14:paraId="5B83F07F" w14:textId="77777777" w:rsidR="008B7661" w:rsidRPr="00A447D7" w:rsidRDefault="008B7661" w:rsidP="008B7661">
      <w:pPr>
        <w:spacing w:line="240" w:lineRule="auto"/>
      </w:pPr>
    </w:p>
    <w:p w14:paraId="6FAE102D" w14:textId="77777777" w:rsidR="008B7661" w:rsidRPr="00A447D7" w:rsidRDefault="008B7661" w:rsidP="008B7661">
      <w:pPr>
        <w:spacing w:line="240" w:lineRule="auto"/>
      </w:pPr>
      <w:r w:rsidRPr="00A447D7">
        <w:t>Na trh nemusia byť uvedené všetky veľkosti balenia.</w:t>
      </w:r>
    </w:p>
    <w:p w14:paraId="03AF789A" w14:textId="77777777" w:rsidR="008B7661" w:rsidRPr="00A447D7" w:rsidRDefault="008B7661" w:rsidP="008B7661">
      <w:pPr>
        <w:spacing w:line="240" w:lineRule="auto"/>
      </w:pPr>
    </w:p>
    <w:p w14:paraId="7DB24EEF" w14:textId="77777777" w:rsidR="008B7661" w:rsidRPr="00A447D7" w:rsidRDefault="008B7661" w:rsidP="008B7661">
      <w:pPr>
        <w:numPr>
          <w:ilvl w:val="1"/>
          <w:numId w:val="13"/>
        </w:numPr>
        <w:spacing w:line="240" w:lineRule="auto"/>
        <w:rPr>
          <w:b/>
        </w:rPr>
      </w:pPr>
      <w:r w:rsidRPr="00A447D7">
        <w:rPr>
          <w:b/>
          <w:bCs/>
        </w:rPr>
        <w:t>Špeciálne opatrenia na likvidáciu</w:t>
      </w:r>
      <w:r w:rsidRPr="00A447D7">
        <w:rPr>
          <w:b/>
        </w:rPr>
        <w:t xml:space="preserve"> </w:t>
      </w:r>
    </w:p>
    <w:p w14:paraId="3C8B205C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caps/>
          <w:sz w:val="22"/>
          <w:lang w:val="sk-SK"/>
        </w:rPr>
      </w:pPr>
    </w:p>
    <w:p w14:paraId="406534E0" w14:textId="77777777" w:rsidR="008B7661" w:rsidRPr="00A447D7" w:rsidRDefault="008B7661" w:rsidP="008B7661">
      <w:pPr>
        <w:spacing w:line="240" w:lineRule="auto"/>
      </w:pPr>
      <w:r w:rsidRPr="00A447D7">
        <w:rPr>
          <w:snapToGrid w:val="0"/>
          <w:szCs w:val="22"/>
        </w:rPr>
        <w:t>Nepoužitý liek alebo odpad vzniknutý z lieku treba vrátiť do lekárne.</w:t>
      </w:r>
    </w:p>
    <w:p w14:paraId="05AA4BD9" w14:textId="77777777" w:rsidR="008B7661" w:rsidRDefault="008B7661" w:rsidP="008B7661">
      <w:pPr>
        <w:spacing w:line="240" w:lineRule="auto"/>
      </w:pPr>
    </w:p>
    <w:p w14:paraId="712C6878" w14:textId="77777777" w:rsidR="002B6C09" w:rsidRPr="00A447D7" w:rsidRDefault="002B6C09" w:rsidP="008B7661">
      <w:pPr>
        <w:spacing w:line="240" w:lineRule="auto"/>
      </w:pPr>
    </w:p>
    <w:p w14:paraId="4FB0BCFA" w14:textId="77777777" w:rsidR="008B7661" w:rsidRPr="00A447D7" w:rsidRDefault="008B7661" w:rsidP="008B7661">
      <w:pPr>
        <w:numPr>
          <w:ilvl w:val="0"/>
          <w:numId w:val="4"/>
        </w:numPr>
        <w:tabs>
          <w:tab w:val="clear" w:pos="570"/>
          <w:tab w:val="left" w:pos="567"/>
        </w:tabs>
        <w:spacing w:line="240" w:lineRule="auto"/>
        <w:ind w:left="540" w:hanging="540"/>
        <w:rPr>
          <w:b/>
        </w:rPr>
      </w:pPr>
      <w:r w:rsidRPr="00A447D7">
        <w:rPr>
          <w:b/>
        </w:rPr>
        <w:t>DRŽITEĽ ROZHODNUTIA O REGISTRÁCII</w:t>
      </w:r>
    </w:p>
    <w:p w14:paraId="4A4EA68D" w14:textId="77777777" w:rsidR="008B7661" w:rsidRPr="00A447D7" w:rsidRDefault="008B7661" w:rsidP="008B7661">
      <w:pPr>
        <w:pStyle w:val="Inforubrik2"/>
        <w:keepNext w:val="0"/>
        <w:pageBreakBefore w:val="0"/>
        <w:numPr>
          <w:ilvl w:val="0"/>
          <w:numId w:val="0"/>
        </w:numPr>
        <w:tabs>
          <w:tab w:val="left" w:pos="567"/>
        </w:tabs>
        <w:spacing w:before="0" w:after="0"/>
        <w:outlineLvl w:val="9"/>
        <w:rPr>
          <w:b w:val="0"/>
          <w:sz w:val="22"/>
          <w:lang w:val="sk-SK"/>
        </w:rPr>
      </w:pPr>
    </w:p>
    <w:p w14:paraId="46583FFF" w14:textId="77777777" w:rsidR="008B7661" w:rsidRDefault="003221B6" w:rsidP="008B7661">
      <w:pPr>
        <w:pStyle w:val="Textvysvtlivek"/>
      </w:pPr>
      <w:r>
        <w:t>STADA Arzneimittel AG</w:t>
      </w:r>
    </w:p>
    <w:p w14:paraId="429BEC22" w14:textId="77777777" w:rsidR="003221B6" w:rsidRDefault="003221B6" w:rsidP="008B7661">
      <w:pPr>
        <w:pStyle w:val="Textvysvtlivek"/>
      </w:pPr>
      <w:r>
        <w:t>Stadastrasse 2-18</w:t>
      </w:r>
    </w:p>
    <w:p w14:paraId="72BEADAA" w14:textId="77777777" w:rsidR="003221B6" w:rsidRDefault="003221B6" w:rsidP="008B7661">
      <w:pPr>
        <w:pStyle w:val="Textvysvtlivek"/>
      </w:pPr>
      <w:r>
        <w:t>61118 Bad Vilbel</w:t>
      </w:r>
    </w:p>
    <w:p w14:paraId="18194061" w14:textId="77777777" w:rsidR="003221B6" w:rsidRPr="00A447D7" w:rsidRDefault="003221B6" w:rsidP="008B7661">
      <w:pPr>
        <w:pStyle w:val="Textvysvtlivek"/>
      </w:pPr>
      <w:r>
        <w:t>Nemecko</w:t>
      </w:r>
    </w:p>
    <w:p w14:paraId="1BC79930" w14:textId="77777777" w:rsidR="008B7661" w:rsidRDefault="008B7661" w:rsidP="008B7661">
      <w:pPr>
        <w:spacing w:line="240" w:lineRule="auto"/>
      </w:pPr>
    </w:p>
    <w:p w14:paraId="534C9902" w14:textId="77777777" w:rsidR="003221B6" w:rsidRPr="00A447D7" w:rsidRDefault="003221B6" w:rsidP="008B7661">
      <w:pPr>
        <w:spacing w:line="240" w:lineRule="auto"/>
      </w:pPr>
    </w:p>
    <w:p w14:paraId="3C96C203" w14:textId="77777777" w:rsidR="008B7661" w:rsidRPr="00A447D7" w:rsidRDefault="008B7661" w:rsidP="008B7661">
      <w:pPr>
        <w:spacing w:line="240" w:lineRule="auto"/>
        <w:ind w:left="540" w:hanging="540"/>
        <w:rPr>
          <w:b/>
        </w:rPr>
      </w:pPr>
      <w:r w:rsidRPr="00A447D7">
        <w:rPr>
          <w:b/>
        </w:rPr>
        <w:t>8.</w:t>
      </w:r>
      <w:r w:rsidRPr="00A447D7">
        <w:rPr>
          <w:b/>
        </w:rPr>
        <w:tab/>
        <w:t>REGISTRAČNÉ ČÍSLA</w:t>
      </w:r>
    </w:p>
    <w:p w14:paraId="7E9DB039" w14:textId="77777777" w:rsidR="008B7661" w:rsidRPr="00A447D7" w:rsidRDefault="008B7661" w:rsidP="008B7661">
      <w:pPr>
        <w:spacing w:line="240" w:lineRule="auto"/>
      </w:pPr>
    </w:p>
    <w:p w14:paraId="027E7153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8F0B03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mg:</w:t>
      </w:r>
      <w:r w:rsidR="00FB7438">
        <w:rPr>
          <w:sz w:val="22"/>
          <w:lang w:val="sk-SK"/>
        </w:rPr>
        <w:t xml:space="preserve"> </w:t>
      </w:r>
      <w:r w:rsidR="00FB7438" w:rsidRPr="00FB7438">
        <w:rPr>
          <w:sz w:val="22"/>
          <w:lang w:val="sk-SK"/>
        </w:rPr>
        <w:t>27/0319/14-S</w:t>
      </w:r>
    </w:p>
    <w:p w14:paraId="47CE1EF2" w14:textId="77777777" w:rsidR="008B7661" w:rsidRPr="00BA12A1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BA12A1">
        <w:rPr>
          <w:sz w:val="22"/>
          <w:lang w:val="sk-SK"/>
        </w:rPr>
        <w:t xml:space="preserve">Levodopa/Carbidopa/Entacapone </w:t>
      </w:r>
      <w:r w:rsidR="008F0B03" w:rsidRPr="00BA12A1">
        <w:rPr>
          <w:sz w:val="22"/>
          <w:lang w:val="sk-SK"/>
        </w:rPr>
        <w:t>Stada</w:t>
      </w:r>
      <w:r w:rsidRPr="00BA12A1">
        <w:rPr>
          <w:sz w:val="22"/>
          <w:lang w:val="sk-SK"/>
        </w:rPr>
        <w:t xml:space="preserve"> 100 mg/25 mg/200 mg:</w:t>
      </w:r>
      <w:r w:rsidR="00FB7438" w:rsidRPr="00BA12A1">
        <w:rPr>
          <w:sz w:val="22"/>
          <w:lang w:val="sk-SK"/>
        </w:rPr>
        <w:t xml:space="preserve"> </w:t>
      </w:r>
      <w:r w:rsidR="00FB7438" w:rsidRPr="002B6C09">
        <w:rPr>
          <w:sz w:val="22"/>
          <w:lang w:val="sk-SK"/>
        </w:rPr>
        <w:t>27/0320/14-S</w:t>
      </w:r>
    </w:p>
    <w:p w14:paraId="498600AF" w14:textId="71559A2A" w:rsidR="008B7661" w:rsidRPr="00BA12A1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BA12A1">
        <w:rPr>
          <w:sz w:val="22"/>
          <w:lang w:val="sk-SK"/>
        </w:rPr>
        <w:t xml:space="preserve">Levodopa/Carbidopa/Entacapone </w:t>
      </w:r>
      <w:r w:rsidR="008F0B03" w:rsidRPr="00BA12A1">
        <w:rPr>
          <w:sz w:val="22"/>
          <w:lang w:val="sk-SK"/>
        </w:rPr>
        <w:t>Stada</w:t>
      </w:r>
      <w:r w:rsidRPr="00BA12A1">
        <w:rPr>
          <w:sz w:val="22"/>
          <w:lang w:val="sk-SK"/>
        </w:rPr>
        <w:t xml:space="preserve"> 150 mg/37,5 mg/200 mg: </w:t>
      </w:r>
      <w:r w:rsidR="00FB7438" w:rsidRPr="002B6C09">
        <w:rPr>
          <w:sz w:val="22"/>
          <w:lang w:val="sk-SK"/>
        </w:rPr>
        <w:t>27/0321/14-S</w:t>
      </w:r>
    </w:p>
    <w:p w14:paraId="34D51117" w14:textId="77777777" w:rsidR="008B7661" w:rsidRPr="00BA12A1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BA12A1">
        <w:rPr>
          <w:sz w:val="22"/>
          <w:lang w:val="sk-SK"/>
        </w:rPr>
        <w:t xml:space="preserve">Levodopa/Carbidopa/Entacapone </w:t>
      </w:r>
      <w:r w:rsidR="008F0B03" w:rsidRPr="00BA12A1">
        <w:rPr>
          <w:sz w:val="22"/>
          <w:lang w:val="sk-SK"/>
        </w:rPr>
        <w:t>Stada</w:t>
      </w:r>
      <w:r w:rsidRPr="00BA12A1">
        <w:rPr>
          <w:sz w:val="22"/>
          <w:lang w:val="sk-SK"/>
        </w:rPr>
        <w:t xml:space="preserve"> 175 mg/43,75 mg/200 mg: </w:t>
      </w:r>
      <w:r w:rsidR="00FB7438" w:rsidRPr="002B6C09">
        <w:rPr>
          <w:sz w:val="22"/>
          <w:lang w:val="sk-SK"/>
        </w:rPr>
        <w:t>27/0322/14-S</w:t>
      </w:r>
    </w:p>
    <w:p w14:paraId="6CFD7F30" w14:textId="77777777" w:rsidR="008B7661" w:rsidRPr="00A447D7" w:rsidRDefault="008B7661" w:rsidP="008B7661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BA12A1">
        <w:rPr>
          <w:sz w:val="22"/>
          <w:lang w:val="sk-SK"/>
        </w:rPr>
        <w:t xml:space="preserve">Levodopa/Carbidopa/Entacapone </w:t>
      </w:r>
      <w:r w:rsidR="008F0B03" w:rsidRPr="00BA12A1">
        <w:rPr>
          <w:sz w:val="22"/>
          <w:lang w:val="sk-SK"/>
        </w:rPr>
        <w:t>Stada</w:t>
      </w:r>
      <w:r w:rsidRPr="00BA12A1">
        <w:rPr>
          <w:sz w:val="22"/>
          <w:lang w:val="sk-SK"/>
        </w:rPr>
        <w:t xml:space="preserve"> 200 mg/50 mg/200 mg</w:t>
      </w:r>
      <w:r w:rsidRPr="002B6C09">
        <w:rPr>
          <w:sz w:val="22"/>
          <w:lang w:val="sk-SK"/>
        </w:rPr>
        <w:t>:</w:t>
      </w:r>
      <w:r w:rsidR="00FB7438">
        <w:rPr>
          <w:sz w:val="22"/>
          <w:lang w:val="sk-SK"/>
        </w:rPr>
        <w:t xml:space="preserve"> </w:t>
      </w:r>
      <w:r w:rsidR="00FB7438" w:rsidRPr="00FB7438">
        <w:rPr>
          <w:sz w:val="22"/>
          <w:lang w:val="sk-SK"/>
        </w:rPr>
        <w:t>27/03</w:t>
      </w:r>
      <w:r w:rsidR="00FB7438">
        <w:rPr>
          <w:sz w:val="22"/>
          <w:lang w:val="sk-SK"/>
        </w:rPr>
        <w:t>323</w:t>
      </w:r>
      <w:r w:rsidR="00FB7438" w:rsidRPr="00FB7438">
        <w:rPr>
          <w:sz w:val="22"/>
          <w:lang w:val="sk-SK"/>
        </w:rPr>
        <w:t>/14-S</w:t>
      </w:r>
    </w:p>
    <w:p w14:paraId="54053A7D" w14:textId="77777777" w:rsidR="008B7661" w:rsidRPr="00A447D7" w:rsidRDefault="008B7661" w:rsidP="008B7661">
      <w:pPr>
        <w:spacing w:line="240" w:lineRule="auto"/>
      </w:pPr>
    </w:p>
    <w:p w14:paraId="67A1B688" w14:textId="77777777" w:rsidR="008B7661" w:rsidRPr="00A447D7" w:rsidRDefault="008B7661" w:rsidP="008B7661">
      <w:pPr>
        <w:spacing w:line="240" w:lineRule="auto"/>
      </w:pPr>
    </w:p>
    <w:p w14:paraId="41E4798A" w14:textId="77777777" w:rsidR="008B7661" w:rsidRPr="00A447D7" w:rsidRDefault="008B7661" w:rsidP="008B7661">
      <w:pPr>
        <w:spacing w:line="240" w:lineRule="auto"/>
        <w:ind w:left="540" w:hanging="540"/>
        <w:rPr>
          <w:b/>
        </w:rPr>
      </w:pPr>
      <w:r w:rsidRPr="00A447D7">
        <w:rPr>
          <w:b/>
        </w:rPr>
        <w:t>9.</w:t>
      </w:r>
      <w:r w:rsidRPr="00A447D7">
        <w:rPr>
          <w:b/>
        </w:rPr>
        <w:tab/>
        <w:t>DÁTUM PRVEJ REGISTRÁCIE/ PREDĹŽENIE REGISTRÁCIE</w:t>
      </w:r>
    </w:p>
    <w:p w14:paraId="75177FD1" w14:textId="77777777" w:rsidR="008B7661" w:rsidRPr="00A447D7" w:rsidRDefault="008B7661" w:rsidP="008B7661">
      <w:pPr>
        <w:spacing w:line="240" w:lineRule="auto"/>
      </w:pPr>
    </w:p>
    <w:p w14:paraId="218F6937" w14:textId="10EECDB9" w:rsidR="008B7661" w:rsidRPr="00A447D7" w:rsidRDefault="008B7661" w:rsidP="008B7661">
      <w:pPr>
        <w:spacing w:line="240" w:lineRule="auto"/>
      </w:pPr>
      <w:r w:rsidRPr="00A447D7">
        <w:t xml:space="preserve">Dátum prvej registrácie: </w:t>
      </w:r>
      <w:r w:rsidR="002B6C09">
        <w:t>26. septembra 2014</w:t>
      </w:r>
    </w:p>
    <w:p w14:paraId="15C4393A" w14:textId="26BADD64" w:rsidR="008B7661" w:rsidRDefault="00A73BB7" w:rsidP="008B7661">
      <w:pPr>
        <w:spacing w:line="240" w:lineRule="auto"/>
      </w:pPr>
      <w:r>
        <w:t>Dátum posledného predĺženia registrácie: 24. apríla 2019</w:t>
      </w:r>
    </w:p>
    <w:p w14:paraId="157AE549" w14:textId="77777777" w:rsidR="00A73BB7" w:rsidRDefault="00A73BB7" w:rsidP="008B7661">
      <w:pPr>
        <w:spacing w:line="240" w:lineRule="auto"/>
      </w:pPr>
    </w:p>
    <w:p w14:paraId="23D41C2C" w14:textId="77777777" w:rsidR="00FB7438" w:rsidRPr="00A447D7" w:rsidRDefault="00FB7438" w:rsidP="008B7661">
      <w:pPr>
        <w:spacing w:line="240" w:lineRule="auto"/>
      </w:pPr>
    </w:p>
    <w:p w14:paraId="1B497D02" w14:textId="77777777" w:rsidR="008B7661" w:rsidRDefault="008B7661" w:rsidP="008B7661">
      <w:pPr>
        <w:spacing w:line="240" w:lineRule="auto"/>
        <w:ind w:left="540" w:hanging="540"/>
        <w:rPr>
          <w:b/>
        </w:rPr>
      </w:pPr>
      <w:r w:rsidRPr="00A447D7">
        <w:rPr>
          <w:b/>
        </w:rPr>
        <w:t>10.</w:t>
      </w:r>
      <w:r w:rsidRPr="00A447D7">
        <w:rPr>
          <w:b/>
        </w:rPr>
        <w:tab/>
        <w:t>DÁTUM REVÍZIE TEXTU</w:t>
      </w:r>
    </w:p>
    <w:p w14:paraId="6D4D71F7" w14:textId="77777777" w:rsidR="007764FB" w:rsidRDefault="007764FB" w:rsidP="008B7661">
      <w:pPr>
        <w:spacing w:line="240" w:lineRule="auto"/>
        <w:ind w:left="540" w:hanging="540"/>
        <w:rPr>
          <w:b/>
        </w:rPr>
      </w:pPr>
    </w:p>
    <w:p w14:paraId="4F1A126E" w14:textId="7C081EA9" w:rsidR="007764FB" w:rsidRPr="007764FB" w:rsidRDefault="00CB5A04" w:rsidP="008B7661">
      <w:pPr>
        <w:spacing w:line="240" w:lineRule="auto"/>
        <w:ind w:left="540" w:hanging="540"/>
      </w:pPr>
      <w:r>
        <w:t>04/2020</w:t>
      </w:r>
    </w:p>
    <w:sectPr w:rsidR="007764FB" w:rsidRPr="007764FB" w:rsidSect="00BA12A1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58F14" w14:textId="77777777" w:rsidR="00484797" w:rsidRDefault="00484797">
      <w:r>
        <w:separator/>
      </w:r>
    </w:p>
  </w:endnote>
  <w:endnote w:type="continuationSeparator" w:id="0">
    <w:p w14:paraId="4278E2C7" w14:textId="77777777" w:rsidR="00484797" w:rsidRDefault="00484797">
      <w:r>
        <w:continuationSeparator/>
      </w:r>
    </w:p>
  </w:endnote>
  <w:endnote w:type="continuationNotice" w:id="1">
    <w:p w14:paraId="5A45D5E5" w14:textId="77777777" w:rsidR="00484797" w:rsidRDefault="004847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2595" w14:textId="77777777" w:rsidR="00436FDB" w:rsidRDefault="00436F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1B94A0" w14:textId="77777777" w:rsidR="00436FDB" w:rsidRDefault="00436F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60AE" w14:textId="77777777" w:rsidR="00436FDB" w:rsidRPr="00436FDB" w:rsidRDefault="00436FDB">
    <w:pPr>
      <w:pStyle w:val="Zpat"/>
      <w:jc w:val="center"/>
      <w:rPr>
        <w:rFonts w:ascii="Times New Roman" w:hAnsi="Times New Roman"/>
        <w:sz w:val="18"/>
        <w:szCs w:val="18"/>
      </w:rPr>
    </w:pPr>
    <w:r w:rsidRPr="00436FDB">
      <w:rPr>
        <w:rStyle w:val="slostrnky"/>
        <w:rFonts w:ascii="Times New Roman" w:hAnsi="Times New Roman"/>
        <w:sz w:val="18"/>
        <w:szCs w:val="18"/>
      </w:rPr>
      <w:fldChar w:fldCharType="begin"/>
    </w:r>
    <w:r w:rsidRPr="00436FDB">
      <w:rPr>
        <w:rStyle w:val="slostrnky"/>
        <w:rFonts w:ascii="Times New Roman" w:hAnsi="Times New Roman"/>
        <w:sz w:val="18"/>
        <w:szCs w:val="18"/>
      </w:rPr>
      <w:instrText xml:space="preserve"> PAGE </w:instrText>
    </w:r>
    <w:r w:rsidRPr="00436FDB">
      <w:rPr>
        <w:rStyle w:val="slostrnky"/>
        <w:rFonts w:ascii="Times New Roman" w:hAnsi="Times New Roman"/>
        <w:sz w:val="18"/>
        <w:szCs w:val="18"/>
      </w:rPr>
      <w:fldChar w:fldCharType="separate"/>
    </w:r>
    <w:r w:rsidR="00E16B68">
      <w:rPr>
        <w:rStyle w:val="slostrnky"/>
        <w:rFonts w:ascii="Times New Roman" w:hAnsi="Times New Roman"/>
        <w:noProof/>
        <w:sz w:val="18"/>
        <w:szCs w:val="18"/>
      </w:rPr>
      <w:t>1</w:t>
    </w:r>
    <w:r w:rsidRPr="00436FDB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21758" w14:textId="77777777" w:rsidR="00484797" w:rsidRDefault="00484797">
      <w:r>
        <w:separator/>
      </w:r>
    </w:p>
  </w:footnote>
  <w:footnote w:type="continuationSeparator" w:id="0">
    <w:p w14:paraId="7362F3FA" w14:textId="77777777" w:rsidR="00484797" w:rsidRDefault="00484797">
      <w:r>
        <w:continuationSeparator/>
      </w:r>
    </w:p>
  </w:footnote>
  <w:footnote w:type="continuationNotice" w:id="1">
    <w:p w14:paraId="6CFF5F88" w14:textId="77777777" w:rsidR="00484797" w:rsidRDefault="004847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6E67" w14:textId="77959B6A" w:rsidR="002B6C09" w:rsidRDefault="00A73BB7" w:rsidP="00F26802">
    <w:pPr>
      <w:spacing w:line="240" w:lineRule="auto"/>
    </w:pPr>
    <w:r>
      <w:rPr>
        <w:sz w:val="18"/>
        <w:szCs w:val="18"/>
      </w:rPr>
      <w:t>Príloha č. 1 k notifikácii o zmene, ev. č.: 2019/0</w:t>
    </w:r>
    <w:r w:rsidR="007C4552">
      <w:rPr>
        <w:sz w:val="18"/>
        <w:szCs w:val="18"/>
      </w:rPr>
      <w:t>6977-Z1B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7926" w14:textId="77777777" w:rsidR="002B6C09" w:rsidRDefault="002B6C09" w:rsidP="002B6C09">
    <w:pPr>
      <w:spacing w:line="240" w:lineRule="auto"/>
      <w:rPr>
        <w:sz w:val="18"/>
        <w:szCs w:val="18"/>
      </w:rPr>
    </w:pPr>
    <w:r>
      <w:rPr>
        <w:sz w:val="18"/>
        <w:szCs w:val="18"/>
      </w:rPr>
      <w:t>Príloha č. 1 k notifikácii o zmene, ev. č.: 2016/0</w:t>
    </w:r>
    <w:r w:rsidR="00F60F2F">
      <w:rPr>
        <w:sz w:val="18"/>
        <w:szCs w:val="18"/>
      </w:rPr>
      <w:t>6141-Z1B</w:t>
    </w:r>
  </w:p>
  <w:p w14:paraId="0CCF885D" w14:textId="77777777" w:rsidR="00566DA1" w:rsidRPr="00667905" w:rsidRDefault="00566DA1" w:rsidP="00566DA1">
    <w:pPr>
      <w:spacing w:line="240" w:lineRule="auto"/>
      <w:rPr>
        <w:sz w:val="18"/>
        <w:szCs w:val="18"/>
      </w:rPr>
    </w:pPr>
    <w:r>
      <w:rPr>
        <w:sz w:val="18"/>
        <w:szCs w:val="18"/>
      </w:rPr>
      <w:t>Príloha č. 1 k notifikácii o zmene, ev. č.: 2017/0</w:t>
    </w:r>
    <w:r w:rsidR="00DF317F">
      <w:rPr>
        <w:sz w:val="18"/>
        <w:szCs w:val="18"/>
      </w:rPr>
      <w:t>5773-Z1B</w:t>
    </w:r>
  </w:p>
  <w:p w14:paraId="10AF1E4C" w14:textId="77777777" w:rsidR="00566DA1" w:rsidRPr="00667905" w:rsidRDefault="00566DA1" w:rsidP="002B6C09">
    <w:pPr>
      <w:spacing w:line="240" w:lineRule="auto"/>
      <w:rPr>
        <w:sz w:val="18"/>
        <w:szCs w:val="18"/>
      </w:rPr>
    </w:pPr>
  </w:p>
  <w:p w14:paraId="2929FA2A" w14:textId="77777777" w:rsidR="002B6C09" w:rsidRDefault="002B6C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5C6D864"/>
    <w:lvl w:ilvl="0">
      <w:start w:val="1"/>
      <w:numFmt w:val="none"/>
      <w:pStyle w:val="Inforubrik2"/>
      <w:suff w:val="nothing"/>
      <w:lvlText w:val=""/>
      <w:lvlJc w:val="left"/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843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AC53EA"/>
    <w:multiLevelType w:val="hybridMultilevel"/>
    <w:tmpl w:val="1EFE53C8"/>
    <w:lvl w:ilvl="0" w:tplc="DA9E8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6037"/>
    <w:multiLevelType w:val="hybridMultilevel"/>
    <w:tmpl w:val="F7F2825C"/>
    <w:lvl w:ilvl="0" w:tplc="0409000F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947EE"/>
    <w:multiLevelType w:val="hybridMultilevel"/>
    <w:tmpl w:val="4CA6FB92"/>
    <w:lvl w:ilvl="0" w:tplc="CC32466A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" w15:restartNumberingAfterBreak="0">
    <w:nsid w:val="0917592C"/>
    <w:multiLevelType w:val="hybridMultilevel"/>
    <w:tmpl w:val="7278C9C0"/>
    <w:lvl w:ilvl="0" w:tplc="3F92409A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9BF"/>
    <w:multiLevelType w:val="hybridMultilevel"/>
    <w:tmpl w:val="2BE2C784"/>
    <w:lvl w:ilvl="0" w:tplc="72720E2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1975A3"/>
    <w:multiLevelType w:val="multilevel"/>
    <w:tmpl w:val="966890E6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0B055F"/>
    <w:multiLevelType w:val="hybridMultilevel"/>
    <w:tmpl w:val="5E5EB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635EF3"/>
    <w:multiLevelType w:val="hybridMultilevel"/>
    <w:tmpl w:val="B0E60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2301B"/>
    <w:multiLevelType w:val="hybridMultilevel"/>
    <w:tmpl w:val="CE74F0B6"/>
    <w:lvl w:ilvl="0" w:tplc="040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75062"/>
    <w:multiLevelType w:val="hybridMultilevel"/>
    <w:tmpl w:val="2E12DB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405DD"/>
    <w:multiLevelType w:val="multilevel"/>
    <w:tmpl w:val="1C5AFF6E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CDB3CBE"/>
    <w:multiLevelType w:val="hybridMultilevel"/>
    <w:tmpl w:val="2BA8278C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14B66"/>
    <w:multiLevelType w:val="hybridMultilevel"/>
    <w:tmpl w:val="50EE2BAA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5393"/>
    <w:multiLevelType w:val="hybridMultilevel"/>
    <w:tmpl w:val="0B0E6AA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07454"/>
    <w:multiLevelType w:val="hybridMultilevel"/>
    <w:tmpl w:val="F1F63264"/>
    <w:lvl w:ilvl="0" w:tplc="45E8677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95932"/>
    <w:multiLevelType w:val="hybridMultilevel"/>
    <w:tmpl w:val="1B723532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11E42"/>
    <w:multiLevelType w:val="hybridMultilevel"/>
    <w:tmpl w:val="219A8134"/>
    <w:lvl w:ilvl="0" w:tplc="DA9E8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E67EB"/>
    <w:multiLevelType w:val="singleLevel"/>
    <w:tmpl w:val="CC32466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21B0071"/>
    <w:multiLevelType w:val="hybridMultilevel"/>
    <w:tmpl w:val="5FB29128"/>
    <w:lvl w:ilvl="0" w:tplc="18667DC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D27A4A"/>
    <w:multiLevelType w:val="hybridMultilevel"/>
    <w:tmpl w:val="6B32C9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27767"/>
    <w:multiLevelType w:val="multilevel"/>
    <w:tmpl w:val="14A8E16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3DA11723"/>
    <w:multiLevelType w:val="hybridMultilevel"/>
    <w:tmpl w:val="84AEA1CA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86678"/>
    <w:multiLevelType w:val="hybridMultilevel"/>
    <w:tmpl w:val="CC3224DC"/>
    <w:lvl w:ilvl="0" w:tplc="8D58D12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0523D2"/>
    <w:multiLevelType w:val="hybridMultilevel"/>
    <w:tmpl w:val="BE9AC41A"/>
    <w:lvl w:ilvl="0" w:tplc="A758446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92FC4"/>
    <w:multiLevelType w:val="multilevel"/>
    <w:tmpl w:val="6994CF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9C6750D"/>
    <w:multiLevelType w:val="hybridMultilevel"/>
    <w:tmpl w:val="8B80456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32838"/>
    <w:multiLevelType w:val="hybridMultilevel"/>
    <w:tmpl w:val="5F3CE81C"/>
    <w:lvl w:ilvl="0" w:tplc="ECD412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B4096D"/>
    <w:multiLevelType w:val="hybridMultilevel"/>
    <w:tmpl w:val="87D459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85CCE"/>
    <w:multiLevelType w:val="hybridMultilevel"/>
    <w:tmpl w:val="2A58FF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400E4"/>
    <w:multiLevelType w:val="hybridMultilevel"/>
    <w:tmpl w:val="B6C89AEA"/>
    <w:lvl w:ilvl="0" w:tplc="85521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343BC5"/>
    <w:multiLevelType w:val="hybridMultilevel"/>
    <w:tmpl w:val="858014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6648"/>
    <w:multiLevelType w:val="hybridMultilevel"/>
    <w:tmpl w:val="6862DF6C"/>
    <w:lvl w:ilvl="0" w:tplc="45E8677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4A9C"/>
    <w:multiLevelType w:val="hybridMultilevel"/>
    <w:tmpl w:val="28744716"/>
    <w:lvl w:ilvl="0" w:tplc="27986BDA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22728"/>
    <w:multiLevelType w:val="hybridMultilevel"/>
    <w:tmpl w:val="C60A2416"/>
    <w:lvl w:ilvl="0" w:tplc="CCB028A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DA9E9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664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61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681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28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83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306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41C1"/>
    <w:multiLevelType w:val="hybridMultilevel"/>
    <w:tmpl w:val="CC3224DC"/>
    <w:lvl w:ilvl="0" w:tplc="8D58D12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892B87"/>
    <w:multiLevelType w:val="hybridMultilevel"/>
    <w:tmpl w:val="7C78985E"/>
    <w:lvl w:ilvl="0" w:tplc="EBE08E7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B3094"/>
    <w:multiLevelType w:val="hybridMultilevel"/>
    <w:tmpl w:val="3362822C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96FD8"/>
    <w:multiLevelType w:val="hybridMultilevel"/>
    <w:tmpl w:val="4EAECB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7113C"/>
    <w:multiLevelType w:val="hybridMultilevel"/>
    <w:tmpl w:val="68A02184"/>
    <w:lvl w:ilvl="0" w:tplc="716CD47A">
      <w:start w:val="7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43BD"/>
    <w:multiLevelType w:val="hybridMultilevel"/>
    <w:tmpl w:val="EBCCAA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A37F3"/>
    <w:multiLevelType w:val="hybridMultilevel"/>
    <w:tmpl w:val="3098C80E"/>
    <w:lvl w:ilvl="0" w:tplc="DA9E8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F3996"/>
    <w:multiLevelType w:val="hybridMultilevel"/>
    <w:tmpl w:val="D2046998"/>
    <w:lvl w:ilvl="0" w:tplc="DA9E8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52E8C"/>
    <w:multiLevelType w:val="hybridMultilevel"/>
    <w:tmpl w:val="E324A06E"/>
    <w:lvl w:ilvl="0" w:tplc="69C2A8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354F3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C8EB9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F4FD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200C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9A6CE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B64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80B1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349E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701B67"/>
    <w:multiLevelType w:val="hybridMultilevel"/>
    <w:tmpl w:val="CEFE75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B39DC"/>
    <w:multiLevelType w:val="hybridMultilevel"/>
    <w:tmpl w:val="E16EE3A0"/>
    <w:lvl w:ilvl="0" w:tplc="DA9E8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6843E4"/>
    <w:multiLevelType w:val="hybridMultilevel"/>
    <w:tmpl w:val="628AA4B0"/>
    <w:lvl w:ilvl="0" w:tplc="AB706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EB4582"/>
    <w:multiLevelType w:val="hybridMultilevel"/>
    <w:tmpl w:val="B83A0D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4015E"/>
    <w:multiLevelType w:val="hybridMultilevel"/>
    <w:tmpl w:val="E4C29C2A"/>
    <w:lvl w:ilvl="0" w:tplc="E392DA50">
      <w:start w:val="2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1" w15:restartNumberingAfterBreak="0">
    <w:nsid w:val="7B8745DC"/>
    <w:multiLevelType w:val="hybridMultilevel"/>
    <w:tmpl w:val="B0AC5676"/>
    <w:lvl w:ilvl="0" w:tplc="DA9E8FFA">
      <w:numFmt w:val="bullet"/>
      <w:lvlText w:val="-"/>
      <w:lvlJc w:val="left"/>
      <w:pPr>
        <w:tabs>
          <w:tab w:val="num" w:pos="-460"/>
        </w:tabs>
        <w:ind w:left="-4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</w:abstractNum>
  <w:abstractNum w:abstractNumId="52" w15:restartNumberingAfterBreak="0">
    <w:nsid w:val="7F7F7249"/>
    <w:multiLevelType w:val="hybridMultilevel"/>
    <w:tmpl w:val="504A92D4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9"/>
  </w:num>
  <w:num w:numId="5">
    <w:abstractNumId w:val="45"/>
  </w:num>
  <w:num w:numId="6">
    <w:abstractNumId w:val="35"/>
  </w:num>
  <w:num w:numId="7">
    <w:abstractNumId w:val="7"/>
  </w:num>
  <w:num w:numId="8">
    <w:abstractNumId w:val="22"/>
  </w:num>
  <w:num w:numId="9">
    <w:abstractNumId w:val="3"/>
  </w:num>
  <w:num w:numId="1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48"/>
  </w:num>
  <w:num w:numId="12">
    <w:abstractNumId w:val="40"/>
  </w:num>
  <w:num w:numId="13">
    <w:abstractNumId w:val="12"/>
  </w:num>
  <w:num w:numId="14">
    <w:abstractNumId w:val="4"/>
  </w:num>
  <w:num w:numId="15">
    <w:abstractNumId w:val="31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7"/>
  </w:num>
  <w:num w:numId="19">
    <w:abstractNumId w:val="17"/>
  </w:num>
  <w:num w:numId="20">
    <w:abstractNumId w:val="14"/>
  </w:num>
  <w:num w:numId="21">
    <w:abstractNumId w:val="23"/>
  </w:num>
  <w:num w:numId="22">
    <w:abstractNumId w:val="38"/>
  </w:num>
  <w:num w:numId="23">
    <w:abstractNumId w:val="52"/>
  </w:num>
  <w:num w:numId="24">
    <w:abstractNumId w:val="15"/>
  </w:num>
  <w:num w:numId="25">
    <w:abstractNumId w:val="13"/>
  </w:num>
  <w:num w:numId="26">
    <w:abstractNumId w:val="27"/>
  </w:num>
  <w:num w:numId="27">
    <w:abstractNumId w:val="26"/>
  </w:num>
  <w:num w:numId="28">
    <w:abstractNumId w:val="10"/>
  </w:num>
  <w:num w:numId="29">
    <w:abstractNumId w:val="51"/>
  </w:num>
  <w:num w:numId="30">
    <w:abstractNumId w:val="2"/>
  </w:num>
  <w:num w:numId="31">
    <w:abstractNumId w:val="47"/>
  </w:num>
  <w:num w:numId="32">
    <w:abstractNumId w:val="18"/>
  </w:num>
  <w:num w:numId="33">
    <w:abstractNumId w:val="44"/>
  </w:num>
  <w:num w:numId="34">
    <w:abstractNumId w:val="42"/>
  </w:num>
  <w:num w:numId="35">
    <w:abstractNumId w:val="39"/>
  </w:num>
  <w:num w:numId="36">
    <w:abstractNumId w:val="34"/>
  </w:num>
  <w:num w:numId="37">
    <w:abstractNumId w:val="6"/>
  </w:num>
  <w:num w:numId="38">
    <w:abstractNumId w:val="24"/>
  </w:num>
  <w:num w:numId="39">
    <w:abstractNumId w:val="20"/>
  </w:num>
  <w:num w:numId="40">
    <w:abstractNumId w:val="5"/>
  </w:num>
  <w:num w:numId="41">
    <w:abstractNumId w:val="36"/>
  </w:num>
  <w:num w:numId="42">
    <w:abstractNumId w:val="50"/>
  </w:num>
  <w:num w:numId="43">
    <w:abstractNumId w:val="33"/>
  </w:num>
  <w:num w:numId="44">
    <w:abstractNumId w:val="16"/>
  </w:num>
  <w:num w:numId="45">
    <w:abstractNumId w:val="48"/>
  </w:num>
  <w:num w:numId="46">
    <w:abstractNumId w:val="41"/>
  </w:num>
  <w:num w:numId="47">
    <w:abstractNumId w:val="46"/>
  </w:num>
  <w:num w:numId="48">
    <w:abstractNumId w:val="11"/>
  </w:num>
  <w:num w:numId="49">
    <w:abstractNumId w:val="49"/>
  </w:num>
  <w:num w:numId="50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1">
    <w:abstractNumId w:val="8"/>
  </w:num>
  <w:num w:numId="52">
    <w:abstractNumId w:val="9"/>
  </w:num>
  <w:num w:numId="53">
    <w:abstractNumId w:val="43"/>
  </w:num>
  <w:num w:numId="54">
    <w:abstractNumId w:val="8"/>
  </w:num>
  <w:num w:numId="55">
    <w:abstractNumId w:val="32"/>
  </w:num>
  <w:num w:numId="56">
    <w:abstractNumId w:val="30"/>
  </w:num>
  <w:num w:numId="57">
    <w:abstractNumId w:val="21"/>
  </w:num>
  <w:num w:numId="58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rawingGridVerticalSpacing w:val="23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_extra_attribute" w:val=" "/>
    <w:docVar w:name="o_title" w:val="5 July 2004"/>
    <w:docVar w:name="Registered" w:val="-1"/>
    <w:docVar w:name="Version" w:val="0"/>
  </w:docVars>
  <w:rsids>
    <w:rsidRoot w:val="00D32143"/>
    <w:rsid w:val="00004F45"/>
    <w:rsid w:val="00006B16"/>
    <w:rsid w:val="0000764A"/>
    <w:rsid w:val="00010140"/>
    <w:rsid w:val="00014EB8"/>
    <w:rsid w:val="00041E9B"/>
    <w:rsid w:val="00052D05"/>
    <w:rsid w:val="0006573F"/>
    <w:rsid w:val="00066448"/>
    <w:rsid w:val="00075078"/>
    <w:rsid w:val="00092949"/>
    <w:rsid w:val="00095FF3"/>
    <w:rsid w:val="000B42D4"/>
    <w:rsid w:val="000C030A"/>
    <w:rsid w:val="000E32EA"/>
    <w:rsid w:val="000E57E3"/>
    <w:rsid w:val="00105A6B"/>
    <w:rsid w:val="00123CC3"/>
    <w:rsid w:val="00131C6E"/>
    <w:rsid w:val="00140FAD"/>
    <w:rsid w:val="00176D2D"/>
    <w:rsid w:val="001774AE"/>
    <w:rsid w:val="00190470"/>
    <w:rsid w:val="001B003C"/>
    <w:rsid w:val="001B0B73"/>
    <w:rsid w:val="001B0EFB"/>
    <w:rsid w:val="001D2607"/>
    <w:rsid w:val="001F357C"/>
    <w:rsid w:val="0020082C"/>
    <w:rsid w:val="0020228F"/>
    <w:rsid w:val="002140E9"/>
    <w:rsid w:val="002174D4"/>
    <w:rsid w:val="002336D4"/>
    <w:rsid w:val="00233EEE"/>
    <w:rsid w:val="002347DA"/>
    <w:rsid w:val="00240D51"/>
    <w:rsid w:val="00241688"/>
    <w:rsid w:val="0027257E"/>
    <w:rsid w:val="0027480C"/>
    <w:rsid w:val="00290703"/>
    <w:rsid w:val="002A4E99"/>
    <w:rsid w:val="002B6C09"/>
    <w:rsid w:val="002C0C30"/>
    <w:rsid w:val="002C118E"/>
    <w:rsid w:val="002D589F"/>
    <w:rsid w:val="002D6B2D"/>
    <w:rsid w:val="002F1DDA"/>
    <w:rsid w:val="00304E49"/>
    <w:rsid w:val="003075DF"/>
    <w:rsid w:val="003221B6"/>
    <w:rsid w:val="003366A7"/>
    <w:rsid w:val="00341C6B"/>
    <w:rsid w:val="00342C6C"/>
    <w:rsid w:val="00353122"/>
    <w:rsid w:val="00365F76"/>
    <w:rsid w:val="0038409D"/>
    <w:rsid w:val="003A0E96"/>
    <w:rsid w:val="003B2580"/>
    <w:rsid w:val="003B25FE"/>
    <w:rsid w:val="003B624A"/>
    <w:rsid w:val="003C51FB"/>
    <w:rsid w:val="00412050"/>
    <w:rsid w:val="00416377"/>
    <w:rsid w:val="00420097"/>
    <w:rsid w:val="0043103F"/>
    <w:rsid w:val="0043121E"/>
    <w:rsid w:val="00435C05"/>
    <w:rsid w:val="00436FDB"/>
    <w:rsid w:val="00440D48"/>
    <w:rsid w:val="00445DDF"/>
    <w:rsid w:val="00450C7C"/>
    <w:rsid w:val="00456600"/>
    <w:rsid w:val="004568EF"/>
    <w:rsid w:val="00457D51"/>
    <w:rsid w:val="004632AA"/>
    <w:rsid w:val="0046474A"/>
    <w:rsid w:val="00467017"/>
    <w:rsid w:val="004774BE"/>
    <w:rsid w:val="004804C4"/>
    <w:rsid w:val="00484797"/>
    <w:rsid w:val="0048665C"/>
    <w:rsid w:val="0049728B"/>
    <w:rsid w:val="004A2345"/>
    <w:rsid w:val="004A72E5"/>
    <w:rsid w:val="004C10B1"/>
    <w:rsid w:val="004C6A3D"/>
    <w:rsid w:val="004D4566"/>
    <w:rsid w:val="004D570D"/>
    <w:rsid w:val="004F7DE1"/>
    <w:rsid w:val="00516610"/>
    <w:rsid w:val="005307DF"/>
    <w:rsid w:val="005318C3"/>
    <w:rsid w:val="00534ED3"/>
    <w:rsid w:val="005555D9"/>
    <w:rsid w:val="00566DA1"/>
    <w:rsid w:val="0057388B"/>
    <w:rsid w:val="005919A8"/>
    <w:rsid w:val="005A4662"/>
    <w:rsid w:val="005A6CA3"/>
    <w:rsid w:val="005A7ECE"/>
    <w:rsid w:val="005B0ABB"/>
    <w:rsid w:val="005C4A68"/>
    <w:rsid w:val="005C4C8E"/>
    <w:rsid w:val="005D5691"/>
    <w:rsid w:val="005D5762"/>
    <w:rsid w:val="005D5E21"/>
    <w:rsid w:val="005F59BA"/>
    <w:rsid w:val="006011E2"/>
    <w:rsid w:val="00601C83"/>
    <w:rsid w:val="00627908"/>
    <w:rsid w:val="00631CCE"/>
    <w:rsid w:val="00635A92"/>
    <w:rsid w:val="00645897"/>
    <w:rsid w:val="006479CF"/>
    <w:rsid w:val="00650A9F"/>
    <w:rsid w:val="006526BA"/>
    <w:rsid w:val="00663996"/>
    <w:rsid w:val="00665BB9"/>
    <w:rsid w:val="00667905"/>
    <w:rsid w:val="00673DBD"/>
    <w:rsid w:val="00674338"/>
    <w:rsid w:val="006753EA"/>
    <w:rsid w:val="00683A64"/>
    <w:rsid w:val="00683EBB"/>
    <w:rsid w:val="006979B6"/>
    <w:rsid w:val="006B13DF"/>
    <w:rsid w:val="006B75E7"/>
    <w:rsid w:val="006C4F20"/>
    <w:rsid w:val="006D29D9"/>
    <w:rsid w:val="006D3B8A"/>
    <w:rsid w:val="006D7327"/>
    <w:rsid w:val="006E4038"/>
    <w:rsid w:val="006F11F4"/>
    <w:rsid w:val="006F2920"/>
    <w:rsid w:val="006F3A17"/>
    <w:rsid w:val="00707D0A"/>
    <w:rsid w:val="00721ED7"/>
    <w:rsid w:val="00750C5C"/>
    <w:rsid w:val="00754C09"/>
    <w:rsid w:val="00760EF1"/>
    <w:rsid w:val="00771162"/>
    <w:rsid w:val="007764FB"/>
    <w:rsid w:val="00783444"/>
    <w:rsid w:val="0078378B"/>
    <w:rsid w:val="00791703"/>
    <w:rsid w:val="007A0E02"/>
    <w:rsid w:val="007A7A03"/>
    <w:rsid w:val="007B405B"/>
    <w:rsid w:val="007C1F9E"/>
    <w:rsid w:val="007C3D2B"/>
    <w:rsid w:val="007C4552"/>
    <w:rsid w:val="007C7D40"/>
    <w:rsid w:val="007D3A5C"/>
    <w:rsid w:val="007F636B"/>
    <w:rsid w:val="007F7BE0"/>
    <w:rsid w:val="00804EE2"/>
    <w:rsid w:val="0081601F"/>
    <w:rsid w:val="00821982"/>
    <w:rsid w:val="00822BA0"/>
    <w:rsid w:val="008252C4"/>
    <w:rsid w:val="00846737"/>
    <w:rsid w:val="00857EF4"/>
    <w:rsid w:val="008742F9"/>
    <w:rsid w:val="00875851"/>
    <w:rsid w:val="00880D70"/>
    <w:rsid w:val="008846D4"/>
    <w:rsid w:val="0088594B"/>
    <w:rsid w:val="00895F50"/>
    <w:rsid w:val="008A5A82"/>
    <w:rsid w:val="008B7184"/>
    <w:rsid w:val="008B7661"/>
    <w:rsid w:val="008D3469"/>
    <w:rsid w:val="008E65A5"/>
    <w:rsid w:val="008F0B03"/>
    <w:rsid w:val="008F1E41"/>
    <w:rsid w:val="00903392"/>
    <w:rsid w:val="009060DA"/>
    <w:rsid w:val="00916E75"/>
    <w:rsid w:val="0092135A"/>
    <w:rsid w:val="00922C19"/>
    <w:rsid w:val="009372CF"/>
    <w:rsid w:val="009539B5"/>
    <w:rsid w:val="009613D2"/>
    <w:rsid w:val="00975409"/>
    <w:rsid w:val="00985CAC"/>
    <w:rsid w:val="00987D12"/>
    <w:rsid w:val="009903E1"/>
    <w:rsid w:val="009A32DA"/>
    <w:rsid w:val="009A4F5B"/>
    <w:rsid w:val="009B6958"/>
    <w:rsid w:val="009B73F7"/>
    <w:rsid w:val="009C4A8D"/>
    <w:rsid w:val="009D6DA6"/>
    <w:rsid w:val="009E6997"/>
    <w:rsid w:val="00A04575"/>
    <w:rsid w:val="00A06E80"/>
    <w:rsid w:val="00A126E1"/>
    <w:rsid w:val="00A30414"/>
    <w:rsid w:val="00A447D7"/>
    <w:rsid w:val="00A73BB7"/>
    <w:rsid w:val="00A802F1"/>
    <w:rsid w:val="00A80963"/>
    <w:rsid w:val="00A828A7"/>
    <w:rsid w:val="00A86313"/>
    <w:rsid w:val="00A874C2"/>
    <w:rsid w:val="00A90225"/>
    <w:rsid w:val="00A93962"/>
    <w:rsid w:val="00AA0146"/>
    <w:rsid w:val="00AA103F"/>
    <w:rsid w:val="00AA3E6D"/>
    <w:rsid w:val="00AC05BC"/>
    <w:rsid w:val="00AC3618"/>
    <w:rsid w:val="00AC72DE"/>
    <w:rsid w:val="00AD3729"/>
    <w:rsid w:val="00AD51FC"/>
    <w:rsid w:val="00AE0F4C"/>
    <w:rsid w:val="00AE5CB3"/>
    <w:rsid w:val="00AF5FCB"/>
    <w:rsid w:val="00AF77DA"/>
    <w:rsid w:val="00B116A8"/>
    <w:rsid w:val="00B14239"/>
    <w:rsid w:val="00B335CF"/>
    <w:rsid w:val="00B420BC"/>
    <w:rsid w:val="00B43832"/>
    <w:rsid w:val="00B47D27"/>
    <w:rsid w:val="00B50392"/>
    <w:rsid w:val="00B62B60"/>
    <w:rsid w:val="00BA12A1"/>
    <w:rsid w:val="00BB2AE7"/>
    <w:rsid w:val="00BC1CBE"/>
    <w:rsid w:val="00BD20DE"/>
    <w:rsid w:val="00BE7C7D"/>
    <w:rsid w:val="00BF54DA"/>
    <w:rsid w:val="00C138A8"/>
    <w:rsid w:val="00C214F0"/>
    <w:rsid w:val="00C21FEA"/>
    <w:rsid w:val="00C27BB6"/>
    <w:rsid w:val="00C345CA"/>
    <w:rsid w:val="00C37CB8"/>
    <w:rsid w:val="00C4681D"/>
    <w:rsid w:val="00C522D9"/>
    <w:rsid w:val="00C57A52"/>
    <w:rsid w:val="00C64E5D"/>
    <w:rsid w:val="00C710B5"/>
    <w:rsid w:val="00C873E5"/>
    <w:rsid w:val="00C93D8A"/>
    <w:rsid w:val="00C97EF7"/>
    <w:rsid w:val="00CB5A04"/>
    <w:rsid w:val="00CD57B6"/>
    <w:rsid w:val="00CF2845"/>
    <w:rsid w:val="00D00ABC"/>
    <w:rsid w:val="00D065FB"/>
    <w:rsid w:val="00D17E6D"/>
    <w:rsid w:val="00D31E01"/>
    <w:rsid w:val="00D32143"/>
    <w:rsid w:val="00D32CBE"/>
    <w:rsid w:val="00D35117"/>
    <w:rsid w:val="00D502C4"/>
    <w:rsid w:val="00DA474F"/>
    <w:rsid w:val="00DB0998"/>
    <w:rsid w:val="00DB20B1"/>
    <w:rsid w:val="00DB3B7C"/>
    <w:rsid w:val="00DB4A99"/>
    <w:rsid w:val="00DD5DC1"/>
    <w:rsid w:val="00DE29FC"/>
    <w:rsid w:val="00DF317F"/>
    <w:rsid w:val="00E00B4D"/>
    <w:rsid w:val="00E059F4"/>
    <w:rsid w:val="00E13E95"/>
    <w:rsid w:val="00E16B68"/>
    <w:rsid w:val="00E17066"/>
    <w:rsid w:val="00E232FB"/>
    <w:rsid w:val="00E30D8E"/>
    <w:rsid w:val="00E41B71"/>
    <w:rsid w:val="00E50595"/>
    <w:rsid w:val="00E526B5"/>
    <w:rsid w:val="00E5630E"/>
    <w:rsid w:val="00E62B60"/>
    <w:rsid w:val="00E842E2"/>
    <w:rsid w:val="00EC53C5"/>
    <w:rsid w:val="00EE14BE"/>
    <w:rsid w:val="00EE74BF"/>
    <w:rsid w:val="00EF1B89"/>
    <w:rsid w:val="00EF4F17"/>
    <w:rsid w:val="00F0643F"/>
    <w:rsid w:val="00F0715B"/>
    <w:rsid w:val="00F26802"/>
    <w:rsid w:val="00F3620E"/>
    <w:rsid w:val="00F41C12"/>
    <w:rsid w:val="00F429C1"/>
    <w:rsid w:val="00F432BD"/>
    <w:rsid w:val="00F4390F"/>
    <w:rsid w:val="00F53047"/>
    <w:rsid w:val="00F60F2F"/>
    <w:rsid w:val="00F6450E"/>
    <w:rsid w:val="00F74EB2"/>
    <w:rsid w:val="00F804E0"/>
    <w:rsid w:val="00F8508A"/>
    <w:rsid w:val="00FB212A"/>
    <w:rsid w:val="00FB2C91"/>
    <w:rsid w:val="00FB7438"/>
    <w:rsid w:val="00FD187D"/>
    <w:rsid w:val="00FD39AB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16D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047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aliases w:val="D70AR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"/>
    <w:next w:val="Normln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  <w:spacing w:line="240" w:lineRule="auto"/>
    </w:pPr>
    <w:rPr>
      <w:rFonts w:ascii="Arial" w:hAnsi="Arial"/>
      <w:sz w:val="16"/>
    </w:rPr>
  </w:style>
  <w:style w:type="character" w:styleId="slostrnky">
    <w:name w:val="page number"/>
    <w:basedOn w:val="Standardnpsmoodstavce"/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vysvtlivky">
    <w:name w:val="endnote reference"/>
    <w:semiHidden/>
    <w:rPr>
      <w:vertAlign w:val="superscript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2">
    <w:name w:val="Body Text 2"/>
    <w:basedOn w:val="Normln"/>
    <w:pPr>
      <w:tabs>
        <w:tab w:val="left" w:pos="4536"/>
      </w:tabs>
      <w:jc w:val="both"/>
    </w:pPr>
    <w:rPr>
      <w:b/>
    </w:rPr>
  </w:style>
  <w:style w:type="paragraph" w:styleId="Zkladntext">
    <w:name w:val="Body Text"/>
    <w:basedOn w:val="Normln"/>
    <w:rPr>
      <w:b/>
      <w:i/>
    </w:rPr>
  </w:style>
  <w:style w:type="paragraph" w:styleId="Zkladntext3">
    <w:name w:val="Body Text 3"/>
    <w:basedOn w:val="Normln"/>
    <w:link w:val="Zkladntext3Char"/>
    <w:pPr>
      <w:jc w:val="both"/>
    </w:pPr>
    <w:rPr>
      <w:b/>
      <w:i/>
      <w:lang w:val="x-none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pPr>
      <w:ind w:left="567" w:hanging="567"/>
    </w:pPr>
    <w:rPr>
      <w:i/>
      <w:color w:val="008000"/>
    </w:rPr>
  </w:style>
  <w:style w:type="paragraph" w:styleId="Zkladntextodsazen">
    <w:name w:val="Body Text Indent"/>
    <w:basedOn w:val="Normln"/>
    <w:pPr>
      <w:ind w:left="567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Normal11">
    <w:name w:val="Normal11"/>
    <w:basedOn w:val="Normln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customStyle="1" w:styleId="Text">
    <w:name w:val="Text"/>
    <w:basedOn w:val="Normln"/>
    <w:link w:val="TextChar1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bloku">
    <w:name w:val="Block Text"/>
    <w:basedOn w:val="Normln"/>
    <w:pPr>
      <w:tabs>
        <w:tab w:val="clear" w:pos="567"/>
      </w:tabs>
      <w:spacing w:line="240" w:lineRule="auto"/>
      <w:ind w:left="1134" w:right="-1"/>
    </w:pPr>
  </w:style>
  <w:style w:type="paragraph" w:customStyle="1" w:styleId="Inforubrik2">
    <w:name w:val="Info rubrik 2"/>
    <w:basedOn w:val="Nadpis1"/>
    <w:pPr>
      <w:keepNext/>
      <w:pageBreakBefore/>
      <w:numPr>
        <w:numId w:val="2"/>
      </w:numPr>
      <w:tabs>
        <w:tab w:val="clear" w:pos="567"/>
      </w:tabs>
      <w:spacing w:before="120" w:line="240" w:lineRule="auto"/>
      <w:ind w:left="0" w:firstLine="0"/>
    </w:pPr>
    <w:rPr>
      <w:caps w:val="0"/>
      <w:sz w:val="24"/>
      <w:lang w:val="en-GB"/>
    </w:rPr>
  </w:style>
  <w:style w:type="paragraph" w:customStyle="1" w:styleId="Figure">
    <w:name w:val="Figure"/>
    <w:basedOn w:val="Normln"/>
    <w:next w:val="Titulek"/>
    <w:pPr>
      <w:keepNext/>
      <w:tabs>
        <w:tab w:val="clear" w:pos="567"/>
      </w:tabs>
      <w:spacing w:before="320" w:line="240" w:lineRule="auto"/>
    </w:pPr>
    <w:rPr>
      <w:sz w:val="24"/>
    </w:rPr>
  </w:style>
  <w:style w:type="paragraph" w:styleId="Titulek">
    <w:name w:val="caption"/>
    <w:basedOn w:val="Normln"/>
    <w:next w:val="Normln"/>
    <w:qFormat/>
    <w:pPr>
      <w:tabs>
        <w:tab w:val="clear" w:pos="567"/>
      </w:tabs>
      <w:spacing w:before="120" w:after="120"/>
      <w:ind w:left="1134" w:hanging="1134"/>
    </w:pPr>
    <w:rPr>
      <w:sz w:val="24"/>
    </w:rPr>
  </w:style>
  <w:style w:type="character" w:customStyle="1" w:styleId="Normal11Char">
    <w:name w:val="Normal11 Char"/>
    <w:rPr>
      <w:noProof w:val="0"/>
      <w:sz w:val="22"/>
      <w:lang w:val="fr-FR" w:eastAsia="en-US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redmetkomentra1">
    <w:name w:val="Predmet komentára1"/>
    <w:basedOn w:val="Textkomente"/>
    <w:next w:val="Textkomente"/>
    <w:semiHidden/>
    <w:rPr>
      <w:b/>
      <w:bCs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customStyle="1" w:styleId="Textbubliny2">
    <w:name w:val="Text bubliny2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evize">
    <w:name w:val="Revision"/>
    <w:hidden/>
    <w:semiHidden/>
    <w:rPr>
      <w:sz w:val="22"/>
      <w:lang w:eastAsia="en-US"/>
    </w:rPr>
  </w:style>
  <w:style w:type="character" w:customStyle="1" w:styleId="Zkladntext3Char">
    <w:name w:val="Základní text 3 Char"/>
    <w:link w:val="Zkladntext3"/>
    <w:rsid w:val="001B0B73"/>
    <w:rPr>
      <w:b/>
      <w:i/>
      <w:sz w:val="22"/>
      <w:lang w:eastAsia="en-US"/>
    </w:rPr>
  </w:style>
  <w:style w:type="character" w:customStyle="1" w:styleId="Nadpis3Char">
    <w:name w:val="Nadpis 3 Char"/>
    <w:aliases w:val="D70AR3 Char,titel 3 Char,OLD Heading 3 Char"/>
    <w:link w:val="Nadpis3"/>
    <w:rsid w:val="00D31E01"/>
    <w:rPr>
      <w:b/>
      <w:kern w:val="28"/>
      <w:sz w:val="24"/>
      <w:lang w:val="en-US" w:eastAsia="en-US"/>
    </w:rPr>
  </w:style>
  <w:style w:type="character" w:customStyle="1" w:styleId="ZhlavChar">
    <w:name w:val="Záhlaví Char"/>
    <w:link w:val="Zhlav"/>
    <w:uiPriority w:val="99"/>
    <w:rsid w:val="002B6C09"/>
    <w:rPr>
      <w:rFonts w:ascii="Arial" w:hAnsi="Arial"/>
      <w:lang w:eastAsia="en-US"/>
    </w:rPr>
  </w:style>
  <w:style w:type="character" w:customStyle="1" w:styleId="TextChar1">
    <w:name w:val="Text Char1"/>
    <w:link w:val="Text"/>
    <w:locked/>
    <w:rsid w:val="00F3620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ternal%20Information%20Published\Templates\H-Opin%20QRD%20Templates\H01bEN%20v7.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6BE5-22A5-40CF-B252-79685163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H01bEN v7.0</Template>
  <TotalTime>0</TotalTime>
  <Pages>13</Pages>
  <Words>5066</Words>
  <Characters>34358</Characters>
  <Application>Microsoft Office Word</Application>
  <DocSecurity>0</DocSecurity>
  <Lines>286</Lines>
  <Paragraphs>78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I</vt:lpstr>
      <vt:lpstr>PRÍLOHA I</vt:lpstr>
      <vt:lpstr>PRÍLOHA I</vt:lpstr>
    </vt:vector>
  </TitlesOfParts>
  <LinksUpToDate>false</LinksUpToDate>
  <CharactersWithSpaces>39346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subject>Product Information-EMEA/23507/2007</dc:subject>
  <dc:creator/>
  <dc:description>EMEA/CPMP/2920/03/en/Final</dc:description>
  <cp:lastModifiedBy/>
  <cp:revision>1</cp:revision>
  <cp:lastPrinted>2008-11-27T14:52:00Z</cp:lastPrinted>
  <dcterms:created xsi:type="dcterms:W3CDTF">2020-04-09T07:45:00Z</dcterms:created>
  <dcterms:modified xsi:type="dcterms:W3CDTF">2020-04-09T07:48:00Z</dcterms:modified>
  <cp:category>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>Confidential</vt:lpwstr>
  </property>
  <property fmtid="{D5CDD505-2E9C-101B-9397-08002B2CF9AE}" pid="3" name="EMEADocClassificationCode">
    <vt:lpwstr>C</vt:lpwstr>
  </property>
  <property fmtid="{D5CDD505-2E9C-101B-9397-08002B2CF9AE}" pid="4" name="EMEADocClassificationHidden">
    <vt:lpwstr>C</vt:lpwstr>
  </property>
  <property fmtid="{D5CDD505-2E9C-101B-9397-08002B2CF9AE}" pid="5" name="EMEADocTypeCode">
    <vt:lpwstr>opnh</vt:lpwstr>
  </property>
  <property fmtid="{D5CDD505-2E9C-101B-9397-08002B2CF9AE}" pid="6" name="EMEADocRefFull">
    <vt:lpwstr>EMEA/CPMP/2920/03/en/Final</vt:lpwstr>
  </property>
  <property fmtid="{D5CDD505-2E9C-101B-9397-08002B2CF9AE}" pid="7" name="EMEADocRefPart0">
    <vt:lpwstr>EMEA</vt:lpwstr>
  </property>
  <property fmtid="{D5CDD505-2E9C-101B-9397-08002B2CF9AE}" pid="8" name="EMEADocRefPart1">
    <vt:lpwstr>CPMP</vt:lpwstr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2920</vt:lpwstr>
  </property>
  <property fmtid="{D5CDD505-2E9C-101B-9397-08002B2CF9AE}" pid="12" name="EMEADocRefYear">
    <vt:lpwstr>03</vt:lpwstr>
  </property>
  <property fmtid="{D5CDD505-2E9C-101B-9397-08002B2CF9AE}" pid="13" name="EMEADocRefRoot">
    <vt:lpwstr>EMEA/CPMP/2920/03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>Final</vt:lpwstr>
  </property>
  <property fmtid="{D5CDD505-2E9C-101B-9397-08002B2CF9AE}" pid="18" name="EMEADocDateDay">
    <vt:lpwstr>6</vt:lpwstr>
  </property>
  <property fmtid="{D5CDD505-2E9C-101B-9397-08002B2CF9AE}" pid="19" name="EMEADocDateMonth">
    <vt:lpwstr>October</vt:lpwstr>
  </property>
  <property fmtid="{D5CDD505-2E9C-101B-9397-08002B2CF9AE}" pid="20" name="EMEADocDateYear">
    <vt:lpwstr>2003</vt:lpwstr>
  </property>
  <property fmtid="{D5CDD505-2E9C-101B-9397-08002B2CF9AE}" pid="21" name="EMEADocDate">
    <vt:lpwstr>20031006</vt:lpwstr>
  </property>
  <property fmtid="{D5CDD505-2E9C-101B-9397-08002B2CF9AE}" pid="22" name="EMEADocTitle">
    <vt:lpwstr>Stalevo</vt:lpwstr>
  </property>
  <property fmtid="{D5CDD505-2E9C-101B-9397-08002B2CF9AE}" pid="23" name="EMEADocExtCatTitle">
    <vt:lpwstr>CPMP Opinion dated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Product Information-EMEA/23507/2007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Stalevo-H-511-II-25-PI-sk</vt:lpwstr>
  </property>
  <property fmtid="{D5CDD505-2E9C-101B-9397-08002B2CF9AE}" pid="31" name="DM_Owner">
    <vt:lpwstr>Akhtar Tia</vt:lpwstr>
  </property>
  <property fmtid="{D5CDD505-2E9C-101B-9397-08002B2CF9AE}" pid="32" name="DM_Creation_Date">
    <vt:lpwstr>16/01/2007 09:35:21</vt:lpwstr>
  </property>
  <property fmtid="{D5CDD505-2E9C-101B-9397-08002B2CF9AE}" pid="33" name="DM_Creator_Name">
    <vt:lpwstr>Akhtar Tia</vt:lpwstr>
  </property>
  <property fmtid="{D5CDD505-2E9C-101B-9397-08002B2CF9AE}" pid="34" name="DM_Modifer_Name">
    <vt:lpwstr>Akhtar Tia</vt:lpwstr>
  </property>
  <property fmtid="{D5CDD505-2E9C-101B-9397-08002B2CF9AE}" pid="35" name="DM_Modified_Date">
    <vt:lpwstr>16/01/2007 09:35:21</vt:lpwstr>
  </property>
  <property fmtid="{D5CDD505-2E9C-101B-9397-08002B2CF9AE}" pid="36" name="DM_Type">
    <vt:lpwstr>emea_product_document</vt:lpwstr>
  </property>
  <property fmtid="{D5CDD505-2E9C-101B-9397-08002B2CF9AE}" pid="37" name="DM_Version">
    <vt:lpwstr>0.2, CURRENT</vt:lpwstr>
  </property>
  <property fmtid="{D5CDD505-2E9C-101B-9397-08002B2CF9AE}" pid="38" name="DM_emea_doc_ref_id">
    <vt:lpwstr>EMEA/23507/2007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23507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Product Information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2007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DM_emea_module">
    <vt:lpwstr/>
  </property>
  <property fmtid="{D5CDD505-2E9C-101B-9397-08002B2CF9AE}" pid="55" name="DM_emea_procedure_ref">
    <vt:lpwstr>EMEA/H/C/000511/II/0025</vt:lpwstr>
  </property>
  <property fmtid="{D5CDD505-2E9C-101B-9397-08002B2CF9AE}" pid="56" name="DM_emea_domain">
    <vt:lpwstr>H</vt:lpwstr>
  </property>
  <property fmtid="{D5CDD505-2E9C-101B-9397-08002B2CF9AE}" pid="57" name="DM_emea_procedure">
    <vt:lpwstr>C</vt:lpwstr>
  </property>
  <property fmtid="{D5CDD505-2E9C-101B-9397-08002B2CF9AE}" pid="58" name="DM_emea_procedure_type">
    <vt:lpwstr>II</vt:lpwstr>
  </property>
  <property fmtid="{D5CDD505-2E9C-101B-9397-08002B2CF9AE}" pid="59" name="DM_emea_procedure_number">
    <vt:lpwstr>0025</vt:lpwstr>
  </property>
  <property fmtid="{D5CDD505-2E9C-101B-9397-08002B2CF9AE}" pid="60" name="DM_emea_product_number">
    <vt:lpwstr>000511</vt:lpwstr>
  </property>
  <property fmtid="{D5CDD505-2E9C-101B-9397-08002B2CF9AE}" pid="61" name="DM_emea_product_substance">
    <vt:lpwstr>Stalevo</vt:lpwstr>
  </property>
  <property fmtid="{D5CDD505-2E9C-101B-9397-08002B2CF9AE}" pid="62" name="DM_emea_par_dist">
    <vt:lpwstr/>
  </property>
  <property fmtid="{D5CDD505-2E9C-101B-9397-08002B2CF9AE}" pid="63" name="DM_emea_meeting_status">
    <vt:lpwstr/>
  </property>
  <property fmtid="{D5CDD505-2E9C-101B-9397-08002B2CF9AE}" pid="64" name="DM_emea_meeting_action">
    <vt:lpwstr/>
  </property>
</Properties>
</file>