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29FED" w14:textId="77777777" w:rsidR="00AC1444" w:rsidRDefault="00AC1444" w:rsidP="002C2D79">
      <w:pPr>
        <w:suppressAutoHyphens/>
        <w:spacing w:line="240" w:lineRule="auto"/>
        <w:ind w:left="567" w:hanging="567"/>
        <w:jc w:val="both"/>
        <w:rPr>
          <w:b/>
          <w:szCs w:val="22"/>
        </w:rPr>
      </w:pPr>
    </w:p>
    <w:p w14:paraId="61FB69E4" w14:textId="0D0C46E1" w:rsidR="00AC1444" w:rsidRDefault="00AC1444" w:rsidP="00D360D7">
      <w:pPr>
        <w:suppressAutoHyphens/>
        <w:spacing w:line="240" w:lineRule="auto"/>
        <w:ind w:left="567" w:hanging="567"/>
        <w:jc w:val="center"/>
        <w:rPr>
          <w:b/>
          <w:szCs w:val="22"/>
        </w:rPr>
      </w:pPr>
      <w:r>
        <w:rPr>
          <w:b/>
          <w:szCs w:val="22"/>
        </w:rPr>
        <w:t>SÚHRN CHARAKTERISTICKÝCH VLASTNOSTÍ LIEKU</w:t>
      </w:r>
    </w:p>
    <w:p w14:paraId="5C9CDEAA" w14:textId="77777777" w:rsidR="00AC1444" w:rsidRDefault="00AC1444" w:rsidP="002C2D79">
      <w:pPr>
        <w:suppressAutoHyphens/>
        <w:spacing w:line="240" w:lineRule="auto"/>
        <w:ind w:left="567" w:hanging="567"/>
        <w:jc w:val="both"/>
        <w:rPr>
          <w:b/>
          <w:szCs w:val="22"/>
        </w:rPr>
      </w:pPr>
    </w:p>
    <w:p w14:paraId="538E9BF1" w14:textId="77777777" w:rsidR="00AC1444" w:rsidRDefault="00AC1444" w:rsidP="002C2D79">
      <w:pPr>
        <w:suppressAutoHyphens/>
        <w:spacing w:line="240" w:lineRule="auto"/>
        <w:ind w:left="567" w:hanging="567"/>
        <w:jc w:val="both"/>
        <w:rPr>
          <w:b/>
          <w:szCs w:val="22"/>
        </w:rPr>
      </w:pPr>
    </w:p>
    <w:p w14:paraId="6A3F4D8A" w14:textId="091707B0" w:rsidR="00812D16" w:rsidRPr="004066EE" w:rsidRDefault="00812D16" w:rsidP="002C2D79">
      <w:pPr>
        <w:suppressAutoHyphens/>
        <w:spacing w:line="240" w:lineRule="auto"/>
        <w:ind w:left="567" w:hanging="567"/>
        <w:jc w:val="both"/>
        <w:rPr>
          <w:noProof/>
          <w:szCs w:val="22"/>
        </w:rPr>
      </w:pPr>
      <w:r>
        <w:rPr>
          <w:b/>
          <w:szCs w:val="22"/>
        </w:rPr>
        <w:t>1.</w:t>
      </w:r>
      <w:r>
        <w:rPr>
          <w:b/>
          <w:szCs w:val="22"/>
        </w:rPr>
        <w:tab/>
        <w:t>NÁZOV LIEKU</w:t>
      </w:r>
    </w:p>
    <w:p w14:paraId="198E8D0A" w14:textId="77777777" w:rsidR="00812D16" w:rsidRPr="004066EE" w:rsidRDefault="00812D16" w:rsidP="002C2D79">
      <w:pPr>
        <w:spacing w:line="240" w:lineRule="auto"/>
        <w:jc w:val="both"/>
        <w:rPr>
          <w:iCs/>
          <w:noProof/>
          <w:szCs w:val="22"/>
        </w:rPr>
      </w:pPr>
    </w:p>
    <w:p w14:paraId="0CC56D50" w14:textId="29C26C34" w:rsidR="00623DFF" w:rsidRPr="004066EE" w:rsidRDefault="004C6BAF" w:rsidP="002C2D79">
      <w:pPr>
        <w:widowControl w:val="0"/>
        <w:spacing w:line="240" w:lineRule="auto"/>
        <w:jc w:val="both"/>
        <w:rPr>
          <w:noProof/>
          <w:szCs w:val="22"/>
        </w:rPr>
      </w:pPr>
      <w:bookmarkStart w:id="0" w:name="_Hlk523318959"/>
      <w:proofErr w:type="spellStart"/>
      <w:r>
        <w:t>Dexibuprof</w:t>
      </w:r>
      <w:r w:rsidR="00E06566">
        <w:t>é</w:t>
      </w:r>
      <w:r>
        <w:t>n</w:t>
      </w:r>
      <w:proofErr w:type="spellEnd"/>
      <w:r>
        <w:t xml:space="preserve"> </w:t>
      </w:r>
      <w:proofErr w:type="spellStart"/>
      <w:r>
        <w:t>Strides</w:t>
      </w:r>
      <w:proofErr w:type="spellEnd"/>
      <w:r w:rsidR="005B4AE0">
        <w:t xml:space="preserve"> 200 mg filmom obalené tablety</w:t>
      </w:r>
    </w:p>
    <w:p w14:paraId="0CFF3DC7" w14:textId="22BDD20C" w:rsidR="00623DFF" w:rsidRPr="004066EE" w:rsidRDefault="004C6BAF" w:rsidP="002C2D79">
      <w:pPr>
        <w:widowControl w:val="0"/>
        <w:spacing w:line="240" w:lineRule="auto"/>
        <w:jc w:val="both"/>
        <w:rPr>
          <w:noProof/>
          <w:szCs w:val="22"/>
          <w:highlight w:val="lightGray"/>
        </w:rPr>
      </w:pPr>
      <w:proofErr w:type="spellStart"/>
      <w:r>
        <w:rPr>
          <w:szCs w:val="22"/>
          <w:highlight w:val="lightGray"/>
        </w:rPr>
        <w:t>Dexibuprof</w:t>
      </w:r>
      <w:r w:rsidR="00E06566">
        <w:rPr>
          <w:szCs w:val="22"/>
          <w:highlight w:val="lightGray"/>
        </w:rPr>
        <w:t>é</w:t>
      </w:r>
      <w:r>
        <w:rPr>
          <w:szCs w:val="22"/>
          <w:highlight w:val="lightGray"/>
        </w:rPr>
        <w:t>n</w:t>
      </w:r>
      <w:proofErr w:type="spellEnd"/>
      <w:r>
        <w:rPr>
          <w:szCs w:val="22"/>
          <w:highlight w:val="lightGray"/>
        </w:rPr>
        <w:t xml:space="preserve"> </w:t>
      </w:r>
      <w:proofErr w:type="spellStart"/>
      <w:r>
        <w:rPr>
          <w:szCs w:val="22"/>
          <w:highlight w:val="lightGray"/>
        </w:rPr>
        <w:t>Strides</w:t>
      </w:r>
      <w:proofErr w:type="spellEnd"/>
      <w:r w:rsidR="005B4AE0">
        <w:rPr>
          <w:szCs w:val="22"/>
          <w:highlight w:val="lightGray"/>
        </w:rPr>
        <w:t xml:space="preserve"> 300 mg filmom obalené tablety </w:t>
      </w:r>
    </w:p>
    <w:p w14:paraId="36F1B91C" w14:textId="672FD0F4" w:rsidR="00812D16" w:rsidRPr="004066EE" w:rsidRDefault="004C6BAF" w:rsidP="002C2D79">
      <w:pPr>
        <w:widowControl w:val="0"/>
        <w:spacing w:line="240" w:lineRule="auto"/>
        <w:jc w:val="both"/>
        <w:rPr>
          <w:noProof/>
          <w:szCs w:val="22"/>
        </w:rPr>
      </w:pPr>
      <w:proofErr w:type="spellStart"/>
      <w:r>
        <w:rPr>
          <w:szCs w:val="22"/>
          <w:highlight w:val="lightGray"/>
        </w:rPr>
        <w:t>Dexibuprof</w:t>
      </w:r>
      <w:r w:rsidR="00E06566">
        <w:rPr>
          <w:szCs w:val="22"/>
          <w:highlight w:val="lightGray"/>
        </w:rPr>
        <w:t>é</w:t>
      </w:r>
      <w:r>
        <w:rPr>
          <w:szCs w:val="22"/>
          <w:highlight w:val="lightGray"/>
        </w:rPr>
        <w:t>n</w:t>
      </w:r>
      <w:proofErr w:type="spellEnd"/>
      <w:r>
        <w:rPr>
          <w:szCs w:val="22"/>
          <w:highlight w:val="lightGray"/>
        </w:rPr>
        <w:t xml:space="preserve"> </w:t>
      </w:r>
      <w:proofErr w:type="spellStart"/>
      <w:r>
        <w:rPr>
          <w:szCs w:val="22"/>
          <w:highlight w:val="lightGray"/>
        </w:rPr>
        <w:t>Strides</w:t>
      </w:r>
      <w:proofErr w:type="spellEnd"/>
      <w:r w:rsidR="005B4AE0">
        <w:rPr>
          <w:szCs w:val="22"/>
          <w:highlight w:val="lightGray"/>
        </w:rPr>
        <w:t xml:space="preserve"> 400 mg filmom obalené tablety</w:t>
      </w:r>
      <w:bookmarkEnd w:id="0"/>
    </w:p>
    <w:p w14:paraId="72573B63" w14:textId="77777777" w:rsidR="00812D16" w:rsidRPr="004066EE" w:rsidRDefault="00812D16" w:rsidP="002C2D79">
      <w:pPr>
        <w:spacing w:line="240" w:lineRule="auto"/>
        <w:jc w:val="both"/>
        <w:rPr>
          <w:iCs/>
          <w:noProof/>
          <w:szCs w:val="22"/>
        </w:rPr>
      </w:pPr>
    </w:p>
    <w:p w14:paraId="178E4B77" w14:textId="77777777" w:rsidR="00812D16" w:rsidRPr="004066EE" w:rsidRDefault="00812D16" w:rsidP="002C2D79">
      <w:pPr>
        <w:spacing w:line="240" w:lineRule="auto"/>
        <w:jc w:val="both"/>
        <w:rPr>
          <w:iCs/>
          <w:noProof/>
          <w:szCs w:val="22"/>
        </w:rPr>
      </w:pPr>
    </w:p>
    <w:p w14:paraId="48F1C981" w14:textId="77777777" w:rsidR="00812D16" w:rsidRPr="004066EE" w:rsidRDefault="00812D16" w:rsidP="002C2D79">
      <w:pPr>
        <w:suppressAutoHyphens/>
        <w:spacing w:line="240" w:lineRule="auto"/>
        <w:ind w:left="567" w:hanging="567"/>
        <w:jc w:val="both"/>
        <w:rPr>
          <w:noProof/>
          <w:szCs w:val="22"/>
        </w:rPr>
      </w:pPr>
      <w:r>
        <w:rPr>
          <w:b/>
          <w:szCs w:val="22"/>
        </w:rPr>
        <w:t>2.</w:t>
      </w:r>
      <w:r>
        <w:rPr>
          <w:b/>
          <w:szCs w:val="22"/>
        </w:rPr>
        <w:tab/>
        <w:t>KVALITATÍVNE A KVANTITATÍVNE ZLOŽENIE</w:t>
      </w:r>
    </w:p>
    <w:p w14:paraId="7ECC3952" w14:textId="77777777" w:rsidR="00812D16" w:rsidRPr="00611CA8" w:rsidRDefault="00812D16" w:rsidP="002C2D79">
      <w:pPr>
        <w:spacing w:line="240" w:lineRule="auto"/>
        <w:jc w:val="both"/>
        <w:rPr>
          <w:iCs/>
          <w:noProof/>
          <w:szCs w:val="22"/>
        </w:rPr>
      </w:pPr>
    </w:p>
    <w:p w14:paraId="0C420F15" w14:textId="1494B20E" w:rsidR="003B4627" w:rsidRPr="004066EE" w:rsidRDefault="003B4627" w:rsidP="002C2D79">
      <w:pPr>
        <w:spacing w:line="240" w:lineRule="auto"/>
        <w:jc w:val="both"/>
        <w:rPr>
          <w:bCs/>
          <w:noProof/>
          <w:szCs w:val="22"/>
        </w:rPr>
      </w:pPr>
      <w:r>
        <w:t xml:space="preserve">Každá filmom obalená tableta obsahuje 200 mg </w:t>
      </w:r>
      <w:proofErr w:type="spellStart"/>
      <w:r>
        <w:t>dexibuprofénu</w:t>
      </w:r>
      <w:proofErr w:type="spellEnd"/>
      <w:r>
        <w:t xml:space="preserve">. </w:t>
      </w:r>
    </w:p>
    <w:p w14:paraId="5D493D44" w14:textId="77777777" w:rsidR="003B4627" w:rsidRPr="004066EE" w:rsidRDefault="003B4627" w:rsidP="002C2D79">
      <w:pPr>
        <w:spacing w:line="240" w:lineRule="auto"/>
        <w:jc w:val="both"/>
        <w:rPr>
          <w:bCs/>
          <w:noProof/>
          <w:szCs w:val="22"/>
          <w:u w:val="single"/>
        </w:rPr>
      </w:pPr>
      <w:r>
        <w:rPr>
          <w:bCs/>
          <w:szCs w:val="22"/>
          <w:u w:val="single"/>
        </w:rPr>
        <w:t>Úplný zoznam pomocných látok, pozri časť 6.1.</w:t>
      </w:r>
    </w:p>
    <w:p w14:paraId="5DC05316" w14:textId="77777777" w:rsidR="003B4627" w:rsidRPr="004066EE" w:rsidRDefault="003B4627" w:rsidP="002C2D79">
      <w:pPr>
        <w:spacing w:line="240" w:lineRule="auto"/>
        <w:jc w:val="both"/>
        <w:rPr>
          <w:bCs/>
          <w:noProof/>
          <w:szCs w:val="22"/>
        </w:rPr>
      </w:pPr>
    </w:p>
    <w:p w14:paraId="5D4BC7FA" w14:textId="45DE6DAB" w:rsidR="003B4627" w:rsidRPr="00333F69" w:rsidRDefault="003B4627" w:rsidP="002C2D79">
      <w:pPr>
        <w:spacing w:line="240" w:lineRule="auto"/>
        <w:jc w:val="both"/>
        <w:rPr>
          <w:bCs/>
          <w:noProof/>
          <w:szCs w:val="22"/>
          <w:highlight w:val="lightGray"/>
        </w:rPr>
      </w:pPr>
      <w:r>
        <w:rPr>
          <w:bCs/>
          <w:szCs w:val="22"/>
          <w:highlight w:val="lightGray"/>
        </w:rPr>
        <w:t xml:space="preserve">Každá filmom obalená tableta obsahuje 300 mg </w:t>
      </w:r>
      <w:proofErr w:type="spellStart"/>
      <w:r>
        <w:rPr>
          <w:bCs/>
          <w:szCs w:val="22"/>
          <w:highlight w:val="lightGray"/>
        </w:rPr>
        <w:t>dexibuprofénu</w:t>
      </w:r>
      <w:proofErr w:type="spellEnd"/>
      <w:r>
        <w:rPr>
          <w:bCs/>
          <w:szCs w:val="22"/>
          <w:highlight w:val="lightGray"/>
        </w:rPr>
        <w:t>.</w:t>
      </w:r>
    </w:p>
    <w:p w14:paraId="3F43BAAE" w14:textId="77777777" w:rsidR="003B4627" w:rsidRPr="00333F69" w:rsidRDefault="003B4627" w:rsidP="002C2D79">
      <w:pPr>
        <w:spacing w:line="240" w:lineRule="auto"/>
        <w:jc w:val="both"/>
        <w:rPr>
          <w:bCs/>
          <w:noProof/>
          <w:szCs w:val="22"/>
          <w:highlight w:val="lightGray"/>
        </w:rPr>
      </w:pPr>
      <w:r>
        <w:rPr>
          <w:bCs/>
          <w:szCs w:val="22"/>
          <w:highlight w:val="lightGray"/>
          <w:u w:val="single"/>
        </w:rPr>
        <w:t>Úplný zoznam pomocných látok, pozri časť 6.1.</w:t>
      </w:r>
    </w:p>
    <w:p w14:paraId="245D7E87" w14:textId="77777777" w:rsidR="003B4627" w:rsidRPr="00333F69" w:rsidRDefault="003B4627" w:rsidP="002C2D79">
      <w:pPr>
        <w:spacing w:line="240" w:lineRule="auto"/>
        <w:jc w:val="both"/>
        <w:rPr>
          <w:bCs/>
          <w:noProof/>
          <w:szCs w:val="22"/>
          <w:highlight w:val="lightGray"/>
        </w:rPr>
      </w:pPr>
    </w:p>
    <w:p w14:paraId="71D001D8" w14:textId="10D154FA" w:rsidR="003B4627" w:rsidRPr="00333F69" w:rsidRDefault="003B4627" w:rsidP="002C2D79">
      <w:pPr>
        <w:spacing w:line="240" w:lineRule="auto"/>
        <w:jc w:val="both"/>
        <w:rPr>
          <w:bCs/>
          <w:noProof/>
          <w:szCs w:val="22"/>
          <w:highlight w:val="lightGray"/>
        </w:rPr>
      </w:pPr>
      <w:r>
        <w:rPr>
          <w:bCs/>
          <w:szCs w:val="22"/>
          <w:highlight w:val="lightGray"/>
        </w:rPr>
        <w:t xml:space="preserve">Každá filmom obalená tableta obsahuje 400 mg </w:t>
      </w:r>
      <w:proofErr w:type="spellStart"/>
      <w:r>
        <w:rPr>
          <w:bCs/>
          <w:szCs w:val="22"/>
          <w:highlight w:val="lightGray"/>
        </w:rPr>
        <w:t>dexibuprofénu</w:t>
      </w:r>
      <w:proofErr w:type="spellEnd"/>
      <w:r>
        <w:rPr>
          <w:bCs/>
          <w:szCs w:val="22"/>
          <w:highlight w:val="lightGray"/>
        </w:rPr>
        <w:t xml:space="preserve">. </w:t>
      </w:r>
    </w:p>
    <w:p w14:paraId="53E3AD6F" w14:textId="77777777" w:rsidR="00812D16" w:rsidRPr="004066EE" w:rsidRDefault="003B4627" w:rsidP="002C2D79">
      <w:pPr>
        <w:spacing w:line="240" w:lineRule="auto"/>
        <w:jc w:val="both"/>
        <w:rPr>
          <w:bCs/>
          <w:noProof/>
          <w:szCs w:val="22"/>
        </w:rPr>
      </w:pPr>
      <w:r>
        <w:rPr>
          <w:bCs/>
          <w:szCs w:val="22"/>
          <w:highlight w:val="lightGray"/>
          <w:u w:val="single"/>
        </w:rPr>
        <w:t>Úplný zoznam pomocných látok, pozri časť 6.1.</w:t>
      </w:r>
    </w:p>
    <w:p w14:paraId="5E452B90" w14:textId="77777777" w:rsidR="00812D16" w:rsidRDefault="00812D16" w:rsidP="002C2D79">
      <w:pPr>
        <w:spacing w:line="240" w:lineRule="auto"/>
        <w:jc w:val="both"/>
        <w:rPr>
          <w:noProof/>
          <w:szCs w:val="22"/>
        </w:rPr>
      </w:pPr>
    </w:p>
    <w:p w14:paraId="174408D4" w14:textId="77777777" w:rsidR="0021295D" w:rsidRPr="004066EE" w:rsidRDefault="0021295D" w:rsidP="002C2D79">
      <w:pPr>
        <w:spacing w:line="240" w:lineRule="auto"/>
        <w:jc w:val="both"/>
        <w:rPr>
          <w:noProof/>
          <w:szCs w:val="22"/>
        </w:rPr>
      </w:pPr>
    </w:p>
    <w:p w14:paraId="1EA52954" w14:textId="77777777" w:rsidR="00812D16" w:rsidRPr="004066EE" w:rsidRDefault="00812D16" w:rsidP="002C2D79">
      <w:pPr>
        <w:suppressAutoHyphens/>
        <w:spacing w:line="240" w:lineRule="auto"/>
        <w:ind w:left="567" w:hanging="567"/>
        <w:jc w:val="both"/>
        <w:rPr>
          <w:caps/>
          <w:noProof/>
          <w:szCs w:val="22"/>
        </w:rPr>
      </w:pPr>
      <w:r>
        <w:rPr>
          <w:b/>
          <w:szCs w:val="22"/>
        </w:rPr>
        <w:t>3.</w:t>
      </w:r>
      <w:r>
        <w:rPr>
          <w:b/>
          <w:szCs w:val="22"/>
        </w:rPr>
        <w:tab/>
        <w:t>LIEKOVÁ FORMA</w:t>
      </w:r>
    </w:p>
    <w:p w14:paraId="5A6DE6B3" w14:textId="77777777" w:rsidR="00627F5E" w:rsidRDefault="00627F5E" w:rsidP="002C2D79">
      <w:pPr>
        <w:widowControl w:val="0"/>
        <w:spacing w:line="240" w:lineRule="auto"/>
        <w:jc w:val="both"/>
        <w:rPr>
          <w:noProof/>
          <w:szCs w:val="22"/>
        </w:rPr>
      </w:pPr>
    </w:p>
    <w:p w14:paraId="64E7C19A" w14:textId="7CC17ACB" w:rsidR="005A27A8" w:rsidRPr="004066EE" w:rsidRDefault="00821F96" w:rsidP="002C2D79">
      <w:pPr>
        <w:widowControl w:val="0"/>
        <w:spacing w:line="240" w:lineRule="auto"/>
        <w:jc w:val="both"/>
        <w:rPr>
          <w:noProof/>
          <w:szCs w:val="22"/>
        </w:rPr>
      </w:pPr>
      <w:r>
        <w:t>Biela, okrúhla, bikonvexná, filmom obalená tableta s deliacou ryhou na jednej strane a vytlačeným označením 200 na druhej strane. Rozmer 200 mg tablety je 9,50 mm ± 0,2 mm.</w:t>
      </w:r>
    </w:p>
    <w:p w14:paraId="29FB0F48" w14:textId="76BBD54C" w:rsidR="003B4627" w:rsidRPr="00F34E5C" w:rsidRDefault="00821F96" w:rsidP="002C2D79">
      <w:pPr>
        <w:widowControl w:val="0"/>
        <w:spacing w:line="240" w:lineRule="auto"/>
        <w:jc w:val="both"/>
        <w:rPr>
          <w:noProof/>
          <w:szCs w:val="22"/>
          <w:highlight w:val="lightGray"/>
        </w:rPr>
      </w:pPr>
      <w:r>
        <w:rPr>
          <w:szCs w:val="22"/>
          <w:highlight w:val="lightGray"/>
        </w:rPr>
        <w:t>Biela, okrúhla, bikonvexná, filmom obalená tableta s vytlačeným označením 300 na jednej strane a hladká na druhej strane. Rozmer 300 mg tablety je 11,0 mm ± 0,2 mm.</w:t>
      </w:r>
    </w:p>
    <w:p w14:paraId="5E0F45B1" w14:textId="58FBE3C2" w:rsidR="00812D16" w:rsidRPr="004066EE" w:rsidRDefault="00821F96" w:rsidP="002C2D79">
      <w:pPr>
        <w:spacing w:line="240" w:lineRule="auto"/>
        <w:jc w:val="both"/>
        <w:rPr>
          <w:noProof/>
          <w:szCs w:val="22"/>
        </w:rPr>
      </w:pPr>
      <w:r>
        <w:rPr>
          <w:szCs w:val="22"/>
          <w:highlight w:val="lightGray"/>
        </w:rPr>
        <w:t>Biela, bikonvexná, filmom obalená tableta v tvare kapsuly s deliacou ryhou na oboch stranách. Rozmer 400 mg tablety je 17,50 ± 0,2 mm (dĺžka) x 6,50 mm ± 0,2 mm (šírka).</w:t>
      </w:r>
    </w:p>
    <w:p w14:paraId="17CF8F51" w14:textId="77777777" w:rsidR="00B435E7" w:rsidRDefault="00B435E7" w:rsidP="00BE3AE1">
      <w:pPr>
        <w:spacing w:line="240" w:lineRule="auto"/>
        <w:jc w:val="both"/>
        <w:rPr>
          <w:szCs w:val="22"/>
        </w:rPr>
      </w:pPr>
    </w:p>
    <w:p w14:paraId="437004B8" w14:textId="6039CC3B" w:rsidR="00BE3AE1" w:rsidRPr="004066EE" w:rsidRDefault="00BE3AE1" w:rsidP="00BE3AE1">
      <w:pPr>
        <w:spacing w:line="240" w:lineRule="auto"/>
        <w:jc w:val="both"/>
        <w:rPr>
          <w:szCs w:val="22"/>
        </w:rPr>
      </w:pPr>
      <w:r>
        <w:t>200 mg a 400 mg tablety je možné rozdeliť na polovice, deliaca ryha na tabletách umožňuje rozdeliť tablety pred ich podaním, aby sa uľahčilo prehltnutie.</w:t>
      </w:r>
    </w:p>
    <w:p w14:paraId="0AF175F0" w14:textId="5DBD129F" w:rsidR="00812D16" w:rsidRPr="004066EE" w:rsidRDefault="00BE3AE1" w:rsidP="00BE3AE1">
      <w:pPr>
        <w:spacing w:line="240" w:lineRule="auto"/>
        <w:jc w:val="both"/>
        <w:rPr>
          <w:noProof/>
          <w:szCs w:val="22"/>
        </w:rPr>
      </w:pPr>
      <w:r>
        <w:t>Deliaca ryha iba pomáha rozlomiť tabletu, aby sa dala ľahšie prehltnúť</w:t>
      </w:r>
      <w:r w:rsidR="00AC1444">
        <w:t xml:space="preserve"> a</w:t>
      </w:r>
      <w:r>
        <w:t xml:space="preserve"> neslúži na rozdelenie na rovnaké dávky.</w:t>
      </w:r>
    </w:p>
    <w:p w14:paraId="430B84BE" w14:textId="77777777" w:rsidR="00DC4DE6" w:rsidRDefault="00DC4DE6" w:rsidP="002C2D79">
      <w:pPr>
        <w:spacing w:line="240" w:lineRule="auto"/>
        <w:jc w:val="both"/>
        <w:rPr>
          <w:noProof/>
          <w:szCs w:val="22"/>
        </w:rPr>
      </w:pPr>
    </w:p>
    <w:p w14:paraId="2D334F23" w14:textId="77777777" w:rsidR="00551419" w:rsidRPr="004066EE" w:rsidRDefault="00551419" w:rsidP="002C2D79">
      <w:pPr>
        <w:spacing w:line="240" w:lineRule="auto"/>
        <w:jc w:val="both"/>
        <w:rPr>
          <w:noProof/>
          <w:szCs w:val="22"/>
        </w:rPr>
      </w:pPr>
    </w:p>
    <w:p w14:paraId="6C463B79" w14:textId="77777777" w:rsidR="00812D16" w:rsidRPr="004066EE" w:rsidRDefault="00812D16" w:rsidP="002C2D79">
      <w:pPr>
        <w:suppressAutoHyphens/>
        <w:spacing w:line="240" w:lineRule="auto"/>
        <w:ind w:left="567" w:hanging="567"/>
        <w:jc w:val="both"/>
        <w:rPr>
          <w:caps/>
          <w:noProof/>
          <w:szCs w:val="22"/>
        </w:rPr>
      </w:pPr>
      <w:r>
        <w:rPr>
          <w:b/>
          <w:caps/>
          <w:szCs w:val="22"/>
        </w:rPr>
        <w:t>4.</w:t>
      </w:r>
      <w:r>
        <w:rPr>
          <w:b/>
          <w:caps/>
          <w:szCs w:val="22"/>
        </w:rPr>
        <w:tab/>
      </w:r>
      <w:r>
        <w:rPr>
          <w:b/>
          <w:szCs w:val="22"/>
        </w:rPr>
        <w:t>KLINICKÉ ÚDAJE</w:t>
      </w:r>
    </w:p>
    <w:p w14:paraId="5D646F24" w14:textId="77777777" w:rsidR="00812D16" w:rsidRPr="004066EE" w:rsidRDefault="00812D16" w:rsidP="002C2D79">
      <w:pPr>
        <w:spacing w:line="240" w:lineRule="auto"/>
        <w:jc w:val="both"/>
        <w:rPr>
          <w:noProof/>
          <w:szCs w:val="22"/>
        </w:rPr>
      </w:pPr>
    </w:p>
    <w:p w14:paraId="71089E5A" w14:textId="77777777" w:rsidR="00812D16" w:rsidRPr="004066EE" w:rsidRDefault="00812D16" w:rsidP="002C2D79">
      <w:pPr>
        <w:spacing w:line="240" w:lineRule="auto"/>
        <w:ind w:left="567" w:hanging="567"/>
        <w:jc w:val="both"/>
        <w:outlineLvl w:val="0"/>
        <w:rPr>
          <w:noProof/>
          <w:szCs w:val="22"/>
        </w:rPr>
      </w:pPr>
      <w:r>
        <w:rPr>
          <w:b/>
          <w:szCs w:val="22"/>
        </w:rPr>
        <w:t>4.1</w:t>
      </w:r>
      <w:r>
        <w:rPr>
          <w:b/>
          <w:szCs w:val="22"/>
        </w:rPr>
        <w:tab/>
        <w:t>Terapeutické indikácie</w:t>
      </w:r>
    </w:p>
    <w:p w14:paraId="72AFE092" w14:textId="77777777" w:rsidR="00812D16" w:rsidRPr="004066EE" w:rsidRDefault="00812D16" w:rsidP="002C2D79">
      <w:pPr>
        <w:spacing w:line="240" w:lineRule="auto"/>
        <w:jc w:val="both"/>
        <w:rPr>
          <w:noProof/>
          <w:szCs w:val="22"/>
        </w:rPr>
      </w:pPr>
    </w:p>
    <w:p w14:paraId="6047473C" w14:textId="77777777" w:rsidR="005A27A8" w:rsidRPr="004066EE" w:rsidRDefault="005A27A8" w:rsidP="00F34E5C">
      <w:pPr>
        <w:spacing w:line="240" w:lineRule="auto"/>
        <w:rPr>
          <w:noProof/>
          <w:szCs w:val="22"/>
        </w:rPr>
      </w:pPr>
      <w:r>
        <w:t xml:space="preserve">Symptomatická liečba na úľavu od bolesti a zápalu súvisiacich s osteoartritídou. </w:t>
      </w:r>
    </w:p>
    <w:p w14:paraId="2984AEED" w14:textId="77777777" w:rsidR="005A27A8" w:rsidRPr="004066EE" w:rsidRDefault="005A27A8" w:rsidP="00F34E5C">
      <w:pPr>
        <w:spacing w:line="240" w:lineRule="auto"/>
        <w:rPr>
          <w:noProof/>
          <w:szCs w:val="22"/>
        </w:rPr>
      </w:pPr>
      <w:r>
        <w:t xml:space="preserve">Akútna symptomatická liečba bolesti počas menštruačného krvácania (primárna </w:t>
      </w:r>
      <w:proofErr w:type="spellStart"/>
      <w:r>
        <w:t>dysmenorea</w:t>
      </w:r>
      <w:proofErr w:type="spellEnd"/>
      <w:r>
        <w:t>).</w:t>
      </w:r>
    </w:p>
    <w:p w14:paraId="623783AD" w14:textId="39805067" w:rsidR="00812D16" w:rsidRPr="004066EE" w:rsidRDefault="005A27A8" w:rsidP="00F34E5C">
      <w:pPr>
        <w:spacing w:line="240" w:lineRule="auto"/>
        <w:rPr>
          <w:noProof/>
          <w:szCs w:val="22"/>
        </w:rPr>
      </w:pPr>
      <w:r>
        <w:t>Symptomatická liečba miernej až stredne</w:t>
      </w:r>
      <w:r w:rsidR="00AC1444">
        <w:t xml:space="preserve"> silnej</w:t>
      </w:r>
      <w:r>
        <w:t xml:space="preserve"> bolesti, ako je napríklad bolesť svalov a kostí alebo bolesť zubov.</w:t>
      </w:r>
    </w:p>
    <w:p w14:paraId="06C36BED" w14:textId="77777777" w:rsidR="005A27A8" w:rsidRPr="004066EE" w:rsidRDefault="005A27A8" w:rsidP="002C2D79">
      <w:pPr>
        <w:spacing w:line="240" w:lineRule="auto"/>
        <w:jc w:val="both"/>
        <w:rPr>
          <w:noProof/>
          <w:szCs w:val="22"/>
        </w:rPr>
      </w:pPr>
    </w:p>
    <w:p w14:paraId="1210220A" w14:textId="77777777" w:rsidR="00812D16" w:rsidRPr="004066EE" w:rsidRDefault="00855481" w:rsidP="002C2D79">
      <w:pPr>
        <w:spacing w:line="240" w:lineRule="auto"/>
        <w:jc w:val="both"/>
        <w:outlineLvl w:val="0"/>
        <w:rPr>
          <w:b/>
          <w:noProof/>
          <w:szCs w:val="22"/>
        </w:rPr>
      </w:pPr>
      <w:r>
        <w:rPr>
          <w:b/>
          <w:szCs w:val="22"/>
        </w:rPr>
        <w:t>4.2</w:t>
      </w:r>
      <w:r>
        <w:rPr>
          <w:b/>
          <w:szCs w:val="22"/>
        </w:rPr>
        <w:tab/>
        <w:t>Dávkovanie a spôsob podávania</w:t>
      </w:r>
    </w:p>
    <w:p w14:paraId="0FF6A34A" w14:textId="77777777" w:rsidR="00812D16" w:rsidRPr="004066EE" w:rsidRDefault="00812D16" w:rsidP="002C2D79">
      <w:pPr>
        <w:spacing w:line="240" w:lineRule="auto"/>
        <w:jc w:val="both"/>
        <w:rPr>
          <w:szCs w:val="22"/>
        </w:rPr>
      </w:pPr>
    </w:p>
    <w:p w14:paraId="03E31691" w14:textId="77777777" w:rsidR="00812D16" w:rsidRPr="004066EE" w:rsidRDefault="00812D16" w:rsidP="002C2D79">
      <w:pPr>
        <w:spacing w:line="240" w:lineRule="auto"/>
        <w:jc w:val="both"/>
        <w:rPr>
          <w:szCs w:val="22"/>
          <w:u w:val="single"/>
        </w:rPr>
      </w:pPr>
      <w:r>
        <w:rPr>
          <w:szCs w:val="22"/>
          <w:u w:val="single"/>
        </w:rPr>
        <w:t>Dávkovanie</w:t>
      </w:r>
    </w:p>
    <w:p w14:paraId="39E5737F" w14:textId="77777777" w:rsidR="00812D16" w:rsidRPr="004066EE" w:rsidRDefault="00812D16" w:rsidP="002C2D79">
      <w:pPr>
        <w:spacing w:line="240" w:lineRule="auto"/>
        <w:jc w:val="both"/>
        <w:rPr>
          <w:szCs w:val="22"/>
        </w:rPr>
      </w:pPr>
    </w:p>
    <w:p w14:paraId="328C992B" w14:textId="0A9955D0" w:rsidR="005A27A8" w:rsidRPr="004066EE" w:rsidRDefault="005A27A8" w:rsidP="002C2D79">
      <w:pPr>
        <w:spacing w:line="240" w:lineRule="auto"/>
        <w:jc w:val="both"/>
        <w:rPr>
          <w:szCs w:val="22"/>
        </w:rPr>
      </w:pPr>
      <w:r>
        <w:t>Dávkovanie sa má upraviť podľa závažnosti ochorenia a </w:t>
      </w:r>
      <w:r w:rsidR="00AC1444">
        <w:t>potrieb</w:t>
      </w:r>
      <w:r>
        <w:t xml:space="preserve"> pacienta. Nežiaduce účinky možno minimalizovať používaním najnižšej účinnej dávky najkratš</w:t>
      </w:r>
      <w:r w:rsidR="005D4FE4">
        <w:t>í</w:t>
      </w:r>
      <w:r>
        <w:t xml:space="preserve"> možn</w:t>
      </w:r>
      <w:r w:rsidR="005D4FE4">
        <w:t>ý</w:t>
      </w:r>
      <w:r>
        <w:t xml:space="preserve"> </w:t>
      </w:r>
      <w:r w:rsidR="005D4FE4">
        <w:t>čas</w:t>
      </w:r>
      <w:r>
        <w:t xml:space="preserve"> potrebn</w:t>
      </w:r>
      <w:r w:rsidR="005D4FE4">
        <w:t>ý</w:t>
      </w:r>
      <w:r>
        <w:t xml:space="preserve"> na zmiernenie príznakov (pozri časť 4.4).</w:t>
      </w:r>
    </w:p>
    <w:p w14:paraId="56DCCBC7" w14:textId="77777777" w:rsidR="005A27A8" w:rsidRPr="004066EE" w:rsidRDefault="005A27A8" w:rsidP="002C2D79">
      <w:pPr>
        <w:spacing w:line="240" w:lineRule="auto"/>
        <w:jc w:val="both"/>
        <w:rPr>
          <w:szCs w:val="22"/>
        </w:rPr>
      </w:pPr>
    </w:p>
    <w:p w14:paraId="6F82843B" w14:textId="377DD099" w:rsidR="005A27A8" w:rsidRPr="004066EE" w:rsidRDefault="005A27A8" w:rsidP="002C2D79">
      <w:pPr>
        <w:spacing w:line="240" w:lineRule="auto"/>
        <w:jc w:val="both"/>
        <w:rPr>
          <w:szCs w:val="22"/>
        </w:rPr>
      </w:pPr>
      <w:r>
        <w:t>Maximálna jedn</w:t>
      </w:r>
      <w:r w:rsidR="00AC1444">
        <w:t>orazová</w:t>
      </w:r>
      <w:r>
        <w:t xml:space="preserve"> dávka je 400 mg, maximálna denná dávka je 1 200 mg </w:t>
      </w:r>
      <w:proofErr w:type="spellStart"/>
      <w:r>
        <w:t>dexibuprofénu</w:t>
      </w:r>
      <w:proofErr w:type="spellEnd"/>
      <w:r>
        <w:t xml:space="preserve"> s frekvenciou dávkovania najviac trikrát denne.</w:t>
      </w:r>
    </w:p>
    <w:p w14:paraId="7D17BDB2" w14:textId="77777777" w:rsidR="005A27A8" w:rsidRPr="004066EE" w:rsidRDefault="005A27A8" w:rsidP="002C2D79">
      <w:pPr>
        <w:spacing w:line="240" w:lineRule="auto"/>
        <w:jc w:val="both"/>
        <w:rPr>
          <w:szCs w:val="22"/>
        </w:rPr>
      </w:pPr>
    </w:p>
    <w:p w14:paraId="644FBD66" w14:textId="42ACFEC6" w:rsidR="00E47A1F" w:rsidRPr="004066EE" w:rsidRDefault="00FE29D1" w:rsidP="002C2D79">
      <w:pPr>
        <w:spacing w:line="240" w:lineRule="auto"/>
        <w:jc w:val="both"/>
        <w:rPr>
          <w:szCs w:val="22"/>
        </w:rPr>
      </w:pPr>
      <w:r>
        <w:t xml:space="preserve">Na individuálne dávkovanie sú k dispozícii tablety s 200 mg, 300 mg a 400 mg </w:t>
      </w:r>
      <w:proofErr w:type="spellStart"/>
      <w:r>
        <w:t>dexibuprofénu</w:t>
      </w:r>
      <w:proofErr w:type="spellEnd"/>
      <w:r>
        <w:t>. Deliaca ryha iba pomáha rozlomiť tabletu, aby sa dala ľahšie prehltnúť, neslúži na rozdelenie na rovnaké dávky. Rozdelením tabliet sa nemusí dosiahnuť presná „polovičná“ dávka.</w:t>
      </w:r>
    </w:p>
    <w:p w14:paraId="2BF04477" w14:textId="01B6D66A" w:rsidR="00DC4DE6" w:rsidRPr="006E4141" w:rsidRDefault="006E4141" w:rsidP="00A57ED5">
      <w:pPr>
        <w:spacing w:line="240" w:lineRule="auto"/>
        <w:jc w:val="both"/>
        <w:rPr>
          <w:bCs/>
          <w:iCs/>
          <w:szCs w:val="22"/>
        </w:rPr>
      </w:pPr>
      <w:r>
        <w:t xml:space="preserve">Tablety sa môžu užívať s jedlom alebo bez jedla (pozri časť 5.2). Vo všeobecnosti sa </w:t>
      </w:r>
      <w:proofErr w:type="spellStart"/>
      <w:r>
        <w:t>nesteroidné</w:t>
      </w:r>
      <w:proofErr w:type="spellEnd"/>
      <w:r>
        <w:t xml:space="preserve"> protizápalové lieky (NSAID) užívajú podľa možnosti s jedlom, aby sa znížilo podráždenie gastrointestinálneho traktu, najmä pri </w:t>
      </w:r>
      <w:r w:rsidR="00E65A9D">
        <w:t>dlhodobom</w:t>
      </w:r>
      <w:r>
        <w:t xml:space="preserve"> používaní. U niektorých pacientov však možno očakávať neskorší nástup účinku, ak sa tablety užijú s jedlom alebo bezprostredne po jedle.</w:t>
      </w:r>
    </w:p>
    <w:p w14:paraId="1E5245ED" w14:textId="77777777" w:rsidR="006E4141" w:rsidRPr="004066EE" w:rsidRDefault="006E4141" w:rsidP="002C2D79">
      <w:pPr>
        <w:autoSpaceDE w:val="0"/>
        <w:autoSpaceDN w:val="0"/>
        <w:adjustRightInd w:val="0"/>
        <w:spacing w:line="240" w:lineRule="auto"/>
        <w:jc w:val="both"/>
        <w:rPr>
          <w:bCs/>
          <w:i/>
          <w:iCs/>
          <w:szCs w:val="22"/>
        </w:rPr>
      </w:pPr>
    </w:p>
    <w:p w14:paraId="4A3CD8B6" w14:textId="77777777" w:rsidR="005A27A8" w:rsidRPr="004066EE" w:rsidRDefault="005A27A8" w:rsidP="002C2D79">
      <w:pPr>
        <w:autoSpaceDE w:val="0"/>
        <w:autoSpaceDN w:val="0"/>
        <w:adjustRightInd w:val="0"/>
        <w:spacing w:line="240" w:lineRule="auto"/>
        <w:jc w:val="both"/>
        <w:rPr>
          <w:bCs/>
          <w:i/>
          <w:iCs/>
          <w:szCs w:val="22"/>
        </w:rPr>
      </w:pPr>
      <w:r>
        <w:rPr>
          <w:bCs/>
          <w:i/>
          <w:iCs/>
          <w:szCs w:val="22"/>
        </w:rPr>
        <w:t>Osteoartritída</w:t>
      </w:r>
    </w:p>
    <w:p w14:paraId="1B52A525" w14:textId="5E4C43DF" w:rsidR="005A27A8" w:rsidRPr="004066EE" w:rsidRDefault="005A27A8" w:rsidP="002C2D79">
      <w:pPr>
        <w:autoSpaceDE w:val="0"/>
        <w:autoSpaceDN w:val="0"/>
        <w:adjustRightInd w:val="0"/>
        <w:spacing w:line="240" w:lineRule="auto"/>
        <w:jc w:val="both"/>
        <w:rPr>
          <w:bCs/>
          <w:iCs/>
          <w:szCs w:val="22"/>
        </w:rPr>
      </w:pPr>
      <w:r>
        <w:t xml:space="preserve">Odporúčaná dávka je 600 až 900 mg </w:t>
      </w:r>
      <w:proofErr w:type="spellStart"/>
      <w:r>
        <w:t>dexibuprofénu</w:t>
      </w:r>
      <w:proofErr w:type="spellEnd"/>
      <w:r>
        <w:t xml:space="preserve"> denne</w:t>
      </w:r>
      <w:r w:rsidR="00E65A9D">
        <w:t>,</w:t>
      </w:r>
      <w:r>
        <w:t xml:space="preserve"> rozdelená do troch samostatných dávok, napríklad 400 mg dvakrát denne alebo 300 mg dvakrát až trikrát denne. Dávka môže byť u pacientov s akútnymi </w:t>
      </w:r>
      <w:r w:rsidR="00E65A9D">
        <w:t>ochoreniami</w:t>
      </w:r>
      <w:r>
        <w:t xml:space="preserve"> alebo zhoršeniami stavu zvýšená až na 1 200 mg </w:t>
      </w:r>
      <w:proofErr w:type="spellStart"/>
      <w:r>
        <w:t>dexibuprofénu</w:t>
      </w:r>
      <w:proofErr w:type="spellEnd"/>
      <w:r>
        <w:t xml:space="preserve"> denne.</w:t>
      </w:r>
    </w:p>
    <w:p w14:paraId="4C964CEA" w14:textId="77777777" w:rsidR="005A27A8" w:rsidRPr="004066EE" w:rsidRDefault="005A27A8" w:rsidP="002C2D79">
      <w:pPr>
        <w:autoSpaceDE w:val="0"/>
        <w:autoSpaceDN w:val="0"/>
        <w:adjustRightInd w:val="0"/>
        <w:spacing w:line="240" w:lineRule="auto"/>
        <w:jc w:val="both"/>
        <w:rPr>
          <w:bCs/>
          <w:i/>
          <w:iCs/>
          <w:szCs w:val="22"/>
        </w:rPr>
      </w:pPr>
    </w:p>
    <w:p w14:paraId="3D1189FF" w14:textId="77777777" w:rsidR="005A27A8" w:rsidRPr="004066EE" w:rsidRDefault="005A27A8" w:rsidP="002C2D79">
      <w:pPr>
        <w:autoSpaceDE w:val="0"/>
        <w:autoSpaceDN w:val="0"/>
        <w:adjustRightInd w:val="0"/>
        <w:spacing w:line="240" w:lineRule="auto"/>
        <w:jc w:val="both"/>
        <w:rPr>
          <w:bCs/>
          <w:i/>
          <w:iCs/>
          <w:szCs w:val="22"/>
        </w:rPr>
      </w:pPr>
      <w:proofErr w:type="spellStart"/>
      <w:r>
        <w:rPr>
          <w:bCs/>
          <w:i/>
          <w:iCs/>
          <w:szCs w:val="22"/>
        </w:rPr>
        <w:t>Dysmenorea</w:t>
      </w:r>
      <w:proofErr w:type="spellEnd"/>
    </w:p>
    <w:p w14:paraId="64E7BF12" w14:textId="262D53D6" w:rsidR="005A27A8" w:rsidRPr="004066EE" w:rsidRDefault="005A27A8" w:rsidP="002C2D79">
      <w:pPr>
        <w:autoSpaceDE w:val="0"/>
        <w:autoSpaceDN w:val="0"/>
        <w:adjustRightInd w:val="0"/>
        <w:spacing w:line="240" w:lineRule="auto"/>
        <w:jc w:val="both"/>
        <w:rPr>
          <w:bCs/>
          <w:i/>
          <w:iCs/>
          <w:szCs w:val="22"/>
        </w:rPr>
      </w:pPr>
      <w:r>
        <w:t xml:space="preserve">Odporúčaná dávka je 600 až 900 mg </w:t>
      </w:r>
      <w:proofErr w:type="spellStart"/>
      <w:r>
        <w:t>dexibuprofénu</w:t>
      </w:r>
      <w:proofErr w:type="spellEnd"/>
      <w:r>
        <w:t xml:space="preserve"> denne</w:t>
      </w:r>
      <w:r w:rsidR="00E65A9D">
        <w:t>,</w:t>
      </w:r>
      <w:r>
        <w:t xml:space="preserve"> rozdelená do troch samostatných dávok, napríklad 400 mg dvakrát denne alebo 300 mg dvakrát až trikrát denne</w:t>
      </w:r>
      <w:r>
        <w:rPr>
          <w:bCs/>
          <w:i/>
          <w:iCs/>
          <w:szCs w:val="22"/>
        </w:rPr>
        <w:t>.</w:t>
      </w:r>
    </w:p>
    <w:p w14:paraId="299A01AA" w14:textId="77777777" w:rsidR="005A27A8" w:rsidRPr="004066EE" w:rsidRDefault="005A27A8" w:rsidP="002C2D79">
      <w:pPr>
        <w:autoSpaceDE w:val="0"/>
        <w:autoSpaceDN w:val="0"/>
        <w:adjustRightInd w:val="0"/>
        <w:spacing w:line="240" w:lineRule="auto"/>
        <w:jc w:val="both"/>
        <w:rPr>
          <w:bCs/>
          <w:i/>
          <w:iCs/>
          <w:szCs w:val="22"/>
        </w:rPr>
      </w:pPr>
    </w:p>
    <w:p w14:paraId="143E8E5C" w14:textId="77777777" w:rsidR="005A27A8" w:rsidRPr="004066EE" w:rsidRDefault="005A27A8" w:rsidP="002C2D79">
      <w:pPr>
        <w:autoSpaceDE w:val="0"/>
        <w:autoSpaceDN w:val="0"/>
        <w:adjustRightInd w:val="0"/>
        <w:spacing w:line="240" w:lineRule="auto"/>
        <w:jc w:val="both"/>
        <w:rPr>
          <w:bCs/>
          <w:i/>
          <w:iCs/>
          <w:szCs w:val="22"/>
        </w:rPr>
      </w:pPr>
      <w:r>
        <w:rPr>
          <w:bCs/>
          <w:i/>
          <w:iCs/>
          <w:szCs w:val="22"/>
        </w:rPr>
        <w:t>Mierna až stredne silná bolesť</w:t>
      </w:r>
    </w:p>
    <w:p w14:paraId="3EE80A5B" w14:textId="33F5FF8D" w:rsidR="005A27A8" w:rsidRPr="004066EE" w:rsidRDefault="005A27A8" w:rsidP="002C2D79">
      <w:pPr>
        <w:autoSpaceDE w:val="0"/>
        <w:autoSpaceDN w:val="0"/>
        <w:adjustRightInd w:val="0"/>
        <w:spacing w:line="240" w:lineRule="auto"/>
        <w:jc w:val="both"/>
        <w:rPr>
          <w:bCs/>
          <w:iCs/>
          <w:szCs w:val="22"/>
        </w:rPr>
      </w:pPr>
      <w:r>
        <w:t xml:space="preserve">Odporúčaná dávka je 600 mg </w:t>
      </w:r>
      <w:proofErr w:type="spellStart"/>
      <w:r>
        <w:t>dexibuprofénu</w:t>
      </w:r>
      <w:proofErr w:type="spellEnd"/>
      <w:r>
        <w:t xml:space="preserve"> denne</w:t>
      </w:r>
      <w:r w:rsidR="00E65A9D">
        <w:t>,</w:t>
      </w:r>
      <w:r>
        <w:t xml:space="preserve"> rozdelená do troch samostatných dávok.</w:t>
      </w:r>
    </w:p>
    <w:p w14:paraId="66E221F8" w14:textId="2ED4B807" w:rsidR="005A27A8" w:rsidRPr="004066EE" w:rsidRDefault="005A27A8" w:rsidP="002C2D79">
      <w:pPr>
        <w:autoSpaceDE w:val="0"/>
        <w:autoSpaceDN w:val="0"/>
        <w:adjustRightInd w:val="0"/>
        <w:spacing w:line="240" w:lineRule="auto"/>
        <w:jc w:val="both"/>
        <w:rPr>
          <w:bCs/>
          <w:iCs/>
          <w:szCs w:val="22"/>
        </w:rPr>
      </w:pPr>
      <w:r>
        <w:t xml:space="preserve">Ak je to jednoznačne potrebné u pacientov s akútnymi bolesťami (napríklad pri chirurgickej extrakcii zubov), dávku je možné prechodne zvýšiť až na 1 200 mg </w:t>
      </w:r>
      <w:proofErr w:type="spellStart"/>
      <w:r>
        <w:t>dexibuprofénu</w:t>
      </w:r>
      <w:proofErr w:type="spellEnd"/>
      <w:r>
        <w:t xml:space="preserve"> za deň.</w:t>
      </w:r>
    </w:p>
    <w:p w14:paraId="0C3E09ED" w14:textId="77777777" w:rsidR="005A27A8" w:rsidRPr="004066EE" w:rsidRDefault="005A27A8" w:rsidP="002C2D79">
      <w:pPr>
        <w:autoSpaceDE w:val="0"/>
        <w:autoSpaceDN w:val="0"/>
        <w:adjustRightInd w:val="0"/>
        <w:spacing w:line="240" w:lineRule="auto"/>
        <w:jc w:val="both"/>
        <w:rPr>
          <w:bCs/>
          <w:i/>
          <w:iCs/>
          <w:szCs w:val="22"/>
        </w:rPr>
      </w:pPr>
    </w:p>
    <w:p w14:paraId="430F92FA" w14:textId="31A4B23F" w:rsidR="005A27A8" w:rsidRPr="004066EE" w:rsidRDefault="00E65A9D" w:rsidP="002C2D79">
      <w:pPr>
        <w:autoSpaceDE w:val="0"/>
        <w:autoSpaceDN w:val="0"/>
        <w:adjustRightInd w:val="0"/>
        <w:spacing w:line="240" w:lineRule="auto"/>
        <w:jc w:val="both"/>
        <w:rPr>
          <w:bCs/>
          <w:i/>
          <w:iCs/>
          <w:szCs w:val="22"/>
        </w:rPr>
      </w:pPr>
      <w:r>
        <w:rPr>
          <w:bCs/>
          <w:i/>
          <w:iCs/>
          <w:szCs w:val="22"/>
        </w:rPr>
        <w:t>Pediatrická populácia</w:t>
      </w:r>
    </w:p>
    <w:p w14:paraId="47865E68" w14:textId="6F9CC2AA" w:rsidR="005A27A8" w:rsidRPr="004066EE" w:rsidRDefault="005A27A8" w:rsidP="002C2D79">
      <w:pPr>
        <w:autoSpaceDE w:val="0"/>
        <w:autoSpaceDN w:val="0"/>
        <w:adjustRightInd w:val="0"/>
        <w:spacing w:line="240" w:lineRule="auto"/>
        <w:jc w:val="both"/>
        <w:rPr>
          <w:bCs/>
          <w:iCs/>
          <w:szCs w:val="22"/>
        </w:rPr>
      </w:pPr>
      <w:proofErr w:type="spellStart"/>
      <w:r>
        <w:t>Dexibuprofén</w:t>
      </w:r>
      <w:proofErr w:type="spellEnd"/>
      <w:r>
        <w:t xml:space="preserve"> sa neskúmal u</w:t>
      </w:r>
      <w:r w:rsidR="008D7C04">
        <w:t> pediatrickej populácie</w:t>
      </w:r>
      <w:r>
        <w:t xml:space="preserve"> (&lt; 18 rokov): Bezpečnosť a účinnosť neboli stanovené, a preto sa v týchto vekových skupinách neodporúča.</w:t>
      </w:r>
    </w:p>
    <w:p w14:paraId="08E0909B" w14:textId="77777777" w:rsidR="005A27A8" w:rsidRPr="004066EE" w:rsidRDefault="005A27A8" w:rsidP="002C2D79">
      <w:pPr>
        <w:autoSpaceDE w:val="0"/>
        <w:autoSpaceDN w:val="0"/>
        <w:adjustRightInd w:val="0"/>
        <w:spacing w:line="240" w:lineRule="auto"/>
        <w:jc w:val="both"/>
        <w:rPr>
          <w:bCs/>
          <w:iCs/>
          <w:szCs w:val="22"/>
        </w:rPr>
      </w:pPr>
    </w:p>
    <w:p w14:paraId="2A182F1A" w14:textId="77777777" w:rsidR="005A27A8" w:rsidRPr="004066EE" w:rsidRDefault="005A27A8" w:rsidP="002C2D79">
      <w:pPr>
        <w:autoSpaceDE w:val="0"/>
        <w:autoSpaceDN w:val="0"/>
        <w:adjustRightInd w:val="0"/>
        <w:spacing w:line="240" w:lineRule="auto"/>
        <w:jc w:val="both"/>
        <w:rPr>
          <w:bCs/>
          <w:i/>
          <w:iCs/>
          <w:szCs w:val="22"/>
        </w:rPr>
      </w:pPr>
      <w:r>
        <w:rPr>
          <w:bCs/>
          <w:i/>
          <w:iCs/>
          <w:szCs w:val="22"/>
        </w:rPr>
        <w:t xml:space="preserve">Starší pacienti </w:t>
      </w:r>
    </w:p>
    <w:p w14:paraId="7CD3B309" w14:textId="05EE8B2F" w:rsidR="005A27A8" w:rsidRPr="004066EE" w:rsidRDefault="005A27A8" w:rsidP="002C2D79">
      <w:pPr>
        <w:autoSpaceDE w:val="0"/>
        <w:autoSpaceDN w:val="0"/>
        <w:adjustRightInd w:val="0"/>
        <w:spacing w:line="240" w:lineRule="auto"/>
        <w:jc w:val="both"/>
        <w:rPr>
          <w:bCs/>
          <w:iCs/>
          <w:szCs w:val="22"/>
        </w:rPr>
      </w:pPr>
      <w:r>
        <w:t>U starších pacientov nie sú potrebné žiadne osobitné úpravy dávkovania. Je však potrebné zvážiť individuálne zníž</w:t>
      </w:r>
      <w:r w:rsidR="008D7C04">
        <w:t xml:space="preserve">iť </w:t>
      </w:r>
      <w:r>
        <w:t>a</w:t>
      </w:r>
      <w:r w:rsidR="008D7C04">
        <w:t> posúdiť dávku</w:t>
      </w:r>
      <w:r>
        <w:t xml:space="preserve"> </w:t>
      </w:r>
      <w:r w:rsidR="008D7C04">
        <w:t>pre</w:t>
      </w:r>
      <w:r>
        <w:t xml:space="preserve"> zvýšen</w:t>
      </w:r>
      <w:r w:rsidR="008D7C04">
        <w:t>ú</w:t>
      </w:r>
      <w:r>
        <w:t xml:space="preserve"> náchylnos</w:t>
      </w:r>
      <w:r w:rsidR="008D7C04">
        <w:t>ť</w:t>
      </w:r>
      <w:r>
        <w:t xml:space="preserve"> na </w:t>
      </w:r>
      <w:r w:rsidR="008D7C04">
        <w:t>gastrointestinálne</w:t>
      </w:r>
      <w:r>
        <w:t xml:space="preserve"> nežiaduce reakcie u starších pacientov (pozri časť 4.4).</w:t>
      </w:r>
    </w:p>
    <w:p w14:paraId="6088621E" w14:textId="77777777" w:rsidR="005A27A8" w:rsidRPr="004066EE" w:rsidRDefault="005A27A8" w:rsidP="002C2D79">
      <w:pPr>
        <w:autoSpaceDE w:val="0"/>
        <w:autoSpaceDN w:val="0"/>
        <w:adjustRightInd w:val="0"/>
        <w:spacing w:line="240" w:lineRule="auto"/>
        <w:jc w:val="both"/>
        <w:rPr>
          <w:bCs/>
          <w:i/>
          <w:iCs/>
          <w:szCs w:val="22"/>
        </w:rPr>
      </w:pPr>
    </w:p>
    <w:p w14:paraId="6B2910DB" w14:textId="2B5E2E91" w:rsidR="005A27A8" w:rsidRPr="004066EE" w:rsidRDefault="008D7C04" w:rsidP="002C2D79">
      <w:pPr>
        <w:autoSpaceDE w:val="0"/>
        <w:autoSpaceDN w:val="0"/>
        <w:adjustRightInd w:val="0"/>
        <w:spacing w:line="240" w:lineRule="auto"/>
        <w:jc w:val="both"/>
        <w:rPr>
          <w:bCs/>
          <w:i/>
          <w:iCs/>
          <w:szCs w:val="22"/>
        </w:rPr>
      </w:pPr>
      <w:r>
        <w:rPr>
          <w:bCs/>
          <w:i/>
          <w:iCs/>
          <w:szCs w:val="22"/>
        </w:rPr>
        <w:t>Porucha funkcie pečene</w:t>
      </w:r>
    </w:p>
    <w:p w14:paraId="21789A58" w14:textId="572D35C2" w:rsidR="005A27A8" w:rsidRPr="004066EE" w:rsidRDefault="005A27A8" w:rsidP="002C2D79">
      <w:pPr>
        <w:autoSpaceDE w:val="0"/>
        <w:autoSpaceDN w:val="0"/>
        <w:adjustRightInd w:val="0"/>
        <w:spacing w:line="240" w:lineRule="auto"/>
        <w:jc w:val="both"/>
        <w:rPr>
          <w:bCs/>
          <w:iCs/>
          <w:szCs w:val="22"/>
        </w:rPr>
      </w:pPr>
      <w:r>
        <w:t xml:space="preserve">Pacienti s miernou až stredne závažnou </w:t>
      </w:r>
      <w:r w:rsidR="008D7C04">
        <w:t>poruchou funkcie pečene</w:t>
      </w:r>
      <w:r>
        <w:t xml:space="preserve"> majú začať liečbu so zníženými dávkami a majú byť dôkladne sledovaní. </w:t>
      </w:r>
    </w:p>
    <w:p w14:paraId="2AC5F451" w14:textId="77777777" w:rsidR="005A27A8" w:rsidRPr="004066EE" w:rsidRDefault="005A27A8" w:rsidP="002C2D79">
      <w:pPr>
        <w:autoSpaceDE w:val="0"/>
        <w:autoSpaceDN w:val="0"/>
        <w:adjustRightInd w:val="0"/>
        <w:spacing w:line="240" w:lineRule="auto"/>
        <w:jc w:val="both"/>
        <w:rPr>
          <w:bCs/>
          <w:i/>
          <w:iCs/>
          <w:szCs w:val="22"/>
        </w:rPr>
      </w:pPr>
    </w:p>
    <w:p w14:paraId="073A92CF" w14:textId="7C743F72" w:rsidR="005A27A8" w:rsidRDefault="008D7C04" w:rsidP="002C2D79">
      <w:pPr>
        <w:autoSpaceDE w:val="0"/>
        <w:autoSpaceDN w:val="0"/>
        <w:adjustRightInd w:val="0"/>
        <w:spacing w:line="240" w:lineRule="auto"/>
        <w:jc w:val="both"/>
        <w:rPr>
          <w:bCs/>
          <w:i/>
          <w:iCs/>
          <w:szCs w:val="22"/>
        </w:rPr>
      </w:pPr>
      <w:r>
        <w:rPr>
          <w:bCs/>
          <w:i/>
          <w:iCs/>
          <w:szCs w:val="22"/>
        </w:rPr>
        <w:t>Porucha funkcie obličiek</w:t>
      </w:r>
    </w:p>
    <w:p w14:paraId="6D1EB855" w14:textId="12B2EECE" w:rsidR="005A27A8" w:rsidRPr="004066EE" w:rsidRDefault="005A27A8" w:rsidP="002C2D79">
      <w:pPr>
        <w:autoSpaceDE w:val="0"/>
        <w:autoSpaceDN w:val="0"/>
        <w:adjustRightInd w:val="0"/>
        <w:spacing w:line="240" w:lineRule="auto"/>
        <w:jc w:val="both"/>
        <w:rPr>
          <w:bCs/>
          <w:iCs/>
          <w:szCs w:val="22"/>
        </w:rPr>
      </w:pPr>
      <w:r>
        <w:t xml:space="preserve">U pacientov s miernou až stredne závažnou poruchou funkcie obličiek sa má </w:t>
      </w:r>
      <w:r w:rsidR="008D7C04">
        <w:t>za</w:t>
      </w:r>
      <w:r>
        <w:t xml:space="preserve">čiatočná dávka znížiť. </w:t>
      </w:r>
    </w:p>
    <w:p w14:paraId="4E928A5E" w14:textId="77777777" w:rsidR="005A27A8" w:rsidRPr="004066EE" w:rsidRDefault="005A27A8" w:rsidP="002C2D79">
      <w:pPr>
        <w:autoSpaceDE w:val="0"/>
        <w:autoSpaceDN w:val="0"/>
        <w:adjustRightInd w:val="0"/>
        <w:spacing w:line="240" w:lineRule="auto"/>
        <w:jc w:val="both"/>
        <w:rPr>
          <w:bCs/>
          <w:i/>
          <w:iCs/>
          <w:szCs w:val="22"/>
        </w:rPr>
      </w:pPr>
    </w:p>
    <w:p w14:paraId="66D30ACB" w14:textId="77777777" w:rsidR="00C22E02" w:rsidRPr="004066EE" w:rsidRDefault="00C22E02" w:rsidP="002C2D79">
      <w:pPr>
        <w:spacing w:line="240" w:lineRule="auto"/>
        <w:jc w:val="both"/>
        <w:rPr>
          <w:szCs w:val="22"/>
          <w:u w:val="single"/>
        </w:rPr>
      </w:pPr>
      <w:r>
        <w:rPr>
          <w:szCs w:val="22"/>
          <w:u w:val="single"/>
        </w:rPr>
        <w:t xml:space="preserve">Spôsob podávania </w:t>
      </w:r>
    </w:p>
    <w:p w14:paraId="4951F4FF" w14:textId="70B854B9" w:rsidR="00812D16" w:rsidRPr="004066EE" w:rsidRDefault="004C6BAF" w:rsidP="002C2D79">
      <w:pPr>
        <w:autoSpaceDE w:val="0"/>
        <w:autoSpaceDN w:val="0"/>
        <w:adjustRightInd w:val="0"/>
        <w:spacing w:line="240" w:lineRule="auto"/>
        <w:jc w:val="both"/>
        <w:rPr>
          <w:b/>
          <w:i/>
          <w:szCs w:val="22"/>
        </w:rPr>
      </w:pPr>
      <w:proofErr w:type="spellStart"/>
      <w:r>
        <w:t>Dexibuprof</w:t>
      </w:r>
      <w:r w:rsidR="008D7C04">
        <w:t>é</w:t>
      </w:r>
      <w:r>
        <w:t>n</w:t>
      </w:r>
      <w:proofErr w:type="spellEnd"/>
      <w:r>
        <w:t xml:space="preserve"> </w:t>
      </w:r>
      <w:proofErr w:type="spellStart"/>
      <w:r>
        <w:t>Strides</w:t>
      </w:r>
      <w:proofErr w:type="spellEnd"/>
      <w:r w:rsidR="008E6B43">
        <w:t xml:space="preserve"> je určený na perorálne použ</w:t>
      </w:r>
      <w:r w:rsidR="00AC1444">
        <w:t>it</w:t>
      </w:r>
      <w:r w:rsidR="008E6B43">
        <w:t>ie.</w:t>
      </w:r>
    </w:p>
    <w:p w14:paraId="6830C003" w14:textId="77777777" w:rsidR="009921E6" w:rsidRPr="004066EE" w:rsidRDefault="009921E6" w:rsidP="002C2D79">
      <w:pPr>
        <w:spacing w:line="240" w:lineRule="auto"/>
        <w:jc w:val="both"/>
        <w:rPr>
          <w:szCs w:val="22"/>
          <w:u w:val="single"/>
        </w:rPr>
      </w:pPr>
    </w:p>
    <w:p w14:paraId="78B205D2" w14:textId="77777777" w:rsidR="00812D16" w:rsidRPr="004066EE" w:rsidRDefault="00812D16" w:rsidP="002C2D79">
      <w:pPr>
        <w:spacing w:line="240" w:lineRule="auto"/>
        <w:jc w:val="both"/>
        <w:outlineLvl w:val="0"/>
        <w:rPr>
          <w:b/>
          <w:noProof/>
          <w:szCs w:val="22"/>
        </w:rPr>
      </w:pPr>
      <w:r>
        <w:rPr>
          <w:b/>
          <w:szCs w:val="22"/>
        </w:rPr>
        <w:t>4.3</w:t>
      </w:r>
      <w:r>
        <w:rPr>
          <w:b/>
          <w:szCs w:val="22"/>
        </w:rPr>
        <w:tab/>
        <w:t>Kontraindikácie</w:t>
      </w:r>
    </w:p>
    <w:p w14:paraId="60965135" w14:textId="77777777" w:rsidR="00812D16" w:rsidRPr="004066EE" w:rsidRDefault="00812D16" w:rsidP="002C2D79">
      <w:pPr>
        <w:spacing w:line="240" w:lineRule="auto"/>
        <w:jc w:val="both"/>
        <w:rPr>
          <w:noProof/>
          <w:szCs w:val="22"/>
        </w:rPr>
      </w:pPr>
    </w:p>
    <w:p w14:paraId="01B64B47" w14:textId="4BC03740" w:rsidR="000E15A9" w:rsidRPr="004066EE" w:rsidRDefault="004C6BAF" w:rsidP="002C2D79">
      <w:pPr>
        <w:spacing w:line="240" w:lineRule="auto"/>
        <w:jc w:val="both"/>
        <w:rPr>
          <w:noProof/>
          <w:szCs w:val="22"/>
        </w:rPr>
      </w:pPr>
      <w:proofErr w:type="spellStart"/>
      <w:r>
        <w:t>Dexibuprof</w:t>
      </w:r>
      <w:r w:rsidR="008D7C04">
        <w:t>é</w:t>
      </w:r>
      <w:r>
        <w:t>n</w:t>
      </w:r>
      <w:proofErr w:type="spellEnd"/>
      <w:r>
        <w:t xml:space="preserve"> </w:t>
      </w:r>
      <w:proofErr w:type="spellStart"/>
      <w:r>
        <w:t>Strides</w:t>
      </w:r>
      <w:proofErr w:type="spellEnd"/>
      <w:r w:rsidR="005B4AE0">
        <w:t xml:space="preserve"> sa nesmie podávať pacientom: </w:t>
      </w:r>
    </w:p>
    <w:p w14:paraId="4972A148" w14:textId="42C908C2" w:rsidR="000E15A9" w:rsidRPr="004066EE" w:rsidRDefault="000E15A9" w:rsidP="002C2D79">
      <w:pPr>
        <w:pStyle w:val="Odsekzoznamu"/>
        <w:numPr>
          <w:ilvl w:val="0"/>
          <w:numId w:val="29"/>
        </w:numPr>
        <w:tabs>
          <w:tab w:val="clear" w:pos="567"/>
        </w:tabs>
        <w:spacing w:line="240" w:lineRule="auto"/>
        <w:ind w:left="567" w:hanging="425"/>
        <w:jc w:val="both"/>
        <w:rPr>
          <w:noProof/>
          <w:szCs w:val="22"/>
        </w:rPr>
      </w:pPr>
      <w:r>
        <w:t xml:space="preserve">s precitlivenosťou na </w:t>
      </w:r>
      <w:proofErr w:type="spellStart"/>
      <w:r>
        <w:t>dexibuprofén</w:t>
      </w:r>
      <w:proofErr w:type="spellEnd"/>
      <w:r>
        <w:t xml:space="preserve">, na akékoľvek iné </w:t>
      </w:r>
      <w:r w:rsidR="00B32A26">
        <w:t>NSAID</w:t>
      </w:r>
      <w:r>
        <w:t xml:space="preserve"> alebo na ktorúk</w:t>
      </w:r>
      <w:r w:rsidR="008D7C04">
        <w:t>o</w:t>
      </w:r>
      <w:r>
        <w:t>ľvek z pomocných látok tohto lieku (pozri časť 6.1.)</w:t>
      </w:r>
      <w:r w:rsidR="008D7C04">
        <w:t>,</w:t>
      </w:r>
      <w:r>
        <w:t xml:space="preserve"> </w:t>
      </w:r>
    </w:p>
    <w:p w14:paraId="4DA233BB" w14:textId="036EAC5F" w:rsidR="000E15A9" w:rsidRPr="004066EE" w:rsidRDefault="000E15A9" w:rsidP="002C2D79">
      <w:pPr>
        <w:pStyle w:val="Odsekzoznamu"/>
        <w:numPr>
          <w:ilvl w:val="0"/>
          <w:numId w:val="29"/>
        </w:numPr>
        <w:tabs>
          <w:tab w:val="clear" w:pos="567"/>
        </w:tabs>
        <w:spacing w:line="240" w:lineRule="auto"/>
        <w:ind w:left="567" w:hanging="425"/>
        <w:jc w:val="both"/>
        <w:rPr>
          <w:noProof/>
          <w:szCs w:val="22"/>
        </w:rPr>
      </w:pPr>
      <w:r>
        <w:t>u ktorých l</w:t>
      </w:r>
      <w:r w:rsidR="00AC1444">
        <w:t>iečivá</w:t>
      </w:r>
      <w:r>
        <w:t xml:space="preserve"> s podobným účinkom (napr. kyselina acetylsalicylová alebo iné </w:t>
      </w:r>
      <w:r w:rsidR="007A2BD5">
        <w:t>NSAID</w:t>
      </w:r>
      <w:r>
        <w:t xml:space="preserve">) vyvolávajú záchvaty astmy, </w:t>
      </w:r>
      <w:proofErr w:type="spellStart"/>
      <w:r>
        <w:t>bronchospazmus</w:t>
      </w:r>
      <w:proofErr w:type="spellEnd"/>
      <w:r>
        <w:t xml:space="preserve">, akútnu </w:t>
      </w:r>
      <w:proofErr w:type="spellStart"/>
      <w:r>
        <w:t>rinitídu</w:t>
      </w:r>
      <w:proofErr w:type="spellEnd"/>
      <w:r>
        <w:t xml:space="preserve"> alebo spôsobujú nosné polypy, žihľavku či </w:t>
      </w:r>
      <w:proofErr w:type="spellStart"/>
      <w:r>
        <w:t>angioneurotický</w:t>
      </w:r>
      <w:proofErr w:type="spellEnd"/>
      <w:r>
        <w:t xml:space="preserve"> edém, </w:t>
      </w:r>
    </w:p>
    <w:p w14:paraId="62A75EFA" w14:textId="47D76BC3" w:rsidR="000E15A9" w:rsidRPr="004066EE" w:rsidRDefault="000E15A9" w:rsidP="002C2D79">
      <w:pPr>
        <w:pStyle w:val="Odsekzoznamu"/>
        <w:numPr>
          <w:ilvl w:val="0"/>
          <w:numId w:val="29"/>
        </w:numPr>
        <w:tabs>
          <w:tab w:val="clear" w:pos="567"/>
        </w:tabs>
        <w:spacing w:line="240" w:lineRule="auto"/>
        <w:ind w:left="567" w:hanging="425"/>
        <w:jc w:val="both"/>
        <w:rPr>
          <w:noProof/>
          <w:szCs w:val="22"/>
        </w:rPr>
      </w:pPr>
      <w:r>
        <w:t xml:space="preserve">s anamnézou gastrointestinálneho krvácania alebo perforácie v súvislosti s predchádzajúcou liečbou </w:t>
      </w:r>
      <w:r w:rsidR="00B32A26">
        <w:t>NSAID</w:t>
      </w:r>
      <w:r>
        <w:t xml:space="preserve">, </w:t>
      </w:r>
    </w:p>
    <w:p w14:paraId="49F3990D" w14:textId="5C821A1C" w:rsidR="000E15A9" w:rsidRPr="004066EE" w:rsidRDefault="000E15A9" w:rsidP="002C2D79">
      <w:pPr>
        <w:pStyle w:val="Odsekzoznamu"/>
        <w:numPr>
          <w:ilvl w:val="0"/>
          <w:numId w:val="29"/>
        </w:numPr>
        <w:tabs>
          <w:tab w:val="clear" w:pos="567"/>
        </w:tabs>
        <w:spacing w:line="240" w:lineRule="auto"/>
        <w:ind w:left="567" w:hanging="425"/>
        <w:jc w:val="both"/>
        <w:rPr>
          <w:noProof/>
          <w:szCs w:val="22"/>
        </w:rPr>
      </w:pPr>
      <w:r>
        <w:t>s aktívnym žalúdočným vredom alebo anamnézou opakujúceho sa žalúdočného vredu/</w:t>
      </w:r>
      <w:proofErr w:type="spellStart"/>
      <w:r>
        <w:t>hemorágie</w:t>
      </w:r>
      <w:proofErr w:type="spellEnd"/>
      <w:r>
        <w:t xml:space="preserve"> (dve alebo viac samostatných epizód s preukázanou </w:t>
      </w:r>
      <w:proofErr w:type="spellStart"/>
      <w:r>
        <w:t>ulceráciou</w:t>
      </w:r>
      <w:proofErr w:type="spellEnd"/>
      <w:r>
        <w:t xml:space="preserve"> alebo krvácaním), </w:t>
      </w:r>
    </w:p>
    <w:p w14:paraId="214367B5" w14:textId="7FCBCEB2" w:rsidR="000E15A9" w:rsidRPr="004066EE" w:rsidRDefault="000E15A9" w:rsidP="002C2D79">
      <w:pPr>
        <w:pStyle w:val="Odsekzoznamu"/>
        <w:numPr>
          <w:ilvl w:val="0"/>
          <w:numId w:val="29"/>
        </w:numPr>
        <w:tabs>
          <w:tab w:val="clear" w:pos="567"/>
        </w:tabs>
        <w:spacing w:line="240" w:lineRule="auto"/>
        <w:ind w:left="567" w:hanging="425"/>
        <w:jc w:val="both"/>
        <w:rPr>
          <w:noProof/>
          <w:szCs w:val="22"/>
        </w:rPr>
      </w:pPr>
      <w:r>
        <w:t>s </w:t>
      </w:r>
      <w:proofErr w:type="spellStart"/>
      <w:r>
        <w:t>cerebrovaskulárnym</w:t>
      </w:r>
      <w:proofErr w:type="spellEnd"/>
      <w:r>
        <w:t xml:space="preserve"> krvácaním alebo iným aktívnym krvácaním, </w:t>
      </w:r>
    </w:p>
    <w:p w14:paraId="31EE5861" w14:textId="6790A725" w:rsidR="000E15A9" w:rsidRPr="004066EE" w:rsidRDefault="000E15A9" w:rsidP="002C2D79">
      <w:pPr>
        <w:pStyle w:val="Odsekzoznamu"/>
        <w:numPr>
          <w:ilvl w:val="0"/>
          <w:numId w:val="29"/>
        </w:numPr>
        <w:tabs>
          <w:tab w:val="clear" w:pos="567"/>
        </w:tabs>
        <w:spacing w:line="240" w:lineRule="auto"/>
        <w:ind w:left="567" w:hanging="425"/>
        <w:jc w:val="both"/>
        <w:rPr>
          <w:noProof/>
          <w:szCs w:val="22"/>
        </w:rPr>
      </w:pPr>
      <w:r>
        <w:t xml:space="preserve">s aktívnou </w:t>
      </w:r>
      <w:proofErr w:type="spellStart"/>
      <w:r>
        <w:t>Crohnovou</w:t>
      </w:r>
      <w:proofErr w:type="spellEnd"/>
      <w:r>
        <w:t xml:space="preserve"> chorobou alebo aktívnou ulceróznou kolitídou, </w:t>
      </w:r>
    </w:p>
    <w:p w14:paraId="1FC161F9" w14:textId="0E449BFF" w:rsidR="000E15A9" w:rsidRPr="004066EE" w:rsidRDefault="000E15A9" w:rsidP="002C2D79">
      <w:pPr>
        <w:pStyle w:val="Odsekzoznamu"/>
        <w:numPr>
          <w:ilvl w:val="0"/>
          <w:numId w:val="29"/>
        </w:numPr>
        <w:tabs>
          <w:tab w:val="clear" w:pos="567"/>
        </w:tabs>
        <w:spacing w:line="240" w:lineRule="auto"/>
        <w:ind w:left="567" w:hanging="425"/>
        <w:jc w:val="both"/>
        <w:rPr>
          <w:noProof/>
          <w:szCs w:val="22"/>
        </w:rPr>
      </w:pPr>
      <w:r>
        <w:t>so závažným zlyh</w:t>
      </w:r>
      <w:r w:rsidR="00AC1444">
        <w:t>áv</w:t>
      </w:r>
      <w:r>
        <w:t xml:space="preserve">aním srdca, </w:t>
      </w:r>
    </w:p>
    <w:p w14:paraId="58D8540A" w14:textId="34F06418" w:rsidR="000E15A9" w:rsidRPr="004066EE" w:rsidRDefault="000E15A9" w:rsidP="002C2D79">
      <w:pPr>
        <w:pStyle w:val="Odsekzoznamu"/>
        <w:numPr>
          <w:ilvl w:val="0"/>
          <w:numId w:val="29"/>
        </w:numPr>
        <w:tabs>
          <w:tab w:val="clear" w:pos="567"/>
        </w:tabs>
        <w:spacing w:line="240" w:lineRule="auto"/>
        <w:ind w:left="567" w:hanging="425"/>
        <w:jc w:val="both"/>
        <w:rPr>
          <w:noProof/>
          <w:szCs w:val="22"/>
        </w:rPr>
      </w:pPr>
      <w:r>
        <w:lastRenderedPageBreak/>
        <w:t xml:space="preserve">so závažnou </w:t>
      </w:r>
      <w:r w:rsidR="008D7C04">
        <w:t>poruchou funkcie obličiek</w:t>
      </w:r>
      <w:r>
        <w:t xml:space="preserve"> (GFR &lt; 30 ml/min), </w:t>
      </w:r>
    </w:p>
    <w:p w14:paraId="7E1CE184" w14:textId="3077DE3B" w:rsidR="000E15A9" w:rsidRPr="004066EE" w:rsidRDefault="000E15A9" w:rsidP="002C2D79">
      <w:pPr>
        <w:pStyle w:val="Odsekzoznamu"/>
        <w:numPr>
          <w:ilvl w:val="0"/>
          <w:numId w:val="29"/>
        </w:numPr>
        <w:tabs>
          <w:tab w:val="clear" w:pos="567"/>
        </w:tabs>
        <w:spacing w:line="240" w:lineRule="auto"/>
        <w:ind w:left="567" w:hanging="425"/>
        <w:jc w:val="both"/>
        <w:rPr>
          <w:noProof/>
          <w:szCs w:val="22"/>
        </w:rPr>
      </w:pPr>
      <w:r>
        <w:t xml:space="preserve">so závažným zhoršením funkcie pečene, </w:t>
      </w:r>
    </w:p>
    <w:p w14:paraId="2C6F7FD6" w14:textId="77777777" w:rsidR="007E2F1E" w:rsidRPr="007E2F1E" w:rsidRDefault="007E2F1E" w:rsidP="001A5FBE">
      <w:pPr>
        <w:pStyle w:val="Odsekzoznamu"/>
        <w:numPr>
          <w:ilvl w:val="0"/>
          <w:numId w:val="29"/>
        </w:numPr>
        <w:tabs>
          <w:tab w:val="clear" w:pos="567"/>
        </w:tabs>
        <w:spacing w:line="240" w:lineRule="auto"/>
        <w:ind w:left="567" w:hanging="425"/>
        <w:jc w:val="both"/>
        <w:rPr>
          <w:noProof/>
          <w:szCs w:val="22"/>
        </w:rPr>
      </w:pPr>
      <w:r>
        <w:t>počas tretieho trimestra tehotenstva (pozri časť 4.6).</w:t>
      </w:r>
    </w:p>
    <w:p w14:paraId="36D30E93" w14:textId="77777777" w:rsidR="00014368" w:rsidRPr="004066EE" w:rsidRDefault="00014368" w:rsidP="002C2D79">
      <w:pPr>
        <w:spacing w:line="240" w:lineRule="auto"/>
        <w:ind w:left="567" w:hanging="425"/>
        <w:jc w:val="both"/>
        <w:rPr>
          <w:noProof/>
          <w:szCs w:val="22"/>
        </w:rPr>
      </w:pPr>
    </w:p>
    <w:p w14:paraId="5C8E3B68" w14:textId="77777777" w:rsidR="00812D16" w:rsidRPr="004066EE" w:rsidRDefault="00812D16" w:rsidP="002C2D79">
      <w:pPr>
        <w:spacing w:line="240" w:lineRule="auto"/>
        <w:jc w:val="both"/>
        <w:outlineLvl w:val="0"/>
        <w:rPr>
          <w:b/>
          <w:noProof/>
          <w:szCs w:val="22"/>
        </w:rPr>
      </w:pPr>
      <w:r>
        <w:rPr>
          <w:b/>
          <w:szCs w:val="22"/>
        </w:rPr>
        <w:t>4.4</w:t>
      </w:r>
      <w:r>
        <w:rPr>
          <w:b/>
          <w:szCs w:val="22"/>
        </w:rPr>
        <w:tab/>
        <w:t>Osobitné upozornenia a opatrenia pri používaní</w:t>
      </w:r>
    </w:p>
    <w:p w14:paraId="5789F6F9" w14:textId="77777777" w:rsidR="00812D16" w:rsidRPr="004066EE" w:rsidRDefault="00812D16" w:rsidP="002C2D79">
      <w:pPr>
        <w:spacing w:line="240" w:lineRule="auto"/>
        <w:ind w:left="567" w:hanging="567"/>
        <w:jc w:val="both"/>
        <w:rPr>
          <w:b/>
          <w:noProof/>
          <w:szCs w:val="22"/>
        </w:rPr>
      </w:pPr>
    </w:p>
    <w:p w14:paraId="62D48167" w14:textId="00B20BB0" w:rsidR="004D540C" w:rsidRPr="004066EE" w:rsidRDefault="004D540C" w:rsidP="002C2D79">
      <w:pPr>
        <w:pStyle w:val="Bezriadkovania"/>
        <w:jc w:val="both"/>
        <w:rPr>
          <w:noProof/>
          <w:szCs w:val="22"/>
        </w:rPr>
      </w:pPr>
      <w:r>
        <w:t>Nežiaduce účinky možno minimalizovať používaním najnižšej účinnej dávky najkratš</w:t>
      </w:r>
      <w:r w:rsidR="008D7C04">
        <w:t>í</w:t>
      </w:r>
      <w:r>
        <w:t xml:space="preserve"> možn</w:t>
      </w:r>
      <w:r w:rsidR="007A62AF">
        <w:t>ý</w:t>
      </w:r>
      <w:r>
        <w:t xml:space="preserve"> </w:t>
      </w:r>
      <w:r w:rsidR="007A62AF">
        <w:t>čas</w:t>
      </w:r>
      <w:r>
        <w:t xml:space="preserve"> potrebn</w:t>
      </w:r>
      <w:r w:rsidR="007A62AF">
        <w:t>ý</w:t>
      </w:r>
      <w:r>
        <w:t xml:space="preserve"> na zmiernenie príznakov (pozri časť 4.2 a gastrointestinálne a kardiovaskulárne riziká nižšie).</w:t>
      </w:r>
    </w:p>
    <w:p w14:paraId="0D75292F" w14:textId="77777777" w:rsidR="004D540C" w:rsidRPr="004066EE" w:rsidRDefault="004D540C" w:rsidP="002C2D79">
      <w:pPr>
        <w:pStyle w:val="Bezriadkovania"/>
        <w:jc w:val="both"/>
        <w:rPr>
          <w:noProof/>
          <w:szCs w:val="22"/>
        </w:rPr>
      </w:pPr>
    </w:p>
    <w:p w14:paraId="62B99E9A" w14:textId="2E4DFAF9" w:rsidR="004D540C" w:rsidRPr="004066EE" w:rsidRDefault="004D540C" w:rsidP="002C2D79">
      <w:pPr>
        <w:pStyle w:val="Bezriadkovania"/>
        <w:jc w:val="both"/>
        <w:rPr>
          <w:noProof/>
          <w:szCs w:val="22"/>
        </w:rPr>
      </w:pPr>
      <w:r>
        <w:t xml:space="preserve">Treba sa vyhýbať používaniu </w:t>
      </w:r>
      <w:proofErr w:type="spellStart"/>
      <w:r>
        <w:t>dexibuprofénu</w:t>
      </w:r>
      <w:proofErr w:type="spellEnd"/>
      <w:r>
        <w:t xml:space="preserve"> so súbežne podávanými </w:t>
      </w:r>
      <w:r w:rsidR="00B32A26">
        <w:t>NSAID</w:t>
      </w:r>
      <w:r>
        <w:t xml:space="preserve"> vrátane selektívnych inhibítorov cyklooxygenázy-2.</w:t>
      </w:r>
    </w:p>
    <w:p w14:paraId="0606726F" w14:textId="77777777" w:rsidR="004D540C" w:rsidRPr="004066EE" w:rsidRDefault="004D540C" w:rsidP="002C2D79">
      <w:pPr>
        <w:pStyle w:val="Bezriadkovania"/>
        <w:jc w:val="both"/>
        <w:rPr>
          <w:noProof/>
          <w:szCs w:val="22"/>
        </w:rPr>
      </w:pPr>
    </w:p>
    <w:p w14:paraId="4060C2CC" w14:textId="77777777" w:rsidR="004D540C" w:rsidRPr="004066EE" w:rsidRDefault="004D540C" w:rsidP="002C2D79">
      <w:pPr>
        <w:pStyle w:val="Bezriadkovania"/>
        <w:jc w:val="both"/>
        <w:rPr>
          <w:i/>
          <w:noProof/>
          <w:szCs w:val="22"/>
          <w:u w:val="single"/>
        </w:rPr>
      </w:pPr>
      <w:r>
        <w:rPr>
          <w:i/>
          <w:szCs w:val="22"/>
          <w:u w:val="single"/>
        </w:rPr>
        <w:t>Gastrointestinálne riziká</w:t>
      </w:r>
    </w:p>
    <w:p w14:paraId="5B1DE7F8" w14:textId="00A1E1DA" w:rsidR="004D540C" w:rsidRPr="004066EE" w:rsidRDefault="004D540C" w:rsidP="002C2D79">
      <w:pPr>
        <w:pStyle w:val="Bezriadkovania"/>
        <w:jc w:val="both"/>
        <w:rPr>
          <w:noProof/>
          <w:szCs w:val="22"/>
        </w:rPr>
      </w:pPr>
      <w:r>
        <w:t xml:space="preserve">Starší pacienti majú zvýšenú frekvenciu nežiaducich reakcií na </w:t>
      </w:r>
      <w:r w:rsidR="00B32A26">
        <w:t>NSAID</w:t>
      </w:r>
      <w:r>
        <w:t>, najmä gastrointestinálneho krvácania a perforácie, ktoré môžu byť smrteľné (pozri časť 4.2).</w:t>
      </w:r>
    </w:p>
    <w:p w14:paraId="25590976" w14:textId="77777777" w:rsidR="004D540C" w:rsidRPr="004066EE" w:rsidRDefault="004D540C" w:rsidP="002C2D79">
      <w:pPr>
        <w:pStyle w:val="Bezriadkovania"/>
        <w:jc w:val="both"/>
        <w:rPr>
          <w:noProof/>
          <w:szCs w:val="22"/>
        </w:rPr>
      </w:pPr>
    </w:p>
    <w:p w14:paraId="63CCAAB6" w14:textId="5D620EEF" w:rsidR="004D540C" w:rsidRPr="004066EE" w:rsidRDefault="004D540C" w:rsidP="002C2D79">
      <w:pPr>
        <w:pStyle w:val="Bezriadkovania"/>
        <w:jc w:val="both"/>
        <w:rPr>
          <w:noProof/>
          <w:szCs w:val="22"/>
        </w:rPr>
      </w:pPr>
      <w:proofErr w:type="spellStart"/>
      <w:r>
        <w:t>Gastrointestinálne</w:t>
      </w:r>
      <w:proofErr w:type="spellEnd"/>
      <w:r>
        <w:t xml:space="preserve"> krvácanie, </w:t>
      </w:r>
      <w:proofErr w:type="spellStart"/>
      <w:r>
        <w:t>ulcerácia</w:t>
      </w:r>
      <w:proofErr w:type="spellEnd"/>
      <w:r>
        <w:t xml:space="preserve"> alebo perforácia, ktoré môžu byť smrteľné, boli hlásené kedykoľvek počas liečby u všetkých </w:t>
      </w:r>
      <w:r w:rsidR="00B32A26">
        <w:t>NSAID</w:t>
      </w:r>
      <w:r>
        <w:t xml:space="preserve"> s varovnými príznakmi alebo bez nich alebo s anamnézou závažných gastrointestinálnych udalostí alebo bez nej.</w:t>
      </w:r>
    </w:p>
    <w:p w14:paraId="3DBE06D2" w14:textId="77777777" w:rsidR="004D540C" w:rsidRPr="004066EE" w:rsidRDefault="004D540C" w:rsidP="002C2D79">
      <w:pPr>
        <w:pStyle w:val="Bezriadkovania"/>
        <w:jc w:val="both"/>
        <w:rPr>
          <w:noProof/>
          <w:szCs w:val="22"/>
        </w:rPr>
      </w:pPr>
    </w:p>
    <w:p w14:paraId="3E18860C" w14:textId="15E3BD25" w:rsidR="004D540C" w:rsidRPr="004066EE" w:rsidRDefault="004D540C" w:rsidP="002C2D79">
      <w:pPr>
        <w:pStyle w:val="Bezriadkovania"/>
        <w:jc w:val="both"/>
        <w:rPr>
          <w:noProof/>
          <w:szCs w:val="22"/>
        </w:rPr>
      </w:pPr>
      <w:r>
        <w:t xml:space="preserve">Riziko </w:t>
      </w:r>
      <w:proofErr w:type="spellStart"/>
      <w:r>
        <w:t>gastrointestinálneho</w:t>
      </w:r>
      <w:proofErr w:type="spellEnd"/>
      <w:r>
        <w:t xml:space="preserve"> krvácania, </w:t>
      </w:r>
      <w:proofErr w:type="spellStart"/>
      <w:r>
        <w:t>ulcerácie</w:t>
      </w:r>
      <w:proofErr w:type="spellEnd"/>
      <w:r>
        <w:t xml:space="preserve"> alebo perforácie je vyššie pri zvyšovaní dávok </w:t>
      </w:r>
      <w:r w:rsidR="00B32A26">
        <w:t>NSAID</w:t>
      </w:r>
      <w:r>
        <w:t xml:space="preserve">, u pacientov s anamnézou vredov, najmä ak boli komplikované krvácaním alebo perforáciou (pozri časť 4.3), alkoholizmom a u starších pacientov. Títo pacienti majú začať liečbu najnižšou dostupnou dávkou. U týchto pacientov, ako aj u pacientov vyžadujúcich súbežnú liečbu nízkymi dávkami kyseliny acetylsalicylovej alebo inými liekmi, ktoré pravdepodobne zvyšujú gastrointestinálne riziko, sa má zvážiť kombinovaná liečba ochrannými látkami (napr. </w:t>
      </w:r>
      <w:proofErr w:type="spellStart"/>
      <w:r>
        <w:t>mi</w:t>
      </w:r>
      <w:r w:rsidR="007A62AF">
        <w:t>z</w:t>
      </w:r>
      <w:r>
        <w:t>oprostolom</w:t>
      </w:r>
      <w:proofErr w:type="spellEnd"/>
      <w:r>
        <w:t xml:space="preserve"> alebo inhibítormi protónovej pumpy) (pozri nižšie a časť 4.5).</w:t>
      </w:r>
    </w:p>
    <w:p w14:paraId="4DDB5971" w14:textId="77777777" w:rsidR="004D540C" w:rsidRPr="004066EE" w:rsidRDefault="004D540C" w:rsidP="002C2D79">
      <w:pPr>
        <w:pStyle w:val="Bezriadkovania"/>
        <w:jc w:val="both"/>
        <w:rPr>
          <w:noProof/>
          <w:szCs w:val="22"/>
        </w:rPr>
      </w:pPr>
    </w:p>
    <w:p w14:paraId="73033125" w14:textId="5CDBFCF8" w:rsidR="004D540C" w:rsidRPr="004066EE" w:rsidRDefault="004D540C" w:rsidP="002C2D79">
      <w:pPr>
        <w:pStyle w:val="Bezriadkovania"/>
        <w:jc w:val="both"/>
        <w:rPr>
          <w:noProof/>
          <w:szCs w:val="22"/>
        </w:rPr>
      </w:pPr>
      <w:r>
        <w:t>Pacienti s anamnézou gastrointestinálnej toxicity, najmä starší, ma</w:t>
      </w:r>
      <w:r w:rsidR="007A62AF">
        <w:t>jú</w:t>
      </w:r>
      <w:r>
        <w:t xml:space="preserve"> hlásiť akékoľvek brušné príznaky (najmä krvácanie do gastrointestinálneho traktu), najmä v </w:t>
      </w:r>
      <w:r w:rsidR="00AC1444">
        <w:t>za</w:t>
      </w:r>
      <w:r>
        <w:t xml:space="preserve">čiatočných fázach liečby. </w:t>
      </w:r>
    </w:p>
    <w:p w14:paraId="5C814443" w14:textId="3D1D6451" w:rsidR="004D540C" w:rsidRPr="004066EE" w:rsidRDefault="00AC1444" w:rsidP="002C2D79">
      <w:pPr>
        <w:pStyle w:val="Bezriadkovania"/>
        <w:jc w:val="both"/>
        <w:rPr>
          <w:noProof/>
          <w:szCs w:val="22"/>
        </w:rPr>
      </w:pPr>
      <w:r>
        <w:t>Opatrnosť sa odporúča u</w:t>
      </w:r>
      <w:r w:rsidR="004D540C">
        <w:t xml:space="preserve"> pacientov dostávajúcich súbežnú liečbu, ktorá by mohla zvyšovať riziko </w:t>
      </w:r>
      <w:proofErr w:type="spellStart"/>
      <w:r w:rsidR="004D540C">
        <w:t>ulcerácie</w:t>
      </w:r>
      <w:proofErr w:type="spellEnd"/>
      <w:r w:rsidR="004D540C">
        <w:t xml:space="preserve"> alebo krvácania, ako napríklad perorálne </w:t>
      </w:r>
      <w:proofErr w:type="spellStart"/>
      <w:r w:rsidR="004D540C">
        <w:t>kortikosteroidy</w:t>
      </w:r>
      <w:proofErr w:type="spellEnd"/>
      <w:r w:rsidR="004D540C">
        <w:t xml:space="preserve">, </w:t>
      </w:r>
      <w:proofErr w:type="spellStart"/>
      <w:r w:rsidR="004D540C">
        <w:t>antikoagulanciá</w:t>
      </w:r>
      <w:proofErr w:type="spellEnd"/>
      <w:r w:rsidR="004D540C">
        <w:t xml:space="preserve"> ako </w:t>
      </w:r>
      <w:proofErr w:type="spellStart"/>
      <w:r w:rsidR="004D540C">
        <w:t>warfarín</w:t>
      </w:r>
      <w:proofErr w:type="spellEnd"/>
      <w:r w:rsidR="004D540C">
        <w:t xml:space="preserve">, selektívne inhibítory spätného vychytávania </w:t>
      </w:r>
      <w:proofErr w:type="spellStart"/>
      <w:r w:rsidR="004D540C">
        <w:t>serotonínu</w:t>
      </w:r>
      <w:proofErr w:type="spellEnd"/>
      <w:r w:rsidR="004D540C">
        <w:t xml:space="preserve"> alebo </w:t>
      </w:r>
      <w:proofErr w:type="spellStart"/>
      <w:r>
        <w:t>antiagregačné</w:t>
      </w:r>
      <w:proofErr w:type="spellEnd"/>
      <w:r>
        <w:t xml:space="preserve"> </w:t>
      </w:r>
      <w:r w:rsidR="004D540C">
        <w:t>látky ako kyselina acetylsalicylová (pozri časť 4.5).</w:t>
      </w:r>
    </w:p>
    <w:p w14:paraId="6624A6DD" w14:textId="77777777" w:rsidR="004D540C" w:rsidRPr="004066EE" w:rsidRDefault="004D540C" w:rsidP="002C2D79">
      <w:pPr>
        <w:pStyle w:val="Bezriadkovania"/>
        <w:jc w:val="both"/>
        <w:rPr>
          <w:noProof/>
          <w:szCs w:val="22"/>
        </w:rPr>
      </w:pPr>
    </w:p>
    <w:p w14:paraId="27225509" w14:textId="6A7793E7" w:rsidR="004D540C" w:rsidRPr="004066EE" w:rsidRDefault="004D540C" w:rsidP="002C2D79">
      <w:pPr>
        <w:pStyle w:val="Bezriadkovania"/>
        <w:jc w:val="both"/>
        <w:rPr>
          <w:noProof/>
          <w:szCs w:val="22"/>
        </w:rPr>
      </w:pPr>
      <w:r>
        <w:t xml:space="preserve">Keď sa u pacientov, ktorí dostávajú </w:t>
      </w:r>
      <w:proofErr w:type="spellStart"/>
      <w:r w:rsidR="004C6BAF">
        <w:t>Dexibuprof</w:t>
      </w:r>
      <w:r w:rsidR="007A62AF">
        <w:t>é</w:t>
      </w:r>
      <w:r w:rsidR="004C6BAF">
        <w:t>n</w:t>
      </w:r>
      <w:proofErr w:type="spellEnd"/>
      <w:r w:rsidR="004C6BAF">
        <w:t xml:space="preserve"> </w:t>
      </w:r>
      <w:proofErr w:type="spellStart"/>
      <w:r w:rsidR="004C6BAF">
        <w:t>Strides</w:t>
      </w:r>
      <w:proofErr w:type="spellEnd"/>
      <w:r>
        <w:t xml:space="preserve">, vyskytne </w:t>
      </w:r>
      <w:proofErr w:type="spellStart"/>
      <w:r>
        <w:t>gastrointestinálne</w:t>
      </w:r>
      <w:proofErr w:type="spellEnd"/>
      <w:r>
        <w:t xml:space="preserve"> krvácanie alebo </w:t>
      </w:r>
      <w:proofErr w:type="spellStart"/>
      <w:r>
        <w:t>ulcerácia</w:t>
      </w:r>
      <w:proofErr w:type="spellEnd"/>
      <w:r>
        <w:t>, liečbu treba ukončiť.</w:t>
      </w:r>
    </w:p>
    <w:p w14:paraId="6B25118F" w14:textId="77777777" w:rsidR="004D540C" w:rsidRPr="004066EE" w:rsidRDefault="004D540C" w:rsidP="002C2D79">
      <w:pPr>
        <w:pStyle w:val="Bezriadkovania"/>
        <w:jc w:val="both"/>
        <w:rPr>
          <w:noProof/>
          <w:szCs w:val="22"/>
        </w:rPr>
      </w:pPr>
    </w:p>
    <w:p w14:paraId="081F8C3F" w14:textId="2B9E58FC" w:rsidR="004D540C" w:rsidRPr="004066EE" w:rsidRDefault="00B32A26" w:rsidP="002C2D79">
      <w:pPr>
        <w:pStyle w:val="Bezriadkovania"/>
        <w:jc w:val="both"/>
        <w:rPr>
          <w:noProof/>
          <w:szCs w:val="22"/>
        </w:rPr>
      </w:pPr>
      <w:r>
        <w:t>NSAID</w:t>
      </w:r>
      <w:r w:rsidR="004D540C">
        <w:t xml:space="preserve"> treba podávať pacientom s anamnézou gastrointestinálnych ochorení (</w:t>
      </w:r>
      <w:proofErr w:type="spellStart"/>
      <w:r w:rsidR="004D540C">
        <w:t>ulcerózna</w:t>
      </w:r>
      <w:proofErr w:type="spellEnd"/>
      <w:r w:rsidR="004D540C">
        <w:t xml:space="preserve"> </w:t>
      </w:r>
      <w:proofErr w:type="spellStart"/>
      <w:r w:rsidR="004D540C">
        <w:t>kolitída</w:t>
      </w:r>
      <w:proofErr w:type="spellEnd"/>
      <w:r w:rsidR="004D540C">
        <w:t xml:space="preserve">, </w:t>
      </w:r>
      <w:proofErr w:type="spellStart"/>
      <w:r w:rsidR="004D540C">
        <w:t>Crohnova</w:t>
      </w:r>
      <w:proofErr w:type="spellEnd"/>
      <w:r w:rsidR="004D540C">
        <w:t xml:space="preserve"> choroba) s opatrnosťou, pretože táto liečba môže zhoršiť ich stav (pozri časť 4.8).</w:t>
      </w:r>
    </w:p>
    <w:p w14:paraId="3D53F293" w14:textId="77777777" w:rsidR="004D540C" w:rsidRPr="004066EE" w:rsidRDefault="004D540C" w:rsidP="002C2D79">
      <w:pPr>
        <w:pStyle w:val="Bezriadkovania"/>
        <w:jc w:val="both"/>
        <w:rPr>
          <w:noProof/>
          <w:szCs w:val="22"/>
        </w:rPr>
      </w:pPr>
    </w:p>
    <w:p w14:paraId="588DD940" w14:textId="77777777" w:rsidR="004D540C" w:rsidRPr="004066EE" w:rsidRDefault="004D540C" w:rsidP="002C2D79">
      <w:pPr>
        <w:pStyle w:val="Bezriadkovania"/>
        <w:jc w:val="both"/>
        <w:rPr>
          <w:i/>
          <w:noProof/>
          <w:szCs w:val="22"/>
          <w:u w:val="single"/>
        </w:rPr>
      </w:pPr>
      <w:r>
        <w:rPr>
          <w:i/>
          <w:szCs w:val="22"/>
          <w:u w:val="single"/>
        </w:rPr>
        <w:t>Precitlivenosť</w:t>
      </w:r>
    </w:p>
    <w:p w14:paraId="54D46303" w14:textId="74C8820D" w:rsidR="004D540C" w:rsidRPr="004066EE" w:rsidRDefault="004D540C" w:rsidP="002C2D79">
      <w:pPr>
        <w:pStyle w:val="Bezriadkovania"/>
        <w:jc w:val="both"/>
        <w:rPr>
          <w:noProof/>
          <w:szCs w:val="22"/>
        </w:rPr>
      </w:pPr>
      <w:r>
        <w:t xml:space="preserve">Rovnako ako v prípade iných </w:t>
      </w:r>
      <w:r w:rsidR="00B32A26">
        <w:t>NSAID</w:t>
      </w:r>
      <w:r>
        <w:t xml:space="preserve">, alergické reakcie vrátane </w:t>
      </w:r>
      <w:proofErr w:type="spellStart"/>
      <w:r>
        <w:t>anafylaktických</w:t>
      </w:r>
      <w:proofErr w:type="spellEnd"/>
      <w:r>
        <w:t>/</w:t>
      </w:r>
      <w:proofErr w:type="spellStart"/>
      <w:r>
        <w:t>anafylaktoidných</w:t>
      </w:r>
      <w:proofErr w:type="spellEnd"/>
      <w:r>
        <w:t xml:space="preserve"> reakcií sa môžu vyskytnúť aj bez predchádzajúcej expozície lieku.</w:t>
      </w:r>
    </w:p>
    <w:p w14:paraId="72E7401B" w14:textId="77777777" w:rsidR="004D540C" w:rsidRPr="004066EE" w:rsidRDefault="004D540C" w:rsidP="002C2D79">
      <w:pPr>
        <w:pStyle w:val="Bezriadkovania"/>
        <w:jc w:val="both"/>
        <w:rPr>
          <w:noProof/>
          <w:szCs w:val="22"/>
        </w:rPr>
      </w:pPr>
    </w:p>
    <w:p w14:paraId="2C9339BB" w14:textId="4B322A01" w:rsidR="004D540C" w:rsidRPr="004066EE" w:rsidRDefault="004D540C" w:rsidP="002C2D79">
      <w:pPr>
        <w:pStyle w:val="Bezriadkovania"/>
        <w:jc w:val="both"/>
        <w:rPr>
          <w:noProof/>
          <w:szCs w:val="22"/>
        </w:rPr>
      </w:pPr>
      <w:r>
        <w:t xml:space="preserve">U pacientov trpiacich bronchiálnou astmou alebo s predchádzajúcou anamnézou bronchiálnej astmy je potrebná opatrnosť, pretože </w:t>
      </w:r>
      <w:r w:rsidR="00B32A26">
        <w:t>NSAID</w:t>
      </w:r>
      <w:r>
        <w:t xml:space="preserve"> môžu u týchto pacientov spôsobiť bronchospazmus (pozri časť 4.3).</w:t>
      </w:r>
    </w:p>
    <w:p w14:paraId="271A8065" w14:textId="77777777" w:rsidR="004D540C" w:rsidRPr="004066EE" w:rsidRDefault="004D540C" w:rsidP="002C2D79">
      <w:pPr>
        <w:pStyle w:val="Bezriadkovania"/>
        <w:jc w:val="both"/>
        <w:rPr>
          <w:noProof/>
          <w:szCs w:val="22"/>
        </w:rPr>
      </w:pPr>
    </w:p>
    <w:p w14:paraId="3EBC64C7" w14:textId="77777777" w:rsidR="004D540C" w:rsidRPr="004066EE" w:rsidRDefault="004D540C" w:rsidP="002C2D79">
      <w:pPr>
        <w:pStyle w:val="Bezriadkovania"/>
        <w:jc w:val="both"/>
        <w:rPr>
          <w:noProof/>
          <w:szCs w:val="22"/>
        </w:rPr>
      </w:pPr>
      <w:r>
        <w:t>Kardiovaskulárne a </w:t>
      </w:r>
      <w:proofErr w:type="spellStart"/>
      <w:r>
        <w:t>cerebrovaskulárne</w:t>
      </w:r>
      <w:proofErr w:type="spellEnd"/>
      <w:r>
        <w:t xml:space="preserve"> účinky</w:t>
      </w:r>
    </w:p>
    <w:p w14:paraId="5C730813" w14:textId="5E8236D0" w:rsidR="004D540C" w:rsidRDefault="004D540C" w:rsidP="002C2D79">
      <w:pPr>
        <w:pStyle w:val="Bezriadkovania"/>
        <w:jc w:val="both"/>
        <w:rPr>
          <w:noProof/>
          <w:szCs w:val="22"/>
        </w:rPr>
      </w:pPr>
      <w:r>
        <w:t xml:space="preserve">U pacientov s anamnézou hypertenzie a/alebo mierneho až stredne závažného </w:t>
      </w:r>
      <w:proofErr w:type="spellStart"/>
      <w:r>
        <w:t>kongestívneho</w:t>
      </w:r>
      <w:proofErr w:type="spellEnd"/>
      <w:r>
        <w:t xml:space="preserve"> zlyhania srdca sa vyžaduje primerané monitorovanie a poradenstvo, pretože v súvislosti s liečbou </w:t>
      </w:r>
      <w:r w:rsidR="00B32A26">
        <w:t>NSAID</w:t>
      </w:r>
      <w:r>
        <w:t xml:space="preserve"> boli hlásené prípady zadržiavania tekutín a opuchu.</w:t>
      </w:r>
    </w:p>
    <w:p w14:paraId="62C4701F" w14:textId="250E32D9" w:rsidR="00785B0B" w:rsidRDefault="00785B0B" w:rsidP="002C2D79">
      <w:pPr>
        <w:pStyle w:val="Bezriadkovania"/>
        <w:jc w:val="both"/>
        <w:rPr>
          <w:noProof/>
          <w:szCs w:val="22"/>
        </w:rPr>
      </w:pPr>
    </w:p>
    <w:p w14:paraId="16E468D3" w14:textId="77777777" w:rsidR="00785B0B" w:rsidRPr="0021295D" w:rsidRDefault="00785B0B" w:rsidP="00F34E5C">
      <w:pPr>
        <w:jc w:val="both"/>
        <w:rPr>
          <w:szCs w:val="22"/>
        </w:rPr>
      </w:pPr>
      <w:r>
        <w:t xml:space="preserve">Klinické štúdie naznačujú, že použitie </w:t>
      </w:r>
      <w:proofErr w:type="spellStart"/>
      <w:r>
        <w:t>ibuprofénu</w:t>
      </w:r>
      <w:proofErr w:type="spellEnd"/>
      <w:r>
        <w:t xml:space="preserve">, najmä vo vysokých dávkach (2 400 mg/deň), môže byť spojené s mierne zvýšeným rizikom </w:t>
      </w:r>
      <w:proofErr w:type="spellStart"/>
      <w:r>
        <w:t>arteriálnych</w:t>
      </w:r>
      <w:proofErr w:type="spellEnd"/>
      <w:r>
        <w:t xml:space="preserve"> </w:t>
      </w:r>
      <w:proofErr w:type="spellStart"/>
      <w:r>
        <w:t>trombotických</w:t>
      </w:r>
      <w:proofErr w:type="spellEnd"/>
      <w:r>
        <w:t xml:space="preserve"> príhod (napr. infarktu myokardu alebo cievnej mozgovej príhody). Celkovo však z epidemiologických štúdií nevyplýva, že by </w:t>
      </w:r>
      <w:proofErr w:type="spellStart"/>
      <w:r>
        <w:t>ibuprofén</w:t>
      </w:r>
      <w:proofErr w:type="spellEnd"/>
      <w:r>
        <w:t xml:space="preserve"> v nízkej dávke (napr. ≤ 1 200 mg/deň) zvyšoval riziko </w:t>
      </w:r>
      <w:proofErr w:type="spellStart"/>
      <w:r>
        <w:t>arteriálnych</w:t>
      </w:r>
      <w:proofErr w:type="spellEnd"/>
      <w:r>
        <w:t xml:space="preserve"> </w:t>
      </w:r>
      <w:proofErr w:type="spellStart"/>
      <w:r>
        <w:t>trombotických</w:t>
      </w:r>
      <w:proofErr w:type="spellEnd"/>
      <w:r>
        <w:t xml:space="preserve"> príhod. Aj keď </w:t>
      </w:r>
      <w:r>
        <w:lastRenderedPageBreak/>
        <w:t>existujú obmedzené údaje o </w:t>
      </w:r>
      <w:proofErr w:type="spellStart"/>
      <w:r>
        <w:t>arteriálnom</w:t>
      </w:r>
      <w:proofErr w:type="spellEnd"/>
      <w:r>
        <w:t xml:space="preserve"> </w:t>
      </w:r>
      <w:proofErr w:type="spellStart"/>
      <w:r>
        <w:t>trombotickom</w:t>
      </w:r>
      <w:proofErr w:type="spellEnd"/>
      <w:r>
        <w:t xml:space="preserve"> riziku </w:t>
      </w:r>
      <w:proofErr w:type="spellStart"/>
      <w:r>
        <w:t>dexibuprofénu</w:t>
      </w:r>
      <w:proofErr w:type="spellEnd"/>
      <w:r>
        <w:t xml:space="preserve">, dá sa opodstatnene predpokladať, že riziko pri vysokej dávke </w:t>
      </w:r>
      <w:proofErr w:type="spellStart"/>
      <w:r>
        <w:t>dexibuprofénu</w:t>
      </w:r>
      <w:proofErr w:type="spellEnd"/>
      <w:r>
        <w:t xml:space="preserve"> (1 200 mg/deň) by bolo podobné riziku súvisiacemu s vysokou dávkou </w:t>
      </w:r>
      <w:proofErr w:type="spellStart"/>
      <w:r>
        <w:t>ibuprofénu</w:t>
      </w:r>
      <w:proofErr w:type="spellEnd"/>
      <w:r>
        <w:t xml:space="preserve"> (2 400 mg/deň).</w:t>
      </w:r>
    </w:p>
    <w:p w14:paraId="5396213F" w14:textId="77777777" w:rsidR="00785B0B" w:rsidRPr="0021295D" w:rsidRDefault="00785B0B" w:rsidP="00785B0B">
      <w:pPr>
        <w:rPr>
          <w:szCs w:val="22"/>
        </w:rPr>
      </w:pPr>
      <w:r>
        <w:t xml:space="preserve">Pacienti s nekontrolovanou hypertenziou, </w:t>
      </w:r>
      <w:proofErr w:type="spellStart"/>
      <w:r>
        <w:t>kongestívnym</w:t>
      </w:r>
      <w:proofErr w:type="spellEnd"/>
      <w:r>
        <w:t xml:space="preserve"> zlyhaním srdca (NYHA II-III), potvrdenou ischemickou chorobou srdca, chorobou periférnych artérií a/alebo mozgovo-cievnym ochorením sa majú liečiť </w:t>
      </w:r>
      <w:proofErr w:type="spellStart"/>
      <w:r>
        <w:t>dexibuprofénom</w:t>
      </w:r>
      <w:proofErr w:type="spellEnd"/>
      <w:r>
        <w:t xml:space="preserve"> až po dôkladnom zvážení a musia sa vyhnúť vysokým dávkam (1 200 mg/deň).</w:t>
      </w:r>
    </w:p>
    <w:p w14:paraId="2CC183A7" w14:textId="41864960" w:rsidR="00785B0B" w:rsidRPr="0021295D" w:rsidRDefault="00785B0B" w:rsidP="00785B0B">
      <w:pPr>
        <w:pStyle w:val="Bezriadkovania"/>
        <w:jc w:val="both"/>
        <w:rPr>
          <w:noProof/>
          <w:szCs w:val="22"/>
        </w:rPr>
      </w:pPr>
      <w:r>
        <w:t xml:space="preserve">Dôkladné zváženie sa má vykonať aj pred začatím dlhodobej liečby u pacientov s rizikovými faktormi pre vznik kardiovaskulárnych príhod (napr. hypertenzia, </w:t>
      </w:r>
      <w:proofErr w:type="spellStart"/>
      <w:r>
        <w:t>hyperlipidémia</w:t>
      </w:r>
      <w:proofErr w:type="spellEnd"/>
      <w:r>
        <w:t xml:space="preserve">, diabetes mellitus, fajčenie), najmä v prípade potreby vysokých dávok </w:t>
      </w:r>
      <w:proofErr w:type="spellStart"/>
      <w:r>
        <w:t>dexibuprofénu</w:t>
      </w:r>
      <w:proofErr w:type="spellEnd"/>
      <w:r>
        <w:t xml:space="preserve"> (1 200 mg/deň).</w:t>
      </w:r>
    </w:p>
    <w:p w14:paraId="1B5FC091" w14:textId="77777777" w:rsidR="004D540C" w:rsidRPr="004066EE" w:rsidRDefault="004D540C" w:rsidP="002C2D79">
      <w:pPr>
        <w:pStyle w:val="Bezriadkovania"/>
        <w:jc w:val="both"/>
        <w:rPr>
          <w:noProof/>
          <w:szCs w:val="22"/>
        </w:rPr>
      </w:pPr>
    </w:p>
    <w:p w14:paraId="436B3BF0" w14:textId="77777777" w:rsidR="004D540C" w:rsidRPr="004066EE" w:rsidRDefault="004D540C" w:rsidP="002C2D79">
      <w:pPr>
        <w:pStyle w:val="Bezriadkovania"/>
        <w:jc w:val="both"/>
        <w:rPr>
          <w:i/>
          <w:noProof/>
          <w:szCs w:val="22"/>
          <w:u w:val="single"/>
        </w:rPr>
      </w:pPr>
      <w:r>
        <w:rPr>
          <w:i/>
          <w:szCs w:val="22"/>
          <w:u w:val="single"/>
        </w:rPr>
        <w:t>Účinky na obličky a pečeň</w:t>
      </w:r>
    </w:p>
    <w:p w14:paraId="03E7480C" w14:textId="23F80C53" w:rsidR="004D540C" w:rsidRPr="004066EE" w:rsidRDefault="004D540C" w:rsidP="002C2D79">
      <w:pPr>
        <w:pStyle w:val="Bezriadkovania"/>
        <w:jc w:val="both"/>
        <w:rPr>
          <w:noProof/>
          <w:szCs w:val="22"/>
        </w:rPr>
      </w:pPr>
      <w:r>
        <w:t>U</w:t>
      </w:r>
      <w:r w:rsidR="00302D06">
        <w:t> </w:t>
      </w:r>
      <w:r>
        <w:t>pacientov</w:t>
      </w:r>
      <w:r w:rsidR="00302D06">
        <w:t xml:space="preserve"> s</w:t>
      </w:r>
      <w:r>
        <w:t xml:space="preserve"> ochorením pečene a obličiek je potrebná opatrnosť; musí sa vziať do úvahy riziko zadržiavania tekutín, opuchov a zhoršenia funkcie obličiek. Ak sa </w:t>
      </w:r>
      <w:proofErr w:type="spellStart"/>
      <w:r>
        <w:t>dexibuprofén</w:t>
      </w:r>
      <w:proofErr w:type="spellEnd"/>
      <w:r>
        <w:t xml:space="preserve"> používa u týchto pacientov, jeho dávka sa má udržiavať na čo najnižšej úrovni a pravidelne sa má monitorovať funkcia obličiek.</w:t>
      </w:r>
    </w:p>
    <w:p w14:paraId="5AC3B060" w14:textId="7DFD87CB" w:rsidR="004D540C" w:rsidRPr="004066EE" w:rsidRDefault="004D540C" w:rsidP="002C2D79">
      <w:pPr>
        <w:pStyle w:val="Bezriadkovania"/>
        <w:jc w:val="both"/>
        <w:rPr>
          <w:noProof/>
          <w:szCs w:val="22"/>
        </w:rPr>
      </w:pPr>
      <w:r>
        <w:t xml:space="preserve">Podobne ako iné </w:t>
      </w:r>
      <w:r w:rsidR="00B32A26">
        <w:t>NSAID</w:t>
      </w:r>
      <w:r>
        <w:t xml:space="preserve">, aj </w:t>
      </w:r>
      <w:proofErr w:type="spellStart"/>
      <w:r>
        <w:t>dexibuprofén</w:t>
      </w:r>
      <w:proofErr w:type="spellEnd"/>
      <w:r>
        <w:t xml:space="preserve"> môže byť spojený s nežiaducimi účinkami na obličk</w:t>
      </w:r>
      <w:r w:rsidR="007A62AF">
        <w:t>y</w:t>
      </w:r>
      <w:r>
        <w:t xml:space="preserve">, čo môže viesť ku </w:t>
      </w:r>
      <w:proofErr w:type="spellStart"/>
      <w:r>
        <w:t>glomerulárnej</w:t>
      </w:r>
      <w:proofErr w:type="spellEnd"/>
      <w:r>
        <w:t xml:space="preserve"> </w:t>
      </w:r>
      <w:proofErr w:type="spellStart"/>
      <w:r>
        <w:t>nefritíde</w:t>
      </w:r>
      <w:proofErr w:type="spellEnd"/>
      <w:r>
        <w:t xml:space="preserve">, </w:t>
      </w:r>
      <w:proofErr w:type="spellStart"/>
      <w:r>
        <w:t>intersticiálnej</w:t>
      </w:r>
      <w:proofErr w:type="spellEnd"/>
      <w:r>
        <w:t xml:space="preserve"> </w:t>
      </w:r>
      <w:proofErr w:type="spellStart"/>
      <w:r>
        <w:t>nefritíde</w:t>
      </w:r>
      <w:proofErr w:type="spellEnd"/>
      <w:r>
        <w:t xml:space="preserve">, </w:t>
      </w:r>
      <w:proofErr w:type="spellStart"/>
      <w:r>
        <w:t>renálnej</w:t>
      </w:r>
      <w:proofErr w:type="spellEnd"/>
      <w:r>
        <w:t xml:space="preserve"> </w:t>
      </w:r>
      <w:proofErr w:type="spellStart"/>
      <w:r>
        <w:t>papilárnej</w:t>
      </w:r>
      <w:proofErr w:type="spellEnd"/>
      <w:r>
        <w:t xml:space="preserve"> </w:t>
      </w:r>
      <w:proofErr w:type="spellStart"/>
      <w:r>
        <w:t>nekróze</w:t>
      </w:r>
      <w:proofErr w:type="spellEnd"/>
      <w:r>
        <w:t xml:space="preserve">, </w:t>
      </w:r>
      <w:proofErr w:type="spellStart"/>
      <w:r>
        <w:t>nefrotickému</w:t>
      </w:r>
      <w:proofErr w:type="spellEnd"/>
      <w:r>
        <w:t xml:space="preserve"> syndrómu a akútnemu zlyhaniu obličiek (pozri časti 4.2, 4.3 a 4.5).</w:t>
      </w:r>
    </w:p>
    <w:p w14:paraId="20523FAC" w14:textId="77777777" w:rsidR="004D540C" w:rsidRPr="004066EE" w:rsidRDefault="004D540C" w:rsidP="002C2D79">
      <w:pPr>
        <w:pStyle w:val="Bezriadkovania"/>
        <w:jc w:val="both"/>
        <w:rPr>
          <w:noProof/>
          <w:szCs w:val="22"/>
        </w:rPr>
      </w:pPr>
    </w:p>
    <w:p w14:paraId="0E617970" w14:textId="3B31B571" w:rsidR="004D540C" w:rsidRPr="004066EE" w:rsidRDefault="004D540C" w:rsidP="002C2D79">
      <w:pPr>
        <w:pStyle w:val="Bezriadkovania"/>
        <w:jc w:val="both"/>
        <w:rPr>
          <w:noProof/>
          <w:szCs w:val="22"/>
        </w:rPr>
      </w:pPr>
      <w:r>
        <w:t xml:space="preserve">Podobne ako všetky </w:t>
      </w:r>
      <w:r w:rsidR="00B32A26">
        <w:t>NSAID</w:t>
      </w:r>
      <w:r>
        <w:t xml:space="preserve">, aj </w:t>
      </w:r>
      <w:proofErr w:type="spellStart"/>
      <w:r>
        <w:t>dexibuprofén</w:t>
      </w:r>
      <w:proofErr w:type="spellEnd"/>
      <w:r>
        <w:t xml:space="preserve"> môže zvyšovať hladiny močovinového dusíka a kreatinínu v plazme.</w:t>
      </w:r>
    </w:p>
    <w:p w14:paraId="4C7C69E5" w14:textId="77777777" w:rsidR="004D540C" w:rsidRPr="004066EE" w:rsidRDefault="004D540C" w:rsidP="002C2D79">
      <w:pPr>
        <w:pStyle w:val="Bezriadkovania"/>
        <w:jc w:val="both"/>
        <w:rPr>
          <w:noProof/>
          <w:szCs w:val="22"/>
        </w:rPr>
      </w:pPr>
    </w:p>
    <w:p w14:paraId="5BF75679" w14:textId="7D0A87B7" w:rsidR="004D540C" w:rsidRPr="00A23C81" w:rsidRDefault="004D540C" w:rsidP="002C2D79">
      <w:pPr>
        <w:pStyle w:val="Bezriadkovania"/>
        <w:jc w:val="both"/>
        <w:rPr>
          <w:noProof/>
          <w:szCs w:val="22"/>
        </w:rPr>
      </w:pPr>
      <w:r>
        <w:t xml:space="preserve">Podobne ako iné </w:t>
      </w:r>
      <w:r w:rsidR="00B32A26">
        <w:t>NSAID</w:t>
      </w:r>
      <w:r>
        <w:t xml:space="preserve">, aj </w:t>
      </w:r>
      <w:proofErr w:type="spellStart"/>
      <w:r>
        <w:t>dexibuprofén</w:t>
      </w:r>
      <w:proofErr w:type="spellEnd"/>
      <w:r>
        <w:t xml:space="preserve"> môže spôsobovať prechodné malé zvýšenia niektorých parametrov pečene, ako aj významné zvýšenia </w:t>
      </w:r>
      <w:proofErr w:type="spellStart"/>
      <w:r w:rsidR="00314D49" w:rsidRPr="00A23C81">
        <w:rPr>
          <w:szCs w:val="22"/>
          <w:shd w:val="clear" w:color="auto" w:fill="FFFFFF"/>
        </w:rPr>
        <w:t>aspartátaminotransferáz</w:t>
      </w:r>
      <w:r w:rsidR="00314D49">
        <w:rPr>
          <w:szCs w:val="22"/>
          <w:shd w:val="clear" w:color="auto" w:fill="FFFFFF"/>
        </w:rPr>
        <w:t>y</w:t>
      </w:r>
      <w:proofErr w:type="spellEnd"/>
      <w:r w:rsidR="00314D49">
        <w:rPr>
          <w:szCs w:val="22"/>
          <w:shd w:val="clear" w:color="auto" w:fill="FFFFFF"/>
        </w:rPr>
        <w:t xml:space="preserve"> </w:t>
      </w:r>
      <w:r w:rsidR="00314D49" w:rsidRPr="00A23C81">
        <w:rPr>
          <w:szCs w:val="22"/>
          <w:shd w:val="clear" w:color="auto" w:fill="FFFFFF"/>
        </w:rPr>
        <w:t xml:space="preserve">a </w:t>
      </w:r>
      <w:proofErr w:type="spellStart"/>
      <w:r w:rsidR="00314D49" w:rsidRPr="00A23C81">
        <w:rPr>
          <w:szCs w:val="22"/>
          <w:shd w:val="clear" w:color="auto" w:fill="FFFFFF"/>
        </w:rPr>
        <w:t>alanínaminotransferáz</w:t>
      </w:r>
      <w:r w:rsidR="00314D49">
        <w:rPr>
          <w:szCs w:val="22"/>
          <w:shd w:val="clear" w:color="auto" w:fill="FFFFFF"/>
        </w:rPr>
        <w:t>y</w:t>
      </w:r>
      <w:proofErr w:type="spellEnd"/>
      <w:r w:rsidRPr="00A23C81">
        <w:rPr>
          <w:szCs w:val="22"/>
        </w:rPr>
        <w:t>. V prípade významného zvýšenia týchto parametrov sa musí ukončiť liečba (pozri časti 4.2 a 4.3).</w:t>
      </w:r>
    </w:p>
    <w:p w14:paraId="3ABD4975" w14:textId="77777777" w:rsidR="004D540C" w:rsidRPr="00A23C81" w:rsidRDefault="004D540C" w:rsidP="002C2D79">
      <w:pPr>
        <w:pStyle w:val="Bezriadkovania"/>
        <w:jc w:val="both"/>
        <w:rPr>
          <w:noProof/>
          <w:szCs w:val="22"/>
        </w:rPr>
      </w:pPr>
    </w:p>
    <w:p w14:paraId="0AB7DDC1" w14:textId="257C9E5C" w:rsidR="004D540C" w:rsidRPr="00A23C81" w:rsidRDefault="004D540C" w:rsidP="002C2D79">
      <w:pPr>
        <w:pStyle w:val="Bezriadkovania"/>
        <w:jc w:val="both"/>
        <w:rPr>
          <w:noProof/>
          <w:szCs w:val="22"/>
        </w:rPr>
      </w:pPr>
      <w:r w:rsidRPr="00A23C81">
        <w:rPr>
          <w:szCs w:val="22"/>
        </w:rPr>
        <w:t>Vo všeobecnosti platí, že zvyčajné používanie analgetík, najmä kombinácie rôznych analgetických liečiv, môže viesť k</w:t>
      </w:r>
      <w:r w:rsidR="00314D49">
        <w:rPr>
          <w:szCs w:val="22"/>
        </w:rPr>
        <w:t> </w:t>
      </w:r>
      <w:r w:rsidRPr="00A23C81">
        <w:rPr>
          <w:szCs w:val="22"/>
        </w:rPr>
        <w:t>trval</w:t>
      </w:r>
      <w:r w:rsidR="00314D49">
        <w:rPr>
          <w:szCs w:val="22"/>
        </w:rPr>
        <w:t>ému poškodeniu obličiek</w:t>
      </w:r>
      <w:r w:rsidRPr="00A23C81">
        <w:rPr>
          <w:szCs w:val="22"/>
        </w:rPr>
        <w:t xml:space="preserve"> s rizikom zlyhania obličiek (analgetická </w:t>
      </w:r>
      <w:proofErr w:type="spellStart"/>
      <w:r w:rsidRPr="00A23C81">
        <w:rPr>
          <w:szCs w:val="22"/>
        </w:rPr>
        <w:t>nefropatia</w:t>
      </w:r>
      <w:proofErr w:type="spellEnd"/>
      <w:r w:rsidRPr="00A23C81">
        <w:rPr>
          <w:szCs w:val="22"/>
        </w:rPr>
        <w:t>). Preto sa má vyhýbať kombináciám s </w:t>
      </w:r>
      <w:proofErr w:type="spellStart"/>
      <w:r w:rsidRPr="00A23C81">
        <w:rPr>
          <w:szCs w:val="22"/>
        </w:rPr>
        <w:t>ibuprofénom</w:t>
      </w:r>
      <w:proofErr w:type="spellEnd"/>
      <w:r w:rsidRPr="00A23C81">
        <w:rPr>
          <w:szCs w:val="22"/>
        </w:rPr>
        <w:t xml:space="preserve"> alebo </w:t>
      </w:r>
      <w:r w:rsidR="00314D49">
        <w:rPr>
          <w:szCs w:val="22"/>
        </w:rPr>
        <w:t xml:space="preserve">s </w:t>
      </w:r>
      <w:r w:rsidRPr="00A23C81">
        <w:rPr>
          <w:szCs w:val="22"/>
        </w:rPr>
        <w:t xml:space="preserve">inými </w:t>
      </w:r>
      <w:r w:rsidR="00B32A26">
        <w:rPr>
          <w:szCs w:val="22"/>
        </w:rPr>
        <w:t>NSAID</w:t>
      </w:r>
      <w:r w:rsidRPr="00A23C81">
        <w:rPr>
          <w:szCs w:val="22"/>
        </w:rPr>
        <w:t xml:space="preserve"> (vrátane voľn</w:t>
      </w:r>
      <w:r w:rsidR="00314D49">
        <w:rPr>
          <w:szCs w:val="22"/>
        </w:rPr>
        <w:t>o</w:t>
      </w:r>
      <w:r w:rsidRPr="00A23C81">
        <w:rPr>
          <w:szCs w:val="22"/>
        </w:rPr>
        <w:t>predajných liekov a selektívnych inhibítorov COX-2).</w:t>
      </w:r>
    </w:p>
    <w:p w14:paraId="4AC2FD32" w14:textId="77777777" w:rsidR="004D540C" w:rsidRPr="00A23C81" w:rsidRDefault="004D540C" w:rsidP="002C2D79">
      <w:pPr>
        <w:pStyle w:val="Bezriadkovania"/>
        <w:jc w:val="both"/>
        <w:rPr>
          <w:noProof/>
          <w:szCs w:val="22"/>
        </w:rPr>
      </w:pPr>
    </w:p>
    <w:p w14:paraId="357836F7" w14:textId="2E6E9CF7" w:rsidR="004D540C" w:rsidRPr="00A23C81" w:rsidRDefault="009C22BE" w:rsidP="002C2D79">
      <w:pPr>
        <w:pStyle w:val="Bezriadkovania"/>
        <w:jc w:val="both"/>
        <w:rPr>
          <w:i/>
          <w:noProof/>
          <w:szCs w:val="22"/>
          <w:u w:val="single"/>
        </w:rPr>
      </w:pPr>
      <w:r w:rsidRPr="00A23C81">
        <w:rPr>
          <w:i/>
          <w:szCs w:val="22"/>
          <w:u w:val="single"/>
        </w:rPr>
        <w:t>Závažné kožné reakcie</w:t>
      </w:r>
    </w:p>
    <w:p w14:paraId="5FE1665D" w14:textId="39A5BF14" w:rsidR="004D540C" w:rsidRPr="004066EE" w:rsidRDefault="004D540C" w:rsidP="002C2D79">
      <w:pPr>
        <w:pStyle w:val="Bezriadkovania"/>
        <w:jc w:val="both"/>
        <w:rPr>
          <w:noProof/>
          <w:szCs w:val="22"/>
        </w:rPr>
      </w:pPr>
      <w:r>
        <w:t xml:space="preserve">V súvislosti s používaním </w:t>
      </w:r>
      <w:r w:rsidR="00B32A26">
        <w:t>NSAID</w:t>
      </w:r>
      <w:r>
        <w:t xml:space="preserve"> boli veľmi zriedkavo hlásené závažné kožné reakcie, pričom niektoré z nich boli smrteľné, vrátane </w:t>
      </w:r>
      <w:proofErr w:type="spellStart"/>
      <w:r>
        <w:t>exfoliatívnej</w:t>
      </w:r>
      <w:proofErr w:type="spellEnd"/>
      <w:r>
        <w:t xml:space="preserve"> dermatitídy, </w:t>
      </w:r>
      <w:proofErr w:type="spellStart"/>
      <w:r>
        <w:t>Stevensovho-Johnsonovho</w:t>
      </w:r>
      <w:proofErr w:type="spellEnd"/>
      <w:r>
        <w:t xml:space="preserve"> syndrómu a toxickej </w:t>
      </w:r>
      <w:proofErr w:type="spellStart"/>
      <w:r>
        <w:t>epidermálnej</w:t>
      </w:r>
      <w:proofErr w:type="spellEnd"/>
      <w:r>
        <w:t xml:space="preserve"> </w:t>
      </w:r>
      <w:proofErr w:type="spellStart"/>
      <w:r>
        <w:t>nekrolýzy</w:t>
      </w:r>
      <w:proofErr w:type="spellEnd"/>
      <w:r>
        <w:t xml:space="preserve"> (pozri časť 4.8). Zdá sa, že najvyššie riziko týchto reakcií hrozí pacientom na začiatku liečby, pričom k nástupu reakcie vo väčšine prípadov dochádzalo v prvom mesiaci liečby. V súvislosti s liekmi obsahujúcimi </w:t>
      </w:r>
      <w:proofErr w:type="spellStart"/>
      <w:r>
        <w:t>ibuprofén</w:t>
      </w:r>
      <w:proofErr w:type="spellEnd"/>
      <w:r>
        <w:t xml:space="preserve"> bola hlásená akútna generalizovaná </w:t>
      </w:r>
      <w:proofErr w:type="spellStart"/>
      <w:r>
        <w:t>exantematózna</w:t>
      </w:r>
      <w:proofErr w:type="spellEnd"/>
      <w:r>
        <w:t xml:space="preserve"> </w:t>
      </w:r>
      <w:proofErr w:type="spellStart"/>
      <w:r>
        <w:t>pustulóza</w:t>
      </w:r>
      <w:proofErr w:type="spellEnd"/>
      <w:r>
        <w:t xml:space="preserve"> (AGEP). Pri prvom objavení sa kožnej vyrážky, slizničných lézií alebo akéhokoľvek iného pr</w:t>
      </w:r>
      <w:r w:rsidR="00302D06">
        <w:t>ejav</w:t>
      </w:r>
      <w:r>
        <w:t xml:space="preserve">u precitlivenosti sa má liečba  </w:t>
      </w:r>
      <w:proofErr w:type="spellStart"/>
      <w:r w:rsidR="004C6BAF">
        <w:t>Dexibuprof</w:t>
      </w:r>
      <w:r w:rsidR="00314D49">
        <w:t>é</w:t>
      </w:r>
      <w:r w:rsidR="004C6BAF">
        <w:t>n</w:t>
      </w:r>
      <w:r w:rsidR="00F64337">
        <w:t>om</w:t>
      </w:r>
      <w:proofErr w:type="spellEnd"/>
      <w:r w:rsidR="004C6BAF">
        <w:t xml:space="preserve"> </w:t>
      </w:r>
      <w:proofErr w:type="spellStart"/>
      <w:r w:rsidR="004C6BAF">
        <w:t>Strides</w:t>
      </w:r>
      <w:proofErr w:type="spellEnd"/>
      <w:r>
        <w:t xml:space="preserve"> ukončiť.</w:t>
      </w:r>
    </w:p>
    <w:p w14:paraId="6520E64F" w14:textId="77777777" w:rsidR="004D540C" w:rsidRPr="004066EE" w:rsidRDefault="004D540C" w:rsidP="002C2D79">
      <w:pPr>
        <w:pStyle w:val="Bezriadkovania"/>
        <w:jc w:val="both"/>
        <w:rPr>
          <w:noProof/>
          <w:szCs w:val="22"/>
        </w:rPr>
      </w:pPr>
    </w:p>
    <w:p w14:paraId="3A304D73" w14:textId="77777777" w:rsidR="004D540C" w:rsidRPr="004066EE" w:rsidRDefault="004D540C" w:rsidP="002C2D79">
      <w:pPr>
        <w:pStyle w:val="Bezriadkovania"/>
        <w:jc w:val="both"/>
        <w:rPr>
          <w:i/>
          <w:noProof/>
          <w:szCs w:val="22"/>
          <w:u w:val="single"/>
        </w:rPr>
      </w:pPr>
      <w:r>
        <w:rPr>
          <w:i/>
          <w:szCs w:val="22"/>
          <w:u w:val="single"/>
        </w:rPr>
        <w:t>Koagulácia</w:t>
      </w:r>
    </w:p>
    <w:p w14:paraId="6A180C11" w14:textId="26A03750" w:rsidR="004D540C" w:rsidRPr="004066EE" w:rsidRDefault="004D540C" w:rsidP="002C2D79">
      <w:pPr>
        <w:pStyle w:val="Bezriadkovania"/>
        <w:jc w:val="both"/>
        <w:rPr>
          <w:noProof/>
          <w:szCs w:val="22"/>
        </w:rPr>
      </w:pPr>
      <w:r>
        <w:t xml:space="preserve">Spoločne s inými </w:t>
      </w:r>
      <w:r w:rsidR="00B32A26">
        <w:t>NSAID</w:t>
      </w:r>
      <w:r>
        <w:t xml:space="preserve"> môže </w:t>
      </w:r>
      <w:proofErr w:type="spellStart"/>
      <w:r>
        <w:t>dexibuprofén</w:t>
      </w:r>
      <w:proofErr w:type="spellEnd"/>
      <w:r>
        <w:t xml:space="preserve"> reverzibilne </w:t>
      </w:r>
      <w:proofErr w:type="spellStart"/>
      <w:r>
        <w:t>inhibovať</w:t>
      </w:r>
      <w:proofErr w:type="spellEnd"/>
      <w:r>
        <w:t xml:space="preserve"> </w:t>
      </w:r>
      <w:proofErr w:type="spellStart"/>
      <w:r>
        <w:t>agregáciu</w:t>
      </w:r>
      <w:proofErr w:type="spellEnd"/>
      <w:r>
        <w:t xml:space="preserve"> a činnosť krvných doštičiek a predĺžiť </w:t>
      </w:r>
      <w:r w:rsidR="00314D49">
        <w:t>čas</w:t>
      </w:r>
      <w:r>
        <w:t xml:space="preserve"> krvácania. U pacientov s </w:t>
      </w:r>
      <w:proofErr w:type="spellStart"/>
      <w:r>
        <w:t>hemoragickou</w:t>
      </w:r>
      <w:proofErr w:type="spellEnd"/>
      <w:r>
        <w:t xml:space="preserve"> diatézou, inými poruchami zrážanlivosti a pri podávaní </w:t>
      </w:r>
      <w:proofErr w:type="spellStart"/>
      <w:r>
        <w:t>dexibuprofénu</w:t>
      </w:r>
      <w:proofErr w:type="spellEnd"/>
      <w:r>
        <w:t xml:space="preserve"> súbežne s perorálnymi </w:t>
      </w:r>
      <w:proofErr w:type="spellStart"/>
      <w:r>
        <w:t>antikoagulanciami</w:t>
      </w:r>
      <w:proofErr w:type="spellEnd"/>
      <w:r>
        <w:t xml:space="preserve"> je potrebná opatrnosť (pozri časť 4.5).</w:t>
      </w:r>
    </w:p>
    <w:p w14:paraId="3793D978" w14:textId="77777777" w:rsidR="004D540C" w:rsidRPr="004066EE" w:rsidRDefault="004D540C" w:rsidP="002C2D79">
      <w:pPr>
        <w:pStyle w:val="Bezriadkovania"/>
        <w:jc w:val="both"/>
        <w:rPr>
          <w:noProof/>
          <w:szCs w:val="22"/>
        </w:rPr>
      </w:pPr>
    </w:p>
    <w:p w14:paraId="3E0A9CA5" w14:textId="6B76B1C1" w:rsidR="004D540C" w:rsidRPr="004066EE" w:rsidRDefault="004D540C" w:rsidP="002C2D79">
      <w:pPr>
        <w:pStyle w:val="Bezriadkovania"/>
        <w:jc w:val="both"/>
        <w:rPr>
          <w:noProof/>
          <w:szCs w:val="22"/>
        </w:rPr>
      </w:pPr>
      <w:r>
        <w:t xml:space="preserve">Údaje z predklinických štúdií naznačujú, že inhibícia agregácie krvných doštičiek nízkou dávkou kyseliny acetylsalicylovej môže byť zhoršená, ak sa súbežne podávajú </w:t>
      </w:r>
      <w:r w:rsidR="00B32A26">
        <w:t>NSAID</w:t>
      </w:r>
      <w:r>
        <w:t xml:space="preserve">, ako napríklad </w:t>
      </w:r>
      <w:proofErr w:type="spellStart"/>
      <w:r>
        <w:t>dexibuprofén</w:t>
      </w:r>
      <w:proofErr w:type="spellEnd"/>
      <w:r>
        <w:t xml:space="preserve">. Táto interakcia by mohla znížiť ochranný účinok na kardiovaskulárny systém. Preto ak je indikované súbežné podávanie nízkej dávky kyseliny acetylsalicylovej, je potrebné osobitné opatrenie, pokiaľ trvanie liečby presiahne krátkodobé používanie (pozri časti 4.5 a 5.1). </w:t>
      </w:r>
    </w:p>
    <w:p w14:paraId="38284DCB" w14:textId="77777777" w:rsidR="004D540C" w:rsidRPr="004066EE" w:rsidRDefault="004D540C" w:rsidP="002C2D79">
      <w:pPr>
        <w:pStyle w:val="Bezriadkovania"/>
        <w:jc w:val="both"/>
        <w:rPr>
          <w:noProof/>
          <w:szCs w:val="22"/>
        </w:rPr>
      </w:pPr>
    </w:p>
    <w:p w14:paraId="7D3D3524" w14:textId="77777777" w:rsidR="004D540C" w:rsidRPr="004066EE" w:rsidRDefault="004D540C" w:rsidP="002C2D79">
      <w:pPr>
        <w:pStyle w:val="Bezriadkovania"/>
        <w:jc w:val="both"/>
        <w:rPr>
          <w:i/>
          <w:noProof/>
          <w:szCs w:val="22"/>
          <w:u w:val="single"/>
        </w:rPr>
      </w:pPr>
      <w:r>
        <w:rPr>
          <w:i/>
          <w:szCs w:val="22"/>
          <w:u w:val="single"/>
        </w:rPr>
        <w:t>Ďalšie upozornenia a opatrenia pri používaní</w:t>
      </w:r>
    </w:p>
    <w:p w14:paraId="302CA276" w14:textId="066CB69E" w:rsidR="004D540C" w:rsidRPr="004066EE" w:rsidRDefault="004D540C" w:rsidP="002C2D79">
      <w:pPr>
        <w:pStyle w:val="Bezriadkovania"/>
        <w:jc w:val="both"/>
        <w:rPr>
          <w:noProof/>
          <w:szCs w:val="22"/>
        </w:rPr>
      </w:pPr>
      <w:r>
        <w:lastRenderedPageBreak/>
        <w:t xml:space="preserve">Ak sa tento liek užíva na stavy akútnej bolesti, keď sa vyžaduje rýchla úľava od bolesti, u niektorých pacientov môže dôjsť k neskoršiemu nástupu jeho účinku z dôvodu predĺženia </w:t>
      </w:r>
      <w:r w:rsidR="00314D49">
        <w:t>času</w:t>
      </w:r>
      <w:r>
        <w:t xml:space="preserve"> do dosiahnutia maximálnych hladín v krvi po príjme stravy (pozri tiež časť 5.2).</w:t>
      </w:r>
    </w:p>
    <w:p w14:paraId="3B61506D" w14:textId="77777777" w:rsidR="004D540C" w:rsidRPr="004066EE" w:rsidRDefault="004D540C" w:rsidP="002C2D79">
      <w:pPr>
        <w:pStyle w:val="Bezriadkovania"/>
        <w:jc w:val="both"/>
        <w:rPr>
          <w:noProof/>
          <w:szCs w:val="22"/>
        </w:rPr>
      </w:pPr>
    </w:p>
    <w:p w14:paraId="1F572AFC" w14:textId="77777777" w:rsidR="004D540C" w:rsidRPr="004066EE" w:rsidRDefault="004D540C" w:rsidP="002C2D79">
      <w:pPr>
        <w:pStyle w:val="Bezriadkovania"/>
        <w:jc w:val="both"/>
        <w:rPr>
          <w:noProof/>
          <w:szCs w:val="22"/>
        </w:rPr>
      </w:pPr>
      <w:r>
        <w:t xml:space="preserve">Pacienti, ktorí dostávajú dlhodobú liečbu </w:t>
      </w:r>
      <w:proofErr w:type="spellStart"/>
      <w:r>
        <w:t>dexibuprofénom</w:t>
      </w:r>
      <w:proofErr w:type="spellEnd"/>
      <w:r>
        <w:t>, sa majú preventívne sledovať (funkcia obličiek, pečene a hematologické funkcie/krvný obraz).</w:t>
      </w:r>
    </w:p>
    <w:p w14:paraId="6E18C0AA" w14:textId="77777777" w:rsidR="004D540C" w:rsidRPr="004066EE" w:rsidRDefault="004D540C" w:rsidP="002C2D79">
      <w:pPr>
        <w:pStyle w:val="Bezriadkovania"/>
        <w:jc w:val="both"/>
        <w:rPr>
          <w:noProof/>
          <w:szCs w:val="22"/>
        </w:rPr>
      </w:pPr>
    </w:p>
    <w:p w14:paraId="46A41FA9" w14:textId="438E3412" w:rsidR="004D540C" w:rsidRPr="004066EE" w:rsidRDefault="004C6BAF" w:rsidP="002C2D79">
      <w:pPr>
        <w:pStyle w:val="Bezriadkovania"/>
        <w:jc w:val="both"/>
        <w:rPr>
          <w:noProof/>
          <w:szCs w:val="22"/>
        </w:rPr>
      </w:pPr>
      <w:proofErr w:type="spellStart"/>
      <w:r>
        <w:t>Dexibuprof</w:t>
      </w:r>
      <w:r w:rsidR="00314D49">
        <w:t>é</w:t>
      </w:r>
      <w:r>
        <w:t>n</w:t>
      </w:r>
      <w:proofErr w:type="spellEnd"/>
      <w:r>
        <w:t xml:space="preserve"> </w:t>
      </w:r>
      <w:proofErr w:type="spellStart"/>
      <w:r>
        <w:t>Strides</w:t>
      </w:r>
      <w:proofErr w:type="spellEnd"/>
      <w:r w:rsidR="005B4AE0">
        <w:t xml:space="preserve"> sa má podávať pacientom so systémovým </w:t>
      </w:r>
      <w:proofErr w:type="spellStart"/>
      <w:r w:rsidR="005B4AE0">
        <w:t>lupusom</w:t>
      </w:r>
      <w:proofErr w:type="spellEnd"/>
      <w:r w:rsidR="005B4AE0">
        <w:t xml:space="preserve"> </w:t>
      </w:r>
      <w:proofErr w:type="spellStart"/>
      <w:r w:rsidR="005B4AE0">
        <w:t>erythematosus</w:t>
      </w:r>
      <w:proofErr w:type="spellEnd"/>
      <w:r w:rsidR="005B4AE0">
        <w:t xml:space="preserve"> a zmiešaným ochorením spojivového tkaniva iba opatrne, pretože takíto pacienti môžu mať predispozíciu na vedľajšie účinky na obličky a</w:t>
      </w:r>
      <w:r w:rsidR="00314D49">
        <w:t> centrálnu nervovú sústavu</w:t>
      </w:r>
      <w:r w:rsidR="005B4AE0">
        <w:t xml:space="preserve"> vyvolané </w:t>
      </w:r>
      <w:r w:rsidR="00B32A26">
        <w:t>NSAID</w:t>
      </w:r>
      <w:r w:rsidR="005B4AE0">
        <w:t xml:space="preserve"> vrátane aseptickej meningitídy (pozri časť 4.8).</w:t>
      </w:r>
    </w:p>
    <w:p w14:paraId="215F716F" w14:textId="77777777" w:rsidR="004D540C" w:rsidRPr="004066EE" w:rsidRDefault="004D540C" w:rsidP="002C2D79">
      <w:pPr>
        <w:pStyle w:val="Bezriadkovania"/>
        <w:jc w:val="both"/>
        <w:rPr>
          <w:noProof/>
          <w:szCs w:val="22"/>
        </w:rPr>
      </w:pPr>
    </w:p>
    <w:p w14:paraId="658F7D66" w14:textId="4170733A" w:rsidR="004D540C" w:rsidRPr="004066EE" w:rsidRDefault="00B32A26" w:rsidP="002C2D79">
      <w:pPr>
        <w:pStyle w:val="Bezriadkovania"/>
        <w:jc w:val="both"/>
        <w:rPr>
          <w:noProof/>
          <w:szCs w:val="22"/>
        </w:rPr>
      </w:pPr>
      <w:r>
        <w:t>NSAID</w:t>
      </w:r>
      <w:r w:rsidR="004D540C">
        <w:t xml:space="preserve"> môžu maskovať príznaky infekcií.</w:t>
      </w:r>
    </w:p>
    <w:p w14:paraId="12F25005" w14:textId="1E721D34" w:rsidR="004D540C" w:rsidRPr="004066EE" w:rsidRDefault="004D540C" w:rsidP="002C2D79">
      <w:pPr>
        <w:pStyle w:val="Bezriadkovania"/>
        <w:jc w:val="both"/>
        <w:rPr>
          <w:noProof/>
          <w:szCs w:val="22"/>
        </w:rPr>
      </w:pPr>
      <w:r>
        <w:t xml:space="preserve">Výnimočne môžu byť </w:t>
      </w:r>
      <w:r w:rsidR="00302D06">
        <w:t xml:space="preserve">ovčie kiahne </w:t>
      </w:r>
      <w:r>
        <w:t xml:space="preserve">pôvodcom závažných komplikácií spôsobených infekciou kože a mäkkých tkanív. V súčasnosti nie je možné vylúčiť, že </w:t>
      </w:r>
      <w:r w:rsidR="00B32A26">
        <w:t>NSAID</w:t>
      </w:r>
      <w:r>
        <w:t xml:space="preserve"> prispievajú k zhoršeniu týchto infekcií. Preto sa odporúča vyhýbať sa používaniu </w:t>
      </w:r>
      <w:proofErr w:type="spellStart"/>
      <w:r w:rsidR="004C6BAF">
        <w:t>Dexibuprof</w:t>
      </w:r>
      <w:r w:rsidR="00314D49">
        <w:t>é</w:t>
      </w:r>
      <w:r w:rsidR="004C6BAF">
        <w:t>n</w:t>
      </w:r>
      <w:r w:rsidR="00F64337">
        <w:t>u</w:t>
      </w:r>
      <w:proofErr w:type="spellEnd"/>
      <w:r w:rsidR="004C6BAF">
        <w:t xml:space="preserve"> </w:t>
      </w:r>
      <w:proofErr w:type="spellStart"/>
      <w:r w:rsidR="004C6BAF">
        <w:t>Strides</w:t>
      </w:r>
      <w:proofErr w:type="spellEnd"/>
      <w:r>
        <w:t xml:space="preserve"> v prípade ovčích kiahní. </w:t>
      </w:r>
    </w:p>
    <w:p w14:paraId="74F48995" w14:textId="77777777" w:rsidR="004D540C" w:rsidRPr="004066EE" w:rsidRDefault="004D540C" w:rsidP="002C2D79">
      <w:pPr>
        <w:pStyle w:val="Bezriadkovania"/>
        <w:jc w:val="both"/>
        <w:rPr>
          <w:noProof/>
          <w:szCs w:val="22"/>
        </w:rPr>
      </w:pPr>
    </w:p>
    <w:p w14:paraId="644F1B0D" w14:textId="77777777" w:rsidR="004D540C" w:rsidRPr="004066EE" w:rsidRDefault="004D540C" w:rsidP="002C2D79">
      <w:pPr>
        <w:pStyle w:val="Bezriadkovania"/>
        <w:jc w:val="both"/>
        <w:rPr>
          <w:noProof/>
          <w:szCs w:val="22"/>
        </w:rPr>
      </w:pPr>
      <w:r>
        <w:t xml:space="preserve">Počas dlhodobej </w:t>
      </w:r>
      <w:proofErr w:type="spellStart"/>
      <w:r>
        <w:t>vysokodávkovej</w:t>
      </w:r>
      <w:proofErr w:type="spellEnd"/>
      <w:r>
        <w:t xml:space="preserve"> liečby analgetikami mimo schválených indikácií sa môžu vyskytnúť bolesti hlavy, ktoré sa nesmú liečiť vyššími dávkami lieku.</w:t>
      </w:r>
    </w:p>
    <w:p w14:paraId="49CDC0BA" w14:textId="77777777" w:rsidR="004D540C" w:rsidRPr="004066EE" w:rsidRDefault="004D540C" w:rsidP="002C2D79">
      <w:pPr>
        <w:pStyle w:val="Bezriadkovania"/>
        <w:jc w:val="both"/>
        <w:rPr>
          <w:noProof/>
          <w:szCs w:val="22"/>
        </w:rPr>
      </w:pPr>
    </w:p>
    <w:p w14:paraId="1CFA2AB5" w14:textId="32A58C1D" w:rsidR="004D540C" w:rsidRDefault="008E69F0" w:rsidP="002C2D79">
      <w:pPr>
        <w:jc w:val="both"/>
        <w:rPr>
          <w:noProof/>
          <w:szCs w:val="22"/>
        </w:rPr>
      </w:pPr>
      <w:r>
        <w:t>Tento liek obsahuje menej ako 1 mmol (23 mg) sodíka v tablete, t. j. v podstate zanedbateľné množstvo sodíka.</w:t>
      </w:r>
    </w:p>
    <w:p w14:paraId="38143AB1" w14:textId="77777777" w:rsidR="008E69F0" w:rsidRPr="004066EE" w:rsidRDefault="008E69F0" w:rsidP="002C2D79">
      <w:pPr>
        <w:jc w:val="both"/>
        <w:rPr>
          <w:noProof/>
          <w:szCs w:val="22"/>
        </w:rPr>
      </w:pPr>
    </w:p>
    <w:p w14:paraId="2C6B6628" w14:textId="77777777" w:rsidR="00812D16" w:rsidRPr="004066EE" w:rsidRDefault="00812D16" w:rsidP="002C2D79">
      <w:pPr>
        <w:spacing w:line="240" w:lineRule="auto"/>
        <w:ind w:left="567" w:hanging="567"/>
        <w:jc w:val="both"/>
        <w:outlineLvl w:val="0"/>
        <w:rPr>
          <w:noProof/>
          <w:szCs w:val="22"/>
        </w:rPr>
      </w:pPr>
      <w:r>
        <w:rPr>
          <w:b/>
          <w:szCs w:val="22"/>
        </w:rPr>
        <w:t>4.5</w:t>
      </w:r>
      <w:r>
        <w:rPr>
          <w:b/>
          <w:szCs w:val="22"/>
        </w:rPr>
        <w:tab/>
        <w:t>Liekové a iné interakcie</w:t>
      </w:r>
    </w:p>
    <w:p w14:paraId="2F3AC4CE" w14:textId="77777777" w:rsidR="00812D16" w:rsidRPr="004066EE" w:rsidRDefault="00812D16" w:rsidP="002C2D79">
      <w:pPr>
        <w:spacing w:line="240" w:lineRule="auto"/>
        <w:jc w:val="both"/>
        <w:rPr>
          <w:noProof/>
          <w:szCs w:val="22"/>
        </w:rPr>
      </w:pPr>
    </w:p>
    <w:p w14:paraId="6E39F597" w14:textId="47172940" w:rsidR="00E05CFE" w:rsidRPr="004066EE" w:rsidRDefault="00E05CFE" w:rsidP="002C2D79">
      <w:pPr>
        <w:jc w:val="both"/>
        <w:rPr>
          <w:szCs w:val="22"/>
        </w:rPr>
      </w:pPr>
      <w:r>
        <w:t xml:space="preserve">Informácie v tejto časti sú založené na predchádzajúcich skúsenostiach s inými </w:t>
      </w:r>
      <w:r w:rsidR="00B32A26">
        <w:t>NSAID</w:t>
      </w:r>
      <w:r>
        <w:t xml:space="preserve">. Vo všeobecnosti sa </w:t>
      </w:r>
      <w:r w:rsidR="00B32A26">
        <w:t>NSAID</w:t>
      </w:r>
      <w:r>
        <w:t xml:space="preserve"> majú používať opatrne s inými liekmi, ktoré môžu zvyšovať riziko </w:t>
      </w:r>
      <w:proofErr w:type="spellStart"/>
      <w:r>
        <w:t>gastrointestinálnej</w:t>
      </w:r>
      <w:proofErr w:type="spellEnd"/>
      <w:r>
        <w:t xml:space="preserve"> </w:t>
      </w:r>
      <w:proofErr w:type="spellStart"/>
      <w:r>
        <w:t>ulcerácie</w:t>
      </w:r>
      <w:proofErr w:type="spellEnd"/>
      <w:r>
        <w:t xml:space="preserve">, </w:t>
      </w:r>
      <w:proofErr w:type="spellStart"/>
      <w:r>
        <w:t>gastrointestinálneho</w:t>
      </w:r>
      <w:proofErr w:type="spellEnd"/>
      <w:r>
        <w:t xml:space="preserve"> krvácania alebo zhoršenia funkcie obličiek.</w:t>
      </w:r>
    </w:p>
    <w:p w14:paraId="408F90F9" w14:textId="77777777" w:rsidR="00E05CFE" w:rsidRPr="004066EE" w:rsidRDefault="00E05CFE" w:rsidP="002C2D79">
      <w:pPr>
        <w:jc w:val="both"/>
        <w:rPr>
          <w:i/>
          <w:szCs w:val="22"/>
        </w:rPr>
      </w:pPr>
    </w:p>
    <w:p w14:paraId="5EB988AE" w14:textId="5E965796" w:rsidR="00E05CFE" w:rsidRPr="004066EE" w:rsidRDefault="00E05CFE" w:rsidP="002C2D79">
      <w:pPr>
        <w:spacing w:line="240" w:lineRule="auto"/>
        <w:ind w:left="567" w:hanging="567"/>
        <w:jc w:val="both"/>
        <w:outlineLvl w:val="0"/>
        <w:rPr>
          <w:noProof/>
          <w:szCs w:val="22"/>
        </w:rPr>
      </w:pPr>
      <w:r>
        <w:rPr>
          <w:b/>
          <w:iCs/>
          <w:szCs w:val="22"/>
        </w:rPr>
        <w:t>Súbežné užívanie sa neodporúča:</w:t>
      </w:r>
    </w:p>
    <w:p w14:paraId="0EBD6E74" w14:textId="48AAFF71" w:rsidR="00E05CFE" w:rsidRPr="004066EE" w:rsidRDefault="00E05CFE" w:rsidP="002C2D79">
      <w:pPr>
        <w:jc w:val="both"/>
        <w:rPr>
          <w:szCs w:val="22"/>
        </w:rPr>
      </w:pPr>
      <w:proofErr w:type="spellStart"/>
      <w:r>
        <w:rPr>
          <w:i/>
          <w:szCs w:val="22"/>
          <w:u w:val="single"/>
        </w:rPr>
        <w:t>Antikoagulanciá</w:t>
      </w:r>
      <w:proofErr w:type="spellEnd"/>
      <w:r>
        <w:rPr>
          <w:i/>
          <w:szCs w:val="22"/>
          <w:u w:val="single"/>
        </w:rPr>
        <w:t>:</w:t>
      </w:r>
      <w:r>
        <w:t xml:space="preserve"> </w:t>
      </w:r>
      <w:r w:rsidR="00B32A26">
        <w:t>NSAID</w:t>
      </w:r>
      <w:r>
        <w:t xml:space="preserve"> môžu zvyšovať účinok </w:t>
      </w:r>
      <w:proofErr w:type="spellStart"/>
      <w:r>
        <w:t>antikoagulancií</w:t>
      </w:r>
      <w:proofErr w:type="spellEnd"/>
      <w:r>
        <w:t xml:space="preserve">, ako je napríklad </w:t>
      </w:r>
      <w:proofErr w:type="spellStart"/>
      <w:r>
        <w:t>warfarín</w:t>
      </w:r>
      <w:proofErr w:type="spellEnd"/>
      <w:r>
        <w:t xml:space="preserve"> (pozri časť 4.4). Počas iniciácie liečby </w:t>
      </w:r>
      <w:proofErr w:type="spellStart"/>
      <w:r>
        <w:t>dexibuprofénom</w:t>
      </w:r>
      <w:proofErr w:type="spellEnd"/>
      <w:r>
        <w:t xml:space="preserve"> sa majú vykonávať testy koagulácie krvi (INR, </w:t>
      </w:r>
      <w:r w:rsidR="00314D49">
        <w:t>čas</w:t>
      </w:r>
      <w:r>
        <w:t xml:space="preserve"> krvácania) a v prípade potreby sa má upraviť dávka </w:t>
      </w:r>
      <w:proofErr w:type="spellStart"/>
      <w:r>
        <w:t>antikoagulancia</w:t>
      </w:r>
      <w:proofErr w:type="spellEnd"/>
      <w:r>
        <w:t>.</w:t>
      </w:r>
    </w:p>
    <w:p w14:paraId="1443198E" w14:textId="77777777" w:rsidR="00E05CFE" w:rsidRPr="004066EE" w:rsidRDefault="00E05CFE" w:rsidP="002C2D79">
      <w:pPr>
        <w:jc w:val="both"/>
        <w:rPr>
          <w:i/>
          <w:szCs w:val="22"/>
          <w:u w:val="single"/>
        </w:rPr>
      </w:pPr>
    </w:p>
    <w:p w14:paraId="6D382603" w14:textId="5861C680" w:rsidR="00E05CFE" w:rsidRPr="004066EE" w:rsidRDefault="00E05CFE" w:rsidP="002C2D79">
      <w:pPr>
        <w:jc w:val="both"/>
        <w:rPr>
          <w:szCs w:val="22"/>
        </w:rPr>
      </w:pPr>
      <w:proofErr w:type="spellStart"/>
      <w:r>
        <w:rPr>
          <w:i/>
          <w:szCs w:val="22"/>
          <w:u w:val="single"/>
        </w:rPr>
        <w:t>Metotrexát</w:t>
      </w:r>
      <w:proofErr w:type="spellEnd"/>
      <w:r>
        <w:rPr>
          <w:i/>
          <w:szCs w:val="22"/>
          <w:u w:val="single"/>
        </w:rPr>
        <w:t xml:space="preserve"> používaný v dávkach 15 mg/týždeň alebo vyšších</w:t>
      </w:r>
      <w:r>
        <w:t xml:space="preserve">: Ak sa </w:t>
      </w:r>
      <w:r w:rsidR="00B32A26">
        <w:t>NSAID</w:t>
      </w:r>
      <w:r>
        <w:t xml:space="preserve"> a </w:t>
      </w:r>
      <w:proofErr w:type="spellStart"/>
      <w:r>
        <w:t>metotrexát</w:t>
      </w:r>
      <w:proofErr w:type="spellEnd"/>
      <w:r>
        <w:t xml:space="preserve"> podávajú </w:t>
      </w:r>
      <w:r w:rsidR="00302D06">
        <w:t>s odstupom</w:t>
      </w:r>
      <w:r>
        <w:t xml:space="preserve"> 24 hodín, plazmatické hladiny </w:t>
      </w:r>
      <w:proofErr w:type="spellStart"/>
      <w:r>
        <w:t>metotrexátu</w:t>
      </w:r>
      <w:proofErr w:type="spellEnd"/>
      <w:r>
        <w:t xml:space="preserve"> sa môžu zvýšiť prostredníctvom zníženia jeho </w:t>
      </w:r>
      <w:proofErr w:type="spellStart"/>
      <w:r>
        <w:t>renálneho</w:t>
      </w:r>
      <w:proofErr w:type="spellEnd"/>
      <w:r>
        <w:t xml:space="preserve"> </w:t>
      </w:r>
      <w:proofErr w:type="spellStart"/>
      <w:r>
        <w:t>klírensu</w:t>
      </w:r>
      <w:proofErr w:type="spellEnd"/>
      <w:r>
        <w:t xml:space="preserve">, čím sa zvýši potenciál toxicity </w:t>
      </w:r>
      <w:proofErr w:type="spellStart"/>
      <w:r>
        <w:t>metotrexátu</w:t>
      </w:r>
      <w:proofErr w:type="spellEnd"/>
      <w:r>
        <w:t xml:space="preserve">. Preto sa u pacientov, ktorí dostávajú vysoké dávky </w:t>
      </w:r>
      <w:proofErr w:type="spellStart"/>
      <w:r>
        <w:t>metotrexátu</w:t>
      </w:r>
      <w:proofErr w:type="spellEnd"/>
      <w:r>
        <w:t xml:space="preserve">, neodporúča súbežné užívanie </w:t>
      </w:r>
      <w:proofErr w:type="spellStart"/>
      <w:r>
        <w:t>dexibuprofénu</w:t>
      </w:r>
      <w:proofErr w:type="spellEnd"/>
      <w:r>
        <w:t xml:space="preserve"> (pozri časť 4.4).</w:t>
      </w:r>
    </w:p>
    <w:p w14:paraId="1E174198" w14:textId="77777777" w:rsidR="00E05CFE" w:rsidRPr="004066EE" w:rsidRDefault="00E05CFE" w:rsidP="002C2D79">
      <w:pPr>
        <w:jc w:val="both"/>
        <w:rPr>
          <w:szCs w:val="22"/>
        </w:rPr>
      </w:pPr>
    </w:p>
    <w:p w14:paraId="7D3C2B79" w14:textId="3A090374" w:rsidR="00E05CFE" w:rsidRPr="004066EE" w:rsidRDefault="00E05CFE" w:rsidP="002C2D79">
      <w:pPr>
        <w:jc w:val="both"/>
        <w:rPr>
          <w:szCs w:val="22"/>
        </w:rPr>
      </w:pPr>
      <w:r>
        <w:rPr>
          <w:i/>
          <w:szCs w:val="22"/>
          <w:u w:val="single"/>
        </w:rPr>
        <w:t>Lítium</w:t>
      </w:r>
      <w:r>
        <w:t xml:space="preserve">: </w:t>
      </w:r>
      <w:r w:rsidR="00B32A26">
        <w:t>NSAID</w:t>
      </w:r>
      <w:r>
        <w:t xml:space="preserve"> môžu zvyšovať plazmatické hladiny lítia znižovaním jeho </w:t>
      </w:r>
      <w:proofErr w:type="spellStart"/>
      <w:r>
        <w:t>renálneho</w:t>
      </w:r>
      <w:proofErr w:type="spellEnd"/>
      <w:r>
        <w:t xml:space="preserve"> </w:t>
      </w:r>
      <w:proofErr w:type="spellStart"/>
      <w:r>
        <w:t>klírensu</w:t>
      </w:r>
      <w:proofErr w:type="spellEnd"/>
      <w:r>
        <w:t>. Táto kombinácia sa neodporúča (pozri časť 4.4). Ak sa táto kombinácia ukáže ako potrebná, má sa vykonávať časté monitorovanie lítia. Má sa zvážiť možnosť zníženia dávky lítia.</w:t>
      </w:r>
    </w:p>
    <w:p w14:paraId="085CB733" w14:textId="77777777" w:rsidR="00E05CFE" w:rsidRPr="00611CA8" w:rsidRDefault="00E05CFE" w:rsidP="002C2D79">
      <w:pPr>
        <w:jc w:val="both"/>
        <w:rPr>
          <w:szCs w:val="22"/>
        </w:rPr>
      </w:pPr>
    </w:p>
    <w:p w14:paraId="67ECC4EA" w14:textId="4315A64D" w:rsidR="00E05CFE" w:rsidRPr="004066EE" w:rsidRDefault="00E05CFE" w:rsidP="002C2D79">
      <w:pPr>
        <w:jc w:val="both"/>
        <w:rPr>
          <w:szCs w:val="22"/>
        </w:rPr>
      </w:pPr>
      <w:r>
        <w:rPr>
          <w:i/>
          <w:szCs w:val="22"/>
          <w:u w:val="single"/>
        </w:rPr>
        <w:t xml:space="preserve">Iné </w:t>
      </w:r>
      <w:r w:rsidR="00B32A26">
        <w:rPr>
          <w:i/>
          <w:szCs w:val="22"/>
          <w:u w:val="single"/>
        </w:rPr>
        <w:t>NSAID</w:t>
      </w:r>
      <w:r>
        <w:rPr>
          <w:i/>
          <w:szCs w:val="22"/>
          <w:u w:val="single"/>
        </w:rPr>
        <w:t xml:space="preserve"> </w:t>
      </w:r>
      <w:r>
        <w:rPr>
          <w:bCs/>
          <w:i/>
          <w:szCs w:val="22"/>
          <w:u w:val="single"/>
        </w:rPr>
        <w:t>a </w:t>
      </w:r>
      <w:proofErr w:type="spellStart"/>
      <w:r>
        <w:rPr>
          <w:bCs/>
          <w:i/>
          <w:szCs w:val="22"/>
          <w:u w:val="single"/>
        </w:rPr>
        <w:t>salicyláty</w:t>
      </w:r>
      <w:proofErr w:type="spellEnd"/>
      <w:r>
        <w:rPr>
          <w:bCs/>
          <w:i/>
          <w:szCs w:val="22"/>
          <w:u w:val="single"/>
        </w:rPr>
        <w:t xml:space="preserve"> (kyselina </w:t>
      </w:r>
      <w:proofErr w:type="spellStart"/>
      <w:r>
        <w:rPr>
          <w:bCs/>
          <w:i/>
          <w:szCs w:val="22"/>
          <w:u w:val="single"/>
        </w:rPr>
        <w:t>acetylsalicylová</w:t>
      </w:r>
      <w:proofErr w:type="spellEnd"/>
      <w:r>
        <w:rPr>
          <w:bCs/>
          <w:i/>
          <w:szCs w:val="22"/>
          <w:u w:val="single"/>
        </w:rPr>
        <w:t xml:space="preserve"> ako liek proti bolesti):</w:t>
      </w:r>
      <w:r>
        <w:t xml:space="preserve"> Treba sa vyhýbať súbežnému užívaniu s inými </w:t>
      </w:r>
      <w:r w:rsidR="00B32A26">
        <w:t>NSAID</w:t>
      </w:r>
      <w:r>
        <w:t xml:space="preserve"> vrátane selektívnych inhibítorov cyklooxygenázy-2, pretože súbežné podávanie rôznych </w:t>
      </w:r>
      <w:r w:rsidR="00B32A26">
        <w:t>NSAID</w:t>
      </w:r>
      <w:r>
        <w:t xml:space="preserve"> môže zvýšiť riziko </w:t>
      </w:r>
      <w:proofErr w:type="spellStart"/>
      <w:r>
        <w:t>gastrointestinálnej</w:t>
      </w:r>
      <w:proofErr w:type="spellEnd"/>
      <w:r>
        <w:t xml:space="preserve"> </w:t>
      </w:r>
      <w:proofErr w:type="spellStart"/>
      <w:r>
        <w:t>ulcerácie</w:t>
      </w:r>
      <w:proofErr w:type="spellEnd"/>
      <w:r>
        <w:t xml:space="preserve"> a </w:t>
      </w:r>
      <w:proofErr w:type="spellStart"/>
      <w:r>
        <w:t>hemorágie</w:t>
      </w:r>
      <w:proofErr w:type="spellEnd"/>
      <w:r>
        <w:t xml:space="preserve"> (pozri časť 4.4).</w:t>
      </w:r>
    </w:p>
    <w:p w14:paraId="014B375A" w14:textId="7E7519B2" w:rsidR="00E05CFE" w:rsidRDefault="00E05CFE" w:rsidP="002C2D79">
      <w:pPr>
        <w:pStyle w:val="BodyText21"/>
        <w:overflowPunct/>
        <w:autoSpaceDE/>
        <w:adjustRightInd/>
        <w:jc w:val="both"/>
        <w:rPr>
          <w:rFonts w:ascii="Times New Roman" w:hAnsi="Times New Roman"/>
          <w:bCs/>
          <w:iCs/>
          <w:color w:val="auto"/>
        </w:rPr>
      </w:pPr>
    </w:p>
    <w:p w14:paraId="42681DAB" w14:textId="113C21C6" w:rsidR="001C2A0F" w:rsidRDefault="001C2A0F" w:rsidP="001C2A0F">
      <w:pPr>
        <w:rPr>
          <w:bCs/>
          <w:i/>
          <w:iCs/>
          <w:szCs w:val="22"/>
          <w:u w:val="single"/>
        </w:rPr>
      </w:pPr>
      <w:r>
        <w:rPr>
          <w:bCs/>
          <w:i/>
          <w:iCs/>
          <w:szCs w:val="22"/>
          <w:u w:val="single"/>
        </w:rPr>
        <w:t xml:space="preserve">Kyselina </w:t>
      </w:r>
      <w:proofErr w:type="spellStart"/>
      <w:r>
        <w:rPr>
          <w:bCs/>
          <w:i/>
          <w:iCs/>
          <w:szCs w:val="22"/>
          <w:u w:val="single"/>
        </w:rPr>
        <w:t>acetylsalicylová</w:t>
      </w:r>
      <w:proofErr w:type="spellEnd"/>
      <w:r>
        <w:rPr>
          <w:u w:val="single"/>
        </w:rPr>
        <w:t xml:space="preserve"> </w:t>
      </w:r>
      <w:r>
        <w:rPr>
          <w:bCs/>
          <w:i/>
          <w:iCs/>
          <w:szCs w:val="22"/>
          <w:u w:val="single"/>
        </w:rPr>
        <w:t xml:space="preserve">(ako </w:t>
      </w:r>
      <w:proofErr w:type="spellStart"/>
      <w:r w:rsidR="00264403">
        <w:rPr>
          <w:bCs/>
          <w:i/>
          <w:iCs/>
          <w:szCs w:val="22"/>
          <w:u w:val="single"/>
        </w:rPr>
        <w:t>antiagregačn</w:t>
      </w:r>
      <w:r>
        <w:rPr>
          <w:bCs/>
          <w:i/>
          <w:iCs/>
          <w:szCs w:val="22"/>
          <w:u w:val="single"/>
        </w:rPr>
        <w:t>á</w:t>
      </w:r>
      <w:proofErr w:type="spellEnd"/>
      <w:r>
        <w:rPr>
          <w:bCs/>
          <w:i/>
          <w:iCs/>
          <w:szCs w:val="22"/>
          <w:u w:val="single"/>
        </w:rPr>
        <w:t xml:space="preserve"> liečba):</w:t>
      </w:r>
    </w:p>
    <w:p w14:paraId="2F4707C2" w14:textId="77777777" w:rsidR="001C2A0F" w:rsidRPr="0021295D" w:rsidRDefault="001C2A0F" w:rsidP="00F34E5C">
      <w:pPr>
        <w:jc w:val="both"/>
        <w:rPr>
          <w:bCs/>
          <w:iCs/>
          <w:szCs w:val="22"/>
        </w:rPr>
      </w:pPr>
      <w:r>
        <w:t xml:space="preserve">Súbežné podávanie </w:t>
      </w:r>
      <w:proofErr w:type="spellStart"/>
      <w:r>
        <w:t>dexibuprofénu</w:t>
      </w:r>
      <w:proofErr w:type="spellEnd"/>
      <w:r>
        <w:t xml:space="preserve"> a kyseliny </w:t>
      </w:r>
      <w:proofErr w:type="spellStart"/>
      <w:r>
        <w:t>acetylsalicylovej</w:t>
      </w:r>
      <w:proofErr w:type="spellEnd"/>
      <w:r>
        <w:t xml:space="preserve"> sa vo všeobecnosti neodporúča z dôvodu možného zvýšenia nežiaducich účinkov.</w:t>
      </w:r>
    </w:p>
    <w:p w14:paraId="530160C3" w14:textId="11C318CA" w:rsidR="001C2A0F" w:rsidRPr="0021295D" w:rsidRDefault="001C2A0F" w:rsidP="00F34E5C">
      <w:pPr>
        <w:jc w:val="both"/>
        <w:rPr>
          <w:bCs/>
          <w:iCs/>
          <w:szCs w:val="22"/>
        </w:rPr>
      </w:pPr>
      <w:r>
        <w:t xml:space="preserve">Experimentálne údaje naznačujú, že </w:t>
      </w:r>
      <w:proofErr w:type="spellStart"/>
      <w:r>
        <w:t>ibuprofén</w:t>
      </w:r>
      <w:proofErr w:type="spellEnd"/>
      <w:r>
        <w:t xml:space="preserve"> môže </w:t>
      </w:r>
      <w:proofErr w:type="spellStart"/>
      <w:r>
        <w:t>kompetitívne</w:t>
      </w:r>
      <w:proofErr w:type="spellEnd"/>
      <w:r>
        <w:t xml:space="preserve"> </w:t>
      </w:r>
      <w:proofErr w:type="spellStart"/>
      <w:r>
        <w:t>inhibovať</w:t>
      </w:r>
      <w:proofErr w:type="spellEnd"/>
      <w:r>
        <w:t xml:space="preserve"> účinok nízkej dávky kyseliny acetylsalicylovej na agregáciu krvných doštičiek, keď sa podávajú súbežne. Aj keď </w:t>
      </w:r>
      <w:r w:rsidR="00F15F0D">
        <w:t xml:space="preserve">nie je isté, či je možné tieto údaje </w:t>
      </w:r>
      <w:proofErr w:type="spellStart"/>
      <w:r w:rsidR="00F15F0D">
        <w:t>extrapolovať</w:t>
      </w:r>
      <w:proofErr w:type="spellEnd"/>
      <w:r>
        <w:t xml:space="preserve"> na klinický stav, nedá sa vylúčiť možnosť, že pravidelné dlhodobé používanie </w:t>
      </w:r>
      <w:proofErr w:type="spellStart"/>
      <w:r>
        <w:t>ibuprofénu</w:t>
      </w:r>
      <w:proofErr w:type="spellEnd"/>
      <w:r>
        <w:t xml:space="preserve"> môže znížiť ochranný účinok nízkej dávky kyseliny acetylsalicylovej na srdce. Žiadny klinicky relevantný účinok sa nepovažuje za pravdepodobný, ak sa </w:t>
      </w:r>
      <w:proofErr w:type="spellStart"/>
      <w:r>
        <w:t>ibuprofén</w:t>
      </w:r>
      <w:proofErr w:type="spellEnd"/>
      <w:r>
        <w:t xml:space="preserve"> používa </w:t>
      </w:r>
      <w:r>
        <w:lastRenderedPageBreak/>
        <w:t>príležitostne (pozri časť 5.1). Aj keď nie sú dostupné žiadne údaje o </w:t>
      </w:r>
      <w:proofErr w:type="spellStart"/>
      <w:r>
        <w:t>dexibuproféne</w:t>
      </w:r>
      <w:proofErr w:type="spellEnd"/>
      <w:r>
        <w:t xml:space="preserve">, možno opodstatnene predpokladať, že medzi </w:t>
      </w:r>
      <w:proofErr w:type="spellStart"/>
      <w:r>
        <w:t>dexibuprofénom</w:t>
      </w:r>
      <w:proofErr w:type="spellEnd"/>
      <w:r>
        <w:t xml:space="preserve"> (= S(+)-</w:t>
      </w:r>
      <w:proofErr w:type="spellStart"/>
      <w:r>
        <w:t>ibuprofén</w:t>
      </w:r>
      <w:proofErr w:type="spellEnd"/>
      <w:r>
        <w:t xml:space="preserve">) (čo je farmakologicky aktívny </w:t>
      </w:r>
      <w:proofErr w:type="spellStart"/>
      <w:r>
        <w:t>enantiomér</w:t>
      </w:r>
      <w:proofErr w:type="spellEnd"/>
      <w:r>
        <w:t xml:space="preserve"> </w:t>
      </w:r>
      <w:proofErr w:type="spellStart"/>
      <w:r>
        <w:t>ibuprofénu</w:t>
      </w:r>
      <w:proofErr w:type="spellEnd"/>
      <w:r>
        <w:t>) a nízkou dávkou kyseliny acetylsalicylovej môže existovať podobná interakcia.</w:t>
      </w:r>
    </w:p>
    <w:p w14:paraId="6D67CE74" w14:textId="77777777" w:rsidR="001C2A0F" w:rsidRPr="004066EE" w:rsidRDefault="001C2A0F" w:rsidP="002C2D79">
      <w:pPr>
        <w:pStyle w:val="BodyText21"/>
        <w:overflowPunct/>
        <w:autoSpaceDE/>
        <w:adjustRightInd/>
        <w:jc w:val="both"/>
        <w:rPr>
          <w:rFonts w:ascii="Times New Roman" w:hAnsi="Times New Roman"/>
          <w:bCs/>
          <w:iCs/>
          <w:color w:val="auto"/>
        </w:rPr>
      </w:pPr>
    </w:p>
    <w:p w14:paraId="3D973237" w14:textId="345DB7FC" w:rsidR="00E05CFE" w:rsidRPr="004066EE" w:rsidRDefault="00E05CFE" w:rsidP="002C2D79">
      <w:pPr>
        <w:spacing w:line="240" w:lineRule="auto"/>
        <w:ind w:left="567" w:hanging="567"/>
        <w:jc w:val="both"/>
        <w:outlineLvl w:val="0"/>
        <w:rPr>
          <w:noProof/>
          <w:szCs w:val="22"/>
        </w:rPr>
      </w:pPr>
      <w:r>
        <w:rPr>
          <w:b/>
          <w:iCs/>
          <w:szCs w:val="22"/>
        </w:rPr>
        <w:t>Preventívne opatrenia:</w:t>
      </w:r>
    </w:p>
    <w:p w14:paraId="2DC19F94" w14:textId="77777777" w:rsidR="00E05CFE" w:rsidRPr="004066EE" w:rsidRDefault="00E05CFE" w:rsidP="002C2D79">
      <w:pPr>
        <w:jc w:val="both"/>
        <w:rPr>
          <w:i/>
          <w:iCs/>
          <w:szCs w:val="22"/>
        </w:rPr>
      </w:pPr>
      <w:proofErr w:type="spellStart"/>
      <w:r>
        <w:rPr>
          <w:i/>
          <w:iCs/>
          <w:szCs w:val="22"/>
          <w:u w:val="single"/>
        </w:rPr>
        <w:t>Antihypertenzíva</w:t>
      </w:r>
      <w:proofErr w:type="spellEnd"/>
      <w:r>
        <w:rPr>
          <w:i/>
          <w:iCs/>
          <w:szCs w:val="22"/>
        </w:rPr>
        <w:t xml:space="preserve">: </w:t>
      </w:r>
    </w:p>
    <w:p w14:paraId="7813BCF7" w14:textId="52472FC2" w:rsidR="00E05CFE" w:rsidRPr="004066EE" w:rsidRDefault="00B32A26" w:rsidP="002C2D79">
      <w:pPr>
        <w:jc w:val="both"/>
        <w:rPr>
          <w:szCs w:val="22"/>
        </w:rPr>
      </w:pPr>
      <w:r>
        <w:t>NSAID</w:t>
      </w:r>
      <w:r w:rsidR="00E05CFE">
        <w:t xml:space="preserve"> môžu znižovať účinnosť </w:t>
      </w:r>
      <w:proofErr w:type="spellStart"/>
      <w:r w:rsidR="00E05CFE">
        <w:t>betablokátorov</w:t>
      </w:r>
      <w:proofErr w:type="spellEnd"/>
      <w:r w:rsidR="00E05CFE">
        <w:t xml:space="preserve">, pravdepodobne z dôvodu inhibície tvorby </w:t>
      </w:r>
      <w:proofErr w:type="spellStart"/>
      <w:r w:rsidR="00E05CFE">
        <w:t>vazodilatačných</w:t>
      </w:r>
      <w:proofErr w:type="spellEnd"/>
      <w:r w:rsidR="00E05CFE">
        <w:t xml:space="preserve"> </w:t>
      </w:r>
      <w:proofErr w:type="spellStart"/>
      <w:r w:rsidR="00E05CFE">
        <w:t>prostaglandínov</w:t>
      </w:r>
      <w:proofErr w:type="spellEnd"/>
      <w:r w:rsidR="00E05CFE">
        <w:t>.</w:t>
      </w:r>
    </w:p>
    <w:p w14:paraId="28455105" w14:textId="10000C5B" w:rsidR="00E05CFE" w:rsidRPr="004066EE" w:rsidRDefault="00E05CFE" w:rsidP="002C2D79">
      <w:pPr>
        <w:jc w:val="both"/>
        <w:rPr>
          <w:szCs w:val="22"/>
        </w:rPr>
      </w:pPr>
      <w:r>
        <w:t xml:space="preserve">Súbežné používanie </w:t>
      </w:r>
      <w:r w:rsidR="00B32A26">
        <w:t>NSAID</w:t>
      </w:r>
      <w:r>
        <w:t xml:space="preserve"> a inhibítorov ACE alebo antagonistov receptorov </w:t>
      </w:r>
      <w:proofErr w:type="spellStart"/>
      <w:r>
        <w:t>angiotenzínu</w:t>
      </w:r>
      <w:proofErr w:type="spellEnd"/>
      <w:r>
        <w:t xml:space="preserve"> II môže byť spojené so zvýšeným rizikom akútneho zlyhania obličiek, najmä u pacientov s už existujúcim zhoršením funkcie obličiek. Pri podávaní starším a/alebo dehydratovaným pacientom môže takáto kombinácia viesť k akútnemu zlyhaniu obličiek priamym účinkom na </w:t>
      </w:r>
      <w:proofErr w:type="spellStart"/>
      <w:r>
        <w:t>glomerulárnu</w:t>
      </w:r>
      <w:proofErr w:type="spellEnd"/>
      <w:r>
        <w:t xml:space="preserve"> filtráciu. Na začiatku liečby sa odporúča dôkladné monitorovanie funkcie obličiek. </w:t>
      </w:r>
    </w:p>
    <w:p w14:paraId="064203AA" w14:textId="6B9DC972" w:rsidR="00E05CFE" w:rsidRPr="004066EE" w:rsidRDefault="00E05CFE" w:rsidP="002C2D79">
      <w:pPr>
        <w:jc w:val="both"/>
        <w:rPr>
          <w:szCs w:val="22"/>
        </w:rPr>
      </w:pPr>
      <w:r>
        <w:t xml:space="preserve">Okrem toho môže chronické podávanie </w:t>
      </w:r>
      <w:r w:rsidR="00B32A26">
        <w:t>NSAID</w:t>
      </w:r>
      <w:r>
        <w:t xml:space="preserve"> teoreticky znížiť </w:t>
      </w:r>
      <w:proofErr w:type="spellStart"/>
      <w:r>
        <w:t>antihypertenz</w:t>
      </w:r>
      <w:r w:rsidR="00264403">
        <w:t>ív</w:t>
      </w:r>
      <w:r>
        <w:t>n</w:t>
      </w:r>
      <w:r w:rsidR="00264403">
        <w:t>y</w:t>
      </w:r>
      <w:proofErr w:type="spellEnd"/>
      <w:r>
        <w:t xml:space="preserve"> účinok antagonistov receptorov </w:t>
      </w:r>
      <w:proofErr w:type="spellStart"/>
      <w:r>
        <w:t>angiotenzínu</w:t>
      </w:r>
      <w:proofErr w:type="spellEnd"/>
      <w:r>
        <w:t xml:space="preserve"> II, ako je to hlásené v prípade inhibítorov ACE. Preto je pri používaní takejto kombinácie potrebná opatrnosť a na začiatku liečby je potrebné dôkladne monitorovať funkciu obličiek (a pacientom sa má odporučiť, aby si udržiavali primeraný príjem tekutín).</w:t>
      </w:r>
    </w:p>
    <w:p w14:paraId="2D9331E1" w14:textId="77777777" w:rsidR="00E05CFE" w:rsidRPr="004066EE" w:rsidRDefault="00E05CFE" w:rsidP="002C2D79">
      <w:pPr>
        <w:jc w:val="both"/>
        <w:rPr>
          <w:szCs w:val="22"/>
        </w:rPr>
      </w:pPr>
    </w:p>
    <w:p w14:paraId="02ED4328" w14:textId="1F46038A" w:rsidR="00E05CFE" w:rsidRPr="004066EE" w:rsidRDefault="00E05CFE" w:rsidP="002C2D79">
      <w:pPr>
        <w:jc w:val="both"/>
        <w:rPr>
          <w:szCs w:val="22"/>
        </w:rPr>
      </w:pPr>
      <w:proofErr w:type="spellStart"/>
      <w:r>
        <w:rPr>
          <w:i/>
          <w:szCs w:val="22"/>
          <w:u w:val="single"/>
        </w:rPr>
        <w:t>Cyklosporín</w:t>
      </w:r>
      <w:proofErr w:type="spellEnd"/>
      <w:r>
        <w:rPr>
          <w:i/>
          <w:szCs w:val="22"/>
          <w:u w:val="single"/>
        </w:rPr>
        <w:t xml:space="preserve">, </w:t>
      </w:r>
      <w:proofErr w:type="spellStart"/>
      <w:r>
        <w:rPr>
          <w:i/>
          <w:szCs w:val="22"/>
          <w:u w:val="single"/>
        </w:rPr>
        <w:t>takrolimus</w:t>
      </w:r>
      <w:proofErr w:type="spellEnd"/>
      <w:r>
        <w:rPr>
          <w:i/>
          <w:szCs w:val="22"/>
          <w:u w:val="single"/>
        </w:rPr>
        <w:t xml:space="preserve">, </w:t>
      </w:r>
      <w:proofErr w:type="spellStart"/>
      <w:r>
        <w:rPr>
          <w:i/>
          <w:szCs w:val="22"/>
          <w:u w:val="single"/>
        </w:rPr>
        <w:t>sirolimus</w:t>
      </w:r>
      <w:proofErr w:type="spellEnd"/>
      <w:r>
        <w:rPr>
          <w:i/>
          <w:szCs w:val="22"/>
          <w:u w:val="single"/>
        </w:rPr>
        <w:t xml:space="preserve"> a </w:t>
      </w:r>
      <w:proofErr w:type="spellStart"/>
      <w:r>
        <w:rPr>
          <w:i/>
          <w:szCs w:val="22"/>
          <w:u w:val="single"/>
        </w:rPr>
        <w:t>aminoglykozidové</w:t>
      </w:r>
      <w:proofErr w:type="spellEnd"/>
      <w:r>
        <w:rPr>
          <w:i/>
          <w:szCs w:val="22"/>
          <w:u w:val="single"/>
        </w:rPr>
        <w:t xml:space="preserve"> antibiotiká</w:t>
      </w:r>
      <w:r>
        <w:t>: Súbežné podávanie s </w:t>
      </w:r>
      <w:r w:rsidR="00B32A26">
        <w:t>NSAID</w:t>
      </w:r>
      <w:r>
        <w:t xml:space="preserve"> môže zvýšiť riziko </w:t>
      </w:r>
      <w:proofErr w:type="spellStart"/>
      <w:r>
        <w:t>nefrotoxicity</w:t>
      </w:r>
      <w:proofErr w:type="spellEnd"/>
      <w:r>
        <w:t xml:space="preserve"> v dôsledku zníženej syntézy </w:t>
      </w:r>
      <w:proofErr w:type="spellStart"/>
      <w:r>
        <w:t>prostaglandínov</w:t>
      </w:r>
      <w:proofErr w:type="spellEnd"/>
      <w:r>
        <w:t xml:space="preserve"> v obličkách. Počas kombinovanej liečby sa musí dôkladne sledovať funkcia obličiek</w:t>
      </w:r>
      <w:r>
        <w:rPr>
          <w:i/>
          <w:iCs/>
          <w:szCs w:val="22"/>
        </w:rPr>
        <w:t xml:space="preserve">, </w:t>
      </w:r>
      <w:r>
        <w:t>najmä u starších pacientov.</w:t>
      </w:r>
    </w:p>
    <w:p w14:paraId="633614C5" w14:textId="77777777" w:rsidR="00E05CFE" w:rsidRPr="004066EE" w:rsidRDefault="00E05CFE" w:rsidP="002C2D79">
      <w:pPr>
        <w:jc w:val="both"/>
        <w:rPr>
          <w:szCs w:val="22"/>
        </w:rPr>
      </w:pPr>
    </w:p>
    <w:p w14:paraId="2CC7AF19" w14:textId="77777777" w:rsidR="00E05CFE" w:rsidRPr="004066EE" w:rsidRDefault="00E05CFE" w:rsidP="002C2D79">
      <w:pPr>
        <w:jc w:val="both"/>
        <w:rPr>
          <w:iCs/>
          <w:szCs w:val="22"/>
        </w:rPr>
      </w:pPr>
      <w:r>
        <w:rPr>
          <w:i/>
          <w:szCs w:val="22"/>
          <w:u w:val="single"/>
        </w:rPr>
        <w:t>Kortikosteroidy:</w:t>
      </w:r>
      <w:r>
        <w:t xml:space="preserve"> Zvýšené riziko gastrointestinálnych vredov alebo krvácania (pozri časť 4.4).</w:t>
      </w:r>
    </w:p>
    <w:p w14:paraId="03952149" w14:textId="77777777" w:rsidR="00E05CFE" w:rsidRPr="004066EE" w:rsidRDefault="00E05CFE" w:rsidP="002C2D79">
      <w:pPr>
        <w:jc w:val="both"/>
        <w:rPr>
          <w:iCs/>
          <w:szCs w:val="22"/>
          <w:u w:val="single"/>
        </w:rPr>
      </w:pPr>
    </w:p>
    <w:p w14:paraId="0B2AA0C6" w14:textId="5C0298FA" w:rsidR="00E05CFE" w:rsidRPr="004066EE" w:rsidRDefault="00E05CFE" w:rsidP="002C2D79">
      <w:pPr>
        <w:jc w:val="both"/>
        <w:rPr>
          <w:iCs/>
          <w:szCs w:val="22"/>
          <w:u w:val="single"/>
        </w:rPr>
      </w:pPr>
      <w:proofErr w:type="spellStart"/>
      <w:r>
        <w:rPr>
          <w:i/>
          <w:szCs w:val="22"/>
          <w:u w:val="single"/>
        </w:rPr>
        <w:t>Digoxín</w:t>
      </w:r>
      <w:proofErr w:type="spellEnd"/>
      <w:r>
        <w:rPr>
          <w:i/>
          <w:szCs w:val="22"/>
        </w:rPr>
        <w:t>:</w:t>
      </w:r>
      <w:r>
        <w:t xml:space="preserve"> </w:t>
      </w:r>
      <w:r w:rsidR="007A2BD5">
        <w:t>NSAID</w:t>
      </w:r>
      <w:r>
        <w:t xml:space="preserve"> môžu zvyšovať plazmatické hladiny </w:t>
      </w:r>
      <w:proofErr w:type="spellStart"/>
      <w:r>
        <w:t>digoxínu</w:t>
      </w:r>
      <w:proofErr w:type="spellEnd"/>
      <w:r>
        <w:t xml:space="preserve"> a zvyšovať riziko toxicity </w:t>
      </w:r>
      <w:proofErr w:type="spellStart"/>
      <w:r>
        <w:t>digoxínu</w:t>
      </w:r>
      <w:proofErr w:type="spellEnd"/>
      <w:r>
        <w:t>.</w:t>
      </w:r>
    </w:p>
    <w:p w14:paraId="7D6688B1" w14:textId="77777777" w:rsidR="00E05CFE" w:rsidRPr="004066EE" w:rsidRDefault="00E05CFE" w:rsidP="002C2D79">
      <w:pPr>
        <w:jc w:val="both"/>
        <w:rPr>
          <w:i/>
          <w:szCs w:val="22"/>
          <w:u w:val="single"/>
        </w:rPr>
      </w:pPr>
    </w:p>
    <w:p w14:paraId="6196FA6A" w14:textId="3DC7965C" w:rsidR="00E05CFE" w:rsidRPr="004066EE" w:rsidRDefault="00E05CFE" w:rsidP="002C2D79">
      <w:pPr>
        <w:jc w:val="both"/>
        <w:rPr>
          <w:szCs w:val="22"/>
        </w:rPr>
      </w:pPr>
      <w:proofErr w:type="spellStart"/>
      <w:r>
        <w:rPr>
          <w:i/>
          <w:szCs w:val="22"/>
          <w:u w:val="single"/>
        </w:rPr>
        <w:t>Metotrexát</w:t>
      </w:r>
      <w:proofErr w:type="spellEnd"/>
      <w:r>
        <w:rPr>
          <w:i/>
          <w:szCs w:val="22"/>
          <w:u w:val="single"/>
        </w:rPr>
        <w:t xml:space="preserve"> používaný v dávkach nižších než 15 mg/týždeň</w:t>
      </w:r>
      <w:r>
        <w:rPr>
          <w:i/>
          <w:szCs w:val="22"/>
        </w:rPr>
        <w:t xml:space="preserve">: </w:t>
      </w:r>
      <w:proofErr w:type="spellStart"/>
      <w:r>
        <w:t>Dexibuprofén</w:t>
      </w:r>
      <w:proofErr w:type="spellEnd"/>
      <w:r>
        <w:t xml:space="preserve"> môže zvyšovať hladiny </w:t>
      </w:r>
      <w:proofErr w:type="spellStart"/>
      <w:r>
        <w:t>metotrexátu</w:t>
      </w:r>
      <w:proofErr w:type="spellEnd"/>
      <w:r>
        <w:t xml:space="preserve">. Ak sa </w:t>
      </w:r>
      <w:proofErr w:type="spellStart"/>
      <w:r>
        <w:t>dexibuprofén</w:t>
      </w:r>
      <w:proofErr w:type="spellEnd"/>
      <w:r>
        <w:t xml:space="preserve"> používa v kombinácii s nízkymi dávkami </w:t>
      </w:r>
      <w:proofErr w:type="spellStart"/>
      <w:r>
        <w:t>metotrexátu</w:t>
      </w:r>
      <w:proofErr w:type="spellEnd"/>
      <w:r>
        <w:t xml:space="preserve">, potom treba dôkladne sledovať krvný obraz pacienta, najmä počas prvých týždňov súbežného podávania. V prípade aj mierne zhoršenej funkcie obličiek, najmä u starších pacientov, sa </w:t>
      </w:r>
      <w:r w:rsidR="00F15F0D">
        <w:t xml:space="preserve">vyžaduje </w:t>
      </w:r>
      <w:r>
        <w:t xml:space="preserve">zvýšený dohľad a má sa monitorovať funkcia obličiek, aby sa dalo predvídať akékoľvek zníženie </w:t>
      </w:r>
      <w:proofErr w:type="spellStart"/>
      <w:r>
        <w:t>klírensu</w:t>
      </w:r>
      <w:proofErr w:type="spellEnd"/>
      <w:r>
        <w:t xml:space="preserve"> </w:t>
      </w:r>
      <w:proofErr w:type="spellStart"/>
      <w:r>
        <w:t>metotrexátu</w:t>
      </w:r>
      <w:proofErr w:type="spellEnd"/>
      <w:r>
        <w:t>.</w:t>
      </w:r>
    </w:p>
    <w:p w14:paraId="7811A81E" w14:textId="77777777" w:rsidR="00E05CFE" w:rsidRPr="004066EE" w:rsidRDefault="00E05CFE" w:rsidP="002C2D79">
      <w:pPr>
        <w:jc w:val="both"/>
        <w:rPr>
          <w:szCs w:val="22"/>
        </w:rPr>
      </w:pPr>
    </w:p>
    <w:p w14:paraId="586B9184" w14:textId="06071C21" w:rsidR="00E05CFE" w:rsidRPr="004066EE" w:rsidRDefault="00E05CFE" w:rsidP="002C2D79">
      <w:pPr>
        <w:jc w:val="both"/>
        <w:rPr>
          <w:szCs w:val="22"/>
        </w:rPr>
      </w:pPr>
      <w:proofErr w:type="spellStart"/>
      <w:r>
        <w:rPr>
          <w:i/>
          <w:szCs w:val="22"/>
          <w:u w:val="single"/>
        </w:rPr>
        <w:t>Fenytoín</w:t>
      </w:r>
      <w:proofErr w:type="spellEnd"/>
      <w:r>
        <w:rPr>
          <w:i/>
          <w:szCs w:val="22"/>
          <w:u w:val="single"/>
        </w:rPr>
        <w:t>:</w:t>
      </w:r>
      <w:r>
        <w:t xml:space="preserve"> Niektoré </w:t>
      </w:r>
      <w:r w:rsidR="007A2BD5">
        <w:t>NSAID</w:t>
      </w:r>
      <w:r>
        <w:t xml:space="preserve"> môžu dislokovať </w:t>
      </w:r>
      <w:proofErr w:type="spellStart"/>
      <w:r>
        <w:t>fenytoín</w:t>
      </w:r>
      <w:proofErr w:type="spellEnd"/>
      <w:r>
        <w:t xml:space="preserve"> z miest väzby na proteíny, čo môže viesť k zvýšeniu hladín </w:t>
      </w:r>
      <w:proofErr w:type="spellStart"/>
      <w:r>
        <w:t>fenytoínu</w:t>
      </w:r>
      <w:proofErr w:type="spellEnd"/>
      <w:r>
        <w:t xml:space="preserve"> v sére a k toxicite. Aj keď je klinický dôkaz tejto interakcie obmedzený, odporúča sa úprava dávkovania </w:t>
      </w:r>
      <w:proofErr w:type="spellStart"/>
      <w:r>
        <w:t>fenytoínu</w:t>
      </w:r>
      <w:proofErr w:type="spellEnd"/>
      <w:r>
        <w:t xml:space="preserve"> na základe monitorovania plazmatických koncentrácií a/alebo pozorovaných pr</w:t>
      </w:r>
      <w:r w:rsidR="00AC622C">
        <w:t>ejav</w:t>
      </w:r>
      <w:r>
        <w:t>ov toxicity.</w:t>
      </w:r>
    </w:p>
    <w:p w14:paraId="31BA504B" w14:textId="77777777" w:rsidR="00E05CFE" w:rsidRPr="004066EE" w:rsidRDefault="00E05CFE" w:rsidP="002C2D79">
      <w:pPr>
        <w:jc w:val="both"/>
        <w:rPr>
          <w:iCs/>
          <w:strike/>
          <w:szCs w:val="22"/>
        </w:rPr>
      </w:pPr>
    </w:p>
    <w:p w14:paraId="53A710D5" w14:textId="59CECE3E" w:rsidR="00E05CFE" w:rsidRPr="004066EE" w:rsidRDefault="00E05CFE" w:rsidP="002C2D79">
      <w:pPr>
        <w:jc w:val="both"/>
        <w:rPr>
          <w:rFonts w:eastAsia="Arial Unicode MS"/>
          <w:szCs w:val="22"/>
        </w:rPr>
      </w:pPr>
      <w:proofErr w:type="spellStart"/>
      <w:r>
        <w:rPr>
          <w:i/>
          <w:szCs w:val="22"/>
          <w:u w:val="single"/>
        </w:rPr>
        <w:t>Fenytoín</w:t>
      </w:r>
      <w:proofErr w:type="spellEnd"/>
      <w:r>
        <w:rPr>
          <w:i/>
          <w:szCs w:val="22"/>
          <w:u w:val="single"/>
        </w:rPr>
        <w:t xml:space="preserve">, </w:t>
      </w:r>
      <w:proofErr w:type="spellStart"/>
      <w:r>
        <w:rPr>
          <w:i/>
          <w:szCs w:val="22"/>
          <w:u w:val="single"/>
        </w:rPr>
        <w:t>fenobarbit</w:t>
      </w:r>
      <w:r w:rsidR="00F15F0D">
        <w:rPr>
          <w:i/>
          <w:szCs w:val="22"/>
          <w:u w:val="single"/>
        </w:rPr>
        <w:t>a</w:t>
      </w:r>
      <w:r>
        <w:rPr>
          <w:i/>
          <w:szCs w:val="22"/>
          <w:u w:val="single"/>
        </w:rPr>
        <w:t>l</w:t>
      </w:r>
      <w:proofErr w:type="spellEnd"/>
      <w:r>
        <w:rPr>
          <w:i/>
          <w:szCs w:val="22"/>
          <w:u w:val="single"/>
        </w:rPr>
        <w:t xml:space="preserve"> a </w:t>
      </w:r>
      <w:proofErr w:type="spellStart"/>
      <w:r>
        <w:rPr>
          <w:i/>
          <w:szCs w:val="22"/>
          <w:u w:val="single"/>
        </w:rPr>
        <w:t>rifampicín</w:t>
      </w:r>
      <w:proofErr w:type="spellEnd"/>
      <w:r>
        <w:rPr>
          <w:i/>
          <w:szCs w:val="22"/>
          <w:u w:val="single"/>
        </w:rPr>
        <w:t>:</w:t>
      </w:r>
      <w:r>
        <w:t xml:space="preserve"> Súbežné podávanie l</w:t>
      </w:r>
      <w:r w:rsidR="00AC622C">
        <w:t>iečiv</w:t>
      </w:r>
      <w:r>
        <w:t xml:space="preserve"> indukujúcich CYP2C8 a CYP2C9 môže znížiť účinky </w:t>
      </w:r>
      <w:proofErr w:type="spellStart"/>
      <w:r>
        <w:t>dexibuprofénu</w:t>
      </w:r>
      <w:proofErr w:type="spellEnd"/>
      <w:r>
        <w:t xml:space="preserve">. </w:t>
      </w:r>
    </w:p>
    <w:p w14:paraId="4B3D8F13" w14:textId="77777777" w:rsidR="00E05CFE" w:rsidRPr="004066EE" w:rsidRDefault="00E05CFE" w:rsidP="002C2D79">
      <w:pPr>
        <w:jc w:val="both"/>
        <w:rPr>
          <w:iCs/>
          <w:strike/>
          <w:szCs w:val="22"/>
        </w:rPr>
      </w:pPr>
    </w:p>
    <w:p w14:paraId="13A6A1A0" w14:textId="1ED11503" w:rsidR="00E05CFE" w:rsidRPr="004066EE" w:rsidRDefault="00AC622C" w:rsidP="002C2D79">
      <w:pPr>
        <w:pStyle w:val="Hlavika"/>
        <w:tabs>
          <w:tab w:val="left" w:pos="708"/>
        </w:tabs>
        <w:jc w:val="both"/>
        <w:rPr>
          <w:rFonts w:ascii="Times New Roman" w:hAnsi="Times New Roman"/>
          <w:i/>
          <w:iCs/>
          <w:sz w:val="22"/>
          <w:szCs w:val="22"/>
          <w:u w:val="single"/>
        </w:rPr>
      </w:pPr>
      <w:proofErr w:type="spellStart"/>
      <w:r>
        <w:rPr>
          <w:rFonts w:ascii="Times New Roman" w:hAnsi="Times New Roman"/>
          <w:i/>
          <w:iCs/>
          <w:sz w:val="22"/>
          <w:szCs w:val="22"/>
          <w:u w:val="single"/>
        </w:rPr>
        <w:t>Antiagregačn</w:t>
      </w:r>
      <w:r w:rsidR="00E05CFE">
        <w:rPr>
          <w:rFonts w:ascii="Times New Roman" w:hAnsi="Times New Roman"/>
          <w:i/>
          <w:iCs/>
          <w:sz w:val="22"/>
          <w:szCs w:val="22"/>
          <w:u w:val="single"/>
        </w:rPr>
        <w:t>é</w:t>
      </w:r>
      <w:proofErr w:type="spellEnd"/>
      <w:r w:rsidR="00E05CFE">
        <w:rPr>
          <w:rFonts w:ascii="Times New Roman" w:hAnsi="Times New Roman"/>
          <w:i/>
          <w:iCs/>
          <w:sz w:val="22"/>
          <w:szCs w:val="22"/>
          <w:u w:val="single"/>
        </w:rPr>
        <w:t xml:space="preserve"> l</w:t>
      </w:r>
      <w:r>
        <w:rPr>
          <w:rFonts w:ascii="Times New Roman" w:hAnsi="Times New Roman"/>
          <w:i/>
          <w:iCs/>
          <w:sz w:val="22"/>
          <w:szCs w:val="22"/>
          <w:u w:val="single"/>
        </w:rPr>
        <w:t>iečivá</w:t>
      </w:r>
      <w:r w:rsidR="00E05CFE">
        <w:rPr>
          <w:rFonts w:ascii="Times New Roman" w:hAnsi="Times New Roman"/>
          <w:i/>
          <w:iCs/>
          <w:sz w:val="22"/>
          <w:szCs w:val="22"/>
          <w:u w:val="single"/>
        </w:rPr>
        <w:t xml:space="preserve"> a selektívne inhibítory spätného vychytávania </w:t>
      </w:r>
      <w:proofErr w:type="spellStart"/>
      <w:r w:rsidR="00E05CFE">
        <w:rPr>
          <w:rFonts w:ascii="Times New Roman" w:hAnsi="Times New Roman"/>
          <w:i/>
          <w:iCs/>
          <w:sz w:val="22"/>
          <w:szCs w:val="22"/>
          <w:u w:val="single"/>
        </w:rPr>
        <w:t>serotonínu</w:t>
      </w:r>
      <w:proofErr w:type="spellEnd"/>
      <w:r w:rsidR="00E05CFE">
        <w:rPr>
          <w:rFonts w:ascii="Times New Roman" w:hAnsi="Times New Roman"/>
          <w:i/>
          <w:iCs/>
          <w:sz w:val="22"/>
          <w:szCs w:val="22"/>
          <w:u w:val="single"/>
        </w:rPr>
        <w:t xml:space="preserve"> (SSRI):</w:t>
      </w:r>
    </w:p>
    <w:p w14:paraId="7A9322CE" w14:textId="77777777" w:rsidR="00E05CFE" w:rsidRPr="004066EE" w:rsidRDefault="00E05CFE" w:rsidP="002C2D79">
      <w:pPr>
        <w:pStyle w:val="Hlavika"/>
        <w:tabs>
          <w:tab w:val="left" w:pos="708"/>
        </w:tabs>
        <w:jc w:val="both"/>
        <w:rPr>
          <w:rFonts w:ascii="Times New Roman" w:hAnsi="Times New Roman"/>
          <w:sz w:val="22"/>
          <w:szCs w:val="22"/>
        </w:rPr>
      </w:pPr>
      <w:r>
        <w:rPr>
          <w:rFonts w:ascii="Times New Roman" w:hAnsi="Times New Roman"/>
          <w:sz w:val="22"/>
          <w:szCs w:val="22"/>
        </w:rPr>
        <w:t>Zvýšené riziko gastrointestinálneho krvácania.</w:t>
      </w:r>
    </w:p>
    <w:p w14:paraId="79AB3510" w14:textId="77777777" w:rsidR="00E05CFE" w:rsidRPr="004066EE" w:rsidRDefault="00E05CFE" w:rsidP="002C2D79">
      <w:pPr>
        <w:pStyle w:val="Hlavika"/>
        <w:tabs>
          <w:tab w:val="left" w:pos="708"/>
        </w:tabs>
        <w:jc w:val="both"/>
        <w:rPr>
          <w:rFonts w:ascii="Times New Roman" w:hAnsi="Times New Roman"/>
          <w:sz w:val="22"/>
          <w:szCs w:val="22"/>
        </w:rPr>
      </w:pPr>
    </w:p>
    <w:p w14:paraId="381FAD4F" w14:textId="561FD25B" w:rsidR="00E05CFE" w:rsidRPr="004066EE" w:rsidRDefault="00E05CFE" w:rsidP="002C2D79">
      <w:pPr>
        <w:pStyle w:val="Hlavika"/>
        <w:tabs>
          <w:tab w:val="left" w:pos="708"/>
        </w:tabs>
        <w:jc w:val="both"/>
        <w:rPr>
          <w:rFonts w:ascii="Times New Roman" w:hAnsi="Times New Roman"/>
          <w:i/>
          <w:iCs/>
          <w:strike/>
          <w:sz w:val="22"/>
          <w:szCs w:val="22"/>
          <w:u w:val="single"/>
        </w:rPr>
      </w:pPr>
      <w:proofErr w:type="spellStart"/>
      <w:r>
        <w:rPr>
          <w:rFonts w:ascii="Times New Roman" w:hAnsi="Times New Roman"/>
          <w:i/>
          <w:iCs/>
          <w:sz w:val="22"/>
          <w:szCs w:val="22"/>
          <w:u w:val="single"/>
        </w:rPr>
        <w:t>Tiazidy</w:t>
      </w:r>
      <w:proofErr w:type="spellEnd"/>
      <w:r>
        <w:rPr>
          <w:rFonts w:ascii="Times New Roman" w:hAnsi="Times New Roman"/>
          <w:i/>
          <w:iCs/>
          <w:sz w:val="22"/>
          <w:szCs w:val="22"/>
          <w:u w:val="single"/>
        </w:rPr>
        <w:t>, látky súvisiace s </w:t>
      </w:r>
      <w:proofErr w:type="spellStart"/>
      <w:r>
        <w:rPr>
          <w:rFonts w:ascii="Times New Roman" w:hAnsi="Times New Roman"/>
          <w:i/>
          <w:iCs/>
          <w:sz w:val="22"/>
          <w:szCs w:val="22"/>
          <w:u w:val="single"/>
        </w:rPr>
        <w:t>tiazidmi</w:t>
      </w:r>
      <w:proofErr w:type="spellEnd"/>
      <w:r>
        <w:rPr>
          <w:rFonts w:ascii="Times New Roman" w:hAnsi="Times New Roman"/>
          <w:i/>
          <w:iCs/>
          <w:sz w:val="22"/>
          <w:szCs w:val="22"/>
          <w:u w:val="single"/>
        </w:rPr>
        <w:t xml:space="preserve">, </w:t>
      </w:r>
      <w:proofErr w:type="spellStart"/>
      <w:r w:rsidR="005258CC">
        <w:rPr>
          <w:rFonts w:ascii="Times New Roman" w:hAnsi="Times New Roman"/>
          <w:i/>
          <w:iCs/>
          <w:sz w:val="22"/>
          <w:szCs w:val="22"/>
          <w:u w:val="single"/>
        </w:rPr>
        <w:t>kľ</w:t>
      </w:r>
      <w:r w:rsidRPr="005258CC">
        <w:rPr>
          <w:rFonts w:ascii="Times New Roman" w:hAnsi="Times New Roman"/>
          <w:i/>
          <w:iCs/>
          <w:sz w:val="22"/>
          <w:szCs w:val="22"/>
          <w:u w:val="single"/>
        </w:rPr>
        <w:t>učkové</w:t>
      </w:r>
      <w:proofErr w:type="spellEnd"/>
      <w:r>
        <w:rPr>
          <w:rFonts w:ascii="Times New Roman" w:hAnsi="Times New Roman"/>
          <w:i/>
          <w:iCs/>
          <w:sz w:val="22"/>
          <w:szCs w:val="22"/>
          <w:u w:val="single"/>
        </w:rPr>
        <w:t xml:space="preserve"> diuretiká a diuretiká šetriace draslík:</w:t>
      </w:r>
    </w:p>
    <w:p w14:paraId="32488B56" w14:textId="1DD5C4BA" w:rsidR="00E05CFE" w:rsidRPr="004066EE" w:rsidRDefault="00E05CFE" w:rsidP="002C2D79">
      <w:pPr>
        <w:jc w:val="both"/>
        <w:rPr>
          <w:strike/>
          <w:szCs w:val="22"/>
        </w:rPr>
      </w:pPr>
      <w:r>
        <w:t xml:space="preserve">Súbežné používanie niektorého </w:t>
      </w:r>
      <w:r w:rsidR="007A2BD5">
        <w:t>NSAID</w:t>
      </w:r>
      <w:r>
        <w:t xml:space="preserve"> a diuretika môže zvýšiť riziko zlyhania obličiek v dôsledku zníženia prietoku krvi obličkami.</w:t>
      </w:r>
    </w:p>
    <w:p w14:paraId="241641B4" w14:textId="77777777" w:rsidR="00E05CFE" w:rsidRPr="004066EE" w:rsidRDefault="00E05CFE" w:rsidP="002C2D79">
      <w:pPr>
        <w:jc w:val="both"/>
        <w:rPr>
          <w:szCs w:val="22"/>
        </w:rPr>
      </w:pPr>
    </w:p>
    <w:p w14:paraId="04E3599B" w14:textId="77777777" w:rsidR="00E05CFE" w:rsidRPr="004066EE" w:rsidRDefault="00E05CFE" w:rsidP="002C2D79">
      <w:pPr>
        <w:jc w:val="both"/>
        <w:rPr>
          <w:i/>
          <w:iCs/>
          <w:szCs w:val="22"/>
          <w:u w:val="single"/>
        </w:rPr>
      </w:pPr>
      <w:r>
        <w:rPr>
          <w:i/>
          <w:iCs/>
          <w:szCs w:val="22"/>
          <w:u w:val="single"/>
        </w:rPr>
        <w:t>Lieky zvyšujúce hladiny draslíka v plazme:</w:t>
      </w:r>
    </w:p>
    <w:p w14:paraId="20F1402A" w14:textId="2CE8DAFA" w:rsidR="00E05CFE" w:rsidRPr="004066EE" w:rsidRDefault="00E05CFE" w:rsidP="002C2D79">
      <w:pPr>
        <w:pStyle w:val="Bezriadkovania"/>
        <w:jc w:val="both"/>
        <w:rPr>
          <w:szCs w:val="22"/>
        </w:rPr>
      </w:pPr>
      <w:r>
        <w:t xml:space="preserve">V prípade </w:t>
      </w:r>
      <w:r w:rsidR="007A2BD5">
        <w:t>NSAID</w:t>
      </w:r>
      <w:r>
        <w:t xml:space="preserve"> bolo hlásené zvýšenie hladín draslíka v sére. Preto je pri súbežnej liečbe inými liekmi, ktoré zvyšujú hladiny draslíka v plazme (ako sú diuretiká šetriace draslík, inhibítory ACE, </w:t>
      </w:r>
      <w:proofErr w:type="spellStart"/>
      <w:r>
        <w:t>antagonisty</w:t>
      </w:r>
      <w:proofErr w:type="spellEnd"/>
      <w:r>
        <w:t xml:space="preserve"> receptorov </w:t>
      </w:r>
      <w:proofErr w:type="spellStart"/>
      <w:r>
        <w:t>angiotenzínu</w:t>
      </w:r>
      <w:proofErr w:type="spellEnd"/>
      <w:r>
        <w:t xml:space="preserve"> II, </w:t>
      </w:r>
      <w:proofErr w:type="spellStart"/>
      <w:r>
        <w:t>imunosupresíva</w:t>
      </w:r>
      <w:proofErr w:type="spellEnd"/>
      <w:r>
        <w:t xml:space="preserve"> ako </w:t>
      </w:r>
      <w:proofErr w:type="spellStart"/>
      <w:r>
        <w:t>cyklosporín</w:t>
      </w:r>
      <w:proofErr w:type="spellEnd"/>
      <w:r>
        <w:t xml:space="preserve"> alebo </w:t>
      </w:r>
      <w:proofErr w:type="spellStart"/>
      <w:r>
        <w:t>takrolimus</w:t>
      </w:r>
      <w:proofErr w:type="spellEnd"/>
      <w:r>
        <w:t xml:space="preserve">, </w:t>
      </w:r>
      <w:proofErr w:type="spellStart"/>
      <w:r>
        <w:t>trimetoprim</w:t>
      </w:r>
      <w:proofErr w:type="spellEnd"/>
      <w:r>
        <w:t xml:space="preserve"> a </w:t>
      </w:r>
      <w:proofErr w:type="spellStart"/>
      <w:r>
        <w:t>heparíny</w:t>
      </w:r>
      <w:proofErr w:type="spellEnd"/>
      <w:r>
        <w:t>) potrebná opatrnosť a majú sa monitorovať hladiny draslíka v sére.</w:t>
      </w:r>
    </w:p>
    <w:p w14:paraId="62374F37" w14:textId="77777777" w:rsidR="00E05CFE" w:rsidRPr="004066EE" w:rsidRDefault="00E05CFE" w:rsidP="002C2D79">
      <w:pPr>
        <w:jc w:val="both"/>
        <w:rPr>
          <w:szCs w:val="22"/>
          <w:u w:val="single"/>
        </w:rPr>
      </w:pPr>
    </w:p>
    <w:p w14:paraId="7EE6E783" w14:textId="7C2586A1" w:rsidR="00E05CFE" w:rsidRPr="004066EE" w:rsidRDefault="00E05CFE" w:rsidP="002C2D79">
      <w:pPr>
        <w:jc w:val="both"/>
        <w:rPr>
          <w:szCs w:val="22"/>
        </w:rPr>
      </w:pPr>
      <w:proofErr w:type="spellStart"/>
      <w:r>
        <w:rPr>
          <w:i/>
          <w:szCs w:val="22"/>
          <w:u w:val="single"/>
        </w:rPr>
        <w:t>Trombolytiká</w:t>
      </w:r>
      <w:proofErr w:type="spellEnd"/>
      <w:r>
        <w:rPr>
          <w:i/>
          <w:szCs w:val="22"/>
          <w:u w:val="single"/>
        </w:rPr>
        <w:t xml:space="preserve">, </w:t>
      </w:r>
      <w:proofErr w:type="spellStart"/>
      <w:r>
        <w:rPr>
          <w:i/>
          <w:szCs w:val="22"/>
          <w:u w:val="single"/>
        </w:rPr>
        <w:t>tiklopidín</w:t>
      </w:r>
      <w:proofErr w:type="spellEnd"/>
      <w:r>
        <w:rPr>
          <w:i/>
          <w:szCs w:val="22"/>
          <w:u w:val="single"/>
        </w:rPr>
        <w:t xml:space="preserve"> a iné </w:t>
      </w:r>
      <w:proofErr w:type="spellStart"/>
      <w:r w:rsidR="005258CC">
        <w:rPr>
          <w:i/>
          <w:szCs w:val="22"/>
          <w:u w:val="single"/>
        </w:rPr>
        <w:t>antiagregačné</w:t>
      </w:r>
      <w:proofErr w:type="spellEnd"/>
      <w:r w:rsidR="005258CC">
        <w:rPr>
          <w:i/>
          <w:szCs w:val="22"/>
          <w:u w:val="single"/>
        </w:rPr>
        <w:t xml:space="preserve"> liečivá</w:t>
      </w:r>
      <w:r>
        <w:rPr>
          <w:i/>
          <w:szCs w:val="22"/>
          <w:u w:val="single"/>
        </w:rPr>
        <w:t>:</w:t>
      </w:r>
    </w:p>
    <w:p w14:paraId="7B4C9A6D" w14:textId="5D174B84" w:rsidR="00E05CFE" w:rsidRPr="004066EE" w:rsidRDefault="00E05CFE" w:rsidP="002C2D79">
      <w:pPr>
        <w:jc w:val="both"/>
        <w:rPr>
          <w:szCs w:val="22"/>
        </w:rPr>
      </w:pPr>
      <w:proofErr w:type="spellStart"/>
      <w:r>
        <w:lastRenderedPageBreak/>
        <w:t>Dexibuprofén</w:t>
      </w:r>
      <w:proofErr w:type="spellEnd"/>
      <w:r>
        <w:t xml:space="preserve"> </w:t>
      </w:r>
      <w:proofErr w:type="spellStart"/>
      <w:r>
        <w:t>inhibuje</w:t>
      </w:r>
      <w:proofErr w:type="spellEnd"/>
      <w:r>
        <w:t xml:space="preserve"> </w:t>
      </w:r>
      <w:proofErr w:type="spellStart"/>
      <w:r>
        <w:t>agregáciu</w:t>
      </w:r>
      <w:proofErr w:type="spellEnd"/>
      <w:r>
        <w:t xml:space="preserve"> krvných doštičiek prostredníctvom inhibície </w:t>
      </w:r>
      <w:proofErr w:type="spellStart"/>
      <w:r>
        <w:t>cyklooxygenázy</w:t>
      </w:r>
      <w:proofErr w:type="spellEnd"/>
      <w:r>
        <w:t xml:space="preserve"> v krvných doštičkách. Preto je pri kombinovaní </w:t>
      </w:r>
      <w:proofErr w:type="spellStart"/>
      <w:r>
        <w:t>dexibuprofénu</w:t>
      </w:r>
      <w:proofErr w:type="spellEnd"/>
      <w:r>
        <w:t xml:space="preserve"> s </w:t>
      </w:r>
      <w:proofErr w:type="spellStart"/>
      <w:r>
        <w:t>trombolytikami</w:t>
      </w:r>
      <w:proofErr w:type="spellEnd"/>
      <w:r>
        <w:t xml:space="preserve">, </w:t>
      </w:r>
      <w:proofErr w:type="spellStart"/>
      <w:r>
        <w:t>tiklopidínom</w:t>
      </w:r>
      <w:proofErr w:type="spellEnd"/>
      <w:r>
        <w:t xml:space="preserve"> a inými </w:t>
      </w:r>
      <w:proofErr w:type="spellStart"/>
      <w:r w:rsidR="005258CC">
        <w:t>antiagregačn</w:t>
      </w:r>
      <w:r>
        <w:t>ými</w:t>
      </w:r>
      <w:proofErr w:type="spellEnd"/>
      <w:r>
        <w:t xml:space="preserve"> l</w:t>
      </w:r>
      <w:r w:rsidR="005258CC">
        <w:t>iečiv</w:t>
      </w:r>
      <w:r>
        <w:t xml:space="preserve">ami potrebná opatrnosť, pretože existuje riziko zvýšeného </w:t>
      </w:r>
      <w:proofErr w:type="spellStart"/>
      <w:r w:rsidR="005258CC">
        <w:t>antiagregačn</w:t>
      </w:r>
      <w:r>
        <w:t>ého</w:t>
      </w:r>
      <w:proofErr w:type="spellEnd"/>
      <w:r>
        <w:t xml:space="preserve"> účinku.</w:t>
      </w:r>
    </w:p>
    <w:p w14:paraId="44CD41F5" w14:textId="77777777" w:rsidR="00E05CFE" w:rsidRPr="004066EE" w:rsidRDefault="00E05CFE" w:rsidP="002C2D79">
      <w:pPr>
        <w:jc w:val="both"/>
        <w:rPr>
          <w:szCs w:val="22"/>
          <w:u w:val="single"/>
        </w:rPr>
      </w:pPr>
    </w:p>
    <w:p w14:paraId="11681F4F" w14:textId="77777777" w:rsidR="00E05CFE" w:rsidRPr="004066EE" w:rsidRDefault="00E05CFE" w:rsidP="002C2D79">
      <w:pPr>
        <w:jc w:val="both"/>
        <w:rPr>
          <w:i/>
          <w:szCs w:val="22"/>
          <w:u w:val="single"/>
        </w:rPr>
      </w:pPr>
      <w:r>
        <w:rPr>
          <w:i/>
          <w:szCs w:val="22"/>
          <w:u w:val="single"/>
        </w:rPr>
        <w:t xml:space="preserve">Perorálne </w:t>
      </w:r>
      <w:proofErr w:type="spellStart"/>
      <w:r>
        <w:rPr>
          <w:i/>
          <w:szCs w:val="22"/>
          <w:u w:val="single"/>
        </w:rPr>
        <w:t>antidiabetiká</w:t>
      </w:r>
      <w:proofErr w:type="spellEnd"/>
      <w:r>
        <w:rPr>
          <w:i/>
          <w:szCs w:val="22"/>
          <w:u w:val="single"/>
        </w:rPr>
        <w:t>:</w:t>
      </w:r>
    </w:p>
    <w:p w14:paraId="6285E23A" w14:textId="61B8FA1E" w:rsidR="00E05CFE" w:rsidRPr="004066EE" w:rsidRDefault="00E05CFE" w:rsidP="002C2D79">
      <w:pPr>
        <w:jc w:val="both"/>
        <w:rPr>
          <w:szCs w:val="22"/>
        </w:rPr>
      </w:pPr>
      <w:r>
        <w:t xml:space="preserve">Súbežné používanie </w:t>
      </w:r>
      <w:r w:rsidR="007A2BD5">
        <w:t>NSAID</w:t>
      </w:r>
      <w:r>
        <w:t xml:space="preserve"> a </w:t>
      </w:r>
      <w:proofErr w:type="spellStart"/>
      <w:r>
        <w:t>sulfonylmočoviny</w:t>
      </w:r>
      <w:proofErr w:type="spellEnd"/>
      <w:r>
        <w:t xml:space="preserve"> môže spôsobovať fluktuácie hladiny glykémie. Preto sa môže vyžadovať vhodné monitorovanie.</w:t>
      </w:r>
    </w:p>
    <w:p w14:paraId="4544C4AE" w14:textId="77777777" w:rsidR="00E05CFE" w:rsidRPr="004066EE" w:rsidRDefault="00E05CFE" w:rsidP="002C2D79">
      <w:pPr>
        <w:jc w:val="both"/>
        <w:rPr>
          <w:szCs w:val="22"/>
        </w:rPr>
      </w:pPr>
    </w:p>
    <w:p w14:paraId="7A3A197B" w14:textId="77777777" w:rsidR="00E05CFE" w:rsidRPr="004066EE" w:rsidRDefault="00E05CFE" w:rsidP="002C2D79">
      <w:pPr>
        <w:jc w:val="both"/>
        <w:rPr>
          <w:i/>
          <w:szCs w:val="22"/>
          <w:u w:val="single"/>
        </w:rPr>
      </w:pPr>
      <w:proofErr w:type="spellStart"/>
      <w:r>
        <w:rPr>
          <w:i/>
          <w:szCs w:val="22"/>
          <w:u w:val="single"/>
        </w:rPr>
        <w:t>Zidovudín</w:t>
      </w:r>
      <w:proofErr w:type="spellEnd"/>
      <w:r>
        <w:rPr>
          <w:i/>
          <w:szCs w:val="22"/>
          <w:u w:val="single"/>
        </w:rPr>
        <w:t xml:space="preserve"> (</w:t>
      </w:r>
      <w:proofErr w:type="spellStart"/>
      <w:r>
        <w:rPr>
          <w:i/>
          <w:szCs w:val="22"/>
          <w:u w:val="single"/>
        </w:rPr>
        <w:t>azidotymidín</w:t>
      </w:r>
      <w:proofErr w:type="spellEnd"/>
      <w:r>
        <w:rPr>
          <w:i/>
          <w:szCs w:val="22"/>
          <w:u w:val="single"/>
        </w:rPr>
        <w:t>):</w:t>
      </w:r>
    </w:p>
    <w:p w14:paraId="21F06E75" w14:textId="106031B6" w:rsidR="00E05CFE" w:rsidRPr="004066EE" w:rsidRDefault="00E05CFE" w:rsidP="002C2D79">
      <w:pPr>
        <w:jc w:val="both"/>
        <w:rPr>
          <w:szCs w:val="22"/>
        </w:rPr>
      </w:pPr>
      <w:r>
        <w:t xml:space="preserve">Bolo hlásené, že súbežné používanie </w:t>
      </w:r>
      <w:r w:rsidR="007A2BD5">
        <w:t>NSAID</w:t>
      </w:r>
      <w:r>
        <w:t xml:space="preserve"> a </w:t>
      </w:r>
      <w:proofErr w:type="spellStart"/>
      <w:r>
        <w:t>zidovudínu</w:t>
      </w:r>
      <w:proofErr w:type="spellEnd"/>
      <w:r>
        <w:t xml:space="preserve"> zvyšuje riziko </w:t>
      </w:r>
      <w:proofErr w:type="spellStart"/>
      <w:r>
        <w:t>hemartrózy</w:t>
      </w:r>
      <w:proofErr w:type="spellEnd"/>
      <w:r>
        <w:t xml:space="preserve"> a hematómu u pacientov s hemofíliou.</w:t>
      </w:r>
    </w:p>
    <w:p w14:paraId="1FCA5233" w14:textId="77777777" w:rsidR="00E05CFE" w:rsidRPr="004066EE" w:rsidRDefault="00E05CFE" w:rsidP="002C2D79">
      <w:pPr>
        <w:jc w:val="both"/>
        <w:rPr>
          <w:szCs w:val="22"/>
        </w:rPr>
      </w:pPr>
    </w:p>
    <w:p w14:paraId="2FC0443F" w14:textId="77777777" w:rsidR="00E05CFE" w:rsidRPr="004066EE" w:rsidRDefault="00E05CFE" w:rsidP="002C2D79">
      <w:pPr>
        <w:jc w:val="both"/>
        <w:rPr>
          <w:i/>
          <w:szCs w:val="22"/>
          <w:u w:val="single"/>
        </w:rPr>
      </w:pPr>
      <w:proofErr w:type="spellStart"/>
      <w:r>
        <w:rPr>
          <w:i/>
          <w:szCs w:val="22"/>
          <w:u w:val="single"/>
        </w:rPr>
        <w:t>Pemetrexed</w:t>
      </w:r>
      <w:proofErr w:type="spellEnd"/>
      <w:r>
        <w:rPr>
          <w:i/>
          <w:szCs w:val="22"/>
          <w:u w:val="single"/>
        </w:rPr>
        <w:t>:</w:t>
      </w:r>
    </w:p>
    <w:p w14:paraId="7E06F6EE" w14:textId="11F1DC27" w:rsidR="00E05CFE" w:rsidRPr="004066EE" w:rsidRDefault="00E05CFE" w:rsidP="002C2D79">
      <w:pPr>
        <w:jc w:val="both"/>
        <w:rPr>
          <w:szCs w:val="22"/>
        </w:rPr>
      </w:pPr>
      <w:r>
        <w:t xml:space="preserve">Vysoké dávky </w:t>
      </w:r>
      <w:r w:rsidR="007A2BD5">
        <w:t>NSAID</w:t>
      </w:r>
      <w:r>
        <w:t xml:space="preserve"> môžu zvyšovať koncentráciu </w:t>
      </w:r>
      <w:proofErr w:type="spellStart"/>
      <w:r>
        <w:t>pemetrexedu</w:t>
      </w:r>
      <w:proofErr w:type="spellEnd"/>
      <w:r>
        <w:t xml:space="preserve">. U pacientov so zhoršenou funkciou obličiek sa má vyhýbať súbežnému používaniu </w:t>
      </w:r>
      <w:r w:rsidR="007A2BD5">
        <w:t>NSAID</w:t>
      </w:r>
      <w:r>
        <w:t xml:space="preserve"> vo vysokých dávkach dva dni pred a dva dni po podaní </w:t>
      </w:r>
      <w:proofErr w:type="spellStart"/>
      <w:r>
        <w:t>pemetrexedu</w:t>
      </w:r>
      <w:proofErr w:type="spellEnd"/>
      <w:r>
        <w:t xml:space="preserve">. </w:t>
      </w:r>
    </w:p>
    <w:p w14:paraId="303F6003" w14:textId="77777777" w:rsidR="00A159ED" w:rsidRPr="004066EE" w:rsidRDefault="00A159ED" w:rsidP="002C2D79">
      <w:pPr>
        <w:jc w:val="both"/>
        <w:rPr>
          <w:szCs w:val="22"/>
        </w:rPr>
      </w:pPr>
    </w:p>
    <w:p w14:paraId="558CDA6F" w14:textId="77777777" w:rsidR="00E05CFE" w:rsidRPr="004066EE" w:rsidRDefault="00E05CFE" w:rsidP="002C2D79">
      <w:pPr>
        <w:jc w:val="both"/>
        <w:rPr>
          <w:i/>
          <w:szCs w:val="22"/>
          <w:u w:val="single"/>
        </w:rPr>
      </w:pPr>
      <w:r>
        <w:rPr>
          <w:i/>
          <w:szCs w:val="22"/>
          <w:u w:val="single"/>
        </w:rPr>
        <w:t>Alkohol:</w:t>
      </w:r>
    </w:p>
    <w:p w14:paraId="17A4AFF7" w14:textId="06977B52" w:rsidR="00E05CFE" w:rsidRPr="004066EE" w:rsidRDefault="00E05CFE" w:rsidP="002C2D79">
      <w:pPr>
        <w:jc w:val="both"/>
        <w:rPr>
          <w:szCs w:val="22"/>
        </w:rPr>
      </w:pPr>
      <w:r>
        <w:t xml:space="preserve">Nadmerná konzumácia alkoholu počas liečby </w:t>
      </w:r>
      <w:r w:rsidR="007A2BD5">
        <w:t>NSAID</w:t>
      </w:r>
      <w:r>
        <w:t xml:space="preserve"> môže zvyšovať gastrointestinálne nežiaduce účinky.</w:t>
      </w:r>
    </w:p>
    <w:p w14:paraId="46F452C2" w14:textId="77777777" w:rsidR="00812D16" w:rsidRPr="004066EE" w:rsidRDefault="00812D16" w:rsidP="002C2D79">
      <w:pPr>
        <w:spacing w:line="240" w:lineRule="auto"/>
        <w:jc w:val="both"/>
        <w:rPr>
          <w:szCs w:val="22"/>
        </w:rPr>
      </w:pPr>
    </w:p>
    <w:p w14:paraId="2617C288" w14:textId="77777777" w:rsidR="00812D16" w:rsidRPr="004066EE" w:rsidRDefault="00812D16" w:rsidP="002C2D79">
      <w:pPr>
        <w:spacing w:line="240" w:lineRule="auto"/>
        <w:ind w:left="567" w:hanging="567"/>
        <w:jc w:val="both"/>
        <w:outlineLvl w:val="0"/>
        <w:rPr>
          <w:noProof/>
          <w:szCs w:val="22"/>
        </w:rPr>
      </w:pPr>
      <w:r>
        <w:rPr>
          <w:b/>
          <w:szCs w:val="22"/>
        </w:rPr>
        <w:t>4.6</w:t>
      </w:r>
      <w:r>
        <w:rPr>
          <w:b/>
          <w:szCs w:val="22"/>
        </w:rPr>
        <w:tab/>
      </w:r>
      <w:proofErr w:type="spellStart"/>
      <w:r>
        <w:rPr>
          <w:b/>
          <w:bCs/>
          <w:szCs w:val="22"/>
        </w:rPr>
        <w:t>Fertilita</w:t>
      </w:r>
      <w:proofErr w:type="spellEnd"/>
      <w:r>
        <w:rPr>
          <w:b/>
          <w:bCs/>
          <w:szCs w:val="22"/>
        </w:rPr>
        <w:t xml:space="preserve">, </w:t>
      </w:r>
      <w:r>
        <w:rPr>
          <w:b/>
          <w:szCs w:val="22"/>
        </w:rPr>
        <w:t>gravidita a laktácia</w:t>
      </w:r>
    </w:p>
    <w:p w14:paraId="788E9E04" w14:textId="77777777" w:rsidR="00812D16" w:rsidRPr="004066EE" w:rsidRDefault="00812D16" w:rsidP="002C2D79">
      <w:pPr>
        <w:spacing w:line="240" w:lineRule="auto"/>
        <w:jc w:val="both"/>
        <w:rPr>
          <w:noProof/>
          <w:szCs w:val="22"/>
        </w:rPr>
      </w:pPr>
    </w:p>
    <w:p w14:paraId="45DD82F4" w14:textId="77777777" w:rsidR="001D7A88" w:rsidRPr="004066EE" w:rsidRDefault="001D7A88" w:rsidP="002C2D79">
      <w:pPr>
        <w:spacing w:line="240" w:lineRule="auto"/>
        <w:jc w:val="both"/>
        <w:rPr>
          <w:i/>
          <w:noProof/>
          <w:szCs w:val="22"/>
          <w:u w:val="single"/>
        </w:rPr>
      </w:pPr>
      <w:r>
        <w:rPr>
          <w:i/>
          <w:szCs w:val="22"/>
          <w:u w:val="single"/>
        </w:rPr>
        <w:t>Gravidita:</w:t>
      </w:r>
    </w:p>
    <w:p w14:paraId="5DF5B077" w14:textId="77777777" w:rsidR="001D7A88" w:rsidRPr="004066EE" w:rsidRDefault="001D7A88" w:rsidP="002C2D79">
      <w:pPr>
        <w:spacing w:line="240" w:lineRule="auto"/>
        <w:jc w:val="both"/>
        <w:rPr>
          <w:noProof/>
          <w:szCs w:val="22"/>
        </w:rPr>
      </w:pPr>
      <w:r>
        <w:t xml:space="preserve">Inhibícia syntézy </w:t>
      </w:r>
      <w:proofErr w:type="spellStart"/>
      <w:r>
        <w:t>prostaglandínov</w:t>
      </w:r>
      <w:proofErr w:type="spellEnd"/>
      <w:r>
        <w:t xml:space="preserve"> môže mať nepriaznivý vplyv na priebeh tehotenstva a/alebo </w:t>
      </w:r>
      <w:proofErr w:type="spellStart"/>
      <w:r>
        <w:t>embryofetálny</w:t>
      </w:r>
      <w:proofErr w:type="spellEnd"/>
      <w:r>
        <w:t xml:space="preserve"> vývin. </w:t>
      </w:r>
    </w:p>
    <w:p w14:paraId="357FBFAA" w14:textId="77777777" w:rsidR="001D7A88" w:rsidRPr="004066EE" w:rsidRDefault="001D7A88" w:rsidP="002C2D79">
      <w:pPr>
        <w:spacing w:line="240" w:lineRule="auto"/>
        <w:jc w:val="both"/>
        <w:rPr>
          <w:noProof/>
          <w:szCs w:val="22"/>
        </w:rPr>
      </w:pPr>
      <w:r>
        <w:t xml:space="preserve">Údaje z epidemiologických štúdií poukazujú na zvýšené riziko potratu, srdcových </w:t>
      </w:r>
      <w:proofErr w:type="spellStart"/>
      <w:r>
        <w:t>malformácií</w:t>
      </w:r>
      <w:proofErr w:type="spellEnd"/>
      <w:r>
        <w:t xml:space="preserve"> a </w:t>
      </w:r>
      <w:proofErr w:type="spellStart"/>
      <w:r>
        <w:t>gastroschízy</w:t>
      </w:r>
      <w:proofErr w:type="spellEnd"/>
      <w:r>
        <w:t xml:space="preserve"> po použití inhibítora syntézy </w:t>
      </w:r>
      <w:proofErr w:type="spellStart"/>
      <w:r>
        <w:t>prostaglandínov</w:t>
      </w:r>
      <w:proofErr w:type="spellEnd"/>
      <w:r>
        <w:t xml:space="preserve"> v skorých fázach tehotenstva. Absolútne riziko kardiovaskulárnych </w:t>
      </w:r>
      <w:proofErr w:type="spellStart"/>
      <w:r>
        <w:t>malformácií</w:t>
      </w:r>
      <w:proofErr w:type="spellEnd"/>
      <w:r>
        <w:t xml:space="preserve"> sa zvýšilo z menej než 1 % až na približne 1,5 %. Predpokladá sa, že riziko sa zvyšuje s dávkou a dĺžkou liečby. </w:t>
      </w:r>
    </w:p>
    <w:p w14:paraId="00E8AEF5" w14:textId="77777777" w:rsidR="001D7A88" w:rsidRPr="004066EE" w:rsidRDefault="001D7A88" w:rsidP="002C2D79">
      <w:pPr>
        <w:spacing w:line="240" w:lineRule="auto"/>
        <w:jc w:val="both"/>
        <w:rPr>
          <w:noProof/>
          <w:szCs w:val="22"/>
        </w:rPr>
      </w:pPr>
    </w:p>
    <w:p w14:paraId="798CAA71" w14:textId="7F7C31A1" w:rsidR="001D7A88" w:rsidRPr="004066EE" w:rsidRDefault="001D7A88" w:rsidP="002C2D79">
      <w:pPr>
        <w:spacing w:line="240" w:lineRule="auto"/>
        <w:jc w:val="both"/>
        <w:rPr>
          <w:noProof/>
          <w:szCs w:val="22"/>
        </w:rPr>
      </w:pPr>
      <w:r>
        <w:t xml:space="preserve">U zvierat sa preukázalo, že podávanie inhibítorov syntézy </w:t>
      </w:r>
      <w:proofErr w:type="spellStart"/>
      <w:r>
        <w:t>prostaglandínov</w:t>
      </w:r>
      <w:proofErr w:type="spellEnd"/>
      <w:r>
        <w:t xml:space="preserve"> vedie k zvýšeným </w:t>
      </w:r>
      <w:proofErr w:type="spellStart"/>
      <w:r>
        <w:t>predimplantačným</w:t>
      </w:r>
      <w:proofErr w:type="spellEnd"/>
      <w:r>
        <w:t xml:space="preserve"> a </w:t>
      </w:r>
      <w:proofErr w:type="spellStart"/>
      <w:r>
        <w:t>po</w:t>
      </w:r>
      <w:r w:rsidR="00B659A7">
        <w:t>st</w:t>
      </w:r>
      <w:r>
        <w:t>implantačným</w:t>
      </w:r>
      <w:proofErr w:type="spellEnd"/>
      <w:r>
        <w:t xml:space="preserve"> potratom a </w:t>
      </w:r>
      <w:proofErr w:type="spellStart"/>
      <w:r>
        <w:t>embryofetálnej</w:t>
      </w:r>
      <w:proofErr w:type="spellEnd"/>
      <w:r>
        <w:t xml:space="preserve"> letalite. U zvierat, ktorým bol počas organogenézy podávaný nejaký inhibítor syntézy </w:t>
      </w:r>
      <w:proofErr w:type="spellStart"/>
      <w:r>
        <w:t>prostaglandínov</w:t>
      </w:r>
      <w:proofErr w:type="spellEnd"/>
      <w:r>
        <w:t xml:space="preserve">, bol navyše hlásený zvýšený výskyt rôznych </w:t>
      </w:r>
      <w:proofErr w:type="spellStart"/>
      <w:r>
        <w:t>malformácií</w:t>
      </w:r>
      <w:proofErr w:type="spellEnd"/>
      <w:r>
        <w:t xml:space="preserve"> vrátane kardiovaskulárnych (pozri časť 5.3).</w:t>
      </w:r>
    </w:p>
    <w:p w14:paraId="2473AF29" w14:textId="4735D3E8" w:rsidR="001D7A88" w:rsidRPr="004066EE" w:rsidRDefault="001D7A88" w:rsidP="002C2D79">
      <w:pPr>
        <w:spacing w:line="240" w:lineRule="auto"/>
        <w:jc w:val="both"/>
        <w:rPr>
          <w:noProof/>
          <w:szCs w:val="22"/>
        </w:rPr>
      </w:pPr>
      <w:r>
        <w:t xml:space="preserve">Počas prvého a druhého trimestra gravidity sa </w:t>
      </w:r>
      <w:r w:rsidR="007A2BD5">
        <w:t>NSAID</w:t>
      </w:r>
      <w:r>
        <w:t xml:space="preserve"> nemajú podávať, pokiaľ to nie je jednoznačne nevyhnutné. Ak sa </w:t>
      </w:r>
      <w:r w:rsidR="007A2BD5">
        <w:t>NSAID</w:t>
      </w:r>
      <w:r>
        <w:t xml:space="preserve"> používajú počas prvého a druhého trimestra gravidity, má sa udržiavať čo najnižšia dávka a čo najkratšie trvanie liečby.</w:t>
      </w:r>
    </w:p>
    <w:p w14:paraId="05136B86" w14:textId="77777777" w:rsidR="001D7A88" w:rsidRPr="004066EE" w:rsidRDefault="001D7A88" w:rsidP="002C2D79">
      <w:pPr>
        <w:spacing w:line="240" w:lineRule="auto"/>
        <w:jc w:val="both"/>
        <w:rPr>
          <w:noProof/>
          <w:szCs w:val="22"/>
        </w:rPr>
      </w:pPr>
    </w:p>
    <w:p w14:paraId="7BC6D13E" w14:textId="75066C78" w:rsidR="001D7A88" w:rsidRPr="004066EE" w:rsidRDefault="001D7A88" w:rsidP="002C2D79">
      <w:pPr>
        <w:spacing w:line="240" w:lineRule="auto"/>
        <w:jc w:val="both"/>
        <w:rPr>
          <w:noProof/>
          <w:szCs w:val="22"/>
        </w:rPr>
      </w:pPr>
      <w:r>
        <w:t xml:space="preserve">Počas tretieho trimestra gravidity môžu všetky inhibítory syntézy </w:t>
      </w:r>
      <w:proofErr w:type="spellStart"/>
      <w:r>
        <w:t>prostaglandínov</w:t>
      </w:r>
      <w:proofErr w:type="spellEnd"/>
      <w:r>
        <w:t xml:space="preserve"> vystaviť plod: </w:t>
      </w:r>
    </w:p>
    <w:p w14:paraId="15562CDD" w14:textId="4A0E33BD" w:rsidR="001D7A88" w:rsidRPr="004066EE" w:rsidRDefault="001D7A88" w:rsidP="002C2D79">
      <w:pPr>
        <w:pStyle w:val="Odsekzoznamu"/>
        <w:numPr>
          <w:ilvl w:val="0"/>
          <w:numId w:val="27"/>
        </w:numPr>
        <w:tabs>
          <w:tab w:val="clear" w:pos="567"/>
        </w:tabs>
        <w:spacing w:line="240" w:lineRule="auto"/>
        <w:ind w:left="567"/>
        <w:jc w:val="both"/>
        <w:rPr>
          <w:noProof/>
          <w:szCs w:val="22"/>
        </w:rPr>
      </w:pPr>
      <w:proofErr w:type="spellStart"/>
      <w:r>
        <w:t>kardiopulmonálnej</w:t>
      </w:r>
      <w:proofErr w:type="spellEnd"/>
      <w:r>
        <w:t xml:space="preserve"> toxicite (predčasné uzatvorenie </w:t>
      </w:r>
      <w:proofErr w:type="spellStart"/>
      <w:r>
        <w:t>ductus</w:t>
      </w:r>
      <w:proofErr w:type="spellEnd"/>
      <w:r>
        <w:t xml:space="preserve"> </w:t>
      </w:r>
      <w:proofErr w:type="spellStart"/>
      <w:r>
        <w:t>arteriosus</w:t>
      </w:r>
      <w:proofErr w:type="spellEnd"/>
      <w:r>
        <w:t xml:space="preserve"> a pľúcna hypertenzia),</w:t>
      </w:r>
    </w:p>
    <w:p w14:paraId="2603DF25" w14:textId="770F584D" w:rsidR="001D7A88" w:rsidRPr="004066EE" w:rsidRDefault="00BE45A6" w:rsidP="002C2D79">
      <w:pPr>
        <w:pStyle w:val="Odsekzoznamu"/>
        <w:numPr>
          <w:ilvl w:val="0"/>
          <w:numId w:val="27"/>
        </w:numPr>
        <w:tabs>
          <w:tab w:val="clear" w:pos="567"/>
        </w:tabs>
        <w:spacing w:line="240" w:lineRule="auto"/>
        <w:ind w:left="567"/>
        <w:jc w:val="both"/>
        <w:rPr>
          <w:noProof/>
          <w:szCs w:val="22"/>
        </w:rPr>
      </w:pPr>
      <w:r>
        <w:t>poruche funkcie</w:t>
      </w:r>
      <w:r w:rsidR="001D7A88">
        <w:t xml:space="preserve"> obličiek, ktorá môže viesť k zlyhaniu obličiek s </w:t>
      </w:r>
      <w:proofErr w:type="spellStart"/>
      <w:r w:rsidR="001D7A88">
        <w:t>oligohydroamniózou</w:t>
      </w:r>
      <w:proofErr w:type="spellEnd"/>
      <w:r w:rsidR="001D7A88">
        <w:t xml:space="preserve"> a môže matku a novorodenca na konci tehotenstva vystaviť: </w:t>
      </w:r>
    </w:p>
    <w:p w14:paraId="7D946581" w14:textId="6EFC3E88" w:rsidR="001D7A88" w:rsidRPr="004066EE" w:rsidRDefault="001D7A88" w:rsidP="002C2D79">
      <w:pPr>
        <w:pStyle w:val="Odsekzoznamu"/>
        <w:numPr>
          <w:ilvl w:val="0"/>
          <w:numId w:val="27"/>
        </w:numPr>
        <w:tabs>
          <w:tab w:val="clear" w:pos="567"/>
        </w:tabs>
        <w:spacing w:line="240" w:lineRule="auto"/>
        <w:ind w:left="567"/>
        <w:jc w:val="both"/>
        <w:rPr>
          <w:noProof/>
          <w:szCs w:val="22"/>
        </w:rPr>
      </w:pPr>
      <w:r>
        <w:t xml:space="preserve">možnému predĺženiu </w:t>
      </w:r>
      <w:r w:rsidR="00BE45A6">
        <w:t>času</w:t>
      </w:r>
      <w:r>
        <w:t xml:space="preserve"> krvácania, </w:t>
      </w:r>
      <w:proofErr w:type="spellStart"/>
      <w:r>
        <w:t>antiagregačnému</w:t>
      </w:r>
      <w:proofErr w:type="spellEnd"/>
      <w:r>
        <w:t xml:space="preserve"> účinku, ktorý sa môže vyskytnúť aj pri veľmi nízkych dávkach,</w:t>
      </w:r>
    </w:p>
    <w:p w14:paraId="4107089D" w14:textId="66CBE831" w:rsidR="001D7A88" w:rsidRPr="004066EE" w:rsidRDefault="001D7A88" w:rsidP="002C2D79">
      <w:pPr>
        <w:pStyle w:val="Odsekzoznamu"/>
        <w:numPr>
          <w:ilvl w:val="0"/>
          <w:numId w:val="27"/>
        </w:numPr>
        <w:tabs>
          <w:tab w:val="clear" w:pos="567"/>
        </w:tabs>
        <w:spacing w:line="240" w:lineRule="auto"/>
        <w:ind w:left="567"/>
        <w:jc w:val="both"/>
        <w:rPr>
          <w:noProof/>
          <w:szCs w:val="22"/>
        </w:rPr>
      </w:pPr>
      <w:r>
        <w:t xml:space="preserve">inhibícii maternicových sťahov s následným oneskoreným alebo predĺženým pôrodom. </w:t>
      </w:r>
    </w:p>
    <w:p w14:paraId="28137B51" w14:textId="77777777" w:rsidR="0021295D" w:rsidRDefault="0021295D" w:rsidP="002C2D79">
      <w:pPr>
        <w:spacing w:line="240" w:lineRule="auto"/>
        <w:jc w:val="both"/>
        <w:rPr>
          <w:szCs w:val="22"/>
          <w:u w:val="double"/>
        </w:rPr>
      </w:pPr>
    </w:p>
    <w:p w14:paraId="45E24787" w14:textId="0E6EA526" w:rsidR="001D7A88" w:rsidRPr="0021295D" w:rsidRDefault="001C2A0F" w:rsidP="002C2D79">
      <w:pPr>
        <w:spacing w:line="240" w:lineRule="auto"/>
        <w:jc w:val="both"/>
        <w:rPr>
          <w:noProof/>
          <w:szCs w:val="22"/>
        </w:rPr>
      </w:pPr>
      <w:r>
        <w:t xml:space="preserve">V dôsledku toho je použitie </w:t>
      </w:r>
      <w:proofErr w:type="spellStart"/>
      <w:r>
        <w:t>dexibuprofénu</w:t>
      </w:r>
      <w:proofErr w:type="spellEnd"/>
      <w:r>
        <w:t xml:space="preserve"> počas tretieho </w:t>
      </w:r>
      <w:proofErr w:type="spellStart"/>
      <w:r>
        <w:t>trimestra</w:t>
      </w:r>
      <w:proofErr w:type="spellEnd"/>
      <w:r>
        <w:t xml:space="preserve"> gravidity kontraindikované (pozri časť 4.3).</w:t>
      </w:r>
    </w:p>
    <w:p w14:paraId="14DECD61" w14:textId="77777777" w:rsidR="001D7A88" w:rsidRPr="004066EE" w:rsidRDefault="001D7A88" w:rsidP="002C2D79">
      <w:pPr>
        <w:spacing w:line="240" w:lineRule="auto"/>
        <w:jc w:val="both"/>
        <w:rPr>
          <w:noProof/>
          <w:szCs w:val="22"/>
        </w:rPr>
      </w:pPr>
    </w:p>
    <w:p w14:paraId="4279B2B8" w14:textId="28B2849F" w:rsidR="001D7A88" w:rsidRPr="00A23C81" w:rsidRDefault="00D13D9A" w:rsidP="002C2D79">
      <w:pPr>
        <w:spacing w:line="240" w:lineRule="auto"/>
        <w:jc w:val="both"/>
        <w:rPr>
          <w:i/>
          <w:noProof/>
          <w:szCs w:val="22"/>
          <w:u w:val="single"/>
        </w:rPr>
      </w:pPr>
      <w:r w:rsidRPr="00A23C81">
        <w:rPr>
          <w:i/>
          <w:szCs w:val="22"/>
          <w:u w:val="single"/>
        </w:rPr>
        <w:t>Dojčenie:</w:t>
      </w:r>
    </w:p>
    <w:p w14:paraId="51CA0453" w14:textId="05F3D1AC" w:rsidR="001D7A88" w:rsidRPr="004066EE" w:rsidRDefault="001D7A88" w:rsidP="002C2D79">
      <w:pPr>
        <w:spacing w:line="240" w:lineRule="auto"/>
        <w:jc w:val="both"/>
        <w:rPr>
          <w:noProof/>
          <w:szCs w:val="22"/>
        </w:rPr>
      </w:pPr>
      <w:proofErr w:type="spellStart"/>
      <w:r>
        <w:t>Ibuprofén</w:t>
      </w:r>
      <w:proofErr w:type="spellEnd"/>
      <w:r>
        <w:t xml:space="preserve"> sa mierne vylučuje do materského mlieka. Dojčenie pri liečbe </w:t>
      </w:r>
      <w:proofErr w:type="spellStart"/>
      <w:r>
        <w:t>dexibuprofénom</w:t>
      </w:r>
      <w:proofErr w:type="spellEnd"/>
      <w:r>
        <w:t xml:space="preserve"> je možné, ak je jeho dávka nízka a </w:t>
      </w:r>
      <w:r w:rsidR="00BE45A6">
        <w:t>trvanie</w:t>
      </w:r>
      <w:r>
        <w:t xml:space="preserve"> liečby je krátk</w:t>
      </w:r>
      <w:r w:rsidR="00BE45A6">
        <w:t>e</w:t>
      </w:r>
      <w:r>
        <w:t>.</w:t>
      </w:r>
    </w:p>
    <w:p w14:paraId="4E14C8EE" w14:textId="77777777" w:rsidR="001D7A88" w:rsidRPr="004066EE" w:rsidRDefault="001D7A88" w:rsidP="002C2D79">
      <w:pPr>
        <w:spacing w:line="240" w:lineRule="auto"/>
        <w:jc w:val="both"/>
        <w:rPr>
          <w:noProof/>
          <w:szCs w:val="22"/>
        </w:rPr>
      </w:pPr>
    </w:p>
    <w:p w14:paraId="0E6D3811" w14:textId="77777777" w:rsidR="001D7A88" w:rsidRPr="004066EE" w:rsidRDefault="001D7A88" w:rsidP="002C2D79">
      <w:pPr>
        <w:spacing w:line="240" w:lineRule="auto"/>
        <w:jc w:val="both"/>
        <w:rPr>
          <w:i/>
          <w:noProof/>
          <w:szCs w:val="22"/>
          <w:u w:val="single"/>
        </w:rPr>
      </w:pPr>
      <w:r>
        <w:rPr>
          <w:i/>
          <w:szCs w:val="22"/>
          <w:u w:val="single"/>
        </w:rPr>
        <w:t>Plodnosť:</w:t>
      </w:r>
    </w:p>
    <w:p w14:paraId="205DD3BF" w14:textId="5EF49D69" w:rsidR="00812D16" w:rsidRDefault="00D13D9A" w:rsidP="002C2D79">
      <w:pPr>
        <w:spacing w:line="240" w:lineRule="auto"/>
        <w:jc w:val="both"/>
        <w:rPr>
          <w:noProof/>
          <w:szCs w:val="22"/>
        </w:rPr>
      </w:pPr>
      <w:r>
        <w:lastRenderedPageBreak/>
        <w:t xml:space="preserve">Používanie </w:t>
      </w:r>
      <w:proofErr w:type="spellStart"/>
      <w:r>
        <w:t>dexibuprofénu</w:t>
      </w:r>
      <w:proofErr w:type="spellEnd"/>
      <w:r>
        <w:t xml:space="preserve"> môže zhoršiť plodnosť žien a neodporúča sa ženám, ktoré sa snažia otehotnieť. U žien, ktoré majú problémy otehotnieť alebo ktoré podstupujú vyšetrovanie neplodnosti, sa má zvážiť vysadenie </w:t>
      </w:r>
      <w:proofErr w:type="spellStart"/>
      <w:r>
        <w:t>dexibuprofénu</w:t>
      </w:r>
      <w:proofErr w:type="spellEnd"/>
      <w:r>
        <w:t xml:space="preserve">. </w:t>
      </w:r>
    </w:p>
    <w:p w14:paraId="45C26AA9" w14:textId="77777777" w:rsidR="0021295D" w:rsidRPr="004066EE" w:rsidRDefault="0021295D" w:rsidP="002C2D79">
      <w:pPr>
        <w:spacing w:line="240" w:lineRule="auto"/>
        <w:jc w:val="both"/>
        <w:rPr>
          <w:i/>
          <w:noProof/>
          <w:szCs w:val="22"/>
        </w:rPr>
      </w:pPr>
    </w:p>
    <w:p w14:paraId="4A90FF55" w14:textId="77777777" w:rsidR="00812D16" w:rsidRPr="004066EE" w:rsidRDefault="00812D16" w:rsidP="002C2D79">
      <w:pPr>
        <w:spacing w:line="240" w:lineRule="auto"/>
        <w:ind w:left="567" w:hanging="567"/>
        <w:jc w:val="both"/>
        <w:outlineLvl w:val="0"/>
        <w:rPr>
          <w:noProof/>
          <w:szCs w:val="22"/>
        </w:rPr>
      </w:pPr>
      <w:r>
        <w:rPr>
          <w:b/>
          <w:szCs w:val="22"/>
        </w:rPr>
        <w:t>4.7</w:t>
      </w:r>
      <w:r>
        <w:rPr>
          <w:b/>
          <w:szCs w:val="22"/>
        </w:rPr>
        <w:tab/>
        <w:t>Ovplyvnenie schopnosti viesť vozidlá a obsluhovať stroje</w:t>
      </w:r>
    </w:p>
    <w:p w14:paraId="37A03B84" w14:textId="77777777" w:rsidR="00812D16" w:rsidRPr="004066EE" w:rsidRDefault="00812D16" w:rsidP="002C2D79">
      <w:pPr>
        <w:spacing w:line="240" w:lineRule="auto"/>
        <w:jc w:val="both"/>
        <w:rPr>
          <w:noProof/>
          <w:szCs w:val="22"/>
        </w:rPr>
      </w:pPr>
    </w:p>
    <w:p w14:paraId="524DC49A" w14:textId="22BB66D4" w:rsidR="00915FFC" w:rsidRPr="004066EE" w:rsidRDefault="00915FFC" w:rsidP="002C2D79">
      <w:pPr>
        <w:jc w:val="both"/>
        <w:rPr>
          <w:noProof/>
          <w:szCs w:val="22"/>
        </w:rPr>
      </w:pPr>
      <w:r>
        <w:t xml:space="preserve">Počas liečby </w:t>
      </w:r>
      <w:proofErr w:type="spellStart"/>
      <w:r>
        <w:t>dexibuprofénom</w:t>
      </w:r>
      <w:proofErr w:type="spellEnd"/>
      <w:r>
        <w:t xml:space="preserve"> sa môže zhoršiť reakčná schopnosť pacienta, keď sa ako vedľajšie účinky objavia závrat, únava, ospalosť, </w:t>
      </w:r>
      <w:proofErr w:type="spellStart"/>
      <w:r>
        <w:t>vertigo</w:t>
      </w:r>
      <w:proofErr w:type="spellEnd"/>
      <w:r>
        <w:t xml:space="preserve"> alebo poruchy zraku. Toto sa má vziať do úvahy, keď sa vyžaduje zvýšená ostražitosť, napríklad pri vedení vozidiel alebo obsluhovaní strojov. Pri jednorazovej dávke alebo krátkodobom používaní </w:t>
      </w:r>
      <w:proofErr w:type="spellStart"/>
      <w:r>
        <w:t>dexibuprofénu</w:t>
      </w:r>
      <w:proofErr w:type="spellEnd"/>
      <w:r>
        <w:t xml:space="preserve"> nie sú potrebné žiadne osobitné opatrenia.</w:t>
      </w:r>
    </w:p>
    <w:p w14:paraId="4C20A3B8" w14:textId="77777777" w:rsidR="00B64B2F" w:rsidRPr="004066EE" w:rsidRDefault="00B64B2F" w:rsidP="002C2D79">
      <w:pPr>
        <w:spacing w:line="240" w:lineRule="auto"/>
        <w:jc w:val="both"/>
        <w:rPr>
          <w:noProof/>
          <w:szCs w:val="22"/>
        </w:rPr>
      </w:pPr>
    </w:p>
    <w:p w14:paraId="43BACA1A" w14:textId="77777777" w:rsidR="00812D16" w:rsidRPr="004066EE" w:rsidRDefault="00855481" w:rsidP="002C2D79">
      <w:pPr>
        <w:spacing w:line="240" w:lineRule="auto"/>
        <w:jc w:val="both"/>
        <w:outlineLvl w:val="0"/>
        <w:rPr>
          <w:b/>
          <w:noProof/>
          <w:szCs w:val="22"/>
        </w:rPr>
      </w:pPr>
      <w:r>
        <w:rPr>
          <w:b/>
          <w:szCs w:val="22"/>
        </w:rPr>
        <w:t>4.8</w:t>
      </w:r>
      <w:r>
        <w:rPr>
          <w:b/>
          <w:szCs w:val="22"/>
        </w:rPr>
        <w:tab/>
        <w:t>Nežiaduce účinky</w:t>
      </w:r>
    </w:p>
    <w:p w14:paraId="6FE82F12" w14:textId="77777777" w:rsidR="00812D16" w:rsidRPr="004066EE" w:rsidRDefault="00812D16" w:rsidP="002C2D79">
      <w:pPr>
        <w:autoSpaceDE w:val="0"/>
        <w:autoSpaceDN w:val="0"/>
        <w:adjustRightInd w:val="0"/>
        <w:spacing w:line="240" w:lineRule="auto"/>
        <w:jc w:val="both"/>
        <w:rPr>
          <w:noProof/>
          <w:szCs w:val="22"/>
        </w:rPr>
      </w:pPr>
    </w:p>
    <w:p w14:paraId="3962A765" w14:textId="0A649960" w:rsidR="00812D16" w:rsidRPr="004066EE" w:rsidRDefault="00573BC3" w:rsidP="002C2D79">
      <w:pPr>
        <w:autoSpaceDE w:val="0"/>
        <w:autoSpaceDN w:val="0"/>
        <w:adjustRightInd w:val="0"/>
        <w:spacing w:line="240" w:lineRule="auto"/>
        <w:jc w:val="both"/>
        <w:rPr>
          <w:szCs w:val="22"/>
        </w:rPr>
      </w:pPr>
      <w:r>
        <w:t xml:space="preserve">Klinické skúsenosti ukazujú, že riziko nežiaducich účinkov vyvolaných </w:t>
      </w:r>
      <w:proofErr w:type="spellStart"/>
      <w:r>
        <w:t>dexibuprofénom</w:t>
      </w:r>
      <w:proofErr w:type="spellEnd"/>
      <w:r>
        <w:t xml:space="preserve"> je porovnateľné s rizikom v prípade </w:t>
      </w:r>
      <w:proofErr w:type="spellStart"/>
      <w:r>
        <w:t>racemického</w:t>
      </w:r>
      <w:proofErr w:type="spellEnd"/>
      <w:r>
        <w:t xml:space="preserve"> </w:t>
      </w:r>
      <w:proofErr w:type="spellStart"/>
      <w:r>
        <w:t>ibuprofénu</w:t>
      </w:r>
      <w:proofErr w:type="spellEnd"/>
      <w:r>
        <w:t xml:space="preserve">. Najčastejšie nežiaduce </w:t>
      </w:r>
      <w:r w:rsidR="00B659A7">
        <w:t>udalosti</w:t>
      </w:r>
      <w:r>
        <w:t xml:space="preserve"> sú gastrointestinálneho charakteru. Môžu sa vyskytnúť </w:t>
      </w:r>
      <w:proofErr w:type="spellStart"/>
      <w:r>
        <w:t>peptické</w:t>
      </w:r>
      <w:proofErr w:type="spellEnd"/>
      <w:r>
        <w:t xml:space="preserve"> vredy, perforácia alebo gastrointestinálne krvácanie, niekedy fatálne, najmä u starších ľudí (pozri časť 4.4).</w:t>
      </w:r>
    </w:p>
    <w:p w14:paraId="63E0AB60" w14:textId="3D1B6BF9" w:rsidR="00573BC3" w:rsidRPr="004066EE" w:rsidRDefault="00573BC3" w:rsidP="002C2D79">
      <w:pPr>
        <w:autoSpaceDE w:val="0"/>
        <w:autoSpaceDN w:val="0"/>
        <w:adjustRightInd w:val="0"/>
        <w:spacing w:line="240" w:lineRule="auto"/>
        <w:jc w:val="both"/>
        <w:rPr>
          <w:szCs w:val="22"/>
        </w:rPr>
      </w:pPr>
    </w:p>
    <w:p w14:paraId="600A1116" w14:textId="5034A388" w:rsidR="00573BC3" w:rsidRPr="004066EE" w:rsidRDefault="00340AC8" w:rsidP="002C2D79">
      <w:pPr>
        <w:autoSpaceDE w:val="0"/>
        <w:autoSpaceDN w:val="0"/>
        <w:adjustRightInd w:val="0"/>
        <w:spacing w:line="240" w:lineRule="auto"/>
        <w:jc w:val="both"/>
        <w:rPr>
          <w:szCs w:val="22"/>
        </w:rPr>
      </w:pPr>
      <w:r>
        <w:t>Klinické preklenovacie a iné štúdie trvajúce približne 2 týždne ukazujú frekvenciu približne 8 až 20 % pacientov s väčšinou miernymi gastrointestinálnymi príhodami a oveľa nižšiu frekvenciu v populáciách s nízkym rizikom, napr. počas krátkodobého alebo príležitostného používania.</w:t>
      </w:r>
    </w:p>
    <w:tbl>
      <w:tblPr>
        <w:tblStyle w:val="TableGrid"/>
        <w:tblW w:w="7922" w:type="dxa"/>
        <w:tblInd w:w="194" w:type="dxa"/>
        <w:tblCellMar>
          <w:top w:w="50" w:type="dxa"/>
          <w:left w:w="68" w:type="dxa"/>
          <w:right w:w="115" w:type="dxa"/>
        </w:tblCellMar>
        <w:tblLook w:val="04A0" w:firstRow="1" w:lastRow="0" w:firstColumn="1" w:lastColumn="0" w:noHBand="0" w:noVBand="1"/>
      </w:tblPr>
      <w:tblGrid>
        <w:gridCol w:w="3535"/>
        <w:gridCol w:w="4387"/>
      </w:tblGrid>
      <w:tr w:rsidR="00D37CFF" w:rsidRPr="004066EE" w14:paraId="677B741A" w14:textId="77777777" w:rsidTr="00930FE3">
        <w:trPr>
          <w:trHeight w:val="384"/>
        </w:trPr>
        <w:tc>
          <w:tcPr>
            <w:tcW w:w="3535" w:type="dxa"/>
            <w:tcBorders>
              <w:top w:val="single" w:sz="4" w:space="0" w:color="000000"/>
              <w:left w:val="single" w:sz="4" w:space="0" w:color="000000"/>
              <w:bottom w:val="single" w:sz="4" w:space="0" w:color="000000"/>
              <w:right w:val="single" w:sz="4" w:space="0" w:color="000000"/>
            </w:tcBorders>
          </w:tcPr>
          <w:p w14:paraId="7627F185" w14:textId="77777777" w:rsidR="00D37CFF" w:rsidRPr="004066EE" w:rsidRDefault="00D37CFF" w:rsidP="002C2D79">
            <w:pPr>
              <w:ind w:left="2"/>
              <w:jc w:val="both"/>
              <w:rPr>
                <w:rFonts w:ascii="Times New Roman" w:hAnsi="Times New Roman" w:cs="Times New Roman"/>
              </w:rPr>
            </w:pPr>
            <w:r>
              <w:rPr>
                <w:rFonts w:ascii="Times New Roman" w:hAnsi="Times New Roman"/>
              </w:rPr>
              <w:t xml:space="preserve">Veľmi časté </w:t>
            </w:r>
          </w:p>
        </w:tc>
        <w:tc>
          <w:tcPr>
            <w:tcW w:w="4387" w:type="dxa"/>
            <w:tcBorders>
              <w:top w:val="single" w:sz="4" w:space="0" w:color="000000"/>
              <w:left w:val="single" w:sz="4" w:space="0" w:color="000000"/>
              <w:bottom w:val="single" w:sz="4" w:space="0" w:color="000000"/>
              <w:right w:val="single" w:sz="4" w:space="0" w:color="000000"/>
            </w:tcBorders>
          </w:tcPr>
          <w:p w14:paraId="75696603" w14:textId="77777777" w:rsidR="00D37CFF" w:rsidRPr="004066EE" w:rsidRDefault="00D37CFF" w:rsidP="002C2D79">
            <w:pPr>
              <w:ind w:left="2"/>
              <w:jc w:val="both"/>
              <w:rPr>
                <w:rFonts w:ascii="Times New Roman" w:hAnsi="Times New Roman" w:cs="Times New Roman"/>
              </w:rPr>
            </w:pPr>
            <w:r>
              <w:rPr>
                <w:rFonts w:ascii="Times New Roman" w:hAnsi="Times New Roman"/>
              </w:rPr>
              <w:t xml:space="preserve">≥ 1/10 </w:t>
            </w:r>
          </w:p>
        </w:tc>
      </w:tr>
      <w:tr w:rsidR="00D37CFF" w:rsidRPr="004066EE" w14:paraId="1739A046" w14:textId="77777777" w:rsidTr="00930FE3">
        <w:trPr>
          <w:trHeight w:val="384"/>
        </w:trPr>
        <w:tc>
          <w:tcPr>
            <w:tcW w:w="3535" w:type="dxa"/>
            <w:tcBorders>
              <w:top w:val="single" w:sz="4" w:space="0" w:color="000000"/>
              <w:left w:val="single" w:sz="4" w:space="0" w:color="000000"/>
              <w:bottom w:val="single" w:sz="4" w:space="0" w:color="000000"/>
              <w:right w:val="single" w:sz="4" w:space="0" w:color="000000"/>
            </w:tcBorders>
          </w:tcPr>
          <w:p w14:paraId="062202C2" w14:textId="77777777" w:rsidR="00D37CFF" w:rsidRPr="004066EE" w:rsidRDefault="00D37CFF" w:rsidP="002C2D79">
            <w:pPr>
              <w:ind w:left="2"/>
              <w:jc w:val="both"/>
              <w:rPr>
                <w:rFonts w:ascii="Times New Roman" w:hAnsi="Times New Roman" w:cs="Times New Roman"/>
              </w:rPr>
            </w:pPr>
            <w:r>
              <w:rPr>
                <w:rFonts w:ascii="Times New Roman" w:hAnsi="Times New Roman"/>
              </w:rPr>
              <w:t xml:space="preserve">Časté </w:t>
            </w:r>
          </w:p>
        </w:tc>
        <w:tc>
          <w:tcPr>
            <w:tcW w:w="4387" w:type="dxa"/>
            <w:tcBorders>
              <w:top w:val="single" w:sz="4" w:space="0" w:color="000000"/>
              <w:left w:val="single" w:sz="4" w:space="0" w:color="000000"/>
              <w:bottom w:val="single" w:sz="4" w:space="0" w:color="000000"/>
              <w:right w:val="single" w:sz="4" w:space="0" w:color="000000"/>
            </w:tcBorders>
          </w:tcPr>
          <w:p w14:paraId="61D082DF" w14:textId="77777777" w:rsidR="00D37CFF" w:rsidRPr="004066EE" w:rsidRDefault="00D37CFF" w:rsidP="002C2D79">
            <w:pPr>
              <w:ind w:left="2"/>
              <w:jc w:val="both"/>
              <w:rPr>
                <w:rFonts w:ascii="Times New Roman" w:hAnsi="Times New Roman" w:cs="Times New Roman"/>
              </w:rPr>
            </w:pPr>
            <w:r>
              <w:rPr>
                <w:rFonts w:ascii="Times New Roman" w:hAnsi="Times New Roman"/>
              </w:rPr>
              <w:t xml:space="preserve">≥ 1/100 až &lt; 1/10 </w:t>
            </w:r>
          </w:p>
        </w:tc>
      </w:tr>
      <w:tr w:rsidR="00D37CFF" w:rsidRPr="004066EE" w14:paraId="3A08C04B" w14:textId="77777777" w:rsidTr="00930FE3">
        <w:trPr>
          <w:trHeight w:val="382"/>
        </w:trPr>
        <w:tc>
          <w:tcPr>
            <w:tcW w:w="3535" w:type="dxa"/>
            <w:tcBorders>
              <w:top w:val="single" w:sz="4" w:space="0" w:color="000000"/>
              <w:left w:val="single" w:sz="4" w:space="0" w:color="000000"/>
              <w:bottom w:val="single" w:sz="4" w:space="0" w:color="000000"/>
              <w:right w:val="single" w:sz="4" w:space="0" w:color="000000"/>
            </w:tcBorders>
          </w:tcPr>
          <w:p w14:paraId="18C64931" w14:textId="77777777" w:rsidR="00D37CFF" w:rsidRPr="004066EE" w:rsidRDefault="00D37CFF" w:rsidP="002C2D79">
            <w:pPr>
              <w:ind w:left="2"/>
              <w:jc w:val="both"/>
              <w:rPr>
                <w:rFonts w:ascii="Times New Roman" w:hAnsi="Times New Roman" w:cs="Times New Roman"/>
              </w:rPr>
            </w:pPr>
            <w:r>
              <w:rPr>
                <w:rFonts w:ascii="Times New Roman" w:hAnsi="Times New Roman"/>
              </w:rPr>
              <w:t xml:space="preserve">Menej časté </w:t>
            </w:r>
          </w:p>
        </w:tc>
        <w:tc>
          <w:tcPr>
            <w:tcW w:w="4387" w:type="dxa"/>
            <w:tcBorders>
              <w:top w:val="single" w:sz="4" w:space="0" w:color="000000"/>
              <w:left w:val="single" w:sz="4" w:space="0" w:color="000000"/>
              <w:bottom w:val="single" w:sz="4" w:space="0" w:color="000000"/>
              <w:right w:val="single" w:sz="4" w:space="0" w:color="000000"/>
            </w:tcBorders>
          </w:tcPr>
          <w:p w14:paraId="09F29347" w14:textId="77777777" w:rsidR="00D37CFF" w:rsidRPr="004066EE" w:rsidRDefault="00D37CFF" w:rsidP="002C2D79">
            <w:pPr>
              <w:ind w:left="2"/>
              <w:jc w:val="both"/>
              <w:rPr>
                <w:rFonts w:ascii="Times New Roman" w:hAnsi="Times New Roman" w:cs="Times New Roman"/>
              </w:rPr>
            </w:pPr>
            <w:r>
              <w:rPr>
                <w:rFonts w:ascii="Times New Roman" w:hAnsi="Times New Roman"/>
              </w:rPr>
              <w:t xml:space="preserve">≥ 1/1 000 až &lt; 1/100 </w:t>
            </w:r>
          </w:p>
        </w:tc>
      </w:tr>
      <w:tr w:rsidR="00D37CFF" w:rsidRPr="004066EE" w14:paraId="34EA506C" w14:textId="77777777" w:rsidTr="00930FE3">
        <w:trPr>
          <w:trHeight w:val="384"/>
        </w:trPr>
        <w:tc>
          <w:tcPr>
            <w:tcW w:w="3535" w:type="dxa"/>
            <w:tcBorders>
              <w:top w:val="single" w:sz="4" w:space="0" w:color="000000"/>
              <w:left w:val="single" w:sz="4" w:space="0" w:color="000000"/>
              <w:bottom w:val="single" w:sz="4" w:space="0" w:color="000000"/>
              <w:right w:val="single" w:sz="4" w:space="0" w:color="000000"/>
            </w:tcBorders>
          </w:tcPr>
          <w:p w14:paraId="7CC5CB3E" w14:textId="77777777" w:rsidR="00D37CFF" w:rsidRPr="004066EE" w:rsidRDefault="00D37CFF" w:rsidP="002C2D79">
            <w:pPr>
              <w:ind w:left="2"/>
              <w:jc w:val="both"/>
              <w:rPr>
                <w:rFonts w:ascii="Times New Roman" w:hAnsi="Times New Roman" w:cs="Times New Roman"/>
              </w:rPr>
            </w:pPr>
            <w:r>
              <w:rPr>
                <w:rFonts w:ascii="Times New Roman" w:hAnsi="Times New Roman"/>
              </w:rPr>
              <w:t xml:space="preserve">Zriedkavé </w:t>
            </w:r>
          </w:p>
        </w:tc>
        <w:tc>
          <w:tcPr>
            <w:tcW w:w="4387" w:type="dxa"/>
            <w:tcBorders>
              <w:top w:val="single" w:sz="4" w:space="0" w:color="000000"/>
              <w:left w:val="single" w:sz="4" w:space="0" w:color="000000"/>
              <w:bottom w:val="single" w:sz="4" w:space="0" w:color="000000"/>
              <w:right w:val="single" w:sz="4" w:space="0" w:color="000000"/>
            </w:tcBorders>
          </w:tcPr>
          <w:p w14:paraId="4B130D19" w14:textId="46F5F940" w:rsidR="00D37CFF" w:rsidRPr="004066EE" w:rsidRDefault="00D37CFF" w:rsidP="002C2D79">
            <w:pPr>
              <w:ind w:left="2"/>
              <w:jc w:val="both"/>
              <w:rPr>
                <w:rFonts w:ascii="Times New Roman" w:hAnsi="Times New Roman" w:cs="Times New Roman"/>
              </w:rPr>
            </w:pPr>
            <w:r>
              <w:rPr>
                <w:rFonts w:ascii="Times New Roman" w:hAnsi="Times New Roman"/>
              </w:rPr>
              <w:t xml:space="preserve">≥ 1/10 000 až &lt; 1/1 000 </w:t>
            </w:r>
          </w:p>
        </w:tc>
      </w:tr>
      <w:tr w:rsidR="00D37CFF" w:rsidRPr="004066EE" w14:paraId="424EF128" w14:textId="77777777" w:rsidTr="00930FE3">
        <w:trPr>
          <w:trHeight w:val="382"/>
        </w:trPr>
        <w:tc>
          <w:tcPr>
            <w:tcW w:w="3535" w:type="dxa"/>
            <w:tcBorders>
              <w:top w:val="single" w:sz="4" w:space="0" w:color="000000"/>
              <w:left w:val="single" w:sz="4" w:space="0" w:color="000000"/>
              <w:bottom w:val="single" w:sz="4" w:space="0" w:color="000000"/>
              <w:right w:val="single" w:sz="4" w:space="0" w:color="000000"/>
            </w:tcBorders>
          </w:tcPr>
          <w:p w14:paraId="1C1C1EFF" w14:textId="77777777" w:rsidR="00D37CFF" w:rsidRPr="004066EE" w:rsidRDefault="00D37CFF" w:rsidP="002C2D79">
            <w:pPr>
              <w:ind w:left="2"/>
              <w:jc w:val="both"/>
              <w:rPr>
                <w:rFonts w:ascii="Times New Roman" w:hAnsi="Times New Roman" w:cs="Times New Roman"/>
              </w:rPr>
            </w:pPr>
            <w:r>
              <w:rPr>
                <w:rFonts w:ascii="Times New Roman" w:hAnsi="Times New Roman"/>
              </w:rPr>
              <w:t xml:space="preserve">Veľmi zriedkavé </w:t>
            </w:r>
          </w:p>
        </w:tc>
        <w:tc>
          <w:tcPr>
            <w:tcW w:w="4387" w:type="dxa"/>
            <w:tcBorders>
              <w:top w:val="single" w:sz="4" w:space="0" w:color="000000"/>
              <w:left w:val="single" w:sz="4" w:space="0" w:color="000000"/>
              <w:bottom w:val="single" w:sz="4" w:space="0" w:color="000000"/>
              <w:right w:val="single" w:sz="4" w:space="0" w:color="000000"/>
            </w:tcBorders>
          </w:tcPr>
          <w:p w14:paraId="7DDDD55B" w14:textId="2C40AB82" w:rsidR="00D37CFF" w:rsidRPr="004066EE" w:rsidRDefault="00D37CFF" w:rsidP="002C2D79">
            <w:pPr>
              <w:jc w:val="both"/>
              <w:rPr>
                <w:rFonts w:ascii="Times New Roman" w:hAnsi="Times New Roman" w:cs="Times New Roman"/>
              </w:rPr>
            </w:pPr>
            <w:r>
              <w:rPr>
                <w:rFonts w:ascii="Times New Roman" w:hAnsi="Times New Roman"/>
              </w:rPr>
              <w:t>&lt; 1/10 000</w:t>
            </w:r>
          </w:p>
        </w:tc>
      </w:tr>
      <w:tr w:rsidR="00D37CFF" w:rsidRPr="004066EE" w14:paraId="3B41C534" w14:textId="77777777" w:rsidTr="00930FE3">
        <w:trPr>
          <w:trHeight w:val="384"/>
        </w:trPr>
        <w:tc>
          <w:tcPr>
            <w:tcW w:w="3535" w:type="dxa"/>
            <w:tcBorders>
              <w:top w:val="single" w:sz="4" w:space="0" w:color="000000"/>
              <w:left w:val="single" w:sz="4" w:space="0" w:color="000000"/>
              <w:bottom w:val="single" w:sz="4" w:space="0" w:color="000000"/>
              <w:right w:val="single" w:sz="4" w:space="0" w:color="000000"/>
            </w:tcBorders>
          </w:tcPr>
          <w:p w14:paraId="698650FD" w14:textId="50DF6AF9" w:rsidR="00D37CFF" w:rsidRPr="004066EE" w:rsidRDefault="00442639" w:rsidP="002C2D79">
            <w:pPr>
              <w:ind w:left="2"/>
              <w:jc w:val="both"/>
              <w:rPr>
                <w:rFonts w:ascii="Times New Roman" w:hAnsi="Times New Roman" w:cs="Times New Roman"/>
              </w:rPr>
            </w:pPr>
            <w:r>
              <w:rPr>
                <w:rFonts w:ascii="Times New Roman" w:hAnsi="Times New Roman"/>
              </w:rPr>
              <w:t>N</w:t>
            </w:r>
            <w:r w:rsidR="00916339">
              <w:rPr>
                <w:rFonts w:ascii="Times New Roman" w:hAnsi="Times New Roman"/>
              </w:rPr>
              <w:t>eznáme</w:t>
            </w:r>
          </w:p>
        </w:tc>
        <w:tc>
          <w:tcPr>
            <w:tcW w:w="4387" w:type="dxa"/>
            <w:tcBorders>
              <w:top w:val="single" w:sz="4" w:space="0" w:color="000000"/>
              <w:left w:val="single" w:sz="4" w:space="0" w:color="000000"/>
              <w:bottom w:val="single" w:sz="4" w:space="0" w:color="000000"/>
              <w:right w:val="single" w:sz="4" w:space="0" w:color="000000"/>
            </w:tcBorders>
          </w:tcPr>
          <w:p w14:paraId="60DDE25C" w14:textId="77777777" w:rsidR="00D37CFF" w:rsidRPr="004066EE" w:rsidRDefault="00D37CFF" w:rsidP="002C2D79">
            <w:pPr>
              <w:ind w:left="4"/>
              <w:jc w:val="both"/>
              <w:rPr>
                <w:rFonts w:ascii="Times New Roman" w:hAnsi="Times New Roman" w:cs="Times New Roman"/>
              </w:rPr>
            </w:pPr>
            <w:r>
              <w:rPr>
                <w:rFonts w:ascii="Times New Roman" w:hAnsi="Times New Roman"/>
              </w:rPr>
              <w:t xml:space="preserve">nemožno určiť z dostupných údajov </w:t>
            </w:r>
          </w:p>
        </w:tc>
      </w:tr>
    </w:tbl>
    <w:p w14:paraId="0E72898D" w14:textId="79EFE241" w:rsidR="006D6676" w:rsidRPr="004066EE" w:rsidRDefault="006D6676" w:rsidP="002C2D79">
      <w:pPr>
        <w:autoSpaceDE w:val="0"/>
        <w:autoSpaceDN w:val="0"/>
        <w:adjustRightInd w:val="0"/>
        <w:spacing w:line="240" w:lineRule="auto"/>
        <w:jc w:val="both"/>
        <w:rPr>
          <w:szCs w:val="22"/>
        </w:rPr>
      </w:pPr>
    </w:p>
    <w:p w14:paraId="29CD9AD8" w14:textId="77777777" w:rsidR="00D751FA" w:rsidRPr="004066EE" w:rsidRDefault="00D751FA" w:rsidP="002C2D79">
      <w:pPr>
        <w:autoSpaceDE w:val="0"/>
        <w:autoSpaceDN w:val="0"/>
        <w:adjustRightInd w:val="0"/>
        <w:spacing w:line="240" w:lineRule="auto"/>
        <w:jc w:val="both"/>
        <w:rPr>
          <w:szCs w:val="22"/>
        </w:rPr>
      </w:pPr>
      <w:r>
        <w:rPr>
          <w:i/>
          <w:szCs w:val="22"/>
          <w:u w:val="single"/>
        </w:rPr>
        <w:t>Infekcie a nákazy</w:t>
      </w:r>
    </w:p>
    <w:p w14:paraId="4FBA1939" w14:textId="2AB03F60" w:rsidR="00D751FA" w:rsidRPr="004066EE" w:rsidRDefault="00D751FA" w:rsidP="002C2D79">
      <w:pPr>
        <w:autoSpaceDE w:val="0"/>
        <w:autoSpaceDN w:val="0"/>
        <w:adjustRightInd w:val="0"/>
        <w:spacing w:line="240" w:lineRule="auto"/>
        <w:jc w:val="both"/>
        <w:rPr>
          <w:szCs w:val="22"/>
        </w:rPr>
      </w:pPr>
      <w:r>
        <w:t>Veľmi zriedkavé: Môže sa zhoršiť zápal súvisiaci s infekciou (</w:t>
      </w:r>
      <w:proofErr w:type="spellStart"/>
      <w:r>
        <w:t>nekrotizujúca</w:t>
      </w:r>
      <w:proofErr w:type="spellEnd"/>
      <w:r>
        <w:t xml:space="preserve"> </w:t>
      </w:r>
      <w:proofErr w:type="spellStart"/>
      <w:r>
        <w:t>fasciitída</w:t>
      </w:r>
      <w:proofErr w:type="spellEnd"/>
      <w:r>
        <w:t>).</w:t>
      </w:r>
    </w:p>
    <w:p w14:paraId="316687DC" w14:textId="77777777" w:rsidR="00D751FA" w:rsidRPr="004066EE" w:rsidRDefault="00D751FA" w:rsidP="002C2D79">
      <w:pPr>
        <w:autoSpaceDE w:val="0"/>
        <w:autoSpaceDN w:val="0"/>
        <w:adjustRightInd w:val="0"/>
        <w:spacing w:line="240" w:lineRule="auto"/>
        <w:jc w:val="both"/>
        <w:rPr>
          <w:i/>
          <w:iCs/>
          <w:szCs w:val="22"/>
          <w:u w:val="single"/>
        </w:rPr>
      </w:pPr>
    </w:p>
    <w:p w14:paraId="4576C8D4" w14:textId="77777777" w:rsidR="00D751FA" w:rsidRPr="004066EE" w:rsidRDefault="00D751FA" w:rsidP="002C2D79">
      <w:pPr>
        <w:autoSpaceDE w:val="0"/>
        <w:autoSpaceDN w:val="0"/>
        <w:adjustRightInd w:val="0"/>
        <w:spacing w:line="240" w:lineRule="auto"/>
        <w:jc w:val="both"/>
        <w:rPr>
          <w:i/>
          <w:iCs/>
          <w:szCs w:val="22"/>
          <w:u w:val="single"/>
        </w:rPr>
      </w:pPr>
      <w:r>
        <w:rPr>
          <w:i/>
          <w:iCs/>
          <w:szCs w:val="22"/>
          <w:u w:val="single"/>
        </w:rPr>
        <w:t>Poruchy krvi a lymfatického systému</w:t>
      </w:r>
    </w:p>
    <w:p w14:paraId="790358E9" w14:textId="4862799F" w:rsidR="00D751FA" w:rsidRPr="004066EE" w:rsidRDefault="00D751FA" w:rsidP="002C2D79">
      <w:pPr>
        <w:autoSpaceDE w:val="0"/>
        <w:autoSpaceDN w:val="0"/>
        <w:adjustRightInd w:val="0"/>
        <w:spacing w:line="240" w:lineRule="auto"/>
        <w:jc w:val="both"/>
        <w:rPr>
          <w:szCs w:val="22"/>
        </w:rPr>
      </w:pPr>
      <w:r>
        <w:t>Moh</w:t>
      </w:r>
      <w:r w:rsidR="00BE45A6">
        <w:t>ol</w:t>
      </w:r>
      <w:r>
        <w:t xml:space="preserve"> by sa predĺžiť </w:t>
      </w:r>
      <w:r w:rsidR="00BE45A6">
        <w:t>čas</w:t>
      </w:r>
      <w:r>
        <w:t xml:space="preserve"> krvácania. </w:t>
      </w:r>
    </w:p>
    <w:p w14:paraId="1076D211" w14:textId="2755A46A" w:rsidR="00D751FA" w:rsidRPr="004066EE" w:rsidRDefault="00D751FA" w:rsidP="002C2D79">
      <w:pPr>
        <w:autoSpaceDE w:val="0"/>
        <w:autoSpaceDN w:val="0"/>
        <w:adjustRightInd w:val="0"/>
        <w:spacing w:line="240" w:lineRule="auto"/>
        <w:jc w:val="both"/>
        <w:rPr>
          <w:szCs w:val="22"/>
        </w:rPr>
      </w:pPr>
      <w:r>
        <w:t xml:space="preserve">Zriedkavé: Prípady porúch krvi vrátane </w:t>
      </w:r>
      <w:proofErr w:type="spellStart"/>
      <w:r>
        <w:t>trombocytopénie</w:t>
      </w:r>
      <w:proofErr w:type="spellEnd"/>
      <w:r>
        <w:t xml:space="preserve">, </w:t>
      </w:r>
      <w:proofErr w:type="spellStart"/>
      <w:r>
        <w:t>leukopénie</w:t>
      </w:r>
      <w:proofErr w:type="spellEnd"/>
      <w:r>
        <w:t xml:space="preserve">, </w:t>
      </w:r>
      <w:proofErr w:type="spellStart"/>
      <w:r>
        <w:t>granulocytopénie</w:t>
      </w:r>
      <w:proofErr w:type="spellEnd"/>
      <w:r>
        <w:t xml:space="preserve">, </w:t>
      </w:r>
      <w:proofErr w:type="spellStart"/>
      <w:r>
        <w:t>pancytopénie</w:t>
      </w:r>
      <w:proofErr w:type="spellEnd"/>
      <w:r>
        <w:t xml:space="preserve">, </w:t>
      </w:r>
      <w:proofErr w:type="spellStart"/>
      <w:r>
        <w:t>agranulocytózy</w:t>
      </w:r>
      <w:proofErr w:type="spellEnd"/>
      <w:r>
        <w:t xml:space="preserve">, </w:t>
      </w:r>
      <w:proofErr w:type="spellStart"/>
      <w:r>
        <w:t>aplastickej</w:t>
      </w:r>
      <w:proofErr w:type="spellEnd"/>
      <w:r>
        <w:t xml:space="preserve"> anémie alebo hemolytickej anémie.</w:t>
      </w:r>
    </w:p>
    <w:p w14:paraId="39658D8C" w14:textId="77777777" w:rsidR="00D751FA" w:rsidRPr="004066EE" w:rsidRDefault="00D751FA" w:rsidP="002C2D79">
      <w:pPr>
        <w:autoSpaceDE w:val="0"/>
        <w:autoSpaceDN w:val="0"/>
        <w:adjustRightInd w:val="0"/>
        <w:spacing w:line="240" w:lineRule="auto"/>
        <w:jc w:val="both"/>
        <w:rPr>
          <w:b/>
          <w:bCs/>
          <w:i/>
          <w:iCs/>
          <w:szCs w:val="22"/>
        </w:rPr>
      </w:pPr>
    </w:p>
    <w:p w14:paraId="07F4169E" w14:textId="77777777" w:rsidR="00D751FA" w:rsidRPr="004066EE" w:rsidRDefault="00D751FA" w:rsidP="002C2D79">
      <w:pPr>
        <w:autoSpaceDE w:val="0"/>
        <w:autoSpaceDN w:val="0"/>
        <w:adjustRightInd w:val="0"/>
        <w:spacing w:line="240" w:lineRule="auto"/>
        <w:jc w:val="both"/>
        <w:rPr>
          <w:i/>
          <w:iCs/>
          <w:szCs w:val="22"/>
          <w:u w:val="single"/>
        </w:rPr>
      </w:pPr>
      <w:r>
        <w:rPr>
          <w:i/>
          <w:iCs/>
          <w:szCs w:val="22"/>
          <w:u w:val="single"/>
        </w:rPr>
        <w:t>Poruchy imunitného systému</w:t>
      </w:r>
    </w:p>
    <w:p w14:paraId="3A146E4F" w14:textId="44C2F07C" w:rsidR="00D751FA" w:rsidRPr="004066EE" w:rsidRDefault="00D751FA" w:rsidP="002C2D79">
      <w:pPr>
        <w:autoSpaceDE w:val="0"/>
        <w:autoSpaceDN w:val="0"/>
        <w:adjustRightInd w:val="0"/>
        <w:spacing w:line="240" w:lineRule="auto"/>
        <w:jc w:val="both"/>
        <w:rPr>
          <w:szCs w:val="22"/>
        </w:rPr>
      </w:pPr>
      <w:r>
        <w:t xml:space="preserve">Menej časté: </w:t>
      </w:r>
      <w:proofErr w:type="spellStart"/>
      <w:r>
        <w:t>Purpura</w:t>
      </w:r>
      <w:proofErr w:type="spellEnd"/>
      <w:r>
        <w:t xml:space="preserve"> (vrátane alergickej purpury), </w:t>
      </w:r>
      <w:proofErr w:type="spellStart"/>
      <w:r>
        <w:t>angioedém</w:t>
      </w:r>
      <w:proofErr w:type="spellEnd"/>
      <w:r>
        <w:t>.</w:t>
      </w:r>
    </w:p>
    <w:p w14:paraId="3CD8AE68" w14:textId="77777777" w:rsidR="00D751FA" w:rsidRPr="004066EE" w:rsidRDefault="00D751FA" w:rsidP="002C2D79">
      <w:pPr>
        <w:autoSpaceDE w:val="0"/>
        <w:autoSpaceDN w:val="0"/>
        <w:adjustRightInd w:val="0"/>
        <w:spacing w:line="240" w:lineRule="auto"/>
        <w:jc w:val="both"/>
        <w:rPr>
          <w:szCs w:val="22"/>
        </w:rPr>
      </w:pPr>
      <w:r>
        <w:t xml:space="preserve">Zriedkavé: </w:t>
      </w:r>
      <w:proofErr w:type="spellStart"/>
      <w:r>
        <w:t>Anafylaktická</w:t>
      </w:r>
      <w:proofErr w:type="spellEnd"/>
      <w:r>
        <w:t xml:space="preserve"> reakcia.</w:t>
      </w:r>
    </w:p>
    <w:p w14:paraId="5FA7A039" w14:textId="505CC0DB" w:rsidR="00D751FA" w:rsidRPr="004066EE" w:rsidRDefault="00D751FA" w:rsidP="002C2D79">
      <w:pPr>
        <w:autoSpaceDE w:val="0"/>
        <w:autoSpaceDN w:val="0"/>
        <w:adjustRightInd w:val="0"/>
        <w:spacing w:line="240" w:lineRule="auto"/>
        <w:jc w:val="both"/>
        <w:rPr>
          <w:szCs w:val="22"/>
        </w:rPr>
      </w:pPr>
      <w:r>
        <w:t>Veľmi zriedkavé: Generalizované reakcie z precitlivenosti vrátane symptómov ako horúčka s vyrážkou, bolesť brucha, bolesť hlavy, nevoľnosť a vracanie, pr</w:t>
      </w:r>
      <w:r w:rsidR="00B659A7">
        <w:t>ejav</w:t>
      </w:r>
      <w:r>
        <w:t xml:space="preserve">y poškodenia pečene, dokonca aj aseptická meningitída. Vo väčšine prípadov, v ktorých bola pri liečbe </w:t>
      </w:r>
      <w:proofErr w:type="spellStart"/>
      <w:r>
        <w:t>ibuprofénom</w:t>
      </w:r>
      <w:proofErr w:type="spellEnd"/>
      <w:r>
        <w:t xml:space="preserve"> hlásená aseptická </w:t>
      </w:r>
      <w:proofErr w:type="spellStart"/>
      <w:r>
        <w:t>meningitída</w:t>
      </w:r>
      <w:proofErr w:type="spellEnd"/>
      <w:r>
        <w:t xml:space="preserve">, bola ako rizikový faktor prítomná nejaká forma základného autoimunitného ochorenia (napríklad systémový </w:t>
      </w:r>
      <w:proofErr w:type="spellStart"/>
      <w:r>
        <w:t>lupus</w:t>
      </w:r>
      <w:proofErr w:type="spellEnd"/>
      <w:r>
        <w:t xml:space="preserve"> </w:t>
      </w:r>
      <w:proofErr w:type="spellStart"/>
      <w:r>
        <w:t>erythematosus</w:t>
      </w:r>
      <w:proofErr w:type="spellEnd"/>
      <w:r>
        <w:t xml:space="preserve"> alebo iné kolagénové ochorenia). V prípade závažnej generalizovanej reakcie z precitlivenosti sa môže objaviť opuch tváre, jazyka a hrtanu, </w:t>
      </w:r>
      <w:proofErr w:type="spellStart"/>
      <w:r>
        <w:t>bronchospazmus</w:t>
      </w:r>
      <w:proofErr w:type="spellEnd"/>
      <w:r>
        <w:t xml:space="preserve">, astma, </w:t>
      </w:r>
      <w:proofErr w:type="spellStart"/>
      <w:r>
        <w:t>tachykardia</w:t>
      </w:r>
      <w:proofErr w:type="spellEnd"/>
      <w:r>
        <w:t>, hypotenzia a šok.</w:t>
      </w:r>
    </w:p>
    <w:p w14:paraId="3CBA9FBF" w14:textId="77777777" w:rsidR="00D751FA" w:rsidRPr="004066EE" w:rsidRDefault="00D751FA" w:rsidP="002C2D79">
      <w:pPr>
        <w:autoSpaceDE w:val="0"/>
        <w:autoSpaceDN w:val="0"/>
        <w:adjustRightInd w:val="0"/>
        <w:spacing w:line="240" w:lineRule="auto"/>
        <w:jc w:val="both"/>
        <w:rPr>
          <w:i/>
          <w:iCs/>
          <w:szCs w:val="22"/>
          <w:u w:val="single"/>
        </w:rPr>
      </w:pPr>
    </w:p>
    <w:p w14:paraId="5E8F3196" w14:textId="77777777" w:rsidR="00D751FA" w:rsidRPr="004066EE" w:rsidRDefault="00D751FA" w:rsidP="002C2D79">
      <w:pPr>
        <w:autoSpaceDE w:val="0"/>
        <w:autoSpaceDN w:val="0"/>
        <w:adjustRightInd w:val="0"/>
        <w:spacing w:line="240" w:lineRule="auto"/>
        <w:jc w:val="both"/>
        <w:rPr>
          <w:i/>
          <w:iCs/>
          <w:szCs w:val="22"/>
          <w:u w:val="single"/>
        </w:rPr>
      </w:pPr>
      <w:r>
        <w:rPr>
          <w:i/>
          <w:iCs/>
          <w:szCs w:val="22"/>
          <w:u w:val="single"/>
        </w:rPr>
        <w:t>Psychické poruchy</w:t>
      </w:r>
    </w:p>
    <w:p w14:paraId="366E211B" w14:textId="77777777" w:rsidR="00D751FA" w:rsidRPr="004066EE" w:rsidRDefault="00D751FA" w:rsidP="002C2D79">
      <w:pPr>
        <w:autoSpaceDE w:val="0"/>
        <w:autoSpaceDN w:val="0"/>
        <w:adjustRightInd w:val="0"/>
        <w:spacing w:line="240" w:lineRule="auto"/>
        <w:jc w:val="both"/>
        <w:rPr>
          <w:szCs w:val="22"/>
        </w:rPr>
      </w:pPr>
      <w:r>
        <w:t>Menej časté: Úzkosť.</w:t>
      </w:r>
    </w:p>
    <w:p w14:paraId="39F8EBF0" w14:textId="77777777" w:rsidR="00D751FA" w:rsidRPr="004066EE" w:rsidRDefault="00D751FA" w:rsidP="002C2D79">
      <w:pPr>
        <w:autoSpaceDE w:val="0"/>
        <w:autoSpaceDN w:val="0"/>
        <w:adjustRightInd w:val="0"/>
        <w:spacing w:line="240" w:lineRule="auto"/>
        <w:jc w:val="both"/>
        <w:rPr>
          <w:szCs w:val="22"/>
        </w:rPr>
      </w:pPr>
      <w:r>
        <w:t>Zriedkavé: Psychotická reakcia, depresia, podráždenosť.</w:t>
      </w:r>
    </w:p>
    <w:p w14:paraId="1D803BF1" w14:textId="77777777" w:rsidR="00D751FA" w:rsidRPr="004066EE" w:rsidRDefault="00D751FA" w:rsidP="002C2D79">
      <w:pPr>
        <w:autoSpaceDE w:val="0"/>
        <w:autoSpaceDN w:val="0"/>
        <w:adjustRightInd w:val="0"/>
        <w:spacing w:line="240" w:lineRule="auto"/>
        <w:jc w:val="both"/>
        <w:rPr>
          <w:szCs w:val="22"/>
          <w:u w:val="single"/>
        </w:rPr>
      </w:pPr>
    </w:p>
    <w:p w14:paraId="5B8859A7" w14:textId="77777777" w:rsidR="00D751FA" w:rsidRPr="004066EE" w:rsidRDefault="00D751FA" w:rsidP="002C2D79">
      <w:pPr>
        <w:autoSpaceDE w:val="0"/>
        <w:autoSpaceDN w:val="0"/>
        <w:adjustRightInd w:val="0"/>
        <w:spacing w:line="240" w:lineRule="auto"/>
        <w:jc w:val="both"/>
        <w:rPr>
          <w:szCs w:val="22"/>
          <w:u w:val="single"/>
        </w:rPr>
      </w:pPr>
      <w:r>
        <w:rPr>
          <w:i/>
          <w:iCs/>
          <w:szCs w:val="22"/>
          <w:u w:val="single"/>
        </w:rPr>
        <w:t>Poruchy nervového</w:t>
      </w:r>
      <w:r>
        <w:rPr>
          <w:szCs w:val="22"/>
          <w:u w:val="single"/>
        </w:rPr>
        <w:t xml:space="preserve"> </w:t>
      </w:r>
      <w:r>
        <w:rPr>
          <w:i/>
          <w:iCs/>
          <w:szCs w:val="22"/>
          <w:u w:val="single"/>
        </w:rPr>
        <w:t>systému</w:t>
      </w:r>
    </w:p>
    <w:p w14:paraId="18E431FD" w14:textId="77777777" w:rsidR="00D751FA" w:rsidRPr="004066EE" w:rsidRDefault="00D751FA" w:rsidP="002C2D79">
      <w:pPr>
        <w:autoSpaceDE w:val="0"/>
        <w:autoSpaceDN w:val="0"/>
        <w:adjustRightInd w:val="0"/>
        <w:spacing w:line="240" w:lineRule="auto"/>
        <w:jc w:val="both"/>
        <w:rPr>
          <w:szCs w:val="22"/>
        </w:rPr>
      </w:pPr>
      <w:r>
        <w:lastRenderedPageBreak/>
        <w:t xml:space="preserve">Časté: Ospalosť, bolesť hlavy, závrat, </w:t>
      </w:r>
      <w:proofErr w:type="spellStart"/>
      <w:r>
        <w:t>vertigo</w:t>
      </w:r>
      <w:proofErr w:type="spellEnd"/>
      <w:r>
        <w:t>.</w:t>
      </w:r>
    </w:p>
    <w:p w14:paraId="055E73FB" w14:textId="77777777" w:rsidR="00D751FA" w:rsidRPr="004066EE" w:rsidRDefault="00D751FA" w:rsidP="002C2D79">
      <w:pPr>
        <w:autoSpaceDE w:val="0"/>
        <w:autoSpaceDN w:val="0"/>
        <w:adjustRightInd w:val="0"/>
        <w:spacing w:line="240" w:lineRule="auto"/>
        <w:jc w:val="both"/>
        <w:rPr>
          <w:szCs w:val="22"/>
        </w:rPr>
      </w:pPr>
      <w:r>
        <w:t>Menej časté: Nespavosť, nepokoj.</w:t>
      </w:r>
    </w:p>
    <w:p w14:paraId="13941916" w14:textId="77777777" w:rsidR="00D751FA" w:rsidRPr="004066EE" w:rsidRDefault="00D751FA" w:rsidP="002C2D79">
      <w:pPr>
        <w:autoSpaceDE w:val="0"/>
        <w:autoSpaceDN w:val="0"/>
        <w:adjustRightInd w:val="0"/>
        <w:spacing w:line="240" w:lineRule="auto"/>
        <w:jc w:val="both"/>
        <w:rPr>
          <w:szCs w:val="22"/>
        </w:rPr>
      </w:pPr>
      <w:r>
        <w:t>Zriedkavé: Dezorientácia, zmätenosť, agitácia.</w:t>
      </w:r>
    </w:p>
    <w:p w14:paraId="33931D9C" w14:textId="77777777" w:rsidR="00D751FA" w:rsidRPr="004066EE" w:rsidRDefault="00D751FA" w:rsidP="002C2D79">
      <w:pPr>
        <w:autoSpaceDE w:val="0"/>
        <w:autoSpaceDN w:val="0"/>
        <w:adjustRightInd w:val="0"/>
        <w:spacing w:line="240" w:lineRule="auto"/>
        <w:jc w:val="both"/>
        <w:rPr>
          <w:szCs w:val="22"/>
        </w:rPr>
      </w:pPr>
      <w:r>
        <w:t>Veľmi zriedkavé: Aseptická meningitída (pozri poruchy imunitného systému).</w:t>
      </w:r>
    </w:p>
    <w:p w14:paraId="2DE3C17D" w14:textId="77777777" w:rsidR="00D751FA" w:rsidRPr="004066EE" w:rsidRDefault="00D751FA" w:rsidP="002C2D79">
      <w:pPr>
        <w:autoSpaceDE w:val="0"/>
        <w:autoSpaceDN w:val="0"/>
        <w:adjustRightInd w:val="0"/>
        <w:spacing w:line="240" w:lineRule="auto"/>
        <w:jc w:val="both"/>
        <w:rPr>
          <w:b/>
          <w:bCs/>
          <w:i/>
          <w:iCs/>
          <w:szCs w:val="22"/>
          <w:u w:val="single"/>
        </w:rPr>
      </w:pPr>
    </w:p>
    <w:p w14:paraId="1582ADC2" w14:textId="77777777" w:rsidR="00D751FA" w:rsidRPr="004066EE" w:rsidRDefault="00D751FA" w:rsidP="002C2D79">
      <w:pPr>
        <w:autoSpaceDE w:val="0"/>
        <w:autoSpaceDN w:val="0"/>
        <w:adjustRightInd w:val="0"/>
        <w:spacing w:line="240" w:lineRule="auto"/>
        <w:jc w:val="both"/>
        <w:rPr>
          <w:i/>
          <w:iCs/>
          <w:szCs w:val="22"/>
          <w:u w:val="single"/>
        </w:rPr>
      </w:pPr>
      <w:r>
        <w:rPr>
          <w:i/>
          <w:iCs/>
          <w:szCs w:val="22"/>
          <w:u w:val="single"/>
        </w:rPr>
        <w:t>Poruchy oka</w:t>
      </w:r>
    </w:p>
    <w:p w14:paraId="51509AAE" w14:textId="77777777" w:rsidR="00D751FA" w:rsidRPr="004066EE" w:rsidRDefault="00D751FA" w:rsidP="002C2D79">
      <w:pPr>
        <w:autoSpaceDE w:val="0"/>
        <w:autoSpaceDN w:val="0"/>
        <w:adjustRightInd w:val="0"/>
        <w:spacing w:line="240" w:lineRule="auto"/>
        <w:jc w:val="both"/>
        <w:rPr>
          <w:szCs w:val="22"/>
        </w:rPr>
      </w:pPr>
      <w:r>
        <w:t>Menej časté: Poruchy zraku.</w:t>
      </w:r>
    </w:p>
    <w:p w14:paraId="1C4AEFB0" w14:textId="77777777" w:rsidR="00D751FA" w:rsidRPr="004066EE" w:rsidRDefault="00D751FA" w:rsidP="002C2D79">
      <w:pPr>
        <w:autoSpaceDE w:val="0"/>
        <w:autoSpaceDN w:val="0"/>
        <w:adjustRightInd w:val="0"/>
        <w:spacing w:line="240" w:lineRule="auto"/>
        <w:jc w:val="both"/>
        <w:rPr>
          <w:szCs w:val="22"/>
        </w:rPr>
      </w:pPr>
      <w:r>
        <w:t xml:space="preserve">Zriedkavé: Reverzibilná toxická </w:t>
      </w:r>
      <w:proofErr w:type="spellStart"/>
      <w:r>
        <w:t>amblyopia</w:t>
      </w:r>
      <w:proofErr w:type="spellEnd"/>
      <w:r>
        <w:t>.</w:t>
      </w:r>
    </w:p>
    <w:p w14:paraId="01D9EAB0" w14:textId="77777777" w:rsidR="00D751FA" w:rsidRPr="004066EE" w:rsidRDefault="00D751FA" w:rsidP="002C2D79">
      <w:pPr>
        <w:autoSpaceDE w:val="0"/>
        <w:autoSpaceDN w:val="0"/>
        <w:adjustRightInd w:val="0"/>
        <w:spacing w:line="240" w:lineRule="auto"/>
        <w:jc w:val="both"/>
        <w:rPr>
          <w:i/>
          <w:iCs/>
          <w:szCs w:val="22"/>
          <w:u w:val="single"/>
        </w:rPr>
      </w:pPr>
    </w:p>
    <w:p w14:paraId="200D1ACF" w14:textId="77777777" w:rsidR="00D751FA" w:rsidRPr="004066EE" w:rsidRDefault="00D751FA" w:rsidP="002C2D79">
      <w:pPr>
        <w:autoSpaceDE w:val="0"/>
        <w:autoSpaceDN w:val="0"/>
        <w:adjustRightInd w:val="0"/>
        <w:spacing w:line="240" w:lineRule="auto"/>
        <w:jc w:val="both"/>
        <w:rPr>
          <w:i/>
          <w:iCs/>
          <w:szCs w:val="22"/>
          <w:u w:val="single"/>
        </w:rPr>
      </w:pPr>
      <w:r>
        <w:rPr>
          <w:i/>
          <w:iCs/>
          <w:szCs w:val="22"/>
          <w:u w:val="single"/>
        </w:rPr>
        <w:t>Poruchy ucha a labyrintu</w:t>
      </w:r>
    </w:p>
    <w:p w14:paraId="31CA4BDF" w14:textId="115F6841" w:rsidR="00D751FA" w:rsidRPr="004066EE" w:rsidRDefault="00D751FA" w:rsidP="002C2D79">
      <w:pPr>
        <w:autoSpaceDE w:val="0"/>
        <w:autoSpaceDN w:val="0"/>
        <w:adjustRightInd w:val="0"/>
        <w:spacing w:line="240" w:lineRule="auto"/>
        <w:jc w:val="both"/>
        <w:rPr>
          <w:szCs w:val="22"/>
        </w:rPr>
      </w:pPr>
      <w:r>
        <w:t xml:space="preserve">Menej časté: </w:t>
      </w:r>
      <w:proofErr w:type="spellStart"/>
      <w:r w:rsidR="00B659A7">
        <w:t>Tinnitus</w:t>
      </w:r>
      <w:proofErr w:type="spellEnd"/>
      <w:r>
        <w:t>.</w:t>
      </w:r>
    </w:p>
    <w:p w14:paraId="38CD7E3B" w14:textId="77777777" w:rsidR="00D751FA" w:rsidRPr="004066EE" w:rsidRDefault="00D751FA" w:rsidP="002C2D79">
      <w:pPr>
        <w:autoSpaceDE w:val="0"/>
        <w:autoSpaceDN w:val="0"/>
        <w:adjustRightInd w:val="0"/>
        <w:spacing w:line="240" w:lineRule="auto"/>
        <w:jc w:val="both"/>
        <w:rPr>
          <w:szCs w:val="22"/>
        </w:rPr>
      </w:pPr>
      <w:r>
        <w:t>Zriedkavé: Zhoršený sluch.</w:t>
      </w:r>
    </w:p>
    <w:p w14:paraId="3E707D91" w14:textId="77777777" w:rsidR="00D751FA" w:rsidRPr="004066EE" w:rsidRDefault="00D751FA" w:rsidP="002C2D79">
      <w:pPr>
        <w:autoSpaceDE w:val="0"/>
        <w:autoSpaceDN w:val="0"/>
        <w:adjustRightInd w:val="0"/>
        <w:spacing w:line="240" w:lineRule="auto"/>
        <w:jc w:val="both"/>
        <w:rPr>
          <w:i/>
          <w:iCs/>
          <w:szCs w:val="22"/>
          <w:u w:val="single"/>
        </w:rPr>
      </w:pPr>
    </w:p>
    <w:p w14:paraId="7C8DFF3C" w14:textId="77777777" w:rsidR="00D751FA" w:rsidRPr="004066EE" w:rsidRDefault="00D751FA" w:rsidP="002C2D79">
      <w:pPr>
        <w:autoSpaceDE w:val="0"/>
        <w:autoSpaceDN w:val="0"/>
        <w:adjustRightInd w:val="0"/>
        <w:spacing w:line="240" w:lineRule="auto"/>
        <w:jc w:val="both"/>
        <w:rPr>
          <w:i/>
          <w:iCs/>
          <w:szCs w:val="22"/>
          <w:u w:val="single"/>
        </w:rPr>
      </w:pPr>
      <w:r>
        <w:rPr>
          <w:i/>
          <w:iCs/>
          <w:szCs w:val="22"/>
          <w:u w:val="single"/>
        </w:rPr>
        <w:t>Poruchy gastrointestinálneho traktu</w:t>
      </w:r>
    </w:p>
    <w:p w14:paraId="6E859FA6" w14:textId="77777777" w:rsidR="00D751FA" w:rsidRPr="004066EE" w:rsidRDefault="00D751FA" w:rsidP="002C2D79">
      <w:pPr>
        <w:autoSpaceDE w:val="0"/>
        <w:autoSpaceDN w:val="0"/>
        <w:adjustRightInd w:val="0"/>
        <w:spacing w:line="240" w:lineRule="auto"/>
        <w:jc w:val="both"/>
        <w:rPr>
          <w:szCs w:val="22"/>
        </w:rPr>
      </w:pPr>
      <w:r>
        <w:t xml:space="preserve">Veľmi časté: </w:t>
      </w:r>
      <w:proofErr w:type="spellStart"/>
      <w:r>
        <w:t>Dyspepsia</w:t>
      </w:r>
      <w:proofErr w:type="spellEnd"/>
      <w:r>
        <w:t>, bolesť brucha.</w:t>
      </w:r>
    </w:p>
    <w:p w14:paraId="174A9114" w14:textId="77777777" w:rsidR="00D751FA" w:rsidRPr="004066EE" w:rsidRDefault="00D751FA" w:rsidP="002C2D79">
      <w:pPr>
        <w:autoSpaceDE w:val="0"/>
        <w:autoSpaceDN w:val="0"/>
        <w:adjustRightInd w:val="0"/>
        <w:spacing w:line="240" w:lineRule="auto"/>
        <w:jc w:val="both"/>
        <w:rPr>
          <w:szCs w:val="22"/>
        </w:rPr>
      </w:pPr>
      <w:r>
        <w:t>Časté: Hnačka, nevoľnosť, vracanie.</w:t>
      </w:r>
    </w:p>
    <w:p w14:paraId="22AC63CA" w14:textId="77777777" w:rsidR="00D751FA" w:rsidRPr="004066EE" w:rsidRDefault="00D751FA" w:rsidP="002C2D79">
      <w:pPr>
        <w:autoSpaceDE w:val="0"/>
        <w:autoSpaceDN w:val="0"/>
        <w:adjustRightInd w:val="0"/>
        <w:spacing w:line="240" w:lineRule="auto"/>
        <w:jc w:val="both"/>
        <w:rPr>
          <w:szCs w:val="22"/>
        </w:rPr>
      </w:pPr>
      <w:r>
        <w:t>Menej časté: Gastrointestinálne vredy a krvácanie, gastritída</w:t>
      </w:r>
      <w:r>
        <w:rPr>
          <w:b/>
          <w:bCs/>
          <w:i/>
          <w:iCs/>
          <w:szCs w:val="22"/>
        </w:rPr>
        <w:t>,</w:t>
      </w:r>
      <w:r>
        <w:t xml:space="preserve"> </w:t>
      </w:r>
      <w:proofErr w:type="spellStart"/>
      <w:r>
        <w:t>ulcerózna</w:t>
      </w:r>
      <w:proofErr w:type="spellEnd"/>
      <w:r>
        <w:t xml:space="preserve"> </w:t>
      </w:r>
      <w:proofErr w:type="spellStart"/>
      <w:r>
        <w:t>stomatitída</w:t>
      </w:r>
      <w:proofErr w:type="spellEnd"/>
      <w:r>
        <w:t xml:space="preserve">, </w:t>
      </w:r>
      <w:proofErr w:type="spellStart"/>
      <w:r>
        <w:t>meléna</w:t>
      </w:r>
      <w:proofErr w:type="spellEnd"/>
      <w:r>
        <w:t>.</w:t>
      </w:r>
    </w:p>
    <w:p w14:paraId="4A7D06B6" w14:textId="0175DEDC" w:rsidR="00D751FA" w:rsidRPr="004066EE" w:rsidRDefault="00D751FA" w:rsidP="002C2D79">
      <w:pPr>
        <w:autoSpaceDE w:val="0"/>
        <w:autoSpaceDN w:val="0"/>
        <w:adjustRightInd w:val="0"/>
        <w:spacing w:line="240" w:lineRule="auto"/>
        <w:jc w:val="both"/>
        <w:rPr>
          <w:szCs w:val="22"/>
        </w:rPr>
      </w:pPr>
      <w:r>
        <w:t xml:space="preserve">Zriedkavé: Gastrointestinálna perforácia, plynatosť, zápcha, </w:t>
      </w:r>
      <w:proofErr w:type="spellStart"/>
      <w:r>
        <w:t>ezofagitída</w:t>
      </w:r>
      <w:proofErr w:type="spellEnd"/>
      <w:r>
        <w:t xml:space="preserve">, zúženie pažeráka, zhoršenie </w:t>
      </w:r>
      <w:proofErr w:type="spellStart"/>
      <w:r>
        <w:t>divertikulárnej</w:t>
      </w:r>
      <w:proofErr w:type="spellEnd"/>
      <w:r>
        <w:t xml:space="preserve"> choroby, nešpecifická </w:t>
      </w:r>
      <w:proofErr w:type="spellStart"/>
      <w:r>
        <w:t>hemoragická</w:t>
      </w:r>
      <w:proofErr w:type="spellEnd"/>
      <w:r>
        <w:t xml:space="preserve"> kolitída, </w:t>
      </w:r>
      <w:proofErr w:type="spellStart"/>
      <w:r>
        <w:t>ulcerózna</w:t>
      </w:r>
      <w:proofErr w:type="spellEnd"/>
      <w:r>
        <w:t xml:space="preserve"> </w:t>
      </w:r>
      <w:proofErr w:type="spellStart"/>
      <w:r>
        <w:t>kolitída</w:t>
      </w:r>
      <w:proofErr w:type="spellEnd"/>
      <w:r>
        <w:t xml:space="preserve"> alebo </w:t>
      </w:r>
      <w:proofErr w:type="spellStart"/>
      <w:r>
        <w:t>Crohnova</w:t>
      </w:r>
      <w:proofErr w:type="spellEnd"/>
      <w:r>
        <w:t xml:space="preserve"> choroba.</w:t>
      </w:r>
    </w:p>
    <w:p w14:paraId="39775526" w14:textId="77777777" w:rsidR="00D751FA" w:rsidRPr="004066EE" w:rsidRDefault="00D751FA" w:rsidP="002C2D79">
      <w:pPr>
        <w:autoSpaceDE w:val="0"/>
        <w:autoSpaceDN w:val="0"/>
        <w:adjustRightInd w:val="0"/>
        <w:spacing w:line="240" w:lineRule="auto"/>
        <w:jc w:val="both"/>
        <w:rPr>
          <w:szCs w:val="22"/>
        </w:rPr>
      </w:pPr>
      <w:r>
        <w:t>Ak dôjde ku gastrointestinálnej strate krvi, môže to spôsobiť anémiu a </w:t>
      </w:r>
      <w:proofErr w:type="spellStart"/>
      <w:r>
        <w:t>hematemézu</w:t>
      </w:r>
      <w:proofErr w:type="spellEnd"/>
      <w:r>
        <w:t>.</w:t>
      </w:r>
    </w:p>
    <w:p w14:paraId="320A7543" w14:textId="77777777" w:rsidR="00D751FA" w:rsidRPr="004066EE" w:rsidRDefault="00D751FA" w:rsidP="002C2D79">
      <w:pPr>
        <w:autoSpaceDE w:val="0"/>
        <w:autoSpaceDN w:val="0"/>
        <w:adjustRightInd w:val="0"/>
        <w:spacing w:line="240" w:lineRule="auto"/>
        <w:jc w:val="both"/>
        <w:rPr>
          <w:szCs w:val="22"/>
        </w:rPr>
      </w:pPr>
    </w:p>
    <w:p w14:paraId="564158BD" w14:textId="77777777" w:rsidR="00D751FA" w:rsidRPr="004066EE" w:rsidRDefault="00D751FA" w:rsidP="002C2D79">
      <w:pPr>
        <w:autoSpaceDE w:val="0"/>
        <w:autoSpaceDN w:val="0"/>
        <w:adjustRightInd w:val="0"/>
        <w:spacing w:line="240" w:lineRule="auto"/>
        <w:jc w:val="both"/>
        <w:rPr>
          <w:i/>
          <w:iCs/>
          <w:szCs w:val="22"/>
          <w:u w:val="single"/>
        </w:rPr>
      </w:pPr>
      <w:r>
        <w:rPr>
          <w:i/>
          <w:iCs/>
          <w:szCs w:val="22"/>
          <w:u w:val="single"/>
        </w:rPr>
        <w:t>Poruchy kože a podkožného tkaniva</w:t>
      </w:r>
    </w:p>
    <w:p w14:paraId="23F63CDA" w14:textId="142F3F29" w:rsidR="00D751FA" w:rsidRPr="004066EE" w:rsidRDefault="00D751FA" w:rsidP="002C2D79">
      <w:pPr>
        <w:autoSpaceDE w:val="0"/>
        <w:autoSpaceDN w:val="0"/>
        <w:adjustRightInd w:val="0"/>
        <w:spacing w:line="240" w:lineRule="auto"/>
        <w:jc w:val="both"/>
        <w:rPr>
          <w:szCs w:val="22"/>
        </w:rPr>
      </w:pPr>
      <w:r>
        <w:t>Časté: Vyrážk</w:t>
      </w:r>
      <w:r w:rsidR="00B659A7">
        <w:t>a</w:t>
      </w:r>
      <w:r>
        <w:t>.</w:t>
      </w:r>
    </w:p>
    <w:p w14:paraId="38894A24" w14:textId="77777777" w:rsidR="00D751FA" w:rsidRPr="004066EE" w:rsidRDefault="00D751FA" w:rsidP="002C2D79">
      <w:pPr>
        <w:autoSpaceDE w:val="0"/>
        <w:autoSpaceDN w:val="0"/>
        <w:adjustRightInd w:val="0"/>
        <w:spacing w:line="240" w:lineRule="auto"/>
        <w:jc w:val="both"/>
        <w:rPr>
          <w:szCs w:val="22"/>
        </w:rPr>
      </w:pPr>
      <w:r>
        <w:t xml:space="preserve">Menej časté: </w:t>
      </w:r>
      <w:proofErr w:type="spellStart"/>
      <w:r>
        <w:t>Urtikária</w:t>
      </w:r>
      <w:proofErr w:type="spellEnd"/>
      <w:r>
        <w:t xml:space="preserve">, </w:t>
      </w:r>
      <w:proofErr w:type="spellStart"/>
      <w:r>
        <w:t>pruritus</w:t>
      </w:r>
      <w:proofErr w:type="spellEnd"/>
      <w:r>
        <w:t>.</w:t>
      </w:r>
    </w:p>
    <w:p w14:paraId="05EE23D8" w14:textId="7C683EDE" w:rsidR="00D751FA" w:rsidRDefault="00D751FA" w:rsidP="002C2D79">
      <w:pPr>
        <w:autoSpaceDE w:val="0"/>
        <w:autoSpaceDN w:val="0"/>
        <w:adjustRightInd w:val="0"/>
        <w:spacing w:line="240" w:lineRule="auto"/>
        <w:jc w:val="both"/>
        <w:rPr>
          <w:szCs w:val="22"/>
        </w:rPr>
      </w:pPr>
      <w:r>
        <w:t xml:space="preserve">Veľmi zriedkavé: </w:t>
      </w:r>
      <w:proofErr w:type="spellStart"/>
      <w:r>
        <w:t>Multiformný</w:t>
      </w:r>
      <w:proofErr w:type="spellEnd"/>
      <w:r>
        <w:t xml:space="preserve"> </w:t>
      </w:r>
      <w:proofErr w:type="spellStart"/>
      <w:r>
        <w:t>erytém</w:t>
      </w:r>
      <w:proofErr w:type="spellEnd"/>
      <w:r>
        <w:t xml:space="preserve">, </w:t>
      </w:r>
      <w:proofErr w:type="spellStart"/>
      <w:r>
        <w:t>epidermálna</w:t>
      </w:r>
      <w:proofErr w:type="spellEnd"/>
      <w:r>
        <w:t xml:space="preserve"> </w:t>
      </w:r>
      <w:proofErr w:type="spellStart"/>
      <w:r>
        <w:t>nekrolýza</w:t>
      </w:r>
      <w:proofErr w:type="spellEnd"/>
      <w:r>
        <w:t xml:space="preserve">, systémový </w:t>
      </w:r>
      <w:proofErr w:type="spellStart"/>
      <w:r>
        <w:t>lupus</w:t>
      </w:r>
      <w:proofErr w:type="spellEnd"/>
      <w:r>
        <w:t xml:space="preserve"> </w:t>
      </w:r>
      <w:proofErr w:type="spellStart"/>
      <w:r>
        <w:t>erythematosus</w:t>
      </w:r>
      <w:proofErr w:type="spellEnd"/>
      <w:r>
        <w:t xml:space="preserve">, </w:t>
      </w:r>
      <w:proofErr w:type="spellStart"/>
      <w:r>
        <w:t>alopécia</w:t>
      </w:r>
      <w:proofErr w:type="spellEnd"/>
      <w:r>
        <w:t xml:space="preserve">, </w:t>
      </w:r>
      <w:proofErr w:type="spellStart"/>
      <w:r>
        <w:t>fotosenzitívne</w:t>
      </w:r>
      <w:proofErr w:type="spellEnd"/>
      <w:r>
        <w:t xml:space="preserve"> reakcie, </w:t>
      </w:r>
      <w:proofErr w:type="spellStart"/>
      <w:r>
        <w:t>bulózne</w:t>
      </w:r>
      <w:proofErr w:type="spellEnd"/>
      <w:r>
        <w:t xml:space="preserve"> reakcie</w:t>
      </w:r>
      <w:r>
        <w:rPr>
          <w:b/>
          <w:bCs/>
          <w:i/>
          <w:iCs/>
          <w:szCs w:val="22"/>
        </w:rPr>
        <w:t xml:space="preserve"> </w:t>
      </w:r>
      <w:r>
        <w:t>vrátane</w:t>
      </w:r>
      <w:r>
        <w:rPr>
          <w:b/>
          <w:bCs/>
          <w:i/>
          <w:iCs/>
          <w:szCs w:val="22"/>
        </w:rPr>
        <w:t xml:space="preserve"> </w:t>
      </w:r>
      <w:proofErr w:type="spellStart"/>
      <w:r>
        <w:t>Stevensovho-Johnsonovho</w:t>
      </w:r>
      <w:proofErr w:type="spellEnd"/>
      <w:r>
        <w:t xml:space="preserve"> syndrómu, akútna toxická </w:t>
      </w:r>
      <w:proofErr w:type="spellStart"/>
      <w:r>
        <w:t>epidermálna</w:t>
      </w:r>
      <w:proofErr w:type="spellEnd"/>
      <w:r>
        <w:t xml:space="preserve"> </w:t>
      </w:r>
      <w:proofErr w:type="spellStart"/>
      <w:r>
        <w:t>nekrolýza</w:t>
      </w:r>
      <w:proofErr w:type="spellEnd"/>
      <w:r>
        <w:t xml:space="preserve"> (</w:t>
      </w:r>
      <w:proofErr w:type="spellStart"/>
      <w:r>
        <w:t>Lyellov</w:t>
      </w:r>
      <w:proofErr w:type="spellEnd"/>
      <w:r>
        <w:t xml:space="preserve"> syndróm) a alergická </w:t>
      </w:r>
      <w:proofErr w:type="spellStart"/>
      <w:r>
        <w:t>vaskulitída</w:t>
      </w:r>
      <w:proofErr w:type="spellEnd"/>
      <w:r>
        <w:t>.</w:t>
      </w:r>
    </w:p>
    <w:p w14:paraId="4640D09F" w14:textId="5B607CA6" w:rsidR="00D647C6" w:rsidRPr="004066EE" w:rsidRDefault="00D647C6" w:rsidP="002C2D79">
      <w:pPr>
        <w:autoSpaceDE w:val="0"/>
        <w:autoSpaceDN w:val="0"/>
        <w:adjustRightInd w:val="0"/>
        <w:spacing w:line="240" w:lineRule="auto"/>
        <w:jc w:val="both"/>
        <w:rPr>
          <w:szCs w:val="22"/>
        </w:rPr>
      </w:pPr>
      <w:r>
        <w:t xml:space="preserve">Neznáme: Akútna generalizovaná </w:t>
      </w:r>
      <w:proofErr w:type="spellStart"/>
      <w:r>
        <w:t>exantematózna</w:t>
      </w:r>
      <w:proofErr w:type="spellEnd"/>
      <w:r>
        <w:t xml:space="preserve"> </w:t>
      </w:r>
      <w:proofErr w:type="spellStart"/>
      <w:r>
        <w:t>pustulóza</w:t>
      </w:r>
      <w:proofErr w:type="spellEnd"/>
      <w:r>
        <w:t xml:space="preserve"> (AGEP), reakcia na liek s </w:t>
      </w:r>
      <w:proofErr w:type="spellStart"/>
      <w:r>
        <w:t>eozinofíliou</w:t>
      </w:r>
      <w:proofErr w:type="spellEnd"/>
      <w:r>
        <w:t xml:space="preserve"> a systémové príznaky (syndróm DRESS).</w:t>
      </w:r>
    </w:p>
    <w:p w14:paraId="1BE1C400" w14:textId="77777777" w:rsidR="00D751FA" w:rsidRPr="00E95126" w:rsidRDefault="00D751FA" w:rsidP="002C2D79">
      <w:pPr>
        <w:autoSpaceDE w:val="0"/>
        <w:autoSpaceDN w:val="0"/>
        <w:adjustRightInd w:val="0"/>
        <w:spacing w:line="240" w:lineRule="auto"/>
        <w:jc w:val="both"/>
        <w:rPr>
          <w:szCs w:val="22"/>
          <w:u w:val="single"/>
        </w:rPr>
      </w:pPr>
    </w:p>
    <w:p w14:paraId="3F29061F" w14:textId="77777777" w:rsidR="00D751FA" w:rsidRPr="004066EE" w:rsidRDefault="00D751FA" w:rsidP="002C2D79">
      <w:pPr>
        <w:autoSpaceDE w:val="0"/>
        <w:autoSpaceDN w:val="0"/>
        <w:adjustRightInd w:val="0"/>
        <w:spacing w:line="240" w:lineRule="auto"/>
        <w:jc w:val="both"/>
        <w:rPr>
          <w:i/>
          <w:iCs/>
          <w:szCs w:val="22"/>
          <w:u w:val="single"/>
        </w:rPr>
      </w:pPr>
      <w:r>
        <w:rPr>
          <w:i/>
          <w:iCs/>
          <w:szCs w:val="22"/>
          <w:u w:val="single"/>
        </w:rPr>
        <w:t>Poruchy dýchacej sústavy, hrudníka a </w:t>
      </w:r>
      <w:proofErr w:type="spellStart"/>
      <w:r>
        <w:rPr>
          <w:i/>
          <w:iCs/>
          <w:szCs w:val="22"/>
          <w:u w:val="single"/>
        </w:rPr>
        <w:t>mediastína</w:t>
      </w:r>
      <w:proofErr w:type="spellEnd"/>
    </w:p>
    <w:p w14:paraId="23DCB01A" w14:textId="77777777" w:rsidR="00D751FA" w:rsidRPr="004066EE" w:rsidRDefault="00D751FA" w:rsidP="002C2D79">
      <w:pPr>
        <w:autoSpaceDE w:val="0"/>
        <w:autoSpaceDN w:val="0"/>
        <w:adjustRightInd w:val="0"/>
        <w:spacing w:line="240" w:lineRule="auto"/>
        <w:jc w:val="both"/>
        <w:rPr>
          <w:szCs w:val="22"/>
        </w:rPr>
      </w:pPr>
      <w:r>
        <w:t xml:space="preserve">Menej časté: </w:t>
      </w:r>
      <w:proofErr w:type="spellStart"/>
      <w:r>
        <w:t>Rinitída</w:t>
      </w:r>
      <w:proofErr w:type="spellEnd"/>
      <w:r>
        <w:t xml:space="preserve">, </w:t>
      </w:r>
      <w:proofErr w:type="spellStart"/>
      <w:r>
        <w:t>bronchospazmus</w:t>
      </w:r>
      <w:proofErr w:type="spellEnd"/>
      <w:r>
        <w:t>.</w:t>
      </w:r>
    </w:p>
    <w:p w14:paraId="645C8AF1" w14:textId="77777777" w:rsidR="00D751FA" w:rsidRPr="004066EE" w:rsidRDefault="00D751FA" w:rsidP="002C2D79">
      <w:pPr>
        <w:autoSpaceDE w:val="0"/>
        <w:autoSpaceDN w:val="0"/>
        <w:adjustRightInd w:val="0"/>
        <w:spacing w:line="240" w:lineRule="auto"/>
        <w:jc w:val="both"/>
        <w:rPr>
          <w:i/>
          <w:iCs/>
          <w:szCs w:val="22"/>
          <w:u w:val="single"/>
        </w:rPr>
      </w:pPr>
    </w:p>
    <w:p w14:paraId="4D4B33EA" w14:textId="77777777" w:rsidR="00D751FA" w:rsidRPr="004066EE" w:rsidRDefault="00D751FA" w:rsidP="002C2D79">
      <w:pPr>
        <w:autoSpaceDE w:val="0"/>
        <w:autoSpaceDN w:val="0"/>
        <w:adjustRightInd w:val="0"/>
        <w:spacing w:line="240" w:lineRule="auto"/>
        <w:jc w:val="both"/>
        <w:rPr>
          <w:i/>
          <w:iCs/>
          <w:szCs w:val="22"/>
          <w:u w:val="single"/>
        </w:rPr>
      </w:pPr>
      <w:r>
        <w:rPr>
          <w:i/>
          <w:iCs/>
          <w:szCs w:val="22"/>
          <w:u w:val="single"/>
        </w:rPr>
        <w:t>Poruchy obličiek a močových ciest</w:t>
      </w:r>
    </w:p>
    <w:p w14:paraId="59137538" w14:textId="77777777" w:rsidR="00D751FA" w:rsidRPr="004066EE" w:rsidRDefault="00D751FA" w:rsidP="002C2D79">
      <w:pPr>
        <w:autoSpaceDE w:val="0"/>
        <w:autoSpaceDN w:val="0"/>
        <w:adjustRightInd w:val="0"/>
        <w:spacing w:line="240" w:lineRule="auto"/>
        <w:jc w:val="both"/>
        <w:rPr>
          <w:szCs w:val="22"/>
        </w:rPr>
      </w:pPr>
      <w:r>
        <w:t xml:space="preserve">Veľmi zriedkavé: </w:t>
      </w:r>
      <w:proofErr w:type="spellStart"/>
      <w:r>
        <w:t>Intersticiálna</w:t>
      </w:r>
      <w:proofErr w:type="spellEnd"/>
      <w:r>
        <w:t xml:space="preserve"> </w:t>
      </w:r>
      <w:proofErr w:type="spellStart"/>
      <w:r>
        <w:t>nefritída</w:t>
      </w:r>
      <w:proofErr w:type="spellEnd"/>
      <w:r>
        <w:t xml:space="preserve">, </w:t>
      </w:r>
      <w:proofErr w:type="spellStart"/>
      <w:r>
        <w:t>nefrotický</w:t>
      </w:r>
      <w:proofErr w:type="spellEnd"/>
      <w:r>
        <w:t xml:space="preserve"> syndróm alebo zlyhanie obličiek.</w:t>
      </w:r>
    </w:p>
    <w:p w14:paraId="5A84BDAF" w14:textId="77777777" w:rsidR="00D751FA" w:rsidRPr="004066EE" w:rsidRDefault="00D751FA" w:rsidP="002C2D79">
      <w:pPr>
        <w:autoSpaceDE w:val="0"/>
        <w:autoSpaceDN w:val="0"/>
        <w:adjustRightInd w:val="0"/>
        <w:spacing w:line="240" w:lineRule="auto"/>
        <w:jc w:val="both"/>
        <w:rPr>
          <w:i/>
          <w:iCs/>
          <w:szCs w:val="22"/>
          <w:u w:val="single"/>
        </w:rPr>
      </w:pPr>
    </w:p>
    <w:p w14:paraId="316DC255" w14:textId="5A8E43E3" w:rsidR="00D751FA" w:rsidRPr="004066EE" w:rsidRDefault="00C5699F" w:rsidP="002C2D79">
      <w:pPr>
        <w:autoSpaceDE w:val="0"/>
        <w:autoSpaceDN w:val="0"/>
        <w:adjustRightInd w:val="0"/>
        <w:spacing w:line="240" w:lineRule="auto"/>
        <w:jc w:val="both"/>
        <w:rPr>
          <w:i/>
          <w:iCs/>
          <w:szCs w:val="22"/>
          <w:u w:val="single"/>
        </w:rPr>
      </w:pPr>
      <w:r>
        <w:rPr>
          <w:i/>
          <w:iCs/>
          <w:szCs w:val="22"/>
          <w:u w:val="single"/>
        </w:rPr>
        <w:t>Poruchy pečene a žlčových ciest</w:t>
      </w:r>
    </w:p>
    <w:p w14:paraId="5AC515F6" w14:textId="77777777" w:rsidR="00D751FA" w:rsidRPr="004066EE" w:rsidRDefault="00D751FA" w:rsidP="002C2D79">
      <w:pPr>
        <w:autoSpaceDE w:val="0"/>
        <w:autoSpaceDN w:val="0"/>
        <w:adjustRightInd w:val="0"/>
        <w:spacing w:line="240" w:lineRule="auto"/>
        <w:jc w:val="both"/>
        <w:rPr>
          <w:szCs w:val="22"/>
        </w:rPr>
      </w:pPr>
      <w:r>
        <w:t>Zriedkavé: Abnormálna funkcia pečene, hepatitída a žltačka.</w:t>
      </w:r>
    </w:p>
    <w:p w14:paraId="55E86B76" w14:textId="77777777" w:rsidR="00D751FA" w:rsidRPr="004066EE" w:rsidRDefault="00D751FA" w:rsidP="002C2D79">
      <w:pPr>
        <w:autoSpaceDE w:val="0"/>
        <w:autoSpaceDN w:val="0"/>
        <w:adjustRightInd w:val="0"/>
        <w:spacing w:line="240" w:lineRule="auto"/>
        <w:jc w:val="both"/>
        <w:rPr>
          <w:i/>
          <w:iCs/>
          <w:szCs w:val="22"/>
          <w:u w:val="single"/>
        </w:rPr>
      </w:pPr>
    </w:p>
    <w:p w14:paraId="506F79B0" w14:textId="7396CE8D" w:rsidR="00D751FA" w:rsidRPr="004066EE" w:rsidRDefault="00B659A7" w:rsidP="002C2D79">
      <w:pPr>
        <w:autoSpaceDE w:val="0"/>
        <w:autoSpaceDN w:val="0"/>
        <w:adjustRightInd w:val="0"/>
        <w:spacing w:line="240" w:lineRule="auto"/>
        <w:jc w:val="both"/>
        <w:rPr>
          <w:i/>
          <w:iCs/>
          <w:szCs w:val="22"/>
          <w:u w:val="single"/>
        </w:rPr>
      </w:pPr>
      <w:r>
        <w:rPr>
          <w:i/>
          <w:iCs/>
          <w:szCs w:val="22"/>
          <w:u w:val="single"/>
        </w:rPr>
        <w:t>Celkov</w:t>
      </w:r>
      <w:r w:rsidR="00D751FA">
        <w:rPr>
          <w:i/>
          <w:iCs/>
          <w:szCs w:val="22"/>
          <w:u w:val="single"/>
        </w:rPr>
        <w:t>é poruchy</w:t>
      </w:r>
    </w:p>
    <w:p w14:paraId="5F9C3D63" w14:textId="77777777" w:rsidR="00D751FA" w:rsidRPr="004066EE" w:rsidRDefault="00D751FA" w:rsidP="002C2D79">
      <w:pPr>
        <w:autoSpaceDE w:val="0"/>
        <w:autoSpaceDN w:val="0"/>
        <w:adjustRightInd w:val="0"/>
        <w:spacing w:line="240" w:lineRule="auto"/>
        <w:jc w:val="both"/>
        <w:rPr>
          <w:szCs w:val="22"/>
        </w:rPr>
      </w:pPr>
      <w:r>
        <w:t>Časté: Únava.</w:t>
      </w:r>
    </w:p>
    <w:p w14:paraId="07EBE0C0" w14:textId="77777777" w:rsidR="00D751FA" w:rsidRPr="004066EE" w:rsidRDefault="00D751FA" w:rsidP="002C2D79">
      <w:pPr>
        <w:autoSpaceDE w:val="0"/>
        <w:autoSpaceDN w:val="0"/>
        <w:adjustRightInd w:val="0"/>
        <w:spacing w:line="240" w:lineRule="auto"/>
        <w:jc w:val="both"/>
        <w:rPr>
          <w:szCs w:val="22"/>
        </w:rPr>
      </w:pPr>
      <w:r>
        <w:t>Zadržiavanie tekutín v tele, pacienti s hypertenziou alebo zhoršením funkcie obličiek sa zdajú byť predisponovaní.</w:t>
      </w:r>
    </w:p>
    <w:p w14:paraId="7F19DACC" w14:textId="77777777" w:rsidR="00D751FA" w:rsidRPr="004066EE" w:rsidRDefault="00D751FA" w:rsidP="002C2D79">
      <w:pPr>
        <w:autoSpaceDE w:val="0"/>
        <w:autoSpaceDN w:val="0"/>
        <w:adjustRightInd w:val="0"/>
        <w:spacing w:line="240" w:lineRule="auto"/>
        <w:jc w:val="both"/>
        <w:rPr>
          <w:szCs w:val="22"/>
        </w:rPr>
      </w:pPr>
      <w:r>
        <w:tab/>
      </w:r>
    </w:p>
    <w:p w14:paraId="1DEBB507" w14:textId="7B7EDC13" w:rsidR="00D751FA" w:rsidRPr="004066EE" w:rsidRDefault="00D751FA" w:rsidP="002C2D79">
      <w:pPr>
        <w:autoSpaceDE w:val="0"/>
        <w:autoSpaceDN w:val="0"/>
        <w:adjustRightInd w:val="0"/>
        <w:spacing w:line="240" w:lineRule="auto"/>
        <w:jc w:val="both"/>
        <w:rPr>
          <w:iCs/>
          <w:szCs w:val="22"/>
        </w:rPr>
      </w:pPr>
      <w:r>
        <w:t xml:space="preserve">V súvislosti s liečbou </w:t>
      </w:r>
      <w:r w:rsidR="007A2BD5">
        <w:t>NSAID</w:t>
      </w:r>
      <w:r>
        <w:t xml:space="preserve"> boli hlásené prípady edému, hypertenzie a zlyhania srdca.</w:t>
      </w:r>
    </w:p>
    <w:p w14:paraId="768C9D30" w14:textId="77777777" w:rsidR="00D751FA" w:rsidRPr="004066EE" w:rsidRDefault="00D751FA" w:rsidP="002C2D79">
      <w:pPr>
        <w:autoSpaceDE w:val="0"/>
        <w:autoSpaceDN w:val="0"/>
        <w:adjustRightInd w:val="0"/>
        <w:spacing w:line="240" w:lineRule="auto"/>
        <w:jc w:val="both"/>
        <w:rPr>
          <w:szCs w:val="22"/>
        </w:rPr>
      </w:pPr>
    </w:p>
    <w:p w14:paraId="2B55D858" w14:textId="77777777" w:rsidR="00D13D9A" w:rsidRPr="0021295D" w:rsidRDefault="00D13D9A" w:rsidP="00D13D9A">
      <w:pPr>
        <w:rPr>
          <w:szCs w:val="22"/>
        </w:rPr>
      </w:pPr>
      <w:r>
        <w:t xml:space="preserve">Klinické štúdie naznačujú, že použitie </w:t>
      </w:r>
      <w:proofErr w:type="spellStart"/>
      <w:r>
        <w:t>ibuprofénu</w:t>
      </w:r>
      <w:proofErr w:type="spellEnd"/>
      <w:r>
        <w:t xml:space="preserve">, najmä vo vysokých dávkach (2 400 mg/deň), môže byť spojené s mierne zvýšeným rizikom </w:t>
      </w:r>
      <w:proofErr w:type="spellStart"/>
      <w:r>
        <w:t>arteriálnych</w:t>
      </w:r>
      <w:proofErr w:type="spellEnd"/>
      <w:r>
        <w:t xml:space="preserve"> </w:t>
      </w:r>
      <w:proofErr w:type="spellStart"/>
      <w:r>
        <w:t>trombotických</w:t>
      </w:r>
      <w:proofErr w:type="spellEnd"/>
      <w:r>
        <w:t xml:space="preserve"> príhod (napr. infarktu myokardu alebo cievnej mozgovej príhody) (pozri časť 4.4). Aj keď existujú obmedzené údaje o </w:t>
      </w:r>
      <w:proofErr w:type="spellStart"/>
      <w:r>
        <w:t>arteriálnom</w:t>
      </w:r>
      <w:proofErr w:type="spellEnd"/>
      <w:r>
        <w:t xml:space="preserve"> </w:t>
      </w:r>
      <w:proofErr w:type="spellStart"/>
      <w:r>
        <w:t>trombotickom</w:t>
      </w:r>
      <w:proofErr w:type="spellEnd"/>
      <w:r>
        <w:t xml:space="preserve"> riziku </w:t>
      </w:r>
      <w:proofErr w:type="spellStart"/>
      <w:r>
        <w:t>dexibuprofénu</w:t>
      </w:r>
      <w:proofErr w:type="spellEnd"/>
      <w:r>
        <w:t xml:space="preserve">, dá sa opodstatnene predpokladať, že riziko pri vysokej dávke </w:t>
      </w:r>
      <w:proofErr w:type="spellStart"/>
      <w:r>
        <w:t>dexibuprofénu</w:t>
      </w:r>
      <w:proofErr w:type="spellEnd"/>
      <w:r>
        <w:t xml:space="preserve"> (1 200 mg/deň) by bolo podobné riziku súvisiacemu s vysokou dávkou </w:t>
      </w:r>
      <w:proofErr w:type="spellStart"/>
      <w:r>
        <w:t>ibuprofénu</w:t>
      </w:r>
      <w:proofErr w:type="spellEnd"/>
      <w:r>
        <w:t xml:space="preserve"> (2 400 mg/deň).</w:t>
      </w:r>
    </w:p>
    <w:p w14:paraId="2B898251" w14:textId="55591ADE" w:rsidR="00D751FA" w:rsidRPr="004066EE" w:rsidRDefault="00D751FA" w:rsidP="002C2D79">
      <w:pPr>
        <w:autoSpaceDE w:val="0"/>
        <w:autoSpaceDN w:val="0"/>
        <w:adjustRightInd w:val="0"/>
        <w:spacing w:line="240" w:lineRule="auto"/>
        <w:jc w:val="both"/>
        <w:rPr>
          <w:szCs w:val="22"/>
        </w:rPr>
      </w:pPr>
    </w:p>
    <w:p w14:paraId="19C14F14" w14:textId="77777777" w:rsidR="00033D26" w:rsidRPr="004066EE" w:rsidRDefault="00033D26" w:rsidP="002C2D79">
      <w:pPr>
        <w:autoSpaceDE w:val="0"/>
        <w:autoSpaceDN w:val="0"/>
        <w:adjustRightInd w:val="0"/>
        <w:spacing w:line="240" w:lineRule="auto"/>
        <w:jc w:val="both"/>
        <w:rPr>
          <w:szCs w:val="22"/>
          <w:u w:val="single"/>
        </w:rPr>
      </w:pPr>
      <w:r>
        <w:rPr>
          <w:szCs w:val="22"/>
          <w:u w:val="single"/>
        </w:rPr>
        <w:t>Hlásenie podozrení na nežiaduce reakcie</w:t>
      </w:r>
    </w:p>
    <w:p w14:paraId="03D13F10" w14:textId="0F0464C1" w:rsidR="008D35AD" w:rsidRPr="004066EE" w:rsidRDefault="00033D26" w:rsidP="002C2D79">
      <w:pPr>
        <w:autoSpaceDE w:val="0"/>
        <w:autoSpaceDN w:val="0"/>
        <w:adjustRightInd w:val="0"/>
        <w:spacing w:line="240" w:lineRule="auto"/>
        <w:jc w:val="both"/>
        <w:rPr>
          <w:szCs w:val="22"/>
        </w:rPr>
      </w:pPr>
      <w:r>
        <w:t xml:space="preserve">Hlásenie podozrení na nežiaduce reakcie po registrácii lieku je dôležité. Umožňuje priebežné monitorovanie pomeru prínosu a rizika lieku. Od zdravotníckych pracovníkov sa vyžaduje, aby hlásili </w:t>
      </w:r>
      <w:r>
        <w:lastRenderedPageBreak/>
        <w:t>akékoľvek podozrenia na nežiaduce reakcie na</w:t>
      </w:r>
      <w:r w:rsidR="00EE28A8">
        <w:t xml:space="preserve"> </w:t>
      </w:r>
      <w:r w:rsidR="00EE28A8" w:rsidRPr="00783C7B">
        <w:rPr>
          <w:noProof/>
          <w:szCs w:val="22"/>
          <w:highlight w:val="lightGray"/>
        </w:rPr>
        <w:t>národné centrum hlásenia uvedené v </w:t>
      </w:r>
      <w:hyperlink r:id="rId7" w:history="1">
        <w:r w:rsidR="00EE28A8" w:rsidRPr="00783C7B">
          <w:rPr>
            <w:rStyle w:val="Hypertextovprepojenie"/>
            <w:noProof/>
            <w:szCs w:val="22"/>
            <w:highlight w:val="lightGray"/>
          </w:rPr>
          <w:t>Prílohe V</w:t>
        </w:r>
      </w:hyperlink>
      <w:r>
        <w:t>. Hlásením vedľajších účinkov môžete prispieť k získaniu ďalších informácií o bezpečnosti tohto lieku.</w:t>
      </w:r>
    </w:p>
    <w:p w14:paraId="146DE1DB" w14:textId="77777777" w:rsidR="0095757A" w:rsidRPr="004066EE" w:rsidRDefault="0095757A" w:rsidP="002C2D79">
      <w:pPr>
        <w:autoSpaceDE w:val="0"/>
        <w:autoSpaceDN w:val="0"/>
        <w:adjustRightInd w:val="0"/>
        <w:spacing w:line="240" w:lineRule="auto"/>
        <w:jc w:val="both"/>
        <w:rPr>
          <w:noProof/>
          <w:szCs w:val="22"/>
        </w:rPr>
      </w:pPr>
    </w:p>
    <w:p w14:paraId="0D6CF672" w14:textId="77777777" w:rsidR="00812D16" w:rsidRPr="004066EE" w:rsidRDefault="00812D16" w:rsidP="002C2D79">
      <w:pPr>
        <w:spacing w:line="240" w:lineRule="auto"/>
        <w:ind w:left="567" w:hanging="567"/>
        <w:jc w:val="both"/>
        <w:outlineLvl w:val="0"/>
        <w:rPr>
          <w:noProof/>
          <w:szCs w:val="22"/>
        </w:rPr>
      </w:pPr>
      <w:r>
        <w:rPr>
          <w:b/>
          <w:szCs w:val="22"/>
        </w:rPr>
        <w:t>4.9</w:t>
      </w:r>
      <w:r>
        <w:rPr>
          <w:b/>
          <w:szCs w:val="22"/>
        </w:rPr>
        <w:tab/>
        <w:t>Predávkovanie</w:t>
      </w:r>
    </w:p>
    <w:p w14:paraId="28373EA5" w14:textId="77777777" w:rsidR="00812D16" w:rsidRPr="004066EE" w:rsidRDefault="00812D16" w:rsidP="002C2D79">
      <w:pPr>
        <w:spacing w:line="240" w:lineRule="auto"/>
        <w:jc w:val="both"/>
        <w:rPr>
          <w:noProof/>
          <w:szCs w:val="22"/>
        </w:rPr>
      </w:pPr>
    </w:p>
    <w:p w14:paraId="4FA0FF08" w14:textId="77777777" w:rsidR="005D6361" w:rsidRPr="004066EE" w:rsidRDefault="005D6361" w:rsidP="002C2D79">
      <w:pPr>
        <w:jc w:val="both"/>
        <w:rPr>
          <w:szCs w:val="22"/>
        </w:rPr>
      </w:pPr>
      <w:proofErr w:type="spellStart"/>
      <w:r>
        <w:t>Dexibuprofén</w:t>
      </w:r>
      <w:proofErr w:type="spellEnd"/>
      <w:r>
        <w:t xml:space="preserve"> má nízku akútnu toxicitu a pacienti prežili po jednorazových dávkach až 54 g </w:t>
      </w:r>
      <w:proofErr w:type="spellStart"/>
      <w:r>
        <w:t>ibuprofénu</w:t>
      </w:r>
      <w:proofErr w:type="spellEnd"/>
      <w:r>
        <w:t xml:space="preserve"> (čo zodpovedá približne 27 g </w:t>
      </w:r>
      <w:proofErr w:type="spellStart"/>
      <w:r>
        <w:t>dexibuprofénu</w:t>
      </w:r>
      <w:proofErr w:type="spellEnd"/>
      <w:r>
        <w:t xml:space="preserve">). Väčšina predávkovaní bola asymptomatická. Pri dávkach &gt; 80 – 100 mg/kg </w:t>
      </w:r>
      <w:proofErr w:type="spellStart"/>
      <w:r>
        <w:t>ibuprofénu</w:t>
      </w:r>
      <w:proofErr w:type="spellEnd"/>
      <w:r>
        <w:t xml:space="preserve"> existuje riziko príznakov. </w:t>
      </w:r>
    </w:p>
    <w:p w14:paraId="6E64BD88" w14:textId="4CCDB19F" w:rsidR="005D6361" w:rsidRPr="004066EE" w:rsidRDefault="005D6361" w:rsidP="002C2D79">
      <w:pPr>
        <w:jc w:val="both"/>
        <w:rPr>
          <w:szCs w:val="22"/>
        </w:rPr>
      </w:pPr>
      <w:r>
        <w:t xml:space="preserve">Nástup príznakov sa zvyčajne objavuje do 4 hodín. Mierne príznaky sú najčastejšie a zahŕňajú bolesť brucha, nevoľnosť, vracanie, letargiu, ospalosť, bolesť hlavy, </w:t>
      </w:r>
      <w:proofErr w:type="spellStart"/>
      <w:r>
        <w:t>nystagmus</w:t>
      </w:r>
      <w:proofErr w:type="spellEnd"/>
      <w:r>
        <w:t xml:space="preserve">, </w:t>
      </w:r>
      <w:proofErr w:type="spellStart"/>
      <w:r w:rsidR="00B659A7">
        <w:t>tinnitus</w:t>
      </w:r>
      <w:proofErr w:type="spellEnd"/>
      <w:r>
        <w:t>, závraty a </w:t>
      </w:r>
      <w:proofErr w:type="spellStart"/>
      <w:r>
        <w:t>ataxiu</w:t>
      </w:r>
      <w:proofErr w:type="spellEnd"/>
      <w:r>
        <w:t xml:space="preserve">. Zriedkavo sa vyskytovali stredne závažné alebo závažné príznaky, ako napríklad gastrointestinálne krvácanie, hypotenzia, hypotermia, záchvaty, zhoršená funkcia obličiek, kóma, syndróm respiračnej tiesne u dospelých a prechodné epizódy </w:t>
      </w:r>
      <w:proofErr w:type="spellStart"/>
      <w:r>
        <w:t>apnoe</w:t>
      </w:r>
      <w:proofErr w:type="spellEnd"/>
      <w:r>
        <w:t xml:space="preserve"> (u veľmi malých detí po požití veľkých dávok). Pri závažnej otrave môže dôjsť k metabolickej acidóze.</w:t>
      </w:r>
    </w:p>
    <w:p w14:paraId="29C7EC44" w14:textId="77777777" w:rsidR="005D6361" w:rsidRPr="004066EE" w:rsidRDefault="005D6361" w:rsidP="002C2D79">
      <w:pPr>
        <w:pStyle w:val="Hlavika"/>
        <w:jc w:val="both"/>
        <w:rPr>
          <w:rFonts w:ascii="Times New Roman" w:hAnsi="Times New Roman"/>
          <w:sz w:val="22"/>
          <w:szCs w:val="22"/>
        </w:rPr>
      </w:pPr>
    </w:p>
    <w:p w14:paraId="75BFA8DE" w14:textId="77777777" w:rsidR="005D6361" w:rsidRPr="004066EE" w:rsidRDefault="005D6361" w:rsidP="002C2D79">
      <w:pPr>
        <w:jc w:val="both"/>
        <w:rPr>
          <w:szCs w:val="22"/>
        </w:rPr>
      </w:pPr>
      <w:r>
        <w:t xml:space="preserve">Liečba je symptomatická a neexistuje žiadne špecifické </w:t>
      </w:r>
      <w:proofErr w:type="spellStart"/>
      <w:r>
        <w:t>antidotum</w:t>
      </w:r>
      <w:proofErr w:type="spellEnd"/>
      <w:r>
        <w:t xml:space="preserve">. Množstvá, ktoré pravdepodobne nespôsobujú príznaky (dávka </w:t>
      </w:r>
      <w:proofErr w:type="spellStart"/>
      <w:r>
        <w:t>dexibuprofénu</w:t>
      </w:r>
      <w:proofErr w:type="spellEnd"/>
      <w:r>
        <w:t xml:space="preserve"> menšia než 50 mg/kg), je možné zriediť vodou, aby sa minimalizovali gastrointestinálne ťažkosti. V prípade požitia významného množstva sa má podať aktívne uhlie. </w:t>
      </w:r>
    </w:p>
    <w:p w14:paraId="54BE4761" w14:textId="77777777" w:rsidR="005D6361" w:rsidRPr="004066EE" w:rsidRDefault="005D6361" w:rsidP="002C2D79">
      <w:pPr>
        <w:jc w:val="both"/>
        <w:rPr>
          <w:szCs w:val="22"/>
        </w:rPr>
      </w:pPr>
    </w:p>
    <w:p w14:paraId="2625893B" w14:textId="18E50AF4" w:rsidR="00812D16" w:rsidRPr="004066EE" w:rsidRDefault="005D6361" w:rsidP="002C2D79">
      <w:pPr>
        <w:spacing w:line="240" w:lineRule="auto"/>
        <w:jc w:val="both"/>
        <w:rPr>
          <w:szCs w:val="22"/>
        </w:rPr>
      </w:pPr>
      <w:r>
        <w:t>Vyprázdnenie žalúdka vyvracaním jeho obsahu je možné zvážiť iba v prípade, ak tento postup možno vykonať do 60 minút po požití. Výplach žalúdka sa nemá zvažovať, pokiaľ pacient nepožil množstvo lieku, ktoré ho potenciálne ohrozuje na živote, a pokiaľ tento postup nemožno vykonať do 60 minút po požití.</w:t>
      </w:r>
    </w:p>
    <w:p w14:paraId="25E1DF4D" w14:textId="65404A56" w:rsidR="00AA2C68" w:rsidRPr="004066EE" w:rsidRDefault="00AA2C68" w:rsidP="002C2D79">
      <w:pPr>
        <w:spacing w:line="240" w:lineRule="auto"/>
        <w:jc w:val="both"/>
        <w:rPr>
          <w:noProof/>
          <w:szCs w:val="22"/>
        </w:rPr>
      </w:pPr>
    </w:p>
    <w:p w14:paraId="6E70BC60" w14:textId="3F8CAD33" w:rsidR="00AA2C68" w:rsidRPr="004066EE" w:rsidRDefault="00AA2C68" w:rsidP="002C2D79">
      <w:pPr>
        <w:spacing w:line="240" w:lineRule="auto"/>
        <w:jc w:val="both"/>
        <w:rPr>
          <w:szCs w:val="22"/>
        </w:rPr>
      </w:pPr>
      <w:r>
        <w:t xml:space="preserve">Nútená </w:t>
      </w:r>
      <w:proofErr w:type="spellStart"/>
      <w:r>
        <w:t>diuréza</w:t>
      </w:r>
      <w:proofErr w:type="spellEnd"/>
      <w:r>
        <w:t xml:space="preserve">, hemodialýza alebo </w:t>
      </w:r>
      <w:proofErr w:type="spellStart"/>
      <w:r>
        <w:t>hemoperfúzia</w:t>
      </w:r>
      <w:proofErr w:type="spellEnd"/>
      <w:r>
        <w:t xml:space="preserve"> nie sú pravdepodobne prínosné, pretože </w:t>
      </w:r>
      <w:proofErr w:type="spellStart"/>
      <w:r>
        <w:t>dexibuprofén</w:t>
      </w:r>
      <w:proofErr w:type="spellEnd"/>
      <w:r>
        <w:t xml:space="preserve"> sa silne viaže na plazmatické bielkoviny.</w:t>
      </w:r>
    </w:p>
    <w:p w14:paraId="1E891E3D" w14:textId="0D59DCE2" w:rsidR="00AA2C68" w:rsidRDefault="00AA2C68" w:rsidP="002C2D79">
      <w:pPr>
        <w:spacing w:line="240" w:lineRule="auto"/>
        <w:jc w:val="both"/>
        <w:rPr>
          <w:noProof/>
          <w:szCs w:val="22"/>
        </w:rPr>
      </w:pPr>
    </w:p>
    <w:p w14:paraId="07A5F5AB" w14:textId="77777777" w:rsidR="0021295D" w:rsidRPr="004066EE" w:rsidRDefault="0021295D" w:rsidP="002C2D79">
      <w:pPr>
        <w:spacing w:line="240" w:lineRule="auto"/>
        <w:jc w:val="both"/>
        <w:rPr>
          <w:noProof/>
          <w:szCs w:val="22"/>
        </w:rPr>
      </w:pPr>
    </w:p>
    <w:p w14:paraId="09AB7AD0" w14:textId="59C54FB4" w:rsidR="00812D16" w:rsidRPr="004066EE" w:rsidRDefault="00812D16" w:rsidP="002C2D79">
      <w:pPr>
        <w:spacing w:line="240" w:lineRule="auto"/>
        <w:ind w:left="567" w:hanging="567"/>
        <w:jc w:val="both"/>
        <w:outlineLvl w:val="0"/>
        <w:rPr>
          <w:noProof/>
          <w:szCs w:val="22"/>
        </w:rPr>
      </w:pPr>
      <w:r>
        <w:rPr>
          <w:b/>
          <w:szCs w:val="22"/>
        </w:rPr>
        <w:t>5.</w:t>
      </w:r>
      <w:r>
        <w:rPr>
          <w:b/>
          <w:szCs w:val="22"/>
        </w:rPr>
        <w:tab/>
        <w:t>FARMAKOLOGICKÉ VLASTNOSTI</w:t>
      </w:r>
    </w:p>
    <w:p w14:paraId="12933F6D" w14:textId="77777777" w:rsidR="00812D16" w:rsidRPr="004066EE" w:rsidRDefault="00812D16" w:rsidP="002C2D79">
      <w:pPr>
        <w:spacing w:line="240" w:lineRule="auto"/>
        <w:jc w:val="both"/>
        <w:rPr>
          <w:szCs w:val="22"/>
        </w:rPr>
      </w:pPr>
    </w:p>
    <w:p w14:paraId="35F5057A" w14:textId="77777777" w:rsidR="00812D16" w:rsidRPr="004066EE" w:rsidRDefault="00812D16" w:rsidP="002C2D79">
      <w:pPr>
        <w:spacing w:line="240" w:lineRule="auto"/>
        <w:ind w:left="567" w:hanging="567"/>
        <w:jc w:val="both"/>
        <w:outlineLvl w:val="0"/>
        <w:rPr>
          <w:szCs w:val="22"/>
        </w:rPr>
      </w:pPr>
      <w:r>
        <w:rPr>
          <w:b/>
          <w:szCs w:val="22"/>
        </w:rPr>
        <w:t>5.1 </w:t>
      </w:r>
      <w:r>
        <w:rPr>
          <w:b/>
          <w:szCs w:val="22"/>
        </w:rPr>
        <w:tab/>
      </w:r>
      <w:proofErr w:type="spellStart"/>
      <w:r>
        <w:rPr>
          <w:b/>
          <w:szCs w:val="22"/>
        </w:rPr>
        <w:t>Farmakodynamické</w:t>
      </w:r>
      <w:proofErr w:type="spellEnd"/>
      <w:r>
        <w:rPr>
          <w:b/>
          <w:szCs w:val="22"/>
        </w:rPr>
        <w:t xml:space="preserve"> vlastnosti</w:t>
      </w:r>
    </w:p>
    <w:p w14:paraId="13DFDABC" w14:textId="77777777" w:rsidR="00812D16" w:rsidRPr="004066EE" w:rsidRDefault="00812D16" w:rsidP="002C2D79">
      <w:pPr>
        <w:spacing w:line="240" w:lineRule="auto"/>
        <w:jc w:val="both"/>
        <w:rPr>
          <w:szCs w:val="22"/>
        </w:rPr>
      </w:pPr>
    </w:p>
    <w:p w14:paraId="58D3B523" w14:textId="2D1D2FE5" w:rsidR="00AD0CB7" w:rsidRPr="004066EE" w:rsidRDefault="00AD0CB7" w:rsidP="002C2D79">
      <w:pPr>
        <w:jc w:val="both"/>
        <w:rPr>
          <w:szCs w:val="22"/>
        </w:rPr>
      </w:pPr>
      <w:proofErr w:type="spellStart"/>
      <w:r>
        <w:t>Farmakoterapeutická</w:t>
      </w:r>
      <w:proofErr w:type="spellEnd"/>
      <w:r>
        <w:t xml:space="preserve"> skupina: </w:t>
      </w:r>
      <w:proofErr w:type="spellStart"/>
      <w:r>
        <w:t>nesteroidné</w:t>
      </w:r>
      <w:proofErr w:type="spellEnd"/>
      <w:r>
        <w:t xml:space="preserve"> protizápalové a protireumatické látky, deriváty kyseliny </w:t>
      </w:r>
      <w:proofErr w:type="spellStart"/>
      <w:r>
        <w:t>propiónovej</w:t>
      </w:r>
      <w:proofErr w:type="spellEnd"/>
      <w:r>
        <w:t>.</w:t>
      </w:r>
    </w:p>
    <w:p w14:paraId="4CD8EAB6" w14:textId="77777777" w:rsidR="00AD0CB7" w:rsidRPr="004066EE" w:rsidRDefault="00AD0CB7" w:rsidP="002C2D79">
      <w:pPr>
        <w:jc w:val="both"/>
        <w:rPr>
          <w:szCs w:val="22"/>
        </w:rPr>
      </w:pPr>
      <w:r>
        <w:t>ATC kód: M01AE14</w:t>
      </w:r>
    </w:p>
    <w:p w14:paraId="38B130A5" w14:textId="77777777" w:rsidR="00AD0CB7" w:rsidRPr="00611CA8" w:rsidRDefault="00AD0CB7" w:rsidP="002C2D79">
      <w:pPr>
        <w:jc w:val="both"/>
        <w:rPr>
          <w:b/>
          <w:bCs/>
          <w:i/>
          <w:iCs/>
          <w:szCs w:val="22"/>
        </w:rPr>
      </w:pPr>
    </w:p>
    <w:p w14:paraId="00A3EC55" w14:textId="0A24102F" w:rsidR="00AD0CB7" w:rsidRPr="004066EE" w:rsidRDefault="00AD0CB7" w:rsidP="002C2D79">
      <w:pPr>
        <w:jc w:val="both"/>
        <w:rPr>
          <w:bCs/>
          <w:strike/>
          <w:szCs w:val="22"/>
        </w:rPr>
      </w:pPr>
      <w:proofErr w:type="spellStart"/>
      <w:r>
        <w:t>Dexibuprofén</w:t>
      </w:r>
      <w:proofErr w:type="spellEnd"/>
      <w:r>
        <w:t xml:space="preserve"> (S(+)-</w:t>
      </w:r>
      <w:proofErr w:type="spellStart"/>
      <w:r>
        <w:t>ibuprofén</w:t>
      </w:r>
      <w:proofErr w:type="spellEnd"/>
      <w:r>
        <w:t xml:space="preserve">) je farmakologicky aktívny </w:t>
      </w:r>
      <w:proofErr w:type="spellStart"/>
      <w:r>
        <w:t>enantiomér</w:t>
      </w:r>
      <w:proofErr w:type="spellEnd"/>
      <w:r>
        <w:t xml:space="preserve"> </w:t>
      </w:r>
      <w:proofErr w:type="spellStart"/>
      <w:r>
        <w:t>ibuprofénu</w:t>
      </w:r>
      <w:proofErr w:type="spellEnd"/>
      <w:r>
        <w:t xml:space="preserve">, neselektívneho </w:t>
      </w:r>
      <w:r w:rsidR="007A2BD5">
        <w:t>NSAID</w:t>
      </w:r>
      <w:r>
        <w:t xml:space="preserve">. Predpokladá sa, že jeho mechanizmus účinku je založený na inhibícii syntézy </w:t>
      </w:r>
      <w:proofErr w:type="spellStart"/>
      <w:r>
        <w:t>prostaglandínov</w:t>
      </w:r>
      <w:proofErr w:type="spellEnd"/>
      <w:r>
        <w:t xml:space="preserve">. U ľudí znižuje bolesť, zápal a horúčku a reverzibilne inhibuje agregáciu krvných doštičiek stimulovanú </w:t>
      </w:r>
      <w:proofErr w:type="spellStart"/>
      <w:r w:rsidR="00DF5A8B">
        <w:t>adenozíndifosfátom</w:t>
      </w:r>
      <w:proofErr w:type="spellEnd"/>
      <w:r>
        <w:t xml:space="preserve"> a kolagénom.</w:t>
      </w:r>
    </w:p>
    <w:p w14:paraId="2BAE29CF" w14:textId="4F62A489" w:rsidR="00AD0CB7" w:rsidRPr="004066EE" w:rsidRDefault="00AD0CB7" w:rsidP="002C2D79">
      <w:pPr>
        <w:jc w:val="both"/>
        <w:rPr>
          <w:szCs w:val="22"/>
        </w:rPr>
      </w:pPr>
      <w:r>
        <w:t xml:space="preserve">Preklenovacie klinické štúdie zamerané na porovnanie účinnosti </w:t>
      </w:r>
      <w:proofErr w:type="spellStart"/>
      <w:r>
        <w:t>racemického</w:t>
      </w:r>
      <w:proofErr w:type="spellEnd"/>
      <w:r>
        <w:t xml:space="preserve"> </w:t>
      </w:r>
      <w:proofErr w:type="spellStart"/>
      <w:r>
        <w:t>ibuprofénu</w:t>
      </w:r>
      <w:proofErr w:type="spellEnd"/>
      <w:r>
        <w:t xml:space="preserve"> a </w:t>
      </w:r>
      <w:proofErr w:type="spellStart"/>
      <w:r>
        <w:t>dexibuprofénu</w:t>
      </w:r>
      <w:proofErr w:type="spellEnd"/>
      <w:r>
        <w:t xml:space="preserve"> pri osteoartritíde počas 15-dňovej liečby, pri </w:t>
      </w:r>
      <w:proofErr w:type="spellStart"/>
      <w:r>
        <w:t>dysmenoree</w:t>
      </w:r>
      <w:proofErr w:type="spellEnd"/>
      <w:r>
        <w:t xml:space="preserve"> vrátane symptómov bolesti a pri bolestiach zubov preukázali prinajmenšom </w:t>
      </w:r>
      <w:proofErr w:type="spellStart"/>
      <w:r>
        <w:t>nepodrad</w:t>
      </w:r>
      <w:r w:rsidR="00DF5A8B">
        <w:t>e</w:t>
      </w:r>
      <w:r>
        <w:t>nosť</w:t>
      </w:r>
      <w:proofErr w:type="spellEnd"/>
      <w:r>
        <w:t xml:space="preserve"> </w:t>
      </w:r>
      <w:proofErr w:type="spellStart"/>
      <w:r>
        <w:t>dexibuprofénu</w:t>
      </w:r>
      <w:proofErr w:type="spellEnd"/>
      <w:r>
        <w:t xml:space="preserve"> v porovnaní s </w:t>
      </w:r>
      <w:proofErr w:type="spellStart"/>
      <w:r>
        <w:t>racemickým</w:t>
      </w:r>
      <w:proofErr w:type="spellEnd"/>
      <w:r>
        <w:t xml:space="preserve"> </w:t>
      </w:r>
      <w:proofErr w:type="spellStart"/>
      <w:r>
        <w:t>ibuprofénom</w:t>
      </w:r>
      <w:proofErr w:type="spellEnd"/>
      <w:r>
        <w:t xml:space="preserve"> pri odporúčanom dávkovaní v pomere 1 : 2.</w:t>
      </w:r>
    </w:p>
    <w:p w14:paraId="5386B521" w14:textId="77777777" w:rsidR="00AD0CB7" w:rsidRPr="00611CA8" w:rsidRDefault="00AD0CB7" w:rsidP="002C2D79">
      <w:pPr>
        <w:jc w:val="both"/>
        <w:rPr>
          <w:szCs w:val="22"/>
        </w:rPr>
      </w:pPr>
    </w:p>
    <w:p w14:paraId="450CF7DA" w14:textId="66BA26B1" w:rsidR="00D13D9A" w:rsidRPr="0021295D" w:rsidRDefault="00D13D9A" w:rsidP="00D13D9A">
      <w:pPr>
        <w:rPr>
          <w:szCs w:val="22"/>
        </w:rPr>
      </w:pPr>
      <w:r>
        <w:t xml:space="preserve">Experimentálne údaje naznačujú, že </w:t>
      </w:r>
      <w:proofErr w:type="spellStart"/>
      <w:r>
        <w:t>ibuprofén</w:t>
      </w:r>
      <w:proofErr w:type="spellEnd"/>
      <w:r>
        <w:t xml:space="preserve"> môže </w:t>
      </w:r>
      <w:proofErr w:type="spellStart"/>
      <w:r>
        <w:t>kompetitívne</w:t>
      </w:r>
      <w:proofErr w:type="spellEnd"/>
      <w:r>
        <w:t xml:space="preserve"> </w:t>
      </w:r>
      <w:proofErr w:type="spellStart"/>
      <w:r>
        <w:t>inhibovať</w:t>
      </w:r>
      <w:proofErr w:type="spellEnd"/>
      <w:r>
        <w:t xml:space="preserve"> účinok nízkej dávky kyseliny acetylsalicylovej na agregáciu krvných doštičiek, keď sa podávajú súbežne. Niektoré </w:t>
      </w:r>
      <w:proofErr w:type="spellStart"/>
      <w:r>
        <w:t>farmakodynamické</w:t>
      </w:r>
      <w:proofErr w:type="spellEnd"/>
      <w:r>
        <w:t xml:space="preserve"> štúdie ukázali, že po užití jednorazovej dávky </w:t>
      </w:r>
      <w:proofErr w:type="spellStart"/>
      <w:r>
        <w:t>ibuprofénu</w:t>
      </w:r>
      <w:proofErr w:type="spellEnd"/>
      <w:r>
        <w:t xml:space="preserve"> 400 mg do 8 h pred alebo v priebehu 30 minút po podaní kyseliny acetylsalicylovej s okamžitým uvoľňovaním (81 mg) došlo k zníženiu účinku kyseliny </w:t>
      </w:r>
      <w:proofErr w:type="spellStart"/>
      <w:r>
        <w:t>acetylsalicylovej</w:t>
      </w:r>
      <w:proofErr w:type="spellEnd"/>
      <w:r>
        <w:t xml:space="preserve"> na tvorbu </w:t>
      </w:r>
      <w:proofErr w:type="spellStart"/>
      <w:r>
        <w:t>tromboxánu</w:t>
      </w:r>
      <w:proofErr w:type="spellEnd"/>
      <w:r>
        <w:t xml:space="preserve"> alebo </w:t>
      </w:r>
      <w:proofErr w:type="spellStart"/>
      <w:r>
        <w:t>agregáciu</w:t>
      </w:r>
      <w:proofErr w:type="spellEnd"/>
      <w:r>
        <w:t xml:space="preserve"> doštičiek. Aj keď </w:t>
      </w:r>
      <w:r w:rsidR="00DF5A8B">
        <w:t xml:space="preserve">nie je isté, či je možné </w:t>
      </w:r>
      <w:proofErr w:type="spellStart"/>
      <w:r w:rsidR="00DF5A8B">
        <w:t>extrapolovať</w:t>
      </w:r>
      <w:proofErr w:type="spellEnd"/>
      <w:r w:rsidR="00DF5A8B">
        <w:t xml:space="preserve"> tieto údaje</w:t>
      </w:r>
      <w:r>
        <w:t xml:space="preserve"> na klinický stav, nedá sa vylúčiť možnosť, že pravidelné dlhodobé používanie </w:t>
      </w:r>
      <w:proofErr w:type="spellStart"/>
      <w:r>
        <w:t>ibuprofénu</w:t>
      </w:r>
      <w:proofErr w:type="spellEnd"/>
      <w:r>
        <w:t xml:space="preserve"> môže znížiť </w:t>
      </w:r>
      <w:proofErr w:type="spellStart"/>
      <w:r w:rsidR="00B659A7">
        <w:t>kardioprotektívny</w:t>
      </w:r>
      <w:proofErr w:type="spellEnd"/>
      <w:r>
        <w:t xml:space="preserve"> účinok nízkej dávky kyseliny acetylsalicylovej. Žiadny klinicky relevantný účinok sa nepovažuje za pravdepodobný, ak sa </w:t>
      </w:r>
      <w:proofErr w:type="spellStart"/>
      <w:r>
        <w:t>ibuprofén</w:t>
      </w:r>
      <w:proofErr w:type="spellEnd"/>
      <w:r>
        <w:t xml:space="preserve"> používa príležitostne (pozri časť 4</w:t>
      </w:r>
      <w:r w:rsidR="00DF5A8B">
        <w:t>.</w:t>
      </w:r>
      <w:r>
        <w:t>5). Aj keď nie sú dostupné žiadne údaje o </w:t>
      </w:r>
      <w:proofErr w:type="spellStart"/>
      <w:r>
        <w:t>dexibuproféne</w:t>
      </w:r>
      <w:proofErr w:type="spellEnd"/>
      <w:r>
        <w:t xml:space="preserve">, možno opodstatnene predpokladať, že medzi </w:t>
      </w:r>
      <w:proofErr w:type="spellStart"/>
      <w:r>
        <w:t>dexibuprofénom</w:t>
      </w:r>
      <w:proofErr w:type="spellEnd"/>
      <w:r>
        <w:t xml:space="preserve"> (= S(+)-</w:t>
      </w:r>
      <w:proofErr w:type="spellStart"/>
      <w:r>
        <w:t>ibuprofén</w:t>
      </w:r>
      <w:proofErr w:type="spellEnd"/>
      <w:r>
        <w:t xml:space="preserve">) (čo je </w:t>
      </w:r>
      <w:r>
        <w:lastRenderedPageBreak/>
        <w:t xml:space="preserve">farmakologicky aktívny </w:t>
      </w:r>
      <w:proofErr w:type="spellStart"/>
      <w:r>
        <w:t>enantiomér</w:t>
      </w:r>
      <w:proofErr w:type="spellEnd"/>
      <w:r>
        <w:t xml:space="preserve"> </w:t>
      </w:r>
      <w:proofErr w:type="spellStart"/>
      <w:r>
        <w:t>ibuprofénu</w:t>
      </w:r>
      <w:proofErr w:type="spellEnd"/>
      <w:r>
        <w:t>) a nízkou dávkou kyseliny acetylsalicylovej môže existovať podobná interakcia.</w:t>
      </w:r>
    </w:p>
    <w:p w14:paraId="4E7437BB" w14:textId="77777777" w:rsidR="00812D16" w:rsidRPr="004066EE" w:rsidRDefault="00812D16" w:rsidP="002C2D79">
      <w:pPr>
        <w:numPr>
          <w:ilvl w:val="12"/>
          <w:numId w:val="0"/>
        </w:numPr>
        <w:spacing w:line="240" w:lineRule="auto"/>
        <w:ind w:right="-2"/>
        <w:jc w:val="both"/>
        <w:rPr>
          <w:iCs/>
          <w:noProof/>
          <w:szCs w:val="22"/>
        </w:rPr>
      </w:pPr>
    </w:p>
    <w:p w14:paraId="5B8AF239" w14:textId="77777777" w:rsidR="00812D16" w:rsidRPr="004066EE" w:rsidRDefault="00812D16" w:rsidP="002C2D79">
      <w:pPr>
        <w:spacing w:line="240" w:lineRule="auto"/>
        <w:ind w:left="567" w:hanging="567"/>
        <w:jc w:val="both"/>
        <w:outlineLvl w:val="0"/>
        <w:rPr>
          <w:b/>
          <w:noProof/>
          <w:szCs w:val="22"/>
        </w:rPr>
      </w:pPr>
      <w:r>
        <w:rPr>
          <w:b/>
          <w:szCs w:val="22"/>
        </w:rPr>
        <w:t>5.2</w:t>
      </w:r>
      <w:r>
        <w:rPr>
          <w:b/>
          <w:szCs w:val="22"/>
        </w:rPr>
        <w:tab/>
      </w:r>
      <w:proofErr w:type="spellStart"/>
      <w:r>
        <w:rPr>
          <w:b/>
          <w:szCs w:val="22"/>
        </w:rPr>
        <w:t>Farmakokinetické</w:t>
      </w:r>
      <w:proofErr w:type="spellEnd"/>
      <w:r>
        <w:rPr>
          <w:b/>
          <w:szCs w:val="22"/>
        </w:rPr>
        <w:t xml:space="preserve"> vlastnosti</w:t>
      </w:r>
    </w:p>
    <w:p w14:paraId="7C7B671F" w14:textId="77777777" w:rsidR="00812D16" w:rsidRPr="004066EE" w:rsidRDefault="00812D16" w:rsidP="002C2D79">
      <w:pPr>
        <w:pStyle w:val="Bezriadkovania"/>
        <w:jc w:val="both"/>
        <w:rPr>
          <w:noProof/>
          <w:szCs w:val="22"/>
        </w:rPr>
      </w:pPr>
    </w:p>
    <w:p w14:paraId="79331C05" w14:textId="77777777" w:rsidR="007E156D" w:rsidRPr="004066EE" w:rsidRDefault="007E156D" w:rsidP="002C2D79">
      <w:pPr>
        <w:spacing w:line="240" w:lineRule="auto"/>
        <w:jc w:val="both"/>
        <w:rPr>
          <w:i/>
          <w:szCs w:val="22"/>
        </w:rPr>
      </w:pPr>
      <w:r>
        <w:rPr>
          <w:i/>
          <w:szCs w:val="22"/>
        </w:rPr>
        <w:t>Absorpcia</w:t>
      </w:r>
    </w:p>
    <w:p w14:paraId="38C6D278" w14:textId="7047847C" w:rsidR="007E156D" w:rsidRPr="004066EE" w:rsidRDefault="007E156D" w:rsidP="002C2D79">
      <w:pPr>
        <w:spacing w:line="240" w:lineRule="auto"/>
        <w:jc w:val="both"/>
        <w:rPr>
          <w:szCs w:val="22"/>
        </w:rPr>
      </w:pPr>
      <w:r>
        <w:t xml:space="preserve">Po perorálnom podaní sa </w:t>
      </w:r>
      <w:proofErr w:type="spellStart"/>
      <w:r>
        <w:t>dexibuprofén</w:t>
      </w:r>
      <w:proofErr w:type="spellEnd"/>
      <w:r>
        <w:t xml:space="preserve"> dobre vstrebáva predovšetkým z tenkého čreva. Maximálne plazmatické hladiny sa dosahujú približne 2 hodiny po perorálnom podaní, podobne ako v prípade konvenčných </w:t>
      </w:r>
      <w:r w:rsidR="00DF5A8B">
        <w:t>liekov</w:t>
      </w:r>
      <w:r>
        <w:t xml:space="preserve"> obsahujúcich </w:t>
      </w:r>
      <w:proofErr w:type="spellStart"/>
      <w:r>
        <w:t>ibuprofén</w:t>
      </w:r>
      <w:proofErr w:type="spellEnd"/>
      <w:r>
        <w:t>.</w:t>
      </w:r>
    </w:p>
    <w:p w14:paraId="3E8519BD" w14:textId="44417128" w:rsidR="007E156D" w:rsidRPr="004066EE" w:rsidRDefault="007E156D" w:rsidP="002C2D79">
      <w:pPr>
        <w:spacing w:line="240" w:lineRule="auto"/>
        <w:jc w:val="both"/>
        <w:rPr>
          <w:szCs w:val="22"/>
        </w:rPr>
      </w:pPr>
      <w:r>
        <w:t xml:space="preserve">Sú však dostupné </w:t>
      </w:r>
      <w:r w:rsidR="00DF5A8B">
        <w:t>lieky</w:t>
      </w:r>
      <w:r>
        <w:t xml:space="preserve"> obsahujúce </w:t>
      </w:r>
      <w:proofErr w:type="spellStart"/>
      <w:r>
        <w:t>ibuprofén</w:t>
      </w:r>
      <w:proofErr w:type="spellEnd"/>
      <w:r>
        <w:t xml:space="preserve">, pri ktorých je absorpcia z gastrointestinálneho traktu rýchlejšia, čo vedie k maximálnym plazmatickým koncentráciám vyskytujúcim sa do jednej hodiny po podaní (napr. sodná soľ </w:t>
      </w:r>
      <w:proofErr w:type="spellStart"/>
      <w:r>
        <w:t>ibuprofénu</w:t>
      </w:r>
      <w:proofErr w:type="spellEnd"/>
      <w:r>
        <w:t>). Priama korelácia medzi „</w:t>
      </w:r>
      <w:r w:rsidR="00DF5A8B">
        <w:t>časom</w:t>
      </w:r>
      <w:r>
        <w:t xml:space="preserve"> do dosiahnutia maximálnej plazmatickej koncentrácie“ a „</w:t>
      </w:r>
      <w:r w:rsidR="00DF5A8B">
        <w:t>časom</w:t>
      </w:r>
      <w:r>
        <w:t xml:space="preserve"> do nástupu klinickej účinnosti“ však doteraz nebola konzistentne preukázaná, a to ani pre </w:t>
      </w:r>
      <w:proofErr w:type="spellStart"/>
      <w:r>
        <w:t>ibuprofén</w:t>
      </w:r>
      <w:proofErr w:type="spellEnd"/>
      <w:r>
        <w:t xml:space="preserve">, ani pre </w:t>
      </w:r>
      <w:proofErr w:type="spellStart"/>
      <w:r>
        <w:t>dexibuprofén</w:t>
      </w:r>
      <w:proofErr w:type="spellEnd"/>
      <w:r>
        <w:t>. Údaje o „</w:t>
      </w:r>
      <w:r w:rsidR="00DF5A8B">
        <w:t>čase</w:t>
      </w:r>
      <w:r>
        <w:t xml:space="preserve"> do nástupu klinickej účinnosti“ rôznych formulácií </w:t>
      </w:r>
      <w:proofErr w:type="spellStart"/>
      <w:r>
        <w:t>ibuprofénu</w:t>
      </w:r>
      <w:proofErr w:type="spellEnd"/>
      <w:r>
        <w:t xml:space="preserve"> sa navyše považujú za nekonzistentné.</w:t>
      </w:r>
    </w:p>
    <w:p w14:paraId="04CE622A" w14:textId="77777777" w:rsidR="0021295D" w:rsidRPr="004066EE" w:rsidRDefault="0021295D" w:rsidP="002C2D79">
      <w:pPr>
        <w:spacing w:line="240" w:lineRule="auto"/>
        <w:jc w:val="both"/>
        <w:rPr>
          <w:szCs w:val="22"/>
        </w:rPr>
      </w:pPr>
    </w:p>
    <w:p w14:paraId="133940D4" w14:textId="77777777" w:rsidR="007E156D" w:rsidRPr="004066EE" w:rsidRDefault="007E156D" w:rsidP="002C2D79">
      <w:pPr>
        <w:spacing w:line="240" w:lineRule="auto"/>
        <w:jc w:val="both"/>
        <w:rPr>
          <w:i/>
          <w:szCs w:val="22"/>
        </w:rPr>
      </w:pPr>
      <w:r>
        <w:rPr>
          <w:i/>
          <w:szCs w:val="22"/>
        </w:rPr>
        <w:t>Distribúcia</w:t>
      </w:r>
    </w:p>
    <w:p w14:paraId="1678BE57" w14:textId="0E6B52A2" w:rsidR="007E156D" w:rsidRPr="004066EE" w:rsidRDefault="00B659A7" w:rsidP="002C2D79">
      <w:pPr>
        <w:spacing w:line="240" w:lineRule="auto"/>
        <w:jc w:val="both"/>
        <w:rPr>
          <w:szCs w:val="22"/>
        </w:rPr>
      </w:pPr>
      <w:r>
        <w:t>Väzba</w:t>
      </w:r>
      <w:r w:rsidR="007E156D">
        <w:t xml:space="preserve"> </w:t>
      </w:r>
      <w:proofErr w:type="spellStart"/>
      <w:r w:rsidR="007E156D">
        <w:t>dexibuprofénu</w:t>
      </w:r>
      <w:proofErr w:type="spellEnd"/>
      <w:r w:rsidR="007E156D">
        <w:t xml:space="preserve"> na plazmatické bielkoviny je približne 99 %.</w:t>
      </w:r>
    </w:p>
    <w:p w14:paraId="11AD5764" w14:textId="77777777" w:rsidR="00BB2658" w:rsidRPr="004066EE" w:rsidRDefault="00BB2658" w:rsidP="002C2D79">
      <w:pPr>
        <w:spacing w:line="240" w:lineRule="auto"/>
        <w:jc w:val="both"/>
        <w:rPr>
          <w:szCs w:val="22"/>
        </w:rPr>
      </w:pPr>
    </w:p>
    <w:p w14:paraId="312AC15C" w14:textId="77777777" w:rsidR="007E156D" w:rsidRPr="004066EE" w:rsidRDefault="007E156D" w:rsidP="002C2D79">
      <w:pPr>
        <w:spacing w:line="240" w:lineRule="auto"/>
        <w:jc w:val="both"/>
        <w:rPr>
          <w:i/>
          <w:szCs w:val="22"/>
        </w:rPr>
      </w:pPr>
      <w:r>
        <w:rPr>
          <w:i/>
          <w:szCs w:val="22"/>
        </w:rPr>
        <w:t>Metabolizmus a eliminácia</w:t>
      </w:r>
    </w:p>
    <w:p w14:paraId="5048B146" w14:textId="39BBAEFF" w:rsidR="007E156D" w:rsidRPr="004066EE" w:rsidRDefault="007E156D" w:rsidP="002C2D79">
      <w:pPr>
        <w:spacing w:line="240" w:lineRule="auto"/>
        <w:jc w:val="both"/>
        <w:rPr>
          <w:szCs w:val="22"/>
        </w:rPr>
      </w:pPr>
      <w:r>
        <w:t>Po metabolickej transformácii v pečeni (</w:t>
      </w:r>
      <w:proofErr w:type="spellStart"/>
      <w:r>
        <w:t>hydroxylácia</w:t>
      </w:r>
      <w:proofErr w:type="spellEnd"/>
      <w:r>
        <w:t xml:space="preserve">, </w:t>
      </w:r>
      <w:proofErr w:type="spellStart"/>
      <w:r>
        <w:t>karboxylácia</w:t>
      </w:r>
      <w:proofErr w:type="spellEnd"/>
      <w:r>
        <w:t>) sa farmakologicky neaktívne metabolity úplne vylučujú, a to najmä obličkami (90 %), ale aj žlčou. Polčas eliminácie je 1,8 až 3,5 hodiny.</w:t>
      </w:r>
    </w:p>
    <w:p w14:paraId="70353E4E" w14:textId="77777777" w:rsidR="007E156D" w:rsidRPr="004066EE" w:rsidRDefault="007E156D" w:rsidP="002C2D79">
      <w:pPr>
        <w:spacing w:line="240" w:lineRule="auto"/>
        <w:jc w:val="both"/>
        <w:rPr>
          <w:szCs w:val="22"/>
        </w:rPr>
      </w:pPr>
    </w:p>
    <w:p w14:paraId="0FC5B5E1" w14:textId="77777777" w:rsidR="007E156D" w:rsidRPr="004066EE" w:rsidRDefault="007E156D" w:rsidP="002C2D79">
      <w:pPr>
        <w:pStyle w:val="Bezriadkovania"/>
        <w:jc w:val="both"/>
        <w:rPr>
          <w:i/>
          <w:szCs w:val="22"/>
        </w:rPr>
      </w:pPr>
      <w:r>
        <w:rPr>
          <w:i/>
          <w:szCs w:val="22"/>
        </w:rPr>
        <w:t>Príjem stravy</w:t>
      </w:r>
    </w:p>
    <w:p w14:paraId="2EDF3E59" w14:textId="768F9FA0" w:rsidR="007E156D" w:rsidRPr="004066EE" w:rsidRDefault="007E156D" w:rsidP="002C2D79">
      <w:pPr>
        <w:spacing w:line="240" w:lineRule="auto"/>
        <w:jc w:val="both"/>
        <w:rPr>
          <w:szCs w:val="22"/>
        </w:rPr>
      </w:pPr>
      <w:r>
        <w:t xml:space="preserve">Podávanie 400 mg </w:t>
      </w:r>
      <w:proofErr w:type="spellStart"/>
      <w:r>
        <w:t>dexibuprofénu</w:t>
      </w:r>
      <w:proofErr w:type="spellEnd"/>
      <w:r>
        <w:t xml:space="preserve"> s jedlom s vysokým obsahom tuku </w:t>
      </w:r>
      <w:r w:rsidR="00DF5A8B">
        <w:t>predlžuje</w:t>
      </w:r>
      <w:r>
        <w:t xml:space="preserve"> </w:t>
      </w:r>
      <w:r w:rsidR="00DF5A8B">
        <w:t>čas</w:t>
      </w:r>
      <w:r>
        <w:t xml:space="preserve"> do dosiahnutia maximálnych koncentrácií (z 2,1 hodiny po stave nalačno na 2,8 hodiny po jedle s vysokým obsahom tukov) a znižuje maximálne plazmatické koncentrácie (z 20,6 na 18,1 µg/ml, čo nemá žiadny klinický význam), ale nemá žiadny vplyv na rozsah absorpcie. </w:t>
      </w:r>
    </w:p>
    <w:p w14:paraId="0E81AAC5" w14:textId="77777777" w:rsidR="009B7A40" w:rsidRPr="004066EE" w:rsidRDefault="009B7A40" w:rsidP="002C2D79">
      <w:pPr>
        <w:spacing w:line="240" w:lineRule="auto"/>
        <w:jc w:val="both"/>
        <w:rPr>
          <w:szCs w:val="22"/>
        </w:rPr>
      </w:pPr>
    </w:p>
    <w:p w14:paraId="4567AC5B" w14:textId="77777777" w:rsidR="007E156D" w:rsidRPr="004066EE" w:rsidRDefault="007E156D" w:rsidP="002C2D79">
      <w:pPr>
        <w:spacing w:line="240" w:lineRule="auto"/>
        <w:jc w:val="both"/>
        <w:rPr>
          <w:i/>
          <w:szCs w:val="22"/>
        </w:rPr>
      </w:pPr>
      <w:r>
        <w:rPr>
          <w:i/>
          <w:szCs w:val="22"/>
        </w:rPr>
        <w:t>Pacienti so zhoršenou funkciou obličiek a pečene</w:t>
      </w:r>
    </w:p>
    <w:p w14:paraId="354BF899" w14:textId="77777777" w:rsidR="007E156D" w:rsidRPr="004066EE" w:rsidRDefault="007E156D" w:rsidP="002C2D79">
      <w:pPr>
        <w:spacing w:line="240" w:lineRule="auto"/>
        <w:jc w:val="both"/>
        <w:rPr>
          <w:szCs w:val="22"/>
        </w:rPr>
      </w:pPr>
      <w:proofErr w:type="spellStart"/>
      <w:r>
        <w:t>Farmakokinetické</w:t>
      </w:r>
      <w:proofErr w:type="spellEnd"/>
      <w:r>
        <w:t xml:space="preserve"> štúdie s </w:t>
      </w:r>
      <w:proofErr w:type="spellStart"/>
      <w:r>
        <w:t>ibuprofénom</w:t>
      </w:r>
      <w:proofErr w:type="spellEnd"/>
      <w:r>
        <w:t xml:space="preserve"> u pacientov so zlyhaním obličiek odporúčajú zníženie dávky u týchto pacientov. Opatrnosť je tiež potrebná z dôvodu inhibície </w:t>
      </w:r>
      <w:proofErr w:type="spellStart"/>
      <w:r>
        <w:t>renálnej</w:t>
      </w:r>
      <w:proofErr w:type="spellEnd"/>
      <w:r>
        <w:t xml:space="preserve"> syntézy </w:t>
      </w:r>
      <w:proofErr w:type="spellStart"/>
      <w:r>
        <w:t>prostaglandínov</w:t>
      </w:r>
      <w:proofErr w:type="spellEnd"/>
      <w:r>
        <w:t xml:space="preserve"> (pozri časti 4.2 a 4.4).</w:t>
      </w:r>
    </w:p>
    <w:p w14:paraId="22435552" w14:textId="3E8CE1BF" w:rsidR="00812D16" w:rsidRPr="004066EE" w:rsidRDefault="007E156D" w:rsidP="002C2D79">
      <w:pPr>
        <w:spacing w:line="240" w:lineRule="auto"/>
        <w:jc w:val="both"/>
        <w:rPr>
          <w:iCs/>
          <w:noProof/>
          <w:szCs w:val="22"/>
          <w:u w:val="single"/>
        </w:rPr>
      </w:pPr>
      <w:r>
        <w:t xml:space="preserve">Eliminácia </w:t>
      </w:r>
      <w:proofErr w:type="spellStart"/>
      <w:r>
        <w:t>dexibuprofénu</w:t>
      </w:r>
      <w:proofErr w:type="spellEnd"/>
      <w:r>
        <w:t xml:space="preserve"> je mierne nižšia u pacientov s cirhózou pečene.</w:t>
      </w:r>
    </w:p>
    <w:p w14:paraId="0C2CE77C" w14:textId="77777777" w:rsidR="00812D16" w:rsidRPr="004066EE" w:rsidRDefault="00812D16" w:rsidP="002C2D79">
      <w:pPr>
        <w:numPr>
          <w:ilvl w:val="12"/>
          <w:numId w:val="0"/>
        </w:numPr>
        <w:spacing w:line="240" w:lineRule="auto"/>
        <w:ind w:right="-2"/>
        <w:jc w:val="both"/>
        <w:rPr>
          <w:iCs/>
          <w:noProof/>
          <w:szCs w:val="22"/>
        </w:rPr>
      </w:pPr>
    </w:p>
    <w:p w14:paraId="31B93878" w14:textId="77777777" w:rsidR="00812D16" w:rsidRPr="004066EE" w:rsidRDefault="00812D16" w:rsidP="002C2D79">
      <w:pPr>
        <w:spacing w:line="240" w:lineRule="auto"/>
        <w:ind w:left="567" w:hanging="567"/>
        <w:jc w:val="both"/>
        <w:outlineLvl w:val="0"/>
        <w:rPr>
          <w:noProof/>
          <w:szCs w:val="22"/>
        </w:rPr>
      </w:pPr>
      <w:r>
        <w:rPr>
          <w:b/>
          <w:szCs w:val="22"/>
        </w:rPr>
        <w:t>5.3</w:t>
      </w:r>
      <w:r>
        <w:rPr>
          <w:b/>
          <w:szCs w:val="22"/>
        </w:rPr>
        <w:tab/>
        <w:t>Predklinické údaje o bezpečnosti</w:t>
      </w:r>
    </w:p>
    <w:p w14:paraId="29B824D1" w14:textId="77777777" w:rsidR="00812D16" w:rsidRPr="004066EE" w:rsidRDefault="00812D16" w:rsidP="002C2D79">
      <w:pPr>
        <w:spacing w:line="240" w:lineRule="auto"/>
        <w:jc w:val="both"/>
        <w:rPr>
          <w:noProof/>
          <w:szCs w:val="22"/>
        </w:rPr>
      </w:pPr>
    </w:p>
    <w:p w14:paraId="3CAAF3D7" w14:textId="464DCDC5" w:rsidR="007E5368" w:rsidRPr="004066EE" w:rsidRDefault="007E5368" w:rsidP="002C2D79">
      <w:pPr>
        <w:spacing w:line="240" w:lineRule="auto"/>
        <w:jc w:val="both"/>
        <w:rPr>
          <w:noProof/>
          <w:szCs w:val="22"/>
        </w:rPr>
      </w:pPr>
      <w:r>
        <w:t>Preklenovacie štúdie toxicity jednorazovej dávky a opakovaných dávok, reprodukčnej toxicity a </w:t>
      </w:r>
      <w:proofErr w:type="spellStart"/>
      <w:r>
        <w:t>mutag</w:t>
      </w:r>
      <w:r w:rsidR="00B659A7">
        <w:t>enity</w:t>
      </w:r>
      <w:proofErr w:type="spellEnd"/>
      <w:r>
        <w:t xml:space="preserve"> ukázali, že toxikologický profil </w:t>
      </w:r>
      <w:proofErr w:type="spellStart"/>
      <w:r>
        <w:t>dexibuprofénu</w:t>
      </w:r>
      <w:proofErr w:type="spellEnd"/>
      <w:r>
        <w:t xml:space="preserve"> je porovnateľný s profilom </w:t>
      </w:r>
      <w:proofErr w:type="spellStart"/>
      <w:r>
        <w:t>ibuprofénu</w:t>
      </w:r>
      <w:proofErr w:type="spellEnd"/>
      <w:r>
        <w:t xml:space="preserve"> a neodhalili žiadne ďalšie špecifické toxikologické ani karcinogénne riziká pre ľudí. </w:t>
      </w:r>
    </w:p>
    <w:p w14:paraId="5C10C47B" w14:textId="32B4488F" w:rsidR="00812D16" w:rsidRPr="004066EE" w:rsidRDefault="007E5368" w:rsidP="002C2D79">
      <w:pPr>
        <w:spacing w:line="240" w:lineRule="auto"/>
        <w:jc w:val="both"/>
        <w:rPr>
          <w:noProof/>
          <w:szCs w:val="22"/>
        </w:rPr>
      </w:pPr>
      <w:proofErr w:type="spellStart"/>
      <w:r>
        <w:t>Ibuprofén</w:t>
      </w:r>
      <w:proofErr w:type="spellEnd"/>
      <w:r>
        <w:t xml:space="preserve"> </w:t>
      </w:r>
      <w:proofErr w:type="spellStart"/>
      <w:r>
        <w:t>inhiboval</w:t>
      </w:r>
      <w:proofErr w:type="spellEnd"/>
      <w:r>
        <w:t xml:space="preserve"> ovuláciu u králikov a zhoršoval implantáciu u rôznych živočíšnych druhov (králik, potkan, myš). Ukázalo sa, že podávanie inhibítorov syntézy </w:t>
      </w:r>
      <w:proofErr w:type="spellStart"/>
      <w:r>
        <w:t>prostaglandínov</w:t>
      </w:r>
      <w:proofErr w:type="spellEnd"/>
      <w:r>
        <w:t xml:space="preserve"> vrátane </w:t>
      </w:r>
      <w:proofErr w:type="spellStart"/>
      <w:r>
        <w:t>ibuprofénu</w:t>
      </w:r>
      <w:proofErr w:type="spellEnd"/>
      <w:r>
        <w:t xml:space="preserve"> (väčšinou vo vyšších dávkach než terapeutických) gravidným zvieratám vedie k zvýšeným pre- a </w:t>
      </w:r>
      <w:proofErr w:type="spellStart"/>
      <w:r>
        <w:t>po</w:t>
      </w:r>
      <w:r w:rsidR="00B659A7">
        <w:t>st</w:t>
      </w:r>
      <w:r>
        <w:t>implantačným</w:t>
      </w:r>
      <w:proofErr w:type="spellEnd"/>
      <w:r>
        <w:t xml:space="preserve"> potratom, </w:t>
      </w:r>
      <w:proofErr w:type="spellStart"/>
      <w:r>
        <w:t>embryofetálnej</w:t>
      </w:r>
      <w:proofErr w:type="spellEnd"/>
      <w:r>
        <w:t xml:space="preserve"> letalite a zvýšenému výskytu </w:t>
      </w:r>
      <w:proofErr w:type="spellStart"/>
      <w:r>
        <w:t>malformácií</w:t>
      </w:r>
      <w:proofErr w:type="spellEnd"/>
      <w:r>
        <w:t>.</w:t>
      </w:r>
    </w:p>
    <w:p w14:paraId="0A4E9135" w14:textId="55BCBD66" w:rsidR="00812D16" w:rsidRPr="004066EE" w:rsidRDefault="00812D16" w:rsidP="002C2D79">
      <w:pPr>
        <w:spacing w:line="240" w:lineRule="auto"/>
        <w:jc w:val="both"/>
        <w:rPr>
          <w:noProof/>
          <w:szCs w:val="22"/>
        </w:rPr>
      </w:pPr>
    </w:p>
    <w:p w14:paraId="44BACD78" w14:textId="77777777" w:rsidR="00972FFA" w:rsidRPr="004066EE" w:rsidRDefault="00972FFA" w:rsidP="002C2D79">
      <w:pPr>
        <w:spacing w:line="240" w:lineRule="auto"/>
        <w:jc w:val="both"/>
        <w:rPr>
          <w:noProof/>
          <w:szCs w:val="22"/>
        </w:rPr>
      </w:pPr>
    </w:p>
    <w:p w14:paraId="03254EA9" w14:textId="3AC29436" w:rsidR="00812D16" w:rsidRPr="004066EE" w:rsidRDefault="00812D16" w:rsidP="002C2D79">
      <w:pPr>
        <w:spacing w:line="240" w:lineRule="auto"/>
        <w:jc w:val="both"/>
        <w:outlineLvl w:val="0"/>
        <w:rPr>
          <w:b/>
          <w:noProof/>
          <w:szCs w:val="22"/>
        </w:rPr>
      </w:pPr>
      <w:r>
        <w:rPr>
          <w:b/>
          <w:szCs w:val="22"/>
        </w:rPr>
        <w:t>6.</w:t>
      </w:r>
      <w:r>
        <w:rPr>
          <w:b/>
          <w:szCs w:val="22"/>
        </w:rPr>
        <w:tab/>
        <w:t>FARMACEUTICKÉ INFORMÁCIE</w:t>
      </w:r>
    </w:p>
    <w:p w14:paraId="494769E8" w14:textId="77777777" w:rsidR="00812D16" w:rsidRPr="004066EE" w:rsidRDefault="00812D16" w:rsidP="002C2D79">
      <w:pPr>
        <w:spacing w:line="240" w:lineRule="auto"/>
        <w:jc w:val="both"/>
        <w:rPr>
          <w:noProof/>
          <w:szCs w:val="22"/>
        </w:rPr>
      </w:pPr>
    </w:p>
    <w:p w14:paraId="53B6D22F" w14:textId="77777777" w:rsidR="00812D16" w:rsidRPr="004066EE" w:rsidRDefault="00812D16" w:rsidP="002C2D79">
      <w:pPr>
        <w:spacing w:line="240" w:lineRule="auto"/>
        <w:ind w:left="567" w:hanging="567"/>
        <w:jc w:val="both"/>
        <w:outlineLvl w:val="0"/>
        <w:rPr>
          <w:b/>
          <w:noProof/>
          <w:szCs w:val="22"/>
        </w:rPr>
      </w:pPr>
      <w:r>
        <w:rPr>
          <w:b/>
          <w:szCs w:val="22"/>
        </w:rPr>
        <w:t>6.1</w:t>
      </w:r>
      <w:r>
        <w:rPr>
          <w:b/>
          <w:szCs w:val="22"/>
        </w:rPr>
        <w:tab/>
        <w:t>Zoznam pomocných látok</w:t>
      </w:r>
    </w:p>
    <w:p w14:paraId="757BB1B1" w14:textId="46B8D856" w:rsidR="00D44A98" w:rsidRDefault="00D44A98" w:rsidP="002C2D79">
      <w:pPr>
        <w:spacing w:line="240" w:lineRule="auto"/>
        <w:ind w:left="567" w:hanging="567"/>
        <w:jc w:val="both"/>
        <w:outlineLvl w:val="0"/>
        <w:rPr>
          <w:noProof/>
          <w:szCs w:val="22"/>
        </w:rPr>
      </w:pPr>
    </w:p>
    <w:p w14:paraId="3C50486A" w14:textId="6E70532E" w:rsidR="00C147A9" w:rsidRPr="0021295D" w:rsidRDefault="00C147A9" w:rsidP="002C2D79">
      <w:pPr>
        <w:spacing w:line="240" w:lineRule="auto"/>
        <w:ind w:left="567" w:hanging="567"/>
        <w:jc w:val="both"/>
        <w:outlineLvl w:val="0"/>
        <w:rPr>
          <w:b/>
          <w:bCs/>
          <w:noProof/>
          <w:szCs w:val="22"/>
        </w:rPr>
      </w:pPr>
      <w:r>
        <w:rPr>
          <w:b/>
          <w:bCs/>
          <w:szCs w:val="22"/>
        </w:rPr>
        <w:t>Jadro tablety:</w:t>
      </w:r>
    </w:p>
    <w:p w14:paraId="27AA2AF2" w14:textId="03AA1F3E" w:rsidR="00812D16" w:rsidRPr="004066EE" w:rsidRDefault="009D2877" w:rsidP="002C2D79">
      <w:pPr>
        <w:tabs>
          <w:tab w:val="clear" w:pos="567"/>
          <w:tab w:val="left" w:pos="0"/>
        </w:tabs>
        <w:spacing w:line="240" w:lineRule="auto"/>
        <w:jc w:val="both"/>
        <w:rPr>
          <w:iCs/>
          <w:noProof/>
          <w:szCs w:val="22"/>
        </w:rPr>
      </w:pPr>
      <w:r>
        <w:t>Koloidný bezvodný oxid kremičitý</w:t>
      </w:r>
    </w:p>
    <w:p w14:paraId="5D823227" w14:textId="307D3EE7" w:rsidR="00B35804" w:rsidRPr="004066EE" w:rsidRDefault="00B35804" w:rsidP="002C2D79">
      <w:pPr>
        <w:tabs>
          <w:tab w:val="clear" w:pos="567"/>
          <w:tab w:val="left" w:pos="0"/>
        </w:tabs>
        <w:spacing w:line="240" w:lineRule="auto"/>
        <w:jc w:val="both"/>
        <w:rPr>
          <w:iCs/>
          <w:noProof/>
          <w:szCs w:val="22"/>
        </w:rPr>
      </w:pPr>
      <w:r>
        <w:t>Mikrokryštalická celulóza</w:t>
      </w:r>
    </w:p>
    <w:p w14:paraId="5C132358" w14:textId="73675310" w:rsidR="00B35804" w:rsidRPr="004066EE" w:rsidRDefault="00B35804" w:rsidP="002C2D79">
      <w:pPr>
        <w:tabs>
          <w:tab w:val="clear" w:pos="567"/>
          <w:tab w:val="left" w:pos="0"/>
        </w:tabs>
        <w:spacing w:line="240" w:lineRule="auto"/>
        <w:jc w:val="both"/>
        <w:rPr>
          <w:iCs/>
          <w:noProof/>
          <w:szCs w:val="22"/>
        </w:rPr>
      </w:pPr>
      <w:proofErr w:type="spellStart"/>
      <w:r>
        <w:t>Hypromelóza</w:t>
      </w:r>
      <w:proofErr w:type="spellEnd"/>
      <w:r>
        <w:t xml:space="preserve"> (typ 2910)</w:t>
      </w:r>
    </w:p>
    <w:p w14:paraId="157579CB" w14:textId="507600EF" w:rsidR="00B35804" w:rsidRPr="004066EE" w:rsidRDefault="00B35804" w:rsidP="002C2D79">
      <w:pPr>
        <w:tabs>
          <w:tab w:val="clear" w:pos="567"/>
          <w:tab w:val="left" w:pos="0"/>
        </w:tabs>
        <w:spacing w:line="240" w:lineRule="auto"/>
        <w:jc w:val="both"/>
        <w:rPr>
          <w:iCs/>
          <w:noProof/>
          <w:szCs w:val="22"/>
        </w:rPr>
      </w:pPr>
      <w:r>
        <w:t xml:space="preserve">Sodná soľ </w:t>
      </w:r>
      <w:proofErr w:type="spellStart"/>
      <w:r>
        <w:t>kroskarmelózy</w:t>
      </w:r>
      <w:proofErr w:type="spellEnd"/>
    </w:p>
    <w:p w14:paraId="4C596029" w14:textId="3B5F24E1" w:rsidR="00B35804" w:rsidRPr="004066EE" w:rsidRDefault="00B35804" w:rsidP="002C2D79">
      <w:pPr>
        <w:tabs>
          <w:tab w:val="clear" w:pos="567"/>
          <w:tab w:val="left" w:pos="0"/>
        </w:tabs>
        <w:spacing w:line="240" w:lineRule="auto"/>
        <w:jc w:val="both"/>
        <w:rPr>
          <w:iCs/>
          <w:noProof/>
          <w:szCs w:val="22"/>
        </w:rPr>
      </w:pPr>
      <w:r>
        <w:t>Mastenec</w:t>
      </w:r>
    </w:p>
    <w:p w14:paraId="469A04D5" w14:textId="03EF310A" w:rsidR="00C91E40" w:rsidRDefault="0021295D" w:rsidP="002C2D79">
      <w:pPr>
        <w:tabs>
          <w:tab w:val="clear" w:pos="567"/>
          <w:tab w:val="left" w:pos="0"/>
        </w:tabs>
        <w:spacing w:line="240" w:lineRule="auto"/>
        <w:jc w:val="both"/>
        <w:rPr>
          <w:iCs/>
          <w:noProof/>
          <w:szCs w:val="22"/>
        </w:rPr>
      </w:pPr>
      <w:r>
        <w:lastRenderedPageBreak/>
        <w:t>Voda</w:t>
      </w:r>
    </w:p>
    <w:p w14:paraId="0189ED25" w14:textId="77777777" w:rsidR="0021295D" w:rsidRPr="004066EE" w:rsidRDefault="0021295D" w:rsidP="002C2D79">
      <w:pPr>
        <w:tabs>
          <w:tab w:val="clear" w:pos="567"/>
          <w:tab w:val="left" w:pos="0"/>
        </w:tabs>
        <w:spacing w:line="240" w:lineRule="auto"/>
        <w:jc w:val="both"/>
        <w:rPr>
          <w:iCs/>
          <w:noProof/>
          <w:szCs w:val="22"/>
        </w:rPr>
      </w:pPr>
    </w:p>
    <w:p w14:paraId="12BA7397" w14:textId="5829D50D" w:rsidR="00972FFA" w:rsidRPr="0021295D" w:rsidRDefault="00B659A7" w:rsidP="002C2D79">
      <w:pPr>
        <w:spacing w:line="240" w:lineRule="auto"/>
        <w:jc w:val="both"/>
        <w:rPr>
          <w:b/>
          <w:bCs/>
          <w:noProof/>
          <w:szCs w:val="22"/>
        </w:rPr>
      </w:pPr>
      <w:r>
        <w:rPr>
          <w:b/>
          <w:bCs/>
          <w:szCs w:val="22"/>
        </w:rPr>
        <w:t>Obal</w:t>
      </w:r>
      <w:r w:rsidR="005508D0">
        <w:rPr>
          <w:b/>
          <w:bCs/>
          <w:szCs w:val="22"/>
        </w:rPr>
        <w:t xml:space="preserve"> tablety:</w:t>
      </w:r>
    </w:p>
    <w:p w14:paraId="578BB6C3" w14:textId="31263A62" w:rsidR="00B76E12" w:rsidRPr="00C23227" w:rsidRDefault="004947C0" w:rsidP="002C2D79">
      <w:pPr>
        <w:spacing w:line="240" w:lineRule="auto"/>
        <w:jc w:val="both"/>
        <w:rPr>
          <w:iCs/>
          <w:noProof/>
          <w:szCs w:val="22"/>
        </w:rPr>
      </w:pPr>
      <w:proofErr w:type="spellStart"/>
      <w:r>
        <w:t>Polyvinylalkohol</w:t>
      </w:r>
      <w:proofErr w:type="spellEnd"/>
      <w:r>
        <w:t xml:space="preserve"> </w:t>
      </w:r>
    </w:p>
    <w:p w14:paraId="28E81569" w14:textId="215283D4" w:rsidR="00BA6730" w:rsidRPr="00C23227" w:rsidRDefault="004947C0" w:rsidP="004947C0">
      <w:pPr>
        <w:tabs>
          <w:tab w:val="clear" w:pos="567"/>
          <w:tab w:val="left" w:pos="0"/>
        </w:tabs>
        <w:spacing w:line="240" w:lineRule="auto"/>
        <w:jc w:val="both"/>
        <w:rPr>
          <w:iCs/>
          <w:noProof/>
          <w:szCs w:val="22"/>
        </w:rPr>
      </w:pPr>
      <w:r>
        <w:t xml:space="preserve">Oxid </w:t>
      </w:r>
      <w:proofErr w:type="spellStart"/>
      <w:r>
        <w:t>titaničitý</w:t>
      </w:r>
      <w:proofErr w:type="spellEnd"/>
      <w:r>
        <w:t xml:space="preserve"> (E171)</w:t>
      </w:r>
    </w:p>
    <w:p w14:paraId="0E876326" w14:textId="66325F76" w:rsidR="00BA6730" w:rsidRDefault="004947C0" w:rsidP="00BA6730">
      <w:pPr>
        <w:tabs>
          <w:tab w:val="clear" w:pos="567"/>
          <w:tab w:val="left" w:pos="1276"/>
          <w:tab w:val="left" w:pos="1843"/>
        </w:tabs>
        <w:spacing w:line="240" w:lineRule="auto"/>
        <w:ind w:left="1276" w:hanging="1276"/>
        <w:jc w:val="both"/>
        <w:rPr>
          <w:iCs/>
          <w:noProof/>
          <w:szCs w:val="22"/>
        </w:rPr>
      </w:pPr>
      <w:proofErr w:type="spellStart"/>
      <w:r>
        <w:t>Makrogol</w:t>
      </w:r>
      <w:proofErr w:type="spellEnd"/>
    </w:p>
    <w:p w14:paraId="45847A8A" w14:textId="4D32E403" w:rsidR="00B76E12" w:rsidRPr="00B76E12" w:rsidRDefault="004947C0" w:rsidP="00BA6730">
      <w:pPr>
        <w:tabs>
          <w:tab w:val="clear" w:pos="567"/>
          <w:tab w:val="left" w:pos="1276"/>
          <w:tab w:val="left" w:pos="1843"/>
        </w:tabs>
        <w:spacing w:line="240" w:lineRule="auto"/>
        <w:ind w:left="1276" w:hanging="1276"/>
        <w:jc w:val="both"/>
        <w:rPr>
          <w:iCs/>
          <w:noProof/>
          <w:szCs w:val="22"/>
        </w:rPr>
      </w:pPr>
      <w:r>
        <w:t>Mastenec</w:t>
      </w:r>
    </w:p>
    <w:p w14:paraId="7F79F6AD" w14:textId="1FDC9D72" w:rsidR="0041663A" w:rsidRPr="004066EE" w:rsidRDefault="0041663A" w:rsidP="00B76E12">
      <w:pPr>
        <w:tabs>
          <w:tab w:val="left" w:pos="1843"/>
        </w:tabs>
        <w:spacing w:line="240" w:lineRule="auto"/>
        <w:jc w:val="both"/>
        <w:rPr>
          <w:noProof/>
          <w:szCs w:val="22"/>
        </w:rPr>
      </w:pPr>
    </w:p>
    <w:p w14:paraId="05385B6E" w14:textId="77777777" w:rsidR="00812D16" w:rsidRPr="004066EE" w:rsidRDefault="00812D16" w:rsidP="002C2D79">
      <w:pPr>
        <w:spacing w:line="240" w:lineRule="auto"/>
        <w:ind w:left="567" w:hanging="567"/>
        <w:jc w:val="both"/>
        <w:outlineLvl w:val="0"/>
        <w:rPr>
          <w:noProof/>
          <w:szCs w:val="22"/>
        </w:rPr>
      </w:pPr>
      <w:r>
        <w:rPr>
          <w:b/>
          <w:szCs w:val="22"/>
        </w:rPr>
        <w:t>6.2</w:t>
      </w:r>
      <w:r>
        <w:rPr>
          <w:b/>
          <w:szCs w:val="22"/>
        </w:rPr>
        <w:tab/>
        <w:t>Inkompatibility</w:t>
      </w:r>
    </w:p>
    <w:p w14:paraId="5E182B2E" w14:textId="77777777" w:rsidR="00812D16" w:rsidRPr="004066EE" w:rsidRDefault="00812D16" w:rsidP="002C2D79">
      <w:pPr>
        <w:spacing w:line="240" w:lineRule="auto"/>
        <w:jc w:val="both"/>
        <w:rPr>
          <w:noProof/>
          <w:szCs w:val="22"/>
        </w:rPr>
      </w:pPr>
    </w:p>
    <w:p w14:paraId="791ED7BC" w14:textId="4EF59DE2" w:rsidR="00812D16" w:rsidRPr="004066EE" w:rsidRDefault="00812D16" w:rsidP="002C2D79">
      <w:pPr>
        <w:spacing w:line="240" w:lineRule="auto"/>
        <w:jc w:val="both"/>
        <w:rPr>
          <w:noProof/>
          <w:szCs w:val="22"/>
        </w:rPr>
      </w:pPr>
      <w:r>
        <w:t>Neaplikovateľné</w:t>
      </w:r>
    </w:p>
    <w:p w14:paraId="3FB6CD27" w14:textId="77777777" w:rsidR="00972FFA" w:rsidRPr="004066EE" w:rsidRDefault="00972FFA" w:rsidP="002C2D79">
      <w:pPr>
        <w:spacing w:line="240" w:lineRule="auto"/>
        <w:jc w:val="both"/>
        <w:rPr>
          <w:noProof/>
          <w:szCs w:val="22"/>
        </w:rPr>
      </w:pPr>
    </w:p>
    <w:p w14:paraId="5A75435B" w14:textId="77777777" w:rsidR="00812D16" w:rsidRPr="004066EE" w:rsidRDefault="00812D16" w:rsidP="002C2D79">
      <w:pPr>
        <w:spacing w:line="240" w:lineRule="auto"/>
        <w:ind w:left="567" w:hanging="567"/>
        <w:jc w:val="both"/>
        <w:outlineLvl w:val="0"/>
        <w:rPr>
          <w:noProof/>
          <w:szCs w:val="22"/>
        </w:rPr>
      </w:pPr>
      <w:r>
        <w:rPr>
          <w:b/>
          <w:szCs w:val="22"/>
        </w:rPr>
        <w:t>6.3</w:t>
      </w:r>
      <w:r>
        <w:rPr>
          <w:b/>
          <w:szCs w:val="22"/>
        </w:rPr>
        <w:tab/>
        <w:t>Čas použiteľnosti</w:t>
      </w:r>
    </w:p>
    <w:p w14:paraId="40BD4F3E" w14:textId="77777777" w:rsidR="00D003CC" w:rsidRPr="004066EE" w:rsidRDefault="00D003CC" w:rsidP="002C2D79">
      <w:pPr>
        <w:spacing w:line="240" w:lineRule="auto"/>
        <w:jc w:val="both"/>
        <w:rPr>
          <w:noProof/>
          <w:szCs w:val="22"/>
        </w:rPr>
      </w:pPr>
    </w:p>
    <w:p w14:paraId="5FA5D6D1" w14:textId="69568EB3" w:rsidR="00812D16" w:rsidRPr="004066EE" w:rsidRDefault="005508D0" w:rsidP="002C2D79">
      <w:pPr>
        <w:spacing w:line="240" w:lineRule="auto"/>
        <w:jc w:val="both"/>
        <w:rPr>
          <w:noProof/>
          <w:szCs w:val="22"/>
        </w:rPr>
      </w:pPr>
      <w:r>
        <w:t>2 roky</w:t>
      </w:r>
    </w:p>
    <w:p w14:paraId="3FCCDC32" w14:textId="77777777" w:rsidR="00812D16" w:rsidRPr="004066EE" w:rsidRDefault="00812D16" w:rsidP="002C2D79">
      <w:pPr>
        <w:spacing w:line="240" w:lineRule="auto"/>
        <w:jc w:val="both"/>
        <w:rPr>
          <w:noProof/>
          <w:szCs w:val="22"/>
        </w:rPr>
      </w:pPr>
    </w:p>
    <w:p w14:paraId="31284700" w14:textId="77777777" w:rsidR="00812D16" w:rsidRPr="004066EE" w:rsidRDefault="00812D16" w:rsidP="002C2D79">
      <w:pPr>
        <w:spacing w:line="240" w:lineRule="auto"/>
        <w:ind w:left="567" w:hanging="567"/>
        <w:jc w:val="both"/>
        <w:outlineLvl w:val="0"/>
        <w:rPr>
          <w:b/>
          <w:noProof/>
          <w:szCs w:val="22"/>
        </w:rPr>
      </w:pPr>
      <w:r>
        <w:rPr>
          <w:b/>
          <w:szCs w:val="22"/>
        </w:rPr>
        <w:t>6.4</w:t>
      </w:r>
      <w:r>
        <w:rPr>
          <w:b/>
          <w:szCs w:val="22"/>
        </w:rPr>
        <w:tab/>
        <w:t>Špeciálne upozornenia na uchovávanie</w:t>
      </w:r>
    </w:p>
    <w:p w14:paraId="7138A6DC" w14:textId="77777777" w:rsidR="005108A3" w:rsidRPr="004066EE" w:rsidRDefault="005108A3" w:rsidP="002C2D79">
      <w:pPr>
        <w:pStyle w:val="Bezriadkovania"/>
        <w:jc w:val="both"/>
        <w:rPr>
          <w:noProof/>
          <w:szCs w:val="22"/>
        </w:rPr>
      </w:pPr>
    </w:p>
    <w:p w14:paraId="3995D21E" w14:textId="651EE8AC" w:rsidR="00D003CC" w:rsidRPr="004066EE" w:rsidRDefault="00CA7F79" w:rsidP="002C2D79">
      <w:pPr>
        <w:pStyle w:val="Bezriadkovania"/>
        <w:jc w:val="both"/>
        <w:rPr>
          <w:noProof/>
          <w:szCs w:val="22"/>
        </w:rPr>
      </w:pPr>
      <w:r>
        <w:t>Tento liek nevyžaduje žiadne zvláštne podmienky na uchovávanie.</w:t>
      </w:r>
    </w:p>
    <w:p w14:paraId="5DD6DFCE" w14:textId="77777777" w:rsidR="00812D16" w:rsidRPr="004066EE" w:rsidRDefault="00812D16" w:rsidP="002C2D79">
      <w:pPr>
        <w:spacing w:line="240" w:lineRule="auto"/>
        <w:jc w:val="both"/>
        <w:rPr>
          <w:noProof/>
          <w:szCs w:val="22"/>
        </w:rPr>
      </w:pPr>
    </w:p>
    <w:p w14:paraId="1754C126" w14:textId="528CDF29" w:rsidR="00812D16" w:rsidRPr="004066EE" w:rsidRDefault="00F9016F" w:rsidP="002C2D79">
      <w:pPr>
        <w:spacing w:line="240" w:lineRule="auto"/>
        <w:ind w:left="567" w:hanging="567"/>
        <w:jc w:val="both"/>
        <w:outlineLvl w:val="0"/>
        <w:rPr>
          <w:b/>
          <w:noProof/>
          <w:szCs w:val="22"/>
        </w:rPr>
      </w:pPr>
      <w:r>
        <w:rPr>
          <w:b/>
          <w:szCs w:val="22"/>
        </w:rPr>
        <w:t>6.5</w:t>
      </w:r>
      <w:r>
        <w:rPr>
          <w:b/>
          <w:szCs w:val="22"/>
        </w:rPr>
        <w:tab/>
        <w:t xml:space="preserve">Druh obalu a obsah balenia </w:t>
      </w:r>
    </w:p>
    <w:p w14:paraId="1D4CCCCD" w14:textId="1F32A869" w:rsidR="00972FFA" w:rsidRPr="004066EE" w:rsidRDefault="00972FFA" w:rsidP="002C2D79">
      <w:pPr>
        <w:pStyle w:val="Bezriadkovania"/>
        <w:jc w:val="both"/>
        <w:rPr>
          <w:noProof/>
          <w:szCs w:val="22"/>
        </w:rPr>
      </w:pPr>
    </w:p>
    <w:p w14:paraId="284C84C4" w14:textId="7EEBB4C8" w:rsidR="00705BEE" w:rsidRPr="00705BEE" w:rsidRDefault="004C6BAF" w:rsidP="002C2D79">
      <w:pPr>
        <w:pStyle w:val="Zkladntext"/>
        <w:spacing w:line="252" w:lineRule="exact"/>
        <w:jc w:val="both"/>
        <w:rPr>
          <w:i w:val="0"/>
          <w:noProof/>
          <w:color w:val="auto"/>
          <w:szCs w:val="22"/>
          <w:u w:val="single"/>
        </w:rPr>
      </w:pPr>
      <w:proofErr w:type="spellStart"/>
      <w:r>
        <w:rPr>
          <w:i w:val="0"/>
          <w:color w:val="auto"/>
          <w:szCs w:val="22"/>
          <w:u w:val="single"/>
        </w:rPr>
        <w:t>Dexibuprof</w:t>
      </w:r>
      <w:r w:rsidR="00DF5A8B">
        <w:rPr>
          <w:i w:val="0"/>
          <w:color w:val="auto"/>
          <w:szCs w:val="22"/>
          <w:u w:val="single"/>
        </w:rPr>
        <w:t>é</w:t>
      </w:r>
      <w:r>
        <w:rPr>
          <w:i w:val="0"/>
          <w:color w:val="auto"/>
          <w:szCs w:val="22"/>
          <w:u w:val="single"/>
        </w:rPr>
        <w:t>n</w:t>
      </w:r>
      <w:proofErr w:type="spellEnd"/>
      <w:r>
        <w:rPr>
          <w:i w:val="0"/>
          <w:color w:val="auto"/>
          <w:szCs w:val="22"/>
          <w:u w:val="single"/>
        </w:rPr>
        <w:t xml:space="preserve"> </w:t>
      </w:r>
      <w:proofErr w:type="spellStart"/>
      <w:r>
        <w:rPr>
          <w:i w:val="0"/>
          <w:color w:val="auto"/>
          <w:szCs w:val="22"/>
          <w:u w:val="single"/>
        </w:rPr>
        <w:t>Strides</w:t>
      </w:r>
      <w:proofErr w:type="spellEnd"/>
      <w:r w:rsidR="005B4AE0">
        <w:rPr>
          <w:i w:val="0"/>
          <w:color w:val="auto"/>
          <w:szCs w:val="22"/>
          <w:u w:val="single"/>
        </w:rPr>
        <w:t xml:space="preserve"> 200 mg filmom obalené tablety</w:t>
      </w:r>
    </w:p>
    <w:p w14:paraId="1A8E1239" w14:textId="33836002" w:rsidR="00705BEE" w:rsidRPr="00705BEE" w:rsidRDefault="00705BEE" w:rsidP="002C2D79">
      <w:pPr>
        <w:pStyle w:val="Zkladntext"/>
        <w:spacing w:line="252" w:lineRule="exact"/>
        <w:jc w:val="both"/>
        <w:rPr>
          <w:i w:val="0"/>
          <w:noProof/>
          <w:color w:val="auto"/>
          <w:szCs w:val="22"/>
        </w:rPr>
      </w:pPr>
      <w:r>
        <w:rPr>
          <w:i w:val="0"/>
          <w:color w:val="auto"/>
          <w:szCs w:val="22"/>
        </w:rPr>
        <w:t xml:space="preserve">K dispozícii sú PVC/PVDC/hliníkové </w:t>
      </w:r>
      <w:proofErr w:type="spellStart"/>
      <w:r>
        <w:rPr>
          <w:i w:val="0"/>
          <w:color w:val="auto"/>
          <w:szCs w:val="22"/>
        </w:rPr>
        <w:t>blistrové</w:t>
      </w:r>
      <w:proofErr w:type="spellEnd"/>
      <w:r>
        <w:rPr>
          <w:i w:val="0"/>
          <w:color w:val="auto"/>
          <w:szCs w:val="22"/>
        </w:rPr>
        <w:t xml:space="preserve"> balenia po 10, 20, 30, 50, 60, 100 tabl</w:t>
      </w:r>
      <w:r w:rsidR="00D12A60">
        <w:rPr>
          <w:i w:val="0"/>
          <w:color w:val="auto"/>
          <w:szCs w:val="22"/>
        </w:rPr>
        <w:t>i</w:t>
      </w:r>
      <w:r>
        <w:rPr>
          <w:i w:val="0"/>
          <w:color w:val="auto"/>
          <w:szCs w:val="22"/>
        </w:rPr>
        <w:t>et.</w:t>
      </w:r>
    </w:p>
    <w:p w14:paraId="575DD5F8" w14:textId="77777777" w:rsidR="00705BEE" w:rsidRPr="00611CA8" w:rsidRDefault="00705BEE" w:rsidP="002C2D79">
      <w:pPr>
        <w:pStyle w:val="Zkladntext"/>
        <w:spacing w:line="252" w:lineRule="exact"/>
        <w:jc w:val="both"/>
        <w:rPr>
          <w:i w:val="0"/>
          <w:noProof/>
          <w:color w:val="auto"/>
          <w:szCs w:val="22"/>
        </w:rPr>
      </w:pPr>
    </w:p>
    <w:p w14:paraId="45E66CF3" w14:textId="57DF2ACA" w:rsidR="00705BEE" w:rsidRPr="00705BEE" w:rsidRDefault="004C6BAF" w:rsidP="002C2D79">
      <w:pPr>
        <w:pStyle w:val="Zkladntext"/>
        <w:spacing w:line="252" w:lineRule="exact"/>
        <w:jc w:val="both"/>
        <w:rPr>
          <w:i w:val="0"/>
          <w:noProof/>
          <w:color w:val="auto"/>
          <w:szCs w:val="22"/>
          <w:highlight w:val="lightGray"/>
          <w:u w:val="single"/>
        </w:rPr>
      </w:pPr>
      <w:proofErr w:type="spellStart"/>
      <w:r>
        <w:rPr>
          <w:i w:val="0"/>
          <w:color w:val="auto"/>
          <w:szCs w:val="22"/>
          <w:highlight w:val="lightGray"/>
          <w:u w:val="single"/>
        </w:rPr>
        <w:t>Dexibuprof</w:t>
      </w:r>
      <w:r w:rsidR="00B659A7">
        <w:rPr>
          <w:i w:val="0"/>
          <w:color w:val="auto"/>
          <w:szCs w:val="22"/>
          <w:highlight w:val="lightGray"/>
          <w:u w:val="single"/>
        </w:rPr>
        <w:t>é</w:t>
      </w:r>
      <w:r>
        <w:rPr>
          <w:i w:val="0"/>
          <w:color w:val="auto"/>
          <w:szCs w:val="22"/>
          <w:highlight w:val="lightGray"/>
          <w:u w:val="single"/>
        </w:rPr>
        <w:t>n</w:t>
      </w:r>
      <w:proofErr w:type="spellEnd"/>
      <w:r>
        <w:rPr>
          <w:i w:val="0"/>
          <w:color w:val="auto"/>
          <w:szCs w:val="22"/>
          <w:highlight w:val="lightGray"/>
          <w:u w:val="single"/>
        </w:rPr>
        <w:t xml:space="preserve"> </w:t>
      </w:r>
      <w:proofErr w:type="spellStart"/>
      <w:r>
        <w:rPr>
          <w:i w:val="0"/>
          <w:color w:val="auto"/>
          <w:szCs w:val="22"/>
          <w:highlight w:val="lightGray"/>
          <w:u w:val="single"/>
        </w:rPr>
        <w:t>Strides</w:t>
      </w:r>
      <w:proofErr w:type="spellEnd"/>
      <w:r w:rsidR="005B4AE0">
        <w:rPr>
          <w:i w:val="0"/>
          <w:color w:val="auto"/>
          <w:szCs w:val="22"/>
          <w:highlight w:val="lightGray"/>
          <w:u w:val="single"/>
        </w:rPr>
        <w:t xml:space="preserve"> 300 mg filmom obalené tablety </w:t>
      </w:r>
    </w:p>
    <w:p w14:paraId="33EE88A9" w14:textId="5206F03C" w:rsidR="00705BEE" w:rsidRPr="00705BEE" w:rsidRDefault="00705BEE" w:rsidP="002C2D79">
      <w:pPr>
        <w:pStyle w:val="Zkladntext"/>
        <w:spacing w:line="252" w:lineRule="exact"/>
        <w:jc w:val="both"/>
        <w:rPr>
          <w:i w:val="0"/>
          <w:noProof/>
          <w:color w:val="auto"/>
          <w:szCs w:val="22"/>
          <w:highlight w:val="lightGray"/>
        </w:rPr>
      </w:pPr>
      <w:r>
        <w:rPr>
          <w:i w:val="0"/>
          <w:color w:val="auto"/>
          <w:szCs w:val="22"/>
          <w:highlight w:val="lightGray"/>
        </w:rPr>
        <w:t xml:space="preserve">K dispozícii sú PVC/PVDC/hliníkové </w:t>
      </w:r>
      <w:proofErr w:type="spellStart"/>
      <w:r>
        <w:rPr>
          <w:i w:val="0"/>
          <w:color w:val="auto"/>
          <w:szCs w:val="22"/>
          <w:highlight w:val="lightGray"/>
        </w:rPr>
        <w:t>blistrové</w:t>
      </w:r>
      <w:proofErr w:type="spellEnd"/>
      <w:r>
        <w:rPr>
          <w:i w:val="0"/>
          <w:color w:val="auto"/>
          <w:szCs w:val="22"/>
          <w:highlight w:val="lightGray"/>
        </w:rPr>
        <w:t xml:space="preserve"> balenia po 10, 20, 30, 50, 60, 90, 100 tabl</w:t>
      </w:r>
      <w:r w:rsidR="00D12A60">
        <w:rPr>
          <w:i w:val="0"/>
          <w:color w:val="auto"/>
          <w:szCs w:val="22"/>
          <w:highlight w:val="lightGray"/>
        </w:rPr>
        <w:t>i</w:t>
      </w:r>
      <w:r>
        <w:rPr>
          <w:i w:val="0"/>
          <w:color w:val="auto"/>
          <w:szCs w:val="22"/>
          <w:highlight w:val="lightGray"/>
        </w:rPr>
        <w:t>et.</w:t>
      </w:r>
    </w:p>
    <w:p w14:paraId="60FD81D3" w14:textId="77777777" w:rsidR="00705BEE" w:rsidRPr="00611CA8" w:rsidRDefault="00705BEE" w:rsidP="002C2D79">
      <w:pPr>
        <w:pStyle w:val="Zkladntext"/>
        <w:spacing w:line="252" w:lineRule="exact"/>
        <w:jc w:val="both"/>
        <w:rPr>
          <w:i w:val="0"/>
          <w:noProof/>
          <w:color w:val="auto"/>
          <w:szCs w:val="22"/>
          <w:highlight w:val="lightGray"/>
        </w:rPr>
      </w:pPr>
    </w:p>
    <w:p w14:paraId="786A71F6" w14:textId="277963C5" w:rsidR="00705BEE" w:rsidRPr="00705BEE" w:rsidRDefault="004C6BAF" w:rsidP="002C2D79">
      <w:pPr>
        <w:pStyle w:val="Zkladntext"/>
        <w:spacing w:line="252" w:lineRule="exact"/>
        <w:jc w:val="both"/>
        <w:rPr>
          <w:i w:val="0"/>
          <w:noProof/>
          <w:color w:val="auto"/>
          <w:szCs w:val="22"/>
          <w:highlight w:val="lightGray"/>
          <w:u w:val="single"/>
        </w:rPr>
      </w:pPr>
      <w:proofErr w:type="spellStart"/>
      <w:r>
        <w:rPr>
          <w:i w:val="0"/>
          <w:color w:val="auto"/>
          <w:szCs w:val="22"/>
          <w:highlight w:val="lightGray"/>
          <w:u w:val="single"/>
        </w:rPr>
        <w:t>Dexibuprof</w:t>
      </w:r>
      <w:r w:rsidR="00B659A7">
        <w:rPr>
          <w:i w:val="0"/>
          <w:color w:val="auto"/>
          <w:szCs w:val="22"/>
          <w:highlight w:val="lightGray"/>
          <w:u w:val="single"/>
        </w:rPr>
        <w:t>é</w:t>
      </w:r>
      <w:r>
        <w:rPr>
          <w:i w:val="0"/>
          <w:color w:val="auto"/>
          <w:szCs w:val="22"/>
          <w:highlight w:val="lightGray"/>
          <w:u w:val="single"/>
        </w:rPr>
        <w:t>n</w:t>
      </w:r>
      <w:proofErr w:type="spellEnd"/>
      <w:r>
        <w:rPr>
          <w:i w:val="0"/>
          <w:color w:val="auto"/>
          <w:szCs w:val="22"/>
          <w:highlight w:val="lightGray"/>
          <w:u w:val="single"/>
        </w:rPr>
        <w:t xml:space="preserve"> </w:t>
      </w:r>
      <w:proofErr w:type="spellStart"/>
      <w:r>
        <w:rPr>
          <w:i w:val="0"/>
          <w:color w:val="auto"/>
          <w:szCs w:val="22"/>
          <w:highlight w:val="lightGray"/>
          <w:u w:val="single"/>
        </w:rPr>
        <w:t>Strides</w:t>
      </w:r>
      <w:proofErr w:type="spellEnd"/>
      <w:r w:rsidR="005B4AE0">
        <w:rPr>
          <w:i w:val="0"/>
          <w:color w:val="auto"/>
          <w:szCs w:val="22"/>
          <w:highlight w:val="lightGray"/>
          <w:u w:val="single"/>
        </w:rPr>
        <w:t xml:space="preserve"> 400 mg filmom obalené tablety</w:t>
      </w:r>
    </w:p>
    <w:p w14:paraId="26A2E34E" w14:textId="6F3B20E2" w:rsidR="00705BEE" w:rsidRPr="00705BEE" w:rsidRDefault="00705BEE" w:rsidP="002C2D79">
      <w:pPr>
        <w:jc w:val="both"/>
        <w:rPr>
          <w:noProof/>
          <w:szCs w:val="22"/>
        </w:rPr>
      </w:pPr>
      <w:r>
        <w:rPr>
          <w:szCs w:val="22"/>
          <w:highlight w:val="lightGray"/>
        </w:rPr>
        <w:t xml:space="preserve">K dispozícii sú PVC/PVDC/hliníkové </w:t>
      </w:r>
      <w:proofErr w:type="spellStart"/>
      <w:r>
        <w:rPr>
          <w:szCs w:val="22"/>
          <w:highlight w:val="lightGray"/>
        </w:rPr>
        <w:t>blistrové</w:t>
      </w:r>
      <w:proofErr w:type="spellEnd"/>
      <w:r>
        <w:rPr>
          <w:szCs w:val="22"/>
          <w:highlight w:val="lightGray"/>
        </w:rPr>
        <w:t xml:space="preserve"> balenia po 4, 10, 20, 30, 50, 60, 90, 100 tabl</w:t>
      </w:r>
      <w:r w:rsidR="00D12A60">
        <w:rPr>
          <w:szCs w:val="22"/>
          <w:highlight w:val="lightGray"/>
        </w:rPr>
        <w:t>i</w:t>
      </w:r>
      <w:r>
        <w:rPr>
          <w:szCs w:val="22"/>
          <w:highlight w:val="lightGray"/>
        </w:rPr>
        <w:t>et.</w:t>
      </w:r>
    </w:p>
    <w:p w14:paraId="01FED560" w14:textId="77777777" w:rsidR="00705BEE" w:rsidRPr="00705BEE" w:rsidRDefault="00705BEE" w:rsidP="002C2D79">
      <w:pPr>
        <w:widowControl w:val="0"/>
        <w:spacing w:line="240" w:lineRule="auto"/>
        <w:jc w:val="both"/>
        <w:rPr>
          <w:noProof/>
          <w:szCs w:val="22"/>
        </w:rPr>
      </w:pPr>
    </w:p>
    <w:p w14:paraId="16537D7F" w14:textId="77777777" w:rsidR="00CA7F79" w:rsidRPr="004066EE" w:rsidRDefault="00CA7F79" w:rsidP="002C2D79">
      <w:pPr>
        <w:widowControl w:val="0"/>
        <w:spacing w:line="240" w:lineRule="auto"/>
        <w:jc w:val="both"/>
        <w:rPr>
          <w:noProof/>
          <w:szCs w:val="22"/>
        </w:rPr>
      </w:pPr>
      <w:r>
        <w:t>Na trh nemusia byť uvedené všetky veľkosti balenia.</w:t>
      </w:r>
    </w:p>
    <w:p w14:paraId="39CDECC8" w14:textId="77777777" w:rsidR="00812D16" w:rsidRPr="004066EE" w:rsidRDefault="00812D16" w:rsidP="002C2D79">
      <w:pPr>
        <w:spacing w:line="240" w:lineRule="auto"/>
        <w:jc w:val="both"/>
        <w:rPr>
          <w:noProof/>
          <w:szCs w:val="22"/>
        </w:rPr>
      </w:pPr>
    </w:p>
    <w:p w14:paraId="2C018BE0" w14:textId="071063D3" w:rsidR="00812D16" w:rsidRPr="004066EE" w:rsidRDefault="00812D16" w:rsidP="002C2D79">
      <w:pPr>
        <w:spacing w:line="240" w:lineRule="auto"/>
        <w:ind w:left="567" w:hanging="567"/>
        <w:jc w:val="both"/>
        <w:outlineLvl w:val="0"/>
        <w:rPr>
          <w:noProof/>
          <w:szCs w:val="22"/>
        </w:rPr>
      </w:pPr>
      <w:bookmarkStart w:id="1" w:name="OLE_LINK1"/>
      <w:r>
        <w:rPr>
          <w:b/>
          <w:szCs w:val="22"/>
        </w:rPr>
        <w:t>6.6</w:t>
      </w:r>
      <w:r>
        <w:rPr>
          <w:b/>
          <w:szCs w:val="22"/>
        </w:rPr>
        <w:tab/>
        <w:t xml:space="preserve">Špeciálne opatrenia na likvidáciu </w:t>
      </w:r>
    </w:p>
    <w:p w14:paraId="5CC644FB" w14:textId="77777777" w:rsidR="00560EDA" w:rsidRPr="004066EE" w:rsidRDefault="00560EDA" w:rsidP="002C2D79">
      <w:pPr>
        <w:spacing w:line="240" w:lineRule="auto"/>
        <w:jc w:val="both"/>
        <w:rPr>
          <w:i/>
          <w:noProof/>
          <w:szCs w:val="22"/>
        </w:rPr>
      </w:pPr>
    </w:p>
    <w:p w14:paraId="7A77FE22" w14:textId="14B9392D" w:rsidR="007A291D" w:rsidRPr="007A291D" w:rsidRDefault="007A291D" w:rsidP="007A291D">
      <w:pPr>
        <w:spacing w:line="240" w:lineRule="auto"/>
        <w:jc w:val="both"/>
        <w:rPr>
          <w:szCs w:val="22"/>
        </w:rPr>
      </w:pPr>
      <w:r>
        <w:t xml:space="preserve">Všetok nepoužitý liek alebo odpad vzniknutý z lieku sa má zlikvidovať v súlade s národnými </w:t>
      </w:r>
    </w:p>
    <w:p w14:paraId="01B9DF1E" w14:textId="11AAF8E3" w:rsidR="00812D16" w:rsidRDefault="007A291D" w:rsidP="002C2D79">
      <w:pPr>
        <w:spacing w:line="240" w:lineRule="auto"/>
        <w:jc w:val="both"/>
        <w:rPr>
          <w:noProof/>
          <w:szCs w:val="22"/>
        </w:rPr>
      </w:pPr>
      <w:r>
        <w:t>požiadavkami.</w:t>
      </w:r>
      <w:bookmarkEnd w:id="1"/>
    </w:p>
    <w:p w14:paraId="0A532717" w14:textId="77777777" w:rsidR="00A159ED" w:rsidRDefault="00A159ED" w:rsidP="002C2D79">
      <w:pPr>
        <w:spacing w:line="240" w:lineRule="auto"/>
        <w:jc w:val="both"/>
        <w:rPr>
          <w:noProof/>
          <w:szCs w:val="22"/>
        </w:rPr>
      </w:pPr>
    </w:p>
    <w:p w14:paraId="330F4239" w14:textId="77777777" w:rsidR="00A159ED" w:rsidRPr="004066EE" w:rsidRDefault="00A159ED" w:rsidP="002C2D79">
      <w:pPr>
        <w:spacing w:line="240" w:lineRule="auto"/>
        <w:jc w:val="both"/>
        <w:rPr>
          <w:noProof/>
          <w:szCs w:val="22"/>
        </w:rPr>
      </w:pPr>
    </w:p>
    <w:p w14:paraId="52B12FD4" w14:textId="77777777" w:rsidR="00812D16" w:rsidRPr="004066EE" w:rsidRDefault="00812D16" w:rsidP="002C2D79">
      <w:pPr>
        <w:spacing w:line="240" w:lineRule="auto"/>
        <w:ind w:left="567" w:hanging="567"/>
        <w:jc w:val="both"/>
        <w:rPr>
          <w:noProof/>
          <w:szCs w:val="22"/>
        </w:rPr>
      </w:pPr>
      <w:r>
        <w:rPr>
          <w:b/>
          <w:szCs w:val="22"/>
        </w:rPr>
        <w:t>7.</w:t>
      </w:r>
      <w:r>
        <w:rPr>
          <w:b/>
          <w:szCs w:val="22"/>
        </w:rPr>
        <w:tab/>
        <w:t>DRŽITEĽ ROZHODNUTIA O REGISTRÁCII</w:t>
      </w:r>
    </w:p>
    <w:p w14:paraId="7284BF1E" w14:textId="77777777" w:rsidR="00812D16" w:rsidRPr="004066EE" w:rsidRDefault="00812D16" w:rsidP="002C2D79">
      <w:pPr>
        <w:spacing w:line="240" w:lineRule="auto"/>
        <w:jc w:val="both"/>
        <w:rPr>
          <w:noProof/>
          <w:szCs w:val="22"/>
        </w:rPr>
      </w:pPr>
    </w:p>
    <w:p w14:paraId="24F9AD6D" w14:textId="7C377D83" w:rsidR="003D210D" w:rsidRDefault="0062788D" w:rsidP="002C2D79">
      <w:pPr>
        <w:spacing w:line="240" w:lineRule="auto"/>
        <w:jc w:val="both"/>
      </w:pPr>
      <w:proofErr w:type="spellStart"/>
      <w:r>
        <w:t>Strides</w:t>
      </w:r>
      <w:proofErr w:type="spellEnd"/>
      <w:r>
        <w:t xml:space="preserve"> Pharma </w:t>
      </w:r>
      <w:r w:rsidR="00F1096B">
        <w:t>(</w:t>
      </w:r>
      <w:r>
        <w:t>Cyprus</w:t>
      </w:r>
      <w:r w:rsidR="00F1096B">
        <w:t>)</w:t>
      </w:r>
      <w:r>
        <w:t xml:space="preserve"> </w:t>
      </w:r>
      <w:proofErr w:type="spellStart"/>
      <w:r>
        <w:t>Limited</w:t>
      </w:r>
      <w:proofErr w:type="spellEnd"/>
    </w:p>
    <w:p w14:paraId="6C2174AE" w14:textId="35604B7E" w:rsidR="0062788D" w:rsidRDefault="0062788D" w:rsidP="002C2D79">
      <w:pPr>
        <w:spacing w:line="240" w:lineRule="auto"/>
        <w:jc w:val="both"/>
      </w:pPr>
      <w:proofErr w:type="spellStart"/>
      <w:r>
        <w:t>Themistokli</w:t>
      </w:r>
      <w:proofErr w:type="spellEnd"/>
      <w:r>
        <w:t xml:space="preserve"> </w:t>
      </w:r>
      <w:proofErr w:type="spellStart"/>
      <w:r>
        <w:t>Dervi</w:t>
      </w:r>
      <w:proofErr w:type="spellEnd"/>
      <w:r>
        <w:t xml:space="preserve"> 3, </w:t>
      </w:r>
      <w:proofErr w:type="spellStart"/>
      <w:r>
        <w:t>Julia</w:t>
      </w:r>
      <w:proofErr w:type="spellEnd"/>
      <w:r>
        <w:t xml:space="preserve"> </w:t>
      </w:r>
      <w:proofErr w:type="spellStart"/>
      <w:r>
        <w:t>House</w:t>
      </w:r>
      <w:proofErr w:type="spellEnd"/>
      <w:r>
        <w:t xml:space="preserve"> 1</w:t>
      </w:r>
      <w:r w:rsidRPr="00A23C81">
        <w:rPr>
          <w:vertAlign w:val="superscript"/>
        </w:rPr>
        <w:t>st</w:t>
      </w:r>
      <w:r>
        <w:t xml:space="preserve"> </w:t>
      </w:r>
      <w:proofErr w:type="spellStart"/>
      <w:r>
        <w:t>floor</w:t>
      </w:r>
      <w:proofErr w:type="spellEnd"/>
    </w:p>
    <w:p w14:paraId="21CF0552" w14:textId="4B39E9B8" w:rsidR="0062788D" w:rsidRDefault="0062788D" w:rsidP="002C2D79">
      <w:pPr>
        <w:spacing w:line="240" w:lineRule="auto"/>
        <w:jc w:val="both"/>
        <w:rPr>
          <w:noProof/>
          <w:szCs w:val="22"/>
        </w:rPr>
      </w:pPr>
      <w:r>
        <w:rPr>
          <w:noProof/>
          <w:szCs w:val="22"/>
        </w:rPr>
        <w:t>1066 Nicosia</w:t>
      </w:r>
    </w:p>
    <w:p w14:paraId="07C8211F" w14:textId="2D807953" w:rsidR="0062788D" w:rsidRPr="004066EE" w:rsidRDefault="0062788D" w:rsidP="002C2D79">
      <w:pPr>
        <w:spacing w:line="240" w:lineRule="auto"/>
        <w:jc w:val="both"/>
        <w:rPr>
          <w:noProof/>
          <w:szCs w:val="22"/>
        </w:rPr>
      </w:pPr>
      <w:r>
        <w:rPr>
          <w:noProof/>
          <w:szCs w:val="22"/>
        </w:rPr>
        <w:t>Cyprus</w:t>
      </w:r>
    </w:p>
    <w:p w14:paraId="5AE0599E" w14:textId="77777777" w:rsidR="00812D16" w:rsidRPr="004066EE" w:rsidRDefault="00812D16" w:rsidP="002C2D79">
      <w:pPr>
        <w:spacing w:line="240" w:lineRule="auto"/>
        <w:jc w:val="both"/>
        <w:rPr>
          <w:noProof/>
          <w:szCs w:val="22"/>
        </w:rPr>
      </w:pPr>
    </w:p>
    <w:p w14:paraId="6BDAF0C4" w14:textId="77777777" w:rsidR="00812D16" w:rsidRPr="004066EE" w:rsidRDefault="00812D16" w:rsidP="002C2D79">
      <w:pPr>
        <w:spacing w:line="240" w:lineRule="auto"/>
        <w:jc w:val="both"/>
        <w:rPr>
          <w:noProof/>
          <w:szCs w:val="22"/>
        </w:rPr>
      </w:pPr>
      <w:bookmarkStart w:id="2" w:name="_GoBack"/>
      <w:bookmarkEnd w:id="2"/>
    </w:p>
    <w:p w14:paraId="49537E65" w14:textId="3CCA07E9" w:rsidR="00812D16" w:rsidRPr="004066EE" w:rsidRDefault="00812D16" w:rsidP="002C2D79">
      <w:pPr>
        <w:spacing w:line="240" w:lineRule="auto"/>
        <w:ind w:left="567" w:hanging="567"/>
        <w:jc w:val="both"/>
        <w:rPr>
          <w:b/>
          <w:noProof/>
          <w:szCs w:val="22"/>
        </w:rPr>
      </w:pPr>
      <w:r>
        <w:rPr>
          <w:b/>
          <w:szCs w:val="22"/>
        </w:rPr>
        <w:t>8.</w:t>
      </w:r>
      <w:r>
        <w:rPr>
          <w:b/>
          <w:szCs w:val="22"/>
        </w:rPr>
        <w:tab/>
        <w:t xml:space="preserve">REGISTRAČNÉ ČÍSLA </w:t>
      </w:r>
    </w:p>
    <w:p w14:paraId="2324D7D0" w14:textId="77777777" w:rsidR="00812D16" w:rsidRPr="004066EE" w:rsidRDefault="00812D16" w:rsidP="002C2D79">
      <w:pPr>
        <w:spacing w:line="240" w:lineRule="auto"/>
        <w:jc w:val="both"/>
        <w:rPr>
          <w:noProof/>
          <w:szCs w:val="22"/>
        </w:rPr>
      </w:pPr>
    </w:p>
    <w:p w14:paraId="1B296F42" w14:textId="52AA4067" w:rsidR="008F6E86" w:rsidRPr="004066EE" w:rsidRDefault="008F6E86" w:rsidP="008F6E86">
      <w:pPr>
        <w:widowControl w:val="0"/>
        <w:spacing w:line="240" w:lineRule="auto"/>
        <w:jc w:val="both"/>
        <w:rPr>
          <w:noProof/>
          <w:szCs w:val="22"/>
        </w:rPr>
      </w:pPr>
      <w:proofErr w:type="spellStart"/>
      <w:r>
        <w:t>Dexibuprofén</w:t>
      </w:r>
      <w:proofErr w:type="spellEnd"/>
      <w:r>
        <w:t xml:space="preserve"> </w:t>
      </w:r>
      <w:proofErr w:type="spellStart"/>
      <w:r>
        <w:t>Strides</w:t>
      </w:r>
      <w:proofErr w:type="spellEnd"/>
      <w:r>
        <w:t xml:space="preserve"> 200 mg filmom obalené tablety</w:t>
      </w:r>
      <w:r>
        <w:t xml:space="preserve">: </w:t>
      </w:r>
      <w:r w:rsidRPr="008F6E86">
        <w:t>29/0095/20-S</w:t>
      </w:r>
    </w:p>
    <w:p w14:paraId="1F9DF9AA" w14:textId="06F84CE4" w:rsidR="008F6E86" w:rsidRPr="004066EE" w:rsidRDefault="008F6E86" w:rsidP="008F6E86">
      <w:pPr>
        <w:widowControl w:val="0"/>
        <w:spacing w:line="240" w:lineRule="auto"/>
        <w:jc w:val="both"/>
        <w:rPr>
          <w:noProof/>
          <w:szCs w:val="22"/>
          <w:highlight w:val="lightGray"/>
        </w:rPr>
      </w:pPr>
      <w:proofErr w:type="spellStart"/>
      <w:r>
        <w:rPr>
          <w:szCs w:val="22"/>
          <w:highlight w:val="lightGray"/>
        </w:rPr>
        <w:t>Dexibuprofén</w:t>
      </w:r>
      <w:proofErr w:type="spellEnd"/>
      <w:r>
        <w:rPr>
          <w:szCs w:val="22"/>
          <w:highlight w:val="lightGray"/>
        </w:rPr>
        <w:t xml:space="preserve"> </w:t>
      </w:r>
      <w:proofErr w:type="spellStart"/>
      <w:r>
        <w:rPr>
          <w:szCs w:val="22"/>
          <w:highlight w:val="lightGray"/>
        </w:rPr>
        <w:t>Strides</w:t>
      </w:r>
      <w:proofErr w:type="spellEnd"/>
      <w:r>
        <w:rPr>
          <w:szCs w:val="22"/>
          <w:highlight w:val="lightGray"/>
        </w:rPr>
        <w:t xml:space="preserve"> 300 mg filmom obalené tablety</w:t>
      </w:r>
      <w:r>
        <w:rPr>
          <w:szCs w:val="22"/>
          <w:highlight w:val="lightGray"/>
        </w:rPr>
        <w:t>:</w:t>
      </w:r>
      <w:r>
        <w:rPr>
          <w:szCs w:val="22"/>
          <w:highlight w:val="lightGray"/>
        </w:rPr>
        <w:t xml:space="preserve"> </w:t>
      </w:r>
      <w:r w:rsidRPr="008F6E86">
        <w:rPr>
          <w:szCs w:val="22"/>
        </w:rPr>
        <w:t>29/009</w:t>
      </w:r>
      <w:r>
        <w:rPr>
          <w:szCs w:val="22"/>
        </w:rPr>
        <w:t>6</w:t>
      </w:r>
      <w:r w:rsidRPr="008F6E86">
        <w:rPr>
          <w:szCs w:val="22"/>
        </w:rPr>
        <w:t>/20-S</w:t>
      </w:r>
    </w:p>
    <w:p w14:paraId="0A7FBB90" w14:textId="6CFD75B0" w:rsidR="008F6E86" w:rsidRPr="004066EE" w:rsidRDefault="008F6E86" w:rsidP="008F6E86">
      <w:pPr>
        <w:widowControl w:val="0"/>
        <w:spacing w:line="240" w:lineRule="auto"/>
        <w:jc w:val="both"/>
        <w:rPr>
          <w:noProof/>
          <w:szCs w:val="22"/>
        </w:rPr>
      </w:pPr>
      <w:proofErr w:type="spellStart"/>
      <w:r>
        <w:rPr>
          <w:szCs w:val="22"/>
          <w:highlight w:val="lightGray"/>
        </w:rPr>
        <w:t>Dexibuprofén</w:t>
      </w:r>
      <w:proofErr w:type="spellEnd"/>
      <w:r>
        <w:rPr>
          <w:szCs w:val="22"/>
          <w:highlight w:val="lightGray"/>
        </w:rPr>
        <w:t xml:space="preserve"> </w:t>
      </w:r>
      <w:proofErr w:type="spellStart"/>
      <w:r>
        <w:rPr>
          <w:szCs w:val="22"/>
          <w:highlight w:val="lightGray"/>
        </w:rPr>
        <w:t>Strides</w:t>
      </w:r>
      <w:proofErr w:type="spellEnd"/>
      <w:r>
        <w:rPr>
          <w:szCs w:val="22"/>
          <w:highlight w:val="lightGray"/>
        </w:rPr>
        <w:t xml:space="preserve"> 400 mg filmom obalené tablety</w:t>
      </w:r>
      <w:r>
        <w:rPr>
          <w:szCs w:val="22"/>
        </w:rPr>
        <w:t>: 29/0097</w:t>
      </w:r>
      <w:r w:rsidRPr="008F6E86">
        <w:rPr>
          <w:szCs w:val="22"/>
        </w:rPr>
        <w:t>/20-S</w:t>
      </w:r>
    </w:p>
    <w:p w14:paraId="57780859" w14:textId="4C1F4815" w:rsidR="00812D16" w:rsidRPr="004066EE" w:rsidRDefault="00812D16" w:rsidP="002C2D79">
      <w:pPr>
        <w:spacing w:line="240" w:lineRule="auto"/>
        <w:jc w:val="both"/>
        <w:rPr>
          <w:noProof/>
          <w:szCs w:val="22"/>
        </w:rPr>
      </w:pPr>
    </w:p>
    <w:p w14:paraId="43D83F6E" w14:textId="77777777" w:rsidR="00DC4DE6" w:rsidRPr="004066EE" w:rsidRDefault="00DC4DE6" w:rsidP="002C2D79">
      <w:pPr>
        <w:spacing w:line="240" w:lineRule="auto"/>
        <w:jc w:val="both"/>
        <w:rPr>
          <w:noProof/>
          <w:szCs w:val="22"/>
        </w:rPr>
      </w:pPr>
    </w:p>
    <w:p w14:paraId="32E52A9B" w14:textId="393F1BC2" w:rsidR="00812D16" w:rsidRPr="004066EE" w:rsidRDefault="00812D16" w:rsidP="002C2D79">
      <w:pPr>
        <w:spacing w:line="240" w:lineRule="auto"/>
        <w:ind w:left="567" w:hanging="567"/>
        <w:jc w:val="both"/>
        <w:rPr>
          <w:noProof/>
          <w:szCs w:val="22"/>
        </w:rPr>
      </w:pPr>
      <w:r>
        <w:rPr>
          <w:b/>
          <w:szCs w:val="22"/>
        </w:rPr>
        <w:t>9.</w:t>
      </w:r>
      <w:r>
        <w:rPr>
          <w:b/>
          <w:szCs w:val="22"/>
        </w:rPr>
        <w:tab/>
        <w:t>DÁTUM PRVEJ REGISTRÁCIE/PREDĹŽENIA REGISTRÁCIE</w:t>
      </w:r>
    </w:p>
    <w:p w14:paraId="1CA041D8" w14:textId="77777777" w:rsidR="00812D16" w:rsidRPr="004066EE" w:rsidRDefault="00812D16" w:rsidP="002C2D79">
      <w:pPr>
        <w:spacing w:line="240" w:lineRule="auto"/>
        <w:jc w:val="both"/>
        <w:rPr>
          <w:i/>
          <w:noProof/>
          <w:szCs w:val="22"/>
        </w:rPr>
      </w:pPr>
    </w:p>
    <w:p w14:paraId="6BE430B9" w14:textId="657A0D03" w:rsidR="0050338C" w:rsidRPr="004066EE" w:rsidRDefault="0050338C" w:rsidP="002C2D79">
      <w:pPr>
        <w:tabs>
          <w:tab w:val="clear" w:pos="567"/>
        </w:tabs>
        <w:autoSpaceDE w:val="0"/>
        <w:autoSpaceDN w:val="0"/>
        <w:adjustRightInd w:val="0"/>
        <w:spacing w:line="240" w:lineRule="auto"/>
        <w:jc w:val="both"/>
        <w:rPr>
          <w:rFonts w:eastAsia="SimSun"/>
          <w:szCs w:val="22"/>
        </w:rPr>
      </w:pPr>
      <w:r>
        <w:t xml:space="preserve">Dátum prvej registrácie: </w:t>
      </w:r>
    </w:p>
    <w:p w14:paraId="7425B364" w14:textId="77777777" w:rsidR="00812D16" w:rsidRPr="004066EE" w:rsidRDefault="00812D16" w:rsidP="002C2D79">
      <w:pPr>
        <w:spacing w:line="240" w:lineRule="auto"/>
        <w:jc w:val="both"/>
        <w:rPr>
          <w:noProof/>
          <w:szCs w:val="22"/>
        </w:rPr>
      </w:pPr>
    </w:p>
    <w:p w14:paraId="655FF0CC" w14:textId="77777777" w:rsidR="00812D16" w:rsidRPr="004066EE" w:rsidRDefault="00812D16" w:rsidP="002C2D79">
      <w:pPr>
        <w:spacing w:line="240" w:lineRule="auto"/>
        <w:jc w:val="both"/>
        <w:rPr>
          <w:noProof/>
          <w:szCs w:val="22"/>
        </w:rPr>
      </w:pPr>
    </w:p>
    <w:p w14:paraId="2CA5AA7C" w14:textId="77777777" w:rsidR="00812D16" w:rsidRPr="004066EE" w:rsidRDefault="00812D16" w:rsidP="002C2D79">
      <w:pPr>
        <w:spacing w:line="240" w:lineRule="auto"/>
        <w:ind w:left="567" w:hanging="567"/>
        <w:jc w:val="both"/>
        <w:rPr>
          <w:b/>
          <w:noProof/>
          <w:szCs w:val="22"/>
        </w:rPr>
      </w:pPr>
      <w:r>
        <w:rPr>
          <w:b/>
          <w:szCs w:val="22"/>
        </w:rPr>
        <w:t>10.</w:t>
      </w:r>
      <w:r>
        <w:rPr>
          <w:b/>
          <w:szCs w:val="22"/>
        </w:rPr>
        <w:tab/>
        <w:t>DÁTUM REVÍZIE TEXTU</w:t>
      </w:r>
    </w:p>
    <w:p w14:paraId="6A8A31DC" w14:textId="77777777" w:rsidR="00812D16" w:rsidRPr="004066EE" w:rsidRDefault="00812D16" w:rsidP="002C2D79">
      <w:pPr>
        <w:spacing w:line="240" w:lineRule="auto"/>
        <w:jc w:val="both"/>
        <w:rPr>
          <w:noProof/>
          <w:szCs w:val="22"/>
        </w:rPr>
      </w:pPr>
    </w:p>
    <w:p w14:paraId="7E260515" w14:textId="2BE132FB" w:rsidR="00FE401B" w:rsidRPr="00D360D7" w:rsidRDefault="00B659A7" w:rsidP="002C2D79">
      <w:pPr>
        <w:spacing w:line="240" w:lineRule="auto"/>
        <w:jc w:val="both"/>
        <w:rPr>
          <w:noProof/>
          <w:szCs w:val="22"/>
        </w:rPr>
      </w:pPr>
      <w:r w:rsidRPr="00D360D7">
        <w:rPr>
          <w:noProof/>
          <w:szCs w:val="22"/>
        </w:rPr>
        <w:t>04/2020</w:t>
      </w:r>
    </w:p>
    <w:sectPr w:rsidR="00FE401B" w:rsidRPr="00D360D7" w:rsidSect="00E06566">
      <w:headerReference w:type="default" r:id="rId8"/>
      <w:footerReference w:type="default" r:id="rId9"/>
      <w:headerReference w:type="first" r:id="rId10"/>
      <w:footerReference w:type="first" r:id="rId11"/>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E6E4E" w14:textId="77777777" w:rsidR="00FE7FCC" w:rsidRDefault="00FE7FCC">
      <w:r>
        <w:separator/>
      </w:r>
    </w:p>
  </w:endnote>
  <w:endnote w:type="continuationSeparator" w:id="0">
    <w:p w14:paraId="61B3DA1B" w14:textId="77777777" w:rsidR="00FE7FCC" w:rsidRDefault="00FE7FCC">
      <w:r>
        <w:continuationSeparator/>
      </w:r>
    </w:p>
  </w:endnote>
  <w:endnote w:type="continuationNotice" w:id="1">
    <w:p w14:paraId="188B74AA" w14:textId="77777777" w:rsidR="00FE7FCC" w:rsidRDefault="00FE7F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unga">
    <w:altName w:val="Courier New"/>
    <w:panose1 w:val="00000400000000000000"/>
    <w:charset w:val="01"/>
    <w:family w:val="roman"/>
    <w:notTrueType/>
    <w:pitch w:val="variable"/>
  </w:font>
  <w:font w:name="Univers 45 Light">
    <w:altName w:val="Calibri"/>
    <w:charset w:val="00"/>
    <w:family w:val="auto"/>
    <w:pitch w:val="variable"/>
    <w:sig w:usb0="80000027"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53705" w14:textId="3696AEBD" w:rsidR="006B4557" w:rsidRDefault="006B4557">
    <w:pPr>
      <w:pStyle w:val="Pta"/>
      <w:tabs>
        <w:tab w:val="right" w:pos="8931"/>
      </w:tabs>
      <w:ind w:right="96"/>
      <w:jc w:val="center"/>
    </w:pPr>
    <w:r>
      <w:fldChar w:fldCharType="begin"/>
    </w:r>
    <w:r>
      <w:instrText xml:space="preserve"> EQ </w:instrText>
    </w:r>
    <w:r>
      <w:fldChar w:fldCharType="end"/>
    </w:r>
    <w:r>
      <w:rPr>
        <w:rStyle w:val="slostrany"/>
        <w:rFonts w:cs="Arial"/>
      </w:rPr>
      <w:fldChar w:fldCharType="begin"/>
    </w:r>
    <w:r>
      <w:rPr>
        <w:rStyle w:val="slostrany"/>
        <w:rFonts w:cs="Arial"/>
      </w:rPr>
      <w:instrText xml:space="preserve">PAGE  </w:instrText>
    </w:r>
    <w:r>
      <w:rPr>
        <w:rStyle w:val="slostrany"/>
        <w:rFonts w:cs="Arial"/>
      </w:rPr>
      <w:fldChar w:fldCharType="separate"/>
    </w:r>
    <w:r w:rsidR="00650A3D">
      <w:rPr>
        <w:rStyle w:val="slostrany"/>
        <w:rFonts w:cs="Arial"/>
      </w:rPr>
      <w:t>13</w:t>
    </w:r>
    <w:r>
      <w:rPr>
        <w:rStyle w:val="slostrany"/>
        <w:rFonts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DE2D9" w14:textId="33CFC348" w:rsidR="006B4557" w:rsidRDefault="006B4557">
    <w:pPr>
      <w:pStyle w:val="Pta"/>
      <w:tabs>
        <w:tab w:val="right" w:pos="8931"/>
      </w:tabs>
      <w:ind w:right="96"/>
      <w:jc w:val="center"/>
    </w:pPr>
    <w:r>
      <w:fldChar w:fldCharType="begin"/>
    </w:r>
    <w:r>
      <w:instrText xml:space="preserve"> EQ </w:instrText>
    </w:r>
    <w:r>
      <w:fldChar w:fldCharType="end"/>
    </w:r>
    <w:r>
      <w:rPr>
        <w:rStyle w:val="slostrany"/>
        <w:rFonts w:cs="Arial"/>
      </w:rPr>
      <w:fldChar w:fldCharType="begin"/>
    </w:r>
    <w:r>
      <w:rPr>
        <w:rStyle w:val="slostrany"/>
        <w:rFonts w:cs="Arial"/>
      </w:rPr>
      <w:instrText xml:space="preserve">PAGE  </w:instrText>
    </w:r>
    <w:r>
      <w:rPr>
        <w:rStyle w:val="slostrany"/>
        <w:rFonts w:cs="Arial"/>
      </w:rPr>
      <w:fldChar w:fldCharType="separate"/>
    </w:r>
    <w:r w:rsidR="00F659BB">
      <w:rPr>
        <w:rStyle w:val="slostrany"/>
        <w:rFonts w:cs="Arial"/>
      </w:rPr>
      <w:t>1</w:t>
    </w:r>
    <w:r>
      <w:rPr>
        <w:rStyle w:val="slostrany"/>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1AC7D" w14:textId="77777777" w:rsidR="00FE7FCC" w:rsidRDefault="00FE7FCC">
      <w:r>
        <w:separator/>
      </w:r>
    </w:p>
  </w:footnote>
  <w:footnote w:type="continuationSeparator" w:id="0">
    <w:p w14:paraId="57374922" w14:textId="77777777" w:rsidR="00FE7FCC" w:rsidRDefault="00FE7FCC">
      <w:r>
        <w:continuationSeparator/>
      </w:r>
    </w:p>
  </w:footnote>
  <w:footnote w:type="continuationNotice" w:id="1">
    <w:p w14:paraId="5FDA818E" w14:textId="77777777" w:rsidR="00FE7FCC" w:rsidRDefault="00FE7FC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4ED9D" w14:textId="21DC0DEA" w:rsidR="00E06566" w:rsidRPr="00E06566" w:rsidRDefault="00E06566" w:rsidP="00E06566">
    <w:pPr>
      <w:pStyle w:val="Hlavika"/>
      <w:rPr>
        <w:rFonts w:ascii="Times New Roman" w:hAnsi="Times New Roman"/>
      </w:rPr>
    </w:pPr>
    <w:r>
      <w:rPr>
        <w:rFonts w:ascii="Times New Roman" w:hAnsi="Times New Roman"/>
        <w:sz w:val="18"/>
      </w:rPr>
      <w:t>Schválený text k rozhodnutiu o registrácii</w:t>
    </w:r>
    <w:r w:rsidRPr="00E06566">
      <w:rPr>
        <w:rFonts w:ascii="Times New Roman" w:hAnsi="Times New Roman"/>
        <w:sz w:val="18"/>
      </w:rPr>
      <w:t>, ev. č.:</w:t>
    </w:r>
    <w:r w:rsidR="00AC1444">
      <w:rPr>
        <w:rFonts w:ascii="Times New Roman" w:hAnsi="Times New Roman"/>
        <w:sz w:val="18"/>
      </w:rPr>
      <w:t xml:space="preserve"> 2018/06231-REG, 2018/06232-REG, 2018/06233-REG</w:t>
    </w:r>
  </w:p>
  <w:p w14:paraId="4B12167A" w14:textId="77777777" w:rsidR="00734CEE" w:rsidRDefault="00734CEE">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08FB2" w14:textId="76AC84C4" w:rsidR="009A0AF1" w:rsidRPr="00E06566" w:rsidRDefault="00E06566" w:rsidP="009A0AF1">
    <w:pPr>
      <w:pStyle w:val="Hlavika"/>
      <w:rPr>
        <w:rFonts w:ascii="Times New Roman" w:hAnsi="Times New Roman"/>
      </w:rPr>
    </w:pPr>
    <w:r w:rsidRPr="00E06566">
      <w:rPr>
        <w:rFonts w:ascii="Times New Roman" w:hAnsi="Times New Roman"/>
        <w:sz w:val="18"/>
      </w:rPr>
      <w:t>Príloha č. 1 k notifikácii o zmene, ev. č.:</w:t>
    </w:r>
  </w:p>
  <w:p w14:paraId="7960C0A9" w14:textId="77777777" w:rsidR="009A0AF1" w:rsidRPr="00227388" w:rsidRDefault="009A0AF1">
    <w:pPr>
      <w:pStyle w:val="Hlavika"/>
      <w:rPr>
        <w:lang w:val="da-D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7C40F9"/>
    <w:multiLevelType w:val="hybridMultilevel"/>
    <w:tmpl w:val="9EEA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E345F8"/>
    <w:multiLevelType w:val="hybridMultilevel"/>
    <w:tmpl w:val="F1C257F0"/>
    <w:lvl w:ilvl="0" w:tplc="77627A1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419E7C43"/>
    <w:multiLevelType w:val="hybridMultilevel"/>
    <w:tmpl w:val="CA7ED73E"/>
    <w:lvl w:ilvl="0" w:tplc="77627A1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4AFC5C58"/>
    <w:multiLevelType w:val="hybridMultilevel"/>
    <w:tmpl w:val="824ACA12"/>
    <w:lvl w:ilvl="0" w:tplc="2DE05A6E">
      <w:numFmt w:val="bullet"/>
      <w:lvlText w:val="-"/>
      <w:lvlJc w:val="left"/>
      <w:pPr>
        <w:ind w:left="924" w:hanging="564"/>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9"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7"/>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8"/>
  </w:num>
  <w:num w:numId="6">
    <w:abstractNumId w:val="15"/>
  </w:num>
  <w:num w:numId="7">
    <w:abstractNumId w:val="8"/>
  </w:num>
  <w:num w:numId="8">
    <w:abstractNumId w:val="10"/>
  </w:num>
  <w:num w:numId="9">
    <w:abstractNumId w:val="23"/>
  </w:num>
  <w:num w:numId="10">
    <w:abstractNumId w:val="1"/>
  </w:num>
  <w:num w:numId="11">
    <w:abstractNumId w:val="20"/>
  </w:num>
  <w:num w:numId="12">
    <w:abstractNumId w:val="9"/>
  </w:num>
  <w:num w:numId="13">
    <w:abstractNumId w:val="6"/>
  </w:num>
  <w:num w:numId="14">
    <w:abstractNumId w:val="3"/>
  </w:num>
  <w:num w:numId="15">
    <w:abstractNumId w:val="0"/>
    <w:lvlOverride w:ilvl="0">
      <w:lvl w:ilvl="0">
        <w:start w:val="1"/>
        <w:numFmt w:val="bullet"/>
        <w:lvlText w:val="-"/>
        <w:legacy w:legacy="1" w:legacySpace="0" w:legacyIndent="360"/>
        <w:lvlJc w:val="left"/>
        <w:pPr>
          <w:ind w:left="360" w:hanging="360"/>
        </w:pPr>
      </w:lvl>
    </w:lvlOverride>
  </w:num>
  <w:num w:numId="16">
    <w:abstractNumId w:val="21"/>
  </w:num>
  <w:num w:numId="17">
    <w:abstractNumId w:val="12"/>
  </w:num>
  <w:num w:numId="18">
    <w:abstractNumId w:val="14"/>
  </w:num>
  <w:num w:numId="19">
    <w:abstractNumId w:val="24"/>
  </w:num>
  <w:num w:numId="20">
    <w:abstractNumId w:val="16"/>
  </w:num>
  <w:num w:numId="21">
    <w:abstractNumId w:val="22"/>
  </w:num>
  <w:num w:numId="22">
    <w:abstractNumId w:val="19"/>
  </w:num>
  <w:num w:numId="23">
    <w:abstractNumId w:val="7"/>
  </w:num>
  <w:num w:numId="24">
    <w:abstractNumId w:val="22"/>
  </w:num>
  <w:num w:numId="25">
    <w:abstractNumId w:val="3"/>
  </w:num>
  <w:num w:numId="26">
    <w:abstractNumId w:val="4"/>
  </w:num>
  <w:num w:numId="27">
    <w:abstractNumId w:val="5"/>
  </w:num>
  <w:num w:numId="28">
    <w:abstractNumId w:val="1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368"/>
    <w:rsid w:val="00014869"/>
    <w:rsid w:val="000150D3"/>
    <w:rsid w:val="000166C1"/>
    <w:rsid w:val="00017400"/>
    <w:rsid w:val="0002006B"/>
    <w:rsid w:val="00020AE8"/>
    <w:rsid w:val="000212BB"/>
    <w:rsid w:val="00023A2C"/>
    <w:rsid w:val="00025EBE"/>
    <w:rsid w:val="00026BF2"/>
    <w:rsid w:val="000271F6"/>
    <w:rsid w:val="00027337"/>
    <w:rsid w:val="00030445"/>
    <w:rsid w:val="000318C7"/>
    <w:rsid w:val="00033D26"/>
    <w:rsid w:val="00033FDB"/>
    <w:rsid w:val="000344F6"/>
    <w:rsid w:val="00041E95"/>
    <w:rsid w:val="00042263"/>
    <w:rsid w:val="00043505"/>
    <w:rsid w:val="00043C70"/>
    <w:rsid w:val="00043E88"/>
    <w:rsid w:val="00044042"/>
    <w:rsid w:val="000474D2"/>
    <w:rsid w:val="00047979"/>
    <w:rsid w:val="000479C5"/>
    <w:rsid w:val="00050DFD"/>
    <w:rsid w:val="00053809"/>
    <w:rsid w:val="00053914"/>
    <w:rsid w:val="00054756"/>
    <w:rsid w:val="000556C8"/>
    <w:rsid w:val="000560C5"/>
    <w:rsid w:val="00056C49"/>
    <w:rsid w:val="00056FE0"/>
    <w:rsid w:val="00057A94"/>
    <w:rsid w:val="00057A9D"/>
    <w:rsid w:val="00060090"/>
    <w:rsid w:val="000603C8"/>
    <w:rsid w:val="000608A4"/>
    <w:rsid w:val="00060AA1"/>
    <w:rsid w:val="00061FEE"/>
    <w:rsid w:val="000631FD"/>
    <w:rsid w:val="000643D3"/>
    <w:rsid w:val="00067B16"/>
    <w:rsid w:val="00071F8A"/>
    <w:rsid w:val="00073E04"/>
    <w:rsid w:val="0007401B"/>
    <w:rsid w:val="000757B2"/>
    <w:rsid w:val="00075F81"/>
    <w:rsid w:val="0007628D"/>
    <w:rsid w:val="00076301"/>
    <w:rsid w:val="00081DAB"/>
    <w:rsid w:val="00092829"/>
    <w:rsid w:val="00092B09"/>
    <w:rsid w:val="0009351E"/>
    <w:rsid w:val="0009479A"/>
    <w:rsid w:val="00094AD6"/>
    <w:rsid w:val="00095D61"/>
    <w:rsid w:val="00095E44"/>
    <w:rsid w:val="00096D8D"/>
    <w:rsid w:val="0009755A"/>
    <w:rsid w:val="000A1232"/>
    <w:rsid w:val="000A30E5"/>
    <w:rsid w:val="000A40D0"/>
    <w:rsid w:val="000A676D"/>
    <w:rsid w:val="000B0097"/>
    <w:rsid w:val="000B101F"/>
    <w:rsid w:val="000B1F4B"/>
    <w:rsid w:val="000B2F27"/>
    <w:rsid w:val="000B2F58"/>
    <w:rsid w:val="000B37A8"/>
    <w:rsid w:val="000B3EE0"/>
    <w:rsid w:val="000B4898"/>
    <w:rsid w:val="000B51D9"/>
    <w:rsid w:val="000C03FB"/>
    <w:rsid w:val="000C308F"/>
    <w:rsid w:val="000C5A4E"/>
    <w:rsid w:val="000C635D"/>
    <w:rsid w:val="000C7F49"/>
    <w:rsid w:val="000D03DC"/>
    <w:rsid w:val="000D1AEE"/>
    <w:rsid w:val="000D1F4F"/>
    <w:rsid w:val="000D4D07"/>
    <w:rsid w:val="000D7535"/>
    <w:rsid w:val="000E15A9"/>
    <w:rsid w:val="000E165D"/>
    <w:rsid w:val="000E1BAF"/>
    <w:rsid w:val="000E223E"/>
    <w:rsid w:val="000E2491"/>
    <w:rsid w:val="000E2EA9"/>
    <w:rsid w:val="000E46A3"/>
    <w:rsid w:val="000E4E88"/>
    <w:rsid w:val="000E5726"/>
    <w:rsid w:val="000E6C94"/>
    <w:rsid w:val="000F1BB2"/>
    <w:rsid w:val="000F217A"/>
    <w:rsid w:val="000F3F94"/>
    <w:rsid w:val="000F5235"/>
    <w:rsid w:val="000F5B21"/>
    <w:rsid w:val="000F6F25"/>
    <w:rsid w:val="000F6FF1"/>
    <w:rsid w:val="00103501"/>
    <w:rsid w:val="00103B2D"/>
    <w:rsid w:val="00103CD2"/>
    <w:rsid w:val="00104061"/>
    <w:rsid w:val="00107186"/>
    <w:rsid w:val="00107236"/>
    <w:rsid w:val="001074B3"/>
    <w:rsid w:val="001101A2"/>
    <w:rsid w:val="001106F7"/>
    <w:rsid w:val="001108A9"/>
    <w:rsid w:val="00112EDA"/>
    <w:rsid w:val="00114174"/>
    <w:rsid w:val="00117B4A"/>
    <w:rsid w:val="00117C1D"/>
    <w:rsid w:val="00123688"/>
    <w:rsid w:val="00127F47"/>
    <w:rsid w:val="00133572"/>
    <w:rsid w:val="00134E4A"/>
    <w:rsid w:val="001364FB"/>
    <w:rsid w:val="001365F2"/>
    <w:rsid w:val="00136D7A"/>
    <w:rsid w:val="001374C5"/>
    <w:rsid w:val="00141470"/>
    <w:rsid w:val="00141540"/>
    <w:rsid w:val="001449DF"/>
    <w:rsid w:val="0014569B"/>
    <w:rsid w:val="001470E0"/>
    <w:rsid w:val="00150060"/>
    <w:rsid w:val="00150575"/>
    <w:rsid w:val="00154C69"/>
    <w:rsid w:val="0015704C"/>
    <w:rsid w:val="00157895"/>
    <w:rsid w:val="00160C0E"/>
    <w:rsid w:val="00161701"/>
    <w:rsid w:val="00161E87"/>
    <w:rsid w:val="0016566C"/>
    <w:rsid w:val="001727F0"/>
    <w:rsid w:val="00172B06"/>
    <w:rsid w:val="0017347E"/>
    <w:rsid w:val="00173EA9"/>
    <w:rsid w:val="001752D8"/>
    <w:rsid w:val="00175931"/>
    <w:rsid w:val="00176B25"/>
    <w:rsid w:val="0018238B"/>
    <w:rsid w:val="00183419"/>
    <w:rsid w:val="0018394A"/>
    <w:rsid w:val="00183FB6"/>
    <w:rsid w:val="00184082"/>
    <w:rsid w:val="00184DCC"/>
    <w:rsid w:val="00186A9D"/>
    <w:rsid w:val="001874A6"/>
    <w:rsid w:val="0018765B"/>
    <w:rsid w:val="001904AE"/>
    <w:rsid w:val="00190913"/>
    <w:rsid w:val="0019236A"/>
    <w:rsid w:val="00193B21"/>
    <w:rsid w:val="00193DD3"/>
    <w:rsid w:val="001948AA"/>
    <w:rsid w:val="00195C74"/>
    <w:rsid w:val="00195F65"/>
    <w:rsid w:val="001A07E2"/>
    <w:rsid w:val="001A0A5D"/>
    <w:rsid w:val="001A2018"/>
    <w:rsid w:val="001A56F1"/>
    <w:rsid w:val="001A5D0E"/>
    <w:rsid w:val="001A5FBE"/>
    <w:rsid w:val="001B01C8"/>
    <w:rsid w:val="001B0B52"/>
    <w:rsid w:val="001B13F6"/>
    <w:rsid w:val="001B1747"/>
    <w:rsid w:val="001B1DBF"/>
    <w:rsid w:val="001B2D44"/>
    <w:rsid w:val="001B752A"/>
    <w:rsid w:val="001C12FB"/>
    <w:rsid w:val="001C2A0F"/>
    <w:rsid w:val="001C2DB4"/>
    <w:rsid w:val="001C3228"/>
    <w:rsid w:val="001C35E9"/>
    <w:rsid w:val="001C36BD"/>
    <w:rsid w:val="001C3733"/>
    <w:rsid w:val="001C49B3"/>
    <w:rsid w:val="001C5106"/>
    <w:rsid w:val="001C5B30"/>
    <w:rsid w:val="001D01F1"/>
    <w:rsid w:val="001D1254"/>
    <w:rsid w:val="001D2953"/>
    <w:rsid w:val="001D3C05"/>
    <w:rsid w:val="001D6AF4"/>
    <w:rsid w:val="001D6B60"/>
    <w:rsid w:val="001D7A88"/>
    <w:rsid w:val="001E0CC1"/>
    <w:rsid w:val="001E1C10"/>
    <w:rsid w:val="001E3CC0"/>
    <w:rsid w:val="001E5069"/>
    <w:rsid w:val="001E77C3"/>
    <w:rsid w:val="001F090B"/>
    <w:rsid w:val="001F0D87"/>
    <w:rsid w:val="001F180A"/>
    <w:rsid w:val="001F1A28"/>
    <w:rsid w:val="001F1A5F"/>
    <w:rsid w:val="001F1AD0"/>
    <w:rsid w:val="001F35E8"/>
    <w:rsid w:val="001F4014"/>
    <w:rsid w:val="001F445E"/>
    <w:rsid w:val="001F6423"/>
    <w:rsid w:val="00201213"/>
    <w:rsid w:val="0020165E"/>
    <w:rsid w:val="0020272E"/>
    <w:rsid w:val="00202E50"/>
    <w:rsid w:val="00204AAB"/>
    <w:rsid w:val="00205180"/>
    <w:rsid w:val="0020668A"/>
    <w:rsid w:val="00207F81"/>
    <w:rsid w:val="002109F4"/>
    <w:rsid w:val="00211FDA"/>
    <w:rsid w:val="0021295D"/>
    <w:rsid w:val="00212BB7"/>
    <w:rsid w:val="00215FDA"/>
    <w:rsid w:val="002160C2"/>
    <w:rsid w:val="00222BB9"/>
    <w:rsid w:val="002258D6"/>
    <w:rsid w:val="00227388"/>
    <w:rsid w:val="002274FB"/>
    <w:rsid w:val="0023020E"/>
    <w:rsid w:val="00230298"/>
    <w:rsid w:val="002309D2"/>
    <w:rsid w:val="00231B61"/>
    <w:rsid w:val="0023315B"/>
    <w:rsid w:val="002347FE"/>
    <w:rsid w:val="002360D3"/>
    <w:rsid w:val="0024178D"/>
    <w:rsid w:val="0024392B"/>
    <w:rsid w:val="002450C6"/>
    <w:rsid w:val="00245DCF"/>
    <w:rsid w:val="00246C65"/>
    <w:rsid w:val="00246EF4"/>
    <w:rsid w:val="0024721F"/>
    <w:rsid w:val="0025176F"/>
    <w:rsid w:val="00251A10"/>
    <w:rsid w:val="00252BFF"/>
    <w:rsid w:val="00253732"/>
    <w:rsid w:val="002542A8"/>
    <w:rsid w:val="00260A11"/>
    <w:rsid w:val="002612CD"/>
    <w:rsid w:val="0026169A"/>
    <w:rsid w:val="00262763"/>
    <w:rsid w:val="00264403"/>
    <w:rsid w:val="00264BEA"/>
    <w:rsid w:val="0026510B"/>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3749"/>
    <w:rsid w:val="00296B03"/>
    <w:rsid w:val="00296C1F"/>
    <w:rsid w:val="002A41E6"/>
    <w:rsid w:val="002A44C8"/>
    <w:rsid w:val="002A545A"/>
    <w:rsid w:val="002A5E48"/>
    <w:rsid w:val="002A710C"/>
    <w:rsid w:val="002B0059"/>
    <w:rsid w:val="002B0455"/>
    <w:rsid w:val="002B07EC"/>
    <w:rsid w:val="002B261C"/>
    <w:rsid w:val="002B2BEE"/>
    <w:rsid w:val="002B35C5"/>
    <w:rsid w:val="002B3935"/>
    <w:rsid w:val="002B406A"/>
    <w:rsid w:val="002B41D4"/>
    <w:rsid w:val="002B543F"/>
    <w:rsid w:val="002B6165"/>
    <w:rsid w:val="002B668E"/>
    <w:rsid w:val="002B7D73"/>
    <w:rsid w:val="002C06E3"/>
    <w:rsid w:val="002C0801"/>
    <w:rsid w:val="002C145F"/>
    <w:rsid w:val="002C2D79"/>
    <w:rsid w:val="002C32B1"/>
    <w:rsid w:val="002C33B3"/>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F1F28"/>
    <w:rsid w:val="002F43CA"/>
    <w:rsid w:val="002F57AA"/>
    <w:rsid w:val="002F677B"/>
    <w:rsid w:val="002F6EF7"/>
    <w:rsid w:val="002F714C"/>
    <w:rsid w:val="002F77BF"/>
    <w:rsid w:val="003004A2"/>
    <w:rsid w:val="00302D06"/>
    <w:rsid w:val="00303DD5"/>
    <w:rsid w:val="00307B74"/>
    <w:rsid w:val="00310230"/>
    <w:rsid w:val="00310764"/>
    <w:rsid w:val="00311BFD"/>
    <w:rsid w:val="00314718"/>
    <w:rsid w:val="0031488A"/>
    <w:rsid w:val="00314D49"/>
    <w:rsid w:val="003175E1"/>
    <w:rsid w:val="00320203"/>
    <w:rsid w:val="00320F38"/>
    <w:rsid w:val="00322002"/>
    <w:rsid w:val="00323961"/>
    <w:rsid w:val="003247B0"/>
    <w:rsid w:val="00325E81"/>
    <w:rsid w:val="00326948"/>
    <w:rsid w:val="00327052"/>
    <w:rsid w:val="00333F69"/>
    <w:rsid w:val="0033486D"/>
    <w:rsid w:val="00335228"/>
    <w:rsid w:val="003367C4"/>
    <w:rsid w:val="00336D8E"/>
    <w:rsid w:val="003376B3"/>
    <w:rsid w:val="00340AC8"/>
    <w:rsid w:val="00342DBA"/>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73A7D"/>
    <w:rsid w:val="00380A1A"/>
    <w:rsid w:val="00380D80"/>
    <w:rsid w:val="00384169"/>
    <w:rsid w:val="00384E9E"/>
    <w:rsid w:val="0038500E"/>
    <w:rsid w:val="0038761D"/>
    <w:rsid w:val="003906F8"/>
    <w:rsid w:val="003935EE"/>
    <w:rsid w:val="00393EE9"/>
    <w:rsid w:val="0039408A"/>
    <w:rsid w:val="003945F5"/>
    <w:rsid w:val="0039673D"/>
    <w:rsid w:val="003975DA"/>
    <w:rsid w:val="00397893"/>
    <w:rsid w:val="003A07B9"/>
    <w:rsid w:val="003A2407"/>
    <w:rsid w:val="003A2CF0"/>
    <w:rsid w:val="003A33D3"/>
    <w:rsid w:val="003A3880"/>
    <w:rsid w:val="003A4B52"/>
    <w:rsid w:val="003A5BC5"/>
    <w:rsid w:val="003A5D55"/>
    <w:rsid w:val="003A676A"/>
    <w:rsid w:val="003A75E6"/>
    <w:rsid w:val="003A7ED8"/>
    <w:rsid w:val="003B255B"/>
    <w:rsid w:val="003B3317"/>
    <w:rsid w:val="003B4627"/>
    <w:rsid w:val="003B4B2F"/>
    <w:rsid w:val="003B4C50"/>
    <w:rsid w:val="003B52D4"/>
    <w:rsid w:val="003C1CA5"/>
    <w:rsid w:val="003C1EC7"/>
    <w:rsid w:val="003C3D8E"/>
    <w:rsid w:val="003C548D"/>
    <w:rsid w:val="003C5E61"/>
    <w:rsid w:val="003C64A0"/>
    <w:rsid w:val="003C6F0B"/>
    <w:rsid w:val="003C7BA3"/>
    <w:rsid w:val="003D210D"/>
    <w:rsid w:val="003D3642"/>
    <w:rsid w:val="003D4E9C"/>
    <w:rsid w:val="003D5EE8"/>
    <w:rsid w:val="003E0D78"/>
    <w:rsid w:val="003E1CB1"/>
    <w:rsid w:val="003E3A1D"/>
    <w:rsid w:val="003E456E"/>
    <w:rsid w:val="003E62D1"/>
    <w:rsid w:val="003E6CA0"/>
    <w:rsid w:val="003F1F41"/>
    <w:rsid w:val="003F2FDE"/>
    <w:rsid w:val="003F330B"/>
    <w:rsid w:val="003F4CB8"/>
    <w:rsid w:val="003F6FDF"/>
    <w:rsid w:val="004016F5"/>
    <w:rsid w:val="004045AA"/>
    <w:rsid w:val="0040549A"/>
    <w:rsid w:val="00405CC9"/>
    <w:rsid w:val="004066EE"/>
    <w:rsid w:val="0040711E"/>
    <w:rsid w:val="00407D67"/>
    <w:rsid w:val="00412450"/>
    <w:rsid w:val="004138DE"/>
    <w:rsid w:val="00413B39"/>
    <w:rsid w:val="0041493E"/>
    <w:rsid w:val="00414B2F"/>
    <w:rsid w:val="00415E58"/>
    <w:rsid w:val="00416231"/>
    <w:rsid w:val="0041663A"/>
    <w:rsid w:val="004208AB"/>
    <w:rsid w:val="004219EF"/>
    <w:rsid w:val="00421A72"/>
    <w:rsid w:val="00424348"/>
    <w:rsid w:val="00426CD9"/>
    <w:rsid w:val="00430FEB"/>
    <w:rsid w:val="004310EE"/>
    <w:rsid w:val="00433677"/>
    <w:rsid w:val="004340D5"/>
    <w:rsid w:val="00434880"/>
    <w:rsid w:val="00434A21"/>
    <w:rsid w:val="0043526D"/>
    <w:rsid w:val="00442639"/>
    <w:rsid w:val="004443C6"/>
    <w:rsid w:val="004460E9"/>
    <w:rsid w:val="00447B6F"/>
    <w:rsid w:val="00453623"/>
    <w:rsid w:val="00453C11"/>
    <w:rsid w:val="004557B0"/>
    <w:rsid w:val="00457946"/>
    <w:rsid w:val="00457D8B"/>
    <w:rsid w:val="00460A17"/>
    <w:rsid w:val="0046120A"/>
    <w:rsid w:val="00462F79"/>
    <w:rsid w:val="00463438"/>
    <w:rsid w:val="00463ECE"/>
    <w:rsid w:val="00465388"/>
    <w:rsid w:val="004677C9"/>
    <w:rsid w:val="00470CB5"/>
    <w:rsid w:val="00471EAB"/>
    <w:rsid w:val="004723EE"/>
    <w:rsid w:val="00475A92"/>
    <w:rsid w:val="00477BB9"/>
    <w:rsid w:val="004859EE"/>
    <w:rsid w:val="00487366"/>
    <w:rsid w:val="004873E4"/>
    <w:rsid w:val="0049072C"/>
    <w:rsid w:val="00490FD1"/>
    <w:rsid w:val="00491AD2"/>
    <w:rsid w:val="004935C0"/>
    <w:rsid w:val="00493B43"/>
    <w:rsid w:val="004947C0"/>
    <w:rsid w:val="00494EB1"/>
    <w:rsid w:val="00496414"/>
    <w:rsid w:val="00497A38"/>
    <w:rsid w:val="004A45BD"/>
    <w:rsid w:val="004A4656"/>
    <w:rsid w:val="004A77B0"/>
    <w:rsid w:val="004B08A9"/>
    <w:rsid w:val="004B1CED"/>
    <w:rsid w:val="004B34A7"/>
    <w:rsid w:val="004B3B06"/>
    <w:rsid w:val="004B3ED5"/>
    <w:rsid w:val="004B4643"/>
    <w:rsid w:val="004B5C69"/>
    <w:rsid w:val="004B7F67"/>
    <w:rsid w:val="004C06BE"/>
    <w:rsid w:val="004C0938"/>
    <w:rsid w:val="004C1994"/>
    <w:rsid w:val="004C6BAF"/>
    <w:rsid w:val="004C70FC"/>
    <w:rsid w:val="004D022C"/>
    <w:rsid w:val="004D2047"/>
    <w:rsid w:val="004D2675"/>
    <w:rsid w:val="004D4080"/>
    <w:rsid w:val="004D540C"/>
    <w:rsid w:val="004E05FD"/>
    <w:rsid w:val="004E1341"/>
    <w:rsid w:val="004E1A0D"/>
    <w:rsid w:val="004E23F5"/>
    <w:rsid w:val="004E5418"/>
    <w:rsid w:val="004E63E5"/>
    <w:rsid w:val="004E6A47"/>
    <w:rsid w:val="004E6B76"/>
    <w:rsid w:val="004E7A13"/>
    <w:rsid w:val="004F1437"/>
    <w:rsid w:val="004F3540"/>
    <w:rsid w:val="004F52DB"/>
    <w:rsid w:val="004F5624"/>
    <w:rsid w:val="004F5DA4"/>
    <w:rsid w:val="004F62B2"/>
    <w:rsid w:val="004F6424"/>
    <w:rsid w:val="0050338C"/>
    <w:rsid w:val="005040CD"/>
    <w:rsid w:val="00504229"/>
    <w:rsid w:val="00505229"/>
    <w:rsid w:val="00507F98"/>
    <w:rsid w:val="005108A3"/>
    <w:rsid w:val="00510DB5"/>
    <w:rsid w:val="00510F6E"/>
    <w:rsid w:val="00511422"/>
    <w:rsid w:val="005118AE"/>
    <w:rsid w:val="0051212F"/>
    <w:rsid w:val="0051587A"/>
    <w:rsid w:val="005158FA"/>
    <w:rsid w:val="005169AD"/>
    <w:rsid w:val="00520220"/>
    <w:rsid w:val="005208B9"/>
    <w:rsid w:val="005221F0"/>
    <w:rsid w:val="00524807"/>
    <w:rsid w:val="005252FE"/>
    <w:rsid w:val="005257A1"/>
    <w:rsid w:val="005258CC"/>
    <w:rsid w:val="00525FF9"/>
    <w:rsid w:val="00532C41"/>
    <w:rsid w:val="00532D3F"/>
    <w:rsid w:val="0053386D"/>
    <w:rsid w:val="00534700"/>
    <w:rsid w:val="0053791F"/>
    <w:rsid w:val="00546622"/>
    <w:rsid w:val="00546E07"/>
    <w:rsid w:val="00547538"/>
    <w:rsid w:val="005508D0"/>
    <w:rsid w:val="00551419"/>
    <w:rsid w:val="00553BFA"/>
    <w:rsid w:val="00554D05"/>
    <w:rsid w:val="0055596B"/>
    <w:rsid w:val="005574AA"/>
    <w:rsid w:val="0056077E"/>
    <w:rsid w:val="00560EDA"/>
    <w:rsid w:val="005629EE"/>
    <w:rsid w:val="00564369"/>
    <w:rsid w:val="005648FA"/>
    <w:rsid w:val="00564D50"/>
    <w:rsid w:val="00566A9A"/>
    <w:rsid w:val="00567346"/>
    <w:rsid w:val="0057371B"/>
    <w:rsid w:val="00573BC3"/>
    <w:rsid w:val="00575EB8"/>
    <w:rsid w:val="0057613A"/>
    <w:rsid w:val="00582A9B"/>
    <w:rsid w:val="005832AB"/>
    <w:rsid w:val="0058437C"/>
    <w:rsid w:val="00590B44"/>
    <w:rsid w:val="005935F4"/>
    <w:rsid w:val="00593E0A"/>
    <w:rsid w:val="005979F2"/>
    <w:rsid w:val="005A167F"/>
    <w:rsid w:val="005A20E1"/>
    <w:rsid w:val="005A27A8"/>
    <w:rsid w:val="005A346E"/>
    <w:rsid w:val="005A73CF"/>
    <w:rsid w:val="005B3EB1"/>
    <w:rsid w:val="005B3F6F"/>
    <w:rsid w:val="005B4AE0"/>
    <w:rsid w:val="005B798B"/>
    <w:rsid w:val="005C1FAE"/>
    <w:rsid w:val="005C39E8"/>
    <w:rsid w:val="005C3DC0"/>
    <w:rsid w:val="005C5660"/>
    <w:rsid w:val="005C71E4"/>
    <w:rsid w:val="005C72E3"/>
    <w:rsid w:val="005D11B2"/>
    <w:rsid w:val="005D4B68"/>
    <w:rsid w:val="005D4FE4"/>
    <w:rsid w:val="005D6361"/>
    <w:rsid w:val="005E11C1"/>
    <w:rsid w:val="005E2563"/>
    <w:rsid w:val="005E394C"/>
    <w:rsid w:val="005E42BF"/>
    <w:rsid w:val="005E4E70"/>
    <w:rsid w:val="005E65BB"/>
    <w:rsid w:val="005F0DA0"/>
    <w:rsid w:val="005F2767"/>
    <w:rsid w:val="005F4790"/>
    <w:rsid w:val="005F4914"/>
    <w:rsid w:val="005F62B7"/>
    <w:rsid w:val="005F67FC"/>
    <w:rsid w:val="005F6869"/>
    <w:rsid w:val="005F6BB9"/>
    <w:rsid w:val="00603148"/>
    <w:rsid w:val="0060695A"/>
    <w:rsid w:val="00606FC7"/>
    <w:rsid w:val="00610456"/>
    <w:rsid w:val="00611473"/>
    <w:rsid w:val="00611B36"/>
    <w:rsid w:val="00611CA8"/>
    <w:rsid w:val="00612879"/>
    <w:rsid w:val="00613A34"/>
    <w:rsid w:val="00615ADA"/>
    <w:rsid w:val="00615F15"/>
    <w:rsid w:val="00617AA1"/>
    <w:rsid w:val="006221CD"/>
    <w:rsid w:val="00622220"/>
    <w:rsid w:val="00623DFF"/>
    <w:rsid w:val="006266A9"/>
    <w:rsid w:val="0062788D"/>
    <w:rsid w:val="00627F5E"/>
    <w:rsid w:val="00630426"/>
    <w:rsid w:val="00630D74"/>
    <w:rsid w:val="006316C1"/>
    <w:rsid w:val="00631ED4"/>
    <w:rsid w:val="00633BC7"/>
    <w:rsid w:val="00635AC7"/>
    <w:rsid w:val="00635E9C"/>
    <w:rsid w:val="0063753F"/>
    <w:rsid w:val="00637B41"/>
    <w:rsid w:val="006414EE"/>
    <w:rsid w:val="00642524"/>
    <w:rsid w:val="00642D0A"/>
    <w:rsid w:val="0064630E"/>
    <w:rsid w:val="00646FE1"/>
    <w:rsid w:val="00647075"/>
    <w:rsid w:val="00647A28"/>
    <w:rsid w:val="00650A3D"/>
    <w:rsid w:val="00651532"/>
    <w:rsid w:val="00654621"/>
    <w:rsid w:val="00654FCF"/>
    <w:rsid w:val="0065581D"/>
    <w:rsid w:val="00655C2F"/>
    <w:rsid w:val="00660403"/>
    <w:rsid w:val="00661140"/>
    <w:rsid w:val="00663B9B"/>
    <w:rsid w:val="00666B1E"/>
    <w:rsid w:val="006710DD"/>
    <w:rsid w:val="00671A02"/>
    <w:rsid w:val="00671FC9"/>
    <w:rsid w:val="00672A9E"/>
    <w:rsid w:val="00673200"/>
    <w:rsid w:val="0067501E"/>
    <w:rsid w:val="006773D2"/>
    <w:rsid w:val="00680581"/>
    <w:rsid w:val="00680A56"/>
    <w:rsid w:val="00681A41"/>
    <w:rsid w:val="006821B2"/>
    <w:rsid w:val="006838C0"/>
    <w:rsid w:val="00685856"/>
    <w:rsid w:val="00685901"/>
    <w:rsid w:val="00685BB9"/>
    <w:rsid w:val="00687E06"/>
    <w:rsid w:val="00690127"/>
    <w:rsid w:val="00691BFF"/>
    <w:rsid w:val="006953C1"/>
    <w:rsid w:val="00696EB2"/>
    <w:rsid w:val="0069741A"/>
    <w:rsid w:val="006A0DEA"/>
    <w:rsid w:val="006A16E9"/>
    <w:rsid w:val="006A5450"/>
    <w:rsid w:val="006B0199"/>
    <w:rsid w:val="006B0A32"/>
    <w:rsid w:val="006B0BD8"/>
    <w:rsid w:val="006B4557"/>
    <w:rsid w:val="006C00AC"/>
    <w:rsid w:val="006C0251"/>
    <w:rsid w:val="006C0320"/>
    <w:rsid w:val="006C2B9A"/>
    <w:rsid w:val="006C39BB"/>
    <w:rsid w:val="006C4502"/>
    <w:rsid w:val="006C6114"/>
    <w:rsid w:val="006D0AAB"/>
    <w:rsid w:val="006D2288"/>
    <w:rsid w:val="006D4464"/>
    <w:rsid w:val="006D5E91"/>
    <w:rsid w:val="006D6676"/>
    <w:rsid w:val="006D7E87"/>
    <w:rsid w:val="006E14E6"/>
    <w:rsid w:val="006E1AEE"/>
    <w:rsid w:val="006E2F52"/>
    <w:rsid w:val="006E32A9"/>
    <w:rsid w:val="006E3B9C"/>
    <w:rsid w:val="006E4141"/>
    <w:rsid w:val="006E51A2"/>
    <w:rsid w:val="006F0DE2"/>
    <w:rsid w:val="006F11BD"/>
    <w:rsid w:val="006F25B4"/>
    <w:rsid w:val="006F32C7"/>
    <w:rsid w:val="006F3392"/>
    <w:rsid w:val="006F3495"/>
    <w:rsid w:val="006F417D"/>
    <w:rsid w:val="006F5C83"/>
    <w:rsid w:val="006F67CC"/>
    <w:rsid w:val="006F6B89"/>
    <w:rsid w:val="00701C2D"/>
    <w:rsid w:val="00702162"/>
    <w:rsid w:val="00703930"/>
    <w:rsid w:val="00705BEE"/>
    <w:rsid w:val="0070610E"/>
    <w:rsid w:val="0070751A"/>
    <w:rsid w:val="00707759"/>
    <w:rsid w:val="00710081"/>
    <w:rsid w:val="00710B0D"/>
    <w:rsid w:val="00713CB5"/>
    <w:rsid w:val="00714E3F"/>
    <w:rsid w:val="0071558B"/>
    <w:rsid w:val="0071776A"/>
    <w:rsid w:val="00721189"/>
    <w:rsid w:val="007221C3"/>
    <w:rsid w:val="007227E4"/>
    <w:rsid w:val="00722F2C"/>
    <w:rsid w:val="00723087"/>
    <w:rsid w:val="007254D1"/>
    <w:rsid w:val="00725B32"/>
    <w:rsid w:val="00725B3C"/>
    <w:rsid w:val="00733D54"/>
    <w:rsid w:val="00734CEE"/>
    <w:rsid w:val="00736A4F"/>
    <w:rsid w:val="00737753"/>
    <w:rsid w:val="00737768"/>
    <w:rsid w:val="00737FFA"/>
    <w:rsid w:val="00740BB8"/>
    <w:rsid w:val="00740CE9"/>
    <w:rsid w:val="007428E3"/>
    <w:rsid w:val="0074394E"/>
    <w:rsid w:val="0074422D"/>
    <w:rsid w:val="00750D0A"/>
    <w:rsid w:val="00751D93"/>
    <w:rsid w:val="00752300"/>
    <w:rsid w:val="00753BF5"/>
    <w:rsid w:val="007546F8"/>
    <w:rsid w:val="0075579B"/>
    <w:rsid w:val="00755BAB"/>
    <w:rsid w:val="00756F9D"/>
    <w:rsid w:val="0076080E"/>
    <w:rsid w:val="0076411D"/>
    <w:rsid w:val="007670F8"/>
    <w:rsid w:val="007671D4"/>
    <w:rsid w:val="00770A85"/>
    <w:rsid w:val="00773DC9"/>
    <w:rsid w:val="0077572E"/>
    <w:rsid w:val="00777BA1"/>
    <w:rsid w:val="00777BE4"/>
    <w:rsid w:val="0078031B"/>
    <w:rsid w:val="00784F44"/>
    <w:rsid w:val="00785A9A"/>
    <w:rsid w:val="00785B0B"/>
    <w:rsid w:val="00786672"/>
    <w:rsid w:val="007870BF"/>
    <w:rsid w:val="007872CF"/>
    <w:rsid w:val="0079201C"/>
    <w:rsid w:val="00792D8F"/>
    <w:rsid w:val="0079307F"/>
    <w:rsid w:val="00793370"/>
    <w:rsid w:val="007940C5"/>
    <w:rsid w:val="007947C4"/>
    <w:rsid w:val="00795812"/>
    <w:rsid w:val="00795CE1"/>
    <w:rsid w:val="007A0646"/>
    <w:rsid w:val="007A06AC"/>
    <w:rsid w:val="007A150F"/>
    <w:rsid w:val="007A1B2F"/>
    <w:rsid w:val="007A291D"/>
    <w:rsid w:val="007A2BD5"/>
    <w:rsid w:val="007A4135"/>
    <w:rsid w:val="007A4636"/>
    <w:rsid w:val="007A5719"/>
    <w:rsid w:val="007A62AF"/>
    <w:rsid w:val="007A7377"/>
    <w:rsid w:val="007B1014"/>
    <w:rsid w:val="007B103F"/>
    <w:rsid w:val="007B1484"/>
    <w:rsid w:val="007B1A10"/>
    <w:rsid w:val="007B1DAE"/>
    <w:rsid w:val="007B2CC6"/>
    <w:rsid w:val="007B31AB"/>
    <w:rsid w:val="007B3268"/>
    <w:rsid w:val="007B3755"/>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26F1"/>
    <w:rsid w:val="007D4F33"/>
    <w:rsid w:val="007D554B"/>
    <w:rsid w:val="007D65C7"/>
    <w:rsid w:val="007D74D2"/>
    <w:rsid w:val="007D79B5"/>
    <w:rsid w:val="007E156D"/>
    <w:rsid w:val="007E2334"/>
    <w:rsid w:val="007E23CE"/>
    <w:rsid w:val="007E2CE7"/>
    <w:rsid w:val="007E2F1E"/>
    <w:rsid w:val="007E43D0"/>
    <w:rsid w:val="007E4F00"/>
    <w:rsid w:val="007E5368"/>
    <w:rsid w:val="007E54F8"/>
    <w:rsid w:val="007E5987"/>
    <w:rsid w:val="007E5BD8"/>
    <w:rsid w:val="007E7BF9"/>
    <w:rsid w:val="007F02BC"/>
    <w:rsid w:val="007F16E9"/>
    <w:rsid w:val="007F1D17"/>
    <w:rsid w:val="007F20D7"/>
    <w:rsid w:val="007F2E65"/>
    <w:rsid w:val="007F43BA"/>
    <w:rsid w:val="007F45D1"/>
    <w:rsid w:val="007F5361"/>
    <w:rsid w:val="007F64BE"/>
    <w:rsid w:val="007F6DC3"/>
    <w:rsid w:val="008006B4"/>
    <w:rsid w:val="008015B6"/>
    <w:rsid w:val="008038B4"/>
    <w:rsid w:val="00803FD4"/>
    <w:rsid w:val="0080481C"/>
    <w:rsid w:val="00804C54"/>
    <w:rsid w:val="008056DD"/>
    <w:rsid w:val="0081104C"/>
    <w:rsid w:val="008121F2"/>
    <w:rsid w:val="00812D16"/>
    <w:rsid w:val="00812D2C"/>
    <w:rsid w:val="00816C51"/>
    <w:rsid w:val="00817783"/>
    <w:rsid w:val="008206D5"/>
    <w:rsid w:val="00821865"/>
    <w:rsid w:val="00821F96"/>
    <w:rsid w:val="008225EB"/>
    <w:rsid w:val="0082327D"/>
    <w:rsid w:val="0082433D"/>
    <w:rsid w:val="00826509"/>
    <w:rsid w:val="0083354D"/>
    <w:rsid w:val="0083561B"/>
    <w:rsid w:val="00837D78"/>
    <w:rsid w:val="00840D79"/>
    <w:rsid w:val="00842A21"/>
    <w:rsid w:val="00845DAD"/>
    <w:rsid w:val="00851377"/>
    <w:rsid w:val="0085437C"/>
    <w:rsid w:val="00854B2F"/>
    <w:rsid w:val="00855481"/>
    <w:rsid w:val="00856354"/>
    <w:rsid w:val="008568E1"/>
    <w:rsid w:val="00856BE9"/>
    <w:rsid w:val="00856C8C"/>
    <w:rsid w:val="008578F8"/>
    <w:rsid w:val="00860566"/>
    <w:rsid w:val="0086129A"/>
    <w:rsid w:val="0086165C"/>
    <w:rsid w:val="00861B26"/>
    <w:rsid w:val="00862EED"/>
    <w:rsid w:val="008643FC"/>
    <w:rsid w:val="008649B9"/>
    <w:rsid w:val="00864FDB"/>
    <w:rsid w:val="0086784F"/>
    <w:rsid w:val="00870394"/>
    <w:rsid w:val="0087073B"/>
    <w:rsid w:val="008714C4"/>
    <w:rsid w:val="00873967"/>
    <w:rsid w:val="008743BB"/>
    <w:rsid w:val="008770D4"/>
    <w:rsid w:val="008800E5"/>
    <w:rsid w:val="0088127F"/>
    <w:rsid w:val="008815EF"/>
    <w:rsid w:val="00882979"/>
    <w:rsid w:val="00883ED5"/>
    <w:rsid w:val="00884C14"/>
    <w:rsid w:val="00885273"/>
    <w:rsid w:val="00885F2C"/>
    <w:rsid w:val="00886386"/>
    <w:rsid w:val="0088701C"/>
    <w:rsid w:val="00892459"/>
    <w:rsid w:val="008929AA"/>
    <w:rsid w:val="00892AA5"/>
    <w:rsid w:val="0089499B"/>
    <w:rsid w:val="00894ACA"/>
    <w:rsid w:val="00894EC5"/>
    <w:rsid w:val="00896658"/>
    <w:rsid w:val="008967B5"/>
    <w:rsid w:val="008A03AC"/>
    <w:rsid w:val="008A1008"/>
    <w:rsid w:val="008A305C"/>
    <w:rsid w:val="008A345A"/>
    <w:rsid w:val="008A3AD8"/>
    <w:rsid w:val="008A3DB9"/>
    <w:rsid w:val="008A4161"/>
    <w:rsid w:val="008A6A5C"/>
    <w:rsid w:val="008A7316"/>
    <w:rsid w:val="008B4A1C"/>
    <w:rsid w:val="008B500A"/>
    <w:rsid w:val="008C090B"/>
    <w:rsid w:val="008C1610"/>
    <w:rsid w:val="008C266A"/>
    <w:rsid w:val="008C2F1E"/>
    <w:rsid w:val="008C30E5"/>
    <w:rsid w:val="008C3B5B"/>
    <w:rsid w:val="008C409F"/>
    <w:rsid w:val="008C602D"/>
    <w:rsid w:val="008C6BCC"/>
    <w:rsid w:val="008D098D"/>
    <w:rsid w:val="008D135A"/>
    <w:rsid w:val="008D2205"/>
    <w:rsid w:val="008D2331"/>
    <w:rsid w:val="008D347F"/>
    <w:rsid w:val="008D35AD"/>
    <w:rsid w:val="008D36CD"/>
    <w:rsid w:val="008D4380"/>
    <w:rsid w:val="008D48D1"/>
    <w:rsid w:val="008D6BE8"/>
    <w:rsid w:val="008D7C04"/>
    <w:rsid w:val="008E27E9"/>
    <w:rsid w:val="008E42DE"/>
    <w:rsid w:val="008E6637"/>
    <w:rsid w:val="008E69F0"/>
    <w:rsid w:val="008E6B43"/>
    <w:rsid w:val="008F2C49"/>
    <w:rsid w:val="008F36F0"/>
    <w:rsid w:val="008F66BC"/>
    <w:rsid w:val="008F6E86"/>
    <w:rsid w:val="008F7CFF"/>
    <w:rsid w:val="008F7ED1"/>
    <w:rsid w:val="00901C8D"/>
    <w:rsid w:val="00904A4D"/>
    <w:rsid w:val="00905643"/>
    <w:rsid w:val="00905EE9"/>
    <w:rsid w:val="009065F4"/>
    <w:rsid w:val="00906AF8"/>
    <w:rsid w:val="009075A7"/>
    <w:rsid w:val="00907DFB"/>
    <w:rsid w:val="00910624"/>
    <w:rsid w:val="00910FBA"/>
    <w:rsid w:val="00911D39"/>
    <w:rsid w:val="00912B9F"/>
    <w:rsid w:val="00914067"/>
    <w:rsid w:val="00915FFC"/>
    <w:rsid w:val="00916339"/>
    <w:rsid w:val="00917C0F"/>
    <w:rsid w:val="0092040E"/>
    <w:rsid w:val="00920C6C"/>
    <w:rsid w:val="00921897"/>
    <w:rsid w:val="00921C6D"/>
    <w:rsid w:val="00922019"/>
    <w:rsid w:val="009227D9"/>
    <w:rsid w:val="00923C44"/>
    <w:rsid w:val="00927791"/>
    <w:rsid w:val="00930607"/>
    <w:rsid w:val="00930D0A"/>
    <w:rsid w:val="009321B9"/>
    <w:rsid w:val="009329BA"/>
    <w:rsid w:val="0093304D"/>
    <w:rsid w:val="00934E99"/>
    <w:rsid w:val="00936939"/>
    <w:rsid w:val="0094053B"/>
    <w:rsid w:val="00942040"/>
    <w:rsid w:val="00942C9F"/>
    <w:rsid w:val="00943F98"/>
    <w:rsid w:val="00945631"/>
    <w:rsid w:val="00947549"/>
    <w:rsid w:val="00947CF3"/>
    <w:rsid w:val="00950C3F"/>
    <w:rsid w:val="0095757A"/>
    <w:rsid w:val="0095793C"/>
    <w:rsid w:val="0096111E"/>
    <w:rsid w:val="00961125"/>
    <w:rsid w:val="009623D8"/>
    <w:rsid w:val="00963362"/>
    <w:rsid w:val="00963BD1"/>
    <w:rsid w:val="00966B1F"/>
    <w:rsid w:val="009706EA"/>
    <w:rsid w:val="00970A7E"/>
    <w:rsid w:val="0097116E"/>
    <w:rsid w:val="00972FFA"/>
    <w:rsid w:val="00974518"/>
    <w:rsid w:val="0097720E"/>
    <w:rsid w:val="00980FE0"/>
    <w:rsid w:val="00985F8B"/>
    <w:rsid w:val="00990B70"/>
    <w:rsid w:val="00990C3B"/>
    <w:rsid w:val="00991CBD"/>
    <w:rsid w:val="009921E6"/>
    <w:rsid w:val="009928B7"/>
    <w:rsid w:val="0099321A"/>
    <w:rsid w:val="009947E8"/>
    <w:rsid w:val="009960B7"/>
    <w:rsid w:val="00996F08"/>
    <w:rsid w:val="009972FE"/>
    <w:rsid w:val="009A0AF1"/>
    <w:rsid w:val="009B13FF"/>
    <w:rsid w:val="009B536C"/>
    <w:rsid w:val="009B5C19"/>
    <w:rsid w:val="009B6496"/>
    <w:rsid w:val="009B7A40"/>
    <w:rsid w:val="009C01DA"/>
    <w:rsid w:val="009C1528"/>
    <w:rsid w:val="009C20CC"/>
    <w:rsid w:val="009C22BE"/>
    <w:rsid w:val="009C2BDF"/>
    <w:rsid w:val="009C3558"/>
    <w:rsid w:val="009C562E"/>
    <w:rsid w:val="009C5E44"/>
    <w:rsid w:val="009C7531"/>
    <w:rsid w:val="009D1739"/>
    <w:rsid w:val="009D220C"/>
    <w:rsid w:val="009D221F"/>
    <w:rsid w:val="009D2877"/>
    <w:rsid w:val="009D69B7"/>
    <w:rsid w:val="009E09F0"/>
    <w:rsid w:val="009E104C"/>
    <w:rsid w:val="009E19E8"/>
    <w:rsid w:val="009E377C"/>
    <w:rsid w:val="009E411C"/>
    <w:rsid w:val="009E458A"/>
    <w:rsid w:val="009E5316"/>
    <w:rsid w:val="009E5D7C"/>
    <w:rsid w:val="009E5DFC"/>
    <w:rsid w:val="009F1789"/>
    <w:rsid w:val="009F2E3B"/>
    <w:rsid w:val="009F36D2"/>
    <w:rsid w:val="009F39E9"/>
    <w:rsid w:val="009F3B6B"/>
    <w:rsid w:val="009F4504"/>
    <w:rsid w:val="009F502C"/>
    <w:rsid w:val="009F603B"/>
    <w:rsid w:val="009F6987"/>
    <w:rsid w:val="009F7209"/>
    <w:rsid w:val="009F720F"/>
    <w:rsid w:val="00A00399"/>
    <w:rsid w:val="00A010E7"/>
    <w:rsid w:val="00A01302"/>
    <w:rsid w:val="00A01A17"/>
    <w:rsid w:val="00A01A60"/>
    <w:rsid w:val="00A01EE1"/>
    <w:rsid w:val="00A03D43"/>
    <w:rsid w:val="00A0484A"/>
    <w:rsid w:val="00A06E6E"/>
    <w:rsid w:val="00A076F9"/>
    <w:rsid w:val="00A07997"/>
    <w:rsid w:val="00A07F87"/>
    <w:rsid w:val="00A13659"/>
    <w:rsid w:val="00A159ED"/>
    <w:rsid w:val="00A1637F"/>
    <w:rsid w:val="00A206ED"/>
    <w:rsid w:val="00A20806"/>
    <w:rsid w:val="00A20C7F"/>
    <w:rsid w:val="00A21D41"/>
    <w:rsid w:val="00A22DBA"/>
    <w:rsid w:val="00A2329D"/>
    <w:rsid w:val="00A23C81"/>
    <w:rsid w:val="00A2490E"/>
    <w:rsid w:val="00A25442"/>
    <w:rsid w:val="00A25539"/>
    <w:rsid w:val="00A25BFF"/>
    <w:rsid w:val="00A26648"/>
    <w:rsid w:val="00A26F79"/>
    <w:rsid w:val="00A27522"/>
    <w:rsid w:val="00A3136F"/>
    <w:rsid w:val="00A34D0C"/>
    <w:rsid w:val="00A34D76"/>
    <w:rsid w:val="00A35125"/>
    <w:rsid w:val="00A365D0"/>
    <w:rsid w:val="00A37F82"/>
    <w:rsid w:val="00A402B8"/>
    <w:rsid w:val="00A4043E"/>
    <w:rsid w:val="00A437D9"/>
    <w:rsid w:val="00A43C16"/>
    <w:rsid w:val="00A443A6"/>
    <w:rsid w:val="00A449A7"/>
    <w:rsid w:val="00A45A1A"/>
    <w:rsid w:val="00A45E61"/>
    <w:rsid w:val="00A47F32"/>
    <w:rsid w:val="00A53220"/>
    <w:rsid w:val="00A538E6"/>
    <w:rsid w:val="00A54514"/>
    <w:rsid w:val="00A56102"/>
    <w:rsid w:val="00A56800"/>
    <w:rsid w:val="00A56D7E"/>
    <w:rsid w:val="00A57404"/>
    <w:rsid w:val="00A575BD"/>
    <w:rsid w:val="00A57ED5"/>
    <w:rsid w:val="00A60EEC"/>
    <w:rsid w:val="00A630BA"/>
    <w:rsid w:val="00A63B83"/>
    <w:rsid w:val="00A643C6"/>
    <w:rsid w:val="00A65BD9"/>
    <w:rsid w:val="00A66718"/>
    <w:rsid w:val="00A671EF"/>
    <w:rsid w:val="00A70B31"/>
    <w:rsid w:val="00A73A74"/>
    <w:rsid w:val="00A746CD"/>
    <w:rsid w:val="00A74908"/>
    <w:rsid w:val="00A7550F"/>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617"/>
    <w:rsid w:val="00A93C1C"/>
    <w:rsid w:val="00A960C0"/>
    <w:rsid w:val="00A96FA8"/>
    <w:rsid w:val="00A9770A"/>
    <w:rsid w:val="00AA0A43"/>
    <w:rsid w:val="00AA0DD3"/>
    <w:rsid w:val="00AA1C07"/>
    <w:rsid w:val="00AA2C68"/>
    <w:rsid w:val="00AA3688"/>
    <w:rsid w:val="00AA4006"/>
    <w:rsid w:val="00AA5887"/>
    <w:rsid w:val="00AB13C3"/>
    <w:rsid w:val="00AB19F8"/>
    <w:rsid w:val="00AB2A61"/>
    <w:rsid w:val="00AB3A12"/>
    <w:rsid w:val="00AB5A8D"/>
    <w:rsid w:val="00AB6642"/>
    <w:rsid w:val="00AC1444"/>
    <w:rsid w:val="00AC26A9"/>
    <w:rsid w:val="00AC2EFE"/>
    <w:rsid w:val="00AC3930"/>
    <w:rsid w:val="00AC3AB1"/>
    <w:rsid w:val="00AC622C"/>
    <w:rsid w:val="00AC68C6"/>
    <w:rsid w:val="00AC7612"/>
    <w:rsid w:val="00AC79C1"/>
    <w:rsid w:val="00AC7CA4"/>
    <w:rsid w:val="00AD0CB7"/>
    <w:rsid w:val="00AD493B"/>
    <w:rsid w:val="00AD4A64"/>
    <w:rsid w:val="00AD4D4E"/>
    <w:rsid w:val="00AD598F"/>
    <w:rsid w:val="00AD6D09"/>
    <w:rsid w:val="00AE07DA"/>
    <w:rsid w:val="00AE098E"/>
    <w:rsid w:val="00AE0BBA"/>
    <w:rsid w:val="00AE2291"/>
    <w:rsid w:val="00AE25C8"/>
    <w:rsid w:val="00AE4003"/>
    <w:rsid w:val="00AE4113"/>
    <w:rsid w:val="00AE4380"/>
    <w:rsid w:val="00AE47E6"/>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7FAB"/>
    <w:rsid w:val="00B21BE7"/>
    <w:rsid w:val="00B22C5F"/>
    <w:rsid w:val="00B23687"/>
    <w:rsid w:val="00B25710"/>
    <w:rsid w:val="00B25CD4"/>
    <w:rsid w:val="00B270F1"/>
    <w:rsid w:val="00B27B03"/>
    <w:rsid w:val="00B315BD"/>
    <w:rsid w:val="00B31B62"/>
    <w:rsid w:val="00B3208E"/>
    <w:rsid w:val="00B32A26"/>
    <w:rsid w:val="00B33711"/>
    <w:rsid w:val="00B34889"/>
    <w:rsid w:val="00B35804"/>
    <w:rsid w:val="00B37550"/>
    <w:rsid w:val="00B3779E"/>
    <w:rsid w:val="00B402C6"/>
    <w:rsid w:val="00B41DC1"/>
    <w:rsid w:val="00B42711"/>
    <w:rsid w:val="00B42F69"/>
    <w:rsid w:val="00B435E7"/>
    <w:rsid w:val="00B46EC7"/>
    <w:rsid w:val="00B50A91"/>
    <w:rsid w:val="00B5160B"/>
    <w:rsid w:val="00B51761"/>
    <w:rsid w:val="00B51871"/>
    <w:rsid w:val="00B52022"/>
    <w:rsid w:val="00B52187"/>
    <w:rsid w:val="00B54691"/>
    <w:rsid w:val="00B60CCD"/>
    <w:rsid w:val="00B62854"/>
    <w:rsid w:val="00B62EF1"/>
    <w:rsid w:val="00B6348F"/>
    <w:rsid w:val="00B640CC"/>
    <w:rsid w:val="00B645B6"/>
    <w:rsid w:val="00B64B2F"/>
    <w:rsid w:val="00B659A7"/>
    <w:rsid w:val="00B667BF"/>
    <w:rsid w:val="00B674D6"/>
    <w:rsid w:val="00B6797D"/>
    <w:rsid w:val="00B7245B"/>
    <w:rsid w:val="00B735B8"/>
    <w:rsid w:val="00B73F56"/>
    <w:rsid w:val="00B74858"/>
    <w:rsid w:val="00B752EB"/>
    <w:rsid w:val="00B76E12"/>
    <w:rsid w:val="00B77BE4"/>
    <w:rsid w:val="00B80DAD"/>
    <w:rsid w:val="00B812BE"/>
    <w:rsid w:val="00B813D5"/>
    <w:rsid w:val="00B8258D"/>
    <w:rsid w:val="00B825B4"/>
    <w:rsid w:val="00B8276E"/>
    <w:rsid w:val="00B84E7E"/>
    <w:rsid w:val="00B8528E"/>
    <w:rsid w:val="00B86608"/>
    <w:rsid w:val="00B87847"/>
    <w:rsid w:val="00B90477"/>
    <w:rsid w:val="00B92AA5"/>
    <w:rsid w:val="00B93904"/>
    <w:rsid w:val="00B955FE"/>
    <w:rsid w:val="00B96744"/>
    <w:rsid w:val="00BA0B9F"/>
    <w:rsid w:val="00BA1CCC"/>
    <w:rsid w:val="00BA3287"/>
    <w:rsid w:val="00BA6419"/>
    <w:rsid w:val="00BA6550"/>
    <w:rsid w:val="00BA6730"/>
    <w:rsid w:val="00BB2658"/>
    <w:rsid w:val="00BB3642"/>
    <w:rsid w:val="00BB4A3B"/>
    <w:rsid w:val="00BB59F6"/>
    <w:rsid w:val="00BB5EF0"/>
    <w:rsid w:val="00BB66AB"/>
    <w:rsid w:val="00BB6FFB"/>
    <w:rsid w:val="00BB7BBA"/>
    <w:rsid w:val="00BB7F90"/>
    <w:rsid w:val="00BC0AD6"/>
    <w:rsid w:val="00BC122E"/>
    <w:rsid w:val="00BC3584"/>
    <w:rsid w:val="00BC5838"/>
    <w:rsid w:val="00BC6DC2"/>
    <w:rsid w:val="00BD0568"/>
    <w:rsid w:val="00BD0E2E"/>
    <w:rsid w:val="00BE3AE1"/>
    <w:rsid w:val="00BE442D"/>
    <w:rsid w:val="00BE45A6"/>
    <w:rsid w:val="00BE4ED6"/>
    <w:rsid w:val="00BE54F3"/>
    <w:rsid w:val="00BE5F67"/>
    <w:rsid w:val="00BE7920"/>
    <w:rsid w:val="00BF1E46"/>
    <w:rsid w:val="00BF2A3A"/>
    <w:rsid w:val="00BF2CD1"/>
    <w:rsid w:val="00BF4B6A"/>
    <w:rsid w:val="00BF5135"/>
    <w:rsid w:val="00BF7D87"/>
    <w:rsid w:val="00C00312"/>
    <w:rsid w:val="00C00828"/>
    <w:rsid w:val="00C009F5"/>
    <w:rsid w:val="00C01129"/>
    <w:rsid w:val="00C01DD9"/>
    <w:rsid w:val="00C02239"/>
    <w:rsid w:val="00C022E1"/>
    <w:rsid w:val="00C0398D"/>
    <w:rsid w:val="00C05C3D"/>
    <w:rsid w:val="00C071AC"/>
    <w:rsid w:val="00C109A2"/>
    <w:rsid w:val="00C11707"/>
    <w:rsid w:val="00C11E4C"/>
    <w:rsid w:val="00C147A9"/>
    <w:rsid w:val="00C14954"/>
    <w:rsid w:val="00C179B0"/>
    <w:rsid w:val="00C20245"/>
    <w:rsid w:val="00C20A2F"/>
    <w:rsid w:val="00C20CA6"/>
    <w:rsid w:val="00C21AD6"/>
    <w:rsid w:val="00C226F9"/>
    <w:rsid w:val="00C22E02"/>
    <w:rsid w:val="00C23227"/>
    <w:rsid w:val="00C23398"/>
    <w:rsid w:val="00C23B23"/>
    <w:rsid w:val="00C2428B"/>
    <w:rsid w:val="00C26C22"/>
    <w:rsid w:val="00C27B03"/>
    <w:rsid w:val="00C3089B"/>
    <w:rsid w:val="00C34B40"/>
    <w:rsid w:val="00C35836"/>
    <w:rsid w:val="00C35B5E"/>
    <w:rsid w:val="00C35D55"/>
    <w:rsid w:val="00C41CD3"/>
    <w:rsid w:val="00C43438"/>
    <w:rsid w:val="00C44264"/>
    <w:rsid w:val="00C44AEF"/>
    <w:rsid w:val="00C46251"/>
    <w:rsid w:val="00C4790F"/>
    <w:rsid w:val="00C47FC0"/>
    <w:rsid w:val="00C5189F"/>
    <w:rsid w:val="00C51C65"/>
    <w:rsid w:val="00C51DEE"/>
    <w:rsid w:val="00C528CC"/>
    <w:rsid w:val="00C53A04"/>
    <w:rsid w:val="00C53ABD"/>
    <w:rsid w:val="00C53AD3"/>
    <w:rsid w:val="00C53C94"/>
    <w:rsid w:val="00C5699F"/>
    <w:rsid w:val="00C57741"/>
    <w:rsid w:val="00C6074F"/>
    <w:rsid w:val="00C62568"/>
    <w:rsid w:val="00C625AE"/>
    <w:rsid w:val="00C6296C"/>
    <w:rsid w:val="00C64143"/>
    <w:rsid w:val="00C6434D"/>
    <w:rsid w:val="00C6469F"/>
    <w:rsid w:val="00C652E5"/>
    <w:rsid w:val="00C67446"/>
    <w:rsid w:val="00C676EA"/>
    <w:rsid w:val="00C70962"/>
    <w:rsid w:val="00C71674"/>
    <w:rsid w:val="00C733F7"/>
    <w:rsid w:val="00C75761"/>
    <w:rsid w:val="00C7697F"/>
    <w:rsid w:val="00C77B93"/>
    <w:rsid w:val="00C8136C"/>
    <w:rsid w:val="00C82FAC"/>
    <w:rsid w:val="00C82FFA"/>
    <w:rsid w:val="00C84032"/>
    <w:rsid w:val="00C84A1B"/>
    <w:rsid w:val="00C85521"/>
    <w:rsid w:val="00C856C0"/>
    <w:rsid w:val="00C863EE"/>
    <w:rsid w:val="00C91E40"/>
    <w:rsid w:val="00C92646"/>
    <w:rsid w:val="00C92A70"/>
    <w:rsid w:val="00C9316A"/>
    <w:rsid w:val="00C93B5E"/>
    <w:rsid w:val="00C95D8D"/>
    <w:rsid w:val="00C97C7F"/>
    <w:rsid w:val="00CA1041"/>
    <w:rsid w:val="00CA2283"/>
    <w:rsid w:val="00CA2AEF"/>
    <w:rsid w:val="00CA2CA3"/>
    <w:rsid w:val="00CA325F"/>
    <w:rsid w:val="00CA33B8"/>
    <w:rsid w:val="00CA6DD8"/>
    <w:rsid w:val="00CA7F79"/>
    <w:rsid w:val="00CB1582"/>
    <w:rsid w:val="00CB22B7"/>
    <w:rsid w:val="00CB31DA"/>
    <w:rsid w:val="00CB5032"/>
    <w:rsid w:val="00CB7DF6"/>
    <w:rsid w:val="00CC303F"/>
    <w:rsid w:val="00CC3C96"/>
    <w:rsid w:val="00CD077C"/>
    <w:rsid w:val="00CD20BA"/>
    <w:rsid w:val="00CD342A"/>
    <w:rsid w:val="00CD3940"/>
    <w:rsid w:val="00CE2F14"/>
    <w:rsid w:val="00CE37E4"/>
    <w:rsid w:val="00CE52B8"/>
    <w:rsid w:val="00CE6A0B"/>
    <w:rsid w:val="00CE75DE"/>
    <w:rsid w:val="00CE7BF6"/>
    <w:rsid w:val="00CF0950"/>
    <w:rsid w:val="00CF3B07"/>
    <w:rsid w:val="00CF4C13"/>
    <w:rsid w:val="00CF62E0"/>
    <w:rsid w:val="00CF6384"/>
    <w:rsid w:val="00CF6902"/>
    <w:rsid w:val="00D003CC"/>
    <w:rsid w:val="00D02455"/>
    <w:rsid w:val="00D02B8F"/>
    <w:rsid w:val="00D03AB4"/>
    <w:rsid w:val="00D0401F"/>
    <w:rsid w:val="00D06E88"/>
    <w:rsid w:val="00D11F90"/>
    <w:rsid w:val="00D12A60"/>
    <w:rsid w:val="00D13527"/>
    <w:rsid w:val="00D13D9A"/>
    <w:rsid w:val="00D15E4E"/>
    <w:rsid w:val="00D17601"/>
    <w:rsid w:val="00D20D6E"/>
    <w:rsid w:val="00D21300"/>
    <w:rsid w:val="00D22F7B"/>
    <w:rsid w:val="00D230DC"/>
    <w:rsid w:val="00D26C9A"/>
    <w:rsid w:val="00D303E8"/>
    <w:rsid w:val="00D31BA6"/>
    <w:rsid w:val="00D32ECF"/>
    <w:rsid w:val="00D335E1"/>
    <w:rsid w:val="00D3545E"/>
    <w:rsid w:val="00D357BA"/>
    <w:rsid w:val="00D35FEA"/>
    <w:rsid w:val="00D360D7"/>
    <w:rsid w:val="00D366E4"/>
    <w:rsid w:val="00D37CFF"/>
    <w:rsid w:val="00D423AC"/>
    <w:rsid w:val="00D44A98"/>
    <w:rsid w:val="00D44B15"/>
    <w:rsid w:val="00D44DC6"/>
    <w:rsid w:val="00D476EA"/>
    <w:rsid w:val="00D514E5"/>
    <w:rsid w:val="00D53589"/>
    <w:rsid w:val="00D539D5"/>
    <w:rsid w:val="00D544D5"/>
    <w:rsid w:val="00D57897"/>
    <w:rsid w:val="00D602DE"/>
    <w:rsid w:val="00D6096A"/>
    <w:rsid w:val="00D60ABE"/>
    <w:rsid w:val="00D60CE5"/>
    <w:rsid w:val="00D61811"/>
    <w:rsid w:val="00D623A3"/>
    <w:rsid w:val="00D63F9F"/>
    <w:rsid w:val="00D646D3"/>
    <w:rsid w:val="00D647C6"/>
    <w:rsid w:val="00D662F2"/>
    <w:rsid w:val="00D665F1"/>
    <w:rsid w:val="00D6711E"/>
    <w:rsid w:val="00D7269F"/>
    <w:rsid w:val="00D730D4"/>
    <w:rsid w:val="00D73B08"/>
    <w:rsid w:val="00D751FA"/>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2CA"/>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4DE6"/>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2AE6"/>
    <w:rsid w:val="00DE5B0F"/>
    <w:rsid w:val="00DE65F1"/>
    <w:rsid w:val="00DF0FE3"/>
    <w:rsid w:val="00DF2CB1"/>
    <w:rsid w:val="00DF3DA9"/>
    <w:rsid w:val="00DF44EC"/>
    <w:rsid w:val="00DF5A8B"/>
    <w:rsid w:val="00DF69F9"/>
    <w:rsid w:val="00E02579"/>
    <w:rsid w:val="00E02B50"/>
    <w:rsid w:val="00E04B3F"/>
    <w:rsid w:val="00E05CFE"/>
    <w:rsid w:val="00E060C1"/>
    <w:rsid w:val="00E06566"/>
    <w:rsid w:val="00E06B1E"/>
    <w:rsid w:val="00E07787"/>
    <w:rsid w:val="00E10AAF"/>
    <w:rsid w:val="00E11D49"/>
    <w:rsid w:val="00E147D5"/>
    <w:rsid w:val="00E14C0E"/>
    <w:rsid w:val="00E16642"/>
    <w:rsid w:val="00E1787C"/>
    <w:rsid w:val="00E2249E"/>
    <w:rsid w:val="00E22B76"/>
    <w:rsid w:val="00E234F1"/>
    <w:rsid w:val="00E241ED"/>
    <w:rsid w:val="00E24E3A"/>
    <w:rsid w:val="00E25AF8"/>
    <w:rsid w:val="00E26C55"/>
    <w:rsid w:val="00E26F6C"/>
    <w:rsid w:val="00E27BFC"/>
    <w:rsid w:val="00E318C5"/>
    <w:rsid w:val="00E31BD0"/>
    <w:rsid w:val="00E34CA3"/>
    <w:rsid w:val="00E35C4A"/>
    <w:rsid w:val="00E37A0F"/>
    <w:rsid w:val="00E37DA6"/>
    <w:rsid w:val="00E37FE3"/>
    <w:rsid w:val="00E40EB7"/>
    <w:rsid w:val="00E43AAA"/>
    <w:rsid w:val="00E44C62"/>
    <w:rsid w:val="00E47A1F"/>
    <w:rsid w:val="00E5387C"/>
    <w:rsid w:val="00E54EF2"/>
    <w:rsid w:val="00E57FC0"/>
    <w:rsid w:val="00E60DC5"/>
    <w:rsid w:val="00E63559"/>
    <w:rsid w:val="00E65A9D"/>
    <w:rsid w:val="00E67180"/>
    <w:rsid w:val="00E676E2"/>
    <w:rsid w:val="00E74FA5"/>
    <w:rsid w:val="00E756A8"/>
    <w:rsid w:val="00E76032"/>
    <w:rsid w:val="00E768F2"/>
    <w:rsid w:val="00E77E9E"/>
    <w:rsid w:val="00E81DED"/>
    <w:rsid w:val="00E82316"/>
    <w:rsid w:val="00E825B3"/>
    <w:rsid w:val="00E849DE"/>
    <w:rsid w:val="00E85948"/>
    <w:rsid w:val="00E86536"/>
    <w:rsid w:val="00E9030E"/>
    <w:rsid w:val="00E9167E"/>
    <w:rsid w:val="00E922A4"/>
    <w:rsid w:val="00E925CE"/>
    <w:rsid w:val="00E93F3F"/>
    <w:rsid w:val="00E95126"/>
    <w:rsid w:val="00E967CB"/>
    <w:rsid w:val="00EA05D9"/>
    <w:rsid w:val="00EA1104"/>
    <w:rsid w:val="00EA5257"/>
    <w:rsid w:val="00EA59B6"/>
    <w:rsid w:val="00EA7415"/>
    <w:rsid w:val="00EB0433"/>
    <w:rsid w:val="00EB1B8B"/>
    <w:rsid w:val="00EB24EC"/>
    <w:rsid w:val="00EB3C54"/>
    <w:rsid w:val="00EB4951"/>
    <w:rsid w:val="00EB595B"/>
    <w:rsid w:val="00EC098E"/>
    <w:rsid w:val="00EC0BCB"/>
    <w:rsid w:val="00EC0E71"/>
    <w:rsid w:val="00ED613A"/>
    <w:rsid w:val="00ED6CFA"/>
    <w:rsid w:val="00ED6D53"/>
    <w:rsid w:val="00EE1855"/>
    <w:rsid w:val="00EE1E1F"/>
    <w:rsid w:val="00EE28A8"/>
    <w:rsid w:val="00EE2AA4"/>
    <w:rsid w:val="00EE2B68"/>
    <w:rsid w:val="00EE3733"/>
    <w:rsid w:val="00EE395E"/>
    <w:rsid w:val="00EE6D70"/>
    <w:rsid w:val="00EF1386"/>
    <w:rsid w:val="00EF2491"/>
    <w:rsid w:val="00EF256B"/>
    <w:rsid w:val="00EF5277"/>
    <w:rsid w:val="00EF5CAD"/>
    <w:rsid w:val="00EF611F"/>
    <w:rsid w:val="00EF76E1"/>
    <w:rsid w:val="00F029AF"/>
    <w:rsid w:val="00F04099"/>
    <w:rsid w:val="00F05B66"/>
    <w:rsid w:val="00F1030E"/>
    <w:rsid w:val="00F10925"/>
    <w:rsid w:val="00F1096B"/>
    <w:rsid w:val="00F12F6C"/>
    <w:rsid w:val="00F13DAE"/>
    <w:rsid w:val="00F157D8"/>
    <w:rsid w:val="00F15F0D"/>
    <w:rsid w:val="00F15FF3"/>
    <w:rsid w:val="00F201AD"/>
    <w:rsid w:val="00F21481"/>
    <w:rsid w:val="00F21B21"/>
    <w:rsid w:val="00F222BB"/>
    <w:rsid w:val="00F228D3"/>
    <w:rsid w:val="00F2491A"/>
    <w:rsid w:val="00F24EF6"/>
    <w:rsid w:val="00F254E4"/>
    <w:rsid w:val="00F26AAB"/>
    <w:rsid w:val="00F26F5D"/>
    <w:rsid w:val="00F270FD"/>
    <w:rsid w:val="00F3381E"/>
    <w:rsid w:val="00F34C92"/>
    <w:rsid w:val="00F34E5C"/>
    <w:rsid w:val="00F35D19"/>
    <w:rsid w:val="00F377AE"/>
    <w:rsid w:val="00F37C41"/>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4337"/>
    <w:rsid w:val="00F64972"/>
    <w:rsid w:val="00F659BB"/>
    <w:rsid w:val="00F67155"/>
    <w:rsid w:val="00F7058F"/>
    <w:rsid w:val="00F70D21"/>
    <w:rsid w:val="00F70FEF"/>
    <w:rsid w:val="00F73F06"/>
    <w:rsid w:val="00F74F3A"/>
    <w:rsid w:val="00F75C02"/>
    <w:rsid w:val="00F761A5"/>
    <w:rsid w:val="00F77ECB"/>
    <w:rsid w:val="00F80602"/>
    <w:rsid w:val="00F81936"/>
    <w:rsid w:val="00F81BF8"/>
    <w:rsid w:val="00F81E47"/>
    <w:rsid w:val="00F824EF"/>
    <w:rsid w:val="00F84408"/>
    <w:rsid w:val="00F86474"/>
    <w:rsid w:val="00F868B4"/>
    <w:rsid w:val="00F8730A"/>
    <w:rsid w:val="00F900D8"/>
    <w:rsid w:val="00F9016F"/>
    <w:rsid w:val="00F90601"/>
    <w:rsid w:val="00F93703"/>
    <w:rsid w:val="00FA7789"/>
    <w:rsid w:val="00FA78FD"/>
    <w:rsid w:val="00FB11BE"/>
    <w:rsid w:val="00FB1357"/>
    <w:rsid w:val="00FB1799"/>
    <w:rsid w:val="00FB1B56"/>
    <w:rsid w:val="00FB27F1"/>
    <w:rsid w:val="00FB4A2E"/>
    <w:rsid w:val="00FB4C6F"/>
    <w:rsid w:val="00FC5E76"/>
    <w:rsid w:val="00FC69CF"/>
    <w:rsid w:val="00FC7214"/>
    <w:rsid w:val="00FC7735"/>
    <w:rsid w:val="00FC7FB3"/>
    <w:rsid w:val="00FD058F"/>
    <w:rsid w:val="00FD0B70"/>
    <w:rsid w:val="00FD11B8"/>
    <w:rsid w:val="00FD1440"/>
    <w:rsid w:val="00FD1489"/>
    <w:rsid w:val="00FD17D7"/>
    <w:rsid w:val="00FD2DA9"/>
    <w:rsid w:val="00FD35FA"/>
    <w:rsid w:val="00FD59F1"/>
    <w:rsid w:val="00FD66A4"/>
    <w:rsid w:val="00FD6FE2"/>
    <w:rsid w:val="00FD74CB"/>
    <w:rsid w:val="00FD7543"/>
    <w:rsid w:val="00FD7BF5"/>
    <w:rsid w:val="00FE185C"/>
    <w:rsid w:val="00FE29D1"/>
    <w:rsid w:val="00FE3C5F"/>
    <w:rsid w:val="00FE401B"/>
    <w:rsid w:val="00FE4705"/>
    <w:rsid w:val="00FE51E9"/>
    <w:rsid w:val="00FE557C"/>
    <w:rsid w:val="00FE5B4B"/>
    <w:rsid w:val="00FE7FCC"/>
    <w:rsid w:val="00FF3F05"/>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3F42E06"/>
  <w15:chartTrackingRefBased/>
  <w15:docId w15:val="{952C0000-C39A-4A86-9EEE-6C497D7DF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k-SK"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A7ED8"/>
    <w:pPr>
      <w:tabs>
        <w:tab w:val="left" w:pos="567"/>
      </w:tabs>
      <w:spacing w:line="260" w:lineRule="exact"/>
    </w:pPr>
    <w:rPr>
      <w:rFonts w:eastAsia="Times New Roman"/>
      <w:sz w:val="22"/>
      <w:lang w:eastAsia="en-US"/>
    </w:rPr>
  </w:style>
  <w:style w:type="paragraph" w:styleId="Nadpis1">
    <w:name w:val="heading 1"/>
    <w:basedOn w:val="Normlny"/>
    <w:next w:val="Normlny"/>
    <w:link w:val="Nadpis1Char"/>
    <w:qFormat/>
    <w:rsid w:val="00D751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qFormat/>
    <w:rsid w:val="00E05CFE"/>
    <w:pPr>
      <w:keepNext/>
      <w:tabs>
        <w:tab w:val="clear" w:pos="567"/>
      </w:tabs>
      <w:overflowPunct w:val="0"/>
      <w:autoSpaceDE w:val="0"/>
      <w:autoSpaceDN w:val="0"/>
      <w:adjustRightInd w:val="0"/>
      <w:spacing w:line="240" w:lineRule="auto"/>
      <w:outlineLvl w:val="1"/>
    </w:pPr>
    <w:rPr>
      <w:rFonts w:ascii="Univers 45 Light" w:hAnsi="Univers 45 Light"/>
      <w:b/>
      <w:bCs/>
      <w:i/>
      <w:iCs/>
      <w:szCs w:val="22"/>
      <w:lang w:eastAsia="de-DE"/>
    </w:rPr>
  </w:style>
  <w:style w:type="paragraph" w:styleId="Nadpis3">
    <w:name w:val="heading 3"/>
    <w:basedOn w:val="Normlny"/>
    <w:next w:val="Normlny"/>
    <w:link w:val="Nadpis3Char"/>
    <w:semiHidden/>
    <w:unhideWhenUsed/>
    <w:qFormat/>
    <w:rsid w:val="00D751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semiHidden/>
    <w:unhideWhenUsed/>
    <w:qFormat/>
    <w:rsid w:val="00D751FA"/>
    <w:pPr>
      <w:keepNext/>
      <w:keepLines/>
      <w:spacing w:before="40"/>
      <w:outlineLvl w:val="3"/>
    </w:pPr>
    <w:rPr>
      <w:rFonts w:asciiTheme="majorHAnsi" w:eastAsiaTheme="majorEastAsia" w:hAnsiTheme="majorHAnsi" w:cstheme="majorBidi"/>
      <w:i/>
      <w:iCs/>
      <w:color w:val="2F5496" w:themeColor="accent1" w:themeShade="BF"/>
    </w:rPr>
  </w:style>
  <w:style w:type="paragraph" w:styleId="Nadpis6">
    <w:name w:val="heading 6"/>
    <w:basedOn w:val="Normlny"/>
    <w:next w:val="Normlny"/>
    <w:link w:val="Nadpis6Char"/>
    <w:semiHidden/>
    <w:unhideWhenUsed/>
    <w:qFormat/>
    <w:rsid w:val="007E156D"/>
    <w:pPr>
      <w:keepNext/>
      <w:keepLines/>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qFormat/>
    <w:rsid w:val="00E05CFE"/>
    <w:pPr>
      <w:keepNext/>
      <w:tabs>
        <w:tab w:val="clear" w:pos="567"/>
      </w:tabs>
      <w:spacing w:line="240" w:lineRule="auto"/>
      <w:ind w:left="117"/>
      <w:outlineLvl w:val="6"/>
    </w:pPr>
    <w:rPr>
      <w:i/>
      <w:iCs/>
      <w:szCs w:val="22"/>
      <w:u w:val="single"/>
      <w:lang w:eastAsia="de-DE"/>
    </w:rPr>
  </w:style>
  <w:style w:type="paragraph" w:styleId="Nadpis9">
    <w:name w:val="heading 9"/>
    <w:basedOn w:val="Normlny"/>
    <w:next w:val="Normlny"/>
    <w:link w:val="Nadpis9Char"/>
    <w:semiHidden/>
    <w:unhideWhenUsed/>
    <w:qFormat/>
    <w:rsid w:val="001D7A8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pPr>
      <w:tabs>
        <w:tab w:val="center" w:pos="4536"/>
        <w:tab w:val="right" w:pos="8306"/>
      </w:tabs>
    </w:pPr>
    <w:rPr>
      <w:rFonts w:ascii="Arial" w:hAnsi="Arial"/>
      <w:noProof/>
      <w:sz w:val="16"/>
    </w:rPr>
  </w:style>
  <w:style w:type="paragraph" w:styleId="Hlavika">
    <w:name w:val="header"/>
    <w:basedOn w:val="Normlny"/>
    <w:link w:val="HlavikaChar"/>
    <w:pPr>
      <w:tabs>
        <w:tab w:val="center" w:pos="4153"/>
        <w:tab w:val="right" w:pos="8306"/>
      </w:tabs>
    </w:pPr>
    <w:rPr>
      <w:rFonts w:ascii="Arial" w:hAnsi="Arial"/>
      <w:sz w:val="20"/>
    </w:rPr>
  </w:style>
  <w:style w:type="paragraph" w:customStyle="1" w:styleId="MemoHeaderStyle">
    <w:name w:val="MemoHeaderStyle"/>
    <w:basedOn w:val="Normlny"/>
    <w:next w:val="Normlny"/>
    <w:pPr>
      <w:spacing w:line="120" w:lineRule="atLeast"/>
      <w:ind w:left="1418"/>
      <w:jc w:val="both"/>
    </w:pPr>
    <w:rPr>
      <w:rFonts w:ascii="Arial" w:hAnsi="Arial"/>
      <w:b/>
      <w:smallCaps/>
    </w:rPr>
  </w:style>
  <w:style w:type="character" w:styleId="slostrany">
    <w:name w:val="page number"/>
    <w:basedOn w:val="Predvolenpsmoodseku"/>
    <w:rsid w:val="00812D16"/>
  </w:style>
  <w:style w:type="paragraph" w:styleId="Zkladntext">
    <w:name w:val="Body Text"/>
    <w:basedOn w:val="Normlny"/>
    <w:rsid w:val="00812D16"/>
    <w:pPr>
      <w:tabs>
        <w:tab w:val="clear" w:pos="567"/>
      </w:tabs>
      <w:spacing w:line="240" w:lineRule="auto"/>
    </w:pPr>
    <w:rPr>
      <w:i/>
      <w:color w:val="008000"/>
    </w:rPr>
  </w:style>
  <w:style w:type="paragraph" w:styleId="Textkomentra">
    <w:name w:val="annotation text"/>
    <w:basedOn w:val="Normlny"/>
    <w:link w:val="TextkomentraChar"/>
    <w:uiPriority w:val="99"/>
    <w:rsid w:val="00310230"/>
    <w:rPr>
      <w:rFonts w:ascii="Verdana" w:hAnsi="Verdana"/>
      <w:sz w:val="20"/>
    </w:rPr>
  </w:style>
  <w:style w:type="character" w:styleId="Hypertextovprepojenie">
    <w:name w:val="Hyperlink"/>
    <w:rsid w:val="00812D16"/>
    <w:rPr>
      <w:color w:val="0000FF"/>
      <w:u w:val="single"/>
    </w:rPr>
  </w:style>
  <w:style w:type="paragraph" w:customStyle="1" w:styleId="EMEAEnBodyText">
    <w:name w:val="EMEA En Body Text"/>
    <w:basedOn w:val="Normlny"/>
    <w:rsid w:val="00812D16"/>
    <w:pPr>
      <w:tabs>
        <w:tab w:val="clear" w:pos="567"/>
      </w:tabs>
      <w:spacing w:before="120" w:after="120" w:line="240" w:lineRule="auto"/>
      <w:jc w:val="both"/>
    </w:pPr>
  </w:style>
  <w:style w:type="paragraph" w:styleId="Textbubliny">
    <w:name w:val="Balloon Text"/>
    <w:basedOn w:val="Normlny"/>
    <w:semiHidden/>
    <w:rsid w:val="00A20C7F"/>
    <w:rPr>
      <w:rFonts w:ascii="Tahoma" w:hAnsi="Tahoma" w:cs="Tahoma"/>
      <w:sz w:val="16"/>
      <w:szCs w:val="16"/>
    </w:rPr>
  </w:style>
  <w:style w:type="paragraph" w:customStyle="1" w:styleId="BodytextAgency">
    <w:name w:val="Body text (Agency)"/>
    <w:basedOn w:val="Normlny"/>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sk-SK" w:eastAsia="en-GB" w:bidi="ar-SA"/>
    </w:rPr>
  </w:style>
  <w:style w:type="paragraph" w:customStyle="1" w:styleId="DraftingNotesAgency">
    <w:name w:val="Drafting Notes (Agency)"/>
    <w:basedOn w:val="Normlny"/>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k-SK"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Normlnatabuka"/>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lny"/>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sk-SK" w:eastAsia="en-GB" w:bidi="ar-SA"/>
    </w:rPr>
  </w:style>
  <w:style w:type="character" w:styleId="Odkaznakomentr">
    <w:name w:val="annotation reference"/>
    <w:rsid w:val="00BC6DC2"/>
    <w:rPr>
      <w:sz w:val="16"/>
      <w:szCs w:val="16"/>
    </w:rPr>
  </w:style>
  <w:style w:type="paragraph" w:styleId="Predmetkomentra">
    <w:name w:val="annotation subject"/>
    <w:basedOn w:val="Textkomentra"/>
    <w:next w:val="Textkomentra"/>
    <w:link w:val="PredmetkomentraChar"/>
    <w:rsid w:val="00BC6DC2"/>
    <w:rPr>
      <w:b/>
      <w:bCs/>
    </w:rPr>
  </w:style>
  <w:style w:type="character" w:customStyle="1" w:styleId="TextkomentraChar">
    <w:name w:val="Text komentára Char"/>
    <w:link w:val="Textkomentra"/>
    <w:uiPriority w:val="99"/>
    <w:rsid w:val="00310230"/>
    <w:rPr>
      <w:rFonts w:ascii="Verdana" w:eastAsia="Times New Roman" w:hAnsi="Verdana"/>
      <w:lang w:eastAsia="en-US"/>
    </w:rPr>
  </w:style>
  <w:style w:type="character" w:customStyle="1" w:styleId="PredmetkomentraChar">
    <w:name w:val="Predmet komentára Char"/>
    <w:link w:val="Predmetkomentra"/>
    <w:rsid w:val="00BC6DC2"/>
    <w:rPr>
      <w:rFonts w:eastAsia="Times New Roman"/>
      <w:b/>
      <w:bCs/>
      <w:lang w:eastAsia="en-US"/>
    </w:rPr>
  </w:style>
  <w:style w:type="paragraph" w:styleId="Revzia">
    <w:name w:val="Revision"/>
    <w:hidden/>
    <w:uiPriority w:val="99"/>
    <w:semiHidden/>
    <w:rsid w:val="00B21BE7"/>
    <w:rPr>
      <w:rFonts w:eastAsia="Times New Roman"/>
      <w:sz w:val="22"/>
      <w:lang w:eastAsia="en-US"/>
    </w:rPr>
  </w:style>
  <w:style w:type="paragraph" w:styleId="Zkladntext2">
    <w:name w:val="Body Text 2"/>
    <w:basedOn w:val="Normlny"/>
    <w:link w:val="Zkladntext2Char"/>
    <w:rsid w:val="005A27A8"/>
    <w:pPr>
      <w:spacing w:after="120" w:line="480" w:lineRule="auto"/>
    </w:pPr>
  </w:style>
  <w:style w:type="character" w:customStyle="1" w:styleId="Zkladntext2Char">
    <w:name w:val="Základný text 2 Char"/>
    <w:basedOn w:val="Predvolenpsmoodseku"/>
    <w:link w:val="Zkladntext2"/>
    <w:rsid w:val="005A27A8"/>
    <w:rPr>
      <w:rFonts w:eastAsia="Times New Roman"/>
      <w:sz w:val="22"/>
      <w:lang w:eastAsia="en-US"/>
    </w:rPr>
  </w:style>
  <w:style w:type="paragraph" w:styleId="Zkladntext3">
    <w:name w:val="Body Text 3"/>
    <w:basedOn w:val="Normlny"/>
    <w:link w:val="Zkladntext3Char"/>
    <w:rsid w:val="005A27A8"/>
    <w:pPr>
      <w:spacing w:after="120"/>
    </w:pPr>
    <w:rPr>
      <w:sz w:val="16"/>
      <w:szCs w:val="16"/>
    </w:rPr>
  </w:style>
  <w:style w:type="character" w:customStyle="1" w:styleId="Zkladntext3Char">
    <w:name w:val="Základný text 3 Char"/>
    <w:basedOn w:val="Predvolenpsmoodseku"/>
    <w:link w:val="Zkladntext3"/>
    <w:rsid w:val="005A27A8"/>
    <w:rPr>
      <w:rFonts w:eastAsia="Times New Roman"/>
      <w:sz w:val="16"/>
      <w:szCs w:val="16"/>
      <w:lang w:eastAsia="en-US"/>
    </w:rPr>
  </w:style>
  <w:style w:type="paragraph" w:styleId="Bezriadkovania">
    <w:name w:val="No Spacing"/>
    <w:uiPriority w:val="1"/>
    <w:qFormat/>
    <w:rsid w:val="004D540C"/>
    <w:pPr>
      <w:tabs>
        <w:tab w:val="left" w:pos="567"/>
      </w:tabs>
    </w:pPr>
    <w:rPr>
      <w:rFonts w:eastAsia="Times New Roman"/>
      <w:sz w:val="22"/>
      <w:lang w:eastAsia="en-US"/>
    </w:rPr>
  </w:style>
  <w:style w:type="paragraph" w:styleId="Zarkazkladnhotextu2">
    <w:name w:val="Body Text Indent 2"/>
    <w:basedOn w:val="Normlny"/>
    <w:link w:val="Zarkazkladnhotextu2Char"/>
    <w:rsid w:val="00E05CFE"/>
    <w:pPr>
      <w:spacing w:after="120" w:line="480" w:lineRule="auto"/>
      <w:ind w:left="360"/>
    </w:pPr>
  </w:style>
  <w:style w:type="character" w:customStyle="1" w:styleId="Zarkazkladnhotextu2Char">
    <w:name w:val="Zarážka základného textu 2 Char"/>
    <w:basedOn w:val="Predvolenpsmoodseku"/>
    <w:link w:val="Zarkazkladnhotextu2"/>
    <w:rsid w:val="00E05CFE"/>
    <w:rPr>
      <w:rFonts w:eastAsia="Times New Roman"/>
      <w:sz w:val="22"/>
      <w:lang w:eastAsia="en-US"/>
    </w:rPr>
  </w:style>
  <w:style w:type="character" w:customStyle="1" w:styleId="Nadpis2Char">
    <w:name w:val="Nadpis 2 Char"/>
    <w:basedOn w:val="Predvolenpsmoodseku"/>
    <w:link w:val="Nadpis2"/>
    <w:rsid w:val="00E05CFE"/>
    <w:rPr>
      <w:rFonts w:ascii="Univers 45 Light" w:eastAsia="Times New Roman" w:hAnsi="Univers 45 Light"/>
      <w:b/>
      <w:bCs/>
      <w:i/>
      <w:iCs/>
      <w:sz w:val="22"/>
      <w:szCs w:val="22"/>
      <w:lang w:eastAsia="de-DE"/>
    </w:rPr>
  </w:style>
  <w:style w:type="character" w:customStyle="1" w:styleId="Nadpis7Char">
    <w:name w:val="Nadpis 7 Char"/>
    <w:basedOn w:val="Predvolenpsmoodseku"/>
    <w:link w:val="Nadpis7"/>
    <w:rsid w:val="00E05CFE"/>
    <w:rPr>
      <w:rFonts w:eastAsia="Times New Roman"/>
      <w:i/>
      <w:iCs/>
      <w:sz w:val="22"/>
      <w:szCs w:val="22"/>
      <w:u w:val="single"/>
      <w:lang w:val="sk-SK" w:eastAsia="de-DE"/>
    </w:rPr>
  </w:style>
  <w:style w:type="paragraph" w:customStyle="1" w:styleId="BodyText21">
    <w:name w:val="Body Text 21"/>
    <w:basedOn w:val="Normlny"/>
    <w:rsid w:val="00E05CFE"/>
    <w:pPr>
      <w:tabs>
        <w:tab w:val="clear" w:pos="567"/>
      </w:tabs>
      <w:overflowPunct w:val="0"/>
      <w:autoSpaceDE w:val="0"/>
      <w:autoSpaceDN w:val="0"/>
      <w:adjustRightInd w:val="0"/>
      <w:spacing w:line="240" w:lineRule="auto"/>
    </w:pPr>
    <w:rPr>
      <w:rFonts w:ascii="Univers 45 Light" w:hAnsi="Univers 45 Light"/>
      <w:color w:val="000000"/>
      <w:szCs w:val="22"/>
      <w:lang w:eastAsia="de-DE"/>
    </w:rPr>
  </w:style>
  <w:style w:type="character" w:customStyle="1" w:styleId="Nadpis9Char">
    <w:name w:val="Nadpis 9 Char"/>
    <w:basedOn w:val="Predvolenpsmoodseku"/>
    <w:link w:val="Nadpis9"/>
    <w:semiHidden/>
    <w:rsid w:val="001D7A88"/>
    <w:rPr>
      <w:rFonts w:asciiTheme="majorHAnsi" w:eastAsiaTheme="majorEastAsia" w:hAnsiTheme="majorHAnsi" w:cstheme="majorBidi"/>
      <w:i/>
      <w:iCs/>
      <w:color w:val="272727" w:themeColor="text1" w:themeTint="D8"/>
      <w:sz w:val="21"/>
      <w:szCs w:val="21"/>
      <w:lang w:eastAsia="en-US"/>
    </w:rPr>
  </w:style>
  <w:style w:type="paragraph" w:styleId="Zarkazkladnhotextu3">
    <w:name w:val="Body Text Indent 3"/>
    <w:basedOn w:val="Normlny"/>
    <w:link w:val="Zarkazkladnhotextu3Char"/>
    <w:rsid w:val="001D7A88"/>
    <w:pPr>
      <w:spacing w:after="120"/>
      <w:ind w:left="360"/>
    </w:pPr>
    <w:rPr>
      <w:sz w:val="16"/>
      <w:szCs w:val="16"/>
    </w:rPr>
  </w:style>
  <w:style w:type="character" w:customStyle="1" w:styleId="Zarkazkladnhotextu3Char">
    <w:name w:val="Zarážka základného textu 3 Char"/>
    <w:basedOn w:val="Predvolenpsmoodseku"/>
    <w:link w:val="Zarkazkladnhotextu3"/>
    <w:rsid w:val="001D7A88"/>
    <w:rPr>
      <w:rFonts w:eastAsia="Times New Roman"/>
      <w:sz w:val="16"/>
      <w:szCs w:val="16"/>
      <w:lang w:eastAsia="en-US"/>
    </w:rPr>
  </w:style>
  <w:style w:type="paragraph" w:styleId="Odsekzoznamu">
    <w:name w:val="List Paragraph"/>
    <w:basedOn w:val="Normlny"/>
    <w:uiPriority w:val="34"/>
    <w:qFormat/>
    <w:rsid w:val="001D7A88"/>
    <w:pPr>
      <w:ind w:left="720"/>
      <w:contextualSpacing/>
    </w:pPr>
  </w:style>
  <w:style w:type="table" w:customStyle="1" w:styleId="TableGrid">
    <w:name w:val="TableGrid"/>
    <w:rsid w:val="00D37CFF"/>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adpis1Char">
    <w:name w:val="Nadpis 1 Char"/>
    <w:basedOn w:val="Predvolenpsmoodseku"/>
    <w:link w:val="Nadpis1"/>
    <w:rsid w:val="00D751FA"/>
    <w:rPr>
      <w:rFonts w:asciiTheme="majorHAnsi" w:eastAsiaTheme="majorEastAsia" w:hAnsiTheme="majorHAnsi" w:cstheme="majorBidi"/>
      <w:color w:val="2F5496" w:themeColor="accent1" w:themeShade="BF"/>
      <w:sz w:val="32"/>
      <w:szCs w:val="32"/>
      <w:lang w:eastAsia="en-US"/>
    </w:rPr>
  </w:style>
  <w:style w:type="character" w:customStyle="1" w:styleId="Nadpis3Char">
    <w:name w:val="Nadpis 3 Char"/>
    <w:basedOn w:val="Predvolenpsmoodseku"/>
    <w:link w:val="Nadpis3"/>
    <w:semiHidden/>
    <w:rsid w:val="00D751FA"/>
    <w:rPr>
      <w:rFonts w:asciiTheme="majorHAnsi" w:eastAsiaTheme="majorEastAsia" w:hAnsiTheme="majorHAnsi" w:cstheme="majorBidi"/>
      <w:color w:val="1F3763" w:themeColor="accent1" w:themeShade="7F"/>
      <w:sz w:val="24"/>
      <w:szCs w:val="24"/>
      <w:lang w:eastAsia="en-US"/>
    </w:rPr>
  </w:style>
  <w:style w:type="character" w:customStyle="1" w:styleId="Nadpis4Char">
    <w:name w:val="Nadpis 4 Char"/>
    <w:basedOn w:val="Predvolenpsmoodseku"/>
    <w:link w:val="Nadpis4"/>
    <w:semiHidden/>
    <w:rsid w:val="00D751FA"/>
    <w:rPr>
      <w:rFonts w:asciiTheme="majorHAnsi" w:eastAsiaTheme="majorEastAsia" w:hAnsiTheme="majorHAnsi" w:cstheme="majorBidi"/>
      <w:i/>
      <w:iCs/>
      <w:color w:val="2F5496" w:themeColor="accent1" w:themeShade="BF"/>
      <w:sz w:val="22"/>
      <w:lang w:eastAsia="en-US"/>
    </w:rPr>
  </w:style>
  <w:style w:type="character" w:customStyle="1" w:styleId="Nadpis6Char">
    <w:name w:val="Nadpis 6 Char"/>
    <w:basedOn w:val="Predvolenpsmoodseku"/>
    <w:link w:val="Nadpis6"/>
    <w:semiHidden/>
    <w:rsid w:val="007E156D"/>
    <w:rPr>
      <w:rFonts w:asciiTheme="majorHAnsi" w:eastAsiaTheme="majorEastAsia" w:hAnsiTheme="majorHAnsi" w:cstheme="majorBidi"/>
      <w:color w:val="1F3763" w:themeColor="accent1" w:themeShade="7F"/>
      <w:sz w:val="22"/>
      <w:lang w:eastAsia="en-US"/>
    </w:rPr>
  </w:style>
  <w:style w:type="character" w:customStyle="1" w:styleId="HlavikaChar">
    <w:name w:val="Hlavička Char"/>
    <w:basedOn w:val="Predvolenpsmoodseku"/>
    <w:link w:val="Hlavika"/>
    <w:rsid w:val="002B668E"/>
    <w:rPr>
      <w:rFonts w:ascii="Arial" w:eastAsia="Times New Roman" w:hAnsi="Arial"/>
      <w:lang w:eastAsia="en-US"/>
    </w:rPr>
  </w:style>
  <w:style w:type="character" w:styleId="Zvraznenie">
    <w:name w:val="Emphasis"/>
    <w:basedOn w:val="Predvolenpsmoodseku"/>
    <w:uiPriority w:val="20"/>
    <w:qFormat/>
    <w:rsid w:val="00314D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85213769">
      <w:bodyDiv w:val="1"/>
      <w:marLeft w:val="0"/>
      <w:marRight w:val="0"/>
      <w:marTop w:val="0"/>
      <w:marBottom w:val="0"/>
      <w:divBdr>
        <w:top w:val="none" w:sz="0" w:space="0" w:color="auto"/>
        <w:left w:val="none" w:sz="0" w:space="0" w:color="auto"/>
        <w:bottom w:val="none" w:sz="0" w:space="0" w:color="auto"/>
        <w:right w:val="none" w:sz="0" w:space="0" w:color="auto"/>
      </w:divBdr>
      <w:divsChild>
        <w:div w:id="1138305578">
          <w:marLeft w:val="0"/>
          <w:marRight w:val="0"/>
          <w:marTop w:val="0"/>
          <w:marBottom w:val="0"/>
          <w:divBdr>
            <w:top w:val="none" w:sz="0" w:space="0" w:color="auto"/>
            <w:left w:val="none" w:sz="0" w:space="0" w:color="auto"/>
            <w:bottom w:val="none" w:sz="0" w:space="0" w:color="auto"/>
            <w:right w:val="none" w:sz="0" w:space="0" w:color="auto"/>
          </w:divBdr>
        </w:div>
        <w:div w:id="769545555">
          <w:marLeft w:val="0"/>
          <w:marRight w:val="0"/>
          <w:marTop w:val="0"/>
          <w:marBottom w:val="0"/>
          <w:divBdr>
            <w:top w:val="none" w:sz="0" w:space="0" w:color="auto"/>
            <w:left w:val="none" w:sz="0" w:space="0" w:color="auto"/>
            <w:bottom w:val="none" w:sz="0" w:space="0" w:color="auto"/>
            <w:right w:val="none" w:sz="0" w:space="0" w:color="auto"/>
          </w:divBdr>
        </w:div>
      </w:divsChild>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4633</Words>
  <Characters>30829</Characters>
  <Application>Microsoft Office Word</Application>
  <DocSecurity>0</DocSecurity>
  <Lines>256</Lines>
  <Paragraphs>70</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QRD Human Product Information Template</vt:lpstr>
      <vt:lpstr>QRD Human Product Information Template</vt:lpstr>
      <vt:lpstr>QRD Human Product Information Template</vt:lpstr>
    </vt:vector>
  </TitlesOfParts>
  <Company>European Medicines Agency</Company>
  <LinksUpToDate>false</LinksUpToDate>
  <CharactersWithSpaces>35392</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 Human Product Information Template</dc:title>
  <dc:subject/>
  <dc:creator>Martina Hudecova</dc:creator>
  <cp:keywords/>
  <cp:lastModifiedBy>Hudecová, Martina</cp:lastModifiedBy>
  <cp:revision>3</cp:revision>
  <dcterms:created xsi:type="dcterms:W3CDTF">2020-04-23T08:25:00Z</dcterms:created>
  <dcterms:modified xsi:type="dcterms:W3CDTF">2020-04-23T08:25:00Z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CURRENT,2.0</vt:lpwstr>
  </property>
  <property fmtid="{D5CDD505-2E9C-101B-9397-08002B2CF9AE}" pid="31" name="DM_Name">
    <vt:lpwstr>Hqrdtemplatecleanen</vt:lpwstr>
  </property>
  <property fmtid="{D5CDD505-2E9C-101B-9397-08002B2CF9AE}" pid="32" name="DM_Creation_Date">
    <vt:lpwstr>05/02/2016 14:16:33</vt:lpwstr>
  </property>
  <property fmtid="{D5CDD505-2E9C-101B-9397-08002B2CF9AE}" pid="33" name="DM_Modify_Date">
    <vt:lpwstr>05/02/2016 14:16:33</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EMA/85269/2016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falsified legislation</vt:lpwstr>
  </property>
  <property fmtid="{D5CDD505-2E9C-101B-9397-08002B2CF9AE}" pid="40" name="DM_emea_doc_ref_id">
    <vt:lpwstr>EMA/85269/2016</vt:lpwstr>
  </property>
  <property fmtid="{D5CDD505-2E9C-101B-9397-08002B2CF9AE}" pid="41" name="DM_Modifer_Name">
    <vt:lpwstr>Akhtar Tia</vt:lpwstr>
  </property>
  <property fmtid="{D5CDD505-2E9C-101B-9397-08002B2CF9AE}" pid="42" name="DM_Modified_Date">
    <vt:lpwstr>05/02/2016 14:16:33</vt:lpwstr>
  </property>
  <property fmtid="{D5CDD505-2E9C-101B-9397-08002B2CF9AE}" pid="43" name="MSIP_Label_b25928a5-4d32-46b2-8210-fa46883dbe3b_Enabled">
    <vt:lpwstr>True</vt:lpwstr>
  </property>
  <property fmtid="{D5CDD505-2E9C-101B-9397-08002B2CF9AE}" pid="44" name="MSIP_Label_b25928a5-4d32-46b2-8210-fa46883dbe3b_SiteId">
    <vt:lpwstr>9c70483a-4e14-4e1e-862a-5fda2a0a5d77</vt:lpwstr>
  </property>
  <property fmtid="{D5CDD505-2E9C-101B-9397-08002B2CF9AE}" pid="45" name="MSIP_Label_b25928a5-4d32-46b2-8210-fa46883dbe3b_Owner">
    <vt:lpwstr>109389@stridesarco.com</vt:lpwstr>
  </property>
  <property fmtid="{D5CDD505-2E9C-101B-9397-08002B2CF9AE}" pid="46" name="MSIP_Label_b25928a5-4d32-46b2-8210-fa46883dbe3b_SetDate">
    <vt:lpwstr>2019-12-03T09:32:23.2750266Z</vt:lpwstr>
  </property>
  <property fmtid="{D5CDD505-2E9C-101B-9397-08002B2CF9AE}" pid="47" name="MSIP_Label_b25928a5-4d32-46b2-8210-fa46883dbe3b_Name">
    <vt:lpwstr>Public</vt:lpwstr>
  </property>
  <property fmtid="{D5CDD505-2E9C-101B-9397-08002B2CF9AE}" pid="48" name="MSIP_Label_b25928a5-4d32-46b2-8210-fa46883dbe3b_Application">
    <vt:lpwstr>Microsoft Azure Information Protection</vt:lpwstr>
  </property>
  <property fmtid="{D5CDD505-2E9C-101B-9397-08002B2CF9AE}" pid="49" name="MSIP_Label_b25928a5-4d32-46b2-8210-fa46883dbe3b_ActionId">
    <vt:lpwstr>9388aabe-87fb-4abf-9673-9ca52d384077</vt:lpwstr>
  </property>
  <property fmtid="{D5CDD505-2E9C-101B-9397-08002B2CF9AE}" pid="50" name="MSIP_Label_b25928a5-4d32-46b2-8210-fa46883dbe3b_Extended_MSFT_Method">
    <vt:lpwstr>Automatic</vt:lpwstr>
  </property>
  <property fmtid="{D5CDD505-2E9C-101B-9397-08002B2CF9AE}" pid="51" name="Sensitivity">
    <vt:lpwstr>Public</vt:lpwstr>
  </property>
</Properties>
</file>