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2D686" w14:textId="77777777" w:rsidR="00BA5AFA" w:rsidRPr="004C7BAE" w:rsidRDefault="002418A6">
      <w:pPr>
        <w:ind w:left="567" w:hanging="567"/>
        <w:jc w:val="center"/>
        <w:outlineLvl w:val="0"/>
        <w:rPr>
          <w:b/>
          <w:bCs/>
          <w:caps/>
          <w:sz w:val="22"/>
          <w:szCs w:val="22"/>
          <w:lang w:val="sk-SK" w:bidi="si-LK"/>
        </w:rPr>
      </w:pPr>
      <w:r w:rsidRPr="004C7BAE">
        <w:rPr>
          <w:b/>
          <w:bCs/>
          <w:caps/>
          <w:sz w:val="22"/>
          <w:szCs w:val="22"/>
          <w:lang w:val="sk-SK" w:bidi="si-LK"/>
        </w:rPr>
        <w:t>Súhrn charakteristických vlastností lieku</w:t>
      </w:r>
    </w:p>
    <w:p w14:paraId="6F6C7CDD" w14:textId="77777777" w:rsidR="00BA5AFA" w:rsidRPr="004C7BAE" w:rsidRDefault="00BA5AFA">
      <w:pPr>
        <w:ind w:left="567" w:hanging="567"/>
        <w:jc w:val="center"/>
        <w:rPr>
          <w:b/>
          <w:bCs/>
          <w:caps/>
          <w:sz w:val="22"/>
          <w:szCs w:val="22"/>
          <w:lang w:val="sk-SK" w:bidi="si-LK"/>
        </w:rPr>
      </w:pPr>
    </w:p>
    <w:p w14:paraId="2FFF0E3E" w14:textId="77777777" w:rsidR="00BA5AFA" w:rsidRPr="004C7BAE" w:rsidRDefault="00BA5AFA">
      <w:pPr>
        <w:ind w:left="567" w:hanging="567"/>
        <w:rPr>
          <w:b/>
          <w:bCs/>
          <w:sz w:val="22"/>
          <w:szCs w:val="22"/>
          <w:lang w:val="sk-SK" w:bidi="si-LK"/>
        </w:rPr>
      </w:pPr>
    </w:p>
    <w:p w14:paraId="66D21FFC"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1.</w:t>
      </w:r>
      <w:r w:rsidRPr="004C7BAE">
        <w:rPr>
          <w:b/>
          <w:bCs/>
          <w:sz w:val="22"/>
          <w:szCs w:val="22"/>
          <w:lang w:val="sk-SK" w:bidi="si-LK"/>
        </w:rPr>
        <w:tab/>
        <w:t>NÁZOV LIEKU</w:t>
      </w:r>
    </w:p>
    <w:p w14:paraId="262200FB" w14:textId="77777777" w:rsidR="00BA5AFA" w:rsidRPr="004C7BAE" w:rsidRDefault="00BA5AFA">
      <w:pPr>
        <w:rPr>
          <w:sz w:val="22"/>
          <w:szCs w:val="22"/>
          <w:lang w:val="sk-SK" w:bidi="si-LK"/>
        </w:rPr>
      </w:pPr>
    </w:p>
    <w:p w14:paraId="018C6F62" w14:textId="77777777" w:rsidR="00BA5AFA" w:rsidRPr="004C7BAE" w:rsidRDefault="002418A6">
      <w:pPr>
        <w:outlineLvl w:val="0"/>
        <w:rPr>
          <w:sz w:val="22"/>
          <w:szCs w:val="22"/>
          <w:lang w:val="sk-SK" w:bidi="si-LK"/>
        </w:rPr>
      </w:pPr>
      <w:proofErr w:type="spellStart"/>
      <w:r w:rsidRPr="004C7BAE">
        <w:rPr>
          <w:sz w:val="22"/>
          <w:szCs w:val="22"/>
          <w:lang w:val="sk-SK" w:bidi="si-LK"/>
        </w:rPr>
        <w:t>Epimedac</w:t>
      </w:r>
      <w:proofErr w:type="spellEnd"/>
      <w:r w:rsidRPr="004C7BAE">
        <w:rPr>
          <w:sz w:val="22"/>
          <w:szCs w:val="22"/>
          <w:lang w:val="sk-SK" w:bidi="si-LK"/>
        </w:rPr>
        <w:t xml:space="preserve"> 2 mg/ml injekčný roztok</w:t>
      </w:r>
    </w:p>
    <w:p w14:paraId="0399C00C" w14:textId="77777777" w:rsidR="00BA5AFA" w:rsidRPr="004C7BAE" w:rsidRDefault="00BA5AFA">
      <w:pPr>
        <w:rPr>
          <w:sz w:val="22"/>
          <w:szCs w:val="22"/>
          <w:lang w:val="sk-SK" w:bidi="si-LK"/>
        </w:rPr>
      </w:pPr>
    </w:p>
    <w:p w14:paraId="3C693DBD" w14:textId="77777777" w:rsidR="00BA5AFA" w:rsidRPr="004C7BAE" w:rsidRDefault="00BA5AFA">
      <w:pPr>
        <w:rPr>
          <w:sz w:val="22"/>
          <w:szCs w:val="22"/>
          <w:lang w:val="sk-SK" w:bidi="si-LK"/>
        </w:rPr>
      </w:pPr>
    </w:p>
    <w:p w14:paraId="2C725589"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2.</w:t>
      </w:r>
      <w:r w:rsidRPr="004C7BAE">
        <w:rPr>
          <w:b/>
          <w:bCs/>
          <w:sz w:val="22"/>
          <w:szCs w:val="22"/>
          <w:lang w:val="sk-SK" w:bidi="si-LK"/>
        </w:rPr>
        <w:tab/>
        <w:t>KVALITATÍVNE A KVANTITATÍVNE ZLOŽENIE</w:t>
      </w:r>
    </w:p>
    <w:p w14:paraId="39482324" w14:textId="77777777" w:rsidR="00BA5AFA" w:rsidRPr="004C7BAE" w:rsidRDefault="00BA5AFA">
      <w:pPr>
        <w:rPr>
          <w:i/>
          <w:iCs/>
          <w:sz w:val="22"/>
          <w:szCs w:val="22"/>
          <w:lang w:val="sk-SK" w:bidi="si-LK"/>
        </w:rPr>
      </w:pPr>
    </w:p>
    <w:p w14:paraId="1F78E2AA" w14:textId="77777777" w:rsidR="00BA5AFA" w:rsidRPr="004C7BAE" w:rsidRDefault="002418A6">
      <w:pPr>
        <w:rPr>
          <w:sz w:val="22"/>
          <w:szCs w:val="22"/>
          <w:lang w:val="sk-SK" w:bidi="si-LK"/>
        </w:rPr>
      </w:pPr>
      <w:r w:rsidRPr="004C7BAE">
        <w:rPr>
          <w:sz w:val="22"/>
          <w:szCs w:val="22"/>
          <w:lang w:val="sk-SK" w:bidi="si-LK"/>
        </w:rPr>
        <w:t xml:space="preserve">1 ml roztoku obsahuje 2 mg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r w:rsidRPr="004C7BAE">
        <w:rPr>
          <w:sz w:val="22"/>
          <w:szCs w:val="22"/>
          <w:lang w:val="sk-SK" w:bidi="si-LK"/>
        </w:rPr>
        <w:t>.</w:t>
      </w:r>
    </w:p>
    <w:p w14:paraId="7B9C4B47" w14:textId="77777777" w:rsidR="00BA5AFA" w:rsidRPr="004C7BAE" w:rsidRDefault="00BA5AFA">
      <w:pPr>
        <w:rPr>
          <w:sz w:val="22"/>
          <w:szCs w:val="22"/>
          <w:lang w:val="sk-SK" w:bidi="si-LK"/>
        </w:rPr>
      </w:pPr>
    </w:p>
    <w:p w14:paraId="3600D37C" w14:textId="77777777" w:rsidR="00BA5AFA" w:rsidRPr="004C7BAE" w:rsidRDefault="002418A6">
      <w:pPr>
        <w:rPr>
          <w:sz w:val="22"/>
          <w:szCs w:val="22"/>
          <w:lang w:val="sk-SK" w:bidi="si-LK"/>
        </w:rPr>
      </w:pPr>
      <w:r w:rsidRPr="004C7BAE">
        <w:rPr>
          <w:sz w:val="22"/>
          <w:szCs w:val="22"/>
          <w:lang w:val="sk-SK" w:bidi="si-LK"/>
        </w:rPr>
        <w:t xml:space="preserve">Jedna 5 ml / 10 ml / 25 ml / 50 ml / 100 ml injekčná liekovka obsahuje 10 mg / 20 mg / 50 mg / 100 mg / 200 mg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r w:rsidRPr="004C7BAE">
        <w:rPr>
          <w:sz w:val="22"/>
          <w:szCs w:val="22"/>
          <w:lang w:val="sk-SK" w:bidi="si-LK"/>
        </w:rPr>
        <w:t>.</w:t>
      </w:r>
    </w:p>
    <w:p w14:paraId="58BE1D14" w14:textId="77777777" w:rsidR="00BA5AFA" w:rsidRPr="004C7BAE" w:rsidRDefault="00BA5AFA">
      <w:pPr>
        <w:rPr>
          <w:sz w:val="22"/>
          <w:szCs w:val="22"/>
          <w:lang w:val="sk-SK" w:bidi="si-LK"/>
        </w:rPr>
      </w:pPr>
    </w:p>
    <w:p w14:paraId="106E6ABA" w14:textId="77777777" w:rsidR="001E6592" w:rsidRPr="00FB7812" w:rsidRDefault="00BB1FEE">
      <w:pPr>
        <w:outlineLvl w:val="0"/>
        <w:rPr>
          <w:sz w:val="22"/>
          <w:szCs w:val="22"/>
          <w:u w:val="single"/>
          <w:lang w:val="sk-SK"/>
        </w:rPr>
      </w:pPr>
      <w:r w:rsidRPr="00FB7812">
        <w:rPr>
          <w:sz w:val="22"/>
          <w:szCs w:val="22"/>
          <w:u w:val="single"/>
          <w:lang w:val="sk-SK"/>
        </w:rPr>
        <w:t>Pomocná látka so známym účinkom:</w:t>
      </w:r>
      <w:r w:rsidRPr="00FB7812">
        <w:rPr>
          <w:sz w:val="22"/>
          <w:szCs w:val="22"/>
          <w:lang w:val="sk-SK"/>
        </w:rPr>
        <w:t xml:space="preserve"> sodík</w:t>
      </w:r>
    </w:p>
    <w:p w14:paraId="7701089B" w14:textId="77777777" w:rsidR="00BA5AFA" w:rsidRPr="004C7BAE" w:rsidRDefault="002418A6">
      <w:pPr>
        <w:outlineLvl w:val="0"/>
        <w:rPr>
          <w:sz w:val="22"/>
          <w:szCs w:val="22"/>
          <w:lang w:val="sk-SK" w:bidi="si-LK"/>
        </w:rPr>
      </w:pPr>
      <w:r w:rsidRPr="004C7BAE">
        <w:rPr>
          <w:sz w:val="22"/>
          <w:szCs w:val="22"/>
          <w:lang w:val="sk-SK" w:bidi="si-LK"/>
        </w:rPr>
        <w:t>Úplný zoznam pomocných látok, pozri časť 6.1.</w:t>
      </w:r>
    </w:p>
    <w:p w14:paraId="7DB4147F" w14:textId="77777777" w:rsidR="00BA5AFA" w:rsidRPr="004C7BAE" w:rsidRDefault="00BA5AFA">
      <w:pPr>
        <w:rPr>
          <w:sz w:val="22"/>
          <w:szCs w:val="22"/>
          <w:lang w:val="sk-SK" w:bidi="si-LK"/>
        </w:rPr>
      </w:pPr>
    </w:p>
    <w:p w14:paraId="00834573" w14:textId="77777777" w:rsidR="00BA5AFA" w:rsidRPr="004C7BAE" w:rsidRDefault="00BA5AFA">
      <w:pPr>
        <w:rPr>
          <w:sz w:val="22"/>
          <w:szCs w:val="22"/>
          <w:lang w:val="sk-SK" w:bidi="si-LK"/>
        </w:rPr>
      </w:pPr>
    </w:p>
    <w:p w14:paraId="470C0340"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3.</w:t>
      </w:r>
      <w:r w:rsidRPr="004C7BAE">
        <w:rPr>
          <w:b/>
          <w:bCs/>
          <w:sz w:val="22"/>
          <w:szCs w:val="22"/>
          <w:lang w:val="sk-SK" w:bidi="si-LK"/>
        </w:rPr>
        <w:tab/>
        <w:t>LIEKOVÁ FORMA</w:t>
      </w:r>
    </w:p>
    <w:p w14:paraId="32E58A1D" w14:textId="77777777" w:rsidR="00BA5AFA" w:rsidRPr="004C7BAE" w:rsidRDefault="00BA5AFA">
      <w:pPr>
        <w:rPr>
          <w:sz w:val="22"/>
          <w:szCs w:val="22"/>
          <w:lang w:val="sk-SK" w:bidi="si-LK"/>
        </w:rPr>
      </w:pPr>
    </w:p>
    <w:p w14:paraId="2AF05400" w14:textId="77777777" w:rsidR="00BA5AFA" w:rsidRPr="004C7BAE" w:rsidRDefault="002418A6">
      <w:pPr>
        <w:outlineLvl w:val="0"/>
        <w:rPr>
          <w:sz w:val="22"/>
          <w:szCs w:val="22"/>
          <w:lang w:val="sk-SK" w:bidi="si-LK"/>
        </w:rPr>
      </w:pPr>
      <w:r w:rsidRPr="004C7BAE">
        <w:rPr>
          <w:sz w:val="22"/>
          <w:szCs w:val="22"/>
          <w:lang w:val="sk-SK" w:bidi="si-LK"/>
        </w:rPr>
        <w:t>Injekčný roztok</w:t>
      </w:r>
    </w:p>
    <w:p w14:paraId="60D35931" w14:textId="77777777" w:rsidR="00BA5AFA" w:rsidRPr="004C7BAE" w:rsidRDefault="002418A6">
      <w:pPr>
        <w:rPr>
          <w:sz w:val="22"/>
          <w:szCs w:val="22"/>
          <w:lang w:val="sk-SK" w:bidi="si-LK"/>
        </w:rPr>
      </w:pPr>
      <w:r w:rsidRPr="004C7BAE">
        <w:rPr>
          <w:sz w:val="22"/>
          <w:szCs w:val="22"/>
          <w:lang w:val="sk-SK" w:bidi="si-LK"/>
        </w:rPr>
        <w:t>Číry červený roztok.</w:t>
      </w:r>
    </w:p>
    <w:p w14:paraId="27119ACC" w14:textId="77777777" w:rsidR="00BA5AFA" w:rsidRPr="004C7BAE" w:rsidRDefault="00BA5AFA">
      <w:pPr>
        <w:rPr>
          <w:sz w:val="22"/>
          <w:szCs w:val="22"/>
          <w:lang w:val="sk-SK" w:bidi="si-LK"/>
        </w:rPr>
      </w:pPr>
    </w:p>
    <w:p w14:paraId="696C5076" w14:textId="77777777" w:rsidR="00BA5AFA" w:rsidRPr="004C7BAE" w:rsidRDefault="00BA5AFA">
      <w:pPr>
        <w:rPr>
          <w:sz w:val="22"/>
          <w:szCs w:val="22"/>
          <w:lang w:val="sk-SK" w:bidi="si-LK"/>
        </w:rPr>
      </w:pPr>
    </w:p>
    <w:p w14:paraId="7B579C39" w14:textId="77777777" w:rsidR="00BA5AFA" w:rsidRPr="004C7BAE" w:rsidRDefault="002418A6">
      <w:pPr>
        <w:ind w:left="567" w:hanging="567"/>
        <w:outlineLvl w:val="0"/>
        <w:rPr>
          <w:b/>
          <w:bCs/>
          <w:caps/>
          <w:sz w:val="22"/>
          <w:szCs w:val="22"/>
          <w:lang w:val="sk-SK" w:bidi="si-LK"/>
        </w:rPr>
      </w:pPr>
      <w:r w:rsidRPr="004C7BAE">
        <w:rPr>
          <w:b/>
          <w:bCs/>
          <w:caps/>
          <w:sz w:val="22"/>
          <w:szCs w:val="22"/>
          <w:lang w:val="sk-SK" w:bidi="si-LK"/>
        </w:rPr>
        <w:t>4.</w:t>
      </w:r>
      <w:r w:rsidRPr="004C7BAE">
        <w:rPr>
          <w:b/>
          <w:bCs/>
          <w:caps/>
          <w:sz w:val="22"/>
          <w:szCs w:val="22"/>
          <w:lang w:val="sk-SK" w:bidi="si-LK"/>
        </w:rPr>
        <w:tab/>
        <w:t>KLINICKÉ ÚDAJE</w:t>
      </w:r>
    </w:p>
    <w:p w14:paraId="6B114358" w14:textId="77777777" w:rsidR="00BA5AFA" w:rsidRPr="004C7BAE" w:rsidRDefault="00BA5AFA">
      <w:pPr>
        <w:rPr>
          <w:sz w:val="22"/>
          <w:szCs w:val="22"/>
          <w:lang w:val="sk-SK" w:bidi="si-LK"/>
        </w:rPr>
      </w:pPr>
    </w:p>
    <w:p w14:paraId="105184ED"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4.1</w:t>
      </w:r>
      <w:r w:rsidRPr="004C7BAE">
        <w:rPr>
          <w:b/>
          <w:bCs/>
          <w:sz w:val="22"/>
          <w:szCs w:val="22"/>
          <w:lang w:val="sk-SK" w:bidi="si-LK"/>
        </w:rPr>
        <w:tab/>
        <w:t>Terapeutické indikácie</w:t>
      </w:r>
    </w:p>
    <w:p w14:paraId="2265389D" w14:textId="77777777" w:rsidR="00BA5AFA" w:rsidRPr="004C7BAE" w:rsidRDefault="00BA5AFA">
      <w:pPr>
        <w:rPr>
          <w:sz w:val="22"/>
          <w:szCs w:val="22"/>
          <w:lang w:val="sk-SK" w:bidi="si-LK"/>
        </w:rPr>
      </w:pPr>
    </w:p>
    <w:p w14:paraId="2039A193" w14:textId="77777777" w:rsidR="00BA5AFA" w:rsidRPr="004C7BAE" w:rsidRDefault="002418A6">
      <w:pPr>
        <w:rPr>
          <w:sz w:val="22"/>
          <w:szCs w:val="22"/>
          <w:lang w:val="sk-SK" w:bidi="si-LK"/>
        </w:rPr>
      </w:pPr>
      <w:proofErr w:type="spellStart"/>
      <w:r w:rsidRPr="004C7BAE">
        <w:rPr>
          <w:sz w:val="22"/>
          <w:szCs w:val="22"/>
          <w:lang w:val="sk-SK" w:bidi="si-LK"/>
        </w:rPr>
        <w:t>Epirubicín</w:t>
      </w:r>
      <w:proofErr w:type="spellEnd"/>
      <w:r w:rsidRPr="004C7BAE">
        <w:rPr>
          <w:sz w:val="22"/>
          <w:szCs w:val="22"/>
          <w:lang w:val="sk-SK" w:bidi="si-LK"/>
        </w:rPr>
        <w:t xml:space="preserve"> sa používa na liečbu viacerých nádorových ochorení, vrátane:</w:t>
      </w:r>
    </w:p>
    <w:p w14:paraId="5DF84344" w14:textId="77777777" w:rsidR="00BA5AFA" w:rsidRPr="004C7BAE" w:rsidRDefault="002418A6">
      <w:pPr>
        <w:numPr>
          <w:ilvl w:val="0"/>
          <w:numId w:val="35"/>
        </w:numPr>
        <w:rPr>
          <w:sz w:val="22"/>
          <w:szCs w:val="22"/>
          <w:lang w:val="sk-SK" w:bidi="si-LK"/>
        </w:rPr>
      </w:pPr>
      <w:r w:rsidRPr="004C7BAE">
        <w:rPr>
          <w:sz w:val="22"/>
          <w:szCs w:val="22"/>
          <w:lang w:val="sk-SK" w:bidi="si-LK"/>
        </w:rPr>
        <w:t>Karcinómu prsníka</w:t>
      </w:r>
    </w:p>
    <w:p w14:paraId="183970C1" w14:textId="77777777" w:rsidR="00BA5AFA" w:rsidRPr="004C7BAE" w:rsidRDefault="002418A6">
      <w:pPr>
        <w:numPr>
          <w:ilvl w:val="0"/>
          <w:numId w:val="35"/>
        </w:numPr>
        <w:rPr>
          <w:sz w:val="22"/>
          <w:szCs w:val="22"/>
          <w:lang w:val="sk-SK" w:bidi="si-LK"/>
        </w:rPr>
      </w:pPr>
      <w:r w:rsidRPr="004C7BAE">
        <w:rPr>
          <w:sz w:val="22"/>
          <w:szCs w:val="22"/>
          <w:lang w:val="sk-SK" w:bidi="si-LK"/>
        </w:rPr>
        <w:t xml:space="preserve">Pokročilého </w:t>
      </w:r>
      <w:proofErr w:type="spellStart"/>
      <w:r w:rsidRPr="004C7BAE">
        <w:rPr>
          <w:sz w:val="22"/>
          <w:szCs w:val="22"/>
          <w:lang w:val="sk-SK" w:bidi="si-LK"/>
        </w:rPr>
        <w:t>ovariálneho</w:t>
      </w:r>
      <w:proofErr w:type="spellEnd"/>
      <w:r w:rsidRPr="004C7BAE">
        <w:rPr>
          <w:sz w:val="22"/>
          <w:szCs w:val="22"/>
          <w:lang w:val="sk-SK" w:bidi="si-LK"/>
        </w:rPr>
        <w:t xml:space="preserve"> karcinómu</w:t>
      </w:r>
    </w:p>
    <w:p w14:paraId="6EA768EA" w14:textId="77777777" w:rsidR="00BA5AFA" w:rsidRPr="004C7BAE" w:rsidRDefault="002418A6">
      <w:pPr>
        <w:numPr>
          <w:ilvl w:val="0"/>
          <w:numId w:val="35"/>
        </w:numPr>
        <w:rPr>
          <w:sz w:val="22"/>
          <w:szCs w:val="22"/>
          <w:lang w:val="sk-SK" w:bidi="si-LK"/>
        </w:rPr>
      </w:pPr>
      <w:r w:rsidRPr="004C7BAE">
        <w:rPr>
          <w:sz w:val="22"/>
          <w:szCs w:val="22"/>
          <w:lang w:val="sk-SK" w:bidi="si-LK"/>
        </w:rPr>
        <w:t>Karcinómu žalúdka</w:t>
      </w:r>
    </w:p>
    <w:p w14:paraId="2770B9D1" w14:textId="77777777" w:rsidR="00BA5AFA" w:rsidRPr="004C7BAE" w:rsidRDefault="002418A6">
      <w:pPr>
        <w:numPr>
          <w:ilvl w:val="0"/>
          <w:numId w:val="35"/>
        </w:numPr>
        <w:rPr>
          <w:sz w:val="22"/>
          <w:szCs w:val="22"/>
          <w:lang w:val="sk-SK" w:bidi="si-LK"/>
        </w:rPr>
      </w:pPr>
      <w:r w:rsidRPr="004C7BAE">
        <w:rPr>
          <w:sz w:val="22"/>
          <w:szCs w:val="22"/>
          <w:lang w:val="sk-SK" w:bidi="si-LK"/>
        </w:rPr>
        <w:t>Malobunkového karcinómu pľúc</w:t>
      </w:r>
    </w:p>
    <w:p w14:paraId="2A95547A" w14:textId="77777777" w:rsidR="00BA5AFA" w:rsidRPr="004C7BAE" w:rsidRDefault="00BA5AFA">
      <w:pPr>
        <w:rPr>
          <w:sz w:val="22"/>
          <w:szCs w:val="22"/>
          <w:lang w:val="sk-SK" w:bidi="si-LK"/>
        </w:rPr>
      </w:pPr>
    </w:p>
    <w:p w14:paraId="3DD6A616" w14:textId="77777777" w:rsidR="00BA5AFA" w:rsidRPr="004C7BAE" w:rsidRDefault="002418A6">
      <w:pPr>
        <w:rPr>
          <w:sz w:val="22"/>
          <w:szCs w:val="22"/>
          <w:lang w:val="sk-SK" w:bidi="si-LK"/>
        </w:rPr>
      </w:pPr>
      <w:r w:rsidRPr="004C7BAE">
        <w:rPr>
          <w:sz w:val="22"/>
          <w:szCs w:val="22"/>
          <w:lang w:val="sk-SK" w:bidi="si-LK"/>
        </w:rPr>
        <w:t xml:space="preserve">Ak sa podáva </w:t>
      </w:r>
      <w:proofErr w:type="spellStart"/>
      <w:r w:rsidRPr="004C7BAE">
        <w:rPr>
          <w:sz w:val="22"/>
          <w:szCs w:val="22"/>
          <w:lang w:val="sk-SK" w:bidi="si-LK"/>
        </w:rPr>
        <w:t>intravezikálne</w:t>
      </w:r>
      <w:proofErr w:type="spellEnd"/>
      <w:r w:rsidRPr="004C7BAE">
        <w:rPr>
          <w:sz w:val="22"/>
          <w:szCs w:val="22"/>
          <w:lang w:val="sk-SK" w:bidi="si-LK"/>
        </w:rPr>
        <w:t xml:space="preserve">, </w:t>
      </w:r>
      <w:proofErr w:type="spellStart"/>
      <w:r w:rsidRPr="004C7BAE">
        <w:rPr>
          <w:sz w:val="22"/>
          <w:szCs w:val="22"/>
          <w:lang w:val="sk-SK" w:bidi="si-LK"/>
        </w:rPr>
        <w:t>epirubicín</w:t>
      </w:r>
      <w:proofErr w:type="spellEnd"/>
      <w:r w:rsidRPr="004C7BAE">
        <w:rPr>
          <w:sz w:val="22"/>
          <w:szCs w:val="22"/>
          <w:lang w:val="sk-SK" w:bidi="si-LK"/>
        </w:rPr>
        <w:t xml:space="preserve"> môže pomáhať pri liečbe:</w:t>
      </w:r>
    </w:p>
    <w:p w14:paraId="6EAE64B1" w14:textId="77777777" w:rsidR="00BA5AFA" w:rsidRPr="004C7BAE" w:rsidRDefault="002418A6">
      <w:pPr>
        <w:numPr>
          <w:ilvl w:val="0"/>
          <w:numId w:val="35"/>
        </w:numPr>
        <w:rPr>
          <w:sz w:val="22"/>
          <w:szCs w:val="22"/>
          <w:lang w:val="sk-SK" w:bidi="si-LK"/>
        </w:rPr>
      </w:pPr>
      <w:proofErr w:type="spellStart"/>
      <w:r w:rsidRPr="004C7BAE">
        <w:rPr>
          <w:sz w:val="22"/>
          <w:szCs w:val="22"/>
          <w:lang w:val="sk-SK" w:bidi="si-LK"/>
        </w:rPr>
        <w:t>Papilárneho</w:t>
      </w:r>
      <w:proofErr w:type="spellEnd"/>
      <w:r w:rsidRPr="004C7BAE">
        <w:rPr>
          <w:sz w:val="22"/>
          <w:szCs w:val="22"/>
          <w:lang w:val="sk-SK" w:bidi="si-LK"/>
        </w:rPr>
        <w:t xml:space="preserve"> karcinómu prechodových buniek močového mechúra</w:t>
      </w:r>
    </w:p>
    <w:p w14:paraId="3359DE2D" w14:textId="77777777" w:rsidR="00BA5AFA" w:rsidRPr="004C7BAE" w:rsidRDefault="002418A6">
      <w:pPr>
        <w:numPr>
          <w:ilvl w:val="0"/>
          <w:numId w:val="35"/>
        </w:numPr>
        <w:rPr>
          <w:sz w:val="22"/>
          <w:szCs w:val="22"/>
          <w:lang w:val="sk-SK" w:bidi="si-LK"/>
        </w:rPr>
      </w:pPr>
      <w:r w:rsidRPr="004C7BAE">
        <w:rPr>
          <w:sz w:val="22"/>
          <w:szCs w:val="22"/>
          <w:lang w:val="sk-SK" w:bidi="si-LK"/>
        </w:rPr>
        <w:t>Karcinómu in situ močového mechúra</w:t>
      </w:r>
    </w:p>
    <w:p w14:paraId="19AD3233" w14:textId="44C61C02" w:rsidR="00BA5AFA" w:rsidRPr="004C7BAE" w:rsidRDefault="002418A6">
      <w:pPr>
        <w:numPr>
          <w:ilvl w:val="0"/>
          <w:numId w:val="35"/>
        </w:numPr>
        <w:rPr>
          <w:sz w:val="22"/>
          <w:szCs w:val="22"/>
          <w:lang w:val="sk-SK" w:bidi="si-LK"/>
        </w:rPr>
      </w:pPr>
      <w:proofErr w:type="spellStart"/>
      <w:r w:rsidRPr="004C7BAE">
        <w:rPr>
          <w:sz w:val="22"/>
          <w:szCs w:val="22"/>
          <w:lang w:val="sk-SK" w:bidi="si-LK"/>
        </w:rPr>
        <w:t>Intravezikálnej</w:t>
      </w:r>
      <w:proofErr w:type="spellEnd"/>
      <w:r w:rsidRPr="004C7BAE">
        <w:rPr>
          <w:sz w:val="22"/>
          <w:szCs w:val="22"/>
          <w:lang w:val="sk-SK" w:bidi="si-LK"/>
        </w:rPr>
        <w:t xml:space="preserve"> profylaxie opakovaného výskytu povrchového karcinómu močového mechúra po </w:t>
      </w:r>
      <w:proofErr w:type="spellStart"/>
      <w:r w:rsidRPr="004C7BAE">
        <w:rPr>
          <w:sz w:val="22"/>
          <w:szCs w:val="22"/>
          <w:lang w:val="sk-SK" w:bidi="si-LK"/>
        </w:rPr>
        <w:t>transuretrálnej</w:t>
      </w:r>
      <w:proofErr w:type="spellEnd"/>
      <w:r w:rsidRPr="004C7BAE">
        <w:rPr>
          <w:sz w:val="22"/>
          <w:szCs w:val="22"/>
          <w:lang w:val="sk-SK" w:bidi="si-LK"/>
        </w:rPr>
        <w:t xml:space="preserve"> resekcii </w:t>
      </w:r>
    </w:p>
    <w:p w14:paraId="246B9DCE" w14:textId="77777777" w:rsidR="00BA5AFA" w:rsidRPr="004C7BAE" w:rsidRDefault="00BA5AFA">
      <w:pPr>
        <w:rPr>
          <w:sz w:val="22"/>
          <w:szCs w:val="22"/>
          <w:lang w:val="sk-SK" w:bidi="si-LK"/>
        </w:rPr>
      </w:pPr>
    </w:p>
    <w:p w14:paraId="4F91A20E" w14:textId="77777777" w:rsidR="00BA5AFA" w:rsidRPr="004C7BAE" w:rsidRDefault="002418A6">
      <w:pPr>
        <w:keepNext/>
        <w:keepLines/>
        <w:ind w:left="567" w:hanging="567"/>
        <w:outlineLvl w:val="0"/>
        <w:rPr>
          <w:b/>
          <w:bCs/>
          <w:sz w:val="22"/>
          <w:szCs w:val="22"/>
          <w:lang w:val="sk-SK" w:bidi="si-LK"/>
        </w:rPr>
      </w:pPr>
      <w:r w:rsidRPr="004C7BAE">
        <w:rPr>
          <w:b/>
          <w:bCs/>
          <w:sz w:val="22"/>
          <w:szCs w:val="22"/>
          <w:lang w:val="sk-SK" w:bidi="si-LK"/>
        </w:rPr>
        <w:t>4.2</w:t>
      </w:r>
      <w:r w:rsidRPr="004C7BAE">
        <w:rPr>
          <w:b/>
          <w:bCs/>
          <w:sz w:val="22"/>
          <w:szCs w:val="22"/>
          <w:lang w:val="sk-SK" w:bidi="si-LK"/>
        </w:rPr>
        <w:tab/>
        <w:t>Dávkovanie a spôsob podávania</w:t>
      </w:r>
    </w:p>
    <w:p w14:paraId="2102D219" w14:textId="77777777" w:rsidR="00BA5AFA" w:rsidRPr="004C7BAE" w:rsidRDefault="00BA5AFA">
      <w:pPr>
        <w:keepNext/>
        <w:keepLines/>
        <w:rPr>
          <w:sz w:val="22"/>
          <w:szCs w:val="22"/>
          <w:lang w:val="sk-SK" w:bidi="si-LK"/>
        </w:rPr>
      </w:pPr>
    </w:p>
    <w:p w14:paraId="4D0D123C" w14:textId="77777777" w:rsidR="00BA5AFA" w:rsidRPr="00FB7812" w:rsidRDefault="00BB1FEE">
      <w:pPr>
        <w:keepNext/>
        <w:keepLines/>
        <w:outlineLvl w:val="0"/>
        <w:rPr>
          <w:bCs/>
          <w:sz w:val="22"/>
          <w:szCs w:val="22"/>
          <w:u w:val="single"/>
          <w:lang w:val="sk-SK" w:bidi="si-LK"/>
        </w:rPr>
      </w:pPr>
      <w:r w:rsidRPr="00FB7812">
        <w:rPr>
          <w:bCs/>
          <w:sz w:val="22"/>
          <w:szCs w:val="22"/>
          <w:u w:val="single"/>
          <w:lang w:val="sk-SK" w:bidi="si-LK"/>
        </w:rPr>
        <w:t>Dávkovanie</w:t>
      </w:r>
    </w:p>
    <w:p w14:paraId="09815EDE" w14:textId="77777777" w:rsidR="00BA5AFA" w:rsidRPr="004C7BAE" w:rsidRDefault="002418A6">
      <w:pPr>
        <w:keepNext/>
        <w:keepLines/>
        <w:rPr>
          <w:sz w:val="22"/>
          <w:szCs w:val="22"/>
          <w:lang w:val="sk-SK" w:bidi="si-LK"/>
        </w:rPr>
      </w:pPr>
      <w:r w:rsidRPr="004C7BAE">
        <w:rPr>
          <w:sz w:val="22"/>
          <w:szCs w:val="22"/>
          <w:lang w:val="sk-SK" w:bidi="si-LK"/>
        </w:rPr>
        <w:t xml:space="preserve">Aby sa zabránilo srdcovej toxicite, nesmie sa prekročiť celková kumulatívna dávka 900 – 1000 mg/m²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r w:rsidRPr="004C7BAE">
        <w:rPr>
          <w:sz w:val="22"/>
          <w:szCs w:val="22"/>
          <w:lang w:val="sk-SK" w:bidi="si-LK"/>
        </w:rPr>
        <w:t xml:space="preserve"> (pozri časť 4.4).</w:t>
      </w:r>
    </w:p>
    <w:p w14:paraId="432120AC" w14:textId="77777777" w:rsidR="00BA5AFA" w:rsidRPr="004C7BAE" w:rsidRDefault="00BA5AFA">
      <w:pPr>
        <w:rPr>
          <w:sz w:val="22"/>
          <w:szCs w:val="22"/>
          <w:lang w:val="sk-SK" w:bidi="si-LK"/>
        </w:rPr>
      </w:pPr>
    </w:p>
    <w:p w14:paraId="68EF3EE6" w14:textId="77777777" w:rsidR="00BA5AFA" w:rsidRPr="004C7BAE" w:rsidRDefault="002418A6">
      <w:pPr>
        <w:outlineLvl w:val="0"/>
        <w:rPr>
          <w:bCs/>
          <w:i/>
          <w:sz w:val="22"/>
          <w:szCs w:val="22"/>
          <w:lang w:val="sk-SK" w:bidi="si-LK"/>
        </w:rPr>
      </w:pPr>
      <w:r w:rsidRPr="004C7BAE">
        <w:rPr>
          <w:bCs/>
          <w:i/>
          <w:sz w:val="22"/>
          <w:szCs w:val="22"/>
          <w:lang w:val="sk-SK" w:bidi="si-LK"/>
        </w:rPr>
        <w:t>Bežná dávka</w:t>
      </w:r>
    </w:p>
    <w:p w14:paraId="3D4CE448" w14:textId="06CC1C97" w:rsidR="00BA5AFA" w:rsidRPr="004C7BAE" w:rsidRDefault="002418A6">
      <w:pPr>
        <w:rPr>
          <w:sz w:val="22"/>
          <w:szCs w:val="22"/>
          <w:lang w:val="sk-SK" w:bidi="si-LK"/>
        </w:rPr>
      </w:pPr>
      <w:r w:rsidRPr="004C7BAE">
        <w:rPr>
          <w:sz w:val="22"/>
          <w:szCs w:val="22"/>
          <w:lang w:val="sk-SK" w:bidi="si-LK"/>
        </w:rPr>
        <w:t xml:space="preserve">Ak sa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w:t>
      </w:r>
      <w:proofErr w:type="spellEnd"/>
      <w:r w:rsidRPr="004C7BAE">
        <w:rPr>
          <w:sz w:val="22"/>
          <w:szCs w:val="22"/>
          <w:lang w:val="sk-SK" w:bidi="si-LK"/>
        </w:rPr>
        <w:t xml:space="preserve"> používa ako jediný liek, odporúčan</w:t>
      </w:r>
      <w:r w:rsidR="001E6592">
        <w:rPr>
          <w:sz w:val="22"/>
          <w:szCs w:val="22"/>
          <w:lang w:val="sk-SK" w:bidi="si-LK"/>
        </w:rPr>
        <w:t>á</w:t>
      </w:r>
      <w:r w:rsidRPr="004C7BAE">
        <w:rPr>
          <w:sz w:val="22"/>
          <w:szCs w:val="22"/>
          <w:lang w:val="sk-SK" w:bidi="si-LK"/>
        </w:rPr>
        <w:t xml:space="preserve"> dávk</w:t>
      </w:r>
      <w:r w:rsidR="001E6592">
        <w:rPr>
          <w:sz w:val="22"/>
          <w:szCs w:val="22"/>
          <w:lang w:val="sk-SK" w:bidi="si-LK"/>
        </w:rPr>
        <w:t>a</w:t>
      </w:r>
      <w:r w:rsidRPr="004C7BAE">
        <w:rPr>
          <w:sz w:val="22"/>
          <w:szCs w:val="22"/>
          <w:lang w:val="sk-SK" w:bidi="si-LK"/>
        </w:rPr>
        <w:t xml:space="preserve"> u dospelých je 60 </w:t>
      </w:r>
      <w:r w:rsidR="001E6592" w:rsidRPr="004C7BAE">
        <w:rPr>
          <w:sz w:val="22"/>
          <w:szCs w:val="22"/>
          <w:lang w:val="sk-SK" w:bidi="si-LK"/>
        </w:rPr>
        <w:t>–</w:t>
      </w:r>
      <w:r w:rsidRPr="004C7BAE">
        <w:rPr>
          <w:sz w:val="22"/>
          <w:szCs w:val="22"/>
          <w:lang w:val="sk-SK" w:bidi="si-LK"/>
        </w:rPr>
        <w:t xml:space="preserve"> 90 mg/m² povrchu tela.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w:t>
      </w:r>
      <w:proofErr w:type="spellEnd"/>
      <w:r w:rsidRPr="004C7BAE">
        <w:rPr>
          <w:sz w:val="22"/>
          <w:szCs w:val="22"/>
          <w:lang w:val="sk-SK" w:bidi="si-LK"/>
        </w:rPr>
        <w:t xml:space="preserve"> sa má aplikovať intravenózne po dobu 3 </w:t>
      </w:r>
      <w:r w:rsidR="001E6592" w:rsidRPr="004C7BAE">
        <w:rPr>
          <w:sz w:val="22"/>
          <w:szCs w:val="22"/>
          <w:lang w:val="sk-SK" w:bidi="si-LK"/>
        </w:rPr>
        <w:t>–</w:t>
      </w:r>
      <w:r w:rsidRPr="004C7BAE">
        <w:rPr>
          <w:sz w:val="22"/>
          <w:szCs w:val="22"/>
          <w:lang w:val="sk-SK" w:bidi="si-LK"/>
        </w:rPr>
        <w:t xml:space="preserve"> 5 minút. Dávka sa má opakovať v 21 dňových intervaloch, v závislosti od hematologického stavu pacienta a funkcie kostnej drene. </w:t>
      </w:r>
    </w:p>
    <w:p w14:paraId="49DE791E" w14:textId="77777777" w:rsidR="00BA5AFA" w:rsidRPr="004C7BAE" w:rsidRDefault="00BA5AFA">
      <w:pPr>
        <w:rPr>
          <w:sz w:val="22"/>
          <w:szCs w:val="22"/>
          <w:lang w:val="sk-SK" w:bidi="si-LK"/>
        </w:rPr>
      </w:pPr>
    </w:p>
    <w:p w14:paraId="76D9615E" w14:textId="77777777" w:rsidR="00BA5AFA" w:rsidRPr="004C7BAE" w:rsidRDefault="002418A6">
      <w:pPr>
        <w:rPr>
          <w:sz w:val="22"/>
          <w:szCs w:val="22"/>
          <w:lang w:val="sk-SK" w:bidi="si-LK"/>
        </w:rPr>
      </w:pPr>
      <w:r w:rsidRPr="004C7BAE">
        <w:rPr>
          <w:sz w:val="22"/>
          <w:szCs w:val="22"/>
          <w:lang w:val="sk-SK" w:bidi="si-LK"/>
        </w:rPr>
        <w:t xml:space="preserve">Ak sa objavia známky toxicity, vrátane ťažkej </w:t>
      </w:r>
      <w:proofErr w:type="spellStart"/>
      <w:r w:rsidRPr="004C7BAE">
        <w:rPr>
          <w:sz w:val="22"/>
          <w:szCs w:val="22"/>
          <w:lang w:val="sk-SK" w:bidi="si-LK"/>
        </w:rPr>
        <w:t>neutropénie</w:t>
      </w:r>
      <w:proofErr w:type="spellEnd"/>
      <w:r w:rsidRPr="004C7BAE">
        <w:rPr>
          <w:sz w:val="22"/>
          <w:szCs w:val="22"/>
          <w:lang w:val="sk-SK" w:bidi="si-LK"/>
        </w:rPr>
        <w:t>/</w:t>
      </w:r>
      <w:proofErr w:type="spellStart"/>
      <w:r w:rsidRPr="004C7BAE">
        <w:rPr>
          <w:sz w:val="22"/>
          <w:szCs w:val="22"/>
          <w:lang w:val="sk-SK" w:bidi="si-LK"/>
        </w:rPr>
        <w:t>neutropenickej</w:t>
      </w:r>
      <w:proofErr w:type="spellEnd"/>
      <w:r w:rsidRPr="004C7BAE">
        <w:rPr>
          <w:sz w:val="22"/>
          <w:szCs w:val="22"/>
          <w:lang w:val="sk-SK" w:bidi="si-LK"/>
        </w:rPr>
        <w:t xml:space="preserve"> horúčky a </w:t>
      </w:r>
      <w:proofErr w:type="spellStart"/>
      <w:r w:rsidRPr="004C7BAE">
        <w:rPr>
          <w:sz w:val="22"/>
          <w:szCs w:val="22"/>
          <w:lang w:val="sk-SK" w:bidi="si-LK"/>
        </w:rPr>
        <w:t>trombocytopénie</w:t>
      </w:r>
      <w:proofErr w:type="spellEnd"/>
      <w:r w:rsidRPr="004C7BAE">
        <w:rPr>
          <w:sz w:val="22"/>
          <w:szCs w:val="22"/>
          <w:lang w:val="sk-SK" w:bidi="si-LK"/>
        </w:rPr>
        <w:t xml:space="preserve"> (ktoré môžu pretrvávať v 21 deň), môže byť potrebné zmeniť dávku alebo oddialiť nasledovnú dávku.</w:t>
      </w:r>
    </w:p>
    <w:p w14:paraId="0C793B74" w14:textId="77777777" w:rsidR="00BA5AFA" w:rsidRPr="004C7BAE" w:rsidRDefault="00BA5AFA">
      <w:pPr>
        <w:rPr>
          <w:sz w:val="22"/>
          <w:szCs w:val="22"/>
          <w:lang w:val="sk-SK" w:bidi="si-LK"/>
        </w:rPr>
      </w:pPr>
    </w:p>
    <w:p w14:paraId="21EA7EA0" w14:textId="77777777" w:rsidR="00BA5AFA" w:rsidRPr="004C7BAE" w:rsidRDefault="002418A6">
      <w:pPr>
        <w:outlineLvl w:val="0"/>
        <w:rPr>
          <w:bCs/>
          <w:i/>
          <w:sz w:val="22"/>
          <w:szCs w:val="22"/>
          <w:lang w:val="sk-SK" w:bidi="si-LK"/>
        </w:rPr>
      </w:pPr>
      <w:r w:rsidRPr="004C7BAE">
        <w:rPr>
          <w:bCs/>
          <w:i/>
          <w:sz w:val="22"/>
          <w:szCs w:val="22"/>
          <w:lang w:val="sk-SK" w:bidi="si-LK"/>
        </w:rPr>
        <w:lastRenderedPageBreak/>
        <w:t>Vysoká dávka</w:t>
      </w:r>
    </w:p>
    <w:p w14:paraId="3C087D6B" w14:textId="77777777" w:rsidR="00BA5AFA" w:rsidRPr="004C7BAE" w:rsidRDefault="002418A6">
      <w:pPr>
        <w:rPr>
          <w:sz w:val="22"/>
          <w:szCs w:val="22"/>
          <w:lang w:val="sk-SK" w:bidi="si-LK"/>
        </w:rPr>
      </w:pPr>
      <w:proofErr w:type="spellStart"/>
      <w:r w:rsidRPr="004C7BAE">
        <w:rPr>
          <w:sz w:val="22"/>
          <w:szCs w:val="22"/>
          <w:lang w:val="sk-SK" w:bidi="si-LK"/>
        </w:rPr>
        <w:t>Epirubicín</w:t>
      </w:r>
      <w:proofErr w:type="spellEnd"/>
      <w:r w:rsidRPr="004C7BAE">
        <w:rPr>
          <w:sz w:val="22"/>
          <w:szCs w:val="22"/>
          <w:lang w:val="sk-SK" w:bidi="si-LK"/>
        </w:rPr>
        <w:t xml:space="preserve"> ako jediný liek pri </w:t>
      </w:r>
      <w:proofErr w:type="spellStart"/>
      <w:r w:rsidRPr="004C7BAE">
        <w:rPr>
          <w:sz w:val="22"/>
          <w:szCs w:val="22"/>
          <w:lang w:val="sk-SK" w:bidi="si-LK"/>
        </w:rPr>
        <w:t>vysokodávkovanej</w:t>
      </w:r>
      <w:proofErr w:type="spellEnd"/>
      <w:r w:rsidRPr="004C7BAE">
        <w:rPr>
          <w:sz w:val="22"/>
          <w:szCs w:val="22"/>
          <w:lang w:val="sk-SK" w:bidi="si-LK"/>
        </w:rPr>
        <w:t xml:space="preserve"> liečbe rakoviny pľúc sa má podávať podľa nasledovných režimov:</w:t>
      </w:r>
    </w:p>
    <w:p w14:paraId="2CC03BAD" w14:textId="77777777" w:rsidR="00BA5AFA" w:rsidRPr="004C7BAE" w:rsidRDefault="002418A6">
      <w:pPr>
        <w:numPr>
          <w:ilvl w:val="0"/>
          <w:numId w:val="35"/>
        </w:numPr>
        <w:rPr>
          <w:sz w:val="22"/>
          <w:szCs w:val="22"/>
          <w:lang w:val="sk-SK" w:bidi="si-LK"/>
        </w:rPr>
      </w:pPr>
      <w:r w:rsidRPr="004C7BAE">
        <w:rPr>
          <w:sz w:val="22"/>
          <w:szCs w:val="22"/>
          <w:lang w:val="sk-SK" w:bidi="si-LK"/>
        </w:rPr>
        <w:t xml:space="preserve">Malobunkový karcinóm pľúc (predtým neliečený): 120 mg/m²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r w:rsidRPr="004C7BAE">
        <w:rPr>
          <w:sz w:val="22"/>
          <w:szCs w:val="22"/>
          <w:lang w:val="sk-SK" w:bidi="si-LK"/>
        </w:rPr>
        <w:t xml:space="preserve"> 1. deň, každé 3 týždne.</w:t>
      </w:r>
    </w:p>
    <w:p w14:paraId="65BE3276" w14:textId="5F7189C5" w:rsidR="00BA5AFA" w:rsidRPr="004C7BAE" w:rsidRDefault="002418A6">
      <w:pPr>
        <w:rPr>
          <w:sz w:val="22"/>
          <w:szCs w:val="22"/>
          <w:lang w:val="sk-SK" w:bidi="si-LK"/>
        </w:rPr>
      </w:pPr>
      <w:r w:rsidRPr="004C7BAE">
        <w:rPr>
          <w:sz w:val="22"/>
          <w:szCs w:val="22"/>
          <w:lang w:val="sk-SK" w:bidi="si-LK"/>
        </w:rPr>
        <w:t xml:space="preserve">Pri </w:t>
      </w:r>
      <w:proofErr w:type="spellStart"/>
      <w:r w:rsidRPr="004C7BAE">
        <w:rPr>
          <w:sz w:val="22"/>
          <w:szCs w:val="22"/>
          <w:lang w:val="sk-SK" w:bidi="si-LK"/>
        </w:rPr>
        <w:t>vysokodávkovanej</w:t>
      </w:r>
      <w:proofErr w:type="spellEnd"/>
      <w:r w:rsidRPr="004C7BAE">
        <w:rPr>
          <w:sz w:val="22"/>
          <w:szCs w:val="22"/>
          <w:lang w:val="sk-SK" w:bidi="si-LK"/>
        </w:rPr>
        <w:t xml:space="preserve"> liečbe sa môže </w:t>
      </w:r>
      <w:proofErr w:type="spellStart"/>
      <w:r w:rsidRPr="004C7BAE">
        <w:rPr>
          <w:sz w:val="22"/>
          <w:szCs w:val="22"/>
          <w:lang w:val="sk-SK" w:bidi="si-LK"/>
        </w:rPr>
        <w:t>epirubicín</w:t>
      </w:r>
      <w:proofErr w:type="spellEnd"/>
      <w:r w:rsidRPr="004C7BAE">
        <w:rPr>
          <w:sz w:val="22"/>
          <w:szCs w:val="22"/>
          <w:lang w:val="sk-SK" w:bidi="si-LK"/>
        </w:rPr>
        <w:t xml:space="preserve"> podávať ako intravenózny </w:t>
      </w:r>
      <w:proofErr w:type="spellStart"/>
      <w:r w:rsidRPr="004C7BAE">
        <w:rPr>
          <w:sz w:val="22"/>
          <w:szCs w:val="22"/>
          <w:lang w:val="sk-SK" w:bidi="si-LK"/>
        </w:rPr>
        <w:t>bolus</w:t>
      </w:r>
      <w:proofErr w:type="spellEnd"/>
      <w:r w:rsidRPr="004C7BAE">
        <w:rPr>
          <w:sz w:val="22"/>
          <w:szCs w:val="22"/>
          <w:lang w:val="sk-SK" w:bidi="si-LK"/>
        </w:rPr>
        <w:t xml:space="preserve"> po dobu 3 </w:t>
      </w:r>
      <w:r w:rsidR="001E6592" w:rsidRPr="004C7BAE">
        <w:rPr>
          <w:sz w:val="22"/>
          <w:szCs w:val="22"/>
          <w:lang w:val="sk-SK" w:bidi="si-LK"/>
        </w:rPr>
        <w:t>–</w:t>
      </w:r>
      <w:r w:rsidRPr="004C7BAE">
        <w:rPr>
          <w:sz w:val="22"/>
          <w:szCs w:val="22"/>
          <w:lang w:val="sk-SK" w:bidi="si-LK"/>
        </w:rPr>
        <w:t xml:space="preserve"> 5 minút alebo ako infúzia po dobu až do 30 minút. </w:t>
      </w:r>
    </w:p>
    <w:p w14:paraId="4CA2D82B" w14:textId="77777777" w:rsidR="00BA5AFA" w:rsidRPr="004C7BAE" w:rsidRDefault="00BA5AFA">
      <w:pPr>
        <w:rPr>
          <w:sz w:val="22"/>
          <w:szCs w:val="22"/>
          <w:lang w:val="sk-SK" w:bidi="si-LK"/>
        </w:rPr>
      </w:pPr>
    </w:p>
    <w:p w14:paraId="1E4BDAC4" w14:textId="77777777" w:rsidR="00BA5AFA" w:rsidRPr="004C7BAE" w:rsidRDefault="002418A6">
      <w:pPr>
        <w:outlineLvl w:val="0"/>
        <w:rPr>
          <w:bCs/>
          <w:i/>
          <w:sz w:val="22"/>
          <w:szCs w:val="22"/>
          <w:lang w:val="sk-SK" w:bidi="si-LK"/>
        </w:rPr>
      </w:pPr>
      <w:r w:rsidRPr="004C7BAE">
        <w:rPr>
          <w:bCs/>
          <w:i/>
          <w:sz w:val="22"/>
          <w:szCs w:val="22"/>
          <w:lang w:val="sk-SK" w:bidi="si-LK"/>
        </w:rPr>
        <w:t>Rakovina prsníka</w:t>
      </w:r>
    </w:p>
    <w:p w14:paraId="5F144F51" w14:textId="21BF3E42" w:rsidR="00BA5AFA" w:rsidRPr="004C7BAE" w:rsidRDefault="002418A6">
      <w:pPr>
        <w:autoSpaceDE w:val="0"/>
        <w:autoSpaceDN w:val="0"/>
        <w:adjustRightInd w:val="0"/>
        <w:rPr>
          <w:sz w:val="22"/>
          <w:szCs w:val="22"/>
          <w:lang w:val="sk-SK" w:bidi="si-LK"/>
        </w:rPr>
      </w:pPr>
      <w:r w:rsidRPr="004C7BAE">
        <w:rPr>
          <w:sz w:val="22"/>
          <w:szCs w:val="22"/>
          <w:lang w:val="sk-SK" w:bidi="si-LK"/>
        </w:rPr>
        <w:t>Pri </w:t>
      </w:r>
      <w:proofErr w:type="spellStart"/>
      <w:r w:rsidRPr="004C7BAE">
        <w:rPr>
          <w:sz w:val="22"/>
          <w:szCs w:val="22"/>
          <w:lang w:val="sk-SK" w:bidi="si-LK"/>
        </w:rPr>
        <w:t>adjuvantnej</w:t>
      </w:r>
      <w:proofErr w:type="spellEnd"/>
      <w:r w:rsidRPr="004C7BAE">
        <w:rPr>
          <w:sz w:val="22"/>
          <w:szCs w:val="22"/>
          <w:lang w:val="sk-SK" w:bidi="si-LK"/>
        </w:rPr>
        <w:t xml:space="preserve"> liečbe </w:t>
      </w:r>
      <w:proofErr w:type="spellStart"/>
      <w:r w:rsidRPr="004C7BAE">
        <w:rPr>
          <w:sz w:val="22"/>
          <w:szCs w:val="22"/>
          <w:lang w:val="sk-SK" w:bidi="si-LK"/>
        </w:rPr>
        <w:t>pacientok</w:t>
      </w:r>
      <w:proofErr w:type="spellEnd"/>
      <w:r w:rsidRPr="004C7BAE">
        <w:rPr>
          <w:sz w:val="22"/>
          <w:szCs w:val="22"/>
          <w:lang w:val="sk-SK" w:bidi="si-LK"/>
        </w:rPr>
        <w:t xml:space="preserve"> s včasným karcinómom prsníka s pozitívnymi lymfatickými uzlinami sa odporúčajú intravenózne dávky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r w:rsidRPr="004C7BAE">
        <w:rPr>
          <w:sz w:val="22"/>
          <w:szCs w:val="22"/>
          <w:lang w:val="sk-SK" w:bidi="si-LK"/>
        </w:rPr>
        <w:t xml:space="preserve"> v rozsahu od 100 mg/m² (ako jedna dávka v 1. deň) do 120 mg/m² (v dvoch rozdelených dávkach v 1. a 8. deň) každé 3 </w:t>
      </w:r>
      <w:r w:rsidR="001E6592" w:rsidRPr="004C7BAE">
        <w:rPr>
          <w:sz w:val="22"/>
          <w:szCs w:val="22"/>
          <w:lang w:val="sk-SK" w:bidi="si-LK"/>
        </w:rPr>
        <w:t>–</w:t>
      </w:r>
      <w:r w:rsidRPr="004C7BAE">
        <w:rPr>
          <w:sz w:val="22"/>
          <w:szCs w:val="22"/>
          <w:lang w:val="sk-SK" w:bidi="si-LK"/>
        </w:rPr>
        <w:t xml:space="preserve"> 4 týždne, v kombinácii s intravenóznym </w:t>
      </w:r>
      <w:proofErr w:type="spellStart"/>
      <w:r w:rsidRPr="004C7BAE">
        <w:rPr>
          <w:sz w:val="22"/>
          <w:szCs w:val="22"/>
          <w:lang w:val="sk-SK" w:bidi="si-LK"/>
        </w:rPr>
        <w:t>cyklofosfamidom</w:t>
      </w:r>
      <w:proofErr w:type="spellEnd"/>
      <w:r w:rsidRPr="004C7BAE">
        <w:rPr>
          <w:sz w:val="22"/>
          <w:szCs w:val="22"/>
          <w:lang w:val="sk-SK" w:bidi="si-LK"/>
        </w:rPr>
        <w:t xml:space="preserve"> a 5</w:t>
      </w:r>
      <w:r w:rsidRPr="004C7BAE">
        <w:rPr>
          <w:sz w:val="22"/>
          <w:szCs w:val="22"/>
          <w:lang w:val="sk-SK" w:bidi="si-LK"/>
        </w:rPr>
        <w:noBreakHyphen/>
        <w:t xml:space="preserve">fluorouracilom a perorálnym </w:t>
      </w:r>
      <w:proofErr w:type="spellStart"/>
      <w:r w:rsidRPr="004C7BAE">
        <w:rPr>
          <w:sz w:val="22"/>
          <w:szCs w:val="22"/>
          <w:lang w:val="sk-SK" w:bidi="si-LK"/>
        </w:rPr>
        <w:t>tamoxifénom</w:t>
      </w:r>
      <w:proofErr w:type="spellEnd"/>
      <w:r w:rsidRPr="004C7BAE">
        <w:rPr>
          <w:sz w:val="22"/>
          <w:szCs w:val="22"/>
          <w:lang w:val="sk-SK" w:bidi="si-LK"/>
        </w:rPr>
        <w:t>.</w:t>
      </w:r>
    </w:p>
    <w:p w14:paraId="2933C685" w14:textId="77777777" w:rsidR="001E6592" w:rsidRDefault="001E6592">
      <w:pPr>
        <w:rPr>
          <w:sz w:val="22"/>
          <w:szCs w:val="22"/>
          <w:lang w:val="sk-SK" w:bidi="si-LK"/>
        </w:rPr>
      </w:pPr>
    </w:p>
    <w:p w14:paraId="4253ABF7" w14:textId="26EA4796" w:rsidR="00BA5AFA" w:rsidRPr="004C7BAE" w:rsidRDefault="002418A6">
      <w:pPr>
        <w:rPr>
          <w:sz w:val="22"/>
          <w:szCs w:val="22"/>
          <w:lang w:val="sk-SK" w:bidi="si-LK"/>
        </w:rPr>
      </w:pPr>
      <w:r w:rsidRPr="004C7BAE">
        <w:rPr>
          <w:sz w:val="22"/>
          <w:szCs w:val="22"/>
          <w:lang w:val="sk-SK" w:bidi="si-LK"/>
        </w:rPr>
        <w:t>Nižšie dávky (60 </w:t>
      </w:r>
      <w:r w:rsidR="001E6592" w:rsidRPr="004C7BAE">
        <w:rPr>
          <w:sz w:val="22"/>
          <w:szCs w:val="22"/>
          <w:lang w:val="sk-SK" w:bidi="si-LK"/>
        </w:rPr>
        <w:t>–</w:t>
      </w:r>
      <w:r w:rsidRPr="004C7BAE">
        <w:rPr>
          <w:sz w:val="22"/>
          <w:szCs w:val="22"/>
          <w:lang w:val="sk-SK" w:bidi="si-LK"/>
        </w:rPr>
        <w:t> 75 mg/m² pre bežnú liečbu a 105 </w:t>
      </w:r>
      <w:r w:rsidR="001E6592" w:rsidRPr="004C7BAE">
        <w:rPr>
          <w:sz w:val="22"/>
          <w:szCs w:val="22"/>
          <w:lang w:val="sk-SK" w:bidi="si-LK"/>
        </w:rPr>
        <w:t>–</w:t>
      </w:r>
      <w:r w:rsidRPr="004C7BAE">
        <w:rPr>
          <w:sz w:val="22"/>
          <w:szCs w:val="22"/>
          <w:lang w:val="sk-SK" w:bidi="si-LK"/>
        </w:rPr>
        <w:t xml:space="preserve"> 120 mg/m² pre vysoko dávkovanú liečbu) sa odporúčajú pre pacientky, ktorých funkcia kostnej drene bola poškodená predchádzajúcou chemoterapiou alebo rádioterapiou, vekom alebo </w:t>
      </w:r>
      <w:proofErr w:type="spellStart"/>
      <w:r w:rsidRPr="004C7BAE">
        <w:rPr>
          <w:sz w:val="22"/>
          <w:szCs w:val="22"/>
          <w:lang w:val="sk-SK" w:bidi="si-LK"/>
        </w:rPr>
        <w:t>neoplastickou</w:t>
      </w:r>
      <w:proofErr w:type="spellEnd"/>
      <w:r w:rsidRPr="004C7BAE">
        <w:rPr>
          <w:sz w:val="22"/>
          <w:szCs w:val="22"/>
          <w:lang w:val="sk-SK" w:bidi="si-LK"/>
        </w:rPr>
        <w:t xml:space="preserve"> infiltráciou kostnej drene. Celková dávka na cyklus môže byť rozdelená do 2 </w:t>
      </w:r>
      <w:r w:rsidR="001E6592" w:rsidRPr="004C7BAE">
        <w:rPr>
          <w:sz w:val="22"/>
          <w:szCs w:val="22"/>
          <w:lang w:val="sk-SK" w:bidi="si-LK"/>
        </w:rPr>
        <w:t>–</w:t>
      </w:r>
      <w:r w:rsidRPr="004C7BAE">
        <w:rPr>
          <w:sz w:val="22"/>
          <w:szCs w:val="22"/>
          <w:lang w:val="sk-SK" w:bidi="si-LK"/>
        </w:rPr>
        <w:t> 3 po sebe idúcich dní.</w:t>
      </w:r>
    </w:p>
    <w:p w14:paraId="1EF8FFCB" w14:textId="77777777" w:rsidR="00BA5AFA" w:rsidRPr="004C7BAE" w:rsidRDefault="00BA5AFA">
      <w:pPr>
        <w:rPr>
          <w:sz w:val="22"/>
          <w:szCs w:val="22"/>
          <w:lang w:val="sk-SK" w:bidi="si-LK"/>
        </w:rPr>
      </w:pPr>
    </w:p>
    <w:p w14:paraId="5179D926" w14:textId="77777777" w:rsidR="00BA5AFA" w:rsidRPr="004C7BAE" w:rsidRDefault="002418A6">
      <w:pPr>
        <w:rPr>
          <w:sz w:val="22"/>
          <w:szCs w:val="22"/>
          <w:lang w:val="sk-SK" w:bidi="si-LK"/>
        </w:rPr>
      </w:pPr>
      <w:r w:rsidRPr="004C7BAE">
        <w:rPr>
          <w:sz w:val="22"/>
          <w:szCs w:val="22"/>
          <w:lang w:val="sk-SK" w:bidi="si-LK"/>
        </w:rPr>
        <w:t xml:space="preserve">Nasledovné dávky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r w:rsidRPr="004C7BAE">
        <w:rPr>
          <w:sz w:val="22"/>
          <w:szCs w:val="22"/>
          <w:lang w:val="sk-SK" w:bidi="si-LK"/>
        </w:rPr>
        <w:t xml:space="preserve"> sa zvyčajne používajú v </w:t>
      </w:r>
      <w:proofErr w:type="spellStart"/>
      <w:r w:rsidRPr="004C7BAE">
        <w:rPr>
          <w:sz w:val="22"/>
          <w:szCs w:val="22"/>
          <w:lang w:val="sk-SK" w:bidi="si-LK"/>
        </w:rPr>
        <w:t>monoterapii</w:t>
      </w:r>
      <w:proofErr w:type="spellEnd"/>
      <w:r w:rsidRPr="004C7BAE">
        <w:rPr>
          <w:sz w:val="22"/>
          <w:szCs w:val="22"/>
          <w:lang w:val="sk-SK" w:bidi="si-LK"/>
        </w:rPr>
        <w:t xml:space="preserve"> a kombinovanej chemoterapii pre rôzne iné nádory, ako je uvedené:</w:t>
      </w:r>
    </w:p>
    <w:p w14:paraId="4A8C6ECE" w14:textId="77777777" w:rsidR="00BA5AFA" w:rsidRPr="004C7BAE" w:rsidRDefault="00BA5AFA">
      <w:pPr>
        <w:rPr>
          <w:sz w:val="22"/>
          <w:szCs w:val="22"/>
          <w:lang w:val="sk-SK" w:bidi="si-LK"/>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285"/>
        <w:gridCol w:w="3285"/>
      </w:tblGrid>
      <w:tr w:rsidR="00BA5AFA" w:rsidRPr="00327CA4" w14:paraId="49C23D25" w14:textId="77777777">
        <w:trPr>
          <w:cantSplit/>
          <w:tblHeader/>
        </w:trPr>
        <w:tc>
          <w:tcPr>
            <w:tcW w:w="2628" w:type="dxa"/>
            <w:tcBorders>
              <w:bottom w:val="nil"/>
            </w:tcBorders>
          </w:tcPr>
          <w:p w14:paraId="0883B32D" w14:textId="77777777" w:rsidR="00BA5AFA" w:rsidRPr="004C7BAE" w:rsidRDefault="00BA5AFA">
            <w:pPr>
              <w:pStyle w:val="TableHeading"/>
              <w:keepNext/>
              <w:spacing w:before="0"/>
              <w:rPr>
                <w:sz w:val="22"/>
                <w:szCs w:val="22"/>
                <w:lang w:val="sk-SK" w:bidi="si-LK"/>
              </w:rPr>
            </w:pPr>
          </w:p>
        </w:tc>
        <w:tc>
          <w:tcPr>
            <w:tcW w:w="6570" w:type="dxa"/>
            <w:gridSpan w:val="2"/>
          </w:tcPr>
          <w:p w14:paraId="3F7D6CC3" w14:textId="77777777" w:rsidR="00BA5AFA" w:rsidRPr="004C7BAE" w:rsidRDefault="002418A6">
            <w:pPr>
              <w:pStyle w:val="TableHeadingCentre"/>
              <w:keepNext/>
              <w:spacing w:before="0"/>
              <w:rPr>
                <w:sz w:val="22"/>
                <w:szCs w:val="22"/>
                <w:lang w:val="sk-SK" w:bidi="si-LK"/>
              </w:rPr>
            </w:pPr>
            <w:r w:rsidRPr="004C7BAE">
              <w:rPr>
                <w:sz w:val="22"/>
                <w:szCs w:val="22"/>
                <w:lang w:val="sk-SK" w:bidi="si-LK"/>
              </w:rPr>
              <w:t xml:space="preserve">Dávka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r w:rsidRPr="004C7BAE">
              <w:rPr>
                <w:sz w:val="22"/>
                <w:szCs w:val="22"/>
                <w:lang w:val="sk-SK" w:bidi="si-LK"/>
              </w:rPr>
              <w:t xml:space="preserve"> (mg/m²)</w:t>
            </w:r>
            <w:r w:rsidRPr="004C7BAE">
              <w:rPr>
                <w:sz w:val="22"/>
                <w:szCs w:val="22"/>
                <w:vertAlign w:val="superscript"/>
                <w:lang w:val="sk-SK" w:bidi="si-LK"/>
              </w:rPr>
              <w:t>a</w:t>
            </w:r>
          </w:p>
        </w:tc>
      </w:tr>
      <w:tr w:rsidR="00BA5AFA" w:rsidRPr="004C7BAE" w14:paraId="7359B068" w14:textId="77777777">
        <w:trPr>
          <w:cantSplit/>
          <w:tblHeader/>
        </w:trPr>
        <w:tc>
          <w:tcPr>
            <w:tcW w:w="2628" w:type="dxa"/>
            <w:tcBorders>
              <w:top w:val="nil"/>
            </w:tcBorders>
          </w:tcPr>
          <w:p w14:paraId="3BB09925" w14:textId="77777777" w:rsidR="00BA5AFA" w:rsidRPr="004C7BAE" w:rsidRDefault="002418A6">
            <w:pPr>
              <w:pStyle w:val="TableHeading"/>
              <w:keepNext/>
              <w:spacing w:before="0"/>
              <w:rPr>
                <w:sz w:val="22"/>
                <w:szCs w:val="22"/>
                <w:lang w:val="sk-SK" w:bidi="si-LK"/>
              </w:rPr>
            </w:pPr>
            <w:r w:rsidRPr="004C7BAE">
              <w:rPr>
                <w:sz w:val="22"/>
                <w:szCs w:val="22"/>
                <w:lang w:val="sk-SK" w:bidi="si-LK"/>
              </w:rPr>
              <w:t>Druh karcinómu</w:t>
            </w:r>
          </w:p>
        </w:tc>
        <w:tc>
          <w:tcPr>
            <w:tcW w:w="3285" w:type="dxa"/>
          </w:tcPr>
          <w:p w14:paraId="00EFFF14" w14:textId="77777777" w:rsidR="00BA5AFA" w:rsidRPr="004C7BAE" w:rsidRDefault="002418A6">
            <w:pPr>
              <w:pStyle w:val="TableHeading"/>
              <w:keepNext/>
              <w:spacing w:before="0"/>
              <w:rPr>
                <w:sz w:val="22"/>
                <w:szCs w:val="22"/>
                <w:lang w:val="sk-SK" w:bidi="si-LK"/>
              </w:rPr>
            </w:pPr>
            <w:proofErr w:type="spellStart"/>
            <w:r w:rsidRPr="004C7BAE">
              <w:rPr>
                <w:sz w:val="22"/>
                <w:szCs w:val="22"/>
                <w:lang w:val="sk-SK" w:bidi="si-LK"/>
              </w:rPr>
              <w:t>Monoterapia</w:t>
            </w:r>
            <w:proofErr w:type="spellEnd"/>
          </w:p>
        </w:tc>
        <w:tc>
          <w:tcPr>
            <w:tcW w:w="3285" w:type="dxa"/>
          </w:tcPr>
          <w:p w14:paraId="1219658E" w14:textId="77777777" w:rsidR="00BA5AFA" w:rsidRPr="004C7BAE" w:rsidRDefault="002418A6">
            <w:pPr>
              <w:pStyle w:val="TableHeading"/>
              <w:keepNext/>
              <w:spacing w:before="0"/>
              <w:rPr>
                <w:sz w:val="22"/>
                <w:szCs w:val="22"/>
                <w:lang w:val="sk-SK" w:bidi="si-LK"/>
              </w:rPr>
            </w:pPr>
            <w:r w:rsidRPr="004C7BAE">
              <w:rPr>
                <w:sz w:val="22"/>
                <w:szCs w:val="22"/>
                <w:lang w:val="sk-SK" w:bidi="si-LK"/>
              </w:rPr>
              <w:t>Kombinovaná terapia</w:t>
            </w:r>
          </w:p>
        </w:tc>
      </w:tr>
      <w:tr w:rsidR="00BA5AFA" w:rsidRPr="004C7BAE" w14:paraId="5C9A4F3B" w14:textId="77777777">
        <w:trPr>
          <w:cantSplit/>
        </w:trPr>
        <w:tc>
          <w:tcPr>
            <w:tcW w:w="2628" w:type="dxa"/>
          </w:tcPr>
          <w:p w14:paraId="52D1777C"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 xml:space="preserve">Pokročilý </w:t>
            </w:r>
            <w:proofErr w:type="spellStart"/>
            <w:r w:rsidRPr="004C7BAE">
              <w:rPr>
                <w:rFonts w:ascii="Times New Roman" w:hAnsi="Times New Roman" w:cs="Times New Roman"/>
                <w:sz w:val="22"/>
                <w:szCs w:val="22"/>
                <w:lang w:val="sk-SK" w:bidi="si-LK"/>
              </w:rPr>
              <w:t>ovariálny</w:t>
            </w:r>
            <w:proofErr w:type="spellEnd"/>
            <w:r w:rsidRPr="004C7BAE">
              <w:rPr>
                <w:rFonts w:ascii="Times New Roman" w:hAnsi="Times New Roman" w:cs="Times New Roman"/>
                <w:sz w:val="22"/>
                <w:szCs w:val="22"/>
                <w:lang w:val="sk-SK" w:bidi="si-LK"/>
              </w:rPr>
              <w:t xml:space="preserve"> karcinóm</w:t>
            </w:r>
          </w:p>
        </w:tc>
        <w:tc>
          <w:tcPr>
            <w:tcW w:w="3285" w:type="dxa"/>
          </w:tcPr>
          <w:p w14:paraId="48E1AF48" w14:textId="04C91DE9" w:rsidR="00D90D9F"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60 </w:t>
            </w:r>
            <w:r w:rsidR="001E6592" w:rsidRPr="004C7BAE">
              <w:rPr>
                <w:sz w:val="22"/>
                <w:szCs w:val="22"/>
                <w:lang w:val="sk-SK" w:bidi="si-LK"/>
              </w:rPr>
              <w:t>–</w:t>
            </w:r>
            <w:r w:rsidRPr="004C7BAE">
              <w:rPr>
                <w:rFonts w:ascii="Times New Roman" w:hAnsi="Times New Roman" w:cs="Times New Roman"/>
                <w:sz w:val="22"/>
                <w:szCs w:val="22"/>
                <w:lang w:val="sk-SK" w:bidi="si-LK"/>
              </w:rPr>
              <w:t> 90</w:t>
            </w:r>
          </w:p>
        </w:tc>
        <w:tc>
          <w:tcPr>
            <w:tcW w:w="3285" w:type="dxa"/>
          </w:tcPr>
          <w:p w14:paraId="150E31D4" w14:textId="328D3402" w:rsidR="00D90D9F"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50 </w:t>
            </w:r>
            <w:r w:rsidR="001E6592" w:rsidRPr="004C7BAE">
              <w:rPr>
                <w:sz w:val="22"/>
                <w:szCs w:val="22"/>
                <w:lang w:val="sk-SK" w:bidi="si-LK"/>
              </w:rPr>
              <w:t>–</w:t>
            </w:r>
            <w:r w:rsidRPr="004C7BAE">
              <w:rPr>
                <w:rFonts w:ascii="Times New Roman" w:hAnsi="Times New Roman" w:cs="Times New Roman"/>
                <w:sz w:val="22"/>
                <w:szCs w:val="22"/>
                <w:lang w:val="sk-SK" w:bidi="si-LK"/>
              </w:rPr>
              <w:t> 100</w:t>
            </w:r>
          </w:p>
        </w:tc>
      </w:tr>
      <w:tr w:rsidR="00BA5AFA" w:rsidRPr="004C7BAE" w14:paraId="68AA1A88" w14:textId="77777777">
        <w:trPr>
          <w:cantSplit/>
        </w:trPr>
        <w:tc>
          <w:tcPr>
            <w:tcW w:w="2628" w:type="dxa"/>
          </w:tcPr>
          <w:p w14:paraId="26DE73A3"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Karcinóm žalúdka</w:t>
            </w:r>
          </w:p>
        </w:tc>
        <w:tc>
          <w:tcPr>
            <w:tcW w:w="3285" w:type="dxa"/>
          </w:tcPr>
          <w:p w14:paraId="3F06E897" w14:textId="6E110BB0" w:rsidR="00D90D9F"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60 </w:t>
            </w:r>
            <w:r w:rsidR="001E6592" w:rsidRPr="004C7BAE">
              <w:rPr>
                <w:sz w:val="22"/>
                <w:szCs w:val="22"/>
                <w:lang w:val="sk-SK" w:bidi="si-LK"/>
              </w:rPr>
              <w:t>–</w:t>
            </w:r>
            <w:r w:rsidRPr="004C7BAE">
              <w:rPr>
                <w:rFonts w:ascii="Times New Roman" w:hAnsi="Times New Roman" w:cs="Times New Roman"/>
                <w:sz w:val="22"/>
                <w:szCs w:val="22"/>
                <w:lang w:val="sk-SK" w:bidi="si-LK"/>
              </w:rPr>
              <w:t> 90</w:t>
            </w:r>
          </w:p>
        </w:tc>
        <w:tc>
          <w:tcPr>
            <w:tcW w:w="3285" w:type="dxa"/>
          </w:tcPr>
          <w:p w14:paraId="0715C16D"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50</w:t>
            </w:r>
          </w:p>
        </w:tc>
      </w:tr>
      <w:tr w:rsidR="00BA5AFA" w:rsidRPr="004C7BAE" w14:paraId="1FAD7A63" w14:textId="77777777">
        <w:trPr>
          <w:cantSplit/>
        </w:trPr>
        <w:tc>
          <w:tcPr>
            <w:tcW w:w="2628" w:type="dxa"/>
          </w:tcPr>
          <w:p w14:paraId="60C8CC7D"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Malobunkový karcinóm pľúc (SCLC)</w:t>
            </w:r>
          </w:p>
        </w:tc>
        <w:tc>
          <w:tcPr>
            <w:tcW w:w="3285" w:type="dxa"/>
          </w:tcPr>
          <w:p w14:paraId="1259C5A2"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120</w:t>
            </w:r>
          </w:p>
        </w:tc>
        <w:tc>
          <w:tcPr>
            <w:tcW w:w="3285" w:type="dxa"/>
          </w:tcPr>
          <w:p w14:paraId="18FF92BF" w14:textId="77777777" w:rsidR="00BA5AFA" w:rsidRPr="004C7BAE" w:rsidRDefault="002418A6">
            <w:pPr>
              <w:pStyle w:val="TableTextLeft"/>
              <w:keepNex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120</w:t>
            </w:r>
          </w:p>
        </w:tc>
      </w:tr>
      <w:tr w:rsidR="00BA5AFA" w:rsidRPr="00327CA4" w14:paraId="67F566AE" w14:textId="77777777">
        <w:trPr>
          <w:cantSplit/>
        </w:trPr>
        <w:tc>
          <w:tcPr>
            <w:tcW w:w="2628" w:type="dxa"/>
          </w:tcPr>
          <w:p w14:paraId="5D3CE900" w14:textId="77777777" w:rsidR="00BA5AFA" w:rsidRPr="004C7BAE" w:rsidRDefault="002418A6">
            <w:pPr>
              <w:pStyle w:val="TableTextLef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Karcinóm mechúra</w:t>
            </w:r>
          </w:p>
        </w:tc>
        <w:tc>
          <w:tcPr>
            <w:tcW w:w="3285" w:type="dxa"/>
          </w:tcPr>
          <w:p w14:paraId="04C39852" w14:textId="77777777" w:rsidR="00BA5AFA" w:rsidRPr="004C7BAE" w:rsidRDefault="002418A6">
            <w:pPr>
              <w:pStyle w:val="TableTextLeft"/>
              <w:rPr>
                <w:rFonts w:ascii="Times New Roman" w:hAnsi="Times New Roman" w:cs="Times New Roman"/>
                <w:sz w:val="22"/>
                <w:szCs w:val="22"/>
                <w:lang w:val="sk-SK" w:bidi="si-LK"/>
              </w:rPr>
            </w:pPr>
            <w:proofErr w:type="spellStart"/>
            <w:r w:rsidRPr="004C7BAE">
              <w:rPr>
                <w:rFonts w:ascii="Times New Roman" w:hAnsi="Times New Roman" w:cs="Times New Roman"/>
                <w:sz w:val="22"/>
                <w:szCs w:val="22"/>
                <w:lang w:val="sk-SK" w:bidi="si-LK"/>
              </w:rPr>
              <w:t>Intravezikálne</w:t>
            </w:r>
            <w:proofErr w:type="spellEnd"/>
            <w:r w:rsidRPr="004C7BAE">
              <w:rPr>
                <w:rFonts w:ascii="Times New Roman" w:hAnsi="Times New Roman" w:cs="Times New Roman"/>
                <w:sz w:val="22"/>
                <w:szCs w:val="22"/>
                <w:lang w:val="sk-SK" w:bidi="si-LK"/>
              </w:rPr>
              <w:t xml:space="preserve"> podávanie 50 mg/ 50 ml alebo 80 mg/ 50 ml (karcinóm in situ)</w:t>
            </w:r>
          </w:p>
          <w:p w14:paraId="5EB723CE" w14:textId="77777777" w:rsidR="00BA5AFA" w:rsidRPr="004C7BAE" w:rsidRDefault="002418A6">
            <w:pPr>
              <w:pStyle w:val="TableTextLef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Profylaxia:</w:t>
            </w:r>
          </w:p>
          <w:p w14:paraId="32E58182" w14:textId="77777777" w:rsidR="00BA5AFA" w:rsidRPr="004C7BAE" w:rsidRDefault="002418A6">
            <w:pPr>
              <w:pStyle w:val="TableTextLeft"/>
              <w:rPr>
                <w:rFonts w:ascii="Times New Roman" w:hAnsi="Times New Roman" w:cs="Times New Roman"/>
                <w:sz w:val="22"/>
                <w:szCs w:val="22"/>
                <w:lang w:val="sk-SK" w:bidi="si-LK"/>
              </w:rPr>
            </w:pPr>
            <w:r w:rsidRPr="004C7BAE">
              <w:rPr>
                <w:rFonts w:ascii="Times New Roman" w:hAnsi="Times New Roman" w:cs="Times New Roman"/>
                <w:sz w:val="22"/>
                <w:szCs w:val="22"/>
                <w:lang w:val="sk-SK" w:bidi="si-LK"/>
              </w:rPr>
              <w:t>50 mg/ 50 ml týždenne počas 4 týždňov, potom mesačne počas 11 mesiacov.</w:t>
            </w:r>
          </w:p>
        </w:tc>
        <w:tc>
          <w:tcPr>
            <w:tcW w:w="3285" w:type="dxa"/>
          </w:tcPr>
          <w:p w14:paraId="29A632BE" w14:textId="77777777" w:rsidR="00BA5AFA" w:rsidRPr="004C7BAE" w:rsidRDefault="00BA5AFA">
            <w:pPr>
              <w:pStyle w:val="TableTextLeft"/>
              <w:rPr>
                <w:rFonts w:ascii="Times New Roman" w:hAnsi="Times New Roman" w:cs="Times New Roman"/>
                <w:sz w:val="22"/>
                <w:szCs w:val="22"/>
                <w:lang w:val="sk-SK" w:bidi="si-LK"/>
              </w:rPr>
            </w:pPr>
          </w:p>
        </w:tc>
      </w:tr>
    </w:tbl>
    <w:p w14:paraId="4C71223D" w14:textId="77777777" w:rsidR="00BA5AFA" w:rsidRPr="004C7BAE" w:rsidRDefault="002418A6">
      <w:pPr>
        <w:rPr>
          <w:sz w:val="22"/>
          <w:szCs w:val="22"/>
          <w:lang w:val="sk-SK" w:bidi="si-LK"/>
        </w:rPr>
      </w:pPr>
      <w:r w:rsidRPr="004C7BAE">
        <w:rPr>
          <w:sz w:val="22"/>
          <w:szCs w:val="22"/>
          <w:vertAlign w:val="superscript"/>
          <w:lang w:val="sk-SK" w:bidi="si-LK"/>
        </w:rPr>
        <w:t>a</w:t>
      </w:r>
      <w:r w:rsidRPr="004C7BAE">
        <w:rPr>
          <w:sz w:val="22"/>
          <w:szCs w:val="22"/>
          <w:lang w:val="sk-SK" w:bidi="si-LK"/>
        </w:rPr>
        <w:t xml:space="preserve"> Dávky sa zvyčajne podávajú v 1. deň alebo v 1., </w:t>
      </w:r>
      <w:r w:rsidRPr="004C7BAE">
        <w:rPr>
          <w:sz w:val="22"/>
          <w:szCs w:val="22"/>
          <w:lang w:val="sk-SK"/>
        </w:rPr>
        <w:t xml:space="preserve">2. </w:t>
      </w:r>
      <w:r w:rsidRPr="004C7BAE">
        <w:rPr>
          <w:sz w:val="22"/>
          <w:szCs w:val="22"/>
          <w:lang w:val="sk-SK" w:bidi="si-LK"/>
        </w:rPr>
        <w:t>a 3. deň v 21 dňových intervaloch</w:t>
      </w:r>
    </w:p>
    <w:p w14:paraId="2B3B4FC2" w14:textId="77777777" w:rsidR="00BA5AFA" w:rsidRPr="004C7BAE" w:rsidRDefault="00BA5AFA">
      <w:pPr>
        <w:rPr>
          <w:sz w:val="22"/>
          <w:szCs w:val="22"/>
          <w:lang w:val="sk-SK" w:bidi="si-LK"/>
        </w:rPr>
      </w:pPr>
    </w:p>
    <w:p w14:paraId="1D6F97E6" w14:textId="77777777" w:rsidR="00BA5AFA" w:rsidRPr="004C7BAE" w:rsidRDefault="002418A6">
      <w:pPr>
        <w:keepNext/>
        <w:keepLines/>
        <w:outlineLvl w:val="0"/>
        <w:rPr>
          <w:bCs/>
          <w:i/>
          <w:sz w:val="22"/>
          <w:szCs w:val="22"/>
          <w:lang w:val="sk-SK" w:bidi="si-LK"/>
        </w:rPr>
      </w:pPr>
      <w:r w:rsidRPr="004C7BAE">
        <w:rPr>
          <w:bCs/>
          <w:i/>
          <w:sz w:val="22"/>
          <w:szCs w:val="22"/>
          <w:lang w:val="sk-SK" w:bidi="si-LK"/>
        </w:rPr>
        <w:t>Kombinovaná terapia</w:t>
      </w:r>
    </w:p>
    <w:p w14:paraId="5D2324E6" w14:textId="77777777" w:rsidR="00BA5AFA" w:rsidRPr="004C7BAE" w:rsidRDefault="002418A6">
      <w:pPr>
        <w:keepNext/>
        <w:keepLines/>
        <w:rPr>
          <w:sz w:val="22"/>
          <w:szCs w:val="22"/>
          <w:lang w:val="sk-SK" w:bidi="si-LK"/>
        </w:rPr>
      </w:pPr>
      <w:r w:rsidRPr="004C7BAE">
        <w:rPr>
          <w:sz w:val="22"/>
          <w:szCs w:val="22"/>
          <w:lang w:val="sk-SK" w:bidi="si-LK"/>
        </w:rPr>
        <w:t xml:space="preserve">Ak sa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w:t>
      </w:r>
      <w:proofErr w:type="spellEnd"/>
      <w:r w:rsidRPr="004C7BAE">
        <w:rPr>
          <w:sz w:val="22"/>
          <w:szCs w:val="22"/>
          <w:lang w:val="sk-SK" w:bidi="si-LK"/>
        </w:rPr>
        <w:t xml:space="preserve"> používa v kombinácii s inými </w:t>
      </w:r>
      <w:proofErr w:type="spellStart"/>
      <w:r w:rsidRPr="004C7BAE">
        <w:rPr>
          <w:sz w:val="22"/>
          <w:szCs w:val="22"/>
          <w:lang w:val="sk-SK" w:bidi="si-LK"/>
        </w:rPr>
        <w:t>cytotoxickými</w:t>
      </w:r>
      <w:proofErr w:type="spellEnd"/>
      <w:r w:rsidRPr="004C7BAE">
        <w:rPr>
          <w:sz w:val="22"/>
          <w:szCs w:val="22"/>
          <w:lang w:val="sk-SK" w:bidi="si-LK"/>
        </w:rPr>
        <w:t xml:space="preserve"> liekmi, dávka sa má podľa toho znížiť. Bežne používané dávky sú uvedené v tabuľke vyššie. </w:t>
      </w:r>
    </w:p>
    <w:p w14:paraId="284B7D4C" w14:textId="77777777" w:rsidR="00BA5AFA" w:rsidRPr="004C7BAE" w:rsidRDefault="00BA5AFA">
      <w:pPr>
        <w:rPr>
          <w:sz w:val="22"/>
          <w:szCs w:val="22"/>
          <w:lang w:val="sk-SK" w:bidi="si-LK"/>
        </w:rPr>
      </w:pPr>
    </w:p>
    <w:p w14:paraId="73129C1B" w14:textId="77777777" w:rsidR="00BA5AFA" w:rsidRPr="004C7BAE" w:rsidRDefault="002418A6">
      <w:pPr>
        <w:outlineLvl w:val="0"/>
        <w:rPr>
          <w:bCs/>
          <w:i/>
          <w:sz w:val="22"/>
          <w:szCs w:val="22"/>
          <w:lang w:val="sk-SK" w:bidi="si-LK"/>
        </w:rPr>
      </w:pPr>
      <w:r w:rsidRPr="004C7BAE">
        <w:rPr>
          <w:bCs/>
          <w:i/>
          <w:sz w:val="22"/>
          <w:szCs w:val="22"/>
          <w:lang w:val="sk-SK" w:bidi="si-LK"/>
        </w:rPr>
        <w:t>Poškodená funkcia pečene</w:t>
      </w:r>
    </w:p>
    <w:p w14:paraId="2BFBAD4C" w14:textId="77777777" w:rsidR="00BA5AFA" w:rsidRPr="004C7BAE" w:rsidRDefault="002418A6">
      <w:pPr>
        <w:rPr>
          <w:sz w:val="22"/>
          <w:szCs w:val="22"/>
          <w:lang w:val="sk-SK" w:bidi="si-LK"/>
        </w:rPr>
      </w:pPr>
      <w:r w:rsidRPr="004C7BAE">
        <w:rPr>
          <w:sz w:val="22"/>
          <w:szCs w:val="22"/>
          <w:lang w:val="sk-SK" w:bidi="si-LK"/>
        </w:rPr>
        <w:t xml:space="preserve">Hlavná cesta vylučovania </w:t>
      </w:r>
      <w:proofErr w:type="spellStart"/>
      <w:r w:rsidRPr="004C7BAE">
        <w:rPr>
          <w:sz w:val="22"/>
          <w:szCs w:val="22"/>
          <w:lang w:val="sk-SK" w:bidi="si-LK"/>
        </w:rPr>
        <w:t>epirubicínu</w:t>
      </w:r>
      <w:proofErr w:type="spellEnd"/>
      <w:r w:rsidRPr="004C7BAE">
        <w:rPr>
          <w:sz w:val="22"/>
          <w:szCs w:val="22"/>
          <w:lang w:val="sk-SK" w:bidi="si-LK"/>
        </w:rPr>
        <w:t xml:space="preserve"> je cez </w:t>
      </w:r>
      <w:proofErr w:type="spellStart"/>
      <w:r w:rsidRPr="004C7BAE">
        <w:rPr>
          <w:sz w:val="22"/>
          <w:szCs w:val="22"/>
          <w:lang w:val="sk-SK" w:bidi="si-LK"/>
        </w:rPr>
        <w:t>hepatobiliárny</w:t>
      </w:r>
      <w:proofErr w:type="spellEnd"/>
      <w:r w:rsidRPr="004C7BAE">
        <w:rPr>
          <w:sz w:val="22"/>
          <w:szCs w:val="22"/>
          <w:lang w:val="sk-SK" w:bidi="si-LK"/>
        </w:rPr>
        <w:t xml:space="preserve"> systém. U pacientov s poškodenou funkciu pečene sa má dávka znížiť na základe hladiny sérového </w:t>
      </w:r>
      <w:proofErr w:type="spellStart"/>
      <w:r w:rsidRPr="004C7BAE">
        <w:rPr>
          <w:sz w:val="22"/>
          <w:szCs w:val="22"/>
          <w:lang w:val="sk-SK" w:bidi="si-LK"/>
        </w:rPr>
        <w:t>bilirubínu</w:t>
      </w:r>
      <w:proofErr w:type="spellEnd"/>
      <w:r w:rsidRPr="004C7BAE">
        <w:rPr>
          <w:sz w:val="22"/>
          <w:szCs w:val="22"/>
          <w:lang w:val="sk-SK" w:bidi="si-LK"/>
        </w:rPr>
        <w:t>, a to nasledovne:</w:t>
      </w:r>
    </w:p>
    <w:p w14:paraId="71340F41" w14:textId="77777777" w:rsidR="00BA5AFA" w:rsidRPr="004C7BAE" w:rsidRDefault="00BA5AFA">
      <w:pPr>
        <w:rPr>
          <w:sz w:val="22"/>
          <w:szCs w:val="22"/>
          <w:lang w:val="sk-SK" w:bidi="si-LK"/>
        </w:rPr>
      </w:pPr>
    </w:p>
    <w:tbl>
      <w:tblPr>
        <w:tblW w:w="3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4"/>
        <w:gridCol w:w="1880"/>
        <w:gridCol w:w="1790"/>
      </w:tblGrid>
      <w:tr w:rsidR="00BA5AFA" w:rsidRPr="004C7BAE" w14:paraId="3101D7D0" w14:textId="77777777" w:rsidTr="004C2808">
        <w:tc>
          <w:tcPr>
            <w:tcW w:w="1828" w:type="pct"/>
          </w:tcPr>
          <w:p w14:paraId="753A17DD" w14:textId="77777777" w:rsidR="00BA5AFA" w:rsidRPr="004C7BAE" w:rsidRDefault="002418A6">
            <w:pPr>
              <w:keepNext/>
              <w:rPr>
                <w:sz w:val="22"/>
                <w:szCs w:val="22"/>
                <w:u w:val="single"/>
                <w:lang w:val="sk-SK" w:bidi="si-LK"/>
              </w:rPr>
            </w:pPr>
            <w:r w:rsidRPr="004C7BAE">
              <w:rPr>
                <w:sz w:val="22"/>
                <w:szCs w:val="22"/>
                <w:u w:val="single"/>
                <w:lang w:val="sk-SK" w:bidi="si-LK"/>
              </w:rPr>
              <w:t xml:space="preserve">Sérový </w:t>
            </w:r>
            <w:proofErr w:type="spellStart"/>
            <w:r w:rsidRPr="004C7BAE">
              <w:rPr>
                <w:sz w:val="22"/>
                <w:szCs w:val="22"/>
                <w:u w:val="single"/>
                <w:lang w:val="sk-SK" w:bidi="si-LK"/>
              </w:rPr>
              <w:t>bilirubín</w:t>
            </w:r>
            <w:proofErr w:type="spellEnd"/>
          </w:p>
        </w:tc>
        <w:tc>
          <w:tcPr>
            <w:tcW w:w="1625" w:type="pct"/>
          </w:tcPr>
          <w:p w14:paraId="50B25ED0" w14:textId="77777777" w:rsidR="00BA5AFA" w:rsidRPr="004C7BAE" w:rsidRDefault="002418A6">
            <w:pPr>
              <w:keepNext/>
              <w:jc w:val="center"/>
              <w:rPr>
                <w:sz w:val="22"/>
                <w:szCs w:val="22"/>
                <w:u w:val="single"/>
                <w:lang w:val="sk-SK" w:bidi="si-LK"/>
              </w:rPr>
            </w:pPr>
            <w:r w:rsidRPr="004C7BAE">
              <w:rPr>
                <w:sz w:val="22"/>
                <w:szCs w:val="22"/>
                <w:u w:val="single"/>
                <w:lang w:val="sk-SK" w:bidi="si-LK"/>
              </w:rPr>
              <w:t>SGOT</w:t>
            </w:r>
          </w:p>
        </w:tc>
        <w:tc>
          <w:tcPr>
            <w:tcW w:w="1547" w:type="pct"/>
          </w:tcPr>
          <w:p w14:paraId="65EC3032" w14:textId="77777777" w:rsidR="00BA5AFA" w:rsidRPr="004C7BAE" w:rsidRDefault="002418A6">
            <w:pPr>
              <w:keepNext/>
              <w:jc w:val="center"/>
              <w:rPr>
                <w:sz w:val="22"/>
                <w:szCs w:val="22"/>
                <w:u w:val="single"/>
                <w:lang w:val="sk-SK" w:bidi="si-LK"/>
              </w:rPr>
            </w:pPr>
            <w:r w:rsidRPr="004C7BAE">
              <w:rPr>
                <w:sz w:val="22"/>
                <w:szCs w:val="22"/>
                <w:u w:val="single"/>
                <w:lang w:val="sk-SK" w:bidi="si-LK"/>
              </w:rPr>
              <w:t>Zníženie dávky</w:t>
            </w:r>
          </w:p>
        </w:tc>
      </w:tr>
      <w:tr w:rsidR="00BA5AFA" w:rsidRPr="004C7BAE" w14:paraId="6972815F" w14:textId="77777777" w:rsidTr="004C2808">
        <w:tc>
          <w:tcPr>
            <w:tcW w:w="1828" w:type="pct"/>
          </w:tcPr>
          <w:p w14:paraId="2EC124C0" w14:textId="77777777" w:rsidR="00BA5AFA" w:rsidRPr="004C7BAE" w:rsidRDefault="002418A6">
            <w:pPr>
              <w:keepNext/>
              <w:rPr>
                <w:sz w:val="22"/>
                <w:szCs w:val="22"/>
                <w:lang w:val="sk-SK" w:bidi="si-LK"/>
              </w:rPr>
            </w:pPr>
            <w:r w:rsidRPr="004C7BAE">
              <w:rPr>
                <w:sz w:val="22"/>
                <w:szCs w:val="22"/>
                <w:lang w:val="sk-SK" w:bidi="si-LK"/>
              </w:rPr>
              <w:t>1,4 – 3 mg/ 100 ml</w:t>
            </w:r>
          </w:p>
        </w:tc>
        <w:tc>
          <w:tcPr>
            <w:tcW w:w="1625" w:type="pct"/>
          </w:tcPr>
          <w:p w14:paraId="42AB9997" w14:textId="77777777" w:rsidR="00BA5AFA" w:rsidRPr="004C7BAE" w:rsidRDefault="00BA5AFA">
            <w:pPr>
              <w:keepNext/>
              <w:jc w:val="center"/>
              <w:rPr>
                <w:b/>
                <w:bCs/>
                <w:sz w:val="22"/>
                <w:szCs w:val="22"/>
                <w:u w:val="single"/>
                <w:lang w:val="sk-SK" w:bidi="si-LK"/>
              </w:rPr>
            </w:pPr>
          </w:p>
        </w:tc>
        <w:tc>
          <w:tcPr>
            <w:tcW w:w="1547" w:type="pct"/>
          </w:tcPr>
          <w:p w14:paraId="4C300667" w14:textId="77777777" w:rsidR="00BA5AFA" w:rsidRPr="004C7BAE" w:rsidRDefault="002418A6">
            <w:pPr>
              <w:keepNext/>
              <w:jc w:val="center"/>
              <w:rPr>
                <w:sz w:val="22"/>
                <w:szCs w:val="22"/>
                <w:lang w:val="sk-SK" w:bidi="si-LK"/>
              </w:rPr>
            </w:pPr>
            <w:r w:rsidRPr="004C7BAE">
              <w:rPr>
                <w:sz w:val="22"/>
                <w:szCs w:val="22"/>
                <w:lang w:val="sk-SK" w:bidi="si-LK"/>
              </w:rPr>
              <w:t>50 %</w:t>
            </w:r>
          </w:p>
        </w:tc>
      </w:tr>
      <w:tr w:rsidR="00BA5AFA" w:rsidRPr="004C7BAE" w14:paraId="7CD4CC64" w14:textId="77777777" w:rsidTr="004C2808">
        <w:tc>
          <w:tcPr>
            <w:tcW w:w="1828" w:type="pct"/>
          </w:tcPr>
          <w:p w14:paraId="68D9FF30" w14:textId="77777777" w:rsidR="00BA5AFA" w:rsidRPr="004C7BAE" w:rsidRDefault="002418A6">
            <w:pPr>
              <w:rPr>
                <w:sz w:val="22"/>
                <w:szCs w:val="22"/>
                <w:lang w:val="sk-SK" w:bidi="si-LK"/>
              </w:rPr>
            </w:pPr>
            <w:r w:rsidRPr="004C7BAE">
              <w:rPr>
                <w:sz w:val="22"/>
                <w:szCs w:val="22"/>
                <w:lang w:val="sk-SK" w:bidi="si-LK"/>
              </w:rPr>
              <w:t>&gt; 3 mg/ 100 ml</w:t>
            </w:r>
          </w:p>
        </w:tc>
        <w:tc>
          <w:tcPr>
            <w:tcW w:w="1625" w:type="pct"/>
          </w:tcPr>
          <w:p w14:paraId="0E1FC0F0" w14:textId="77777777" w:rsidR="00BA5AFA" w:rsidRPr="004C7BAE" w:rsidRDefault="002418A6">
            <w:pPr>
              <w:jc w:val="center"/>
              <w:rPr>
                <w:sz w:val="22"/>
                <w:szCs w:val="22"/>
                <w:lang w:val="sk-SK" w:bidi="si-LK"/>
              </w:rPr>
            </w:pPr>
            <w:r w:rsidRPr="004C7BAE">
              <w:rPr>
                <w:sz w:val="22"/>
                <w:szCs w:val="22"/>
                <w:lang w:val="sk-SK" w:bidi="si-LK"/>
              </w:rPr>
              <w:t xml:space="preserve">&gt; 4 krát vyšší ako </w:t>
            </w:r>
            <w:r w:rsidRPr="004C7BAE">
              <w:rPr>
                <w:sz w:val="22"/>
                <w:szCs w:val="22"/>
                <w:lang w:val="sk-SK" w:bidi="si-LK"/>
              </w:rPr>
              <w:br/>
              <w:t>normálna hranica</w:t>
            </w:r>
          </w:p>
        </w:tc>
        <w:tc>
          <w:tcPr>
            <w:tcW w:w="1547" w:type="pct"/>
          </w:tcPr>
          <w:p w14:paraId="73396B43" w14:textId="77777777" w:rsidR="00BA5AFA" w:rsidRPr="004C7BAE" w:rsidRDefault="002418A6">
            <w:pPr>
              <w:jc w:val="center"/>
              <w:rPr>
                <w:sz w:val="22"/>
                <w:szCs w:val="22"/>
                <w:lang w:val="sk-SK" w:bidi="si-LK"/>
              </w:rPr>
            </w:pPr>
            <w:r w:rsidRPr="004C7BAE">
              <w:rPr>
                <w:sz w:val="22"/>
                <w:szCs w:val="22"/>
                <w:lang w:val="sk-SK" w:bidi="si-LK"/>
              </w:rPr>
              <w:t>75 %</w:t>
            </w:r>
          </w:p>
        </w:tc>
      </w:tr>
    </w:tbl>
    <w:p w14:paraId="0AB21DA1" w14:textId="77777777" w:rsidR="00BA5AFA" w:rsidRPr="004C7BAE" w:rsidRDefault="00BA5AFA">
      <w:pPr>
        <w:tabs>
          <w:tab w:val="left" w:pos="2268"/>
        </w:tabs>
        <w:rPr>
          <w:sz w:val="22"/>
          <w:szCs w:val="22"/>
          <w:lang w:val="sk-SK" w:bidi="si-LK"/>
        </w:rPr>
      </w:pPr>
    </w:p>
    <w:p w14:paraId="6E27625B" w14:textId="77777777" w:rsidR="00BA5AFA" w:rsidRPr="004C7BAE" w:rsidRDefault="002418A6">
      <w:pPr>
        <w:outlineLvl w:val="0"/>
        <w:rPr>
          <w:bCs/>
          <w:i/>
          <w:sz w:val="22"/>
          <w:szCs w:val="22"/>
          <w:lang w:val="sk-SK" w:bidi="si-LK"/>
        </w:rPr>
      </w:pPr>
      <w:r w:rsidRPr="004C7BAE">
        <w:rPr>
          <w:bCs/>
          <w:i/>
          <w:sz w:val="22"/>
          <w:szCs w:val="22"/>
          <w:lang w:val="sk-SK" w:bidi="si-LK"/>
        </w:rPr>
        <w:t>Poškodená funkcia obličiek</w:t>
      </w:r>
    </w:p>
    <w:p w14:paraId="77F53816" w14:textId="77777777" w:rsidR="00BA5AFA" w:rsidRPr="004C7BAE" w:rsidRDefault="002418A6">
      <w:pPr>
        <w:tabs>
          <w:tab w:val="left" w:pos="2268"/>
        </w:tabs>
        <w:rPr>
          <w:sz w:val="22"/>
          <w:szCs w:val="22"/>
          <w:lang w:val="sk-SK" w:bidi="si-LK"/>
        </w:rPr>
      </w:pPr>
      <w:r w:rsidRPr="004C7BAE">
        <w:rPr>
          <w:sz w:val="22"/>
          <w:szCs w:val="22"/>
          <w:lang w:val="sk-SK" w:bidi="si-LK"/>
        </w:rPr>
        <w:t xml:space="preserve">Stredne ťažké poškodenie obličiek nevyžaduje zníženie dávky vzhľadom na obmedzené množstvo </w:t>
      </w:r>
      <w:proofErr w:type="spellStart"/>
      <w:r w:rsidRPr="004C7BAE">
        <w:rPr>
          <w:sz w:val="22"/>
          <w:szCs w:val="22"/>
          <w:lang w:val="sk-SK" w:bidi="si-LK"/>
        </w:rPr>
        <w:t>epirubicínu</w:t>
      </w:r>
      <w:proofErr w:type="spellEnd"/>
      <w:r w:rsidRPr="004C7BAE">
        <w:rPr>
          <w:sz w:val="22"/>
          <w:szCs w:val="22"/>
          <w:lang w:val="sk-SK" w:bidi="si-LK"/>
        </w:rPr>
        <w:t xml:space="preserve"> vylúčeného touto cestou. Avšak úprava dávkovania môže byť potrebná u pacientov so sérovým </w:t>
      </w:r>
      <w:proofErr w:type="spellStart"/>
      <w:r w:rsidRPr="004C7BAE">
        <w:rPr>
          <w:sz w:val="22"/>
          <w:szCs w:val="22"/>
          <w:lang w:val="sk-SK" w:bidi="si-LK"/>
        </w:rPr>
        <w:t>kreatinínom</w:t>
      </w:r>
      <w:proofErr w:type="spellEnd"/>
      <w:r w:rsidRPr="004C7BAE">
        <w:rPr>
          <w:sz w:val="22"/>
          <w:szCs w:val="22"/>
          <w:lang w:val="sk-SK" w:bidi="si-LK"/>
        </w:rPr>
        <w:t xml:space="preserve"> &gt; 5 mg/dl. </w:t>
      </w:r>
    </w:p>
    <w:p w14:paraId="1575AE17" w14:textId="77777777" w:rsidR="00BA5AFA" w:rsidRDefault="00BA5AFA">
      <w:pPr>
        <w:tabs>
          <w:tab w:val="left" w:pos="2268"/>
        </w:tabs>
        <w:rPr>
          <w:sz w:val="22"/>
          <w:szCs w:val="22"/>
          <w:lang w:val="sk-SK" w:bidi="si-LK"/>
        </w:rPr>
      </w:pPr>
    </w:p>
    <w:p w14:paraId="5EA452D7" w14:textId="77777777" w:rsidR="001E6592" w:rsidRPr="00FB7812" w:rsidRDefault="00BB1FEE" w:rsidP="001E6592">
      <w:pPr>
        <w:keepNext/>
        <w:keepLines/>
        <w:rPr>
          <w:i/>
          <w:sz w:val="22"/>
          <w:szCs w:val="22"/>
          <w:lang w:val="sk-SK"/>
        </w:rPr>
      </w:pPr>
      <w:r w:rsidRPr="00FB7812">
        <w:rPr>
          <w:i/>
          <w:sz w:val="22"/>
          <w:szCs w:val="22"/>
          <w:lang w:val="sk-SK"/>
        </w:rPr>
        <w:lastRenderedPageBreak/>
        <w:t>Pediatrická populácia</w:t>
      </w:r>
    </w:p>
    <w:p w14:paraId="610ADB91" w14:textId="77777777" w:rsidR="001E6592" w:rsidRPr="00FB7812" w:rsidRDefault="00BB1FEE" w:rsidP="001E6592">
      <w:pPr>
        <w:tabs>
          <w:tab w:val="left" w:pos="2268"/>
        </w:tabs>
        <w:rPr>
          <w:sz w:val="22"/>
          <w:szCs w:val="22"/>
          <w:lang w:val="sk-SK"/>
        </w:rPr>
      </w:pPr>
      <w:r w:rsidRPr="00FB7812">
        <w:rPr>
          <w:sz w:val="22"/>
          <w:szCs w:val="22"/>
          <w:lang w:val="sk-SK"/>
        </w:rPr>
        <w:t xml:space="preserve">Bezpečnosť a účinnosť </w:t>
      </w:r>
      <w:proofErr w:type="spellStart"/>
      <w:r w:rsidRPr="00FB7812">
        <w:rPr>
          <w:sz w:val="22"/>
          <w:szCs w:val="22"/>
          <w:lang w:val="sk-SK"/>
        </w:rPr>
        <w:t>epirubicínu</w:t>
      </w:r>
      <w:proofErr w:type="spellEnd"/>
      <w:r w:rsidRPr="00FB7812">
        <w:rPr>
          <w:sz w:val="22"/>
          <w:szCs w:val="22"/>
          <w:lang w:val="sk-SK"/>
        </w:rPr>
        <w:t xml:space="preserve"> u detí neboli doteraz stanovené.</w:t>
      </w:r>
    </w:p>
    <w:p w14:paraId="7896453B" w14:textId="77777777" w:rsidR="001E6592" w:rsidRPr="00FB7812" w:rsidRDefault="001E6592" w:rsidP="001E6592">
      <w:pPr>
        <w:tabs>
          <w:tab w:val="left" w:pos="2268"/>
        </w:tabs>
        <w:rPr>
          <w:sz w:val="22"/>
          <w:szCs w:val="22"/>
          <w:lang w:val="sk-SK"/>
        </w:rPr>
      </w:pPr>
    </w:p>
    <w:p w14:paraId="37EAD66E" w14:textId="77777777" w:rsidR="00A31E63" w:rsidRPr="00FB7812" w:rsidRDefault="00BB1FEE" w:rsidP="00FB7812">
      <w:pPr>
        <w:keepNext/>
        <w:keepLines/>
        <w:rPr>
          <w:sz w:val="22"/>
          <w:szCs w:val="22"/>
          <w:u w:val="single"/>
          <w:lang w:val="sk-SK"/>
        </w:rPr>
      </w:pPr>
      <w:r w:rsidRPr="00FB7812">
        <w:rPr>
          <w:sz w:val="22"/>
          <w:szCs w:val="22"/>
          <w:u w:val="single"/>
          <w:lang w:val="sk-SK"/>
        </w:rPr>
        <w:t>Spôsob podávania</w:t>
      </w:r>
    </w:p>
    <w:p w14:paraId="47310650" w14:textId="77777777" w:rsidR="00A31E63" w:rsidRPr="00FB7812" w:rsidRDefault="00A31E63" w:rsidP="00FB7812">
      <w:pPr>
        <w:keepNext/>
        <w:keepLines/>
        <w:rPr>
          <w:i/>
          <w:sz w:val="22"/>
          <w:szCs w:val="22"/>
          <w:lang w:val="sk-SK"/>
        </w:rPr>
      </w:pPr>
    </w:p>
    <w:p w14:paraId="3ECC086C" w14:textId="77777777" w:rsidR="001E6592" w:rsidRPr="00FB7812" w:rsidRDefault="00BB1FEE" w:rsidP="001E6592">
      <w:pPr>
        <w:keepNext/>
        <w:keepLines/>
        <w:rPr>
          <w:sz w:val="22"/>
          <w:szCs w:val="22"/>
          <w:lang w:val="sk-SK"/>
        </w:rPr>
      </w:pPr>
      <w:proofErr w:type="spellStart"/>
      <w:r w:rsidRPr="00FB7812">
        <w:rPr>
          <w:sz w:val="22"/>
          <w:szCs w:val="22"/>
          <w:lang w:val="sk-SK"/>
        </w:rPr>
        <w:t>Epirubicín</w:t>
      </w:r>
      <w:proofErr w:type="spellEnd"/>
      <w:r w:rsidRPr="00FB7812">
        <w:rPr>
          <w:sz w:val="22"/>
          <w:szCs w:val="22"/>
          <w:lang w:val="sk-SK"/>
        </w:rPr>
        <w:t xml:space="preserve"> je určený len na intravenózne alebo </w:t>
      </w:r>
      <w:proofErr w:type="spellStart"/>
      <w:r w:rsidRPr="00FB7812">
        <w:rPr>
          <w:sz w:val="22"/>
          <w:szCs w:val="22"/>
          <w:lang w:val="sk-SK"/>
        </w:rPr>
        <w:t>intravezikálne</w:t>
      </w:r>
      <w:proofErr w:type="spellEnd"/>
      <w:r w:rsidRPr="00FB7812">
        <w:rPr>
          <w:sz w:val="22"/>
          <w:szCs w:val="22"/>
          <w:lang w:val="sk-SK"/>
        </w:rPr>
        <w:t xml:space="preserve"> použitie. </w:t>
      </w:r>
    </w:p>
    <w:p w14:paraId="346BFD83" w14:textId="77777777" w:rsidR="001E6592" w:rsidRPr="00FB7812" w:rsidRDefault="001E6592" w:rsidP="001E6592">
      <w:pPr>
        <w:rPr>
          <w:b/>
          <w:sz w:val="22"/>
          <w:szCs w:val="22"/>
          <w:lang w:val="sk-SK"/>
        </w:rPr>
      </w:pPr>
    </w:p>
    <w:p w14:paraId="2DE9621C" w14:textId="77777777" w:rsidR="001E6592" w:rsidRPr="00FB7812" w:rsidRDefault="00BB1FEE" w:rsidP="001E6592">
      <w:pPr>
        <w:keepNext/>
        <w:keepLines/>
        <w:rPr>
          <w:i/>
          <w:sz w:val="22"/>
          <w:szCs w:val="22"/>
          <w:lang w:val="sk-SK"/>
        </w:rPr>
      </w:pPr>
      <w:r w:rsidRPr="00FB7812">
        <w:rPr>
          <w:i/>
          <w:sz w:val="22"/>
          <w:szCs w:val="22"/>
          <w:lang w:val="sk-SK"/>
        </w:rPr>
        <w:t>Intravenózne podávanie</w:t>
      </w:r>
    </w:p>
    <w:p w14:paraId="6D6585A4" w14:textId="77777777" w:rsidR="001E6592" w:rsidRPr="00FB7812" w:rsidRDefault="00BB1FEE" w:rsidP="001E6592">
      <w:pPr>
        <w:keepNext/>
        <w:keepLines/>
        <w:rPr>
          <w:sz w:val="22"/>
          <w:szCs w:val="22"/>
          <w:lang w:val="sk-SK"/>
        </w:rPr>
      </w:pPr>
      <w:r w:rsidRPr="00FB7812">
        <w:rPr>
          <w:sz w:val="22"/>
          <w:szCs w:val="22"/>
          <w:lang w:val="sk-SK"/>
        </w:rPr>
        <w:t xml:space="preserve">Odporúča sa podávať </w:t>
      </w:r>
      <w:proofErr w:type="spellStart"/>
      <w:r w:rsidRPr="00FB7812">
        <w:rPr>
          <w:sz w:val="22"/>
          <w:szCs w:val="22"/>
          <w:lang w:val="sk-SK"/>
        </w:rPr>
        <w:t>epirubicín</w:t>
      </w:r>
      <w:proofErr w:type="spellEnd"/>
      <w:r w:rsidRPr="00FB7812">
        <w:rPr>
          <w:sz w:val="22"/>
          <w:szCs w:val="22"/>
          <w:lang w:val="sk-SK"/>
        </w:rPr>
        <w:t xml:space="preserve"> cez hadičku na voľne </w:t>
      </w:r>
      <w:proofErr w:type="spellStart"/>
      <w:r w:rsidRPr="00FB7812">
        <w:rPr>
          <w:sz w:val="22"/>
          <w:szCs w:val="22"/>
          <w:lang w:val="sk-SK"/>
        </w:rPr>
        <w:t>prúdiacu</w:t>
      </w:r>
      <w:proofErr w:type="spellEnd"/>
      <w:r w:rsidRPr="00FB7812">
        <w:rPr>
          <w:sz w:val="22"/>
          <w:szCs w:val="22"/>
          <w:lang w:val="sk-SK"/>
        </w:rPr>
        <w:t xml:space="preserve"> intravenóznu infúziu chloridu sodného 9 mg/ml (0,9 %) po skontrolovaní, či je ihla náležite zavedená do žily. Je potrebná opatrnosť, aby sa predišlo </w:t>
      </w:r>
      <w:proofErr w:type="spellStart"/>
      <w:r w:rsidRPr="00FB7812">
        <w:rPr>
          <w:sz w:val="22"/>
          <w:szCs w:val="22"/>
          <w:lang w:val="sk-SK"/>
        </w:rPr>
        <w:t>extravazácii</w:t>
      </w:r>
      <w:proofErr w:type="spellEnd"/>
      <w:r w:rsidRPr="00FB7812">
        <w:rPr>
          <w:sz w:val="22"/>
          <w:szCs w:val="22"/>
          <w:lang w:val="sk-SK"/>
        </w:rPr>
        <w:t xml:space="preserve"> (pozri časť 4.4). V prípade </w:t>
      </w:r>
      <w:proofErr w:type="spellStart"/>
      <w:r w:rsidRPr="00FB7812">
        <w:rPr>
          <w:sz w:val="22"/>
          <w:szCs w:val="22"/>
          <w:lang w:val="sk-SK"/>
        </w:rPr>
        <w:t>extravazácie</w:t>
      </w:r>
      <w:proofErr w:type="spellEnd"/>
      <w:r w:rsidRPr="00FB7812">
        <w:rPr>
          <w:sz w:val="22"/>
          <w:szCs w:val="22"/>
          <w:lang w:val="sk-SK"/>
        </w:rPr>
        <w:t xml:space="preserve"> sa má podávanie okamžite zastaviť. </w:t>
      </w:r>
    </w:p>
    <w:p w14:paraId="6AC4CAA1" w14:textId="77777777" w:rsidR="001E6592" w:rsidRPr="004C7BAE" w:rsidRDefault="001E6592">
      <w:pPr>
        <w:tabs>
          <w:tab w:val="left" w:pos="2268"/>
        </w:tabs>
        <w:rPr>
          <w:sz w:val="22"/>
          <w:szCs w:val="22"/>
          <w:lang w:val="sk-SK" w:bidi="si-LK"/>
        </w:rPr>
      </w:pPr>
    </w:p>
    <w:p w14:paraId="1A9E6B9E" w14:textId="77777777" w:rsidR="00BA5AFA" w:rsidRPr="004C7BAE" w:rsidRDefault="002418A6">
      <w:pPr>
        <w:outlineLvl w:val="0"/>
        <w:rPr>
          <w:bCs/>
          <w:i/>
          <w:sz w:val="22"/>
          <w:szCs w:val="22"/>
          <w:lang w:val="sk-SK" w:bidi="si-LK"/>
        </w:rPr>
      </w:pPr>
      <w:proofErr w:type="spellStart"/>
      <w:r w:rsidRPr="004C7BAE">
        <w:rPr>
          <w:bCs/>
          <w:i/>
          <w:sz w:val="22"/>
          <w:szCs w:val="22"/>
          <w:lang w:val="sk-SK" w:bidi="si-LK"/>
        </w:rPr>
        <w:t>Intravezikálne</w:t>
      </w:r>
      <w:proofErr w:type="spellEnd"/>
      <w:r w:rsidRPr="004C7BAE">
        <w:rPr>
          <w:bCs/>
          <w:i/>
          <w:sz w:val="22"/>
          <w:szCs w:val="22"/>
          <w:lang w:val="sk-SK" w:bidi="si-LK"/>
        </w:rPr>
        <w:t xml:space="preserve"> podávanie</w:t>
      </w:r>
    </w:p>
    <w:p w14:paraId="4A9339E1" w14:textId="1EFA4C69" w:rsidR="00BA5AFA" w:rsidRPr="004C7BAE" w:rsidRDefault="002418A6">
      <w:pPr>
        <w:tabs>
          <w:tab w:val="left" w:pos="2268"/>
        </w:tabs>
        <w:rPr>
          <w:sz w:val="22"/>
          <w:szCs w:val="22"/>
          <w:lang w:val="sk-SK" w:bidi="si-LK"/>
        </w:rPr>
      </w:pPr>
      <w:proofErr w:type="spellStart"/>
      <w:r w:rsidRPr="004C7BAE">
        <w:rPr>
          <w:sz w:val="22"/>
          <w:szCs w:val="22"/>
          <w:lang w:val="sk-SK" w:bidi="si-LK"/>
        </w:rPr>
        <w:t>Epirubicín</w:t>
      </w:r>
      <w:proofErr w:type="spellEnd"/>
      <w:r w:rsidRPr="004C7BAE">
        <w:rPr>
          <w:sz w:val="22"/>
          <w:szCs w:val="22"/>
          <w:lang w:val="sk-SK" w:bidi="si-LK"/>
        </w:rPr>
        <w:t xml:space="preserve"> sa môže podávať </w:t>
      </w:r>
      <w:proofErr w:type="spellStart"/>
      <w:r w:rsidRPr="004C7BAE">
        <w:rPr>
          <w:sz w:val="22"/>
          <w:szCs w:val="22"/>
          <w:lang w:val="sk-SK" w:bidi="si-LK"/>
        </w:rPr>
        <w:t>intravezikálnym</w:t>
      </w:r>
      <w:proofErr w:type="spellEnd"/>
      <w:r w:rsidRPr="004C7BAE">
        <w:rPr>
          <w:sz w:val="22"/>
          <w:szCs w:val="22"/>
          <w:lang w:val="sk-SK" w:bidi="si-LK"/>
        </w:rPr>
        <w:t xml:space="preserve"> spôsobom na liečbu povrchového karcinómu močového mechúra a karcinómu in situ. Nemá sa podávať </w:t>
      </w:r>
      <w:proofErr w:type="spellStart"/>
      <w:r w:rsidRPr="004C7BAE">
        <w:rPr>
          <w:sz w:val="22"/>
          <w:szCs w:val="22"/>
          <w:lang w:val="sk-SK" w:bidi="si-LK"/>
        </w:rPr>
        <w:t>intravezikálne</w:t>
      </w:r>
      <w:proofErr w:type="spellEnd"/>
      <w:r w:rsidRPr="004C7BAE">
        <w:rPr>
          <w:sz w:val="22"/>
          <w:szCs w:val="22"/>
          <w:lang w:val="sk-SK" w:bidi="si-LK"/>
        </w:rPr>
        <w:t xml:space="preserve"> na liečbu invazívnych nádorov, ktoré prenikli do steny mechúra</w:t>
      </w:r>
      <w:r w:rsidR="001E6592">
        <w:rPr>
          <w:sz w:val="22"/>
          <w:szCs w:val="22"/>
          <w:lang w:val="sk-SK" w:bidi="si-LK"/>
        </w:rPr>
        <w:t>. S</w:t>
      </w:r>
      <w:r w:rsidRPr="004C7BAE">
        <w:rPr>
          <w:sz w:val="22"/>
          <w:szCs w:val="22"/>
          <w:lang w:val="sk-SK" w:bidi="si-LK"/>
        </w:rPr>
        <w:t xml:space="preserve">ystémová terapia alebo chirurgický zákrok sú v týchto situáciách oveľa vhodnejšie (pozri časť 4.3). </w:t>
      </w:r>
      <w:proofErr w:type="spellStart"/>
      <w:r w:rsidRPr="004C7BAE">
        <w:rPr>
          <w:sz w:val="22"/>
          <w:szCs w:val="22"/>
          <w:lang w:val="sk-SK" w:bidi="si-LK"/>
        </w:rPr>
        <w:t>Epirubicín</w:t>
      </w:r>
      <w:proofErr w:type="spellEnd"/>
      <w:r w:rsidRPr="004C7BAE">
        <w:rPr>
          <w:sz w:val="22"/>
          <w:szCs w:val="22"/>
          <w:lang w:val="sk-SK" w:bidi="si-LK"/>
        </w:rPr>
        <w:t xml:space="preserve"> sa </w:t>
      </w:r>
      <w:proofErr w:type="spellStart"/>
      <w:r w:rsidRPr="004C7BAE">
        <w:rPr>
          <w:sz w:val="22"/>
          <w:szCs w:val="22"/>
          <w:lang w:val="sk-SK" w:bidi="si-LK"/>
        </w:rPr>
        <w:t>intravezikálne</w:t>
      </w:r>
      <w:proofErr w:type="spellEnd"/>
      <w:r w:rsidRPr="004C7BAE">
        <w:rPr>
          <w:sz w:val="22"/>
          <w:szCs w:val="22"/>
          <w:lang w:val="sk-SK" w:bidi="si-LK"/>
        </w:rPr>
        <w:t xml:space="preserve"> tiež úspešne používa ako profylaktický liek po </w:t>
      </w:r>
      <w:proofErr w:type="spellStart"/>
      <w:r w:rsidRPr="004C7BAE">
        <w:rPr>
          <w:sz w:val="22"/>
          <w:szCs w:val="22"/>
          <w:lang w:val="sk-SK" w:bidi="si-LK"/>
        </w:rPr>
        <w:t>transuretrálnej</w:t>
      </w:r>
      <w:proofErr w:type="spellEnd"/>
      <w:r w:rsidRPr="004C7BAE">
        <w:rPr>
          <w:sz w:val="22"/>
          <w:szCs w:val="22"/>
          <w:lang w:val="sk-SK" w:bidi="si-LK"/>
        </w:rPr>
        <w:t xml:space="preserve"> resekcii povrchových nádorov na prevenciu proti opakovanému výskytu. </w:t>
      </w:r>
    </w:p>
    <w:p w14:paraId="0D205065" w14:textId="77777777" w:rsidR="00BA5AFA" w:rsidRPr="004C7BAE" w:rsidRDefault="00BA5AFA">
      <w:pPr>
        <w:tabs>
          <w:tab w:val="left" w:pos="2268"/>
        </w:tabs>
        <w:rPr>
          <w:sz w:val="22"/>
          <w:szCs w:val="22"/>
          <w:lang w:val="sk-SK" w:bidi="si-LK"/>
        </w:rPr>
      </w:pPr>
    </w:p>
    <w:p w14:paraId="2BB8FC7F" w14:textId="77777777" w:rsidR="00BA5AFA" w:rsidRPr="004C7BAE" w:rsidRDefault="002418A6">
      <w:pPr>
        <w:tabs>
          <w:tab w:val="left" w:pos="2268"/>
        </w:tabs>
        <w:rPr>
          <w:sz w:val="22"/>
          <w:szCs w:val="22"/>
          <w:lang w:val="sk-SK" w:bidi="si-LK"/>
        </w:rPr>
      </w:pPr>
      <w:r w:rsidRPr="004C7BAE">
        <w:rPr>
          <w:sz w:val="22"/>
          <w:szCs w:val="22"/>
          <w:lang w:val="sk-SK" w:bidi="si-LK"/>
        </w:rPr>
        <w:t>Na liečbu povrchového karcinómu močového mechúra sa odporúča nasledovný spôsob podávania, s použitím nižšie uvedenej tabuľky riedenia:</w:t>
      </w:r>
    </w:p>
    <w:p w14:paraId="72BB6AC0" w14:textId="77777777" w:rsidR="001E6592" w:rsidRDefault="001E6592">
      <w:pPr>
        <w:tabs>
          <w:tab w:val="left" w:pos="2268"/>
        </w:tabs>
        <w:rPr>
          <w:sz w:val="22"/>
          <w:szCs w:val="22"/>
          <w:lang w:val="sk-SK" w:bidi="si-LK"/>
        </w:rPr>
      </w:pPr>
    </w:p>
    <w:p w14:paraId="1AFB470E" w14:textId="7FC24B57" w:rsidR="00BA5AFA" w:rsidRPr="004C7BAE" w:rsidRDefault="002418A6">
      <w:pPr>
        <w:tabs>
          <w:tab w:val="left" w:pos="2268"/>
        </w:tabs>
        <w:rPr>
          <w:sz w:val="22"/>
          <w:szCs w:val="22"/>
          <w:lang w:val="sk-SK" w:bidi="si-LK"/>
        </w:rPr>
      </w:pPr>
      <w:r w:rsidRPr="004C7BAE">
        <w:rPr>
          <w:sz w:val="22"/>
          <w:szCs w:val="22"/>
          <w:lang w:val="sk-SK" w:bidi="si-LK"/>
        </w:rPr>
        <w:t>8</w:t>
      </w:r>
      <w:r w:rsidR="00635BF4">
        <w:rPr>
          <w:sz w:val="22"/>
          <w:szCs w:val="22"/>
          <w:lang w:val="sk-SK" w:bidi="si-LK"/>
        </w:rPr>
        <w:t> </w:t>
      </w:r>
      <w:r w:rsidRPr="004C7BAE">
        <w:rPr>
          <w:sz w:val="22"/>
          <w:szCs w:val="22"/>
          <w:lang w:val="sk-SK" w:bidi="si-LK"/>
        </w:rPr>
        <w:t xml:space="preserve">týždňová </w:t>
      </w:r>
      <w:proofErr w:type="spellStart"/>
      <w:r w:rsidRPr="004C7BAE">
        <w:rPr>
          <w:sz w:val="22"/>
          <w:szCs w:val="22"/>
          <w:lang w:val="sk-SK" w:bidi="si-LK"/>
        </w:rPr>
        <w:t>instilácia</w:t>
      </w:r>
      <w:proofErr w:type="spellEnd"/>
      <w:r w:rsidRPr="004C7BAE">
        <w:rPr>
          <w:sz w:val="22"/>
          <w:szCs w:val="22"/>
          <w:lang w:val="sk-SK" w:bidi="si-LK"/>
        </w:rPr>
        <w:t xml:space="preserve"> 50 mg/ 50 ml (riedené </w:t>
      </w:r>
      <w:r w:rsidR="00ED6E24" w:rsidRPr="00F76C16">
        <w:rPr>
          <w:sz w:val="22"/>
          <w:szCs w:val="22"/>
          <w:lang w:val="sk-SK"/>
        </w:rPr>
        <w:t>chlorid</w:t>
      </w:r>
      <w:r w:rsidR="001E6592" w:rsidRPr="00F76C16">
        <w:rPr>
          <w:sz w:val="22"/>
          <w:szCs w:val="22"/>
          <w:lang w:val="sk-SK"/>
        </w:rPr>
        <w:t>om sodným</w:t>
      </w:r>
      <w:r w:rsidR="00ED6E24" w:rsidRPr="00F76C16">
        <w:rPr>
          <w:sz w:val="22"/>
          <w:szCs w:val="22"/>
          <w:lang w:val="sk-SK"/>
        </w:rPr>
        <w:t> 9 mg/ml (0</w:t>
      </w:r>
      <w:r w:rsidR="001E6592" w:rsidRPr="00F76C16">
        <w:rPr>
          <w:sz w:val="22"/>
          <w:szCs w:val="22"/>
          <w:lang w:val="sk-SK"/>
        </w:rPr>
        <w:t>,</w:t>
      </w:r>
      <w:r w:rsidR="00ED6E24" w:rsidRPr="00F76C16">
        <w:rPr>
          <w:sz w:val="22"/>
          <w:szCs w:val="22"/>
          <w:lang w:val="sk-SK"/>
        </w:rPr>
        <w:t>9 %)</w:t>
      </w:r>
      <w:r w:rsidRPr="004C7BAE">
        <w:rPr>
          <w:sz w:val="22"/>
          <w:szCs w:val="22"/>
          <w:lang w:val="sk-SK" w:bidi="si-LK"/>
        </w:rPr>
        <w:t xml:space="preserve"> alebo vodou na injekciu). </w:t>
      </w:r>
    </w:p>
    <w:p w14:paraId="34E1AEF1" w14:textId="77777777" w:rsidR="00BA5AFA" w:rsidRPr="004C7BAE" w:rsidRDefault="002418A6">
      <w:pPr>
        <w:tabs>
          <w:tab w:val="left" w:pos="2268"/>
        </w:tabs>
        <w:rPr>
          <w:sz w:val="22"/>
          <w:szCs w:val="22"/>
          <w:lang w:val="sk-SK" w:bidi="si-LK"/>
        </w:rPr>
      </w:pPr>
      <w:r w:rsidRPr="004C7BAE">
        <w:rPr>
          <w:sz w:val="22"/>
          <w:szCs w:val="22"/>
          <w:lang w:val="sk-SK" w:bidi="si-LK"/>
        </w:rPr>
        <w:t>Ak sa spozoruje lokálna toxicita: Odporúča sa zníženie dávky na 30 mg/ 50 ml.</w:t>
      </w:r>
    </w:p>
    <w:p w14:paraId="510118A2" w14:textId="77777777" w:rsidR="00BA5AFA" w:rsidRPr="004C7BAE" w:rsidRDefault="002418A6">
      <w:pPr>
        <w:tabs>
          <w:tab w:val="left" w:pos="2268"/>
        </w:tabs>
        <w:rPr>
          <w:sz w:val="22"/>
          <w:szCs w:val="22"/>
          <w:lang w:val="sk-SK" w:bidi="si-LK"/>
        </w:rPr>
      </w:pPr>
      <w:r w:rsidRPr="004C7BAE">
        <w:rPr>
          <w:sz w:val="22"/>
          <w:szCs w:val="22"/>
          <w:lang w:val="sk-SK" w:bidi="si-LK"/>
        </w:rPr>
        <w:t>Karcinóm in situ: Až do 80 mg/ 50 ml (v závislosti od individuálnej znášanlivosti pacienta)</w:t>
      </w:r>
      <w:r w:rsidR="00660307">
        <w:rPr>
          <w:sz w:val="22"/>
          <w:szCs w:val="22"/>
          <w:lang w:val="sk-SK" w:bidi="si-LK"/>
        </w:rPr>
        <w:t>.</w:t>
      </w:r>
    </w:p>
    <w:p w14:paraId="321AEAD3" w14:textId="77777777" w:rsidR="00BA5AFA" w:rsidRPr="004C7BAE" w:rsidRDefault="002418A6">
      <w:pPr>
        <w:tabs>
          <w:tab w:val="left" w:pos="2268"/>
        </w:tabs>
        <w:rPr>
          <w:sz w:val="22"/>
          <w:szCs w:val="22"/>
          <w:lang w:val="sk-SK" w:bidi="si-LK"/>
        </w:rPr>
      </w:pPr>
      <w:r w:rsidRPr="004C7BAE">
        <w:rPr>
          <w:sz w:val="22"/>
          <w:szCs w:val="22"/>
          <w:lang w:val="sk-SK" w:bidi="si-LK"/>
        </w:rPr>
        <w:t xml:space="preserve">Pre profylaxiu: 4 týždňové podávanie 50 mg/ 50 ml nasledované 11 mesačnou </w:t>
      </w:r>
      <w:proofErr w:type="spellStart"/>
      <w:r w:rsidRPr="004C7BAE">
        <w:rPr>
          <w:sz w:val="22"/>
          <w:szCs w:val="22"/>
          <w:lang w:val="sk-SK" w:bidi="si-LK"/>
        </w:rPr>
        <w:t>instiláciou</w:t>
      </w:r>
      <w:proofErr w:type="spellEnd"/>
      <w:r w:rsidRPr="004C7BAE">
        <w:rPr>
          <w:sz w:val="22"/>
          <w:szCs w:val="22"/>
          <w:lang w:val="sk-SK" w:bidi="si-LK"/>
        </w:rPr>
        <w:t xml:space="preserve"> rovnakej dávky. </w:t>
      </w:r>
    </w:p>
    <w:p w14:paraId="4DAF70AD" w14:textId="77777777" w:rsidR="00BA5AFA" w:rsidRPr="004C7BAE" w:rsidRDefault="00BA5AFA">
      <w:pPr>
        <w:tabs>
          <w:tab w:val="left" w:pos="2268"/>
        </w:tabs>
        <w:rPr>
          <w:sz w:val="22"/>
          <w:szCs w:val="22"/>
          <w:lang w:val="sk-SK" w:bidi="si-LK"/>
        </w:rPr>
      </w:pPr>
    </w:p>
    <w:p w14:paraId="5E827663" w14:textId="5BD14E81" w:rsidR="00BA5AFA" w:rsidRPr="004C7BAE" w:rsidRDefault="002418A6">
      <w:pPr>
        <w:outlineLvl w:val="0"/>
        <w:rPr>
          <w:b/>
          <w:bCs/>
          <w:sz w:val="22"/>
          <w:szCs w:val="22"/>
          <w:lang w:val="sk-SK" w:bidi="si-LK"/>
        </w:rPr>
      </w:pPr>
      <w:r w:rsidRPr="004C7BAE">
        <w:rPr>
          <w:b/>
          <w:bCs/>
          <w:sz w:val="22"/>
          <w:szCs w:val="22"/>
          <w:lang w:val="sk-SK" w:bidi="si-LK"/>
        </w:rPr>
        <w:t>T</w:t>
      </w:r>
      <w:r w:rsidR="00660307">
        <w:rPr>
          <w:b/>
          <w:bCs/>
          <w:sz w:val="22"/>
          <w:szCs w:val="22"/>
          <w:lang w:val="sk-SK" w:bidi="si-LK"/>
        </w:rPr>
        <w:t xml:space="preserve">abuľka riedenia pre </w:t>
      </w:r>
      <w:proofErr w:type="spellStart"/>
      <w:r w:rsidR="00660307">
        <w:rPr>
          <w:b/>
          <w:bCs/>
          <w:sz w:val="22"/>
          <w:szCs w:val="22"/>
          <w:lang w:val="sk-SK" w:bidi="si-LK"/>
        </w:rPr>
        <w:t>instilačné</w:t>
      </w:r>
      <w:proofErr w:type="spellEnd"/>
      <w:r w:rsidR="00660307">
        <w:rPr>
          <w:b/>
          <w:bCs/>
          <w:sz w:val="22"/>
          <w:szCs w:val="22"/>
          <w:lang w:val="sk-SK" w:bidi="si-LK"/>
        </w:rPr>
        <w:t xml:space="preserve"> roztoky do močového mechúra</w:t>
      </w:r>
    </w:p>
    <w:p w14:paraId="4E049020" w14:textId="77777777" w:rsidR="00BA5AFA" w:rsidRPr="004C7BAE" w:rsidRDefault="00BA5AFA">
      <w:pPr>
        <w:tabs>
          <w:tab w:val="left" w:pos="2268"/>
        </w:tabs>
        <w:jc w:val="center"/>
        <w:rPr>
          <w:sz w:val="22"/>
          <w:szCs w:val="22"/>
          <w:lang w:val="sk-SK" w:bidi="si-L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131"/>
        <w:gridCol w:w="2131"/>
      </w:tblGrid>
      <w:tr w:rsidR="00BA5AFA" w:rsidRPr="00C02BB6" w14:paraId="641C9ED0" w14:textId="77777777">
        <w:tc>
          <w:tcPr>
            <w:tcW w:w="1951" w:type="dxa"/>
          </w:tcPr>
          <w:p w14:paraId="201A0580" w14:textId="77777777" w:rsidR="00BA5AFA" w:rsidRPr="004C7BAE" w:rsidRDefault="002418A6">
            <w:pPr>
              <w:tabs>
                <w:tab w:val="left" w:pos="2268"/>
              </w:tabs>
              <w:jc w:val="center"/>
              <w:rPr>
                <w:sz w:val="22"/>
                <w:szCs w:val="22"/>
                <w:lang w:val="sk-SK" w:bidi="si-LK"/>
              </w:rPr>
            </w:pPr>
            <w:r w:rsidRPr="004C7BAE">
              <w:rPr>
                <w:sz w:val="22"/>
                <w:szCs w:val="22"/>
                <w:lang w:val="sk-SK" w:bidi="si-LK"/>
              </w:rPr>
              <w:t xml:space="preserve">Požadovaná dávka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p>
        </w:tc>
        <w:tc>
          <w:tcPr>
            <w:tcW w:w="2268" w:type="dxa"/>
          </w:tcPr>
          <w:p w14:paraId="2151CC3B" w14:textId="77777777" w:rsidR="00BA5AFA" w:rsidRPr="004C7BAE" w:rsidRDefault="002418A6">
            <w:pPr>
              <w:tabs>
                <w:tab w:val="left" w:pos="2268"/>
              </w:tabs>
              <w:jc w:val="center"/>
              <w:rPr>
                <w:sz w:val="22"/>
                <w:szCs w:val="22"/>
                <w:lang w:val="sk-SK" w:bidi="si-LK"/>
              </w:rPr>
            </w:pPr>
            <w:r w:rsidRPr="004C7BAE">
              <w:rPr>
                <w:sz w:val="22"/>
                <w:szCs w:val="22"/>
                <w:lang w:val="sk-SK" w:bidi="si-LK"/>
              </w:rPr>
              <w:t>Objem 2 mg/ml injekcie s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hydrochloridom</w:t>
            </w:r>
            <w:proofErr w:type="spellEnd"/>
          </w:p>
        </w:tc>
        <w:tc>
          <w:tcPr>
            <w:tcW w:w="2131" w:type="dxa"/>
          </w:tcPr>
          <w:p w14:paraId="5A14A6E8" w14:textId="77777777" w:rsidR="00BA5AFA" w:rsidRPr="004C7BAE" w:rsidRDefault="002418A6">
            <w:pPr>
              <w:tabs>
                <w:tab w:val="left" w:pos="2268"/>
              </w:tabs>
              <w:jc w:val="center"/>
              <w:rPr>
                <w:sz w:val="22"/>
                <w:szCs w:val="22"/>
                <w:lang w:val="sk-SK" w:bidi="si-LK"/>
              </w:rPr>
            </w:pPr>
            <w:r w:rsidRPr="004C7BAE">
              <w:rPr>
                <w:sz w:val="22"/>
                <w:szCs w:val="22"/>
                <w:lang w:val="sk-SK" w:bidi="si-LK"/>
              </w:rPr>
              <w:t>Objem riedenej vody na injekciu alebo 0,9 % sterilného fyziologického roztoku</w:t>
            </w:r>
          </w:p>
        </w:tc>
        <w:tc>
          <w:tcPr>
            <w:tcW w:w="2131" w:type="dxa"/>
          </w:tcPr>
          <w:p w14:paraId="65540A50" w14:textId="77777777" w:rsidR="00BA5AFA" w:rsidRPr="004C7BAE" w:rsidRDefault="002418A6">
            <w:pPr>
              <w:tabs>
                <w:tab w:val="left" w:pos="2268"/>
              </w:tabs>
              <w:jc w:val="center"/>
              <w:rPr>
                <w:sz w:val="22"/>
                <w:szCs w:val="22"/>
                <w:lang w:val="sk-SK" w:bidi="si-LK"/>
              </w:rPr>
            </w:pPr>
            <w:r w:rsidRPr="004C7BAE">
              <w:rPr>
                <w:sz w:val="22"/>
                <w:szCs w:val="22"/>
                <w:lang w:val="sk-SK" w:bidi="si-LK"/>
              </w:rPr>
              <w:t xml:space="preserve">Celkový objem pre </w:t>
            </w:r>
            <w:proofErr w:type="spellStart"/>
            <w:r w:rsidRPr="004C7BAE">
              <w:rPr>
                <w:sz w:val="22"/>
                <w:szCs w:val="22"/>
                <w:lang w:val="sk-SK" w:bidi="si-LK"/>
              </w:rPr>
              <w:t>instiláciu</w:t>
            </w:r>
            <w:proofErr w:type="spellEnd"/>
            <w:r w:rsidRPr="004C7BAE">
              <w:rPr>
                <w:sz w:val="22"/>
                <w:szCs w:val="22"/>
                <w:lang w:val="sk-SK" w:bidi="si-LK"/>
              </w:rPr>
              <w:t xml:space="preserve"> do mechúra</w:t>
            </w:r>
          </w:p>
        </w:tc>
      </w:tr>
      <w:tr w:rsidR="00BA5AFA" w:rsidRPr="004C7BAE" w14:paraId="62A3C584" w14:textId="77777777">
        <w:tc>
          <w:tcPr>
            <w:tcW w:w="1951" w:type="dxa"/>
          </w:tcPr>
          <w:p w14:paraId="39058627" w14:textId="77777777" w:rsidR="00BA5AFA" w:rsidRPr="004C7BAE" w:rsidRDefault="002418A6">
            <w:pPr>
              <w:tabs>
                <w:tab w:val="left" w:pos="2268"/>
              </w:tabs>
              <w:jc w:val="center"/>
              <w:rPr>
                <w:sz w:val="22"/>
                <w:szCs w:val="22"/>
                <w:lang w:val="sk-SK" w:bidi="si-LK"/>
              </w:rPr>
            </w:pPr>
            <w:r w:rsidRPr="004C7BAE">
              <w:rPr>
                <w:sz w:val="22"/>
                <w:szCs w:val="22"/>
                <w:lang w:val="sk-SK" w:bidi="si-LK"/>
              </w:rPr>
              <w:t>30 mg</w:t>
            </w:r>
          </w:p>
        </w:tc>
        <w:tc>
          <w:tcPr>
            <w:tcW w:w="2268" w:type="dxa"/>
          </w:tcPr>
          <w:p w14:paraId="23F851EC" w14:textId="77777777" w:rsidR="00BA5AFA" w:rsidRPr="004C7BAE" w:rsidRDefault="002418A6">
            <w:pPr>
              <w:tabs>
                <w:tab w:val="left" w:pos="2268"/>
              </w:tabs>
              <w:jc w:val="center"/>
              <w:rPr>
                <w:sz w:val="22"/>
                <w:szCs w:val="22"/>
                <w:lang w:val="sk-SK" w:bidi="si-LK"/>
              </w:rPr>
            </w:pPr>
            <w:r w:rsidRPr="004C7BAE">
              <w:rPr>
                <w:sz w:val="22"/>
                <w:szCs w:val="22"/>
                <w:lang w:val="sk-SK" w:bidi="si-LK"/>
              </w:rPr>
              <w:t>15 ml</w:t>
            </w:r>
          </w:p>
        </w:tc>
        <w:tc>
          <w:tcPr>
            <w:tcW w:w="2131" w:type="dxa"/>
          </w:tcPr>
          <w:p w14:paraId="086B96B7" w14:textId="77777777" w:rsidR="00BA5AFA" w:rsidRPr="004C7BAE" w:rsidRDefault="002418A6">
            <w:pPr>
              <w:tabs>
                <w:tab w:val="left" w:pos="2268"/>
              </w:tabs>
              <w:jc w:val="center"/>
              <w:rPr>
                <w:sz w:val="22"/>
                <w:szCs w:val="22"/>
                <w:lang w:val="sk-SK" w:bidi="si-LK"/>
              </w:rPr>
            </w:pPr>
            <w:r w:rsidRPr="004C7BAE">
              <w:rPr>
                <w:sz w:val="22"/>
                <w:szCs w:val="22"/>
                <w:lang w:val="sk-SK" w:bidi="si-LK"/>
              </w:rPr>
              <w:t>35 ml</w:t>
            </w:r>
          </w:p>
        </w:tc>
        <w:tc>
          <w:tcPr>
            <w:tcW w:w="2131" w:type="dxa"/>
          </w:tcPr>
          <w:p w14:paraId="2281A500" w14:textId="77777777" w:rsidR="00BA5AFA" w:rsidRPr="004C7BAE" w:rsidRDefault="002418A6">
            <w:pPr>
              <w:tabs>
                <w:tab w:val="left" w:pos="2268"/>
              </w:tabs>
              <w:jc w:val="center"/>
              <w:rPr>
                <w:sz w:val="22"/>
                <w:szCs w:val="22"/>
                <w:lang w:val="sk-SK" w:bidi="si-LK"/>
              </w:rPr>
            </w:pPr>
            <w:r w:rsidRPr="004C7BAE">
              <w:rPr>
                <w:sz w:val="22"/>
                <w:szCs w:val="22"/>
                <w:lang w:val="sk-SK" w:bidi="si-LK"/>
              </w:rPr>
              <w:t>50 ml</w:t>
            </w:r>
          </w:p>
        </w:tc>
      </w:tr>
      <w:tr w:rsidR="00BA5AFA" w:rsidRPr="004C7BAE" w14:paraId="58BA13B0" w14:textId="77777777">
        <w:tc>
          <w:tcPr>
            <w:tcW w:w="1951" w:type="dxa"/>
          </w:tcPr>
          <w:p w14:paraId="3FDD54F6" w14:textId="77777777" w:rsidR="00BA5AFA" w:rsidRPr="004C7BAE" w:rsidRDefault="002418A6">
            <w:pPr>
              <w:tabs>
                <w:tab w:val="left" w:pos="2268"/>
              </w:tabs>
              <w:jc w:val="center"/>
              <w:rPr>
                <w:sz w:val="22"/>
                <w:szCs w:val="22"/>
                <w:lang w:val="sk-SK" w:bidi="si-LK"/>
              </w:rPr>
            </w:pPr>
            <w:r w:rsidRPr="004C7BAE">
              <w:rPr>
                <w:sz w:val="22"/>
                <w:szCs w:val="22"/>
                <w:lang w:val="sk-SK" w:bidi="si-LK"/>
              </w:rPr>
              <w:t>50 mg</w:t>
            </w:r>
          </w:p>
        </w:tc>
        <w:tc>
          <w:tcPr>
            <w:tcW w:w="2268" w:type="dxa"/>
          </w:tcPr>
          <w:p w14:paraId="29112C72" w14:textId="77777777" w:rsidR="00BA5AFA" w:rsidRPr="004C7BAE" w:rsidRDefault="002418A6">
            <w:pPr>
              <w:tabs>
                <w:tab w:val="left" w:pos="2268"/>
              </w:tabs>
              <w:jc w:val="center"/>
              <w:rPr>
                <w:sz w:val="22"/>
                <w:szCs w:val="22"/>
                <w:lang w:val="sk-SK" w:bidi="si-LK"/>
              </w:rPr>
            </w:pPr>
            <w:r w:rsidRPr="004C7BAE">
              <w:rPr>
                <w:sz w:val="22"/>
                <w:szCs w:val="22"/>
                <w:lang w:val="sk-SK" w:bidi="si-LK"/>
              </w:rPr>
              <w:t>25 ml</w:t>
            </w:r>
          </w:p>
        </w:tc>
        <w:tc>
          <w:tcPr>
            <w:tcW w:w="2131" w:type="dxa"/>
          </w:tcPr>
          <w:p w14:paraId="12E2EB68" w14:textId="77777777" w:rsidR="00BA5AFA" w:rsidRPr="004C7BAE" w:rsidRDefault="002418A6">
            <w:pPr>
              <w:tabs>
                <w:tab w:val="left" w:pos="2268"/>
              </w:tabs>
              <w:jc w:val="center"/>
              <w:rPr>
                <w:sz w:val="22"/>
                <w:szCs w:val="22"/>
                <w:lang w:val="sk-SK" w:bidi="si-LK"/>
              </w:rPr>
            </w:pPr>
            <w:r w:rsidRPr="004C7BAE">
              <w:rPr>
                <w:sz w:val="22"/>
                <w:szCs w:val="22"/>
                <w:lang w:val="sk-SK" w:bidi="si-LK"/>
              </w:rPr>
              <w:t>25 ml</w:t>
            </w:r>
          </w:p>
        </w:tc>
        <w:tc>
          <w:tcPr>
            <w:tcW w:w="2131" w:type="dxa"/>
          </w:tcPr>
          <w:p w14:paraId="266DAE07" w14:textId="77777777" w:rsidR="00BA5AFA" w:rsidRPr="004C7BAE" w:rsidRDefault="002418A6">
            <w:pPr>
              <w:tabs>
                <w:tab w:val="left" w:pos="2268"/>
              </w:tabs>
              <w:jc w:val="center"/>
              <w:rPr>
                <w:sz w:val="22"/>
                <w:szCs w:val="22"/>
                <w:lang w:val="sk-SK" w:bidi="si-LK"/>
              </w:rPr>
            </w:pPr>
            <w:r w:rsidRPr="004C7BAE">
              <w:rPr>
                <w:sz w:val="22"/>
                <w:szCs w:val="22"/>
                <w:lang w:val="sk-SK" w:bidi="si-LK"/>
              </w:rPr>
              <w:t>50 ml</w:t>
            </w:r>
          </w:p>
        </w:tc>
      </w:tr>
      <w:tr w:rsidR="00BA5AFA" w:rsidRPr="004C7BAE" w14:paraId="7B0C4C79" w14:textId="77777777">
        <w:tc>
          <w:tcPr>
            <w:tcW w:w="1951" w:type="dxa"/>
          </w:tcPr>
          <w:p w14:paraId="75923C46" w14:textId="77777777" w:rsidR="00BA5AFA" w:rsidRPr="004C7BAE" w:rsidRDefault="002418A6">
            <w:pPr>
              <w:tabs>
                <w:tab w:val="left" w:pos="2268"/>
              </w:tabs>
              <w:jc w:val="center"/>
              <w:rPr>
                <w:sz w:val="22"/>
                <w:szCs w:val="22"/>
                <w:lang w:val="sk-SK" w:bidi="si-LK"/>
              </w:rPr>
            </w:pPr>
            <w:r w:rsidRPr="004C7BAE">
              <w:rPr>
                <w:sz w:val="22"/>
                <w:szCs w:val="22"/>
                <w:lang w:val="sk-SK" w:bidi="si-LK"/>
              </w:rPr>
              <w:t>80 mg</w:t>
            </w:r>
          </w:p>
        </w:tc>
        <w:tc>
          <w:tcPr>
            <w:tcW w:w="2268" w:type="dxa"/>
          </w:tcPr>
          <w:p w14:paraId="061F3482" w14:textId="77777777" w:rsidR="00BA5AFA" w:rsidRPr="004C7BAE" w:rsidRDefault="002418A6">
            <w:pPr>
              <w:tabs>
                <w:tab w:val="left" w:pos="2268"/>
              </w:tabs>
              <w:jc w:val="center"/>
              <w:rPr>
                <w:sz w:val="22"/>
                <w:szCs w:val="22"/>
                <w:lang w:val="sk-SK" w:bidi="si-LK"/>
              </w:rPr>
            </w:pPr>
            <w:r w:rsidRPr="004C7BAE">
              <w:rPr>
                <w:sz w:val="22"/>
                <w:szCs w:val="22"/>
                <w:lang w:val="sk-SK" w:bidi="si-LK"/>
              </w:rPr>
              <w:t>40 ml</w:t>
            </w:r>
          </w:p>
        </w:tc>
        <w:tc>
          <w:tcPr>
            <w:tcW w:w="2131" w:type="dxa"/>
          </w:tcPr>
          <w:p w14:paraId="762E0211" w14:textId="77777777" w:rsidR="00BA5AFA" w:rsidRPr="004C7BAE" w:rsidRDefault="002418A6">
            <w:pPr>
              <w:tabs>
                <w:tab w:val="left" w:pos="2268"/>
              </w:tabs>
              <w:jc w:val="center"/>
              <w:rPr>
                <w:sz w:val="22"/>
                <w:szCs w:val="22"/>
                <w:lang w:val="sk-SK" w:bidi="si-LK"/>
              </w:rPr>
            </w:pPr>
            <w:r w:rsidRPr="004C7BAE">
              <w:rPr>
                <w:sz w:val="22"/>
                <w:szCs w:val="22"/>
                <w:lang w:val="sk-SK" w:bidi="si-LK"/>
              </w:rPr>
              <w:t>10 ml</w:t>
            </w:r>
          </w:p>
        </w:tc>
        <w:tc>
          <w:tcPr>
            <w:tcW w:w="2131" w:type="dxa"/>
          </w:tcPr>
          <w:p w14:paraId="5E1231C5" w14:textId="77777777" w:rsidR="00BA5AFA" w:rsidRPr="004C7BAE" w:rsidRDefault="002418A6">
            <w:pPr>
              <w:tabs>
                <w:tab w:val="left" w:pos="2268"/>
              </w:tabs>
              <w:jc w:val="center"/>
              <w:rPr>
                <w:sz w:val="22"/>
                <w:szCs w:val="22"/>
                <w:lang w:val="sk-SK" w:bidi="si-LK"/>
              </w:rPr>
            </w:pPr>
            <w:r w:rsidRPr="004C7BAE">
              <w:rPr>
                <w:sz w:val="22"/>
                <w:szCs w:val="22"/>
                <w:lang w:val="sk-SK" w:bidi="si-LK"/>
              </w:rPr>
              <w:t>50 ml</w:t>
            </w:r>
          </w:p>
        </w:tc>
      </w:tr>
    </w:tbl>
    <w:p w14:paraId="21DEAC1B" w14:textId="77777777" w:rsidR="00BA5AFA" w:rsidRPr="004C7BAE" w:rsidRDefault="00BA5AFA">
      <w:pPr>
        <w:tabs>
          <w:tab w:val="left" w:pos="2268"/>
        </w:tabs>
        <w:jc w:val="center"/>
        <w:rPr>
          <w:sz w:val="22"/>
          <w:szCs w:val="22"/>
          <w:lang w:val="sk-SK" w:bidi="si-LK"/>
        </w:rPr>
      </w:pPr>
    </w:p>
    <w:p w14:paraId="3D6F3028" w14:textId="77777777" w:rsidR="00BA5AFA" w:rsidRPr="004C7BAE" w:rsidRDefault="002418A6">
      <w:pPr>
        <w:tabs>
          <w:tab w:val="left" w:pos="2268"/>
        </w:tabs>
        <w:rPr>
          <w:sz w:val="22"/>
          <w:szCs w:val="22"/>
          <w:lang w:val="sk-SK" w:bidi="si-LK"/>
        </w:rPr>
      </w:pPr>
      <w:r w:rsidRPr="004C7BAE">
        <w:rPr>
          <w:sz w:val="22"/>
          <w:szCs w:val="22"/>
          <w:lang w:val="sk-SK" w:bidi="si-LK"/>
        </w:rPr>
        <w:t xml:space="preserve">Roztok sa má podávať </w:t>
      </w:r>
      <w:proofErr w:type="spellStart"/>
      <w:r w:rsidRPr="004C7BAE">
        <w:rPr>
          <w:sz w:val="22"/>
          <w:szCs w:val="22"/>
          <w:lang w:val="sk-SK" w:bidi="si-LK"/>
        </w:rPr>
        <w:t>intravezikálne</w:t>
      </w:r>
      <w:proofErr w:type="spellEnd"/>
      <w:r w:rsidRPr="004C7BAE">
        <w:rPr>
          <w:sz w:val="22"/>
          <w:szCs w:val="22"/>
          <w:lang w:val="sk-SK" w:bidi="si-LK"/>
        </w:rPr>
        <w:t xml:space="preserve"> v priebehu 1 – 2 hodín. Aby sa zabránilo neželanému rozriedeniu s močom, pacient má byť poučený, aby nepil žiadne tekutiny 12 hodín pred </w:t>
      </w:r>
      <w:proofErr w:type="spellStart"/>
      <w:r w:rsidRPr="004C7BAE">
        <w:rPr>
          <w:sz w:val="22"/>
          <w:szCs w:val="22"/>
          <w:lang w:val="sk-SK" w:bidi="si-LK"/>
        </w:rPr>
        <w:t>instiláciou</w:t>
      </w:r>
      <w:proofErr w:type="spellEnd"/>
      <w:r w:rsidRPr="004C7BAE">
        <w:rPr>
          <w:sz w:val="22"/>
          <w:szCs w:val="22"/>
          <w:lang w:val="sk-SK" w:bidi="si-LK"/>
        </w:rPr>
        <w:t xml:space="preserve">. Počas </w:t>
      </w:r>
      <w:proofErr w:type="spellStart"/>
      <w:r w:rsidRPr="004C7BAE">
        <w:rPr>
          <w:sz w:val="22"/>
          <w:szCs w:val="22"/>
          <w:lang w:val="sk-SK" w:bidi="si-LK"/>
        </w:rPr>
        <w:t>instilácie</w:t>
      </w:r>
      <w:proofErr w:type="spellEnd"/>
      <w:r w:rsidRPr="004C7BAE">
        <w:rPr>
          <w:sz w:val="22"/>
          <w:szCs w:val="22"/>
          <w:lang w:val="sk-SK" w:bidi="si-LK"/>
        </w:rPr>
        <w:t xml:space="preserve"> sa má pacient príležitostne otáčať a má byť poučený, aby sa po ukončení </w:t>
      </w:r>
      <w:proofErr w:type="spellStart"/>
      <w:r w:rsidRPr="004C7BAE">
        <w:rPr>
          <w:sz w:val="22"/>
          <w:szCs w:val="22"/>
          <w:lang w:val="sk-SK" w:bidi="si-LK"/>
        </w:rPr>
        <w:t>instilačného</w:t>
      </w:r>
      <w:proofErr w:type="spellEnd"/>
      <w:r w:rsidRPr="004C7BAE">
        <w:rPr>
          <w:sz w:val="22"/>
          <w:szCs w:val="22"/>
          <w:lang w:val="sk-SK" w:bidi="si-LK"/>
        </w:rPr>
        <w:t xml:space="preserve"> času vymočil. </w:t>
      </w:r>
    </w:p>
    <w:p w14:paraId="6D974D77" w14:textId="77777777" w:rsidR="00BA5AFA" w:rsidRPr="004C7BAE" w:rsidRDefault="00BA5AFA">
      <w:pPr>
        <w:rPr>
          <w:sz w:val="22"/>
          <w:szCs w:val="22"/>
          <w:lang w:val="sk-SK" w:bidi="si-LK"/>
        </w:rPr>
      </w:pPr>
    </w:p>
    <w:p w14:paraId="6083AD63"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4.3</w:t>
      </w:r>
      <w:r w:rsidRPr="004C7BAE">
        <w:rPr>
          <w:b/>
          <w:bCs/>
          <w:sz w:val="22"/>
          <w:szCs w:val="22"/>
          <w:lang w:val="sk-SK" w:bidi="si-LK"/>
        </w:rPr>
        <w:tab/>
        <w:t>Kontraindikácie</w:t>
      </w:r>
    </w:p>
    <w:p w14:paraId="369FA32E" w14:textId="77777777" w:rsidR="00BA5AFA" w:rsidRPr="004C7BAE" w:rsidRDefault="00BA5AFA">
      <w:pPr>
        <w:rPr>
          <w:sz w:val="22"/>
          <w:szCs w:val="22"/>
          <w:lang w:val="sk-SK" w:bidi="si-LK"/>
        </w:rPr>
      </w:pPr>
    </w:p>
    <w:p w14:paraId="2543EAFD" w14:textId="77777777" w:rsidR="00BA5AFA" w:rsidRPr="004C7BAE" w:rsidRDefault="002418A6">
      <w:pPr>
        <w:rPr>
          <w:sz w:val="22"/>
          <w:szCs w:val="22"/>
          <w:lang w:val="sk-SK"/>
        </w:rPr>
      </w:pPr>
      <w:r w:rsidRPr="004C7BAE">
        <w:rPr>
          <w:sz w:val="22"/>
          <w:szCs w:val="22"/>
          <w:lang w:val="sk-SK"/>
        </w:rPr>
        <w:t xml:space="preserve">Precitlivenosť na liečivo (liečivá) alebo na </w:t>
      </w:r>
      <w:r w:rsidRPr="004C7BAE">
        <w:rPr>
          <w:noProof/>
          <w:sz w:val="22"/>
          <w:szCs w:val="22"/>
          <w:lang w:val="sk-SK"/>
        </w:rPr>
        <w:t>ktorúkoľvek</w:t>
      </w:r>
      <w:r w:rsidRPr="004C7BAE">
        <w:rPr>
          <w:sz w:val="22"/>
          <w:szCs w:val="22"/>
          <w:lang w:val="sk-SK"/>
        </w:rPr>
        <w:t xml:space="preserve"> z pomocných látok </w:t>
      </w:r>
      <w:r w:rsidRPr="004C7BAE">
        <w:rPr>
          <w:noProof/>
          <w:sz w:val="22"/>
          <w:szCs w:val="22"/>
          <w:lang w:val="sk-SK"/>
        </w:rPr>
        <w:t>uvedených v časti 6.1,</w:t>
      </w:r>
      <w:r w:rsidRPr="004C7BAE">
        <w:rPr>
          <w:sz w:val="22"/>
          <w:szCs w:val="22"/>
          <w:lang w:val="sk-SK"/>
        </w:rPr>
        <w:t xml:space="preserve"> alebo na iné </w:t>
      </w:r>
      <w:proofErr w:type="spellStart"/>
      <w:r w:rsidRPr="004C7BAE">
        <w:rPr>
          <w:sz w:val="22"/>
          <w:szCs w:val="22"/>
          <w:lang w:val="sk-SK"/>
        </w:rPr>
        <w:t>antracyklíny</w:t>
      </w:r>
      <w:proofErr w:type="spellEnd"/>
      <w:r w:rsidRPr="004C7BAE">
        <w:rPr>
          <w:sz w:val="22"/>
          <w:szCs w:val="22"/>
          <w:lang w:val="sk-SK"/>
        </w:rPr>
        <w:t xml:space="preserve"> alebo </w:t>
      </w:r>
      <w:proofErr w:type="spellStart"/>
      <w:r w:rsidRPr="004C7BAE">
        <w:rPr>
          <w:sz w:val="22"/>
          <w:szCs w:val="22"/>
          <w:lang w:val="sk-SK"/>
        </w:rPr>
        <w:t>antracéndiony</w:t>
      </w:r>
      <w:proofErr w:type="spellEnd"/>
      <w:r w:rsidRPr="004C7BAE">
        <w:rPr>
          <w:sz w:val="22"/>
          <w:szCs w:val="22"/>
          <w:lang w:val="sk-SK"/>
        </w:rPr>
        <w:t xml:space="preserve">. </w:t>
      </w:r>
    </w:p>
    <w:p w14:paraId="399AA621" w14:textId="77777777" w:rsidR="00BA5AFA" w:rsidRPr="004C7BAE" w:rsidRDefault="00BA5AFA">
      <w:pPr>
        <w:rPr>
          <w:sz w:val="22"/>
          <w:szCs w:val="22"/>
          <w:lang w:val="sk-SK"/>
        </w:rPr>
      </w:pPr>
    </w:p>
    <w:p w14:paraId="7CE41EFE" w14:textId="77777777" w:rsidR="00BA5AFA" w:rsidRPr="004C7BAE" w:rsidRDefault="002418A6">
      <w:pPr>
        <w:rPr>
          <w:sz w:val="22"/>
          <w:szCs w:val="22"/>
          <w:lang w:val="sk-SK"/>
        </w:rPr>
      </w:pPr>
      <w:r w:rsidRPr="004C7BAE">
        <w:rPr>
          <w:sz w:val="22"/>
          <w:szCs w:val="22"/>
          <w:lang w:val="sk-SK"/>
        </w:rPr>
        <w:t>Laktácia (pozri časť 4.6).</w:t>
      </w:r>
    </w:p>
    <w:p w14:paraId="568602C3" w14:textId="77777777" w:rsidR="00BA5AFA" w:rsidRPr="004C7BAE" w:rsidRDefault="00BA5AFA">
      <w:pPr>
        <w:rPr>
          <w:sz w:val="22"/>
          <w:szCs w:val="22"/>
          <w:lang w:val="sk-SK"/>
        </w:rPr>
      </w:pPr>
    </w:p>
    <w:p w14:paraId="6E24E2DB" w14:textId="07BD8C0D" w:rsidR="00BA5AFA" w:rsidRPr="004C7BAE" w:rsidRDefault="002418A6">
      <w:pPr>
        <w:keepNext/>
        <w:tabs>
          <w:tab w:val="left" w:pos="720"/>
        </w:tabs>
        <w:rPr>
          <w:sz w:val="22"/>
          <w:szCs w:val="22"/>
          <w:lang w:val="sk-SK"/>
        </w:rPr>
      </w:pPr>
      <w:r w:rsidRPr="004C7BAE">
        <w:rPr>
          <w:i/>
          <w:sz w:val="22"/>
          <w:szCs w:val="22"/>
          <w:lang w:val="sk-SK"/>
        </w:rPr>
        <w:t>Intravenózne použitie</w:t>
      </w:r>
    </w:p>
    <w:p w14:paraId="181FDA9B" w14:textId="77777777" w:rsidR="00BA5AFA" w:rsidRPr="004C7BAE" w:rsidRDefault="002418A6">
      <w:pPr>
        <w:numPr>
          <w:ilvl w:val="0"/>
          <w:numId w:val="37"/>
        </w:numPr>
        <w:tabs>
          <w:tab w:val="clear" w:pos="360"/>
          <w:tab w:val="num" w:pos="567"/>
        </w:tabs>
        <w:ind w:left="567" w:hanging="567"/>
        <w:rPr>
          <w:color w:val="000000"/>
          <w:sz w:val="22"/>
          <w:szCs w:val="22"/>
          <w:lang w:val="sk-SK"/>
        </w:rPr>
      </w:pPr>
      <w:proofErr w:type="spellStart"/>
      <w:r w:rsidRPr="004C7BAE">
        <w:rPr>
          <w:sz w:val="22"/>
          <w:szCs w:val="22"/>
          <w:lang w:val="sk-SK"/>
        </w:rPr>
        <w:t>perzistentná</w:t>
      </w:r>
      <w:proofErr w:type="spellEnd"/>
      <w:r w:rsidRPr="004C7BAE">
        <w:rPr>
          <w:sz w:val="22"/>
          <w:szCs w:val="22"/>
          <w:lang w:val="sk-SK"/>
        </w:rPr>
        <w:t xml:space="preserve"> </w:t>
      </w:r>
      <w:proofErr w:type="spellStart"/>
      <w:r w:rsidRPr="004C7BAE">
        <w:rPr>
          <w:sz w:val="22"/>
          <w:szCs w:val="22"/>
          <w:lang w:val="sk-SK"/>
        </w:rPr>
        <w:t>myelosupresia</w:t>
      </w:r>
      <w:proofErr w:type="spellEnd"/>
      <w:r w:rsidRPr="004C7BAE">
        <w:rPr>
          <w:sz w:val="22"/>
          <w:szCs w:val="22"/>
          <w:lang w:val="sk-SK"/>
        </w:rPr>
        <w:t xml:space="preserve"> </w:t>
      </w:r>
    </w:p>
    <w:p w14:paraId="19122748"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color w:val="000000"/>
          <w:sz w:val="22"/>
          <w:szCs w:val="22"/>
          <w:lang w:val="sk-SK"/>
        </w:rPr>
        <w:t>závažné poškodenie pečene</w:t>
      </w:r>
    </w:p>
    <w:p w14:paraId="6879A6C2"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color w:val="000000"/>
          <w:sz w:val="22"/>
          <w:szCs w:val="22"/>
          <w:lang w:val="sk-SK"/>
        </w:rPr>
        <w:t xml:space="preserve">závažná nedostatočnosť myokardu </w:t>
      </w:r>
    </w:p>
    <w:p w14:paraId="1DFF43C2"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color w:val="000000"/>
          <w:sz w:val="22"/>
          <w:szCs w:val="22"/>
          <w:lang w:val="sk-SK"/>
        </w:rPr>
        <w:lastRenderedPageBreak/>
        <w:t>nedávny infarkt myokardu</w:t>
      </w:r>
    </w:p>
    <w:p w14:paraId="64D736CD" w14:textId="77777777" w:rsidR="00BA5AFA" w:rsidRPr="004C7BAE" w:rsidRDefault="002418A6">
      <w:pPr>
        <w:numPr>
          <w:ilvl w:val="0"/>
          <w:numId w:val="37"/>
        </w:numPr>
        <w:tabs>
          <w:tab w:val="clear" w:pos="360"/>
          <w:tab w:val="num" w:pos="567"/>
        </w:tabs>
        <w:ind w:left="567" w:hanging="567"/>
        <w:rPr>
          <w:color w:val="000000"/>
          <w:sz w:val="22"/>
          <w:szCs w:val="22"/>
          <w:lang w:val="sk-SK"/>
        </w:rPr>
      </w:pPr>
      <w:r w:rsidRPr="004C7BAE">
        <w:rPr>
          <w:color w:val="000000"/>
          <w:sz w:val="22"/>
          <w:szCs w:val="22"/>
          <w:lang w:val="sk-SK"/>
        </w:rPr>
        <w:t xml:space="preserve">závažné </w:t>
      </w:r>
      <w:proofErr w:type="spellStart"/>
      <w:r w:rsidRPr="004C7BAE">
        <w:rPr>
          <w:color w:val="000000"/>
          <w:sz w:val="22"/>
          <w:szCs w:val="22"/>
          <w:lang w:val="sk-SK"/>
        </w:rPr>
        <w:t>arytmie</w:t>
      </w:r>
      <w:proofErr w:type="spellEnd"/>
    </w:p>
    <w:p w14:paraId="2F5E41B2"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 xml:space="preserve">liečba v minulosti s maximálnymi kumulatívnymi dávkami </w:t>
      </w:r>
      <w:proofErr w:type="spellStart"/>
      <w:r w:rsidRPr="004C7BAE">
        <w:rPr>
          <w:sz w:val="22"/>
          <w:szCs w:val="22"/>
          <w:lang w:val="sk-SK"/>
        </w:rPr>
        <w:t>epirubicínu</w:t>
      </w:r>
      <w:proofErr w:type="spellEnd"/>
      <w:r w:rsidRPr="004C7BAE">
        <w:rPr>
          <w:sz w:val="22"/>
          <w:szCs w:val="22"/>
          <w:lang w:val="sk-SK"/>
        </w:rPr>
        <w:t xml:space="preserve"> a/alebo iných </w:t>
      </w:r>
      <w:proofErr w:type="spellStart"/>
      <w:r w:rsidRPr="004C7BAE">
        <w:rPr>
          <w:sz w:val="22"/>
          <w:szCs w:val="22"/>
          <w:lang w:val="sk-SK"/>
        </w:rPr>
        <w:t>antracyklínov</w:t>
      </w:r>
      <w:proofErr w:type="spellEnd"/>
      <w:r w:rsidRPr="004C7BAE">
        <w:rPr>
          <w:sz w:val="22"/>
          <w:szCs w:val="22"/>
          <w:lang w:val="sk-SK"/>
        </w:rPr>
        <w:t xml:space="preserve"> a </w:t>
      </w:r>
      <w:proofErr w:type="spellStart"/>
      <w:r w:rsidRPr="004C7BAE">
        <w:rPr>
          <w:sz w:val="22"/>
          <w:szCs w:val="22"/>
          <w:lang w:val="sk-SK"/>
        </w:rPr>
        <w:t>antracéndionov</w:t>
      </w:r>
      <w:proofErr w:type="spellEnd"/>
      <w:r w:rsidRPr="004C7BAE">
        <w:rPr>
          <w:sz w:val="22"/>
          <w:szCs w:val="22"/>
          <w:lang w:val="sk-SK"/>
        </w:rPr>
        <w:t xml:space="preserve"> (pozri časť 4.4) </w:t>
      </w:r>
    </w:p>
    <w:p w14:paraId="4E0B20BB"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 xml:space="preserve">pacienti s akútnymi systémovými infekciami </w:t>
      </w:r>
    </w:p>
    <w:p w14:paraId="1BF38253"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 xml:space="preserve">nestabilná angína </w:t>
      </w:r>
      <w:proofErr w:type="spellStart"/>
      <w:r w:rsidRPr="004C7BAE">
        <w:rPr>
          <w:sz w:val="22"/>
          <w:szCs w:val="22"/>
          <w:lang w:val="sk-SK"/>
        </w:rPr>
        <w:t>pectoris</w:t>
      </w:r>
      <w:proofErr w:type="spellEnd"/>
    </w:p>
    <w:p w14:paraId="67DB5C34" w14:textId="77777777" w:rsidR="00BA5AFA" w:rsidRPr="004C7BAE" w:rsidRDefault="002418A6">
      <w:pPr>
        <w:numPr>
          <w:ilvl w:val="0"/>
          <w:numId w:val="37"/>
        </w:numPr>
        <w:tabs>
          <w:tab w:val="clear" w:pos="360"/>
          <w:tab w:val="num" w:pos="567"/>
        </w:tabs>
        <w:ind w:left="567" w:hanging="567"/>
        <w:rPr>
          <w:sz w:val="22"/>
          <w:szCs w:val="22"/>
          <w:lang w:val="sk-SK"/>
        </w:rPr>
      </w:pPr>
      <w:proofErr w:type="spellStart"/>
      <w:r w:rsidRPr="004C7BAE">
        <w:rPr>
          <w:sz w:val="22"/>
          <w:szCs w:val="22"/>
          <w:lang w:val="sk-SK"/>
        </w:rPr>
        <w:t>kardiomyopatia</w:t>
      </w:r>
      <w:proofErr w:type="spellEnd"/>
      <w:r w:rsidRPr="004C7BAE">
        <w:rPr>
          <w:sz w:val="22"/>
          <w:szCs w:val="22"/>
          <w:lang w:val="sk-SK"/>
        </w:rPr>
        <w:t xml:space="preserve"> </w:t>
      </w:r>
    </w:p>
    <w:p w14:paraId="656D1D9E" w14:textId="77777777" w:rsidR="00BA5AFA" w:rsidRPr="004C7BAE" w:rsidRDefault="002418A6">
      <w:pPr>
        <w:numPr>
          <w:ilvl w:val="0"/>
          <w:numId w:val="37"/>
        </w:numPr>
        <w:tabs>
          <w:tab w:val="clear" w:pos="360"/>
          <w:tab w:val="num" w:pos="567"/>
        </w:tabs>
        <w:ind w:left="567" w:hanging="567"/>
        <w:rPr>
          <w:sz w:val="22"/>
          <w:szCs w:val="22"/>
          <w:lang w:val="sk-SK"/>
        </w:rPr>
      </w:pPr>
      <w:r w:rsidRPr="004C7BAE">
        <w:rPr>
          <w:sz w:val="22"/>
          <w:szCs w:val="22"/>
          <w:lang w:val="sk-SK"/>
        </w:rPr>
        <w:t>akútne zápalové ochorenia srdca</w:t>
      </w:r>
    </w:p>
    <w:p w14:paraId="2616115D" w14:textId="77777777" w:rsidR="00BA5AFA" w:rsidRPr="004C7BAE" w:rsidRDefault="00BA5AFA">
      <w:pPr>
        <w:rPr>
          <w:sz w:val="22"/>
          <w:szCs w:val="22"/>
          <w:lang w:val="sk-SK"/>
        </w:rPr>
      </w:pPr>
    </w:p>
    <w:p w14:paraId="37A4E3E5" w14:textId="0DB27264" w:rsidR="00BA5AFA" w:rsidRPr="004C7BAE" w:rsidRDefault="002418A6">
      <w:pPr>
        <w:rPr>
          <w:sz w:val="22"/>
          <w:szCs w:val="22"/>
          <w:lang w:val="sk-SK"/>
        </w:rPr>
      </w:pPr>
      <w:proofErr w:type="spellStart"/>
      <w:r w:rsidRPr="004C7BAE">
        <w:rPr>
          <w:i/>
          <w:sz w:val="22"/>
          <w:szCs w:val="22"/>
          <w:lang w:val="sk-SK"/>
        </w:rPr>
        <w:t>Intravezikálne</w:t>
      </w:r>
      <w:proofErr w:type="spellEnd"/>
      <w:r w:rsidRPr="004C7BAE">
        <w:rPr>
          <w:i/>
          <w:sz w:val="22"/>
          <w:szCs w:val="22"/>
          <w:lang w:val="sk-SK"/>
        </w:rPr>
        <w:t xml:space="preserve"> použitie</w:t>
      </w:r>
      <w:r w:rsidRPr="004C7BAE">
        <w:rPr>
          <w:sz w:val="22"/>
          <w:szCs w:val="22"/>
          <w:lang w:val="sk-SK"/>
        </w:rPr>
        <w:t xml:space="preserve"> </w:t>
      </w:r>
    </w:p>
    <w:p w14:paraId="4BC78A21" w14:textId="77777777" w:rsidR="00BA5AFA" w:rsidRPr="004C7BAE" w:rsidRDefault="002418A6">
      <w:pPr>
        <w:numPr>
          <w:ilvl w:val="0"/>
          <w:numId w:val="38"/>
        </w:numPr>
        <w:tabs>
          <w:tab w:val="clear" w:pos="360"/>
          <w:tab w:val="num" w:pos="567"/>
        </w:tabs>
        <w:ind w:left="567" w:hanging="567"/>
        <w:rPr>
          <w:color w:val="000000"/>
          <w:sz w:val="22"/>
          <w:szCs w:val="22"/>
          <w:lang w:val="sk-SK"/>
        </w:rPr>
      </w:pPr>
      <w:r w:rsidRPr="004C7BAE">
        <w:rPr>
          <w:sz w:val="22"/>
          <w:szCs w:val="22"/>
          <w:lang w:val="sk-SK"/>
        </w:rPr>
        <w:t>infekcie močových ciest</w:t>
      </w:r>
    </w:p>
    <w:p w14:paraId="410AE7D5" w14:textId="77777777" w:rsidR="00BA5AFA" w:rsidRPr="004C7BAE" w:rsidRDefault="002418A6">
      <w:pPr>
        <w:numPr>
          <w:ilvl w:val="0"/>
          <w:numId w:val="38"/>
        </w:numPr>
        <w:tabs>
          <w:tab w:val="clear" w:pos="360"/>
          <w:tab w:val="num" w:pos="567"/>
        </w:tabs>
        <w:ind w:left="567" w:hanging="567"/>
        <w:rPr>
          <w:color w:val="000000"/>
          <w:sz w:val="22"/>
          <w:szCs w:val="22"/>
          <w:lang w:val="sk-SK"/>
        </w:rPr>
      </w:pPr>
      <w:r w:rsidRPr="004C7BAE">
        <w:rPr>
          <w:color w:val="000000"/>
          <w:sz w:val="22"/>
          <w:szCs w:val="22"/>
          <w:lang w:val="sk-SK"/>
        </w:rPr>
        <w:t xml:space="preserve">invazívne nádory prenikajúce do močového mechúra </w:t>
      </w:r>
    </w:p>
    <w:p w14:paraId="5A6CBA08" w14:textId="77777777" w:rsidR="00BA5AFA" w:rsidRPr="004C7BAE" w:rsidRDefault="002418A6">
      <w:pPr>
        <w:numPr>
          <w:ilvl w:val="0"/>
          <w:numId w:val="38"/>
        </w:numPr>
        <w:tabs>
          <w:tab w:val="clear" w:pos="360"/>
          <w:tab w:val="num" w:pos="567"/>
        </w:tabs>
        <w:ind w:left="567" w:hanging="567"/>
        <w:rPr>
          <w:color w:val="000000"/>
          <w:sz w:val="22"/>
          <w:szCs w:val="22"/>
          <w:lang w:val="sk-SK"/>
        </w:rPr>
      </w:pPr>
      <w:r w:rsidRPr="004C7BAE">
        <w:rPr>
          <w:color w:val="000000"/>
          <w:sz w:val="22"/>
          <w:szCs w:val="22"/>
          <w:lang w:val="sk-SK"/>
        </w:rPr>
        <w:t xml:space="preserve">problémy pri </w:t>
      </w:r>
      <w:proofErr w:type="spellStart"/>
      <w:r w:rsidRPr="004C7BAE">
        <w:rPr>
          <w:color w:val="000000"/>
          <w:sz w:val="22"/>
          <w:szCs w:val="22"/>
          <w:lang w:val="sk-SK"/>
        </w:rPr>
        <w:t>katetrizácii</w:t>
      </w:r>
      <w:proofErr w:type="spellEnd"/>
    </w:p>
    <w:p w14:paraId="1829B514" w14:textId="77777777" w:rsidR="00BA5AFA" w:rsidRPr="004C7BAE" w:rsidRDefault="002418A6">
      <w:pPr>
        <w:numPr>
          <w:ilvl w:val="0"/>
          <w:numId w:val="38"/>
        </w:numPr>
        <w:tabs>
          <w:tab w:val="clear" w:pos="360"/>
          <w:tab w:val="num" w:pos="567"/>
        </w:tabs>
        <w:ind w:left="567" w:hanging="567"/>
        <w:rPr>
          <w:sz w:val="22"/>
          <w:szCs w:val="22"/>
          <w:lang w:val="sk-SK"/>
        </w:rPr>
      </w:pPr>
      <w:r w:rsidRPr="004C7BAE">
        <w:rPr>
          <w:color w:val="000000"/>
          <w:sz w:val="22"/>
          <w:szCs w:val="22"/>
          <w:lang w:val="sk-SK"/>
        </w:rPr>
        <w:t>zápal močového mechúra</w:t>
      </w:r>
    </w:p>
    <w:p w14:paraId="13147086" w14:textId="77777777" w:rsidR="00BA5AFA" w:rsidRPr="004C7BAE" w:rsidRDefault="002418A6">
      <w:pPr>
        <w:numPr>
          <w:ilvl w:val="0"/>
          <w:numId w:val="38"/>
        </w:numPr>
        <w:tabs>
          <w:tab w:val="clear" w:pos="360"/>
          <w:tab w:val="num" w:pos="567"/>
        </w:tabs>
        <w:ind w:left="567" w:hanging="567"/>
        <w:rPr>
          <w:sz w:val="22"/>
          <w:szCs w:val="22"/>
          <w:lang w:val="sk-SK"/>
        </w:rPr>
      </w:pPr>
      <w:proofErr w:type="spellStart"/>
      <w:r w:rsidRPr="004C7BAE">
        <w:rPr>
          <w:sz w:val="22"/>
          <w:szCs w:val="22"/>
          <w:lang w:val="sk-SK" w:eastAsia="da-DK"/>
        </w:rPr>
        <w:t>h</w:t>
      </w:r>
      <w:r w:rsidRPr="004C7BAE">
        <w:rPr>
          <w:sz w:val="22"/>
          <w:szCs w:val="22"/>
          <w:lang w:val="sk-SK"/>
        </w:rPr>
        <w:t>ematúria</w:t>
      </w:r>
      <w:proofErr w:type="spellEnd"/>
      <w:r w:rsidRPr="004C7BAE">
        <w:rPr>
          <w:sz w:val="22"/>
          <w:szCs w:val="22"/>
          <w:lang w:val="sk-SK" w:eastAsia="de-DE"/>
        </w:rPr>
        <w:t xml:space="preserve"> </w:t>
      </w:r>
    </w:p>
    <w:p w14:paraId="122D7742" w14:textId="77777777" w:rsidR="00BA5AFA" w:rsidRPr="004C7BAE" w:rsidRDefault="002418A6">
      <w:pPr>
        <w:numPr>
          <w:ilvl w:val="0"/>
          <w:numId w:val="38"/>
        </w:numPr>
        <w:tabs>
          <w:tab w:val="clear" w:pos="360"/>
          <w:tab w:val="num" w:pos="567"/>
        </w:tabs>
        <w:ind w:left="567" w:hanging="567"/>
        <w:rPr>
          <w:sz w:val="22"/>
          <w:szCs w:val="22"/>
          <w:lang w:val="sk-SK"/>
        </w:rPr>
      </w:pPr>
      <w:r w:rsidRPr="004C7BAE">
        <w:rPr>
          <w:sz w:val="22"/>
          <w:szCs w:val="22"/>
          <w:lang w:val="sk-SK"/>
        </w:rPr>
        <w:t>kontrahovaný mechúr</w:t>
      </w:r>
    </w:p>
    <w:p w14:paraId="7544E9C1" w14:textId="77777777" w:rsidR="00BA5AFA" w:rsidRPr="004C7BAE" w:rsidRDefault="002418A6">
      <w:pPr>
        <w:numPr>
          <w:ilvl w:val="0"/>
          <w:numId w:val="38"/>
        </w:numPr>
        <w:tabs>
          <w:tab w:val="clear" w:pos="360"/>
          <w:tab w:val="num" w:pos="567"/>
        </w:tabs>
        <w:ind w:left="567" w:hanging="567"/>
        <w:rPr>
          <w:sz w:val="22"/>
          <w:szCs w:val="22"/>
          <w:lang w:val="sk-SK"/>
        </w:rPr>
      </w:pPr>
      <w:r w:rsidRPr="004C7BAE">
        <w:rPr>
          <w:sz w:val="22"/>
          <w:szCs w:val="22"/>
          <w:lang w:val="sk-SK"/>
        </w:rPr>
        <w:t>veľký objem zvyškového moču</w:t>
      </w:r>
    </w:p>
    <w:p w14:paraId="6FC87597" w14:textId="77777777" w:rsidR="00BA5AFA" w:rsidRPr="004C7BAE" w:rsidRDefault="00BA5AFA">
      <w:pPr>
        <w:ind w:left="360"/>
        <w:rPr>
          <w:sz w:val="22"/>
          <w:szCs w:val="22"/>
          <w:lang w:val="sk-SK" w:bidi="si-LK"/>
        </w:rPr>
      </w:pPr>
    </w:p>
    <w:p w14:paraId="78541205"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4.4</w:t>
      </w:r>
      <w:r w:rsidRPr="004C7BAE">
        <w:rPr>
          <w:b/>
          <w:bCs/>
          <w:sz w:val="22"/>
          <w:szCs w:val="22"/>
          <w:lang w:val="sk-SK" w:bidi="si-LK"/>
        </w:rPr>
        <w:tab/>
        <w:t>Osobitné upozornenia a opatrenia pri používaní</w:t>
      </w:r>
    </w:p>
    <w:p w14:paraId="4C4446DF" w14:textId="77777777" w:rsidR="00BA5AFA" w:rsidRPr="004C7BAE" w:rsidRDefault="00BA5AFA">
      <w:pPr>
        <w:rPr>
          <w:sz w:val="22"/>
          <w:szCs w:val="22"/>
          <w:lang w:val="sk-SK" w:bidi="si-LK"/>
        </w:rPr>
      </w:pPr>
    </w:p>
    <w:p w14:paraId="725FB8FE" w14:textId="77777777" w:rsidR="00660307" w:rsidRDefault="00BB1FEE">
      <w:pPr>
        <w:keepNext/>
        <w:numPr>
          <w:ilvl w:val="12"/>
          <w:numId w:val="0"/>
        </w:numPr>
        <w:rPr>
          <w:iCs/>
          <w:sz w:val="22"/>
          <w:szCs w:val="22"/>
          <w:u w:val="single"/>
          <w:lang w:val="sk-SK"/>
        </w:rPr>
      </w:pPr>
      <w:r w:rsidRPr="00FB7812">
        <w:rPr>
          <w:iCs/>
          <w:sz w:val="22"/>
          <w:szCs w:val="22"/>
          <w:u w:val="single"/>
          <w:lang w:val="sk-SK"/>
        </w:rPr>
        <w:t>Všeobecné</w:t>
      </w:r>
    </w:p>
    <w:p w14:paraId="5D48DC43" w14:textId="202026FD" w:rsidR="00BA5AFA" w:rsidRPr="004C7BAE" w:rsidRDefault="00660307">
      <w:pPr>
        <w:keepNext/>
        <w:numPr>
          <w:ilvl w:val="12"/>
          <w:numId w:val="0"/>
        </w:numPr>
        <w:rPr>
          <w:sz w:val="22"/>
          <w:szCs w:val="22"/>
          <w:lang w:val="sk-SK"/>
        </w:rPr>
      </w:pPr>
      <w:proofErr w:type="spellStart"/>
      <w:r>
        <w:rPr>
          <w:iCs/>
          <w:sz w:val="22"/>
          <w:szCs w:val="22"/>
          <w:lang w:val="sk-SK"/>
        </w:rPr>
        <w:t>E</w:t>
      </w:r>
      <w:r w:rsidR="002418A6" w:rsidRPr="004C7BAE">
        <w:rPr>
          <w:iCs/>
          <w:sz w:val="22"/>
          <w:szCs w:val="22"/>
          <w:lang w:val="sk-SK"/>
        </w:rPr>
        <w:t>pirubicín</w:t>
      </w:r>
      <w:proofErr w:type="spellEnd"/>
      <w:r w:rsidR="002418A6" w:rsidRPr="004C7BAE">
        <w:rPr>
          <w:iCs/>
          <w:sz w:val="22"/>
          <w:szCs w:val="22"/>
          <w:lang w:val="sk-SK"/>
        </w:rPr>
        <w:t xml:space="preserve"> sa musí podávať iba pod dohľadom kvalifikovaných lekárov so skúsenosťami z používania </w:t>
      </w:r>
      <w:proofErr w:type="spellStart"/>
      <w:r w:rsidR="002418A6" w:rsidRPr="004C7BAE">
        <w:rPr>
          <w:iCs/>
          <w:sz w:val="22"/>
          <w:szCs w:val="22"/>
          <w:lang w:val="sk-SK"/>
        </w:rPr>
        <w:t>cytotoxickej</w:t>
      </w:r>
      <w:proofErr w:type="spellEnd"/>
      <w:r w:rsidR="002418A6" w:rsidRPr="004C7BAE">
        <w:rPr>
          <w:iCs/>
          <w:sz w:val="22"/>
          <w:szCs w:val="22"/>
          <w:lang w:val="sk-SK"/>
        </w:rPr>
        <w:t xml:space="preserve"> terapie.</w:t>
      </w:r>
    </w:p>
    <w:p w14:paraId="4F36D712" w14:textId="77777777" w:rsidR="00BA5AFA" w:rsidRPr="004C7BAE" w:rsidRDefault="00BA5AFA">
      <w:pPr>
        <w:rPr>
          <w:sz w:val="22"/>
          <w:szCs w:val="22"/>
          <w:lang w:val="sk-SK"/>
        </w:rPr>
      </w:pPr>
    </w:p>
    <w:p w14:paraId="05E5BA7D" w14:textId="77777777" w:rsidR="00BA5AFA" w:rsidRPr="004C7BAE" w:rsidRDefault="002418A6">
      <w:pPr>
        <w:keepNext/>
        <w:numPr>
          <w:ilvl w:val="12"/>
          <w:numId w:val="0"/>
        </w:numPr>
        <w:rPr>
          <w:sz w:val="22"/>
          <w:szCs w:val="22"/>
          <w:lang w:val="sk-SK"/>
        </w:rPr>
      </w:pPr>
      <w:r w:rsidRPr="004C7BAE">
        <w:rPr>
          <w:sz w:val="22"/>
          <w:szCs w:val="22"/>
          <w:lang w:val="sk-SK"/>
        </w:rPr>
        <w:t xml:space="preserve">Pacienti sa musia zotaviť z akútnej toxicity (ako je </w:t>
      </w:r>
      <w:proofErr w:type="spellStart"/>
      <w:r w:rsidRPr="004C7BAE">
        <w:rPr>
          <w:sz w:val="22"/>
          <w:szCs w:val="22"/>
          <w:lang w:val="sk-SK"/>
        </w:rPr>
        <w:t>stomatitída</w:t>
      </w:r>
      <w:proofErr w:type="spellEnd"/>
      <w:r w:rsidRPr="004C7BAE">
        <w:rPr>
          <w:sz w:val="22"/>
          <w:szCs w:val="22"/>
          <w:lang w:val="sk-SK"/>
        </w:rPr>
        <w:t xml:space="preserve">, </w:t>
      </w:r>
      <w:proofErr w:type="spellStart"/>
      <w:r w:rsidRPr="004C7BAE">
        <w:rPr>
          <w:sz w:val="22"/>
          <w:szCs w:val="22"/>
          <w:lang w:val="sk-SK"/>
        </w:rPr>
        <w:t>mukozitída</w:t>
      </w:r>
      <w:proofErr w:type="spellEnd"/>
      <w:r w:rsidRPr="004C7BAE">
        <w:rPr>
          <w:sz w:val="22"/>
          <w:szCs w:val="22"/>
          <w:lang w:val="sk-SK"/>
        </w:rPr>
        <w:t xml:space="preserve">, </w:t>
      </w:r>
      <w:proofErr w:type="spellStart"/>
      <w:r w:rsidRPr="004C7BAE">
        <w:rPr>
          <w:sz w:val="22"/>
          <w:szCs w:val="22"/>
          <w:lang w:val="sk-SK"/>
        </w:rPr>
        <w:t>neutropénia</w:t>
      </w:r>
      <w:proofErr w:type="spellEnd"/>
      <w:r w:rsidRPr="004C7BAE">
        <w:rPr>
          <w:sz w:val="22"/>
          <w:szCs w:val="22"/>
          <w:lang w:val="sk-SK"/>
        </w:rPr>
        <w:t xml:space="preserve">, </w:t>
      </w:r>
      <w:proofErr w:type="spellStart"/>
      <w:r w:rsidRPr="004C7BAE">
        <w:rPr>
          <w:sz w:val="22"/>
          <w:szCs w:val="22"/>
          <w:lang w:val="sk-SK"/>
        </w:rPr>
        <w:t>trombocytopénia</w:t>
      </w:r>
      <w:proofErr w:type="spellEnd"/>
      <w:r w:rsidRPr="004C7BAE">
        <w:rPr>
          <w:sz w:val="22"/>
          <w:szCs w:val="22"/>
          <w:lang w:val="sk-SK"/>
        </w:rPr>
        <w:t xml:space="preserve"> a generalizované infekcie) po predchádzajúcej </w:t>
      </w:r>
      <w:proofErr w:type="spellStart"/>
      <w:r w:rsidRPr="004C7BAE">
        <w:rPr>
          <w:sz w:val="22"/>
          <w:szCs w:val="22"/>
          <w:lang w:val="sk-SK"/>
        </w:rPr>
        <w:t>cytotoxickej</w:t>
      </w:r>
      <w:proofErr w:type="spellEnd"/>
      <w:r w:rsidRPr="004C7BAE">
        <w:rPr>
          <w:sz w:val="22"/>
          <w:szCs w:val="22"/>
          <w:lang w:val="sk-SK"/>
        </w:rPr>
        <w:t xml:space="preserve"> liečbe pred nasadením liečby </w:t>
      </w:r>
      <w:proofErr w:type="spellStart"/>
      <w:r w:rsidRPr="004C7BAE">
        <w:rPr>
          <w:sz w:val="22"/>
          <w:szCs w:val="22"/>
          <w:lang w:val="sk-SK"/>
        </w:rPr>
        <w:t>epirubicínom</w:t>
      </w:r>
      <w:proofErr w:type="spellEnd"/>
      <w:r w:rsidRPr="004C7BAE">
        <w:rPr>
          <w:sz w:val="22"/>
          <w:szCs w:val="22"/>
          <w:lang w:val="sk-SK"/>
        </w:rPr>
        <w:t xml:space="preserve">. </w:t>
      </w:r>
    </w:p>
    <w:p w14:paraId="593004EE" w14:textId="77777777" w:rsidR="00BA5AFA" w:rsidRPr="004C7BAE" w:rsidRDefault="00BA5AFA">
      <w:pPr>
        <w:rPr>
          <w:sz w:val="22"/>
          <w:szCs w:val="22"/>
          <w:lang w:val="sk-SK"/>
        </w:rPr>
      </w:pPr>
    </w:p>
    <w:p w14:paraId="223A0F28" w14:textId="77777777" w:rsidR="00BA5AFA" w:rsidRPr="004C7BAE" w:rsidRDefault="002418A6">
      <w:pPr>
        <w:keepNext/>
        <w:numPr>
          <w:ilvl w:val="12"/>
          <w:numId w:val="0"/>
        </w:numPr>
        <w:rPr>
          <w:color w:val="000000"/>
          <w:sz w:val="22"/>
          <w:szCs w:val="22"/>
          <w:lang w:val="sk-SK"/>
        </w:rPr>
      </w:pPr>
      <w:r w:rsidRPr="004C7BAE">
        <w:rPr>
          <w:sz w:val="22"/>
          <w:szCs w:val="22"/>
          <w:lang w:val="sk-SK"/>
        </w:rPr>
        <w:t xml:space="preserve">Hoci liečba vysokými dávkami </w:t>
      </w:r>
      <w:proofErr w:type="spellStart"/>
      <w:r w:rsidRPr="004C7BAE">
        <w:rPr>
          <w:sz w:val="22"/>
          <w:szCs w:val="22"/>
          <w:lang w:val="sk-SK"/>
        </w:rPr>
        <w:t>epirubicín</w:t>
      </w:r>
      <w:proofErr w:type="spellEnd"/>
      <w:r w:rsidRPr="004C7BAE">
        <w:rPr>
          <w:sz w:val="22"/>
          <w:szCs w:val="22"/>
          <w:lang w:val="sk-SK"/>
        </w:rPr>
        <w:t xml:space="preserve"> </w:t>
      </w:r>
      <w:proofErr w:type="spellStart"/>
      <w:r w:rsidRPr="004C7BAE">
        <w:rPr>
          <w:sz w:val="22"/>
          <w:szCs w:val="22"/>
          <w:lang w:val="sk-SK"/>
        </w:rPr>
        <w:t>hydrochloridu</w:t>
      </w:r>
      <w:proofErr w:type="spellEnd"/>
      <w:r w:rsidRPr="004C7BAE">
        <w:rPr>
          <w:sz w:val="22"/>
          <w:szCs w:val="22"/>
          <w:lang w:val="sk-SK"/>
        </w:rPr>
        <w:t xml:space="preserve"> (napr. ≥ 90 mg/m² každé 3 až 4 týždne) spôsobuje nežiaduce ú</w:t>
      </w:r>
      <w:r w:rsidRPr="004C7BAE">
        <w:rPr>
          <w:color w:val="000000"/>
          <w:sz w:val="22"/>
          <w:szCs w:val="22"/>
          <w:lang w:val="sk-SK"/>
        </w:rPr>
        <w:t xml:space="preserve">činky vo všeobecnosti podobné účinkom pozorovaným pri bežných dávkach (&lt; 90 mg/m² každé 3 až 4 týždne), závažnosť </w:t>
      </w:r>
      <w:proofErr w:type="spellStart"/>
      <w:r w:rsidRPr="004C7BAE">
        <w:rPr>
          <w:color w:val="000000"/>
          <w:sz w:val="22"/>
          <w:szCs w:val="22"/>
          <w:lang w:val="sk-SK"/>
        </w:rPr>
        <w:t>neutropénie</w:t>
      </w:r>
      <w:proofErr w:type="spellEnd"/>
      <w:r w:rsidRPr="004C7BAE">
        <w:rPr>
          <w:color w:val="000000"/>
          <w:sz w:val="22"/>
          <w:szCs w:val="22"/>
          <w:lang w:val="sk-SK"/>
        </w:rPr>
        <w:t xml:space="preserve"> a </w:t>
      </w:r>
      <w:proofErr w:type="spellStart"/>
      <w:r w:rsidRPr="004C7BAE">
        <w:rPr>
          <w:color w:val="000000"/>
          <w:sz w:val="22"/>
          <w:szCs w:val="22"/>
          <w:lang w:val="sk-SK"/>
        </w:rPr>
        <w:t>stomatitídy</w:t>
      </w:r>
      <w:proofErr w:type="spellEnd"/>
      <w:r w:rsidRPr="004C7BAE">
        <w:rPr>
          <w:color w:val="000000"/>
          <w:sz w:val="22"/>
          <w:szCs w:val="22"/>
          <w:lang w:val="sk-SK"/>
        </w:rPr>
        <w:t>/</w:t>
      </w:r>
      <w:proofErr w:type="spellStart"/>
      <w:r w:rsidRPr="004C7BAE">
        <w:rPr>
          <w:color w:val="000000"/>
          <w:sz w:val="22"/>
          <w:szCs w:val="22"/>
          <w:lang w:val="sk-SK"/>
        </w:rPr>
        <w:t>mukozitídy</w:t>
      </w:r>
      <w:proofErr w:type="spellEnd"/>
      <w:r w:rsidRPr="004C7BAE">
        <w:rPr>
          <w:color w:val="000000"/>
          <w:sz w:val="22"/>
          <w:szCs w:val="22"/>
          <w:lang w:val="sk-SK"/>
        </w:rPr>
        <w:t xml:space="preserve"> môže byť zvýšená.</w:t>
      </w:r>
      <w:r w:rsidRPr="004C7BAE">
        <w:rPr>
          <w:sz w:val="22"/>
          <w:szCs w:val="22"/>
          <w:lang w:val="sk-SK"/>
        </w:rPr>
        <w:t xml:space="preserve"> </w:t>
      </w:r>
      <w:r w:rsidRPr="004C7BAE">
        <w:rPr>
          <w:color w:val="000000"/>
          <w:sz w:val="22"/>
          <w:szCs w:val="22"/>
          <w:lang w:val="sk-SK"/>
        </w:rPr>
        <w:t xml:space="preserve">Liečba vysokými dávkami </w:t>
      </w:r>
      <w:proofErr w:type="spellStart"/>
      <w:r w:rsidRPr="004C7BAE">
        <w:rPr>
          <w:color w:val="000000"/>
          <w:sz w:val="22"/>
          <w:szCs w:val="22"/>
          <w:lang w:val="sk-SK"/>
        </w:rPr>
        <w:t>epirubicín</w:t>
      </w:r>
      <w:proofErr w:type="spellEnd"/>
      <w:r w:rsidRPr="004C7BAE">
        <w:rPr>
          <w:color w:val="000000"/>
          <w:sz w:val="22"/>
          <w:szCs w:val="22"/>
          <w:lang w:val="sk-SK"/>
        </w:rPr>
        <w:t xml:space="preserve"> </w:t>
      </w:r>
      <w:proofErr w:type="spellStart"/>
      <w:r w:rsidRPr="004C7BAE">
        <w:rPr>
          <w:color w:val="000000"/>
          <w:sz w:val="22"/>
          <w:szCs w:val="22"/>
          <w:lang w:val="sk-SK"/>
        </w:rPr>
        <w:t>hydrochloridu</w:t>
      </w:r>
      <w:proofErr w:type="spellEnd"/>
      <w:r w:rsidRPr="004C7BAE">
        <w:rPr>
          <w:color w:val="000000"/>
          <w:sz w:val="22"/>
          <w:szCs w:val="22"/>
          <w:lang w:val="sk-SK"/>
        </w:rPr>
        <w:t xml:space="preserve"> si vyžaduje osobitnú pozornosť s ohľadom na možné klinické komplikácie spôsobované hlbokou </w:t>
      </w:r>
      <w:proofErr w:type="spellStart"/>
      <w:r w:rsidRPr="004C7BAE">
        <w:rPr>
          <w:color w:val="000000"/>
          <w:sz w:val="22"/>
          <w:szCs w:val="22"/>
          <w:lang w:val="sk-SK"/>
        </w:rPr>
        <w:t>myelosupresiou</w:t>
      </w:r>
      <w:proofErr w:type="spellEnd"/>
      <w:r w:rsidRPr="004C7BAE">
        <w:rPr>
          <w:color w:val="000000"/>
          <w:sz w:val="22"/>
          <w:szCs w:val="22"/>
          <w:lang w:val="sk-SK"/>
        </w:rPr>
        <w:t xml:space="preserve">. </w:t>
      </w:r>
    </w:p>
    <w:p w14:paraId="28642C34" w14:textId="77777777" w:rsidR="00BA5AFA" w:rsidRPr="004C7BAE" w:rsidRDefault="00BA5AFA">
      <w:pPr>
        <w:rPr>
          <w:sz w:val="22"/>
          <w:szCs w:val="22"/>
          <w:lang w:val="sk-SK"/>
        </w:rPr>
      </w:pPr>
    </w:p>
    <w:p w14:paraId="260082FC" w14:textId="77777777" w:rsidR="00660307" w:rsidRDefault="00BB1FEE">
      <w:pPr>
        <w:keepNext/>
        <w:numPr>
          <w:ilvl w:val="12"/>
          <w:numId w:val="0"/>
        </w:numPr>
        <w:rPr>
          <w:iCs/>
          <w:sz w:val="22"/>
          <w:szCs w:val="22"/>
          <w:lang w:val="sk-SK"/>
        </w:rPr>
      </w:pPr>
      <w:r w:rsidRPr="00FB7812">
        <w:rPr>
          <w:iCs/>
          <w:sz w:val="22"/>
          <w:szCs w:val="22"/>
          <w:u w:val="single"/>
          <w:lang w:val="sk-SK"/>
        </w:rPr>
        <w:t>Funkcia srdca</w:t>
      </w:r>
    </w:p>
    <w:p w14:paraId="7CADCAF2" w14:textId="52C19C7A" w:rsidR="00BA5AFA" w:rsidRPr="004C7BAE" w:rsidRDefault="00660307">
      <w:pPr>
        <w:keepNext/>
        <w:numPr>
          <w:ilvl w:val="12"/>
          <w:numId w:val="0"/>
        </w:numPr>
        <w:rPr>
          <w:iCs/>
          <w:color w:val="000000"/>
          <w:sz w:val="22"/>
          <w:szCs w:val="22"/>
          <w:lang w:val="sk-SK"/>
        </w:rPr>
      </w:pPr>
      <w:proofErr w:type="spellStart"/>
      <w:r>
        <w:rPr>
          <w:iCs/>
          <w:sz w:val="22"/>
          <w:szCs w:val="22"/>
          <w:lang w:val="sk-SK"/>
        </w:rPr>
        <w:t>K</w:t>
      </w:r>
      <w:r w:rsidR="002418A6" w:rsidRPr="004C7BAE">
        <w:rPr>
          <w:iCs/>
          <w:sz w:val="22"/>
          <w:szCs w:val="22"/>
          <w:lang w:val="sk-SK"/>
        </w:rPr>
        <w:t>ardiotoxicita</w:t>
      </w:r>
      <w:proofErr w:type="spellEnd"/>
      <w:r w:rsidR="002418A6" w:rsidRPr="004C7BAE">
        <w:rPr>
          <w:iCs/>
          <w:sz w:val="22"/>
          <w:szCs w:val="22"/>
          <w:lang w:val="sk-SK"/>
        </w:rPr>
        <w:t xml:space="preserve"> je riziko </w:t>
      </w:r>
      <w:proofErr w:type="spellStart"/>
      <w:r w:rsidR="002418A6" w:rsidRPr="004C7BAE">
        <w:rPr>
          <w:iCs/>
          <w:sz w:val="22"/>
          <w:szCs w:val="22"/>
          <w:lang w:val="sk-SK"/>
        </w:rPr>
        <w:t>antracyklínovej</w:t>
      </w:r>
      <w:proofErr w:type="spellEnd"/>
      <w:r w:rsidR="002418A6" w:rsidRPr="004C7BAE">
        <w:rPr>
          <w:iCs/>
          <w:sz w:val="22"/>
          <w:szCs w:val="22"/>
          <w:lang w:val="sk-SK"/>
        </w:rPr>
        <w:t xml:space="preserve"> liečby, ktoré sa môže prejaviť včasnými (t. j. akútnymi) alebo neskorými (</w:t>
      </w:r>
      <w:proofErr w:type="spellStart"/>
      <w:r w:rsidR="002418A6" w:rsidRPr="004C7BAE">
        <w:rPr>
          <w:iCs/>
          <w:sz w:val="22"/>
          <w:szCs w:val="22"/>
          <w:lang w:val="sk-SK"/>
        </w:rPr>
        <w:t>t.j</w:t>
      </w:r>
      <w:proofErr w:type="spellEnd"/>
      <w:r w:rsidR="002418A6" w:rsidRPr="004C7BAE">
        <w:rPr>
          <w:iCs/>
          <w:sz w:val="22"/>
          <w:szCs w:val="22"/>
          <w:lang w:val="sk-SK"/>
        </w:rPr>
        <w:t xml:space="preserve">. oneskorenými) príhodami. </w:t>
      </w:r>
    </w:p>
    <w:p w14:paraId="324F981B" w14:textId="77777777" w:rsidR="00BA5AFA" w:rsidRPr="004C7BAE" w:rsidRDefault="00BA5AFA">
      <w:pPr>
        <w:keepNext/>
        <w:numPr>
          <w:ilvl w:val="12"/>
          <w:numId w:val="0"/>
        </w:numPr>
        <w:rPr>
          <w:iCs/>
          <w:color w:val="000000"/>
          <w:sz w:val="22"/>
          <w:szCs w:val="22"/>
          <w:lang w:val="sk-SK"/>
        </w:rPr>
      </w:pPr>
    </w:p>
    <w:p w14:paraId="328B16C1" w14:textId="77777777" w:rsidR="00660307" w:rsidRDefault="002418A6">
      <w:pPr>
        <w:keepNext/>
        <w:numPr>
          <w:ilvl w:val="12"/>
          <w:numId w:val="0"/>
        </w:numPr>
        <w:rPr>
          <w:i/>
          <w:iCs/>
          <w:color w:val="000000"/>
          <w:sz w:val="22"/>
          <w:szCs w:val="22"/>
          <w:lang w:val="sk-SK"/>
        </w:rPr>
      </w:pPr>
      <w:r w:rsidRPr="004C7BAE">
        <w:rPr>
          <w:i/>
          <w:iCs/>
          <w:color w:val="000000"/>
          <w:sz w:val="22"/>
          <w:szCs w:val="22"/>
          <w:lang w:val="sk-SK"/>
        </w:rPr>
        <w:t>Včasné (</w:t>
      </w:r>
      <w:proofErr w:type="spellStart"/>
      <w:r w:rsidRPr="004C7BAE">
        <w:rPr>
          <w:i/>
          <w:iCs/>
          <w:color w:val="000000"/>
          <w:sz w:val="22"/>
          <w:szCs w:val="22"/>
          <w:lang w:val="sk-SK"/>
        </w:rPr>
        <w:t>t.j</w:t>
      </w:r>
      <w:proofErr w:type="spellEnd"/>
      <w:r w:rsidRPr="004C7BAE">
        <w:rPr>
          <w:i/>
          <w:iCs/>
          <w:color w:val="000000"/>
          <w:sz w:val="22"/>
          <w:szCs w:val="22"/>
          <w:lang w:val="sk-SK"/>
        </w:rPr>
        <w:t>. akútne) príhody</w:t>
      </w:r>
    </w:p>
    <w:p w14:paraId="1CF4C6E1" w14:textId="626FCEA2" w:rsidR="00BA5AFA" w:rsidRPr="004C7BAE" w:rsidRDefault="002418A6">
      <w:pPr>
        <w:keepNext/>
        <w:numPr>
          <w:ilvl w:val="12"/>
          <w:numId w:val="0"/>
        </w:numPr>
        <w:rPr>
          <w:i/>
          <w:sz w:val="22"/>
          <w:szCs w:val="22"/>
          <w:lang w:val="sk-SK"/>
        </w:rPr>
      </w:pPr>
      <w:r w:rsidRPr="004C7BAE">
        <w:rPr>
          <w:iCs/>
          <w:color w:val="000000"/>
          <w:sz w:val="22"/>
          <w:szCs w:val="22"/>
          <w:lang w:val="sk-SK"/>
        </w:rPr>
        <w:t xml:space="preserve">Včasná </w:t>
      </w:r>
      <w:proofErr w:type="spellStart"/>
      <w:r w:rsidRPr="004C7BAE">
        <w:rPr>
          <w:iCs/>
          <w:color w:val="000000"/>
          <w:sz w:val="22"/>
          <w:szCs w:val="22"/>
          <w:lang w:val="sk-SK"/>
        </w:rPr>
        <w:t>kardiotoxicita</w:t>
      </w:r>
      <w:proofErr w:type="spellEnd"/>
      <w:r w:rsidRPr="004C7BAE">
        <w:rPr>
          <w:iCs/>
          <w:color w:val="000000"/>
          <w:sz w:val="22"/>
          <w:szCs w:val="22"/>
          <w:lang w:val="sk-SK"/>
        </w:rPr>
        <w:t xml:space="preserve"> </w:t>
      </w:r>
      <w:proofErr w:type="spellStart"/>
      <w:r w:rsidRPr="004C7BAE">
        <w:rPr>
          <w:iCs/>
          <w:color w:val="000000"/>
          <w:sz w:val="22"/>
          <w:szCs w:val="22"/>
          <w:lang w:val="sk-SK"/>
        </w:rPr>
        <w:t>epirubicínu</w:t>
      </w:r>
      <w:proofErr w:type="spellEnd"/>
      <w:r w:rsidRPr="004C7BAE">
        <w:rPr>
          <w:iCs/>
          <w:color w:val="000000"/>
          <w:sz w:val="22"/>
          <w:szCs w:val="22"/>
          <w:lang w:val="sk-SK"/>
        </w:rPr>
        <w:t xml:space="preserve"> spočíva hlavne v sínusovej </w:t>
      </w:r>
      <w:proofErr w:type="spellStart"/>
      <w:r w:rsidRPr="004C7BAE">
        <w:rPr>
          <w:iCs/>
          <w:color w:val="000000"/>
          <w:sz w:val="22"/>
          <w:szCs w:val="22"/>
          <w:lang w:val="sk-SK"/>
        </w:rPr>
        <w:t>tachykardii</w:t>
      </w:r>
      <w:proofErr w:type="spellEnd"/>
      <w:r w:rsidRPr="004C7BAE">
        <w:rPr>
          <w:iCs/>
          <w:color w:val="000000"/>
          <w:sz w:val="22"/>
          <w:szCs w:val="22"/>
          <w:lang w:val="sk-SK"/>
        </w:rPr>
        <w:t xml:space="preserve"> a/alebo </w:t>
      </w:r>
      <w:proofErr w:type="spellStart"/>
      <w:r w:rsidRPr="004C7BAE">
        <w:rPr>
          <w:iCs/>
          <w:color w:val="000000"/>
          <w:sz w:val="22"/>
          <w:szCs w:val="22"/>
          <w:lang w:val="sk-SK"/>
        </w:rPr>
        <w:t>elektrokardiografických</w:t>
      </w:r>
      <w:proofErr w:type="spellEnd"/>
      <w:r w:rsidRPr="004C7BAE">
        <w:rPr>
          <w:iCs/>
          <w:color w:val="000000"/>
          <w:sz w:val="22"/>
          <w:szCs w:val="22"/>
          <w:lang w:val="sk-SK"/>
        </w:rPr>
        <w:t xml:space="preserve"> (EKG) abnormalitách, ako sú napr. nešpecifické zmeny vlny ST</w:t>
      </w:r>
      <w:r w:rsidRPr="004C7BAE">
        <w:rPr>
          <w:iCs/>
          <w:color w:val="000000"/>
          <w:sz w:val="22"/>
          <w:szCs w:val="22"/>
          <w:lang w:val="sk-SK"/>
        </w:rPr>
        <w:noBreakHyphen/>
        <w:t xml:space="preserve">T. Boli hlásené aj </w:t>
      </w:r>
      <w:proofErr w:type="spellStart"/>
      <w:r w:rsidRPr="004C7BAE">
        <w:rPr>
          <w:iCs/>
          <w:color w:val="000000"/>
          <w:sz w:val="22"/>
          <w:szCs w:val="22"/>
          <w:lang w:val="sk-SK"/>
        </w:rPr>
        <w:t>tachyarytmie</w:t>
      </w:r>
      <w:proofErr w:type="spellEnd"/>
      <w:r w:rsidRPr="004C7BAE">
        <w:rPr>
          <w:iCs/>
          <w:color w:val="000000"/>
          <w:sz w:val="22"/>
          <w:szCs w:val="22"/>
          <w:lang w:val="sk-SK"/>
        </w:rPr>
        <w:t xml:space="preserve">, vrátane predčasných </w:t>
      </w:r>
      <w:proofErr w:type="spellStart"/>
      <w:r w:rsidRPr="004C7BAE">
        <w:rPr>
          <w:iCs/>
          <w:color w:val="000000"/>
          <w:sz w:val="22"/>
          <w:szCs w:val="22"/>
          <w:lang w:val="sk-SK"/>
        </w:rPr>
        <w:t>ventrikulárnych</w:t>
      </w:r>
      <w:proofErr w:type="spellEnd"/>
      <w:r w:rsidRPr="004C7BAE">
        <w:rPr>
          <w:iCs/>
          <w:color w:val="000000"/>
          <w:sz w:val="22"/>
          <w:szCs w:val="22"/>
          <w:lang w:val="sk-SK"/>
        </w:rPr>
        <w:t xml:space="preserve"> kontrakcií, </w:t>
      </w:r>
      <w:proofErr w:type="spellStart"/>
      <w:r w:rsidRPr="004C7BAE">
        <w:rPr>
          <w:iCs/>
          <w:color w:val="000000"/>
          <w:sz w:val="22"/>
          <w:szCs w:val="22"/>
          <w:lang w:val="sk-SK"/>
        </w:rPr>
        <w:t>ventrikulárna</w:t>
      </w:r>
      <w:proofErr w:type="spellEnd"/>
      <w:r w:rsidRPr="004C7BAE">
        <w:rPr>
          <w:iCs/>
          <w:color w:val="000000"/>
          <w:sz w:val="22"/>
          <w:szCs w:val="22"/>
          <w:lang w:val="sk-SK"/>
        </w:rPr>
        <w:t xml:space="preserve"> </w:t>
      </w:r>
      <w:proofErr w:type="spellStart"/>
      <w:r w:rsidRPr="004C7BAE">
        <w:rPr>
          <w:iCs/>
          <w:color w:val="000000"/>
          <w:sz w:val="22"/>
          <w:szCs w:val="22"/>
          <w:lang w:val="sk-SK"/>
        </w:rPr>
        <w:t>tachykardia</w:t>
      </w:r>
      <w:proofErr w:type="spellEnd"/>
      <w:r w:rsidRPr="004C7BAE">
        <w:rPr>
          <w:iCs/>
          <w:color w:val="000000"/>
          <w:sz w:val="22"/>
          <w:szCs w:val="22"/>
          <w:lang w:val="sk-SK"/>
        </w:rPr>
        <w:t xml:space="preserve"> a bradykardia, ako aj </w:t>
      </w:r>
      <w:proofErr w:type="spellStart"/>
      <w:r w:rsidRPr="004C7BAE">
        <w:rPr>
          <w:iCs/>
          <w:color w:val="000000"/>
          <w:sz w:val="22"/>
          <w:szCs w:val="22"/>
          <w:lang w:val="sk-SK"/>
        </w:rPr>
        <w:t>atrioventrikulárny</w:t>
      </w:r>
      <w:proofErr w:type="spellEnd"/>
      <w:r w:rsidRPr="004C7BAE">
        <w:rPr>
          <w:iCs/>
          <w:color w:val="000000"/>
          <w:sz w:val="22"/>
          <w:szCs w:val="22"/>
          <w:lang w:val="sk-SK"/>
        </w:rPr>
        <w:t xml:space="preserve"> a </w:t>
      </w:r>
      <w:proofErr w:type="spellStart"/>
      <w:r w:rsidRPr="004C7BAE">
        <w:rPr>
          <w:sz w:val="22"/>
          <w:szCs w:val="22"/>
          <w:lang w:val="sk-SK"/>
        </w:rPr>
        <w:t>bundle-branch</w:t>
      </w:r>
      <w:proofErr w:type="spellEnd"/>
      <w:r w:rsidRPr="004C7BAE">
        <w:rPr>
          <w:sz w:val="22"/>
          <w:szCs w:val="22"/>
          <w:lang w:val="sk-SK"/>
        </w:rPr>
        <w:t xml:space="preserve"> </w:t>
      </w:r>
      <w:r w:rsidRPr="004C7BAE">
        <w:rPr>
          <w:iCs/>
          <w:color w:val="000000"/>
          <w:sz w:val="22"/>
          <w:szCs w:val="22"/>
          <w:lang w:val="sk-SK"/>
        </w:rPr>
        <w:t xml:space="preserve">blok ramienka. Tieto účinky spravidla </w:t>
      </w:r>
      <w:proofErr w:type="spellStart"/>
      <w:r w:rsidRPr="004C7BAE">
        <w:rPr>
          <w:iCs/>
          <w:color w:val="000000"/>
          <w:sz w:val="22"/>
          <w:szCs w:val="22"/>
          <w:lang w:val="sk-SK"/>
        </w:rPr>
        <w:t>nepredikujú</w:t>
      </w:r>
      <w:proofErr w:type="spellEnd"/>
      <w:r w:rsidRPr="004C7BAE">
        <w:rPr>
          <w:iCs/>
          <w:color w:val="000000"/>
          <w:sz w:val="22"/>
          <w:szCs w:val="22"/>
          <w:lang w:val="sk-SK"/>
        </w:rPr>
        <w:t xml:space="preserve"> následný vývoj oneskorenej </w:t>
      </w:r>
      <w:proofErr w:type="spellStart"/>
      <w:r w:rsidRPr="004C7BAE">
        <w:rPr>
          <w:iCs/>
          <w:color w:val="000000"/>
          <w:sz w:val="22"/>
          <w:szCs w:val="22"/>
          <w:lang w:val="sk-SK"/>
        </w:rPr>
        <w:t>kardiotoxicity</w:t>
      </w:r>
      <w:proofErr w:type="spellEnd"/>
      <w:r w:rsidRPr="004C7BAE">
        <w:rPr>
          <w:iCs/>
          <w:color w:val="000000"/>
          <w:sz w:val="22"/>
          <w:szCs w:val="22"/>
          <w:lang w:val="sk-SK"/>
        </w:rPr>
        <w:t xml:space="preserve">, v zriedkavých prípadoch sú klinický významné, a spravidla sú prechodné, reverzibilné a nie sú príčinou na zvažovanie ukončenia liečby </w:t>
      </w:r>
      <w:proofErr w:type="spellStart"/>
      <w:r w:rsidRPr="004C7BAE">
        <w:rPr>
          <w:iCs/>
          <w:color w:val="000000"/>
          <w:sz w:val="22"/>
          <w:szCs w:val="22"/>
          <w:lang w:val="sk-SK"/>
        </w:rPr>
        <w:t>epirubicínom</w:t>
      </w:r>
      <w:proofErr w:type="spellEnd"/>
      <w:r w:rsidRPr="004C7BAE">
        <w:rPr>
          <w:iCs/>
          <w:color w:val="000000"/>
          <w:sz w:val="22"/>
          <w:szCs w:val="22"/>
          <w:lang w:val="sk-SK"/>
        </w:rPr>
        <w:t xml:space="preserve">. </w:t>
      </w:r>
    </w:p>
    <w:p w14:paraId="757E5444" w14:textId="77777777" w:rsidR="00BA5AFA" w:rsidRPr="004C7BAE" w:rsidRDefault="00BA5AFA">
      <w:pPr>
        <w:rPr>
          <w:b/>
          <w:sz w:val="22"/>
          <w:szCs w:val="22"/>
          <w:lang w:val="sk-SK"/>
        </w:rPr>
      </w:pPr>
    </w:p>
    <w:p w14:paraId="0A73AD31" w14:textId="77777777" w:rsidR="00660307" w:rsidRDefault="002418A6">
      <w:pPr>
        <w:keepNext/>
        <w:keepLines/>
        <w:rPr>
          <w:i/>
          <w:iCs/>
          <w:sz w:val="22"/>
          <w:szCs w:val="22"/>
          <w:lang w:val="sk-SK"/>
        </w:rPr>
      </w:pPr>
      <w:r w:rsidRPr="004C7BAE">
        <w:rPr>
          <w:i/>
          <w:iCs/>
          <w:sz w:val="22"/>
          <w:szCs w:val="22"/>
          <w:lang w:val="sk-SK"/>
        </w:rPr>
        <w:lastRenderedPageBreak/>
        <w:t>Neskoršie (</w:t>
      </w:r>
      <w:proofErr w:type="spellStart"/>
      <w:r w:rsidRPr="004C7BAE">
        <w:rPr>
          <w:i/>
          <w:iCs/>
          <w:sz w:val="22"/>
          <w:szCs w:val="22"/>
          <w:lang w:val="sk-SK"/>
        </w:rPr>
        <w:t>t.j</w:t>
      </w:r>
      <w:proofErr w:type="spellEnd"/>
      <w:r w:rsidRPr="004C7BAE">
        <w:rPr>
          <w:i/>
          <w:iCs/>
          <w:sz w:val="22"/>
          <w:szCs w:val="22"/>
          <w:lang w:val="sk-SK"/>
        </w:rPr>
        <w:t>. oneskorené) príhody</w:t>
      </w:r>
    </w:p>
    <w:p w14:paraId="12C7E747" w14:textId="05534729" w:rsidR="00BA5AFA" w:rsidRPr="004C7BAE" w:rsidRDefault="002418A6">
      <w:pPr>
        <w:keepNext/>
        <w:keepLines/>
        <w:rPr>
          <w:iCs/>
          <w:color w:val="000000"/>
          <w:sz w:val="22"/>
          <w:szCs w:val="22"/>
          <w:lang w:val="sk-SK"/>
        </w:rPr>
      </w:pPr>
      <w:r w:rsidRPr="004C7BAE">
        <w:rPr>
          <w:iCs/>
          <w:color w:val="000000"/>
          <w:sz w:val="22"/>
          <w:szCs w:val="22"/>
          <w:lang w:val="sk-SK"/>
        </w:rPr>
        <w:t xml:space="preserve">Oneskorená </w:t>
      </w:r>
      <w:proofErr w:type="spellStart"/>
      <w:r w:rsidRPr="004C7BAE">
        <w:rPr>
          <w:iCs/>
          <w:color w:val="000000"/>
          <w:sz w:val="22"/>
          <w:szCs w:val="22"/>
          <w:lang w:val="sk-SK"/>
        </w:rPr>
        <w:t>kardiotoxicita</w:t>
      </w:r>
      <w:proofErr w:type="spellEnd"/>
      <w:r w:rsidRPr="004C7BAE">
        <w:rPr>
          <w:iCs/>
          <w:color w:val="000000"/>
          <w:sz w:val="22"/>
          <w:szCs w:val="22"/>
          <w:lang w:val="sk-SK"/>
        </w:rPr>
        <w:t xml:space="preserve"> sa spravidla vyvinie neskôr v priebehu liečby </w:t>
      </w:r>
      <w:proofErr w:type="spellStart"/>
      <w:r w:rsidRPr="004C7BAE">
        <w:rPr>
          <w:iCs/>
          <w:color w:val="000000"/>
          <w:sz w:val="22"/>
          <w:szCs w:val="22"/>
          <w:lang w:val="sk-SK"/>
        </w:rPr>
        <w:t>epirubicínom</w:t>
      </w:r>
      <w:proofErr w:type="spellEnd"/>
      <w:r w:rsidRPr="004C7BAE">
        <w:rPr>
          <w:iCs/>
          <w:color w:val="000000"/>
          <w:sz w:val="22"/>
          <w:szCs w:val="22"/>
          <w:lang w:val="sk-SK"/>
        </w:rPr>
        <w:t xml:space="preserve"> alebo v priebehu 2 až 3 mesiacov po skončení liečby, avšak boli hlásené aj neskoršie príhody (niekoľko mesiacov až rokov po skončení liečby). Oneskorená </w:t>
      </w:r>
      <w:proofErr w:type="spellStart"/>
      <w:r w:rsidRPr="004C7BAE">
        <w:rPr>
          <w:iCs/>
          <w:color w:val="000000"/>
          <w:sz w:val="22"/>
          <w:szCs w:val="22"/>
          <w:lang w:val="sk-SK"/>
        </w:rPr>
        <w:t>kardiomyopatia</w:t>
      </w:r>
      <w:proofErr w:type="spellEnd"/>
      <w:r w:rsidRPr="004C7BAE">
        <w:rPr>
          <w:iCs/>
          <w:color w:val="000000"/>
          <w:sz w:val="22"/>
          <w:szCs w:val="22"/>
          <w:lang w:val="sk-SK"/>
        </w:rPr>
        <w:t xml:space="preserve"> sa prejavuje zníženou ľavou komorovou </w:t>
      </w:r>
      <w:proofErr w:type="spellStart"/>
      <w:r w:rsidRPr="004C7BAE">
        <w:rPr>
          <w:iCs/>
          <w:color w:val="000000"/>
          <w:sz w:val="22"/>
          <w:szCs w:val="22"/>
          <w:lang w:val="sk-SK"/>
        </w:rPr>
        <w:t>ejekčnou</w:t>
      </w:r>
      <w:proofErr w:type="spellEnd"/>
      <w:r w:rsidRPr="004C7BAE">
        <w:rPr>
          <w:iCs/>
          <w:color w:val="000000"/>
          <w:sz w:val="22"/>
          <w:szCs w:val="22"/>
          <w:lang w:val="sk-SK"/>
        </w:rPr>
        <w:t xml:space="preserve"> frakciou (LVEF) a/alebo symptómami a príznakmi </w:t>
      </w:r>
      <w:proofErr w:type="spellStart"/>
      <w:r w:rsidRPr="004C7BAE">
        <w:rPr>
          <w:iCs/>
          <w:color w:val="000000"/>
          <w:sz w:val="22"/>
          <w:szCs w:val="22"/>
          <w:lang w:val="sk-SK"/>
        </w:rPr>
        <w:t>kongestívneho</w:t>
      </w:r>
      <w:proofErr w:type="spellEnd"/>
      <w:r w:rsidRPr="004C7BAE">
        <w:rPr>
          <w:iCs/>
          <w:color w:val="000000"/>
          <w:sz w:val="22"/>
          <w:szCs w:val="22"/>
          <w:lang w:val="sk-SK"/>
        </w:rPr>
        <w:t xml:space="preserve"> zlyhania srdca (CHF) ako je </w:t>
      </w:r>
      <w:proofErr w:type="spellStart"/>
      <w:r w:rsidRPr="004C7BAE">
        <w:rPr>
          <w:iCs/>
          <w:color w:val="000000"/>
          <w:sz w:val="22"/>
          <w:szCs w:val="22"/>
          <w:lang w:val="sk-SK"/>
        </w:rPr>
        <w:t>dyspnoe</w:t>
      </w:r>
      <w:proofErr w:type="spellEnd"/>
      <w:r w:rsidRPr="004C7BAE">
        <w:rPr>
          <w:iCs/>
          <w:color w:val="000000"/>
          <w:sz w:val="22"/>
          <w:szCs w:val="22"/>
          <w:lang w:val="sk-SK"/>
        </w:rPr>
        <w:t xml:space="preserve">, pľúcny edém, </w:t>
      </w:r>
      <w:proofErr w:type="spellStart"/>
      <w:r w:rsidRPr="004C7BAE">
        <w:rPr>
          <w:iCs/>
          <w:color w:val="000000"/>
          <w:sz w:val="22"/>
          <w:szCs w:val="22"/>
          <w:lang w:val="sk-SK"/>
        </w:rPr>
        <w:t>dependentný</w:t>
      </w:r>
      <w:proofErr w:type="spellEnd"/>
      <w:r w:rsidRPr="004C7BAE">
        <w:rPr>
          <w:iCs/>
          <w:color w:val="000000"/>
          <w:sz w:val="22"/>
          <w:szCs w:val="22"/>
          <w:lang w:val="sk-SK"/>
        </w:rPr>
        <w:t xml:space="preserve"> edém, </w:t>
      </w:r>
      <w:proofErr w:type="spellStart"/>
      <w:r w:rsidRPr="004C7BAE">
        <w:rPr>
          <w:iCs/>
          <w:color w:val="000000"/>
          <w:sz w:val="22"/>
          <w:szCs w:val="22"/>
          <w:lang w:val="sk-SK"/>
        </w:rPr>
        <w:t>kardiomegália</w:t>
      </w:r>
      <w:proofErr w:type="spellEnd"/>
      <w:r w:rsidRPr="004C7BAE">
        <w:rPr>
          <w:iCs/>
          <w:color w:val="000000"/>
          <w:sz w:val="22"/>
          <w:szCs w:val="22"/>
          <w:lang w:val="sk-SK"/>
        </w:rPr>
        <w:t xml:space="preserve"> a </w:t>
      </w:r>
      <w:proofErr w:type="spellStart"/>
      <w:r w:rsidRPr="004C7BAE">
        <w:rPr>
          <w:iCs/>
          <w:color w:val="000000"/>
          <w:sz w:val="22"/>
          <w:szCs w:val="22"/>
          <w:lang w:val="sk-SK"/>
        </w:rPr>
        <w:t>hepatomegália</w:t>
      </w:r>
      <w:proofErr w:type="spellEnd"/>
      <w:r w:rsidRPr="004C7BAE">
        <w:rPr>
          <w:iCs/>
          <w:color w:val="000000"/>
          <w:sz w:val="22"/>
          <w:szCs w:val="22"/>
          <w:lang w:val="sk-SK"/>
        </w:rPr>
        <w:t xml:space="preserve">, </w:t>
      </w:r>
      <w:proofErr w:type="spellStart"/>
      <w:r w:rsidRPr="004C7BAE">
        <w:rPr>
          <w:iCs/>
          <w:color w:val="000000"/>
          <w:sz w:val="22"/>
          <w:szCs w:val="22"/>
          <w:lang w:val="sk-SK"/>
        </w:rPr>
        <w:t>oligúria</w:t>
      </w:r>
      <w:proofErr w:type="spellEnd"/>
      <w:r w:rsidRPr="004C7BAE">
        <w:rPr>
          <w:iCs/>
          <w:color w:val="000000"/>
          <w:sz w:val="22"/>
          <w:szCs w:val="22"/>
          <w:lang w:val="sk-SK"/>
        </w:rPr>
        <w:t xml:space="preserve">, </w:t>
      </w:r>
      <w:proofErr w:type="spellStart"/>
      <w:r w:rsidRPr="004C7BAE">
        <w:rPr>
          <w:iCs/>
          <w:color w:val="000000"/>
          <w:sz w:val="22"/>
          <w:szCs w:val="22"/>
          <w:lang w:val="sk-SK"/>
        </w:rPr>
        <w:t>ascity</w:t>
      </w:r>
      <w:proofErr w:type="spellEnd"/>
      <w:r w:rsidRPr="004C7BAE">
        <w:rPr>
          <w:iCs/>
          <w:color w:val="000000"/>
          <w:sz w:val="22"/>
          <w:szCs w:val="22"/>
          <w:lang w:val="sk-SK"/>
        </w:rPr>
        <w:t xml:space="preserve">, </w:t>
      </w:r>
      <w:proofErr w:type="spellStart"/>
      <w:r w:rsidRPr="004C7BAE">
        <w:rPr>
          <w:iCs/>
          <w:color w:val="000000"/>
          <w:sz w:val="22"/>
          <w:szCs w:val="22"/>
          <w:lang w:val="sk-SK"/>
        </w:rPr>
        <w:t>pleurálna</w:t>
      </w:r>
      <w:proofErr w:type="spellEnd"/>
      <w:r w:rsidRPr="004C7BAE">
        <w:rPr>
          <w:iCs/>
          <w:color w:val="000000"/>
          <w:sz w:val="22"/>
          <w:szCs w:val="22"/>
          <w:lang w:val="sk-SK"/>
        </w:rPr>
        <w:t xml:space="preserve"> </w:t>
      </w:r>
      <w:proofErr w:type="spellStart"/>
      <w:r w:rsidRPr="004C7BAE">
        <w:rPr>
          <w:iCs/>
          <w:color w:val="000000"/>
          <w:sz w:val="22"/>
          <w:szCs w:val="22"/>
          <w:lang w:val="sk-SK"/>
        </w:rPr>
        <w:t>efúzia</w:t>
      </w:r>
      <w:proofErr w:type="spellEnd"/>
      <w:r w:rsidRPr="004C7BAE">
        <w:rPr>
          <w:iCs/>
          <w:color w:val="000000"/>
          <w:sz w:val="22"/>
          <w:szCs w:val="22"/>
          <w:lang w:val="sk-SK"/>
        </w:rPr>
        <w:t xml:space="preserve"> a cvalový rytmus. Život ohrozujúce CHF je najzávažnejšou formou </w:t>
      </w:r>
      <w:proofErr w:type="spellStart"/>
      <w:r w:rsidRPr="004C7BAE">
        <w:rPr>
          <w:iCs/>
          <w:color w:val="000000"/>
          <w:sz w:val="22"/>
          <w:szCs w:val="22"/>
          <w:lang w:val="sk-SK"/>
        </w:rPr>
        <w:t>antracyklínovej</w:t>
      </w:r>
      <w:proofErr w:type="spellEnd"/>
      <w:r w:rsidRPr="004C7BAE">
        <w:rPr>
          <w:iCs/>
          <w:color w:val="000000"/>
          <w:sz w:val="22"/>
          <w:szCs w:val="22"/>
          <w:lang w:val="sk-SK"/>
        </w:rPr>
        <w:t xml:space="preserve"> </w:t>
      </w:r>
      <w:proofErr w:type="spellStart"/>
      <w:r w:rsidRPr="004C7BAE">
        <w:rPr>
          <w:iCs/>
          <w:color w:val="000000"/>
          <w:sz w:val="22"/>
          <w:szCs w:val="22"/>
          <w:lang w:val="sk-SK"/>
        </w:rPr>
        <w:t>kardiomyopatie</w:t>
      </w:r>
      <w:proofErr w:type="spellEnd"/>
      <w:r w:rsidRPr="004C7BAE">
        <w:rPr>
          <w:iCs/>
          <w:color w:val="000000"/>
          <w:sz w:val="22"/>
          <w:szCs w:val="22"/>
          <w:lang w:val="sk-SK"/>
        </w:rPr>
        <w:t xml:space="preserve"> a predstavuje kumulatívne dávku – limitujúcu toxicitu lieku.</w:t>
      </w:r>
    </w:p>
    <w:p w14:paraId="1A00444B" w14:textId="77777777" w:rsidR="00BA5AFA" w:rsidRPr="004C7BAE" w:rsidRDefault="002418A6">
      <w:pPr>
        <w:rPr>
          <w:color w:val="000000"/>
          <w:sz w:val="22"/>
          <w:szCs w:val="22"/>
          <w:lang w:val="sk-SK"/>
        </w:rPr>
      </w:pPr>
      <w:r w:rsidRPr="004C7BAE">
        <w:rPr>
          <w:sz w:val="22"/>
          <w:szCs w:val="22"/>
          <w:lang w:val="sk-SK"/>
        </w:rPr>
        <w:t xml:space="preserve">Riziko vzniku CHF sa rýchlo zvyšuje pri zvyšovaní celkových kumulatívnych dávok </w:t>
      </w:r>
      <w:proofErr w:type="spellStart"/>
      <w:r w:rsidRPr="004C7BAE">
        <w:rPr>
          <w:sz w:val="22"/>
          <w:szCs w:val="22"/>
          <w:lang w:val="sk-SK"/>
        </w:rPr>
        <w:t>epirubicín</w:t>
      </w:r>
      <w:proofErr w:type="spellEnd"/>
      <w:r w:rsidRPr="004C7BAE">
        <w:rPr>
          <w:sz w:val="22"/>
          <w:szCs w:val="22"/>
          <w:lang w:val="sk-SK"/>
        </w:rPr>
        <w:t xml:space="preserve"> </w:t>
      </w:r>
      <w:proofErr w:type="spellStart"/>
      <w:r w:rsidRPr="004C7BAE">
        <w:rPr>
          <w:sz w:val="22"/>
          <w:szCs w:val="22"/>
          <w:lang w:val="sk-SK"/>
        </w:rPr>
        <w:t>hydrochloridu</w:t>
      </w:r>
      <w:proofErr w:type="spellEnd"/>
      <w:r w:rsidRPr="004C7BAE">
        <w:rPr>
          <w:sz w:val="22"/>
          <w:szCs w:val="22"/>
          <w:lang w:val="sk-SK"/>
        </w:rPr>
        <w:t>, prekračujúcich 900 mg/m²; táto kumulatívna dávka môže by</w:t>
      </w:r>
      <w:r w:rsidRPr="004C7BAE">
        <w:rPr>
          <w:color w:val="000000"/>
          <w:sz w:val="22"/>
          <w:szCs w:val="22"/>
          <w:lang w:val="sk-SK"/>
        </w:rPr>
        <w:t>ť prekročená len z extrémnou opatrnosťou (pozri časť 5.1).</w:t>
      </w:r>
    </w:p>
    <w:p w14:paraId="1748BF40" w14:textId="77777777" w:rsidR="00BA5AFA" w:rsidRPr="004C7BAE" w:rsidRDefault="00BA5AFA">
      <w:pPr>
        <w:rPr>
          <w:sz w:val="22"/>
          <w:szCs w:val="22"/>
          <w:lang w:val="sk-SK"/>
        </w:rPr>
      </w:pPr>
    </w:p>
    <w:p w14:paraId="5CDDB119" w14:textId="77777777" w:rsidR="00660307" w:rsidRDefault="002418A6">
      <w:pPr>
        <w:pStyle w:val="Zarkazkladnhotextu3"/>
        <w:ind w:left="0"/>
        <w:rPr>
          <w:sz w:val="22"/>
          <w:szCs w:val="22"/>
          <w:lang w:val="sk-SK"/>
        </w:rPr>
      </w:pPr>
      <w:r w:rsidRPr="004C7BAE">
        <w:rPr>
          <w:sz w:val="22"/>
          <w:szCs w:val="22"/>
          <w:lang w:val="sk-SK"/>
        </w:rPr>
        <w:t>Monitorovanie funkcie srdca</w:t>
      </w:r>
    </w:p>
    <w:p w14:paraId="3FDFE46C" w14:textId="66DDA744" w:rsidR="00BA5AFA" w:rsidRPr="004C7BAE" w:rsidRDefault="002418A6">
      <w:pPr>
        <w:pStyle w:val="Zarkazkladnhotextu3"/>
        <w:ind w:left="0"/>
        <w:rPr>
          <w:i w:val="0"/>
          <w:sz w:val="22"/>
          <w:szCs w:val="22"/>
          <w:lang w:val="sk-SK"/>
        </w:rPr>
      </w:pPr>
      <w:r w:rsidRPr="004C7BAE">
        <w:rPr>
          <w:i w:val="0"/>
          <w:color w:val="000000"/>
          <w:sz w:val="22"/>
          <w:szCs w:val="22"/>
          <w:lang w:val="sk-SK"/>
        </w:rPr>
        <w:t xml:space="preserve">Srdcové funkcie musia byť posúdené predtým, ako pacienti podstúpia liečbu </w:t>
      </w:r>
      <w:proofErr w:type="spellStart"/>
      <w:r w:rsidRPr="004C7BAE">
        <w:rPr>
          <w:i w:val="0"/>
          <w:color w:val="000000"/>
          <w:sz w:val="22"/>
          <w:szCs w:val="22"/>
          <w:lang w:val="sk-SK"/>
        </w:rPr>
        <w:t>epirubicínom</w:t>
      </w:r>
      <w:proofErr w:type="spellEnd"/>
      <w:r w:rsidRPr="004C7BAE">
        <w:rPr>
          <w:i w:val="0"/>
          <w:color w:val="000000"/>
          <w:sz w:val="22"/>
          <w:szCs w:val="22"/>
          <w:lang w:val="sk-SK"/>
        </w:rPr>
        <w:t xml:space="preserve"> a musia byť monitorovaní po celý čas terapie, aby sa minimalizovalo riziko závažnej srdcovej poruchy.</w:t>
      </w:r>
    </w:p>
    <w:p w14:paraId="0B4AE2FF" w14:textId="77777777" w:rsidR="00BA5AFA" w:rsidRPr="004C7BAE" w:rsidRDefault="002418A6">
      <w:pPr>
        <w:pStyle w:val="Zarkazkladnhotextu3"/>
        <w:ind w:left="0"/>
        <w:rPr>
          <w:i w:val="0"/>
          <w:sz w:val="22"/>
          <w:szCs w:val="22"/>
          <w:lang w:val="sk-SK"/>
        </w:rPr>
      </w:pPr>
      <w:r w:rsidRPr="004C7BAE">
        <w:rPr>
          <w:i w:val="0"/>
          <w:sz w:val="22"/>
          <w:szCs w:val="22"/>
          <w:lang w:val="sk-SK"/>
        </w:rPr>
        <w:t xml:space="preserve">Riziko závažnej srdcovej poruchy sa môže znížiť pravidelným sledovaním LVEF počas priebehu liečby s okamžitým prerušením podávania </w:t>
      </w:r>
      <w:proofErr w:type="spellStart"/>
      <w:r w:rsidRPr="004C7BAE">
        <w:rPr>
          <w:i w:val="0"/>
          <w:sz w:val="22"/>
          <w:szCs w:val="22"/>
          <w:lang w:val="sk-SK"/>
        </w:rPr>
        <w:t>epirubicínu</w:t>
      </w:r>
      <w:proofErr w:type="spellEnd"/>
      <w:r w:rsidRPr="004C7BAE">
        <w:rPr>
          <w:i w:val="0"/>
          <w:sz w:val="22"/>
          <w:szCs w:val="22"/>
          <w:lang w:val="sk-SK"/>
        </w:rPr>
        <w:t xml:space="preserve"> pri prvých príznakoch narušenej funkcie. Najvhodnejšia kvantitatívna metóda na opakované posúdenie srdcovej funkcie (vyhodnotenie LVEF) zahŕňa </w:t>
      </w:r>
      <w:proofErr w:type="spellStart"/>
      <w:r w:rsidRPr="004C7BAE">
        <w:rPr>
          <w:i w:val="0"/>
          <w:sz w:val="22"/>
          <w:szCs w:val="22"/>
          <w:lang w:val="sk-SK"/>
        </w:rPr>
        <w:t>rádionuklidovú</w:t>
      </w:r>
      <w:proofErr w:type="spellEnd"/>
      <w:r w:rsidRPr="004C7BAE">
        <w:rPr>
          <w:i w:val="0"/>
          <w:sz w:val="22"/>
          <w:szCs w:val="22"/>
          <w:lang w:val="sk-SK"/>
        </w:rPr>
        <w:t xml:space="preserve"> </w:t>
      </w:r>
      <w:proofErr w:type="spellStart"/>
      <w:r w:rsidRPr="004C7BAE">
        <w:rPr>
          <w:i w:val="0"/>
          <w:sz w:val="22"/>
          <w:szCs w:val="22"/>
          <w:lang w:val="sk-SK"/>
        </w:rPr>
        <w:t>angiografiu</w:t>
      </w:r>
      <w:proofErr w:type="spellEnd"/>
      <w:r w:rsidRPr="004C7BAE">
        <w:rPr>
          <w:i w:val="0"/>
          <w:sz w:val="22"/>
          <w:szCs w:val="22"/>
          <w:lang w:val="sk-SK"/>
        </w:rPr>
        <w:t xml:space="preserve"> viacerých prechodov (MUGA) alebo </w:t>
      </w:r>
      <w:proofErr w:type="spellStart"/>
      <w:r w:rsidRPr="004C7BAE">
        <w:rPr>
          <w:i w:val="0"/>
          <w:sz w:val="22"/>
          <w:szCs w:val="22"/>
          <w:lang w:val="sk-SK"/>
        </w:rPr>
        <w:t>echokardiografiu</w:t>
      </w:r>
      <w:proofErr w:type="spellEnd"/>
      <w:r w:rsidRPr="004C7BAE">
        <w:rPr>
          <w:i w:val="0"/>
          <w:sz w:val="22"/>
          <w:szCs w:val="22"/>
          <w:lang w:val="sk-SK"/>
        </w:rPr>
        <w:t xml:space="preserve"> (ECHO). Základné kardiálne vyhodnotenie s EKG a </w:t>
      </w:r>
      <w:proofErr w:type="spellStart"/>
      <w:r w:rsidRPr="004C7BAE">
        <w:rPr>
          <w:i w:val="0"/>
          <w:sz w:val="22"/>
          <w:szCs w:val="22"/>
          <w:lang w:val="sk-SK"/>
        </w:rPr>
        <w:t>skenom</w:t>
      </w:r>
      <w:proofErr w:type="spellEnd"/>
      <w:r w:rsidRPr="004C7BAE">
        <w:rPr>
          <w:i w:val="0"/>
          <w:sz w:val="22"/>
          <w:szCs w:val="22"/>
          <w:lang w:val="sk-SK"/>
        </w:rPr>
        <w:t xml:space="preserve"> MUGA alebo ECHO sa odporúča najmä u pacientov s rizikovými faktormi pre zvýšenú srdcovú toxicitu. Opakované MUGA alebo ECHO určovania LVEF sa majú vykonávať obzvlášť pri vyšších kumulatívnych </w:t>
      </w:r>
      <w:proofErr w:type="spellStart"/>
      <w:r w:rsidRPr="004C7BAE">
        <w:rPr>
          <w:i w:val="0"/>
          <w:sz w:val="22"/>
          <w:szCs w:val="22"/>
          <w:lang w:val="sk-SK"/>
        </w:rPr>
        <w:t>antracyklínových</w:t>
      </w:r>
      <w:proofErr w:type="spellEnd"/>
      <w:r w:rsidRPr="004C7BAE">
        <w:rPr>
          <w:i w:val="0"/>
          <w:sz w:val="22"/>
          <w:szCs w:val="22"/>
          <w:lang w:val="sk-SK"/>
        </w:rPr>
        <w:t xml:space="preserve"> dávkach. </w:t>
      </w:r>
      <w:r w:rsidRPr="004C7BAE">
        <w:rPr>
          <w:i w:val="0"/>
          <w:color w:val="000000"/>
          <w:sz w:val="22"/>
          <w:szCs w:val="22"/>
          <w:lang w:val="sk-SK"/>
        </w:rPr>
        <w:t xml:space="preserve">Počas celého sledovania sa musia používať rovnaké techniky hodnotenia. </w:t>
      </w:r>
    </w:p>
    <w:p w14:paraId="52F3095B" w14:textId="77777777" w:rsidR="00BA5AFA" w:rsidRPr="004C7BAE" w:rsidRDefault="00BA5AFA">
      <w:pPr>
        <w:pStyle w:val="Zarkazkladnhotextu3"/>
        <w:ind w:left="0"/>
        <w:rPr>
          <w:i w:val="0"/>
          <w:sz w:val="22"/>
          <w:szCs w:val="22"/>
          <w:lang w:val="sk-SK"/>
        </w:rPr>
      </w:pPr>
    </w:p>
    <w:p w14:paraId="50BAD527" w14:textId="77777777" w:rsidR="00BA5AFA" w:rsidRPr="004C7BAE" w:rsidRDefault="002418A6">
      <w:pPr>
        <w:rPr>
          <w:sz w:val="22"/>
          <w:szCs w:val="22"/>
          <w:lang w:val="sk-SK"/>
        </w:rPr>
      </w:pPr>
      <w:r w:rsidRPr="004C7BAE">
        <w:rPr>
          <w:sz w:val="22"/>
          <w:szCs w:val="22"/>
          <w:lang w:val="sk-SK"/>
        </w:rPr>
        <w:t xml:space="preserve">S ohľadom na riziko </w:t>
      </w:r>
      <w:proofErr w:type="spellStart"/>
      <w:r w:rsidRPr="004C7BAE">
        <w:rPr>
          <w:sz w:val="22"/>
          <w:szCs w:val="22"/>
          <w:lang w:val="sk-SK"/>
        </w:rPr>
        <w:t>kardiomyopatie</w:t>
      </w:r>
      <w:proofErr w:type="spellEnd"/>
      <w:r w:rsidRPr="004C7BAE">
        <w:rPr>
          <w:sz w:val="22"/>
          <w:szCs w:val="22"/>
          <w:lang w:val="sk-SK"/>
        </w:rPr>
        <w:t xml:space="preserve"> by sa kumulatívna dávka </w:t>
      </w:r>
      <w:proofErr w:type="spellStart"/>
      <w:r w:rsidRPr="004C7BAE">
        <w:rPr>
          <w:sz w:val="22"/>
          <w:szCs w:val="22"/>
          <w:lang w:val="sk-SK"/>
        </w:rPr>
        <w:t>epirubicín</w:t>
      </w:r>
      <w:proofErr w:type="spellEnd"/>
      <w:r w:rsidRPr="004C7BAE">
        <w:rPr>
          <w:sz w:val="22"/>
          <w:szCs w:val="22"/>
          <w:lang w:val="sk-SK"/>
        </w:rPr>
        <w:t xml:space="preserve"> </w:t>
      </w:r>
      <w:proofErr w:type="spellStart"/>
      <w:r w:rsidRPr="004C7BAE">
        <w:rPr>
          <w:sz w:val="22"/>
          <w:szCs w:val="22"/>
          <w:lang w:val="sk-SK"/>
        </w:rPr>
        <w:t>hydrochloridu</w:t>
      </w:r>
      <w:proofErr w:type="spellEnd"/>
      <w:r w:rsidRPr="004C7BAE">
        <w:rPr>
          <w:sz w:val="22"/>
          <w:szCs w:val="22"/>
          <w:lang w:val="sk-SK"/>
        </w:rPr>
        <w:t xml:space="preserve"> 900 mg/m² mala prekra</w:t>
      </w:r>
      <w:r w:rsidRPr="004C7BAE">
        <w:rPr>
          <w:color w:val="000000"/>
          <w:sz w:val="22"/>
          <w:szCs w:val="22"/>
          <w:lang w:val="sk-SK"/>
        </w:rPr>
        <w:t>čovať len s extrémnou opatrnosťou.</w:t>
      </w:r>
    </w:p>
    <w:p w14:paraId="2A9024FE" w14:textId="77777777" w:rsidR="00BA5AFA" w:rsidRPr="004C7BAE" w:rsidRDefault="00BA5AFA">
      <w:pPr>
        <w:rPr>
          <w:sz w:val="22"/>
          <w:szCs w:val="22"/>
          <w:lang w:val="sk-SK"/>
        </w:rPr>
      </w:pPr>
    </w:p>
    <w:p w14:paraId="76E7E65B" w14:textId="77777777" w:rsidR="00BA5AFA" w:rsidRPr="004C7BAE" w:rsidRDefault="002418A6">
      <w:pPr>
        <w:rPr>
          <w:color w:val="000000"/>
          <w:sz w:val="22"/>
          <w:szCs w:val="22"/>
          <w:lang w:val="sk-SK"/>
        </w:rPr>
      </w:pPr>
      <w:proofErr w:type="spellStart"/>
      <w:r w:rsidRPr="004C7BAE">
        <w:rPr>
          <w:sz w:val="22"/>
          <w:szCs w:val="22"/>
          <w:lang w:val="sk-SK"/>
        </w:rPr>
        <w:t>Kardiomyopatia</w:t>
      </w:r>
      <w:proofErr w:type="spellEnd"/>
      <w:r w:rsidRPr="004C7BAE">
        <w:rPr>
          <w:sz w:val="22"/>
          <w:szCs w:val="22"/>
          <w:lang w:val="sk-SK"/>
        </w:rPr>
        <w:t xml:space="preserve"> vyvolaná </w:t>
      </w:r>
      <w:proofErr w:type="spellStart"/>
      <w:r w:rsidRPr="004C7BAE">
        <w:rPr>
          <w:sz w:val="22"/>
          <w:szCs w:val="22"/>
          <w:lang w:val="sk-SK"/>
        </w:rPr>
        <w:t>antracyklínmi</w:t>
      </w:r>
      <w:proofErr w:type="spellEnd"/>
      <w:r w:rsidRPr="004C7BAE">
        <w:rPr>
          <w:sz w:val="22"/>
          <w:szCs w:val="22"/>
          <w:lang w:val="sk-SK"/>
        </w:rPr>
        <w:t xml:space="preserve"> je spojená s trvalým znížením QRS napätia, predĺžením </w:t>
      </w:r>
      <w:proofErr w:type="spellStart"/>
      <w:r w:rsidRPr="004C7BAE">
        <w:rPr>
          <w:sz w:val="22"/>
          <w:szCs w:val="22"/>
          <w:lang w:val="sk-SK"/>
        </w:rPr>
        <w:t>systolického</w:t>
      </w:r>
      <w:proofErr w:type="spellEnd"/>
      <w:r w:rsidRPr="004C7BAE">
        <w:rPr>
          <w:sz w:val="22"/>
          <w:szCs w:val="22"/>
          <w:lang w:val="sk-SK"/>
        </w:rPr>
        <w:t xml:space="preserve"> intervalu (PEP) za bežné limity a znížením času </w:t>
      </w:r>
      <w:proofErr w:type="spellStart"/>
      <w:r w:rsidRPr="004C7BAE">
        <w:rPr>
          <w:sz w:val="22"/>
          <w:szCs w:val="22"/>
          <w:lang w:val="sk-SK"/>
        </w:rPr>
        <w:t>ejekčnej</w:t>
      </w:r>
      <w:proofErr w:type="spellEnd"/>
      <w:r w:rsidRPr="004C7BAE">
        <w:rPr>
          <w:sz w:val="22"/>
          <w:szCs w:val="22"/>
          <w:lang w:val="sk-SK"/>
        </w:rPr>
        <w:t xml:space="preserve"> frakcie (LVET). </w:t>
      </w:r>
      <w:r w:rsidRPr="004C7BAE">
        <w:rPr>
          <w:color w:val="000000"/>
          <w:sz w:val="22"/>
          <w:szCs w:val="22"/>
          <w:lang w:val="sk-SK"/>
        </w:rPr>
        <w:t xml:space="preserve">Zmeny elektrokardiogramu (EKG) môžu indikovať </w:t>
      </w:r>
      <w:proofErr w:type="spellStart"/>
      <w:r w:rsidRPr="004C7BAE">
        <w:rPr>
          <w:color w:val="000000"/>
          <w:sz w:val="22"/>
          <w:szCs w:val="22"/>
          <w:lang w:val="sk-SK"/>
        </w:rPr>
        <w:t>antracyklínmi</w:t>
      </w:r>
      <w:proofErr w:type="spellEnd"/>
      <w:r w:rsidRPr="004C7BAE">
        <w:rPr>
          <w:color w:val="000000"/>
          <w:sz w:val="22"/>
          <w:szCs w:val="22"/>
          <w:lang w:val="sk-SK"/>
        </w:rPr>
        <w:t xml:space="preserve"> vyvolanú </w:t>
      </w:r>
      <w:proofErr w:type="spellStart"/>
      <w:r w:rsidRPr="004C7BAE">
        <w:rPr>
          <w:color w:val="000000"/>
          <w:sz w:val="22"/>
          <w:szCs w:val="22"/>
          <w:lang w:val="sk-SK"/>
        </w:rPr>
        <w:t>kardiomyopatiu</w:t>
      </w:r>
      <w:proofErr w:type="spellEnd"/>
      <w:r w:rsidRPr="004C7BAE">
        <w:rPr>
          <w:color w:val="000000"/>
          <w:sz w:val="22"/>
          <w:szCs w:val="22"/>
          <w:lang w:val="sk-SK"/>
        </w:rPr>
        <w:t xml:space="preserve">, avšak EKG nie je citlivou alebo špecifickou metódou na sledovanie </w:t>
      </w:r>
      <w:proofErr w:type="spellStart"/>
      <w:r w:rsidRPr="004C7BAE">
        <w:rPr>
          <w:color w:val="000000"/>
          <w:sz w:val="22"/>
          <w:szCs w:val="22"/>
          <w:lang w:val="sk-SK"/>
        </w:rPr>
        <w:t>kardiotoxicity</w:t>
      </w:r>
      <w:proofErr w:type="spellEnd"/>
      <w:r w:rsidRPr="004C7BAE">
        <w:rPr>
          <w:color w:val="000000"/>
          <w:sz w:val="22"/>
          <w:szCs w:val="22"/>
          <w:lang w:val="sk-SK"/>
        </w:rPr>
        <w:t xml:space="preserve"> spôsobenej </w:t>
      </w:r>
      <w:proofErr w:type="spellStart"/>
      <w:r w:rsidRPr="004C7BAE">
        <w:rPr>
          <w:color w:val="000000"/>
          <w:sz w:val="22"/>
          <w:szCs w:val="22"/>
          <w:lang w:val="sk-SK"/>
        </w:rPr>
        <w:t>antracyklínmi</w:t>
      </w:r>
      <w:proofErr w:type="spellEnd"/>
      <w:r w:rsidRPr="004C7BAE">
        <w:rPr>
          <w:color w:val="000000"/>
          <w:sz w:val="22"/>
          <w:szCs w:val="22"/>
          <w:lang w:val="sk-SK"/>
        </w:rPr>
        <w:t>.</w:t>
      </w:r>
    </w:p>
    <w:p w14:paraId="397D3934" w14:textId="77777777" w:rsidR="00BA5AFA" w:rsidRPr="004C7BAE" w:rsidRDefault="00BA5AFA">
      <w:pPr>
        <w:rPr>
          <w:color w:val="000000"/>
          <w:sz w:val="22"/>
          <w:szCs w:val="22"/>
          <w:lang w:val="sk-SK"/>
        </w:rPr>
      </w:pPr>
    </w:p>
    <w:p w14:paraId="14085B62" w14:textId="77777777" w:rsidR="00BA5AFA" w:rsidRPr="004C7BAE" w:rsidRDefault="002418A6">
      <w:pPr>
        <w:rPr>
          <w:color w:val="000000"/>
          <w:sz w:val="22"/>
          <w:szCs w:val="22"/>
          <w:lang w:val="sk-SK"/>
        </w:rPr>
      </w:pPr>
      <w:r w:rsidRPr="004C7BAE">
        <w:rPr>
          <w:sz w:val="22"/>
          <w:szCs w:val="22"/>
          <w:lang w:val="sk-SK"/>
        </w:rPr>
        <w:t xml:space="preserve">Medzi rizikové faktory kardiálnej toxicity patrí aktívne alebo latentné srdcovocievne ochorenie, predchádzajúca alebo súčasná rádioterapia v oblasti </w:t>
      </w:r>
      <w:proofErr w:type="spellStart"/>
      <w:r w:rsidRPr="004C7BAE">
        <w:rPr>
          <w:sz w:val="22"/>
          <w:szCs w:val="22"/>
          <w:lang w:val="sk-SK"/>
        </w:rPr>
        <w:t>mediastína</w:t>
      </w:r>
      <w:proofErr w:type="spellEnd"/>
      <w:r w:rsidRPr="004C7BAE">
        <w:rPr>
          <w:sz w:val="22"/>
          <w:szCs w:val="22"/>
          <w:lang w:val="sk-SK"/>
        </w:rPr>
        <w:t>/</w:t>
      </w:r>
      <w:proofErr w:type="spellStart"/>
      <w:r w:rsidRPr="004C7BAE">
        <w:rPr>
          <w:sz w:val="22"/>
          <w:szCs w:val="22"/>
          <w:lang w:val="sk-SK"/>
        </w:rPr>
        <w:t>perikardia</w:t>
      </w:r>
      <w:proofErr w:type="spellEnd"/>
      <w:r w:rsidRPr="004C7BAE">
        <w:rPr>
          <w:sz w:val="22"/>
          <w:szCs w:val="22"/>
          <w:lang w:val="sk-SK"/>
        </w:rPr>
        <w:t xml:space="preserve">, predchádzajúca terapia s inými </w:t>
      </w:r>
      <w:proofErr w:type="spellStart"/>
      <w:r w:rsidRPr="004C7BAE">
        <w:rPr>
          <w:sz w:val="22"/>
          <w:szCs w:val="22"/>
          <w:lang w:val="sk-SK"/>
        </w:rPr>
        <w:t>antracyklínmi</w:t>
      </w:r>
      <w:proofErr w:type="spellEnd"/>
      <w:r w:rsidRPr="004C7BAE">
        <w:rPr>
          <w:sz w:val="22"/>
          <w:szCs w:val="22"/>
          <w:lang w:val="sk-SK"/>
        </w:rPr>
        <w:t xml:space="preserve"> alebo </w:t>
      </w:r>
      <w:proofErr w:type="spellStart"/>
      <w:r w:rsidRPr="004C7BAE">
        <w:rPr>
          <w:sz w:val="22"/>
          <w:szCs w:val="22"/>
          <w:lang w:val="sk-SK"/>
        </w:rPr>
        <w:t>antracéndionmi</w:t>
      </w:r>
      <w:proofErr w:type="spellEnd"/>
      <w:r w:rsidRPr="004C7BAE">
        <w:rPr>
          <w:sz w:val="22"/>
          <w:szCs w:val="22"/>
          <w:lang w:val="sk-SK"/>
        </w:rPr>
        <w:t xml:space="preserve">, súčasné používanie iných liekov so schopnosťou potlačiť </w:t>
      </w:r>
      <w:proofErr w:type="spellStart"/>
      <w:r w:rsidRPr="004C7BAE">
        <w:rPr>
          <w:sz w:val="22"/>
          <w:szCs w:val="22"/>
          <w:lang w:val="sk-SK"/>
        </w:rPr>
        <w:t>kontraktilitu</w:t>
      </w:r>
      <w:proofErr w:type="spellEnd"/>
      <w:r w:rsidRPr="004C7BAE">
        <w:rPr>
          <w:sz w:val="22"/>
          <w:szCs w:val="22"/>
          <w:lang w:val="sk-SK"/>
        </w:rPr>
        <w:t xml:space="preserve"> srdca, alebo </w:t>
      </w:r>
      <w:proofErr w:type="spellStart"/>
      <w:r w:rsidRPr="004C7BAE">
        <w:rPr>
          <w:sz w:val="22"/>
          <w:szCs w:val="22"/>
          <w:lang w:val="sk-SK"/>
        </w:rPr>
        <w:t>kardiotoxických</w:t>
      </w:r>
      <w:proofErr w:type="spellEnd"/>
      <w:r w:rsidRPr="004C7BAE">
        <w:rPr>
          <w:sz w:val="22"/>
          <w:szCs w:val="22"/>
          <w:lang w:val="sk-SK"/>
        </w:rPr>
        <w:t xml:space="preserve"> liekov (napr. </w:t>
      </w:r>
      <w:proofErr w:type="spellStart"/>
      <w:r w:rsidRPr="004C7BAE">
        <w:rPr>
          <w:sz w:val="22"/>
          <w:szCs w:val="22"/>
          <w:lang w:val="sk-SK"/>
        </w:rPr>
        <w:t>trastuzumab</w:t>
      </w:r>
      <w:proofErr w:type="spellEnd"/>
      <w:r w:rsidRPr="004C7BAE">
        <w:rPr>
          <w:sz w:val="22"/>
          <w:szCs w:val="22"/>
          <w:lang w:val="sk-SK"/>
        </w:rPr>
        <w:t>) (pozri časť 4.5), pričom je zvýšené riziko u starších pacientov.</w:t>
      </w:r>
    </w:p>
    <w:p w14:paraId="1FA669C3" w14:textId="77777777" w:rsidR="00BA5AFA" w:rsidRPr="004C7BAE" w:rsidRDefault="002418A6">
      <w:pPr>
        <w:rPr>
          <w:sz w:val="22"/>
          <w:szCs w:val="22"/>
          <w:lang w:val="sk-SK"/>
        </w:rPr>
      </w:pPr>
      <w:r w:rsidRPr="004C7BAE">
        <w:rPr>
          <w:color w:val="000000"/>
          <w:sz w:val="22"/>
          <w:szCs w:val="22"/>
          <w:lang w:val="sk-SK"/>
        </w:rPr>
        <w:t xml:space="preserve">Monitorovanie srdcovej funkcie musí byť mimoriadne striktné u pacientov dostávajúcich vysoké kumulatívne dávky a u pacientov s rizikovými faktormi. S </w:t>
      </w:r>
      <w:proofErr w:type="spellStart"/>
      <w:r w:rsidRPr="004C7BAE">
        <w:rPr>
          <w:color w:val="000000"/>
          <w:sz w:val="22"/>
          <w:szCs w:val="22"/>
          <w:lang w:val="sk-SK"/>
        </w:rPr>
        <w:t>epirubicínom</w:t>
      </w:r>
      <w:proofErr w:type="spellEnd"/>
      <w:r w:rsidRPr="004C7BAE">
        <w:rPr>
          <w:color w:val="000000"/>
          <w:sz w:val="22"/>
          <w:szCs w:val="22"/>
          <w:lang w:val="sk-SK"/>
        </w:rPr>
        <w:t xml:space="preserve"> však môže ku </w:t>
      </w:r>
      <w:proofErr w:type="spellStart"/>
      <w:r w:rsidRPr="004C7BAE">
        <w:rPr>
          <w:color w:val="000000"/>
          <w:sz w:val="22"/>
          <w:szCs w:val="22"/>
          <w:lang w:val="sk-SK"/>
        </w:rPr>
        <w:t>kardiotoxicite</w:t>
      </w:r>
      <w:proofErr w:type="spellEnd"/>
      <w:r w:rsidRPr="004C7BAE">
        <w:rPr>
          <w:color w:val="000000"/>
          <w:sz w:val="22"/>
          <w:szCs w:val="22"/>
          <w:lang w:val="sk-SK"/>
        </w:rPr>
        <w:t xml:space="preserve"> dochádzať pri nižších kumulatívnych dávkach, či už kardiálne rizikové faktory existujú alebo nie.</w:t>
      </w:r>
    </w:p>
    <w:p w14:paraId="4E34294B" w14:textId="77777777" w:rsidR="00BA5AFA" w:rsidRPr="004C7BAE" w:rsidRDefault="002418A6">
      <w:pPr>
        <w:pStyle w:val="Zarkazkladnhotextu3"/>
        <w:ind w:left="0"/>
        <w:rPr>
          <w:sz w:val="22"/>
          <w:szCs w:val="22"/>
          <w:lang w:val="sk-SK"/>
        </w:rPr>
      </w:pPr>
      <w:r w:rsidRPr="004C7BAE">
        <w:rPr>
          <w:i w:val="0"/>
          <w:sz w:val="22"/>
          <w:szCs w:val="22"/>
          <w:lang w:val="sk-SK"/>
        </w:rPr>
        <w:t xml:space="preserve">Je pravdepodobné, že toxicita </w:t>
      </w:r>
      <w:proofErr w:type="spellStart"/>
      <w:r w:rsidRPr="004C7BAE">
        <w:rPr>
          <w:i w:val="0"/>
          <w:sz w:val="22"/>
          <w:szCs w:val="22"/>
          <w:lang w:val="sk-SK"/>
        </w:rPr>
        <w:t>epirubicínu</w:t>
      </w:r>
      <w:proofErr w:type="spellEnd"/>
      <w:r w:rsidRPr="004C7BAE">
        <w:rPr>
          <w:i w:val="0"/>
          <w:sz w:val="22"/>
          <w:szCs w:val="22"/>
          <w:lang w:val="sk-SK"/>
        </w:rPr>
        <w:t xml:space="preserve"> a iných </w:t>
      </w:r>
      <w:proofErr w:type="spellStart"/>
      <w:r w:rsidRPr="004C7BAE">
        <w:rPr>
          <w:i w:val="0"/>
          <w:sz w:val="22"/>
          <w:szCs w:val="22"/>
          <w:lang w:val="sk-SK"/>
        </w:rPr>
        <w:t>antracyklínov</w:t>
      </w:r>
      <w:proofErr w:type="spellEnd"/>
      <w:r w:rsidRPr="004C7BAE">
        <w:rPr>
          <w:i w:val="0"/>
          <w:sz w:val="22"/>
          <w:szCs w:val="22"/>
          <w:lang w:val="sk-SK"/>
        </w:rPr>
        <w:t xml:space="preserve"> alebo </w:t>
      </w:r>
      <w:proofErr w:type="spellStart"/>
      <w:r w:rsidRPr="004C7BAE">
        <w:rPr>
          <w:i w:val="0"/>
          <w:sz w:val="22"/>
          <w:szCs w:val="22"/>
          <w:lang w:val="sk-SK"/>
        </w:rPr>
        <w:t>antracéndionov</w:t>
      </w:r>
      <w:proofErr w:type="spellEnd"/>
      <w:r w:rsidRPr="004C7BAE">
        <w:rPr>
          <w:i w:val="0"/>
          <w:sz w:val="22"/>
          <w:szCs w:val="22"/>
          <w:lang w:val="sk-SK"/>
        </w:rPr>
        <w:t xml:space="preserve"> je aditívna.</w:t>
      </w:r>
      <w:r w:rsidRPr="004C7BAE">
        <w:rPr>
          <w:sz w:val="22"/>
          <w:szCs w:val="22"/>
          <w:lang w:val="sk-SK"/>
        </w:rPr>
        <w:t xml:space="preserve"> </w:t>
      </w:r>
    </w:p>
    <w:p w14:paraId="4220F8B7" w14:textId="77777777" w:rsidR="00BA5AFA" w:rsidRPr="004C7BAE" w:rsidRDefault="00BA5AFA">
      <w:pPr>
        <w:rPr>
          <w:sz w:val="22"/>
          <w:szCs w:val="22"/>
          <w:lang w:val="sk-SK"/>
        </w:rPr>
      </w:pPr>
    </w:p>
    <w:p w14:paraId="05F24F7D" w14:textId="6066BE75" w:rsidR="00660307" w:rsidRDefault="002418A6">
      <w:pPr>
        <w:rPr>
          <w:i/>
          <w:sz w:val="22"/>
          <w:szCs w:val="22"/>
          <w:lang w:val="sk-SK"/>
        </w:rPr>
      </w:pPr>
      <w:proofErr w:type="spellStart"/>
      <w:r w:rsidRPr="004C7BAE">
        <w:rPr>
          <w:i/>
          <w:sz w:val="22"/>
          <w:szCs w:val="22"/>
          <w:lang w:val="sk-SK"/>
        </w:rPr>
        <w:t>Kardiotoxicita</w:t>
      </w:r>
      <w:proofErr w:type="spellEnd"/>
      <w:r w:rsidRPr="004C7BAE">
        <w:rPr>
          <w:i/>
          <w:sz w:val="22"/>
          <w:szCs w:val="22"/>
          <w:lang w:val="sk-SK"/>
        </w:rPr>
        <w:t xml:space="preserve"> v kombinácii s</w:t>
      </w:r>
      <w:r w:rsidR="00660307">
        <w:rPr>
          <w:i/>
          <w:sz w:val="22"/>
          <w:szCs w:val="22"/>
          <w:lang w:val="sk-SK"/>
        </w:rPr>
        <w:t> </w:t>
      </w:r>
      <w:proofErr w:type="spellStart"/>
      <w:r w:rsidRPr="004C7BAE">
        <w:rPr>
          <w:i/>
          <w:sz w:val="22"/>
          <w:szCs w:val="22"/>
          <w:lang w:val="sk-SK"/>
        </w:rPr>
        <w:t>trastuzumabom</w:t>
      </w:r>
      <w:proofErr w:type="spellEnd"/>
    </w:p>
    <w:p w14:paraId="3BE01B11" w14:textId="60A577C7" w:rsidR="00BA5AFA" w:rsidRPr="004C7BAE" w:rsidRDefault="002418A6">
      <w:pPr>
        <w:rPr>
          <w:sz w:val="22"/>
          <w:szCs w:val="22"/>
          <w:lang w:val="sk-SK"/>
        </w:rPr>
      </w:pPr>
      <w:r w:rsidRPr="004C7BAE">
        <w:rPr>
          <w:sz w:val="22"/>
          <w:szCs w:val="22"/>
          <w:lang w:val="sk-SK"/>
        </w:rPr>
        <w:t>Zlyhanie srdca (stupeň II</w:t>
      </w:r>
      <w:r w:rsidRPr="004C7BAE">
        <w:rPr>
          <w:sz w:val="22"/>
          <w:szCs w:val="22"/>
          <w:lang w:val="sk-SK"/>
        </w:rPr>
        <w:noBreakHyphen/>
        <w:t xml:space="preserve">IV podľa New York </w:t>
      </w:r>
      <w:proofErr w:type="spellStart"/>
      <w:r w:rsidRPr="004C7BAE">
        <w:rPr>
          <w:sz w:val="22"/>
          <w:szCs w:val="22"/>
          <w:lang w:val="sk-SK"/>
        </w:rPr>
        <w:t>Heart</w:t>
      </w:r>
      <w:proofErr w:type="spellEnd"/>
      <w:r w:rsidRPr="004C7BAE">
        <w:rPr>
          <w:sz w:val="22"/>
          <w:szCs w:val="22"/>
          <w:lang w:val="sk-SK"/>
        </w:rPr>
        <w:t xml:space="preserve"> Association [NYHA]) bolo pozorované u pacientov dostávajúcich terapiu </w:t>
      </w:r>
      <w:proofErr w:type="spellStart"/>
      <w:r w:rsidRPr="004C7BAE">
        <w:rPr>
          <w:sz w:val="22"/>
          <w:szCs w:val="22"/>
          <w:lang w:val="sk-SK"/>
        </w:rPr>
        <w:t>trastuzumabom</w:t>
      </w:r>
      <w:proofErr w:type="spellEnd"/>
      <w:r w:rsidRPr="004C7BAE">
        <w:rPr>
          <w:sz w:val="22"/>
          <w:szCs w:val="22"/>
          <w:lang w:val="sk-SK"/>
        </w:rPr>
        <w:t xml:space="preserve"> samostatne alebo v kombinácii s </w:t>
      </w:r>
      <w:proofErr w:type="spellStart"/>
      <w:r w:rsidRPr="004C7BAE">
        <w:rPr>
          <w:sz w:val="22"/>
          <w:szCs w:val="22"/>
          <w:lang w:val="sk-SK"/>
        </w:rPr>
        <w:t>antracyklínmi</w:t>
      </w:r>
      <w:proofErr w:type="spellEnd"/>
      <w:r w:rsidRPr="004C7BAE">
        <w:rPr>
          <w:sz w:val="22"/>
          <w:szCs w:val="22"/>
          <w:lang w:val="sk-SK"/>
        </w:rPr>
        <w:t xml:space="preserve"> ako je </w:t>
      </w:r>
      <w:proofErr w:type="spellStart"/>
      <w:r w:rsidRPr="004C7BAE">
        <w:rPr>
          <w:sz w:val="22"/>
          <w:szCs w:val="22"/>
          <w:lang w:val="sk-SK"/>
        </w:rPr>
        <w:t>epirubicín</w:t>
      </w:r>
      <w:proofErr w:type="spellEnd"/>
      <w:r w:rsidRPr="004C7BAE">
        <w:rPr>
          <w:sz w:val="22"/>
          <w:szCs w:val="22"/>
          <w:lang w:val="sk-SK"/>
        </w:rPr>
        <w:t xml:space="preserve">. Tento účinok môže byť stredne ťažký alebo ťažký a bol spájaný s úmrtím. </w:t>
      </w:r>
    </w:p>
    <w:p w14:paraId="1F7B3EE8" w14:textId="77777777" w:rsidR="00BA5AFA" w:rsidRPr="004C7BAE" w:rsidRDefault="002418A6">
      <w:pPr>
        <w:rPr>
          <w:sz w:val="22"/>
          <w:szCs w:val="22"/>
          <w:lang w:val="sk-SK"/>
        </w:rPr>
      </w:pPr>
      <w:r w:rsidRPr="004C7BAE">
        <w:rPr>
          <w:sz w:val="22"/>
          <w:szCs w:val="22"/>
          <w:lang w:val="sk-SK"/>
        </w:rPr>
        <w:t xml:space="preserve">Kombinácia </w:t>
      </w:r>
      <w:proofErr w:type="spellStart"/>
      <w:r w:rsidRPr="004C7BAE">
        <w:rPr>
          <w:sz w:val="22"/>
          <w:szCs w:val="22"/>
          <w:lang w:val="sk-SK"/>
        </w:rPr>
        <w:t>trastuzumabu</w:t>
      </w:r>
      <w:proofErr w:type="spellEnd"/>
      <w:r w:rsidRPr="004C7BAE">
        <w:rPr>
          <w:sz w:val="22"/>
          <w:szCs w:val="22"/>
          <w:lang w:val="sk-SK"/>
        </w:rPr>
        <w:t xml:space="preserve"> a </w:t>
      </w:r>
      <w:proofErr w:type="spellStart"/>
      <w:r w:rsidRPr="004C7BAE">
        <w:rPr>
          <w:sz w:val="22"/>
          <w:szCs w:val="22"/>
          <w:lang w:val="sk-SK"/>
        </w:rPr>
        <w:t>antracyklínov</w:t>
      </w:r>
      <w:proofErr w:type="spellEnd"/>
      <w:r w:rsidRPr="004C7BAE">
        <w:rPr>
          <w:sz w:val="22"/>
          <w:szCs w:val="22"/>
          <w:lang w:val="sk-SK"/>
        </w:rPr>
        <w:t xml:space="preserve"> ako je </w:t>
      </w:r>
      <w:proofErr w:type="spellStart"/>
      <w:r w:rsidRPr="004C7BAE">
        <w:rPr>
          <w:sz w:val="22"/>
          <w:szCs w:val="22"/>
          <w:lang w:val="sk-SK"/>
        </w:rPr>
        <w:t>epirubicín</w:t>
      </w:r>
      <w:proofErr w:type="spellEnd"/>
      <w:r w:rsidRPr="004C7BAE">
        <w:rPr>
          <w:sz w:val="22"/>
          <w:szCs w:val="22"/>
          <w:lang w:val="sk-SK"/>
        </w:rPr>
        <w:t xml:space="preserve"> sa v súčasnej dobe nemá používať, okrem v podmienkach dobre kontrolovaných klinických štúdií zahrňujúcich monitorovanie srdcovej funkcie. U pacientov, ktorí predtým dostávali </w:t>
      </w:r>
      <w:proofErr w:type="spellStart"/>
      <w:r w:rsidRPr="004C7BAE">
        <w:rPr>
          <w:sz w:val="22"/>
          <w:szCs w:val="22"/>
          <w:lang w:val="sk-SK"/>
        </w:rPr>
        <w:t>antracyklíny</w:t>
      </w:r>
      <w:proofErr w:type="spellEnd"/>
      <w:r w:rsidRPr="004C7BAE">
        <w:rPr>
          <w:sz w:val="22"/>
          <w:szCs w:val="22"/>
          <w:lang w:val="sk-SK"/>
        </w:rPr>
        <w:t xml:space="preserve">, existuje tiež riziko </w:t>
      </w:r>
      <w:proofErr w:type="spellStart"/>
      <w:r w:rsidRPr="004C7BAE">
        <w:rPr>
          <w:sz w:val="22"/>
          <w:szCs w:val="22"/>
          <w:lang w:val="sk-SK"/>
        </w:rPr>
        <w:t>kardiotoxicity</w:t>
      </w:r>
      <w:proofErr w:type="spellEnd"/>
      <w:r w:rsidRPr="004C7BAE">
        <w:rPr>
          <w:sz w:val="22"/>
          <w:szCs w:val="22"/>
          <w:lang w:val="sk-SK"/>
        </w:rPr>
        <w:t xml:space="preserve"> pri liečbe </w:t>
      </w:r>
      <w:proofErr w:type="spellStart"/>
      <w:r w:rsidRPr="004C7BAE">
        <w:rPr>
          <w:sz w:val="22"/>
          <w:szCs w:val="22"/>
          <w:lang w:val="sk-SK"/>
        </w:rPr>
        <w:t>trastuzumabom</w:t>
      </w:r>
      <w:proofErr w:type="spellEnd"/>
      <w:r w:rsidRPr="004C7BAE">
        <w:rPr>
          <w:sz w:val="22"/>
          <w:szCs w:val="22"/>
          <w:lang w:val="sk-SK"/>
        </w:rPr>
        <w:t xml:space="preserve">, pričom toto riziko je nižšie ako pri súčasnom používaní </w:t>
      </w:r>
      <w:proofErr w:type="spellStart"/>
      <w:r w:rsidRPr="004C7BAE">
        <w:rPr>
          <w:sz w:val="22"/>
          <w:szCs w:val="22"/>
          <w:lang w:val="sk-SK"/>
        </w:rPr>
        <w:t>trastuzumabu</w:t>
      </w:r>
      <w:proofErr w:type="spellEnd"/>
      <w:r w:rsidRPr="004C7BAE">
        <w:rPr>
          <w:sz w:val="22"/>
          <w:szCs w:val="22"/>
          <w:lang w:val="sk-SK"/>
        </w:rPr>
        <w:t xml:space="preserve"> a </w:t>
      </w:r>
      <w:proofErr w:type="spellStart"/>
      <w:r w:rsidRPr="004C7BAE">
        <w:rPr>
          <w:sz w:val="22"/>
          <w:szCs w:val="22"/>
          <w:lang w:val="sk-SK"/>
        </w:rPr>
        <w:t>antracyklínov</w:t>
      </w:r>
      <w:proofErr w:type="spellEnd"/>
      <w:r w:rsidRPr="004C7BAE">
        <w:rPr>
          <w:sz w:val="22"/>
          <w:szCs w:val="22"/>
          <w:lang w:val="sk-SK"/>
        </w:rPr>
        <w:t>.</w:t>
      </w:r>
    </w:p>
    <w:p w14:paraId="56291B0E" w14:textId="6A1B1E10" w:rsidR="00BA5AFA" w:rsidRPr="004C7BAE" w:rsidRDefault="00263568">
      <w:pPr>
        <w:rPr>
          <w:sz w:val="22"/>
          <w:szCs w:val="22"/>
          <w:lang w:val="sk-SK"/>
        </w:rPr>
      </w:pPr>
      <w:r>
        <w:rPr>
          <w:sz w:val="22"/>
          <w:szCs w:val="22"/>
          <w:lang w:val="sk-SK"/>
        </w:rPr>
        <w:t>Uvádzaný</w:t>
      </w:r>
      <w:r w:rsidR="002418A6" w:rsidRPr="004C7BAE">
        <w:rPr>
          <w:sz w:val="22"/>
          <w:szCs w:val="22"/>
          <w:lang w:val="sk-SK"/>
        </w:rPr>
        <w:t xml:space="preserve"> polčas </w:t>
      </w:r>
      <w:proofErr w:type="spellStart"/>
      <w:r w:rsidR="002418A6" w:rsidRPr="004C7BAE">
        <w:rPr>
          <w:sz w:val="22"/>
          <w:szCs w:val="22"/>
          <w:lang w:val="sk-SK"/>
        </w:rPr>
        <w:t>trastuzumabu</w:t>
      </w:r>
      <w:proofErr w:type="spellEnd"/>
      <w:r w:rsidR="002418A6" w:rsidRPr="004C7BAE">
        <w:rPr>
          <w:sz w:val="22"/>
          <w:szCs w:val="22"/>
          <w:lang w:val="sk-SK"/>
        </w:rPr>
        <w:t xml:space="preserve"> je </w:t>
      </w:r>
      <w:r>
        <w:rPr>
          <w:sz w:val="22"/>
          <w:szCs w:val="22"/>
          <w:lang w:val="sk-SK"/>
        </w:rPr>
        <w:t>variabilný. Látka</w:t>
      </w:r>
      <w:r w:rsidR="002418A6" w:rsidRPr="004C7BAE">
        <w:rPr>
          <w:sz w:val="22"/>
          <w:szCs w:val="22"/>
          <w:lang w:val="sk-SK"/>
        </w:rPr>
        <w:t xml:space="preserve"> môže zostávať v obehu až </w:t>
      </w:r>
      <w:r>
        <w:rPr>
          <w:sz w:val="22"/>
          <w:szCs w:val="22"/>
          <w:lang w:val="sk-SK"/>
        </w:rPr>
        <w:t>7 mesiacov. Preto sa</w:t>
      </w:r>
      <w:r w:rsidR="002418A6" w:rsidRPr="004C7BAE">
        <w:rPr>
          <w:sz w:val="22"/>
          <w:szCs w:val="22"/>
          <w:lang w:val="sk-SK"/>
        </w:rPr>
        <w:t xml:space="preserve"> lekári majú vyhnúť terapii na základe </w:t>
      </w:r>
      <w:proofErr w:type="spellStart"/>
      <w:r w:rsidR="002418A6" w:rsidRPr="004C7BAE">
        <w:rPr>
          <w:sz w:val="22"/>
          <w:szCs w:val="22"/>
          <w:lang w:val="sk-SK"/>
        </w:rPr>
        <w:t>antracyklínov</w:t>
      </w:r>
      <w:proofErr w:type="spellEnd"/>
      <w:r w:rsidR="002418A6" w:rsidRPr="004C7BAE">
        <w:rPr>
          <w:sz w:val="22"/>
          <w:szCs w:val="22"/>
          <w:lang w:val="sk-SK"/>
        </w:rPr>
        <w:t xml:space="preserve"> až do </w:t>
      </w:r>
      <w:r>
        <w:rPr>
          <w:sz w:val="22"/>
          <w:szCs w:val="22"/>
          <w:lang w:val="sk-SK"/>
        </w:rPr>
        <w:t>7 mesiacov</w:t>
      </w:r>
      <w:r w:rsidR="002418A6" w:rsidRPr="004C7BAE">
        <w:rPr>
          <w:sz w:val="22"/>
          <w:szCs w:val="22"/>
          <w:lang w:val="sk-SK"/>
        </w:rPr>
        <w:t xml:space="preserve"> po ukončení liečby </w:t>
      </w:r>
      <w:proofErr w:type="spellStart"/>
      <w:r w:rsidR="002418A6" w:rsidRPr="004C7BAE">
        <w:rPr>
          <w:sz w:val="22"/>
          <w:szCs w:val="22"/>
          <w:lang w:val="sk-SK"/>
        </w:rPr>
        <w:t>trastuzumabom</w:t>
      </w:r>
      <w:proofErr w:type="spellEnd"/>
      <w:r>
        <w:rPr>
          <w:sz w:val="22"/>
          <w:szCs w:val="22"/>
          <w:lang w:val="sk-SK"/>
        </w:rPr>
        <w:t>, ak je to možné</w:t>
      </w:r>
      <w:r w:rsidR="002418A6" w:rsidRPr="004C7BAE">
        <w:rPr>
          <w:sz w:val="22"/>
          <w:szCs w:val="22"/>
          <w:lang w:val="sk-SK"/>
        </w:rPr>
        <w:t>. A</w:t>
      </w:r>
      <w:r w:rsidR="00CE1B33">
        <w:rPr>
          <w:sz w:val="22"/>
          <w:szCs w:val="22"/>
          <w:lang w:val="sk-SK"/>
        </w:rPr>
        <w:t>k</w:t>
      </w:r>
      <w:r w:rsidR="002418A6" w:rsidRPr="004C7BAE">
        <w:rPr>
          <w:sz w:val="22"/>
          <w:szCs w:val="22"/>
          <w:lang w:val="sk-SK"/>
        </w:rPr>
        <w:t xml:space="preserve"> sa používajú </w:t>
      </w:r>
      <w:proofErr w:type="spellStart"/>
      <w:r w:rsidR="002418A6" w:rsidRPr="004C7BAE">
        <w:rPr>
          <w:sz w:val="22"/>
          <w:szCs w:val="22"/>
          <w:lang w:val="sk-SK"/>
        </w:rPr>
        <w:t>antracyklíny</w:t>
      </w:r>
      <w:proofErr w:type="spellEnd"/>
      <w:r w:rsidR="002418A6" w:rsidRPr="004C7BAE">
        <w:rPr>
          <w:sz w:val="22"/>
          <w:szCs w:val="22"/>
          <w:lang w:val="sk-SK"/>
        </w:rPr>
        <w:t xml:space="preserve">, </w:t>
      </w:r>
      <w:r>
        <w:rPr>
          <w:sz w:val="22"/>
          <w:szCs w:val="22"/>
          <w:lang w:val="sk-SK"/>
        </w:rPr>
        <w:t>predtým sa odporúča</w:t>
      </w:r>
      <w:r w:rsidR="002418A6" w:rsidRPr="004C7BAE">
        <w:rPr>
          <w:sz w:val="22"/>
          <w:szCs w:val="22"/>
          <w:lang w:val="sk-SK"/>
        </w:rPr>
        <w:t xml:space="preserve"> dôkladne monitorovať srdcovú funkciu.</w:t>
      </w:r>
    </w:p>
    <w:p w14:paraId="01FFBA96" w14:textId="77777777" w:rsidR="00BA5AFA" w:rsidRPr="004C7BAE" w:rsidRDefault="002418A6">
      <w:pPr>
        <w:rPr>
          <w:sz w:val="22"/>
          <w:szCs w:val="22"/>
          <w:lang w:val="sk-SK"/>
        </w:rPr>
      </w:pPr>
      <w:r w:rsidRPr="004C7BAE">
        <w:rPr>
          <w:sz w:val="22"/>
          <w:szCs w:val="22"/>
          <w:lang w:val="sk-SK"/>
        </w:rPr>
        <w:t xml:space="preserve">Ak sa počas terapie </w:t>
      </w:r>
      <w:proofErr w:type="spellStart"/>
      <w:r w:rsidRPr="004C7BAE">
        <w:rPr>
          <w:sz w:val="22"/>
          <w:szCs w:val="22"/>
          <w:lang w:val="sk-SK"/>
        </w:rPr>
        <w:t>trastuzumabom</w:t>
      </w:r>
      <w:proofErr w:type="spellEnd"/>
      <w:r w:rsidRPr="004C7BAE">
        <w:rPr>
          <w:sz w:val="22"/>
          <w:szCs w:val="22"/>
          <w:lang w:val="sk-SK"/>
        </w:rPr>
        <w:t xml:space="preserve">, po terapii </w:t>
      </w:r>
      <w:proofErr w:type="spellStart"/>
      <w:r w:rsidRPr="004C7BAE">
        <w:rPr>
          <w:sz w:val="22"/>
          <w:szCs w:val="22"/>
          <w:lang w:val="sk-SK"/>
        </w:rPr>
        <w:t>epirubicínom</w:t>
      </w:r>
      <w:proofErr w:type="spellEnd"/>
      <w:r w:rsidRPr="004C7BAE">
        <w:rPr>
          <w:sz w:val="22"/>
          <w:szCs w:val="22"/>
          <w:lang w:val="sk-SK"/>
        </w:rPr>
        <w:t>, vyvinie symptomatické zlyhanie srdca, má sa liečiť štandardnou medikáciou pre tento účel.</w:t>
      </w:r>
    </w:p>
    <w:p w14:paraId="4AA5BF71" w14:textId="77777777" w:rsidR="00BA5AFA" w:rsidRPr="004C7BAE" w:rsidRDefault="00BA5AFA">
      <w:pPr>
        <w:rPr>
          <w:sz w:val="22"/>
          <w:szCs w:val="22"/>
          <w:lang w:val="sk-SK"/>
        </w:rPr>
      </w:pPr>
    </w:p>
    <w:p w14:paraId="53AE3FAC" w14:textId="77777777" w:rsidR="00660307" w:rsidRPr="00FB7812" w:rsidRDefault="00BB1FEE">
      <w:pPr>
        <w:keepNext/>
        <w:keepLines/>
        <w:rPr>
          <w:iCs/>
          <w:sz w:val="22"/>
          <w:szCs w:val="22"/>
          <w:u w:val="single"/>
          <w:lang w:val="sk-SK"/>
        </w:rPr>
      </w:pPr>
      <w:r w:rsidRPr="00FB7812">
        <w:rPr>
          <w:iCs/>
          <w:sz w:val="22"/>
          <w:szCs w:val="22"/>
          <w:u w:val="single"/>
          <w:lang w:val="sk-SK"/>
        </w:rPr>
        <w:lastRenderedPageBreak/>
        <w:t>Hematologická toxicita</w:t>
      </w:r>
    </w:p>
    <w:p w14:paraId="5ECD905C" w14:textId="6ED28BC7" w:rsidR="00BA5AFA" w:rsidRPr="004C7BAE" w:rsidRDefault="00660307">
      <w:pPr>
        <w:keepNext/>
        <w:keepLines/>
        <w:rPr>
          <w:iCs/>
          <w:color w:val="000000"/>
          <w:sz w:val="22"/>
          <w:szCs w:val="22"/>
          <w:lang w:val="sk-SK"/>
        </w:rPr>
      </w:pPr>
      <w:r>
        <w:rPr>
          <w:iCs/>
          <w:sz w:val="22"/>
          <w:szCs w:val="22"/>
          <w:lang w:val="sk-SK"/>
        </w:rPr>
        <w:t>P</w:t>
      </w:r>
      <w:r w:rsidR="002418A6" w:rsidRPr="004C7BAE">
        <w:rPr>
          <w:iCs/>
          <w:sz w:val="22"/>
          <w:szCs w:val="22"/>
          <w:lang w:val="sk-SK"/>
        </w:rPr>
        <w:t xml:space="preserve">odobne ako u iných </w:t>
      </w:r>
      <w:proofErr w:type="spellStart"/>
      <w:r w:rsidR="002418A6" w:rsidRPr="004C7BAE">
        <w:rPr>
          <w:iCs/>
          <w:sz w:val="22"/>
          <w:szCs w:val="22"/>
          <w:lang w:val="sk-SK"/>
        </w:rPr>
        <w:t>cytotoxických</w:t>
      </w:r>
      <w:proofErr w:type="spellEnd"/>
      <w:r w:rsidR="002418A6" w:rsidRPr="004C7BAE">
        <w:rPr>
          <w:iCs/>
          <w:sz w:val="22"/>
          <w:szCs w:val="22"/>
          <w:lang w:val="sk-SK"/>
        </w:rPr>
        <w:t xml:space="preserve"> látok, </w:t>
      </w:r>
      <w:proofErr w:type="spellStart"/>
      <w:r w:rsidR="002418A6" w:rsidRPr="004C7BAE">
        <w:rPr>
          <w:iCs/>
          <w:sz w:val="22"/>
          <w:szCs w:val="22"/>
          <w:lang w:val="sk-SK"/>
        </w:rPr>
        <w:t>epirubicín</w:t>
      </w:r>
      <w:proofErr w:type="spellEnd"/>
      <w:r w:rsidR="002418A6" w:rsidRPr="004C7BAE">
        <w:rPr>
          <w:iCs/>
          <w:sz w:val="22"/>
          <w:szCs w:val="22"/>
          <w:lang w:val="sk-SK"/>
        </w:rPr>
        <w:t xml:space="preserve"> môže vyvolať </w:t>
      </w:r>
      <w:proofErr w:type="spellStart"/>
      <w:r w:rsidR="002418A6" w:rsidRPr="004C7BAE">
        <w:rPr>
          <w:iCs/>
          <w:sz w:val="22"/>
          <w:szCs w:val="22"/>
          <w:lang w:val="sk-SK"/>
        </w:rPr>
        <w:t>myelosupresiu</w:t>
      </w:r>
      <w:proofErr w:type="spellEnd"/>
      <w:r w:rsidR="002418A6" w:rsidRPr="004C7BAE">
        <w:rPr>
          <w:iCs/>
          <w:sz w:val="22"/>
          <w:szCs w:val="22"/>
          <w:lang w:val="sk-SK"/>
        </w:rPr>
        <w:t xml:space="preserve">. </w:t>
      </w:r>
      <w:r w:rsidR="002418A6" w:rsidRPr="004C7BAE">
        <w:rPr>
          <w:iCs/>
          <w:color w:val="000000"/>
          <w:sz w:val="22"/>
          <w:szCs w:val="22"/>
          <w:lang w:val="sk-SK"/>
        </w:rPr>
        <w:t xml:space="preserve">Pred a počas každého cyklu liečby </w:t>
      </w:r>
      <w:proofErr w:type="spellStart"/>
      <w:r w:rsidR="002418A6" w:rsidRPr="004C7BAE">
        <w:rPr>
          <w:iCs/>
          <w:color w:val="000000"/>
          <w:sz w:val="22"/>
          <w:szCs w:val="22"/>
          <w:lang w:val="sk-SK"/>
        </w:rPr>
        <w:t>epirubicínom</w:t>
      </w:r>
      <w:proofErr w:type="spellEnd"/>
      <w:r w:rsidR="002418A6" w:rsidRPr="004C7BAE">
        <w:rPr>
          <w:iCs/>
          <w:color w:val="000000"/>
          <w:sz w:val="22"/>
          <w:szCs w:val="22"/>
          <w:lang w:val="sk-SK"/>
        </w:rPr>
        <w:t xml:space="preserve"> sa majú dôsledne sledovať hematologické profily, vrátane diferenčných počtov bielych krviniek (WBC). Reverzibilná </w:t>
      </w:r>
      <w:proofErr w:type="spellStart"/>
      <w:r w:rsidR="002418A6" w:rsidRPr="004C7BAE">
        <w:rPr>
          <w:iCs/>
          <w:color w:val="000000"/>
          <w:sz w:val="22"/>
          <w:szCs w:val="22"/>
          <w:lang w:val="sk-SK"/>
        </w:rPr>
        <w:t>leukopénia</w:t>
      </w:r>
      <w:proofErr w:type="spellEnd"/>
      <w:r w:rsidR="002418A6" w:rsidRPr="004C7BAE">
        <w:rPr>
          <w:iCs/>
          <w:color w:val="000000"/>
          <w:sz w:val="22"/>
          <w:szCs w:val="22"/>
          <w:lang w:val="sk-SK"/>
        </w:rPr>
        <w:t xml:space="preserve"> a/alebo </w:t>
      </w:r>
      <w:proofErr w:type="spellStart"/>
      <w:r w:rsidR="002418A6" w:rsidRPr="004C7BAE">
        <w:rPr>
          <w:iCs/>
          <w:color w:val="000000"/>
          <w:sz w:val="22"/>
          <w:szCs w:val="22"/>
          <w:lang w:val="sk-SK"/>
        </w:rPr>
        <w:t>granulocytopénia</w:t>
      </w:r>
      <w:proofErr w:type="spellEnd"/>
      <w:r w:rsidR="002418A6" w:rsidRPr="004C7BAE">
        <w:rPr>
          <w:iCs/>
          <w:color w:val="000000"/>
          <w:sz w:val="22"/>
          <w:szCs w:val="22"/>
          <w:lang w:val="sk-SK"/>
        </w:rPr>
        <w:t xml:space="preserve"> (</w:t>
      </w:r>
      <w:proofErr w:type="spellStart"/>
      <w:r w:rsidR="002418A6" w:rsidRPr="004C7BAE">
        <w:rPr>
          <w:iCs/>
          <w:color w:val="000000"/>
          <w:sz w:val="22"/>
          <w:szCs w:val="22"/>
          <w:lang w:val="sk-SK"/>
        </w:rPr>
        <w:t>neutropénia</w:t>
      </w:r>
      <w:proofErr w:type="spellEnd"/>
      <w:r w:rsidR="002418A6" w:rsidRPr="004C7BAE">
        <w:rPr>
          <w:iCs/>
          <w:color w:val="000000"/>
          <w:sz w:val="22"/>
          <w:szCs w:val="22"/>
          <w:lang w:val="sk-SK"/>
        </w:rPr>
        <w:t xml:space="preserve">) závislá od dávky je prevládajúcim prejavom hematologickej toxicity </w:t>
      </w:r>
      <w:proofErr w:type="spellStart"/>
      <w:r w:rsidR="002418A6" w:rsidRPr="004C7BAE">
        <w:rPr>
          <w:iCs/>
          <w:color w:val="000000"/>
          <w:sz w:val="22"/>
          <w:szCs w:val="22"/>
          <w:lang w:val="sk-SK"/>
        </w:rPr>
        <w:t>epirubicínu</w:t>
      </w:r>
      <w:proofErr w:type="spellEnd"/>
      <w:r w:rsidR="002418A6" w:rsidRPr="004C7BAE">
        <w:rPr>
          <w:iCs/>
          <w:color w:val="000000"/>
          <w:sz w:val="22"/>
          <w:szCs w:val="22"/>
          <w:lang w:val="sk-SK"/>
        </w:rPr>
        <w:t xml:space="preserve"> a je to aj najvšeobecnejšia akútna toxicita obmedzujúca dávkovanie tohto lieku. </w:t>
      </w:r>
      <w:proofErr w:type="spellStart"/>
      <w:r w:rsidR="002418A6" w:rsidRPr="004C7BAE">
        <w:rPr>
          <w:iCs/>
          <w:color w:val="000000"/>
          <w:sz w:val="22"/>
          <w:szCs w:val="22"/>
          <w:lang w:val="sk-SK"/>
        </w:rPr>
        <w:t>Leukopénia</w:t>
      </w:r>
      <w:proofErr w:type="spellEnd"/>
      <w:r w:rsidR="002418A6" w:rsidRPr="004C7BAE">
        <w:rPr>
          <w:iCs/>
          <w:color w:val="000000"/>
          <w:sz w:val="22"/>
          <w:szCs w:val="22"/>
          <w:lang w:val="sk-SK"/>
        </w:rPr>
        <w:t xml:space="preserve"> a </w:t>
      </w:r>
      <w:proofErr w:type="spellStart"/>
      <w:r w:rsidR="002418A6" w:rsidRPr="004C7BAE">
        <w:rPr>
          <w:iCs/>
          <w:color w:val="000000"/>
          <w:sz w:val="22"/>
          <w:szCs w:val="22"/>
          <w:lang w:val="sk-SK"/>
        </w:rPr>
        <w:t>neutropénia</w:t>
      </w:r>
      <w:proofErr w:type="spellEnd"/>
      <w:r w:rsidR="002418A6" w:rsidRPr="004C7BAE">
        <w:rPr>
          <w:iCs/>
          <w:color w:val="000000"/>
          <w:sz w:val="22"/>
          <w:szCs w:val="22"/>
          <w:lang w:val="sk-SK"/>
        </w:rPr>
        <w:t xml:space="preserve"> je vo všeobecnosti závažnejšia pri </w:t>
      </w:r>
      <w:proofErr w:type="spellStart"/>
      <w:r w:rsidR="002418A6" w:rsidRPr="004C7BAE">
        <w:rPr>
          <w:iCs/>
          <w:color w:val="000000"/>
          <w:sz w:val="22"/>
          <w:szCs w:val="22"/>
          <w:lang w:val="sk-SK"/>
        </w:rPr>
        <w:t>vysokodávkových</w:t>
      </w:r>
      <w:proofErr w:type="spellEnd"/>
      <w:r w:rsidR="002418A6" w:rsidRPr="004C7BAE">
        <w:rPr>
          <w:iCs/>
          <w:color w:val="000000"/>
          <w:sz w:val="22"/>
          <w:szCs w:val="22"/>
          <w:lang w:val="sk-SK"/>
        </w:rPr>
        <w:t xml:space="preserve"> režimoch a dosiahne svoj vrchol vo väčšine prípadov medzi 10. a 14. dňom po podaní lieku; spravidla je prechodná a počty bielych krviniek(WBC)/počty </w:t>
      </w:r>
      <w:proofErr w:type="spellStart"/>
      <w:r w:rsidR="002418A6" w:rsidRPr="004C7BAE">
        <w:rPr>
          <w:iCs/>
          <w:color w:val="000000"/>
          <w:sz w:val="22"/>
          <w:szCs w:val="22"/>
          <w:lang w:val="sk-SK"/>
        </w:rPr>
        <w:t>neutrofilov</w:t>
      </w:r>
      <w:proofErr w:type="spellEnd"/>
      <w:r w:rsidR="002418A6" w:rsidRPr="004C7BAE">
        <w:rPr>
          <w:iCs/>
          <w:color w:val="000000"/>
          <w:sz w:val="22"/>
          <w:szCs w:val="22"/>
          <w:lang w:val="sk-SK"/>
        </w:rPr>
        <w:t xml:space="preserve"> sa vrátia na normálne hodnoty vo väčšine prípadov do 21. dňa. Môže sa vyskytnúť </w:t>
      </w:r>
      <w:proofErr w:type="spellStart"/>
      <w:r w:rsidR="002418A6" w:rsidRPr="004C7BAE">
        <w:rPr>
          <w:iCs/>
          <w:color w:val="000000"/>
          <w:sz w:val="22"/>
          <w:szCs w:val="22"/>
          <w:lang w:val="sk-SK"/>
        </w:rPr>
        <w:t>trombocytopénia</w:t>
      </w:r>
      <w:proofErr w:type="spellEnd"/>
      <w:r w:rsidR="002418A6" w:rsidRPr="004C7BAE">
        <w:rPr>
          <w:iCs/>
          <w:color w:val="000000"/>
          <w:sz w:val="22"/>
          <w:szCs w:val="22"/>
          <w:lang w:val="sk-SK"/>
        </w:rPr>
        <w:t xml:space="preserve"> a anémia. Medzi klinické následky závažnej </w:t>
      </w:r>
      <w:proofErr w:type="spellStart"/>
      <w:r w:rsidR="002418A6" w:rsidRPr="004C7BAE">
        <w:rPr>
          <w:iCs/>
          <w:color w:val="000000"/>
          <w:sz w:val="22"/>
          <w:szCs w:val="22"/>
          <w:lang w:val="sk-SK"/>
        </w:rPr>
        <w:t>myelosupresie</w:t>
      </w:r>
      <w:proofErr w:type="spellEnd"/>
      <w:r w:rsidR="002418A6" w:rsidRPr="004C7BAE">
        <w:rPr>
          <w:iCs/>
          <w:color w:val="000000"/>
          <w:sz w:val="22"/>
          <w:szCs w:val="22"/>
          <w:lang w:val="sk-SK"/>
        </w:rPr>
        <w:t xml:space="preserve"> patrí horúčka, infekcia, sepsa, septický šok, </w:t>
      </w:r>
      <w:proofErr w:type="spellStart"/>
      <w:r w:rsidR="002418A6" w:rsidRPr="004C7BAE">
        <w:rPr>
          <w:iCs/>
          <w:color w:val="000000"/>
          <w:sz w:val="22"/>
          <w:szCs w:val="22"/>
          <w:lang w:val="sk-SK"/>
        </w:rPr>
        <w:t>hemorágia</w:t>
      </w:r>
      <w:proofErr w:type="spellEnd"/>
      <w:r w:rsidR="002418A6" w:rsidRPr="004C7BAE">
        <w:rPr>
          <w:iCs/>
          <w:color w:val="000000"/>
          <w:sz w:val="22"/>
          <w:szCs w:val="22"/>
          <w:lang w:val="sk-SK"/>
        </w:rPr>
        <w:t xml:space="preserve">, </w:t>
      </w:r>
      <w:proofErr w:type="spellStart"/>
      <w:r w:rsidR="002418A6" w:rsidRPr="004C7BAE">
        <w:rPr>
          <w:iCs/>
          <w:color w:val="000000"/>
          <w:sz w:val="22"/>
          <w:szCs w:val="22"/>
          <w:lang w:val="sk-SK"/>
        </w:rPr>
        <w:t>hypoxia</w:t>
      </w:r>
      <w:proofErr w:type="spellEnd"/>
      <w:r w:rsidR="002418A6" w:rsidRPr="004C7BAE">
        <w:rPr>
          <w:iCs/>
          <w:color w:val="000000"/>
          <w:sz w:val="22"/>
          <w:szCs w:val="22"/>
          <w:lang w:val="sk-SK"/>
        </w:rPr>
        <w:t xml:space="preserve"> tkaniva alebo smrť.</w:t>
      </w:r>
    </w:p>
    <w:p w14:paraId="0F280253" w14:textId="77777777" w:rsidR="00BA5AFA" w:rsidRPr="004C7BAE" w:rsidRDefault="00BA5AFA">
      <w:pPr>
        <w:rPr>
          <w:sz w:val="22"/>
          <w:szCs w:val="22"/>
          <w:lang w:val="sk-SK"/>
        </w:rPr>
      </w:pPr>
    </w:p>
    <w:p w14:paraId="0CEDE905" w14:textId="77777777" w:rsidR="00660307" w:rsidRPr="00FB7812" w:rsidRDefault="00BB1FEE">
      <w:pPr>
        <w:rPr>
          <w:iCs/>
          <w:sz w:val="22"/>
          <w:szCs w:val="22"/>
          <w:u w:val="single"/>
          <w:lang w:val="sk-SK"/>
        </w:rPr>
      </w:pPr>
      <w:r w:rsidRPr="00FB7812">
        <w:rPr>
          <w:iCs/>
          <w:sz w:val="22"/>
          <w:szCs w:val="22"/>
          <w:u w:val="single"/>
          <w:lang w:val="sk-SK"/>
        </w:rPr>
        <w:t>Sekundárna leukémia</w:t>
      </w:r>
    </w:p>
    <w:p w14:paraId="1E112781" w14:textId="7CF39073" w:rsidR="00BA5AFA" w:rsidRPr="004C7BAE" w:rsidRDefault="00660307">
      <w:pPr>
        <w:rPr>
          <w:bCs/>
          <w:iCs/>
          <w:color w:val="000000"/>
          <w:sz w:val="22"/>
          <w:szCs w:val="22"/>
          <w:lang w:val="sk-SK"/>
        </w:rPr>
      </w:pPr>
      <w:r>
        <w:rPr>
          <w:iCs/>
          <w:sz w:val="22"/>
          <w:szCs w:val="22"/>
          <w:lang w:val="sk-SK"/>
        </w:rPr>
        <w:t>U</w:t>
      </w:r>
      <w:r w:rsidR="002418A6" w:rsidRPr="004C7BAE">
        <w:rPr>
          <w:iCs/>
          <w:sz w:val="22"/>
          <w:szCs w:val="22"/>
          <w:lang w:val="sk-SK"/>
        </w:rPr>
        <w:t xml:space="preserve"> pacientov liečených </w:t>
      </w:r>
      <w:proofErr w:type="spellStart"/>
      <w:r w:rsidR="002418A6" w:rsidRPr="004C7BAE">
        <w:rPr>
          <w:iCs/>
          <w:sz w:val="22"/>
          <w:szCs w:val="22"/>
          <w:lang w:val="sk-SK"/>
        </w:rPr>
        <w:t>antracyklínmi</w:t>
      </w:r>
      <w:proofErr w:type="spellEnd"/>
      <w:r w:rsidR="002418A6" w:rsidRPr="004C7BAE">
        <w:rPr>
          <w:iCs/>
          <w:sz w:val="22"/>
          <w:szCs w:val="22"/>
          <w:lang w:val="sk-SK"/>
        </w:rPr>
        <w:t xml:space="preserve">, vrátane </w:t>
      </w:r>
      <w:proofErr w:type="spellStart"/>
      <w:r w:rsidR="002418A6" w:rsidRPr="004C7BAE">
        <w:rPr>
          <w:iCs/>
          <w:sz w:val="22"/>
          <w:szCs w:val="22"/>
          <w:lang w:val="sk-SK"/>
        </w:rPr>
        <w:t>epirubicínu</w:t>
      </w:r>
      <w:proofErr w:type="spellEnd"/>
      <w:r w:rsidR="002418A6" w:rsidRPr="004C7BAE">
        <w:rPr>
          <w:iCs/>
          <w:sz w:val="22"/>
          <w:szCs w:val="22"/>
          <w:lang w:val="sk-SK"/>
        </w:rPr>
        <w:t xml:space="preserve">, bola hlásená sekundárna leukémia s alebo bez </w:t>
      </w:r>
      <w:proofErr w:type="spellStart"/>
      <w:r w:rsidR="002418A6" w:rsidRPr="004C7BAE">
        <w:rPr>
          <w:iCs/>
          <w:sz w:val="22"/>
          <w:szCs w:val="22"/>
          <w:lang w:val="sk-SK"/>
        </w:rPr>
        <w:t>predleukemickej</w:t>
      </w:r>
      <w:proofErr w:type="spellEnd"/>
      <w:r w:rsidR="002418A6" w:rsidRPr="004C7BAE">
        <w:rPr>
          <w:iCs/>
          <w:sz w:val="22"/>
          <w:szCs w:val="22"/>
          <w:lang w:val="sk-SK"/>
        </w:rPr>
        <w:t xml:space="preserve"> fázy. </w:t>
      </w:r>
      <w:r w:rsidR="002418A6" w:rsidRPr="004C7BAE">
        <w:rPr>
          <w:iCs/>
          <w:color w:val="000000"/>
          <w:sz w:val="22"/>
          <w:szCs w:val="22"/>
          <w:lang w:val="sk-SK"/>
        </w:rPr>
        <w:t xml:space="preserve">Sekundárna leukémia je častejšia, ak sa lieky podávajú v kombinácii s </w:t>
      </w:r>
      <w:proofErr w:type="spellStart"/>
      <w:r w:rsidR="002418A6" w:rsidRPr="004C7BAE">
        <w:rPr>
          <w:iCs/>
          <w:color w:val="000000"/>
          <w:sz w:val="22"/>
          <w:szCs w:val="22"/>
          <w:lang w:val="sk-SK"/>
        </w:rPr>
        <w:t>antineoplatickými</w:t>
      </w:r>
      <w:proofErr w:type="spellEnd"/>
      <w:r w:rsidR="002418A6" w:rsidRPr="004C7BAE">
        <w:rPr>
          <w:iCs/>
          <w:color w:val="000000"/>
          <w:sz w:val="22"/>
          <w:szCs w:val="22"/>
          <w:lang w:val="sk-SK"/>
        </w:rPr>
        <w:t xml:space="preserve"> prípravkami poškodzujúcimi DNA v kombinácii radiačnou liečbou, ak pacienti absolvovali intenzívnu prípravnú liečbu </w:t>
      </w:r>
      <w:proofErr w:type="spellStart"/>
      <w:r w:rsidR="002418A6" w:rsidRPr="004C7BAE">
        <w:rPr>
          <w:iCs/>
          <w:color w:val="000000"/>
          <w:sz w:val="22"/>
          <w:szCs w:val="22"/>
          <w:lang w:val="sk-SK"/>
        </w:rPr>
        <w:t>cytotoxickými</w:t>
      </w:r>
      <w:proofErr w:type="spellEnd"/>
      <w:r w:rsidR="002418A6" w:rsidRPr="004C7BAE">
        <w:rPr>
          <w:iCs/>
          <w:color w:val="000000"/>
          <w:sz w:val="22"/>
          <w:szCs w:val="22"/>
          <w:lang w:val="sk-SK"/>
        </w:rPr>
        <w:t xml:space="preserve"> liekmi alebo v prípade eskalovania </w:t>
      </w:r>
      <w:proofErr w:type="spellStart"/>
      <w:r w:rsidR="002418A6" w:rsidRPr="004C7BAE">
        <w:rPr>
          <w:iCs/>
          <w:color w:val="000000"/>
          <w:sz w:val="22"/>
          <w:szCs w:val="22"/>
          <w:lang w:val="sk-SK"/>
        </w:rPr>
        <w:t>antracyklínov</w:t>
      </w:r>
      <w:proofErr w:type="spellEnd"/>
      <w:r w:rsidR="002418A6" w:rsidRPr="004C7BAE">
        <w:rPr>
          <w:iCs/>
          <w:color w:val="000000"/>
          <w:sz w:val="22"/>
          <w:szCs w:val="22"/>
          <w:lang w:val="sk-SK"/>
        </w:rPr>
        <w:t>. Tieto leukémie môžu mať 1</w:t>
      </w:r>
      <w:r w:rsidR="002418A6" w:rsidRPr="004C7BAE">
        <w:rPr>
          <w:iCs/>
          <w:color w:val="000000"/>
          <w:sz w:val="22"/>
          <w:szCs w:val="22"/>
          <w:lang w:val="sk-SK"/>
        </w:rPr>
        <w:noBreakHyphen/>
        <w:t> až 3</w:t>
      </w:r>
      <w:r w:rsidR="002418A6" w:rsidRPr="004C7BAE">
        <w:rPr>
          <w:iCs/>
          <w:color w:val="000000"/>
          <w:sz w:val="22"/>
          <w:szCs w:val="22"/>
          <w:lang w:val="sk-SK"/>
        </w:rPr>
        <w:noBreakHyphen/>
        <w:t xml:space="preserve">ročné </w:t>
      </w:r>
      <w:proofErr w:type="spellStart"/>
      <w:r w:rsidR="002418A6" w:rsidRPr="004C7BAE">
        <w:rPr>
          <w:iCs/>
          <w:color w:val="000000"/>
          <w:sz w:val="22"/>
          <w:szCs w:val="22"/>
          <w:lang w:val="sk-SK"/>
        </w:rPr>
        <w:t>latenčné</w:t>
      </w:r>
      <w:proofErr w:type="spellEnd"/>
      <w:r w:rsidR="002418A6" w:rsidRPr="004C7BAE">
        <w:rPr>
          <w:iCs/>
          <w:color w:val="000000"/>
          <w:sz w:val="22"/>
          <w:szCs w:val="22"/>
          <w:lang w:val="sk-SK"/>
        </w:rPr>
        <w:t xml:space="preserve"> obdobie (pozri časť 5.1).</w:t>
      </w:r>
    </w:p>
    <w:p w14:paraId="13254CAB" w14:textId="77777777" w:rsidR="00BA5AFA" w:rsidRPr="004C7BAE" w:rsidRDefault="00BA5AFA">
      <w:pPr>
        <w:rPr>
          <w:bCs/>
          <w:iCs/>
          <w:color w:val="000000"/>
          <w:sz w:val="22"/>
          <w:szCs w:val="22"/>
          <w:lang w:val="sk-SK"/>
        </w:rPr>
      </w:pPr>
    </w:p>
    <w:p w14:paraId="18FAF691" w14:textId="77777777" w:rsidR="00660307" w:rsidRPr="00FB7812" w:rsidRDefault="00BB1FEE">
      <w:pPr>
        <w:rPr>
          <w:bCs/>
          <w:iCs/>
          <w:color w:val="000000"/>
          <w:sz w:val="22"/>
          <w:szCs w:val="22"/>
          <w:u w:val="single"/>
          <w:lang w:val="sk-SK"/>
        </w:rPr>
      </w:pPr>
      <w:proofErr w:type="spellStart"/>
      <w:r w:rsidRPr="00FB7812">
        <w:rPr>
          <w:bCs/>
          <w:iCs/>
          <w:color w:val="000000"/>
          <w:sz w:val="22"/>
          <w:szCs w:val="22"/>
          <w:u w:val="single"/>
          <w:lang w:val="sk-SK"/>
        </w:rPr>
        <w:t>Gastrointestinálne</w:t>
      </w:r>
      <w:proofErr w:type="spellEnd"/>
    </w:p>
    <w:p w14:paraId="6ED1E639" w14:textId="4F2B45F7" w:rsidR="00BA5AFA" w:rsidRPr="004C7BAE" w:rsidRDefault="00660307">
      <w:pPr>
        <w:rPr>
          <w:bCs/>
          <w:iCs/>
          <w:color w:val="000000"/>
          <w:sz w:val="22"/>
          <w:szCs w:val="22"/>
          <w:lang w:val="sk-SK"/>
        </w:rPr>
      </w:pPr>
      <w:proofErr w:type="spellStart"/>
      <w:r>
        <w:rPr>
          <w:bCs/>
          <w:iCs/>
          <w:color w:val="000000"/>
          <w:sz w:val="22"/>
          <w:szCs w:val="22"/>
          <w:lang w:val="sk-SK"/>
        </w:rPr>
        <w:t>E</w:t>
      </w:r>
      <w:r w:rsidR="002418A6" w:rsidRPr="004C7BAE">
        <w:rPr>
          <w:bCs/>
          <w:iCs/>
          <w:color w:val="000000"/>
          <w:sz w:val="22"/>
          <w:szCs w:val="22"/>
          <w:lang w:val="sk-SK"/>
        </w:rPr>
        <w:t>pirubicín</w:t>
      </w:r>
      <w:proofErr w:type="spellEnd"/>
      <w:r w:rsidR="002418A6" w:rsidRPr="004C7BAE">
        <w:rPr>
          <w:bCs/>
          <w:iCs/>
          <w:color w:val="000000"/>
          <w:sz w:val="22"/>
          <w:szCs w:val="22"/>
          <w:lang w:val="sk-SK"/>
        </w:rPr>
        <w:t xml:space="preserve"> je </w:t>
      </w:r>
      <w:proofErr w:type="spellStart"/>
      <w:r w:rsidR="002418A6" w:rsidRPr="004C7BAE">
        <w:rPr>
          <w:bCs/>
          <w:iCs/>
          <w:color w:val="000000"/>
          <w:sz w:val="22"/>
          <w:szCs w:val="22"/>
          <w:lang w:val="sk-SK"/>
        </w:rPr>
        <w:t>emetikum</w:t>
      </w:r>
      <w:proofErr w:type="spellEnd"/>
      <w:r w:rsidR="002418A6" w:rsidRPr="004C7BAE">
        <w:rPr>
          <w:bCs/>
          <w:iCs/>
          <w:color w:val="000000"/>
          <w:sz w:val="22"/>
          <w:szCs w:val="22"/>
          <w:lang w:val="sk-SK"/>
        </w:rPr>
        <w:t xml:space="preserve">. </w:t>
      </w:r>
      <w:proofErr w:type="spellStart"/>
      <w:r w:rsidR="002418A6" w:rsidRPr="004C7BAE">
        <w:rPr>
          <w:bCs/>
          <w:iCs/>
          <w:color w:val="000000"/>
          <w:sz w:val="22"/>
          <w:szCs w:val="22"/>
          <w:lang w:val="sk-SK"/>
        </w:rPr>
        <w:t>Mukozitída</w:t>
      </w:r>
      <w:proofErr w:type="spellEnd"/>
      <w:r w:rsidR="002418A6" w:rsidRPr="004C7BAE">
        <w:rPr>
          <w:bCs/>
          <w:iCs/>
          <w:color w:val="000000"/>
          <w:sz w:val="22"/>
          <w:szCs w:val="22"/>
          <w:lang w:val="sk-SK"/>
        </w:rPr>
        <w:t>/</w:t>
      </w:r>
      <w:proofErr w:type="spellStart"/>
      <w:r w:rsidR="002418A6" w:rsidRPr="004C7BAE">
        <w:rPr>
          <w:bCs/>
          <w:iCs/>
          <w:color w:val="000000"/>
          <w:sz w:val="22"/>
          <w:szCs w:val="22"/>
          <w:lang w:val="sk-SK"/>
        </w:rPr>
        <w:t>stomatitída</w:t>
      </w:r>
      <w:proofErr w:type="spellEnd"/>
      <w:r w:rsidR="002418A6" w:rsidRPr="004C7BAE">
        <w:rPr>
          <w:bCs/>
          <w:iCs/>
          <w:color w:val="000000"/>
          <w:sz w:val="22"/>
          <w:szCs w:val="22"/>
          <w:lang w:val="sk-SK"/>
        </w:rPr>
        <w:t xml:space="preserve"> sa spravidla objaví po podaní lieku a, ak sú závažné, môžu po niekoľkých dňoch prerásť do </w:t>
      </w:r>
      <w:proofErr w:type="spellStart"/>
      <w:r w:rsidR="002418A6" w:rsidRPr="004C7BAE">
        <w:rPr>
          <w:bCs/>
          <w:iCs/>
          <w:color w:val="000000"/>
          <w:sz w:val="22"/>
          <w:szCs w:val="22"/>
          <w:lang w:val="sk-SK"/>
        </w:rPr>
        <w:t>mukotických</w:t>
      </w:r>
      <w:proofErr w:type="spellEnd"/>
      <w:r w:rsidR="002418A6" w:rsidRPr="004C7BAE">
        <w:rPr>
          <w:bCs/>
          <w:iCs/>
          <w:color w:val="000000"/>
          <w:sz w:val="22"/>
          <w:szCs w:val="22"/>
          <w:lang w:val="sk-SK"/>
        </w:rPr>
        <w:t xml:space="preserve"> </w:t>
      </w:r>
      <w:proofErr w:type="spellStart"/>
      <w:r w:rsidR="002418A6" w:rsidRPr="004C7BAE">
        <w:rPr>
          <w:bCs/>
          <w:iCs/>
          <w:color w:val="000000"/>
          <w:sz w:val="22"/>
          <w:szCs w:val="22"/>
          <w:lang w:val="sk-SK"/>
        </w:rPr>
        <w:t>ulcerácií</w:t>
      </w:r>
      <w:proofErr w:type="spellEnd"/>
      <w:r w:rsidR="002418A6" w:rsidRPr="004C7BAE">
        <w:rPr>
          <w:bCs/>
          <w:iCs/>
          <w:color w:val="000000"/>
          <w:sz w:val="22"/>
          <w:szCs w:val="22"/>
          <w:lang w:val="sk-SK"/>
        </w:rPr>
        <w:t>. Väčšina pacientov sa zotaví z tohto nežiaduceho účinku do tretieho týždňa terapie.</w:t>
      </w:r>
    </w:p>
    <w:p w14:paraId="057A18D7" w14:textId="77777777" w:rsidR="00BA5AFA" w:rsidRPr="004C7BAE" w:rsidRDefault="00BA5AFA">
      <w:pPr>
        <w:rPr>
          <w:bCs/>
          <w:iCs/>
          <w:color w:val="000000"/>
          <w:sz w:val="22"/>
          <w:szCs w:val="22"/>
          <w:lang w:val="sk-SK"/>
        </w:rPr>
      </w:pPr>
    </w:p>
    <w:p w14:paraId="38179499" w14:textId="77777777" w:rsidR="00660307" w:rsidRPr="00FB7812" w:rsidRDefault="00BB1FEE">
      <w:pPr>
        <w:rPr>
          <w:bCs/>
          <w:iCs/>
          <w:color w:val="000000"/>
          <w:sz w:val="22"/>
          <w:szCs w:val="22"/>
          <w:u w:val="single"/>
          <w:lang w:val="sk-SK"/>
        </w:rPr>
      </w:pPr>
      <w:r w:rsidRPr="00FB7812">
        <w:rPr>
          <w:bCs/>
          <w:iCs/>
          <w:color w:val="000000"/>
          <w:sz w:val="22"/>
          <w:szCs w:val="22"/>
          <w:u w:val="single"/>
          <w:lang w:val="sk-SK"/>
        </w:rPr>
        <w:t>Funkcia pečene</w:t>
      </w:r>
    </w:p>
    <w:p w14:paraId="7BAC76AA" w14:textId="7B792BDE" w:rsidR="00BA5AFA" w:rsidRPr="004C7BAE" w:rsidRDefault="00660307">
      <w:pPr>
        <w:rPr>
          <w:sz w:val="22"/>
          <w:szCs w:val="22"/>
          <w:lang w:val="sk-SK"/>
        </w:rPr>
      </w:pPr>
      <w:r>
        <w:rPr>
          <w:bCs/>
          <w:iCs/>
          <w:color w:val="000000"/>
          <w:sz w:val="22"/>
          <w:szCs w:val="22"/>
          <w:lang w:val="sk-SK"/>
        </w:rPr>
        <w:t>H</w:t>
      </w:r>
      <w:r w:rsidR="002418A6" w:rsidRPr="004C7BAE">
        <w:rPr>
          <w:bCs/>
          <w:iCs/>
          <w:color w:val="000000"/>
          <w:sz w:val="22"/>
          <w:szCs w:val="22"/>
          <w:lang w:val="sk-SK"/>
        </w:rPr>
        <w:t xml:space="preserve">lavná cesta vylučovania </w:t>
      </w:r>
      <w:proofErr w:type="spellStart"/>
      <w:r w:rsidR="002418A6" w:rsidRPr="004C7BAE">
        <w:rPr>
          <w:bCs/>
          <w:iCs/>
          <w:color w:val="000000"/>
          <w:sz w:val="22"/>
          <w:szCs w:val="22"/>
          <w:lang w:val="sk-SK"/>
        </w:rPr>
        <w:t>epirubicínu</w:t>
      </w:r>
      <w:proofErr w:type="spellEnd"/>
      <w:r w:rsidR="002418A6" w:rsidRPr="004C7BAE">
        <w:rPr>
          <w:bCs/>
          <w:iCs/>
          <w:color w:val="000000"/>
          <w:sz w:val="22"/>
          <w:szCs w:val="22"/>
          <w:lang w:val="sk-SK"/>
        </w:rPr>
        <w:t xml:space="preserve"> je cez </w:t>
      </w:r>
      <w:proofErr w:type="spellStart"/>
      <w:r w:rsidR="002418A6" w:rsidRPr="004C7BAE">
        <w:rPr>
          <w:bCs/>
          <w:iCs/>
          <w:color w:val="000000"/>
          <w:sz w:val="22"/>
          <w:szCs w:val="22"/>
          <w:lang w:val="sk-SK"/>
        </w:rPr>
        <w:t>hepatobiliárny</w:t>
      </w:r>
      <w:proofErr w:type="spellEnd"/>
      <w:r w:rsidR="002418A6" w:rsidRPr="004C7BAE">
        <w:rPr>
          <w:bCs/>
          <w:iCs/>
          <w:color w:val="000000"/>
          <w:sz w:val="22"/>
          <w:szCs w:val="22"/>
          <w:lang w:val="sk-SK"/>
        </w:rPr>
        <w:t xml:space="preserve"> systém. Musia byť vyhodnocované celkové hladiny </w:t>
      </w:r>
      <w:proofErr w:type="spellStart"/>
      <w:r w:rsidR="002418A6" w:rsidRPr="004C7BAE">
        <w:rPr>
          <w:bCs/>
          <w:iCs/>
          <w:color w:val="000000"/>
          <w:sz w:val="22"/>
          <w:szCs w:val="22"/>
          <w:lang w:val="sk-SK"/>
        </w:rPr>
        <w:t>bilirubínu</w:t>
      </w:r>
      <w:proofErr w:type="spellEnd"/>
      <w:r w:rsidR="002418A6" w:rsidRPr="004C7BAE">
        <w:rPr>
          <w:bCs/>
          <w:iCs/>
          <w:color w:val="000000"/>
          <w:sz w:val="22"/>
          <w:szCs w:val="22"/>
          <w:lang w:val="sk-SK"/>
        </w:rPr>
        <w:t xml:space="preserve"> a AST v sére musia byť počas liečby </w:t>
      </w:r>
      <w:proofErr w:type="spellStart"/>
      <w:r w:rsidR="002418A6" w:rsidRPr="004C7BAE">
        <w:rPr>
          <w:bCs/>
          <w:iCs/>
          <w:color w:val="000000"/>
          <w:sz w:val="22"/>
          <w:szCs w:val="22"/>
          <w:lang w:val="sk-SK"/>
        </w:rPr>
        <w:t>epirubicínom</w:t>
      </w:r>
      <w:proofErr w:type="spellEnd"/>
      <w:r w:rsidR="002418A6" w:rsidRPr="004C7BAE">
        <w:rPr>
          <w:bCs/>
          <w:iCs/>
          <w:color w:val="000000"/>
          <w:sz w:val="22"/>
          <w:szCs w:val="22"/>
          <w:lang w:val="sk-SK"/>
        </w:rPr>
        <w:t xml:space="preserve">. Pacienti so zvýšeným </w:t>
      </w:r>
      <w:proofErr w:type="spellStart"/>
      <w:r w:rsidR="002418A6" w:rsidRPr="004C7BAE">
        <w:rPr>
          <w:bCs/>
          <w:iCs/>
          <w:color w:val="000000"/>
          <w:sz w:val="22"/>
          <w:szCs w:val="22"/>
          <w:lang w:val="sk-SK"/>
        </w:rPr>
        <w:t>bilirubínom</w:t>
      </w:r>
      <w:proofErr w:type="spellEnd"/>
      <w:r w:rsidR="002418A6" w:rsidRPr="004C7BAE">
        <w:rPr>
          <w:bCs/>
          <w:iCs/>
          <w:color w:val="000000"/>
          <w:sz w:val="22"/>
          <w:szCs w:val="22"/>
          <w:lang w:val="sk-SK"/>
        </w:rPr>
        <w:t xml:space="preserve"> alebo AST môžu mať znížený </w:t>
      </w:r>
      <w:proofErr w:type="spellStart"/>
      <w:r w:rsidR="002418A6" w:rsidRPr="004C7BAE">
        <w:rPr>
          <w:bCs/>
          <w:iCs/>
          <w:color w:val="000000"/>
          <w:sz w:val="22"/>
          <w:szCs w:val="22"/>
          <w:lang w:val="sk-SK"/>
        </w:rPr>
        <w:t>klírens</w:t>
      </w:r>
      <w:proofErr w:type="spellEnd"/>
      <w:r w:rsidR="002418A6" w:rsidRPr="004C7BAE">
        <w:rPr>
          <w:bCs/>
          <w:iCs/>
          <w:color w:val="000000"/>
          <w:sz w:val="22"/>
          <w:szCs w:val="22"/>
          <w:lang w:val="sk-SK"/>
        </w:rPr>
        <w:t xml:space="preserve"> lieku pri zvýšenej celkovej toxicite. U týchto pacientov sú odporúčané nižšie dávky (pozri časti 4.2 a 5.2). Pacienti so závažnou poruchou funkcie pečene nesmú dostávať </w:t>
      </w:r>
      <w:proofErr w:type="spellStart"/>
      <w:r w:rsidR="002418A6" w:rsidRPr="004C7BAE">
        <w:rPr>
          <w:bCs/>
          <w:iCs/>
          <w:color w:val="000000"/>
          <w:sz w:val="22"/>
          <w:szCs w:val="22"/>
          <w:lang w:val="sk-SK"/>
        </w:rPr>
        <w:t>epirubicín</w:t>
      </w:r>
      <w:proofErr w:type="spellEnd"/>
      <w:r w:rsidR="002418A6" w:rsidRPr="004C7BAE">
        <w:rPr>
          <w:bCs/>
          <w:iCs/>
          <w:color w:val="000000"/>
          <w:sz w:val="22"/>
          <w:szCs w:val="22"/>
          <w:lang w:val="sk-SK"/>
        </w:rPr>
        <w:t xml:space="preserve"> (pozri časť 4.3).</w:t>
      </w:r>
    </w:p>
    <w:p w14:paraId="225143BB" w14:textId="77777777" w:rsidR="00BA5AFA" w:rsidRPr="004C7BAE" w:rsidRDefault="00BA5AFA">
      <w:pPr>
        <w:rPr>
          <w:sz w:val="22"/>
          <w:szCs w:val="22"/>
          <w:lang w:val="sk-SK"/>
        </w:rPr>
      </w:pPr>
    </w:p>
    <w:p w14:paraId="22A02D09" w14:textId="77777777" w:rsidR="00660307" w:rsidRPr="00FB7812" w:rsidRDefault="00BB1FEE">
      <w:pPr>
        <w:rPr>
          <w:iCs/>
          <w:sz w:val="22"/>
          <w:szCs w:val="22"/>
          <w:u w:val="single"/>
          <w:lang w:val="sk-SK"/>
        </w:rPr>
      </w:pPr>
      <w:r w:rsidRPr="00FB7812">
        <w:rPr>
          <w:iCs/>
          <w:sz w:val="22"/>
          <w:szCs w:val="22"/>
          <w:u w:val="single"/>
          <w:lang w:val="sk-SK"/>
        </w:rPr>
        <w:t>Funkcia obličiek</w:t>
      </w:r>
    </w:p>
    <w:p w14:paraId="75EC6C69" w14:textId="5526D1AB" w:rsidR="00BA5AFA" w:rsidRPr="004C7BAE" w:rsidRDefault="00660307">
      <w:pPr>
        <w:rPr>
          <w:sz w:val="22"/>
          <w:szCs w:val="22"/>
          <w:lang w:val="sk-SK"/>
        </w:rPr>
      </w:pPr>
      <w:r>
        <w:rPr>
          <w:iCs/>
          <w:sz w:val="22"/>
          <w:szCs w:val="22"/>
          <w:lang w:val="sk-SK"/>
        </w:rPr>
        <w:t>P</w:t>
      </w:r>
      <w:r w:rsidR="002418A6" w:rsidRPr="004C7BAE">
        <w:rPr>
          <w:iCs/>
          <w:sz w:val="22"/>
          <w:szCs w:val="22"/>
          <w:lang w:val="sk-SK"/>
        </w:rPr>
        <w:t xml:space="preserve">red liečbou a v jej priebehu sa musí vyhodnotiť sérový </w:t>
      </w:r>
      <w:proofErr w:type="spellStart"/>
      <w:r w:rsidR="002418A6" w:rsidRPr="004C7BAE">
        <w:rPr>
          <w:iCs/>
          <w:sz w:val="22"/>
          <w:szCs w:val="22"/>
          <w:lang w:val="sk-SK"/>
        </w:rPr>
        <w:t>k</w:t>
      </w:r>
      <w:r w:rsidR="002418A6" w:rsidRPr="004C7BAE">
        <w:rPr>
          <w:iCs/>
          <w:color w:val="000000"/>
          <w:sz w:val="22"/>
          <w:szCs w:val="22"/>
          <w:lang w:val="sk-SK"/>
        </w:rPr>
        <w:t>reatinín</w:t>
      </w:r>
      <w:proofErr w:type="spellEnd"/>
      <w:r w:rsidR="002418A6" w:rsidRPr="004C7BAE">
        <w:rPr>
          <w:iCs/>
          <w:color w:val="000000"/>
          <w:sz w:val="22"/>
          <w:szCs w:val="22"/>
          <w:lang w:val="sk-SK"/>
        </w:rPr>
        <w:t>.</w:t>
      </w:r>
      <w:r w:rsidR="002418A6" w:rsidRPr="004C7BAE">
        <w:rPr>
          <w:iCs/>
          <w:sz w:val="22"/>
          <w:szCs w:val="22"/>
          <w:lang w:val="sk-SK"/>
        </w:rPr>
        <w:t xml:space="preserve"> </w:t>
      </w:r>
      <w:r w:rsidR="002418A6" w:rsidRPr="004C7BAE">
        <w:rPr>
          <w:iCs/>
          <w:color w:val="000000"/>
          <w:sz w:val="22"/>
          <w:szCs w:val="22"/>
          <w:lang w:val="sk-SK"/>
        </w:rPr>
        <w:t xml:space="preserve">Úprava dávkovania je potrebná u pacientov so sérovým </w:t>
      </w:r>
      <w:proofErr w:type="spellStart"/>
      <w:r w:rsidR="002418A6" w:rsidRPr="004C7BAE">
        <w:rPr>
          <w:iCs/>
          <w:color w:val="000000"/>
          <w:sz w:val="22"/>
          <w:szCs w:val="22"/>
          <w:lang w:val="sk-SK"/>
        </w:rPr>
        <w:t>kreatinínom</w:t>
      </w:r>
      <w:proofErr w:type="spellEnd"/>
      <w:r w:rsidR="002418A6" w:rsidRPr="004C7BAE">
        <w:rPr>
          <w:iCs/>
          <w:color w:val="000000"/>
          <w:sz w:val="22"/>
          <w:szCs w:val="22"/>
          <w:lang w:val="sk-SK"/>
        </w:rPr>
        <w:t xml:space="preserve"> &gt;5 mg/dl (pozri časť 4.2). </w:t>
      </w:r>
    </w:p>
    <w:p w14:paraId="0A07F68D" w14:textId="77777777" w:rsidR="00BA5AFA" w:rsidRPr="004C7BAE" w:rsidRDefault="00BA5AFA">
      <w:pPr>
        <w:rPr>
          <w:sz w:val="22"/>
          <w:szCs w:val="22"/>
          <w:lang w:val="sk-SK"/>
        </w:rPr>
      </w:pPr>
    </w:p>
    <w:p w14:paraId="6E8A432E" w14:textId="77777777" w:rsidR="00660307" w:rsidRPr="00FB7812" w:rsidRDefault="00BB1FEE">
      <w:pPr>
        <w:rPr>
          <w:iCs/>
          <w:sz w:val="22"/>
          <w:szCs w:val="22"/>
          <w:u w:val="single"/>
          <w:lang w:val="sk-SK"/>
        </w:rPr>
      </w:pPr>
      <w:r w:rsidRPr="00FB7812">
        <w:rPr>
          <w:iCs/>
          <w:sz w:val="22"/>
          <w:szCs w:val="22"/>
          <w:u w:val="single"/>
          <w:lang w:val="sk-SK"/>
        </w:rPr>
        <w:t>Účinky v mieste podania</w:t>
      </w:r>
    </w:p>
    <w:p w14:paraId="4940323F" w14:textId="21DA322E" w:rsidR="00BA5AFA" w:rsidRPr="004C7BAE" w:rsidRDefault="00660307">
      <w:pPr>
        <w:rPr>
          <w:bCs/>
          <w:iCs/>
          <w:color w:val="000000"/>
          <w:sz w:val="22"/>
          <w:szCs w:val="22"/>
          <w:lang w:val="sk-SK"/>
        </w:rPr>
      </w:pPr>
      <w:r>
        <w:rPr>
          <w:iCs/>
          <w:sz w:val="22"/>
          <w:szCs w:val="22"/>
          <w:lang w:val="sk-SK"/>
        </w:rPr>
        <w:t>I</w:t>
      </w:r>
      <w:r w:rsidR="002418A6" w:rsidRPr="004C7BAE">
        <w:rPr>
          <w:iCs/>
          <w:sz w:val="22"/>
          <w:szCs w:val="22"/>
          <w:lang w:val="sk-SK"/>
        </w:rPr>
        <w:t xml:space="preserve">njekcia do malej cievy alebo opakované injekcie do tej istej žily môžu mať za následok </w:t>
      </w:r>
      <w:proofErr w:type="spellStart"/>
      <w:r w:rsidR="002418A6" w:rsidRPr="004C7BAE">
        <w:rPr>
          <w:iCs/>
          <w:sz w:val="22"/>
          <w:szCs w:val="22"/>
          <w:lang w:val="sk-SK"/>
        </w:rPr>
        <w:t>flebosklerózu</w:t>
      </w:r>
      <w:proofErr w:type="spellEnd"/>
      <w:r w:rsidR="002418A6" w:rsidRPr="004C7BAE">
        <w:rPr>
          <w:iCs/>
          <w:sz w:val="22"/>
          <w:szCs w:val="22"/>
          <w:lang w:val="sk-SK"/>
        </w:rPr>
        <w:t xml:space="preserve">. </w:t>
      </w:r>
      <w:r w:rsidR="002418A6" w:rsidRPr="004C7BAE">
        <w:rPr>
          <w:iCs/>
          <w:color w:val="000000"/>
          <w:sz w:val="22"/>
          <w:szCs w:val="22"/>
          <w:lang w:val="sk-SK"/>
        </w:rPr>
        <w:t xml:space="preserve">Riziko </w:t>
      </w:r>
      <w:proofErr w:type="spellStart"/>
      <w:r w:rsidR="002418A6" w:rsidRPr="004C7BAE">
        <w:rPr>
          <w:iCs/>
          <w:color w:val="000000"/>
          <w:sz w:val="22"/>
          <w:szCs w:val="22"/>
          <w:lang w:val="sk-SK"/>
        </w:rPr>
        <w:t>flebitídy</w:t>
      </w:r>
      <w:proofErr w:type="spellEnd"/>
      <w:r w:rsidR="002418A6" w:rsidRPr="004C7BAE">
        <w:rPr>
          <w:iCs/>
          <w:color w:val="000000"/>
          <w:sz w:val="22"/>
          <w:szCs w:val="22"/>
          <w:lang w:val="sk-SK"/>
        </w:rPr>
        <w:t xml:space="preserve">/tromboflebitídy v mieste podania injekcie môže minimalizovať dodržiavanie odporúčaných postupov podávania (pozri časť 4.2). </w:t>
      </w:r>
    </w:p>
    <w:p w14:paraId="3ED48283" w14:textId="77777777" w:rsidR="00BA5AFA" w:rsidRPr="004C7BAE" w:rsidRDefault="00BA5AFA">
      <w:pPr>
        <w:pStyle w:val="Pta"/>
        <w:rPr>
          <w:sz w:val="22"/>
          <w:szCs w:val="22"/>
          <w:lang w:val="sk-SK"/>
        </w:rPr>
      </w:pPr>
    </w:p>
    <w:p w14:paraId="799FBD71" w14:textId="77777777" w:rsidR="00660307" w:rsidRPr="00FB7812" w:rsidRDefault="00BB1FEE">
      <w:pPr>
        <w:keepNext/>
        <w:keepLines/>
        <w:rPr>
          <w:iCs/>
          <w:sz w:val="22"/>
          <w:szCs w:val="22"/>
          <w:u w:val="single"/>
          <w:lang w:val="sk-SK"/>
        </w:rPr>
      </w:pPr>
      <w:proofErr w:type="spellStart"/>
      <w:r w:rsidRPr="00FB7812">
        <w:rPr>
          <w:iCs/>
          <w:sz w:val="22"/>
          <w:szCs w:val="22"/>
          <w:u w:val="single"/>
          <w:lang w:val="sk-SK"/>
        </w:rPr>
        <w:t>Extravazácia</w:t>
      </w:r>
      <w:proofErr w:type="spellEnd"/>
    </w:p>
    <w:p w14:paraId="0033A0CD" w14:textId="53F8033E" w:rsidR="00BA5AFA" w:rsidRPr="004C7BAE" w:rsidRDefault="00660307">
      <w:pPr>
        <w:keepNext/>
        <w:keepLines/>
        <w:rPr>
          <w:iCs/>
          <w:color w:val="000000"/>
          <w:sz w:val="22"/>
          <w:szCs w:val="22"/>
          <w:lang w:val="sk-SK"/>
        </w:rPr>
      </w:pPr>
      <w:proofErr w:type="spellStart"/>
      <w:r>
        <w:rPr>
          <w:iCs/>
          <w:sz w:val="22"/>
          <w:szCs w:val="22"/>
          <w:lang w:val="sk-SK"/>
        </w:rPr>
        <w:t>E</w:t>
      </w:r>
      <w:r w:rsidR="002418A6" w:rsidRPr="004C7BAE">
        <w:rPr>
          <w:iCs/>
          <w:sz w:val="22"/>
          <w:szCs w:val="22"/>
          <w:lang w:val="sk-SK"/>
        </w:rPr>
        <w:t>xtravazácia</w:t>
      </w:r>
      <w:proofErr w:type="spellEnd"/>
      <w:r w:rsidR="002418A6" w:rsidRPr="004C7BAE">
        <w:rPr>
          <w:iCs/>
          <w:sz w:val="22"/>
          <w:szCs w:val="22"/>
          <w:lang w:val="sk-SK"/>
        </w:rPr>
        <w:t xml:space="preserve"> </w:t>
      </w:r>
      <w:proofErr w:type="spellStart"/>
      <w:r w:rsidR="002418A6" w:rsidRPr="004C7BAE">
        <w:rPr>
          <w:iCs/>
          <w:sz w:val="22"/>
          <w:szCs w:val="22"/>
          <w:lang w:val="sk-SK"/>
        </w:rPr>
        <w:t>epirubicínu</w:t>
      </w:r>
      <w:proofErr w:type="spellEnd"/>
      <w:r w:rsidR="002418A6" w:rsidRPr="004C7BAE">
        <w:rPr>
          <w:iCs/>
          <w:sz w:val="22"/>
          <w:szCs w:val="22"/>
          <w:lang w:val="sk-SK"/>
        </w:rPr>
        <w:t xml:space="preserve"> počas intravenóznej injekcie môže spôsobiť miestnu bolesť, závažné lézie tkaniva (</w:t>
      </w:r>
      <w:proofErr w:type="spellStart"/>
      <w:r w:rsidR="002418A6" w:rsidRPr="004C7BAE">
        <w:rPr>
          <w:iCs/>
          <w:sz w:val="22"/>
          <w:szCs w:val="22"/>
          <w:lang w:val="sk-SK"/>
        </w:rPr>
        <w:t>vezikácia</w:t>
      </w:r>
      <w:proofErr w:type="spellEnd"/>
      <w:r w:rsidR="002418A6" w:rsidRPr="004C7BAE">
        <w:rPr>
          <w:iCs/>
          <w:sz w:val="22"/>
          <w:szCs w:val="22"/>
          <w:lang w:val="sk-SK"/>
        </w:rPr>
        <w:t xml:space="preserve">, závažná celulitída) a </w:t>
      </w:r>
      <w:proofErr w:type="spellStart"/>
      <w:r w:rsidR="002418A6" w:rsidRPr="004C7BAE">
        <w:rPr>
          <w:iCs/>
          <w:sz w:val="22"/>
          <w:szCs w:val="22"/>
          <w:lang w:val="sk-SK"/>
        </w:rPr>
        <w:t>nekrózu</w:t>
      </w:r>
      <w:proofErr w:type="spellEnd"/>
      <w:r w:rsidR="002418A6" w:rsidRPr="004C7BAE">
        <w:rPr>
          <w:iCs/>
          <w:sz w:val="22"/>
          <w:szCs w:val="22"/>
          <w:lang w:val="sk-SK"/>
        </w:rPr>
        <w:t xml:space="preserve">. </w:t>
      </w:r>
      <w:r w:rsidR="002418A6" w:rsidRPr="004C7BAE">
        <w:rPr>
          <w:iCs/>
          <w:color w:val="000000"/>
          <w:sz w:val="22"/>
          <w:szCs w:val="22"/>
          <w:lang w:val="sk-SK"/>
        </w:rPr>
        <w:t xml:space="preserve">Ak sa počas intravenózneho podávania </w:t>
      </w:r>
      <w:proofErr w:type="spellStart"/>
      <w:r w:rsidR="002418A6" w:rsidRPr="004C7BAE">
        <w:rPr>
          <w:iCs/>
          <w:color w:val="000000"/>
          <w:sz w:val="22"/>
          <w:szCs w:val="22"/>
          <w:lang w:val="sk-SK"/>
        </w:rPr>
        <w:t>epirubicínu</w:t>
      </w:r>
      <w:proofErr w:type="spellEnd"/>
      <w:r w:rsidR="002418A6" w:rsidRPr="004C7BAE">
        <w:rPr>
          <w:iCs/>
          <w:color w:val="000000"/>
          <w:sz w:val="22"/>
          <w:szCs w:val="22"/>
          <w:lang w:val="sk-SK"/>
        </w:rPr>
        <w:t xml:space="preserve"> prejavia príznaky alebo symptómy </w:t>
      </w:r>
      <w:proofErr w:type="spellStart"/>
      <w:r w:rsidR="002418A6" w:rsidRPr="004C7BAE">
        <w:rPr>
          <w:iCs/>
          <w:color w:val="000000"/>
          <w:sz w:val="22"/>
          <w:szCs w:val="22"/>
          <w:lang w:val="sk-SK"/>
        </w:rPr>
        <w:t>extravazácie</w:t>
      </w:r>
      <w:proofErr w:type="spellEnd"/>
      <w:r w:rsidR="002418A6" w:rsidRPr="004C7BAE">
        <w:rPr>
          <w:iCs/>
          <w:color w:val="000000"/>
          <w:sz w:val="22"/>
          <w:szCs w:val="22"/>
          <w:lang w:val="sk-SK"/>
        </w:rPr>
        <w:t>, infúzia lieku sa musí okamžite ukončiť. Nežiaduce</w:t>
      </w:r>
      <w:r>
        <w:rPr>
          <w:iCs/>
          <w:color w:val="000000"/>
          <w:sz w:val="22"/>
          <w:szCs w:val="22"/>
          <w:lang w:val="sk-SK"/>
        </w:rPr>
        <w:t>j</w:t>
      </w:r>
      <w:r w:rsidR="002418A6" w:rsidRPr="004C7BAE">
        <w:rPr>
          <w:iCs/>
          <w:color w:val="000000"/>
          <w:sz w:val="22"/>
          <w:szCs w:val="22"/>
          <w:lang w:val="sk-SK"/>
        </w:rPr>
        <w:t xml:space="preserve"> </w:t>
      </w:r>
      <w:r>
        <w:rPr>
          <w:iCs/>
          <w:color w:val="000000"/>
          <w:sz w:val="22"/>
          <w:szCs w:val="22"/>
          <w:lang w:val="sk-SK"/>
        </w:rPr>
        <w:t>udalosti</w:t>
      </w:r>
      <w:r w:rsidR="002418A6" w:rsidRPr="004C7BAE">
        <w:rPr>
          <w:iCs/>
          <w:color w:val="000000"/>
          <w:sz w:val="22"/>
          <w:szCs w:val="22"/>
          <w:lang w:val="sk-SK"/>
        </w:rPr>
        <w:t xml:space="preserve"> </w:t>
      </w:r>
      <w:proofErr w:type="spellStart"/>
      <w:r w:rsidR="002418A6" w:rsidRPr="004C7BAE">
        <w:rPr>
          <w:iCs/>
          <w:color w:val="000000"/>
          <w:sz w:val="22"/>
          <w:szCs w:val="22"/>
          <w:lang w:val="sk-SK"/>
        </w:rPr>
        <w:t>extravazácie</w:t>
      </w:r>
      <w:proofErr w:type="spellEnd"/>
      <w:r w:rsidR="002418A6" w:rsidRPr="004C7BAE">
        <w:rPr>
          <w:iCs/>
          <w:color w:val="000000"/>
          <w:sz w:val="22"/>
          <w:szCs w:val="22"/>
          <w:lang w:val="sk-SK"/>
        </w:rPr>
        <w:t xml:space="preserve"> spôsoben</w:t>
      </w:r>
      <w:r>
        <w:rPr>
          <w:iCs/>
          <w:color w:val="000000"/>
          <w:sz w:val="22"/>
          <w:szCs w:val="22"/>
          <w:lang w:val="sk-SK"/>
        </w:rPr>
        <w:t>ej</w:t>
      </w:r>
      <w:r w:rsidR="002418A6" w:rsidRPr="004C7BAE">
        <w:rPr>
          <w:iCs/>
          <w:color w:val="000000"/>
          <w:sz w:val="22"/>
          <w:szCs w:val="22"/>
          <w:lang w:val="sk-SK"/>
        </w:rPr>
        <w:t xml:space="preserve"> </w:t>
      </w:r>
      <w:proofErr w:type="spellStart"/>
      <w:r w:rsidR="002418A6" w:rsidRPr="004C7BAE">
        <w:rPr>
          <w:iCs/>
          <w:color w:val="000000"/>
          <w:sz w:val="22"/>
          <w:szCs w:val="22"/>
          <w:lang w:val="sk-SK"/>
        </w:rPr>
        <w:t>antracyklínmi</w:t>
      </w:r>
      <w:proofErr w:type="spellEnd"/>
      <w:r w:rsidR="002418A6" w:rsidRPr="004C7BAE">
        <w:rPr>
          <w:iCs/>
          <w:color w:val="000000"/>
          <w:sz w:val="22"/>
          <w:szCs w:val="22"/>
          <w:lang w:val="sk-SK"/>
        </w:rPr>
        <w:t xml:space="preserve"> sa môže predísť alebo účinok sa môže znížiť okamžitým použitím špecifickej liečby napr. </w:t>
      </w:r>
      <w:proofErr w:type="spellStart"/>
      <w:r w:rsidR="002418A6" w:rsidRPr="004C7BAE">
        <w:rPr>
          <w:sz w:val="22"/>
          <w:szCs w:val="22"/>
          <w:lang w:val="sk-SK" w:bidi="si-LK"/>
        </w:rPr>
        <w:t>dexrazoxanom</w:t>
      </w:r>
      <w:proofErr w:type="spellEnd"/>
      <w:r w:rsidR="002418A6" w:rsidRPr="004C7BAE">
        <w:rPr>
          <w:sz w:val="22"/>
          <w:szCs w:val="22"/>
          <w:lang w:val="sk-SK" w:bidi="si-LK"/>
        </w:rPr>
        <w:t xml:space="preserve"> (informácie o použití nájdete v príslušných návodoch). </w:t>
      </w:r>
      <w:r w:rsidR="002418A6" w:rsidRPr="004C7BAE">
        <w:rPr>
          <w:iCs/>
          <w:color w:val="000000"/>
          <w:sz w:val="22"/>
          <w:szCs w:val="22"/>
          <w:lang w:val="sk-SK"/>
        </w:rPr>
        <w:t xml:space="preserve">Pacientove bolesti možno zmierniť ochladením oblasti a jej udržiavaním v chlade, použitím kyseliny </w:t>
      </w:r>
      <w:proofErr w:type="spellStart"/>
      <w:r w:rsidR="002418A6" w:rsidRPr="004C7BAE">
        <w:rPr>
          <w:rStyle w:val="hps"/>
          <w:sz w:val="22"/>
          <w:szCs w:val="22"/>
          <w:lang w:val="sk-SK"/>
        </w:rPr>
        <w:t>hyalurónovej</w:t>
      </w:r>
      <w:proofErr w:type="spellEnd"/>
      <w:r w:rsidR="002418A6" w:rsidRPr="004C7BAE">
        <w:rPr>
          <w:rStyle w:val="hps"/>
          <w:sz w:val="22"/>
          <w:szCs w:val="22"/>
          <w:lang w:val="sk-SK"/>
        </w:rPr>
        <w:t xml:space="preserve"> a </w:t>
      </w:r>
      <w:proofErr w:type="spellStart"/>
      <w:r w:rsidR="002418A6" w:rsidRPr="004C7BAE">
        <w:rPr>
          <w:rStyle w:val="hps"/>
          <w:sz w:val="22"/>
          <w:szCs w:val="22"/>
          <w:lang w:val="sk-SK"/>
        </w:rPr>
        <w:t>dimetylsulfoxidu</w:t>
      </w:r>
      <w:proofErr w:type="spellEnd"/>
      <w:r w:rsidR="002418A6" w:rsidRPr="004C7BAE">
        <w:rPr>
          <w:rStyle w:val="hps"/>
          <w:lang w:val="sk-SK"/>
        </w:rPr>
        <w:t xml:space="preserve"> (</w:t>
      </w:r>
      <w:r w:rsidR="002418A6" w:rsidRPr="004C7BAE">
        <w:rPr>
          <w:rStyle w:val="hps"/>
          <w:sz w:val="22"/>
          <w:szCs w:val="22"/>
          <w:lang w:val="sk-SK"/>
        </w:rPr>
        <w:t>DMSO)</w:t>
      </w:r>
      <w:r w:rsidR="002418A6" w:rsidRPr="004C7BAE">
        <w:rPr>
          <w:iCs/>
          <w:color w:val="000000"/>
          <w:sz w:val="22"/>
          <w:szCs w:val="22"/>
          <w:lang w:val="sk-SK"/>
        </w:rPr>
        <w:t xml:space="preserve">. Pacient musí byť počas nasledujúceho obdobia podrobne sledovaný, pretože po niekoľkých týždňoch môže dochádzať k </w:t>
      </w:r>
      <w:proofErr w:type="spellStart"/>
      <w:r w:rsidR="002418A6" w:rsidRPr="004C7BAE">
        <w:rPr>
          <w:iCs/>
          <w:color w:val="000000"/>
          <w:sz w:val="22"/>
          <w:szCs w:val="22"/>
          <w:lang w:val="sk-SK"/>
        </w:rPr>
        <w:t>nekróze</w:t>
      </w:r>
      <w:proofErr w:type="spellEnd"/>
      <w:r w:rsidR="002418A6" w:rsidRPr="004C7BAE">
        <w:rPr>
          <w:iCs/>
          <w:color w:val="000000"/>
          <w:sz w:val="22"/>
          <w:szCs w:val="22"/>
          <w:lang w:val="sk-SK"/>
        </w:rPr>
        <w:t xml:space="preserve">. Ak príde k </w:t>
      </w:r>
      <w:proofErr w:type="spellStart"/>
      <w:r w:rsidR="002418A6" w:rsidRPr="004C7BAE">
        <w:rPr>
          <w:iCs/>
          <w:color w:val="000000"/>
          <w:sz w:val="22"/>
          <w:szCs w:val="22"/>
          <w:lang w:val="sk-SK"/>
        </w:rPr>
        <w:t>extravazácii</w:t>
      </w:r>
      <w:proofErr w:type="spellEnd"/>
      <w:r w:rsidR="002418A6" w:rsidRPr="004C7BAE">
        <w:rPr>
          <w:iCs/>
          <w:color w:val="000000"/>
          <w:sz w:val="22"/>
          <w:szCs w:val="22"/>
          <w:lang w:val="sk-SK"/>
        </w:rPr>
        <w:t xml:space="preserve">, treba konzultovať s plastickým chirurgom možnosť prípadnej </w:t>
      </w:r>
      <w:proofErr w:type="spellStart"/>
      <w:r w:rsidR="002418A6" w:rsidRPr="004C7BAE">
        <w:rPr>
          <w:iCs/>
          <w:color w:val="000000"/>
          <w:sz w:val="22"/>
          <w:szCs w:val="22"/>
          <w:lang w:val="sk-SK"/>
        </w:rPr>
        <w:t>excízie</w:t>
      </w:r>
      <w:proofErr w:type="spellEnd"/>
      <w:r w:rsidR="002418A6" w:rsidRPr="004C7BAE">
        <w:rPr>
          <w:iCs/>
          <w:color w:val="000000"/>
          <w:sz w:val="22"/>
          <w:szCs w:val="22"/>
          <w:lang w:val="sk-SK"/>
        </w:rPr>
        <w:t>.</w:t>
      </w:r>
    </w:p>
    <w:p w14:paraId="57AC789E" w14:textId="77777777" w:rsidR="00BA5AFA" w:rsidRPr="004C7BAE" w:rsidRDefault="00BA5AFA">
      <w:pPr>
        <w:rPr>
          <w:sz w:val="22"/>
          <w:szCs w:val="22"/>
          <w:lang w:val="sk-SK"/>
        </w:rPr>
      </w:pPr>
    </w:p>
    <w:p w14:paraId="0E9C1C52" w14:textId="77777777" w:rsidR="00A31E63" w:rsidRPr="00FB7812" w:rsidRDefault="00BB1FEE" w:rsidP="00FB7812">
      <w:pPr>
        <w:keepNext/>
        <w:keepLines/>
        <w:rPr>
          <w:iCs/>
          <w:sz w:val="22"/>
          <w:szCs w:val="22"/>
          <w:u w:val="single"/>
          <w:lang w:val="sk-SK"/>
        </w:rPr>
      </w:pPr>
      <w:r w:rsidRPr="00FB7812">
        <w:rPr>
          <w:iCs/>
          <w:sz w:val="22"/>
          <w:szCs w:val="22"/>
          <w:u w:val="single"/>
          <w:lang w:val="sk-SK"/>
        </w:rPr>
        <w:t>Iné</w:t>
      </w:r>
    </w:p>
    <w:p w14:paraId="15F72C44" w14:textId="02327C28" w:rsidR="00A31E63" w:rsidRDefault="00660307" w:rsidP="00FB7812">
      <w:pPr>
        <w:keepNext/>
        <w:keepLines/>
        <w:rPr>
          <w:sz w:val="22"/>
          <w:szCs w:val="22"/>
          <w:lang w:val="sk-SK"/>
        </w:rPr>
      </w:pPr>
      <w:r>
        <w:rPr>
          <w:iCs/>
          <w:sz w:val="22"/>
          <w:szCs w:val="22"/>
          <w:lang w:val="sk-SK"/>
        </w:rPr>
        <w:t>A</w:t>
      </w:r>
      <w:r w:rsidR="002418A6" w:rsidRPr="004C7BAE">
        <w:rPr>
          <w:iCs/>
          <w:sz w:val="22"/>
          <w:szCs w:val="22"/>
          <w:lang w:val="sk-SK"/>
        </w:rPr>
        <w:t xml:space="preserve">ko u iných </w:t>
      </w:r>
      <w:proofErr w:type="spellStart"/>
      <w:r w:rsidR="002418A6" w:rsidRPr="004C7BAE">
        <w:rPr>
          <w:iCs/>
          <w:sz w:val="22"/>
          <w:szCs w:val="22"/>
          <w:lang w:val="sk-SK"/>
        </w:rPr>
        <w:t>cytotoxických</w:t>
      </w:r>
      <w:proofErr w:type="spellEnd"/>
      <w:r w:rsidR="002418A6" w:rsidRPr="004C7BAE">
        <w:rPr>
          <w:iCs/>
          <w:sz w:val="22"/>
          <w:szCs w:val="22"/>
          <w:lang w:val="sk-SK"/>
        </w:rPr>
        <w:t xml:space="preserve"> prí</w:t>
      </w:r>
      <w:r w:rsidR="002418A6" w:rsidRPr="004C7BAE">
        <w:rPr>
          <w:iCs/>
          <w:color w:val="000000"/>
          <w:sz w:val="22"/>
          <w:szCs w:val="22"/>
          <w:lang w:val="sk-SK"/>
        </w:rPr>
        <w:t xml:space="preserve">pravkov, pri použití </w:t>
      </w:r>
      <w:proofErr w:type="spellStart"/>
      <w:r w:rsidR="002418A6" w:rsidRPr="004C7BAE">
        <w:rPr>
          <w:iCs/>
          <w:color w:val="000000"/>
          <w:sz w:val="22"/>
          <w:szCs w:val="22"/>
          <w:lang w:val="sk-SK"/>
        </w:rPr>
        <w:t>epirubicínu</w:t>
      </w:r>
      <w:proofErr w:type="spellEnd"/>
      <w:r w:rsidR="002418A6" w:rsidRPr="004C7BAE">
        <w:rPr>
          <w:iCs/>
          <w:color w:val="000000"/>
          <w:sz w:val="22"/>
          <w:szCs w:val="22"/>
          <w:lang w:val="sk-SK"/>
        </w:rPr>
        <w:t xml:space="preserve"> boli zhodou okolností tiež hlásené prípady tromboflebitídy a </w:t>
      </w:r>
      <w:proofErr w:type="spellStart"/>
      <w:r w:rsidR="002418A6" w:rsidRPr="004C7BAE">
        <w:rPr>
          <w:iCs/>
          <w:color w:val="000000"/>
          <w:sz w:val="22"/>
          <w:szCs w:val="22"/>
          <w:lang w:val="sk-SK"/>
        </w:rPr>
        <w:t>tromboembolických</w:t>
      </w:r>
      <w:proofErr w:type="spellEnd"/>
      <w:r w:rsidR="002418A6" w:rsidRPr="004C7BAE">
        <w:rPr>
          <w:iCs/>
          <w:color w:val="000000"/>
          <w:sz w:val="22"/>
          <w:szCs w:val="22"/>
          <w:lang w:val="sk-SK"/>
        </w:rPr>
        <w:t xml:space="preserve"> príhod, vrátane pľúcnej embólie (v niektorých prípadoch smrteľné).</w:t>
      </w:r>
    </w:p>
    <w:p w14:paraId="4669E234" w14:textId="77777777" w:rsidR="00BA5AFA" w:rsidRPr="004C7BAE" w:rsidRDefault="00BA5AFA">
      <w:pPr>
        <w:rPr>
          <w:sz w:val="22"/>
          <w:szCs w:val="22"/>
          <w:lang w:val="sk-SK"/>
        </w:rPr>
      </w:pPr>
    </w:p>
    <w:p w14:paraId="6717B2E4" w14:textId="77777777" w:rsidR="00660307" w:rsidRPr="00FB7812" w:rsidRDefault="00BB1FEE">
      <w:pPr>
        <w:keepNext/>
        <w:rPr>
          <w:bCs/>
          <w:iCs/>
          <w:sz w:val="22"/>
          <w:szCs w:val="22"/>
          <w:u w:val="single"/>
          <w:lang w:val="sk-SK"/>
        </w:rPr>
      </w:pPr>
      <w:r w:rsidRPr="00FB7812">
        <w:rPr>
          <w:bCs/>
          <w:iCs/>
          <w:sz w:val="22"/>
          <w:szCs w:val="22"/>
          <w:u w:val="single"/>
          <w:lang w:val="sk-SK"/>
        </w:rPr>
        <w:lastRenderedPageBreak/>
        <w:t xml:space="preserve">Syndróm </w:t>
      </w:r>
      <w:proofErr w:type="spellStart"/>
      <w:r w:rsidRPr="00FB7812">
        <w:rPr>
          <w:bCs/>
          <w:iCs/>
          <w:sz w:val="22"/>
          <w:szCs w:val="22"/>
          <w:u w:val="single"/>
          <w:lang w:val="sk-SK"/>
        </w:rPr>
        <w:t>lýzy</w:t>
      </w:r>
      <w:proofErr w:type="spellEnd"/>
      <w:r w:rsidRPr="00FB7812">
        <w:rPr>
          <w:bCs/>
          <w:iCs/>
          <w:sz w:val="22"/>
          <w:szCs w:val="22"/>
          <w:u w:val="single"/>
          <w:lang w:val="sk-SK"/>
        </w:rPr>
        <w:t xml:space="preserve"> tumoru</w:t>
      </w:r>
    </w:p>
    <w:p w14:paraId="1336B20B" w14:textId="3B2B1C20" w:rsidR="00BA5AFA" w:rsidRPr="004C7BAE" w:rsidRDefault="00660307">
      <w:pPr>
        <w:keepNext/>
        <w:rPr>
          <w:bCs/>
          <w:iCs/>
          <w:color w:val="000000"/>
          <w:sz w:val="22"/>
          <w:szCs w:val="22"/>
          <w:lang w:val="sk-SK"/>
        </w:rPr>
      </w:pPr>
      <w:proofErr w:type="spellStart"/>
      <w:r>
        <w:rPr>
          <w:bCs/>
          <w:iCs/>
          <w:sz w:val="22"/>
          <w:szCs w:val="22"/>
          <w:lang w:val="sk-SK"/>
        </w:rPr>
        <w:t>E</w:t>
      </w:r>
      <w:r w:rsidR="002418A6" w:rsidRPr="004C7BAE">
        <w:rPr>
          <w:bCs/>
          <w:iCs/>
          <w:sz w:val="22"/>
          <w:szCs w:val="22"/>
          <w:lang w:val="sk-SK"/>
        </w:rPr>
        <w:t>pirubicín</w:t>
      </w:r>
      <w:proofErr w:type="spellEnd"/>
      <w:r w:rsidR="002418A6" w:rsidRPr="004C7BAE">
        <w:rPr>
          <w:bCs/>
          <w:iCs/>
          <w:sz w:val="22"/>
          <w:szCs w:val="22"/>
          <w:lang w:val="sk-SK"/>
        </w:rPr>
        <w:t xml:space="preserve"> môže spôsobovať </w:t>
      </w:r>
      <w:proofErr w:type="spellStart"/>
      <w:r w:rsidR="002418A6" w:rsidRPr="004C7BAE">
        <w:rPr>
          <w:bCs/>
          <w:iCs/>
          <w:sz w:val="22"/>
          <w:szCs w:val="22"/>
          <w:lang w:val="sk-SK"/>
        </w:rPr>
        <w:t>hyperurikémiu</w:t>
      </w:r>
      <w:proofErr w:type="spellEnd"/>
      <w:r w:rsidR="002418A6" w:rsidRPr="004C7BAE">
        <w:rPr>
          <w:bCs/>
          <w:iCs/>
          <w:sz w:val="22"/>
          <w:szCs w:val="22"/>
          <w:lang w:val="sk-SK"/>
        </w:rPr>
        <w:t xml:space="preserve"> v dôsledku rozsiahleho </w:t>
      </w:r>
      <w:proofErr w:type="spellStart"/>
      <w:r w:rsidR="002418A6" w:rsidRPr="004C7BAE">
        <w:rPr>
          <w:bCs/>
          <w:iCs/>
          <w:sz w:val="22"/>
          <w:szCs w:val="22"/>
          <w:lang w:val="sk-SK"/>
        </w:rPr>
        <w:t>katabolizmu</w:t>
      </w:r>
      <w:proofErr w:type="spellEnd"/>
      <w:r w:rsidR="002418A6" w:rsidRPr="004C7BAE">
        <w:rPr>
          <w:bCs/>
          <w:iCs/>
          <w:sz w:val="22"/>
          <w:szCs w:val="22"/>
          <w:lang w:val="sk-SK"/>
        </w:rPr>
        <w:t xml:space="preserve"> </w:t>
      </w:r>
      <w:proofErr w:type="spellStart"/>
      <w:r w:rsidR="002418A6" w:rsidRPr="004C7BAE">
        <w:rPr>
          <w:bCs/>
          <w:iCs/>
          <w:sz w:val="22"/>
          <w:szCs w:val="22"/>
          <w:lang w:val="sk-SK"/>
        </w:rPr>
        <w:t>purínu</w:t>
      </w:r>
      <w:proofErr w:type="spellEnd"/>
      <w:r w:rsidR="002418A6" w:rsidRPr="004C7BAE">
        <w:rPr>
          <w:bCs/>
          <w:iCs/>
          <w:sz w:val="22"/>
          <w:szCs w:val="22"/>
          <w:lang w:val="sk-SK"/>
        </w:rPr>
        <w:t xml:space="preserve">, ktorý sprevádza rýchlu </w:t>
      </w:r>
      <w:proofErr w:type="spellStart"/>
      <w:r w:rsidR="002418A6" w:rsidRPr="004C7BAE">
        <w:rPr>
          <w:bCs/>
          <w:iCs/>
          <w:sz w:val="22"/>
          <w:szCs w:val="22"/>
          <w:lang w:val="sk-SK"/>
        </w:rPr>
        <w:t>lýzu</w:t>
      </w:r>
      <w:proofErr w:type="spellEnd"/>
      <w:r w:rsidR="002418A6" w:rsidRPr="004C7BAE">
        <w:rPr>
          <w:bCs/>
          <w:iCs/>
          <w:sz w:val="22"/>
          <w:szCs w:val="22"/>
          <w:lang w:val="sk-SK"/>
        </w:rPr>
        <w:t xml:space="preserve"> </w:t>
      </w:r>
      <w:proofErr w:type="spellStart"/>
      <w:r w:rsidR="002418A6" w:rsidRPr="004C7BAE">
        <w:rPr>
          <w:bCs/>
          <w:iCs/>
          <w:color w:val="000000"/>
          <w:sz w:val="22"/>
          <w:szCs w:val="22"/>
          <w:lang w:val="sk-SK"/>
        </w:rPr>
        <w:t>neoplastických</w:t>
      </w:r>
      <w:proofErr w:type="spellEnd"/>
      <w:r w:rsidR="002418A6" w:rsidRPr="004C7BAE">
        <w:rPr>
          <w:bCs/>
          <w:iCs/>
          <w:color w:val="000000"/>
          <w:sz w:val="22"/>
          <w:szCs w:val="22"/>
          <w:lang w:val="sk-SK"/>
        </w:rPr>
        <w:t xml:space="preserve"> buniek (syndróm </w:t>
      </w:r>
      <w:proofErr w:type="spellStart"/>
      <w:r w:rsidR="002418A6" w:rsidRPr="004C7BAE">
        <w:rPr>
          <w:bCs/>
          <w:iCs/>
          <w:color w:val="000000"/>
          <w:sz w:val="22"/>
          <w:szCs w:val="22"/>
          <w:lang w:val="sk-SK"/>
        </w:rPr>
        <w:t>lýzy</w:t>
      </w:r>
      <w:proofErr w:type="spellEnd"/>
      <w:r w:rsidR="002418A6" w:rsidRPr="004C7BAE">
        <w:rPr>
          <w:bCs/>
          <w:iCs/>
          <w:color w:val="000000"/>
          <w:sz w:val="22"/>
          <w:szCs w:val="22"/>
          <w:lang w:val="sk-SK"/>
        </w:rPr>
        <w:t xml:space="preserve"> tumoru) vyvolanú liekom.</w:t>
      </w:r>
      <w:r w:rsidR="002418A6" w:rsidRPr="004C7BAE">
        <w:rPr>
          <w:bCs/>
          <w:iCs/>
          <w:sz w:val="22"/>
          <w:szCs w:val="22"/>
          <w:lang w:val="sk-SK"/>
        </w:rPr>
        <w:t xml:space="preserve"> </w:t>
      </w:r>
      <w:r w:rsidR="002418A6" w:rsidRPr="004C7BAE">
        <w:rPr>
          <w:bCs/>
          <w:iCs/>
          <w:color w:val="000000"/>
          <w:sz w:val="22"/>
          <w:szCs w:val="22"/>
          <w:lang w:val="sk-SK"/>
        </w:rPr>
        <w:t xml:space="preserve">Počas úvodnej fázy liečby sa musia vyhodnotiť hladiny kyseliny močovej, draslíka, fosforečnanu vápenatého a </w:t>
      </w:r>
      <w:proofErr w:type="spellStart"/>
      <w:r w:rsidR="002418A6" w:rsidRPr="004C7BAE">
        <w:rPr>
          <w:bCs/>
          <w:iCs/>
          <w:color w:val="000000"/>
          <w:sz w:val="22"/>
          <w:szCs w:val="22"/>
          <w:lang w:val="sk-SK"/>
        </w:rPr>
        <w:t>kreatinínu</w:t>
      </w:r>
      <w:proofErr w:type="spellEnd"/>
      <w:r w:rsidR="002418A6" w:rsidRPr="004C7BAE">
        <w:rPr>
          <w:bCs/>
          <w:iCs/>
          <w:color w:val="000000"/>
          <w:sz w:val="22"/>
          <w:szCs w:val="22"/>
          <w:lang w:val="sk-SK"/>
        </w:rPr>
        <w:t xml:space="preserve"> v krvi. Hydratácia, </w:t>
      </w:r>
      <w:proofErr w:type="spellStart"/>
      <w:r w:rsidR="002418A6" w:rsidRPr="004C7BAE">
        <w:rPr>
          <w:bCs/>
          <w:iCs/>
          <w:color w:val="000000"/>
          <w:sz w:val="22"/>
          <w:szCs w:val="22"/>
          <w:lang w:val="sk-SK"/>
        </w:rPr>
        <w:t>alkalinizácia</w:t>
      </w:r>
      <w:proofErr w:type="spellEnd"/>
      <w:r w:rsidR="002418A6" w:rsidRPr="004C7BAE">
        <w:rPr>
          <w:bCs/>
          <w:iCs/>
          <w:color w:val="000000"/>
          <w:sz w:val="22"/>
          <w:szCs w:val="22"/>
          <w:lang w:val="sk-SK"/>
        </w:rPr>
        <w:t xml:space="preserve"> moču a profylaxia s </w:t>
      </w:r>
      <w:proofErr w:type="spellStart"/>
      <w:r w:rsidR="002418A6" w:rsidRPr="004C7BAE">
        <w:rPr>
          <w:bCs/>
          <w:iCs/>
          <w:color w:val="000000"/>
          <w:sz w:val="22"/>
          <w:szCs w:val="22"/>
          <w:lang w:val="sk-SK"/>
        </w:rPr>
        <w:t>alopurinolom</w:t>
      </w:r>
      <w:proofErr w:type="spellEnd"/>
      <w:r w:rsidR="002418A6" w:rsidRPr="004C7BAE">
        <w:rPr>
          <w:bCs/>
          <w:iCs/>
          <w:color w:val="000000"/>
          <w:sz w:val="22"/>
          <w:szCs w:val="22"/>
          <w:lang w:val="sk-SK"/>
        </w:rPr>
        <w:t xml:space="preserve"> na prevenciu </w:t>
      </w:r>
      <w:proofErr w:type="spellStart"/>
      <w:r w:rsidR="002418A6" w:rsidRPr="004C7BAE">
        <w:rPr>
          <w:bCs/>
          <w:iCs/>
          <w:color w:val="000000"/>
          <w:sz w:val="22"/>
          <w:szCs w:val="22"/>
          <w:lang w:val="sk-SK"/>
        </w:rPr>
        <w:t>hyperurikémie</w:t>
      </w:r>
      <w:proofErr w:type="spellEnd"/>
      <w:r w:rsidR="002418A6" w:rsidRPr="004C7BAE">
        <w:rPr>
          <w:bCs/>
          <w:iCs/>
          <w:color w:val="000000"/>
          <w:sz w:val="22"/>
          <w:szCs w:val="22"/>
          <w:lang w:val="sk-SK"/>
        </w:rPr>
        <w:t xml:space="preserve"> môže minimalizovať potenciálne komplikácie syndrómu </w:t>
      </w:r>
      <w:proofErr w:type="spellStart"/>
      <w:r w:rsidR="002418A6" w:rsidRPr="004C7BAE">
        <w:rPr>
          <w:bCs/>
          <w:iCs/>
          <w:color w:val="000000"/>
          <w:sz w:val="22"/>
          <w:szCs w:val="22"/>
          <w:lang w:val="sk-SK"/>
        </w:rPr>
        <w:t>lýzy</w:t>
      </w:r>
      <w:proofErr w:type="spellEnd"/>
      <w:r w:rsidR="002418A6" w:rsidRPr="004C7BAE">
        <w:rPr>
          <w:bCs/>
          <w:iCs/>
          <w:color w:val="000000"/>
          <w:sz w:val="22"/>
          <w:szCs w:val="22"/>
          <w:lang w:val="sk-SK"/>
        </w:rPr>
        <w:t xml:space="preserve"> tumoru.</w:t>
      </w:r>
    </w:p>
    <w:p w14:paraId="345901F9" w14:textId="77777777" w:rsidR="00BA5AFA" w:rsidRPr="004C7BAE" w:rsidRDefault="00BA5AFA">
      <w:pPr>
        <w:keepNext/>
        <w:rPr>
          <w:b/>
          <w:i/>
          <w:sz w:val="22"/>
          <w:szCs w:val="22"/>
          <w:lang w:val="sk-SK"/>
        </w:rPr>
      </w:pPr>
    </w:p>
    <w:p w14:paraId="55AD8D37" w14:textId="77777777" w:rsidR="00660307" w:rsidRPr="00FB7812" w:rsidRDefault="00BB1FEE">
      <w:pPr>
        <w:rPr>
          <w:bCs/>
          <w:iCs/>
          <w:sz w:val="22"/>
          <w:szCs w:val="22"/>
          <w:u w:val="single"/>
          <w:lang w:val="sk-SK"/>
        </w:rPr>
      </w:pPr>
      <w:proofErr w:type="spellStart"/>
      <w:r w:rsidRPr="00FB7812">
        <w:rPr>
          <w:bCs/>
          <w:iCs/>
          <w:sz w:val="22"/>
          <w:szCs w:val="22"/>
          <w:u w:val="single"/>
          <w:lang w:val="sk-SK"/>
        </w:rPr>
        <w:t>Imunosupresívne</w:t>
      </w:r>
      <w:proofErr w:type="spellEnd"/>
      <w:r w:rsidRPr="00FB7812">
        <w:rPr>
          <w:bCs/>
          <w:iCs/>
          <w:sz w:val="22"/>
          <w:szCs w:val="22"/>
          <w:u w:val="single"/>
          <w:lang w:val="sk-SK"/>
        </w:rPr>
        <w:t xml:space="preserve"> účinky/zvýšená citlivosť na infekcie</w:t>
      </w:r>
    </w:p>
    <w:p w14:paraId="7E0F5610" w14:textId="7BEA1074" w:rsidR="00BA5AFA" w:rsidRPr="004C7BAE" w:rsidRDefault="002418A6">
      <w:pPr>
        <w:rPr>
          <w:strike/>
          <w:sz w:val="22"/>
          <w:szCs w:val="22"/>
          <w:lang w:val="sk-SK"/>
        </w:rPr>
      </w:pPr>
      <w:r w:rsidRPr="004C7BAE">
        <w:rPr>
          <w:sz w:val="22"/>
          <w:szCs w:val="22"/>
          <w:lang w:val="sk-SK" w:eastAsia="da-DK"/>
        </w:rPr>
        <w:t>Očkovaniu živou vakcínou sa u pacientov s </w:t>
      </w:r>
      <w:r w:rsidRPr="004C7BAE">
        <w:rPr>
          <w:bCs/>
          <w:iCs/>
          <w:sz w:val="22"/>
          <w:szCs w:val="22"/>
          <w:lang w:val="sk-SK"/>
        </w:rPr>
        <w:t>imunitou zníženou v dôs</w:t>
      </w:r>
      <w:r w:rsidRPr="004C7BAE">
        <w:rPr>
          <w:bCs/>
          <w:iCs/>
          <w:color w:val="000000"/>
          <w:sz w:val="22"/>
          <w:szCs w:val="22"/>
          <w:lang w:val="sk-SK"/>
        </w:rPr>
        <w:t xml:space="preserve">ledku chemoterapie vrátane </w:t>
      </w:r>
      <w:proofErr w:type="spellStart"/>
      <w:r w:rsidRPr="004C7BAE">
        <w:rPr>
          <w:bCs/>
          <w:iCs/>
          <w:color w:val="000000"/>
          <w:sz w:val="22"/>
          <w:szCs w:val="22"/>
          <w:lang w:val="sk-SK"/>
        </w:rPr>
        <w:t>epirubicínu</w:t>
      </w:r>
      <w:proofErr w:type="spellEnd"/>
      <w:r w:rsidRPr="004C7BAE">
        <w:rPr>
          <w:bCs/>
          <w:iCs/>
          <w:color w:val="000000"/>
          <w:sz w:val="22"/>
          <w:szCs w:val="22"/>
          <w:lang w:val="sk-SK"/>
        </w:rPr>
        <w:t xml:space="preserve"> </w:t>
      </w:r>
      <w:r w:rsidRPr="004C7BAE">
        <w:rPr>
          <w:sz w:val="22"/>
          <w:szCs w:val="22"/>
          <w:lang w:val="sk-SK" w:eastAsia="da-DK"/>
        </w:rPr>
        <w:t xml:space="preserve">treba vyhýbať, pretože to môže </w:t>
      </w:r>
      <w:r w:rsidRPr="004C7BAE">
        <w:rPr>
          <w:bCs/>
          <w:iCs/>
          <w:color w:val="000000"/>
          <w:sz w:val="22"/>
          <w:szCs w:val="22"/>
          <w:lang w:val="sk-SK"/>
        </w:rPr>
        <w:t xml:space="preserve">spôsobiť závažné alebo fatálne infekcie (pozri časť 4.5). </w:t>
      </w:r>
      <w:r w:rsidRPr="004C7BAE">
        <w:rPr>
          <w:sz w:val="22"/>
          <w:szCs w:val="22"/>
          <w:lang w:val="sk-SK" w:eastAsia="da-DK"/>
        </w:rPr>
        <w:t xml:space="preserve">Usmrtené alebo </w:t>
      </w:r>
      <w:proofErr w:type="spellStart"/>
      <w:r w:rsidRPr="004C7BAE">
        <w:rPr>
          <w:sz w:val="22"/>
          <w:szCs w:val="22"/>
          <w:lang w:val="sk-SK" w:eastAsia="da-DK"/>
        </w:rPr>
        <w:t>inaktivované</w:t>
      </w:r>
      <w:proofErr w:type="spellEnd"/>
      <w:r w:rsidRPr="004C7BAE">
        <w:rPr>
          <w:sz w:val="22"/>
          <w:szCs w:val="22"/>
          <w:lang w:val="sk-SK" w:eastAsia="da-DK"/>
        </w:rPr>
        <w:t xml:space="preserve"> vakcíny sa pacientom dostávajúcim </w:t>
      </w:r>
      <w:proofErr w:type="spellStart"/>
      <w:r w:rsidRPr="004C7BAE">
        <w:rPr>
          <w:bCs/>
          <w:iCs/>
          <w:color w:val="000000"/>
          <w:sz w:val="22"/>
          <w:szCs w:val="22"/>
          <w:lang w:val="sk-SK"/>
        </w:rPr>
        <w:t>epirubicín</w:t>
      </w:r>
      <w:proofErr w:type="spellEnd"/>
      <w:r w:rsidRPr="004C7BAE">
        <w:rPr>
          <w:bCs/>
          <w:iCs/>
          <w:color w:val="000000"/>
          <w:sz w:val="22"/>
          <w:szCs w:val="22"/>
          <w:lang w:val="sk-SK"/>
        </w:rPr>
        <w:t xml:space="preserve"> </w:t>
      </w:r>
      <w:r w:rsidRPr="004C7BAE">
        <w:rPr>
          <w:sz w:val="22"/>
          <w:szCs w:val="22"/>
          <w:lang w:val="sk-SK" w:eastAsia="da-DK"/>
        </w:rPr>
        <w:t xml:space="preserve">môžu podávať, avšak odpoveď na takéto vakcíny môže byť oslabená. </w:t>
      </w:r>
    </w:p>
    <w:p w14:paraId="2D6590E9" w14:textId="77777777" w:rsidR="00BA5AFA" w:rsidRPr="004C7BAE" w:rsidRDefault="00BA5AFA">
      <w:pPr>
        <w:rPr>
          <w:sz w:val="22"/>
          <w:szCs w:val="22"/>
          <w:lang w:val="sk-SK"/>
        </w:rPr>
      </w:pPr>
    </w:p>
    <w:p w14:paraId="2C75001B" w14:textId="77777777" w:rsidR="00660307" w:rsidRPr="00FB7812" w:rsidRDefault="00BB1FEE">
      <w:pPr>
        <w:keepNext/>
        <w:numPr>
          <w:ilvl w:val="12"/>
          <w:numId w:val="0"/>
        </w:numPr>
        <w:rPr>
          <w:bCs/>
          <w:iCs/>
          <w:sz w:val="22"/>
          <w:szCs w:val="22"/>
          <w:u w:val="single"/>
          <w:lang w:val="sk-SK"/>
        </w:rPr>
      </w:pPr>
      <w:r w:rsidRPr="00FB7812">
        <w:rPr>
          <w:bCs/>
          <w:iCs/>
          <w:sz w:val="22"/>
          <w:szCs w:val="22"/>
          <w:u w:val="single"/>
          <w:lang w:val="sk-SK"/>
        </w:rPr>
        <w:t>Reprodukčný systém</w:t>
      </w:r>
    </w:p>
    <w:p w14:paraId="1F91CDE6" w14:textId="5AA6E8DE" w:rsidR="00BA5AFA" w:rsidRPr="004C7BAE" w:rsidRDefault="00660307">
      <w:pPr>
        <w:keepNext/>
        <w:numPr>
          <w:ilvl w:val="12"/>
          <w:numId w:val="0"/>
        </w:numPr>
        <w:rPr>
          <w:sz w:val="22"/>
          <w:szCs w:val="22"/>
          <w:lang w:val="sk-SK"/>
        </w:rPr>
      </w:pPr>
      <w:proofErr w:type="spellStart"/>
      <w:r>
        <w:rPr>
          <w:bCs/>
          <w:iCs/>
          <w:sz w:val="22"/>
          <w:szCs w:val="22"/>
          <w:lang w:val="sk-SK"/>
        </w:rPr>
        <w:t>E</w:t>
      </w:r>
      <w:r w:rsidR="002418A6" w:rsidRPr="004C7BAE">
        <w:rPr>
          <w:bCs/>
          <w:iCs/>
          <w:sz w:val="22"/>
          <w:szCs w:val="22"/>
          <w:lang w:val="sk-SK"/>
        </w:rPr>
        <w:t>pirubicín</w:t>
      </w:r>
      <w:proofErr w:type="spellEnd"/>
      <w:r w:rsidR="002418A6" w:rsidRPr="004C7BAE">
        <w:rPr>
          <w:bCs/>
          <w:iCs/>
          <w:sz w:val="22"/>
          <w:szCs w:val="22"/>
          <w:lang w:val="sk-SK"/>
        </w:rPr>
        <w:t xml:space="preserve"> môže spôsobovať </w:t>
      </w:r>
      <w:proofErr w:type="spellStart"/>
      <w:r w:rsidR="002418A6" w:rsidRPr="004C7BAE">
        <w:rPr>
          <w:bCs/>
          <w:iCs/>
          <w:sz w:val="22"/>
          <w:szCs w:val="22"/>
          <w:lang w:val="sk-SK"/>
        </w:rPr>
        <w:t>genotoxicitu</w:t>
      </w:r>
      <w:proofErr w:type="spellEnd"/>
      <w:r w:rsidR="002418A6" w:rsidRPr="004C7BAE">
        <w:rPr>
          <w:bCs/>
          <w:iCs/>
          <w:sz w:val="22"/>
          <w:szCs w:val="22"/>
          <w:lang w:val="sk-SK"/>
        </w:rPr>
        <w:t xml:space="preserve">. </w:t>
      </w:r>
      <w:r w:rsidR="002418A6" w:rsidRPr="004C7BAE">
        <w:rPr>
          <w:bCs/>
          <w:iCs/>
          <w:color w:val="000000"/>
          <w:sz w:val="22"/>
          <w:szCs w:val="22"/>
          <w:lang w:val="sk-SK"/>
        </w:rPr>
        <w:t xml:space="preserve">Muži a ženy liečené </w:t>
      </w:r>
      <w:proofErr w:type="spellStart"/>
      <w:r w:rsidR="002418A6" w:rsidRPr="004C7BAE">
        <w:rPr>
          <w:bCs/>
          <w:iCs/>
          <w:color w:val="000000"/>
          <w:sz w:val="22"/>
          <w:szCs w:val="22"/>
          <w:lang w:val="sk-SK"/>
        </w:rPr>
        <w:t>epirubicínom</w:t>
      </w:r>
      <w:proofErr w:type="spellEnd"/>
      <w:r w:rsidR="002418A6" w:rsidRPr="004C7BAE">
        <w:rPr>
          <w:bCs/>
          <w:iCs/>
          <w:color w:val="000000"/>
          <w:sz w:val="22"/>
          <w:szCs w:val="22"/>
          <w:lang w:val="sk-SK"/>
        </w:rPr>
        <w:t xml:space="preserve"> musia používať vhodné antikoncepčné prípravky. Pacientom, ktorí chcú mať deti po skončení terapie, odporúčame poradiť sa s odborníkom na genetiku, ak to je vhodné a ak je k</w:t>
      </w:r>
      <w:r w:rsidR="00A12E00">
        <w:rPr>
          <w:bCs/>
          <w:iCs/>
          <w:color w:val="000000"/>
          <w:sz w:val="22"/>
          <w:szCs w:val="22"/>
          <w:lang w:val="sk-SK"/>
        </w:rPr>
        <w:t> </w:t>
      </w:r>
      <w:r w:rsidR="002418A6" w:rsidRPr="004C7BAE">
        <w:rPr>
          <w:bCs/>
          <w:iCs/>
          <w:color w:val="000000"/>
          <w:sz w:val="22"/>
          <w:szCs w:val="22"/>
          <w:lang w:val="sk-SK"/>
        </w:rPr>
        <w:t>dispozícii</w:t>
      </w:r>
      <w:r w:rsidR="00A12E00">
        <w:rPr>
          <w:bCs/>
          <w:iCs/>
          <w:color w:val="000000"/>
          <w:sz w:val="22"/>
          <w:szCs w:val="22"/>
          <w:lang w:val="sk-SK"/>
        </w:rPr>
        <w:t xml:space="preserve"> (pozri časť 4.6)</w:t>
      </w:r>
      <w:r w:rsidR="002418A6" w:rsidRPr="004C7BAE">
        <w:rPr>
          <w:bCs/>
          <w:iCs/>
          <w:color w:val="000000"/>
          <w:sz w:val="22"/>
          <w:szCs w:val="22"/>
          <w:lang w:val="sk-SK"/>
        </w:rPr>
        <w:t>.</w:t>
      </w:r>
    </w:p>
    <w:p w14:paraId="3794ABF9" w14:textId="77777777" w:rsidR="00BA5AFA" w:rsidRDefault="00BA5AFA">
      <w:pPr>
        <w:keepNext/>
        <w:numPr>
          <w:ilvl w:val="12"/>
          <w:numId w:val="0"/>
        </w:numPr>
        <w:rPr>
          <w:sz w:val="22"/>
          <w:szCs w:val="22"/>
          <w:lang w:val="sk-SK"/>
        </w:rPr>
      </w:pPr>
    </w:p>
    <w:p w14:paraId="5D964ADE" w14:textId="77777777" w:rsidR="00A12E00" w:rsidRPr="00F41C19" w:rsidRDefault="00ED6E24" w:rsidP="00A12E00">
      <w:pPr>
        <w:keepNext/>
        <w:numPr>
          <w:ilvl w:val="12"/>
          <w:numId w:val="0"/>
        </w:numPr>
        <w:rPr>
          <w:b/>
          <w:sz w:val="22"/>
          <w:szCs w:val="22"/>
          <w:lang w:val="sk-SK"/>
        </w:rPr>
      </w:pPr>
      <w:r w:rsidRPr="00A437B1">
        <w:rPr>
          <w:bCs/>
          <w:iCs/>
          <w:sz w:val="22"/>
          <w:szCs w:val="22"/>
          <w:u w:val="single"/>
          <w:lang w:val="sk-SK"/>
        </w:rPr>
        <w:t>Sod</w:t>
      </w:r>
      <w:r w:rsidR="006846E5" w:rsidRPr="00F41C19">
        <w:rPr>
          <w:bCs/>
          <w:iCs/>
          <w:sz w:val="22"/>
          <w:szCs w:val="22"/>
          <w:u w:val="single"/>
          <w:lang w:val="sk-SK"/>
        </w:rPr>
        <w:t>ík</w:t>
      </w:r>
    </w:p>
    <w:p w14:paraId="69C31790" w14:textId="77777777" w:rsidR="00A12E00" w:rsidRPr="00F41C19" w:rsidRDefault="00A12E00" w:rsidP="00A12E00">
      <w:pPr>
        <w:keepNext/>
        <w:keepLines/>
        <w:numPr>
          <w:ilvl w:val="12"/>
          <w:numId w:val="0"/>
        </w:numPr>
        <w:ind w:right="-29"/>
        <w:rPr>
          <w:sz w:val="22"/>
          <w:szCs w:val="22"/>
          <w:lang w:val="sk-SK"/>
        </w:rPr>
      </w:pPr>
      <w:r w:rsidRPr="00F41C19">
        <w:rPr>
          <w:sz w:val="22"/>
          <w:szCs w:val="22"/>
          <w:lang w:val="sk-SK"/>
        </w:rPr>
        <w:t>T</w:t>
      </w:r>
      <w:r w:rsidR="006846E5" w:rsidRPr="00F41C19">
        <w:rPr>
          <w:sz w:val="22"/>
          <w:szCs w:val="22"/>
          <w:lang w:val="sk-SK"/>
        </w:rPr>
        <w:t xml:space="preserve">ento liek obsahuje </w:t>
      </w:r>
      <w:r w:rsidRPr="00F41C19">
        <w:rPr>
          <w:sz w:val="22"/>
          <w:szCs w:val="22"/>
          <w:lang w:val="sk-SK"/>
        </w:rPr>
        <w:t>0</w:t>
      </w:r>
      <w:r w:rsidR="006846E5" w:rsidRPr="00F41C19">
        <w:rPr>
          <w:sz w:val="22"/>
          <w:szCs w:val="22"/>
          <w:lang w:val="sk-SK"/>
        </w:rPr>
        <w:t>,</w:t>
      </w:r>
      <w:r w:rsidRPr="00F41C19">
        <w:rPr>
          <w:sz w:val="22"/>
          <w:szCs w:val="22"/>
          <w:lang w:val="sk-SK"/>
        </w:rPr>
        <w:t>154 </w:t>
      </w:r>
      <w:proofErr w:type="spellStart"/>
      <w:r w:rsidRPr="00F41C19">
        <w:rPr>
          <w:sz w:val="22"/>
          <w:szCs w:val="22"/>
          <w:lang w:val="sk-SK"/>
        </w:rPr>
        <w:t>mmol</w:t>
      </w:r>
      <w:r w:rsidR="006846E5" w:rsidRPr="00F41C19">
        <w:rPr>
          <w:sz w:val="22"/>
          <w:szCs w:val="22"/>
          <w:lang w:val="sk-SK"/>
        </w:rPr>
        <w:t>u</w:t>
      </w:r>
      <w:proofErr w:type="spellEnd"/>
      <w:r w:rsidRPr="00F41C19">
        <w:rPr>
          <w:sz w:val="22"/>
          <w:szCs w:val="22"/>
          <w:lang w:val="sk-SK"/>
        </w:rPr>
        <w:t xml:space="preserve"> (</w:t>
      </w:r>
      <w:r w:rsidR="006846E5" w:rsidRPr="00F41C19">
        <w:rPr>
          <w:sz w:val="22"/>
          <w:szCs w:val="22"/>
          <w:lang w:val="sk-SK"/>
        </w:rPr>
        <w:t>alebo</w:t>
      </w:r>
      <w:r w:rsidRPr="00F41C19">
        <w:rPr>
          <w:sz w:val="22"/>
          <w:szCs w:val="22"/>
          <w:lang w:val="sk-SK"/>
        </w:rPr>
        <w:t xml:space="preserve"> 3</w:t>
      </w:r>
      <w:r w:rsidR="006846E5" w:rsidRPr="00F41C19">
        <w:rPr>
          <w:sz w:val="22"/>
          <w:szCs w:val="22"/>
          <w:lang w:val="sk-SK"/>
        </w:rPr>
        <w:t>,</w:t>
      </w:r>
      <w:r w:rsidRPr="00F41C19">
        <w:rPr>
          <w:sz w:val="22"/>
          <w:szCs w:val="22"/>
          <w:lang w:val="sk-SK"/>
        </w:rPr>
        <w:t>54 mg) sod</w:t>
      </w:r>
      <w:r w:rsidR="006846E5" w:rsidRPr="00F41C19">
        <w:rPr>
          <w:sz w:val="22"/>
          <w:szCs w:val="22"/>
          <w:lang w:val="sk-SK"/>
        </w:rPr>
        <w:t xml:space="preserve">íka na </w:t>
      </w:r>
      <w:r w:rsidRPr="00F41C19">
        <w:rPr>
          <w:sz w:val="22"/>
          <w:szCs w:val="22"/>
          <w:lang w:val="sk-SK"/>
        </w:rPr>
        <w:t xml:space="preserve">ml </w:t>
      </w:r>
      <w:r w:rsidR="006846E5" w:rsidRPr="00F41C19">
        <w:rPr>
          <w:sz w:val="22"/>
          <w:szCs w:val="22"/>
          <w:lang w:val="sk-SK"/>
        </w:rPr>
        <w:t>injekčného roztoku, čo musia vziať do úvahy pacienti, ktorí majú diétu s kontrolovaným príjmom sodíka. Rôzne veľkosti balen</w:t>
      </w:r>
      <w:r w:rsidR="00072B28" w:rsidRPr="00F41C19">
        <w:rPr>
          <w:sz w:val="22"/>
          <w:szCs w:val="22"/>
          <w:lang w:val="sk-SK"/>
        </w:rPr>
        <w:t>ia</w:t>
      </w:r>
      <w:r w:rsidR="006846E5" w:rsidRPr="00F41C19">
        <w:rPr>
          <w:sz w:val="22"/>
          <w:szCs w:val="22"/>
          <w:lang w:val="sk-SK"/>
        </w:rPr>
        <w:t xml:space="preserve"> lieku </w:t>
      </w:r>
      <w:proofErr w:type="spellStart"/>
      <w:r w:rsidRPr="00F41C19">
        <w:rPr>
          <w:sz w:val="22"/>
          <w:szCs w:val="22"/>
          <w:lang w:val="sk-SK"/>
        </w:rPr>
        <w:t>Epimedac</w:t>
      </w:r>
      <w:proofErr w:type="spellEnd"/>
      <w:r w:rsidRPr="00F41C19">
        <w:rPr>
          <w:sz w:val="22"/>
          <w:szCs w:val="22"/>
          <w:lang w:val="sk-SK"/>
        </w:rPr>
        <w:t xml:space="preserve"> </w:t>
      </w:r>
      <w:r w:rsidR="006846E5" w:rsidRPr="00F41C19">
        <w:rPr>
          <w:sz w:val="22"/>
          <w:szCs w:val="22"/>
          <w:lang w:val="sk-SK"/>
        </w:rPr>
        <w:t xml:space="preserve">obsahujú nasledujúce množstvá </w:t>
      </w:r>
      <w:r w:rsidRPr="00F41C19">
        <w:rPr>
          <w:sz w:val="22"/>
          <w:szCs w:val="22"/>
          <w:lang w:val="sk-SK"/>
        </w:rPr>
        <w:t>sod</w:t>
      </w:r>
      <w:r w:rsidR="006846E5" w:rsidRPr="00F41C19">
        <w:rPr>
          <w:sz w:val="22"/>
          <w:szCs w:val="22"/>
          <w:lang w:val="sk-SK"/>
        </w:rPr>
        <w:t>íka</w:t>
      </w:r>
      <w:r w:rsidRPr="00F41C19">
        <w:rPr>
          <w:sz w:val="22"/>
          <w:szCs w:val="22"/>
          <w:lang w:val="sk-SK"/>
        </w:rPr>
        <w:t>:</w:t>
      </w:r>
    </w:p>
    <w:p w14:paraId="7C6BE53F" w14:textId="77777777" w:rsidR="00A12E00" w:rsidRPr="00F41C19" w:rsidRDefault="00A12E00" w:rsidP="00A12E00">
      <w:pPr>
        <w:keepNext/>
        <w:keepLines/>
        <w:numPr>
          <w:ilvl w:val="12"/>
          <w:numId w:val="0"/>
        </w:numPr>
        <w:ind w:right="-29"/>
        <w:rPr>
          <w:sz w:val="22"/>
          <w:szCs w:val="22"/>
          <w:lang w:val="sk-SK"/>
        </w:rPr>
      </w:pPr>
    </w:p>
    <w:p w14:paraId="52469E58" w14:textId="77777777" w:rsidR="00A31E63" w:rsidRDefault="00A12E00" w:rsidP="00FB7812">
      <w:pPr>
        <w:keepNext/>
        <w:keepLines/>
        <w:numPr>
          <w:ilvl w:val="12"/>
          <w:numId w:val="0"/>
        </w:numPr>
        <w:tabs>
          <w:tab w:val="left" w:pos="2127"/>
          <w:tab w:val="left" w:pos="2410"/>
        </w:tabs>
        <w:ind w:left="2410" w:right="-29" w:hanging="2410"/>
        <w:rPr>
          <w:sz w:val="22"/>
          <w:szCs w:val="22"/>
          <w:lang w:val="sk-SK"/>
        </w:rPr>
      </w:pPr>
      <w:r w:rsidRPr="00F41C19">
        <w:rPr>
          <w:sz w:val="22"/>
          <w:szCs w:val="22"/>
          <w:lang w:val="sk-SK"/>
        </w:rPr>
        <w:t xml:space="preserve">5 ml </w:t>
      </w:r>
      <w:r w:rsidR="006846E5" w:rsidRPr="00F41C19">
        <w:rPr>
          <w:sz w:val="22"/>
          <w:szCs w:val="22"/>
          <w:lang w:val="sk-SK"/>
        </w:rPr>
        <w:t>injekčná liekovka</w:t>
      </w:r>
      <w:r w:rsidRPr="00F41C19">
        <w:rPr>
          <w:sz w:val="22"/>
          <w:szCs w:val="22"/>
          <w:lang w:val="sk-SK"/>
        </w:rPr>
        <w:t>:</w:t>
      </w:r>
      <w:r w:rsidRPr="00F41C19">
        <w:rPr>
          <w:sz w:val="22"/>
          <w:szCs w:val="22"/>
          <w:lang w:val="sk-SK"/>
        </w:rPr>
        <w:tab/>
      </w:r>
      <w:r w:rsidR="003C2D19">
        <w:rPr>
          <w:sz w:val="22"/>
          <w:szCs w:val="22"/>
          <w:lang w:val="sk-SK"/>
        </w:rPr>
        <w:tab/>
      </w:r>
      <w:r w:rsidRPr="00F41C19">
        <w:rPr>
          <w:sz w:val="22"/>
          <w:szCs w:val="22"/>
          <w:lang w:val="sk-SK"/>
        </w:rPr>
        <w:t>T</w:t>
      </w:r>
      <w:r w:rsidR="006846E5" w:rsidRPr="00F41C19">
        <w:rPr>
          <w:sz w:val="22"/>
          <w:szCs w:val="22"/>
          <w:lang w:val="sk-SK"/>
        </w:rPr>
        <w:t>áto veľkosť balenia obsahuje menej ako</w:t>
      </w:r>
      <w:r w:rsidRPr="00F41C19">
        <w:rPr>
          <w:sz w:val="22"/>
          <w:szCs w:val="22"/>
          <w:lang w:val="sk-SK"/>
        </w:rPr>
        <w:t xml:space="preserve"> 1 mmol sod</w:t>
      </w:r>
      <w:r w:rsidR="006846E5" w:rsidRPr="00F41C19">
        <w:rPr>
          <w:sz w:val="22"/>
          <w:szCs w:val="22"/>
          <w:lang w:val="sk-SK"/>
        </w:rPr>
        <w:t>íka</w:t>
      </w:r>
      <w:r w:rsidRPr="00F41C19">
        <w:rPr>
          <w:sz w:val="22"/>
          <w:szCs w:val="22"/>
          <w:lang w:val="sk-SK"/>
        </w:rPr>
        <w:t xml:space="preserve"> (23 mg), </w:t>
      </w:r>
      <w:proofErr w:type="spellStart"/>
      <w:r w:rsidR="00F01ECB" w:rsidRPr="00F01ECB">
        <w:rPr>
          <w:sz w:val="22"/>
          <w:szCs w:val="22"/>
          <w:lang w:val="sk-SK"/>
        </w:rPr>
        <w:t>t.j</w:t>
      </w:r>
      <w:proofErr w:type="spellEnd"/>
      <w:r w:rsidR="00F01ECB" w:rsidRPr="00F01ECB">
        <w:rPr>
          <w:sz w:val="22"/>
          <w:szCs w:val="22"/>
          <w:lang w:val="sk-SK"/>
        </w:rPr>
        <w:t>. v podstate zanedbateľné množstvo sodíka.</w:t>
      </w:r>
    </w:p>
    <w:p w14:paraId="7A356491" w14:textId="5F5736A8" w:rsidR="00A31E63" w:rsidRDefault="00A12E00" w:rsidP="00FB7812">
      <w:pPr>
        <w:keepNext/>
        <w:keepLines/>
        <w:numPr>
          <w:ilvl w:val="12"/>
          <w:numId w:val="0"/>
        </w:numPr>
        <w:tabs>
          <w:tab w:val="left" w:pos="2410"/>
        </w:tabs>
        <w:ind w:left="2410" w:right="-29" w:hanging="2410"/>
        <w:rPr>
          <w:sz w:val="22"/>
          <w:szCs w:val="22"/>
          <w:lang w:val="sk-SK"/>
        </w:rPr>
      </w:pPr>
      <w:r w:rsidRPr="00F41C19">
        <w:rPr>
          <w:sz w:val="22"/>
          <w:szCs w:val="22"/>
          <w:lang w:val="sk-SK"/>
        </w:rPr>
        <w:t xml:space="preserve">10 ml </w:t>
      </w:r>
      <w:r w:rsidR="006846E5" w:rsidRPr="00F41C19">
        <w:rPr>
          <w:sz w:val="22"/>
          <w:szCs w:val="22"/>
          <w:lang w:val="sk-SK"/>
        </w:rPr>
        <w:t>injekčná liekovka</w:t>
      </w:r>
      <w:r w:rsidRPr="00F41C19">
        <w:rPr>
          <w:sz w:val="22"/>
          <w:szCs w:val="22"/>
          <w:lang w:val="sk-SK"/>
        </w:rPr>
        <w:t>:</w:t>
      </w:r>
      <w:r w:rsidR="003C2D19">
        <w:rPr>
          <w:sz w:val="22"/>
          <w:szCs w:val="22"/>
          <w:lang w:val="sk-SK"/>
        </w:rPr>
        <w:tab/>
      </w:r>
      <w:r w:rsidRPr="00F41C19">
        <w:rPr>
          <w:sz w:val="22"/>
          <w:szCs w:val="22"/>
          <w:lang w:val="sk-SK"/>
        </w:rPr>
        <w:t>T</w:t>
      </w:r>
      <w:r w:rsidR="006846E5" w:rsidRPr="00F41C19">
        <w:rPr>
          <w:sz w:val="22"/>
          <w:szCs w:val="22"/>
          <w:lang w:val="sk-SK"/>
        </w:rPr>
        <w:t>áto veľkosť balenia obsahuje</w:t>
      </w:r>
      <w:r w:rsidRPr="00F41C19">
        <w:rPr>
          <w:sz w:val="22"/>
          <w:szCs w:val="22"/>
          <w:lang w:val="sk-SK"/>
        </w:rPr>
        <w:t xml:space="preserve"> 35</w:t>
      </w:r>
      <w:r w:rsidR="006846E5" w:rsidRPr="00F41C19">
        <w:rPr>
          <w:sz w:val="22"/>
          <w:szCs w:val="22"/>
          <w:lang w:val="sk-SK"/>
        </w:rPr>
        <w:t>,</w:t>
      </w:r>
      <w:r w:rsidRPr="00F41C19">
        <w:rPr>
          <w:sz w:val="22"/>
          <w:szCs w:val="22"/>
          <w:lang w:val="sk-SK"/>
        </w:rPr>
        <w:t>42 mg sod</w:t>
      </w:r>
      <w:r w:rsidR="006846E5" w:rsidRPr="00F41C19">
        <w:rPr>
          <w:sz w:val="22"/>
          <w:szCs w:val="22"/>
          <w:lang w:val="sk-SK"/>
        </w:rPr>
        <w:t xml:space="preserve">íka, čo zodpovedá </w:t>
      </w:r>
      <w:r w:rsidR="00BB1FEE" w:rsidRPr="00FB7812">
        <w:rPr>
          <w:sz w:val="22"/>
          <w:szCs w:val="22"/>
          <w:lang w:val="sk-SK"/>
        </w:rPr>
        <w:t>1</w:t>
      </w:r>
      <w:r w:rsidR="006846E5" w:rsidRPr="00F41C19">
        <w:rPr>
          <w:sz w:val="22"/>
          <w:szCs w:val="22"/>
          <w:lang w:val="sk-SK"/>
        </w:rPr>
        <w:t>,</w:t>
      </w:r>
      <w:r w:rsidRPr="00F41C19">
        <w:rPr>
          <w:sz w:val="22"/>
          <w:szCs w:val="22"/>
          <w:lang w:val="sk-SK"/>
        </w:rPr>
        <w:t>77</w:t>
      </w:r>
      <w:r w:rsidR="003C2D19">
        <w:rPr>
          <w:sz w:val="22"/>
          <w:szCs w:val="22"/>
          <w:lang w:val="sk-SK"/>
        </w:rPr>
        <w:t> </w:t>
      </w:r>
      <w:r w:rsidR="00BB1FEE" w:rsidRPr="00FB7812">
        <w:rPr>
          <w:sz w:val="22"/>
          <w:szCs w:val="22"/>
          <w:lang w:val="sk-SK"/>
        </w:rPr>
        <w:t>%</w:t>
      </w:r>
      <w:r w:rsidR="00F01ECB">
        <w:rPr>
          <w:sz w:val="22"/>
          <w:szCs w:val="22"/>
          <w:lang w:val="sk-SK"/>
        </w:rPr>
        <w:t xml:space="preserve"> WHO</w:t>
      </w:r>
      <w:r w:rsidR="00BB1FEE" w:rsidRPr="00FB7812">
        <w:rPr>
          <w:sz w:val="22"/>
          <w:szCs w:val="22"/>
          <w:lang w:val="sk-SK"/>
        </w:rPr>
        <w:t xml:space="preserve"> </w:t>
      </w:r>
      <w:r w:rsidR="006846E5" w:rsidRPr="00F41C19">
        <w:rPr>
          <w:sz w:val="22"/>
          <w:szCs w:val="22"/>
          <w:lang w:val="sk-SK"/>
        </w:rPr>
        <w:t>odporúčaného m</w:t>
      </w:r>
      <w:r w:rsidR="00BB1FEE" w:rsidRPr="00FB7812">
        <w:rPr>
          <w:sz w:val="22"/>
          <w:szCs w:val="22"/>
          <w:lang w:val="sk-SK"/>
        </w:rPr>
        <w:t>axim</w:t>
      </w:r>
      <w:r w:rsidR="006846E5" w:rsidRPr="00F41C19">
        <w:rPr>
          <w:sz w:val="22"/>
          <w:szCs w:val="22"/>
          <w:lang w:val="sk-SK"/>
        </w:rPr>
        <w:t xml:space="preserve">álneho denného príjmu </w:t>
      </w:r>
      <w:r w:rsidR="00BB1FEE" w:rsidRPr="00FB7812">
        <w:rPr>
          <w:sz w:val="22"/>
          <w:szCs w:val="22"/>
          <w:lang w:val="sk-SK"/>
        </w:rPr>
        <w:t>2 g sod</w:t>
      </w:r>
      <w:r w:rsidR="006846E5" w:rsidRPr="00F41C19">
        <w:rPr>
          <w:sz w:val="22"/>
          <w:szCs w:val="22"/>
          <w:lang w:val="sk-SK"/>
        </w:rPr>
        <w:t>íka v strave pre</w:t>
      </w:r>
      <w:r w:rsidR="00F01ECB" w:rsidRPr="00F01ECB">
        <w:rPr>
          <w:sz w:val="22"/>
          <w:szCs w:val="22"/>
          <w:lang w:val="sk-SK"/>
        </w:rPr>
        <w:t xml:space="preserve"> dospelú osobu</w:t>
      </w:r>
      <w:r w:rsidR="00BB1FEE" w:rsidRPr="00FB7812">
        <w:rPr>
          <w:sz w:val="22"/>
          <w:szCs w:val="22"/>
          <w:lang w:val="sk-SK"/>
        </w:rPr>
        <w:t>.</w:t>
      </w:r>
    </w:p>
    <w:p w14:paraId="6D5FFD44" w14:textId="2FD8AD0A" w:rsidR="00A31E63" w:rsidRDefault="00A12E00" w:rsidP="00FB7812">
      <w:pPr>
        <w:keepNext/>
        <w:keepLines/>
        <w:numPr>
          <w:ilvl w:val="12"/>
          <w:numId w:val="0"/>
        </w:numPr>
        <w:tabs>
          <w:tab w:val="left" w:pos="2410"/>
        </w:tabs>
        <w:ind w:left="2410" w:right="-29" w:hanging="2410"/>
        <w:rPr>
          <w:sz w:val="22"/>
          <w:szCs w:val="22"/>
          <w:lang w:val="sk-SK"/>
        </w:rPr>
      </w:pPr>
      <w:r w:rsidRPr="00F41C19">
        <w:rPr>
          <w:sz w:val="22"/>
          <w:szCs w:val="22"/>
          <w:lang w:val="sk-SK"/>
        </w:rPr>
        <w:t xml:space="preserve">25 ml </w:t>
      </w:r>
      <w:r w:rsidR="006846E5" w:rsidRPr="00F41C19">
        <w:rPr>
          <w:sz w:val="22"/>
          <w:szCs w:val="22"/>
          <w:lang w:val="sk-SK"/>
        </w:rPr>
        <w:t>injekčná liekovka</w:t>
      </w:r>
      <w:r w:rsidRPr="00F41C19">
        <w:rPr>
          <w:sz w:val="22"/>
          <w:szCs w:val="22"/>
          <w:lang w:val="sk-SK"/>
        </w:rPr>
        <w:t>:</w:t>
      </w:r>
      <w:r w:rsidR="006846E5" w:rsidRPr="00F41C19">
        <w:rPr>
          <w:sz w:val="22"/>
          <w:szCs w:val="22"/>
          <w:lang w:val="sk-SK"/>
        </w:rPr>
        <w:t xml:space="preserve"> </w:t>
      </w:r>
      <w:r w:rsidR="003C2D19">
        <w:rPr>
          <w:sz w:val="22"/>
          <w:szCs w:val="22"/>
          <w:lang w:val="sk-SK"/>
        </w:rPr>
        <w:tab/>
      </w:r>
      <w:r w:rsidR="006846E5" w:rsidRPr="00F41C19">
        <w:rPr>
          <w:sz w:val="22"/>
          <w:szCs w:val="22"/>
          <w:lang w:val="sk-SK"/>
        </w:rPr>
        <w:t xml:space="preserve">Táto veľkosť balenia obsahuje </w:t>
      </w:r>
      <w:r w:rsidRPr="00F41C19">
        <w:rPr>
          <w:sz w:val="22"/>
          <w:szCs w:val="22"/>
          <w:lang w:val="sk-SK"/>
        </w:rPr>
        <w:t>88</w:t>
      </w:r>
      <w:r w:rsidR="00072B28" w:rsidRPr="00F41C19">
        <w:rPr>
          <w:sz w:val="22"/>
          <w:szCs w:val="22"/>
          <w:lang w:val="sk-SK"/>
        </w:rPr>
        <w:t>,</w:t>
      </w:r>
      <w:r w:rsidRPr="00F41C19">
        <w:rPr>
          <w:sz w:val="22"/>
          <w:szCs w:val="22"/>
          <w:lang w:val="sk-SK"/>
        </w:rPr>
        <w:t>55 mg sod</w:t>
      </w:r>
      <w:r w:rsidR="00072B28" w:rsidRPr="00F41C19">
        <w:rPr>
          <w:sz w:val="22"/>
          <w:szCs w:val="22"/>
          <w:lang w:val="sk-SK"/>
        </w:rPr>
        <w:t>íka, čo zodpovedá</w:t>
      </w:r>
      <w:r w:rsidR="00BB1FEE" w:rsidRPr="00FB7812">
        <w:rPr>
          <w:sz w:val="22"/>
          <w:szCs w:val="22"/>
          <w:lang w:val="sk-SK"/>
        </w:rPr>
        <w:t xml:space="preserve"> 4</w:t>
      </w:r>
      <w:r w:rsidR="00072B28" w:rsidRPr="00F41C19">
        <w:rPr>
          <w:sz w:val="22"/>
          <w:szCs w:val="22"/>
          <w:lang w:val="sk-SK"/>
        </w:rPr>
        <w:t>,</w:t>
      </w:r>
      <w:r w:rsidRPr="00F41C19">
        <w:rPr>
          <w:sz w:val="22"/>
          <w:szCs w:val="22"/>
          <w:lang w:val="sk-SK"/>
        </w:rPr>
        <w:t>43</w:t>
      </w:r>
      <w:r w:rsidR="003C2D19">
        <w:rPr>
          <w:sz w:val="22"/>
          <w:szCs w:val="22"/>
          <w:lang w:val="sk-SK"/>
        </w:rPr>
        <w:t> </w:t>
      </w:r>
      <w:r w:rsidR="00BB1FEE" w:rsidRPr="00FB7812">
        <w:rPr>
          <w:sz w:val="22"/>
          <w:szCs w:val="22"/>
          <w:lang w:val="sk-SK"/>
        </w:rPr>
        <w:t>%</w:t>
      </w:r>
      <w:r w:rsidR="00F01ECB">
        <w:rPr>
          <w:sz w:val="22"/>
          <w:szCs w:val="22"/>
          <w:lang w:val="sk-SK"/>
        </w:rPr>
        <w:t xml:space="preserve"> WHO</w:t>
      </w:r>
      <w:r w:rsidR="00BB1FEE" w:rsidRPr="00FB7812">
        <w:rPr>
          <w:sz w:val="22"/>
          <w:szCs w:val="22"/>
          <w:lang w:val="sk-SK"/>
        </w:rPr>
        <w:t xml:space="preserve"> </w:t>
      </w:r>
      <w:r w:rsidR="006846E5" w:rsidRPr="00F41C19">
        <w:rPr>
          <w:sz w:val="22"/>
          <w:szCs w:val="22"/>
          <w:lang w:val="sk-SK"/>
        </w:rPr>
        <w:t xml:space="preserve">odporúčaného maximálneho denného príjmu 2 g sodíka v strave pre </w:t>
      </w:r>
      <w:r w:rsidR="00F01ECB" w:rsidRPr="00F01ECB">
        <w:rPr>
          <w:sz w:val="22"/>
          <w:szCs w:val="22"/>
          <w:lang w:val="sk-SK"/>
        </w:rPr>
        <w:t>dospelú osobu</w:t>
      </w:r>
      <w:r w:rsidR="00BB1FEE" w:rsidRPr="00FB7812">
        <w:rPr>
          <w:sz w:val="22"/>
          <w:szCs w:val="22"/>
          <w:lang w:val="sk-SK"/>
        </w:rPr>
        <w:t>.</w:t>
      </w:r>
    </w:p>
    <w:p w14:paraId="16841DCE" w14:textId="2A02B90C" w:rsidR="00A31E63" w:rsidRDefault="00A12E00" w:rsidP="00FB7812">
      <w:pPr>
        <w:keepNext/>
        <w:keepLines/>
        <w:numPr>
          <w:ilvl w:val="12"/>
          <w:numId w:val="0"/>
        </w:numPr>
        <w:tabs>
          <w:tab w:val="left" w:pos="2410"/>
        </w:tabs>
        <w:ind w:left="2410" w:right="-29" w:hanging="2410"/>
        <w:rPr>
          <w:sz w:val="22"/>
          <w:szCs w:val="22"/>
          <w:lang w:val="sk-SK"/>
        </w:rPr>
      </w:pPr>
      <w:r w:rsidRPr="00F41C19">
        <w:rPr>
          <w:sz w:val="22"/>
          <w:szCs w:val="22"/>
          <w:lang w:val="sk-SK"/>
        </w:rPr>
        <w:t xml:space="preserve">50 ml </w:t>
      </w:r>
      <w:r w:rsidR="006846E5" w:rsidRPr="00F41C19">
        <w:rPr>
          <w:sz w:val="22"/>
          <w:szCs w:val="22"/>
          <w:lang w:val="sk-SK"/>
        </w:rPr>
        <w:t>injekčná liekovka</w:t>
      </w:r>
      <w:r w:rsidRPr="00F41C19">
        <w:rPr>
          <w:sz w:val="22"/>
          <w:szCs w:val="22"/>
          <w:lang w:val="sk-SK"/>
        </w:rPr>
        <w:t>:</w:t>
      </w:r>
      <w:r w:rsidR="006846E5" w:rsidRPr="00F41C19">
        <w:rPr>
          <w:sz w:val="22"/>
          <w:szCs w:val="22"/>
          <w:lang w:val="sk-SK"/>
        </w:rPr>
        <w:t xml:space="preserve"> </w:t>
      </w:r>
      <w:r w:rsidR="003C2D19">
        <w:rPr>
          <w:sz w:val="22"/>
          <w:szCs w:val="22"/>
          <w:lang w:val="sk-SK"/>
        </w:rPr>
        <w:tab/>
      </w:r>
      <w:r w:rsidR="006846E5" w:rsidRPr="00F41C19">
        <w:rPr>
          <w:sz w:val="22"/>
          <w:szCs w:val="22"/>
          <w:lang w:val="sk-SK"/>
        </w:rPr>
        <w:t xml:space="preserve">Táto veľkosť balenia obsahuje </w:t>
      </w:r>
      <w:r w:rsidRPr="00F41C19">
        <w:rPr>
          <w:sz w:val="22"/>
          <w:szCs w:val="22"/>
          <w:lang w:val="sk-SK"/>
        </w:rPr>
        <w:t>177</w:t>
      </w:r>
      <w:r w:rsidR="00072B28" w:rsidRPr="00F41C19">
        <w:rPr>
          <w:sz w:val="22"/>
          <w:szCs w:val="22"/>
          <w:lang w:val="sk-SK"/>
        </w:rPr>
        <w:t>,</w:t>
      </w:r>
      <w:r w:rsidRPr="00F41C19">
        <w:rPr>
          <w:sz w:val="22"/>
          <w:szCs w:val="22"/>
          <w:lang w:val="sk-SK"/>
        </w:rPr>
        <w:t>1 mg sod</w:t>
      </w:r>
      <w:r w:rsidR="00072B28" w:rsidRPr="00F41C19">
        <w:rPr>
          <w:sz w:val="22"/>
          <w:szCs w:val="22"/>
          <w:lang w:val="sk-SK"/>
        </w:rPr>
        <w:t>íka, čo zodpovedá</w:t>
      </w:r>
      <w:r w:rsidR="00BB1FEE" w:rsidRPr="00FB7812">
        <w:rPr>
          <w:sz w:val="22"/>
          <w:szCs w:val="22"/>
          <w:lang w:val="sk-SK"/>
        </w:rPr>
        <w:t xml:space="preserve"> </w:t>
      </w:r>
      <w:r w:rsidRPr="00F41C19">
        <w:rPr>
          <w:sz w:val="22"/>
          <w:szCs w:val="22"/>
          <w:lang w:val="sk-SK"/>
        </w:rPr>
        <w:t>8</w:t>
      </w:r>
      <w:r w:rsidR="00072B28" w:rsidRPr="00F41C19">
        <w:rPr>
          <w:sz w:val="22"/>
          <w:szCs w:val="22"/>
          <w:lang w:val="sk-SK"/>
        </w:rPr>
        <w:t>,</w:t>
      </w:r>
      <w:r w:rsidRPr="00F41C19">
        <w:rPr>
          <w:sz w:val="22"/>
          <w:szCs w:val="22"/>
          <w:lang w:val="sk-SK"/>
        </w:rPr>
        <w:t>8</w:t>
      </w:r>
      <w:r w:rsidR="00BB1FEE" w:rsidRPr="00FB7812">
        <w:rPr>
          <w:sz w:val="22"/>
          <w:szCs w:val="22"/>
          <w:lang w:val="sk-SK"/>
        </w:rPr>
        <w:t>6</w:t>
      </w:r>
      <w:r w:rsidR="003C2D19">
        <w:rPr>
          <w:sz w:val="22"/>
          <w:szCs w:val="22"/>
          <w:lang w:val="sk-SK"/>
        </w:rPr>
        <w:t> </w:t>
      </w:r>
      <w:r w:rsidR="00BB1FEE" w:rsidRPr="00FB7812">
        <w:rPr>
          <w:sz w:val="22"/>
          <w:szCs w:val="22"/>
          <w:lang w:val="sk-SK"/>
        </w:rPr>
        <w:t>%</w:t>
      </w:r>
      <w:r w:rsidR="00F01ECB">
        <w:rPr>
          <w:sz w:val="22"/>
          <w:szCs w:val="22"/>
          <w:lang w:val="sk-SK"/>
        </w:rPr>
        <w:t xml:space="preserve"> WHO</w:t>
      </w:r>
      <w:r w:rsidR="00BB1FEE" w:rsidRPr="00FB7812">
        <w:rPr>
          <w:sz w:val="22"/>
          <w:szCs w:val="22"/>
          <w:lang w:val="sk-SK"/>
        </w:rPr>
        <w:t xml:space="preserve"> </w:t>
      </w:r>
      <w:r w:rsidR="006846E5" w:rsidRPr="00F41C19">
        <w:rPr>
          <w:sz w:val="22"/>
          <w:szCs w:val="22"/>
          <w:lang w:val="sk-SK"/>
        </w:rPr>
        <w:t xml:space="preserve">odporúčaného maximálneho denného príjmu 2 g sodíka v strave pre </w:t>
      </w:r>
      <w:r w:rsidR="00F01ECB" w:rsidRPr="00F01ECB">
        <w:rPr>
          <w:sz w:val="22"/>
          <w:szCs w:val="22"/>
          <w:lang w:val="sk-SK"/>
        </w:rPr>
        <w:t>dospelú osobu</w:t>
      </w:r>
      <w:r w:rsidR="00BB1FEE" w:rsidRPr="00FB7812">
        <w:rPr>
          <w:sz w:val="22"/>
          <w:szCs w:val="22"/>
          <w:lang w:val="sk-SK"/>
        </w:rPr>
        <w:t>.</w:t>
      </w:r>
    </w:p>
    <w:p w14:paraId="6578244D" w14:textId="4581D20F" w:rsidR="00A31E63" w:rsidRDefault="00A12E00" w:rsidP="00FB7812">
      <w:pPr>
        <w:keepNext/>
        <w:keepLines/>
        <w:numPr>
          <w:ilvl w:val="12"/>
          <w:numId w:val="0"/>
        </w:numPr>
        <w:tabs>
          <w:tab w:val="left" w:pos="2127"/>
          <w:tab w:val="left" w:pos="2410"/>
        </w:tabs>
        <w:ind w:left="2410" w:right="-29" w:hanging="2410"/>
        <w:rPr>
          <w:sz w:val="22"/>
          <w:szCs w:val="22"/>
          <w:lang w:val="sk-SK"/>
        </w:rPr>
      </w:pPr>
      <w:r w:rsidRPr="00F41C19">
        <w:rPr>
          <w:sz w:val="22"/>
          <w:szCs w:val="22"/>
          <w:lang w:val="sk-SK"/>
        </w:rPr>
        <w:t xml:space="preserve">100 ml </w:t>
      </w:r>
      <w:r w:rsidR="006846E5" w:rsidRPr="00F41C19">
        <w:rPr>
          <w:sz w:val="22"/>
          <w:szCs w:val="22"/>
          <w:lang w:val="sk-SK"/>
        </w:rPr>
        <w:t>injekčná liekovka</w:t>
      </w:r>
      <w:r w:rsidRPr="00F41C19">
        <w:rPr>
          <w:sz w:val="22"/>
          <w:szCs w:val="22"/>
          <w:lang w:val="sk-SK"/>
        </w:rPr>
        <w:t xml:space="preserve">: </w:t>
      </w:r>
      <w:r w:rsidR="003C2D19">
        <w:rPr>
          <w:sz w:val="22"/>
          <w:szCs w:val="22"/>
          <w:lang w:val="sk-SK"/>
        </w:rPr>
        <w:tab/>
      </w:r>
      <w:r w:rsidR="006846E5" w:rsidRPr="00F41C19">
        <w:rPr>
          <w:sz w:val="22"/>
          <w:szCs w:val="22"/>
          <w:lang w:val="sk-SK"/>
        </w:rPr>
        <w:t xml:space="preserve">Táto veľkosť balenia obsahuje </w:t>
      </w:r>
      <w:r w:rsidRPr="00F41C19">
        <w:rPr>
          <w:sz w:val="22"/>
          <w:szCs w:val="22"/>
          <w:lang w:val="sk-SK"/>
        </w:rPr>
        <w:t>354</w:t>
      </w:r>
      <w:r w:rsidR="00072B28" w:rsidRPr="00F41C19">
        <w:rPr>
          <w:sz w:val="22"/>
          <w:szCs w:val="22"/>
          <w:lang w:val="sk-SK"/>
        </w:rPr>
        <w:t>,</w:t>
      </w:r>
      <w:r w:rsidRPr="00F41C19">
        <w:rPr>
          <w:sz w:val="22"/>
          <w:szCs w:val="22"/>
          <w:lang w:val="sk-SK"/>
        </w:rPr>
        <w:t>21 mg sod</w:t>
      </w:r>
      <w:r w:rsidR="00072B28" w:rsidRPr="00F41C19">
        <w:rPr>
          <w:sz w:val="22"/>
          <w:szCs w:val="22"/>
          <w:lang w:val="sk-SK"/>
        </w:rPr>
        <w:t>íka, čo zodpovedá</w:t>
      </w:r>
      <w:r w:rsidR="00BB1FEE" w:rsidRPr="00FB7812">
        <w:rPr>
          <w:sz w:val="22"/>
          <w:szCs w:val="22"/>
          <w:lang w:val="sk-SK"/>
        </w:rPr>
        <w:t xml:space="preserve"> 1</w:t>
      </w:r>
      <w:r w:rsidRPr="00F41C19">
        <w:rPr>
          <w:sz w:val="22"/>
          <w:szCs w:val="22"/>
          <w:lang w:val="sk-SK"/>
        </w:rPr>
        <w:t>7</w:t>
      </w:r>
      <w:r w:rsidR="00072B28" w:rsidRPr="00F41C19">
        <w:rPr>
          <w:sz w:val="22"/>
          <w:szCs w:val="22"/>
          <w:lang w:val="sk-SK"/>
        </w:rPr>
        <w:t>,</w:t>
      </w:r>
      <w:r w:rsidRPr="00F41C19">
        <w:rPr>
          <w:sz w:val="22"/>
          <w:szCs w:val="22"/>
          <w:lang w:val="sk-SK"/>
        </w:rPr>
        <w:t>71</w:t>
      </w:r>
      <w:r w:rsidR="003C2D19">
        <w:rPr>
          <w:sz w:val="22"/>
          <w:szCs w:val="22"/>
          <w:lang w:val="sk-SK"/>
        </w:rPr>
        <w:t> </w:t>
      </w:r>
      <w:r w:rsidR="00BB1FEE" w:rsidRPr="00FB7812">
        <w:rPr>
          <w:sz w:val="22"/>
          <w:szCs w:val="22"/>
          <w:lang w:val="sk-SK"/>
        </w:rPr>
        <w:t>%</w:t>
      </w:r>
      <w:r w:rsidR="00F01ECB">
        <w:rPr>
          <w:sz w:val="22"/>
          <w:szCs w:val="22"/>
          <w:lang w:val="sk-SK"/>
        </w:rPr>
        <w:t xml:space="preserve"> WHO</w:t>
      </w:r>
      <w:r w:rsidR="00BB1FEE" w:rsidRPr="00FB7812">
        <w:rPr>
          <w:sz w:val="22"/>
          <w:szCs w:val="22"/>
          <w:lang w:val="sk-SK"/>
        </w:rPr>
        <w:t xml:space="preserve"> </w:t>
      </w:r>
      <w:r w:rsidR="006846E5" w:rsidRPr="00F41C19">
        <w:rPr>
          <w:sz w:val="22"/>
          <w:szCs w:val="22"/>
          <w:lang w:val="sk-SK"/>
        </w:rPr>
        <w:t xml:space="preserve">odporúčaného maximálneho denného príjmu 2 g sodíka v strave pre </w:t>
      </w:r>
      <w:r w:rsidR="00F01ECB" w:rsidRPr="00F01ECB">
        <w:rPr>
          <w:sz w:val="22"/>
          <w:szCs w:val="22"/>
          <w:lang w:val="sk-SK"/>
        </w:rPr>
        <w:t>dospelú osobu</w:t>
      </w:r>
      <w:r w:rsidR="006846E5" w:rsidRPr="00F41C19">
        <w:rPr>
          <w:sz w:val="22"/>
          <w:szCs w:val="22"/>
          <w:lang w:val="sk-SK"/>
        </w:rPr>
        <w:t>.</w:t>
      </w:r>
    </w:p>
    <w:p w14:paraId="4D158E37" w14:textId="77777777" w:rsidR="00A12E00" w:rsidRPr="004C7BAE" w:rsidRDefault="00A12E00">
      <w:pPr>
        <w:keepNext/>
        <w:numPr>
          <w:ilvl w:val="12"/>
          <w:numId w:val="0"/>
        </w:numPr>
        <w:rPr>
          <w:sz w:val="22"/>
          <w:szCs w:val="22"/>
          <w:lang w:val="sk-SK"/>
        </w:rPr>
      </w:pPr>
    </w:p>
    <w:p w14:paraId="4EFDB191" w14:textId="77777777" w:rsidR="00BA5AFA" w:rsidRPr="00A12E00" w:rsidRDefault="00BB1FEE">
      <w:pPr>
        <w:keepNext/>
        <w:rPr>
          <w:sz w:val="22"/>
          <w:szCs w:val="22"/>
          <w:lang w:val="sk-SK"/>
        </w:rPr>
      </w:pPr>
      <w:r w:rsidRPr="00FB7812">
        <w:rPr>
          <w:sz w:val="22"/>
          <w:szCs w:val="22"/>
          <w:u w:val="single"/>
          <w:lang w:val="sk-SK"/>
        </w:rPr>
        <w:t>Ďalšie upozornenia a opatrenia pri iných spôsoboch podávania</w:t>
      </w:r>
      <w:r w:rsidR="00670572">
        <w:rPr>
          <w:sz w:val="22"/>
          <w:szCs w:val="22"/>
          <w:lang w:val="sk-SK"/>
        </w:rPr>
        <w:t xml:space="preserve"> </w:t>
      </w:r>
    </w:p>
    <w:p w14:paraId="7591DC7E" w14:textId="77777777" w:rsidR="00BA5AFA" w:rsidRPr="004C7BAE" w:rsidRDefault="00BA5AFA">
      <w:pPr>
        <w:pStyle w:val="Hlavika"/>
        <w:keepNext/>
        <w:numPr>
          <w:ilvl w:val="12"/>
          <w:numId w:val="0"/>
        </w:numPr>
        <w:rPr>
          <w:sz w:val="22"/>
          <w:szCs w:val="22"/>
          <w:lang w:val="sk-SK"/>
        </w:rPr>
      </w:pPr>
    </w:p>
    <w:p w14:paraId="77C4BF49" w14:textId="77777777" w:rsidR="00A12E00" w:rsidRPr="00FB7812" w:rsidRDefault="00BB1FEE">
      <w:pPr>
        <w:rPr>
          <w:i/>
          <w:iCs/>
          <w:sz w:val="22"/>
          <w:szCs w:val="22"/>
          <w:lang w:val="sk-SK"/>
        </w:rPr>
      </w:pPr>
      <w:proofErr w:type="spellStart"/>
      <w:r w:rsidRPr="00FB7812">
        <w:rPr>
          <w:i/>
          <w:iCs/>
          <w:sz w:val="22"/>
          <w:szCs w:val="22"/>
          <w:lang w:val="sk-SK"/>
        </w:rPr>
        <w:t>Intravezikálny</w:t>
      </w:r>
      <w:proofErr w:type="spellEnd"/>
      <w:r w:rsidRPr="00FB7812">
        <w:rPr>
          <w:i/>
          <w:iCs/>
          <w:sz w:val="22"/>
          <w:szCs w:val="22"/>
          <w:lang w:val="sk-SK"/>
        </w:rPr>
        <w:t xml:space="preserve"> spôsob podania</w:t>
      </w:r>
    </w:p>
    <w:p w14:paraId="51EB5AEA" w14:textId="206454FB" w:rsidR="00BA5AFA" w:rsidRPr="004C7BAE" w:rsidRDefault="00A12E00">
      <w:pPr>
        <w:rPr>
          <w:sz w:val="22"/>
          <w:szCs w:val="22"/>
          <w:lang w:val="sk-SK" w:bidi="si-LK"/>
        </w:rPr>
      </w:pPr>
      <w:r>
        <w:rPr>
          <w:iCs/>
          <w:sz w:val="22"/>
          <w:szCs w:val="22"/>
          <w:lang w:val="sk-SK"/>
        </w:rPr>
        <w:t>P</w:t>
      </w:r>
      <w:r w:rsidR="002418A6" w:rsidRPr="004C7BAE">
        <w:rPr>
          <w:iCs/>
          <w:sz w:val="22"/>
          <w:szCs w:val="22"/>
          <w:lang w:val="sk-SK"/>
        </w:rPr>
        <w:t xml:space="preserve">odávanie </w:t>
      </w:r>
      <w:proofErr w:type="spellStart"/>
      <w:r w:rsidR="002418A6" w:rsidRPr="004C7BAE">
        <w:rPr>
          <w:iCs/>
          <w:sz w:val="22"/>
          <w:szCs w:val="22"/>
          <w:lang w:val="sk-SK"/>
        </w:rPr>
        <w:t>epirubicínu</w:t>
      </w:r>
      <w:proofErr w:type="spellEnd"/>
      <w:r w:rsidR="002418A6" w:rsidRPr="004C7BAE">
        <w:rPr>
          <w:iCs/>
          <w:sz w:val="22"/>
          <w:szCs w:val="22"/>
          <w:lang w:val="sk-SK"/>
        </w:rPr>
        <w:t xml:space="preserve"> môže spôsobovať príznaky chemickej </w:t>
      </w:r>
      <w:proofErr w:type="spellStart"/>
      <w:r w:rsidR="002418A6" w:rsidRPr="004C7BAE">
        <w:rPr>
          <w:iCs/>
          <w:sz w:val="22"/>
          <w:szCs w:val="22"/>
          <w:lang w:val="sk-SK"/>
        </w:rPr>
        <w:t>cystitídy</w:t>
      </w:r>
      <w:proofErr w:type="spellEnd"/>
      <w:r w:rsidR="002418A6" w:rsidRPr="004C7BAE">
        <w:rPr>
          <w:iCs/>
          <w:sz w:val="22"/>
          <w:szCs w:val="22"/>
          <w:lang w:val="sk-SK"/>
        </w:rPr>
        <w:t xml:space="preserve"> (ako je </w:t>
      </w:r>
      <w:proofErr w:type="spellStart"/>
      <w:r w:rsidR="002418A6" w:rsidRPr="004C7BAE">
        <w:rPr>
          <w:iCs/>
          <w:sz w:val="22"/>
          <w:szCs w:val="22"/>
          <w:lang w:val="sk-SK"/>
        </w:rPr>
        <w:t>dyzúria</w:t>
      </w:r>
      <w:proofErr w:type="spellEnd"/>
      <w:r w:rsidR="002418A6" w:rsidRPr="004C7BAE">
        <w:rPr>
          <w:iCs/>
          <w:sz w:val="22"/>
          <w:szCs w:val="22"/>
          <w:lang w:val="sk-SK"/>
        </w:rPr>
        <w:t xml:space="preserve">, </w:t>
      </w:r>
      <w:proofErr w:type="spellStart"/>
      <w:r w:rsidR="002418A6" w:rsidRPr="004C7BAE">
        <w:rPr>
          <w:iCs/>
          <w:sz w:val="22"/>
          <w:szCs w:val="22"/>
          <w:lang w:val="sk-SK"/>
        </w:rPr>
        <w:t>polyúria</w:t>
      </w:r>
      <w:proofErr w:type="spellEnd"/>
      <w:r w:rsidR="002418A6" w:rsidRPr="004C7BAE">
        <w:rPr>
          <w:iCs/>
          <w:sz w:val="22"/>
          <w:szCs w:val="22"/>
          <w:lang w:val="sk-SK"/>
        </w:rPr>
        <w:t xml:space="preserve">, nočné močenie, </w:t>
      </w:r>
      <w:proofErr w:type="spellStart"/>
      <w:r w:rsidR="002418A6" w:rsidRPr="004C7BAE">
        <w:rPr>
          <w:iCs/>
          <w:sz w:val="22"/>
          <w:szCs w:val="22"/>
          <w:lang w:val="sk-SK"/>
        </w:rPr>
        <w:t>strangúria</w:t>
      </w:r>
      <w:proofErr w:type="spellEnd"/>
      <w:r w:rsidR="002418A6" w:rsidRPr="004C7BAE">
        <w:rPr>
          <w:iCs/>
          <w:sz w:val="22"/>
          <w:szCs w:val="22"/>
          <w:lang w:val="sk-SK"/>
        </w:rPr>
        <w:t xml:space="preserve">, </w:t>
      </w:r>
      <w:proofErr w:type="spellStart"/>
      <w:r w:rsidR="002418A6" w:rsidRPr="004C7BAE">
        <w:rPr>
          <w:iCs/>
          <w:sz w:val="22"/>
          <w:szCs w:val="22"/>
          <w:lang w:val="sk-SK"/>
        </w:rPr>
        <w:t>hematúria</w:t>
      </w:r>
      <w:proofErr w:type="spellEnd"/>
      <w:r w:rsidR="002418A6" w:rsidRPr="004C7BAE">
        <w:rPr>
          <w:iCs/>
          <w:sz w:val="22"/>
          <w:szCs w:val="22"/>
          <w:lang w:val="sk-SK"/>
        </w:rPr>
        <w:t xml:space="preserve">, ťažkosti s močovým mechúrom, </w:t>
      </w:r>
      <w:proofErr w:type="spellStart"/>
      <w:r w:rsidR="002418A6" w:rsidRPr="004C7BAE">
        <w:rPr>
          <w:iCs/>
          <w:sz w:val="22"/>
          <w:szCs w:val="22"/>
          <w:lang w:val="sk-SK"/>
        </w:rPr>
        <w:t>nekróza</w:t>
      </w:r>
      <w:proofErr w:type="spellEnd"/>
      <w:r w:rsidR="002418A6" w:rsidRPr="004C7BAE">
        <w:rPr>
          <w:iCs/>
          <w:sz w:val="22"/>
          <w:szCs w:val="22"/>
          <w:lang w:val="sk-SK"/>
        </w:rPr>
        <w:t xml:space="preserve"> steny močového mechúra) a </w:t>
      </w:r>
      <w:proofErr w:type="spellStart"/>
      <w:r w:rsidR="002418A6" w:rsidRPr="004C7BAE">
        <w:rPr>
          <w:iCs/>
          <w:sz w:val="22"/>
          <w:szCs w:val="22"/>
          <w:lang w:val="sk-SK"/>
        </w:rPr>
        <w:t>konstrikcia</w:t>
      </w:r>
      <w:proofErr w:type="spellEnd"/>
      <w:r w:rsidR="002418A6" w:rsidRPr="004C7BAE">
        <w:rPr>
          <w:iCs/>
          <w:sz w:val="22"/>
          <w:szCs w:val="22"/>
          <w:lang w:val="sk-SK"/>
        </w:rPr>
        <w:t xml:space="preserve"> močového mechúra. </w:t>
      </w:r>
      <w:r w:rsidR="002418A6" w:rsidRPr="004C7BAE">
        <w:rPr>
          <w:iCs/>
          <w:color w:val="000000"/>
          <w:sz w:val="22"/>
          <w:szCs w:val="22"/>
          <w:lang w:val="sk-SK"/>
        </w:rPr>
        <w:t xml:space="preserve">Osobitnú pozornosť si vyžadujú problémy pri </w:t>
      </w:r>
      <w:proofErr w:type="spellStart"/>
      <w:r w:rsidR="002418A6" w:rsidRPr="004C7BAE">
        <w:rPr>
          <w:iCs/>
          <w:color w:val="000000"/>
          <w:sz w:val="22"/>
          <w:szCs w:val="22"/>
          <w:lang w:val="sk-SK"/>
        </w:rPr>
        <w:t>katetrizácii</w:t>
      </w:r>
      <w:proofErr w:type="spellEnd"/>
      <w:r w:rsidR="002418A6" w:rsidRPr="004C7BAE">
        <w:rPr>
          <w:iCs/>
          <w:color w:val="000000"/>
          <w:sz w:val="22"/>
          <w:szCs w:val="22"/>
          <w:lang w:val="sk-SK"/>
        </w:rPr>
        <w:t xml:space="preserve"> (napr. obštrukcia močovej rúry spôsobená veľkými </w:t>
      </w:r>
      <w:proofErr w:type="spellStart"/>
      <w:r w:rsidR="002418A6" w:rsidRPr="004C7BAE">
        <w:rPr>
          <w:iCs/>
          <w:color w:val="000000"/>
          <w:sz w:val="22"/>
          <w:szCs w:val="22"/>
          <w:lang w:val="sk-SK"/>
        </w:rPr>
        <w:t>intravezikálnymi</w:t>
      </w:r>
      <w:proofErr w:type="spellEnd"/>
      <w:r w:rsidR="002418A6" w:rsidRPr="004C7BAE">
        <w:rPr>
          <w:iCs/>
          <w:color w:val="000000"/>
          <w:sz w:val="22"/>
          <w:szCs w:val="22"/>
          <w:lang w:val="sk-SK"/>
        </w:rPr>
        <w:t xml:space="preserve"> tumormi).</w:t>
      </w:r>
    </w:p>
    <w:p w14:paraId="4D0BA58A" w14:textId="77777777" w:rsidR="00BA5AFA" w:rsidRPr="004C7BAE" w:rsidRDefault="00BA5AFA">
      <w:pPr>
        <w:rPr>
          <w:sz w:val="22"/>
          <w:szCs w:val="22"/>
          <w:lang w:val="sk-SK" w:bidi="si-LK"/>
        </w:rPr>
      </w:pPr>
    </w:p>
    <w:p w14:paraId="52DA7380" w14:textId="77777777" w:rsidR="00A31E63" w:rsidRDefault="002418A6" w:rsidP="00FB7812">
      <w:pPr>
        <w:keepNext/>
        <w:keepLines/>
        <w:numPr>
          <w:ilvl w:val="1"/>
          <w:numId w:val="31"/>
        </w:numPr>
        <w:outlineLvl w:val="0"/>
        <w:rPr>
          <w:b/>
          <w:bCs/>
          <w:sz w:val="22"/>
          <w:szCs w:val="22"/>
          <w:lang w:val="sk-SK" w:bidi="si-LK"/>
        </w:rPr>
      </w:pPr>
      <w:r w:rsidRPr="004C7BAE">
        <w:rPr>
          <w:b/>
          <w:bCs/>
          <w:sz w:val="22"/>
          <w:szCs w:val="22"/>
          <w:lang w:val="sk-SK" w:bidi="si-LK"/>
        </w:rPr>
        <w:lastRenderedPageBreak/>
        <w:t>Liekové a iné interakcie</w:t>
      </w:r>
    </w:p>
    <w:p w14:paraId="218DE392" w14:textId="77777777" w:rsidR="00A31E63" w:rsidRDefault="00A31E63" w:rsidP="00FB7812">
      <w:pPr>
        <w:keepNext/>
        <w:keepLines/>
        <w:rPr>
          <w:sz w:val="22"/>
          <w:szCs w:val="22"/>
          <w:lang w:val="sk-SK" w:bidi="si-LK"/>
        </w:rPr>
      </w:pPr>
    </w:p>
    <w:p w14:paraId="5B602B5C" w14:textId="77777777" w:rsidR="00BA5AFA" w:rsidRPr="004C7BAE" w:rsidRDefault="002418A6" w:rsidP="00C52CC6">
      <w:pPr>
        <w:keepNext/>
        <w:keepLines/>
        <w:numPr>
          <w:ilvl w:val="12"/>
          <w:numId w:val="0"/>
        </w:numPr>
        <w:tabs>
          <w:tab w:val="left" w:pos="-270"/>
        </w:tabs>
        <w:rPr>
          <w:sz w:val="22"/>
          <w:szCs w:val="22"/>
          <w:lang w:val="sk-SK"/>
        </w:rPr>
      </w:pPr>
      <w:proofErr w:type="spellStart"/>
      <w:r w:rsidRPr="004C7BAE">
        <w:rPr>
          <w:sz w:val="22"/>
          <w:szCs w:val="22"/>
          <w:lang w:val="sk-SK"/>
        </w:rPr>
        <w:t>Epirubicín</w:t>
      </w:r>
      <w:proofErr w:type="spellEnd"/>
      <w:r w:rsidRPr="004C7BAE">
        <w:rPr>
          <w:sz w:val="22"/>
          <w:szCs w:val="22"/>
          <w:lang w:val="sk-SK"/>
        </w:rPr>
        <w:t xml:space="preserve"> sa používa hlavne v kombinácii s inými </w:t>
      </w:r>
      <w:proofErr w:type="spellStart"/>
      <w:r w:rsidRPr="004C7BAE">
        <w:rPr>
          <w:sz w:val="22"/>
          <w:szCs w:val="22"/>
          <w:lang w:val="sk-SK"/>
        </w:rPr>
        <w:t>cytotoxickými</w:t>
      </w:r>
      <w:proofErr w:type="spellEnd"/>
      <w:r w:rsidRPr="004C7BAE">
        <w:rPr>
          <w:sz w:val="22"/>
          <w:szCs w:val="22"/>
          <w:lang w:val="sk-SK"/>
        </w:rPr>
        <w:t xml:space="preserve"> liekmi. </w:t>
      </w:r>
      <w:r w:rsidRPr="004C7BAE">
        <w:rPr>
          <w:color w:val="000000"/>
          <w:sz w:val="22"/>
          <w:szCs w:val="22"/>
          <w:lang w:val="sk-SK"/>
        </w:rPr>
        <w:t xml:space="preserve">K aditívnej toxicite môže dochádzať hlavne z hľadiska účinkov na kostnú dreň a </w:t>
      </w:r>
      <w:proofErr w:type="spellStart"/>
      <w:r w:rsidRPr="004C7BAE">
        <w:rPr>
          <w:color w:val="000000"/>
          <w:sz w:val="22"/>
          <w:szCs w:val="22"/>
          <w:lang w:val="sk-SK"/>
        </w:rPr>
        <w:t>gastrointestinálnych</w:t>
      </w:r>
      <w:proofErr w:type="spellEnd"/>
      <w:r w:rsidRPr="004C7BAE">
        <w:rPr>
          <w:color w:val="000000"/>
          <w:sz w:val="22"/>
          <w:szCs w:val="22"/>
          <w:lang w:val="sk-SK"/>
        </w:rPr>
        <w:t xml:space="preserve"> účinkov (pozri časť 4.4).</w:t>
      </w:r>
    </w:p>
    <w:p w14:paraId="136C41AA" w14:textId="77777777" w:rsidR="00BA5AFA" w:rsidRPr="004C7BAE" w:rsidRDefault="00BA5AFA">
      <w:pPr>
        <w:keepNext/>
        <w:keepLines/>
        <w:numPr>
          <w:ilvl w:val="12"/>
          <w:numId w:val="0"/>
        </w:numPr>
        <w:tabs>
          <w:tab w:val="left" w:pos="-270"/>
        </w:tabs>
        <w:rPr>
          <w:sz w:val="22"/>
          <w:szCs w:val="22"/>
          <w:lang w:val="sk-SK"/>
        </w:rPr>
      </w:pPr>
    </w:p>
    <w:p w14:paraId="3B1FD70C" w14:textId="77777777" w:rsidR="00BA5AFA" w:rsidRPr="004C7BAE" w:rsidRDefault="002418A6">
      <w:pPr>
        <w:keepNext/>
        <w:keepLines/>
        <w:rPr>
          <w:sz w:val="22"/>
          <w:szCs w:val="22"/>
          <w:lang w:val="sk-SK"/>
        </w:rPr>
      </w:pPr>
      <w:r w:rsidRPr="004C7BAE">
        <w:rPr>
          <w:sz w:val="22"/>
          <w:szCs w:val="22"/>
          <w:lang w:val="sk-SK"/>
        </w:rPr>
        <w:t xml:space="preserve">Potenciálne riziko </w:t>
      </w:r>
      <w:proofErr w:type="spellStart"/>
      <w:r w:rsidRPr="004C7BAE">
        <w:rPr>
          <w:sz w:val="22"/>
          <w:szCs w:val="22"/>
          <w:lang w:val="sk-SK"/>
        </w:rPr>
        <w:t>kardiotoxicity</w:t>
      </w:r>
      <w:proofErr w:type="spellEnd"/>
      <w:r w:rsidRPr="004C7BAE">
        <w:rPr>
          <w:sz w:val="22"/>
          <w:szCs w:val="22"/>
          <w:lang w:val="sk-SK"/>
        </w:rPr>
        <w:t xml:space="preserve"> sa môže zvyšovať u pacientov, ktorým boli podávané </w:t>
      </w:r>
      <w:proofErr w:type="spellStart"/>
      <w:r w:rsidRPr="004C7BAE">
        <w:rPr>
          <w:sz w:val="22"/>
          <w:szCs w:val="22"/>
          <w:lang w:val="sk-SK"/>
        </w:rPr>
        <w:t>konkomitantné</w:t>
      </w:r>
      <w:proofErr w:type="spellEnd"/>
      <w:r w:rsidRPr="004C7BAE">
        <w:rPr>
          <w:sz w:val="22"/>
          <w:szCs w:val="22"/>
          <w:lang w:val="sk-SK"/>
        </w:rPr>
        <w:t xml:space="preserve"> </w:t>
      </w:r>
      <w:proofErr w:type="spellStart"/>
      <w:r w:rsidRPr="004C7BAE">
        <w:rPr>
          <w:sz w:val="22"/>
          <w:szCs w:val="22"/>
          <w:lang w:val="sk-SK"/>
        </w:rPr>
        <w:t>kardiotoxické</w:t>
      </w:r>
      <w:proofErr w:type="spellEnd"/>
      <w:r w:rsidRPr="004C7BAE">
        <w:rPr>
          <w:sz w:val="22"/>
          <w:szCs w:val="22"/>
          <w:lang w:val="sk-SK"/>
        </w:rPr>
        <w:t xml:space="preserve"> látky (napr. 5</w:t>
      </w:r>
      <w:r w:rsidRPr="004C7BAE">
        <w:rPr>
          <w:sz w:val="22"/>
          <w:szCs w:val="22"/>
          <w:lang w:val="sk-SK"/>
        </w:rPr>
        <w:noBreakHyphen/>
        <w:t xml:space="preserve">fluorouracil, </w:t>
      </w:r>
      <w:proofErr w:type="spellStart"/>
      <w:r w:rsidRPr="004C7BAE">
        <w:rPr>
          <w:sz w:val="22"/>
          <w:szCs w:val="22"/>
          <w:lang w:val="sk-SK"/>
        </w:rPr>
        <w:t>cyklofosfamid</w:t>
      </w:r>
      <w:proofErr w:type="spellEnd"/>
      <w:r w:rsidRPr="004C7BAE">
        <w:rPr>
          <w:sz w:val="22"/>
          <w:szCs w:val="22"/>
          <w:lang w:val="sk-SK"/>
        </w:rPr>
        <w:t xml:space="preserve">, </w:t>
      </w:r>
      <w:proofErr w:type="spellStart"/>
      <w:r w:rsidRPr="004C7BAE">
        <w:rPr>
          <w:sz w:val="22"/>
          <w:szCs w:val="22"/>
          <w:lang w:val="sk-SK"/>
        </w:rPr>
        <w:t>cisplatina</w:t>
      </w:r>
      <w:proofErr w:type="spellEnd"/>
      <w:r w:rsidRPr="004C7BAE">
        <w:rPr>
          <w:sz w:val="22"/>
          <w:szCs w:val="22"/>
          <w:lang w:val="sk-SK"/>
        </w:rPr>
        <w:t xml:space="preserve">, </w:t>
      </w:r>
      <w:proofErr w:type="spellStart"/>
      <w:r w:rsidRPr="004C7BAE">
        <w:rPr>
          <w:sz w:val="22"/>
          <w:szCs w:val="22"/>
          <w:lang w:val="sk-SK"/>
        </w:rPr>
        <w:t>taxány</w:t>
      </w:r>
      <w:proofErr w:type="spellEnd"/>
      <w:r w:rsidRPr="004C7BAE">
        <w:rPr>
          <w:sz w:val="22"/>
          <w:szCs w:val="22"/>
          <w:lang w:val="sk-SK"/>
        </w:rPr>
        <w:t xml:space="preserve">) alebo </w:t>
      </w:r>
      <w:proofErr w:type="spellStart"/>
      <w:r w:rsidRPr="004C7BAE">
        <w:rPr>
          <w:sz w:val="22"/>
          <w:szCs w:val="22"/>
          <w:lang w:val="sk-SK"/>
        </w:rPr>
        <w:t>konkomitantná</w:t>
      </w:r>
      <w:proofErr w:type="spellEnd"/>
      <w:r w:rsidRPr="004C7BAE">
        <w:rPr>
          <w:sz w:val="22"/>
          <w:szCs w:val="22"/>
          <w:lang w:val="sk-SK"/>
        </w:rPr>
        <w:t xml:space="preserve"> (alebo predchádzajúca) rádioterapia na oblasť </w:t>
      </w:r>
      <w:proofErr w:type="spellStart"/>
      <w:r w:rsidRPr="004C7BAE">
        <w:rPr>
          <w:sz w:val="22"/>
          <w:szCs w:val="22"/>
          <w:lang w:val="sk-SK"/>
        </w:rPr>
        <w:t>mediastína</w:t>
      </w:r>
      <w:proofErr w:type="spellEnd"/>
      <w:r w:rsidRPr="004C7BAE">
        <w:rPr>
          <w:sz w:val="22"/>
          <w:szCs w:val="22"/>
          <w:lang w:val="sk-SK"/>
        </w:rPr>
        <w:t xml:space="preserve">. </w:t>
      </w:r>
      <w:r w:rsidRPr="004C7BAE">
        <w:rPr>
          <w:color w:val="000000"/>
          <w:sz w:val="22"/>
          <w:szCs w:val="22"/>
          <w:lang w:val="sk-SK"/>
        </w:rPr>
        <w:t xml:space="preserve">Používanie </w:t>
      </w:r>
      <w:proofErr w:type="spellStart"/>
      <w:r w:rsidRPr="004C7BAE">
        <w:rPr>
          <w:color w:val="000000"/>
          <w:sz w:val="22"/>
          <w:szCs w:val="22"/>
          <w:lang w:val="sk-SK"/>
        </w:rPr>
        <w:t>epirubicínu</w:t>
      </w:r>
      <w:proofErr w:type="spellEnd"/>
      <w:r w:rsidRPr="004C7BAE">
        <w:rPr>
          <w:color w:val="000000"/>
          <w:sz w:val="22"/>
          <w:szCs w:val="22"/>
          <w:lang w:val="sk-SK"/>
        </w:rPr>
        <w:t xml:space="preserve"> v kombinovanej chemoterapii s inými potenciálne </w:t>
      </w:r>
      <w:proofErr w:type="spellStart"/>
      <w:r w:rsidRPr="004C7BAE">
        <w:rPr>
          <w:color w:val="000000"/>
          <w:sz w:val="22"/>
          <w:szCs w:val="22"/>
          <w:lang w:val="sk-SK"/>
        </w:rPr>
        <w:t>kardiotoxickými</w:t>
      </w:r>
      <w:proofErr w:type="spellEnd"/>
      <w:r w:rsidRPr="004C7BAE">
        <w:rPr>
          <w:color w:val="000000"/>
          <w:sz w:val="22"/>
          <w:szCs w:val="22"/>
          <w:lang w:val="sk-SK"/>
        </w:rPr>
        <w:t xml:space="preserve"> liekmi, ako aj súčasné používanie iných </w:t>
      </w:r>
      <w:proofErr w:type="spellStart"/>
      <w:r w:rsidRPr="004C7BAE">
        <w:rPr>
          <w:color w:val="000000"/>
          <w:sz w:val="22"/>
          <w:szCs w:val="22"/>
          <w:lang w:val="sk-SK"/>
        </w:rPr>
        <w:t>kardioaktívnych</w:t>
      </w:r>
      <w:proofErr w:type="spellEnd"/>
      <w:r w:rsidRPr="004C7BAE">
        <w:rPr>
          <w:color w:val="000000"/>
          <w:sz w:val="22"/>
          <w:szCs w:val="22"/>
          <w:lang w:val="sk-SK"/>
        </w:rPr>
        <w:t xml:space="preserve"> prípravkov (napr. </w:t>
      </w:r>
      <w:proofErr w:type="spellStart"/>
      <w:r w:rsidRPr="004C7BAE">
        <w:rPr>
          <w:color w:val="000000"/>
          <w:sz w:val="22"/>
          <w:szCs w:val="22"/>
          <w:lang w:val="sk-SK"/>
        </w:rPr>
        <w:t>blokátory</w:t>
      </w:r>
      <w:proofErr w:type="spellEnd"/>
      <w:r w:rsidRPr="004C7BAE">
        <w:rPr>
          <w:color w:val="000000"/>
          <w:sz w:val="22"/>
          <w:szCs w:val="22"/>
          <w:lang w:val="sk-SK"/>
        </w:rPr>
        <w:t xml:space="preserve"> vápnikových kanálov), si vyžaduje monitorovanie funkcie srdca v priebehu celej liečby.</w:t>
      </w:r>
    </w:p>
    <w:p w14:paraId="4F89BB5A" w14:textId="77777777" w:rsidR="00BA5AFA" w:rsidRPr="004C7BAE" w:rsidRDefault="00BA5AFA">
      <w:pPr>
        <w:numPr>
          <w:ilvl w:val="12"/>
          <w:numId w:val="0"/>
        </w:numPr>
        <w:tabs>
          <w:tab w:val="left" w:pos="-270"/>
        </w:tabs>
        <w:rPr>
          <w:sz w:val="22"/>
          <w:szCs w:val="22"/>
          <w:lang w:val="sk-SK"/>
        </w:rPr>
      </w:pPr>
    </w:p>
    <w:p w14:paraId="71E55D49" w14:textId="77777777" w:rsidR="00BA5AFA" w:rsidRPr="004C7BAE" w:rsidRDefault="002418A6">
      <w:pPr>
        <w:keepNext/>
        <w:keepLines/>
        <w:numPr>
          <w:ilvl w:val="12"/>
          <w:numId w:val="0"/>
        </w:numPr>
        <w:tabs>
          <w:tab w:val="left" w:pos="-270"/>
        </w:tabs>
        <w:rPr>
          <w:sz w:val="22"/>
          <w:szCs w:val="22"/>
          <w:lang w:val="sk-SK"/>
        </w:rPr>
      </w:pPr>
      <w:proofErr w:type="spellStart"/>
      <w:r w:rsidRPr="004C7BAE">
        <w:rPr>
          <w:sz w:val="22"/>
          <w:szCs w:val="22"/>
          <w:lang w:val="sk-SK"/>
        </w:rPr>
        <w:t>Epirubicín</w:t>
      </w:r>
      <w:proofErr w:type="spellEnd"/>
      <w:r w:rsidRPr="004C7BAE">
        <w:rPr>
          <w:sz w:val="22"/>
          <w:szCs w:val="22"/>
          <w:lang w:val="sk-SK"/>
        </w:rPr>
        <w:t xml:space="preserve"> sa v rozsiahlej miere metabolizuje pečeňou. Zmeny pečeňových funkcií vyvolaných súčasne podávanými terapiami môžu ovplyvniť metabolizmus </w:t>
      </w:r>
      <w:proofErr w:type="spellStart"/>
      <w:r w:rsidRPr="004C7BAE">
        <w:rPr>
          <w:sz w:val="22"/>
          <w:szCs w:val="22"/>
          <w:lang w:val="sk-SK"/>
        </w:rPr>
        <w:t>epirubicínu</w:t>
      </w:r>
      <w:proofErr w:type="spellEnd"/>
      <w:r w:rsidRPr="004C7BAE">
        <w:rPr>
          <w:sz w:val="22"/>
          <w:szCs w:val="22"/>
          <w:lang w:val="sk-SK"/>
        </w:rPr>
        <w:t xml:space="preserve">, </w:t>
      </w:r>
      <w:proofErr w:type="spellStart"/>
      <w:r w:rsidRPr="004C7BAE">
        <w:rPr>
          <w:sz w:val="22"/>
          <w:szCs w:val="22"/>
          <w:lang w:val="sk-SK"/>
        </w:rPr>
        <w:t>farmakokinetiku</w:t>
      </w:r>
      <w:proofErr w:type="spellEnd"/>
      <w:r w:rsidRPr="004C7BAE">
        <w:rPr>
          <w:sz w:val="22"/>
          <w:szCs w:val="22"/>
          <w:lang w:val="sk-SK"/>
        </w:rPr>
        <w:t>, terapeutickú účinnosť alebo toxicitu (pozri časť 4.4).</w:t>
      </w:r>
    </w:p>
    <w:p w14:paraId="0738A173" w14:textId="77777777" w:rsidR="00BA5AFA" w:rsidRPr="004C7BAE" w:rsidRDefault="00BA5AFA">
      <w:pPr>
        <w:rPr>
          <w:sz w:val="22"/>
          <w:szCs w:val="22"/>
          <w:lang w:val="sk-SK"/>
        </w:rPr>
      </w:pPr>
    </w:p>
    <w:p w14:paraId="229669DC" w14:textId="1F437CFA" w:rsidR="00BA5AFA" w:rsidRPr="004C7BAE" w:rsidRDefault="002418A6">
      <w:pPr>
        <w:autoSpaceDE w:val="0"/>
        <w:autoSpaceDN w:val="0"/>
        <w:adjustRightInd w:val="0"/>
        <w:rPr>
          <w:sz w:val="22"/>
          <w:szCs w:val="22"/>
          <w:lang w:val="sk-SK" w:eastAsia="da-DK"/>
        </w:rPr>
      </w:pPr>
      <w:proofErr w:type="spellStart"/>
      <w:r w:rsidRPr="004C7BAE">
        <w:rPr>
          <w:sz w:val="22"/>
          <w:szCs w:val="22"/>
          <w:lang w:val="sk-SK" w:eastAsia="da-DK"/>
        </w:rPr>
        <w:t>Antracyklíny</w:t>
      </w:r>
      <w:proofErr w:type="spellEnd"/>
      <w:r w:rsidRPr="004C7BAE">
        <w:rPr>
          <w:sz w:val="22"/>
          <w:szCs w:val="22"/>
          <w:lang w:val="sk-SK" w:eastAsia="da-DK"/>
        </w:rPr>
        <w:t xml:space="preserve">, vrátane </w:t>
      </w:r>
      <w:proofErr w:type="spellStart"/>
      <w:r w:rsidRPr="004C7BAE">
        <w:rPr>
          <w:sz w:val="22"/>
          <w:szCs w:val="22"/>
          <w:lang w:val="sk-SK" w:eastAsia="da-DK"/>
        </w:rPr>
        <w:t>epirubicínu</w:t>
      </w:r>
      <w:proofErr w:type="spellEnd"/>
      <w:r w:rsidRPr="004C7BAE">
        <w:rPr>
          <w:sz w:val="22"/>
          <w:szCs w:val="22"/>
          <w:lang w:val="sk-SK" w:eastAsia="da-DK"/>
        </w:rPr>
        <w:t xml:space="preserve">, sa nesmú podávať v kombinácii s iným </w:t>
      </w:r>
      <w:proofErr w:type="spellStart"/>
      <w:r w:rsidRPr="004C7BAE">
        <w:rPr>
          <w:sz w:val="22"/>
          <w:szCs w:val="22"/>
          <w:lang w:val="sk-SK" w:eastAsia="da-DK"/>
        </w:rPr>
        <w:t>kardiotoxickými</w:t>
      </w:r>
      <w:proofErr w:type="spellEnd"/>
      <w:r w:rsidRPr="004C7BAE">
        <w:rPr>
          <w:sz w:val="22"/>
          <w:szCs w:val="22"/>
          <w:lang w:val="sk-SK" w:eastAsia="da-DK"/>
        </w:rPr>
        <w:t xml:space="preserve"> prípravkami, ak nie je podrobne monitorovaná srdcová funkcia pacienta. </w:t>
      </w:r>
      <w:r w:rsidRPr="004C7BAE">
        <w:rPr>
          <w:color w:val="000000"/>
          <w:sz w:val="22"/>
          <w:szCs w:val="22"/>
          <w:lang w:val="sk-SK" w:eastAsia="da-DK"/>
        </w:rPr>
        <w:t xml:space="preserve">Pacientom, ktorí dostávajú </w:t>
      </w:r>
      <w:proofErr w:type="spellStart"/>
      <w:r w:rsidRPr="004C7BAE">
        <w:rPr>
          <w:color w:val="000000"/>
          <w:sz w:val="22"/>
          <w:szCs w:val="22"/>
          <w:lang w:val="sk-SK" w:eastAsia="da-DK"/>
        </w:rPr>
        <w:t>antracyklíny</w:t>
      </w:r>
      <w:proofErr w:type="spellEnd"/>
      <w:r w:rsidRPr="004C7BAE">
        <w:rPr>
          <w:color w:val="000000"/>
          <w:sz w:val="22"/>
          <w:szCs w:val="22"/>
          <w:lang w:val="sk-SK" w:eastAsia="da-DK"/>
        </w:rPr>
        <w:t xml:space="preserve">, po zastavení liečby inými </w:t>
      </w:r>
      <w:proofErr w:type="spellStart"/>
      <w:r w:rsidRPr="004C7BAE">
        <w:rPr>
          <w:color w:val="000000"/>
          <w:sz w:val="22"/>
          <w:szCs w:val="22"/>
          <w:lang w:val="sk-SK" w:eastAsia="da-DK"/>
        </w:rPr>
        <w:t>kardiotoxickými</w:t>
      </w:r>
      <w:proofErr w:type="spellEnd"/>
      <w:r w:rsidRPr="004C7BAE">
        <w:rPr>
          <w:color w:val="000000"/>
          <w:sz w:val="22"/>
          <w:szCs w:val="22"/>
          <w:lang w:val="sk-SK" w:eastAsia="da-DK"/>
        </w:rPr>
        <w:t xml:space="preserve"> prípravkami, predovšetkým s dlhými polčasmi, ako je </w:t>
      </w:r>
      <w:proofErr w:type="spellStart"/>
      <w:r w:rsidRPr="004C7BAE">
        <w:rPr>
          <w:color w:val="000000"/>
          <w:sz w:val="22"/>
          <w:szCs w:val="22"/>
          <w:lang w:val="sk-SK" w:eastAsia="da-DK"/>
        </w:rPr>
        <w:t>trastuzumab</w:t>
      </w:r>
      <w:proofErr w:type="spellEnd"/>
      <w:r w:rsidRPr="004C7BAE">
        <w:rPr>
          <w:color w:val="000000"/>
          <w:sz w:val="22"/>
          <w:szCs w:val="22"/>
          <w:lang w:val="sk-SK" w:eastAsia="da-DK"/>
        </w:rPr>
        <w:t xml:space="preserve">, môže hroziť zvýšené riziko </w:t>
      </w:r>
      <w:proofErr w:type="spellStart"/>
      <w:r w:rsidRPr="004C7BAE">
        <w:rPr>
          <w:color w:val="000000"/>
          <w:sz w:val="22"/>
          <w:szCs w:val="22"/>
          <w:lang w:val="sk-SK" w:eastAsia="da-DK"/>
        </w:rPr>
        <w:t>kardiotoxicity</w:t>
      </w:r>
      <w:proofErr w:type="spellEnd"/>
      <w:r w:rsidRPr="004C7BAE">
        <w:rPr>
          <w:color w:val="000000"/>
          <w:sz w:val="22"/>
          <w:szCs w:val="22"/>
          <w:lang w:val="sk-SK" w:eastAsia="da-DK"/>
        </w:rPr>
        <w:t xml:space="preserve">. </w:t>
      </w:r>
      <w:r w:rsidR="00263568">
        <w:rPr>
          <w:color w:val="000000"/>
          <w:sz w:val="22"/>
          <w:szCs w:val="22"/>
          <w:lang w:val="sk-SK" w:eastAsia="da-DK"/>
        </w:rPr>
        <w:t>Uvádzaný p</w:t>
      </w:r>
      <w:r w:rsidRPr="004C7BAE">
        <w:rPr>
          <w:color w:val="000000"/>
          <w:sz w:val="22"/>
          <w:szCs w:val="22"/>
          <w:lang w:val="sk-SK" w:eastAsia="da-DK"/>
        </w:rPr>
        <w:t xml:space="preserve">olčas </w:t>
      </w:r>
      <w:proofErr w:type="spellStart"/>
      <w:r w:rsidRPr="004C7BAE">
        <w:rPr>
          <w:color w:val="000000"/>
          <w:sz w:val="22"/>
          <w:szCs w:val="22"/>
          <w:lang w:val="sk-SK" w:eastAsia="da-DK"/>
        </w:rPr>
        <w:t>trastuzumabu</w:t>
      </w:r>
      <w:proofErr w:type="spellEnd"/>
      <w:r w:rsidRPr="004C7BAE">
        <w:rPr>
          <w:color w:val="000000"/>
          <w:sz w:val="22"/>
          <w:szCs w:val="22"/>
          <w:lang w:val="sk-SK" w:eastAsia="da-DK"/>
        </w:rPr>
        <w:t xml:space="preserve"> je </w:t>
      </w:r>
      <w:r w:rsidR="00263568">
        <w:rPr>
          <w:color w:val="000000"/>
          <w:sz w:val="22"/>
          <w:szCs w:val="22"/>
          <w:lang w:val="sk-SK" w:eastAsia="da-DK"/>
        </w:rPr>
        <w:t>variabilný. Látka</w:t>
      </w:r>
      <w:r w:rsidRPr="004C7BAE">
        <w:rPr>
          <w:color w:val="000000"/>
          <w:sz w:val="22"/>
          <w:szCs w:val="22"/>
          <w:lang w:val="sk-SK" w:eastAsia="da-DK"/>
        </w:rPr>
        <w:t xml:space="preserve"> môže zostávať v cirkulácii až </w:t>
      </w:r>
      <w:r w:rsidR="00263568">
        <w:rPr>
          <w:color w:val="000000"/>
          <w:sz w:val="22"/>
          <w:szCs w:val="22"/>
          <w:lang w:val="sk-SK" w:eastAsia="da-DK"/>
        </w:rPr>
        <w:t>7 mesiacov</w:t>
      </w:r>
      <w:r w:rsidRPr="004C7BAE">
        <w:rPr>
          <w:color w:val="000000"/>
          <w:sz w:val="22"/>
          <w:szCs w:val="22"/>
          <w:lang w:val="sk-SK" w:eastAsia="da-DK"/>
        </w:rPr>
        <w:t xml:space="preserve">. Z tohto dôvodu sa lekári musia vystríhať, vždy ak to je možné, liečby </w:t>
      </w:r>
      <w:proofErr w:type="spellStart"/>
      <w:r w:rsidRPr="004C7BAE">
        <w:rPr>
          <w:color w:val="000000"/>
          <w:sz w:val="22"/>
          <w:szCs w:val="22"/>
          <w:lang w:val="sk-SK" w:eastAsia="da-DK"/>
        </w:rPr>
        <w:t>antracyklínom</w:t>
      </w:r>
      <w:proofErr w:type="spellEnd"/>
      <w:r w:rsidRPr="004C7BAE">
        <w:rPr>
          <w:color w:val="000000"/>
          <w:sz w:val="22"/>
          <w:szCs w:val="22"/>
          <w:lang w:val="sk-SK" w:eastAsia="da-DK"/>
        </w:rPr>
        <w:t xml:space="preserve"> skôr ako až </w:t>
      </w:r>
      <w:r w:rsidR="00263568">
        <w:rPr>
          <w:color w:val="000000"/>
          <w:sz w:val="22"/>
          <w:szCs w:val="22"/>
          <w:lang w:val="sk-SK" w:eastAsia="da-DK"/>
        </w:rPr>
        <w:t>7 mesiacov</w:t>
      </w:r>
      <w:r w:rsidRPr="004C7BAE">
        <w:rPr>
          <w:color w:val="000000"/>
          <w:sz w:val="22"/>
          <w:szCs w:val="22"/>
          <w:lang w:val="sk-SK" w:eastAsia="da-DK"/>
        </w:rPr>
        <w:t xml:space="preserve"> po vysadení </w:t>
      </w:r>
      <w:proofErr w:type="spellStart"/>
      <w:r w:rsidRPr="004C7BAE">
        <w:rPr>
          <w:color w:val="000000"/>
          <w:sz w:val="22"/>
          <w:szCs w:val="22"/>
          <w:lang w:val="sk-SK" w:eastAsia="da-DK"/>
        </w:rPr>
        <w:t>trastuzumabu</w:t>
      </w:r>
      <w:proofErr w:type="spellEnd"/>
      <w:r w:rsidRPr="004C7BAE">
        <w:rPr>
          <w:color w:val="000000"/>
          <w:sz w:val="22"/>
          <w:szCs w:val="22"/>
          <w:lang w:val="sk-SK" w:eastAsia="da-DK"/>
        </w:rPr>
        <w:t xml:space="preserve">. Ak sa </w:t>
      </w:r>
      <w:proofErr w:type="spellStart"/>
      <w:r w:rsidRPr="004C7BAE">
        <w:rPr>
          <w:color w:val="000000"/>
          <w:sz w:val="22"/>
          <w:szCs w:val="22"/>
          <w:lang w:val="sk-SK" w:eastAsia="da-DK"/>
        </w:rPr>
        <w:t>antracyklíny</w:t>
      </w:r>
      <w:proofErr w:type="spellEnd"/>
      <w:r w:rsidRPr="004C7BAE">
        <w:rPr>
          <w:color w:val="000000"/>
          <w:sz w:val="22"/>
          <w:szCs w:val="22"/>
          <w:lang w:val="sk-SK" w:eastAsia="da-DK"/>
        </w:rPr>
        <w:t xml:space="preserve"> používajú skôr ako o tento čas, odporúča sa starostlivé monitorovanie funkcie srdca.</w:t>
      </w:r>
    </w:p>
    <w:p w14:paraId="7F67CF6C" w14:textId="77777777" w:rsidR="00BA5AFA" w:rsidRPr="004C7BAE" w:rsidRDefault="00BA5AFA">
      <w:pPr>
        <w:autoSpaceDE w:val="0"/>
        <w:autoSpaceDN w:val="0"/>
        <w:adjustRightInd w:val="0"/>
        <w:rPr>
          <w:sz w:val="22"/>
          <w:szCs w:val="22"/>
          <w:lang w:val="sk-SK" w:eastAsia="da-DK"/>
        </w:rPr>
      </w:pPr>
    </w:p>
    <w:p w14:paraId="4C8D4C68" w14:textId="77777777" w:rsidR="00BA5AFA" w:rsidRPr="004C7BAE" w:rsidRDefault="002418A6">
      <w:pPr>
        <w:autoSpaceDE w:val="0"/>
        <w:autoSpaceDN w:val="0"/>
        <w:adjustRightInd w:val="0"/>
        <w:rPr>
          <w:sz w:val="22"/>
          <w:szCs w:val="22"/>
          <w:lang w:val="sk-SK" w:eastAsia="da-DK"/>
        </w:rPr>
      </w:pPr>
      <w:r w:rsidRPr="004C7BAE">
        <w:rPr>
          <w:sz w:val="22"/>
          <w:szCs w:val="22"/>
          <w:lang w:val="sk-SK" w:eastAsia="da-DK"/>
        </w:rPr>
        <w:t xml:space="preserve">Očkovaniu živou vakcínou sa u pacientov, dostávajúcich </w:t>
      </w:r>
      <w:proofErr w:type="spellStart"/>
      <w:r w:rsidRPr="004C7BAE">
        <w:rPr>
          <w:sz w:val="22"/>
          <w:szCs w:val="22"/>
          <w:lang w:val="sk-SK" w:eastAsia="da-DK"/>
        </w:rPr>
        <w:t>epirubicín</w:t>
      </w:r>
      <w:proofErr w:type="spellEnd"/>
      <w:r w:rsidRPr="004C7BAE">
        <w:rPr>
          <w:sz w:val="22"/>
          <w:szCs w:val="22"/>
          <w:lang w:val="sk-SK" w:eastAsia="da-DK"/>
        </w:rPr>
        <w:t xml:space="preserve">, treba vyhýbať. Usmrtené alebo </w:t>
      </w:r>
      <w:proofErr w:type="spellStart"/>
      <w:r w:rsidRPr="004C7BAE">
        <w:rPr>
          <w:sz w:val="22"/>
          <w:szCs w:val="22"/>
          <w:lang w:val="sk-SK" w:eastAsia="da-DK"/>
        </w:rPr>
        <w:t>inaktivované</w:t>
      </w:r>
      <w:proofErr w:type="spellEnd"/>
      <w:r w:rsidRPr="004C7BAE">
        <w:rPr>
          <w:sz w:val="22"/>
          <w:szCs w:val="22"/>
          <w:lang w:val="sk-SK" w:eastAsia="da-DK"/>
        </w:rPr>
        <w:t xml:space="preserve"> vakcíny sa môžu podávať; avšak, odpoveď na takéto vakcíny môže byť oslabená. </w:t>
      </w:r>
    </w:p>
    <w:p w14:paraId="63B91A74" w14:textId="77777777" w:rsidR="00BA5AFA" w:rsidRPr="004C7BAE" w:rsidRDefault="00BA5AFA">
      <w:pPr>
        <w:rPr>
          <w:sz w:val="22"/>
          <w:szCs w:val="22"/>
          <w:lang w:val="sk-SK"/>
        </w:rPr>
      </w:pPr>
    </w:p>
    <w:p w14:paraId="4F38CAD4" w14:textId="77777777" w:rsidR="00BA5AFA" w:rsidRPr="004C7BAE" w:rsidRDefault="002418A6">
      <w:pPr>
        <w:numPr>
          <w:ilvl w:val="12"/>
          <w:numId w:val="0"/>
        </w:numPr>
        <w:tabs>
          <w:tab w:val="left" w:pos="-270"/>
        </w:tabs>
        <w:rPr>
          <w:color w:val="000000"/>
          <w:sz w:val="22"/>
          <w:szCs w:val="22"/>
          <w:lang w:val="sk-SK"/>
        </w:rPr>
      </w:pPr>
      <w:proofErr w:type="spellStart"/>
      <w:r w:rsidRPr="004C7BAE">
        <w:rPr>
          <w:sz w:val="22"/>
          <w:szCs w:val="22"/>
          <w:lang w:val="sk-SK"/>
        </w:rPr>
        <w:t>Cimetidín</w:t>
      </w:r>
      <w:proofErr w:type="spellEnd"/>
      <w:r w:rsidRPr="004C7BAE">
        <w:rPr>
          <w:sz w:val="22"/>
          <w:szCs w:val="22"/>
          <w:lang w:val="sk-SK"/>
        </w:rPr>
        <w:t xml:space="preserve"> zvýšil AUC </w:t>
      </w:r>
      <w:proofErr w:type="spellStart"/>
      <w:r w:rsidRPr="004C7BAE">
        <w:rPr>
          <w:sz w:val="22"/>
          <w:szCs w:val="22"/>
          <w:lang w:val="sk-SK"/>
        </w:rPr>
        <w:t>epirubicínu</w:t>
      </w:r>
      <w:proofErr w:type="spellEnd"/>
      <w:r w:rsidRPr="004C7BAE">
        <w:rPr>
          <w:sz w:val="22"/>
          <w:szCs w:val="22"/>
          <w:lang w:val="sk-SK"/>
        </w:rPr>
        <w:t xml:space="preserve"> o 50 % a musí byť vysadený počas liečby </w:t>
      </w:r>
      <w:proofErr w:type="spellStart"/>
      <w:r w:rsidRPr="004C7BAE">
        <w:rPr>
          <w:sz w:val="22"/>
          <w:szCs w:val="22"/>
          <w:lang w:val="sk-SK"/>
        </w:rPr>
        <w:t>epirubicínom</w:t>
      </w:r>
      <w:proofErr w:type="spellEnd"/>
      <w:r w:rsidRPr="004C7BAE">
        <w:rPr>
          <w:sz w:val="22"/>
          <w:szCs w:val="22"/>
          <w:lang w:val="sk-SK"/>
        </w:rPr>
        <w:t>.</w:t>
      </w:r>
    </w:p>
    <w:p w14:paraId="50C9F610" w14:textId="77777777" w:rsidR="00BA5AFA" w:rsidRPr="004C7BAE" w:rsidRDefault="00BA5AFA">
      <w:pPr>
        <w:rPr>
          <w:sz w:val="22"/>
          <w:szCs w:val="22"/>
          <w:lang w:val="sk-SK"/>
        </w:rPr>
      </w:pPr>
    </w:p>
    <w:p w14:paraId="6EF1B5DA" w14:textId="77777777" w:rsidR="00BA5AFA" w:rsidRPr="004C7BAE" w:rsidRDefault="002418A6">
      <w:pPr>
        <w:numPr>
          <w:ilvl w:val="12"/>
          <w:numId w:val="0"/>
        </w:numPr>
        <w:tabs>
          <w:tab w:val="left" w:pos="-270"/>
        </w:tabs>
        <w:rPr>
          <w:sz w:val="22"/>
          <w:szCs w:val="22"/>
          <w:lang w:val="sk-SK"/>
        </w:rPr>
      </w:pPr>
      <w:r w:rsidRPr="004C7BAE">
        <w:rPr>
          <w:sz w:val="22"/>
          <w:szCs w:val="22"/>
          <w:lang w:val="sk-SK"/>
        </w:rPr>
        <w:t xml:space="preserve">Ak sa podáva pred </w:t>
      </w:r>
      <w:proofErr w:type="spellStart"/>
      <w:r w:rsidRPr="004C7BAE">
        <w:rPr>
          <w:sz w:val="22"/>
          <w:szCs w:val="22"/>
          <w:lang w:val="sk-SK"/>
        </w:rPr>
        <w:t>epirubicínom</w:t>
      </w:r>
      <w:proofErr w:type="spellEnd"/>
      <w:r w:rsidRPr="004C7BAE">
        <w:rPr>
          <w:sz w:val="22"/>
          <w:szCs w:val="22"/>
          <w:lang w:val="sk-SK"/>
        </w:rPr>
        <w:t xml:space="preserve">, </w:t>
      </w:r>
      <w:proofErr w:type="spellStart"/>
      <w:r w:rsidRPr="004C7BAE">
        <w:rPr>
          <w:sz w:val="22"/>
          <w:szCs w:val="22"/>
          <w:lang w:val="sk-SK"/>
        </w:rPr>
        <w:t>paclitaxel</w:t>
      </w:r>
      <w:proofErr w:type="spellEnd"/>
      <w:r w:rsidRPr="004C7BAE">
        <w:rPr>
          <w:sz w:val="22"/>
          <w:szCs w:val="22"/>
          <w:lang w:val="sk-SK"/>
        </w:rPr>
        <w:t xml:space="preserve"> môže zapríčiniť zvýšené plazmové koncentrácie nezmeneného </w:t>
      </w:r>
      <w:proofErr w:type="spellStart"/>
      <w:r w:rsidRPr="004C7BAE">
        <w:rPr>
          <w:sz w:val="22"/>
          <w:szCs w:val="22"/>
          <w:lang w:val="sk-SK"/>
        </w:rPr>
        <w:t>epirubicínu</w:t>
      </w:r>
      <w:proofErr w:type="spellEnd"/>
      <w:r w:rsidRPr="004C7BAE">
        <w:rPr>
          <w:sz w:val="22"/>
          <w:szCs w:val="22"/>
          <w:lang w:val="sk-SK"/>
        </w:rPr>
        <w:t xml:space="preserve"> a jeho </w:t>
      </w:r>
      <w:proofErr w:type="spellStart"/>
      <w:r w:rsidRPr="004C7BAE">
        <w:rPr>
          <w:sz w:val="22"/>
          <w:szCs w:val="22"/>
          <w:lang w:val="sk-SK"/>
        </w:rPr>
        <w:t>metabolitov</w:t>
      </w:r>
      <w:proofErr w:type="spellEnd"/>
      <w:r w:rsidRPr="004C7BAE">
        <w:rPr>
          <w:sz w:val="22"/>
          <w:szCs w:val="22"/>
          <w:lang w:val="sk-SK"/>
        </w:rPr>
        <w:t xml:space="preserve">, pričom tento nie je toxický ani aktívny. Súčasné podávanie </w:t>
      </w:r>
      <w:proofErr w:type="spellStart"/>
      <w:r w:rsidRPr="004C7BAE">
        <w:rPr>
          <w:sz w:val="22"/>
          <w:szCs w:val="22"/>
          <w:lang w:val="sk-SK"/>
        </w:rPr>
        <w:t>paclitaxelu</w:t>
      </w:r>
      <w:proofErr w:type="spellEnd"/>
      <w:r w:rsidRPr="004C7BAE">
        <w:rPr>
          <w:sz w:val="22"/>
          <w:szCs w:val="22"/>
          <w:lang w:val="sk-SK"/>
        </w:rPr>
        <w:t xml:space="preserve"> alebo </w:t>
      </w:r>
      <w:proofErr w:type="spellStart"/>
      <w:r w:rsidRPr="004C7BAE">
        <w:rPr>
          <w:sz w:val="22"/>
          <w:szCs w:val="22"/>
          <w:lang w:val="sk-SK"/>
        </w:rPr>
        <w:t>docetaxelu</w:t>
      </w:r>
      <w:proofErr w:type="spellEnd"/>
      <w:r w:rsidRPr="004C7BAE">
        <w:rPr>
          <w:sz w:val="22"/>
          <w:szCs w:val="22"/>
          <w:lang w:val="sk-SK"/>
        </w:rPr>
        <w:t xml:space="preserve"> neovplyvňoval </w:t>
      </w:r>
      <w:proofErr w:type="spellStart"/>
      <w:r w:rsidRPr="004C7BAE">
        <w:rPr>
          <w:sz w:val="22"/>
          <w:szCs w:val="22"/>
          <w:lang w:val="sk-SK"/>
        </w:rPr>
        <w:t>farmakokinetiku</w:t>
      </w:r>
      <w:proofErr w:type="spellEnd"/>
      <w:r w:rsidRPr="004C7BAE">
        <w:rPr>
          <w:sz w:val="22"/>
          <w:szCs w:val="22"/>
          <w:lang w:val="sk-SK"/>
        </w:rPr>
        <w:t xml:space="preserve"> </w:t>
      </w:r>
      <w:proofErr w:type="spellStart"/>
      <w:r w:rsidRPr="004C7BAE">
        <w:rPr>
          <w:sz w:val="22"/>
          <w:szCs w:val="22"/>
          <w:lang w:val="sk-SK"/>
        </w:rPr>
        <w:t>epirubicínu</w:t>
      </w:r>
      <w:proofErr w:type="spellEnd"/>
      <w:r w:rsidRPr="004C7BAE">
        <w:rPr>
          <w:sz w:val="22"/>
          <w:szCs w:val="22"/>
          <w:lang w:val="sk-SK"/>
        </w:rPr>
        <w:t xml:space="preserve">, keď bol </w:t>
      </w:r>
      <w:proofErr w:type="spellStart"/>
      <w:r w:rsidRPr="004C7BAE">
        <w:rPr>
          <w:sz w:val="22"/>
          <w:szCs w:val="22"/>
          <w:lang w:val="sk-SK"/>
        </w:rPr>
        <w:t>epirubicín</w:t>
      </w:r>
      <w:proofErr w:type="spellEnd"/>
      <w:r w:rsidRPr="004C7BAE">
        <w:rPr>
          <w:sz w:val="22"/>
          <w:szCs w:val="22"/>
          <w:lang w:val="sk-SK"/>
        </w:rPr>
        <w:t xml:space="preserve"> podávaný pred </w:t>
      </w:r>
      <w:proofErr w:type="spellStart"/>
      <w:r w:rsidRPr="004C7BAE">
        <w:rPr>
          <w:sz w:val="22"/>
          <w:szCs w:val="22"/>
          <w:lang w:val="sk-SK"/>
        </w:rPr>
        <w:t>taxánom</w:t>
      </w:r>
      <w:proofErr w:type="spellEnd"/>
      <w:r w:rsidRPr="004C7BAE">
        <w:rPr>
          <w:sz w:val="22"/>
          <w:szCs w:val="22"/>
          <w:lang w:val="sk-SK"/>
        </w:rPr>
        <w:t xml:space="preserve">. Táto kombinácia sa môže použiť, ak sa používa odstupňované podávanie týchto dvoch liekov. Infúzia </w:t>
      </w:r>
      <w:proofErr w:type="spellStart"/>
      <w:r w:rsidRPr="004C7BAE">
        <w:rPr>
          <w:sz w:val="22"/>
          <w:szCs w:val="22"/>
          <w:lang w:val="sk-SK"/>
        </w:rPr>
        <w:t>epirubicínu</w:t>
      </w:r>
      <w:proofErr w:type="spellEnd"/>
      <w:r w:rsidRPr="004C7BAE">
        <w:rPr>
          <w:sz w:val="22"/>
          <w:szCs w:val="22"/>
          <w:lang w:val="sk-SK"/>
        </w:rPr>
        <w:t xml:space="preserve"> a </w:t>
      </w:r>
      <w:proofErr w:type="spellStart"/>
      <w:r w:rsidRPr="004C7BAE">
        <w:rPr>
          <w:sz w:val="22"/>
          <w:szCs w:val="22"/>
          <w:lang w:val="sk-SK"/>
        </w:rPr>
        <w:t>paclitaxelu</w:t>
      </w:r>
      <w:proofErr w:type="spellEnd"/>
      <w:r w:rsidRPr="004C7BAE">
        <w:rPr>
          <w:sz w:val="22"/>
          <w:szCs w:val="22"/>
          <w:lang w:val="sk-SK"/>
        </w:rPr>
        <w:t xml:space="preserve"> by sa mala podávať s najmenej 24 hodinovým časovým odstupom medzi 2 prípravkami.</w:t>
      </w:r>
    </w:p>
    <w:p w14:paraId="49DA5791" w14:textId="77777777" w:rsidR="00BA5AFA" w:rsidRPr="004C7BAE" w:rsidRDefault="00BA5AFA">
      <w:pPr>
        <w:rPr>
          <w:sz w:val="22"/>
          <w:szCs w:val="22"/>
          <w:lang w:val="sk-SK" w:bidi="si-LK"/>
        </w:rPr>
      </w:pPr>
    </w:p>
    <w:p w14:paraId="585E3AC1" w14:textId="77777777" w:rsidR="00BA5AFA" w:rsidRPr="004C7BAE" w:rsidRDefault="002418A6">
      <w:pPr>
        <w:rPr>
          <w:sz w:val="22"/>
          <w:szCs w:val="22"/>
          <w:lang w:val="sk-SK" w:bidi="si-LK"/>
        </w:rPr>
      </w:pPr>
      <w:r w:rsidRPr="004C7BAE">
        <w:rPr>
          <w:sz w:val="22"/>
          <w:szCs w:val="22"/>
          <w:lang w:val="sk-SK" w:bidi="si-LK"/>
        </w:rPr>
        <w:t xml:space="preserve">Jedna štúdia ukázala, že </w:t>
      </w:r>
      <w:proofErr w:type="spellStart"/>
      <w:r w:rsidRPr="004C7BAE">
        <w:rPr>
          <w:sz w:val="22"/>
          <w:szCs w:val="22"/>
          <w:lang w:val="sk-SK" w:bidi="si-LK"/>
        </w:rPr>
        <w:t>docetaxel</w:t>
      </w:r>
      <w:proofErr w:type="spellEnd"/>
      <w:r w:rsidRPr="004C7BAE">
        <w:rPr>
          <w:sz w:val="22"/>
          <w:szCs w:val="22"/>
          <w:lang w:val="sk-SK" w:bidi="si-LK"/>
        </w:rPr>
        <w:t xml:space="preserve"> môže zvýšiť koncentrácie </w:t>
      </w:r>
      <w:proofErr w:type="spellStart"/>
      <w:r w:rsidRPr="004C7BAE">
        <w:rPr>
          <w:sz w:val="22"/>
          <w:szCs w:val="22"/>
          <w:lang w:val="sk-SK" w:bidi="si-LK"/>
        </w:rPr>
        <w:t>metabolitov</w:t>
      </w:r>
      <w:proofErr w:type="spellEnd"/>
      <w:r w:rsidRPr="004C7BAE">
        <w:rPr>
          <w:sz w:val="22"/>
          <w:szCs w:val="22"/>
          <w:lang w:val="sk-SK" w:bidi="si-LK"/>
        </w:rPr>
        <w:t xml:space="preserve"> </w:t>
      </w:r>
      <w:proofErr w:type="spellStart"/>
      <w:r w:rsidRPr="004C7BAE">
        <w:rPr>
          <w:sz w:val="22"/>
          <w:szCs w:val="22"/>
          <w:lang w:val="sk-SK" w:bidi="si-LK"/>
        </w:rPr>
        <w:t>epirubicínu</w:t>
      </w:r>
      <w:proofErr w:type="spellEnd"/>
      <w:r w:rsidRPr="004C7BAE">
        <w:rPr>
          <w:sz w:val="22"/>
          <w:szCs w:val="22"/>
          <w:lang w:val="sk-SK" w:bidi="si-LK"/>
        </w:rPr>
        <w:t xml:space="preserve"> v plazme, ak sa podáva okamžite po </w:t>
      </w:r>
      <w:proofErr w:type="spellStart"/>
      <w:r w:rsidRPr="004C7BAE">
        <w:rPr>
          <w:sz w:val="22"/>
          <w:szCs w:val="22"/>
          <w:lang w:val="sk-SK" w:bidi="si-LK"/>
        </w:rPr>
        <w:t>epirubicíne</w:t>
      </w:r>
      <w:proofErr w:type="spellEnd"/>
      <w:r w:rsidRPr="004C7BAE">
        <w:rPr>
          <w:sz w:val="22"/>
          <w:szCs w:val="22"/>
          <w:lang w:val="sk-SK" w:bidi="si-LK"/>
        </w:rPr>
        <w:t>.</w:t>
      </w:r>
    </w:p>
    <w:p w14:paraId="3200D93A" w14:textId="77777777" w:rsidR="00BA5AFA" w:rsidRPr="004C7BAE" w:rsidRDefault="00BA5AFA">
      <w:pPr>
        <w:rPr>
          <w:sz w:val="22"/>
          <w:szCs w:val="22"/>
          <w:lang w:val="sk-SK" w:bidi="si-LK"/>
        </w:rPr>
      </w:pPr>
    </w:p>
    <w:p w14:paraId="659A5B1D" w14:textId="77777777" w:rsidR="00BA5AFA" w:rsidRPr="004C7BAE" w:rsidRDefault="002418A6">
      <w:pPr>
        <w:rPr>
          <w:sz w:val="22"/>
          <w:szCs w:val="22"/>
          <w:lang w:val="sk-SK" w:bidi="si-LK"/>
        </w:rPr>
      </w:pPr>
      <w:proofErr w:type="spellStart"/>
      <w:r w:rsidRPr="004C7BAE">
        <w:rPr>
          <w:sz w:val="22"/>
          <w:szCs w:val="22"/>
          <w:lang w:val="sk-SK" w:bidi="si-LK"/>
        </w:rPr>
        <w:t>Dexverapamil</w:t>
      </w:r>
      <w:proofErr w:type="spellEnd"/>
      <w:r w:rsidRPr="004C7BAE">
        <w:rPr>
          <w:sz w:val="22"/>
          <w:szCs w:val="22"/>
          <w:lang w:val="sk-SK" w:bidi="si-LK"/>
        </w:rPr>
        <w:t xml:space="preserve"> môže zmeniť </w:t>
      </w:r>
      <w:proofErr w:type="spellStart"/>
      <w:r w:rsidRPr="004C7BAE">
        <w:rPr>
          <w:sz w:val="22"/>
          <w:szCs w:val="22"/>
          <w:lang w:val="sk-SK" w:bidi="si-LK"/>
        </w:rPr>
        <w:t>farmakokinetiku</w:t>
      </w:r>
      <w:proofErr w:type="spellEnd"/>
      <w:r w:rsidRPr="004C7BAE">
        <w:rPr>
          <w:sz w:val="22"/>
          <w:szCs w:val="22"/>
          <w:lang w:val="sk-SK" w:bidi="si-LK"/>
        </w:rPr>
        <w:t xml:space="preserve"> </w:t>
      </w:r>
      <w:proofErr w:type="spellStart"/>
      <w:r w:rsidRPr="004C7BAE">
        <w:rPr>
          <w:sz w:val="22"/>
          <w:szCs w:val="22"/>
          <w:lang w:val="sk-SK" w:bidi="si-LK"/>
        </w:rPr>
        <w:t>epirubicínu</w:t>
      </w:r>
      <w:proofErr w:type="spellEnd"/>
      <w:r w:rsidRPr="004C7BAE">
        <w:rPr>
          <w:sz w:val="22"/>
          <w:szCs w:val="22"/>
          <w:lang w:val="sk-SK" w:bidi="si-LK"/>
        </w:rPr>
        <w:t xml:space="preserve"> a môže zvyšovať jeho potláčajúce účinky na kostnú dreň. </w:t>
      </w:r>
    </w:p>
    <w:p w14:paraId="6DA64797" w14:textId="77777777" w:rsidR="00BA5AFA" w:rsidRPr="004C7BAE" w:rsidRDefault="00BA5AFA">
      <w:pPr>
        <w:rPr>
          <w:sz w:val="22"/>
          <w:szCs w:val="22"/>
          <w:lang w:val="sk-SK" w:bidi="si-LK"/>
        </w:rPr>
      </w:pPr>
    </w:p>
    <w:p w14:paraId="1F1566D1" w14:textId="77777777" w:rsidR="00BA5AFA" w:rsidRPr="004C7BAE" w:rsidRDefault="002418A6">
      <w:pPr>
        <w:rPr>
          <w:sz w:val="22"/>
          <w:szCs w:val="22"/>
          <w:lang w:val="sk-SK" w:bidi="si-LK"/>
        </w:rPr>
      </w:pPr>
      <w:r w:rsidRPr="004C7BAE">
        <w:rPr>
          <w:sz w:val="22"/>
          <w:szCs w:val="22"/>
          <w:lang w:val="sk-SK" w:bidi="si-LK"/>
        </w:rPr>
        <w:t xml:space="preserve">Chinín môže urýchliť iniciálnu distribúciu </w:t>
      </w:r>
      <w:proofErr w:type="spellStart"/>
      <w:r w:rsidRPr="004C7BAE">
        <w:rPr>
          <w:sz w:val="22"/>
          <w:szCs w:val="22"/>
          <w:lang w:val="sk-SK" w:bidi="si-LK"/>
        </w:rPr>
        <w:t>epirubicínu</w:t>
      </w:r>
      <w:proofErr w:type="spellEnd"/>
      <w:r w:rsidRPr="004C7BAE">
        <w:rPr>
          <w:sz w:val="22"/>
          <w:szCs w:val="22"/>
          <w:lang w:val="sk-SK" w:bidi="si-LK"/>
        </w:rPr>
        <w:t xml:space="preserve"> z krvi do tkanív a môže vplývať na rozklad </w:t>
      </w:r>
      <w:proofErr w:type="spellStart"/>
      <w:r w:rsidRPr="004C7BAE">
        <w:rPr>
          <w:sz w:val="22"/>
          <w:szCs w:val="22"/>
          <w:lang w:val="sk-SK" w:bidi="si-LK"/>
        </w:rPr>
        <w:t>epirubicínu</w:t>
      </w:r>
      <w:proofErr w:type="spellEnd"/>
      <w:r w:rsidRPr="004C7BAE">
        <w:rPr>
          <w:sz w:val="22"/>
          <w:szCs w:val="22"/>
          <w:lang w:val="sk-SK" w:bidi="si-LK"/>
        </w:rPr>
        <w:t xml:space="preserve"> v červených krvinkách. </w:t>
      </w:r>
    </w:p>
    <w:p w14:paraId="13161640" w14:textId="77777777" w:rsidR="00BA5AFA" w:rsidRPr="004C7BAE" w:rsidRDefault="00BA5AFA">
      <w:pPr>
        <w:rPr>
          <w:sz w:val="22"/>
          <w:szCs w:val="22"/>
          <w:lang w:val="sk-SK" w:bidi="si-LK"/>
        </w:rPr>
      </w:pPr>
    </w:p>
    <w:p w14:paraId="5160632D" w14:textId="77777777" w:rsidR="00BA5AFA" w:rsidRPr="004C7BAE" w:rsidRDefault="002418A6">
      <w:pPr>
        <w:rPr>
          <w:sz w:val="22"/>
          <w:szCs w:val="22"/>
          <w:lang w:val="sk-SK"/>
        </w:rPr>
      </w:pPr>
      <w:r w:rsidRPr="004C7BAE">
        <w:rPr>
          <w:sz w:val="22"/>
          <w:szCs w:val="22"/>
          <w:lang w:val="sk-SK"/>
        </w:rPr>
        <w:t xml:space="preserve">Súčasné podávanie </w:t>
      </w:r>
      <w:proofErr w:type="spellStart"/>
      <w:r w:rsidRPr="004C7BAE">
        <w:rPr>
          <w:sz w:val="22"/>
          <w:szCs w:val="22"/>
          <w:lang w:val="sk-SK"/>
        </w:rPr>
        <w:t>interferónu</w:t>
      </w:r>
      <w:proofErr w:type="spellEnd"/>
      <w:r w:rsidRPr="004C7BAE">
        <w:rPr>
          <w:sz w:val="22"/>
          <w:szCs w:val="22"/>
          <w:lang w:val="sk-SK"/>
        </w:rPr>
        <w:t xml:space="preserve"> </w:t>
      </w:r>
      <w:r w:rsidRPr="004C7BAE">
        <w:rPr>
          <w:sz w:val="22"/>
          <w:szCs w:val="22"/>
          <w:lang w:val="sk-SK"/>
        </w:rPr>
        <w:sym w:font="Symbol" w:char="F061"/>
      </w:r>
      <w:r w:rsidRPr="004C7BAE">
        <w:rPr>
          <w:sz w:val="22"/>
          <w:szCs w:val="22"/>
          <w:vertAlign w:val="subscript"/>
          <w:lang w:val="sk-SK"/>
        </w:rPr>
        <w:t>2b</w:t>
      </w:r>
      <w:r w:rsidRPr="004C7BAE">
        <w:rPr>
          <w:sz w:val="22"/>
          <w:szCs w:val="22"/>
          <w:lang w:val="sk-SK"/>
        </w:rPr>
        <w:t xml:space="preserve"> môže spôsobiť redukciu ako v záverečnom vylúčení v polčase rozpadu tak v celkovom </w:t>
      </w:r>
      <w:proofErr w:type="spellStart"/>
      <w:r w:rsidRPr="004C7BAE">
        <w:rPr>
          <w:sz w:val="22"/>
          <w:szCs w:val="22"/>
          <w:lang w:val="sk-SK"/>
        </w:rPr>
        <w:t>klírense</w:t>
      </w:r>
      <w:proofErr w:type="spellEnd"/>
      <w:r w:rsidRPr="004C7BAE">
        <w:rPr>
          <w:sz w:val="22"/>
          <w:szCs w:val="22"/>
          <w:lang w:val="sk-SK"/>
        </w:rPr>
        <w:t xml:space="preserve"> </w:t>
      </w:r>
      <w:proofErr w:type="spellStart"/>
      <w:r w:rsidRPr="004C7BAE">
        <w:rPr>
          <w:sz w:val="22"/>
          <w:szCs w:val="22"/>
          <w:lang w:val="sk-SK"/>
        </w:rPr>
        <w:t>epirubicínu</w:t>
      </w:r>
      <w:proofErr w:type="spellEnd"/>
      <w:r w:rsidRPr="004C7BAE">
        <w:rPr>
          <w:sz w:val="22"/>
          <w:szCs w:val="22"/>
          <w:lang w:val="sk-SK"/>
        </w:rPr>
        <w:t>.</w:t>
      </w:r>
    </w:p>
    <w:p w14:paraId="79C98B96" w14:textId="77777777" w:rsidR="00BA5AFA" w:rsidRPr="004C7BAE" w:rsidRDefault="00BA5AFA">
      <w:pPr>
        <w:rPr>
          <w:sz w:val="22"/>
          <w:szCs w:val="22"/>
          <w:lang w:val="sk-SK" w:bidi="si-LK"/>
        </w:rPr>
      </w:pPr>
    </w:p>
    <w:p w14:paraId="43FCFC51" w14:textId="77777777" w:rsidR="00BA5AFA" w:rsidRPr="004C7BAE" w:rsidRDefault="002418A6">
      <w:pPr>
        <w:rPr>
          <w:sz w:val="22"/>
          <w:szCs w:val="22"/>
          <w:lang w:val="sk-SK" w:bidi="si-LK"/>
        </w:rPr>
      </w:pPr>
      <w:r w:rsidRPr="004C7BAE">
        <w:rPr>
          <w:sz w:val="22"/>
          <w:szCs w:val="22"/>
          <w:lang w:val="sk-SK" w:bidi="si-LK"/>
        </w:rPr>
        <w:t xml:space="preserve">Možnosť výraznej poruchy </w:t>
      </w:r>
      <w:proofErr w:type="spellStart"/>
      <w:r w:rsidRPr="004C7BAE">
        <w:rPr>
          <w:sz w:val="22"/>
          <w:szCs w:val="22"/>
          <w:lang w:val="sk-SK" w:bidi="si-LK"/>
        </w:rPr>
        <w:t>hematopoézy</w:t>
      </w:r>
      <w:proofErr w:type="spellEnd"/>
      <w:r w:rsidRPr="004C7BAE">
        <w:rPr>
          <w:sz w:val="22"/>
          <w:szCs w:val="22"/>
          <w:lang w:val="sk-SK" w:bidi="si-LK"/>
        </w:rPr>
        <w:t xml:space="preserve"> sa musí brať do úvahy, ak boli pacienti v minulosti liečení liekmi, ktoré majú vplyv na kostnú dreň (</w:t>
      </w:r>
      <w:proofErr w:type="spellStart"/>
      <w:r w:rsidRPr="004C7BAE">
        <w:rPr>
          <w:sz w:val="22"/>
          <w:szCs w:val="22"/>
          <w:lang w:val="sk-SK" w:bidi="si-LK"/>
        </w:rPr>
        <w:t>t.j</w:t>
      </w:r>
      <w:proofErr w:type="spellEnd"/>
      <w:r w:rsidRPr="004C7BAE">
        <w:rPr>
          <w:sz w:val="22"/>
          <w:szCs w:val="22"/>
          <w:lang w:val="sk-SK" w:bidi="si-LK"/>
        </w:rPr>
        <w:t xml:space="preserve">. </w:t>
      </w:r>
      <w:proofErr w:type="spellStart"/>
      <w:r w:rsidRPr="004C7BAE">
        <w:rPr>
          <w:sz w:val="22"/>
          <w:szCs w:val="22"/>
          <w:lang w:val="sk-SK" w:bidi="si-LK"/>
        </w:rPr>
        <w:t>cytostatické</w:t>
      </w:r>
      <w:proofErr w:type="spellEnd"/>
      <w:r w:rsidRPr="004C7BAE">
        <w:rPr>
          <w:sz w:val="22"/>
          <w:szCs w:val="22"/>
          <w:lang w:val="sk-SK" w:bidi="si-LK"/>
        </w:rPr>
        <w:t xml:space="preserve"> lieky, sulfónamidy, </w:t>
      </w:r>
      <w:proofErr w:type="spellStart"/>
      <w:r w:rsidRPr="004C7BAE">
        <w:rPr>
          <w:sz w:val="22"/>
          <w:szCs w:val="22"/>
          <w:lang w:val="sk-SK" w:bidi="si-LK"/>
        </w:rPr>
        <w:t>chlóramfenikol</w:t>
      </w:r>
      <w:proofErr w:type="spellEnd"/>
      <w:r w:rsidRPr="004C7BAE">
        <w:rPr>
          <w:sz w:val="22"/>
          <w:szCs w:val="22"/>
          <w:lang w:val="sk-SK" w:bidi="si-LK"/>
        </w:rPr>
        <w:t xml:space="preserve">, </w:t>
      </w:r>
      <w:proofErr w:type="spellStart"/>
      <w:r w:rsidRPr="004C7BAE">
        <w:rPr>
          <w:sz w:val="22"/>
          <w:szCs w:val="22"/>
          <w:lang w:val="sk-SK" w:bidi="si-LK"/>
        </w:rPr>
        <w:t>difenylhydantoin</w:t>
      </w:r>
      <w:proofErr w:type="spellEnd"/>
      <w:r w:rsidRPr="004C7BAE">
        <w:rPr>
          <w:sz w:val="22"/>
          <w:szCs w:val="22"/>
          <w:lang w:val="sk-SK" w:bidi="si-LK"/>
        </w:rPr>
        <w:t xml:space="preserve">, deriváty </w:t>
      </w:r>
      <w:proofErr w:type="spellStart"/>
      <w:r w:rsidRPr="004C7BAE">
        <w:rPr>
          <w:sz w:val="22"/>
          <w:szCs w:val="22"/>
          <w:lang w:val="sk-SK" w:bidi="si-LK"/>
        </w:rPr>
        <w:t>amidopyrínu</w:t>
      </w:r>
      <w:proofErr w:type="spellEnd"/>
      <w:r w:rsidRPr="004C7BAE">
        <w:rPr>
          <w:sz w:val="22"/>
          <w:szCs w:val="22"/>
          <w:lang w:val="sk-SK" w:bidi="si-LK"/>
        </w:rPr>
        <w:t xml:space="preserve">, </w:t>
      </w:r>
      <w:proofErr w:type="spellStart"/>
      <w:r w:rsidRPr="004C7BAE">
        <w:rPr>
          <w:sz w:val="22"/>
          <w:szCs w:val="22"/>
          <w:lang w:val="sk-SK" w:bidi="si-LK"/>
        </w:rPr>
        <w:t>antiretrovirálne</w:t>
      </w:r>
      <w:proofErr w:type="spellEnd"/>
      <w:r w:rsidRPr="004C7BAE">
        <w:rPr>
          <w:sz w:val="22"/>
          <w:szCs w:val="22"/>
          <w:lang w:val="sk-SK" w:bidi="si-LK"/>
        </w:rPr>
        <w:t xml:space="preserve"> lieky).</w:t>
      </w:r>
    </w:p>
    <w:p w14:paraId="5B688EF5" w14:textId="77777777" w:rsidR="00BA5AFA" w:rsidRPr="004C7BAE" w:rsidRDefault="00BA5AFA">
      <w:pPr>
        <w:rPr>
          <w:sz w:val="22"/>
          <w:szCs w:val="22"/>
          <w:lang w:val="sk-SK" w:bidi="si-LK"/>
        </w:rPr>
      </w:pPr>
    </w:p>
    <w:p w14:paraId="55413D8C" w14:textId="77777777" w:rsidR="00BA5AFA" w:rsidRPr="004C7BAE" w:rsidRDefault="002418A6">
      <w:pPr>
        <w:rPr>
          <w:sz w:val="22"/>
          <w:szCs w:val="22"/>
          <w:lang w:val="sk-SK" w:bidi="si-LK"/>
        </w:rPr>
      </w:pPr>
      <w:r w:rsidRPr="004C7BAE">
        <w:rPr>
          <w:sz w:val="22"/>
          <w:szCs w:val="22"/>
          <w:lang w:val="sk-SK" w:bidi="si-LK"/>
        </w:rPr>
        <w:t xml:space="preserve">U pacientov dostávajúcich kombinovanú terapiu </w:t>
      </w:r>
      <w:proofErr w:type="spellStart"/>
      <w:r w:rsidRPr="004C7BAE">
        <w:rPr>
          <w:sz w:val="22"/>
          <w:szCs w:val="22"/>
          <w:lang w:val="sk-SK" w:bidi="si-LK"/>
        </w:rPr>
        <w:t>antracyklínom</w:t>
      </w:r>
      <w:proofErr w:type="spellEnd"/>
      <w:r w:rsidRPr="004C7BAE">
        <w:rPr>
          <w:sz w:val="22"/>
          <w:szCs w:val="22"/>
          <w:lang w:val="sk-SK" w:bidi="si-LK"/>
        </w:rPr>
        <w:t xml:space="preserve"> a </w:t>
      </w:r>
      <w:proofErr w:type="spellStart"/>
      <w:r w:rsidRPr="004C7BAE">
        <w:rPr>
          <w:sz w:val="22"/>
          <w:szCs w:val="22"/>
          <w:lang w:val="sk-SK" w:bidi="si-LK"/>
        </w:rPr>
        <w:t>dexrazoxanom</w:t>
      </w:r>
      <w:proofErr w:type="spellEnd"/>
      <w:r w:rsidRPr="004C7BAE">
        <w:rPr>
          <w:sz w:val="22"/>
          <w:szCs w:val="22"/>
          <w:lang w:val="sk-SK" w:bidi="si-LK"/>
        </w:rPr>
        <w:t xml:space="preserve"> sa môže vyskytnúť zvýšenie </w:t>
      </w:r>
      <w:proofErr w:type="spellStart"/>
      <w:r w:rsidRPr="004C7BAE">
        <w:rPr>
          <w:color w:val="000000"/>
          <w:sz w:val="22"/>
          <w:szCs w:val="22"/>
          <w:lang w:val="sk-SK"/>
        </w:rPr>
        <w:t>myelosupresie</w:t>
      </w:r>
      <w:proofErr w:type="spellEnd"/>
      <w:r w:rsidRPr="004C7BAE">
        <w:rPr>
          <w:color w:val="000000"/>
          <w:sz w:val="22"/>
          <w:szCs w:val="22"/>
          <w:lang w:val="sk-SK"/>
        </w:rPr>
        <w:t>.</w:t>
      </w:r>
    </w:p>
    <w:p w14:paraId="42E2F6F4" w14:textId="77777777" w:rsidR="00BA5AFA" w:rsidRPr="004C7BAE" w:rsidRDefault="00BA5AFA">
      <w:pPr>
        <w:rPr>
          <w:sz w:val="22"/>
          <w:szCs w:val="22"/>
          <w:lang w:val="sk-SK" w:bidi="si-LK"/>
        </w:rPr>
      </w:pPr>
    </w:p>
    <w:p w14:paraId="1828D957"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lastRenderedPageBreak/>
        <w:t>4.6</w:t>
      </w:r>
      <w:r w:rsidRPr="004C7BAE">
        <w:rPr>
          <w:b/>
          <w:bCs/>
          <w:sz w:val="22"/>
          <w:szCs w:val="22"/>
          <w:lang w:val="sk-SK" w:bidi="si-LK"/>
        </w:rPr>
        <w:tab/>
      </w:r>
      <w:proofErr w:type="spellStart"/>
      <w:r w:rsidRPr="004C7BAE">
        <w:rPr>
          <w:b/>
          <w:bCs/>
          <w:sz w:val="22"/>
          <w:szCs w:val="22"/>
          <w:lang w:val="sk-SK" w:bidi="si-LK"/>
        </w:rPr>
        <w:t>Fertilita</w:t>
      </w:r>
      <w:proofErr w:type="spellEnd"/>
      <w:r w:rsidRPr="004C7BAE">
        <w:rPr>
          <w:b/>
          <w:bCs/>
          <w:sz w:val="22"/>
          <w:szCs w:val="22"/>
          <w:lang w:val="sk-SK" w:bidi="si-LK"/>
        </w:rPr>
        <w:t>, gravidita a laktácia</w:t>
      </w:r>
    </w:p>
    <w:p w14:paraId="7226AB41" w14:textId="77777777" w:rsidR="00BA5AFA" w:rsidRPr="004C7BAE" w:rsidRDefault="00BA5AFA">
      <w:pPr>
        <w:keepNext/>
        <w:rPr>
          <w:sz w:val="22"/>
          <w:szCs w:val="22"/>
          <w:lang w:val="sk-SK" w:bidi="si-LK"/>
        </w:rPr>
      </w:pPr>
    </w:p>
    <w:p w14:paraId="130CBBC7" w14:textId="78744F9E" w:rsidR="00BA5AFA" w:rsidRPr="004C7BAE" w:rsidRDefault="002418A6">
      <w:pPr>
        <w:keepNext/>
        <w:rPr>
          <w:sz w:val="22"/>
          <w:szCs w:val="22"/>
          <w:lang w:val="sk-SK" w:bidi="si-LK"/>
        </w:rPr>
      </w:pPr>
      <w:r w:rsidRPr="004C7BAE">
        <w:rPr>
          <w:sz w:val="22"/>
          <w:szCs w:val="22"/>
          <w:lang w:val="sk-SK" w:bidi="si-LK"/>
        </w:rPr>
        <w:t xml:space="preserve">Ako väčšina protirakovinových liekov, </w:t>
      </w:r>
      <w:proofErr w:type="spellStart"/>
      <w:r w:rsidRPr="004C7BAE">
        <w:rPr>
          <w:sz w:val="22"/>
          <w:szCs w:val="22"/>
          <w:lang w:val="sk-SK" w:bidi="si-LK"/>
        </w:rPr>
        <w:t>epirubicín</w:t>
      </w:r>
      <w:proofErr w:type="spellEnd"/>
      <w:r w:rsidRPr="004C7BAE">
        <w:rPr>
          <w:sz w:val="22"/>
          <w:szCs w:val="22"/>
          <w:lang w:val="sk-SK" w:bidi="si-LK"/>
        </w:rPr>
        <w:t xml:space="preserve"> preukázal mutagénne a karcinogénne vlastnosti u</w:t>
      </w:r>
      <w:r w:rsidR="00A12E00">
        <w:rPr>
          <w:sz w:val="22"/>
          <w:szCs w:val="22"/>
          <w:lang w:val="sk-SK" w:bidi="si-LK"/>
        </w:rPr>
        <w:t> </w:t>
      </w:r>
      <w:r w:rsidRPr="004C7BAE">
        <w:rPr>
          <w:sz w:val="22"/>
          <w:szCs w:val="22"/>
          <w:lang w:val="sk-SK" w:bidi="si-LK"/>
        </w:rPr>
        <w:t>zvierat</w:t>
      </w:r>
      <w:r w:rsidR="00A12E00">
        <w:rPr>
          <w:sz w:val="22"/>
          <w:szCs w:val="22"/>
          <w:lang w:val="sk-SK" w:bidi="si-LK"/>
        </w:rPr>
        <w:t xml:space="preserve"> (pozri časť 5.3)</w:t>
      </w:r>
      <w:r w:rsidRPr="004C7BAE">
        <w:rPr>
          <w:sz w:val="22"/>
          <w:szCs w:val="22"/>
          <w:lang w:val="sk-SK" w:bidi="si-LK"/>
        </w:rPr>
        <w:t xml:space="preserve">. Muži, ako aj ženy užívajúce </w:t>
      </w:r>
      <w:proofErr w:type="spellStart"/>
      <w:r w:rsidRPr="004C7BAE">
        <w:rPr>
          <w:sz w:val="22"/>
          <w:szCs w:val="22"/>
          <w:lang w:val="sk-SK" w:bidi="si-LK"/>
        </w:rPr>
        <w:t>epirubicín</w:t>
      </w:r>
      <w:proofErr w:type="spellEnd"/>
      <w:r w:rsidRPr="004C7BAE">
        <w:rPr>
          <w:sz w:val="22"/>
          <w:szCs w:val="22"/>
          <w:lang w:val="sk-SK" w:bidi="si-LK"/>
        </w:rPr>
        <w:t xml:space="preserve"> majú byť informovaní o potenciálnom riziku </w:t>
      </w:r>
      <w:r w:rsidR="00A12E00">
        <w:rPr>
          <w:sz w:val="22"/>
          <w:szCs w:val="22"/>
          <w:lang w:val="sk-SK" w:bidi="si-LK"/>
        </w:rPr>
        <w:t>škodlivých</w:t>
      </w:r>
      <w:r w:rsidRPr="004C7BAE">
        <w:rPr>
          <w:sz w:val="22"/>
          <w:szCs w:val="22"/>
          <w:lang w:val="sk-SK" w:bidi="si-LK"/>
        </w:rPr>
        <w:t xml:space="preserve"> účinkov na reprodukciu a </w:t>
      </w:r>
      <w:r w:rsidR="00A12E00">
        <w:rPr>
          <w:sz w:val="22"/>
          <w:szCs w:val="22"/>
          <w:lang w:val="sk-SK" w:bidi="si-LK"/>
        </w:rPr>
        <w:t>po</w:t>
      </w:r>
      <w:r w:rsidRPr="004C7BAE">
        <w:rPr>
          <w:sz w:val="22"/>
          <w:szCs w:val="22"/>
          <w:lang w:val="sk-SK" w:bidi="si-LK"/>
        </w:rPr>
        <w:t>užívať účinnú antikoncepci</w:t>
      </w:r>
      <w:r w:rsidR="00A12E00">
        <w:rPr>
          <w:sz w:val="22"/>
          <w:szCs w:val="22"/>
          <w:lang w:val="sk-SK" w:bidi="si-LK"/>
        </w:rPr>
        <w:t>u</w:t>
      </w:r>
      <w:r w:rsidRPr="004C7BAE">
        <w:rPr>
          <w:sz w:val="22"/>
          <w:szCs w:val="22"/>
          <w:lang w:val="sk-SK" w:bidi="si-LK"/>
        </w:rPr>
        <w:t xml:space="preserve"> počas liečby.</w:t>
      </w:r>
    </w:p>
    <w:p w14:paraId="6A8C81E1" w14:textId="77777777" w:rsidR="00BA5AFA" w:rsidRPr="004C7BAE" w:rsidRDefault="00BA5AFA">
      <w:pPr>
        <w:rPr>
          <w:sz w:val="22"/>
          <w:szCs w:val="22"/>
          <w:lang w:val="sk-SK"/>
        </w:rPr>
      </w:pPr>
    </w:p>
    <w:p w14:paraId="2B5F849C" w14:textId="77777777" w:rsidR="00BA5AFA" w:rsidRPr="004C7BAE" w:rsidRDefault="002418A6">
      <w:pPr>
        <w:pStyle w:val="Zarkazkladnhotextu2"/>
        <w:ind w:left="0"/>
        <w:rPr>
          <w:b w:val="0"/>
          <w:iCs/>
          <w:sz w:val="22"/>
          <w:szCs w:val="22"/>
          <w:u w:val="single"/>
          <w:lang w:val="sk-SK" w:eastAsia="fr-FR"/>
        </w:rPr>
      </w:pPr>
      <w:r w:rsidRPr="004C7BAE">
        <w:rPr>
          <w:b w:val="0"/>
          <w:iCs/>
          <w:sz w:val="22"/>
          <w:szCs w:val="22"/>
          <w:u w:val="single"/>
          <w:lang w:val="sk-SK" w:eastAsia="fr-FR"/>
        </w:rPr>
        <w:t>Gravidita</w:t>
      </w:r>
    </w:p>
    <w:p w14:paraId="0A6F0F6B" w14:textId="0A84DD55" w:rsidR="00BA5AFA" w:rsidRPr="004C7BAE" w:rsidRDefault="002418A6">
      <w:pPr>
        <w:rPr>
          <w:sz w:val="22"/>
          <w:szCs w:val="22"/>
          <w:lang w:val="sk-SK" w:bidi="si-LK"/>
        </w:rPr>
      </w:pPr>
      <w:r w:rsidRPr="004C7BAE">
        <w:rPr>
          <w:sz w:val="22"/>
          <w:szCs w:val="22"/>
          <w:lang w:val="sk-SK"/>
        </w:rPr>
        <w:t xml:space="preserve">Experimentálne údaje zvierat nasvedčujú, že </w:t>
      </w:r>
      <w:proofErr w:type="spellStart"/>
      <w:r w:rsidRPr="004C7BAE">
        <w:rPr>
          <w:sz w:val="22"/>
          <w:szCs w:val="22"/>
          <w:lang w:val="sk-SK"/>
        </w:rPr>
        <w:t>epirubicín</w:t>
      </w:r>
      <w:proofErr w:type="spellEnd"/>
      <w:r w:rsidRPr="004C7BAE">
        <w:rPr>
          <w:sz w:val="22"/>
          <w:szCs w:val="22"/>
          <w:lang w:val="sk-SK"/>
        </w:rPr>
        <w:t xml:space="preserve"> môže zapríčiniť poškodenie plodu, ak sa podáva tehotnej žene. </w:t>
      </w:r>
      <w:r w:rsidRPr="004C7BAE">
        <w:rPr>
          <w:sz w:val="22"/>
          <w:szCs w:val="22"/>
          <w:lang w:val="sk-SK" w:bidi="si-LK"/>
        </w:rPr>
        <w:t xml:space="preserve">Ženy vo fertilnom veku majú byť poučené, aby sa počas liečby vyhli tehotenstvu. Majú byť dôkladne informované o potenciálnom nebezpečenstve pre plod a musí sa zvážiť možnosť genetického poradenstva v prípade, ak by otehotneli počas liečby </w:t>
      </w:r>
      <w:proofErr w:type="spellStart"/>
      <w:r w:rsidRPr="004C7BAE">
        <w:rPr>
          <w:sz w:val="22"/>
          <w:szCs w:val="22"/>
          <w:lang w:val="sk-SK" w:bidi="si-LK"/>
        </w:rPr>
        <w:t>epirubicínom</w:t>
      </w:r>
      <w:proofErr w:type="spellEnd"/>
      <w:r w:rsidRPr="004C7BAE">
        <w:rPr>
          <w:sz w:val="22"/>
          <w:szCs w:val="22"/>
          <w:lang w:val="sk-SK" w:bidi="si-LK"/>
        </w:rPr>
        <w:t xml:space="preserve">. Pri liečbe rakoviny chemoterapiou sa </w:t>
      </w:r>
      <w:proofErr w:type="spellStart"/>
      <w:r w:rsidRPr="004C7BAE">
        <w:rPr>
          <w:sz w:val="22"/>
          <w:szCs w:val="22"/>
          <w:lang w:val="sk-SK" w:bidi="si-LK"/>
        </w:rPr>
        <w:t>epirubicín</w:t>
      </w:r>
      <w:proofErr w:type="spellEnd"/>
      <w:r w:rsidRPr="004C7BAE">
        <w:rPr>
          <w:sz w:val="22"/>
          <w:szCs w:val="22"/>
          <w:lang w:val="sk-SK" w:bidi="si-LK"/>
        </w:rPr>
        <w:t xml:space="preserve"> nemá používať u tehotných žien alebo u žien v plodnom veku s možnosťou otehotnenia, pokiaľ potenciálne prínosy pre matku neprevážia možné riziká pre plod. </w:t>
      </w:r>
      <w:r w:rsidR="007F2F58">
        <w:rPr>
          <w:sz w:val="22"/>
          <w:szCs w:val="22"/>
          <w:lang w:val="sk-SK" w:bidi="si-LK"/>
        </w:rPr>
        <w:t>Nie sú k dispozícii</w:t>
      </w:r>
      <w:r w:rsidRPr="004C7BAE">
        <w:rPr>
          <w:sz w:val="22"/>
          <w:szCs w:val="22"/>
          <w:lang w:val="sk-SK" w:bidi="si-LK"/>
        </w:rPr>
        <w:t xml:space="preserve"> žiadne </w:t>
      </w:r>
      <w:r w:rsidR="00A12E00">
        <w:rPr>
          <w:sz w:val="22"/>
          <w:szCs w:val="22"/>
          <w:lang w:val="sk-SK" w:bidi="si-LK"/>
        </w:rPr>
        <w:t>údaje o použ</w:t>
      </w:r>
      <w:r w:rsidR="007F2F58">
        <w:rPr>
          <w:sz w:val="22"/>
          <w:szCs w:val="22"/>
          <w:lang w:val="sk-SK" w:bidi="si-LK"/>
        </w:rPr>
        <w:t>ití</w:t>
      </w:r>
      <w:r w:rsidR="00A12E00">
        <w:rPr>
          <w:sz w:val="22"/>
          <w:szCs w:val="22"/>
          <w:lang w:val="sk-SK" w:bidi="si-LK"/>
        </w:rPr>
        <w:t xml:space="preserve"> </w:t>
      </w:r>
      <w:proofErr w:type="spellStart"/>
      <w:r w:rsidR="00A12E00">
        <w:rPr>
          <w:sz w:val="22"/>
          <w:szCs w:val="22"/>
          <w:lang w:val="sk-SK" w:bidi="si-LK"/>
        </w:rPr>
        <w:t>epirubicínu</w:t>
      </w:r>
      <w:proofErr w:type="spellEnd"/>
      <w:r w:rsidRPr="004C7BAE">
        <w:rPr>
          <w:sz w:val="22"/>
          <w:szCs w:val="22"/>
          <w:lang w:val="sk-SK" w:bidi="si-LK"/>
        </w:rPr>
        <w:t xml:space="preserve"> u gravidných žien.</w:t>
      </w:r>
    </w:p>
    <w:p w14:paraId="61AF3EEE" w14:textId="77777777" w:rsidR="00BA5AFA" w:rsidRPr="004C7BAE" w:rsidRDefault="00BA5AFA">
      <w:pPr>
        <w:rPr>
          <w:sz w:val="22"/>
          <w:szCs w:val="22"/>
          <w:lang w:val="sk-SK" w:bidi="si-LK"/>
        </w:rPr>
      </w:pPr>
    </w:p>
    <w:p w14:paraId="1B0E201B" w14:textId="262BB72F" w:rsidR="00BA5AFA" w:rsidRPr="004C7BAE" w:rsidRDefault="00072B28">
      <w:pPr>
        <w:keepNext/>
        <w:keepLines/>
        <w:rPr>
          <w:sz w:val="22"/>
          <w:szCs w:val="22"/>
          <w:u w:val="single"/>
          <w:lang w:val="sk-SK" w:bidi="si-LK"/>
        </w:rPr>
      </w:pPr>
      <w:r>
        <w:rPr>
          <w:bCs/>
          <w:sz w:val="22"/>
          <w:szCs w:val="22"/>
          <w:u w:val="single"/>
          <w:lang w:val="sk-SK" w:bidi="si-LK"/>
        </w:rPr>
        <w:t>Dojčenie</w:t>
      </w:r>
    </w:p>
    <w:p w14:paraId="07F27804" w14:textId="0241D94B" w:rsidR="00BA5AFA" w:rsidRPr="004C7BAE" w:rsidRDefault="002418A6">
      <w:pPr>
        <w:rPr>
          <w:sz w:val="22"/>
          <w:szCs w:val="22"/>
          <w:lang w:val="sk-SK" w:bidi="si-LK"/>
        </w:rPr>
      </w:pPr>
      <w:r w:rsidRPr="004C7BAE">
        <w:rPr>
          <w:sz w:val="22"/>
          <w:szCs w:val="22"/>
          <w:lang w:val="sk-SK" w:bidi="si-LK"/>
        </w:rPr>
        <w:t xml:space="preserve">Preukázalo sa, že </w:t>
      </w:r>
      <w:proofErr w:type="spellStart"/>
      <w:r w:rsidRPr="004C7BAE">
        <w:rPr>
          <w:sz w:val="22"/>
          <w:szCs w:val="22"/>
          <w:lang w:val="sk-SK" w:bidi="si-LK"/>
        </w:rPr>
        <w:t>epirubicín</w:t>
      </w:r>
      <w:proofErr w:type="spellEnd"/>
      <w:r w:rsidRPr="004C7BAE">
        <w:rPr>
          <w:sz w:val="22"/>
          <w:szCs w:val="22"/>
          <w:lang w:val="sk-SK" w:bidi="si-LK"/>
        </w:rPr>
        <w:t xml:space="preserve"> sa vylučuje do mlieka potkanov. Nie je známe, či sa </w:t>
      </w:r>
      <w:proofErr w:type="spellStart"/>
      <w:r w:rsidRPr="004C7BAE">
        <w:rPr>
          <w:sz w:val="22"/>
          <w:szCs w:val="22"/>
          <w:lang w:val="sk-SK" w:bidi="si-LK"/>
        </w:rPr>
        <w:t>epirubicín</w:t>
      </w:r>
      <w:proofErr w:type="spellEnd"/>
      <w:r w:rsidRPr="004C7BAE">
        <w:rPr>
          <w:sz w:val="22"/>
          <w:szCs w:val="22"/>
          <w:lang w:val="sk-SK" w:bidi="si-LK"/>
        </w:rPr>
        <w:t xml:space="preserve"> vylučuje do ľudského mlieka. Pretože mnohé lieky, vrátane iných </w:t>
      </w:r>
      <w:proofErr w:type="spellStart"/>
      <w:r w:rsidRPr="004C7BAE">
        <w:rPr>
          <w:sz w:val="22"/>
          <w:szCs w:val="22"/>
          <w:lang w:val="sk-SK" w:bidi="si-LK"/>
        </w:rPr>
        <w:t>antracyklínov</w:t>
      </w:r>
      <w:proofErr w:type="spellEnd"/>
      <w:r w:rsidRPr="004C7BAE">
        <w:rPr>
          <w:sz w:val="22"/>
          <w:szCs w:val="22"/>
          <w:lang w:val="sk-SK" w:bidi="si-LK"/>
        </w:rPr>
        <w:t xml:space="preserve">, sa vylučujú do ľudského mlieka a s ohľadom na potenciál závažných nežiaducich reakcií na </w:t>
      </w:r>
      <w:proofErr w:type="spellStart"/>
      <w:r w:rsidRPr="004C7BAE">
        <w:rPr>
          <w:sz w:val="22"/>
          <w:szCs w:val="22"/>
          <w:lang w:val="sk-SK" w:bidi="si-LK"/>
        </w:rPr>
        <w:t>epirubicín</w:t>
      </w:r>
      <w:proofErr w:type="spellEnd"/>
      <w:r w:rsidRPr="004C7BAE">
        <w:rPr>
          <w:sz w:val="22"/>
          <w:szCs w:val="22"/>
          <w:lang w:val="sk-SK" w:bidi="si-LK"/>
        </w:rPr>
        <w:t xml:space="preserve"> u dojčených novorodencov</w:t>
      </w:r>
      <w:r w:rsidR="00072B28">
        <w:rPr>
          <w:sz w:val="22"/>
          <w:szCs w:val="22"/>
          <w:lang w:val="sk-SK" w:bidi="si-LK"/>
        </w:rPr>
        <w:t xml:space="preserve"> sa má</w:t>
      </w:r>
      <w:r w:rsidRPr="004C7BAE">
        <w:rPr>
          <w:sz w:val="22"/>
          <w:szCs w:val="22"/>
          <w:lang w:val="sk-SK" w:bidi="si-LK"/>
        </w:rPr>
        <w:t xml:space="preserve"> </w:t>
      </w:r>
      <w:r w:rsidR="00A12E00">
        <w:rPr>
          <w:sz w:val="22"/>
          <w:szCs w:val="22"/>
          <w:lang w:val="sk-SK" w:bidi="si-LK"/>
        </w:rPr>
        <w:t>dojčenie prerušiť</w:t>
      </w:r>
      <w:r w:rsidR="00456901">
        <w:rPr>
          <w:sz w:val="22"/>
          <w:szCs w:val="22"/>
          <w:lang w:val="sk-SK" w:bidi="si-LK"/>
        </w:rPr>
        <w:t xml:space="preserve"> </w:t>
      </w:r>
      <w:r w:rsidR="00A12E00">
        <w:rPr>
          <w:sz w:val="22"/>
          <w:szCs w:val="22"/>
          <w:lang w:val="sk-SK" w:bidi="si-LK"/>
        </w:rPr>
        <w:t>pred užívaním tohto lieku</w:t>
      </w:r>
      <w:r w:rsidRPr="004C7BAE">
        <w:rPr>
          <w:sz w:val="22"/>
          <w:szCs w:val="22"/>
          <w:lang w:val="sk-SK" w:bidi="si-LK"/>
        </w:rPr>
        <w:t>.</w:t>
      </w:r>
    </w:p>
    <w:p w14:paraId="7BF2DA83" w14:textId="3339CDF7" w:rsidR="00A12E00" w:rsidRPr="00F76C16" w:rsidRDefault="00ED6E24" w:rsidP="00A12E00">
      <w:pPr>
        <w:rPr>
          <w:sz w:val="22"/>
          <w:szCs w:val="22"/>
          <w:lang w:val="sk-SK"/>
        </w:rPr>
      </w:pPr>
      <w:proofErr w:type="spellStart"/>
      <w:r w:rsidRPr="00F76C16">
        <w:rPr>
          <w:sz w:val="22"/>
          <w:szCs w:val="22"/>
          <w:lang w:val="sk-SK"/>
        </w:rPr>
        <w:t>Epimedac</w:t>
      </w:r>
      <w:proofErr w:type="spellEnd"/>
      <w:r w:rsidRPr="00F76C16">
        <w:rPr>
          <w:sz w:val="22"/>
          <w:szCs w:val="22"/>
          <w:lang w:val="sk-SK"/>
        </w:rPr>
        <w:t xml:space="preserve"> </w:t>
      </w:r>
      <w:r w:rsidR="00A12E00" w:rsidRPr="00F76C16">
        <w:rPr>
          <w:sz w:val="22"/>
          <w:szCs w:val="22"/>
          <w:lang w:val="sk-SK"/>
        </w:rPr>
        <w:t>je k</w:t>
      </w:r>
      <w:r w:rsidRPr="00F76C16">
        <w:rPr>
          <w:sz w:val="22"/>
          <w:szCs w:val="22"/>
          <w:lang w:val="sk-SK"/>
        </w:rPr>
        <w:t>ontraindi</w:t>
      </w:r>
      <w:r w:rsidR="00A12E00" w:rsidRPr="00F76C16">
        <w:rPr>
          <w:sz w:val="22"/>
          <w:szCs w:val="22"/>
          <w:lang w:val="sk-SK"/>
        </w:rPr>
        <w:t xml:space="preserve">kovaný počas </w:t>
      </w:r>
      <w:r w:rsidR="00F41C19">
        <w:rPr>
          <w:rFonts w:eastAsia="SimSun"/>
          <w:color w:val="000000"/>
          <w:sz w:val="22"/>
          <w:szCs w:val="22"/>
          <w:lang w:val="sk-SK" w:eastAsia="zh-CN"/>
        </w:rPr>
        <w:t>laktácie</w:t>
      </w:r>
      <w:r w:rsidRPr="00F76C16">
        <w:rPr>
          <w:sz w:val="22"/>
          <w:szCs w:val="22"/>
          <w:lang w:val="sk-SK"/>
        </w:rPr>
        <w:t xml:space="preserve"> (</w:t>
      </w:r>
      <w:r w:rsidR="00A12E00" w:rsidRPr="00F76C16">
        <w:rPr>
          <w:sz w:val="22"/>
          <w:szCs w:val="22"/>
          <w:lang w:val="sk-SK"/>
        </w:rPr>
        <w:t xml:space="preserve">pozri časť </w:t>
      </w:r>
      <w:r w:rsidRPr="00F76C16">
        <w:rPr>
          <w:sz w:val="22"/>
          <w:szCs w:val="22"/>
          <w:lang w:val="sk-SK"/>
        </w:rPr>
        <w:t>4.3).</w:t>
      </w:r>
    </w:p>
    <w:p w14:paraId="2EB5C21C" w14:textId="77777777" w:rsidR="00BA5AFA" w:rsidRPr="004C7BAE" w:rsidRDefault="00BA5AFA">
      <w:pPr>
        <w:rPr>
          <w:sz w:val="22"/>
          <w:szCs w:val="22"/>
          <w:lang w:val="sk-SK" w:bidi="si-LK"/>
        </w:rPr>
      </w:pPr>
    </w:p>
    <w:p w14:paraId="0DE48304" w14:textId="77777777" w:rsidR="00BA5AFA" w:rsidRPr="004C7BAE" w:rsidRDefault="002418A6">
      <w:pPr>
        <w:rPr>
          <w:noProof/>
          <w:sz w:val="22"/>
          <w:szCs w:val="22"/>
          <w:u w:val="single"/>
          <w:lang w:val="sk-SK"/>
        </w:rPr>
      </w:pPr>
      <w:r w:rsidRPr="004C7BAE">
        <w:rPr>
          <w:noProof/>
          <w:sz w:val="22"/>
          <w:szCs w:val="22"/>
          <w:u w:val="single"/>
          <w:lang w:val="sk-SK"/>
        </w:rPr>
        <w:t>Fertilita</w:t>
      </w:r>
    </w:p>
    <w:p w14:paraId="1282F7F0" w14:textId="77777777" w:rsidR="00BA5AFA" w:rsidRPr="004C7BAE" w:rsidRDefault="002418A6">
      <w:pPr>
        <w:rPr>
          <w:sz w:val="22"/>
          <w:szCs w:val="22"/>
          <w:lang w:val="sk-SK" w:bidi="si-LK"/>
        </w:rPr>
      </w:pPr>
      <w:proofErr w:type="spellStart"/>
      <w:r w:rsidRPr="004C7BAE">
        <w:rPr>
          <w:sz w:val="22"/>
          <w:szCs w:val="22"/>
          <w:lang w:val="sk-SK"/>
        </w:rPr>
        <w:t>Epirubicín</w:t>
      </w:r>
      <w:proofErr w:type="spellEnd"/>
      <w:r w:rsidRPr="004C7BAE">
        <w:rPr>
          <w:sz w:val="22"/>
          <w:szCs w:val="22"/>
          <w:lang w:val="sk-SK"/>
        </w:rPr>
        <w:t xml:space="preserve"> môže vyvolávať chromozómové poškodenie ľudských spermatozoidov. </w:t>
      </w:r>
      <w:r w:rsidRPr="004C7BAE">
        <w:rPr>
          <w:sz w:val="22"/>
          <w:szCs w:val="22"/>
          <w:lang w:val="sk-SK" w:bidi="si-LK"/>
        </w:rPr>
        <w:t xml:space="preserve">Pacientov mužského pohlavia liečených </w:t>
      </w:r>
      <w:proofErr w:type="spellStart"/>
      <w:r w:rsidRPr="004C7BAE">
        <w:rPr>
          <w:sz w:val="22"/>
          <w:szCs w:val="22"/>
          <w:lang w:val="sk-SK" w:bidi="si-LK"/>
        </w:rPr>
        <w:t>epirubicínom</w:t>
      </w:r>
      <w:proofErr w:type="spellEnd"/>
      <w:r w:rsidRPr="004C7BAE">
        <w:rPr>
          <w:sz w:val="22"/>
          <w:szCs w:val="22"/>
          <w:lang w:val="sk-SK" w:bidi="si-LK"/>
        </w:rPr>
        <w:t xml:space="preserve"> treba poučiť o tom, aby nesplodili dieťa počas liečby a poradiť sa o konzervácií spermií ešte pred liečbou z dôvodu možnosti neplodnosti v dôsledku terapie </w:t>
      </w:r>
      <w:proofErr w:type="spellStart"/>
      <w:r w:rsidRPr="004C7BAE">
        <w:rPr>
          <w:sz w:val="22"/>
          <w:szCs w:val="22"/>
          <w:lang w:val="sk-SK" w:bidi="si-LK"/>
        </w:rPr>
        <w:t>epirubicínom</w:t>
      </w:r>
      <w:proofErr w:type="spellEnd"/>
      <w:r w:rsidRPr="004C7BAE">
        <w:rPr>
          <w:sz w:val="22"/>
          <w:szCs w:val="22"/>
          <w:lang w:val="sk-SK" w:bidi="si-LK"/>
        </w:rPr>
        <w:t xml:space="preserve">. </w:t>
      </w:r>
      <w:proofErr w:type="spellStart"/>
      <w:r w:rsidRPr="004C7BAE">
        <w:rPr>
          <w:sz w:val="22"/>
          <w:szCs w:val="22"/>
          <w:lang w:val="sk-SK"/>
        </w:rPr>
        <w:t>Epirubicín</w:t>
      </w:r>
      <w:proofErr w:type="spellEnd"/>
      <w:r w:rsidRPr="004C7BAE">
        <w:rPr>
          <w:sz w:val="22"/>
          <w:szCs w:val="22"/>
          <w:lang w:val="sk-SK"/>
        </w:rPr>
        <w:t xml:space="preserve"> môže spôsobovať </w:t>
      </w:r>
      <w:proofErr w:type="spellStart"/>
      <w:r w:rsidRPr="004C7BAE">
        <w:rPr>
          <w:sz w:val="22"/>
          <w:szCs w:val="22"/>
          <w:lang w:val="sk-SK"/>
        </w:rPr>
        <w:t>amenoreu</w:t>
      </w:r>
      <w:proofErr w:type="spellEnd"/>
      <w:r w:rsidRPr="004C7BAE">
        <w:rPr>
          <w:sz w:val="22"/>
          <w:szCs w:val="22"/>
          <w:lang w:val="sk-SK"/>
        </w:rPr>
        <w:t xml:space="preserve"> alebo predčasnú </w:t>
      </w:r>
      <w:proofErr w:type="spellStart"/>
      <w:r w:rsidRPr="004C7BAE">
        <w:rPr>
          <w:sz w:val="22"/>
          <w:szCs w:val="22"/>
          <w:lang w:val="sk-SK"/>
        </w:rPr>
        <w:t>menopauzu</w:t>
      </w:r>
      <w:proofErr w:type="spellEnd"/>
      <w:r w:rsidRPr="004C7BAE">
        <w:rPr>
          <w:sz w:val="22"/>
          <w:szCs w:val="22"/>
          <w:lang w:val="sk-SK"/>
        </w:rPr>
        <w:t xml:space="preserve"> u žien pred </w:t>
      </w:r>
      <w:proofErr w:type="spellStart"/>
      <w:r w:rsidRPr="004C7BAE">
        <w:rPr>
          <w:sz w:val="22"/>
          <w:szCs w:val="22"/>
          <w:lang w:val="sk-SK"/>
        </w:rPr>
        <w:t>menopauzou</w:t>
      </w:r>
      <w:proofErr w:type="spellEnd"/>
      <w:r w:rsidRPr="004C7BAE">
        <w:rPr>
          <w:sz w:val="22"/>
          <w:szCs w:val="22"/>
          <w:lang w:val="sk-SK"/>
        </w:rPr>
        <w:t>.</w:t>
      </w:r>
    </w:p>
    <w:p w14:paraId="456E709A" w14:textId="77777777" w:rsidR="00BA5AFA" w:rsidRPr="004C7BAE" w:rsidRDefault="00BA5AFA">
      <w:pPr>
        <w:rPr>
          <w:sz w:val="22"/>
          <w:szCs w:val="22"/>
          <w:lang w:val="sk-SK" w:bidi="si-LK"/>
        </w:rPr>
      </w:pPr>
    </w:p>
    <w:p w14:paraId="38E2A98D" w14:textId="77777777" w:rsidR="00BA5AFA" w:rsidRPr="004C7BAE" w:rsidRDefault="002418A6">
      <w:pPr>
        <w:keepNext/>
        <w:keepLines/>
        <w:ind w:left="567" w:hanging="567"/>
        <w:outlineLvl w:val="0"/>
        <w:rPr>
          <w:b/>
          <w:bCs/>
          <w:sz w:val="22"/>
          <w:szCs w:val="22"/>
          <w:lang w:val="sk-SK" w:bidi="si-LK"/>
        </w:rPr>
      </w:pPr>
      <w:r w:rsidRPr="004C7BAE">
        <w:rPr>
          <w:b/>
          <w:bCs/>
          <w:sz w:val="22"/>
          <w:szCs w:val="22"/>
          <w:lang w:val="sk-SK" w:bidi="si-LK"/>
        </w:rPr>
        <w:t>4.7</w:t>
      </w:r>
      <w:r w:rsidRPr="004C7BAE">
        <w:rPr>
          <w:b/>
          <w:bCs/>
          <w:sz w:val="22"/>
          <w:szCs w:val="22"/>
          <w:lang w:val="sk-SK" w:bidi="si-LK"/>
        </w:rPr>
        <w:tab/>
        <w:t>Ovplyvnenie schopnosti viesť vozidlá a obsluhovať stroje</w:t>
      </w:r>
    </w:p>
    <w:p w14:paraId="6A8F4563" w14:textId="77777777" w:rsidR="00BA5AFA" w:rsidRPr="004C7BAE" w:rsidRDefault="00BA5AFA">
      <w:pPr>
        <w:keepNext/>
        <w:keepLines/>
        <w:rPr>
          <w:sz w:val="22"/>
          <w:szCs w:val="22"/>
          <w:lang w:val="sk-SK" w:bidi="si-LK"/>
        </w:rPr>
      </w:pPr>
    </w:p>
    <w:p w14:paraId="1565C587" w14:textId="77777777" w:rsidR="00BA5AFA" w:rsidRPr="004C7BAE" w:rsidRDefault="002418A6">
      <w:pPr>
        <w:rPr>
          <w:sz w:val="22"/>
          <w:szCs w:val="22"/>
          <w:lang w:val="sk-SK" w:bidi="si-LK"/>
        </w:rPr>
      </w:pPr>
      <w:r w:rsidRPr="004C7BAE">
        <w:rPr>
          <w:sz w:val="22"/>
          <w:szCs w:val="22"/>
          <w:lang w:val="sk-SK" w:bidi="si-LK"/>
        </w:rPr>
        <w:t xml:space="preserve">Účinok </w:t>
      </w:r>
      <w:proofErr w:type="spellStart"/>
      <w:r w:rsidRPr="004C7BAE">
        <w:rPr>
          <w:sz w:val="22"/>
          <w:szCs w:val="22"/>
          <w:lang w:val="sk-SK" w:bidi="si-LK"/>
        </w:rPr>
        <w:t>epirubicínu</w:t>
      </w:r>
      <w:proofErr w:type="spellEnd"/>
      <w:r w:rsidRPr="004C7BAE">
        <w:rPr>
          <w:sz w:val="22"/>
          <w:szCs w:val="22"/>
          <w:lang w:val="sk-SK" w:bidi="si-LK"/>
        </w:rPr>
        <w:t xml:space="preserve"> na schopnosť viesť vozidlá a obsluhovať stroje nebol systematicky hodnotený.</w:t>
      </w:r>
    </w:p>
    <w:p w14:paraId="7C57885B" w14:textId="77777777" w:rsidR="00BA5AFA" w:rsidRPr="004C7BAE" w:rsidRDefault="00BA5AFA">
      <w:pPr>
        <w:rPr>
          <w:sz w:val="22"/>
          <w:szCs w:val="22"/>
          <w:lang w:val="sk-SK" w:bidi="si-LK"/>
        </w:rPr>
      </w:pPr>
    </w:p>
    <w:p w14:paraId="451713BA" w14:textId="77777777" w:rsidR="00BA5AFA" w:rsidRPr="004C7BAE" w:rsidRDefault="002418A6">
      <w:pPr>
        <w:rPr>
          <w:sz w:val="22"/>
          <w:szCs w:val="22"/>
          <w:lang w:val="sk-SK" w:bidi="si-LK"/>
        </w:rPr>
      </w:pPr>
      <w:proofErr w:type="spellStart"/>
      <w:r w:rsidRPr="004C7BAE">
        <w:rPr>
          <w:sz w:val="22"/>
          <w:szCs w:val="22"/>
          <w:lang w:val="sk-SK" w:bidi="si-LK"/>
        </w:rPr>
        <w:t>Epirubicín</w:t>
      </w:r>
      <w:proofErr w:type="spellEnd"/>
      <w:r w:rsidRPr="004C7BAE">
        <w:rPr>
          <w:sz w:val="22"/>
          <w:szCs w:val="22"/>
          <w:lang w:val="sk-SK" w:bidi="si-LK"/>
        </w:rPr>
        <w:t xml:space="preserve"> môže vyvolávať stavy nevoľnosti a zvracanie, čo môže dočasne viesť k narušeniu schopnosti viesť vozidlá a obsluhovať stroje. </w:t>
      </w:r>
    </w:p>
    <w:p w14:paraId="215CAC66" w14:textId="77777777" w:rsidR="00BA5AFA" w:rsidRPr="004C7BAE" w:rsidRDefault="00BA5AFA">
      <w:pPr>
        <w:rPr>
          <w:sz w:val="22"/>
          <w:szCs w:val="22"/>
          <w:lang w:val="sk-SK" w:bidi="si-LK"/>
        </w:rPr>
      </w:pPr>
    </w:p>
    <w:p w14:paraId="7B4E991F" w14:textId="77777777" w:rsidR="00BA5AFA" w:rsidRPr="004C7BAE" w:rsidRDefault="002418A6">
      <w:pPr>
        <w:keepNext/>
        <w:keepLines/>
        <w:ind w:left="567" w:hanging="567"/>
        <w:outlineLvl w:val="0"/>
        <w:rPr>
          <w:b/>
          <w:bCs/>
          <w:sz w:val="22"/>
          <w:szCs w:val="22"/>
          <w:lang w:val="sk-SK" w:bidi="si-LK"/>
        </w:rPr>
      </w:pPr>
      <w:r w:rsidRPr="004C7BAE">
        <w:rPr>
          <w:b/>
          <w:bCs/>
          <w:sz w:val="22"/>
          <w:szCs w:val="22"/>
          <w:lang w:val="sk-SK" w:bidi="si-LK"/>
        </w:rPr>
        <w:t>4.8</w:t>
      </w:r>
      <w:r w:rsidRPr="004C7BAE">
        <w:rPr>
          <w:b/>
          <w:bCs/>
          <w:sz w:val="22"/>
          <w:szCs w:val="22"/>
          <w:lang w:val="sk-SK" w:bidi="si-LK"/>
        </w:rPr>
        <w:tab/>
        <w:t>Nežiaduce účinky</w:t>
      </w:r>
    </w:p>
    <w:p w14:paraId="115532D3" w14:textId="77777777" w:rsidR="00BA5AFA" w:rsidRPr="004C7BAE" w:rsidRDefault="00BA5AFA">
      <w:pPr>
        <w:keepNext/>
        <w:keepLines/>
        <w:ind w:left="567" w:hanging="567"/>
        <w:rPr>
          <w:sz w:val="22"/>
          <w:szCs w:val="22"/>
          <w:lang w:val="sk-SK" w:bidi="si-LK"/>
        </w:rPr>
      </w:pPr>
    </w:p>
    <w:p w14:paraId="0C8B862C" w14:textId="77777777" w:rsidR="00A12E00" w:rsidRPr="00FB7812" w:rsidRDefault="00BB1FEE">
      <w:pPr>
        <w:keepNext/>
        <w:keepLines/>
        <w:rPr>
          <w:sz w:val="22"/>
          <w:szCs w:val="22"/>
          <w:u w:val="single"/>
          <w:lang w:val="sk-SK" w:bidi="si-LK"/>
        </w:rPr>
      </w:pPr>
      <w:r w:rsidRPr="00FB7812">
        <w:rPr>
          <w:sz w:val="22"/>
          <w:szCs w:val="22"/>
          <w:u w:val="single"/>
          <w:lang w:val="sk-SK" w:bidi="si-LK"/>
        </w:rPr>
        <w:t>Zoznam nežiaducich reakcií v tabuľke</w:t>
      </w:r>
    </w:p>
    <w:p w14:paraId="5FA6FE54" w14:textId="77777777" w:rsidR="00A12E00" w:rsidRDefault="00A12E00">
      <w:pPr>
        <w:keepNext/>
        <w:keepLines/>
        <w:rPr>
          <w:sz w:val="22"/>
          <w:szCs w:val="22"/>
          <w:lang w:val="sk-SK" w:bidi="si-LK"/>
        </w:rPr>
      </w:pPr>
    </w:p>
    <w:p w14:paraId="2477CD23" w14:textId="77777777" w:rsidR="00BA5AFA" w:rsidRPr="004C7BAE" w:rsidRDefault="002418A6">
      <w:pPr>
        <w:keepNext/>
        <w:keepLines/>
        <w:rPr>
          <w:sz w:val="22"/>
          <w:szCs w:val="22"/>
          <w:lang w:val="sk-SK" w:bidi="si-LK"/>
        </w:rPr>
      </w:pPr>
      <w:r w:rsidRPr="004C7BAE">
        <w:rPr>
          <w:sz w:val="22"/>
          <w:szCs w:val="22"/>
          <w:lang w:val="sk-SK" w:bidi="si-LK"/>
        </w:rPr>
        <w:t xml:space="preserve">Počas liečby </w:t>
      </w:r>
      <w:proofErr w:type="spellStart"/>
      <w:r w:rsidRPr="004C7BAE">
        <w:rPr>
          <w:sz w:val="22"/>
          <w:szCs w:val="22"/>
          <w:lang w:val="sk-SK" w:bidi="si-LK"/>
        </w:rPr>
        <w:t>epirubicínom</w:t>
      </w:r>
      <w:proofErr w:type="spellEnd"/>
      <w:r w:rsidRPr="004C7BAE">
        <w:rPr>
          <w:sz w:val="22"/>
          <w:szCs w:val="22"/>
          <w:lang w:val="sk-SK" w:bidi="si-LK"/>
        </w:rPr>
        <w:t xml:space="preserve"> boli pozorované nasledujúce nežiaduce účinky s nasledujúcimi frekvenciami: </w:t>
      </w:r>
    </w:p>
    <w:p w14:paraId="14B1F1FB" w14:textId="77777777" w:rsidR="00BA5AFA" w:rsidRPr="004C7BAE" w:rsidRDefault="00BA5AFA">
      <w:pPr>
        <w:rPr>
          <w:sz w:val="22"/>
          <w:szCs w:val="22"/>
          <w:lang w:val="sk-SK" w:bidi="si-LK"/>
        </w:rPr>
      </w:pPr>
    </w:p>
    <w:p w14:paraId="099CD80B" w14:textId="77777777" w:rsidR="00BA5AFA" w:rsidRPr="004C7BAE" w:rsidRDefault="002418A6">
      <w:pPr>
        <w:rPr>
          <w:sz w:val="22"/>
          <w:szCs w:val="22"/>
          <w:lang w:val="sk-SK" w:bidi="si-LK"/>
        </w:rPr>
      </w:pPr>
      <w:r w:rsidRPr="004C7BAE">
        <w:rPr>
          <w:sz w:val="22"/>
          <w:szCs w:val="22"/>
          <w:lang w:val="sk-SK" w:bidi="si-LK"/>
        </w:rPr>
        <w:t xml:space="preserve">Možno očakávať, že nežiaduce účinky sa prejavia u viac ako 10 % liečených pacientov. Medzi najčastejšie nežiaduce účinky patrí </w:t>
      </w:r>
      <w:proofErr w:type="spellStart"/>
      <w:r w:rsidRPr="004C7BAE">
        <w:rPr>
          <w:sz w:val="22"/>
          <w:szCs w:val="22"/>
          <w:lang w:val="sk-SK" w:bidi="si-LK"/>
        </w:rPr>
        <w:t>myelosupresia</w:t>
      </w:r>
      <w:proofErr w:type="spellEnd"/>
      <w:r w:rsidRPr="004C7BAE">
        <w:rPr>
          <w:sz w:val="22"/>
          <w:szCs w:val="22"/>
          <w:lang w:val="sk-SK" w:bidi="si-LK"/>
        </w:rPr>
        <w:t xml:space="preserve">, </w:t>
      </w:r>
      <w:proofErr w:type="spellStart"/>
      <w:r w:rsidRPr="004C7BAE">
        <w:rPr>
          <w:sz w:val="22"/>
          <w:szCs w:val="22"/>
          <w:lang w:val="sk-SK" w:bidi="si-LK"/>
        </w:rPr>
        <w:t>gastrointestinálne</w:t>
      </w:r>
      <w:proofErr w:type="spellEnd"/>
      <w:r w:rsidRPr="004C7BAE">
        <w:rPr>
          <w:sz w:val="22"/>
          <w:szCs w:val="22"/>
          <w:lang w:val="sk-SK" w:bidi="si-LK"/>
        </w:rPr>
        <w:t xml:space="preserve"> vedľajšie účinky, </w:t>
      </w:r>
      <w:proofErr w:type="spellStart"/>
      <w:r w:rsidRPr="004C7BAE">
        <w:rPr>
          <w:sz w:val="22"/>
          <w:szCs w:val="22"/>
          <w:lang w:val="sk-SK" w:bidi="si-LK"/>
        </w:rPr>
        <w:t>anorexia</w:t>
      </w:r>
      <w:proofErr w:type="spellEnd"/>
      <w:r w:rsidRPr="004C7BAE">
        <w:rPr>
          <w:sz w:val="22"/>
          <w:szCs w:val="22"/>
          <w:lang w:val="sk-SK" w:bidi="si-LK"/>
        </w:rPr>
        <w:t xml:space="preserve">, </w:t>
      </w:r>
      <w:proofErr w:type="spellStart"/>
      <w:r w:rsidRPr="004C7BAE">
        <w:rPr>
          <w:sz w:val="22"/>
          <w:szCs w:val="22"/>
          <w:lang w:val="sk-SK" w:bidi="si-LK"/>
        </w:rPr>
        <w:t>alopécia</w:t>
      </w:r>
      <w:proofErr w:type="spellEnd"/>
      <w:r w:rsidRPr="004C7BAE">
        <w:rPr>
          <w:sz w:val="22"/>
          <w:szCs w:val="22"/>
          <w:lang w:val="sk-SK" w:bidi="si-LK"/>
        </w:rPr>
        <w:t>, infekcia.</w:t>
      </w:r>
    </w:p>
    <w:p w14:paraId="6118D7C4" w14:textId="77777777" w:rsidR="00A31E63" w:rsidRDefault="00A31E63" w:rsidP="00FB7812">
      <w:pPr>
        <w:keepNext/>
        <w:keepLines/>
        <w:rPr>
          <w:iCs/>
          <w:sz w:val="22"/>
          <w:szCs w:val="22"/>
          <w:lang w:val="sk-SK" w:bidi="si-LK"/>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05"/>
        <w:gridCol w:w="1418"/>
        <w:gridCol w:w="1559"/>
        <w:gridCol w:w="1418"/>
        <w:gridCol w:w="850"/>
        <w:gridCol w:w="1666"/>
      </w:tblGrid>
      <w:tr w:rsidR="00FA409B" w:rsidRPr="007D2FD1" w14:paraId="56226DA3" w14:textId="77777777" w:rsidTr="00C76085">
        <w:trPr>
          <w:tblHeader/>
        </w:trPr>
        <w:tc>
          <w:tcPr>
            <w:tcW w:w="1538" w:type="dxa"/>
          </w:tcPr>
          <w:p w14:paraId="111A55C5" w14:textId="77777777" w:rsidR="00FA409B" w:rsidRPr="007D2FD1" w:rsidRDefault="00FA409B" w:rsidP="00C76085">
            <w:pPr>
              <w:keepNext/>
              <w:keepLines/>
              <w:rPr>
                <w:sz w:val="22"/>
                <w:szCs w:val="22"/>
                <w:lang w:val="sk-SK"/>
              </w:rPr>
            </w:pPr>
            <w:r w:rsidRPr="007D2FD1">
              <w:rPr>
                <w:b/>
                <w:sz w:val="22"/>
                <w:szCs w:val="22"/>
                <w:lang w:val="sk-SK"/>
              </w:rPr>
              <w:t>Trieda orgánových systémov</w:t>
            </w:r>
          </w:p>
        </w:tc>
        <w:tc>
          <w:tcPr>
            <w:tcW w:w="1405" w:type="dxa"/>
          </w:tcPr>
          <w:p w14:paraId="3A5918B2" w14:textId="77777777" w:rsidR="00FA409B" w:rsidRPr="007D2FD1" w:rsidRDefault="00FA409B" w:rsidP="00C76085">
            <w:pPr>
              <w:keepNext/>
              <w:keepLines/>
              <w:rPr>
                <w:rFonts w:asciiTheme="majorBidi" w:hAnsiTheme="majorBidi" w:cstheme="majorBidi"/>
                <w:b/>
                <w:bCs/>
                <w:sz w:val="22"/>
                <w:szCs w:val="22"/>
                <w:lang w:val="sk-SK"/>
              </w:rPr>
            </w:pPr>
            <w:r w:rsidRPr="007D2FD1">
              <w:rPr>
                <w:rFonts w:asciiTheme="majorBidi" w:hAnsiTheme="majorBidi" w:cstheme="majorBidi"/>
                <w:b/>
                <w:bCs/>
                <w:sz w:val="22"/>
                <w:szCs w:val="22"/>
                <w:lang w:val="sk-SK"/>
              </w:rPr>
              <w:t xml:space="preserve">Veľmi časté </w:t>
            </w:r>
          </w:p>
          <w:p w14:paraId="07152C00" w14:textId="77777777" w:rsidR="00FA409B" w:rsidRPr="007D2FD1" w:rsidRDefault="00FA409B" w:rsidP="00C76085">
            <w:pPr>
              <w:keepNext/>
              <w:keepLines/>
              <w:rPr>
                <w:rFonts w:asciiTheme="majorBidi" w:hAnsiTheme="majorBidi" w:cstheme="majorBidi"/>
                <w:b/>
                <w:bCs/>
                <w:sz w:val="22"/>
                <w:szCs w:val="22"/>
                <w:lang w:val="sk-SK"/>
              </w:rPr>
            </w:pPr>
          </w:p>
          <w:p w14:paraId="5245AC7A" w14:textId="77777777" w:rsidR="00FA409B" w:rsidRPr="007D2FD1" w:rsidRDefault="00FA409B" w:rsidP="00C76085">
            <w:pPr>
              <w:keepNext/>
              <w:keepLines/>
              <w:rPr>
                <w:rFonts w:asciiTheme="majorBidi" w:hAnsiTheme="majorBidi" w:cstheme="majorBidi"/>
                <w:b/>
                <w:bCs/>
                <w:sz w:val="22"/>
                <w:szCs w:val="22"/>
                <w:lang w:val="sk-SK"/>
              </w:rPr>
            </w:pPr>
            <w:r w:rsidRPr="007D2FD1">
              <w:rPr>
                <w:rFonts w:asciiTheme="majorBidi" w:hAnsiTheme="majorBidi" w:cstheme="majorBidi"/>
                <w:b/>
                <w:bCs/>
                <w:sz w:val="22"/>
                <w:szCs w:val="22"/>
                <w:lang w:val="sk-SK"/>
              </w:rPr>
              <w:t>(≥ 1/10)</w:t>
            </w:r>
          </w:p>
        </w:tc>
        <w:tc>
          <w:tcPr>
            <w:tcW w:w="1418" w:type="dxa"/>
          </w:tcPr>
          <w:p w14:paraId="55F6B22A" w14:textId="77777777" w:rsidR="00FA409B" w:rsidRPr="007D2FD1" w:rsidRDefault="00FA409B" w:rsidP="00C76085">
            <w:pPr>
              <w:keepNext/>
              <w:keepLines/>
              <w:rPr>
                <w:rFonts w:asciiTheme="majorBidi" w:hAnsiTheme="majorBidi" w:cstheme="majorBidi"/>
                <w:b/>
                <w:bCs/>
                <w:color w:val="000000"/>
                <w:sz w:val="22"/>
                <w:szCs w:val="22"/>
                <w:lang w:val="sk-SK"/>
              </w:rPr>
            </w:pPr>
            <w:r w:rsidRPr="007D2FD1">
              <w:rPr>
                <w:rFonts w:asciiTheme="majorBidi" w:hAnsiTheme="majorBidi" w:cstheme="majorBidi"/>
                <w:b/>
                <w:bCs/>
                <w:color w:val="000000"/>
                <w:sz w:val="22"/>
                <w:szCs w:val="22"/>
                <w:lang w:val="sk-SK"/>
              </w:rPr>
              <w:t xml:space="preserve">Časté </w:t>
            </w:r>
          </w:p>
          <w:p w14:paraId="741DDA09" w14:textId="77777777" w:rsidR="00FA409B" w:rsidRPr="007D2FD1" w:rsidRDefault="00FA409B" w:rsidP="00C76085">
            <w:pPr>
              <w:keepNext/>
              <w:keepLines/>
              <w:rPr>
                <w:rFonts w:asciiTheme="majorBidi" w:hAnsiTheme="majorBidi" w:cstheme="majorBidi"/>
                <w:b/>
                <w:bCs/>
                <w:color w:val="000000"/>
                <w:sz w:val="22"/>
                <w:szCs w:val="22"/>
                <w:lang w:val="sk-SK"/>
              </w:rPr>
            </w:pPr>
          </w:p>
          <w:p w14:paraId="384270E0" w14:textId="77777777" w:rsidR="00FA409B" w:rsidRPr="007D2FD1" w:rsidRDefault="00FA409B" w:rsidP="00C76085">
            <w:pPr>
              <w:keepNext/>
              <w:keepLines/>
              <w:rPr>
                <w:rFonts w:asciiTheme="majorBidi" w:hAnsiTheme="majorBidi" w:cstheme="majorBidi"/>
                <w:b/>
                <w:bCs/>
                <w:sz w:val="22"/>
                <w:szCs w:val="22"/>
                <w:lang w:val="sk-SK"/>
              </w:rPr>
            </w:pPr>
            <w:r w:rsidRPr="007D2FD1">
              <w:rPr>
                <w:rFonts w:asciiTheme="majorBidi" w:hAnsiTheme="majorBidi" w:cstheme="majorBidi"/>
                <w:b/>
                <w:bCs/>
                <w:color w:val="000000"/>
                <w:sz w:val="22"/>
                <w:szCs w:val="22"/>
                <w:lang w:val="sk-SK"/>
              </w:rPr>
              <w:t xml:space="preserve">(≥ 1/100 </w:t>
            </w:r>
            <w:r w:rsidRPr="007D2FD1">
              <w:rPr>
                <w:rFonts w:asciiTheme="majorBidi" w:hAnsiTheme="majorBidi" w:cstheme="majorBidi"/>
                <w:b/>
                <w:bCs/>
                <w:sz w:val="22"/>
                <w:szCs w:val="22"/>
                <w:lang w:val="sk-SK"/>
              </w:rPr>
              <w:t>až</w:t>
            </w:r>
            <w:r w:rsidRPr="007D2FD1">
              <w:rPr>
                <w:rFonts w:asciiTheme="majorBidi" w:hAnsiTheme="majorBidi" w:cstheme="majorBidi"/>
                <w:b/>
                <w:bCs/>
                <w:color w:val="000000"/>
                <w:sz w:val="22"/>
                <w:szCs w:val="22"/>
                <w:lang w:val="sk-SK"/>
              </w:rPr>
              <w:t xml:space="preserve"> &lt; 1/10)</w:t>
            </w:r>
          </w:p>
        </w:tc>
        <w:tc>
          <w:tcPr>
            <w:tcW w:w="1559" w:type="dxa"/>
          </w:tcPr>
          <w:p w14:paraId="67F1008A" w14:textId="77777777" w:rsidR="00FA409B" w:rsidRPr="007D2FD1" w:rsidRDefault="00FA409B" w:rsidP="00C76085">
            <w:pPr>
              <w:keepNext/>
              <w:keepLines/>
              <w:rPr>
                <w:rFonts w:asciiTheme="majorBidi" w:hAnsiTheme="majorBidi" w:cstheme="majorBidi"/>
                <w:b/>
                <w:bCs/>
                <w:color w:val="000000"/>
                <w:sz w:val="22"/>
                <w:szCs w:val="22"/>
                <w:lang w:val="sk-SK"/>
              </w:rPr>
            </w:pPr>
            <w:r w:rsidRPr="007D2FD1">
              <w:rPr>
                <w:rFonts w:asciiTheme="majorBidi" w:hAnsiTheme="majorBidi" w:cstheme="majorBidi"/>
                <w:b/>
                <w:bCs/>
                <w:color w:val="000000"/>
                <w:sz w:val="22"/>
                <w:szCs w:val="22"/>
                <w:lang w:val="sk-SK"/>
              </w:rPr>
              <w:t xml:space="preserve">Menej časté </w:t>
            </w:r>
          </w:p>
          <w:p w14:paraId="23AE8CB2" w14:textId="77777777" w:rsidR="00FA409B" w:rsidRPr="007D2FD1" w:rsidRDefault="00FA409B" w:rsidP="00C76085">
            <w:pPr>
              <w:keepNext/>
              <w:keepLines/>
              <w:rPr>
                <w:rFonts w:asciiTheme="majorBidi" w:hAnsiTheme="majorBidi" w:cstheme="majorBidi"/>
                <w:b/>
                <w:bCs/>
                <w:color w:val="000000"/>
                <w:sz w:val="22"/>
                <w:szCs w:val="22"/>
                <w:lang w:val="sk-SK"/>
              </w:rPr>
            </w:pPr>
          </w:p>
          <w:p w14:paraId="7A5844FA" w14:textId="77777777" w:rsidR="00FA409B" w:rsidRPr="007D2FD1" w:rsidRDefault="00FA409B" w:rsidP="00C76085">
            <w:pPr>
              <w:keepNext/>
              <w:keepLines/>
              <w:rPr>
                <w:rFonts w:asciiTheme="majorBidi" w:hAnsiTheme="majorBidi" w:cstheme="majorBidi"/>
                <w:b/>
                <w:bCs/>
                <w:sz w:val="22"/>
                <w:szCs w:val="22"/>
                <w:lang w:val="sk-SK"/>
              </w:rPr>
            </w:pPr>
            <w:r w:rsidRPr="007D2FD1">
              <w:rPr>
                <w:rFonts w:asciiTheme="majorBidi" w:hAnsiTheme="majorBidi" w:cstheme="majorBidi"/>
                <w:b/>
                <w:bCs/>
                <w:color w:val="000000"/>
                <w:sz w:val="22"/>
                <w:szCs w:val="22"/>
                <w:lang w:val="sk-SK"/>
              </w:rPr>
              <w:t>(≥ 1/1 000 až &lt; 1/100)</w:t>
            </w:r>
          </w:p>
        </w:tc>
        <w:tc>
          <w:tcPr>
            <w:tcW w:w="1418" w:type="dxa"/>
          </w:tcPr>
          <w:p w14:paraId="275B337E" w14:textId="77777777" w:rsidR="00FA409B" w:rsidRPr="007D2FD1" w:rsidRDefault="00FA409B" w:rsidP="00C76085">
            <w:pPr>
              <w:keepNext/>
              <w:keepLines/>
              <w:rPr>
                <w:rFonts w:asciiTheme="majorBidi" w:hAnsiTheme="majorBidi" w:cstheme="majorBidi"/>
                <w:b/>
                <w:bCs/>
                <w:color w:val="000000"/>
                <w:sz w:val="22"/>
                <w:szCs w:val="22"/>
                <w:lang w:val="sk-SK"/>
              </w:rPr>
            </w:pPr>
            <w:r w:rsidRPr="007D2FD1">
              <w:rPr>
                <w:rFonts w:asciiTheme="majorBidi" w:hAnsiTheme="majorBidi" w:cstheme="majorBidi"/>
                <w:b/>
                <w:bCs/>
                <w:color w:val="000000"/>
                <w:sz w:val="22"/>
                <w:szCs w:val="22"/>
                <w:lang w:val="sk-SK"/>
              </w:rPr>
              <w:t xml:space="preserve">Zriedkavé </w:t>
            </w:r>
          </w:p>
          <w:p w14:paraId="70D3283C" w14:textId="77777777" w:rsidR="00FA409B" w:rsidRPr="007D2FD1" w:rsidRDefault="00FA409B" w:rsidP="00C76085">
            <w:pPr>
              <w:keepNext/>
              <w:keepLines/>
              <w:rPr>
                <w:rFonts w:asciiTheme="majorBidi" w:hAnsiTheme="majorBidi" w:cstheme="majorBidi"/>
                <w:b/>
                <w:bCs/>
                <w:color w:val="000000"/>
                <w:sz w:val="22"/>
                <w:szCs w:val="22"/>
                <w:lang w:val="sk-SK"/>
              </w:rPr>
            </w:pPr>
          </w:p>
          <w:p w14:paraId="6FBB803A" w14:textId="77777777" w:rsidR="00FA409B" w:rsidRPr="007D2FD1" w:rsidRDefault="00FA409B" w:rsidP="00C76085">
            <w:pPr>
              <w:keepNext/>
              <w:keepLines/>
              <w:rPr>
                <w:rFonts w:asciiTheme="majorBidi" w:hAnsiTheme="majorBidi" w:cstheme="majorBidi"/>
                <w:b/>
                <w:bCs/>
                <w:sz w:val="22"/>
                <w:szCs w:val="22"/>
                <w:lang w:val="sk-SK"/>
              </w:rPr>
            </w:pPr>
            <w:r w:rsidRPr="007D2FD1">
              <w:rPr>
                <w:rFonts w:asciiTheme="majorBidi" w:hAnsiTheme="majorBidi" w:cstheme="majorBidi"/>
                <w:b/>
                <w:bCs/>
                <w:color w:val="000000"/>
                <w:sz w:val="22"/>
                <w:szCs w:val="22"/>
                <w:lang w:val="sk-SK"/>
              </w:rPr>
              <w:t>(≥ 1/10 000 až &lt; 1/1 000)</w:t>
            </w:r>
          </w:p>
        </w:tc>
        <w:tc>
          <w:tcPr>
            <w:tcW w:w="850" w:type="dxa"/>
          </w:tcPr>
          <w:p w14:paraId="073329C9" w14:textId="77777777" w:rsidR="00FA409B" w:rsidRPr="007D2FD1" w:rsidRDefault="00FA409B" w:rsidP="00C76085">
            <w:pPr>
              <w:keepNext/>
              <w:keepLines/>
              <w:rPr>
                <w:rFonts w:asciiTheme="majorBidi" w:hAnsiTheme="majorBidi" w:cstheme="majorBidi"/>
                <w:b/>
                <w:bCs/>
                <w:sz w:val="22"/>
                <w:szCs w:val="22"/>
                <w:lang w:val="sk-SK"/>
              </w:rPr>
            </w:pPr>
            <w:r w:rsidRPr="007D2FD1">
              <w:rPr>
                <w:rFonts w:asciiTheme="majorBidi" w:hAnsiTheme="majorBidi" w:cstheme="majorBidi"/>
                <w:b/>
                <w:bCs/>
                <w:sz w:val="22"/>
                <w:szCs w:val="22"/>
                <w:lang w:val="sk-SK"/>
              </w:rPr>
              <w:t>Veľmi zriedkavé (&lt; 1/10 000)</w:t>
            </w:r>
          </w:p>
        </w:tc>
        <w:tc>
          <w:tcPr>
            <w:tcW w:w="1666" w:type="dxa"/>
          </w:tcPr>
          <w:p w14:paraId="50D6A91C" w14:textId="77777777" w:rsidR="00FA409B" w:rsidRPr="007D2FD1" w:rsidRDefault="00FA409B" w:rsidP="00C76085">
            <w:pPr>
              <w:keepNext/>
              <w:keepLines/>
              <w:ind w:left="16"/>
              <w:rPr>
                <w:rFonts w:asciiTheme="majorBidi" w:hAnsiTheme="majorBidi" w:cstheme="majorBidi"/>
                <w:b/>
                <w:bCs/>
                <w:sz w:val="22"/>
                <w:szCs w:val="22"/>
                <w:lang w:val="sk-SK"/>
              </w:rPr>
            </w:pPr>
            <w:r w:rsidRPr="007D2FD1">
              <w:rPr>
                <w:rFonts w:asciiTheme="majorBidi" w:hAnsiTheme="majorBidi" w:cstheme="majorBidi"/>
                <w:b/>
                <w:bCs/>
                <w:sz w:val="22"/>
                <w:szCs w:val="22"/>
                <w:lang w:val="sk-SK"/>
              </w:rPr>
              <w:t>Neznáme (z dostupných údajov)</w:t>
            </w:r>
          </w:p>
        </w:tc>
      </w:tr>
      <w:tr w:rsidR="00FA409B" w:rsidRPr="007D2FD1" w14:paraId="7AA740B0" w14:textId="77777777" w:rsidTr="00C76085">
        <w:trPr>
          <w:trHeight w:val="297"/>
        </w:trPr>
        <w:tc>
          <w:tcPr>
            <w:tcW w:w="1538" w:type="dxa"/>
          </w:tcPr>
          <w:p w14:paraId="01D4F796" w14:textId="77777777" w:rsidR="00FA409B" w:rsidRPr="007D2FD1" w:rsidRDefault="00FA409B" w:rsidP="00C76085">
            <w:pPr>
              <w:keepNext/>
              <w:keepLines/>
              <w:rPr>
                <w:bCs/>
                <w:sz w:val="22"/>
                <w:szCs w:val="22"/>
                <w:lang w:val="sk-SK"/>
              </w:rPr>
            </w:pPr>
            <w:r w:rsidRPr="007D2FD1">
              <w:rPr>
                <w:b/>
                <w:sz w:val="22"/>
                <w:szCs w:val="22"/>
                <w:lang w:val="sk-SK"/>
              </w:rPr>
              <w:t>Infekcie a nákazy</w:t>
            </w:r>
          </w:p>
        </w:tc>
        <w:tc>
          <w:tcPr>
            <w:tcW w:w="1405" w:type="dxa"/>
          </w:tcPr>
          <w:p w14:paraId="622AE226" w14:textId="77777777" w:rsidR="00FA409B" w:rsidRPr="007D2FD1" w:rsidRDefault="00FA409B" w:rsidP="00C76085">
            <w:pPr>
              <w:keepNext/>
              <w:keepLines/>
              <w:rPr>
                <w:bCs/>
                <w:sz w:val="22"/>
                <w:szCs w:val="22"/>
                <w:lang w:val="sk-SK"/>
              </w:rPr>
            </w:pPr>
            <w:r w:rsidRPr="007D2FD1">
              <w:rPr>
                <w:sz w:val="22"/>
                <w:szCs w:val="22"/>
                <w:lang w:val="sk-SK"/>
              </w:rPr>
              <w:t>Infekcia</w:t>
            </w:r>
            <w:r w:rsidR="00C76085" w:rsidRPr="007D2FD1">
              <w:rPr>
                <w:sz w:val="22"/>
                <w:szCs w:val="22"/>
                <w:lang w:val="sk-SK"/>
              </w:rPr>
              <w:t xml:space="preserve">, </w:t>
            </w:r>
            <w:proofErr w:type="spellStart"/>
            <w:r w:rsidR="00C76085" w:rsidRPr="007D2FD1">
              <w:rPr>
                <w:sz w:val="22"/>
                <w:szCs w:val="22"/>
                <w:lang w:val="sk-SK"/>
              </w:rPr>
              <w:t>konjunktivitída</w:t>
            </w:r>
            <w:proofErr w:type="spellEnd"/>
          </w:p>
        </w:tc>
        <w:tc>
          <w:tcPr>
            <w:tcW w:w="1418" w:type="dxa"/>
          </w:tcPr>
          <w:p w14:paraId="2232AF8A" w14:textId="77777777" w:rsidR="00FA409B" w:rsidRPr="007D2FD1" w:rsidRDefault="00C76085" w:rsidP="00C76085">
            <w:pPr>
              <w:keepNext/>
              <w:keepLines/>
              <w:rPr>
                <w:sz w:val="22"/>
                <w:szCs w:val="22"/>
                <w:lang w:val="sk-SK"/>
              </w:rPr>
            </w:pPr>
            <w:proofErr w:type="spellStart"/>
            <w:r w:rsidRPr="007D2FD1">
              <w:rPr>
                <w:sz w:val="22"/>
                <w:szCs w:val="22"/>
              </w:rPr>
              <w:t>Bakteriálna</w:t>
            </w:r>
            <w:proofErr w:type="spellEnd"/>
            <w:r w:rsidRPr="007D2FD1">
              <w:rPr>
                <w:sz w:val="22"/>
                <w:szCs w:val="22"/>
              </w:rPr>
              <w:t xml:space="preserve"> </w:t>
            </w:r>
            <w:proofErr w:type="spellStart"/>
            <w:r w:rsidRPr="007D2FD1">
              <w:rPr>
                <w:sz w:val="22"/>
                <w:szCs w:val="22"/>
              </w:rPr>
              <w:t>cystitída</w:t>
            </w:r>
            <w:proofErr w:type="spellEnd"/>
            <w:r w:rsidR="00BB1FEE" w:rsidRPr="00FB7812">
              <w:rPr>
                <w:sz w:val="22"/>
                <w:szCs w:val="22"/>
                <w:vertAlign w:val="superscript"/>
              </w:rPr>
              <w:t>§</w:t>
            </w:r>
          </w:p>
        </w:tc>
        <w:tc>
          <w:tcPr>
            <w:tcW w:w="1559" w:type="dxa"/>
          </w:tcPr>
          <w:p w14:paraId="0D85028C" w14:textId="77777777" w:rsidR="00FA409B" w:rsidRPr="007D2FD1" w:rsidRDefault="00C76085" w:rsidP="00C76085">
            <w:pPr>
              <w:keepNext/>
              <w:keepLines/>
              <w:rPr>
                <w:sz w:val="22"/>
                <w:szCs w:val="22"/>
                <w:lang w:val="sk-SK"/>
              </w:rPr>
            </w:pPr>
            <w:r w:rsidRPr="007D2FD1">
              <w:rPr>
                <w:sz w:val="22"/>
                <w:szCs w:val="22"/>
                <w:lang w:val="sk-SK"/>
              </w:rPr>
              <w:t>Sepsa*, pneumónia*</w:t>
            </w:r>
          </w:p>
        </w:tc>
        <w:tc>
          <w:tcPr>
            <w:tcW w:w="1418" w:type="dxa"/>
          </w:tcPr>
          <w:p w14:paraId="42BF7E4A" w14:textId="77777777" w:rsidR="00FA409B" w:rsidRPr="007D2FD1" w:rsidRDefault="00FA409B" w:rsidP="00C76085">
            <w:pPr>
              <w:keepNext/>
              <w:keepLines/>
              <w:rPr>
                <w:sz w:val="22"/>
                <w:szCs w:val="22"/>
                <w:lang w:val="sk-SK"/>
              </w:rPr>
            </w:pPr>
          </w:p>
        </w:tc>
        <w:tc>
          <w:tcPr>
            <w:tcW w:w="850" w:type="dxa"/>
          </w:tcPr>
          <w:p w14:paraId="475CB705" w14:textId="77777777" w:rsidR="00FA409B" w:rsidRPr="007D2FD1" w:rsidRDefault="00FA409B" w:rsidP="00C76085">
            <w:pPr>
              <w:keepNext/>
              <w:keepLines/>
              <w:rPr>
                <w:sz w:val="22"/>
                <w:szCs w:val="22"/>
                <w:lang w:val="sk-SK"/>
              </w:rPr>
            </w:pPr>
          </w:p>
        </w:tc>
        <w:tc>
          <w:tcPr>
            <w:tcW w:w="1666" w:type="dxa"/>
          </w:tcPr>
          <w:p w14:paraId="4AE6285C" w14:textId="2C9238F1" w:rsidR="00FA409B" w:rsidRPr="007D2FD1" w:rsidRDefault="00FA409B" w:rsidP="00C76085">
            <w:pPr>
              <w:ind w:left="16"/>
              <w:rPr>
                <w:iCs/>
                <w:sz w:val="22"/>
                <w:szCs w:val="22"/>
                <w:lang w:val="sk-SK"/>
              </w:rPr>
            </w:pPr>
            <w:r w:rsidRPr="007D2FD1">
              <w:rPr>
                <w:sz w:val="22"/>
                <w:szCs w:val="22"/>
                <w:lang w:val="sk-SK"/>
              </w:rPr>
              <w:t xml:space="preserve">Septický šok, </w:t>
            </w:r>
            <w:r w:rsidR="00C76085" w:rsidRPr="007D2FD1">
              <w:rPr>
                <w:sz w:val="22"/>
                <w:szCs w:val="22"/>
                <w:lang w:val="sk-SK"/>
              </w:rPr>
              <w:t>celulitída</w:t>
            </w:r>
            <w:r w:rsidRPr="007D2FD1">
              <w:rPr>
                <w:sz w:val="22"/>
                <w:szCs w:val="22"/>
                <w:lang w:val="sk-SK"/>
              </w:rPr>
              <w:t xml:space="preserve"> </w:t>
            </w:r>
          </w:p>
        </w:tc>
      </w:tr>
      <w:tr w:rsidR="00FA409B" w:rsidRPr="00327CA4" w14:paraId="45277EA5" w14:textId="77777777" w:rsidTr="00C76085">
        <w:trPr>
          <w:trHeight w:val="404"/>
        </w:trPr>
        <w:tc>
          <w:tcPr>
            <w:tcW w:w="1538" w:type="dxa"/>
          </w:tcPr>
          <w:p w14:paraId="7D699605" w14:textId="77777777" w:rsidR="00FA409B" w:rsidRPr="007D2FD1" w:rsidRDefault="00FA409B" w:rsidP="00C76085">
            <w:pPr>
              <w:rPr>
                <w:bCs/>
                <w:sz w:val="22"/>
                <w:szCs w:val="22"/>
                <w:lang w:val="sk-SK"/>
              </w:rPr>
            </w:pPr>
            <w:r w:rsidRPr="007D2FD1">
              <w:rPr>
                <w:b/>
                <w:bCs/>
                <w:sz w:val="22"/>
                <w:szCs w:val="22"/>
                <w:lang w:val="sk-SK"/>
              </w:rPr>
              <w:t>Benígne a malígne nádory, vrátane nešpecifikovaných novotvarov (cysty a polypy)</w:t>
            </w:r>
          </w:p>
        </w:tc>
        <w:tc>
          <w:tcPr>
            <w:tcW w:w="1405" w:type="dxa"/>
          </w:tcPr>
          <w:p w14:paraId="56AD4835" w14:textId="77777777" w:rsidR="00FA409B" w:rsidRPr="007D2FD1" w:rsidRDefault="00FA409B" w:rsidP="00C76085">
            <w:pPr>
              <w:rPr>
                <w:bCs/>
                <w:sz w:val="22"/>
                <w:szCs w:val="22"/>
                <w:lang w:val="sk-SK"/>
              </w:rPr>
            </w:pPr>
          </w:p>
        </w:tc>
        <w:tc>
          <w:tcPr>
            <w:tcW w:w="1418" w:type="dxa"/>
          </w:tcPr>
          <w:p w14:paraId="50B805F9" w14:textId="77777777" w:rsidR="00FA409B" w:rsidRPr="007D2FD1" w:rsidRDefault="00FA409B" w:rsidP="00C76085">
            <w:pPr>
              <w:rPr>
                <w:iCs/>
                <w:sz w:val="22"/>
                <w:szCs w:val="22"/>
                <w:lang w:val="sk-SK"/>
              </w:rPr>
            </w:pPr>
          </w:p>
        </w:tc>
        <w:tc>
          <w:tcPr>
            <w:tcW w:w="1559" w:type="dxa"/>
          </w:tcPr>
          <w:p w14:paraId="3ECA10CD" w14:textId="77777777" w:rsidR="00FA409B" w:rsidRPr="007D2FD1" w:rsidRDefault="00FA409B" w:rsidP="00C76085">
            <w:pPr>
              <w:rPr>
                <w:sz w:val="22"/>
                <w:szCs w:val="22"/>
                <w:lang w:val="sk-SK"/>
              </w:rPr>
            </w:pPr>
            <w:r w:rsidRPr="007D2FD1">
              <w:rPr>
                <w:iCs/>
                <w:sz w:val="22"/>
                <w:szCs w:val="22"/>
                <w:lang w:val="sk-SK"/>
              </w:rPr>
              <w:t xml:space="preserve">Akútna </w:t>
            </w:r>
            <w:proofErr w:type="spellStart"/>
            <w:r w:rsidRPr="007D2FD1">
              <w:rPr>
                <w:iCs/>
                <w:sz w:val="22"/>
                <w:szCs w:val="22"/>
                <w:lang w:val="sk-SK"/>
              </w:rPr>
              <w:t>lymfocytická</w:t>
            </w:r>
            <w:proofErr w:type="spellEnd"/>
            <w:r w:rsidRPr="007D2FD1">
              <w:rPr>
                <w:iCs/>
                <w:sz w:val="22"/>
                <w:szCs w:val="22"/>
                <w:lang w:val="sk-SK"/>
              </w:rPr>
              <w:t xml:space="preserve"> leukémia, akútna </w:t>
            </w:r>
            <w:proofErr w:type="spellStart"/>
            <w:r w:rsidRPr="007D2FD1">
              <w:rPr>
                <w:iCs/>
                <w:sz w:val="22"/>
                <w:szCs w:val="22"/>
                <w:lang w:val="sk-SK"/>
              </w:rPr>
              <w:t>myelogénna</w:t>
            </w:r>
            <w:proofErr w:type="spellEnd"/>
            <w:r w:rsidRPr="007D2FD1">
              <w:rPr>
                <w:iCs/>
                <w:sz w:val="22"/>
                <w:szCs w:val="22"/>
                <w:lang w:val="sk-SK"/>
              </w:rPr>
              <w:t xml:space="preserve"> leukémia (pozri časť 4.4)</w:t>
            </w:r>
          </w:p>
        </w:tc>
        <w:tc>
          <w:tcPr>
            <w:tcW w:w="1418" w:type="dxa"/>
          </w:tcPr>
          <w:p w14:paraId="68F35F2A" w14:textId="77777777" w:rsidR="00FA409B" w:rsidRPr="007D2FD1" w:rsidRDefault="00FA409B" w:rsidP="00C76085">
            <w:pPr>
              <w:rPr>
                <w:iCs/>
                <w:sz w:val="22"/>
                <w:szCs w:val="22"/>
                <w:lang w:val="sk-SK"/>
              </w:rPr>
            </w:pPr>
          </w:p>
        </w:tc>
        <w:tc>
          <w:tcPr>
            <w:tcW w:w="850" w:type="dxa"/>
          </w:tcPr>
          <w:p w14:paraId="5B96AE2A" w14:textId="77777777" w:rsidR="00FA409B" w:rsidRPr="007D2FD1" w:rsidRDefault="00FA409B" w:rsidP="00C76085">
            <w:pPr>
              <w:rPr>
                <w:iCs/>
                <w:sz w:val="22"/>
                <w:szCs w:val="22"/>
                <w:lang w:val="sk-SK"/>
              </w:rPr>
            </w:pPr>
          </w:p>
        </w:tc>
        <w:tc>
          <w:tcPr>
            <w:tcW w:w="1666" w:type="dxa"/>
          </w:tcPr>
          <w:p w14:paraId="3EA46E47" w14:textId="77777777" w:rsidR="00FA409B" w:rsidRPr="007D2FD1" w:rsidRDefault="00FA409B" w:rsidP="00C76085">
            <w:pPr>
              <w:ind w:left="16"/>
              <w:rPr>
                <w:iCs/>
                <w:sz w:val="22"/>
                <w:szCs w:val="22"/>
                <w:lang w:val="sk-SK"/>
              </w:rPr>
            </w:pPr>
          </w:p>
        </w:tc>
      </w:tr>
      <w:tr w:rsidR="00FA409B" w:rsidRPr="00327CA4" w14:paraId="04152198" w14:textId="77777777" w:rsidTr="00C76085">
        <w:trPr>
          <w:trHeight w:val="785"/>
        </w:trPr>
        <w:tc>
          <w:tcPr>
            <w:tcW w:w="1538" w:type="dxa"/>
          </w:tcPr>
          <w:p w14:paraId="17326C84" w14:textId="77777777" w:rsidR="00FA409B" w:rsidRPr="007D2FD1" w:rsidRDefault="00FA409B" w:rsidP="00C76085">
            <w:pPr>
              <w:rPr>
                <w:bCs/>
                <w:sz w:val="22"/>
                <w:szCs w:val="22"/>
                <w:lang w:val="sk-SK"/>
              </w:rPr>
            </w:pPr>
            <w:r w:rsidRPr="007D2FD1">
              <w:rPr>
                <w:b/>
                <w:bCs/>
                <w:sz w:val="22"/>
                <w:szCs w:val="22"/>
                <w:lang w:val="sk-SK"/>
              </w:rPr>
              <w:t>Poruchy krvi a lymfatického systému</w:t>
            </w:r>
          </w:p>
        </w:tc>
        <w:tc>
          <w:tcPr>
            <w:tcW w:w="1405" w:type="dxa"/>
          </w:tcPr>
          <w:p w14:paraId="0479BF00" w14:textId="77777777" w:rsidR="00FA409B" w:rsidRPr="007D2FD1" w:rsidRDefault="00FA409B" w:rsidP="00C76085">
            <w:pPr>
              <w:rPr>
                <w:sz w:val="22"/>
                <w:szCs w:val="22"/>
                <w:lang w:val="sk-SK"/>
              </w:rPr>
            </w:pPr>
            <w:proofErr w:type="spellStart"/>
            <w:r w:rsidRPr="007D2FD1">
              <w:rPr>
                <w:iCs/>
                <w:sz w:val="22"/>
                <w:szCs w:val="22"/>
                <w:lang w:val="sk-SK"/>
              </w:rPr>
              <w:t>Myelosupresia</w:t>
            </w:r>
            <w:proofErr w:type="spellEnd"/>
            <w:r w:rsidRPr="007D2FD1">
              <w:rPr>
                <w:iCs/>
                <w:sz w:val="22"/>
                <w:szCs w:val="22"/>
                <w:lang w:val="sk-SK"/>
              </w:rPr>
              <w:t xml:space="preserve"> (</w:t>
            </w:r>
            <w:proofErr w:type="spellStart"/>
            <w:r w:rsidRPr="007D2FD1">
              <w:rPr>
                <w:iCs/>
                <w:sz w:val="22"/>
                <w:szCs w:val="22"/>
                <w:lang w:val="sk-SK"/>
              </w:rPr>
              <w:t>leukopénia</w:t>
            </w:r>
            <w:proofErr w:type="spellEnd"/>
            <w:r w:rsidRPr="007D2FD1">
              <w:rPr>
                <w:iCs/>
                <w:sz w:val="22"/>
                <w:szCs w:val="22"/>
                <w:lang w:val="sk-SK"/>
              </w:rPr>
              <w:t xml:space="preserve">, </w:t>
            </w:r>
            <w:proofErr w:type="spellStart"/>
            <w:r w:rsidRPr="007D2FD1">
              <w:rPr>
                <w:iCs/>
                <w:sz w:val="22"/>
                <w:szCs w:val="22"/>
                <w:lang w:val="sk-SK"/>
              </w:rPr>
              <w:t>granulocytopénia</w:t>
            </w:r>
            <w:proofErr w:type="spellEnd"/>
            <w:r w:rsidRPr="007D2FD1">
              <w:rPr>
                <w:iCs/>
                <w:sz w:val="22"/>
                <w:szCs w:val="22"/>
                <w:lang w:val="sk-SK"/>
              </w:rPr>
              <w:t xml:space="preserve"> a </w:t>
            </w:r>
            <w:proofErr w:type="spellStart"/>
            <w:r w:rsidRPr="007D2FD1">
              <w:rPr>
                <w:iCs/>
                <w:sz w:val="22"/>
                <w:szCs w:val="22"/>
                <w:lang w:val="sk-SK"/>
              </w:rPr>
              <w:t>neutropénia</w:t>
            </w:r>
            <w:proofErr w:type="spellEnd"/>
            <w:r w:rsidRPr="007D2FD1">
              <w:rPr>
                <w:iCs/>
                <w:sz w:val="22"/>
                <w:szCs w:val="22"/>
                <w:lang w:val="sk-SK"/>
              </w:rPr>
              <w:t xml:space="preserve">, anémia a </w:t>
            </w:r>
            <w:proofErr w:type="spellStart"/>
            <w:r w:rsidRPr="007D2FD1">
              <w:rPr>
                <w:iCs/>
                <w:sz w:val="22"/>
                <w:szCs w:val="22"/>
                <w:lang w:val="sk-SK"/>
              </w:rPr>
              <w:t>febrilná</w:t>
            </w:r>
            <w:proofErr w:type="spellEnd"/>
            <w:r w:rsidRPr="007D2FD1">
              <w:rPr>
                <w:iCs/>
                <w:sz w:val="22"/>
                <w:szCs w:val="22"/>
                <w:lang w:val="sk-SK"/>
              </w:rPr>
              <w:t xml:space="preserve"> </w:t>
            </w:r>
            <w:proofErr w:type="spellStart"/>
            <w:r w:rsidRPr="007D2FD1">
              <w:rPr>
                <w:iCs/>
                <w:sz w:val="22"/>
                <w:szCs w:val="22"/>
                <w:lang w:val="sk-SK"/>
              </w:rPr>
              <w:t>neutropénia</w:t>
            </w:r>
            <w:proofErr w:type="spellEnd"/>
            <w:r w:rsidRPr="007D2FD1">
              <w:rPr>
                <w:iCs/>
                <w:sz w:val="22"/>
                <w:szCs w:val="22"/>
                <w:lang w:val="sk-SK"/>
              </w:rPr>
              <w:t xml:space="preserve">, </w:t>
            </w:r>
            <w:proofErr w:type="spellStart"/>
            <w:r w:rsidRPr="007D2FD1">
              <w:rPr>
                <w:iCs/>
                <w:sz w:val="22"/>
                <w:szCs w:val="22"/>
                <w:lang w:val="sk-SK"/>
              </w:rPr>
              <w:t>trombocytopénia</w:t>
            </w:r>
            <w:proofErr w:type="spellEnd"/>
            <w:r w:rsidRPr="007D2FD1">
              <w:rPr>
                <w:iCs/>
                <w:sz w:val="22"/>
                <w:szCs w:val="22"/>
                <w:lang w:val="sk-SK"/>
              </w:rPr>
              <w:t>)</w:t>
            </w:r>
          </w:p>
        </w:tc>
        <w:tc>
          <w:tcPr>
            <w:tcW w:w="1418" w:type="dxa"/>
          </w:tcPr>
          <w:p w14:paraId="4DA11B92" w14:textId="77777777" w:rsidR="00FA409B" w:rsidRPr="007D2FD1" w:rsidRDefault="00FA409B" w:rsidP="00C76085">
            <w:pPr>
              <w:rPr>
                <w:iCs/>
                <w:sz w:val="22"/>
                <w:szCs w:val="22"/>
                <w:lang w:val="sk-SK"/>
              </w:rPr>
            </w:pPr>
          </w:p>
        </w:tc>
        <w:tc>
          <w:tcPr>
            <w:tcW w:w="1559" w:type="dxa"/>
          </w:tcPr>
          <w:p w14:paraId="38AB8F33" w14:textId="77777777" w:rsidR="00FA409B" w:rsidRPr="007D2FD1" w:rsidRDefault="00FA409B" w:rsidP="00C76085">
            <w:pPr>
              <w:rPr>
                <w:iCs/>
                <w:sz w:val="22"/>
                <w:szCs w:val="22"/>
                <w:lang w:val="sk-SK"/>
              </w:rPr>
            </w:pPr>
          </w:p>
        </w:tc>
        <w:tc>
          <w:tcPr>
            <w:tcW w:w="1418" w:type="dxa"/>
          </w:tcPr>
          <w:p w14:paraId="28A1653B" w14:textId="77777777" w:rsidR="00FA409B" w:rsidRPr="007D2FD1" w:rsidRDefault="00FA409B" w:rsidP="00C76085">
            <w:pPr>
              <w:rPr>
                <w:iCs/>
                <w:sz w:val="22"/>
                <w:szCs w:val="22"/>
                <w:lang w:val="sk-SK"/>
              </w:rPr>
            </w:pPr>
          </w:p>
        </w:tc>
        <w:tc>
          <w:tcPr>
            <w:tcW w:w="850" w:type="dxa"/>
          </w:tcPr>
          <w:p w14:paraId="52B549C5" w14:textId="77777777" w:rsidR="00FA409B" w:rsidRPr="007D2FD1" w:rsidRDefault="00FA409B" w:rsidP="00C76085">
            <w:pPr>
              <w:rPr>
                <w:iCs/>
                <w:sz w:val="22"/>
                <w:szCs w:val="22"/>
                <w:lang w:val="sk-SK"/>
              </w:rPr>
            </w:pPr>
          </w:p>
        </w:tc>
        <w:tc>
          <w:tcPr>
            <w:tcW w:w="1666" w:type="dxa"/>
          </w:tcPr>
          <w:p w14:paraId="0FDBF365" w14:textId="009F3C96" w:rsidR="00FA409B" w:rsidRPr="007D2FD1" w:rsidRDefault="00FA409B" w:rsidP="00C76085">
            <w:pPr>
              <w:ind w:left="16"/>
              <w:rPr>
                <w:iCs/>
                <w:sz w:val="22"/>
                <w:szCs w:val="22"/>
                <w:lang w:val="sk-SK"/>
              </w:rPr>
            </w:pPr>
          </w:p>
        </w:tc>
      </w:tr>
      <w:tr w:rsidR="00FA409B" w:rsidRPr="007D2FD1" w14:paraId="464A5A8B" w14:textId="77777777" w:rsidTr="00C76085">
        <w:trPr>
          <w:trHeight w:val="857"/>
        </w:trPr>
        <w:tc>
          <w:tcPr>
            <w:tcW w:w="1538" w:type="dxa"/>
          </w:tcPr>
          <w:p w14:paraId="39B664AA" w14:textId="77777777" w:rsidR="00FA409B" w:rsidRPr="007D2FD1" w:rsidRDefault="00FA409B" w:rsidP="00C76085">
            <w:pPr>
              <w:keepNext/>
              <w:keepLines/>
              <w:rPr>
                <w:sz w:val="22"/>
                <w:szCs w:val="22"/>
                <w:lang w:val="sk-SK"/>
              </w:rPr>
            </w:pPr>
            <w:r w:rsidRPr="007D2FD1">
              <w:rPr>
                <w:b/>
                <w:bCs/>
                <w:sz w:val="22"/>
                <w:szCs w:val="22"/>
                <w:lang w:val="sk-SK"/>
              </w:rPr>
              <w:t>Poruchy imunitného systému</w:t>
            </w:r>
          </w:p>
        </w:tc>
        <w:tc>
          <w:tcPr>
            <w:tcW w:w="1405" w:type="dxa"/>
          </w:tcPr>
          <w:p w14:paraId="25409A30" w14:textId="77777777" w:rsidR="00FA409B" w:rsidRPr="007D2FD1" w:rsidRDefault="00FA409B" w:rsidP="00C76085">
            <w:pPr>
              <w:keepNext/>
              <w:keepLines/>
              <w:rPr>
                <w:sz w:val="22"/>
                <w:szCs w:val="22"/>
                <w:lang w:val="sk-SK"/>
              </w:rPr>
            </w:pPr>
          </w:p>
        </w:tc>
        <w:tc>
          <w:tcPr>
            <w:tcW w:w="1418" w:type="dxa"/>
          </w:tcPr>
          <w:p w14:paraId="3A67E167" w14:textId="77777777" w:rsidR="00FA409B" w:rsidRPr="007D2FD1" w:rsidRDefault="00FA409B" w:rsidP="00C76085">
            <w:pPr>
              <w:keepNext/>
              <w:keepLines/>
              <w:rPr>
                <w:iCs/>
                <w:sz w:val="22"/>
                <w:szCs w:val="22"/>
                <w:lang w:val="sk-SK"/>
              </w:rPr>
            </w:pPr>
          </w:p>
        </w:tc>
        <w:tc>
          <w:tcPr>
            <w:tcW w:w="1559" w:type="dxa"/>
          </w:tcPr>
          <w:p w14:paraId="3E3F0E93" w14:textId="77777777" w:rsidR="00FA409B" w:rsidRPr="007D2FD1" w:rsidRDefault="00FA409B" w:rsidP="00C76085">
            <w:pPr>
              <w:keepNext/>
              <w:keepLines/>
              <w:rPr>
                <w:iCs/>
                <w:sz w:val="22"/>
                <w:szCs w:val="22"/>
                <w:lang w:val="sk-SK"/>
              </w:rPr>
            </w:pPr>
          </w:p>
        </w:tc>
        <w:tc>
          <w:tcPr>
            <w:tcW w:w="1418" w:type="dxa"/>
          </w:tcPr>
          <w:p w14:paraId="141EF54C" w14:textId="233609BB" w:rsidR="00FA409B" w:rsidRPr="007D2FD1" w:rsidRDefault="00C76085" w:rsidP="00F76C16">
            <w:pPr>
              <w:keepNext/>
              <w:keepLines/>
              <w:rPr>
                <w:iCs/>
                <w:color w:val="000000"/>
                <w:sz w:val="22"/>
                <w:szCs w:val="22"/>
                <w:lang w:val="sk-SK"/>
              </w:rPr>
            </w:pPr>
            <w:proofErr w:type="spellStart"/>
            <w:r w:rsidRPr="007D2FD1">
              <w:rPr>
                <w:iCs/>
                <w:sz w:val="22"/>
                <w:szCs w:val="22"/>
                <w:lang w:val="sk-SK"/>
              </w:rPr>
              <w:t>Anafylaktická</w:t>
            </w:r>
            <w:proofErr w:type="spellEnd"/>
            <w:r w:rsidRPr="007D2FD1">
              <w:rPr>
                <w:iCs/>
                <w:sz w:val="22"/>
                <w:szCs w:val="22"/>
                <w:lang w:val="sk-SK"/>
              </w:rPr>
              <w:t xml:space="preserve"> reakcia</w:t>
            </w:r>
            <w:r w:rsidR="00C02BB6" w:rsidRPr="00C02BB6">
              <w:rPr>
                <w:iCs/>
                <w:sz w:val="22"/>
                <w:szCs w:val="22"/>
                <w:lang w:val="sk-SK"/>
              </w:rPr>
              <w:t>*</w:t>
            </w:r>
            <w:r w:rsidRPr="007D2FD1">
              <w:rPr>
                <w:iCs/>
                <w:sz w:val="22"/>
                <w:szCs w:val="22"/>
                <w:lang w:val="sk-SK"/>
              </w:rPr>
              <w:t xml:space="preserve"> </w:t>
            </w:r>
            <w:r w:rsidR="00FA409B" w:rsidRPr="007D2FD1">
              <w:rPr>
                <w:iCs/>
                <w:sz w:val="22"/>
                <w:szCs w:val="22"/>
                <w:lang w:val="sk-SK"/>
              </w:rPr>
              <w:t>vrátane kožnej vyrážky, svrbenia, horúčky a triašky,</w:t>
            </w:r>
            <w:r w:rsidR="00FA409B" w:rsidRPr="007D2FD1">
              <w:rPr>
                <w:iCs/>
                <w:color w:val="000000"/>
                <w:sz w:val="22"/>
                <w:szCs w:val="22"/>
                <w:lang w:val="sk-SK"/>
              </w:rPr>
              <w:t xml:space="preserve"> alergické reakcie po </w:t>
            </w:r>
            <w:proofErr w:type="spellStart"/>
            <w:r w:rsidR="00FA409B" w:rsidRPr="007D2FD1">
              <w:rPr>
                <w:iCs/>
                <w:color w:val="000000"/>
                <w:sz w:val="22"/>
                <w:szCs w:val="22"/>
                <w:lang w:val="sk-SK"/>
              </w:rPr>
              <w:t>intravezikálnom</w:t>
            </w:r>
            <w:proofErr w:type="spellEnd"/>
            <w:r w:rsidR="00FA409B" w:rsidRPr="007D2FD1">
              <w:rPr>
                <w:iCs/>
                <w:color w:val="000000"/>
                <w:sz w:val="22"/>
                <w:szCs w:val="22"/>
                <w:lang w:val="sk-SK"/>
              </w:rPr>
              <w:t xml:space="preserve"> podávaní</w:t>
            </w:r>
            <w:r w:rsidRPr="007D2FD1">
              <w:rPr>
                <w:iCs/>
                <w:color w:val="000000"/>
                <w:sz w:val="22"/>
                <w:szCs w:val="22"/>
                <w:lang w:val="sk-SK"/>
              </w:rPr>
              <w:t>, precitlivenosť</w:t>
            </w:r>
          </w:p>
        </w:tc>
        <w:tc>
          <w:tcPr>
            <w:tcW w:w="850" w:type="dxa"/>
          </w:tcPr>
          <w:p w14:paraId="02B51A90" w14:textId="77777777" w:rsidR="00FA409B" w:rsidRPr="007D2FD1" w:rsidRDefault="00FA409B" w:rsidP="00C76085">
            <w:pPr>
              <w:keepNext/>
              <w:keepLines/>
              <w:rPr>
                <w:iCs/>
                <w:sz w:val="22"/>
                <w:szCs w:val="22"/>
                <w:lang w:val="sk-SK"/>
              </w:rPr>
            </w:pPr>
          </w:p>
        </w:tc>
        <w:tc>
          <w:tcPr>
            <w:tcW w:w="1666" w:type="dxa"/>
          </w:tcPr>
          <w:p w14:paraId="78C8B165" w14:textId="77777777" w:rsidR="00FA409B" w:rsidRPr="007D2FD1" w:rsidRDefault="00C76085" w:rsidP="00C76085">
            <w:pPr>
              <w:keepNext/>
              <w:keepLines/>
              <w:ind w:left="16"/>
              <w:rPr>
                <w:iCs/>
                <w:sz w:val="22"/>
                <w:szCs w:val="22"/>
                <w:lang w:val="sk-SK"/>
              </w:rPr>
            </w:pPr>
            <w:proofErr w:type="spellStart"/>
            <w:r w:rsidRPr="007D2FD1">
              <w:rPr>
                <w:iCs/>
                <w:sz w:val="22"/>
                <w:szCs w:val="22"/>
                <w:lang w:val="sk-SK"/>
              </w:rPr>
              <w:t>Anafylaktický</w:t>
            </w:r>
            <w:proofErr w:type="spellEnd"/>
            <w:r w:rsidRPr="007D2FD1">
              <w:rPr>
                <w:iCs/>
                <w:sz w:val="22"/>
                <w:szCs w:val="22"/>
                <w:lang w:val="sk-SK"/>
              </w:rPr>
              <w:t xml:space="preserve"> šok</w:t>
            </w:r>
          </w:p>
        </w:tc>
      </w:tr>
      <w:tr w:rsidR="00FA409B" w:rsidRPr="007D2FD1" w14:paraId="3097FD45" w14:textId="77777777" w:rsidTr="00C76085">
        <w:trPr>
          <w:trHeight w:val="243"/>
        </w:trPr>
        <w:tc>
          <w:tcPr>
            <w:tcW w:w="1538" w:type="dxa"/>
          </w:tcPr>
          <w:p w14:paraId="2D8051CD" w14:textId="77777777" w:rsidR="00FA409B" w:rsidRPr="007D2FD1" w:rsidRDefault="00FA409B" w:rsidP="00C76085">
            <w:pPr>
              <w:keepNext/>
              <w:rPr>
                <w:b/>
                <w:bCs/>
                <w:sz w:val="22"/>
                <w:szCs w:val="22"/>
                <w:lang w:val="sk-SK"/>
              </w:rPr>
            </w:pPr>
            <w:r w:rsidRPr="007D2FD1">
              <w:rPr>
                <w:b/>
                <w:bCs/>
                <w:sz w:val="22"/>
                <w:szCs w:val="22"/>
                <w:lang w:val="sk-SK"/>
              </w:rPr>
              <w:t>Poruchy metabolizmu a výživy</w:t>
            </w:r>
          </w:p>
        </w:tc>
        <w:tc>
          <w:tcPr>
            <w:tcW w:w="1405" w:type="dxa"/>
          </w:tcPr>
          <w:p w14:paraId="2ECEEE01" w14:textId="6B201DA7" w:rsidR="00FA409B" w:rsidRPr="007D2FD1" w:rsidRDefault="00FA409B" w:rsidP="00C76085">
            <w:pPr>
              <w:keepNext/>
              <w:rPr>
                <w:sz w:val="22"/>
                <w:szCs w:val="22"/>
                <w:lang w:val="sk-SK"/>
              </w:rPr>
            </w:pPr>
          </w:p>
        </w:tc>
        <w:tc>
          <w:tcPr>
            <w:tcW w:w="1418" w:type="dxa"/>
          </w:tcPr>
          <w:p w14:paraId="538D6F9C" w14:textId="0ED04ECD" w:rsidR="00FA409B" w:rsidRPr="007D2FD1" w:rsidRDefault="00C76085" w:rsidP="00C76085">
            <w:pPr>
              <w:keepNext/>
              <w:rPr>
                <w:sz w:val="22"/>
                <w:szCs w:val="22"/>
                <w:lang w:val="sk-SK"/>
              </w:rPr>
            </w:pPr>
            <w:r w:rsidRPr="007D2FD1">
              <w:rPr>
                <w:sz w:val="22"/>
                <w:szCs w:val="22"/>
                <w:lang w:val="sk-SK"/>
              </w:rPr>
              <w:t>Strata chuti do jedla, d</w:t>
            </w:r>
            <w:r w:rsidR="00FA409B" w:rsidRPr="007D2FD1">
              <w:rPr>
                <w:sz w:val="22"/>
                <w:szCs w:val="22"/>
                <w:lang w:val="sk-SK"/>
              </w:rPr>
              <w:t>ehydratácia</w:t>
            </w:r>
            <w:r w:rsidRPr="007D2FD1">
              <w:rPr>
                <w:sz w:val="22"/>
                <w:szCs w:val="22"/>
                <w:lang w:val="sk-SK"/>
              </w:rPr>
              <w:t>*</w:t>
            </w:r>
          </w:p>
        </w:tc>
        <w:tc>
          <w:tcPr>
            <w:tcW w:w="1559" w:type="dxa"/>
          </w:tcPr>
          <w:p w14:paraId="73FF85F1" w14:textId="77777777" w:rsidR="00FA409B" w:rsidRPr="007D2FD1" w:rsidRDefault="00FA409B" w:rsidP="00C76085">
            <w:pPr>
              <w:keepNext/>
              <w:rPr>
                <w:sz w:val="22"/>
                <w:szCs w:val="22"/>
                <w:lang w:val="sk-SK"/>
              </w:rPr>
            </w:pPr>
          </w:p>
        </w:tc>
        <w:tc>
          <w:tcPr>
            <w:tcW w:w="1418" w:type="dxa"/>
          </w:tcPr>
          <w:p w14:paraId="2CC25953" w14:textId="77777777" w:rsidR="00FA409B" w:rsidRPr="007D2FD1" w:rsidRDefault="00FA409B" w:rsidP="00C76085">
            <w:pPr>
              <w:keepNext/>
              <w:rPr>
                <w:sz w:val="22"/>
                <w:szCs w:val="22"/>
                <w:lang w:val="sk-SK"/>
              </w:rPr>
            </w:pPr>
            <w:proofErr w:type="spellStart"/>
            <w:r w:rsidRPr="007D2FD1">
              <w:rPr>
                <w:sz w:val="22"/>
                <w:szCs w:val="22"/>
                <w:lang w:val="sk-SK"/>
              </w:rPr>
              <w:t>Hyperurikémia</w:t>
            </w:r>
            <w:proofErr w:type="spellEnd"/>
            <w:r w:rsidR="00C76085" w:rsidRPr="007D2FD1">
              <w:rPr>
                <w:sz w:val="22"/>
                <w:szCs w:val="22"/>
                <w:lang w:val="sk-SK"/>
              </w:rPr>
              <w:t>*</w:t>
            </w:r>
            <w:r w:rsidRPr="007D2FD1">
              <w:rPr>
                <w:sz w:val="22"/>
                <w:szCs w:val="22"/>
                <w:lang w:val="sk-SK"/>
              </w:rPr>
              <w:t xml:space="preserve"> (pozri časť 4.4)</w:t>
            </w:r>
          </w:p>
        </w:tc>
        <w:tc>
          <w:tcPr>
            <w:tcW w:w="850" w:type="dxa"/>
          </w:tcPr>
          <w:p w14:paraId="36E998D9" w14:textId="77777777" w:rsidR="00FA409B" w:rsidRPr="007D2FD1" w:rsidRDefault="00FA409B" w:rsidP="00C76085">
            <w:pPr>
              <w:keepNext/>
              <w:rPr>
                <w:sz w:val="22"/>
                <w:szCs w:val="22"/>
                <w:lang w:val="sk-SK"/>
              </w:rPr>
            </w:pPr>
          </w:p>
        </w:tc>
        <w:tc>
          <w:tcPr>
            <w:tcW w:w="1666" w:type="dxa"/>
          </w:tcPr>
          <w:p w14:paraId="3A99928D" w14:textId="77777777" w:rsidR="00FA409B" w:rsidRPr="007D2FD1" w:rsidRDefault="00FA409B" w:rsidP="00C76085">
            <w:pPr>
              <w:keepNext/>
              <w:ind w:left="16"/>
              <w:rPr>
                <w:sz w:val="22"/>
                <w:szCs w:val="22"/>
                <w:lang w:val="sk-SK"/>
              </w:rPr>
            </w:pPr>
          </w:p>
        </w:tc>
      </w:tr>
      <w:tr w:rsidR="00FA409B" w:rsidRPr="007D2FD1" w14:paraId="0D69A5D3" w14:textId="77777777" w:rsidTr="00C76085">
        <w:trPr>
          <w:trHeight w:val="241"/>
        </w:trPr>
        <w:tc>
          <w:tcPr>
            <w:tcW w:w="1538" w:type="dxa"/>
          </w:tcPr>
          <w:p w14:paraId="23EDD288" w14:textId="77777777" w:rsidR="00FA409B" w:rsidRPr="007D2FD1" w:rsidRDefault="00FA409B" w:rsidP="00C76085">
            <w:pPr>
              <w:rPr>
                <w:sz w:val="22"/>
                <w:szCs w:val="22"/>
                <w:lang w:val="sk-SK"/>
              </w:rPr>
            </w:pPr>
            <w:r w:rsidRPr="007D2FD1">
              <w:rPr>
                <w:b/>
                <w:sz w:val="22"/>
                <w:szCs w:val="22"/>
                <w:lang w:val="sk-SK"/>
              </w:rPr>
              <w:t>Poruchy oka</w:t>
            </w:r>
          </w:p>
        </w:tc>
        <w:tc>
          <w:tcPr>
            <w:tcW w:w="1405" w:type="dxa"/>
          </w:tcPr>
          <w:p w14:paraId="75B2798E" w14:textId="77777777" w:rsidR="00FA409B" w:rsidRPr="007D2FD1" w:rsidRDefault="00C76085" w:rsidP="00C76085">
            <w:pPr>
              <w:rPr>
                <w:sz w:val="22"/>
                <w:szCs w:val="22"/>
                <w:lang w:val="sk-SK"/>
              </w:rPr>
            </w:pPr>
            <w:proofErr w:type="spellStart"/>
            <w:r w:rsidRPr="007D2FD1">
              <w:rPr>
                <w:sz w:val="22"/>
                <w:szCs w:val="22"/>
                <w:lang w:val="sk-SK"/>
              </w:rPr>
              <w:t>Keratitída</w:t>
            </w:r>
            <w:proofErr w:type="spellEnd"/>
          </w:p>
        </w:tc>
        <w:tc>
          <w:tcPr>
            <w:tcW w:w="1418" w:type="dxa"/>
          </w:tcPr>
          <w:p w14:paraId="5AEE27BB" w14:textId="77777777" w:rsidR="00FA409B" w:rsidRPr="007D2FD1" w:rsidRDefault="00FA409B" w:rsidP="00C76085">
            <w:pPr>
              <w:rPr>
                <w:iCs/>
                <w:sz w:val="22"/>
                <w:szCs w:val="22"/>
                <w:lang w:val="sk-SK"/>
              </w:rPr>
            </w:pPr>
          </w:p>
        </w:tc>
        <w:tc>
          <w:tcPr>
            <w:tcW w:w="1559" w:type="dxa"/>
          </w:tcPr>
          <w:p w14:paraId="7D77278B" w14:textId="686BC013" w:rsidR="00FA409B" w:rsidRPr="007D2FD1" w:rsidRDefault="00FA409B" w:rsidP="00C76085">
            <w:pPr>
              <w:rPr>
                <w:sz w:val="22"/>
                <w:szCs w:val="22"/>
                <w:lang w:val="sk-SK"/>
              </w:rPr>
            </w:pPr>
          </w:p>
        </w:tc>
        <w:tc>
          <w:tcPr>
            <w:tcW w:w="1418" w:type="dxa"/>
          </w:tcPr>
          <w:p w14:paraId="5F34EDF0" w14:textId="77777777" w:rsidR="00FA409B" w:rsidRPr="007D2FD1" w:rsidRDefault="00FA409B" w:rsidP="00C76085">
            <w:pPr>
              <w:rPr>
                <w:iCs/>
                <w:sz w:val="22"/>
                <w:szCs w:val="22"/>
                <w:lang w:val="sk-SK"/>
              </w:rPr>
            </w:pPr>
          </w:p>
        </w:tc>
        <w:tc>
          <w:tcPr>
            <w:tcW w:w="850" w:type="dxa"/>
          </w:tcPr>
          <w:p w14:paraId="0C990681" w14:textId="77777777" w:rsidR="00FA409B" w:rsidRPr="007D2FD1" w:rsidRDefault="00FA409B" w:rsidP="00C76085">
            <w:pPr>
              <w:rPr>
                <w:iCs/>
                <w:sz w:val="22"/>
                <w:szCs w:val="22"/>
                <w:lang w:val="sk-SK"/>
              </w:rPr>
            </w:pPr>
          </w:p>
        </w:tc>
        <w:tc>
          <w:tcPr>
            <w:tcW w:w="1666" w:type="dxa"/>
          </w:tcPr>
          <w:p w14:paraId="659B2F12" w14:textId="77777777" w:rsidR="00FA409B" w:rsidRPr="007D2FD1" w:rsidRDefault="00FA409B" w:rsidP="00C76085">
            <w:pPr>
              <w:ind w:left="16"/>
              <w:rPr>
                <w:iCs/>
                <w:sz w:val="22"/>
                <w:szCs w:val="22"/>
                <w:lang w:val="sk-SK"/>
              </w:rPr>
            </w:pPr>
          </w:p>
        </w:tc>
      </w:tr>
      <w:tr w:rsidR="00FA409B" w:rsidRPr="00C02BB6" w14:paraId="54994727" w14:textId="77777777" w:rsidTr="00C76085">
        <w:trPr>
          <w:trHeight w:val="420"/>
        </w:trPr>
        <w:tc>
          <w:tcPr>
            <w:tcW w:w="1538" w:type="dxa"/>
          </w:tcPr>
          <w:p w14:paraId="290B52CA" w14:textId="77777777" w:rsidR="00FA409B" w:rsidRPr="007D2FD1" w:rsidRDefault="00FA409B" w:rsidP="00C76085">
            <w:pPr>
              <w:rPr>
                <w:bCs/>
                <w:sz w:val="22"/>
                <w:szCs w:val="22"/>
                <w:lang w:val="sk-SK"/>
              </w:rPr>
            </w:pPr>
            <w:r w:rsidRPr="007D2FD1">
              <w:rPr>
                <w:b/>
                <w:bCs/>
                <w:sz w:val="22"/>
                <w:szCs w:val="22"/>
                <w:lang w:val="sk-SK"/>
              </w:rPr>
              <w:t>Poruchy srdca a srdcovej činnosti</w:t>
            </w:r>
          </w:p>
        </w:tc>
        <w:tc>
          <w:tcPr>
            <w:tcW w:w="1405" w:type="dxa"/>
          </w:tcPr>
          <w:p w14:paraId="3273DFA2" w14:textId="77777777" w:rsidR="00FA409B" w:rsidRPr="007D2FD1" w:rsidRDefault="00FA409B" w:rsidP="00C76085">
            <w:pPr>
              <w:rPr>
                <w:bCs/>
                <w:sz w:val="22"/>
                <w:szCs w:val="22"/>
                <w:lang w:val="sk-SK"/>
              </w:rPr>
            </w:pPr>
          </w:p>
        </w:tc>
        <w:tc>
          <w:tcPr>
            <w:tcW w:w="1418" w:type="dxa"/>
          </w:tcPr>
          <w:p w14:paraId="225711EF" w14:textId="08B47C30" w:rsidR="00FA409B" w:rsidRPr="007D2FD1" w:rsidRDefault="00C76085" w:rsidP="00C76085">
            <w:pPr>
              <w:rPr>
                <w:sz w:val="22"/>
                <w:szCs w:val="22"/>
                <w:lang w:val="sk-SK"/>
              </w:rPr>
            </w:pPr>
            <w:proofErr w:type="spellStart"/>
            <w:r w:rsidRPr="007D2FD1">
              <w:rPr>
                <w:iCs/>
                <w:color w:val="000000"/>
                <w:sz w:val="22"/>
                <w:szCs w:val="22"/>
                <w:lang w:val="sk-SK"/>
              </w:rPr>
              <w:t>Ventrikulárna</w:t>
            </w:r>
            <w:proofErr w:type="spellEnd"/>
            <w:r w:rsidRPr="007D2FD1">
              <w:rPr>
                <w:iCs/>
                <w:color w:val="000000"/>
                <w:sz w:val="22"/>
                <w:szCs w:val="22"/>
                <w:lang w:val="sk-SK"/>
              </w:rPr>
              <w:t xml:space="preserve"> </w:t>
            </w:r>
            <w:proofErr w:type="spellStart"/>
            <w:r w:rsidRPr="007D2FD1">
              <w:rPr>
                <w:iCs/>
                <w:color w:val="000000"/>
                <w:sz w:val="22"/>
                <w:szCs w:val="22"/>
                <w:lang w:val="sk-SK"/>
              </w:rPr>
              <w:t>tachykardia</w:t>
            </w:r>
            <w:proofErr w:type="spellEnd"/>
            <w:r w:rsidRPr="007D2FD1">
              <w:rPr>
                <w:iCs/>
                <w:color w:val="000000"/>
                <w:sz w:val="22"/>
                <w:szCs w:val="22"/>
                <w:lang w:val="sk-SK"/>
              </w:rPr>
              <w:t>, AV blok, blokád</w:t>
            </w:r>
            <w:r w:rsidR="008D16C9">
              <w:rPr>
                <w:iCs/>
                <w:color w:val="000000"/>
                <w:sz w:val="22"/>
                <w:szCs w:val="22"/>
                <w:lang w:val="sk-SK"/>
              </w:rPr>
              <w:t>a</w:t>
            </w:r>
            <w:r w:rsidRPr="007D2FD1">
              <w:rPr>
                <w:iCs/>
                <w:color w:val="000000"/>
                <w:sz w:val="22"/>
                <w:szCs w:val="22"/>
                <w:lang w:val="sk-SK"/>
              </w:rPr>
              <w:t xml:space="preserve"> ramienka</w:t>
            </w:r>
            <w:r w:rsidR="008D16C9">
              <w:rPr>
                <w:iCs/>
                <w:color w:val="000000"/>
                <w:sz w:val="22"/>
                <w:szCs w:val="22"/>
                <w:lang w:val="sk-SK"/>
              </w:rPr>
              <w:t xml:space="preserve">, </w:t>
            </w:r>
            <w:r w:rsidR="008D16C9" w:rsidRPr="007D2FD1">
              <w:rPr>
                <w:iCs/>
                <w:color w:val="000000"/>
                <w:sz w:val="22"/>
                <w:szCs w:val="22"/>
                <w:lang w:val="sk-SK"/>
              </w:rPr>
              <w:t>bradykardia</w:t>
            </w:r>
            <w:r w:rsidRPr="007D2FD1">
              <w:rPr>
                <w:iCs/>
                <w:color w:val="000000"/>
                <w:sz w:val="22"/>
                <w:szCs w:val="22"/>
                <w:lang w:val="sk-SK"/>
              </w:rPr>
              <w:t xml:space="preserve"> (pozri časť 4.4), </w:t>
            </w:r>
            <w:proofErr w:type="spellStart"/>
            <w:r w:rsidRPr="007D2FD1">
              <w:rPr>
                <w:iCs/>
                <w:color w:val="000000"/>
                <w:sz w:val="22"/>
                <w:szCs w:val="22"/>
                <w:lang w:val="sk-SK"/>
              </w:rPr>
              <w:lastRenderedPageBreak/>
              <w:t>k</w:t>
            </w:r>
            <w:r w:rsidR="00FA409B" w:rsidRPr="007D2FD1">
              <w:rPr>
                <w:iCs/>
                <w:color w:val="000000"/>
                <w:sz w:val="22"/>
                <w:szCs w:val="22"/>
                <w:lang w:val="sk-SK"/>
              </w:rPr>
              <w:t>ongestívne</w:t>
            </w:r>
            <w:proofErr w:type="spellEnd"/>
            <w:r w:rsidR="00FA409B" w:rsidRPr="007D2FD1">
              <w:rPr>
                <w:iCs/>
                <w:color w:val="000000"/>
                <w:sz w:val="22"/>
                <w:szCs w:val="22"/>
                <w:lang w:val="sk-SK"/>
              </w:rPr>
              <w:t xml:space="preserve"> zlyhanie srdca (</w:t>
            </w:r>
            <w:proofErr w:type="spellStart"/>
            <w:r w:rsidR="00FA409B" w:rsidRPr="007D2FD1">
              <w:rPr>
                <w:i/>
                <w:iCs/>
                <w:sz w:val="22"/>
                <w:szCs w:val="22"/>
                <w:lang w:val="sk-SK"/>
              </w:rPr>
              <w:t>congestive</w:t>
            </w:r>
            <w:proofErr w:type="spellEnd"/>
            <w:r w:rsidR="00FA409B" w:rsidRPr="007D2FD1">
              <w:rPr>
                <w:i/>
                <w:iCs/>
                <w:sz w:val="22"/>
                <w:szCs w:val="22"/>
                <w:lang w:val="sk-SK"/>
              </w:rPr>
              <w:t xml:space="preserve"> </w:t>
            </w:r>
            <w:proofErr w:type="spellStart"/>
            <w:r w:rsidR="00FA409B" w:rsidRPr="007D2FD1">
              <w:rPr>
                <w:i/>
                <w:iCs/>
                <w:sz w:val="22"/>
                <w:szCs w:val="22"/>
                <w:lang w:val="sk-SK"/>
              </w:rPr>
              <w:t>heart</w:t>
            </w:r>
            <w:proofErr w:type="spellEnd"/>
            <w:r w:rsidR="00FA409B" w:rsidRPr="007D2FD1">
              <w:rPr>
                <w:i/>
                <w:iCs/>
                <w:sz w:val="22"/>
                <w:szCs w:val="22"/>
                <w:lang w:val="sk-SK"/>
              </w:rPr>
              <w:t xml:space="preserve"> </w:t>
            </w:r>
            <w:proofErr w:type="spellStart"/>
            <w:r w:rsidR="00FA409B" w:rsidRPr="007D2FD1">
              <w:rPr>
                <w:i/>
                <w:iCs/>
                <w:sz w:val="22"/>
                <w:szCs w:val="22"/>
                <w:lang w:val="sk-SK"/>
              </w:rPr>
              <w:t>failure</w:t>
            </w:r>
            <w:proofErr w:type="spellEnd"/>
            <w:r w:rsidR="00FA409B" w:rsidRPr="007D2FD1">
              <w:rPr>
                <w:i/>
                <w:iCs/>
                <w:color w:val="000000"/>
                <w:sz w:val="22"/>
                <w:szCs w:val="22"/>
                <w:lang w:val="sk-SK"/>
              </w:rPr>
              <w:t xml:space="preserve"> ,</w:t>
            </w:r>
            <w:r w:rsidR="00FA409B" w:rsidRPr="007D2FD1">
              <w:rPr>
                <w:iCs/>
                <w:color w:val="000000"/>
                <w:sz w:val="22"/>
                <w:szCs w:val="22"/>
                <w:lang w:val="sk-SK"/>
              </w:rPr>
              <w:t>CHF), (</w:t>
            </w:r>
            <w:proofErr w:type="spellStart"/>
            <w:r w:rsidR="00FA409B" w:rsidRPr="007D2FD1">
              <w:rPr>
                <w:iCs/>
                <w:color w:val="000000"/>
                <w:sz w:val="22"/>
                <w:szCs w:val="22"/>
                <w:lang w:val="sk-SK"/>
              </w:rPr>
              <w:t>dyspnoe</w:t>
            </w:r>
            <w:proofErr w:type="spellEnd"/>
            <w:r w:rsidR="00FA409B" w:rsidRPr="007D2FD1">
              <w:rPr>
                <w:iCs/>
                <w:color w:val="000000"/>
                <w:sz w:val="22"/>
                <w:szCs w:val="22"/>
                <w:lang w:val="sk-SK"/>
              </w:rPr>
              <w:t xml:space="preserve">, edém, </w:t>
            </w:r>
            <w:proofErr w:type="spellStart"/>
            <w:r w:rsidR="00FA409B" w:rsidRPr="007D2FD1">
              <w:rPr>
                <w:iCs/>
                <w:color w:val="000000"/>
                <w:sz w:val="22"/>
                <w:szCs w:val="22"/>
                <w:lang w:val="sk-SK"/>
              </w:rPr>
              <w:t>hepatomegália</w:t>
            </w:r>
            <w:proofErr w:type="spellEnd"/>
            <w:r w:rsidR="00FA409B" w:rsidRPr="007D2FD1">
              <w:rPr>
                <w:iCs/>
                <w:color w:val="000000"/>
                <w:sz w:val="22"/>
                <w:szCs w:val="22"/>
                <w:lang w:val="sk-SK"/>
              </w:rPr>
              <w:t xml:space="preserve">, </w:t>
            </w:r>
            <w:proofErr w:type="spellStart"/>
            <w:r w:rsidR="00FA409B" w:rsidRPr="007D2FD1">
              <w:rPr>
                <w:iCs/>
                <w:color w:val="000000"/>
                <w:sz w:val="22"/>
                <w:szCs w:val="22"/>
                <w:lang w:val="sk-SK"/>
              </w:rPr>
              <w:t>ascites</w:t>
            </w:r>
            <w:proofErr w:type="spellEnd"/>
            <w:r w:rsidR="00FA409B" w:rsidRPr="007D2FD1">
              <w:rPr>
                <w:iCs/>
                <w:color w:val="000000"/>
                <w:sz w:val="22"/>
                <w:szCs w:val="22"/>
                <w:lang w:val="sk-SK"/>
              </w:rPr>
              <w:t xml:space="preserve">, pľúcny edém, </w:t>
            </w:r>
            <w:proofErr w:type="spellStart"/>
            <w:r w:rsidR="00FA409B" w:rsidRPr="007D2FD1">
              <w:rPr>
                <w:iCs/>
                <w:color w:val="000000"/>
                <w:sz w:val="22"/>
                <w:szCs w:val="22"/>
                <w:lang w:val="sk-SK"/>
              </w:rPr>
              <w:t>pleurálna</w:t>
            </w:r>
            <w:proofErr w:type="spellEnd"/>
            <w:r w:rsidR="00FA409B" w:rsidRPr="007D2FD1">
              <w:rPr>
                <w:iCs/>
                <w:color w:val="000000"/>
                <w:sz w:val="22"/>
                <w:szCs w:val="22"/>
                <w:lang w:val="sk-SK"/>
              </w:rPr>
              <w:t xml:space="preserve"> </w:t>
            </w:r>
            <w:proofErr w:type="spellStart"/>
            <w:r w:rsidR="00FA409B" w:rsidRPr="007D2FD1">
              <w:rPr>
                <w:iCs/>
                <w:color w:val="000000"/>
                <w:sz w:val="22"/>
                <w:szCs w:val="22"/>
                <w:lang w:val="sk-SK"/>
              </w:rPr>
              <w:t>efúzia</w:t>
            </w:r>
            <w:proofErr w:type="spellEnd"/>
            <w:r w:rsidR="00FA409B" w:rsidRPr="007D2FD1">
              <w:rPr>
                <w:iCs/>
                <w:color w:val="000000"/>
                <w:sz w:val="22"/>
                <w:szCs w:val="22"/>
                <w:lang w:val="sk-SK"/>
              </w:rPr>
              <w:t xml:space="preserve">, </w:t>
            </w:r>
            <w:proofErr w:type="spellStart"/>
            <w:r w:rsidR="00FA409B" w:rsidRPr="007D2FD1">
              <w:rPr>
                <w:iCs/>
                <w:color w:val="000000"/>
                <w:sz w:val="22"/>
                <w:szCs w:val="22"/>
                <w:lang w:val="sk-SK"/>
              </w:rPr>
              <w:t>extrasystoly</w:t>
            </w:r>
            <w:proofErr w:type="spellEnd"/>
            <w:r w:rsidR="00FA409B" w:rsidRPr="007D2FD1">
              <w:rPr>
                <w:iCs/>
                <w:color w:val="000000"/>
                <w:sz w:val="22"/>
                <w:szCs w:val="22"/>
                <w:lang w:val="sk-SK"/>
              </w:rPr>
              <w:t>)</w:t>
            </w:r>
          </w:p>
        </w:tc>
        <w:tc>
          <w:tcPr>
            <w:tcW w:w="1559" w:type="dxa"/>
          </w:tcPr>
          <w:p w14:paraId="0157CDA1" w14:textId="77777777" w:rsidR="00FA409B" w:rsidRPr="007D2FD1" w:rsidRDefault="00FA409B" w:rsidP="00C76085">
            <w:pPr>
              <w:rPr>
                <w:iCs/>
                <w:color w:val="000000"/>
                <w:sz w:val="22"/>
                <w:szCs w:val="22"/>
                <w:lang w:val="sk-SK"/>
              </w:rPr>
            </w:pPr>
          </w:p>
        </w:tc>
        <w:tc>
          <w:tcPr>
            <w:tcW w:w="1418" w:type="dxa"/>
          </w:tcPr>
          <w:p w14:paraId="207837C3" w14:textId="7CA30846" w:rsidR="00FA409B" w:rsidRPr="007D2FD1" w:rsidRDefault="00FA409B" w:rsidP="00C76085">
            <w:pPr>
              <w:rPr>
                <w:iCs/>
                <w:color w:val="000000"/>
                <w:sz w:val="22"/>
                <w:szCs w:val="22"/>
                <w:lang w:val="sk-SK"/>
              </w:rPr>
            </w:pPr>
            <w:proofErr w:type="spellStart"/>
            <w:r w:rsidRPr="007D2FD1">
              <w:rPr>
                <w:iCs/>
                <w:color w:val="000000"/>
                <w:sz w:val="22"/>
                <w:szCs w:val="22"/>
                <w:lang w:val="sk-SK"/>
              </w:rPr>
              <w:t>Kardiotoxicita</w:t>
            </w:r>
            <w:proofErr w:type="spellEnd"/>
            <w:r w:rsidRPr="007D2FD1">
              <w:rPr>
                <w:iCs/>
                <w:color w:val="000000"/>
                <w:sz w:val="22"/>
                <w:szCs w:val="22"/>
                <w:lang w:val="sk-SK"/>
              </w:rPr>
              <w:t xml:space="preserve"> (napr. abnormality EKG, </w:t>
            </w:r>
            <w:proofErr w:type="spellStart"/>
            <w:r w:rsidRPr="007D2FD1">
              <w:rPr>
                <w:iCs/>
                <w:color w:val="000000"/>
                <w:sz w:val="22"/>
                <w:szCs w:val="22"/>
                <w:lang w:val="sk-SK"/>
              </w:rPr>
              <w:t>arytmie</w:t>
            </w:r>
            <w:proofErr w:type="spellEnd"/>
            <w:r w:rsidRPr="007D2FD1">
              <w:rPr>
                <w:iCs/>
                <w:color w:val="000000"/>
                <w:sz w:val="22"/>
                <w:szCs w:val="22"/>
                <w:lang w:val="sk-SK"/>
              </w:rPr>
              <w:t xml:space="preserve">, </w:t>
            </w:r>
            <w:proofErr w:type="spellStart"/>
            <w:r w:rsidRPr="007D2FD1">
              <w:rPr>
                <w:iCs/>
                <w:color w:val="000000"/>
                <w:sz w:val="22"/>
                <w:szCs w:val="22"/>
                <w:lang w:val="sk-SK"/>
              </w:rPr>
              <w:t>kardiomyopatia</w:t>
            </w:r>
            <w:proofErr w:type="spellEnd"/>
            <w:r w:rsidRPr="007D2FD1">
              <w:rPr>
                <w:iCs/>
                <w:color w:val="000000"/>
                <w:sz w:val="22"/>
                <w:szCs w:val="22"/>
                <w:lang w:val="sk-SK"/>
              </w:rPr>
              <w:t xml:space="preserve">) </w:t>
            </w:r>
          </w:p>
        </w:tc>
        <w:tc>
          <w:tcPr>
            <w:tcW w:w="850" w:type="dxa"/>
          </w:tcPr>
          <w:p w14:paraId="3EFFF601" w14:textId="77777777" w:rsidR="00FA409B" w:rsidRPr="007D2FD1" w:rsidRDefault="00FA409B" w:rsidP="00C76085">
            <w:pPr>
              <w:rPr>
                <w:iCs/>
                <w:color w:val="000000"/>
                <w:sz w:val="22"/>
                <w:szCs w:val="22"/>
                <w:lang w:val="sk-SK"/>
              </w:rPr>
            </w:pPr>
          </w:p>
        </w:tc>
        <w:tc>
          <w:tcPr>
            <w:tcW w:w="1666" w:type="dxa"/>
          </w:tcPr>
          <w:p w14:paraId="7C8D523F" w14:textId="77777777" w:rsidR="00FA409B" w:rsidRPr="007D2FD1" w:rsidRDefault="00FA409B" w:rsidP="00C76085">
            <w:pPr>
              <w:ind w:left="16"/>
              <w:rPr>
                <w:iCs/>
                <w:color w:val="000000"/>
                <w:sz w:val="22"/>
                <w:szCs w:val="22"/>
                <w:lang w:val="sk-SK"/>
              </w:rPr>
            </w:pPr>
          </w:p>
        </w:tc>
      </w:tr>
      <w:tr w:rsidR="00FA409B" w:rsidRPr="007D2FD1" w14:paraId="12AFDB58" w14:textId="77777777" w:rsidTr="00C76085">
        <w:trPr>
          <w:trHeight w:val="110"/>
        </w:trPr>
        <w:tc>
          <w:tcPr>
            <w:tcW w:w="1538" w:type="dxa"/>
          </w:tcPr>
          <w:p w14:paraId="174B7E35" w14:textId="77777777" w:rsidR="00FA409B" w:rsidRPr="007D2FD1" w:rsidRDefault="00FA409B" w:rsidP="00C76085">
            <w:pPr>
              <w:rPr>
                <w:bCs/>
                <w:sz w:val="22"/>
                <w:szCs w:val="22"/>
                <w:lang w:val="sk-SK"/>
              </w:rPr>
            </w:pPr>
            <w:r w:rsidRPr="007D2FD1">
              <w:rPr>
                <w:b/>
                <w:bCs/>
                <w:sz w:val="22"/>
                <w:szCs w:val="22"/>
                <w:lang w:val="sk-SK"/>
              </w:rPr>
              <w:t>Poruchy ciev</w:t>
            </w:r>
          </w:p>
        </w:tc>
        <w:tc>
          <w:tcPr>
            <w:tcW w:w="1405" w:type="dxa"/>
          </w:tcPr>
          <w:p w14:paraId="46358554" w14:textId="77777777" w:rsidR="00FA409B" w:rsidRPr="007D2FD1" w:rsidRDefault="00C76085" w:rsidP="00C76085">
            <w:pPr>
              <w:rPr>
                <w:bCs/>
                <w:sz w:val="22"/>
                <w:szCs w:val="22"/>
                <w:lang w:val="sk-SK"/>
              </w:rPr>
            </w:pPr>
            <w:r w:rsidRPr="007D2FD1">
              <w:rPr>
                <w:iCs/>
                <w:sz w:val="22"/>
                <w:szCs w:val="22"/>
                <w:lang w:val="sk-SK"/>
              </w:rPr>
              <w:t xml:space="preserve">Návaly horúčavy, </w:t>
            </w:r>
            <w:proofErr w:type="spellStart"/>
            <w:r w:rsidRPr="007D2FD1">
              <w:rPr>
                <w:iCs/>
                <w:sz w:val="22"/>
                <w:szCs w:val="22"/>
                <w:lang w:val="sk-SK"/>
              </w:rPr>
              <w:t>flebitída</w:t>
            </w:r>
            <w:proofErr w:type="spellEnd"/>
            <w:r w:rsidRPr="007D2FD1">
              <w:rPr>
                <w:iCs/>
                <w:sz w:val="22"/>
                <w:szCs w:val="22"/>
                <w:lang w:val="sk-SK"/>
              </w:rPr>
              <w:t>*</w:t>
            </w:r>
          </w:p>
        </w:tc>
        <w:tc>
          <w:tcPr>
            <w:tcW w:w="1418" w:type="dxa"/>
          </w:tcPr>
          <w:p w14:paraId="0E48CBB3" w14:textId="158162DD" w:rsidR="00FA409B" w:rsidRPr="007D2FD1" w:rsidRDefault="00C76085" w:rsidP="00C76085">
            <w:pPr>
              <w:rPr>
                <w:sz w:val="22"/>
                <w:szCs w:val="22"/>
                <w:lang w:val="sk-SK"/>
              </w:rPr>
            </w:pPr>
            <w:proofErr w:type="spellStart"/>
            <w:r w:rsidRPr="007D2FD1">
              <w:rPr>
                <w:iCs/>
                <w:sz w:val="22"/>
                <w:szCs w:val="22"/>
                <w:lang w:val="sk-SK"/>
              </w:rPr>
              <w:t>Hemorágia</w:t>
            </w:r>
            <w:proofErr w:type="spellEnd"/>
            <w:r w:rsidRPr="007D2FD1">
              <w:rPr>
                <w:iCs/>
                <w:sz w:val="22"/>
                <w:szCs w:val="22"/>
                <w:lang w:val="sk-SK"/>
              </w:rPr>
              <w:t xml:space="preserve">*, </w:t>
            </w:r>
            <w:r w:rsidR="008D16C9">
              <w:rPr>
                <w:iCs/>
                <w:sz w:val="22"/>
                <w:szCs w:val="22"/>
                <w:lang w:val="sk-SK"/>
              </w:rPr>
              <w:t>sčervenanie</w:t>
            </w:r>
            <w:r w:rsidRPr="007D2FD1">
              <w:rPr>
                <w:iCs/>
                <w:sz w:val="22"/>
                <w:szCs w:val="22"/>
                <w:lang w:val="sk-SK"/>
              </w:rPr>
              <w:t>*</w:t>
            </w:r>
          </w:p>
        </w:tc>
        <w:tc>
          <w:tcPr>
            <w:tcW w:w="1559" w:type="dxa"/>
          </w:tcPr>
          <w:p w14:paraId="19BB3FE3" w14:textId="1FBA6E76" w:rsidR="00FA409B" w:rsidRPr="007D2FD1" w:rsidRDefault="00C76085" w:rsidP="00C76085">
            <w:pPr>
              <w:rPr>
                <w:sz w:val="22"/>
                <w:szCs w:val="22"/>
                <w:lang w:val="sk-SK"/>
              </w:rPr>
            </w:pPr>
            <w:r w:rsidRPr="007D2FD1">
              <w:rPr>
                <w:iCs/>
                <w:sz w:val="22"/>
                <w:szCs w:val="22"/>
                <w:lang w:val="sk-SK"/>
              </w:rPr>
              <w:t xml:space="preserve">Embólia, </w:t>
            </w:r>
            <w:proofErr w:type="spellStart"/>
            <w:r w:rsidRPr="007D2FD1">
              <w:rPr>
                <w:iCs/>
                <w:sz w:val="22"/>
                <w:szCs w:val="22"/>
                <w:lang w:val="sk-SK"/>
              </w:rPr>
              <w:t>arteriálna</w:t>
            </w:r>
            <w:proofErr w:type="spellEnd"/>
            <w:r w:rsidRPr="007D2FD1">
              <w:rPr>
                <w:iCs/>
                <w:sz w:val="22"/>
                <w:szCs w:val="22"/>
                <w:lang w:val="sk-SK"/>
              </w:rPr>
              <w:t xml:space="preserve"> embólia*, tromboflebitída*</w:t>
            </w:r>
          </w:p>
        </w:tc>
        <w:tc>
          <w:tcPr>
            <w:tcW w:w="1418" w:type="dxa"/>
          </w:tcPr>
          <w:p w14:paraId="3F8EA13C" w14:textId="77777777" w:rsidR="00FA409B" w:rsidRPr="007D2FD1" w:rsidRDefault="00FA409B" w:rsidP="00C76085">
            <w:pPr>
              <w:rPr>
                <w:iCs/>
                <w:sz w:val="22"/>
                <w:szCs w:val="22"/>
                <w:lang w:val="sk-SK"/>
              </w:rPr>
            </w:pPr>
          </w:p>
        </w:tc>
        <w:tc>
          <w:tcPr>
            <w:tcW w:w="850" w:type="dxa"/>
          </w:tcPr>
          <w:p w14:paraId="5DCC565C" w14:textId="4E2C64DB" w:rsidR="00FA409B" w:rsidRPr="007D2FD1" w:rsidRDefault="00FA409B" w:rsidP="00C76085">
            <w:pPr>
              <w:rPr>
                <w:iCs/>
                <w:sz w:val="22"/>
                <w:szCs w:val="22"/>
                <w:lang w:val="sk-SK" w:eastAsia="da-DK"/>
              </w:rPr>
            </w:pPr>
          </w:p>
        </w:tc>
        <w:tc>
          <w:tcPr>
            <w:tcW w:w="1666" w:type="dxa"/>
          </w:tcPr>
          <w:p w14:paraId="0319DFEB" w14:textId="0575F5B6" w:rsidR="00FA409B" w:rsidRPr="007D2FD1" w:rsidRDefault="00C76085" w:rsidP="00C76085">
            <w:pPr>
              <w:ind w:left="16"/>
              <w:rPr>
                <w:sz w:val="22"/>
                <w:szCs w:val="22"/>
                <w:lang w:val="sk-SK"/>
              </w:rPr>
            </w:pPr>
            <w:r w:rsidRPr="007D2FD1">
              <w:rPr>
                <w:iCs/>
                <w:sz w:val="22"/>
                <w:szCs w:val="22"/>
                <w:lang w:val="sk-SK"/>
              </w:rPr>
              <w:t xml:space="preserve">Šok*, </w:t>
            </w:r>
            <w:proofErr w:type="spellStart"/>
            <w:r w:rsidRPr="007D2FD1">
              <w:rPr>
                <w:iCs/>
                <w:sz w:val="22"/>
                <w:szCs w:val="22"/>
                <w:lang w:val="sk-SK"/>
              </w:rPr>
              <w:t>fleboskleróza</w:t>
            </w:r>
            <w:proofErr w:type="spellEnd"/>
            <w:r w:rsidRPr="007D2FD1">
              <w:rPr>
                <w:iCs/>
                <w:sz w:val="22"/>
                <w:szCs w:val="22"/>
                <w:lang w:val="sk-SK"/>
              </w:rPr>
              <w:t xml:space="preserve">, </w:t>
            </w:r>
            <w:proofErr w:type="spellStart"/>
            <w:r w:rsidRPr="007D2FD1">
              <w:rPr>
                <w:iCs/>
                <w:sz w:val="22"/>
                <w:szCs w:val="22"/>
                <w:lang w:val="sk-SK"/>
              </w:rPr>
              <w:t>t</w:t>
            </w:r>
            <w:r w:rsidR="00FA409B" w:rsidRPr="007D2FD1">
              <w:rPr>
                <w:iCs/>
                <w:sz w:val="22"/>
                <w:szCs w:val="22"/>
                <w:lang w:val="sk-SK"/>
              </w:rPr>
              <w:t>romboembolizmus</w:t>
            </w:r>
            <w:proofErr w:type="spellEnd"/>
          </w:p>
        </w:tc>
      </w:tr>
      <w:tr w:rsidR="00C76085" w:rsidRPr="007D2FD1" w14:paraId="77766C28" w14:textId="77777777" w:rsidTr="00C76085">
        <w:trPr>
          <w:trHeight w:val="110"/>
        </w:trPr>
        <w:tc>
          <w:tcPr>
            <w:tcW w:w="1538" w:type="dxa"/>
          </w:tcPr>
          <w:p w14:paraId="7F7E6F72" w14:textId="77777777" w:rsidR="00C76085" w:rsidRPr="007D2FD1" w:rsidRDefault="00BB1FEE" w:rsidP="00C76085">
            <w:pPr>
              <w:rPr>
                <w:b/>
                <w:sz w:val="22"/>
                <w:szCs w:val="22"/>
                <w:lang w:val="sk-SK"/>
              </w:rPr>
            </w:pPr>
            <w:r w:rsidRPr="00FB7812">
              <w:rPr>
                <w:b/>
                <w:sz w:val="22"/>
                <w:szCs w:val="22"/>
                <w:lang w:val="pl-PL"/>
              </w:rPr>
              <w:t>Poruchy</w:t>
            </w:r>
            <w:r w:rsidRPr="00FB7812">
              <w:rPr>
                <w:b/>
                <w:sz w:val="22"/>
                <w:szCs w:val="22"/>
              </w:rPr>
              <w:t xml:space="preserve"> </w:t>
            </w:r>
            <w:proofErr w:type="spellStart"/>
            <w:r w:rsidRPr="00FB7812">
              <w:rPr>
                <w:b/>
                <w:sz w:val="22"/>
                <w:szCs w:val="22"/>
              </w:rPr>
              <w:t>dýchacej</w:t>
            </w:r>
            <w:proofErr w:type="spellEnd"/>
            <w:r w:rsidRPr="00FB7812">
              <w:rPr>
                <w:b/>
                <w:sz w:val="22"/>
                <w:szCs w:val="22"/>
              </w:rPr>
              <w:t xml:space="preserve"> </w:t>
            </w:r>
            <w:proofErr w:type="spellStart"/>
            <w:r w:rsidRPr="00FB7812">
              <w:rPr>
                <w:b/>
                <w:sz w:val="22"/>
                <w:szCs w:val="22"/>
              </w:rPr>
              <w:t>sústavy</w:t>
            </w:r>
            <w:proofErr w:type="spellEnd"/>
            <w:r w:rsidRPr="00FB7812">
              <w:rPr>
                <w:b/>
                <w:sz w:val="22"/>
                <w:szCs w:val="22"/>
              </w:rPr>
              <w:t xml:space="preserve">, </w:t>
            </w:r>
            <w:proofErr w:type="spellStart"/>
            <w:r w:rsidRPr="00FB7812">
              <w:rPr>
                <w:b/>
                <w:sz w:val="22"/>
                <w:szCs w:val="22"/>
              </w:rPr>
              <w:t>hrudníka</w:t>
            </w:r>
            <w:proofErr w:type="spellEnd"/>
            <w:r w:rsidRPr="00FB7812">
              <w:rPr>
                <w:b/>
                <w:sz w:val="22"/>
                <w:szCs w:val="22"/>
              </w:rPr>
              <w:t xml:space="preserve"> a </w:t>
            </w:r>
            <w:proofErr w:type="spellStart"/>
            <w:r w:rsidRPr="00FB7812">
              <w:rPr>
                <w:b/>
                <w:sz w:val="22"/>
                <w:szCs w:val="22"/>
              </w:rPr>
              <w:t>mediastína</w:t>
            </w:r>
            <w:proofErr w:type="spellEnd"/>
            <w:r w:rsidRPr="00FB7812">
              <w:rPr>
                <w:b/>
                <w:sz w:val="22"/>
                <w:szCs w:val="22"/>
              </w:rPr>
              <w:t xml:space="preserve"> </w:t>
            </w:r>
          </w:p>
        </w:tc>
        <w:tc>
          <w:tcPr>
            <w:tcW w:w="1405" w:type="dxa"/>
          </w:tcPr>
          <w:p w14:paraId="30866D43" w14:textId="77777777" w:rsidR="00C76085" w:rsidRPr="007D2FD1" w:rsidRDefault="00C76085" w:rsidP="00C76085">
            <w:pPr>
              <w:rPr>
                <w:iCs/>
                <w:sz w:val="22"/>
                <w:szCs w:val="22"/>
                <w:lang w:val="sk-SK"/>
              </w:rPr>
            </w:pPr>
          </w:p>
        </w:tc>
        <w:tc>
          <w:tcPr>
            <w:tcW w:w="1418" w:type="dxa"/>
          </w:tcPr>
          <w:p w14:paraId="301A7F21" w14:textId="77777777" w:rsidR="00C76085" w:rsidRPr="007D2FD1" w:rsidRDefault="00C76085" w:rsidP="00C76085">
            <w:pPr>
              <w:rPr>
                <w:iCs/>
                <w:sz w:val="22"/>
                <w:szCs w:val="22"/>
                <w:lang w:val="sk-SK"/>
              </w:rPr>
            </w:pPr>
          </w:p>
        </w:tc>
        <w:tc>
          <w:tcPr>
            <w:tcW w:w="1559" w:type="dxa"/>
          </w:tcPr>
          <w:p w14:paraId="038BDC06" w14:textId="77777777" w:rsidR="00C76085" w:rsidRPr="007D2FD1" w:rsidRDefault="00C76085" w:rsidP="00C76085">
            <w:pPr>
              <w:rPr>
                <w:iCs/>
                <w:sz w:val="22"/>
                <w:szCs w:val="22"/>
                <w:lang w:val="sk-SK"/>
              </w:rPr>
            </w:pPr>
            <w:r w:rsidRPr="007D2FD1">
              <w:rPr>
                <w:iCs/>
                <w:sz w:val="22"/>
                <w:szCs w:val="22"/>
                <w:lang w:val="sk-SK"/>
              </w:rPr>
              <w:t>Pľúcna embólia*</w:t>
            </w:r>
          </w:p>
        </w:tc>
        <w:tc>
          <w:tcPr>
            <w:tcW w:w="1418" w:type="dxa"/>
          </w:tcPr>
          <w:p w14:paraId="27848D26" w14:textId="77777777" w:rsidR="00C76085" w:rsidRPr="007D2FD1" w:rsidRDefault="00C76085" w:rsidP="00C76085">
            <w:pPr>
              <w:rPr>
                <w:iCs/>
                <w:sz w:val="22"/>
                <w:szCs w:val="22"/>
                <w:lang w:val="sk-SK"/>
              </w:rPr>
            </w:pPr>
          </w:p>
        </w:tc>
        <w:tc>
          <w:tcPr>
            <w:tcW w:w="850" w:type="dxa"/>
          </w:tcPr>
          <w:p w14:paraId="2327C2C6" w14:textId="77777777" w:rsidR="00C76085" w:rsidRPr="007D2FD1" w:rsidDel="00C76085" w:rsidRDefault="00C76085" w:rsidP="00C76085">
            <w:pPr>
              <w:rPr>
                <w:iCs/>
                <w:sz w:val="22"/>
                <w:szCs w:val="22"/>
                <w:lang w:val="sk-SK" w:eastAsia="da-DK"/>
              </w:rPr>
            </w:pPr>
          </w:p>
        </w:tc>
        <w:tc>
          <w:tcPr>
            <w:tcW w:w="1666" w:type="dxa"/>
          </w:tcPr>
          <w:p w14:paraId="4767E2D9" w14:textId="77777777" w:rsidR="00C76085" w:rsidRPr="007D2FD1" w:rsidRDefault="00C76085" w:rsidP="00C76085">
            <w:pPr>
              <w:ind w:left="16"/>
              <w:rPr>
                <w:iCs/>
                <w:sz w:val="22"/>
                <w:szCs w:val="22"/>
                <w:lang w:val="sk-SK"/>
              </w:rPr>
            </w:pPr>
            <w:proofErr w:type="spellStart"/>
            <w:r w:rsidRPr="007D2FD1">
              <w:rPr>
                <w:iCs/>
                <w:sz w:val="22"/>
                <w:szCs w:val="22"/>
                <w:lang w:val="sk-SK"/>
              </w:rPr>
              <w:t>Hypoxia</w:t>
            </w:r>
            <w:proofErr w:type="spellEnd"/>
            <w:r w:rsidRPr="007D2FD1">
              <w:rPr>
                <w:iCs/>
                <w:sz w:val="22"/>
                <w:szCs w:val="22"/>
                <w:lang w:val="sk-SK"/>
              </w:rPr>
              <w:t xml:space="preserve"> v dôsledku </w:t>
            </w:r>
            <w:proofErr w:type="spellStart"/>
            <w:r w:rsidRPr="007D2FD1">
              <w:rPr>
                <w:iCs/>
                <w:sz w:val="22"/>
                <w:szCs w:val="22"/>
                <w:lang w:val="sk-SK"/>
              </w:rPr>
              <w:t>myelosupresie</w:t>
            </w:r>
            <w:proofErr w:type="spellEnd"/>
          </w:p>
        </w:tc>
      </w:tr>
      <w:tr w:rsidR="00C76085" w:rsidRPr="007D2FD1" w14:paraId="09CE2FAE" w14:textId="77777777" w:rsidTr="00C76085">
        <w:trPr>
          <w:trHeight w:val="686"/>
        </w:trPr>
        <w:tc>
          <w:tcPr>
            <w:tcW w:w="1538" w:type="dxa"/>
          </w:tcPr>
          <w:p w14:paraId="152025C2" w14:textId="77777777" w:rsidR="00C76085" w:rsidRPr="007D2FD1" w:rsidRDefault="00C76085" w:rsidP="00C76085">
            <w:pPr>
              <w:rPr>
                <w:b/>
                <w:bCs/>
                <w:sz w:val="22"/>
                <w:szCs w:val="22"/>
                <w:lang w:val="sk-SK"/>
              </w:rPr>
            </w:pPr>
            <w:r w:rsidRPr="007D2FD1">
              <w:rPr>
                <w:b/>
                <w:bCs/>
                <w:sz w:val="22"/>
                <w:szCs w:val="22"/>
                <w:lang w:val="sk-SK"/>
              </w:rPr>
              <w:t xml:space="preserve">Poruchy </w:t>
            </w:r>
            <w:proofErr w:type="spellStart"/>
            <w:r w:rsidRPr="007D2FD1">
              <w:rPr>
                <w:b/>
                <w:bCs/>
                <w:sz w:val="22"/>
                <w:szCs w:val="22"/>
                <w:lang w:val="sk-SK"/>
              </w:rPr>
              <w:t>gastrointestinálneho</w:t>
            </w:r>
            <w:proofErr w:type="spellEnd"/>
            <w:r w:rsidRPr="007D2FD1">
              <w:rPr>
                <w:b/>
                <w:bCs/>
                <w:sz w:val="22"/>
                <w:szCs w:val="22"/>
                <w:lang w:val="sk-SK"/>
              </w:rPr>
              <w:t xml:space="preserve"> traktu</w:t>
            </w:r>
          </w:p>
        </w:tc>
        <w:tc>
          <w:tcPr>
            <w:tcW w:w="1405" w:type="dxa"/>
          </w:tcPr>
          <w:p w14:paraId="0D553442" w14:textId="77777777" w:rsidR="00C76085" w:rsidRPr="007D2FD1" w:rsidRDefault="00C76085" w:rsidP="00C76085">
            <w:pPr>
              <w:rPr>
                <w:sz w:val="22"/>
                <w:szCs w:val="22"/>
                <w:lang w:val="sk-SK" w:eastAsia="da-DK"/>
              </w:rPr>
            </w:pPr>
            <w:proofErr w:type="spellStart"/>
            <w:r w:rsidRPr="007D2FD1">
              <w:rPr>
                <w:sz w:val="22"/>
                <w:szCs w:val="22"/>
                <w:lang w:val="sk-SK" w:eastAsia="da-DK"/>
              </w:rPr>
              <w:t>Mukozitída</w:t>
            </w:r>
            <w:proofErr w:type="spellEnd"/>
            <w:r w:rsidRPr="007D2FD1">
              <w:rPr>
                <w:sz w:val="22"/>
                <w:szCs w:val="22"/>
                <w:lang w:val="sk-SK" w:eastAsia="da-DK"/>
              </w:rPr>
              <w:t xml:space="preserve">, </w:t>
            </w:r>
            <w:proofErr w:type="spellStart"/>
            <w:r w:rsidRPr="007D2FD1">
              <w:rPr>
                <w:sz w:val="22"/>
                <w:szCs w:val="22"/>
                <w:lang w:val="sk-SK" w:eastAsia="da-DK"/>
              </w:rPr>
              <w:t>stomatitída</w:t>
            </w:r>
            <w:proofErr w:type="spellEnd"/>
            <w:r w:rsidRPr="007D2FD1">
              <w:rPr>
                <w:sz w:val="22"/>
                <w:szCs w:val="22"/>
                <w:lang w:val="sk-SK" w:eastAsia="da-DK"/>
              </w:rPr>
              <w:t>, vracanie, hnačka, nauzea, čo môže vyústiť do straty chuti do jedla a bolesti brucha</w:t>
            </w:r>
          </w:p>
        </w:tc>
        <w:tc>
          <w:tcPr>
            <w:tcW w:w="1418" w:type="dxa"/>
          </w:tcPr>
          <w:p w14:paraId="18C284F9" w14:textId="77777777" w:rsidR="00C76085" w:rsidRPr="00FB7812" w:rsidRDefault="00B50137" w:rsidP="00C76085">
            <w:pPr>
              <w:rPr>
                <w:rFonts w:eastAsia="Calibri"/>
                <w:sz w:val="22"/>
                <w:szCs w:val="22"/>
                <w:lang w:val="sk-SK"/>
              </w:rPr>
            </w:pPr>
            <w:proofErr w:type="spellStart"/>
            <w:r w:rsidRPr="00F76C16">
              <w:rPr>
                <w:rFonts w:eastAsia="Calibri"/>
                <w:sz w:val="22"/>
                <w:szCs w:val="22"/>
                <w:lang w:val="sk-SK"/>
              </w:rPr>
              <w:t>Ezofagitída</w:t>
            </w:r>
            <w:proofErr w:type="spellEnd"/>
            <w:r w:rsidR="00BB1FEE" w:rsidRPr="00FB7812">
              <w:rPr>
                <w:rFonts w:eastAsia="Calibri"/>
                <w:sz w:val="22"/>
                <w:szCs w:val="22"/>
                <w:lang w:val="sk-SK"/>
              </w:rPr>
              <w:t xml:space="preserve">, </w:t>
            </w:r>
          </w:p>
          <w:p w14:paraId="7973F263" w14:textId="77777777" w:rsidR="00C76085" w:rsidRPr="00FB7812" w:rsidRDefault="00B50137" w:rsidP="00C76085">
            <w:pPr>
              <w:rPr>
                <w:sz w:val="22"/>
                <w:szCs w:val="22"/>
                <w:lang w:val="sk-SK"/>
              </w:rPr>
            </w:pPr>
            <w:proofErr w:type="spellStart"/>
            <w:r w:rsidRPr="00F76C16">
              <w:rPr>
                <w:sz w:val="22"/>
                <w:szCs w:val="22"/>
                <w:lang w:val="sk-SK"/>
              </w:rPr>
              <w:t>g</w:t>
            </w:r>
            <w:r w:rsidR="00BB1FEE" w:rsidRPr="00FB7812">
              <w:rPr>
                <w:sz w:val="22"/>
                <w:szCs w:val="22"/>
                <w:lang w:val="sk-SK"/>
              </w:rPr>
              <w:t>astrointestin</w:t>
            </w:r>
            <w:r w:rsidRPr="00F76C16">
              <w:rPr>
                <w:sz w:val="22"/>
                <w:szCs w:val="22"/>
                <w:lang w:val="sk-SK"/>
              </w:rPr>
              <w:t>álna</w:t>
            </w:r>
            <w:proofErr w:type="spellEnd"/>
            <w:r w:rsidRPr="00F76C16">
              <w:rPr>
                <w:sz w:val="22"/>
                <w:szCs w:val="22"/>
                <w:lang w:val="sk-SK"/>
              </w:rPr>
              <w:t xml:space="preserve"> bolesť</w:t>
            </w:r>
            <w:r w:rsidR="00BB1FEE" w:rsidRPr="00FB7812">
              <w:rPr>
                <w:sz w:val="22"/>
                <w:szCs w:val="22"/>
                <w:lang w:val="sk-SK"/>
              </w:rPr>
              <w:t xml:space="preserve">*, </w:t>
            </w:r>
            <w:proofErr w:type="spellStart"/>
            <w:r w:rsidR="00BB1FEE" w:rsidRPr="00FB7812">
              <w:rPr>
                <w:sz w:val="22"/>
                <w:szCs w:val="22"/>
                <w:lang w:val="sk-SK"/>
              </w:rPr>
              <w:t>abdomin</w:t>
            </w:r>
            <w:r w:rsidRPr="00F76C16">
              <w:rPr>
                <w:sz w:val="22"/>
                <w:szCs w:val="22"/>
                <w:lang w:val="sk-SK"/>
              </w:rPr>
              <w:t>álna</w:t>
            </w:r>
            <w:proofErr w:type="spellEnd"/>
            <w:r w:rsidRPr="00F76C16">
              <w:rPr>
                <w:sz w:val="22"/>
                <w:szCs w:val="22"/>
                <w:lang w:val="sk-SK"/>
              </w:rPr>
              <w:t xml:space="preserve"> bolesť</w:t>
            </w:r>
            <w:r w:rsidR="00BB1FEE" w:rsidRPr="00FB7812">
              <w:rPr>
                <w:sz w:val="22"/>
                <w:szCs w:val="22"/>
                <w:lang w:val="sk-SK"/>
              </w:rPr>
              <w:t xml:space="preserve">, </w:t>
            </w:r>
            <w:proofErr w:type="spellStart"/>
            <w:r w:rsidRPr="00F76C16">
              <w:rPr>
                <w:sz w:val="22"/>
                <w:szCs w:val="22"/>
                <w:lang w:val="sk-SK"/>
              </w:rPr>
              <w:t>g</w:t>
            </w:r>
            <w:r w:rsidR="00BB1FEE" w:rsidRPr="00FB7812">
              <w:rPr>
                <w:sz w:val="22"/>
                <w:szCs w:val="22"/>
                <w:lang w:val="sk-SK"/>
              </w:rPr>
              <w:t>astrointestin</w:t>
            </w:r>
            <w:r w:rsidRPr="00F76C16">
              <w:rPr>
                <w:sz w:val="22"/>
                <w:szCs w:val="22"/>
                <w:lang w:val="sk-SK"/>
              </w:rPr>
              <w:t>álna</w:t>
            </w:r>
            <w:proofErr w:type="spellEnd"/>
            <w:r w:rsidRPr="00F76C16">
              <w:rPr>
                <w:sz w:val="22"/>
                <w:szCs w:val="22"/>
                <w:lang w:val="sk-SK"/>
              </w:rPr>
              <w:t xml:space="preserve"> erózia</w:t>
            </w:r>
            <w:r w:rsidR="00BB1FEE" w:rsidRPr="00FB7812">
              <w:rPr>
                <w:sz w:val="22"/>
                <w:szCs w:val="22"/>
                <w:lang w:val="sk-SK"/>
              </w:rPr>
              <w:t>*,</w:t>
            </w:r>
          </w:p>
          <w:p w14:paraId="7026A710" w14:textId="77777777" w:rsidR="00C76085" w:rsidRPr="00FB7812" w:rsidRDefault="00B50137" w:rsidP="00C76085">
            <w:pPr>
              <w:rPr>
                <w:sz w:val="22"/>
                <w:szCs w:val="22"/>
                <w:lang w:val="sk-SK"/>
              </w:rPr>
            </w:pPr>
            <w:proofErr w:type="spellStart"/>
            <w:r w:rsidRPr="00F76C16">
              <w:rPr>
                <w:rFonts w:eastAsia="Calibri"/>
                <w:bCs/>
                <w:sz w:val="22"/>
                <w:szCs w:val="22"/>
                <w:lang w:val="sk-SK"/>
              </w:rPr>
              <w:t>g</w:t>
            </w:r>
            <w:r w:rsidR="00BB1FEE" w:rsidRPr="00FB7812">
              <w:rPr>
                <w:rFonts w:eastAsia="Calibri"/>
                <w:bCs/>
                <w:sz w:val="22"/>
                <w:szCs w:val="22"/>
                <w:lang w:val="sk-SK"/>
              </w:rPr>
              <w:t>astrointestin</w:t>
            </w:r>
            <w:r w:rsidRPr="00F76C16">
              <w:rPr>
                <w:rFonts w:eastAsia="Calibri"/>
                <w:bCs/>
                <w:sz w:val="22"/>
                <w:szCs w:val="22"/>
                <w:lang w:val="sk-SK"/>
              </w:rPr>
              <w:t>álna</w:t>
            </w:r>
            <w:proofErr w:type="spellEnd"/>
            <w:r w:rsidR="00BB1FEE" w:rsidRPr="00FB7812">
              <w:rPr>
                <w:rFonts w:eastAsia="Calibri"/>
                <w:bCs/>
                <w:sz w:val="22"/>
                <w:szCs w:val="22"/>
                <w:lang w:val="sk-SK"/>
              </w:rPr>
              <w:t xml:space="preserve"> </w:t>
            </w:r>
            <w:proofErr w:type="spellStart"/>
            <w:r w:rsidR="00BB1FEE" w:rsidRPr="00FB7812">
              <w:rPr>
                <w:rFonts w:eastAsia="Calibri"/>
                <w:bCs/>
                <w:sz w:val="22"/>
                <w:szCs w:val="22"/>
                <w:lang w:val="sk-SK"/>
              </w:rPr>
              <w:t>hemor</w:t>
            </w:r>
            <w:r w:rsidRPr="00F76C16">
              <w:rPr>
                <w:rFonts w:eastAsia="Calibri"/>
                <w:bCs/>
                <w:sz w:val="22"/>
                <w:szCs w:val="22"/>
                <w:lang w:val="sk-SK"/>
              </w:rPr>
              <w:t>ágia</w:t>
            </w:r>
            <w:proofErr w:type="spellEnd"/>
            <w:r w:rsidR="00BB1FEE" w:rsidRPr="00FB7812">
              <w:rPr>
                <w:rFonts w:eastAsia="Calibri"/>
                <w:bCs/>
                <w:sz w:val="22"/>
                <w:szCs w:val="22"/>
                <w:lang w:val="sk-SK"/>
              </w:rPr>
              <w:t>*,</w:t>
            </w:r>
          </w:p>
          <w:p w14:paraId="15E40E9F" w14:textId="77777777" w:rsidR="00C76085" w:rsidRPr="00FB7812" w:rsidRDefault="00B50137" w:rsidP="00C76085">
            <w:pPr>
              <w:rPr>
                <w:rFonts w:eastAsia="Calibri"/>
                <w:sz w:val="22"/>
                <w:szCs w:val="22"/>
                <w:lang w:val="sk-SK"/>
              </w:rPr>
            </w:pPr>
            <w:proofErr w:type="spellStart"/>
            <w:r w:rsidRPr="00F76C16">
              <w:rPr>
                <w:sz w:val="22"/>
                <w:szCs w:val="22"/>
                <w:lang w:val="sk-SK"/>
              </w:rPr>
              <w:t>g</w:t>
            </w:r>
            <w:r w:rsidR="00BB1FEE" w:rsidRPr="00FB7812">
              <w:rPr>
                <w:sz w:val="22"/>
                <w:szCs w:val="22"/>
                <w:lang w:val="sk-SK"/>
              </w:rPr>
              <w:t>astrointestin</w:t>
            </w:r>
            <w:r w:rsidRPr="00F76C16">
              <w:rPr>
                <w:sz w:val="22"/>
                <w:szCs w:val="22"/>
                <w:lang w:val="sk-SK"/>
              </w:rPr>
              <w:t>álny</w:t>
            </w:r>
            <w:proofErr w:type="spellEnd"/>
            <w:r w:rsidRPr="00F76C16">
              <w:rPr>
                <w:sz w:val="22"/>
                <w:szCs w:val="22"/>
                <w:lang w:val="sk-SK"/>
              </w:rPr>
              <w:t xml:space="preserve"> vred</w:t>
            </w:r>
            <w:r w:rsidR="00BB1FEE" w:rsidRPr="00FB7812">
              <w:rPr>
                <w:sz w:val="22"/>
                <w:szCs w:val="22"/>
                <w:lang w:val="sk-SK"/>
              </w:rPr>
              <w:t>*</w:t>
            </w:r>
            <w:r w:rsidR="00C76085" w:rsidRPr="00F76C16">
              <w:rPr>
                <w:sz w:val="22"/>
                <w:szCs w:val="22"/>
                <w:lang w:val="sk-SK"/>
              </w:rPr>
              <w:t>,</w:t>
            </w:r>
          </w:p>
          <w:p w14:paraId="69119C56" w14:textId="1400552B" w:rsidR="00C76085" w:rsidRPr="007D2FD1" w:rsidRDefault="00B50137" w:rsidP="00B50137">
            <w:pPr>
              <w:rPr>
                <w:sz w:val="22"/>
                <w:szCs w:val="22"/>
                <w:lang w:val="sk-SK"/>
              </w:rPr>
            </w:pPr>
            <w:r w:rsidRPr="00F76C16">
              <w:rPr>
                <w:rFonts w:eastAsia="Calibri"/>
                <w:sz w:val="22"/>
                <w:szCs w:val="22"/>
                <w:lang w:val="sk-SK"/>
              </w:rPr>
              <w:t xml:space="preserve">erózia ústnej sliznice, </w:t>
            </w:r>
            <w:r w:rsidRPr="007D2FD1">
              <w:rPr>
                <w:sz w:val="22"/>
                <w:szCs w:val="22"/>
                <w:lang w:val="sk-SK" w:eastAsia="da-DK"/>
              </w:rPr>
              <w:t>b</w:t>
            </w:r>
            <w:r w:rsidR="00C76085" w:rsidRPr="007D2FD1">
              <w:rPr>
                <w:sz w:val="22"/>
                <w:szCs w:val="22"/>
                <w:lang w:val="sk-SK" w:eastAsia="da-DK"/>
              </w:rPr>
              <w:t>olesť v ústach, pocit pálenia sliznice</w:t>
            </w:r>
          </w:p>
        </w:tc>
        <w:tc>
          <w:tcPr>
            <w:tcW w:w="1559" w:type="dxa"/>
          </w:tcPr>
          <w:p w14:paraId="63A78062" w14:textId="6BD003D9" w:rsidR="00C76085" w:rsidRPr="007D2FD1" w:rsidRDefault="00C76085" w:rsidP="00C76085">
            <w:pPr>
              <w:rPr>
                <w:sz w:val="22"/>
                <w:szCs w:val="22"/>
                <w:lang w:val="sk-SK" w:eastAsia="da-DK"/>
              </w:rPr>
            </w:pPr>
          </w:p>
        </w:tc>
        <w:tc>
          <w:tcPr>
            <w:tcW w:w="1418" w:type="dxa"/>
          </w:tcPr>
          <w:p w14:paraId="2BF51415" w14:textId="77777777" w:rsidR="00C76085" w:rsidRPr="007D2FD1" w:rsidRDefault="00C76085" w:rsidP="00C76085">
            <w:pPr>
              <w:rPr>
                <w:sz w:val="22"/>
                <w:szCs w:val="22"/>
                <w:lang w:val="sk-SK" w:eastAsia="da-DK"/>
              </w:rPr>
            </w:pPr>
          </w:p>
        </w:tc>
        <w:tc>
          <w:tcPr>
            <w:tcW w:w="850" w:type="dxa"/>
          </w:tcPr>
          <w:p w14:paraId="7410335B" w14:textId="77777777" w:rsidR="00C76085" w:rsidRPr="007D2FD1" w:rsidRDefault="00C76085" w:rsidP="00C76085">
            <w:pPr>
              <w:rPr>
                <w:sz w:val="22"/>
                <w:szCs w:val="22"/>
                <w:lang w:val="sk-SK" w:eastAsia="da-DK"/>
              </w:rPr>
            </w:pPr>
          </w:p>
        </w:tc>
        <w:tc>
          <w:tcPr>
            <w:tcW w:w="1666" w:type="dxa"/>
          </w:tcPr>
          <w:p w14:paraId="2C8F2012" w14:textId="77777777" w:rsidR="00C76085" w:rsidRPr="007D2FD1" w:rsidRDefault="00B50137" w:rsidP="00C76085">
            <w:pPr>
              <w:ind w:left="16"/>
              <w:rPr>
                <w:sz w:val="22"/>
                <w:szCs w:val="22"/>
                <w:lang w:val="sk-SK" w:eastAsia="da-DK"/>
              </w:rPr>
            </w:pPr>
            <w:proofErr w:type="spellStart"/>
            <w:r w:rsidRPr="007D2FD1">
              <w:rPr>
                <w:sz w:val="22"/>
                <w:szCs w:val="22"/>
                <w:lang w:val="sk-SK" w:eastAsia="da-DK"/>
              </w:rPr>
              <w:t>Bukálna</w:t>
            </w:r>
            <w:proofErr w:type="spellEnd"/>
            <w:r w:rsidRPr="007D2FD1">
              <w:rPr>
                <w:sz w:val="22"/>
                <w:szCs w:val="22"/>
                <w:lang w:val="sk-SK" w:eastAsia="da-DK"/>
              </w:rPr>
              <w:t xml:space="preserve"> pigmentácia*</w:t>
            </w:r>
          </w:p>
        </w:tc>
      </w:tr>
      <w:tr w:rsidR="00C76085" w:rsidRPr="007D2FD1" w14:paraId="6AD70488" w14:textId="77777777" w:rsidTr="00C76085">
        <w:tc>
          <w:tcPr>
            <w:tcW w:w="1538" w:type="dxa"/>
          </w:tcPr>
          <w:p w14:paraId="4607D138" w14:textId="77777777" w:rsidR="00C76085" w:rsidRPr="007D2FD1" w:rsidRDefault="00C76085" w:rsidP="00C76085">
            <w:pPr>
              <w:rPr>
                <w:bCs/>
                <w:sz w:val="22"/>
                <w:szCs w:val="22"/>
                <w:lang w:val="sk-SK"/>
              </w:rPr>
            </w:pPr>
            <w:r w:rsidRPr="007D2FD1">
              <w:rPr>
                <w:b/>
                <w:bCs/>
                <w:sz w:val="22"/>
                <w:szCs w:val="22"/>
                <w:lang w:val="sk-SK"/>
              </w:rPr>
              <w:t xml:space="preserve">Poruchy kože a podkožného tkaniva </w:t>
            </w:r>
          </w:p>
        </w:tc>
        <w:tc>
          <w:tcPr>
            <w:tcW w:w="1405" w:type="dxa"/>
          </w:tcPr>
          <w:p w14:paraId="34F23539" w14:textId="77777777" w:rsidR="00C76085" w:rsidRPr="007D2FD1" w:rsidRDefault="00C76085" w:rsidP="00C76085">
            <w:pPr>
              <w:rPr>
                <w:sz w:val="22"/>
                <w:szCs w:val="22"/>
                <w:lang w:val="sk-SK"/>
              </w:rPr>
            </w:pPr>
            <w:proofErr w:type="spellStart"/>
            <w:r w:rsidRPr="007D2FD1">
              <w:rPr>
                <w:sz w:val="22"/>
                <w:szCs w:val="22"/>
                <w:lang w:val="sk-SK"/>
              </w:rPr>
              <w:t>Alopécia</w:t>
            </w:r>
            <w:proofErr w:type="spellEnd"/>
            <w:r w:rsidR="00B50137" w:rsidRPr="007D2FD1">
              <w:rPr>
                <w:sz w:val="22"/>
                <w:szCs w:val="22"/>
                <w:lang w:val="sk-SK"/>
              </w:rPr>
              <w:t xml:space="preserve">, toxicita kože </w:t>
            </w:r>
          </w:p>
        </w:tc>
        <w:tc>
          <w:tcPr>
            <w:tcW w:w="1418" w:type="dxa"/>
          </w:tcPr>
          <w:p w14:paraId="4AF0AA6B" w14:textId="45AA7C01" w:rsidR="00C76085" w:rsidRPr="007D2FD1" w:rsidRDefault="00B50137" w:rsidP="00C76085">
            <w:pPr>
              <w:rPr>
                <w:iCs/>
                <w:sz w:val="22"/>
                <w:szCs w:val="22"/>
                <w:lang w:val="sk-SK"/>
              </w:rPr>
            </w:pPr>
            <w:r w:rsidRPr="007D2FD1">
              <w:rPr>
                <w:iCs/>
                <w:sz w:val="22"/>
                <w:szCs w:val="22"/>
                <w:lang w:val="sk-SK"/>
              </w:rPr>
              <w:t xml:space="preserve">Vyrážka, </w:t>
            </w:r>
            <w:proofErr w:type="spellStart"/>
            <w:r w:rsidRPr="007D2FD1">
              <w:rPr>
                <w:iCs/>
                <w:sz w:val="22"/>
                <w:szCs w:val="22"/>
                <w:lang w:val="sk-SK"/>
              </w:rPr>
              <w:t>pruritus</w:t>
            </w:r>
            <w:proofErr w:type="spellEnd"/>
            <w:r w:rsidRPr="007D2FD1">
              <w:rPr>
                <w:iCs/>
                <w:sz w:val="22"/>
                <w:szCs w:val="22"/>
                <w:lang w:val="sk-SK"/>
              </w:rPr>
              <w:t xml:space="preserve">, </w:t>
            </w:r>
            <w:proofErr w:type="spellStart"/>
            <w:r w:rsidRPr="007D2FD1">
              <w:rPr>
                <w:iCs/>
                <w:sz w:val="22"/>
                <w:szCs w:val="22"/>
                <w:lang w:val="sk-SK"/>
              </w:rPr>
              <w:t>hyperpigmentácia</w:t>
            </w:r>
            <w:proofErr w:type="spellEnd"/>
            <w:r w:rsidRPr="007D2FD1">
              <w:rPr>
                <w:iCs/>
                <w:sz w:val="22"/>
                <w:szCs w:val="22"/>
                <w:lang w:val="sk-SK"/>
              </w:rPr>
              <w:t xml:space="preserve"> nechtov*, kožné poruchy, </w:t>
            </w:r>
            <w:proofErr w:type="spellStart"/>
            <w:r w:rsidRPr="007D2FD1">
              <w:rPr>
                <w:iCs/>
                <w:sz w:val="22"/>
                <w:szCs w:val="22"/>
                <w:lang w:val="sk-SK"/>
              </w:rPr>
              <w:t>hyperpigmentácia</w:t>
            </w:r>
            <w:proofErr w:type="spellEnd"/>
            <w:r w:rsidRPr="007D2FD1">
              <w:rPr>
                <w:iCs/>
                <w:sz w:val="22"/>
                <w:szCs w:val="22"/>
                <w:lang w:val="sk-SK"/>
              </w:rPr>
              <w:t xml:space="preserve"> kože*, </w:t>
            </w:r>
            <w:r w:rsidRPr="007D2FD1">
              <w:rPr>
                <w:iCs/>
                <w:sz w:val="22"/>
                <w:szCs w:val="22"/>
                <w:lang w:val="sk-SK"/>
              </w:rPr>
              <w:lastRenderedPageBreak/>
              <w:t>l</w:t>
            </w:r>
            <w:r w:rsidR="00C76085" w:rsidRPr="007D2FD1">
              <w:rPr>
                <w:iCs/>
                <w:sz w:val="22"/>
                <w:szCs w:val="22"/>
                <w:lang w:val="sk-SK"/>
              </w:rPr>
              <w:t>okálna toxicita tkaniva</w:t>
            </w:r>
          </w:p>
        </w:tc>
        <w:tc>
          <w:tcPr>
            <w:tcW w:w="1559" w:type="dxa"/>
          </w:tcPr>
          <w:p w14:paraId="0DC69521" w14:textId="62A66C0D" w:rsidR="00C76085" w:rsidRPr="007D2FD1" w:rsidRDefault="00B50137" w:rsidP="00C76085">
            <w:pPr>
              <w:rPr>
                <w:iCs/>
                <w:sz w:val="22"/>
                <w:szCs w:val="22"/>
                <w:lang w:val="sk-SK"/>
              </w:rPr>
            </w:pPr>
            <w:proofErr w:type="spellStart"/>
            <w:r w:rsidRPr="007D2FD1">
              <w:rPr>
                <w:iCs/>
                <w:sz w:val="22"/>
                <w:szCs w:val="22"/>
                <w:lang w:val="sk-SK"/>
              </w:rPr>
              <w:lastRenderedPageBreak/>
              <w:t>Urtikária</w:t>
            </w:r>
            <w:proofErr w:type="spellEnd"/>
            <w:r w:rsidRPr="007D2FD1">
              <w:rPr>
                <w:iCs/>
                <w:sz w:val="22"/>
                <w:szCs w:val="22"/>
                <w:lang w:val="sk-SK"/>
              </w:rPr>
              <w:t xml:space="preserve">*, </w:t>
            </w:r>
            <w:proofErr w:type="spellStart"/>
            <w:r w:rsidRPr="007D2FD1">
              <w:rPr>
                <w:iCs/>
                <w:sz w:val="22"/>
                <w:szCs w:val="22"/>
                <w:lang w:val="sk-SK"/>
              </w:rPr>
              <w:t>erytém</w:t>
            </w:r>
            <w:proofErr w:type="spellEnd"/>
            <w:r w:rsidRPr="007D2FD1">
              <w:rPr>
                <w:iCs/>
                <w:sz w:val="22"/>
                <w:szCs w:val="22"/>
                <w:lang w:val="sk-SK"/>
              </w:rPr>
              <w:t>*</w:t>
            </w:r>
          </w:p>
        </w:tc>
        <w:tc>
          <w:tcPr>
            <w:tcW w:w="1418" w:type="dxa"/>
          </w:tcPr>
          <w:p w14:paraId="1653C6B1" w14:textId="258C20D7" w:rsidR="00C76085" w:rsidRPr="007D2FD1" w:rsidRDefault="00C76085" w:rsidP="00C76085">
            <w:pPr>
              <w:numPr>
                <w:ilvl w:val="12"/>
                <w:numId w:val="0"/>
              </w:numPr>
              <w:rPr>
                <w:sz w:val="22"/>
                <w:szCs w:val="22"/>
                <w:lang w:val="sk-SK"/>
              </w:rPr>
            </w:pPr>
          </w:p>
        </w:tc>
        <w:tc>
          <w:tcPr>
            <w:tcW w:w="850" w:type="dxa"/>
          </w:tcPr>
          <w:p w14:paraId="26FA3484" w14:textId="77777777" w:rsidR="00C76085" w:rsidRPr="007D2FD1" w:rsidRDefault="00C76085" w:rsidP="00C76085">
            <w:pPr>
              <w:rPr>
                <w:sz w:val="22"/>
                <w:szCs w:val="22"/>
                <w:lang w:val="sk-SK"/>
              </w:rPr>
            </w:pPr>
          </w:p>
        </w:tc>
        <w:tc>
          <w:tcPr>
            <w:tcW w:w="1666" w:type="dxa"/>
          </w:tcPr>
          <w:p w14:paraId="67BD78FA" w14:textId="77777777" w:rsidR="00C76085" w:rsidRPr="007D2FD1" w:rsidRDefault="00B50137" w:rsidP="00C76085">
            <w:pPr>
              <w:ind w:left="16"/>
              <w:rPr>
                <w:sz w:val="22"/>
                <w:szCs w:val="22"/>
                <w:lang w:val="sk-SK"/>
              </w:rPr>
            </w:pPr>
            <w:proofErr w:type="spellStart"/>
            <w:r w:rsidRPr="007D2FD1">
              <w:rPr>
                <w:sz w:val="22"/>
                <w:szCs w:val="22"/>
                <w:lang w:val="sk-SK"/>
              </w:rPr>
              <w:t>Fotosenzitivita</w:t>
            </w:r>
            <w:proofErr w:type="spellEnd"/>
            <w:r w:rsidRPr="007D2FD1">
              <w:rPr>
                <w:sz w:val="22"/>
                <w:szCs w:val="22"/>
                <w:lang w:val="sk-SK"/>
              </w:rPr>
              <w:t>*</w:t>
            </w:r>
          </w:p>
        </w:tc>
      </w:tr>
      <w:tr w:rsidR="00C76085" w:rsidRPr="007D2FD1" w14:paraId="43B9C1F8" w14:textId="77777777" w:rsidTr="00C76085">
        <w:tc>
          <w:tcPr>
            <w:tcW w:w="1538" w:type="dxa"/>
          </w:tcPr>
          <w:p w14:paraId="55D5BCF5" w14:textId="77777777" w:rsidR="00C76085" w:rsidRPr="007D2FD1" w:rsidRDefault="00C76085" w:rsidP="00C76085">
            <w:pPr>
              <w:rPr>
                <w:bCs/>
                <w:iCs/>
                <w:sz w:val="22"/>
                <w:szCs w:val="22"/>
                <w:lang w:val="sk-SK"/>
              </w:rPr>
            </w:pPr>
            <w:r w:rsidRPr="007D2FD1">
              <w:rPr>
                <w:b/>
                <w:bCs/>
                <w:iCs/>
                <w:sz w:val="22"/>
                <w:szCs w:val="22"/>
                <w:lang w:val="sk-SK"/>
              </w:rPr>
              <w:t>Poruchy obličiek a močových ciest</w:t>
            </w:r>
          </w:p>
        </w:tc>
        <w:tc>
          <w:tcPr>
            <w:tcW w:w="1405" w:type="dxa"/>
          </w:tcPr>
          <w:p w14:paraId="03BEDE0C" w14:textId="0BD4A416" w:rsidR="00C76085" w:rsidRPr="007D2FD1" w:rsidRDefault="00B50137" w:rsidP="00C76085">
            <w:pPr>
              <w:rPr>
                <w:iCs/>
                <w:sz w:val="22"/>
                <w:szCs w:val="22"/>
                <w:lang w:val="sk-SK"/>
              </w:rPr>
            </w:pPr>
            <w:proofErr w:type="spellStart"/>
            <w:r w:rsidRPr="007D2FD1">
              <w:rPr>
                <w:iCs/>
                <w:sz w:val="22"/>
                <w:szCs w:val="22"/>
                <w:lang w:val="sk-SK"/>
              </w:rPr>
              <w:t>Chromatúria</w:t>
            </w:r>
            <w:proofErr w:type="spellEnd"/>
            <w:r w:rsidR="00C02BB6" w:rsidRPr="00C02BB6">
              <w:rPr>
                <w:iCs/>
                <w:sz w:val="22"/>
                <w:szCs w:val="22"/>
                <w:lang w:val="sk-SK"/>
              </w:rPr>
              <w:t>*</w:t>
            </w:r>
            <w:r w:rsidRPr="007D2FD1">
              <w:rPr>
                <w:iCs/>
                <w:sz w:val="22"/>
                <w:szCs w:val="22"/>
                <w:lang w:val="sk-SK"/>
              </w:rPr>
              <w:t xml:space="preserve"> (s</w:t>
            </w:r>
            <w:r w:rsidR="00C76085" w:rsidRPr="007D2FD1">
              <w:rPr>
                <w:iCs/>
                <w:sz w:val="22"/>
                <w:szCs w:val="22"/>
                <w:lang w:val="sk-SK"/>
              </w:rPr>
              <w:t>červenanie moču 1 až 2 dni po podaní</w:t>
            </w:r>
            <w:r w:rsidRPr="007D2FD1">
              <w:rPr>
                <w:iCs/>
                <w:sz w:val="22"/>
                <w:szCs w:val="22"/>
                <w:lang w:val="sk-SK"/>
              </w:rPr>
              <w:t>)</w:t>
            </w:r>
          </w:p>
        </w:tc>
        <w:tc>
          <w:tcPr>
            <w:tcW w:w="1418" w:type="dxa"/>
          </w:tcPr>
          <w:p w14:paraId="4C591A12" w14:textId="77777777" w:rsidR="00B50137" w:rsidRPr="007D2FD1" w:rsidRDefault="00B50137" w:rsidP="00B50137">
            <w:pPr>
              <w:rPr>
                <w:rFonts w:eastAsia="Calibri"/>
                <w:sz w:val="22"/>
                <w:szCs w:val="22"/>
              </w:rPr>
            </w:pPr>
            <w:proofErr w:type="spellStart"/>
            <w:r w:rsidRPr="007D2FD1">
              <w:rPr>
                <w:rFonts w:eastAsia="Calibri"/>
                <w:sz w:val="22"/>
                <w:szCs w:val="22"/>
              </w:rPr>
              <w:t>Dyzúria</w:t>
            </w:r>
            <w:proofErr w:type="spellEnd"/>
            <w:r w:rsidRPr="007D2FD1">
              <w:rPr>
                <w:sz w:val="22"/>
                <w:szCs w:val="22"/>
                <w:vertAlign w:val="superscript"/>
              </w:rPr>
              <w:t>§</w:t>
            </w:r>
            <w:r w:rsidRPr="007D2FD1">
              <w:rPr>
                <w:rFonts w:eastAsia="Calibri"/>
                <w:sz w:val="22"/>
                <w:szCs w:val="22"/>
              </w:rPr>
              <w:t>,</w:t>
            </w:r>
          </w:p>
          <w:p w14:paraId="114A08B9" w14:textId="77777777" w:rsidR="00C76085" w:rsidRPr="007D2FD1" w:rsidRDefault="00B50137" w:rsidP="00B50137">
            <w:pPr>
              <w:rPr>
                <w:iCs/>
                <w:sz w:val="22"/>
                <w:szCs w:val="22"/>
                <w:lang w:val="sk-SK"/>
              </w:rPr>
            </w:pPr>
            <w:proofErr w:type="spellStart"/>
            <w:r w:rsidRPr="007D2FD1">
              <w:rPr>
                <w:sz w:val="22"/>
                <w:szCs w:val="22"/>
              </w:rPr>
              <w:t>hematúria</w:t>
            </w:r>
            <w:proofErr w:type="spellEnd"/>
            <w:r w:rsidRPr="007D2FD1">
              <w:rPr>
                <w:sz w:val="22"/>
                <w:szCs w:val="22"/>
                <w:vertAlign w:val="superscript"/>
              </w:rPr>
              <w:t>§</w:t>
            </w:r>
            <w:r w:rsidRPr="007D2FD1">
              <w:rPr>
                <w:sz w:val="22"/>
                <w:szCs w:val="22"/>
              </w:rPr>
              <w:t xml:space="preserve">, </w:t>
            </w:r>
            <w:proofErr w:type="spellStart"/>
            <w:r w:rsidRPr="007D2FD1">
              <w:rPr>
                <w:sz w:val="22"/>
                <w:szCs w:val="22"/>
              </w:rPr>
              <w:t>polakizúria</w:t>
            </w:r>
            <w:proofErr w:type="spellEnd"/>
            <w:r w:rsidR="00BB1FEE" w:rsidRPr="00FB7812">
              <w:rPr>
                <w:sz w:val="22"/>
                <w:szCs w:val="22"/>
                <w:vertAlign w:val="superscript"/>
              </w:rPr>
              <w:t>§</w:t>
            </w:r>
          </w:p>
        </w:tc>
        <w:tc>
          <w:tcPr>
            <w:tcW w:w="1559" w:type="dxa"/>
          </w:tcPr>
          <w:p w14:paraId="603D4F10" w14:textId="77777777" w:rsidR="00C76085" w:rsidRPr="007D2FD1" w:rsidRDefault="00C76085" w:rsidP="00C76085">
            <w:pPr>
              <w:rPr>
                <w:iCs/>
                <w:sz w:val="22"/>
                <w:szCs w:val="22"/>
                <w:lang w:val="sk-SK"/>
              </w:rPr>
            </w:pPr>
          </w:p>
        </w:tc>
        <w:tc>
          <w:tcPr>
            <w:tcW w:w="1418" w:type="dxa"/>
          </w:tcPr>
          <w:p w14:paraId="2B0EF8F2" w14:textId="77777777" w:rsidR="00C76085" w:rsidRPr="007D2FD1" w:rsidRDefault="00C76085" w:rsidP="00C76085">
            <w:pPr>
              <w:rPr>
                <w:iCs/>
                <w:sz w:val="22"/>
                <w:szCs w:val="22"/>
                <w:lang w:val="sk-SK"/>
              </w:rPr>
            </w:pPr>
          </w:p>
        </w:tc>
        <w:tc>
          <w:tcPr>
            <w:tcW w:w="850" w:type="dxa"/>
          </w:tcPr>
          <w:p w14:paraId="78713779" w14:textId="77777777" w:rsidR="00C76085" w:rsidRPr="007D2FD1" w:rsidRDefault="00C76085" w:rsidP="00C76085">
            <w:pPr>
              <w:rPr>
                <w:iCs/>
                <w:sz w:val="22"/>
                <w:szCs w:val="22"/>
                <w:lang w:val="sk-SK"/>
              </w:rPr>
            </w:pPr>
          </w:p>
        </w:tc>
        <w:tc>
          <w:tcPr>
            <w:tcW w:w="1666" w:type="dxa"/>
          </w:tcPr>
          <w:p w14:paraId="2A6A1BD0" w14:textId="77777777" w:rsidR="00C76085" w:rsidRPr="007D2FD1" w:rsidRDefault="00C76085" w:rsidP="00C76085">
            <w:pPr>
              <w:ind w:left="16"/>
              <w:rPr>
                <w:iCs/>
                <w:sz w:val="22"/>
                <w:szCs w:val="22"/>
                <w:lang w:val="sk-SK"/>
              </w:rPr>
            </w:pPr>
          </w:p>
        </w:tc>
      </w:tr>
      <w:tr w:rsidR="00B50137" w:rsidRPr="007D2FD1" w14:paraId="38AD4EE2" w14:textId="77777777" w:rsidTr="00C76085">
        <w:tc>
          <w:tcPr>
            <w:tcW w:w="1538" w:type="dxa"/>
          </w:tcPr>
          <w:p w14:paraId="485324E7" w14:textId="77777777" w:rsidR="00B50137" w:rsidRPr="007D2FD1" w:rsidRDefault="00B50137" w:rsidP="00B50137">
            <w:pPr>
              <w:rPr>
                <w:b/>
                <w:bCs/>
                <w:sz w:val="22"/>
                <w:szCs w:val="22"/>
                <w:lang w:val="sk-SK"/>
              </w:rPr>
            </w:pPr>
            <w:r w:rsidRPr="007D2FD1">
              <w:rPr>
                <w:b/>
                <w:bCs/>
                <w:sz w:val="22"/>
                <w:szCs w:val="22"/>
                <w:lang w:val="sk-SK"/>
              </w:rPr>
              <w:t xml:space="preserve">Poruchy reprodukčného systému a prsníkov </w:t>
            </w:r>
          </w:p>
        </w:tc>
        <w:tc>
          <w:tcPr>
            <w:tcW w:w="1405" w:type="dxa"/>
          </w:tcPr>
          <w:p w14:paraId="38BB9BA4" w14:textId="77777777" w:rsidR="00B50137" w:rsidRPr="007D2FD1" w:rsidRDefault="00B50137" w:rsidP="00B50137">
            <w:pPr>
              <w:rPr>
                <w:bCs/>
                <w:sz w:val="22"/>
                <w:szCs w:val="22"/>
                <w:lang w:val="sk-SK"/>
              </w:rPr>
            </w:pPr>
            <w:proofErr w:type="spellStart"/>
            <w:r w:rsidRPr="007D2FD1">
              <w:rPr>
                <w:iCs/>
                <w:color w:val="000000"/>
                <w:sz w:val="22"/>
                <w:szCs w:val="22"/>
                <w:lang w:val="sk-SK"/>
              </w:rPr>
              <w:t>Amenorea</w:t>
            </w:r>
            <w:proofErr w:type="spellEnd"/>
          </w:p>
        </w:tc>
        <w:tc>
          <w:tcPr>
            <w:tcW w:w="1418" w:type="dxa"/>
          </w:tcPr>
          <w:p w14:paraId="104EC7BC" w14:textId="77A79A82" w:rsidR="00B50137" w:rsidRPr="007D2FD1" w:rsidRDefault="00B50137" w:rsidP="00B50137">
            <w:pPr>
              <w:rPr>
                <w:iCs/>
                <w:color w:val="000000"/>
                <w:sz w:val="22"/>
                <w:szCs w:val="22"/>
                <w:lang w:val="sk-SK"/>
              </w:rPr>
            </w:pPr>
          </w:p>
        </w:tc>
        <w:tc>
          <w:tcPr>
            <w:tcW w:w="1559" w:type="dxa"/>
          </w:tcPr>
          <w:p w14:paraId="39513304" w14:textId="77777777" w:rsidR="00B50137" w:rsidRPr="007D2FD1" w:rsidRDefault="00B50137" w:rsidP="00B50137">
            <w:pPr>
              <w:rPr>
                <w:iCs/>
                <w:color w:val="000000"/>
                <w:sz w:val="22"/>
                <w:szCs w:val="22"/>
                <w:lang w:val="sk-SK"/>
              </w:rPr>
            </w:pPr>
          </w:p>
        </w:tc>
        <w:tc>
          <w:tcPr>
            <w:tcW w:w="1418" w:type="dxa"/>
          </w:tcPr>
          <w:p w14:paraId="7B1EF15F" w14:textId="77777777" w:rsidR="00B50137" w:rsidRPr="007D2FD1" w:rsidRDefault="00B50137" w:rsidP="00B50137">
            <w:pPr>
              <w:rPr>
                <w:sz w:val="22"/>
                <w:szCs w:val="22"/>
                <w:lang w:val="sk-SK"/>
              </w:rPr>
            </w:pPr>
            <w:proofErr w:type="spellStart"/>
            <w:r w:rsidRPr="007D2FD1">
              <w:rPr>
                <w:iCs/>
                <w:color w:val="000000"/>
                <w:sz w:val="22"/>
                <w:szCs w:val="22"/>
                <w:lang w:val="sk-SK"/>
              </w:rPr>
              <w:t>Azoospermia</w:t>
            </w:r>
            <w:proofErr w:type="spellEnd"/>
          </w:p>
        </w:tc>
        <w:tc>
          <w:tcPr>
            <w:tcW w:w="850" w:type="dxa"/>
          </w:tcPr>
          <w:p w14:paraId="6D1ED04E" w14:textId="77777777" w:rsidR="00B50137" w:rsidRPr="007D2FD1" w:rsidRDefault="00B50137" w:rsidP="00B50137">
            <w:pPr>
              <w:rPr>
                <w:iCs/>
                <w:color w:val="000000"/>
                <w:sz w:val="22"/>
                <w:szCs w:val="22"/>
                <w:lang w:val="sk-SK"/>
              </w:rPr>
            </w:pPr>
          </w:p>
        </w:tc>
        <w:tc>
          <w:tcPr>
            <w:tcW w:w="1666" w:type="dxa"/>
          </w:tcPr>
          <w:p w14:paraId="522A37D9" w14:textId="77777777" w:rsidR="00B50137" w:rsidRPr="007D2FD1" w:rsidRDefault="00B50137" w:rsidP="00B50137">
            <w:pPr>
              <w:ind w:left="16"/>
              <w:rPr>
                <w:iCs/>
                <w:color w:val="000000"/>
                <w:sz w:val="22"/>
                <w:szCs w:val="22"/>
                <w:lang w:val="sk-SK"/>
              </w:rPr>
            </w:pPr>
          </w:p>
        </w:tc>
      </w:tr>
      <w:tr w:rsidR="00B50137" w:rsidRPr="00327CA4" w14:paraId="6BB0096E" w14:textId="77777777" w:rsidTr="00C76085">
        <w:trPr>
          <w:trHeight w:val="252"/>
        </w:trPr>
        <w:tc>
          <w:tcPr>
            <w:tcW w:w="1538" w:type="dxa"/>
          </w:tcPr>
          <w:p w14:paraId="6BB7FFC7" w14:textId="77777777" w:rsidR="00B50137" w:rsidRPr="007D2FD1" w:rsidRDefault="00B50137" w:rsidP="00B50137">
            <w:pPr>
              <w:keepNext/>
              <w:keepLines/>
              <w:rPr>
                <w:sz w:val="22"/>
                <w:szCs w:val="22"/>
                <w:lang w:val="sk-SK"/>
              </w:rPr>
            </w:pPr>
            <w:r w:rsidRPr="007D2FD1">
              <w:rPr>
                <w:b/>
                <w:bCs/>
                <w:sz w:val="22"/>
                <w:szCs w:val="22"/>
                <w:lang w:val="sk-SK"/>
              </w:rPr>
              <w:t>Celkové poruchy a reakcie v mieste podania</w:t>
            </w:r>
          </w:p>
        </w:tc>
        <w:tc>
          <w:tcPr>
            <w:tcW w:w="1405" w:type="dxa"/>
          </w:tcPr>
          <w:p w14:paraId="0CDC60AB" w14:textId="77777777" w:rsidR="00B50137" w:rsidRPr="007D2FD1" w:rsidRDefault="00075B6A" w:rsidP="00B50137">
            <w:pPr>
              <w:keepNext/>
              <w:keepLines/>
              <w:rPr>
                <w:sz w:val="22"/>
                <w:szCs w:val="22"/>
                <w:lang w:val="sk-SK"/>
              </w:rPr>
            </w:pPr>
            <w:r w:rsidRPr="007D2FD1">
              <w:rPr>
                <w:sz w:val="22"/>
                <w:szCs w:val="22"/>
                <w:lang w:val="sk-SK"/>
              </w:rPr>
              <w:t>Malátnosť, horúčka</w:t>
            </w:r>
            <w:r w:rsidR="00C02BB6" w:rsidRPr="007D2FD1">
              <w:rPr>
                <w:sz w:val="22"/>
                <w:szCs w:val="22"/>
                <w:lang w:val="sk-SK"/>
              </w:rPr>
              <w:t>*</w:t>
            </w:r>
          </w:p>
        </w:tc>
        <w:tc>
          <w:tcPr>
            <w:tcW w:w="1418" w:type="dxa"/>
          </w:tcPr>
          <w:p w14:paraId="7D753ED5" w14:textId="5CA9CFD0" w:rsidR="00B50137" w:rsidRPr="007D2FD1" w:rsidRDefault="00075B6A" w:rsidP="00B50137">
            <w:pPr>
              <w:keepNext/>
              <w:keepLines/>
              <w:rPr>
                <w:sz w:val="22"/>
                <w:szCs w:val="22"/>
                <w:lang w:val="sk-SK"/>
              </w:rPr>
            </w:pPr>
            <w:r w:rsidRPr="007D2FD1">
              <w:rPr>
                <w:sz w:val="22"/>
                <w:szCs w:val="22"/>
                <w:lang w:val="sk-SK" w:eastAsia="da-DK"/>
              </w:rPr>
              <w:t xml:space="preserve">Triaška*, </w:t>
            </w:r>
            <w:proofErr w:type="spellStart"/>
            <w:r w:rsidRPr="007D2FD1">
              <w:rPr>
                <w:sz w:val="22"/>
                <w:szCs w:val="22"/>
                <w:lang w:val="sk-SK" w:eastAsia="da-DK"/>
              </w:rPr>
              <w:t>e</w:t>
            </w:r>
            <w:r w:rsidR="00B50137" w:rsidRPr="007D2FD1">
              <w:rPr>
                <w:sz w:val="22"/>
                <w:szCs w:val="22"/>
                <w:lang w:val="sk-SK" w:eastAsia="da-DK"/>
              </w:rPr>
              <w:t>rytém</w:t>
            </w:r>
            <w:proofErr w:type="spellEnd"/>
            <w:r w:rsidR="00B50137" w:rsidRPr="007D2FD1">
              <w:rPr>
                <w:sz w:val="22"/>
                <w:szCs w:val="22"/>
                <w:lang w:val="sk-SK" w:eastAsia="da-DK"/>
              </w:rPr>
              <w:t xml:space="preserve"> v mieste podávania infúzie</w:t>
            </w:r>
          </w:p>
        </w:tc>
        <w:tc>
          <w:tcPr>
            <w:tcW w:w="1559" w:type="dxa"/>
          </w:tcPr>
          <w:p w14:paraId="15F872DC" w14:textId="77777777" w:rsidR="00B50137" w:rsidRPr="007D2FD1" w:rsidRDefault="00075B6A" w:rsidP="00B50137">
            <w:pPr>
              <w:keepNext/>
              <w:keepLines/>
              <w:rPr>
                <w:sz w:val="22"/>
                <w:szCs w:val="22"/>
                <w:lang w:val="sk-SK" w:eastAsia="da-DK"/>
              </w:rPr>
            </w:pPr>
            <w:r w:rsidRPr="007D2FD1">
              <w:rPr>
                <w:sz w:val="22"/>
                <w:szCs w:val="22"/>
                <w:lang w:val="sk-SK" w:eastAsia="da-DK"/>
              </w:rPr>
              <w:t>Asténia</w:t>
            </w:r>
          </w:p>
        </w:tc>
        <w:tc>
          <w:tcPr>
            <w:tcW w:w="1418" w:type="dxa"/>
          </w:tcPr>
          <w:p w14:paraId="775B1099" w14:textId="79965013" w:rsidR="00B50137" w:rsidRPr="007D2FD1" w:rsidRDefault="00B50137" w:rsidP="00B50137">
            <w:pPr>
              <w:keepNext/>
              <w:keepLines/>
              <w:rPr>
                <w:sz w:val="22"/>
                <w:szCs w:val="22"/>
                <w:lang w:val="sk-SK"/>
              </w:rPr>
            </w:pPr>
          </w:p>
        </w:tc>
        <w:tc>
          <w:tcPr>
            <w:tcW w:w="850" w:type="dxa"/>
          </w:tcPr>
          <w:p w14:paraId="7B98C400" w14:textId="77777777" w:rsidR="00B50137" w:rsidRPr="007D2FD1" w:rsidRDefault="00B50137" w:rsidP="00B50137">
            <w:pPr>
              <w:keepNext/>
              <w:keepLines/>
              <w:rPr>
                <w:sz w:val="22"/>
                <w:szCs w:val="22"/>
                <w:lang w:val="sk-SK" w:eastAsia="da-DK"/>
              </w:rPr>
            </w:pPr>
          </w:p>
        </w:tc>
        <w:tc>
          <w:tcPr>
            <w:tcW w:w="1666" w:type="dxa"/>
          </w:tcPr>
          <w:p w14:paraId="2EA42F1C" w14:textId="754A8D6D" w:rsidR="00B50137" w:rsidRPr="007D2FD1" w:rsidRDefault="00075B6A" w:rsidP="00B50137">
            <w:pPr>
              <w:keepNext/>
              <w:keepLines/>
              <w:ind w:left="16"/>
              <w:rPr>
                <w:iCs/>
                <w:sz w:val="22"/>
                <w:szCs w:val="22"/>
                <w:lang w:val="sk-SK"/>
              </w:rPr>
            </w:pPr>
            <w:r w:rsidRPr="007D2FD1">
              <w:rPr>
                <w:iCs/>
                <w:sz w:val="22"/>
                <w:szCs w:val="22"/>
                <w:lang w:val="sk-SK"/>
              </w:rPr>
              <w:t>L</w:t>
            </w:r>
            <w:r w:rsidR="00B50137" w:rsidRPr="007D2FD1">
              <w:rPr>
                <w:iCs/>
                <w:sz w:val="22"/>
                <w:szCs w:val="22"/>
                <w:lang w:val="sk-SK"/>
              </w:rPr>
              <w:t>okálna bolesť</w:t>
            </w:r>
            <w:r w:rsidRPr="007D2FD1">
              <w:rPr>
                <w:iCs/>
                <w:sz w:val="22"/>
                <w:szCs w:val="22"/>
                <w:lang w:val="sk-SK"/>
              </w:rPr>
              <w:t>.</w:t>
            </w:r>
            <w:r w:rsidR="00B50137" w:rsidRPr="007D2FD1">
              <w:rPr>
                <w:iCs/>
                <w:sz w:val="22"/>
                <w:szCs w:val="22"/>
                <w:lang w:val="sk-SK"/>
              </w:rPr>
              <w:t xml:space="preserve"> </w:t>
            </w:r>
            <w:proofErr w:type="spellStart"/>
            <w:r w:rsidRPr="007D2FD1">
              <w:rPr>
                <w:iCs/>
                <w:sz w:val="22"/>
                <w:szCs w:val="22"/>
                <w:lang w:val="sk-SK"/>
              </w:rPr>
              <w:t>Paravenózn</w:t>
            </w:r>
            <w:r w:rsidR="008D16C9">
              <w:rPr>
                <w:iCs/>
                <w:sz w:val="22"/>
                <w:szCs w:val="22"/>
                <w:lang w:val="sk-SK"/>
              </w:rPr>
              <w:t>a</w:t>
            </w:r>
            <w:proofErr w:type="spellEnd"/>
            <w:r w:rsidR="008D16C9">
              <w:rPr>
                <w:iCs/>
                <w:sz w:val="22"/>
                <w:szCs w:val="22"/>
                <w:lang w:val="sk-SK"/>
              </w:rPr>
              <w:t xml:space="preserve"> injekcia</w:t>
            </w:r>
            <w:r w:rsidRPr="007D2FD1">
              <w:rPr>
                <w:iCs/>
                <w:sz w:val="22"/>
                <w:szCs w:val="22"/>
                <w:lang w:val="sk-SK"/>
              </w:rPr>
              <w:t xml:space="preserve"> môže spôsobiť </w:t>
            </w:r>
            <w:proofErr w:type="spellStart"/>
            <w:r w:rsidRPr="007D2FD1">
              <w:rPr>
                <w:iCs/>
                <w:sz w:val="22"/>
                <w:szCs w:val="22"/>
                <w:lang w:val="sk-SK"/>
              </w:rPr>
              <w:t>nekrózu</w:t>
            </w:r>
            <w:proofErr w:type="spellEnd"/>
            <w:r w:rsidRPr="007D2FD1">
              <w:rPr>
                <w:iCs/>
                <w:sz w:val="22"/>
                <w:szCs w:val="22"/>
                <w:lang w:val="sk-SK"/>
              </w:rPr>
              <w:t xml:space="preserve"> mäkkého tkaniva.</w:t>
            </w:r>
          </w:p>
        </w:tc>
      </w:tr>
      <w:tr w:rsidR="00075B6A" w:rsidRPr="007D2FD1" w14:paraId="74AAC7D8" w14:textId="77777777" w:rsidTr="00C76085">
        <w:trPr>
          <w:trHeight w:val="252"/>
        </w:trPr>
        <w:tc>
          <w:tcPr>
            <w:tcW w:w="1538" w:type="dxa"/>
          </w:tcPr>
          <w:p w14:paraId="5B66AD02" w14:textId="77777777" w:rsidR="00075B6A" w:rsidRPr="007D2FD1" w:rsidRDefault="00BB1FEE" w:rsidP="00B50137">
            <w:pPr>
              <w:keepNext/>
              <w:keepLines/>
              <w:rPr>
                <w:b/>
                <w:sz w:val="22"/>
                <w:szCs w:val="22"/>
                <w:lang w:val="sk-SK"/>
              </w:rPr>
            </w:pPr>
            <w:r w:rsidRPr="00FB7812">
              <w:rPr>
                <w:b/>
                <w:sz w:val="22"/>
                <w:szCs w:val="22"/>
                <w:lang w:val="fi-FI"/>
              </w:rPr>
              <w:t>Poruchy nervového systému</w:t>
            </w:r>
          </w:p>
        </w:tc>
        <w:tc>
          <w:tcPr>
            <w:tcW w:w="1405" w:type="dxa"/>
          </w:tcPr>
          <w:p w14:paraId="0D07FCDF" w14:textId="77777777" w:rsidR="00075B6A" w:rsidRPr="007D2FD1" w:rsidRDefault="00075B6A" w:rsidP="00B50137">
            <w:pPr>
              <w:keepNext/>
              <w:keepLines/>
              <w:rPr>
                <w:sz w:val="22"/>
                <w:szCs w:val="22"/>
                <w:lang w:val="sk-SK"/>
              </w:rPr>
            </w:pPr>
          </w:p>
        </w:tc>
        <w:tc>
          <w:tcPr>
            <w:tcW w:w="1418" w:type="dxa"/>
          </w:tcPr>
          <w:p w14:paraId="067CB402" w14:textId="77777777" w:rsidR="00075B6A" w:rsidRPr="007D2FD1" w:rsidDel="00075B6A" w:rsidRDefault="00075B6A" w:rsidP="00B50137">
            <w:pPr>
              <w:keepNext/>
              <w:keepLines/>
              <w:rPr>
                <w:sz w:val="22"/>
                <w:szCs w:val="22"/>
                <w:lang w:val="sk-SK" w:eastAsia="da-DK"/>
              </w:rPr>
            </w:pPr>
          </w:p>
        </w:tc>
        <w:tc>
          <w:tcPr>
            <w:tcW w:w="1559" w:type="dxa"/>
          </w:tcPr>
          <w:p w14:paraId="79125EA8" w14:textId="77777777" w:rsidR="00075B6A" w:rsidRPr="007D2FD1" w:rsidRDefault="00075B6A" w:rsidP="00B50137">
            <w:pPr>
              <w:keepNext/>
              <w:keepLines/>
              <w:rPr>
                <w:sz w:val="22"/>
                <w:szCs w:val="22"/>
                <w:lang w:val="sk-SK" w:eastAsia="da-DK"/>
              </w:rPr>
            </w:pPr>
          </w:p>
        </w:tc>
        <w:tc>
          <w:tcPr>
            <w:tcW w:w="1418" w:type="dxa"/>
          </w:tcPr>
          <w:p w14:paraId="50C63A22" w14:textId="77777777" w:rsidR="00075B6A" w:rsidRPr="007D2FD1" w:rsidDel="00075B6A" w:rsidRDefault="00075B6A" w:rsidP="00B50137">
            <w:pPr>
              <w:keepNext/>
              <w:keepLines/>
              <w:rPr>
                <w:iCs/>
                <w:sz w:val="22"/>
                <w:szCs w:val="22"/>
                <w:lang w:val="sk-SK"/>
              </w:rPr>
            </w:pPr>
            <w:r w:rsidRPr="007D2FD1">
              <w:rPr>
                <w:iCs/>
                <w:sz w:val="22"/>
                <w:szCs w:val="22"/>
                <w:lang w:val="sk-SK"/>
              </w:rPr>
              <w:t>Závraty</w:t>
            </w:r>
          </w:p>
        </w:tc>
        <w:tc>
          <w:tcPr>
            <w:tcW w:w="850" w:type="dxa"/>
          </w:tcPr>
          <w:p w14:paraId="5FB101CB" w14:textId="77777777" w:rsidR="00075B6A" w:rsidRPr="007D2FD1" w:rsidRDefault="00075B6A" w:rsidP="00B50137">
            <w:pPr>
              <w:keepNext/>
              <w:keepLines/>
              <w:rPr>
                <w:sz w:val="22"/>
                <w:szCs w:val="22"/>
                <w:lang w:val="sk-SK" w:eastAsia="da-DK"/>
              </w:rPr>
            </w:pPr>
          </w:p>
        </w:tc>
        <w:tc>
          <w:tcPr>
            <w:tcW w:w="1666" w:type="dxa"/>
          </w:tcPr>
          <w:p w14:paraId="249EA19D" w14:textId="77777777" w:rsidR="00075B6A" w:rsidRPr="007D2FD1" w:rsidDel="00075B6A" w:rsidRDefault="00075B6A" w:rsidP="00B50137">
            <w:pPr>
              <w:keepNext/>
              <w:keepLines/>
              <w:ind w:left="16"/>
              <w:rPr>
                <w:iCs/>
                <w:sz w:val="22"/>
                <w:szCs w:val="22"/>
                <w:lang w:val="sk-SK"/>
              </w:rPr>
            </w:pPr>
            <w:r w:rsidRPr="007D2FD1">
              <w:rPr>
                <w:iCs/>
                <w:sz w:val="22"/>
                <w:szCs w:val="22"/>
                <w:lang w:val="sk-SK"/>
              </w:rPr>
              <w:t>Bolesť hlavy</w:t>
            </w:r>
          </w:p>
        </w:tc>
      </w:tr>
      <w:tr w:rsidR="00B50137" w:rsidRPr="00C02BB6" w14:paraId="40E565BD" w14:textId="77777777" w:rsidTr="00C76085">
        <w:trPr>
          <w:trHeight w:val="877"/>
        </w:trPr>
        <w:tc>
          <w:tcPr>
            <w:tcW w:w="1538" w:type="dxa"/>
          </w:tcPr>
          <w:p w14:paraId="56C19211" w14:textId="77777777" w:rsidR="00B50137" w:rsidRPr="007D2FD1" w:rsidRDefault="00B50137" w:rsidP="00B50137">
            <w:pPr>
              <w:rPr>
                <w:bCs/>
                <w:sz w:val="22"/>
                <w:szCs w:val="22"/>
                <w:lang w:val="sk-SK"/>
              </w:rPr>
            </w:pPr>
            <w:r w:rsidRPr="007D2FD1">
              <w:rPr>
                <w:b/>
                <w:bCs/>
                <w:sz w:val="22"/>
                <w:szCs w:val="22"/>
                <w:lang w:val="sk-SK"/>
              </w:rPr>
              <w:t>Laboratórne a funkčné vyšetrenia</w:t>
            </w:r>
          </w:p>
        </w:tc>
        <w:tc>
          <w:tcPr>
            <w:tcW w:w="1405" w:type="dxa"/>
          </w:tcPr>
          <w:p w14:paraId="5B0D85E4" w14:textId="77777777" w:rsidR="00B50137" w:rsidRPr="007D2FD1" w:rsidRDefault="00075B6A" w:rsidP="00B50137">
            <w:pPr>
              <w:rPr>
                <w:bCs/>
                <w:sz w:val="22"/>
                <w:szCs w:val="22"/>
                <w:lang w:val="sk-SK"/>
              </w:rPr>
            </w:pPr>
            <w:r w:rsidRPr="007D2FD1">
              <w:rPr>
                <w:iCs/>
                <w:sz w:val="22"/>
                <w:szCs w:val="22"/>
                <w:lang w:val="sk-SK"/>
              </w:rPr>
              <w:t xml:space="preserve">Zmeny hladín </w:t>
            </w:r>
            <w:proofErr w:type="spellStart"/>
            <w:r w:rsidRPr="007D2FD1">
              <w:rPr>
                <w:iCs/>
                <w:sz w:val="22"/>
                <w:szCs w:val="22"/>
                <w:lang w:val="sk-SK"/>
              </w:rPr>
              <w:t>transamináz</w:t>
            </w:r>
            <w:proofErr w:type="spellEnd"/>
          </w:p>
        </w:tc>
        <w:tc>
          <w:tcPr>
            <w:tcW w:w="1418" w:type="dxa"/>
          </w:tcPr>
          <w:p w14:paraId="30D6755D" w14:textId="48207852" w:rsidR="00B50137" w:rsidRPr="007D2FD1" w:rsidRDefault="00075B6A" w:rsidP="00B50137">
            <w:pPr>
              <w:rPr>
                <w:sz w:val="22"/>
                <w:szCs w:val="22"/>
                <w:lang w:val="sk-SK"/>
              </w:rPr>
            </w:pPr>
            <w:proofErr w:type="spellStart"/>
            <w:r w:rsidRPr="007D2FD1">
              <w:rPr>
                <w:iCs/>
                <w:sz w:val="22"/>
                <w:szCs w:val="22"/>
                <w:lang w:val="sk-SK"/>
              </w:rPr>
              <w:t>A</w:t>
            </w:r>
            <w:r w:rsidR="00B50137" w:rsidRPr="007D2FD1">
              <w:rPr>
                <w:iCs/>
                <w:sz w:val="22"/>
                <w:szCs w:val="22"/>
                <w:lang w:val="sk-SK"/>
              </w:rPr>
              <w:t>symptomatický</w:t>
            </w:r>
            <w:proofErr w:type="spellEnd"/>
            <w:r w:rsidR="00B50137" w:rsidRPr="007D2FD1">
              <w:rPr>
                <w:iCs/>
                <w:sz w:val="22"/>
                <w:szCs w:val="22"/>
                <w:lang w:val="sk-SK"/>
              </w:rPr>
              <w:t xml:space="preserve"> pokles </w:t>
            </w:r>
            <w:proofErr w:type="spellStart"/>
            <w:r w:rsidR="00B50137" w:rsidRPr="007D2FD1">
              <w:rPr>
                <w:iCs/>
                <w:sz w:val="22"/>
                <w:szCs w:val="22"/>
                <w:lang w:val="sk-SK"/>
              </w:rPr>
              <w:t>ejekčnej</w:t>
            </w:r>
            <w:proofErr w:type="spellEnd"/>
            <w:r w:rsidR="00B50137" w:rsidRPr="007D2FD1">
              <w:rPr>
                <w:iCs/>
                <w:sz w:val="22"/>
                <w:szCs w:val="22"/>
                <w:lang w:val="sk-SK"/>
              </w:rPr>
              <w:t xml:space="preserve"> frakcie ľavej komory (</w:t>
            </w:r>
            <w:proofErr w:type="spellStart"/>
            <w:r w:rsidR="00B50137" w:rsidRPr="007D2FD1">
              <w:rPr>
                <w:i/>
                <w:iCs/>
                <w:sz w:val="22"/>
                <w:szCs w:val="22"/>
                <w:lang w:val="sk-SK"/>
              </w:rPr>
              <w:t>asymptomatic</w:t>
            </w:r>
            <w:proofErr w:type="spellEnd"/>
            <w:r w:rsidR="00B50137" w:rsidRPr="007D2FD1">
              <w:rPr>
                <w:i/>
                <w:iCs/>
                <w:sz w:val="22"/>
                <w:szCs w:val="22"/>
                <w:lang w:val="sk-SK"/>
              </w:rPr>
              <w:t xml:space="preserve"> </w:t>
            </w:r>
            <w:proofErr w:type="spellStart"/>
            <w:r w:rsidR="00B50137" w:rsidRPr="007D2FD1">
              <w:rPr>
                <w:i/>
                <w:iCs/>
                <w:sz w:val="22"/>
                <w:szCs w:val="22"/>
                <w:lang w:val="sk-SK"/>
              </w:rPr>
              <w:t>decreases</w:t>
            </w:r>
            <w:proofErr w:type="spellEnd"/>
            <w:r w:rsidR="00B50137" w:rsidRPr="007D2FD1">
              <w:rPr>
                <w:i/>
                <w:iCs/>
                <w:sz w:val="22"/>
                <w:szCs w:val="22"/>
                <w:lang w:val="sk-SK"/>
              </w:rPr>
              <w:t xml:space="preserve"> in </w:t>
            </w:r>
            <w:proofErr w:type="spellStart"/>
            <w:r w:rsidR="00B50137" w:rsidRPr="007D2FD1">
              <w:rPr>
                <w:i/>
                <w:iCs/>
                <w:sz w:val="22"/>
                <w:szCs w:val="22"/>
                <w:lang w:val="sk-SK"/>
              </w:rPr>
              <w:t>left</w:t>
            </w:r>
            <w:proofErr w:type="spellEnd"/>
            <w:r w:rsidR="00B50137" w:rsidRPr="007D2FD1">
              <w:rPr>
                <w:i/>
                <w:iCs/>
                <w:sz w:val="22"/>
                <w:szCs w:val="22"/>
                <w:lang w:val="sk-SK"/>
              </w:rPr>
              <w:t xml:space="preserve"> </w:t>
            </w:r>
            <w:proofErr w:type="spellStart"/>
            <w:r w:rsidR="00B50137" w:rsidRPr="007D2FD1">
              <w:rPr>
                <w:i/>
                <w:iCs/>
                <w:sz w:val="22"/>
                <w:szCs w:val="22"/>
                <w:lang w:val="sk-SK"/>
              </w:rPr>
              <w:t>ventricular</w:t>
            </w:r>
            <w:proofErr w:type="spellEnd"/>
            <w:r w:rsidR="00B50137" w:rsidRPr="007D2FD1">
              <w:rPr>
                <w:i/>
                <w:iCs/>
                <w:sz w:val="22"/>
                <w:szCs w:val="22"/>
                <w:lang w:val="sk-SK"/>
              </w:rPr>
              <w:t xml:space="preserve"> </w:t>
            </w:r>
            <w:proofErr w:type="spellStart"/>
            <w:r w:rsidR="00B50137" w:rsidRPr="007D2FD1">
              <w:rPr>
                <w:i/>
                <w:iCs/>
                <w:sz w:val="22"/>
                <w:szCs w:val="22"/>
                <w:lang w:val="sk-SK"/>
              </w:rPr>
              <w:t>ejection</w:t>
            </w:r>
            <w:proofErr w:type="spellEnd"/>
            <w:r w:rsidR="00B50137" w:rsidRPr="007D2FD1">
              <w:rPr>
                <w:i/>
                <w:iCs/>
                <w:sz w:val="22"/>
                <w:szCs w:val="22"/>
                <w:lang w:val="sk-SK"/>
              </w:rPr>
              <w:t xml:space="preserve"> </w:t>
            </w:r>
            <w:proofErr w:type="spellStart"/>
            <w:r w:rsidR="00B50137" w:rsidRPr="007D2FD1">
              <w:rPr>
                <w:i/>
                <w:iCs/>
                <w:sz w:val="22"/>
                <w:szCs w:val="22"/>
                <w:lang w:val="sk-SK"/>
              </w:rPr>
              <w:t>fraction</w:t>
            </w:r>
            <w:proofErr w:type="spellEnd"/>
            <w:r w:rsidR="00B50137" w:rsidRPr="007D2FD1">
              <w:rPr>
                <w:i/>
                <w:iCs/>
                <w:sz w:val="22"/>
                <w:szCs w:val="22"/>
                <w:lang w:val="sk-SK"/>
              </w:rPr>
              <w:t>,</w:t>
            </w:r>
            <w:r w:rsidR="00B50137" w:rsidRPr="007D2FD1">
              <w:rPr>
                <w:iCs/>
                <w:sz w:val="22"/>
                <w:szCs w:val="22"/>
                <w:lang w:val="sk-SK"/>
              </w:rPr>
              <w:t xml:space="preserve"> LVEF)</w:t>
            </w:r>
          </w:p>
        </w:tc>
        <w:tc>
          <w:tcPr>
            <w:tcW w:w="1559" w:type="dxa"/>
          </w:tcPr>
          <w:p w14:paraId="2E613C17" w14:textId="77777777" w:rsidR="00B50137" w:rsidRPr="007D2FD1" w:rsidRDefault="00B50137" w:rsidP="00B50137">
            <w:pPr>
              <w:rPr>
                <w:iCs/>
                <w:sz w:val="22"/>
                <w:szCs w:val="22"/>
                <w:lang w:val="sk-SK"/>
              </w:rPr>
            </w:pPr>
          </w:p>
        </w:tc>
        <w:tc>
          <w:tcPr>
            <w:tcW w:w="1418" w:type="dxa"/>
          </w:tcPr>
          <w:p w14:paraId="634B06E2" w14:textId="77777777" w:rsidR="00B50137" w:rsidRPr="007D2FD1" w:rsidRDefault="00B50137" w:rsidP="00B50137">
            <w:pPr>
              <w:rPr>
                <w:iCs/>
                <w:sz w:val="22"/>
                <w:szCs w:val="22"/>
                <w:lang w:val="sk-SK"/>
              </w:rPr>
            </w:pPr>
          </w:p>
        </w:tc>
        <w:tc>
          <w:tcPr>
            <w:tcW w:w="850" w:type="dxa"/>
          </w:tcPr>
          <w:p w14:paraId="505405B6" w14:textId="77777777" w:rsidR="00B50137" w:rsidRPr="007D2FD1" w:rsidRDefault="00B50137" w:rsidP="00B50137">
            <w:pPr>
              <w:rPr>
                <w:iCs/>
                <w:sz w:val="22"/>
                <w:szCs w:val="22"/>
                <w:lang w:val="sk-SK"/>
              </w:rPr>
            </w:pPr>
          </w:p>
        </w:tc>
        <w:tc>
          <w:tcPr>
            <w:tcW w:w="1666" w:type="dxa"/>
          </w:tcPr>
          <w:p w14:paraId="426BE963" w14:textId="77777777" w:rsidR="00B50137" w:rsidRPr="007D2FD1" w:rsidRDefault="00B50137" w:rsidP="00B50137">
            <w:pPr>
              <w:ind w:left="16"/>
              <w:rPr>
                <w:iCs/>
                <w:sz w:val="22"/>
                <w:szCs w:val="22"/>
                <w:lang w:val="sk-SK"/>
              </w:rPr>
            </w:pPr>
          </w:p>
        </w:tc>
      </w:tr>
      <w:tr w:rsidR="00B50137" w:rsidRPr="00327CA4" w14:paraId="2D73C84A" w14:textId="77777777" w:rsidTr="00C76085">
        <w:trPr>
          <w:trHeight w:val="293"/>
        </w:trPr>
        <w:tc>
          <w:tcPr>
            <w:tcW w:w="1538" w:type="dxa"/>
          </w:tcPr>
          <w:p w14:paraId="3B7CD748" w14:textId="77777777" w:rsidR="00B50137" w:rsidRPr="007D2FD1" w:rsidRDefault="00B50137" w:rsidP="00B50137">
            <w:pPr>
              <w:keepNext/>
              <w:keepLines/>
              <w:rPr>
                <w:bCs/>
                <w:sz w:val="22"/>
                <w:szCs w:val="22"/>
                <w:lang w:val="sk-SK"/>
              </w:rPr>
            </w:pPr>
            <w:r w:rsidRPr="007D2FD1">
              <w:rPr>
                <w:b/>
                <w:bCs/>
                <w:sz w:val="22"/>
                <w:szCs w:val="22"/>
                <w:lang w:val="sk-SK"/>
              </w:rPr>
              <w:t>Úrazy, otravy a komplikácie liečebného postupu</w:t>
            </w:r>
          </w:p>
        </w:tc>
        <w:tc>
          <w:tcPr>
            <w:tcW w:w="1405" w:type="dxa"/>
          </w:tcPr>
          <w:p w14:paraId="3F5BB3E8" w14:textId="77777777" w:rsidR="00B50137" w:rsidRPr="007D2FD1" w:rsidRDefault="00075B6A" w:rsidP="00B50137">
            <w:pPr>
              <w:keepNext/>
              <w:keepLines/>
              <w:rPr>
                <w:bCs/>
                <w:sz w:val="22"/>
                <w:szCs w:val="22"/>
                <w:lang w:val="sk-SK"/>
              </w:rPr>
            </w:pPr>
            <w:r w:rsidRPr="007D2FD1">
              <w:rPr>
                <w:iCs/>
                <w:sz w:val="22"/>
                <w:szCs w:val="22"/>
                <w:lang w:val="sk-SK"/>
              </w:rPr>
              <w:t xml:space="preserve">Po </w:t>
            </w:r>
            <w:proofErr w:type="spellStart"/>
            <w:r w:rsidRPr="007D2FD1">
              <w:rPr>
                <w:iCs/>
                <w:sz w:val="22"/>
                <w:szCs w:val="22"/>
                <w:lang w:val="sk-SK"/>
              </w:rPr>
              <w:t>intravezikálnom</w:t>
            </w:r>
            <w:proofErr w:type="spellEnd"/>
            <w:r w:rsidRPr="007D2FD1">
              <w:rPr>
                <w:iCs/>
                <w:sz w:val="22"/>
                <w:szCs w:val="22"/>
                <w:lang w:val="sk-SK"/>
              </w:rPr>
              <w:t xml:space="preserve"> podávaní bola zaznamenaná chemická </w:t>
            </w:r>
            <w:proofErr w:type="spellStart"/>
            <w:r w:rsidRPr="007D2FD1">
              <w:rPr>
                <w:iCs/>
                <w:sz w:val="22"/>
                <w:szCs w:val="22"/>
                <w:lang w:val="sk-SK"/>
              </w:rPr>
              <w:t>cystitída</w:t>
            </w:r>
            <w:proofErr w:type="spellEnd"/>
            <w:r w:rsidRPr="007D2FD1">
              <w:rPr>
                <w:iCs/>
                <w:sz w:val="22"/>
                <w:szCs w:val="22"/>
                <w:lang w:val="sk-SK"/>
              </w:rPr>
              <w:t>, niekedy s krvácaním (pozri časť 4.4).</w:t>
            </w:r>
          </w:p>
        </w:tc>
        <w:tc>
          <w:tcPr>
            <w:tcW w:w="1418" w:type="dxa"/>
          </w:tcPr>
          <w:p w14:paraId="3C11A173" w14:textId="5243CD80" w:rsidR="00B50137" w:rsidRPr="007D2FD1" w:rsidRDefault="00B50137" w:rsidP="00B50137">
            <w:pPr>
              <w:rPr>
                <w:sz w:val="22"/>
                <w:szCs w:val="22"/>
                <w:lang w:val="sk-SK"/>
              </w:rPr>
            </w:pPr>
          </w:p>
        </w:tc>
        <w:tc>
          <w:tcPr>
            <w:tcW w:w="1559" w:type="dxa"/>
          </w:tcPr>
          <w:p w14:paraId="0B6B8E46" w14:textId="77777777" w:rsidR="00B50137" w:rsidRPr="007D2FD1" w:rsidRDefault="00B50137" w:rsidP="00B50137">
            <w:pPr>
              <w:rPr>
                <w:iCs/>
                <w:sz w:val="22"/>
                <w:szCs w:val="22"/>
                <w:lang w:val="sk-SK"/>
              </w:rPr>
            </w:pPr>
          </w:p>
        </w:tc>
        <w:tc>
          <w:tcPr>
            <w:tcW w:w="1418" w:type="dxa"/>
          </w:tcPr>
          <w:p w14:paraId="383DD092" w14:textId="77777777" w:rsidR="00B50137" w:rsidRPr="007D2FD1" w:rsidRDefault="00B50137" w:rsidP="00B50137">
            <w:pPr>
              <w:rPr>
                <w:iCs/>
                <w:sz w:val="22"/>
                <w:szCs w:val="22"/>
                <w:lang w:val="sk-SK"/>
              </w:rPr>
            </w:pPr>
          </w:p>
        </w:tc>
        <w:tc>
          <w:tcPr>
            <w:tcW w:w="850" w:type="dxa"/>
          </w:tcPr>
          <w:p w14:paraId="36775345" w14:textId="77777777" w:rsidR="00B50137" w:rsidRPr="007D2FD1" w:rsidRDefault="00B50137" w:rsidP="00B50137">
            <w:pPr>
              <w:rPr>
                <w:iCs/>
                <w:sz w:val="22"/>
                <w:szCs w:val="22"/>
                <w:lang w:val="sk-SK"/>
              </w:rPr>
            </w:pPr>
          </w:p>
        </w:tc>
        <w:tc>
          <w:tcPr>
            <w:tcW w:w="1666" w:type="dxa"/>
          </w:tcPr>
          <w:p w14:paraId="1AC25CEE" w14:textId="77777777" w:rsidR="00B50137" w:rsidRPr="007D2FD1" w:rsidRDefault="00075B6A" w:rsidP="00B50137">
            <w:pPr>
              <w:ind w:left="16"/>
              <w:rPr>
                <w:iCs/>
                <w:sz w:val="22"/>
                <w:szCs w:val="22"/>
                <w:lang w:val="sk-SK"/>
              </w:rPr>
            </w:pPr>
            <w:r w:rsidRPr="007D2FD1">
              <w:rPr>
                <w:iCs/>
                <w:sz w:val="22"/>
                <w:szCs w:val="22"/>
                <w:lang w:val="sk-SK"/>
              </w:rPr>
              <w:t>Precitlivenosť na ožiarenie pokožky (</w:t>
            </w:r>
            <w:proofErr w:type="spellStart"/>
            <w:r w:rsidRPr="007D2FD1">
              <w:rPr>
                <w:iCs/>
                <w:sz w:val="22"/>
                <w:szCs w:val="22"/>
                <w:lang w:val="sk-SK"/>
              </w:rPr>
              <w:t>postradiačná</w:t>
            </w:r>
            <w:proofErr w:type="spellEnd"/>
            <w:r w:rsidRPr="007D2FD1">
              <w:rPr>
                <w:iCs/>
                <w:sz w:val="22"/>
                <w:szCs w:val="22"/>
                <w:lang w:val="sk-SK"/>
              </w:rPr>
              <w:t xml:space="preserve"> reakcia)</w:t>
            </w:r>
          </w:p>
        </w:tc>
      </w:tr>
    </w:tbl>
    <w:p w14:paraId="4DD790B4" w14:textId="77777777" w:rsidR="00075B6A" w:rsidRPr="00FB7812" w:rsidRDefault="00BB1FEE" w:rsidP="00075B6A">
      <w:pPr>
        <w:rPr>
          <w:lang w:val="sk-SK"/>
        </w:rPr>
      </w:pPr>
      <w:r w:rsidRPr="00FB7812">
        <w:rPr>
          <w:sz w:val="22"/>
          <w:szCs w:val="22"/>
          <w:vertAlign w:val="superscript"/>
          <w:lang w:val="sk-SK"/>
        </w:rPr>
        <w:t>§</w:t>
      </w:r>
      <w:r w:rsidRPr="00FB7812">
        <w:rPr>
          <w:lang w:val="sk-SK"/>
        </w:rPr>
        <w:t xml:space="preserve">Po </w:t>
      </w:r>
      <w:proofErr w:type="spellStart"/>
      <w:r w:rsidRPr="00FB7812">
        <w:rPr>
          <w:lang w:val="sk-SK"/>
        </w:rPr>
        <w:t>intravezikálnom</w:t>
      </w:r>
      <w:proofErr w:type="spellEnd"/>
      <w:r w:rsidRPr="00FB7812">
        <w:rPr>
          <w:lang w:val="sk-SK"/>
        </w:rPr>
        <w:t xml:space="preserve"> podaní</w:t>
      </w:r>
    </w:p>
    <w:p w14:paraId="61D730B7" w14:textId="77777777" w:rsidR="00075B6A" w:rsidRPr="00FB7812" w:rsidRDefault="00BB1FEE" w:rsidP="00075B6A">
      <w:pPr>
        <w:rPr>
          <w:sz w:val="22"/>
          <w:szCs w:val="22"/>
          <w:lang w:val="sk-SK"/>
        </w:rPr>
      </w:pPr>
      <w:r w:rsidRPr="00FB7812">
        <w:rPr>
          <w:lang w:val="sk-SK"/>
        </w:rPr>
        <w:t>*Nežiaduce liekové reakcie identifikované po uvedení lieku na trh</w:t>
      </w:r>
    </w:p>
    <w:p w14:paraId="1774C8D4" w14:textId="77777777" w:rsidR="00A31E63" w:rsidRPr="00FB7812" w:rsidRDefault="00A31E63" w:rsidP="00FB7812">
      <w:pPr>
        <w:keepNext/>
        <w:keepLines/>
        <w:rPr>
          <w:iCs/>
          <w:sz w:val="22"/>
          <w:szCs w:val="22"/>
          <w:lang w:val="sk-SK" w:bidi="si-LK"/>
        </w:rPr>
      </w:pPr>
    </w:p>
    <w:p w14:paraId="7EEB4581" w14:textId="77777777" w:rsidR="00BA5AFA" w:rsidRPr="004C7BAE" w:rsidRDefault="00BA5AFA">
      <w:pPr>
        <w:rPr>
          <w:sz w:val="22"/>
          <w:szCs w:val="22"/>
          <w:lang w:val="sk-SK" w:bidi="si-LK"/>
        </w:rPr>
      </w:pPr>
    </w:p>
    <w:p w14:paraId="22D65762" w14:textId="77777777" w:rsidR="00FF5EDB" w:rsidRPr="00FB7812" w:rsidRDefault="00BB1FEE">
      <w:pPr>
        <w:keepNext/>
        <w:rPr>
          <w:iCs/>
          <w:sz w:val="22"/>
          <w:szCs w:val="22"/>
          <w:u w:val="single"/>
          <w:lang w:val="sk-SK" w:bidi="si-LK"/>
        </w:rPr>
      </w:pPr>
      <w:r w:rsidRPr="00FB7812">
        <w:rPr>
          <w:iCs/>
          <w:sz w:val="22"/>
          <w:szCs w:val="22"/>
          <w:u w:val="single"/>
          <w:lang w:val="sk-SK" w:bidi="si-LK"/>
        </w:rPr>
        <w:lastRenderedPageBreak/>
        <w:t>Opis vybraných nežiaducich reakcií</w:t>
      </w:r>
    </w:p>
    <w:p w14:paraId="13E30546" w14:textId="77777777" w:rsidR="00FF5EDB" w:rsidRDefault="00FF5EDB">
      <w:pPr>
        <w:keepNext/>
        <w:rPr>
          <w:i/>
          <w:iCs/>
          <w:sz w:val="22"/>
          <w:szCs w:val="22"/>
          <w:lang w:val="sk-SK" w:bidi="si-LK"/>
        </w:rPr>
      </w:pPr>
    </w:p>
    <w:p w14:paraId="074E0A87" w14:textId="0E2F9AAB" w:rsidR="00BA5AFA" w:rsidRPr="004C7BAE" w:rsidRDefault="002418A6">
      <w:pPr>
        <w:keepNext/>
        <w:rPr>
          <w:i/>
          <w:iCs/>
          <w:sz w:val="22"/>
          <w:szCs w:val="22"/>
          <w:lang w:val="sk-SK" w:bidi="si-LK"/>
        </w:rPr>
      </w:pPr>
      <w:r w:rsidRPr="004C7BAE">
        <w:rPr>
          <w:i/>
          <w:iCs/>
          <w:sz w:val="22"/>
          <w:szCs w:val="22"/>
          <w:lang w:val="sk-SK" w:bidi="si-LK"/>
        </w:rPr>
        <w:t>Benígne a malígne nádory, vrátane nešpecifikovaných novotvarov (cysty a polypy)</w:t>
      </w:r>
    </w:p>
    <w:p w14:paraId="57F68414" w14:textId="77777777" w:rsidR="00BA5AFA" w:rsidRPr="004C7BAE" w:rsidRDefault="002418A6">
      <w:pPr>
        <w:keepNext/>
        <w:rPr>
          <w:sz w:val="22"/>
          <w:szCs w:val="22"/>
          <w:lang w:val="sk-SK" w:bidi="si-LK"/>
        </w:rPr>
      </w:pPr>
      <w:r w:rsidRPr="004C7BAE">
        <w:rPr>
          <w:sz w:val="22"/>
          <w:szCs w:val="22"/>
          <w:lang w:val="sk-SK" w:bidi="si-LK"/>
        </w:rPr>
        <w:t xml:space="preserve">Sekundárna akútna </w:t>
      </w:r>
      <w:proofErr w:type="spellStart"/>
      <w:r w:rsidRPr="004C7BAE">
        <w:rPr>
          <w:sz w:val="22"/>
          <w:szCs w:val="22"/>
          <w:lang w:val="sk-SK" w:bidi="si-LK"/>
        </w:rPr>
        <w:t>myeloidná</w:t>
      </w:r>
      <w:proofErr w:type="spellEnd"/>
      <w:r w:rsidRPr="004C7BAE">
        <w:rPr>
          <w:sz w:val="22"/>
          <w:szCs w:val="22"/>
          <w:lang w:val="sk-SK" w:bidi="si-LK"/>
        </w:rPr>
        <w:t xml:space="preserve"> leukémia s alebo bez pred</w:t>
      </w:r>
      <w:r w:rsidRPr="004C7BAE">
        <w:rPr>
          <w:sz w:val="22"/>
          <w:szCs w:val="22"/>
          <w:lang w:val="sk-SK" w:bidi="si-LK"/>
        </w:rPr>
        <w:noBreakHyphen/>
        <w:t xml:space="preserve">leukemickej fázy, u pacientov liečených </w:t>
      </w:r>
      <w:proofErr w:type="spellStart"/>
      <w:r w:rsidRPr="004C7BAE">
        <w:rPr>
          <w:sz w:val="22"/>
          <w:szCs w:val="22"/>
          <w:lang w:val="sk-SK" w:bidi="si-LK"/>
        </w:rPr>
        <w:t>epirubicínom</w:t>
      </w:r>
      <w:proofErr w:type="spellEnd"/>
      <w:r w:rsidRPr="004C7BAE">
        <w:rPr>
          <w:sz w:val="22"/>
          <w:szCs w:val="22"/>
          <w:lang w:val="sk-SK" w:bidi="si-LK"/>
        </w:rPr>
        <w:t xml:space="preserve"> v kombinácii s </w:t>
      </w:r>
      <w:proofErr w:type="spellStart"/>
      <w:r w:rsidRPr="004C7BAE">
        <w:rPr>
          <w:sz w:val="22"/>
          <w:szCs w:val="22"/>
          <w:lang w:val="sk-SK" w:bidi="si-LK"/>
        </w:rPr>
        <w:t>antineoplastickými</w:t>
      </w:r>
      <w:proofErr w:type="spellEnd"/>
      <w:r w:rsidRPr="004C7BAE">
        <w:rPr>
          <w:sz w:val="22"/>
          <w:szCs w:val="22"/>
          <w:lang w:val="sk-SK" w:bidi="si-LK"/>
        </w:rPr>
        <w:t xml:space="preserve"> látkami poškodzujúcimi DNA. </w:t>
      </w:r>
    </w:p>
    <w:p w14:paraId="2735E575" w14:textId="77777777" w:rsidR="00BA5AFA" w:rsidRPr="004C7BAE" w:rsidRDefault="002418A6">
      <w:pPr>
        <w:ind w:left="1418" w:hanging="1418"/>
        <w:rPr>
          <w:sz w:val="22"/>
          <w:szCs w:val="22"/>
          <w:lang w:val="sk-SK" w:bidi="si-LK"/>
        </w:rPr>
      </w:pPr>
      <w:r w:rsidRPr="004C7BAE">
        <w:rPr>
          <w:sz w:val="22"/>
          <w:szCs w:val="22"/>
          <w:lang w:val="sk-SK" w:bidi="si-LK"/>
        </w:rPr>
        <w:t>Tieto leukémie majú krátku (1 – 3 roky) latenciu.</w:t>
      </w:r>
    </w:p>
    <w:p w14:paraId="59B08C73" w14:textId="77777777" w:rsidR="00BA5AFA" w:rsidRPr="004C7BAE" w:rsidRDefault="00BA5AFA">
      <w:pPr>
        <w:rPr>
          <w:i/>
          <w:iCs/>
          <w:sz w:val="22"/>
          <w:szCs w:val="22"/>
          <w:lang w:val="sk-SK" w:bidi="si-LK"/>
        </w:rPr>
      </w:pPr>
    </w:p>
    <w:p w14:paraId="6508F489" w14:textId="534D4C90" w:rsidR="00BA5AFA" w:rsidRPr="004C7BAE" w:rsidRDefault="002418A6">
      <w:pPr>
        <w:rPr>
          <w:i/>
          <w:sz w:val="22"/>
          <w:szCs w:val="22"/>
          <w:lang w:val="sk-SK" w:bidi="si-LK"/>
        </w:rPr>
      </w:pPr>
      <w:r w:rsidRPr="004C7BAE">
        <w:rPr>
          <w:bCs/>
          <w:i/>
          <w:sz w:val="22"/>
          <w:szCs w:val="22"/>
          <w:lang w:val="sk-SK"/>
        </w:rPr>
        <w:t>Poruchy krvi a lymfatického systému</w:t>
      </w:r>
      <w:r w:rsidRPr="004C7BAE">
        <w:rPr>
          <w:i/>
          <w:sz w:val="22"/>
          <w:szCs w:val="22"/>
          <w:lang w:val="sk-SK" w:bidi="si-LK"/>
        </w:rPr>
        <w:t xml:space="preserve"> </w:t>
      </w:r>
    </w:p>
    <w:p w14:paraId="239A2707" w14:textId="77777777" w:rsidR="00BA5AFA" w:rsidRPr="004C7BAE" w:rsidRDefault="002418A6">
      <w:pPr>
        <w:rPr>
          <w:sz w:val="22"/>
          <w:szCs w:val="22"/>
          <w:lang w:val="sk-SK" w:bidi="si-LK"/>
        </w:rPr>
      </w:pPr>
      <w:r w:rsidRPr="004C7BAE">
        <w:rPr>
          <w:sz w:val="22"/>
          <w:szCs w:val="22"/>
          <w:lang w:val="sk-SK" w:bidi="si-LK"/>
        </w:rPr>
        <w:t xml:space="preserve">Vysoké dávky </w:t>
      </w:r>
      <w:proofErr w:type="spellStart"/>
      <w:r w:rsidRPr="004C7BAE">
        <w:rPr>
          <w:sz w:val="22"/>
          <w:szCs w:val="22"/>
          <w:lang w:val="sk-SK" w:bidi="si-LK"/>
        </w:rPr>
        <w:t>epirubicínu</w:t>
      </w:r>
      <w:proofErr w:type="spellEnd"/>
      <w:r w:rsidRPr="004C7BAE">
        <w:rPr>
          <w:sz w:val="22"/>
          <w:szCs w:val="22"/>
          <w:lang w:val="sk-SK" w:bidi="si-LK"/>
        </w:rPr>
        <w:t xml:space="preserve"> sa bezpečne podávali u veľkého množstva neliečených pacientov s viacerými solídnymi nádormi a spôsobili rovnaké nežiaduce udalosti ako u bežných dávok, s výnimkou reverzibilnej ťažkej </w:t>
      </w:r>
      <w:proofErr w:type="spellStart"/>
      <w:r w:rsidRPr="004C7BAE">
        <w:rPr>
          <w:sz w:val="22"/>
          <w:szCs w:val="22"/>
          <w:lang w:val="sk-SK" w:bidi="si-LK"/>
        </w:rPr>
        <w:t>neutropénie</w:t>
      </w:r>
      <w:proofErr w:type="spellEnd"/>
      <w:r w:rsidRPr="004C7BAE">
        <w:rPr>
          <w:sz w:val="22"/>
          <w:szCs w:val="22"/>
          <w:lang w:val="sk-SK" w:bidi="si-LK"/>
        </w:rPr>
        <w:t xml:space="preserve"> (&lt; 500 </w:t>
      </w:r>
      <w:proofErr w:type="spellStart"/>
      <w:r w:rsidRPr="004C7BAE">
        <w:rPr>
          <w:sz w:val="22"/>
          <w:szCs w:val="22"/>
          <w:lang w:val="sk-SK" w:bidi="si-LK"/>
        </w:rPr>
        <w:t>neutrofilov</w:t>
      </w:r>
      <w:proofErr w:type="spellEnd"/>
      <w:r w:rsidRPr="004C7BAE">
        <w:rPr>
          <w:sz w:val="22"/>
          <w:szCs w:val="22"/>
          <w:lang w:val="sk-SK" w:bidi="si-LK"/>
        </w:rPr>
        <w:t xml:space="preserve">/mm³ za &lt; 7 dní), ktorá sa vyskytla u väčšiny pacientov. Iba niekoľko pacientov vyžadovalo hospitalizáciu a podpornú terapiu kvôli závažným infekčným komplikáciám z vysokých dávok. </w:t>
      </w:r>
    </w:p>
    <w:p w14:paraId="6BD809A9" w14:textId="77777777" w:rsidR="00BA5AFA" w:rsidRPr="004C7BAE" w:rsidRDefault="00BA5AFA">
      <w:pPr>
        <w:rPr>
          <w:sz w:val="22"/>
          <w:szCs w:val="22"/>
          <w:lang w:val="sk-SK" w:bidi="si-LK"/>
        </w:rPr>
      </w:pPr>
    </w:p>
    <w:p w14:paraId="59F79B98" w14:textId="577F243A" w:rsidR="00BA5AFA" w:rsidRPr="004C7BAE" w:rsidRDefault="002418A6">
      <w:pPr>
        <w:keepNext/>
        <w:keepLines/>
        <w:rPr>
          <w:sz w:val="22"/>
          <w:szCs w:val="22"/>
          <w:lang w:val="sk-SK" w:bidi="si-LK"/>
        </w:rPr>
      </w:pPr>
      <w:r w:rsidRPr="004C7BAE">
        <w:rPr>
          <w:i/>
          <w:iCs/>
          <w:sz w:val="22"/>
          <w:szCs w:val="22"/>
          <w:lang w:val="sk-SK" w:bidi="si-LK"/>
        </w:rPr>
        <w:t>Poruchy kože a podkožného tkaniva</w:t>
      </w:r>
      <w:r w:rsidRPr="004C7BAE">
        <w:rPr>
          <w:sz w:val="22"/>
          <w:szCs w:val="22"/>
          <w:lang w:val="sk-SK" w:bidi="si-LK"/>
        </w:rPr>
        <w:t xml:space="preserve"> </w:t>
      </w:r>
    </w:p>
    <w:p w14:paraId="0B18F229" w14:textId="77777777" w:rsidR="00BA5AFA" w:rsidRPr="004C7BAE" w:rsidRDefault="002418A6">
      <w:pPr>
        <w:keepNext/>
        <w:keepLines/>
        <w:rPr>
          <w:sz w:val="22"/>
          <w:szCs w:val="22"/>
          <w:lang w:val="sk-SK" w:bidi="si-LK"/>
        </w:rPr>
      </w:pPr>
      <w:proofErr w:type="spellStart"/>
      <w:r w:rsidRPr="004C7BAE">
        <w:rPr>
          <w:sz w:val="22"/>
          <w:szCs w:val="22"/>
          <w:lang w:val="sk-SK" w:bidi="si-LK"/>
        </w:rPr>
        <w:t>Alopécia</w:t>
      </w:r>
      <w:proofErr w:type="spellEnd"/>
      <w:r w:rsidRPr="004C7BAE">
        <w:rPr>
          <w:sz w:val="22"/>
          <w:szCs w:val="22"/>
          <w:lang w:val="sk-SK" w:bidi="si-LK"/>
        </w:rPr>
        <w:t xml:space="preserve">, zvyčajne reverzibilná, sa objavuje u 60 – 90 % liečených prípadov, sprevádzané s prerušením rastu brady u mužov. </w:t>
      </w:r>
    </w:p>
    <w:p w14:paraId="570EBD80" w14:textId="77777777" w:rsidR="00BA5AFA" w:rsidRPr="004C7BAE" w:rsidRDefault="00BA5AFA">
      <w:pPr>
        <w:ind w:left="1418" w:hanging="1418"/>
        <w:rPr>
          <w:sz w:val="22"/>
          <w:szCs w:val="22"/>
          <w:lang w:val="sk-SK" w:bidi="si-LK"/>
        </w:rPr>
      </w:pPr>
    </w:p>
    <w:p w14:paraId="6B88B096" w14:textId="439D9ED6" w:rsidR="00BA5AFA" w:rsidRPr="004C7BAE" w:rsidRDefault="002418A6">
      <w:pPr>
        <w:keepNext/>
        <w:rPr>
          <w:i/>
          <w:iCs/>
          <w:sz w:val="22"/>
          <w:szCs w:val="22"/>
          <w:lang w:val="sk-SK" w:bidi="si-LK"/>
        </w:rPr>
      </w:pPr>
      <w:r w:rsidRPr="004C7BAE">
        <w:rPr>
          <w:i/>
          <w:iCs/>
          <w:sz w:val="22"/>
          <w:szCs w:val="22"/>
          <w:lang w:val="sk-SK" w:bidi="si-LK"/>
        </w:rPr>
        <w:t xml:space="preserve">Celkové poruchy a reakcie v mieste podania </w:t>
      </w:r>
    </w:p>
    <w:p w14:paraId="75EB6991" w14:textId="77777777" w:rsidR="00BA5AFA" w:rsidRPr="004C7BAE" w:rsidRDefault="002418A6">
      <w:pPr>
        <w:keepNext/>
        <w:rPr>
          <w:sz w:val="22"/>
          <w:szCs w:val="22"/>
          <w:lang w:val="sk-SK" w:bidi="si-LK"/>
        </w:rPr>
      </w:pPr>
      <w:proofErr w:type="spellStart"/>
      <w:r w:rsidRPr="004C7BAE">
        <w:rPr>
          <w:sz w:val="22"/>
          <w:szCs w:val="22"/>
          <w:lang w:val="sk-SK" w:bidi="si-LK"/>
        </w:rPr>
        <w:t>Mukozitída</w:t>
      </w:r>
      <w:proofErr w:type="spellEnd"/>
      <w:r w:rsidRPr="004C7BAE">
        <w:rPr>
          <w:sz w:val="22"/>
          <w:szCs w:val="22"/>
          <w:lang w:val="sk-SK" w:bidi="si-LK"/>
        </w:rPr>
        <w:t xml:space="preserve"> – môže sa objaviť 5 – 10 dní od začiatku liečby a zvyčajne zahŕňa </w:t>
      </w:r>
      <w:proofErr w:type="spellStart"/>
      <w:r w:rsidRPr="004C7BAE">
        <w:rPr>
          <w:sz w:val="22"/>
          <w:szCs w:val="22"/>
          <w:lang w:val="sk-SK" w:bidi="si-LK"/>
        </w:rPr>
        <w:t>stomatitídu</w:t>
      </w:r>
      <w:proofErr w:type="spellEnd"/>
      <w:r w:rsidRPr="004C7BAE">
        <w:rPr>
          <w:sz w:val="22"/>
          <w:szCs w:val="22"/>
          <w:lang w:val="sk-SK" w:bidi="si-LK"/>
        </w:rPr>
        <w:t xml:space="preserve"> s miestami bolestivých erózii, tvorbu vredov a krvácanie, hlavne pozdĺž jazyka a na </w:t>
      </w:r>
      <w:proofErr w:type="spellStart"/>
      <w:r w:rsidRPr="004C7BAE">
        <w:rPr>
          <w:sz w:val="22"/>
          <w:szCs w:val="22"/>
          <w:lang w:val="sk-SK" w:bidi="si-LK"/>
        </w:rPr>
        <w:t>sublingválnej</w:t>
      </w:r>
      <w:proofErr w:type="spellEnd"/>
      <w:r w:rsidRPr="004C7BAE">
        <w:rPr>
          <w:sz w:val="22"/>
          <w:szCs w:val="22"/>
          <w:lang w:val="sk-SK" w:bidi="si-LK"/>
        </w:rPr>
        <w:t xml:space="preserve"> sliznici.</w:t>
      </w:r>
    </w:p>
    <w:p w14:paraId="633DE246" w14:textId="77777777" w:rsidR="00BA5AFA" w:rsidRPr="004C7BAE" w:rsidRDefault="002418A6">
      <w:pPr>
        <w:rPr>
          <w:sz w:val="22"/>
          <w:szCs w:val="22"/>
          <w:lang w:val="sk-SK" w:bidi="si-LK"/>
        </w:rPr>
      </w:pPr>
      <w:r w:rsidRPr="004C7BAE">
        <w:rPr>
          <w:sz w:val="22"/>
          <w:szCs w:val="22"/>
          <w:lang w:val="sk-SK" w:bidi="si-LK"/>
        </w:rPr>
        <w:t xml:space="preserve">Môžu sa objaviť lokálne bolesti a tkanivová </w:t>
      </w:r>
      <w:proofErr w:type="spellStart"/>
      <w:r w:rsidRPr="004C7BAE">
        <w:rPr>
          <w:sz w:val="22"/>
          <w:szCs w:val="22"/>
          <w:lang w:val="sk-SK" w:bidi="si-LK"/>
        </w:rPr>
        <w:t>nekróza</w:t>
      </w:r>
      <w:proofErr w:type="spellEnd"/>
      <w:r w:rsidRPr="004C7BAE">
        <w:rPr>
          <w:sz w:val="22"/>
          <w:szCs w:val="22"/>
          <w:lang w:val="sk-SK" w:bidi="si-LK"/>
        </w:rPr>
        <w:t xml:space="preserve"> (po náhodnej </w:t>
      </w:r>
      <w:proofErr w:type="spellStart"/>
      <w:r w:rsidRPr="004C7BAE">
        <w:rPr>
          <w:sz w:val="22"/>
          <w:szCs w:val="22"/>
          <w:lang w:val="sk-SK" w:bidi="si-LK"/>
        </w:rPr>
        <w:t>paravenóznej</w:t>
      </w:r>
      <w:proofErr w:type="spellEnd"/>
      <w:r w:rsidRPr="004C7BAE">
        <w:rPr>
          <w:sz w:val="22"/>
          <w:szCs w:val="22"/>
          <w:lang w:val="sk-SK" w:bidi="si-LK"/>
        </w:rPr>
        <w:t xml:space="preserve"> injekcii). </w:t>
      </w:r>
    </w:p>
    <w:p w14:paraId="581E8858" w14:textId="77777777" w:rsidR="00BA5AFA" w:rsidRPr="004C7BAE" w:rsidRDefault="00BA5AFA">
      <w:pPr>
        <w:rPr>
          <w:sz w:val="22"/>
          <w:szCs w:val="22"/>
          <w:lang w:val="sk-SK" w:bidi="si-LK"/>
        </w:rPr>
      </w:pPr>
    </w:p>
    <w:p w14:paraId="26618DE8" w14:textId="10E34273" w:rsidR="00BA5AFA" w:rsidRPr="004C7BAE" w:rsidRDefault="002418A6">
      <w:pPr>
        <w:rPr>
          <w:sz w:val="22"/>
          <w:szCs w:val="22"/>
          <w:lang w:val="sk-SK"/>
        </w:rPr>
      </w:pPr>
      <w:proofErr w:type="spellStart"/>
      <w:r w:rsidRPr="004C7BAE">
        <w:rPr>
          <w:i/>
          <w:sz w:val="22"/>
          <w:szCs w:val="22"/>
          <w:lang w:val="sk-SK"/>
        </w:rPr>
        <w:t>Intravezikálne</w:t>
      </w:r>
      <w:proofErr w:type="spellEnd"/>
      <w:r w:rsidRPr="004C7BAE">
        <w:rPr>
          <w:i/>
          <w:sz w:val="22"/>
          <w:szCs w:val="22"/>
          <w:lang w:val="sk-SK"/>
        </w:rPr>
        <w:t xml:space="preserve"> podávanie</w:t>
      </w:r>
    </w:p>
    <w:p w14:paraId="078DD361" w14:textId="7978ECEC" w:rsidR="00BA5AFA" w:rsidRPr="004C7BAE" w:rsidRDefault="002418A6">
      <w:pPr>
        <w:rPr>
          <w:sz w:val="22"/>
          <w:szCs w:val="22"/>
          <w:lang w:val="sk-SK"/>
        </w:rPr>
      </w:pPr>
      <w:r w:rsidRPr="004C7BAE">
        <w:rPr>
          <w:sz w:val="22"/>
          <w:szCs w:val="22"/>
          <w:lang w:val="sk-SK"/>
        </w:rPr>
        <w:t xml:space="preserve">Keďže po </w:t>
      </w:r>
      <w:proofErr w:type="spellStart"/>
      <w:r w:rsidRPr="004C7BAE">
        <w:rPr>
          <w:sz w:val="22"/>
          <w:szCs w:val="22"/>
          <w:lang w:val="sk-SK"/>
        </w:rPr>
        <w:t>intravezikálnej</w:t>
      </w:r>
      <w:proofErr w:type="spellEnd"/>
      <w:r w:rsidRPr="004C7BAE">
        <w:rPr>
          <w:sz w:val="22"/>
          <w:szCs w:val="22"/>
          <w:lang w:val="sk-SK"/>
        </w:rPr>
        <w:t xml:space="preserve"> </w:t>
      </w:r>
      <w:proofErr w:type="spellStart"/>
      <w:r w:rsidRPr="004C7BAE">
        <w:rPr>
          <w:sz w:val="22"/>
          <w:szCs w:val="22"/>
          <w:lang w:val="sk-SK"/>
        </w:rPr>
        <w:t>instilácii</w:t>
      </w:r>
      <w:proofErr w:type="spellEnd"/>
      <w:r w:rsidRPr="004C7BAE">
        <w:rPr>
          <w:sz w:val="22"/>
          <w:szCs w:val="22"/>
          <w:lang w:val="sk-SK"/>
        </w:rPr>
        <w:t xml:space="preserve"> sa </w:t>
      </w:r>
      <w:proofErr w:type="spellStart"/>
      <w:r w:rsidRPr="004C7BAE">
        <w:rPr>
          <w:sz w:val="22"/>
          <w:szCs w:val="22"/>
          <w:lang w:val="sk-SK"/>
        </w:rPr>
        <w:t>reabsorbuje</w:t>
      </w:r>
      <w:proofErr w:type="spellEnd"/>
      <w:r w:rsidRPr="004C7BAE">
        <w:rPr>
          <w:sz w:val="22"/>
          <w:szCs w:val="22"/>
          <w:lang w:val="sk-SK"/>
        </w:rPr>
        <w:t xml:space="preserve"> iba malá časť aktívnej zložky, závažné systémové nežiaduce účinky ako aj alergické reakcie sú vzácne. Často boli hlásené lokálne reakcie, ako sú pocity pálenia a časté močenie (</w:t>
      </w:r>
      <w:proofErr w:type="spellStart"/>
      <w:r w:rsidRPr="004C7BAE">
        <w:rPr>
          <w:sz w:val="22"/>
          <w:szCs w:val="22"/>
          <w:lang w:val="sk-SK"/>
        </w:rPr>
        <w:t>polakiúria</w:t>
      </w:r>
      <w:proofErr w:type="spellEnd"/>
      <w:r w:rsidRPr="004C7BAE">
        <w:rPr>
          <w:sz w:val="22"/>
          <w:szCs w:val="22"/>
          <w:lang w:val="sk-SK"/>
        </w:rPr>
        <w:t xml:space="preserve">). </w:t>
      </w:r>
      <w:r w:rsidRPr="004C7BAE">
        <w:rPr>
          <w:color w:val="000000"/>
          <w:sz w:val="22"/>
          <w:szCs w:val="22"/>
          <w:lang w:val="sk-SK"/>
        </w:rPr>
        <w:t xml:space="preserve">Bola hlásená príležitostná bakteriálna alebo chemická </w:t>
      </w:r>
      <w:proofErr w:type="spellStart"/>
      <w:r w:rsidRPr="004C7BAE">
        <w:rPr>
          <w:color w:val="000000"/>
          <w:sz w:val="22"/>
          <w:szCs w:val="22"/>
          <w:lang w:val="sk-SK"/>
        </w:rPr>
        <w:t>cystitída</w:t>
      </w:r>
      <w:proofErr w:type="spellEnd"/>
      <w:r w:rsidRPr="004C7BAE">
        <w:rPr>
          <w:color w:val="000000"/>
          <w:sz w:val="22"/>
          <w:szCs w:val="22"/>
          <w:lang w:val="sk-SK"/>
        </w:rPr>
        <w:t xml:space="preserve"> (pozri časť 4.4). Tieto nežiaduce reakcie sú väčšinou reverzibilné.</w:t>
      </w:r>
    </w:p>
    <w:p w14:paraId="66F2D866" w14:textId="77777777" w:rsidR="00BA5AFA" w:rsidRPr="004C7BAE" w:rsidRDefault="00BA5AFA">
      <w:pPr>
        <w:ind w:left="567" w:hanging="567"/>
        <w:rPr>
          <w:sz w:val="22"/>
          <w:szCs w:val="22"/>
          <w:lang w:val="sk-SK" w:bidi="si-LK"/>
        </w:rPr>
      </w:pPr>
    </w:p>
    <w:p w14:paraId="0D64A8AF" w14:textId="77777777" w:rsidR="00E7736F" w:rsidRPr="00FB7812" w:rsidRDefault="00BB1FEE" w:rsidP="00E7736F">
      <w:pPr>
        <w:suppressLineNumbers/>
        <w:autoSpaceDE w:val="0"/>
        <w:autoSpaceDN w:val="0"/>
        <w:adjustRightInd w:val="0"/>
        <w:rPr>
          <w:sz w:val="22"/>
          <w:szCs w:val="22"/>
          <w:u w:val="single"/>
          <w:lang w:val="sk-SK"/>
        </w:rPr>
      </w:pPr>
      <w:r w:rsidRPr="00FB7812">
        <w:rPr>
          <w:noProof/>
          <w:sz w:val="22"/>
          <w:szCs w:val="22"/>
          <w:u w:val="single"/>
          <w:lang w:val="sk-SK"/>
        </w:rPr>
        <w:t>Hlásenie podozrení na nežiaduce reakcie</w:t>
      </w:r>
    </w:p>
    <w:p w14:paraId="4F651747" w14:textId="34D6F2E7" w:rsidR="00E84E32" w:rsidRPr="00F76C16" w:rsidRDefault="00BB1FEE" w:rsidP="00E84E32">
      <w:pPr>
        <w:pStyle w:val="Normlnywebov"/>
        <w:spacing w:before="0" w:beforeAutospacing="0" w:after="0" w:afterAutospacing="0"/>
        <w:rPr>
          <w:sz w:val="22"/>
          <w:szCs w:val="22"/>
          <w:lang w:val="sk-SK"/>
        </w:rPr>
      </w:pPr>
      <w:r w:rsidRPr="00FB7812">
        <w:rPr>
          <w:noProof/>
          <w:sz w:val="22"/>
          <w:szCs w:val="22"/>
          <w:lang w:val="sk-SK"/>
        </w:rPr>
        <w:t>Hlásenie podozrení na nežiaduce reakcie po registrácii lieku je dôležité.</w:t>
      </w:r>
      <w:r w:rsidRPr="00FB7812">
        <w:rPr>
          <w:sz w:val="22"/>
          <w:szCs w:val="22"/>
          <w:lang w:val="sk-SK"/>
        </w:rPr>
        <w:t xml:space="preserve"> </w:t>
      </w:r>
      <w:r w:rsidRPr="00FB7812">
        <w:rPr>
          <w:noProof/>
          <w:sz w:val="22"/>
          <w:szCs w:val="22"/>
          <w:lang w:val="sk-SK"/>
        </w:rPr>
        <w:t>Umožňuje priebežné monitorovanie pomeru prínosu a rizika lieku.</w:t>
      </w:r>
      <w:r w:rsidRPr="00FB7812">
        <w:rPr>
          <w:sz w:val="22"/>
          <w:szCs w:val="22"/>
          <w:lang w:val="sk-SK"/>
        </w:rPr>
        <w:t xml:space="preserve"> Od </w:t>
      </w:r>
      <w:r w:rsidRPr="00FB7812">
        <w:rPr>
          <w:noProof/>
          <w:sz w:val="22"/>
          <w:szCs w:val="22"/>
          <w:lang w:val="sk-SK"/>
        </w:rPr>
        <w:t xml:space="preserve">zdravotníckych pracovníkov sa vyžaduje, aby hlásili akékoľvek podozrenia na nežiaduce reakcie na </w:t>
      </w:r>
      <w:r w:rsidRPr="00FB7812">
        <w:rPr>
          <w:noProof/>
          <w:sz w:val="22"/>
          <w:szCs w:val="22"/>
          <w:highlight w:val="lightGray"/>
          <w:lang w:val="sk-SK"/>
        </w:rPr>
        <w:t>národné centrum hlásenia uvedené v </w:t>
      </w:r>
      <w:hyperlink r:id="rId7" w:history="1">
        <w:r w:rsidRPr="00FB7812">
          <w:rPr>
            <w:rStyle w:val="Hypertextovprepojenie"/>
            <w:noProof/>
            <w:sz w:val="22"/>
            <w:szCs w:val="22"/>
            <w:highlight w:val="lightGray"/>
            <w:lang w:val="sk-SK"/>
          </w:rPr>
          <w:t>Prílohe V</w:t>
        </w:r>
      </w:hyperlink>
      <w:r w:rsidRPr="00FB7812">
        <w:rPr>
          <w:noProof/>
          <w:sz w:val="22"/>
          <w:szCs w:val="22"/>
          <w:lang w:val="sk-SK"/>
        </w:rPr>
        <w:t>.</w:t>
      </w:r>
    </w:p>
    <w:p w14:paraId="743ACBAB" w14:textId="77777777" w:rsidR="00BA5AFA" w:rsidRPr="004C7BAE" w:rsidRDefault="00BA5AFA">
      <w:pPr>
        <w:ind w:left="567" w:hanging="567"/>
        <w:rPr>
          <w:sz w:val="22"/>
          <w:szCs w:val="22"/>
          <w:lang w:val="sk-SK" w:bidi="si-LK"/>
        </w:rPr>
      </w:pPr>
    </w:p>
    <w:p w14:paraId="0EA446E6"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4.9</w:t>
      </w:r>
      <w:r w:rsidRPr="004C7BAE">
        <w:rPr>
          <w:b/>
          <w:bCs/>
          <w:sz w:val="22"/>
          <w:szCs w:val="22"/>
          <w:lang w:val="sk-SK" w:bidi="si-LK"/>
        </w:rPr>
        <w:tab/>
        <w:t>Predávkovanie</w:t>
      </w:r>
    </w:p>
    <w:p w14:paraId="4F40AF0F" w14:textId="77777777" w:rsidR="00BA5AFA" w:rsidRPr="004C7BAE" w:rsidRDefault="00BA5AFA">
      <w:pPr>
        <w:rPr>
          <w:sz w:val="22"/>
          <w:szCs w:val="22"/>
          <w:lang w:val="sk-SK" w:bidi="si-LK"/>
        </w:rPr>
      </w:pPr>
    </w:p>
    <w:p w14:paraId="7F88B38D" w14:textId="77777777" w:rsidR="00BA5AFA" w:rsidRPr="004C7BAE" w:rsidRDefault="002418A6">
      <w:pPr>
        <w:rPr>
          <w:sz w:val="22"/>
          <w:szCs w:val="22"/>
          <w:lang w:val="sk-SK" w:bidi="si-LK"/>
        </w:rPr>
      </w:pPr>
      <w:r w:rsidRPr="004C7BAE">
        <w:rPr>
          <w:sz w:val="22"/>
          <w:szCs w:val="22"/>
          <w:lang w:val="sk-SK" w:bidi="si-LK"/>
        </w:rPr>
        <w:t xml:space="preserve">Akútne predávkovanie </w:t>
      </w:r>
      <w:proofErr w:type="spellStart"/>
      <w:r w:rsidRPr="004C7BAE">
        <w:rPr>
          <w:sz w:val="22"/>
          <w:szCs w:val="22"/>
          <w:lang w:val="sk-SK" w:bidi="si-LK"/>
        </w:rPr>
        <w:t>epirubicínom</w:t>
      </w:r>
      <w:proofErr w:type="spellEnd"/>
      <w:r w:rsidRPr="004C7BAE">
        <w:rPr>
          <w:sz w:val="22"/>
          <w:szCs w:val="22"/>
          <w:lang w:val="sk-SK" w:bidi="si-LK"/>
        </w:rPr>
        <w:t xml:space="preserve"> spôsobí závažnú </w:t>
      </w:r>
      <w:proofErr w:type="spellStart"/>
      <w:r w:rsidRPr="004C7BAE">
        <w:rPr>
          <w:sz w:val="22"/>
          <w:szCs w:val="22"/>
          <w:lang w:val="sk-SK" w:bidi="si-LK"/>
        </w:rPr>
        <w:t>myelosupresiu</w:t>
      </w:r>
      <w:proofErr w:type="spellEnd"/>
      <w:r w:rsidRPr="004C7BAE">
        <w:rPr>
          <w:sz w:val="22"/>
          <w:szCs w:val="22"/>
          <w:lang w:val="sk-SK" w:bidi="si-LK"/>
        </w:rPr>
        <w:t xml:space="preserve"> (do 10 – 14 dní; hlavne </w:t>
      </w:r>
      <w:proofErr w:type="spellStart"/>
      <w:r w:rsidRPr="004C7BAE">
        <w:rPr>
          <w:sz w:val="22"/>
          <w:szCs w:val="22"/>
          <w:lang w:val="sk-SK" w:bidi="si-LK"/>
        </w:rPr>
        <w:t>leukopéniu</w:t>
      </w:r>
      <w:proofErr w:type="spellEnd"/>
      <w:r w:rsidRPr="004C7BAE">
        <w:rPr>
          <w:sz w:val="22"/>
          <w:szCs w:val="22"/>
          <w:lang w:val="sk-SK" w:bidi="si-LK"/>
        </w:rPr>
        <w:t xml:space="preserve"> a </w:t>
      </w:r>
      <w:proofErr w:type="spellStart"/>
      <w:r w:rsidRPr="004C7BAE">
        <w:rPr>
          <w:sz w:val="22"/>
          <w:szCs w:val="22"/>
          <w:lang w:val="sk-SK" w:bidi="si-LK"/>
        </w:rPr>
        <w:t>trombocytopéniu</w:t>
      </w:r>
      <w:proofErr w:type="spellEnd"/>
      <w:r w:rsidRPr="004C7BAE">
        <w:rPr>
          <w:sz w:val="22"/>
          <w:szCs w:val="22"/>
          <w:lang w:val="sk-SK" w:bidi="si-LK"/>
        </w:rPr>
        <w:t xml:space="preserve">), </w:t>
      </w:r>
      <w:proofErr w:type="spellStart"/>
      <w:r w:rsidRPr="004C7BAE">
        <w:rPr>
          <w:sz w:val="22"/>
          <w:szCs w:val="22"/>
          <w:lang w:val="sk-SK" w:bidi="si-LK"/>
        </w:rPr>
        <w:t>gastrointestinálne</w:t>
      </w:r>
      <w:proofErr w:type="spellEnd"/>
      <w:r w:rsidRPr="004C7BAE">
        <w:rPr>
          <w:sz w:val="22"/>
          <w:szCs w:val="22"/>
          <w:lang w:val="sk-SK" w:bidi="si-LK"/>
        </w:rPr>
        <w:t xml:space="preserve"> toxické účinky (hlavne </w:t>
      </w:r>
      <w:proofErr w:type="spellStart"/>
      <w:r w:rsidRPr="004C7BAE">
        <w:rPr>
          <w:sz w:val="22"/>
          <w:szCs w:val="22"/>
          <w:lang w:val="sk-SK" w:bidi="si-LK"/>
        </w:rPr>
        <w:t>mukozitídu</w:t>
      </w:r>
      <w:proofErr w:type="spellEnd"/>
      <w:r w:rsidRPr="004C7BAE">
        <w:rPr>
          <w:sz w:val="22"/>
          <w:szCs w:val="22"/>
          <w:lang w:val="sk-SK" w:bidi="si-LK"/>
        </w:rPr>
        <w:t xml:space="preserve">) a akútne srdcové komplikácie (do 24 hodín). U </w:t>
      </w:r>
      <w:proofErr w:type="spellStart"/>
      <w:r w:rsidRPr="004C7BAE">
        <w:rPr>
          <w:sz w:val="22"/>
          <w:szCs w:val="22"/>
          <w:lang w:val="sk-SK" w:bidi="si-LK"/>
        </w:rPr>
        <w:t>antracyklínov</w:t>
      </w:r>
      <w:proofErr w:type="spellEnd"/>
      <w:r w:rsidRPr="004C7BAE">
        <w:rPr>
          <w:sz w:val="22"/>
          <w:szCs w:val="22"/>
          <w:lang w:val="sk-SK" w:bidi="si-LK"/>
        </w:rPr>
        <w:t xml:space="preserve"> bolo pozorované latentné srdcové zlyhanie do niekoľkých mesiacov až rokov po skončení liečby (pozri časť 4.4). Pacienti musia byť starostlivo monitorovaní. Pri výskyte príznakov zlyhania srdca musia byť pacienti liečení obvyklým spôsobom.</w:t>
      </w:r>
    </w:p>
    <w:p w14:paraId="3A5D3803" w14:textId="77777777" w:rsidR="00BA5AFA" w:rsidRPr="004C7BAE" w:rsidRDefault="00BA5AFA">
      <w:pPr>
        <w:rPr>
          <w:sz w:val="22"/>
          <w:szCs w:val="22"/>
          <w:lang w:val="sk-SK" w:bidi="si-LK"/>
        </w:rPr>
      </w:pPr>
    </w:p>
    <w:p w14:paraId="253A9472" w14:textId="3531576B" w:rsidR="00BA5AFA" w:rsidRPr="00FB7812" w:rsidRDefault="00BB1FEE">
      <w:pPr>
        <w:rPr>
          <w:sz w:val="22"/>
          <w:szCs w:val="22"/>
          <w:u w:val="single"/>
          <w:lang w:val="sk-SK" w:bidi="si-LK"/>
        </w:rPr>
      </w:pPr>
      <w:r w:rsidRPr="00FB7812">
        <w:rPr>
          <w:sz w:val="22"/>
          <w:szCs w:val="22"/>
          <w:u w:val="single"/>
          <w:lang w:val="sk-SK" w:bidi="si-LK"/>
        </w:rPr>
        <w:t>Terapia</w:t>
      </w:r>
    </w:p>
    <w:p w14:paraId="535DAC95" w14:textId="40F372FF" w:rsidR="00BA5AFA" w:rsidRPr="004C7BAE" w:rsidRDefault="00194D14">
      <w:pPr>
        <w:rPr>
          <w:sz w:val="22"/>
          <w:szCs w:val="22"/>
          <w:lang w:val="sk-SK" w:bidi="si-LK"/>
        </w:rPr>
      </w:pPr>
      <w:r>
        <w:rPr>
          <w:sz w:val="22"/>
          <w:szCs w:val="22"/>
          <w:lang w:val="sk-SK" w:bidi="si-LK"/>
        </w:rPr>
        <w:t>S</w:t>
      </w:r>
      <w:r w:rsidR="002418A6" w:rsidRPr="004C7BAE">
        <w:rPr>
          <w:sz w:val="22"/>
          <w:szCs w:val="22"/>
          <w:lang w:val="sk-SK" w:bidi="si-LK"/>
        </w:rPr>
        <w:t xml:space="preserve">ymptomatická. </w:t>
      </w:r>
      <w:proofErr w:type="spellStart"/>
      <w:r w:rsidR="002418A6" w:rsidRPr="004C7BAE">
        <w:rPr>
          <w:sz w:val="22"/>
          <w:szCs w:val="22"/>
          <w:lang w:val="sk-SK" w:bidi="si-LK"/>
        </w:rPr>
        <w:t>Epirubicín</w:t>
      </w:r>
      <w:proofErr w:type="spellEnd"/>
      <w:r w:rsidR="002418A6" w:rsidRPr="004C7BAE">
        <w:rPr>
          <w:sz w:val="22"/>
          <w:szCs w:val="22"/>
          <w:lang w:val="sk-SK" w:bidi="si-LK"/>
        </w:rPr>
        <w:t xml:space="preserve"> sa nedá odstrániť dialýzou.</w:t>
      </w:r>
    </w:p>
    <w:p w14:paraId="4BB2C1CB" w14:textId="77777777" w:rsidR="00BA5AFA" w:rsidRPr="004C7BAE" w:rsidRDefault="00BA5AFA">
      <w:pPr>
        <w:rPr>
          <w:sz w:val="22"/>
          <w:szCs w:val="22"/>
          <w:lang w:val="sk-SK" w:bidi="si-LK"/>
        </w:rPr>
      </w:pPr>
    </w:p>
    <w:p w14:paraId="23C177A4" w14:textId="77777777" w:rsidR="00BA5AFA" w:rsidRPr="004C7BAE" w:rsidRDefault="00BA5AFA">
      <w:pPr>
        <w:rPr>
          <w:sz w:val="22"/>
          <w:szCs w:val="22"/>
          <w:lang w:val="sk-SK" w:bidi="si-LK"/>
        </w:rPr>
      </w:pPr>
    </w:p>
    <w:p w14:paraId="5017A1D3" w14:textId="77777777" w:rsidR="00BA5AFA" w:rsidRPr="004C7BAE" w:rsidRDefault="002418A6" w:rsidP="00444F48">
      <w:pPr>
        <w:keepNext/>
        <w:keepLines/>
        <w:ind w:left="567" w:hanging="567"/>
        <w:outlineLvl w:val="0"/>
        <w:rPr>
          <w:b/>
          <w:bCs/>
          <w:sz w:val="22"/>
          <w:szCs w:val="22"/>
          <w:lang w:val="sk-SK" w:bidi="si-LK"/>
        </w:rPr>
      </w:pPr>
      <w:r w:rsidRPr="004C7BAE">
        <w:rPr>
          <w:b/>
          <w:bCs/>
          <w:sz w:val="22"/>
          <w:szCs w:val="22"/>
          <w:lang w:val="sk-SK" w:bidi="si-LK"/>
        </w:rPr>
        <w:t>5.</w:t>
      </w:r>
      <w:r w:rsidRPr="004C7BAE">
        <w:rPr>
          <w:b/>
          <w:bCs/>
          <w:sz w:val="22"/>
          <w:szCs w:val="22"/>
          <w:lang w:val="sk-SK" w:bidi="si-LK"/>
        </w:rPr>
        <w:tab/>
        <w:t>FARMAKOLOGICKÉ VLASTNOSTI</w:t>
      </w:r>
    </w:p>
    <w:p w14:paraId="35A7EDED" w14:textId="77777777" w:rsidR="00BA5AFA" w:rsidRPr="004C7BAE" w:rsidRDefault="00BA5AFA" w:rsidP="00444F48">
      <w:pPr>
        <w:keepNext/>
        <w:keepLines/>
        <w:rPr>
          <w:b/>
          <w:bCs/>
          <w:sz w:val="22"/>
          <w:szCs w:val="22"/>
          <w:lang w:val="sk-SK" w:bidi="si-LK"/>
        </w:rPr>
      </w:pPr>
    </w:p>
    <w:p w14:paraId="065F6183" w14:textId="77777777" w:rsidR="00BA5AFA" w:rsidRPr="004C7BAE" w:rsidRDefault="002418A6" w:rsidP="00444F48">
      <w:pPr>
        <w:keepNext/>
        <w:keepLines/>
        <w:ind w:left="567" w:hanging="567"/>
        <w:outlineLvl w:val="0"/>
        <w:rPr>
          <w:b/>
          <w:bCs/>
          <w:sz w:val="22"/>
          <w:szCs w:val="22"/>
          <w:lang w:val="sk-SK" w:bidi="si-LK"/>
        </w:rPr>
      </w:pPr>
      <w:r w:rsidRPr="004C7BAE">
        <w:rPr>
          <w:b/>
          <w:bCs/>
          <w:sz w:val="22"/>
          <w:szCs w:val="22"/>
          <w:lang w:val="sk-SK" w:bidi="si-LK"/>
        </w:rPr>
        <w:t>5.1</w:t>
      </w:r>
      <w:r w:rsidRPr="004C7BAE">
        <w:rPr>
          <w:b/>
          <w:bCs/>
          <w:sz w:val="22"/>
          <w:szCs w:val="22"/>
          <w:lang w:val="sk-SK" w:bidi="si-LK"/>
        </w:rPr>
        <w:tab/>
      </w:r>
      <w:proofErr w:type="spellStart"/>
      <w:r w:rsidRPr="004C7BAE">
        <w:rPr>
          <w:b/>
          <w:bCs/>
          <w:sz w:val="22"/>
          <w:szCs w:val="22"/>
          <w:lang w:val="sk-SK" w:bidi="si-LK"/>
        </w:rPr>
        <w:t>Farmakodynamické</w:t>
      </w:r>
      <w:proofErr w:type="spellEnd"/>
      <w:r w:rsidRPr="004C7BAE">
        <w:rPr>
          <w:b/>
          <w:bCs/>
          <w:sz w:val="22"/>
          <w:szCs w:val="22"/>
          <w:lang w:val="sk-SK" w:bidi="si-LK"/>
        </w:rPr>
        <w:t xml:space="preserve"> vlastnosti</w:t>
      </w:r>
    </w:p>
    <w:p w14:paraId="142C8BD9" w14:textId="77777777" w:rsidR="00BA5AFA" w:rsidRPr="004C7BAE" w:rsidRDefault="00BA5AFA">
      <w:pPr>
        <w:rPr>
          <w:sz w:val="22"/>
          <w:szCs w:val="22"/>
          <w:lang w:val="sk-SK" w:bidi="si-LK"/>
        </w:rPr>
      </w:pPr>
    </w:p>
    <w:p w14:paraId="0BFDD296" w14:textId="58467868" w:rsidR="00BA5AFA" w:rsidRPr="004C7BAE" w:rsidRDefault="002418A6">
      <w:pPr>
        <w:outlineLvl w:val="0"/>
        <w:rPr>
          <w:sz w:val="22"/>
          <w:szCs w:val="22"/>
          <w:lang w:val="sk-SK" w:bidi="si-LK"/>
        </w:rPr>
      </w:pPr>
      <w:proofErr w:type="spellStart"/>
      <w:r w:rsidRPr="004C7BAE">
        <w:rPr>
          <w:sz w:val="22"/>
          <w:szCs w:val="22"/>
          <w:lang w:val="sk-SK" w:bidi="si-LK"/>
        </w:rPr>
        <w:t>Farmakoterapeutická</w:t>
      </w:r>
      <w:proofErr w:type="spellEnd"/>
      <w:r w:rsidRPr="004C7BAE">
        <w:rPr>
          <w:sz w:val="22"/>
          <w:szCs w:val="22"/>
          <w:lang w:val="sk-SK" w:bidi="si-LK"/>
        </w:rPr>
        <w:t xml:space="preserve"> skupina: </w:t>
      </w:r>
      <w:proofErr w:type="spellStart"/>
      <w:r w:rsidRPr="004C7BAE">
        <w:rPr>
          <w:sz w:val="22"/>
          <w:szCs w:val="22"/>
          <w:lang w:val="sk-SK" w:bidi="si-LK"/>
        </w:rPr>
        <w:t>Antineoplastick</w:t>
      </w:r>
      <w:r w:rsidR="00FF5EDB">
        <w:rPr>
          <w:sz w:val="22"/>
          <w:szCs w:val="22"/>
          <w:lang w:val="sk-SK" w:bidi="si-LK"/>
        </w:rPr>
        <w:t>é</w:t>
      </w:r>
      <w:proofErr w:type="spellEnd"/>
      <w:r w:rsidRPr="004C7BAE">
        <w:rPr>
          <w:sz w:val="22"/>
          <w:szCs w:val="22"/>
          <w:lang w:val="sk-SK" w:bidi="si-LK"/>
        </w:rPr>
        <w:t xml:space="preserve"> látk</w:t>
      </w:r>
      <w:r w:rsidR="00FF5EDB">
        <w:rPr>
          <w:sz w:val="22"/>
          <w:szCs w:val="22"/>
          <w:lang w:val="sk-SK" w:bidi="si-LK"/>
        </w:rPr>
        <w:t>y</w:t>
      </w:r>
      <w:r w:rsidRPr="004C7BAE">
        <w:rPr>
          <w:sz w:val="22"/>
          <w:szCs w:val="22"/>
          <w:lang w:val="sk-SK" w:bidi="si-LK"/>
        </w:rPr>
        <w:t>. ATC kód: L01D B03</w:t>
      </w:r>
    </w:p>
    <w:p w14:paraId="2384744C" w14:textId="77777777" w:rsidR="00FF5EDB" w:rsidRDefault="00FF5EDB">
      <w:pPr>
        <w:rPr>
          <w:sz w:val="22"/>
          <w:szCs w:val="22"/>
          <w:lang w:val="sk-SK" w:bidi="si-LK"/>
        </w:rPr>
      </w:pPr>
    </w:p>
    <w:p w14:paraId="2B6E5D1B" w14:textId="77777777" w:rsidR="00FF5EDB" w:rsidRDefault="002418A6">
      <w:pPr>
        <w:rPr>
          <w:sz w:val="22"/>
          <w:szCs w:val="22"/>
          <w:lang w:val="sk-SK" w:bidi="si-LK"/>
        </w:rPr>
      </w:pPr>
      <w:proofErr w:type="spellStart"/>
      <w:r w:rsidRPr="004C7BAE">
        <w:rPr>
          <w:sz w:val="22"/>
          <w:szCs w:val="22"/>
          <w:lang w:val="sk-SK" w:bidi="si-LK"/>
        </w:rPr>
        <w:t>Epirubicín</w:t>
      </w:r>
      <w:proofErr w:type="spellEnd"/>
      <w:r w:rsidRPr="004C7BAE">
        <w:rPr>
          <w:sz w:val="22"/>
          <w:szCs w:val="22"/>
          <w:lang w:val="sk-SK" w:bidi="si-LK"/>
        </w:rPr>
        <w:t xml:space="preserve"> je </w:t>
      </w:r>
      <w:proofErr w:type="spellStart"/>
      <w:r w:rsidRPr="004C7BAE">
        <w:rPr>
          <w:sz w:val="22"/>
          <w:szCs w:val="22"/>
          <w:lang w:val="sk-SK" w:bidi="si-LK"/>
        </w:rPr>
        <w:t>cytotoxické</w:t>
      </w:r>
      <w:proofErr w:type="spellEnd"/>
      <w:r w:rsidRPr="004C7BAE">
        <w:rPr>
          <w:sz w:val="22"/>
          <w:szCs w:val="22"/>
          <w:lang w:val="sk-SK" w:bidi="si-LK"/>
        </w:rPr>
        <w:t xml:space="preserve"> aktívne antibiotikum zo skupiny </w:t>
      </w:r>
      <w:proofErr w:type="spellStart"/>
      <w:r w:rsidRPr="004C7BAE">
        <w:rPr>
          <w:sz w:val="22"/>
          <w:szCs w:val="22"/>
          <w:lang w:val="sk-SK" w:bidi="si-LK"/>
        </w:rPr>
        <w:t>antracyklínov</w:t>
      </w:r>
      <w:proofErr w:type="spellEnd"/>
      <w:r w:rsidRPr="004C7BAE">
        <w:rPr>
          <w:sz w:val="22"/>
          <w:szCs w:val="22"/>
          <w:lang w:val="sk-SK" w:bidi="si-LK"/>
        </w:rPr>
        <w:t>.</w:t>
      </w:r>
    </w:p>
    <w:p w14:paraId="43F691F3" w14:textId="77777777" w:rsidR="00FF5EDB" w:rsidRDefault="00FF5EDB">
      <w:pPr>
        <w:rPr>
          <w:sz w:val="22"/>
          <w:szCs w:val="22"/>
          <w:lang w:val="sk-SK" w:bidi="si-LK"/>
        </w:rPr>
      </w:pPr>
    </w:p>
    <w:p w14:paraId="6549F982" w14:textId="77777777" w:rsidR="00A31E63" w:rsidRPr="00FB7812" w:rsidRDefault="00BB1FEE" w:rsidP="00FB7812">
      <w:pPr>
        <w:keepNext/>
        <w:keepLines/>
        <w:rPr>
          <w:sz w:val="22"/>
          <w:szCs w:val="22"/>
          <w:u w:val="single"/>
          <w:lang w:val="sk-SK" w:bidi="si-LK"/>
        </w:rPr>
      </w:pPr>
      <w:r w:rsidRPr="00FB7812">
        <w:rPr>
          <w:sz w:val="22"/>
          <w:szCs w:val="22"/>
          <w:u w:val="single"/>
          <w:lang w:val="sk-SK" w:bidi="si-LK"/>
        </w:rPr>
        <w:lastRenderedPageBreak/>
        <w:t xml:space="preserve">Mechanizmus účinku </w:t>
      </w:r>
    </w:p>
    <w:p w14:paraId="61F5CF16" w14:textId="77777777" w:rsidR="00A31E63" w:rsidRDefault="002418A6" w:rsidP="00FB7812">
      <w:pPr>
        <w:keepNext/>
        <w:keepLines/>
        <w:rPr>
          <w:sz w:val="22"/>
          <w:szCs w:val="22"/>
          <w:lang w:val="sk-SK" w:bidi="si-LK"/>
        </w:rPr>
      </w:pPr>
      <w:r w:rsidRPr="004C7BAE">
        <w:rPr>
          <w:sz w:val="22"/>
          <w:szCs w:val="22"/>
          <w:lang w:val="sk-SK" w:bidi="si-LK"/>
        </w:rPr>
        <w:t xml:space="preserve">Mechanizmus účinku </w:t>
      </w:r>
      <w:proofErr w:type="spellStart"/>
      <w:r w:rsidRPr="004C7BAE">
        <w:rPr>
          <w:sz w:val="22"/>
          <w:szCs w:val="22"/>
          <w:lang w:val="sk-SK" w:bidi="si-LK"/>
        </w:rPr>
        <w:t>epirubicínu</w:t>
      </w:r>
      <w:proofErr w:type="spellEnd"/>
      <w:r w:rsidRPr="004C7BAE">
        <w:rPr>
          <w:sz w:val="22"/>
          <w:szCs w:val="22"/>
          <w:lang w:val="sk-SK" w:bidi="si-LK"/>
        </w:rPr>
        <w:t xml:space="preserve"> sa vzťahuje na jeho schopnosť viazať sa na DNA. Štúdie bunkových kultúr ukázali rýchly prienik do bunky, lokalizáciu v jadre a inhibíciu syntézy nukleovej kyseliny a </w:t>
      </w:r>
      <w:proofErr w:type="spellStart"/>
      <w:r w:rsidRPr="004C7BAE">
        <w:rPr>
          <w:sz w:val="22"/>
          <w:szCs w:val="22"/>
          <w:lang w:val="sk-SK" w:bidi="si-LK"/>
        </w:rPr>
        <w:t>mitózy</w:t>
      </w:r>
      <w:proofErr w:type="spellEnd"/>
      <w:r w:rsidRPr="004C7BAE">
        <w:rPr>
          <w:sz w:val="22"/>
          <w:szCs w:val="22"/>
          <w:lang w:val="sk-SK" w:bidi="si-LK"/>
        </w:rPr>
        <w:t xml:space="preserve">. </w:t>
      </w:r>
    </w:p>
    <w:p w14:paraId="2E16572F" w14:textId="77777777" w:rsidR="00BA5AFA" w:rsidRPr="004C7BAE" w:rsidRDefault="002418A6">
      <w:pPr>
        <w:rPr>
          <w:sz w:val="22"/>
          <w:szCs w:val="22"/>
          <w:lang w:val="sk-SK" w:bidi="si-LK"/>
        </w:rPr>
      </w:pPr>
      <w:r w:rsidRPr="004C7BAE">
        <w:rPr>
          <w:sz w:val="22"/>
          <w:szCs w:val="22"/>
          <w:lang w:val="sk-SK" w:bidi="si-LK"/>
        </w:rPr>
        <w:t xml:space="preserve">Dokázala sa aktivita </w:t>
      </w:r>
      <w:proofErr w:type="spellStart"/>
      <w:r w:rsidRPr="004C7BAE">
        <w:rPr>
          <w:sz w:val="22"/>
          <w:szCs w:val="22"/>
          <w:lang w:val="sk-SK" w:bidi="si-LK"/>
        </w:rPr>
        <w:t>epirubicínu</w:t>
      </w:r>
      <w:proofErr w:type="spellEnd"/>
      <w:r w:rsidRPr="004C7BAE">
        <w:rPr>
          <w:sz w:val="22"/>
          <w:szCs w:val="22"/>
          <w:lang w:val="sk-SK" w:bidi="si-LK"/>
        </w:rPr>
        <w:t xml:space="preserve"> na široké spektrum experimentálnych tumorov, vrátane L1210 a P388 leukémií, sarkómu SA180 (solídne a </w:t>
      </w:r>
      <w:proofErr w:type="spellStart"/>
      <w:r w:rsidRPr="004C7BAE">
        <w:rPr>
          <w:sz w:val="22"/>
          <w:szCs w:val="22"/>
          <w:lang w:val="sk-SK" w:bidi="si-LK"/>
        </w:rPr>
        <w:t>ascitové</w:t>
      </w:r>
      <w:proofErr w:type="spellEnd"/>
      <w:r w:rsidRPr="004C7BAE">
        <w:rPr>
          <w:sz w:val="22"/>
          <w:szCs w:val="22"/>
          <w:lang w:val="sk-SK" w:bidi="si-LK"/>
        </w:rPr>
        <w:t xml:space="preserve"> formy), B16 melanómu, karcinómu prsníka, </w:t>
      </w:r>
      <w:proofErr w:type="spellStart"/>
      <w:r w:rsidRPr="004C7BAE">
        <w:rPr>
          <w:sz w:val="22"/>
          <w:szCs w:val="22"/>
          <w:lang w:val="sk-SK" w:bidi="si-LK"/>
        </w:rPr>
        <w:t>Lewisovho</w:t>
      </w:r>
      <w:proofErr w:type="spellEnd"/>
      <w:r w:rsidRPr="004C7BAE">
        <w:rPr>
          <w:sz w:val="22"/>
          <w:szCs w:val="22"/>
          <w:lang w:val="sk-SK" w:bidi="si-LK"/>
        </w:rPr>
        <w:t xml:space="preserve"> karcinómu pľúc a karcinómu hrubého čreva 38. Preukázal tiež aktivitu proti ľudským tumorom transplantovaným do </w:t>
      </w:r>
      <w:proofErr w:type="spellStart"/>
      <w:r w:rsidRPr="004C7BAE">
        <w:rPr>
          <w:sz w:val="22"/>
          <w:szCs w:val="22"/>
          <w:lang w:val="sk-SK" w:bidi="si-LK"/>
        </w:rPr>
        <w:t>týmu</w:t>
      </w:r>
      <w:proofErr w:type="spellEnd"/>
      <w:r w:rsidRPr="004C7BAE">
        <w:rPr>
          <w:sz w:val="22"/>
          <w:szCs w:val="22"/>
          <w:lang w:val="sk-SK" w:bidi="si-LK"/>
        </w:rPr>
        <w:t xml:space="preserve"> zbavených myší (melanóm, karcinóm prsníka, pľúc, prostaty a vaječníkov).</w:t>
      </w:r>
    </w:p>
    <w:p w14:paraId="2A1B77E6" w14:textId="77777777" w:rsidR="00BA5AFA" w:rsidRPr="004C7BAE" w:rsidRDefault="00BA5AFA">
      <w:pPr>
        <w:rPr>
          <w:sz w:val="22"/>
          <w:szCs w:val="22"/>
          <w:lang w:val="sk-SK" w:bidi="si-LK"/>
        </w:rPr>
      </w:pPr>
    </w:p>
    <w:p w14:paraId="7AD37384"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t>5.2</w:t>
      </w:r>
      <w:r w:rsidRPr="004C7BAE">
        <w:rPr>
          <w:b/>
          <w:bCs/>
          <w:sz w:val="22"/>
          <w:szCs w:val="22"/>
          <w:lang w:val="sk-SK" w:bidi="si-LK"/>
        </w:rPr>
        <w:tab/>
      </w:r>
      <w:proofErr w:type="spellStart"/>
      <w:r w:rsidRPr="004C7BAE">
        <w:rPr>
          <w:b/>
          <w:bCs/>
          <w:sz w:val="22"/>
          <w:szCs w:val="22"/>
          <w:lang w:val="sk-SK" w:bidi="si-LK"/>
        </w:rPr>
        <w:t>Farmakokinetické</w:t>
      </w:r>
      <w:proofErr w:type="spellEnd"/>
      <w:r w:rsidRPr="004C7BAE">
        <w:rPr>
          <w:b/>
          <w:bCs/>
          <w:sz w:val="22"/>
          <w:szCs w:val="22"/>
          <w:lang w:val="sk-SK" w:bidi="si-LK"/>
        </w:rPr>
        <w:t xml:space="preserve"> vlastnosti</w:t>
      </w:r>
    </w:p>
    <w:p w14:paraId="1D037B4D" w14:textId="77777777" w:rsidR="00BA5AFA" w:rsidRDefault="00BA5AFA">
      <w:pPr>
        <w:keepNext/>
        <w:rPr>
          <w:sz w:val="22"/>
          <w:szCs w:val="22"/>
          <w:lang w:val="sk-SK" w:bidi="si-LK"/>
        </w:rPr>
      </w:pPr>
    </w:p>
    <w:p w14:paraId="299E05A0" w14:textId="77777777" w:rsidR="00FF5EDB" w:rsidRPr="00FB7812" w:rsidRDefault="00BB1FEE" w:rsidP="00FF5EDB">
      <w:pPr>
        <w:rPr>
          <w:sz w:val="22"/>
          <w:szCs w:val="22"/>
          <w:u w:val="single"/>
          <w:lang w:val="sk-SK"/>
        </w:rPr>
      </w:pPr>
      <w:r w:rsidRPr="00FB7812">
        <w:rPr>
          <w:sz w:val="22"/>
          <w:szCs w:val="22"/>
          <w:u w:val="single"/>
          <w:lang w:val="sk-SK"/>
        </w:rPr>
        <w:t>Absorpcia</w:t>
      </w:r>
    </w:p>
    <w:p w14:paraId="2E4A9DFF" w14:textId="77777777" w:rsidR="007F2F58" w:rsidRPr="00A76721" w:rsidRDefault="007F2F58" w:rsidP="007F2F58">
      <w:pPr>
        <w:rPr>
          <w:sz w:val="22"/>
          <w:szCs w:val="22"/>
          <w:lang w:val="sk-SK" w:bidi="si-LK"/>
        </w:rPr>
      </w:pPr>
      <w:r w:rsidRPr="00A76721">
        <w:rPr>
          <w:sz w:val="22"/>
          <w:szCs w:val="22"/>
          <w:lang w:val="sk-SK" w:bidi="si-LK"/>
        </w:rPr>
        <w:t xml:space="preserve">Vo </w:t>
      </w:r>
      <w:proofErr w:type="spellStart"/>
      <w:r w:rsidRPr="00A76721">
        <w:rPr>
          <w:sz w:val="22"/>
          <w:szCs w:val="22"/>
          <w:lang w:val="sk-SK" w:bidi="si-LK"/>
        </w:rPr>
        <w:t>farmakokinetických</w:t>
      </w:r>
      <w:proofErr w:type="spellEnd"/>
      <w:r w:rsidRPr="00A76721">
        <w:rPr>
          <w:sz w:val="22"/>
          <w:szCs w:val="22"/>
          <w:lang w:val="sk-SK" w:bidi="si-LK"/>
        </w:rPr>
        <w:t xml:space="preserve"> štúdiách u pacientov s karcinómom in situ močového mechúra, hladiny </w:t>
      </w:r>
      <w:proofErr w:type="spellStart"/>
      <w:r w:rsidRPr="00A76721">
        <w:rPr>
          <w:sz w:val="22"/>
          <w:szCs w:val="22"/>
          <w:lang w:val="sk-SK" w:bidi="si-LK"/>
        </w:rPr>
        <w:t>epirubicínu</w:t>
      </w:r>
      <w:proofErr w:type="spellEnd"/>
      <w:r w:rsidRPr="00A76721">
        <w:rPr>
          <w:sz w:val="22"/>
          <w:szCs w:val="22"/>
          <w:lang w:val="sk-SK" w:bidi="si-LK"/>
        </w:rPr>
        <w:t xml:space="preserve"> v plazme po </w:t>
      </w:r>
      <w:proofErr w:type="spellStart"/>
      <w:r w:rsidRPr="00A76721">
        <w:rPr>
          <w:sz w:val="22"/>
          <w:szCs w:val="22"/>
          <w:lang w:val="sk-SK" w:bidi="si-LK"/>
        </w:rPr>
        <w:t>intravezikálnej</w:t>
      </w:r>
      <w:proofErr w:type="spellEnd"/>
      <w:r w:rsidRPr="00A76721">
        <w:rPr>
          <w:sz w:val="22"/>
          <w:szCs w:val="22"/>
          <w:lang w:val="sk-SK" w:bidi="si-LK"/>
        </w:rPr>
        <w:t xml:space="preserve"> </w:t>
      </w:r>
      <w:proofErr w:type="spellStart"/>
      <w:r w:rsidRPr="00A76721">
        <w:rPr>
          <w:sz w:val="22"/>
          <w:szCs w:val="22"/>
          <w:lang w:val="sk-SK" w:bidi="si-LK"/>
        </w:rPr>
        <w:t>instilácii</w:t>
      </w:r>
      <w:proofErr w:type="spellEnd"/>
      <w:r w:rsidRPr="00A76721">
        <w:rPr>
          <w:sz w:val="22"/>
          <w:szCs w:val="22"/>
          <w:lang w:val="sk-SK" w:bidi="si-LK"/>
        </w:rPr>
        <w:t xml:space="preserve"> sú typicky nízke (&lt;10 </w:t>
      </w:r>
      <w:proofErr w:type="spellStart"/>
      <w:r w:rsidRPr="00A76721">
        <w:rPr>
          <w:sz w:val="22"/>
          <w:szCs w:val="22"/>
          <w:lang w:val="sk-SK" w:bidi="si-LK"/>
        </w:rPr>
        <w:t>ng</w:t>
      </w:r>
      <w:proofErr w:type="spellEnd"/>
      <w:r w:rsidRPr="00A76721">
        <w:rPr>
          <w:sz w:val="22"/>
          <w:szCs w:val="22"/>
          <w:lang w:val="sk-SK" w:bidi="si-LK"/>
        </w:rPr>
        <w:t xml:space="preserve">/ml). Nedá sa preto predpokladať výrazné systémové vstrebávanie. U pacientov s léziami </w:t>
      </w:r>
      <w:proofErr w:type="spellStart"/>
      <w:r w:rsidRPr="00A76721">
        <w:rPr>
          <w:sz w:val="22"/>
          <w:szCs w:val="22"/>
          <w:lang w:val="sk-SK" w:bidi="si-LK"/>
        </w:rPr>
        <w:t>mukózy</w:t>
      </w:r>
      <w:proofErr w:type="spellEnd"/>
      <w:r w:rsidRPr="00A76721">
        <w:rPr>
          <w:sz w:val="22"/>
          <w:szCs w:val="22"/>
          <w:lang w:val="sk-SK" w:bidi="si-LK"/>
        </w:rPr>
        <w:t xml:space="preserve"> močového mechúra (napr. nádor, </w:t>
      </w:r>
      <w:proofErr w:type="spellStart"/>
      <w:r w:rsidRPr="00A76721">
        <w:rPr>
          <w:sz w:val="22"/>
          <w:szCs w:val="22"/>
          <w:lang w:val="sk-SK" w:bidi="si-LK"/>
        </w:rPr>
        <w:t>cystitída</w:t>
      </w:r>
      <w:proofErr w:type="spellEnd"/>
      <w:r w:rsidRPr="00A76721">
        <w:rPr>
          <w:sz w:val="22"/>
          <w:szCs w:val="22"/>
          <w:lang w:val="sk-SK" w:bidi="si-LK"/>
        </w:rPr>
        <w:t xml:space="preserve">, operácie), sa môže očakávať vyššia rýchlosť vstrebávania. </w:t>
      </w:r>
    </w:p>
    <w:p w14:paraId="7F9C156D" w14:textId="77777777" w:rsidR="00FF5EDB" w:rsidRPr="00FB7812" w:rsidRDefault="00FF5EDB" w:rsidP="00FF5EDB">
      <w:pPr>
        <w:rPr>
          <w:sz w:val="22"/>
          <w:szCs w:val="22"/>
          <w:lang w:val="sk-SK"/>
        </w:rPr>
      </w:pPr>
    </w:p>
    <w:p w14:paraId="21EEF5FA" w14:textId="77777777" w:rsidR="00D90D9F" w:rsidRPr="00FB7812" w:rsidRDefault="00BB1FEE">
      <w:pPr>
        <w:keepNext/>
        <w:rPr>
          <w:sz w:val="22"/>
          <w:szCs w:val="22"/>
          <w:u w:val="single"/>
          <w:lang w:val="sk-SK"/>
        </w:rPr>
      </w:pPr>
      <w:r w:rsidRPr="00FB7812">
        <w:rPr>
          <w:sz w:val="22"/>
          <w:szCs w:val="22"/>
          <w:u w:val="single"/>
          <w:lang w:val="sk-SK"/>
        </w:rPr>
        <w:t>Distribúcia</w:t>
      </w:r>
    </w:p>
    <w:p w14:paraId="4D962008" w14:textId="77777777" w:rsidR="00FF5EDB" w:rsidRPr="00FB7812" w:rsidRDefault="002418A6">
      <w:pPr>
        <w:keepNext/>
        <w:rPr>
          <w:sz w:val="22"/>
          <w:szCs w:val="22"/>
          <w:lang w:val="sk-SK"/>
        </w:rPr>
      </w:pPr>
      <w:r w:rsidRPr="00A76721">
        <w:rPr>
          <w:sz w:val="22"/>
          <w:szCs w:val="22"/>
          <w:lang w:val="sk-SK" w:bidi="si-LK"/>
        </w:rPr>
        <w:t>U pacientov s normálnou funkciou pečene a obličiek, hladiny plazmy po intravenóznej injekcii 60</w:t>
      </w:r>
      <w:r w:rsidRPr="00A76721">
        <w:rPr>
          <w:sz w:val="22"/>
          <w:szCs w:val="22"/>
          <w:lang w:val="sk-SK" w:bidi="si-LK"/>
        </w:rPr>
        <w:noBreakHyphen/>
        <w:t xml:space="preserve">150 mg/m² lieku majú </w:t>
      </w:r>
      <w:proofErr w:type="spellStart"/>
      <w:r w:rsidRPr="00A76721">
        <w:rPr>
          <w:sz w:val="22"/>
          <w:szCs w:val="22"/>
          <w:lang w:val="sk-SK" w:bidi="si-LK"/>
        </w:rPr>
        <w:t>troj</w:t>
      </w:r>
      <w:proofErr w:type="spellEnd"/>
      <w:r w:rsidRPr="00A76721">
        <w:rPr>
          <w:sz w:val="22"/>
          <w:szCs w:val="22"/>
          <w:lang w:val="sk-SK" w:bidi="si-LK"/>
        </w:rPr>
        <w:t xml:space="preserve"> – exponenciálny pokles s veľmi rýchlou prvou fázou a pomalou záverečnou fázou so stredným polčasom rozpadu približne 40 hodín. Tieto dávky sú v rámci limitov </w:t>
      </w:r>
      <w:proofErr w:type="spellStart"/>
      <w:r w:rsidRPr="00A76721">
        <w:rPr>
          <w:sz w:val="22"/>
          <w:szCs w:val="22"/>
          <w:lang w:val="sk-SK" w:bidi="si-LK"/>
        </w:rPr>
        <w:t>farmakokinetickej</w:t>
      </w:r>
      <w:proofErr w:type="spellEnd"/>
      <w:r w:rsidRPr="00A76721">
        <w:rPr>
          <w:sz w:val="22"/>
          <w:szCs w:val="22"/>
          <w:lang w:val="sk-SK" w:bidi="si-LK"/>
        </w:rPr>
        <w:t xml:space="preserve"> </w:t>
      </w:r>
      <w:proofErr w:type="spellStart"/>
      <w:r w:rsidRPr="00A76721">
        <w:rPr>
          <w:sz w:val="22"/>
          <w:szCs w:val="22"/>
          <w:lang w:val="sk-SK" w:bidi="si-LK"/>
        </w:rPr>
        <w:t>linearity</w:t>
      </w:r>
      <w:proofErr w:type="spellEnd"/>
      <w:r w:rsidRPr="00A76721">
        <w:rPr>
          <w:sz w:val="22"/>
          <w:szCs w:val="22"/>
          <w:lang w:val="sk-SK" w:bidi="si-LK"/>
        </w:rPr>
        <w:t xml:space="preserve">, čo sa týka hodnôt plazmatického </w:t>
      </w:r>
      <w:proofErr w:type="spellStart"/>
      <w:r w:rsidRPr="00A76721">
        <w:rPr>
          <w:sz w:val="22"/>
          <w:szCs w:val="22"/>
          <w:lang w:val="sk-SK" w:bidi="si-LK"/>
        </w:rPr>
        <w:t>klírensu</w:t>
      </w:r>
      <w:proofErr w:type="spellEnd"/>
      <w:r w:rsidRPr="00A76721">
        <w:rPr>
          <w:sz w:val="22"/>
          <w:szCs w:val="22"/>
          <w:lang w:val="sk-SK" w:bidi="si-LK"/>
        </w:rPr>
        <w:t xml:space="preserve"> ako aj metabolickej cesty. </w:t>
      </w:r>
      <w:proofErr w:type="spellStart"/>
      <w:r w:rsidR="007F2F58" w:rsidRPr="004C7BAE">
        <w:rPr>
          <w:sz w:val="22"/>
          <w:szCs w:val="22"/>
          <w:lang w:val="sk-SK" w:bidi="si-LK"/>
        </w:rPr>
        <w:t>Epirubicín</w:t>
      </w:r>
      <w:proofErr w:type="spellEnd"/>
      <w:r w:rsidR="007F2F58" w:rsidRPr="004C7BAE">
        <w:rPr>
          <w:sz w:val="22"/>
          <w:szCs w:val="22"/>
          <w:lang w:val="sk-SK" w:bidi="si-LK"/>
        </w:rPr>
        <w:t xml:space="preserve"> sa vylučuje hlavne cez pečeň, vysoké hodnoty plazmatického </w:t>
      </w:r>
      <w:proofErr w:type="spellStart"/>
      <w:r w:rsidR="007F2F58" w:rsidRPr="004C7BAE">
        <w:rPr>
          <w:sz w:val="22"/>
          <w:szCs w:val="22"/>
          <w:lang w:val="sk-SK" w:bidi="si-LK"/>
        </w:rPr>
        <w:t>klírensu</w:t>
      </w:r>
      <w:proofErr w:type="spellEnd"/>
      <w:r w:rsidR="007F2F58" w:rsidRPr="004C7BAE">
        <w:rPr>
          <w:sz w:val="22"/>
          <w:szCs w:val="22"/>
          <w:lang w:val="sk-SK" w:bidi="si-LK"/>
        </w:rPr>
        <w:t xml:space="preserve"> (0,9 l/min) naznačujú, že toto pomalé vylučovanie je z dôvodu rozsiahlej distribúcie do tkanív. </w:t>
      </w:r>
    </w:p>
    <w:p w14:paraId="1357C360" w14:textId="77777777" w:rsidR="00FF5EDB" w:rsidRPr="00FB7812" w:rsidRDefault="00FF5EDB">
      <w:pPr>
        <w:keepNext/>
        <w:rPr>
          <w:sz w:val="22"/>
          <w:szCs w:val="22"/>
          <w:lang w:val="sk-SK"/>
        </w:rPr>
      </w:pPr>
    </w:p>
    <w:p w14:paraId="28EF0601" w14:textId="77777777" w:rsidR="00FF5EDB" w:rsidRPr="00FB7812" w:rsidRDefault="00BB1FEE">
      <w:pPr>
        <w:keepNext/>
        <w:rPr>
          <w:sz w:val="22"/>
          <w:szCs w:val="22"/>
          <w:u w:val="single"/>
          <w:lang w:val="sk-SK"/>
        </w:rPr>
      </w:pPr>
      <w:proofErr w:type="spellStart"/>
      <w:r w:rsidRPr="00FB7812">
        <w:rPr>
          <w:sz w:val="22"/>
          <w:szCs w:val="22"/>
          <w:u w:val="single"/>
          <w:lang w:val="sk-SK"/>
        </w:rPr>
        <w:t>Biotransformácia</w:t>
      </w:r>
      <w:proofErr w:type="spellEnd"/>
    </w:p>
    <w:p w14:paraId="74C61CD1" w14:textId="0C99DC85" w:rsidR="00BA5AFA" w:rsidRPr="00A76721" w:rsidRDefault="002418A6">
      <w:pPr>
        <w:keepNext/>
        <w:rPr>
          <w:sz w:val="22"/>
          <w:szCs w:val="22"/>
          <w:lang w:val="sk-SK" w:bidi="si-LK"/>
        </w:rPr>
      </w:pPr>
      <w:r w:rsidRPr="00A76721">
        <w:rPr>
          <w:sz w:val="22"/>
          <w:szCs w:val="22"/>
          <w:lang w:val="sk-SK" w:bidi="si-LK"/>
        </w:rPr>
        <w:t xml:space="preserve">Hlavné </w:t>
      </w:r>
      <w:proofErr w:type="spellStart"/>
      <w:r w:rsidRPr="00A76721">
        <w:rPr>
          <w:sz w:val="22"/>
          <w:szCs w:val="22"/>
          <w:lang w:val="sk-SK" w:bidi="si-LK"/>
        </w:rPr>
        <w:t>metabolity</w:t>
      </w:r>
      <w:proofErr w:type="spellEnd"/>
      <w:r w:rsidRPr="00A76721">
        <w:rPr>
          <w:sz w:val="22"/>
          <w:szCs w:val="22"/>
          <w:lang w:val="sk-SK" w:bidi="si-LK"/>
        </w:rPr>
        <w:t xml:space="preserve">, ktoré boli zistené, sú </w:t>
      </w:r>
      <w:proofErr w:type="spellStart"/>
      <w:r w:rsidRPr="00A76721">
        <w:rPr>
          <w:sz w:val="22"/>
          <w:szCs w:val="22"/>
          <w:lang w:val="sk-SK" w:bidi="si-LK"/>
        </w:rPr>
        <w:t>epirubicinol</w:t>
      </w:r>
      <w:proofErr w:type="spellEnd"/>
      <w:r w:rsidRPr="00A76721">
        <w:rPr>
          <w:sz w:val="22"/>
          <w:szCs w:val="22"/>
          <w:lang w:val="sk-SK" w:bidi="si-LK"/>
        </w:rPr>
        <w:t xml:space="preserve"> (13</w:t>
      </w:r>
      <w:r w:rsidRPr="00A76721">
        <w:rPr>
          <w:sz w:val="22"/>
          <w:szCs w:val="22"/>
          <w:lang w:val="sk-SK" w:bidi="si-LK"/>
        </w:rPr>
        <w:noBreakHyphen/>
        <w:t>OH </w:t>
      </w:r>
      <w:proofErr w:type="spellStart"/>
      <w:r w:rsidRPr="00A76721">
        <w:rPr>
          <w:sz w:val="22"/>
          <w:szCs w:val="22"/>
          <w:lang w:val="sk-SK" w:bidi="si-LK"/>
        </w:rPr>
        <w:t>epirubicín</w:t>
      </w:r>
      <w:proofErr w:type="spellEnd"/>
      <w:r w:rsidRPr="00A76721">
        <w:rPr>
          <w:sz w:val="22"/>
          <w:szCs w:val="22"/>
          <w:lang w:val="sk-SK" w:bidi="si-LK"/>
        </w:rPr>
        <w:t xml:space="preserve">) a </w:t>
      </w:r>
      <w:proofErr w:type="spellStart"/>
      <w:r w:rsidRPr="00A76721">
        <w:rPr>
          <w:sz w:val="22"/>
          <w:szCs w:val="22"/>
          <w:lang w:val="sk-SK" w:bidi="si-LK"/>
        </w:rPr>
        <w:t>glukuronidy</w:t>
      </w:r>
      <w:proofErr w:type="spellEnd"/>
      <w:r w:rsidRPr="00A76721">
        <w:rPr>
          <w:sz w:val="22"/>
          <w:szCs w:val="22"/>
          <w:lang w:val="sk-SK" w:bidi="si-LK"/>
        </w:rPr>
        <w:t xml:space="preserve"> </w:t>
      </w:r>
      <w:proofErr w:type="spellStart"/>
      <w:r w:rsidRPr="00A76721">
        <w:rPr>
          <w:sz w:val="22"/>
          <w:szCs w:val="22"/>
          <w:lang w:val="sk-SK" w:bidi="si-LK"/>
        </w:rPr>
        <w:t>epirubicínu</w:t>
      </w:r>
      <w:proofErr w:type="spellEnd"/>
      <w:r w:rsidRPr="00A76721">
        <w:rPr>
          <w:sz w:val="22"/>
          <w:szCs w:val="22"/>
          <w:lang w:val="sk-SK" w:bidi="si-LK"/>
        </w:rPr>
        <w:t xml:space="preserve"> a </w:t>
      </w:r>
      <w:proofErr w:type="spellStart"/>
      <w:r w:rsidRPr="00A76721">
        <w:rPr>
          <w:sz w:val="22"/>
          <w:szCs w:val="22"/>
          <w:lang w:val="sk-SK" w:bidi="si-LK"/>
        </w:rPr>
        <w:t>epirubicinolu</w:t>
      </w:r>
      <w:proofErr w:type="spellEnd"/>
      <w:r w:rsidRPr="00A76721">
        <w:rPr>
          <w:sz w:val="22"/>
          <w:szCs w:val="22"/>
          <w:lang w:val="sk-SK" w:bidi="si-LK"/>
        </w:rPr>
        <w:t>.</w:t>
      </w:r>
      <w:r w:rsidR="00FF5EDB" w:rsidRPr="00A76721">
        <w:rPr>
          <w:sz w:val="22"/>
          <w:szCs w:val="22"/>
          <w:lang w:val="sk-SK" w:bidi="si-LK"/>
        </w:rPr>
        <w:t xml:space="preserve"> </w:t>
      </w:r>
    </w:p>
    <w:p w14:paraId="6F4C7090" w14:textId="77777777" w:rsidR="00FF5EDB" w:rsidRPr="00FB7812" w:rsidRDefault="00FF5EDB" w:rsidP="00FF5EDB">
      <w:pPr>
        <w:rPr>
          <w:sz w:val="22"/>
          <w:szCs w:val="22"/>
          <w:lang w:val="sk-SK"/>
        </w:rPr>
      </w:pPr>
      <w:r w:rsidRPr="00A76721">
        <w:rPr>
          <w:sz w:val="22"/>
          <w:szCs w:val="22"/>
          <w:lang w:val="sk-SK" w:bidi="si-LK"/>
        </w:rPr>
        <w:t>4’</w:t>
      </w:r>
      <w:r w:rsidRPr="00A76721">
        <w:rPr>
          <w:sz w:val="22"/>
          <w:szCs w:val="22"/>
          <w:lang w:val="sk-SK" w:bidi="si-LK"/>
        </w:rPr>
        <w:noBreakHyphen/>
        <w:t>O</w:t>
      </w:r>
      <w:r w:rsidRPr="00A76721">
        <w:rPr>
          <w:sz w:val="22"/>
          <w:szCs w:val="22"/>
          <w:lang w:val="sk-SK" w:bidi="si-LK"/>
        </w:rPr>
        <w:noBreakHyphen/>
        <w:t xml:space="preserve">glukuronidácia rozlišuje </w:t>
      </w:r>
      <w:proofErr w:type="spellStart"/>
      <w:r w:rsidRPr="00A76721">
        <w:rPr>
          <w:sz w:val="22"/>
          <w:szCs w:val="22"/>
          <w:lang w:val="sk-SK" w:bidi="si-LK"/>
        </w:rPr>
        <w:t>epirubicín</w:t>
      </w:r>
      <w:proofErr w:type="spellEnd"/>
      <w:r w:rsidRPr="00A76721">
        <w:rPr>
          <w:sz w:val="22"/>
          <w:szCs w:val="22"/>
          <w:lang w:val="sk-SK" w:bidi="si-LK"/>
        </w:rPr>
        <w:t xml:space="preserve"> od </w:t>
      </w:r>
      <w:proofErr w:type="spellStart"/>
      <w:r w:rsidRPr="00A76721">
        <w:rPr>
          <w:sz w:val="22"/>
          <w:szCs w:val="22"/>
          <w:lang w:val="sk-SK" w:bidi="si-LK"/>
        </w:rPr>
        <w:t>doxorubicínu</w:t>
      </w:r>
      <w:proofErr w:type="spellEnd"/>
      <w:r w:rsidRPr="00A76721">
        <w:rPr>
          <w:sz w:val="22"/>
          <w:szCs w:val="22"/>
          <w:lang w:val="sk-SK" w:bidi="si-LK"/>
        </w:rPr>
        <w:t xml:space="preserve"> a môže prispievať k rýchlejšiemu vylučovaniu </w:t>
      </w:r>
      <w:proofErr w:type="spellStart"/>
      <w:r w:rsidRPr="00A76721">
        <w:rPr>
          <w:sz w:val="22"/>
          <w:szCs w:val="22"/>
          <w:lang w:val="sk-SK" w:bidi="si-LK"/>
        </w:rPr>
        <w:t>epirubicínu</w:t>
      </w:r>
      <w:proofErr w:type="spellEnd"/>
      <w:r w:rsidRPr="00A76721">
        <w:rPr>
          <w:sz w:val="22"/>
          <w:szCs w:val="22"/>
          <w:lang w:val="sk-SK" w:bidi="si-LK"/>
        </w:rPr>
        <w:t xml:space="preserve"> a jeho zníženej toxicite. Hladiny hlavného </w:t>
      </w:r>
      <w:proofErr w:type="spellStart"/>
      <w:r w:rsidRPr="00A76721">
        <w:rPr>
          <w:sz w:val="22"/>
          <w:szCs w:val="22"/>
          <w:lang w:val="sk-SK" w:bidi="si-LK"/>
        </w:rPr>
        <w:t>metabolitu</w:t>
      </w:r>
      <w:proofErr w:type="spellEnd"/>
      <w:r w:rsidRPr="00A76721">
        <w:rPr>
          <w:sz w:val="22"/>
          <w:szCs w:val="22"/>
          <w:lang w:val="sk-SK" w:bidi="si-LK"/>
        </w:rPr>
        <w:t xml:space="preserve"> v plazme, 13</w:t>
      </w:r>
      <w:r w:rsidRPr="00A76721">
        <w:rPr>
          <w:sz w:val="22"/>
          <w:szCs w:val="22"/>
          <w:lang w:val="sk-SK" w:bidi="si-LK"/>
        </w:rPr>
        <w:noBreakHyphen/>
        <w:t>OH derivátu (</w:t>
      </w:r>
      <w:proofErr w:type="spellStart"/>
      <w:r w:rsidRPr="00A76721">
        <w:rPr>
          <w:sz w:val="22"/>
          <w:szCs w:val="22"/>
          <w:lang w:val="sk-SK" w:bidi="si-LK"/>
        </w:rPr>
        <w:t>epirubicinolu</w:t>
      </w:r>
      <w:proofErr w:type="spellEnd"/>
      <w:r w:rsidRPr="00A76721">
        <w:rPr>
          <w:sz w:val="22"/>
          <w:szCs w:val="22"/>
          <w:lang w:val="sk-SK" w:bidi="si-LK"/>
        </w:rPr>
        <w:t>), sú trvale nižšie a v skutočnosti porovnateľné s nezmenenou účinnou látkou</w:t>
      </w:r>
      <w:r w:rsidR="00BB1FEE" w:rsidRPr="00FB7812">
        <w:rPr>
          <w:sz w:val="22"/>
          <w:szCs w:val="22"/>
          <w:lang w:val="sk-SK"/>
        </w:rPr>
        <w:t>.</w:t>
      </w:r>
    </w:p>
    <w:p w14:paraId="62874137" w14:textId="77777777" w:rsidR="00BA5AFA" w:rsidRPr="00A76721" w:rsidRDefault="00BA5AFA">
      <w:pPr>
        <w:rPr>
          <w:sz w:val="22"/>
          <w:szCs w:val="22"/>
          <w:lang w:val="sk-SK" w:bidi="si-LK"/>
        </w:rPr>
      </w:pPr>
    </w:p>
    <w:p w14:paraId="4E037932" w14:textId="77777777" w:rsidR="00A31E63" w:rsidRPr="00FB7812" w:rsidRDefault="00BB1FEE" w:rsidP="00FB7812">
      <w:pPr>
        <w:keepNext/>
        <w:keepLines/>
        <w:rPr>
          <w:sz w:val="22"/>
          <w:szCs w:val="22"/>
          <w:u w:val="single"/>
          <w:lang w:val="sk-SK" w:bidi="si-LK"/>
        </w:rPr>
      </w:pPr>
      <w:r w:rsidRPr="00FB7812">
        <w:rPr>
          <w:sz w:val="22"/>
          <w:szCs w:val="22"/>
          <w:u w:val="single"/>
          <w:lang w:val="sk-SK" w:bidi="si-LK"/>
        </w:rPr>
        <w:t>Eliminácia</w:t>
      </w:r>
    </w:p>
    <w:p w14:paraId="115F1272" w14:textId="77777777" w:rsidR="00A31E63" w:rsidRDefault="002418A6" w:rsidP="00FB7812">
      <w:pPr>
        <w:keepNext/>
        <w:keepLines/>
        <w:rPr>
          <w:sz w:val="22"/>
          <w:szCs w:val="22"/>
          <w:lang w:val="sk-SK" w:bidi="si-LK"/>
        </w:rPr>
      </w:pPr>
      <w:r w:rsidRPr="00A76721">
        <w:rPr>
          <w:sz w:val="22"/>
          <w:szCs w:val="22"/>
          <w:lang w:val="sk-SK" w:bidi="si-LK"/>
        </w:rPr>
        <w:t xml:space="preserve">Vylučovanie žlčou predstavuje významnú cestu vylučovania, približne 40 % podanej dávky sa dostane naspäť do žlče v priebehu 72 hodín. Účinná látka neprechádza do krvno-mozgovej bariéry. </w:t>
      </w:r>
      <w:r w:rsidR="005B1682" w:rsidRPr="004C7BAE">
        <w:rPr>
          <w:sz w:val="22"/>
          <w:szCs w:val="22"/>
          <w:lang w:val="sk-SK" w:bidi="si-LK"/>
        </w:rPr>
        <w:t xml:space="preserve">Vylučovanie močom predstavuje približne 9 – 10 % podávanej dávky v priebehu 48 hodín. </w:t>
      </w:r>
    </w:p>
    <w:p w14:paraId="07534F39" w14:textId="77777777" w:rsidR="00504722" w:rsidRPr="00A76721" w:rsidRDefault="00504722" w:rsidP="00504722">
      <w:pPr>
        <w:rPr>
          <w:sz w:val="22"/>
          <w:szCs w:val="22"/>
          <w:lang w:val="sk-SK"/>
        </w:rPr>
      </w:pPr>
    </w:p>
    <w:p w14:paraId="2212ECD7" w14:textId="77777777" w:rsidR="00504722" w:rsidRPr="00FB7812" w:rsidRDefault="00BB1FEE" w:rsidP="00504722">
      <w:pPr>
        <w:rPr>
          <w:sz w:val="22"/>
          <w:szCs w:val="22"/>
          <w:u w:val="single"/>
          <w:lang w:val="sk-SK"/>
        </w:rPr>
      </w:pPr>
      <w:proofErr w:type="spellStart"/>
      <w:r w:rsidRPr="00FB7812">
        <w:rPr>
          <w:sz w:val="22"/>
          <w:szCs w:val="22"/>
          <w:u w:val="single"/>
          <w:lang w:val="sk-SK"/>
        </w:rPr>
        <w:t>Linearita</w:t>
      </w:r>
      <w:proofErr w:type="spellEnd"/>
      <w:r w:rsidR="00670572" w:rsidRPr="00A76721">
        <w:rPr>
          <w:sz w:val="22"/>
          <w:szCs w:val="22"/>
          <w:u w:val="single"/>
          <w:lang w:val="sk-SK"/>
        </w:rPr>
        <w:t>/</w:t>
      </w:r>
      <w:proofErr w:type="spellStart"/>
      <w:r w:rsidR="00670572" w:rsidRPr="00A76721">
        <w:rPr>
          <w:sz w:val="22"/>
          <w:szCs w:val="22"/>
          <w:u w:val="single"/>
          <w:lang w:val="sk-SK"/>
        </w:rPr>
        <w:t>n</w:t>
      </w:r>
      <w:r w:rsidRPr="00FB7812">
        <w:rPr>
          <w:sz w:val="22"/>
          <w:szCs w:val="22"/>
          <w:u w:val="single"/>
          <w:lang w:val="sk-SK"/>
        </w:rPr>
        <w:t>elinearita</w:t>
      </w:r>
      <w:proofErr w:type="spellEnd"/>
    </w:p>
    <w:p w14:paraId="4B14B13F" w14:textId="77777777" w:rsidR="00504722" w:rsidRPr="00FB7812" w:rsidRDefault="005B1682" w:rsidP="00504722">
      <w:pPr>
        <w:rPr>
          <w:sz w:val="22"/>
          <w:szCs w:val="22"/>
          <w:lang w:val="sk-SK"/>
        </w:rPr>
      </w:pPr>
      <w:r w:rsidRPr="00A76721">
        <w:rPr>
          <w:sz w:val="22"/>
          <w:szCs w:val="22"/>
          <w:lang w:val="sk-SK" w:bidi="si-LK"/>
        </w:rPr>
        <w:t xml:space="preserve">Medzi 60 až 120 mg/m² dochádza k rozsiahlej lineárnej </w:t>
      </w:r>
      <w:proofErr w:type="spellStart"/>
      <w:r w:rsidRPr="00A76721">
        <w:rPr>
          <w:sz w:val="22"/>
          <w:szCs w:val="22"/>
          <w:lang w:val="sk-SK" w:bidi="si-LK"/>
        </w:rPr>
        <w:t>farmakokinetike</w:t>
      </w:r>
      <w:proofErr w:type="spellEnd"/>
      <w:r w:rsidRPr="00A76721">
        <w:rPr>
          <w:sz w:val="22"/>
          <w:szCs w:val="22"/>
          <w:lang w:val="sk-SK" w:bidi="si-LK"/>
        </w:rPr>
        <w:t xml:space="preserve">, 150 mg/m² je na hranici dávkovacej </w:t>
      </w:r>
      <w:proofErr w:type="spellStart"/>
      <w:r w:rsidRPr="00A76721">
        <w:rPr>
          <w:sz w:val="22"/>
          <w:szCs w:val="22"/>
          <w:lang w:val="sk-SK" w:bidi="si-LK"/>
        </w:rPr>
        <w:t>linearity</w:t>
      </w:r>
      <w:proofErr w:type="spellEnd"/>
      <w:r w:rsidRPr="00A76721">
        <w:rPr>
          <w:sz w:val="22"/>
          <w:szCs w:val="22"/>
          <w:lang w:val="sk-SK" w:bidi="si-LK"/>
        </w:rPr>
        <w:t>.</w:t>
      </w:r>
    </w:p>
    <w:p w14:paraId="73E0A01D" w14:textId="77777777" w:rsidR="00BA5AFA" w:rsidRPr="00A76721" w:rsidRDefault="00BA5AFA">
      <w:pPr>
        <w:rPr>
          <w:sz w:val="22"/>
          <w:szCs w:val="22"/>
          <w:lang w:val="sk-SK" w:bidi="si-LK"/>
        </w:rPr>
      </w:pPr>
    </w:p>
    <w:p w14:paraId="0B6B7DC3" w14:textId="77777777" w:rsidR="00BA5AFA" w:rsidRPr="004C7BAE" w:rsidDel="00A76721" w:rsidRDefault="00BA5AFA">
      <w:pPr>
        <w:rPr>
          <w:sz w:val="22"/>
          <w:szCs w:val="22"/>
          <w:lang w:val="sk-SK" w:bidi="si-LK"/>
        </w:rPr>
      </w:pPr>
    </w:p>
    <w:p w14:paraId="35C453D1" w14:textId="77777777" w:rsidR="00BA5AFA" w:rsidRPr="004C7BAE" w:rsidDel="00A76721" w:rsidRDefault="002418A6">
      <w:pPr>
        <w:ind w:left="567" w:hanging="567"/>
        <w:outlineLvl w:val="0"/>
        <w:rPr>
          <w:b/>
          <w:bCs/>
          <w:sz w:val="22"/>
          <w:szCs w:val="22"/>
          <w:lang w:val="sk-SK" w:bidi="si-LK"/>
        </w:rPr>
      </w:pPr>
      <w:r w:rsidRPr="004C7BAE" w:rsidDel="00A76721">
        <w:rPr>
          <w:b/>
          <w:bCs/>
          <w:sz w:val="22"/>
          <w:szCs w:val="22"/>
          <w:lang w:val="sk-SK" w:bidi="si-LK"/>
        </w:rPr>
        <w:t>5.3</w:t>
      </w:r>
      <w:r w:rsidRPr="004C7BAE" w:rsidDel="00A76721">
        <w:rPr>
          <w:b/>
          <w:bCs/>
          <w:sz w:val="22"/>
          <w:szCs w:val="22"/>
          <w:lang w:val="sk-SK" w:bidi="si-LK"/>
        </w:rPr>
        <w:tab/>
        <w:t>Predklinické údaje o bezpečnosti</w:t>
      </w:r>
    </w:p>
    <w:p w14:paraId="47D058AF" w14:textId="77777777" w:rsidR="00BA5AFA" w:rsidRPr="004C7BAE" w:rsidDel="00A76721" w:rsidRDefault="00BA5AFA">
      <w:pPr>
        <w:rPr>
          <w:sz w:val="22"/>
          <w:szCs w:val="22"/>
          <w:lang w:val="sk-SK" w:bidi="si-LK"/>
        </w:rPr>
      </w:pPr>
    </w:p>
    <w:p w14:paraId="1EE710A9" w14:textId="77777777" w:rsidR="00BA5AFA" w:rsidRPr="004C7BAE" w:rsidRDefault="002418A6">
      <w:pPr>
        <w:rPr>
          <w:sz w:val="22"/>
          <w:szCs w:val="22"/>
          <w:lang w:val="sk-SK" w:bidi="si-LK"/>
        </w:rPr>
      </w:pPr>
      <w:r w:rsidRPr="004C7BAE" w:rsidDel="00A76721">
        <w:rPr>
          <w:sz w:val="22"/>
          <w:szCs w:val="22"/>
          <w:lang w:val="sk-SK" w:bidi="si-LK"/>
        </w:rPr>
        <w:t xml:space="preserve">U potkanov, králikov a psov po opakovanom dávkovaní </w:t>
      </w:r>
      <w:proofErr w:type="spellStart"/>
      <w:r w:rsidRPr="004C7BAE" w:rsidDel="00A76721">
        <w:rPr>
          <w:sz w:val="22"/>
          <w:szCs w:val="22"/>
          <w:lang w:val="sk-SK" w:bidi="si-LK"/>
        </w:rPr>
        <w:t>epirubicínu</w:t>
      </w:r>
      <w:proofErr w:type="spellEnd"/>
      <w:r w:rsidRPr="004C7BAE" w:rsidDel="00A76721">
        <w:rPr>
          <w:sz w:val="22"/>
          <w:szCs w:val="22"/>
          <w:lang w:val="sk-SK" w:bidi="si-LK"/>
        </w:rPr>
        <w:t xml:space="preserve"> boli cieľovými orgánmi </w:t>
      </w:r>
      <w:proofErr w:type="spellStart"/>
      <w:r w:rsidRPr="004C7BAE" w:rsidDel="00A76721">
        <w:rPr>
          <w:sz w:val="22"/>
          <w:szCs w:val="22"/>
          <w:lang w:val="sk-SK" w:bidi="si-LK"/>
        </w:rPr>
        <w:t>hematopoetický</w:t>
      </w:r>
      <w:proofErr w:type="spellEnd"/>
      <w:r w:rsidRPr="004C7BAE" w:rsidDel="00A76721">
        <w:rPr>
          <w:sz w:val="22"/>
          <w:szCs w:val="22"/>
          <w:lang w:val="sk-SK" w:bidi="si-LK"/>
        </w:rPr>
        <w:t xml:space="preserve"> systém, GI trakt</w:t>
      </w:r>
      <w:r w:rsidRPr="004C7BAE">
        <w:rPr>
          <w:sz w:val="22"/>
          <w:szCs w:val="22"/>
          <w:lang w:val="sk-SK" w:bidi="si-LK"/>
        </w:rPr>
        <w:t xml:space="preserve">, obličky, pečeň a reprodukčné orgány. </w:t>
      </w:r>
      <w:proofErr w:type="spellStart"/>
      <w:r w:rsidRPr="004C7BAE">
        <w:rPr>
          <w:sz w:val="22"/>
          <w:szCs w:val="22"/>
          <w:lang w:val="sk-SK" w:bidi="si-LK"/>
        </w:rPr>
        <w:t>Epirubicín</w:t>
      </w:r>
      <w:proofErr w:type="spellEnd"/>
      <w:r w:rsidRPr="004C7BAE">
        <w:rPr>
          <w:sz w:val="22"/>
          <w:szCs w:val="22"/>
          <w:lang w:val="sk-SK" w:bidi="si-LK"/>
        </w:rPr>
        <w:t xml:space="preserve"> bol tiež </w:t>
      </w:r>
      <w:proofErr w:type="spellStart"/>
      <w:r w:rsidRPr="004C7BAE">
        <w:rPr>
          <w:sz w:val="22"/>
          <w:szCs w:val="22"/>
          <w:lang w:val="sk-SK" w:bidi="si-LK"/>
        </w:rPr>
        <w:t>kardiotoxický</w:t>
      </w:r>
      <w:proofErr w:type="spellEnd"/>
      <w:r w:rsidRPr="004C7BAE">
        <w:rPr>
          <w:sz w:val="22"/>
          <w:szCs w:val="22"/>
          <w:lang w:val="sk-SK" w:bidi="si-LK"/>
        </w:rPr>
        <w:t xml:space="preserve"> u potkanov, králikov a psov. </w:t>
      </w:r>
    </w:p>
    <w:p w14:paraId="2176EA21" w14:textId="77777777" w:rsidR="00BA5AFA" w:rsidRPr="004C7BAE" w:rsidRDefault="00BA5AFA" w:rsidP="00A76721">
      <w:pPr>
        <w:rPr>
          <w:sz w:val="22"/>
          <w:szCs w:val="22"/>
          <w:lang w:val="sk-SK" w:bidi="si-LK"/>
        </w:rPr>
      </w:pPr>
    </w:p>
    <w:p w14:paraId="6A00B972" w14:textId="77777777" w:rsidR="00BA5AFA" w:rsidRPr="004C7BAE" w:rsidRDefault="002418A6">
      <w:pPr>
        <w:rPr>
          <w:sz w:val="22"/>
          <w:szCs w:val="22"/>
          <w:lang w:val="sk-SK" w:bidi="si-LK"/>
        </w:rPr>
      </w:pPr>
      <w:proofErr w:type="spellStart"/>
      <w:r w:rsidRPr="004C7BAE">
        <w:rPr>
          <w:sz w:val="22"/>
          <w:szCs w:val="22"/>
          <w:lang w:val="sk-SK" w:bidi="si-LK"/>
        </w:rPr>
        <w:t>Epirubicín</w:t>
      </w:r>
      <w:proofErr w:type="spellEnd"/>
      <w:r w:rsidRPr="004C7BAE">
        <w:rPr>
          <w:sz w:val="22"/>
          <w:szCs w:val="22"/>
          <w:lang w:val="sk-SK" w:bidi="si-LK"/>
        </w:rPr>
        <w:t xml:space="preserve">, podobne ako iné </w:t>
      </w:r>
      <w:proofErr w:type="spellStart"/>
      <w:r w:rsidRPr="004C7BAE">
        <w:rPr>
          <w:sz w:val="22"/>
          <w:szCs w:val="22"/>
          <w:lang w:val="sk-SK" w:bidi="si-LK"/>
        </w:rPr>
        <w:t>antracyklíny</w:t>
      </w:r>
      <w:proofErr w:type="spellEnd"/>
      <w:r w:rsidRPr="004C7BAE">
        <w:rPr>
          <w:sz w:val="22"/>
          <w:szCs w:val="22"/>
          <w:lang w:val="sk-SK" w:bidi="si-LK"/>
        </w:rPr>
        <w:t xml:space="preserve">, bol mutagénny, </w:t>
      </w:r>
      <w:proofErr w:type="spellStart"/>
      <w:r w:rsidRPr="004C7BAE">
        <w:rPr>
          <w:sz w:val="22"/>
          <w:szCs w:val="22"/>
          <w:lang w:val="sk-SK" w:bidi="si-LK"/>
        </w:rPr>
        <w:t>genotoxický</w:t>
      </w:r>
      <w:proofErr w:type="spellEnd"/>
      <w:r w:rsidRPr="004C7BAE">
        <w:rPr>
          <w:sz w:val="22"/>
          <w:szCs w:val="22"/>
          <w:lang w:val="sk-SK" w:bidi="si-LK"/>
        </w:rPr>
        <w:t xml:space="preserve"> a karcinogénny u potkanov. </w:t>
      </w:r>
      <w:proofErr w:type="spellStart"/>
      <w:r w:rsidRPr="004C7BAE">
        <w:rPr>
          <w:sz w:val="22"/>
          <w:szCs w:val="22"/>
          <w:lang w:val="sk-SK" w:bidi="si-LK"/>
        </w:rPr>
        <w:t>Embryotoxicita</w:t>
      </w:r>
      <w:proofErr w:type="spellEnd"/>
      <w:r w:rsidRPr="004C7BAE">
        <w:rPr>
          <w:sz w:val="22"/>
          <w:szCs w:val="22"/>
          <w:lang w:val="sk-SK" w:bidi="si-LK"/>
        </w:rPr>
        <w:t xml:space="preserve"> sa preukázala u potkanov pri klinicky relevantných dávkach.</w:t>
      </w:r>
    </w:p>
    <w:p w14:paraId="38D732DD" w14:textId="77777777" w:rsidR="00BA5AFA" w:rsidRPr="004C7BAE" w:rsidRDefault="002418A6">
      <w:pPr>
        <w:rPr>
          <w:sz w:val="22"/>
          <w:szCs w:val="22"/>
          <w:lang w:val="sk-SK" w:bidi="si-LK"/>
        </w:rPr>
      </w:pPr>
      <w:r w:rsidRPr="004C7BAE">
        <w:rPr>
          <w:sz w:val="22"/>
          <w:szCs w:val="22"/>
          <w:lang w:val="sk-SK" w:bidi="si-LK"/>
        </w:rPr>
        <w:t xml:space="preserve">U potkanov alebo králikov sa neprejavili žiadne deformácie, avšak podobne ako iné </w:t>
      </w:r>
      <w:proofErr w:type="spellStart"/>
      <w:r w:rsidRPr="004C7BAE">
        <w:rPr>
          <w:sz w:val="22"/>
          <w:szCs w:val="22"/>
          <w:lang w:val="sk-SK" w:bidi="si-LK"/>
        </w:rPr>
        <w:t>antracyklíny</w:t>
      </w:r>
      <w:proofErr w:type="spellEnd"/>
      <w:r w:rsidRPr="004C7BAE">
        <w:rPr>
          <w:sz w:val="22"/>
          <w:szCs w:val="22"/>
          <w:lang w:val="sk-SK" w:bidi="si-LK"/>
        </w:rPr>
        <w:t xml:space="preserve"> a </w:t>
      </w:r>
      <w:proofErr w:type="spellStart"/>
      <w:r w:rsidRPr="004C7BAE">
        <w:rPr>
          <w:sz w:val="22"/>
          <w:szCs w:val="22"/>
          <w:lang w:val="sk-SK" w:bidi="si-LK"/>
        </w:rPr>
        <w:t>cytotoxické</w:t>
      </w:r>
      <w:proofErr w:type="spellEnd"/>
      <w:r w:rsidRPr="004C7BAE">
        <w:rPr>
          <w:sz w:val="22"/>
          <w:szCs w:val="22"/>
          <w:lang w:val="sk-SK" w:bidi="si-LK"/>
        </w:rPr>
        <w:t xml:space="preserve"> účinné látky sa </w:t>
      </w:r>
      <w:proofErr w:type="spellStart"/>
      <w:r w:rsidRPr="004C7BAE">
        <w:rPr>
          <w:sz w:val="22"/>
          <w:szCs w:val="22"/>
          <w:lang w:val="sk-SK" w:bidi="si-LK"/>
        </w:rPr>
        <w:t>epirubicín</w:t>
      </w:r>
      <w:proofErr w:type="spellEnd"/>
      <w:r w:rsidRPr="004C7BAE">
        <w:rPr>
          <w:sz w:val="22"/>
          <w:szCs w:val="22"/>
          <w:lang w:val="sk-SK" w:bidi="si-LK"/>
        </w:rPr>
        <w:t xml:space="preserve"> musí považovať za potenciálne </w:t>
      </w:r>
      <w:proofErr w:type="spellStart"/>
      <w:r w:rsidRPr="004C7BAE">
        <w:rPr>
          <w:sz w:val="22"/>
          <w:szCs w:val="22"/>
          <w:lang w:val="sk-SK" w:bidi="si-LK"/>
        </w:rPr>
        <w:t>teratogénny</w:t>
      </w:r>
      <w:proofErr w:type="spellEnd"/>
      <w:r w:rsidRPr="004C7BAE">
        <w:rPr>
          <w:sz w:val="22"/>
          <w:szCs w:val="22"/>
          <w:lang w:val="sk-SK" w:bidi="si-LK"/>
        </w:rPr>
        <w:t xml:space="preserve">. </w:t>
      </w:r>
    </w:p>
    <w:p w14:paraId="32C72A11" w14:textId="77777777" w:rsidR="00BA5AFA" w:rsidRPr="004C7BAE" w:rsidRDefault="00BA5AFA">
      <w:pPr>
        <w:rPr>
          <w:sz w:val="22"/>
          <w:szCs w:val="22"/>
          <w:lang w:val="sk-SK" w:bidi="si-LK"/>
        </w:rPr>
      </w:pPr>
    </w:p>
    <w:p w14:paraId="1DA5A997" w14:textId="77777777" w:rsidR="00BA5AFA" w:rsidRPr="004C7BAE" w:rsidRDefault="002418A6">
      <w:pPr>
        <w:rPr>
          <w:sz w:val="22"/>
          <w:szCs w:val="22"/>
          <w:lang w:val="sk-SK" w:bidi="si-LK"/>
        </w:rPr>
      </w:pPr>
      <w:r w:rsidRPr="004C7BAE">
        <w:rPr>
          <w:sz w:val="22"/>
          <w:szCs w:val="22"/>
          <w:lang w:val="sk-SK" w:bidi="si-LK"/>
        </w:rPr>
        <w:t xml:space="preserve">Štúdie lokálnej tolerancie u potkanov a myší ukázali, že </w:t>
      </w:r>
      <w:proofErr w:type="spellStart"/>
      <w:r w:rsidRPr="004C7BAE">
        <w:rPr>
          <w:sz w:val="22"/>
          <w:szCs w:val="22"/>
          <w:lang w:val="sk-SK" w:bidi="si-LK"/>
        </w:rPr>
        <w:t>extravazácia</w:t>
      </w:r>
      <w:proofErr w:type="spellEnd"/>
      <w:r w:rsidRPr="004C7BAE">
        <w:rPr>
          <w:sz w:val="22"/>
          <w:szCs w:val="22"/>
          <w:lang w:val="sk-SK" w:bidi="si-LK"/>
        </w:rPr>
        <w:t xml:space="preserve"> </w:t>
      </w:r>
      <w:proofErr w:type="spellStart"/>
      <w:r w:rsidRPr="004C7BAE">
        <w:rPr>
          <w:sz w:val="22"/>
          <w:szCs w:val="22"/>
          <w:lang w:val="sk-SK" w:bidi="si-LK"/>
        </w:rPr>
        <w:t>epirubicínu</w:t>
      </w:r>
      <w:proofErr w:type="spellEnd"/>
      <w:r w:rsidRPr="004C7BAE">
        <w:rPr>
          <w:sz w:val="22"/>
          <w:szCs w:val="22"/>
          <w:lang w:val="sk-SK" w:bidi="si-LK"/>
        </w:rPr>
        <w:t xml:space="preserve"> spôsobuje tkanivovú </w:t>
      </w:r>
      <w:proofErr w:type="spellStart"/>
      <w:r w:rsidRPr="004C7BAE">
        <w:rPr>
          <w:sz w:val="22"/>
          <w:szCs w:val="22"/>
          <w:lang w:val="sk-SK" w:bidi="si-LK"/>
        </w:rPr>
        <w:t>nekrózu</w:t>
      </w:r>
      <w:proofErr w:type="spellEnd"/>
      <w:r w:rsidRPr="004C7BAE">
        <w:rPr>
          <w:sz w:val="22"/>
          <w:szCs w:val="22"/>
          <w:lang w:val="sk-SK" w:bidi="si-LK"/>
        </w:rPr>
        <w:t xml:space="preserve">. </w:t>
      </w:r>
    </w:p>
    <w:p w14:paraId="7767D068" w14:textId="77777777" w:rsidR="00BA5AFA" w:rsidRPr="004C7BAE" w:rsidRDefault="00BA5AFA">
      <w:pPr>
        <w:rPr>
          <w:sz w:val="22"/>
          <w:szCs w:val="22"/>
          <w:lang w:val="sk-SK" w:bidi="si-LK"/>
        </w:rPr>
      </w:pPr>
    </w:p>
    <w:p w14:paraId="64B31BB7" w14:textId="77777777" w:rsidR="00BA5AFA" w:rsidRPr="004C7BAE" w:rsidRDefault="00BA5AFA">
      <w:pPr>
        <w:rPr>
          <w:sz w:val="22"/>
          <w:szCs w:val="22"/>
          <w:lang w:val="sk-SK" w:bidi="si-LK"/>
        </w:rPr>
      </w:pPr>
    </w:p>
    <w:p w14:paraId="463B3816"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lastRenderedPageBreak/>
        <w:t>6.</w:t>
      </w:r>
      <w:r w:rsidRPr="004C7BAE">
        <w:rPr>
          <w:b/>
          <w:bCs/>
          <w:sz w:val="22"/>
          <w:szCs w:val="22"/>
          <w:lang w:val="sk-SK" w:bidi="si-LK"/>
        </w:rPr>
        <w:tab/>
        <w:t>FARMACEUTICKÉ INFORMÁCIE</w:t>
      </w:r>
    </w:p>
    <w:p w14:paraId="68E38074" w14:textId="77777777" w:rsidR="00BA5AFA" w:rsidRPr="004C7BAE" w:rsidRDefault="00BA5AFA">
      <w:pPr>
        <w:keepNext/>
        <w:rPr>
          <w:sz w:val="22"/>
          <w:szCs w:val="22"/>
          <w:lang w:val="sk-SK" w:bidi="si-LK"/>
        </w:rPr>
      </w:pPr>
    </w:p>
    <w:p w14:paraId="7AC3C185"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t>6.1</w:t>
      </w:r>
      <w:r w:rsidRPr="004C7BAE">
        <w:rPr>
          <w:b/>
          <w:bCs/>
          <w:sz w:val="22"/>
          <w:szCs w:val="22"/>
          <w:lang w:val="sk-SK" w:bidi="si-LK"/>
        </w:rPr>
        <w:tab/>
        <w:t>Zoznam pomocných látok</w:t>
      </w:r>
    </w:p>
    <w:p w14:paraId="42E41449" w14:textId="77777777" w:rsidR="00BA5AFA" w:rsidRPr="004C7BAE" w:rsidRDefault="00BA5AFA">
      <w:pPr>
        <w:keepNext/>
        <w:rPr>
          <w:sz w:val="22"/>
          <w:szCs w:val="22"/>
          <w:lang w:val="sk-SK" w:bidi="si-LK"/>
        </w:rPr>
      </w:pPr>
    </w:p>
    <w:p w14:paraId="42EB0FDB" w14:textId="77777777" w:rsidR="00BA5AFA" w:rsidRPr="004C7BAE" w:rsidRDefault="002418A6">
      <w:pPr>
        <w:keepNext/>
        <w:rPr>
          <w:sz w:val="22"/>
          <w:szCs w:val="22"/>
          <w:lang w:val="sk-SK" w:bidi="si-LK"/>
        </w:rPr>
      </w:pPr>
      <w:r w:rsidRPr="004C7BAE">
        <w:rPr>
          <w:sz w:val="22"/>
          <w:szCs w:val="22"/>
          <w:lang w:val="sk-SK" w:bidi="si-LK"/>
        </w:rPr>
        <w:t>Chlorid sodný</w:t>
      </w:r>
    </w:p>
    <w:p w14:paraId="4ECC2E82" w14:textId="77777777" w:rsidR="00BA5AFA" w:rsidRPr="004C7BAE" w:rsidRDefault="002418A6">
      <w:pPr>
        <w:keepNext/>
        <w:rPr>
          <w:sz w:val="22"/>
          <w:szCs w:val="22"/>
          <w:lang w:val="sk-SK" w:bidi="si-LK"/>
        </w:rPr>
      </w:pPr>
      <w:r w:rsidRPr="004C7BAE">
        <w:rPr>
          <w:sz w:val="22"/>
          <w:szCs w:val="22"/>
          <w:lang w:val="sk-SK" w:bidi="si-LK"/>
        </w:rPr>
        <w:t>Kyselina chlorovodíková (na vyrovnanie pH)</w:t>
      </w:r>
    </w:p>
    <w:p w14:paraId="0A2104ED" w14:textId="77777777" w:rsidR="00BA5AFA" w:rsidRPr="004C7BAE" w:rsidRDefault="002418A6">
      <w:pPr>
        <w:keepNext/>
        <w:rPr>
          <w:sz w:val="22"/>
          <w:szCs w:val="22"/>
          <w:lang w:val="sk-SK" w:bidi="si-LK"/>
        </w:rPr>
      </w:pPr>
      <w:r w:rsidRPr="004C7BAE">
        <w:rPr>
          <w:sz w:val="22"/>
          <w:szCs w:val="22"/>
          <w:lang w:val="sk-SK" w:bidi="si-LK"/>
        </w:rPr>
        <w:t>Voda na injekciu</w:t>
      </w:r>
    </w:p>
    <w:p w14:paraId="2FC6A774" w14:textId="77777777" w:rsidR="00BA5AFA" w:rsidRPr="004C7BAE" w:rsidRDefault="00BA5AFA">
      <w:pPr>
        <w:rPr>
          <w:sz w:val="22"/>
          <w:szCs w:val="22"/>
          <w:lang w:val="sk-SK" w:bidi="si-LK"/>
        </w:rPr>
      </w:pPr>
    </w:p>
    <w:p w14:paraId="7312DF2F"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6.2</w:t>
      </w:r>
      <w:r w:rsidRPr="004C7BAE">
        <w:rPr>
          <w:b/>
          <w:bCs/>
          <w:sz w:val="22"/>
          <w:szCs w:val="22"/>
          <w:lang w:val="sk-SK" w:bidi="si-LK"/>
        </w:rPr>
        <w:tab/>
        <w:t>Inkompatibility</w:t>
      </w:r>
    </w:p>
    <w:p w14:paraId="36090A4E" w14:textId="77777777" w:rsidR="00BA5AFA" w:rsidRPr="004C7BAE" w:rsidRDefault="00BA5AFA">
      <w:pPr>
        <w:rPr>
          <w:sz w:val="22"/>
          <w:szCs w:val="22"/>
          <w:lang w:val="sk-SK" w:bidi="si-LK"/>
        </w:rPr>
      </w:pPr>
    </w:p>
    <w:p w14:paraId="13DD3279" w14:textId="77777777" w:rsidR="00BA5AFA" w:rsidRPr="004C7BAE" w:rsidRDefault="002418A6">
      <w:pPr>
        <w:rPr>
          <w:sz w:val="22"/>
          <w:szCs w:val="22"/>
          <w:lang w:val="sk-SK" w:bidi="si-LK"/>
        </w:rPr>
      </w:pPr>
      <w:r w:rsidRPr="004C7BAE">
        <w:rPr>
          <w:sz w:val="22"/>
          <w:szCs w:val="22"/>
          <w:lang w:val="sk-SK" w:bidi="si-LK"/>
        </w:rPr>
        <w:t xml:space="preserve">Je potrebné zabrániť dlhému kontaktu lieku s akýmkoľvek roztokom so zásaditým pH (vrátane roztokov </w:t>
      </w:r>
      <w:proofErr w:type="spellStart"/>
      <w:r w:rsidRPr="004C7BAE">
        <w:rPr>
          <w:sz w:val="22"/>
          <w:szCs w:val="22"/>
          <w:lang w:val="sk-SK" w:bidi="si-LK"/>
        </w:rPr>
        <w:t>hydrouhličitanu</w:t>
      </w:r>
      <w:proofErr w:type="spellEnd"/>
      <w:r w:rsidRPr="004C7BAE">
        <w:rPr>
          <w:sz w:val="22"/>
          <w:szCs w:val="22"/>
          <w:lang w:val="sk-SK" w:bidi="si-LK"/>
        </w:rPr>
        <w:t xml:space="preserve"> sodného), čo spôsobuje hydrolýzu (degradáciu) účinnej látky. Majú sa používať iba riedidlá uvedené v časti 6.3. </w:t>
      </w:r>
    </w:p>
    <w:p w14:paraId="27E60128" w14:textId="77777777" w:rsidR="00BA5AFA" w:rsidRPr="004C7BAE" w:rsidRDefault="00BA5AFA">
      <w:pPr>
        <w:rPr>
          <w:sz w:val="22"/>
          <w:szCs w:val="22"/>
          <w:lang w:val="sk-SK" w:bidi="si-LK"/>
        </w:rPr>
      </w:pPr>
    </w:p>
    <w:p w14:paraId="3DC73406" w14:textId="77777777" w:rsidR="00BA5AFA" w:rsidRPr="004C7BAE" w:rsidRDefault="002418A6">
      <w:pPr>
        <w:rPr>
          <w:sz w:val="22"/>
          <w:szCs w:val="22"/>
          <w:lang w:val="sk-SK" w:bidi="si-LK"/>
        </w:rPr>
      </w:pPr>
      <w:r w:rsidRPr="004C7BAE">
        <w:rPr>
          <w:sz w:val="22"/>
          <w:szCs w:val="22"/>
          <w:lang w:val="sk-SK" w:bidi="si-LK"/>
        </w:rPr>
        <w:t>Zaznamenala sa fyzická inkompatibilita lieku s </w:t>
      </w:r>
      <w:proofErr w:type="spellStart"/>
      <w:r w:rsidRPr="004C7BAE">
        <w:rPr>
          <w:sz w:val="22"/>
          <w:szCs w:val="22"/>
          <w:lang w:val="sk-SK" w:bidi="si-LK"/>
        </w:rPr>
        <w:t>heparínom</w:t>
      </w:r>
      <w:proofErr w:type="spellEnd"/>
      <w:r w:rsidRPr="004C7BAE">
        <w:rPr>
          <w:sz w:val="22"/>
          <w:szCs w:val="22"/>
          <w:lang w:val="sk-SK" w:bidi="si-LK"/>
        </w:rPr>
        <w:t xml:space="preserve">. </w:t>
      </w:r>
    </w:p>
    <w:p w14:paraId="1E239184" w14:textId="77777777" w:rsidR="00BA5AFA" w:rsidRPr="004C7BAE" w:rsidRDefault="002418A6">
      <w:pPr>
        <w:rPr>
          <w:sz w:val="22"/>
          <w:szCs w:val="22"/>
          <w:lang w:val="sk-SK" w:bidi="si-LK"/>
        </w:rPr>
      </w:pPr>
      <w:r w:rsidRPr="004C7BAE">
        <w:rPr>
          <w:sz w:val="22"/>
          <w:szCs w:val="22"/>
          <w:lang w:val="sk-SK" w:bidi="si-LK"/>
        </w:rPr>
        <w:t>Tento liek sa nesmie miešať s inými liekmi okrem tých, ktoré sú uvedené v časti 6.6.</w:t>
      </w:r>
    </w:p>
    <w:p w14:paraId="5592256E" w14:textId="77777777" w:rsidR="00BA5AFA" w:rsidRPr="004C7BAE" w:rsidRDefault="00BA5AFA">
      <w:pPr>
        <w:rPr>
          <w:sz w:val="22"/>
          <w:szCs w:val="22"/>
          <w:lang w:val="sk-SK" w:bidi="si-LK"/>
        </w:rPr>
      </w:pPr>
    </w:p>
    <w:p w14:paraId="62B2DACE"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6.3</w:t>
      </w:r>
      <w:r w:rsidRPr="004C7BAE">
        <w:rPr>
          <w:b/>
          <w:bCs/>
          <w:sz w:val="22"/>
          <w:szCs w:val="22"/>
          <w:lang w:val="sk-SK" w:bidi="si-LK"/>
        </w:rPr>
        <w:tab/>
        <w:t>Čas použiteľnosti</w:t>
      </w:r>
    </w:p>
    <w:p w14:paraId="0280F59E" w14:textId="77777777" w:rsidR="00BA5AFA" w:rsidRPr="004C7BAE" w:rsidRDefault="00BA5AFA">
      <w:pPr>
        <w:rPr>
          <w:sz w:val="22"/>
          <w:szCs w:val="22"/>
          <w:lang w:val="sk-SK" w:bidi="si-LK"/>
        </w:rPr>
      </w:pPr>
    </w:p>
    <w:p w14:paraId="285B6DA4" w14:textId="4B8A25E7" w:rsidR="00BA5AFA" w:rsidRPr="004C7BAE" w:rsidRDefault="00002CEB">
      <w:pPr>
        <w:rPr>
          <w:sz w:val="22"/>
          <w:szCs w:val="22"/>
          <w:lang w:val="sk-SK" w:bidi="si-LK"/>
        </w:rPr>
      </w:pPr>
      <w:r w:rsidRPr="00FB7812">
        <w:rPr>
          <w:sz w:val="22"/>
          <w:szCs w:val="22"/>
          <w:lang w:val="sk-SK" w:bidi="si-LK"/>
        </w:rPr>
        <w:t>30 mesiacov</w:t>
      </w:r>
    </w:p>
    <w:p w14:paraId="5689EBBE" w14:textId="77777777" w:rsidR="00BA5AFA" w:rsidRPr="004C7BAE" w:rsidRDefault="00BA5AFA">
      <w:pPr>
        <w:rPr>
          <w:sz w:val="22"/>
          <w:szCs w:val="22"/>
          <w:lang w:val="sk-SK" w:bidi="si-LK"/>
        </w:rPr>
      </w:pPr>
    </w:p>
    <w:p w14:paraId="0425CD97" w14:textId="70BD166B" w:rsidR="00BA5AFA" w:rsidRPr="00FB7812" w:rsidRDefault="00BB1FEE">
      <w:pPr>
        <w:rPr>
          <w:sz w:val="22"/>
          <w:szCs w:val="22"/>
          <w:u w:val="single"/>
          <w:lang w:val="sk-SK" w:bidi="si-LK"/>
        </w:rPr>
      </w:pPr>
      <w:r w:rsidRPr="00FB7812">
        <w:rPr>
          <w:sz w:val="22"/>
          <w:szCs w:val="22"/>
          <w:u w:val="single"/>
          <w:lang w:val="sk-SK" w:bidi="si-LK"/>
        </w:rPr>
        <w:t xml:space="preserve">Pri používaní </w:t>
      </w:r>
    </w:p>
    <w:p w14:paraId="394CCD1B" w14:textId="64CD75C5" w:rsidR="00BA5AFA" w:rsidRPr="004C7BAE" w:rsidRDefault="002418A6">
      <w:pPr>
        <w:rPr>
          <w:sz w:val="22"/>
          <w:szCs w:val="22"/>
          <w:lang w:val="sk-SK" w:bidi="si-LK"/>
        </w:rPr>
      </w:pPr>
      <w:proofErr w:type="spellStart"/>
      <w:r w:rsidRPr="004C7BAE">
        <w:rPr>
          <w:sz w:val="22"/>
          <w:szCs w:val="22"/>
          <w:lang w:val="sk-SK" w:bidi="si-LK"/>
        </w:rPr>
        <w:t>Epimedac</w:t>
      </w:r>
      <w:proofErr w:type="spellEnd"/>
      <w:r w:rsidRPr="004C7BAE">
        <w:rPr>
          <w:sz w:val="22"/>
          <w:szCs w:val="22"/>
          <w:lang w:val="sk-SK" w:bidi="si-LK"/>
        </w:rPr>
        <w:t xml:space="preserve"> sa môže ďalej riediť za aseptických podmienok, v roztoku glukózy </w:t>
      </w:r>
      <w:r w:rsidR="00504722" w:rsidRPr="00F76C16">
        <w:rPr>
          <w:sz w:val="22"/>
          <w:szCs w:val="22"/>
          <w:lang w:val="sk-SK"/>
        </w:rPr>
        <w:t>50 mg/ml (5</w:t>
      </w:r>
      <w:r w:rsidR="0058075F" w:rsidRPr="00F76C16">
        <w:rPr>
          <w:sz w:val="22"/>
          <w:szCs w:val="22"/>
          <w:lang w:val="sk-SK"/>
        </w:rPr>
        <w:t> </w:t>
      </w:r>
      <w:r w:rsidR="00504722" w:rsidRPr="00F76C16">
        <w:rPr>
          <w:sz w:val="22"/>
          <w:szCs w:val="22"/>
          <w:lang w:val="sk-SK"/>
        </w:rPr>
        <w:t xml:space="preserve">%) </w:t>
      </w:r>
      <w:r w:rsidRPr="004C7BAE">
        <w:rPr>
          <w:sz w:val="22"/>
          <w:szCs w:val="22"/>
          <w:lang w:val="sk-SK" w:bidi="si-LK"/>
        </w:rPr>
        <w:t xml:space="preserve">alebo </w:t>
      </w:r>
      <w:r w:rsidR="00504722">
        <w:rPr>
          <w:sz w:val="22"/>
          <w:szCs w:val="22"/>
          <w:lang w:val="sk-SK" w:bidi="si-LK"/>
        </w:rPr>
        <w:t xml:space="preserve">v </w:t>
      </w:r>
      <w:r w:rsidRPr="004C7BAE">
        <w:rPr>
          <w:sz w:val="22"/>
          <w:szCs w:val="22"/>
          <w:lang w:val="sk-SK" w:bidi="si-LK"/>
        </w:rPr>
        <w:t xml:space="preserve">roztoku chloridu sodného </w:t>
      </w:r>
      <w:r w:rsidR="00504722" w:rsidRPr="00F76C16">
        <w:rPr>
          <w:sz w:val="22"/>
          <w:szCs w:val="22"/>
          <w:lang w:val="sk-SK"/>
        </w:rPr>
        <w:t>9 mg/ml (0,9</w:t>
      </w:r>
      <w:r w:rsidR="0058075F" w:rsidRPr="00F76C16">
        <w:rPr>
          <w:sz w:val="22"/>
          <w:szCs w:val="22"/>
          <w:lang w:val="sk-SK"/>
        </w:rPr>
        <w:t> </w:t>
      </w:r>
      <w:r w:rsidR="00504722" w:rsidRPr="00F76C16">
        <w:rPr>
          <w:sz w:val="22"/>
          <w:szCs w:val="22"/>
          <w:lang w:val="sk-SK"/>
        </w:rPr>
        <w:t xml:space="preserve">%) </w:t>
      </w:r>
      <w:r w:rsidRPr="004C7BAE">
        <w:rPr>
          <w:sz w:val="22"/>
          <w:szCs w:val="22"/>
          <w:lang w:val="sk-SK" w:bidi="si-LK"/>
        </w:rPr>
        <w:t>a podávať ako intravenózna infúzia. Chemická a fyzická stabilita pri používaní sa preukázala po dobu 48</w:t>
      </w:r>
      <w:r w:rsidR="0058075F">
        <w:rPr>
          <w:sz w:val="22"/>
          <w:szCs w:val="22"/>
          <w:lang w:val="sk-SK" w:bidi="si-LK"/>
        </w:rPr>
        <w:t> </w:t>
      </w:r>
      <w:r w:rsidRPr="004C7BAE">
        <w:rPr>
          <w:sz w:val="22"/>
          <w:szCs w:val="22"/>
          <w:lang w:val="sk-SK" w:bidi="si-LK"/>
        </w:rPr>
        <w:t xml:space="preserve">hodín pri 25 ºC a neprítomnosti svetla. </w:t>
      </w:r>
    </w:p>
    <w:p w14:paraId="526567F0" w14:textId="77777777" w:rsidR="00BA5AFA" w:rsidRPr="004C7BAE" w:rsidRDefault="002418A6">
      <w:pPr>
        <w:rPr>
          <w:sz w:val="22"/>
          <w:szCs w:val="22"/>
          <w:lang w:val="sk-SK" w:bidi="si-LK"/>
        </w:rPr>
      </w:pPr>
      <w:r w:rsidRPr="004C7BAE">
        <w:rPr>
          <w:sz w:val="22"/>
          <w:szCs w:val="22"/>
          <w:lang w:val="sk-SK" w:bidi="si-LK"/>
        </w:rPr>
        <w:t xml:space="preserve">Avšak z mikrobiologického hľadiska treba prípravok použiť okamžite. Ak sa nepoužije okamžite, za čas uskladnenia a podmienky skladovania zodpovedá užívateľ a nemajú byť zvyčajne dlhšie ako 24 hodín pri 2 až 8 ºC, pokiaľ sa riedenie nevykonalo pri kontrolovaných a platných aseptických podmienkach. </w:t>
      </w:r>
    </w:p>
    <w:p w14:paraId="175147F1" w14:textId="77777777" w:rsidR="00BA5AFA" w:rsidRPr="004C7BAE" w:rsidRDefault="00BA5AFA">
      <w:pPr>
        <w:rPr>
          <w:sz w:val="22"/>
          <w:szCs w:val="22"/>
          <w:lang w:val="sk-SK" w:bidi="si-LK"/>
        </w:rPr>
      </w:pPr>
    </w:p>
    <w:p w14:paraId="2441B5A7" w14:textId="77777777" w:rsidR="00BA5AFA" w:rsidRPr="004C7BAE" w:rsidRDefault="002418A6">
      <w:pPr>
        <w:keepNext/>
        <w:keepLines/>
        <w:outlineLvl w:val="0"/>
        <w:rPr>
          <w:b/>
          <w:bCs/>
          <w:sz w:val="22"/>
          <w:szCs w:val="22"/>
          <w:lang w:val="sk-SK" w:bidi="si-LK"/>
        </w:rPr>
      </w:pPr>
      <w:r w:rsidRPr="004C7BAE">
        <w:rPr>
          <w:b/>
          <w:bCs/>
          <w:sz w:val="22"/>
          <w:szCs w:val="22"/>
          <w:lang w:val="sk-SK" w:bidi="si-LK"/>
        </w:rPr>
        <w:t>6.4</w:t>
      </w:r>
      <w:r w:rsidRPr="004C7BAE">
        <w:rPr>
          <w:b/>
          <w:bCs/>
          <w:sz w:val="22"/>
          <w:szCs w:val="22"/>
          <w:lang w:val="sk-SK" w:bidi="si-LK"/>
        </w:rPr>
        <w:tab/>
        <w:t>Špeciálne upozornenia na uchovávanie</w:t>
      </w:r>
    </w:p>
    <w:p w14:paraId="07E29DFD" w14:textId="77777777" w:rsidR="00BA5AFA" w:rsidRPr="004C7BAE" w:rsidRDefault="00BA5AFA">
      <w:pPr>
        <w:keepNext/>
        <w:keepLines/>
        <w:rPr>
          <w:sz w:val="22"/>
          <w:szCs w:val="22"/>
          <w:lang w:val="sk-SK" w:bidi="si-LK"/>
        </w:rPr>
      </w:pPr>
    </w:p>
    <w:p w14:paraId="1BD3AFFB" w14:textId="77777777" w:rsidR="00BA5AFA" w:rsidRPr="004C7BAE" w:rsidRDefault="002418A6">
      <w:pPr>
        <w:keepNext/>
        <w:keepLines/>
        <w:rPr>
          <w:sz w:val="22"/>
          <w:szCs w:val="22"/>
          <w:lang w:val="sk-SK" w:bidi="si-LK"/>
        </w:rPr>
      </w:pPr>
      <w:r w:rsidRPr="004C7BAE">
        <w:rPr>
          <w:sz w:val="22"/>
          <w:szCs w:val="22"/>
          <w:lang w:val="sk-SK" w:bidi="si-LK"/>
        </w:rPr>
        <w:t>Uchovávajte v chladničke (2 </w:t>
      </w:r>
      <w:r w:rsidRPr="004C7BAE">
        <w:rPr>
          <w:sz w:val="22"/>
          <w:szCs w:val="22"/>
          <w:lang w:val="sk-SK" w:bidi="si-LK"/>
        </w:rPr>
        <w:sym w:font="Symbol" w:char="F0B0"/>
      </w:r>
      <w:r w:rsidRPr="004C7BAE">
        <w:rPr>
          <w:sz w:val="22"/>
          <w:szCs w:val="22"/>
          <w:lang w:val="sk-SK" w:bidi="si-LK"/>
        </w:rPr>
        <w:t>C – 8 </w:t>
      </w:r>
      <w:r w:rsidRPr="004C7BAE">
        <w:rPr>
          <w:sz w:val="22"/>
          <w:szCs w:val="22"/>
          <w:lang w:val="sk-SK" w:bidi="si-LK"/>
        </w:rPr>
        <w:sym w:font="Symbol" w:char="F0B0"/>
      </w:r>
      <w:r w:rsidRPr="004C7BAE">
        <w:rPr>
          <w:sz w:val="22"/>
          <w:szCs w:val="22"/>
          <w:lang w:val="sk-SK" w:bidi="si-LK"/>
        </w:rPr>
        <w:t>C).</w:t>
      </w:r>
    </w:p>
    <w:p w14:paraId="2312E516" w14:textId="77777777" w:rsidR="00BA5AFA" w:rsidRPr="004C7BAE" w:rsidRDefault="002418A6">
      <w:pPr>
        <w:keepNext/>
        <w:keepLines/>
        <w:rPr>
          <w:sz w:val="22"/>
          <w:szCs w:val="22"/>
          <w:lang w:val="sk-SK" w:bidi="si-LK"/>
        </w:rPr>
      </w:pPr>
      <w:r w:rsidRPr="004C7BAE">
        <w:rPr>
          <w:sz w:val="22"/>
          <w:szCs w:val="22"/>
          <w:lang w:val="sk-SK" w:bidi="si-LK"/>
        </w:rPr>
        <w:t xml:space="preserve">Injekčnú liekovku uchovávajte vo vonkajšom obale na ochranu pred svetlom. </w:t>
      </w:r>
    </w:p>
    <w:p w14:paraId="26EB399C" w14:textId="77777777" w:rsidR="00BA5AFA" w:rsidRPr="004C7BAE" w:rsidRDefault="00BA5AFA">
      <w:pPr>
        <w:keepNext/>
        <w:keepLines/>
        <w:rPr>
          <w:sz w:val="22"/>
          <w:szCs w:val="22"/>
          <w:lang w:val="sk-SK" w:bidi="si-LK"/>
        </w:rPr>
      </w:pPr>
    </w:p>
    <w:p w14:paraId="290DED7D" w14:textId="77777777" w:rsidR="00BA5AFA" w:rsidRPr="004C7BAE" w:rsidRDefault="002418A6">
      <w:pPr>
        <w:keepNext/>
        <w:keepLines/>
        <w:outlineLvl w:val="0"/>
        <w:rPr>
          <w:sz w:val="22"/>
          <w:szCs w:val="22"/>
          <w:lang w:val="sk-SK" w:bidi="si-LK"/>
        </w:rPr>
      </w:pPr>
      <w:r w:rsidRPr="004C7BAE">
        <w:rPr>
          <w:sz w:val="22"/>
          <w:szCs w:val="22"/>
          <w:lang w:val="sk-SK" w:bidi="si-LK"/>
        </w:rPr>
        <w:t>Podmienky na uchovávanie po riedení lieku, pozri časť 6.3.</w:t>
      </w:r>
    </w:p>
    <w:p w14:paraId="165CA9C2" w14:textId="77777777" w:rsidR="00BA5AFA" w:rsidRPr="004C7BAE" w:rsidRDefault="00BA5AFA">
      <w:pPr>
        <w:rPr>
          <w:sz w:val="22"/>
          <w:szCs w:val="22"/>
          <w:lang w:val="sk-SK" w:bidi="si-LK"/>
        </w:rPr>
      </w:pPr>
    </w:p>
    <w:p w14:paraId="7BE926AE"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6.5</w:t>
      </w:r>
      <w:r w:rsidRPr="004C7BAE">
        <w:rPr>
          <w:b/>
          <w:bCs/>
          <w:sz w:val="22"/>
          <w:szCs w:val="22"/>
          <w:lang w:val="sk-SK" w:bidi="si-LK"/>
        </w:rPr>
        <w:tab/>
        <w:t>Druh obalu a obsah balenia</w:t>
      </w:r>
    </w:p>
    <w:p w14:paraId="3A7DCBAF" w14:textId="77777777" w:rsidR="00BA5AFA" w:rsidRPr="004C7BAE" w:rsidRDefault="00BA5AFA">
      <w:pPr>
        <w:rPr>
          <w:sz w:val="22"/>
          <w:szCs w:val="22"/>
          <w:lang w:val="sk-SK" w:bidi="si-LK"/>
        </w:rPr>
      </w:pPr>
    </w:p>
    <w:p w14:paraId="06FBD6C3" w14:textId="77777777" w:rsidR="00BA5AFA" w:rsidRPr="004C7BAE" w:rsidRDefault="002418A6">
      <w:pPr>
        <w:rPr>
          <w:sz w:val="22"/>
          <w:szCs w:val="22"/>
          <w:lang w:val="sk-SK" w:bidi="si-LK"/>
        </w:rPr>
      </w:pPr>
      <w:r w:rsidRPr="004C7BAE">
        <w:rPr>
          <w:sz w:val="22"/>
          <w:szCs w:val="22"/>
          <w:lang w:val="sk-SK" w:bidi="si-LK"/>
        </w:rPr>
        <w:t>Priehľadné injekčné liekovky zo skla typu I so zátkami z </w:t>
      </w:r>
      <w:proofErr w:type="spellStart"/>
      <w:r w:rsidRPr="004C7BAE">
        <w:rPr>
          <w:sz w:val="22"/>
          <w:szCs w:val="22"/>
          <w:lang w:val="sk-SK" w:bidi="si-LK"/>
        </w:rPr>
        <w:t>chlorobutylovej</w:t>
      </w:r>
      <w:proofErr w:type="spellEnd"/>
      <w:r w:rsidRPr="004C7BAE">
        <w:rPr>
          <w:sz w:val="22"/>
          <w:szCs w:val="22"/>
          <w:lang w:val="sk-SK" w:bidi="si-LK"/>
        </w:rPr>
        <w:t xml:space="preserve"> gumy potiahnutými </w:t>
      </w:r>
      <w:proofErr w:type="spellStart"/>
      <w:r w:rsidRPr="004C7BAE">
        <w:rPr>
          <w:sz w:val="22"/>
          <w:szCs w:val="22"/>
          <w:lang w:val="sk-SK" w:bidi="si-LK"/>
        </w:rPr>
        <w:t>fluoropolymérmi</w:t>
      </w:r>
      <w:proofErr w:type="spellEnd"/>
      <w:r w:rsidRPr="004C7BAE">
        <w:rPr>
          <w:sz w:val="22"/>
          <w:szCs w:val="22"/>
          <w:lang w:val="sk-SK" w:bidi="si-LK"/>
        </w:rPr>
        <w:t xml:space="preserve"> s obsahom 5 ml, 10 ml, 25 ml, 50 ml alebo 100 ml roztoku 2 mg/ml </w:t>
      </w:r>
      <w:proofErr w:type="spellStart"/>
      <w:r w:rsidRPr="004C7BAE">
        <w:rPr>
          <w:sz w:val="22"/>
          <w:szCs w:val="22"/>
          <w:lang w:val="sk-SK" w:bidi="si-LK"/>
        </w:rPr>
        <w:t>epirubicín</w:t>
      </w:r>
      <w:proofErr w:type="spellEnd"/>
      <w:r w:rsidRPr="004C7BAE">
        <w:rPr>
          <w:sz w:val="22"/>
          <w:szCs w:val="22"/>
          <w:lang w:val="sk-SK" w:bidi="si-LK"/>
        </w:rPr>
        <w:t xml:space="preserve"> </w:t>
      </w:r>
      <w:proofErr w:type="spellStart"/>
      <w:r w:rsidRPr="004C7BAE">
        <w:rPr>
          <w:sz w:val="22"/>
          <w:szCs w:val="22"/>
          <w:lang w:val="sk-SK" w:bidi="si-LK"/>
        </w:rPr>
        <w:t>hydrochloridu</w:t>
      </w:r>
      <w:proofErr w:type="spellEnd"/>
      <w:r w:rsidRPr="004C7BAE">
        <w:rPr>
          <w:sz w:val="22"/>
          <w:szCs w:val="22"/>
          <w:lang w:val="sk-SK" w:bidi="si-LK"/>
        </w:rPr>
        <w:t xml:space="preserve">. </w:t>
      </w:r>
    </w:p>
    <w:p w14:paraId="066AB6AF" w14:textId="77777777" w:rsidR="00BA5AFA" w:rsidRPr="004C7BAE" w:rsidRDefault="002418A6">
      <w:pPr>
        <w:rPr>
          <w:sz w:val="22"/>
          <w:szCs w:val="22"/>
          <w:lang w:val="sk-SK" w:bidi="si-LK"/>
        </w:rPr>
      </w:pPr>
      <w:r w:rsidRPr="004C7BAE">
        <w:rPr>
          <w:sz w:val="22"/>
          <w:szCs w:val="22"/>
          <w:lang w:val="sk-SK" w:bidi="si-LK"/>
        </w:rPr>
        <w:t>Veľkosť balenia: 1 injekčná liekovka.</w:t>
      </w:r>
    </w:p>
    <w:p w14:paraId="46EF01C2" w14:textId="77777777" w:rsidR="00BA5AFA" w:rsidRPr="004C7BAE" w:rsidRDefault="00BA5AFA">
      <w:pPr>
        <w:rPr>
          <w:sz w:val="22"/>
          <w:szCs w:val="22"/>
          <w:lang w:val="sk-SK" w:bidi="si-LK"/>
        </w:rPr>
      </w:pPr>
    </w:p>
    <w:p w14:paraId="5A23536E" w14:textId="77777777" w:rsidR="00BA5AFA" w:rsidRPr="004C7BAE" w:rsidRDefault="002418A6">
      <w:pPr>
        <w:keepNext/>
        <w:ind w:left="567" w:hanging="567"/>
        <w:outlineLvl w:val="0"/>
        <w:rPr>
          <w:b/>
          <w:bCs/>
          <w:sz w:val="22"/>
          <w:szCs w:val="22"/>
          <w:lang w:val="sk-SK" w:bidi="si-LK"/>
        </w:rPr>
      </w:pPr>
      <w:r w:rsidRPr="004C7BAE">
        <w:rPr>
          <w:b/>
          <w:bCs/>
          <w:sz w:val="22"/>
          <w:szCs w:val="22"/>
          <w:lang w:val="sk-SK" w:bidi="si-LK"/>
        </w:rPr>
        <w:t>6.6</w:t>
      </w:r>
      <w:r w:rsidRPr="004C7BAE">
        <w:rPr>
          <w:b/>
          <w:bCs/>
          <w:sz w:val="22"/>
          <w:szCs w:val="22"/>
          <w:lang w:val="sk-SK" w:bidi="si-LK"/>
        </w:rPr>
        <w:tab/>
        <w:t>Špeciálne opatrenia na likvidáciu a iné zaobchádzanie s liekom</w:t>
      </w:r>
    </w:p>
    <w:p w14:paraId="184488A4" w14:textId="77777777" w:rsidR="00BA5AFA" w:rsidRPr="004C7BAE" w:rsidRDefault="00BA5AFA">
      <w:pPr>
        <w:keepNext/>
        <w:rPr>
          <w:sz w:val="22"/>
          <w:szCs w:val="22"/>
          <w:lang w:val="sk-SK" w:bidi="si-LK"/>
        </w:rPr>
      </w:pPr>
    </w:p>
    <w:p w14:paraId="183AC1B7" w14:textId="43CB007D" w:rsidR="00BA5AFA" w:rsidRPr="004C7BAE" w:rsidRDefault="002418A6">
      <w:pPr>
        <w:keepNext/>
        <w:rPr>
          <w:sz w:val="22"/>
          <w:szCs w:val="22"/>
          <w:lang w:val="sk-SK" w:bidi="si-LK"/>
        </w:rPr>
      </w:pPr>
      <w:proofErr w:type="spellStart"/>
      <w:r w:rsidRPr="004C7BAE">
        <w:rPr>
          <w:sz w:val="22"/>
          <w:szCs w:val="22"/>
          <w:lang w:val="sk-SK" w:bidi="si-LK"/>
        </w:rPr>
        <w:t>Epimedac</w:t>
      </w:r>
      <w:proofErr w:type="spellEnd"/>
      <w:r w:rsidRPr="004C7BAE">
        <w:rPr>
          <w:sz w:val="22"/>
          <w:szCs w:val="22"/>
          <w:lang w:val="sk-SK" w:bidi="si-LK"/>
        </w:rPr>
        <w:t xml:space="preserve"> sa môže ďalej riediť v roztoku glukózy </w:t>
      </w:r>
      <w:r w:rsidR="00504722" w:rsidRPr="00F76C16">
        <w:rPr>
          <w:sz w:val="22"/>
          <w:szCs w:val="22"/>
          <w:lang w:val="sk-SK"/>
        </w:rPr>
        <w:t>50 mg/ml (5</w:t>
      </w:r>
      <w:r w:rsidR="0058075F" w:rsidRPr="00F76C16">
        <w:rPr>
          <w:sz w:val="22"/>
          <w:szCs w:val="22"/>
          <w:lang w:val="sk-SK"/>
        </w:rPr>
        <w:t> </w:t>
      </w:r>
      <w:r w:rsidR="00504722" w:rsidRPr="00F76C16">
        <w:rPr>
          <w:sz w:val="22"/>
          <w:szCs w:val="22"/>
          <w:lang w:val="sk-SK"/>
        </w:rPr>
        <w:t xml:space="preserve">%) </w:t>
      </w:r>
      <w:r w:rsidRPr="004C7BAE">
        <w:rPr>
          <w:sz w:val="22"/>
          <w:szCs w:val="22"/>
          <w:lang w:val="sk-SK" w:bidi="si-LK"/>
        </w:rPr>
        <w:t xml:space="preserve">alebo </w:t>
      </w:r>
      <w:r w:rsidR="00504722">
        <w:rPr>
          <w:sz w:val="22"/>
          <w:szCs w:val="22"/>
          <w:lang w:val="sk-SK" w:bidi="si-LK"/>
        </w:rPr>
        <w:t>v</w:t>
      </w:r>
      <w:r w:rsidRPr="004C7BAE">
        <w:rPr>
          <w:sz w:val="22"/>
          <w:szCs w:val="22"/>
          <w:lang w:val="sk-SK" w:bidi="si-LK"/>
        </w:rPr>
        <w:t xml:space="preserve"> roztoku chloridu sodného </w:t>
      </w:r>
      <w:r w:rsidR="00504722" w:rsidRPr="00F76C16">
        <w:rPr>
          <w:sz w:val="22"/>
          <w:szCs w:val="22"/>
          <w:lang w:val="sk-SK"/>
        </w:rPr>
        <w:t>9 mg/ml (0,9</w:t>
      </w:r>
      <w:r w:rsidR="0058075F" w:rsidRPr="00F76C16">
        <w:rPr>
          <w:sz w:val="22"/>
          <w:szCs w:val="22"/>
          <w:lang w:val="sk-SK"/>
        </w:rPr>
        <w:t> </w:t>
      </w:r>
      <w:r w:rsidR="00504722" w:rsidRPr="00F76C16">
        <w:rPr>
          <w:sz w:val="22"/>
          <w:szCs w:val="22"/>
          <w:lang w:val="sk-SK"/>
        </w:rPr>
        <w:t xml:space="preserve">%) </w:t>
      </w:r>
      <w:r w:rsidRPr="004C7BAE">
        <w:rPr>
          <w:sz w:val="22"/>
          <w:szCs w:val="22"/>
          <w:lang w:val="sk-SK" w:bidi="si-LK"/>
        </w:rPr>
        <w:t>a podávať ako intravenózna infúzia. Pre informácie o stabilite infúznych roztokov, si prosím pozrite časť 6.3.</w:t>
      </w:r>
    </w:p>
    <w:p w14:paraId="21263D8F" w14:textId="77777777" w:rsidR="00BA5AFA" w:rsidRPr="004C7BAE" w:rsidRDefault="00BA5AFA">
      <w:pPr>
        <w:rPr>
          <w:sz w:val="22"/>
          <w:szCs w:val="22"/>
          <w:lang w:val="sk-SK" w:bidi="si-LK"/>
        </w:rPr>
      </w:pPr>
    </w:p>
    <w:p w14:paraId="531453A4" w14:textId="5DDE98EB" w:rsidR="00BA5AFA" w:rsidRPr="004C7BAE" w:rsidRDefault="002418A6">
      <w:pPr>
        <w:rPr>
          <w:sz w:val="22"/>
          <w:szCs w:val="22"/>
          <w:lang w:val="sk-SK" w:bidi="si-LK"/>
        </w:rPr>
      </w:pPr>
      <w:r w:rsidRPr="004C7BAE">
        <w:rPr>
          <w:sz w:val="22"/>
          <w:szCs w:val="22"/>
          <w:lang w:val="sk-SK" w:bidi="si-LK"/>
        </w:rPr>
        <w:t>Injekčný roztok neobsahuje žiadne konzervačné látky a nepoužitá časť injekčnej liekovky sa má okamžite zlikvidovať v súlade s </w:t>
      </w:r>
      <w:r w:rsidR="005B1682">
        <w:rPr>
          <w:sz w:val="22"/>
          <w:szCs w:val="22"/>
          <w:lang w:val="sk-SK" w:bidi="si-LK"/>
        </w:rPr>
        <w:t>národnými</w:t>
      </w:r>
      <w:r w:rsidRPr="004C7BAE">
        <w:rPr>
          <w:sz w:val="22"/>
          <w:szCs w:val="22"/>
          <w:lang w:val="sk-SK" w:bidi="si-LK"/>
        </w:rPr>
        <w:t xml:space="preserve"> požiadavkami. </w:t>
      </w:r>
    </w:p>
    <w:p w14:paraId="4DD9995D" w14:textId="77777777" w:rsidR="00BA5AFA" w:rsidRPr="004C7BAE" w:rsidRDefault="00BA5AFA">
      <w:pPr>
        <w:rPr>
          <w:sz w:val="22"/>
          <w:szCs w:val="22"/>
          <w:lang w:val="sk-SK" w:bidi="si-LK"/>
        </w:rPr>
      </w:pPr>
    </w:p>
    <w:p w14:paraId="2FDD5602" w14:textId="77777777" w:rsidR="00BA5AFA" w:rsidRPr="004C7BAE" w:rsidRDefault="002418A6" w:rsidP="00444F48">
      <w:pPr>
        <w:keepNext/>
        <w:keepLines/>
        <w:outlineLvl w:val="0"/>
        <w:rPr>
          <w:b/>
          <w:bCs/>
          <w:sz w:val="22"/>
          <w:szCs w:val="22"/>
          <w:lang w:val="sk-SK" w:bidi="si-LK"/>
        </w:rPr>
      </w:pPr>
      <w:r w:rsidRPr="004C7BAE">
        <w:rPr>
          <w:b/>
          <w:bCs/>
          <w:sz w:val="22"/>
          <w:szCs w:val="22"/>
          <w:lang w:val="sk-SK" w:bidi="si-LK"/>
        </w:rPr>
        <w:lastRenderedPageBreak/>
        <w:t xml:space="preserve">Pokyny pre bezpečné zaobchádzanie a likvidáciu </w:t>
      </w:r>
      <w:proofErr w:type="spellStart"/>
      <w:r w:rsidRPr="004C7BAE">
        <w:rPr>
          <w:b/>
          <w:bCs/>
          <w:sz w:val="22"/>
          <w:szCs w:val="22"/>
          <w:lang w:val="sk-SK" w:bidi="si-LK"/>
        </w:rPr>
        <w:t>antineoplastických</w:t>
      </w:r>
      <w:proofErr w:type="spellEnd"/>
      <w:r w:rsidRPr="004C7BAE">
        <w:rPr>
          <w:b/>
          <w:bCs/>
          <w:sz w:val="22"/>
          <w:szCs w:val="22"/>
          <w:lang w:val="sk-SK" w:bidi="si-LK"/>
        </w:rPr>
        <w:t xml:space="preserve"> látok:</w:t>
      </w:r>
    </w:p>
    <w:p w14:paraId="593960AB" w14:textId="77777777" w:rsidR="00BA5AFA" w:rsidRPr="004C7BAE" w:rsidRDefault="00BA5AFA" w:rsidP="00444F48">
      <w:pPr>
        <w:keepNext/>
        <w:keepLines/>
        <w:rPr>
          <w:sz w:val="22"/>
          <w:szCs w:val="22"/>
          <w:lang w:val="sk-SK" w:bidi="si-LK"/>
        </w:rPr>
      </w:pPr>
    </w:p>
    <w:p w14:paraId="093E6714" w14:textId="77777777" w:rsidR="00A31E63" w:rsidRDefault="00C3123C" w:rsidP="00FB7812">
      <w:pPr>
        <w:keepNext/>
        <w:keepLines/>
        <w:ind w:left="567" w:hanging="567"/>
        <w:rPr>
          <w:sz w:val="22"/>
          <w:szCs w:val="22"/>
          <w:lang w:val="sk-SK" w:bidi="si-LK"/>
        </w:rPr>
      </w:pPr>
      <w:r>
        <w:rPr>
          <w:sz w:val="22"/>
          <w:szCs w:val="22"/>
          <w:lang w:val="sk-SK" w:bidi="si-LK"/>
        </w:rPr>
        <w:t>1.</w:t>
      </w:r>
      <w:r>
        <w:rPr>
          <w:sz w:val="22"/>
          <w:szCs w:val="22"/>
          <w:lang w:val="sk-SK" w:bidi="si-LK"/>
        </w:rPr>
        <w:tab/>
      </w:r>
      <w:r w:rsidR="002418A6" w:rsidRPr="004C7BAE">
        <w:rPr>
          <w:sz w:val="22"/>
          <w:szCs w:val="22"/>
          <w:lang w:val="sk-SK" w:bidi="si-LK"/>
        </w:rPr>
        <w:t xml:space="preserve">Ak sa má pripravovať infúzny roztok, má to vykonávať zaškolený personál v aseptických podmienkach. </w:t>
      </w:r>
    </w:p>
    <w:p w14:paraId="3A050D68" w14:textId="77777777" w:rsidR="00A31E63" w:rsidRDefault="00C3123C" w:rsidP="00FB7812">
      <w:pPr>
        <w:ind w:left="567" w:hanging="567"/>
        <w:rPr>
          <w:sz w:val="22"/>
          <w:szCs w:val="22"/>
          <w:lang w:val="sk-SK" w:bidi="si-LK"/>
        </w:rPr>
      </w:pPr>
      <w:r>
        <w:rPr>
          <w:sz w:val="22"/>
          <w:szCs w:val="22"/>
          <w:lang w:val="sk-SK" w:bidi="si-LK"/>
        </w:rPr>
        <w:t>2.</w:t>
      </w:r>
      <w:r>
        <w:rPr>
          <w:sz w:val="22"/>
          <w:szCs w:val="22"/>
          <w:lang w:val="sk-SK" w:bidi="si-LK"/>
        </w:rPr>
        <w:tab/>
      </w:r>
      <w:r w:rsidR="002418A6" w:rsidRPr="004C7BAE">
        <w:rPr>
          <w:sz w:val="22"/>
          <w:szCs w:val="22"/>
          <w:lang w:val="sk-SK" w:bidi="si-LK"/>
        </w:rPr>
        <w:t xml:space="preserve">Príprava infúzneho roztoku sa má vykonávať vo vyhradenom aseptickom priestore. </w:t>
      </w:r>
    </w:p>
    <w:p w14:paraId="6EE02FE3" w14:textId="77777777" w:rsidR="00A31E63" w:rsidRDefault="00C3123C" w:rsidP="00FB7812">
      <w:pPr>
        <w:ind w:left="567" w:hanging="567"/>
        <w:rPr>
          <w:sz w:val="22"/>
          <w:szCs w:val="22"/>
          <w:lang w:val="sk-SK" w:bidi="si-LK"/>
        </w:rPr>
      </w:pPr>
      <w:r>
        <w:rPr>
          <w:sz w:val="22"/>
          <w:szCs w:val="22"/>
          <w:lang w:val="sk-SK" w:bidi="si-LK"/>
        </w:rPr>
        <w:t>3.</w:t>
      </w:r>
      <w:r>
        <w:rPr>
          <w:sz w:val="22"/>
          <w:szCs w:val="22"/>
          <w:lang w:val="sk-SK" w:bidi="si-LK"/>
        </w:rPr>
        <w:tab/>
      </w:r>
      <w:r w:rsidR="002418A6" w:rsidRPr="004C7BAE">
        <w:rPr>
          <w:sz w:val="22"/>
          <w:szCs w:val="22"/>
          <w:lang w:val="sk-SK" w:bidi="si-LK"/>
        </w:rPr>
        <w:t>Majú sa obliecť vhodné ochranné jednorazové rukavice, okuliare, plášť a maska.</w:t>
      </w:r>
    </w:p>
    <w:p w14:paraId="299A00E4" w14:textId="5DE22107" w:rsidR="00A31E63" w:rsidRDefault="00C3123C" w:rsidP="00FB7812">
      <w:pPr>
        <w:ind w:left="567" w:hanging="567"/>
        <w:rPr>
          <w:sz w:val="22"/>
          <w:szCs w:val="22"/>
          <w:lang w:val="sk-SK" w:bidi="si-LK"/>
        </w:rPr>
      </w:pPr>
      <w:r>
        <w:rPr>
          <w:sz w:val="22"/>
          <w:szCs w:val="22"/>
          <w:lang w:val="sk-SK" w:bidi="si-LK"/>
        </w:rPr>
        <w:t>4.</w:t>
      </w:r>
      <w:r>
        <w:rPr>
          <w:sz w:val="22"/>
          <w:szCs w:val="22"/>
          <w:lang w:val="sk-SK" w:bidi="si-LK"/>
        </w:rPr>
        <w:tab/>
      </w:r>
      <w:r w:rsidR="002418A6" w:rsidRPr="004C7BAE">
        <w:rPr>
          <w:sz w:val="22"/>
          <w:szCs w:val="22"/>
          <w:lang w:val="sk-SK" w:bidi="si-LK"/>
        </w:rPr>
        <w:t>Je potrebné prijať opatrenia na zabránenie náhodnému kontaktu lieku s očami. V prípade kontaktu s očami ich treba vypláchnuť veľkým množstvom vody a/alebo roztokom chloridu sodného</w:t>
      </w:r>
      <w:r w:rsidR="00504722">
        <w:rPr>
          <w:sz w:val="22"/>
          <w:szCs w:val="22"/>
          <w:lang w:val="sk-SK" w:bidi="si-LK"/>
        </w:rPr>
        <w:t xml:space="preserve"> </w:t>
      </w:r>
      <w:r w:rsidR="00504722" w:rsidRPr="00F76C16">
        <w:rPr>
          <w:sz w:val="22"/>
          <w:szCs w:val="22"/>
          <w:lang w:val="sk-SK"/>
        </w:rPr>
        <w:t>9 mg/ml (0,9 %) a</w:t>
      </w:r>
      <w:r w:rsidR="002418A6" w:rsidRPr="004C7BAE">
        <w:rPr>
          <w:sz w:val="22"/>
          <w:szCs w:val="22"/>
          <w:lang w:val="sk-SK" w:bidi="si-LK"/>
        </w:rPr>
        <w:t xml:space="preserve"> vyhľada</w:t>
      </w:r>
      <w:r w:rsidR="00504722">
        <w:rPr>
          <w:sz w:val="22"/>
          <w:szCs w:val="22"/>
          <w:lang w:val="sk-SK" w:bidi="si-LK"/>
        </w:rPr>
        <w:t>ť</w:t>
      </w:r>
      <w:r w:rsidR="002418A6" w:rsidRPr="004C7BAE">
        <w:rPr>
          <w:sz w:val="22"/>
          <w:szCs w:val="22"/>
          <w:lang w:val="sk-SK" w:bidi="si-LK"/>
        </w:rPr>
        <w:t xml:space="preserve"> lekár</w:t>
      </w:r>
      <w:r w:rsidR="00504722">
        <w:rPr>
          <w:sz w:val="22"/>
          <w:szCs w:val="22"/>
          <w:lang w:val="sk-SK" w:bidi="si-LK"/>
        </w:rPr>
        <w:t>a</w:t>
      </w:r>
      <w:r w:rsidR="002418A6" w:rsidRPr="004C7BAE">
        <w:rPr>
          <w:sz w:val="22"/>
          <w:szCs w:val="22"/>
          <w:lang w:val="sk-SK" w:bidi="si-LK"/>
        </w:rPr>
        <w:t xml:space="preserve">. </w:t>
      </w:r>
    </w:p>
    <w:p w14:paraId="1420F430" w14:textId="77777777" w:rsidR="00A31E63" w:rsidRDefault="00C3123C" w:rsidP="00FB7812">
      <w:pPr>
        <w:ind w:left="567" w:hanging="567"/>
        <w:rPr>
          <w:sz w:val="22"/>
          <w:szCs w:val="22"/>
          <w:lang w:val="sk-SK" w:bidi="si-LK"/>
        </w:rPr>
      </w:pPr>
      <w:r>
        <w:rPr>
          <w:sz w:val="22"/>
          <w:szCs w:val="22"/>
          <w:lang w:val="sk-SK" w:bidi="si-LK"/>
        </w:rPr>
        <w:t>5.</w:t>
      </w:r>
      <w:r>
        <w:rPr>
          <w:sz w:val="22"/>
          <w:szCs w:val="22"/>
          <w:lang w:val="sk-SK" w:bidi="si-LK"/>
        </w:rPr>
        <w:tab/>
      </w:r>
      <w:r w:rsidR="002418A6" w:rsidRPr="004C7BAE">
        <w:rPr>
          <w:sz w:val="22"/>
          <w:szCs w:val="22"/>
          <w:lang w:val="sk-SK" w:bidi="si-LK"/>
        </w:rPr>
        <w:t xml:space="preserve">V prípade kontaktu s pokožkou je potrebné dôkladne umyť zasiahnuté miesto mydlom a vodou alebo roztokom </w:t>
      </w:r>
      <w:proofErr w:type="spellStart"/>
      <w:r w:rsidR="002418A6" w:rsidRPr="004C7BAE">
        <w:rPr>
          <w:sz w:val="22"/>
          <w:szCs w:val="22"/>
          <w:lang w:val="sk-SK" w:bidi="si-LK"/>
        </w:rPr>
        <w:t>hydrouhličitanu</w:t>
      </w:r>
      <w:proofErr w:type="spellEnd"/>
      <w:r w:rsidR="002418A6" w:rsidRPr="004C7BAE">
        <w:rPr>
          <w:sz w:val="22"/>
          <w:szCs w:val="22"/>
          <w:lang w:val="sk-SK" w:bidi="si-LK"/>
        </w:rPr>
        <w:t xml:space="preserve"> sodného. Neodstraňujte kožu pomocou drsnej kefy. Po stiahnutí rukavíc si vždy umyte ruky. </w:t>
      </w:r>
    </w:p>
    <w:p w14:paraId="4F44823E" w14:textId="77777777" w:rsidR="00A31E63" w:rsidRDefault="00C3123C" w:rsidP="00FB7812">
      <w:pPr>
        <w:ind w:left="567" w:hanging="567"/>
        <w:rPr>
          <w:sz w:val="22"/>
          <w:szCs w:val="22"/>
          <w:lang w:val="sk-SK" w:bidi="si-LK"/>
        </w:rPr>
      </w:pPr>
      <w:r>
        <w:rPr>
          <w:sz w:val="22"/>
          <w:szCs w:val="22"/>
          <w:lang w:val="sk-SK" w:bidi="si-LK"/>
        </w:rPr>
        <w:t>6.</w:t>
      </w:r>
      <w:r>
        <w:rPr>
          <w:sz w:val="22"/>
          <w:szCs w:val="22"/>
          <w:lang w:val="sk-SK" w:bidi="si-LK"/>
        </w:rPr>
        <w:tab/>
      </w:r>
      <w:r w:rsidR="002418A6" w:rsidRPr="004C7BAE">
        <w:rPr>
          <w:sz w:val="22"/>
          <w:szCs w:val="22"/>
          <w:lang w:val="sk-SK" w:bidi="si-LK"/>
        </w:rPr>
        <w:t xml:space="preserve">Pri rozliatí alebo vytečení lieku treba použiť riedený roztok </w:t>
      </w:r>
      <w:proofErr w:type="spellStart"/>
      <w:r w:rsidR="002418A6" w:rsidRPr="004C7BAE">
        <w:rPr>
          <w:sz w:val="22"/>
          <w:szCs w:val="22"/>
          <w:lang w:val="sk-SK" w:bidi="si-LK"/>
        </w:rPr>
        <w:t>hypochloridu</w:t>
      </w:r>
      <w:proofErr w:type="spellEnd"/>
      <w:r w:rsidR="002418A6" w:rsidRPr="004C7BAE">
        <w:rPr>
          <w:sz w:val="22"/>
          <w:szCs w:val="22"/>
          <w:lang w:val="sk-SK" w:bidi="si-LK"/>
        </w:rPr>
        <w:t xml:space="preserve"> sodného (1 % dostupného chlóru), najlepšie vsiaknutím a potom vodou. Všetky čistiace materiály sa majú zlikvidovať tak, ako je uvedené nižšie. </w:t>
      </w:r>
    </w:p>
    <w:p w14:paraId="12457631" w14:textId="77777777" w:rsidR="00A31E63" w:rsidRDefault="00C3123C" w:rsidP="00FB7812">
      <w:pPr>
        <w:ind w:left="567" w:hanging="567"/>
        <w:rPr>
          <w:sz w:val="22"/>
          <w:szCs w:val="22"/>
          <w:lang w:val="sk-SK" w:bidi="si-LK"/>
        </w:rPr>
      </w:pPr>
      <w:r>
        <w:rPr>
          <w:sz w:val="22"/>
          <w:szCs w:val="22"/>
          <w:lang w:val="sk-SK" w:bidi="si-LK"/>
        </w:rPr>
        <w:t>7.</w:t>
      </w:r>
      <w:r>
        <w:rPr>
          <w:sz w:val="22"/>
          <w:szCs w:val="22"/>
          <w:lang w:val="sk-SK" w:bidi="si-LK"/>
        </w:rPr>
        <w:tab/>
      </w:r>
      <w:r w:rsidR="002418A6" w:rsidRPr="004C7BAE">
        <w:rPr>
          <w:sz w:val="22"/>
          <w:szCs w:val="22"/>
          <w:lang w:val="sk-SK" w:bidi="si-LK"/>
        </w:rPr>
        <w:t>Tehotné ženy nesmú zaobchádzať s </w:t>
      </w:r>
      <w:proofErr w:type="spellStart"/>
      <w:r w:rsidR="002418A6" w:rsidRPr="004C7BAE">
        <w:rPr>
          <w:sz w:val="22"/>
          <w:szCs w:val="22"/>
          <w:lang w:val="sk-SK" w:bidi="si-LK"/>
        </w:rPr>
        <w:t>cytotoxickými</w:t>
      </w:r>
      <w:proofErr w:type="spellEnd"/>
      <w:r w:rsidR="002418A6" w:rsidRPr="004C7BAE">
        <w:rPr>
          <w:sz w:val="22"/>
          <w:szCs w:val="22"/>
          <w:lang w:val="sk-SK" w:bidi="si-LK"/>
        </w:rPr>
        <w:t xml:space="preserve"> prípravkami.</w:t>
      </w:r>
    </w:p>
    <w:p w14:paraId="0DD3FE56" w14:textId="77777777" w:rsidR="00A31E63" w:rsidRDefault="00C3123C" w:rsidP="00FB7812">
      <w:pPr>
        <w:ind w:left="567" w:hanging="567"/>
        <w:rPr>
          <w:sz w:val="22"/>
          <w:szCs w:val="22"/>
          <w:lang w:val="sk-SK"/>
        </w:rPr>
      </w:pPr>
      <w:r>
        <w:rPr>
          <w:sz w:val="22"/>
          <w:szCs w:val="22"/>
          <w:lang w:val="sk-SK"/>
        </w:rPr>
        <w:t>8.</w:t>
      </w:r>
      <w:r>
        <w:rPr>
          <w:sz w:val="22"/>
          <w:szCs w:val="22"/>
          <w:lang w:val="sk-SK"/>
        </w:rPr>
        <w:tab/>
      </w:r>
      <w:r w:rsidR="002418A6" w:rsidRPr="004C7BAE">
        <w:rPr>
          <w:sz w:val="22"/>
          <w:szCs w:val="22"/>
          <w:lang w:val="sk-SK"/>
        </w:rPr>
        <w:t xml:space="preserve">Má sa prijať vhodná starostlivosť a opatrenia pri likvidácii predmetov (striekačiek, ihiel a pod.) používaných na rekonštituované a/alebo </w:t>
      </w:r>
      <w:proofErr w:type="spellStart"/>
      <w:r w:rsidR="002418A6" w:rsidRPr="004C7BAE">
        <w:rPr>
          <w:sz w:val="22"/>
          <w:szCs w:val="22"/>
          <w:lang w:val="sk-SK"/>
        </w:rPr>
        <w:t>cytotoxické</w:t>
      </w:r>
      <w:proofErr w:type="spellEnd"/>
      <w:r w:rsidR="002418A6" w:rsidRPr="004C7BAE">
        <w:rPr>
          <w:sz w:val="22"/>
          <w:szCs w:val="22"/>
          <w:lang w:val="sk-SK"/>
        </w:rPr>
        <w:t xml:space="preserve"> lieky. Všetky nepoužité lieky alebo odpad vzniknutý z liekov majú byť zlikvidované v súlade s miestnymi požiadavkami.</w:t>
      </w:r>
    </w:p>
    <w:p w14:paraId="18D0D621" w14:textId="77777777" w:rsidR="00BA5AFA" w:rsidRPr="004C7BAE" w:rsidRDefault="00BA5AFA">
      <w:pPr>
        <w:rPr>
          <w:sz w:val="22"/>
          <w:szCs w:val="22"/>
          <w:lang w:val="sk-SK" w:bidi="si-LK"/>
        </w:rPr>
      </w:pPr>
    </w:p>
    <w:p w14:paraId="1EB35BE6" w14:textId="77777777" w:rsidR="00BA5AFA" w:rsidRPr="004C7BAE" w:rsidRDefault="00BA5AFA">
      <w:pPr>
        <w:rPr>
          <w:sz w:val="22"/>
          <w:szCs w:val="22"/>
          <w:lang w:val="sk-SK" w:bidi="si-LK"/>
        </w:rPr>
      </w:pPr>
    </w:p>
    <w:p w14:paraId="61D94AF6"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7.</w:t>
      </w:r>
      <w:r w:rsidRPr="004C7BAE">
        <w:rPr>
          <w:b/>
          <w:bCs/>
          <w:sz w:val="22"/>
          <w:szCs w:val="22"/>
          <w:lang w:val="sk-SK" w:bidi="si-LK"/>
        </w:rPr>
        <w:tab/>
        <w:t>DRŽITEĽ ROZHODNUTIA O REGISTRÁCII</w:t>
      </w:r>
    </w:p>
    <w:p w14:paraId="681DB959" w14:textId="77777777" w:rsidR="00BA5AFA" w:rsidRPr="004C7BAE" w:rsidRDefault="00BA5AFA">
      <w:pPr>
        <w:rPr>
          <w:sz w:val="22"/>
          <w:szCs w:val="22"/>
          <w:lang w:val="sk-SK" w:bidi="si-LK"/>
        </w:rPr>
      </w:pPr>
    </w:p>
    <w:p w14:paraId="575C8072" w14:textId="77777777" w:rsidR="00BA5AFA" w:rsidRPr="004C7BAE" w:rsidRDefault="002418A6">
      <w:pPr>
        <w:pStyle w:val="Syreaspc"/>
        <w:rPr>
          <w:kern w:val="0"/>
          <w:sz w:val="22"/>
          <w:szCs w:val="22"/>
          <w:lang w:val="sk-SK" w:bidi="si-LK"/>
        </w:rPr>
      </w:pPr>
      <w:proofErr w:type="spellStart"/>
      <w:r w:rsidRPr="004C7BAE">
        <w:rPr>
          <w:kern w:val="0"/>
          <w:sz w:val="22"/>
          <w:szCs w:val="22"/>
          <w:lang w:val="sk-SK" w:bidi="si-LK"/>
        </w:rPr>
        <w:t>medac</w:t>
      </w:r>
      <w:proofErr w:type="spellEnd"/>
    </w:p>
    <w:p w14:paraId="12B86B96" w14:textId="77777777" w:rsidR="00BA5AFA" w:rsidRPr="004C7BAE" w:rsidRDefault="002418A6">
      <w:pPr>
        <w:pStyle w:val="Syreaspc"/>
        <w:rPr>
          <w:kern w:val="0"/>
          <w:sz w:val="22"/>
          <w:szCs w:val="22"/>
          <w:lang w:val="sk-SK" w:bidi="si-LK"/>
        </w:rPr>
      </w:pPr>
      <w:proofErr w:type="spellStart"/>
      <w:r w:rsidRPr="004C7BAE">
        <w:rPr>
          <w:kern w:val="0"/>
          <w:sz w:val="22"/>
          <w:szCs w:val="22"/>
          <w:lang w:val="sk-SK" w:bidi="si-LK"/>
        </w:rPr>
        <w:t>Gesellschaft</w:t>
      </w:r>
      <w:proofErr w:type="spellEnd"/>
      <w:r w:rsidRPr="004C7BAE">
        <w:rPr>
          <w:kern w:val="0"/>
          <w:sz w:val="22"/>
          <w:szCs w:val="22"/>
          <w:lang w:val="sk-SK" w:bidi="si-LK"/>
        </w:rPr>
        <w:t xml:space="preserve"> </w:t>
      </w:r>
      <w:proofErr w:type="spellStart"/>
      <w:r w:rsidRPr="004C7BAE">
        <w:rPr>
          <w:kern w:val="0"/>
          <w:sz w:val="22"/>
          <w:szCs w:val="22"/>
          <w:lang w:val="sk-SK" w:bidi="si-LK"/>
        </w:rPr>
        <w:t>für</w:t>
      </w:r>
      <w:proofErr w:type="spellEnd"/>
      <w:r w:rsidRPr="004C7BAE">
        <w:rPr>
          <w:kern w:val="0"/>
          <w:sz w:val="22"/>
          <w:szCs w:val="22"/>
          <w:lang w:val="sk-SK" w:bidi="si-LK"/>
        </w:rPr>
        <w:t xml:space="preserve"> </w:t>
      </w:r>
      <w:proofErr w:type="spellStart"/>
      <w:r w:rsidRPr="004C7BAE">
        <w:rPr>
          <w:kern w:val="0"/>
          <w:sz w:val="22"/>
          <w:szCs w:val="22"/>
          <w:lang w:val="sk-SK" w:bidi="si-LK"/>
        </w:rPr>
        <w:t>klinische</w:t>
      </w:r>
      <w:proofErr w:type="spellEnd"/>
    </w:p>
    <w:p w14:paraId="4804089F" w14:textId="77777777" w:rsidR="00BA5AFA" w:rsidRPr="004C7BAE" w:rsidRDefault="002418A6">
      <w:pPr>
        <w:pStyle w:val="Syreaspc"/>
        <w:rPr>
          <w:kern w:val="0"/>
          <w:sz w:val="22"/>
          <w:szCs w:val="22"/>
          <w:lang w:val="sk-SK" w:bidi="si-LK"/>
        </w:rPr>
      </w:pPr>
      <w:proofErr w:type="spellStart"/>
      <w:r w:rsidRPr="004C7BAE">
        <w:rPr>
          <w:kern w:val="0"/>
          <w:sz w:val="22"/>
          <w:szCs w:val="22"/>
          <w:lang w:val="sk-SK" w:bidi="si-LK"/>
        </w:rPr>
        <w:t>Spezialpräparate</w:t>
      </w:r>
      <w:proofErr w:type="spellEnd"/>
      <w:r w:rsidRPr="004C7BAE">
        <w:rPr>
          <w:kern w:val="0"/>
          <w:sz w:val="22"/>
          <w:szCs w:val="22"/>
          <w:lang w:val="sk-SK" w:bidi="si-LK"/>
        </w:rPr>
        <w:t xml:space="preserve"> </w:t>
      </w:r>
      <w:proofErr w:type="spellStart"/>
      <w:r w:rsidRPr="004C7BAE">
        <w:rPr>
          <w:kern w:val="0"/>
          <w:sz w:val="22"/>
          <w:szCs w:val="22"/>
          <w:lang w:val="sk-SK" w:bidi="si-LK"/>
        </w:rPr>
        <w:t>mbH</w:t>
      </w:r>
      <w:proofErr w:type="spellEnd"/>
    </w:p>
    <w:p w14:paraId="5DCB9F44" w14:textId="77777777" w:rsidR="00BA5AFA" w:rsidRPr="004C7BAE" w:rsidRDefault="002418A6">
      <w:pPr>
        <w:rPr>
          <w:sz w:val="22"/>
          <w:szCs w:val="22"/>
          <w:lang w:val="sk-SK"/>
        </w:rPr>
      </w:pPr>
      <w:proofErr w:type="spellStart"/>
      <w:r w:rsidRPr="004C7BAE">
        <w:rPr>
          <w:sz w:val="22"/>
          <w:szCs w:val="22"/>
          <w:lang w:val="sk-SK"/>
        </w:rPr>
        <w:t>Theaterstr</w:t>
      </w:r>
      <w:proofErr w:type="spellEnd"/>
      <w:r w:rsidRPr="004C7BAE">
        <w:rPr>
          <w:sz w:val="22"/>
          <w:szCs w:val="22"/>
          <w:lang w:val="sk-SK"/>
        </w:rPr>
        <w:t>. 6</w:t>
      </w:r>
    </w:p>
    <w:p w14:paraId="67A9D5EF" w14:textId="77777777" w:rsidR="00BA5AFA" w:rsidRPr="004C7BAE" w:rsidRDefault="002418A6">
      <w:pPr>
        <w:rPr>
          <w:sz w:val="22"/>
          <w:szCs w:val="22"/>
          <w:lang w:val="sk-SK" w:bidi="si-LK"/>
        </w:rPr>
      </w:pPr>
      <w:r w:rsidRPr="004C7BAE">
        <w:rPr>
          <w:sz w:val="22"/>
          <w:szCs w:val="22"/>
          <w:lang w:val="sk-SK"/>
        </w:rPr>
        <w:t>22880 </w:t>
      </w:r>
      <w:proofErr w:type="spellStart"/>
      <w:r w:rsidRPr="004C7BAE">
        <w:rPr>
          <w:sz w:val="22"/>
          <w:szCs w:val="22"/>
          <w:lang w:val="sk-SK"/>
        </w:rPr>
        <w:t>Wedel</w:t>
      </w:r>
      <w:proofErr w:type="spellEnd"/>
      <w:r w:rsidRPr="004C7BAE">
        <w:rPr>
          <w:sz w:val="22"/>
          <w:szCs w:val="22"/>
          <w:lang w:val="sk-SK" w:bidi="si-LK"/>
        </w:rPr>
        <w:t>, Nemecko</w:t>
      </w:r>
    </w:p>
    <w:p w14:paraId="798110AE" w14:textId="77777777" w:rsidR="00BA5AFA" w:rsidRPr="004C7BAE" w:rsidRDefault="002418A6">
      <w:pPr>
        <w:rPr>
          <w:sz w:val="22"/>
          <w:szCs w:val="22"/>
          <w:lang w:val="sk-SK" w:bidi="si-LK"/>
        </w:rPr>
      </w:pPr>
      <w:r w:rsidRPr="004C7BAE">
        <w:rPr>
          <w:sz w:val="22"/>
          <w:szCs w:val="22"/>
          <w:lang w:val="sk-SK" w:bidi="si-LK"/>
        </w:rPr>
        <w:t>Tel.: +49 4103 8006</w:t>
      </w:r>
      <w:r w:rsidRPr="004C7BAE">
        <w:rPr>
          <w:sz w:val="22"/>
          <w:szCs w:val="22"/>
          <w:lang w:val="sk-SK" w:bidi="si-LK"/>
        </w:rPr>
        <w:noBreakHyphen/>
        <w:t>0</w:t>
      </w:r>
    </w:p>
    <w:p w14:paraId="6769E1C3" w14:textId="77777777" w:rsidR="00BA5AFA" w:rsidRPr="004C7BAE" w:rsidRDefault="002418A6">
      <w:pPr>
        <w:rPr>
          <w:sz w:val="22"/>
          <w:szCs w:val="22"/>
          <w:lang w:val="sk-SK" w:bidi="si-LK"/>
        </w:rPr>
      </w:pPr>
      <w:r w:rsidRPr="004C7BAE">
        <w:rPr>
          <w:sz w:val="22"/>
          <w:szCs w:val="22"/>
          <w:lang w:val="sk-SK" w:bidi="si-LK"/>
        </w:rPr>
        <w:t>Fax: +49 4103 8006</w:t>
      </w:r>
      <w:r w:rsidRPr="004C7BAE">
        <w:rPr>
          <w:sz w:val="22"/>
          <w:szCs w:val="22"/>
          <w:lang w:val="sk-SK" w:bidi="si-LK"/>
        </w:rPr>
        <w:noBreakHyphen/>
        <w:t>100</w:t>
      </w:r>
    </w:p>
    <w:p w14:paraId="6406EE19" w14:textId="77777777" w:rsidR="00BA5AFA" w:rsidRPr="004C7BAE" w:rsidRDefault="00BA5AFA">
      <w:pPr>
        <w:rPr>
          <w:sz w:val="22"/>
          <w:szCs w:val="22"/>
          <w:lang w:val="sk-SK" w:bidi="si-LK"/>
        </w:rPr>
      </w:pPr>
    </w:p>
    <w:p w14:paraId="78E92360" w14:textId="77777777" w:rsidR="00BA5AFA" w:rsidRPr="004C7BAE" w:rsidRDefault="00BA5AFA">
      <w:pPr>
        <w:rPr>
          <w:sz w:val="22"/>
          <w:szCs w:val="22"/>
          <w:lang w:val="sk-SK" w:bidi="si-LK"/>
        </w:rPr>
      </w:pPr>
    </w:p>
    <w:p w14:paraId="22FF021A" w14:textId="77777777" w:rsidR="00BA5AFA" w:rsidRPr="004C7BAE" w:rsidRDefault="002418A6">
      <w:pPr>
        <w:keepNext/>
        <w:keepLines/>
        <w:ind w:left="567" w:hanging="567"/>
        <w:outlineLvl w:val="0"/>
        <w:rPr>
          <w:b/>
          <w:bCs/>
          <w:sz w:val="22"/>
          <w:szCs w:val="22"/>
          <w:lang w:val="sk-SK" w:bidi="si-LK"/>
        </w:rPr>
      </w:pPr>
      <w:r w:rsidRPr="004C7BAE">
        <w:rPr>
          <w:b/>
          <w:bCs/>
          <w:sz w:val="22"/>
          <w:szCs w:val="22"/>
          <w:lang w:val="sk-SK" w:bidi="si-LK"/>
        </w:rPr>
        <w:t>8.</w:t>
      </w:r>
      <w:r w:rsidRPr="004C7BAE">
        <w:rPr>
          <w:b/>
          <w:bCs/>
          <w:sz w:val="22"/>
          <w:szCs w:val="22"/>
          <w:lang w:val="sk-SK" w:bidi="si-LK"/>
        </w:rPr>
        <w:tab/>
        <w:t>REGISTRAČNÉ ČÍSLO</w:t>
      </w:r>
      <w:r w:rsidR="000F2985">
        <w:rPr>
          <w:b/>
          <w:bCs/>
          <w:sz w:val="22"/>
          <w:szCs w:val="22"/>
          <w:lang w:val="sk-SK" w:bidi="si-LK"/>
        </w:rPr>
        <w:t xml:space="preserve"> (ČÍSLA)</w:t>
      </w:r>
    </w:p>
    <w:p w14:paraId="2C006C66" w14:textId="77777777" w:rsidR="00BA5AFA" w:rsidRPr="004C7BAE" w:rsidRDefault="00BA5AFA">
      <w:pPr>
        <w:keepNext/>
        <w:keepLines/>
        <w:rPr>
          <w:sz w:val="22"/>
          <w:szCs w:val="22"/>
          <w:lang w:val="sk-SK" w:bidi="si-LK"/>
        </w:rPr>
      </w:pPr>
    </w:p>
    <w:p w14:paraId="274B4D70" w14:textId="77777777" w:rsidR="00BA5AFA" w:rsidRPr="004C7BAE" w:rsidRDefault="002418A6">
      <w:pPr>
        <w:keepNext/>
        <w:keepLines/>
        <w:rPr>
          <w:sz w:val="22"/>
          <w:szCs w:val="22"/>
          <w:lang w:val="sk-SK" w:bidi="si-LK"/>
        </w:rPr>
      </w:pPr>
      <w:r w:rsidRPr="004C7BAE">
        <w:rPr>
          <w:sz w:val="22"/>
          <w:szCs w:val="22"/>
          <w:lang w:val="sk-SK" w:bidi="si-LK"/>
        </w:rPr>
        <w:t>44/0035/08-S</w:t>
      </w:r>
    </w:p>
    <w:p w14:paraId="0EE68700" w14:textId="77777777" w:rsidR="00BA5AFA" w:rsidRPr="004C7BAE" w:rsidRDefault="00BA5AFA">
      <w:pPr>
        <w:rPr>
          <w:sz w:val="22"/>
          <w:szCs w:val="22"/>
          <w:lang w:val="sk-SK" w:bidi="si-LK"/>
        </w:rPr>
      </w:pPr>
    </w:p>
    <w:p w14:paraId="3CD5BF27" w14:textId="77777777" w:rsidR="00BA5AFA" w:rsidRPr="004C7BAE" w:rsidRDefault="00BA5AFA">
      <w:pPr>
        <w:rPr>
          <w:sz w:val="22"/>
          <w:szCs w:val="22"/>
          <w:lang w:val="sk-SK" w:bidi="si-LK"/>
        </w:rPr>
      </w:pPr>
    </w:p>
    <w:p w14:paraId="6F12FED3"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9.</w:t>
      </w:r>
      <w:r w:rsidRPr="004C7BAE">
        <w:rPr>
          <w:b/>
          <w:bCs/>
          <w:sz w:val="22"/>
          <w:szCs w:val="22"/>
          <w:lang w:val="sk-SK" w:bidi="si-LK"/>
        </w:rPr>
        <w:tab/>
        <w:t>DÁTUM PRVEJ REGISTRÁCIE/ PREDĹŽENIA REGISTRÁCIE</w:t>
      </w:r>
    </w:p>
    <w:p w14:paraId="46C6E5AE" w14:textId="77777777" w:rsidR="00BA5AFA" w:rsidRPr="004C7BAE" w:rsidRDefault="00BA5AFA">
      <w:pPr>
        <w:rPr>
          <w:sz w:val="22"/>
          <w:szCs w:val="22"/>
          <w:lang w:val="sk-SK" w:bidi="si-LK"/>
        </w:rPr>
      </w:pPr>
    </w:p>
    <w:p w14:paraId="576615F5" w14:textId="77777777" w:rsidR="00BA5AFA" w:rsidRPr="004C7BAE" w:rsidRDefault="002418A6">
      <w:pPr>
        <w:rPr>
          <w:sz w:val="22"/>
          <w:szCs w:val="22"/>
          <w:lang w:val="sk-SK"/>
        </w:rPr>
      </w:pPr>
      <w:r w:rsidRPr="004C7BAE">
        <w:rPr>
          <w:noProof/>
          <w:sz w:val="22"/>
          <w:szCs w:val="22"/>
          <w:lang w:val="sk-SK"/>
        </w:rPr>
        <w:t xml:space="preserve">Dátum prvej registrácie: </w:t>
      </w:r>
      <w:r w:rsidRPr="004C7BAE">
        <w:rPr>
          <w:sz w:val="22"/>
          <w:szCs w:val="22"/>
          <w:lang w:val="sk-SK"/>
        </w:rPr>
        <w:t>01.02.2008</w:t>
      </w:r>
    </w:p>
    <w:p w14:paraId="0265385E" w14:textId="77777777" w:rsidR="00BA5AFA" w:rsidRPr="004C7BAE" w:rsidRDefault="002418A6">
      <w:pPr>
        <w:rPr>
          <w:sz w:val="22"/>
          <w:szCs w:val="22"/>
          <w:lang w:val="sk-SK"/>
        </w:rPr>
      </w:pPr>
      <w:r w:rsidRPr="004C7BAE">
        <w:rPr>
          <w:noProof/>
          <w:sz w:val="22"/>
          <w:szCs w:val="22"/>
          <w:lang w:val="sk-SK"/>
        </w:rPr>
        <w:t>Dátum posledného predĺženia registrácie: 19.01.2014</w:t>
      </w:r>
    </w:p>
    <w:p w14:paraId="003011E5" w14:textId="77777777" w:rsidR="00BA5AFA" w:rsidRPr="004C7BAE" w:rsidRDefault="00BA5AFA">
      <w:pPr>
        <w:rPr>
          <w:sz w:val="22"/>
          <w:szCs w:val="22"/>
          <w:lang w:val="sk-SK" w:bidi="si-LK"/>
        </w:rPr>
      </w:pPr>
    </w:p>
    <w:p w14:paraId="4F2B23F5" w14:textId="77777777" w:rsidR="00BA5AFA" w:rsidRPr="004C7BAE" w:rsidRDefault="00BA5AFA">
      <w:pPr>
        <w:rPr>
          <w:sz w:val="22"/>
          <w:szCs w:val="22"/>
          <w:lang w:val="sk-SK" w:bidi="si-LK"/>
        </w:rPr>
      </w:pPr>
    </w:p>
    <w:p w14:paraId="450F4D75" w14:textId="77777777" w:rsidR="00BA5AFA" w:rsidRPr="004C7BAE" w:rsidRDefault="002418A6">
      <w:pPr>
        <w:ind w:left="567" w:hanging="567"/>
        <w:outlineLvl w:val="0"/>
        <w:rPr>
          <w:b/>
          <w:bCs/>
          <w:sz w:val="22"/>
          <w:szCs w:val="22"/>
          <w:lang w:val="sk-SK" w:bidi="si-LK"/>
        </w:rPr>
      </w:pPr>
      <w:r w:rsidRPr="004C7BAE">
        <w:rPr>
          <w:b/>
          <w:bCs/>
          <w:sz w:val="22"/>
          <w:szCs w:val="22"/>
          <w:lang w:val="sk-SK" w:bidi="si-LK"/>
        </w:rPr>
        <w:t>10.</w:t>
      </w:r>
      <w:r w:rsidRPr="004C7BAE">
        <w:rPr>
          <w:b/>
          <w:bCs/>
          <w:sz w:val="22"/>
          <w:szCs w:val="22"/>
          <w:lang w:val="sk-SK" w:bidi="si-LK"/>
        </w:rPr>
        <w:tab/>
        <w:t>DÁTUM REVÍZIE TEXTU</w:t>
      </w:r>
    </w:p>
    <w:p w14:paraId="771B5AD1" w14:textId="77777777" w:rsidR="00BA5AFA" w:rsidRPr="004C7BAE" w:rsidRDefault="00BA5AFA">
      <w:pPr>
        <w:ind w:left="567" w:hanging="567"/>
        <w:rPr>
          <w:sz w:val="22"/>
          <w:szCs w:val="22"/>
          <w:lang w:val="sk-SK" w:bidi="si-LK"/>
        </w:rPr>
      </w:pPr>
    </w:p>
    <w:p w14:paraId="6F77F18B" w14:textId="7B4144E2" w:rsidR="00BA5AFA" w:rsidRPr="004C7BAE" w:rsidRDefault="00386A0E">
      <w:pPr>
        <w:ind w:left="567" w:hanging="567"/>
        <w:rPr>
          <w:sz w:val="22"/>
          <w:szCs w:val="22"/>
          <w:lang w:val="sk-SK" w:bidi="si-LK"/>
        </w:rPr>
      </w:pPr>
      <w:r>
        <w:rPr>
          <w:sz w:val="22"/>
          <w:szCs w:val="22"/>
          <w:lang w:val="sk-SK" w:bidi="si-LK"/>
        </w:rPr>
        <w:t>04/2020</w:t>
      </w:r>
    </w:p>
    <w:sectPr w:rsidR="00BA5AFA" w:rsidRPr="004C7BAE" w:rsidSect="00F81505">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E64BB" w14:textId="77777777" w:rsidR="00B4195B" w:rsidRDefault="00B4195B">
      <w:pPr>
        <w:rPr>
          <w:lang w:val="en-US" w:bidi="si-LK"/>
        </w:rPr>
      </w:pPr>
      <w:r>
        <w:rPr>
          <w:lang w:val="en-US" w:bidi="si-LK"/>
        </w:rPr>
        <w:separator/>
      </w:r>
    </w:p>
  </w:endnote>
  <w:endnote w:type="continuationSeparator" w:id="0">
    <w:p w14:paraId="76DD77AA" w14:textId="77777777" w:rsidR="00B4195B" w:rsidRDefault="00B4195B">
      <w:pPr>
        <w:rPr>
          <w:lang w:val="en-US" w:bidi="si-LK"/>
        </w:rPr>
      </w:pPr>
      <w:r>
        <w:rPr>
          <w:lang w:val="en-US" w:bidi="si-LK"/>
        </w:rPr>
        <w:continuationSeparator/>
      </w:r>
    </w:p>
  </w:endnote>
  <w:endnote w:type="continuationNotice" w:id="1">
    <w:p w14:paraId="4D4942D2" w14:textId="77777777" w:rsidR="00B4195B" w:rsidRDefault="00B41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F2CC0" w14:textId="77777777" w:rsidR="00002CEB" w:rsidRDefault="00002CE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D0DA" w14:textId="5A5CF070" w:rsidR="00002CEB" w:rsidRDefault="00002CEB">
    <w:pPr>
      <w:outlineLvl w:val="0"/>
      <w:rPr>
        <w:lang w:val="en-US" w:bidi="si-LK"/>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627FB" w14:textId="77777777" w:rsidR="00002CEB" w:rsidRDefault="00002CE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1B4AB" w14:textId="77777777" w:rsidR="00B4195B" w:rsidRDefault="00B4195B">
      <w:pPr>
        <w:rPr>
          <w:lang w:val="en-US" w:bidi="si-LK"/>
        </w:rPr>
      </w:pPr>
      <w:r>
        <w:rPr>
          <w:lang w:val="en-US" w:bidi="si-LK"/>
        </w:rPr>
        <w:separator/>
      </w:r>
    </w:p>
  </w:footnote>
  <w:footnote w:type="continuationSeparator" w:id="0">
    <w:p w14:paraId="213F183A" w14:textId="77777777" w:rsidR="00B4195B" w:rsidRDefault="00B4195B">
      <w:pPr>
        <w:rPr>
          <w:lang w:val="en-US" w:bidi="si-LK"/>
        </w:rPr>
      </w:pPr>
      <w:r>
        <w:rPr>
          <w:lang w:val="en-US" w:bidi="si-LK"/>
        </w:rPr>
        <w:continuationSeparator/>
      </w:r>
    </w:p>
  </w:footnote>
  <w:footnote w:type="continuationNotice" w:id="1">
    <w:p w14:paraId="393CD349" w14:textId="77777777" w:rsidR="00B4195B" w:rsidRDefault="00B419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9882" w14:textId="77777777" w:rsidR="00002CEB" w:rsidRDefault="00002CE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A20BC" w14:textId="77777777" w:rsidR="00327CA4" w:rsidRPr="00FE0DC2" w:rsidRDefault="00327CA4" w:rsidP="00327CA4">
    <w:pPr>
      <w:shd w:val="clear" w:color="auto" w:fill="FFFFFF"/>
      <w:outlineLvl w:val="0"/>
      <w:rPr>
        <w:color w:val="444444"/>
        <w:kern w:val="36"/>
        <w:sz w:val="18"/>
        <w:szCs w:val="18"/>
        <w:lang w:val="sk-SK"/>
      </w:rPr>
    </w:pPr>
    <w:r w:rsidRPr="00FE0DC2">
      <w:rPr>
        <w:color w:val="444444"/>
        <w:kern w:val="36"/>
        <w:sz w:val="18"/>
        <w:szCs w:val="18"/>
        <w:lang w:val="sk-SK"/>
      </w:rPr>
      <w:t>Schválený text k rozhodnutiu o zmene, ev. č.: 2019/04505-ZME</w:t>
    </w:r>
  </w:p>
  <w:p w14:paraId="75769786" w14:textId="77777777" w:rsidR="00002CEB" w:rsidRDefault="00002CE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262D" w14:textId="77777777" w:rsidR="00002CEB" w:rsidRDefault="00002CE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multilevel"/>
    <w:tmpl w:val="43543ACE"/>
    <w:lvl w:ilvl="0">
      <w:start w:val="1"/>
      <w:numFmt w:val="bullet"/>
      <w:pStyle w:val="Nadpis1"/>
      <w:lvlText w:val=""/>
      <w:lvlJc w:val="left"/>
      <w:pPr>
        <w:tabs>
          <w:tab w:val="num" w:pos="360"/>
        </w:tabs>
        <w:ind w:left="360" w:hanging="360"/>
      </w:pPr>
      <w:rPr>
        <w:rFonts w:ascii="Symbol" w:hAnsi="Symbol" w:hint="default"/>
      </w:rPr>
    </w:lvl>
    <w:lvl w:ilvl="1">
      <w:numFmt w:val="decimal"/>
      <w:pStyle w:val="Nadpis2"/>
      <w:lvlText w:val=""/>
      <w:lvlJc w:val="left"/>
      <w:rPr>
        <w:rFonts w:cs="Times New Roman"/>
      </w:rPr>
    </w:lvl>
    <w:lvl w:ilvl="2">
      <w:numFmt w:val="decimal"/>
      <w:pStyle w:val="Nadpis3"/>
      <w:lvlText w:val=""/>
      <w:lvlJc w:val="left"/>
      <w:rPr>
        <w:rFonts w:cs="Times New Roman"/>
      </w:rPr>
    </w:lvl>
    <w:lvl w:ilvl="3">
      <w:numFmt w:val="decimal"/>
      <w:pStyle w:val="Nadpis4"/>
      <w:lvlText w:val=""/>
      <w:lvlJc w:val="left"/>
      <w:rPr>
        <w:rFonts w:cs="Times New Roman"/>
      </w:rPr>
    </w:lvl>
    <w:lvl w:ilvl="4">
      <w:numFmt w:val="decimal"/>
      <w:pStyle w:val="Nadpis5"/>
      <w:lvlText w:val=""/>
      <w:lvlJc w:val="left"/>
      <w:rPr>
        <w:rFonts w:cs="Times New Roman"/>
      </w:rPr>
    </w:lvl>
    <w:lvl w:ilvl="5">
      <w:numFmt w:val="decimal"/>
      <w:pStyle w:val="Nadpis6"/>
      <w:lvlText w:val=""/>
      <w:lvlJc w:val="left"/>
      <w:rPr>
        <w:rFonts w:cs="Times New Roman"/>
      </w:rPr>
    </w:lvl>
    <w:lvl w:ilvl="6">
      <w:numFmt w:val="decimal"/>
      <w:pStyle w:val="Nadpis7"/>
      <w:lvlText w:val=""/>
      <w:lvlJc w:val="left"/>
      <w:rPr>
        <w:rFonts w:cs="Times New Roman"/>
      </w:rPr>
    </w:lvl>
    <w:lvl w:ilvl="7">
      <w:numFmt w:val="decimal"/>
      <w:pStyle w:val="Nadpis8"/>
      <w:lvlText w:val=""/>
      <w:lvlJc w:val="left"/>
      <w:rPr>
        <w:rFonts w:cs="Times New Roman"/>
      </w:rPr>
    </w:lvl>
    <w:lvl w:ilvl="8">
      <w:numFmt w:val="decimal"/>
      <w:pStyle w:val="Nadpis9"/>
      <w:lvlText w:val=""/>
      <w:lvlJc w:val="left"/>
      <w:rPr>
        <w:rFonts w:cs="Times New Roman"/>
      </w:rPr>
    </w:lvl>
  </w:abstractNum>
  <w:abstractNum w:abstractNumId="1" w15:restartNumberingAfterBreak="0">
    <w:nsid w:val="042067F3"/>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474572E"/>
    <w:multiLevelType w:val="hybridMultilevel"/>
    <w:tmpl w:val="AF6A2B32"/>
    <w:lvl w:ilvl="0" w:tplc="A1CCB27C">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AC46A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F6C0D64"/>
    <w:multiLevelType w:val="multilevel"/>
    <w:tmpl w:val="ECD2B898"/>
    <w:lvl w:ilvl="0">
      <w:start w:val="1"/>
      <w:numFmt w:val="decimal"/>
      <w:lvlText w:val="%1"/>
      <w:lvlJc w:val="left"/>
      <w:pPr>
        <w:tabs>
          <w:tab w:val="num" w:pos="480"/>
        </w:tabs>
        <w:ind w:left="480" w:hanging="480"/>
      </w:pPr>
      <w:rPr>
        <w:rFonts w:ascii="Times New Roman" w:hAnsi="Times New Roman" w:cs="Times New Roman" w:hint="default"/>
        <w:b w:val="0"/>
        <w:bCs w:val="0"/>
        <w:i w:val="0"/>
        <w:iCs w:val="0"/>
        <w:caps w:val="0"/>
        <w:smallCaps w:val="0"/>
        <w:strike w:val="0"/>
        <w:dstrike w:val="0"/>
        <w:snapToGrid w:val="0"/>
        <w:color w:val="000000"/>
      </w:rPr>
    </w:lvl>
    <w:lvl w:ilvl="1">
      <w:start w:val="3"/>
      <w:numFmt w:val="decimal"/>
      <w:lvlText w:val="%1.%2"/>
      <w:lvlJc w:val="left"/>
      <w:pPr>
        <w:tabs>
          <w:tab w:val="num" w:pos="480"/>
        </w:tabs>
        <w:ind w:left="480" w:hanging="48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5" w15:restartNumberingAfterBreak="0">
    <w:nsid w:val="3659305A"/>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A035170"/>
    <w:multiLevelType w:val="multilevel"/>
    <w:tmpl w:val="D92A98DC"/>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snapToGrid w:val="0"/>
        <w:color w:val="000000"/>
      </w:rPr>
    </w:lvl>
    <w:lvl w:ilvl="1">
      <w:start w:val="3"/>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1296"/>
        </w:tabs>
        <w:ind w:left="1296" w:hanging="1296"/>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1584"/>
        </w:tabs>
        <w:ind w:left="1584" w:hanging="1584"/>
      </w:pPr>
      <w:rPr>
        <w:rFonts w:ascii="Times New Roman" w:hAnsi="Times New Roman" w:cs="Times New Roman"/>
        <w:b w:val="0"/>
        <w:bCs w:val="0"/>
        <w:i w:val="0"/>
        <w:iCs w:val="0"/>
        <w:caps w:val="0"/>
        <w:smallCaps w:val="0"/>
        <w:strike w:val="0"/>
        <w:dstrike w:val="0"/>
        <w:snapToGrid w:val="0"/>
        <w:color w:val="000000"/>
      </w:rPr>
    </w:lvl>
  </w:abstractNum>
  <w:abstractNum w:abstractNumId="7" w15:restartNumberingAfterBreak="0">
    <w:nsid w:val="3C885F35"/>
    <w:multiLevelType w:val="multilevel"/>
    <w:tmpl w:val="68C27052"/>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snapToGrid w:val="0"/>
        <w:color w:val="00000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2154EDE"/>
    <w:multiLevelType w:val="multilevel"/>
    <w:tmpl w:val="A1442CF2"/>
    <w:lvl w:ilvl="0">
      <w:start w:val="1"/>
      <w:numFmt w:val="decimal"/>
      <w:lvlText w:val="%1."/>
      <w:lvlJc w:val="left"/>
      <w:pPr>
        <w:tabs>
          <w:tab w:val="num" w:pos="360"/>
        </w:tabs>
        <w:ind w:left="360" w:hanging="360"/>
      </w:pPr>
      <w:rPr>
        <w:rFonts w:ascii="Times New Roman" w:hAnsi="Times New Roman" w:cs="Times New Roman" w:hint="default"/>
        <w:b/>
        <w:bCs/>
        <w:i w:val="0"/>
        <w:iCs w:val="0"/>
        <w:caps w:val="0"/>
        <w:smallCaps w:val="0"/>
        <w:strike w:val="0"/>
        <w:dstrike w:val="0"/>
        <w:snapToGrid w:val="0"/>
        <w:color w:val="000000"/>
        <w:sz w:val="32"/>
        <w:szCs w:val="3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7B65427"/>
    <w:multiLevelType w:val="multilevel"/>
    <w:tmpl w:val="20FE2502"/>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snapToGrid w:val="0"/>
        <w:color w:val="000000"/>
        <w:sz w:val="22"/>
        <w:szCs w:val="22"/>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0" w15:restartNumberingAfterBreak="0">
    <w:nsid w:val="4BD6227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E64693B"/>
    <w:multiLevelType w:val="hybridMultilevel"/>
    <w:tmpl w:val="9C32B85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9C613C4"/>
    <w:multiLevelType w:val="multilevel"/>
    <w:tmpl w:val="0407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F416885"/>
    <w:multiLevelType w:val="multilevel"/>
    <w:tmpl w:val="070A5632"/>
    <w:lvl w:ilvl="0">
      <w:start w:val="4"/>
      <w:numFmt w:val="decimal"/>
      <w:lvlText w:val="%1"/>
      <w:lvlJc w:val="left"/>
      <w:pPr>
        <w:tabs>
          <w:tab w:val="num" w:pos="570"/>
        </w:tabs>
        <w:ind w:left="570" w:hanging="570"/>
      </w:pPr>
      <w:rPr>
        <w:rFonts w:ascii="Times New Roman" w:hAnsi="Times New Roman" w:cs="Times New Roman" w:hint="default"/>
        <w:b w:val="0"/>
        <w:bCs w:val="0"/>
        <w:i w:val="0"/>
        <w:iCs w:val="0"/>
        <w:caps w:val="0"/>
        <w:smallCaps w:val="0"/>
        <w:strike w:val="0"/>
        <w:dstrike w:val="0"/>
        <w:snapToGrid w:val="0"/>
        <w:color w:val="000000"/>
      </w:rPr>
    </w:lvl>
    <w:lvl w:ilvl="1">
      <w:start w:val="5"/>
      <w:numFmt w:val="decimal"/>
      <w:lvlText w:val="%1.%2"/>
      <w:lvlJc w:val="left"/>
      <w:pPr>
        <w:tabs>
          <w:tab w:val="num" w:pos="570"/>
        </w:tabs>
        <w:ind w:left="570" w:hanging="570"/>
      </w:pPr>
      <w:rPr>
        <w:rFonts w:ascii="Times New Roman" w:hAnsi="Times New Roman" w:cs="Times New Roman" w:hint="default"/>
        <w:b/>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4" w15:restartNumberingAfterBreak="0">
    <w:nsid w:val="72171F84"/>
    <w:multiLevelType w:val="hybridMultilevel"/>
    <w:tmpl w:val="7674A73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2255650"/>
    <w:multiLevelType w:val="hybridMultilevel"/>
    <w:tmpl w:val="1DD006D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7"/>
  </w:num>
  <w:num w:numId="26">
    <w:abstractNumId w:val="8"/>
  </w:num>
  <w:num w:numId="27">
    <w:abstractNumId w:val="4"/>
  </w:num>
  <w:num w:numId="28">
    <w:abstractNumId w:val="10"/>
  </w:num>
  <w:num w:numId="29">
    <w:abstractNumId w:val="1"/>
  </w:num>
  <w:num w:numId="30">
    <w:abstractNumId w:val="3"/>
  </w:num>
  <w:num w:numId="31">
    <w:abstractNumId w:val="13"/>
  </w:num>
  <w:num w:numId="32">
    <w:abstractNumId w:val="9"/>
  </w:num>
  <w:num w:numId="33">
    <w:abstractNumId w:val="5"/>
  </w:num>
  <w:num w:numId="34">
    <w:abstractNumId w:val="12"/>
  </w:num>
  <w:num w:numId="35">
    <w:abstractNumId w:val="11"/>
  </w:num>
  <w:num w:numId="36">
    <w:abstractNumId w:val="2"/>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FA"/>
    <w:rsid w:val="00002CEB"/>
    <w:rsid w:val="00007EB6"/>
    <w:rsid w:val="00021A15"/>
    <w:rsid w:val="0004506D"/>
    <w:rsid w:val="0005463F"/>
    <w:rsid w:val="00055412"/>
    <w:rsid w:val="000612AF"/>
    <w:rsid w:val="00072B28"/>
    <w:rsid w:val="00075B6A"/>
    <w:rsid w:val="00092AE9"/>
    <w:rsid w:val="000F2985"/>
    <w:rsid w:val="00145585"/>
    <w:rsid w:val="0019158A"/>
    <w:rsid w:val="00194D14"/>
    <w:rsid w:val="001A5426"/>
    <w:rsid w:val="001B0C79"/>
    <w:rsid w:val="001C0C32"/>
    <w:rsid w:val="001E6592"/>
    <w:rsid w:val="001E679D"/>
    <w:rsid w:val="002418A6"/>
    <w:rsid w:val="0024456A"/>
    <w:rsid w:val="00255D89"/>
    <w:rsid w:val="00256D5A"/>
    <w:rsid w:val="00263568"/>
    <w:rsid w:val="00275179"/>
    <w:rsid w:val="00277C6A"/>
    <w:rsid w:val="00297D22"/>
    <w:rsid w:val="002A6FA1"/>
    <w:rsid w:val="002D225E"/>
    <w:rsid w:val="002E4EFB"/>
    <w:rsid w:val="002F5B82"/>
    <w:rsid w:val="00322003"/>
    <w:rsid w:val="00327CA4"/>
    <w:rsid w:val="00335393"/>
    <w:rsid w:val="003517AB"/>
    <w:rsid w:val="00377EA0"/>
    <w:rsid w:val="00386A0E"/>
    <w:rsid w:val="003B68B3"/>
    <w:rsid w:val="003C2D19"/>
    <w:rsid w:val="00422FC3"/>
    <w:rsid w:val="00433DCB"/>
    <w:rsid w:val="004355DC"/>
    <w:rsid w:val="00444F48"/>
    <w:rsid w:val="0045300B"/>
    <w:rsid w:val="00456901"/>
    <w:rsid w:val="0047209B"/>
    <w:rsid w:val="004C2808"/>
    <w:rsid w:val="004C469C"/>
    <w:rsid w:val="004C7BAE"/>
    <w:rsid w:val="004D6043"/>
    <w:rsid w:val="00504722"/>
    <w:rsid w:val="00550F7B"/>
    <w:rsid w:val="00563A29"/>
    <w:rsid w:val="00563A8E"/>
    <w:rsid w:val="00573E5C"/>
    <w:rsid w:val="0058075F"/>
    <w:rsid w:val="00595DAC"/>
    <w:rsid w:val="005A0A88"/>
    <w:rsid w:val="005A6751"/>
    <w:rsid w:val="005B1682"/>
    <w:rsid w:val="005E54F6"/>
    <w:rsid w:val="00605EFA"/>
    <w:rsid w:val="00632997"/>
    <w:rsid w:val="00635BF4"/>
    <w:rsid w:val="00643ECA"/>
    <w:rsid w:val="00660307"/>
    <w:rsid w:val="00670572"/>
    <w:rsid w:val="006846E5"/>
    <w:rsid w:val="0072100A"/>
    <w:rsid w:val="00757944"/>
    <w:rsid w:val="007666B9"/>
    <w:rsid w:val="00770276"/>
    <w:rsid w:val="007B26F8"/>
    <w:rsid w:val="007B4EDF"/>
    <w:rsid w:val="007D2FD1"/>
    <w:rsid w:val="007F2F58"/>
    <w:rsid w:val="00816999"/>
    <w:rsid w:val="0084474E"/>
    <w:rsid w:val="008C69A0"/>
    <w:rsid w:val="008D16C9"/>
    <w:rsid w:val="008E5A10"/>
    <w:rsid w:val="00901F09"/>
    <w:rsid w:val="009227A8"/>
    <w:rsid w:val="00927C2B"/>
    <w:rsid w:val="0096220A"/>
    <w:rsid w:val="00967A3B"/>
    <w:rsid w:val="00987AB9"/>
    <w:rsid w:val="009C5843"/>
    <w:rsid w:val="009D629F"/>
    <w:rsid w:val="009E7878"/>
    <w:rsid w:val="00A12E00"/>
    <w:rsid w:val="00A31E63"/>
    <w:rsid w:val="00A437B1"/>
    <w:rsid w:val="00A5166A"/>
    <w:rsid w:val="00A75DD4"/>
    <w:rsid w:val="00A76721"/>
    <w:rsid w:val="00A863E9"/>
    <w:rsid w:val="00B0421F"/>
    <w:rsid w:val="00B37A12"/>
    <w:rsid w:val="00B4195B"/>
    <w:rsid w:val="00B441C9"/>
    <w:rsid w:val="00B50137"/>
    <w:rsid w:val="00BA0B3B"/>
    <w:rsid w:val="00BA20B7"/>
    <w:rsid w:val="00BA5AFA"/>
    <w:rsid w:val="00BB1FEE"/>
    <w:rsid w:val="00BE20CD"/>
    <w:rsid w:val="00BE327D"/>
    <w:rsid w:val="00C02BB6"/>
    <w:rsid w:val="00C3123C"/>
    <w:rsid w:val="00C52CC6"/>
    <w:rsid w:val="00C76085"/>
    <w:rsid w:val="00CD5C0E"/>
    <w:rsid w:val="00CE1B33"/>
    <w:rsid w:val="00D51F7B"/>
    <w:rsid w:val="00D90D9F"/>
    <w:rsid w:val="00D96A32"/>
    <w:rsid w:val="00DD77F2"/>
    <w:rsid w:val="00E112E3"/>
    <w:rsid w:val="00E35DAE"/>
    <w:rsid w:val="00E43747"/>
    <w:rsid w:val="00E70693"/>
    <w:rsid w:val="00E715A6"/>
    <w:rsid w:val="00E750E1"/>
    <w:rsid w:val="00E7736F"/>
    <w:rsid w:val="00E84E32"/>
    <w:rsid w:val="00E95A0D"/>
    <w:rsid w:val="00ED6E24"/>
    <w:rsid w:val="00F01ECB"/>
    <w:rsid w:val="00F07EB9"/>
    <w:rsid w:val="00F1390C"/>
    <w:rsid w:val="00F246F0"/>
    <w:rsid w:val="00F41C19"/>
    <w:rsid w:val="00F47E38"/>
    <w:rsid w:val="00F76C16"/>
    <w:rsid w:val="00F81505"/>
    <w:rsid w:val="00FA409B"/>
    <w:rsid w:val="00FB7812"/>
    <w:rsid w:val="00FF5E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A5595"/>
  <w15:docId w15:val="{A6CD38D4-4D6F-48E2-A1E3-EAF2B9AE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1505"/>
    <w:rPr>
      <w:lang w:val="en-GB" w:eastAsia="sk-SK"/>
    </w:rPr>
  </w:style>
  <w:style w:type="paragraph" w:styleId="Nadpis1">
    <w:name w:val="heading 1"/>
    <w:basedOn w:val="Normlny"/>
    <w:next w:val="Normlny"/>
    <w:link w:val="Nadpis1Char"/>
    <w:uiPriority w:val="99"/>
    <w:qFormat/>
    <w:rsid w:val="00F81505"/>
    <w:pPr>
      <w:keepNext/>
      <w:numPr>
        <w:numId w:val="2"/>
      </w:numPr>
      <w:tabs>
        <w:tab w:val="clear" w:pos="360"/>
        <w:tab w:val="num" w:pos="432"/>
        <w:tab w:val="left" w:pos="851"/>
        <w:tab w:val="left" w:pos="993"/>
      </w:tabs>
      <w:suppressAutoHyphens/>
      <w:ind w:left="432" w:hanging="432"/>
      <w:outlineLvl w:val="0"/>
    </w:pPr>
    <w:rPr>
      <w:rFonts w:ascii="Calibri Light" w:hAnsi="Calibri Light"/>
      <w:b/>
      <w:bCs/>
      <w:kern w:val="32"/>
      <w:sz w:val="32"/>
      <w:szCs w:val="32"/>
      <w:lang w:eastAsia="zh-CN"/>
    </w:rPr>
  </w:style>
  <w:style w:type="paragraph" w:styleId="Nadpis2">
    <w:name w:val="heading 2"/>
    <w:basedOn w:val="Normlny"/>
    <w:next w:val="Normlny"/>
    <w:link w:val="Nadpis2Char"/>
    <w:uiPriority w:val="99"/>
    <w:qFormat/>
    <w:rsid w:val="00F81505"/>
    <w:pPr>
      <w:keepNext/>
      <w:numPr>
        <w:ilvl w:val="1"/>
        <w:numId w:val="2"/>
      </w:numPr>
      <w:tabs>
        <w:tab w:val="num" w:pos="576"/>
      </w:tabs>
      <w:ind w:left="576" w:hanging="576"/>
      <w:outlineLvl w:val="1"/>
    </w:pPr>
    <w:rPr>
      <w:rFonts w:ascii="Calibri Light" w:hAnsi="Calibri Light"/>
      <w:b/>
      <w:bCs/>
      <w:i/>
      <w:iCs/>
      <w:sz w:val="28"/>
      <w:szCs w:val="28"/>
      <w:lang w:eastAsia="zh-CN"/>
    </w:rPr>
  </w:style>
  <w:style w:type="paragraph" w:styleId="Nadpis3">
    <w:name w:val="heading 3"/>
    <w:basedOn w:val="Normlny"/>
    <w:next w:val="Normlny"/>
    <w:link w:val="Nadpis3Char"/>
    <w:uiPriority w:val="99"/>
    <w:qFormat/>
    <w:rsid w:val="00F81505"/>
    <w:pPr>
      <w:keepNext/>
      <w:numPr>
        <w:ilvl w:val="2"/>
        <w:numId w:val="2"/>
      </w:numPr>
      <w:tabs>
        <w:tab w:val="num" w:pos="720"/>
      </w:tabs>
      <w:ind w:left="720" w:hanging="720"/>
      <w:outlineLvl w:val="2"/>
    </w:pPr>
    <w:rPr>
      <w:rFonts w:ascii="Calibri Light" w:hAnsi="Calibri Light"/>
      <w:b/>
      <w:bCs/>
      <w:sz w:val="26"/>
      <w:szCs w:val="26"/>
      <w:lang w:eastAsia="zh-CN"/>
    </w:rPr>
  </w:style>
  <w:style w:type="paragraph" w:styleId="Nadpis4">
    <w:name w:val="heading 4"/>
    <w:basedOn w:val="Normlny"/>
    <w:next w:val="Normlny"/>
    <w:link w:val="Nadpis4Char"/>
    <w:uiPriority w:val="99"/>
    <w:qFormat/>
    <w:rsid w:val="00F81505"/>
    <w:pPr>
      <w:keepNext/>
      <w:numPr>
        <w:ilvl w:val="3"/>
        <w:numId w:val="2"/>
      </w:numPr>
      <w:tabs>
        <w:tab w:val="num" w:pos="864"/>
      </w:tabs>
      <w:ind w:left="864" w:hanging="864"/>
      <w:outlineLvl w:val="3"/>
    </w:pPr>
    <w:rPr>
      <w:rFonts w:ascii="Calibri" w:hAnsi="Calibri"/>
      <w:b/>
      <w:bCs/>
      <w:sz w:val="28"/>
      <w:szCs w:val="28"/>
      <w:lang w:eastAsia="zh-CN"/>
    </w:rPr>
  </w:style>
  <w:style w:type="paragraph" w:styleId="Nadpis5">
    <w:name w:val="heading 5"/>
    <w:basedOn w:val="Normlny"/>
    <w:next w:val="Normlny"/>
    <w:link w:val="Nadpis5Char"/>
    <w:uiPriority w:val="99"/>
    <w:qFormat/>
    <w:rsid w:val="00F81505"/>
    <w:pPr>
      <w:keepNext/>
      <w:numPr>
        <w:ilvl w:val="4"/>
        <w:numId w:val="2"/>
      </w:numPr>
      <w:tabs>
        <w:tab w:val="num" w:pos="1008"/>
      </w:tabs>
      <w:ind w:left="1008" w:hanging="1008"/>
      <w:outlineLvl w:val="4"/>
    </w:pPr>
    <w:rPr>
      <w:rFonts w:ascii="Calibri" w:hAnsi="Calibri"/>
      <w:b/>
      <w:bCs/>
      <w:i/>
      <w:iCs/>
      <w:sz w:val="26"/>
      <w:szCs w:val="26"/>
      <w:lang w:eastAsia="zh-CN"/>
    </w:rPr>
  </w:style>
  <w:style w:type="paragraph" w:styleId="Nadpis6">
    <w:name w:val="heading 6"/>
    <w:basedOn w:val="Normlny"/>
    <w:next w:val="Normlny"/>
    <w:link w:val="Nadpis6Char"/>
    <w:uiPriority w:val="99"/>
    <w:qFormat/>
    <w:rsid w:val="00F81505"/>
    <w:pPr>
      <w:keepNext/>
      <w:numPr>
        <w:ilvl w:val="5"/>
        <w:numId w:val="2"/>
      </w:numPr>
      <w:tabs>
        <w:tab w:val="left" w:pos="993"/>
        <w:tab w:val="num" w:pos="1152"/>
      </w:tabs>
      <w:ind w:left="1152" w:hanging="1152"/>
      <w:outlineLvl w:val="5"/>
    </w:pPr>
    <w:rPr>
      <w:rFonts w:ascii="Calibri" w:hAnsi="Calibri"/>
      <w:b/>
      <w:bCs/>
      <w:lang w:eastAsia="zh-CN"/>
    </w:rPr>
  </w:style>
  <w:style w:type="paragraph" w:styleId="Nadpis7">
    <w:name w:val="heading 7"/>
    <w:basedOn w:val="Normlny"/>
    <w:next w:val="Normlny"/>
    <w:link w:val="Nadpis7Char"/>
    <w:uiPriority w:val="99"/>
    <w:qFormat/>
    <w:rsid w:val="00F81505"/>
    <w:pPr>
      <w:keepNext/>
      <w:numPr>
        <w:ilvl w:val="6"/>
        <w:numId w:val="2"/>
      </w:numPr>
      <w:tabs>
        <w:tab w:val="num" w:pos="1296"/>
      </w:tabs>
      <w:ind w:left="1296" w:hanging="1296"/>
      <w:outlineLvl w:val="6"/>
    </w:pPr>
    <w:rPr>
      <w:rFonts w:ascii="Calibri" w:hAnsi="Calibri"/>
      <w:sz w:val="24"/>
      <w:szCs w:val="24"/>
      <w:lang w:eastAsia="zh-CN"/>
    </w:rPr>
  </w:style>
  <w:style w:type="paragraph" w:styleId="Nadpis8">
    <w:name w:val="heading 8"/>
    <w:basedOn w:val="Normlny"/>
    <w:next w:val="Normlny"/>
    <w:link w:val="Nadpis8Char"/>
    <w:uiPriority w:val="99"/>
    <w:qFormat/>
    <w:rsid w:val="00F81505"/>
    <w:pPr>
      <w:keepNext/>
      <w:numPr>
        <w:ilvl w:val="7"/>
        <w:numId w:val="2"/>
      </w:numPr>
      <w:tabs>
        <w:tab w:val="left" w:pos="709"/>
        <w:tab w:val="num" w:pos="1440"/>
        <w:tab w:val="left" w:pos="1559"/>
      </w:tabs>
      <w:ind w:left="1440" w:hanging="1440"/>
      <w:outlineLvl w:val="7"/>
    </w:pPr>
    <w:rPr>
      <w:rFonts w:ascii="Calibri" w:hAnsi="Calibri"/>
      <w:i/>
      <w:iCs/>
      <w:sz w:val="24"/>
      <w:szCs w:val="24"/>
      <w:lang w:eastAsia="zh-CN"/>
    </w:rPr>
  </w:style>
  <w:style w:type="paragraph" w:styleId="Nadpis9">
    <w:name w:val="heading 9"/>
    <w:basedOn w:val="Normlny"/>
    <w:next w:val="Normlny"/>
    <w:link w:val="Nadpis9Char"/>
    <w:uiPriority w:val="99"/>
    <w:qFormat/>
    <w:rsid w:val="00F81505"/>
    <w:pPr>
      <w:keepNext/>
      <w:numPr>
        <w:ilvl w:val="8"/>
        <w:numId w:val="2"/>
      </w:numPr>
      <w:tabs>
        <w:tab w:val="left" w:pos="0"/>
        <w:tab w:val="num" w:pos="1584"/>
      </w:tabs>
      <w:suppressAutoHyphens/>
      <w:ind w:left="1584" w:hanging="1584"/>
      <w:outlineLvl w:val="8"/>
    </w:pPr>
    <w:rPr>
      <w:rFonts w:ascii="Calibri Light" w:hAnsi="Calibri Light"/>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81505"/>
    <w:rPr>
      <w:rFonts w:ascii="Calibri Light" w:hAnsi="Calibri Light" w:cs="Times New Roman"/>
      <w:b/>
      <w:kern w:val="32"/>
      <w:sz w:val="32"/>
      <w:lang w:val="en-GB"/>
    </w:rPr>
  </w:style>
  <w:style w:type="character" w:customStyle="1" w:styleId="Nadpis2Char">
    <w:name w:val="Nadpis 2 Char"/>
    <w:link w:val="Nadpis2"/>
    <w:uiPriority w:val="99"/>
    <w:semiHidden/>
    <w:locked/>
    <w:rsid w:val="00F81505"/>
    <w:rPr>
      <w:rFonts w:ascii="Calibri Light" w:hAnsi="Calibri Light" w:cs="Times New Roman"/>
      <w:b/>
      <w:i/>
      <w:sz w:val="28"/>
      <w:lang w:val="en-GB"/>
    </w:rPr>
  </w:style>
  <w:style w:type="character" w:customStyle="1" w:styleId="Nadpis3Char">
    <w:name w:val="Nadpis 3 Char"/>
    <w:link w:val="Nadpis3"/>
    <w:uiPriority w:val="99"/>
    <w:semiHidden/>
    <w:locked/>
    <w:rsid w:val="00F81505"/>
    <w:rPr>
      <w:rFonts w:ascii="Calibri Light" w:hAnsi="Calibri Light" w:cs="Times New Roman"/>
      <w:b/>
      <w:sz w:val="26"/>
      <w:lang w:val="en-GB"/>
    </w:rPr>
  </w:style>
  <w:style w:type="character" w:customStyle="1" w:styleId="Nadpis4Char">
    <w:name w:val="Nadpis 4 Char"/>
    <w:link w:val="Nadpis4"/>
    <w:uiPriority w:val="99"/>
    <w:semiHidden/>
    <w:locked/>
    <w:rsid w:val="00F81505"/>
    <w:rPr>
      <w:rFonts w:ascii="Calibri" w:hAnsi="Calibri" w:cs="Times New Roman"/>
      <w:b/>
      <w:sz w:val="28"/>
      <w:lang w:val="en-GB"/>
    </w:rPr>
  </w:style>
  <w:style w:type="character" w:customStyle="1" w:styleId="Nadpis5Char">
    <w:name w:val="Nadpis 5 Char"/>
    <w:link w:val="Nadpis5"/>
    <w:uiPriority w:val="99"/>
    <w:semiHidden/>
    <w:locked/>
    <w:rsid w:val="00F81505"/>
    <w:rPr>
      <w:rFonts w:ascii="Calibri" w:hAnsi="Calibri" w:cs="Times New Roman"/>
      <w:b/>
      <w:i/>
      <w:sz w:val="26"/>
      <w:lang w:val="en-GB"/>
    </w:rPr>
  </w:style>
  <w:style w:type="character" w:customStyle="1" w:styleId="Nadpis6Char">
    <w:name w:val="Nadpis 6 Char"/>
    <w:link w:val="Nadpis6"/>
    <w:uiPriority w:val="99"/>
    <w:semiHidden/>
    <w:locked/>
    <w:rsid w:val="00F81505"/>
    <w:rPr>
      <w:rFonts w:ascii="Calibri" w:hAnsi="Calibri" w:cs="Times New Roman"/>
      <w:b/>
      <w:lang w:val="en-GB"/>
    </w:rPr>
  </w:style>
  <w:style w:type="character" w:customStyle="1" w:styleId="Nadpis7Char">
    <w:name w:val="Nadpis 7 Char"/>
    <w:link w:val="Nadpis7"/>
    <w:uiPriority w:val="99"/>
    <w:semiHidden/>
    <w:locked/>
    <w:rsid w:val="00F81505"/>
    <w:rPr>
      <w:rFonts w:ascii="Calibri" w:hAnsi="Calibri" w:cs="Times New Roman"/>
      <w:sz w:val="24"/>
      <w:lang w:val="en-GB"/>
    </w:rPr>
  </w:style>
  <w:style w:type="character" w:customStyle="1" w:styleId="Nadpis8Char">
    <w:name w:val="Nadpis 8 Char"/>
    <w:link w:val="Nadpis8"/>
    <w:uiPriority w:val="99"/>
    <w:semiHidden/>
    <w:locked/>
    <w:rsid w:val="00F81505"/>
    <w:rPr>
      <w:rFonts w:ascii="Calibri" w:hAnsi="Calibri" w:cs="Times New Roman"/>
      <w:i/>
      <w:sz w:val="24"/>
      <w:lang w:val="en-GB"/>
    </w:rPr>
  </w:style>
  <w:style w:type="character" w:customStyle="1" w:styleId="Nadpis9Char">
    <w:name w:val="Nadpis 9 Char"/>
    <w:link w:val="Nadpis9"/>
    <w:uiPriority w:val="99"/>
    <w:semiHidden/>
    <w:locked/>
    <w:rsid w:val="00F81505"/>
    <w:rPr>
      <w:rFonts w:ascii="Calibri Light" w:hAnsi="Calibri Light" w:cs="Times New Roman"/>
      <w:lang w:val="en-GB"/>
    </w:rPr>
  </w:style>
  <w:style w:type="paragraph" w:styleId="Obsah2">
    <w:name w:val="toc 2"/>
    <w:basedOn w:val="Normlny"/>
    <w:next w:val="Normlny"/>
    <w:autoRedefine/>
    <w:uiPriority w:val="99"/>
    <w:semiHidden/>
    <w:rsid w:val="00F81505"/>
    <w:pPr>
      <w:tabs>
        <w:tab w:val="left" w:pos="709"/>
        <w:tab w:val="left" w:pos="8789"/>
      </w:tabs>
      <w:ind w:left="238"/>
    </w:pPr>
    <w:rPr>
      <w:b/>
      <w:bCs/>
      <w:noProof/>
      <w:lang w:val="sk-SK"/>
    </w:rPr>
  </w:style>
  <w:style w:type="paragraph" w:styleId="Obsah1">
    <w:name w:val="toc 1"/>
    <w:basedOn w:val="Normlny"/>
    <w:next w:val="Normlny"/>
    <w:autoRedefine/>
    <w:uiPriority w:val="99"/>
    <w:semiHidden/>
    <w:rsid w:val="00F81505"/>
    <w:pPr>
      <w:tabs>
        <w:tab w:val="left" w:pos="567"/>
        <w:tab w:val="left" w:pos="8789"/>
      </w:tabs>
      <w:spacing w:before="120"/>
    </w:pPr>
    <w:rPr>
      <w:b/>
      <w:bCs/>
      <w:noProof/>
      <w:lang w:val="sk-SK"/>
    </w:rPr>
  </w:style>
  <w:style w:type="paragraph" w:styleId="Obsah3">
    <w:name w:val="toc 3"/>
    <w:basedOn w:val="Normlny"/>
    <w:next w:val="Normlny"/>
    <w:autoRedefine/>
    <w:uiPriority w:val="99"/>
    <w:semiHidden/>
    <w:rsid w:val="00F81505"/>
    <w:pPr>
      <w:tabs>
        <w:tab w:val="left" w:pos="1134"/>
        <w:tab w:val="left" w:pos="8789"/>
      </w:tabs>
      <w:ind w:left="480"/>
    </w:pPr>
    <w:rPr>
      <w:b/>
      <w:bCs/>
      <w:noProof/>
      <w:lang w:val="sk-SK"/>
    </w:rPr>
  </w:style>
  <w:style w:type="paragraph" w:styleId="Obsah4">
    <w:name w:val="toc 4"/>
    <w:basedOn w:val="Normlny"/>
    <w:next w:val="Normlny"/>
    <w:autoRedefine/>
    <w:uiPriority w:val="99"/>
    <w:semiHidden/>
    <w:rsid w:val="00F81505"/>
    <w:pPr>
      <w:ind w:left="720"/>
    </w:pPr>
    <w:rPr>
      <w:b/>
      <w:bCs/>
    </w:rPr>
  </w:style>
  <w:style w:type="paragraph" w:styleId="Obsah5">
    <w:name w:val="toc 5"/>
    <w:basedOn w:val="Normlny"/>
    <w:next w:val="Normlny"/>
    <w:autoRedefine/>
    <w:uiPriority w:val="99"/>
    <w:semiHidden/>
    <w:rsid w:val="00F81505"/>
    <w:pPr>
      <w:ind w:left="960"/>
    </w:pPr>
    <w:rPr>
      <w:b/>
      <w:bCs/>
    </w:rPr>
  </w:style>
  <w:style w:type="paragraph" w:styleId="Obsah6">
    <w:name w:val="toc 6"/>
    <w:basedOn w:val="Normlny"/>
    <w:next w:val="Normlny"/>
    <w:autoRedefine/>
    <w:uiPriority w:val="99"/>
    <w:semiHidden/>
    <w:rsid w:val="00F81505"/>
    <w:pPr>
      <w:ind w:left="1202"/>
    </w:pPr>
    <w:rPr>
      <w:b/>
      <w:bCs/>
    </w:rPr>
  </w:style>
  <w:style w:type="paragraph" w:styleId="Obsah7">
    <w:name w:val="toc 7"/>
    <w:basedOn w:val="Normlny"/>
    <w:next w:val="Normlny"/>
    <w:autoRedefine/>
    <w:uiPriority w:val="99"/>
    <w:semiHidden/>
    <w:rsid w:val="00F81505"/>
    <w:pPr>
      <w:ind w:left="1440"/>
    </w:pPr>
    <w:rPr>
      <w:b/>
      <w:bCs/>
    </w:rPr>
  </w:style>
  <w:style w:type="paragraph" w:styleId="Obsah8">
    <w:name w:val="toc 8"/>
    <w:basedOn w:val="Normlny"/>
    <w:next w:val="Normlny"/>
    <w:autoRedefine/>
    <w:uiPriority w:val="99"/>
    <w:semiHidden/>
    <w:rsid w:val="00F81505"/>
    <w:pPr>
      <w:ind w:left="1678"/>
    </w:pPr>
    <w:rPr>
      <w:b/>
      <w:bCs/>
    </w:rPr>
  </w:style>
  <w:style w:type="paragraph" w:styleId="Obsah9">
    <w:name w:val="toc 9"/>
    <w:basedOn w:val="Normlny"/>
    <w:next w:val="Normlny"/>
    <w:autoRedefine/>
    <w:uiPriority w:val="99"/>
    <w:semiHidden/>
    <w:rsid w:val="00F81505"/>
    <w:pPr>
      <w:ind w:left="1922"/>
    </w:pPr>
    <w:rPr>
      <w:b/>
      <w:bCs/>
    </w:rPr>
  </w:style>
  <w:style w:type="paragraph" w:styleId="Pta">
    <w:name w:val="footer"/>
    <w:basedOn w:val="Normlny"/>
    <w:link w:val="PtaChar"/>
    <w:uiPriority w:val="99"/>
    <w:rsid w:val="00F81505"/>
  </w:style>
  <w:style w:type="character" w:customStyle="1" w:styleId="PtaChar">
    <w:name w:val="Päta Char"/>
    <w:link w:val="Pta"/>
    <w:uiPriority w:val="99"/>
    <w:locked/>
    <w:rsid w:val="00F81505"/>
    <w:rPr>
      <w:rFonts w:cs="Times New Roman"/>
      <w:snapToGrid w:val="0"/>
      <w:lang w:val="en-GB" w:eastAsia="sk-SK"/>
    </w:rPr>
  </w:style>
  <w:style w:type="paragraph" w:styleId="Register1">
    <w:name w:val="index 1"/>
    <w:basedOn w:val="Normlny"/>
    <w:next w:val="Normlny"/>
    <w:autoRedefine/>
    <w:uiPriority w:val="99"/>
    <w:semiHidden/>
    <w:rsid w:val="00F81505"/>
    <w:pPr>
      <w:ind w:left="240" w:hanging="240"/>
      <w:jc w:val="both"/>
    </w:pPr>
  </w:style>
  <w:style w:type="character" w:customStyle="1" w:styleId="HeaderChar">
    <w:name w:val="Header Char"/>
    <w:uiPriority w:val="99"/>
    <w:locked/>
    <w:rsid w:val="00F81505"/>
    <w:rPr>
      <w:snapToGrid w:val="0"/>
      <w:lang w:val="en-GB" w:eastAsia="sk-SK"/>
    </w:rPr>
  </w:style>
  <w:style w:type="paragraph" w:styleId="Register2">
    <w:name w:val="index 2"/>
    <w:basedOn w:val="Normlny"/>
    <w:next w:val="Normlny"/>
    <w:autoRedefine/>
    <w:uiPriority w:val="99"/>
    <w:semiHidden/>
    <w:rsid w:val="00F81505"/>
    <w:pPr>
      <w:ind w:left="480" w:hanging="240"/>
      <w:jc w:val="both"/>
    </w:pPr>
  </w:style>
  <w:style w:type="paragraph" w:styleId="Register3">
    <w:name w:val="index 3"/>
    <w:basedOn w:val="Normlny"/>
    <w:next w:val="Normlny"/>
    <w:autoRedefine/>
    <w:uiPriority w:val="99"/>
    <w:semiHidden/>
    <w:rsid w:val="00F81505"/>
    <w:pPr>
      <w:ind w:left="720" w:hanging="240"/>
      <w:jc w:val="both"/>
    </w:pPr>
  </w:style>
  <w:style w:type="paragraph" w:styleId="Register4">
    <w:name w:val="index 4"/>
    <w:basedOn w:val="Normlny"/>
    <w:next w:val="Normlny"/>
    <w:autoRedefine/>
    <w:uiPriority w:val="99"/>
    <w:semiHidden/>
    <w:rsid w:val="00F81505"/>
    <w:pPr>
      <w:ind w:left="960" w:hanging="240"/>
      <w:jc w:val="both"/>
    </w:pPr>
  </w:style>
  <w:style w:type="paragraph" w:styleId="Register5">
    <w:name w:val="index 5"/>
    <w:basedOn w:val="Normlny"/>
    <w:next w:val="Normlny"/>
    <w:autoRedefine/>
    <w:uiPriority w:val="99"/>
    <w:semiHidden/>
    <w:rsid w:val="00F81505"/>
    <w:pPr>
      <w:ind w:left="1200" w:hanging="240"/>
      <w:jc w:val="both"/>
    </w:pPr>
  </w:style>
  <w:style w:type="paragraph" w:styleId="Register6">
    <w:name w:val="index 6"/>
    <w:basedOn w:val="Normlny"/>
    <w:next w:val="Normlny"/>
    <w:autoRedefine/>
    <w:uiPriority w:val="99"/>
    <w:semiHidden/>
    <w:rsid w:val="00F81505"/>
    <w:pPr>
      <w:ind w:left="1440" w:hanging="240"/>
      <w:jc w:val="both"/>
    </w:pPr>
  </w:style>
  <w:style w:type="paragraph" w:styleId="Register7">
    <w:name w:val="index 7"/>
    <w:basedOn w:val="Normlny"/>
    <w:next w:val="Normlny"/>
    <w:autoRedefine/>
    <w:uiPriority w:val="99"/>
    <w:semiHidden/>
    <w:rsid w:val="00F81505"/>
    <w:pPr>
      <w:ind w:left="1680" w:hanging="240"/>
      <w:jc w:val="both"/>
    </w:pPr>
  </w:style>
  <w:style w:type="paragraph" w:styleId="Register8">
    <w:name w:val="index 8"/>
    <w:basedOn w:val="Normlny"/>
    <w:next w:val="Normlny"/>
    <w:autoRedefine/>
    <w:uiPriority w:val="99"/>
    <w:semiHidden/>
    <w:rsid w:val="00F81505"/>
    <w:pPr>
      <w:ind w:left="1920" w:hanging="240"/>
      <w:jc w:val="both"/>
    </w:pPr>
  </w:style>
  <w:style w:type="paragraph" w:styleId="Register9">
    <w:name w:val="index 9"/>
    <w:basedOn w:val="Normlny"/>
    <w:next w:val="Normlny"/>
    <w:autoRedefine/>
    <w:uiPriority w:val="99"/>
    <w:semiHidden/>
    <w:rsid w:val="00F81505"/>
    <w:pPr>
      <w:ind w:left="2160" w:hanging="240"/>
      <w:jc w:val="both"/>
    </w:pPr>
  </w:style>
  <w:style w:type="paragraph" w:styleId="Nadpisregistra">
    <w:name w:val="index heading"/>
    <w:basedOn w:val="Normlny"/>
    <w:next w:val="Register1"/>
    <w:uiPriority w:val="99"/>
    <w:semiHidden/>
    <w:rsid w:val="00F81505"/>
    <w:pPr>
      <w:ind w:left="567"/>
      <w:jc w:val="both"/>
    </w:pPr>
  </w:style>
  <w:style w:type="paragraph" w:styleId="Textkomentra">
    <w:name w:val="annotation text"/>
    <w:basedOn w:val="Normlny"/>
    <w:link w:val="TextkomentraChar"/>
    <w:uiPriority w:val="99"/>
    <w:semiHidden/>
    <w:rsid w:val="00F81505"/>
    <w:pPr>
      <w:ind w:left="567"/>
      <w:jc w:val="both"/>
    </w:pPr>
    <w:rPr>
      <w:lang w:eastAsia="zh-CN"/>
    </w:rPr>
  </w:style>
  <w:style w:type="character" w:customStyle="1" w:styleId="TextkomentraChar">
    <w:name w:val="Text komentára Char"/>
    <w:link w:val="Textkomentra"/>
    <w:uiPriority w:val="99"/>
    <w:semiHidden/>
    <w:locked/>
    <w:rsid w:val="00F81505"/>
    <w:rPr>
      <w:rFonts w:cs="Times New Roman"/>
      <w:sz w:val="20"/>
      <w:lang w:val="en-GB"/>
    </w:rPr>
  </w:style>
  <w:style w:type="paragraph" w:styleId="Hlavika">
    <w:name w:val="header"/>
    <w:basedOn w:val="Normlny"/>
    <w:link w:val="HlavikaChar2"/>
    <w:rsid w:val="00F81505"/>
  </w:style>
  <w:style w:type="character" w:customStyle="1" w:styleId="HlavikaChar2">
    <w:name w:val="Hlavička Char2"/>
    <w:link w:val="Hlavika"/>
    <w:uiPriority w:val="99"/>
    <w:semiHidden/>
    <w:locked/>
    <w:rsid w:val="00F81505"/>
    <w:rPr>
      <w:rFonts w:cs="Times New Roman"/>
      <w:sz w:val="20"/>
      <w:szCs w:val="20"/>
      <w:lang w:eastAsia="sk-SK"/>
    </w:rPr>
  </w:style>
  <w:style w:type="character" w:customStyle="1" w:styleId="KopfzeileZchn">
    <w:name w:val="Kopfzeile Zchn"/>
    <w:uiPriority w:val="99"/>
    <w:semiHidden/>
    <w:rsid w:val="00F81505"/>
    <w:rPr>
      <w:sz w:val="20"/>
      <w:lang w:val="en-GB" w:eastAsia="sk-SK"/>
    </w:rPr>
  </w:style>
  <w:style w:type="character" w:customStyle="1" w:styleId="KopfzeileZchn9">
    <w:name w:val="Kopfzeile Zchn9"/>
    <w:uiPriority w:val="99"/>
    <w:semiHidden/>
    <w:rsid w:val="00F81505"/>
    <w:rPr>
      <w:sz w:val="20"/>
      <w:lang w:val="en-GB" w:eastAsia="sk-SK"/>
    </w:rPr>
  </w:style>
  <w:style w:type="character" w:customStyle="1" w:styleId="KopfzeileZchn8">
    <w:name w:val="Kopfzeile Zchn8"/>
    <w:uiPriority w:val="99"/>
    <w:semiHidden/>
    <w:rsid w:val="00F81505"/>
    <w:rPr>
      <w:sz w:val="20"/>
      <w:lang w:val="en-GB" w:eastAsia="sk-SK"/>
    </w:rPr>
  </w:style>
  <w:style w:type="character" w:customStyle="1" w:styleId="KopfzeileZchn7">
    <w:name w:val="Kopfzeile Zchn7"/>
    <w:uiPriority w:val="99"/>
    <w:semiHidden/>
    <w:rsid w:val="00F81505"/>
    <w:rPr>
      <w:sz w:val="20"/>
      <w:lang w:val="en-GB" w:eastAsia="sk-SK"/>
    </w:rPr>
  </w:style>
  <w:style w:type="character" w:customStyle="1" w:styleId="KopfzeileZchn6">
    <w:name w:val="Kopfzeile Zchn6"/>
    <w:uiPriority w:val="99"/>
    <w:semiHidden/>
    <w:rsid w:val="00F81505"/>
    <w:rPr>
      <w:sz w:val="20"/>
      <w:lang w:val="en-GB" w:eastAsia="sk-SK"/>
    </w:rPr>
  </w:style>
  <w:style w:type="character" w:customStyle="1" w:styleId="KopfzeileZchn5">
    <w:name w:val="Kopfzeile Zchn5"/>
    <w:uiPriority w:val="99"/>
    <w:semiHidden/>
    <w:rsid w:val="00F81505"/>
    <w:rPr>
      <w:sz w:val="20"/>
      <w:lang w:val="en-GB" w:eastAsia="sk-SK"/>
    </w:rPr>
  </w:style>
  <w:style w:type="character" w:customStyle="1" w:styleId="KopfzeileZchn4">
    <w:name w:val="Kopfzeile Zchn4"/>
    <w:uiPriority w:val="99"/>
    <w:semiHidden/>
    <w:rsid w:val="00F81505"/>
    <w:rPr>
      <w:sz w:val="20"/>
      <w:lang w:val="en-GB" w:eastAsia="sk-SK"/>
    </w:rPr>
  </w:style>
  <w:style w:type="character" w:customStyle="1" w:styleId="KopfzeileZchn3">
    <w:name w:val="Kopfzeile Zchn3"/>
    <w:uiPriority w:val="99"/>
    <w:semiHidden/>
    <w:rsid w:val="00F81505"/>
    <w:rPr>
      <w:sz w:val="20"/>
      <w:lang w:val="en-GB" w:eastAsia="sk-SK"/>
    </w:rPr>
  </w:style>
  <w:style w:type="character" w:customStyle="1" w:styleId="HlavikaChar">
    <w:name w:val="Hlavička Char"/>
    <w:rsid w:val="00A5166A"/>
    <w:rPr>
      <w:sz w:val="20"/>
      <w:lang w:val="en-GB"/>
    </w:rPr>
  </w:style>
  <w:style w:type="character" w:styleId="Odkaznakomentr">
    <w:name w:val="annotation reference"/>
    <w:uiPriority w:val="99"/>
    <w:semiHidden/>
    <w:rsid w:val="00F81505"/>
    <w:rPr>
      <w:rFonts w:ascii="Times New Roman" w:hAnsi="Times New Roman" w:cs="Times New Roman"/>
      <w:snapToGrid w:val="0"/>
      <w:sz w:val="16"/>
    </w:rPr>
  </w:style>
  <w:style w:type="character" w:customStyle="1" w:styleId="HlavikaChar3">
    <w:name w:val="Hlavička Char3"/>
    <w:uiPriority w:val="99"/>
    <w:semiHidden/>
    <w:rsid w:val="00F81505"/>
    <w:rPr>
      <w:sz w:val="20"/>
      <w:lang w:val="en-GB"/>
    </w:rPr>
  </w:style>
  <w:style w:type="character" w:customStyle="1" w:styleId="KopfzeileZchn1">
    <w:name w:val="Kopfzeile Zchn1"/>
    <w:uiPriority w:val="99"/>
    <w:semiHidden/>
    <w:rsid w:val="00F81505"/>
    <w:rPr>
      <w:sz w:val="20"/>
      <w:lang w:val="en-GB" w:eastAsia="sk-SK"/>
    </w:rPr>
  </w:style>
  <w:style w:type="character" w:customStyle="1" w:styleId="HlavikaChar1">
    <w:name w:val="Hlavička Char1"/>
    <w:uiPriority w:val="99"/>
    <w:semiHidden/>
    <w:rsid w:val="00F81505"/>
    <w:rPr>
      <w:sz w:val="20"/>
      <w:lang w:val="en-GB"/>
    </w:rPr>
  </w:style>
  <w:style w:type="character" w:customStyle="1" w:styleId="HlavikaChar12">
    <w:name w:val="Hlavička Char12"/>
    <w:uiPriority w:val="99"/>
    <w:semiHidden/>
    <w:rsid w:val="00F81505"/>
    <w:rPr>
      <w:sz w:val="20"/>
      <w:lang w:val="en-GB"/>
    </w:rPr>
  </w:style>
  <w:style w:type="character" w:customStyle="1" w:styleId="HlavikaChar11">
    <w:name w:val="Hlavička Char11"/>
    <w:uiPriority w:val="99"/>
    <w:semiHidden/>
    <w:rsid w:val="00F81505"/>
    <w:rPr>
      <w:sz w:val="20"/>
      <w:lang w:val="en-GB"/>
    </w:rPr>
  </w:style>
  <w:style w:type="character" w:customStyle="1" w:styleId="BodyTextIndent3Char">
    <w:name w:val="Body Text Indent 3 Char"/>
    <w:uiPriority w:val="99"/>
    <w:locked/>
    <w:rsid w:val="00F81505"/>
    <w:rPr>
      <w:i/>
      <w:snapToGrid w:val="0"/>
      <w:lang w:val="en-GB" w:eastAsia="sk-SK"/>
    </w:rPr>
  </w:style>
  <w:style w:type="character" w:styleId="slostrany">
    <w:name w:val="page number"/>
    <w:uiPriority w:val="99"/>
    <w:rsid w:val="00F81505"/>
    <w:rPr>
      <w:rFonts w:ascii="Times New Roman" w:hAnsi="Times New Roman" w:cs="Times New Roman"/>
      <w:b/>
      <w:noProof/>
      <w:snapToGrid w:val="0"/>
      <w:sz w:val="24"/>
    </w:rPr>
  </w:style>
  <w:style w:type="paragraph" w:styleId="Textbubliny">
    <w:name w:val="Balloon Text"/>
    <w:basedOn w:val="Normlny"/>
    <w:link w:val="TextbublinyChar"/>
    <w:uiPriority w:val="99"/>
    <w:semiHidden/>
    <w:rsid w:val="00F81505"/>
    <w:pPr>
      <w:ind w:left="567"/>
    </w:pPr>
    <w:rPr>
      <w:rFonts w:ascii="Segoe UI" w:hAnsi="Segoe UI"/>
      <w:sz w:val="18"/>
      <w:szCs w:val="18"/>
      <w:lang w:eastAsia="zh-CN"/>
    </w:rPr>
  </w:style>
  <w:style w:type="character" w:customStyle="1" w:styleId="TextbublinyChar">
    <w:name w:val="Text bubliny Char"/>
    <w:link w:val="Textbubliny"/>
    <w:uiPriority w:val="99"/>
    <w:semiHidden/>
    <w:locked/>
    <w:rsid w:val="00F81505"/>
    <w:rPr>
      <w:rFonts w:ascii="Segoe UI" w:hAnsi="Segoe UI" w:cs="Times New Roman"/>
      <w:sz w:val="18"/>
      <w:lang w:val="en-GB"/>
    </w:rPr>
  </w:style>
  <w:style w:type="paragraph" w:styleId="Zarkazkladnhotextu">
    <w:name w:val="Body Text Indent"/>
    <w:basedOn w:val="Zkladntext"/>
    <w:link w:val="ZarkazkladnhotextuChar"/>
    <w:uiPriority w:val="99"/>
    <w:rsid w:val="00F81505"/>
    <w:pPr>
      <w:tabs>
        <w:tab w:val="left" w:pos="993"/>
      </w:tabs>
      <w:ind w:left="357"/>
    </w:pPr>
  </w:style>
  <w:style w:type="character" w:customStyle="1" w:styleId="ZarkazkladnhotextuChar">
    <w:name w:val="Zarážka základného textu Char"/>
    <w:link w:val="Zarkazkladnhotextu"/>
    <w:uiPriority w:val="99"/>
    <w:semiHidden/>
    <w:locked/>
    <w:rsid w:val="00F81505"/>
    <w:rPr>
      <w:rFonts w:cs="Times New Roman"/>
      <w:sz w:val="20"/>
      <w:lang w:val="en-GB"/>
    </w:rPr>
  </w:style>
  <w:style w:type="paragraph" w:styleId="Zkladntext">
    <w:name w:val="Body Text"/>
    <w:basedOn w:val="Normlny"/>
    <w:link w:val="ZkladntextChar"/>
    <w:uiPriority w:val="99"/>
    <w:rsid w:val="00F81505"/>
    <w:rPr>
      <w:lang w:eastAsia="zh-CN"/>
    </w:rPr>
  </w:style>
  <w:style w:type="character" w:customStyle="1" w:styleId="ZkladntextChar">
    <w:name w:val="Základný text Char"/>
    <w:link w:val="Zkladntext"/>
    <w:uiPriority w:val="99"/>
    <w:semiHidden/>
    <w:locked/>
    <w:rsid w:val="00F81505"/>
    <w:rPr>
      <w:rFonts w:cs="Times New Roman"/>
      <w:sz w:val="20"/>
      <w:lang w:val="en-GB"/>
    </w:rPr>
  </w:style>
  <w:style w:type="paragraph" w:styleId="Zarkazkladnhotextu2">
    <w:name w:val="Body Text Indent 2"/>
    <w:basedOn w:val="Zkladntext2"/>
    <w:link w:val="Zarkazkladnhotextu2Char"/>
    <w:uiPriority w:val="99"/>
    <w:rsid w:val="00F81505"/>
    <w:pPr>
      <w:tabs>
        <w:tab w:val="left" w:pos="4584"/>
      </w:tabs>
      <w:ind w:left="357"/>
    </w:pPr>
    <w:rPr>
      <w:b/>
      <w:bCs/>
      <w:lang w:eastAsia="sk-SK"/>
    </w:rPr>
  </w:style>
  <w:style w:type="character" w:customStyle="1" w:styleId="Zarkazkladnhotextu2Char">
    <w:name w:val="Zarážka základného textu 2 Char"/>
    <w:link w:val="Zarkazkladnhotextu2"/>
    <w:uiPriority w:val="99"/>
    <w:locked/>
    <w:rsid w:val="00F81505"/>
    <w:rPr>
      <w:rFonts w:cs="Times New Roman"/>
      <w:b/>
      <w:snapToGrid w:val="0"/>
      <w:lang w:val="en-GB" w:eastAsia="sk-SK"/>
    </w:rPr>
  </w:style>
  <w:style w:type="character" w:styleId="Zvraznenie">
    <w:name w:val="Emphasis"/>
    <w:uiPriority w:val="99"/>
    <w:qFormat/>
    <w:rsid w:val="00F81505"/>
    <w:rPr>
      <w:rFonts w:cs="Times New Roman"/>
      <w:b/>
    </w:rPr>
  </w:style>
  <w:style w:type="paragraph" w:styleId="Zkladntext2">
    <w:name w:val="Body Text 2"/>
    <w:basedOn w:val="Zkladntext"/>
    <w:next w:val="Zkladntext"/>
    <w:link w:val="Zkladntext2Char"/>
    <w:uiPriority w:val="99"/>
    <w:rsid w:val="00F81505"/>
  </w:style>
  <w:style w:type="character" w:customStyle="1" w:styleId="Zkladntext2Char">
    <w:name w:val="Základný text 2 Char"/>
    <w:link w:val="Zkladntext2"/>
    <w:uiPriority w:val="99"/>
    <w:semiHidden/>
    <w:locked/>
    <w:rsid w:val="00F81505"/>
    <w:rPr>
      <w:rFonts w:cs="Times New Roman"/>
      <w:sz w:val="20"/>
      <w:lang w:val="en-GB"/>
    </w:rPr>
  </w:style>
  <w:style w:type="character" w:customStyle="1" w:styleId="Textkrper-Einzug3Zchn">
    <w:name w:val="Textkörper-Einzug 3 Zchn"/>
    <w:uiPriority w:val="99"/>
    <w:semiHidden/>
    <w:rsid w:val="00F81505"/>
    <w:rPr>
      <w:sz w:val="16"/>
      <w:lang w:val="en-GB" w:eastAsia="sk-SK"/>
    </w:rPr>
  </w:style>
  <w:style w:type="paragraph" w:styleId="Zarkazkladnhotextu3">
    <w:name w:val="Body Text Indent 3"/>
    <w:basedOn w:val="Normlny"/>
    <w:link w:val="Zarkazkladnhotextu3Char2"/>
    <w:uiPriority w:val="99"/>
    <w:rsid w:val="00F81505"/>
    <w:pPr>
      <w:tabs>
        <w:tab w:val="left" w:pos="993"/>
      </w:tabs>
      <w:ind w:left="357"/>
    </w:pPr>
    <w:rPr>
      <w:i/>
    </w:rPr>
  </w:style>
  <w:style w:type="character" w:customStyle="1" w:styleId="Zarkazkladnhotextu3Char2">
    <w:name w:val="Zarážka základného textu 3 Char2"/>
    <w:link w:val="Zarkazkladnhotextu3"/>
    <w:uiPriority w:val="99"/>
    <w:semiHidden/>
    <w:locked/>
    <w:rsid w:val="00F81505"/>
    <w:rPr>
      <w:rFonts w:cs="Times New Roman"/>
      <w:sz w:val="16"/>
      <w:szCs w:val="16"/>
      <w:lang w:eastAsia="sk-SK"/>
    </w:rPr>
  </w:style>
  <w:style w:type="character" w:customStyle="1" w:styleId="Textkrper-Einzug3Zchn1">
    <w:name w:val="Textkörper-Einzug 3 Zchn1"/>
    <w:uiPriority w:val="99"/>
    <w:semiHidden/>
    <w:rsid w:val="00F81505"/>
    <w:rPr>
      <w:sz w:val="16"/>
      <w:lang w:val="en-GB" w:eastAsia="sk-SK"/>
    </w:rPr>
  </w:style>
  <w:style w:type="character" w:customStyle="1" w:styleId="Textkrper-Einzug3Zchn17">
    <w:name w:val="Textkörper-Einzug 3 Zchn17"/>
    <w:uiPriority w:val="99"/>
    <w:semiHidden/>
    <w:rsid w:val="00F81505"/>
    <w:rPr>
      <w:sz w:val="16"/>
      <w:lang w:val="en-GB" w:eastAsia="sk-SK"/>
    </w:rPr>
  </w:style>
  <w:style w:type="character" w:customStyle="1" w:styleId="Textkrper-Einzug3Zchn16">
    <w:name w:val="Textkörper-Einzug 3 Zchn16"/>
    <w:uiPriority w:val="99"/>
    <w:semiHidden/>
    <w:rsid w:val="00F81505"/>
    <w:rPr>
      <w:sz w:val="16"/>
      <w:lang w:val="en-GB" w:eastAsia="sk-SK"/>
    </w:rPr>
  </w:style>
  <w:style w:type="character" w:customStyle="1" w:styleId="Textkrper-Einzug3Zchn15">
    <w:name w:val="Textkörper-Einzug 3 Zchn15"/>
    <w:uiPriority w:val="99"/>
    <w:semiHidden/>
    <w:rsid w:val="00F81505"/>
    <w:rPr>
      <w:sz w:val="16"/>
      <w:lang w:val="en-GB" w:eastAsia="sk-SK"/>
    </w:rPr>
  </w:style>
  <w:style w:type="character" w:customStyle="1" w:styleId="Textkrper-Einzug3Zchn14">
    <w:name w:val="Textkörper-Einzug 3 Zchn14"/>
    <w:uiPriority w:val="99"/>
    <w:semiHidden/>
    <w:rsid w:val="00F81505"/>
    <w:rPr>
      <w:sz w:val="16"/>
      <w:lang w:val="en-GB" w:eastAsia="sk-SK"/>
    </w:rPr>
  </w:style>
  <w:style w:type="character" w:customStyle="1" w:styleId="Textkrper-Einzug3Zchn13">
    <w:name w:val="Textkörper-Einzug 3 Zchn13"/>
    <w:uiPriority w:val="99"/>
    <w:semiHidden/>
    <w:rsid w:val="00F81505"/>
    <w:rPr>
      <w:sz w:val="16"/>
      <w:lang w:val="en-GB" w:eastAsia="sk-SK"/>
    </w:rPr>
  </w:style>
  <w:style w:type="character" w:customStyle="1" w:styleId="Textkrper-Einzug3Zchn12">
    <w:name w:val="Textkörper-Einzug 3 Zchn12"/>
    <w:uiPriority w:val="99"/>
    <w:semiHidden/>
    <w:rsid w:val="00F81505"/>
    <w:rPr>
      <w:sz w:val="16"/>
      <w:lang w:val="en-GB" w:eastAsia="sk-SK"/>
    </w:rPr>
  </w:style>
  <w:style w:type="character" w:customStyle="1" w:styleId="Textkrper-Einzug3Zchn11">
    <w:name w:val="Textkörper-Einzug 3 Zchn11"/>
    <w:uiPriority w:val="99"/>
    <w:semiHidden/>
    <w:rsid w:val="00F81505"/>
    <w:rPr>
      <w:sz w:val="16"/>
      <w:lang w:val="en-GB" w:eastAsia="sk-SK"/>
    </w:rPr>
  </w:style>
  <w:style w:type="character" w:customStyle="1" w:styleId="Zarkazkladnhotextu3Char">
    <w:name w:val="Zarážka základného textu 3 Char"/>
    <w:uiPriority w:val="99"/>
    <w:semiHidden/>
    <w:rsid w:val="00F81505"/>
    <w:rPr>
      <w:sz w:val="16"/>
      <w:lang w:val="en-GB"/>
    </w:rPr>
  </w:style>
  <w:style w:type="character" w:customStyle="1" w:styleId="Zarkazkladnhotextu3Char3">
    <w:name w:val="Zarážka základného textu 3 Char3"/>
    <w:uiPriority w:val="99"/>
    <w:semiHidden/>
    <w:rsid w:val="00F81505"/>
    <w:rPr>
      <w:sz w:val="16"/>
      <w:lang w:val="en-GB"/>
    </w:rPr>
  </w:style>
  <w:style w:type="character" w:customStyle="1" w:styleId="Zarkazkladnhotextu3Char1">
    <w:name w:val="Zarážka základného textu 3 Char1"/>
    <w:uiPriority w:val="99"/>
    <w:semiHidden/>
    <w:rsid w:val="00F81505"/>
    <w:rPr>
      <w:sz w:val="16"/>
      <w:lang w:val="en-GB"/>
    </w:rPr>
  </w:style>
  <w:style w:type="character" w:customStyle="1" w:styleId="Zarkazkladnhotextu3Char12">
    <w:name w:val="Zarážka základného textu 3 Char12"/>
    <w:uiPriority w:val="99"/>
    <w:semiHidden/>
    <w:rsid w:val="00F81505"/>
    <w:rPr>
      <w:sz w:val="16"/>
      <w:lang w:val="en-GB"/>
    </w:rPr>
  </w:style>
  <w:style w:type="character" w:customStyle="1" w:styleId="Zarkazkladnhotextu3Char11">
    <w:name w:val="Zarážka základného textu 3 Char11"/>
    <w:uiPriority w:val="99"/>
    <w:semiHidden/>
    <w:rsid w:val="00F81505"/>
    <w:rPr>
      <w:sz w:val="16"/>
      <w:lang w:val="en-GB"/>
    </w:rPr>
  </w:style>
  <w:style w:type="paragraph" w:styleId="Zoznamsodrkami">
    <w:name w:val="List Bullet"/>
    <w:basedOn w:val="Normlny"/>
    <w:autoRedefine/>
    <w:uiPriority w:val="99"/>
    <w:rsid w:val="00F81505"/>
    <w:pPr>
      <w:tabs>
        <w:tab w:val="num" w:pos="360"/>
      </w:tabs>
      <w:ind w:left="360" w:hanging="360"/>
      <w:jc w:val="both"/>
    </w:pPr>
  </w:style>
  <w:style w:type="paragraph" w:styleId="Nzov">
    <w:name w:val="Title"/>
    <w:basedOn w:val="Normlny"/>
    <w:next w:val="Normlny"/>
    <w:link w:val="NzovChar"/>
    <w:uiPriority w:val="99"/>
    <w:qFormat/>
    <w:rsid w:val="00F81505"/>
    <w:pPr>
      <w:spacing w:before="120"/>
      <w:jc w:val="center"/>
      <w:outlineLvl w:val="0"/>
    </w:pPr>
    <w:rPr>
      <w:rFonts w:ascii="Calibri Light" w:hAnsi="Calibri Light"/>
      <w:b/>
      <w:bCs/>
      <w:kern w:val="28"/>
      <w:sz w:val="32"/>
      <w:szCs w:val="32"/>
      <w:lang w:eastAsia="zh-CN"/>
    </w:rPr>
  </w:style>
  <w:style w:type="character" w:customStyle="1" w:styleId="NzovChar">
    <w:name w:val="Názov Char"/>
    <w:link w:val="Nzov"/>
    <w:uiPriority w:val="99"/>
    <w:locked/>
    <w:rsid w:val="00F81505"/>
    <w:rPr>
      <w:rFonts w:ascii="Calibri Light" w:hAnsi="Calibri Light" w:cs="Times New Roman"/>
      <w:b/>
      <w:kern w:val="28"/>
      <w:sz w:val="32"/>
      <w:lang w:val="en-GB"/>
    </w:rPr>
  </w:style>
  <w:style w:type="paragraph" w:customStyle="1" w:styleId="berschriftONE1-1">
    <w:name w:val="Überschrift ON E1-1"/>
    <w:basedOn w:val="Nadpis1"/>
    <w:next w:val="Normlny"/>
    <w:uiPriority w:val="99"/>
    <w:rsid w:val="00F81505"/>
    <w:pPr>
      <w:numPr>
        <w:numId w:val="0"/>
      </w:numPr>
    </w:pPr>
  </w:style>
  <w:style w:type="paragraph" w:customStyle="1" w:styleId="berschriftONE1-6">
    <w:name w:val="Überschrift ON E1-6"/>
    <w:basedOn w:val="berschriftONE1-1"/>
    <w:uiPriority w:val="99"/>
    <w:rsid w:val="00F81505"/>
    <w:rPr>
      <w:sz w:val="28"/>
      <w:szCs w:val="28"/>
    </w:rPr>
  </w:style>
  <w:style w:type="paragraph" w:customStyle="1" w:styleId="berschriftONE1-7">
    <w:name w:val="Überschrift ON E1-7"/>
    <w:basedOn w:val="berschriftONE1-1"/>
    <w:uiPriority w:val="99"/>
    <w:rsid w:val="00F81505"/>
    <w:pPr>
      <w:jc w:val="center"/>
    </w:pPr>
  </w:style>
  <w:style w:type="paragraph" w:customStyle="1" w:styleId="berschriftONE1-8">
    <w:name w:val="Überschrift ON E1-8"/>
    <w:basedOn w:val="berschriftONE1-7"/>
    <w:uiPriority w:val="99"/>
    <w:rsid w:val="00F81505"/>
    <w:rPr>
      <w:sz w:val="28"/>
      <w:szCs w:val="28"/>
    </w:rPr>
  </w:style>
  <w:style w:type="paragraph" w:customStyle="1" w:styleId="Fuzeilefett">
    <w:name w:val="Fußzeile &quot;fett&quot;"/>
    <w:basedOn w:val="Normlny"/>
    <w:uiPriority w:val="99"/>
    <w:rsid w:val="00F81505"/>
    <w:rPr>
      <w:b/>
      <w:bCs/>
    </w:rPr>
  </w:style>
  <w:style w:type="paragraph" w:styleId="Textpoznmkypodiarou">
    <w:name w:val="footnote text"/>
    <w:basedOn w:val="Normlny"/>
    <w:link w:val="TextpoznmkypodiarouChar"/>
    <w:uiPriority w:val="99"/>
    <w:semiHidden/>
    <w:rsid w:val="00F81505"/>
    <w:rPr>
      <w:lang w:eastAsia="zh-CN"/>
    </w:rPr>
  </w:style>
  <w:style w:type="character" w:customStyle="1" w:styleId="TextpoznmkypodiarouChar">
    <w:name w:val="Text poznámky pod čiarou Char"/>
    <w:link w:val="Textpoznmkypodiarou"/>
    <w:uiPriority w:val="99"/>
    <w:semiHidden/>
    <w:locked/>
    <w:rsid w:val="00F81505"/>
    <w:rPr>
      <w:rFonts w:cs="Times New Roman"/>
      <w:sz w:val="20"/>
      <w:lang w:val="en-GB"/>
    </w:rPr>
  </w:style>
  <w:style w:type="paragraph" w:styleId="Textmakra">
    <w:name w:val="macro"/>
    <w:basedOn w:val="Normlny"/>
    <w:link w:val="TextmakraChar"/>
    <w:uiPriority w:val="99"/>
    <w:semiHidden/>
    <w:rsid w:val="00F8150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zh-CN"/>
    </w:rPr>
  </w:style>
  <w:style w:type="character" w:customStyle="1" w:styleId="TextmakraChar">
    <w:name w:val="Text makra Char"/>
    <w:link w:val="Textmakra"/>
    <w:uiPriority w:val="99"/>
    <w:semiHidden/>
    <w:locked/>
    <w:rsid w:val="00F81505"/>
    <w:rPr>
      <w:rFonts w:ascii="Courier New" w:hAnsi="Courier New" w:cs="Times New Roman"/>
      <w:sz w:val="20"/>
      <w:lang w:val="en-GB"/>
    </w:rPr>
  </w:style>
  <w:style w:type="character" w:styleId="Odkaznapoznmkupodiarou">
    <w:name w:val="footnote reference"/>
    <w:uiPriority w:val="99"/>
    <w:semiHidden/>
    <w:rsid w:val="00F81505"/>
    <w:rPr>
      <w:rFonts w:ascii="Times New Roman" w:hAnsi="Times New Roman" w:cs="Times New Roman"/>
      <w:snapToGrid w:val="0"/>
      <w:sz w:val="20"/>
      <w:vertAlign w:val="superscript"/>
    </w:rPr>
  </w:style>
  <w:style w:type="paragraph" w:customStyle="1" w:styleId="Tabellenberschrift1">
    <w:name w:val="Tabellenüberschrift 1"/>
    <w:basedOn w:val="Normlny"/>
    <w:uiPriority w:val="99"/>
    <w:rsid w:val="00F81505"/>
    <w:rPr>
      <w:b/>
      <w:bCs/>
    </w:rPr>
  </w:style>
  <w:style w:type="paragraph" w:customStyle="1" w:styleId="VerzeichnisLiteratur">
    <w:name w:val="Verzeichnis Literatur"/>
    <w:basedOn w:val="Normlny"/>
    <w:uiPriority w:val="99"/>
    <w:rsid w:val="00F81505"/>
    <w:pPr>
      <w:tabs>
        <w:tab w:val="num" w:pos="432"/>
      </w:tabs>
      <w:ind w:left="360" w:hanging="360"/>
    </w:pPr>
  </w:style>
  <w:style w:type="paragraph" w:customStyle="1" w:styleId="Tabelle1">
    <w:name w:val="Tabelle 1"/>
    <w:basedOn w:val="Normlny"/>
    <w:next w:val="Normlny"/>
    <w:uiPriority w:val="99"/>
    <w:rsid w:val="00F81505"/>
  </w:style>
  <w:style w:type="paragraph" w:customStyle="1" w:styleId="Tabelle2">
    <w:name w:val="Tabelle 2"/>
    <w:basedOn w:val="Normlny"/>
    <w:next w:val="Normlny"/>
    <w:uiPriority w:val="99"/>
    <w:rsid w:val="00F81505"/>
    <w:pPr>
      <w:jc w:val="center"/>
    </w:pPr>
  </w:style>
  <w:style w:type="paragraph" w:customStyle="1" w:styleId="Tabelle2berschriftfett">
    <w:name w:val="Tabelle 2 Überschrift &quot;fett&quot;"/>
    <w:basedOn w:val="Tabelle2"/>
    <w:next w:val="Tabelle2"/>
    <w:uiPriority w:val="99"/>
    <w:rsid w:val="00F81505"/>
    <w:rPr>
      <w:b/>
      <w:bCs/>
    </w:rPr>
  </w:style>
  <w:style w:type="paragraph" w:customStyle="1" w:styleId="Kopfzeilefett">
    <w:name w:val="Kopfzeile &quot;fett&quot;"/>
    <w:basedOn w:val="Hlavika"/>
    <w:next w:val="Hlavika"/>
    <w:uiPriority w:val="99"/>
    <w:rsid w:val="00F81505"/>
    <w:rPr>
      <w:b/>
      <w:bCs/>
    </w:rPr>
  </w:style>
  <w:style w:type="paragraph" w:styleId="Zoznamobrzkov">
    <w:name w:val="table of figures"/>
    <w:basedOn w:val="Normlny"/>
    <w:next w:val="Normlny"/>
    <w:uiPriority w:val="99"/>
    <w:semiHidden/>
    <w:rsid w:val="00F81505"/>
    <w:pPr>
      <w:ind w:left="480" w:hanging="480"/>
    </w:pPr>
  </w:style>
  <w:style w:type="paragraph" w:styleId="Oznaitext">
    <w:name w:val="Block Text"/>
    <w:basedOn w:val="Normlny"/>
    <w:uiPriority w:val="99"/>
    <w:rsid w:val="00F81505"/>
    <w:pPr>
      <w:jc w:val="both"/>
    </w:pPr>
  </w:style>
  <w:style w:type="paragraph" w:customStyle="1" w:styleId="Blocktextfett">
    <w:name w:val="Blocktext &quot;fett&quot;"/>
    <w:basedOn w:val="Oznaitext"/>
    <w:next w:val="Oznaitext"/>
    <w:uiPriority w:val="99"/>
    <w:rsid w:val="00F81505"/>
    <w:rPr>
      <w:b/>
      <w:bCs/>
    </w:rPr>
  </w:style>
  <w:style w:type="paragraph" w:customStyle="1" w:styleId="Blocktextkursiv">
    <w:name w:val="Blocktext &quot;kursiv&quot;"/>
    <w:basedOn w:val="Oznaitext"/>
    <w:uiPriority w:val="99"/>
    <w:rsid w:val="00F81505"/>
    <w:rPr>
      <w:i/>
      <w:iCs/>
    </w:rPr>
  </w:style>
  <w:style w:type="paragraph" w:customStyle="1" w:styleId="Tabelle1berschriftfett">
    <w:name w:val="Tabelle 1 Überschrift &quot;fett&quot;"/>
    <w:basedOn w:val="Tabelle1"/>
    <w:next w:val="Tabelle1"/>
    <w:uiPriority w:val="99"/>
    <w:rsid w:val="00F81505"/>
    <w:rPr>
      <w:b/>
      <w:bCs/>
    </w:rPr>
  </w:style>
  <w:style w:type="paragraph" w:styleId="Zkladntext3">
    <w:name w:val="Body Text 3"/>
    <w:basedOn w:val="Zkladntext"/>
    <w:link w:val="Zkladntext3Char"/>
    <w:uiPriority w:val="99"/>
    <w:rsid w:val="00F81505"/>
    <w:rPr>
      <w:sz w:val="16"/>
      <w:szCs w:val="16"/>
    </w:rPr>
  </w:style>
  <w:style w:type="character" w:customStyle="1" w:styleId="Zkladntext3Char">
    <w:name w:val="Základný text 3 Char"/>
    <w:link w:val="Zkladntext3"/>
    <w:uiPriority w:val="99"/>
    <w:semiHidden/>
    <w:locked/>
    <w:rsid w:val="00F81505"/>
    <w:rPr>
      <w:rFonts w:cs="Times New Roman"/>
      <w:sz w:val="16"/>
      <w:lang w:val="en-GB"/>
    </w:rPr>
  </w:style>
  <w:style w:type="paragraph" w:customStyle="1" w:styleId="berschriftONE1-2">
    <w:name w:val="Überschrift ON E1-2"/>
    <w:basedOn w:val="berschriftONE1-1"/>
    <w:uiPriority w:val="99"/>
    <w:rsid w:val="00F81505"/>
    <w:rPr>
      <w:b w:val="0"/>
      <w:bCs w:val="0"/>
      <w:u w:val="single"/>
    </w:rPr>
  </w:style>
  <w:style w:type="paragraph" w:customStyle="1" w:styleId="Tabelle3">
    <w:name w:val="Tabelle 3"/>
    <w:basedOn w:val="Tabelle1"/>
    <w:uiPriority w:val="99"/>
    <w:rsid w:val="00F81505"/>
  </w:style>
  <w:style w:type="paragraph" w:customStyle="1" w:styleId="berschriftONE1-3">
    <w:name w:val="Überschrift ON E1-3"/>
    <w:basedOn w:val="berschriftONE1-2"/>
    <w:uiPriority w:val="99"/>
    <w:rsid w:val="00F81505"/>
    <w:rPr>
      <w:b/>
      <w:bCs/>
    </w:rPr>
  </w:style>
  <w:style w:type="paragraph" w:customStyle="1" w:styleId="berschriftONE1-4">
    <w:name w:val="Überschrift ON E1-4"/>
    <w:basedOn w:val="berschriftONE1-1"/>
    <w:uiPriority w:val="99"/>
    <w:rsid w:val="00F81505"/>
    <w:rPr>
      <w:b w:val="0"/>
      <w:bCs w:val="0"/>
      <w:i/>
      <w:iCs/>
    </w:rPr>
  </w:style>
  <w:style w:type="paragraph" w:customStyle="1" w:styleId="berschriftONE1-5">
    <w:name w:val="Überschrift ON E1-5"/>
    <w:basedOn w:val="berschriftONE1-1"/>
    <w:uiPriority w:val="99"/>
    <w:rsid w:val="00F81505"/>
    <w:rPr>
      <w:i/>
      <w:iCs/>
    </w:rPr>
  </w:style>
  <w:style w:type="paragraph" w:customStyle="1" w:styleId="Blocktexteingercktkursiv">
    <w:name w:val="Blocktext eingerückt kursiv"/>
    <w:basedOn w:val="Normlny"/>
    <w:uiPriority w:val="99"/>
    <w:rsid w:val="00F81505"/>
    <w:pPr>
      <w:ind w:left="578" w:right="578"/>
      <w:jc w:val="both"/>
    </w:pPr>
    <w:rPr>
      <w:i/>
      <w:iCs/>
      <w:lang w:val="de-DE"/>
    </w:rPr>
  </w:style>
  <w:style w:type="paragraph" w:customStyle="1" w:styleId="Blocktexteingerckt">
    <w:name w:val="Blocktext eingerückt"/>
    <w:basedOn w:val="Normlny"/>
    <w:uiPriority w:val="99"/>
    <w:rsid w:val="00F81505"/>
    <w:pPr>
      <w:ind w:left="578" w:right="578"/>
      <w:jc w:val="both"/>
    </w:pPr>
  </w:style>
  <w:style w:type="paragraph" w:customStyle="1" w:styleId="Blocktexteingercktfett">
    <w:name w:val="Blocktext eingerückt fett"/>
    <w:basedOn w:val="Normlny"/>
    <w:uiPriority w:val="99"/>
    <w:rsid w:val="00F81505"/>
    <w:pPr>
      <w:ind w:left="578" w:right="578"/>
      <w:jc w:val="both"/>
    </w:pPr>
    <w:rPr>
      <w:b/>
      <w:bCs/>
    </w:rPr>
  </w:style>
  <w:style w:type="paragraph" w:customStyle="1" w:styleId="Fuzeilekursiv">
    <w:name w:val="Fußzeile &quot;kursiv&quot;"/>
    <w:basedOn w:val="Normlny"/>
    <w:uiPriority w:val="99"/>
    <w:rsid w:val="00F81505"/>
    <w:rPr>
      <w:i/>
      <w:iCs/>
    </w:rPr>
  </w:style>
  <w:style w:type="paragraph" w:customStyle="1" w:styleId="Kopfzeilekursiv">
    <w:name w:val="Kopfzeile &quot;kursiv&quot;"/>
    <w:basedOn w:val="Hlavika"/>
    <w:uiPriority w:val="99"/>
    <w:rsid w:val="00F81505"/>
    <w:rPr>
      <w:i/>
      <w:iCs/>
    </w:rPr>
  </w:style>
  <w:style w:type="paragraph" w:customStyle="1" w:styleId="berschriftONE1-9">
    <w:name w:val="Überschrift ON E1-9"/>
    <w:basedOn w:val="Normlny"/>
    <w:uiPriority w:val="99"/>
    <w:rsid w:val="00F81505"/>
    <w:rPr>
      <w:caps/>
    </w:rPr>
  </w:style>
  <w:style w:type="paragraph" w:customStyle="1" w:styleId="berschriftONE1-10">
    <w:name w:val="Überschrift ON E1-10"/>
    <w:basedOn w:val="Normlny"/>
    <w:uiPriority w:val="99"/>
    <w:rsid w:val="00F81505"/>
    <w:rPr>
      <w:b/>
      <w:bCs/>
      <w:caps/>
    </w:rPr>
  </w:style>
  <w:style w:type="paragraph" w:customStyle="1" w:styleId="berschrift10">
    <w:name w:val="Überschrift 10"/>
    <w:basedOn w:val="Normlny"/>
    <w:uiPriority w:val="99"/>
    <w:rsid w:val="00F81505"/>
    <w:pPr>
      <w:tabs>
        <w:tab w:val="num" w:pos="360"/>
      </w:tabs>
      <w:ind w:left="360" w:hanging="360"/>
    </w:pPr>
    <w:rPr>
      <w:b/>
      <w:bCs/>
      <w:caps/>
    </w:rPr>
  </w:style>
  <w:style w:type="character" w:styleId="Hypertextovprepojenie">
    <w:name w:val="Hyperlink"/>
    <w:uiPriority w:val="99"/>
    <w:rsid w:val="00F81505"/>
    <w:rPr>
      <w:rFonts w:ascii="Times New Roman" w:hAnsi="Times New Roman" w:cs="Times New Roman"/>
      <w:snapToGrid w:val="0"/>
      <w:color w:val="0000FF"/>
      <w:u w:val="single"/>
    </w:rPr>
  </w:style>
  <w:style w:type="character" w:styleId="PouitHypertextovPrepojenie">
    <w:name w:val="FollowedHyperlink"/>
    <w:uiPriority w:val="99"/>
    <w:rsid w:val="00F81505"/>
    <w:rPr>
      <w:rFonts w:ascii="Times New Roman" w:hAnsi="Times New Roman" w:cs="Times New Roman"/>
      <w:snapToGrid w:val="0"/>
      <w:color w:val="800080"/>
      <w:u w:val="single"/>
    </w:rPr>
  </w:style>
  <w:style w:type="paragraph" w:customStyle="1" w:styleId="TableHeading">
    <w:name w:val="Table Heading"/>
    <w:basedOn w:val="Normlny"/>
    <w:autoRedefine/>
    <w:uiPriority w:val="99"/>
    <w:rsid w:val="00F81505"/>
    <w:pPr>
      <w:spacing w:before="120"/>
    </w:pPr>
    <w:rPr>
      <w:b/>
      <w:bCs/>
    </w:rPr>
  </w:style>
  <w:style w:type="paragraph" w:customStyle="1" w:styleId="TableHeadingCentre">
    <w:name w:val="Table Heading Centre"/>
    <w:basedOn w:val="TableHeading"/>
    <w:autoRedefine/>
    <w:uiPriority w:val="99"/>
    <w:rsid w:val="00F81505"/>
    <w:pPr>
      <w:jc w:val="center"/>
    </w:pPr>
  </w:style>
  <w:style w:type="paragraph" w:customStyle="1" w:styleId="TableTextLeft">
    <w:name w:val="Table Text Left"/>
    <w:basedOn w:val="Normlny"/>
    <w:autoRedefine/>
    <w:uiPriority w:val="99"/>
    <w:rsid w:val="00F81505"/>
    <w:rPr>
      <w:rFonts w:ascii="Times" w:hAnsi="Times" w:cs="Times"/>
    </w:rPr>
  </w:style>
  <w:style w:type="paragraph" w:styleId="Predmetkomentra">
    <w:name w:val="annotation subject"/>
    <w:basedOn w:val="Textkomentra"/>
    <w:next w:val="Textkomentra"/>
    <w:link w:val="PredmetkomentraChar"/>
    <w:uiPriority w:val="99"/>
    <w:semiHidden/>
    <w:rsid w:val="00F81505"/>
    <w:pPr>
      <w:ind w:left="0"/>
      <w:jc w:val="left"/>
    </w:pPr>
    <w:rPr>
      <w:b/>
      <w:bCs/>
    </w:rPr>
  </w:style>
  <w:style w:type="character" w:customStyle="1" w:styleId="PredmetkomentraChar">
    <w:name w:val="Predmet komentára Char"/>
    <w:link w:val="Predmetkomentra"/>
    <w:uiPriority w:val="99"/>
    <w:semiHidden/>
    <w:locked/>
    <w:rsid w:val="00F81505"/>
    <w:rPr>
      <w:rFonts w:cs="Times New Roman"/>
      <w:b/>
      <w:sz w:val="20"/>
      <w:lang w:val="en-GB"/>
    </w:rPr>
  </w:style>
  <w:style w:type="character" w:customStyle="1" w:styleId="tw4winError">
    <w:name w:val="tw4winError"/>
    <w:uiPriority w:val="99"/>
    <w:rsid w:val="00F81505"/>
    <w:rPr>
      <w:rFonts w:ascii="Courier New" w:hAnsi="Courier New"/>
      <w:color w:val="00FF00"/>
      <w:sz w:val="40"/>
    </w:rPr>
  </w:style>
  <w:style w:type="character" w:customStyle="1" w:styleId="tw4winMark">
    <w:name w:val="tw4winMark"/>
    <w:uiPriority w:val="99"/>
    <w:rsid w:val="00F81505"/>
    <w:rPr>
      <w:rFonts w:ascii="Courier New" w:hAnsi="Courier New"/>
      <w:vanish/>
      <w:color w:val="800080"/>
      <w:sz w:val="24"/>
      <w:vertAlign w:val="subscript"/>
    </w:rPr>
  </w:style>
  <w:style w:type="character" w:customStyle="1" w:styleId="tw4winTerm">
    <w:name w:val="tw4winTerm"/>
    <w:uiPriority w:val="99"/>
    <w:rsid w:val="00F81505"/>
    <w:rPr>
      <w:color w:val="0000FF"/>
    </w:rPr>
  </w:style>
  <w:style w:type="character" w:customStyle="1" w:styleId="tw4winPopup">
    <w:name w:val="tw4winPopup"/>
    <w:uiPriority w:val="99"/>
    <w:rsid w:val="00F81505"/>
    <w:rPr>
      <w:rFonts w:ascii="Courier New" w:hAnsi="Courier New"/>
      <w:noProof/>
      <w:color w:val="008000"/>
    </w:rPr>
  </w:style>
  <w:style w:type="character" w:customStyle="1" w:styleId="tw4winJump">
    <w:name w:val="tw4winJump"/>
    <w:uiPriority w:val="99"/>
    <w:rsid w:val="00F81505"/>
    <w:rPr>
      <w:rFonts w:ascii="Courier New" w:hAnsi="Courier New"/>
      <w:noProof/>
      <w:color w:val="008080"/>
    </w:rPr>
  </w:style>
  <w:style w:type="character" w:customStyle="1" w:styleId="tw4winExternal">
    <w:name w:val="tw4winExternal"/>
    <w:uiPriority w:val="99"/>
    <w:rsid w:val="00F81505"/>
    <w:rPr>
      <w:rFonts w:ascii="Courier New" w:hAnsi="Courier New"/>
      <w:noProof/>
      <w:color w:val="808080"/>
    </w:rPr>
  </w:style>
  <w:style w:type="character" w:customStyle="1" w:styleId="tw4winInternal">
    <w:name w:val="tw4winInternal"/>
    <w:uiPriority w:val="99"/>
    <w:rsid w:val="00F81505"/>
    <w:rPr>
      <w:rFonts w:ascii="Courier New" w:hAnsi="Courier New"/>
      <w:noProof/>
      <w:color w:val="FF0000"/>
    </w:rPr>
  </w:style>
  <w:style w:type="character" w:customStyle="1" w:styleId="DONOTTRANSLATE">
    <w:name w:val="DO_NOT_TRANSLATE"/>
    <w:uiPriority w:val="99"/>
    <w:rsid w:val="00F81505"/>
    <w:rPr>
      <w:rFonts w:ascii="Courier New" w:hAnsi="Courier New"/>
      <w:noProof/>
      <w:color w:val="800000"/>
    </w:rPr>
  </w:style>
  <w:style w:type="paragraph" w:customStyle="1" w:styleId="Syreaspc">
    <w:name w:val="Syrea spc"/>
    <w:basedOn w:val="Normlny"/>
    <w:uiPriority w:val="99"/>
    <w:rsid w:val="00F81505"/>
    <w:rPr>
      <w:kern w:val="28"/>
      <w:sz w:val="24"/>
      <w:szCs w:val="24"/>
      <w:lang w:val="de-DE"/>
    </w:rPr>
  </w:style>
  <w:style w:type="paragraph" w:styleId="truktradokumentu">
    <w:name w:val="Document Map"/>
    <w:basedOn w:val="Normlny"/>
    <w:link w:val="truktradokumentuChar"/>
    <w:uiPriority w:val="99"/>
    <w:semiHidden/>
    <w:rsid w:val="00F81505"/>
    <w:pPr>
      <w:shd w:val="clear" w:color="auto" w:fill="000080"/>
    </w:pPr>
    <w:rPr>
      <w:rFonts w:ascii="Segoe UI" w:hAnsi="Segoe UI"/>
      <w:sz w:val="16"/>
      <w:szCs w:val="16"/>
      <w:lang w:eastAsia="zh-CN"/>
    </w:rPr>
  </w:style>
  <w:style w:type="character" w:customStyle="1" w:styleId="truktradokumentuChar">
    <w:name w:val="Štruktúra dokumentu Char"/>
    <w:link w:val="truktradokumentu"/>
    <w:uiPriority w:val="99"/>
    <w:semiHidden/>
    <w:locked/>
    <w:rsid w:val="00F81505"/>
    <w:rPr>
      <w:rFonts w:ascii="Segoe UI" w:hAnsi="Segoe UI" w:cs="Times New Roman"/>
      <w:sz w:val="16"/>
      <w:lang w:val="en-GB"/>
    </w:rPr>
  </w:style>
  <w:style w:type="character" w:customStyle="1" w:styleId="hps">
    <w:name w:val="hps"/>
    <w:uiPriority w:val="99"/>
    <w:rsid w:val="00F81505"/>
  </w:style>
  <w:style w:type="paragraph" w:styleId="Revzia">
    <w:name w:val="Revision"/>
    <w:hidden/>
    <w:uiPriority w:val="99"/>
    <w:semiHidden/>
    <w:rsid w:val="00F81505"/>
    <w:rPr>
      <w:lang w:val="en-GB" w:eastAsia="sk-SK"/>
    </w:rPr>
  </w:style>
  <w:style w:type="paragraph" w:styleId="Normlnywebov">
    <w:name w:val="Normal (Web)"/>
    <w:basedOn w:val="Normlny"/>
    <w:uiPriority w:val="99"/>
    <w:semiHidden/>
    <w:unhideWhenUsed/>
    <w:locked/>
    <w:rsid w:val="00E84E32"/>
    <w:pPr>
      <w:spacing w:before="100" w:beforeAutospacing="1" w:after="100" w:afterAutospacing="1"/>
    </w:pPr>
    <w:rPr>
      <w:sz w:val="24"/>
      <w:szCs w:val="24"/>
      <w:lang w:val="de-DE" w:eastAsia="de-DE"/>
    </w:rPr>
  </w:style>
  <w:style w:type="character" w:customStyle="1" w:styleId="Hypertextovprepojenie1">
    <w:name w:val="Hypertextové prepojenie1"/>
    <w:uiPriority w:val="99"/>
    <w:rsid w:val="00194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1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5698</Words>
  <Characters>32482</Characters>
  <Application>Microsoft Office Word</Application>
  <DocSecurity>0</DocSecurity>
  <Lines>270</Lines>
  <Paragraphs>76</Paragraphs>
  <ScaleCrop>false</ScaleCrop>
  <HeadingPairs>
    <vt:vector size="8" baseType="variant">
      <vt:variant>
        <vt:lpstr>Názov</vt:lpstr>
      </vt:variant>
      <vt:variant>
        <vt:i4>1</vt:i4>
      </vt:variant>
      <vt:variant>
        <vt:lpstr>Titel</vt:lpstr>
      </vt:variant>
      <vt:variant>
        <vt:i4>1</vt:i4>
      </vt:variant>
      <vt:variant>
        <vt:lpstr>Title</vt:lpstr>
      </vt:variant>
      <vt:variant>
        <vt:i4>1</vt:i4>
      </vt:variant>
      <vt:variant>
        <vt:lpstr>Název</vt:lpstr>
      </vt:variant>
      <vt:variant>
        <vt:i4>1</vt:i4>
      </vt:variant>
    </vt:vector>
  </HeadingPairs>
  <TitlesOfParts>
    <vt:vector size="4" baseType="lpstr">
      <vt:lpstr>Z45979</vt:lpstr>
      <vt:lpstr>Z45979</vt:lpstr>
      <vt:lpstr>Z45312</vt:lpstr>
      <vt:lpstr>Z45312</vt:lpstr>
    </vt:vector>
  </TitlesOfParts>
  <Manager>K021</Manager>
  <Company>Zebra Translations Limited</Company>
  <LinksUpToDate>false</LinksUpToDate>
  <CharactersWithSpaces>38104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Z45979</dc:title>
  <dc:subject>Epirubicin medac amendments SPC Slovak</dc:subject>
  <dc:creator>A016</dc:creator>
  <cp:lastModifiedBy>Bolebruchová Monika</cp:lastModifiedBy>
  <cp:revision>4</cp:revision>
  <cp:lastPrinted>2020-04-24T07:12:00Z</cp:lastPrinted>
  <dcterms:created xsi:type="dcterms:W3CDTF">2020-04-24T07:12:00Z</dcterms:created>
  <dcterms:modified xsi:type="dcterms:W3CDTF">2020-04-24T07:25:00Z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4/7/2020 12:46:47 PM</vt:lpwstr>
  </property>
  <property fmtid="{D5CDD505-2E9C-101B-9397-08002B2CF9AE}" pid="3" name="OS_LastOpenUser">
    <vt:lpwstr>SEBASTC</vt:lpwstr>
  </property>
</Properties>
</file>