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638B6" w14:textId="77777777" w:rsidR="00CC0C87" w:rsidRDefault="00CC0C87" w:rsidP="00FC0B45">
      <w:pPr>
        <w:widowControl w:val="0"/>
        <w:suppressLineNumbers/>
        <w:tabs>
          <w:tab w:val="clear" w:pos="567"/>
        </w:tabs>
        <w:rPr>
          <w:b/>
          <w:szCs w:val="22"/>
          <w:lang w:val="sk-SK"/>
        </w:rPr>
      </w:pPr>
    </w:p>
    <w:p w14:paraId="7A6A854A" w14:textId="77777777" w:rsidR="00CC0C87" w:rsidRDefault="00CC0C87" w:rsidP="00FC0B45">
      <w:pPr>
        <w:widowControl w:val="0"/>
        <w:suppressLineNumbers/>
        <w:tabs>
          <w:tab w:val="clear" w:pos="567"/>
        </w:tabs>
        <w:rPr>
          <w:b/>
          <w:szCs w:val="22"/>
          <w:lang w:val="sk-SK"/>
        </w:rPr>
      </w:pPr>
    </w:p>
    <w:p w14:paraId="63886CA7" w14:textId="77777777" w:rsidR="00916CB6" w:rsidRPr="004B1A50" w:rsidRDefault="00916CB6" w:rsidP="001D52A9">
      <w:pPr>
        <w:widowControl w:val="0"/>
        <w:suppressLineNumbers/>
        <w:ind w:left="567"/>
        <w:jc w:val="center"/>
        <w:rPr>
          <w:b/>
          <w:szCs w:val="22"/>
          <w:lang w:val="sk-SK"/>
        </w:rPr>
      </w:pPr>
      <w:r w:rsidRPr="004B1A50">
        <w:rPr>
          <w:b/>
          <w:szCs w:val="22"/>
          <w:lang w:val="sk-SK"/>
        </w:rPr>
        <w:t>SÚHRN CHARAKTERISTICKÝCH VLASTNOSTÍ LIEKU</w:t>
      </w:r>
    </w:p>
    <w:p w14:paraId="03BD3DC7" w14:textId="77777777" w:rsidR="00916CB6" w:rsidRPr="004B1A50" w:rsidRDefault="00916CB6" w:rsidP="00853064">
      <w:pPr>
        <w:widowControl w:val="0"/>
        <w:rPr>
          <w:b/>
          <w:bCs/>
          <w:lang w:val="sk-SK"/>
        </w:rPr>
      </w:pPr>
    </w:p>
    <w:p w14:paraId="0DF7BF7B" w14:textId="77777777" w:rsidR="00160CFC" w:rsidRPr="004B1A50" w:rsidRDefault="00160CFC" w:rsidP="00853064">
      <w:pPr>
        <w:widowControl w:val="0"/>
        <w:numPr>
          <w:ilvl w:val="0"/>
          <w:numId w:val="5"/>
        </w:numPr>
        <w:tabs>
          <w:tab w:val="clear" w:pos="567"/>
        </w:tabs>
        <w:ind w:left="567" w:hanging="567"/>
        <w:rPr>
          <w:lang w:val="sk-SK"/>
        </w:rPr>
      </w:pPr>
      <w:r w:rsidRPr="004B1A50">
        <w:rPr>
          <w:b/>
          <w:bCs/>
          <w:lang w:val="sk-SK"/>
        </w:rPr>
        <w:t>NÁZOV LIEKU</w:t>
      </w:r>
    </w:p>
    <w:p w14:paraId="74799065" w14:textId="77777777" w:rsidR="00160CFC" w:rsidRPr="004B1A50" w:rsidRDefault="00160CFC" w:rsidP="00853064">
      <w:pPr>
        <w:rPr>
          <w:iCs/>
          <w:lang w:val="sk-SK"/>
        </w:rPr>
      </w:pPr>
    </w:p>
    <w:p w14:paraId="76A5742A" w14:textId="77777777" w:rsidR="00297F80" w:rsidRPr="004B1A50" w:rsidRDefault="00297F80" w:rsidP="00297F80">
      <w:pPr>
        <w:tabs>
          <w:tab w:val="clear" w:pos="567"/>
        </w:tabs>
        <w:rPr>
          <w:lang w:val="sk-SK"/>
        </w:rPr>
      </w:pPr>
      <w:r w:rsidRPr="004B1A50">
        <w:rPr>
          <w:lang w:val="sk-SK"/>
        </w:rPr>
        <w:t>Perindamlostad</w:t>
      </w:r>
      <w:r w:rsidR="005F5B91" w:rsidRPr="004B1A50">
        <w:rPr>
          <w:lang w:val="sk-SK"/>
        </w:rPr>
        <w:t xml:space="preserve"> 4 mg/5 mg</w:t>
      </w:r>
      <w:r w:rsidRPr="004B1A50">
        <w:rPr>
          <w:lang w:val="sk-SK"/>
        </w:rPr>
        <w:t xml:space="preserve"> tablety</w:t>
      </w:r>
    </w:p>
    <w:p w14:paraId="44666AAA" w14:textId="77777777" w:rsidR="00297F80" w:rsidRPr="004B1A50" w:rsidRDefault="00297F80" w:rsidP="00297F80">
      <w:pPr>
        <w:tabs>
          <w:tab w:val="clear" w:pos="567"/>
        </w:tabs>
        <w:rPr>
          <w:lang w:val="sk-SK"/>
        </w:rPr>
      </w:pPr>
      <w:r w:rsidRPr="004B1A50">
        <w:rPr>
          <w:lang w:val="sk-SK"/>
        </w:rPr>
        <w:t>Perindamlostad</w:t>
      </w:r>
      <w:r w:rsidR="005F5B91" w:rsidRPr="004B1A50">
        <w:rPr>
          <w:lang w:val="sk-SK"/>
        </w:rPr>
        <w:t xml:space="preserve"> 4 mg/10 mg</w:t>
      </w:r>
      <w:r w:rsidRPr="004B1A50">
        <w:rPr>
          <w:lang w:val="sk-SK"/>
        </w:rPr>
        <w:t xml:space="preserve"> tablety</w:t>
      </w:r>
    </w:p>
    <w:p w14:paraId="2816DBE5" w14:textId="77777777" w:rsidR="00297F80" w:rsidRPr="004B1A50" w:rsidRDefault="00297F80" w:rsidP="00297F80">
      <w:pPr>
        <w:tabs>
          <w:tab w:val="clear" w:pos="567"/>
        </w:tabs>
        <w:rPr>
          <w:lang w:val="sk-SK"/>
        </w:rPr>
      </w:pPr>
      <w:r w:rsidRPr="004B1A50">
        <w:rPr>
          <w:lang w:val="sk-SK"/>
        </w:rPr>
        <w:t>Perindamlostad</w:t>
      </w:r>
      <w:r w:rsidR="005F5B91" w:rsidRPr="004B1A50">
        <w:rPr>
          <w:lang w:val="sk-SK"/>
        </w:rPr>
        <w:t xml:space="preserve"> 8 mg/5 mg</w:t>
      </w:r>
      <w:r w:rsidRPr="004B1A50">
        <w:rPr>
          <w:lang w:val="sk-SK"/>
        </w:rPr>
        <w:t xml:space="preserve"> tablety</w:t>
      </w:r>
    </w:p>
    <w:p w14:paraId="0FFE9565" w14:textId="77777777" w:rsidR="00297F80" w:rsidRPr="004B1A50" w:rsidRDefault="00297F80" w:rsidP="00297F80">
      <w:pPr>
        <w:tabs>
          <w:tab w:val="clear" w:pos="567"/>
        </w:tabs>
        <w:rPr>
          <w:lang w:val="sk-SK"/>
        </w:rPr>
      </w:pPr>
      <w:r w:rsidRPr="004B1A50">
        <w:rPr>
          <w:lang w:val="sk-SK"/>
        </w:rPr>
        <w:t>Perindamlostad</w:t>
      </w:r>
      <w:r w:rsidR="005F5B91" w:rsidRPr="004B1A50">
        <w:rPr>
          <w:lang w:val="sk-SK"/>
        </w:rPr>
        <w:t xml:space="preserve"> 8 mg/10 mg</w:t>
      </w:r>
      <w:r w:rsidRPr="004B1A50">
        <w:rPr>
          <w:lang w:val="sk-SK"/>
        </w:rPr>
        <w:t xml:space="preserve"> tablety</w:t>
      </w:r>
    </w:p>
    <w:p w14:paraId="34B5F5D2" w14:textId="77777777" w:rsidR="00605BCF" w:rsidRPr="004B1A50" w:rsidRDefault="00605BCF" w:rsidP="00853064">
      <w:pPr>
        <w:tabs>
          <w:tab w:val="clear" w:pos="567"/>
        </w:tabs>
        <w:rPr>
          <w:lang w:val="sk-SK"/>
        </w:rPr>
      </w:pPr>
    </w:p>
    <w:p w14:paraId="43A4409F" w14:textId="77777777" w:rsidR="006D0FA8" w:rsidRPr="004B1A50" w:rsidRDefault="006D0FA8" w:rsidP="00853064">
      <w:pPr>
        <w:tabs>
          <w:tab w:val="clear" w:pos="567"/>
        </w:tabs>
        <w:rPr>
          <w:b/>
          <w:lang w:val="sk-SK"/>
        </w:rPr>
      </w:pPr>
    </w:p>
    <w:p w14:paraId="0F4FEA9B" w14:textId="77777777" w:rsidR="00160CFC" w:rsidRPr="004B1A50" w:rsidRDefault="00160CFC" w:rsidP="00853064">
      <w:pPr>
        <w:widowControl w:val="0"/>
        <w:numPr>
          <w:ilvl w:val="0"/>
          <w:numId w:val="5"/>
        </w:numPr>
        <w:tabs>
          <w:tab w:val="clear" w:pos="567"/>
        </w:tabs>
        <w:ind w:left="567" w:hanging="567"/>
        <w:rPr>
          <w:lang w:val="sk-SK"/>
        </w:rPr>
      </w:pPr>
      <w:r w:rsidRPr="004B1A50">
        <w:rPr>
          <w:b/>
          <w:bCs/>
          <w:lang w:val="sk-SK"/>
        </w:rPr>
        <w:t>KVALITATÍVNE A KVANTITATÍVNE ZLOŽENIE</w:t>
      </w:r>
    </w:p>
    <w:p w14:paraId="07E803CB" w14:textId="77777777" w:rsidR="00160CFC" w:rsidRPr="004B1A50" w:rsidRDefault="00160CFC" w:rsidP="00853064">
      <w:pPr>
        <w:rPr>
          <w:lang w:val="sk-SK"/>
        </w:rPr>
      </w:pPr>
    </w:p>
    <w:p w14:paraId="6AE64129" w14:textId="77777777" w:rsidR="00160CFC" w:rsidRDefault="00971E0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Jedna</w:t>
      </w:r>
      <w:r w:rsidR="00160CFC" w:rsidRPr="004B1A50">
        <w:rPr>
          <w:rFonts w:eastAsia="TimesNewRoman"/>
          <w:color w:val="000000"/>
          <w:szCs w:val="22"/>
          <w:lang w:val="sk-SK"/>
        </w:rPr>
        <w:t xml:space="preserve"> tableta obsahuje 4 mg perindopril</w:t>
      </w:r>
      <w:r w:rsidR="00370588" w:rsidRPr="004B1A50">
        <w:rPr>
          <w:rFonts w:eastAsia="TimesNewRoman"/>
          <w:color w:val="000000"/>
          <w:szCs w:val="22"/>
          <w:lang w:val="sk-SK"/>
        </w:rPr>
        <w:t>u</w:t>
      </w:r>
      <w:r w:rsidR="00160CFC" w:rsidRPr="004B1A50">
        <w:rPr>
          <w:rFonts w:eastAsia="TimesNewRoman"/>
          <w:color w:val="000000"/>
          <w:szCs w:val="22"/>
          <w:lang w:val="sk-SK"/>
        </w:rPr>
        <w:t xml:space="preserve"> terc-butylamínu</w:t>
      </w:r>
      <w:r w:rsidRPr="004B1A50">
        <w:rPr>
          <w:rFonts w:eastAsia="TimesNewRoman"/>
          <w:color w:val="000000"/>
          <w:szCs w:val="22"/>
          <w:lang w:val="sk-SK"/>
        </w:rPr>
        <w:t xml:space="preserve">, čo zodpovedá 3,3 mg perindoprilu a </w:t>
      </w:r>
      <w:r w:rsidR="00160CFC" w:rsidRPr="004B1A50">
        <w:rPr>
          <w:rFonts w:eastAsia="TimesNewRoman"/>
          <w:color w:val="000000"/>
          <w:szCs w:val="22"/>
          <w:lang w:val="sk-SK"/>
        </w:rPr>
        <w:t xml:space="preserve">5 </w:t>
      </w:r>
      <w:r w:rsidRPr="004B1A50">
        <w:rPr>
          <w:rFonts w:eastAsia="TimesNewRoman"/>
          <w:color w:val="000000"/>
          <w:szCs w:val="22"/>
          <w:lang w:val="sk-SK"/>
        </w:rPr>
        <w:t>mg amlodipínu, čo zodpovedá 6,9</w:t>
      </w:r>
      <w:r w:rsidR="00160CFC" w:rsidRPr="004B1A50">
        <w:rPr>
          <w:rFonts w:eastAsia="TimesNewRoman"/>
          <w:color w:val="000000"/>
          <w:szCs w:val="22"/>
          <w:lang w:val="sk-SK"/>
        </w:rPr>
        <w:t xml:space="preserve"> mg </w:t>
      </w:r>
      <w:r w:rsidR="00916CB6" w:rsidRPr="004B1A50">
        <w:rPr>
          <w:rFonts w:eastAsia="TimesNewRoman"/>
          <w:color w:val="000000"/>
          <w:szCs w:val="22"/>
          <w:lang w:val="sk-SK"/>
        </w:rPr>
        <w:t>amlodipíniumbesilátu</w:t>
      </w:r>
      <w:r w:rsidR="00160CFC" w:rsidRPr="004B1A50">
        <w:rPr>
          <w:rFonts w:eastAsia="TimesNewRoman"/>
          <w:color w:val="000000"/>
          <w:szCs w:val="22"/>
          <w:lang w:val="sk-SK"/>
        </w:rPr>
        <w:t>.</w:t>
      </w:r>
    </w:p>
    <w:p w14:paraId="1E5EA780" w14:textId="77777777" w:rsidR="00176241" w:rsidRDefault="00176241" w:rsidP="00853064">
      <w:pPr>
        <w:autoSpaceDE w:val="0"/>
        <w:autoSpaceDN w:val="0"/>
        <w:adjustRightInd w:val="0"/>
        <w:spacing w:line="240" w:lineRule="auto"/>
        <w:rPr>
          <w:rFonts w:eastAsia="TimesNewRoman"/>
          <w:color w:val="000000"/>
          <w:szCs w:val="22"/>
          <w:lang w:val="sk-SK"/>
        </w:rPr>
      </w:pPr>
    </w:p>
    <w:p w14:paraId="304C98AA" w14:textId="77777777" w:rsidR="00176241" w:rsidRDefault="00176241" w:rsidP="00853064">
      <w:pPr>
        <w:autoSpaceDE w:val="0"/>
        <w:autoSpaceDN w:val="0"/>
        <w:adjustRightInd w:val="0"/>
        <w:spacing w:line="240" w:lineRule="auto"/>
        <w:rPr>
          <w:rFonts w:eastAsia="TimesNewRoman"/>
          <w:color w:val="000000"/>
          <w:szCs w:val="22"/>
          <w:u w:val="single"/>
          <w:lang w:val="sk-SK"/>
        </w:rPr>
      </w:pPr>
      <w:r w:rsidRPr="00FC0B45">
        <w:rPr>
          <w:rFonts w:eastAsia="TimesNewRoman"/>
          <w:color w:val="000000"/>
          <w:szCs w:val="22"/>
          <w:u w:val="single"/>
          <w:lang w:val="sk-SK"/>
        </w:rPr>
        <w:t>Pomocná látka so známym účinkom</w:t>
      </w:r>
    </w:p>
    <w:p w14:paraId="05899052" w14:textId="77777777" w:rsidR="00176241" w:rsidRDefault="00176241" w:rsidP="00853064">
      <w:pPr>
        <w:autoSpaceDE w:val="0"/>
        <w:autoSpaceDN w:val="0"/>
        <w:adjustRightInd w:val="0"/>
        <w:spacing w:line="240" w:lineRule="auto"/>
        <w:rPr>
          <w:rFonts w:eastAsia="TimesNewRoman"/>
          <w:color w:val="000000"/>
          <w:szCs w:val="22"/>
          <w:lang w:val="sk-SK"/>
        </w:rPr>
      </w:pPr>
      <w:r>
        <w:rPr>
          <w:rFonts w:eastAsia="TimesNewRoman"/>
          <w:color w:val="000000"/>
          <w:szCs w:val="22"/>
          <w:lang w:val="sk-SK"/>
        </w:rPr>
        <w:t>Jedna tableta obsahuje 0,277 mg sodíka.</w:t>
      </w:r>
    </w:p>
    <w:p w14:paraId="0972561C" w14:textId="77777777" w:rsidR="00176241" w:rsidRPr="00176241" w:rsidRDefault="00176241" w:rsidP="00853064">
      <w:pPr>
        <w:autoSpaceDE w:val="0"/>
        <w:autoSpaceDN w:val="0"/>
        <w:adjustRightInd w:val="0"/>
        <w:spacing w:line="240" w:lineRule="auto"/>
        <w:rPr>
          <w:rFonts w:eastAsia="TimesNewRoman"/>
          <w:color w:val="000000"/>
          <w:szCs w:val="22"/>
          <w:lang w:val="sk-SK"/>
        </w:rPr>
      </w:pPr>
    </w:p>
    <w:p w14:paraId="025E2C1E" w14:textId="77777777" w:rsidR="00160CFC" w:rsidRDefault="00971E0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Jedna </w:t>
      </w:r>
      <w:r w:rsidR="00160CFC" w:rsidRPr="004B1A50">
        <w:rPr>
          <w:rFonts w:eastAsia="TimesNewRoman"/>
          <w:color w:val="000000"/>
          <w:szCs w:val="22"/>
          <w:lang w:val="sk-SK"/>
        </w:rPr>
        <w:t xml:space="preserve">tableta obsahuje </w:t>
      </w:r>
      <w:r w:rsidRPr="004B1A50">
        <w:rPr>
          <w:rFonts w:eastAsia="TimesNewRoman"/>
          <w:color w:val="000000"/>
          <w:szCs w:val="22"/>
          <w:lang w:val="sk-SK"/>
        </w:rPr>
        <w:t>4</w:t>
      </w:r>
      <w:r w:rsidR="00160CFC" w:rsidRPr="004B1A50">
        <w:rPr>
          <w:rFonts w:eastAsia="TimesNewRoman"/>
          <w:color w:val="000000"/>
          <w:szCs w:val="22"/>
          <w:lang w:val="sk-SK"/>
        </w:rPr>
        <w:t xml:space="preserve"> mg perindopril</w:t>
      </w:r>
      <w:r w:rsidR="00370588" w:rsidRPr="004B1A50">
        <w:rPr>
          <w:rFonts w:eastAsia="TimesNewRoman"/>
          <w:color w:val="000000"/>
          <w:szCs w:val="22"/>
          <w:lang w:val="sk-SK"/>
        </w:rPr>
        <w:t>u</w:t>
      </w:r>
      <w:r w:rsidR="00160CFC" w:rsidRPr="004B1A50">
        <w:rPr>
          <w:rFonts w:eastAsia="TimesNewRoman"/>
          <w:color w:val="000000"/>
          <w:szCs w:val="22"/>
          <w:lang w:val="sk-SK"/>
        </w:rPr>
        <w:t xml:space="preserve"> terc-butylamínu</w:t>
      </w:r>
      <w:r w:rsidRPr="004B1A50">
        <w:rPr>
          <w:rFonts w:eastAsia="TimesNewRoman"/>
          <w:color w:val="000000"/>
          <w:szCs w:val="22"/>
          <w:lang w:val="sk-SK"/>
        </w:rPr>
        <w:t>, čo zodpovedá 3,3 mg perindoprilu a 10</w:t>
      </w:r>
      <w:r w:rsidR="00160CFC" w:rsidRPr="004B1A50">
        <w:rPr>
          <w:rFonts w:eastAsia="TimesNewRoman"/>
          <w:color w:val="000000"/>
          <w:szCs w:val="22"/>
          <w:lang w:val="sk-SK"/>
        </w:rPr>
        <w:t xml:space="preserve"> mg amlodipínu, čo zodpovedá </w:t>
      </w:r>
      <w:r w:rsidRPr="004B1A50">
        <w:rPr>
          <w:rFonts w:eastAsia="TimesNewRoman"/>
          <w:color w:val="000000"/>
          <w:szCs w:val="22"/>
          <w:lang w:val="sk-SK"/>
        </w:rPr>
        <w:t>13,9</w:t>
      </w:r>
      <w:r w:rsidR="00160CFC" w:rsidRPr="004B1A50">
        <w:rPr>
          <w:rFonts w:eastAsia="TimesNewRoman"/>
          <w:color w:val="000000"/>
          <w:szCs w:val="22"/>
          <w:lang w:val="sk-SK"/>
        </w:rPr>
        <w:t xml:space="preserve"> mg </w:t>
      </w:r>
      <w:r w:rsidR="00916CB6" w:rsidRPr="004B1A50">
        <w:rPr>
          <w:rFonts w:eastAsia="TimesNewRoman"/>
          <w:color w:val="000000"/>
          <w:szCs w:val="22"/>
          <w:lang w:val="sk-SK"/>
        </w:rPr>
        <w:t>amlodipíniumbesilátu.</w:t>
      </w:r>
    </w:p>
    <w:p w14:paraId="71CF3A5C" w14:textId="77777777" w:rsidR="00176241" w:rsidRDefault="00176241" w:rsidP="00853064">
      <w:pPr>
        <w:autoSpaceDE w:val="0"/>
        <w:autoSpaceDN w:val="0"/>
        <w:adjustRightInd w:val="0"/>
        <w:spacing w:line="240" w:lineRule="auto"/>
        <w:rPr>
          <w:rFonts w:eastAsia="TimesNewRoman"/>
          <w:color w:val="000000"/>
          <w:szCs w:val="22"/>
          <w:lang w:val="sk-SK"/>
        </w:rPr>
      </w:pPr>
    </w:p>
    <w:p w14:paraId="35FED5DC" w14:textId="77777777" w:rsidR="00176241" w:rsidRDefault="00176241" w:rsidP="00176241">
      <w:pPr>
        <w:autoSpaceDE w:val="0"/>
        <w:autoSpaceDN w:val="0"/>
        <w:adjustRightInd w:val="0"/>
        <w:spacing w:line="240" w:lineRule="auto"/>
        <w:rPr>
          <w:rFonts w:eastAsia="TimesNewRoman"/>
          <w:color w:val="000000"/>
          <w:szCs w:val="22"/>
          <w:u w:val="single"/>
          <w:lang w:val="sk-SK"/>
        </w:rPr>
      </w:pPr>
      <w:r w:rsidRPr="000C032A">
        <w:rPr>
          <w:rFonts w:eastAsia="TimesNewRoman"/>
          <w:color w:val="000000"/>
          <w:szCs w:val="22"/>
          <w:u w:val="single"/>
          <w:lang w:val="sk-SK"/>
        </w:rPr>
        <w:t>Pomocná látka so známym účinkom</w:t>
      </w:r>
    </w:p>
    <w:p w14:paraId="0C5F1BD6" w14:textId="77777777" w:rsidR="00176241" w:rsidRDefault="00176241" w:rsidP="00176241">
      <w:pPr>
        <w:autoSpaceDE w:val="0"/>
        <w:autoSpaceDN w:val="0"/>
        <w:adjustRightInd w:val="0"/>
        <w:spacing w:line="240" w:lineRule="auto"/>
        <w:rPr>
          <w:rFonts w:eastAsia="TimesNewRoman"/>
          <w:color w:val="000000"/>
          <w:szCs w:val="22"/>
          <w:lang w:val="sk-SK"/>
        </w:rPr>
      </w:pPr>
      <w:r>
        <w:rPr>
          <w:rFonts w:eastAsia="TimesNewRoman"/>
          <w:color w:val="000000"/>
          <w:szCs w:val="22"/>
          <w:lang w:val="sk-SK"/>
        </w:rPr>
        <w:t>Jedna tableta obsahuje 0,554 mg sodíka.</w:t>
      </w:r>
    </w:p>
    <w:p w14:paraId="37BB9C16" w14:textId="77777777" w:rsidR="00176241" w:rsidRPr="004B1A50" w:rsidRDefault="00176241" w:rsidP="00853064">
      <w:pPr>
        <w:autoSpaceDE w:val="0"/>
        <w:autoSpaceDN w:val="0"/>
        <w:adjustRightInd w:val="0"/>
        <w:spacing w:line="240" w:lineRule="auto"/>
        <w:rPr>
          <w:rFonts w:eastAsia="TimesNewRoman"/>
          <w:color w:val="000000"/>
          <w:szCs w:val="22"/>
          <w:lang w:val="sk-SK"/>
        </w:rPr>
      </w:pPr>
    </w:p>
    <w:p w14:paraId="335FCC70" w14:textId="77777777" w:rsidR="00160CFC" w:rsidRDefault="00971E0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Jedna </w:t>
      </w:r>
      <w:r w:rsidR="00160CFC" w:rsidRPr="004B1A50">
        <w:rPr>
          <w:rFonts w:eastAsia="TimesNewRoman"/>
          <w:color w:val="000000"/>
          <w:szCs w:val="22"/>
          <w:lang w:val="sk-SK"/>
        </w:rPr>
        <w:t xml:space="preserve">tableta obsahuje </w:t>
      </w:r>
      <w:r w:rsidRPr="004B1A50">
        <w:rPr>
          <w:rFonts w:eastAsia="TimesNewRoman"/>
          <w:color w:val="000000"/>
          <w:szCs w:val="22"/>
          <w:lang w:val="sk-SK"/>
        </w:rPr>
        <w:t>8</w:t>
      </w:r>
      <w:r w:rsidR="00160CFC" w:rsidRPr="004B1A50">
        <w:rPr>
          <w:rFonts w:eastAsia="TimesNewRoman"/>
          <w:color w:val="000000"/>
          <w:szCs w:val="22"/>
          <w:lang w:val="sk-SK"/>
        </w:rPr>
        <w:t xml:space="preserve"> mg perindopril</w:t>
      </w:r>
      <w:r w:rsidR="00370588" w:rsidRPr="004B1A50">
        <w:rPr>
          <w:rFonts w:eastAsia="TimesNewRoman"/>
          <w:color w:val="000000"/>
          <w:szCs w:val="22"/>
          <w:lang w:val="sk-SK"/>
        </w:rPr>
        <w:t>u</w:t>
      </w:r>
      <w:r w:rsidR="00160CFC" w:rsidRPr="004B1A50">
        <w:rPr>
          <w:rFonts w:eastAsia="TimesNewRoman"/>
          <w:color w:val="000000"/>
          <w:szCs w:val="22"/>
          <w:lang w:val="sk-SK"/>
        </w:rPr>
        <w:t xml:space="preserve"> terc-butylamínu</w:t>
      </w:r>
      <w:r w:rsidRPr="004B1A50">
        <w:rPr>
          <w:rFonts w:eastAsia="TimesNewRoman"/>
          <w:color w:val="000000"/>
          <w:szCs w:val="22"/>
          <w:lang w:val="sk-SK"/>
        </w:rPr>
        <w:t>, čo zodpovedá 6,7 mg perindoprilu a 5 mg amlodipínu, čo zodpovedá 6,9 mg amlodipíniumbesilátu.</w:t>
      </w:r>
    </w:p>
    <w:p w14:paraId="7D32B35C" w14:textId="77777777" w:rsidR="00176241" w:rsidRDefault="00176241" w:rsidP="00853064">
      <w:pPr>
        <w:autoSpaceDE w:val="0"/>
        <w:autoSpaceDN w:val="0"/>
        <w:adjustRightInd w:val="0"/>
        <w:spacing w:line="240" w:lineRule="auto"/>
        <w:rPr>
          <w:rFonts w:eastAsia="TimesNewRoman"/>
          <w:color w:val="000000"/>
          <w:szCs w:val="22"/>
          <w:lang w:val="sk-SK"/>
        </w:rPr>
      </w:pPr>
    </w:p>
    <w:p w14:paraId="1D17C5FD" w14:textId="77777777" w:rsidR="00176241" w:rsidRDefault="00176241" w:rsidP="00176241">
      <w:pPr>
        <w:autoSpaceDE w:val="0"/>
        <w:autoSpaceDN w:val="0"/>
        <w:adjustRightInd w:val="0"/>
        <w:spacing w:line="240" w:lineRule="auto"/>
        <w:rPr>
          <w:rFonts w:eastAsia="TimesNewRoman"/>
          <w:color w:val="000000"/>
          <w:szCs w:val="22"/>
          <w:u w:val="single"/>
          <w:lang w:val="sk-SK"/>
        </w:rPr>
      </w:pPr>
      <w:r w:rsidRPr="000C032A">
        <w:rPr>
          <w:rFonts w:eastAsia="TimesNewRoman"/>
          <w:color w:val="000000"/>
          <w:szCs w:val="22"/>
          <w:u w:val="single"/>
          <w:lang w:val="sk-SK"/>
        </w:rPr>
        <w:t>Pomocná látka so známym účinkom</w:t>
      </w:r>
    </w:p>
    <w:p w14:paraId="34132E3D" w14:textId="77777777" w:rsidR="00176241" w:rsidRDefault="00176241" w:rsidP="00176241">
      <w:pPr>
        <w:autoSpaceDE w:val="0"/>
        <w:autoSpaceDN w:val="0"/>
        <w:adjustRightInd w:val="0"/>
        <w:spacing w:line="240" w:lineRule="auto"/>
        <w:rPr>
          <w:rFonts w:eastAsia="TimesNewRoman"/>
          <w:color w:val="000000"/>
          <w:szCs w:val="22"/>
          <w:lang w:val="sk-SK"/>
        </w:rPr>
      </w:pPr>
      <w:r>
        <w:rPr>
          <w:rFonts w:eastAsia="TimesNewRoman"/>
          <w:color w:val="000000"/>
          <w:szCs w:val="22"/>
          <w:lang w:val="sk-SK"/>
        </w:rPr>
        <w:t>Jedna tableta obsahuje 0,554 mg sodíka.</w:t>
      </w:r>
    </w:p>
    <w:p w14:paraId="5EE19DE5" w14:textId="77777777" w:rsidR="00176241" w:rsidRPr="004B1A50" w:rsidRDefault="00176241" w:rsidP="00853064">
      <w:pPr>
        <w:autoSpaceDE w:val="0"/>
        <w:autoSpaceDN w:val="0"/>
        <w:adjustRightInd w:val="0"/>
        <w:spacing w:line="240" w:lineRule="auto"/>
        <w:rPr>
          <w:rFonts w:eastAsia="TimesNewRoman"/>
          <w:color w:val="000000"/>
          <w:szCs w:val="22"/>
          <w:lang w:val="sk-SK"/>
        </w:rPr>
      </w:pPr>
    </w:p>
    <w:p w14:paraId="10733BD4" w14:textId="77777777" w:rsidR="00160CFC" w:rsidRDefault="00971E0C" w:rsidP="00971E0C">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Jedna </w:t>
      </w:r>
      <w:r w:rsidR="00160CFC" w:rsidRPr="004B1A50">
        <w:rPr>
          <w:rFonts w:eastAsia="TimesNewRoman"/>
          <w:color w:val="000000"/>
          <w:szCs w:val="22"/>
          <w:lang w:val="sk-SK"/>
        </w:rPr>
        <w:t>tableta obsahuje 8 mg perindopril</w:t>
      </w:r>
      <w:r w:rsidR="00370588" w:rsidRPr="004B1A50">
        <w:rPr>
          <w:rFonts w:eastAsia="TimesNewRoman"/>
          <w:color w:val="000000"/>
          <w:szCs w:val="22"/>
          <w:lang w:val="sk-SK"/>
        </w:rPr>
        <w:t>u</w:t>
      </w:r>
      <w:r w:rsidR="00160CFC" w:rsidRPr="004B1A50">
        <w:rPr>
          <w:rFonts w:eastAsia="TimesNewRoman"/>
          <w:color w:val="000000"/>
          <w:szCs w:val="22"/>
          <w:lang w:val="sk-SK"/>
        </w:rPr>
        <w:t xml:space="preserve"> terc-butylamínu</w:t>
      </w:r>
      <w:r w:rsidRPr="004B1A50">
        <w:rPr>
          <w:rFonts w:eastAsia="TimesNewRoman"/>
          <w:color w:val="000000"/>
          <w:szCs w:val="22"/>
          <w:lang w:val="sk-SK"/>
        </w:rPr>
        <w:t>, čo zodpovedá 6,7 mg perindoprilu a 10 mg amlodipínu, čo zodpovedá 13,9 mg amlodipíniumbesilátu.</w:t>
      </w:r>
    </w:p>
    <w:p w14:paraId="2FCADB21" w14:textId="77777777" w:rsidR="00176241" w:rsidRDefault="00176241" w:rsidP="00971E0C">
      <w:pPr>
        <w:autoSpaceDE w:val="0"/>
        <w:autoSpaceDN w:val="0"/>
        <w:adjustRightInd w:val="0"/>
        <w:spacing w:line="240" w:lineRule="auto"/>
        <w:rPr>
          <w:rFonts w:eastAsia="TimesNewRoman"/>
          <w:color w:val="000000"/>
          <w:szCs w:val="22"/>
          <w:lang w:val="sk-SK"/>
        </w:rPr>
      </w:pPr>
    </w:p>
    <w:p w14:paraId="144553C9" w14:textId="77777777" w:rsidR="00176241" w:rsidRDefault="00176241" w:rsidP="00176241">
      <w:pPr>
        <w:autoSpaceDE w:val="0"/>
        <w:autoSpaceDN w:val="0"/>
        <w:adjustRightInd w:val="0"/>
        <w:spacing w:line="240" w:lineRule="auto"/>
        <w:rPr>
          <w:rFonts w:eastAsia="TimesNewRoman"/>
          <w:color w:val="000000"/>
          <w:szCs w:val="22"/>
          <w:u w:val="single"/>
          <w:lang w:val="sk-SK"/>
        </w:rPr>
      </w:pPr>
      <w:r w:rsidRPr="000C032A">
        <w:rPr>
          <w:rFonts w:eastAsia="TimesNewRoman"/>
          <w:color w:val="000000"/>
          <w:szCs w:val="22"/>
          <w:u w:val="single"/>
          <w:lang w:val="sk-SK"/>
        </w:rPr>
        <w:t>Pomocná látka so známym účinkom</w:t>
      </w:r>
    </w:p>
    <w:p w14:paraId="42AC14D8" w14:textId="77777777" w:rsidR="00176241" w:rsidRDefault="00176241" w:rsidP="00176241">
      <w:pPr>
        <w:autoSpaceDE w:val="0"/>
        <w:autoSpaceDN w:val="0"/>
        <w:adjustRightInd w:val="0"/>
        <w:spacing w:line="240" w:lineRule="auto"/>
        <w:rPr>
          <w:rFonts w:eastAsia="TimesNewRoman"/>
          <w:color w:val="000000"/>
          <w:szCs w:val="22"/>
          <w:lang w:val="sk-SK"/>
        </w:rPr>
      </w:pPr>
      <w:r>
        <w:rPr>
          <w:rFonts w:eastAsia="TimesNewRoman"/>
          <w:color w:val="000000"/>
          <w:szCs w:val="22"/>
          <w:lang w:val="sk-SK"/>
        </w:rPr>
        <w:t>Jedna tableta obsahuje 0,554 mg sodíka.</w:t>
      </w:r>
    </w:p>
    <w:p w14:paraId="01342EAF"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49EFAD17" w14:textId="77777777" w:rsidR="00160CFC" w:rsidRPr="004B1A50" w:rsidRDefault="00160CFC" w:rsidP="00853064">
      <w:pPr>
        <w:rPr>
          <w:lang w:val="sk-SK"/>
        </w:rPr>
      </w:pPr>
      <w:r w:rsidRPr="004B1A50">
        <w:rPr>
          <w:lang w:val="sk-SK"/>
        </w:rPr>
        <w:t>Úplný zoznam pomocných látok, pozri časť 6.1.</w:t>
      </w:r>
    </w:p>
    <w:p w14:paraId="0AD02A12" w14:textId="77777777" w:rsidR="00160CFC" w:rsidRPr="004B1A50" w:rsidRDefault="00160CFC" w:rsidP="00853064">
      <w:pPr>
        <w:rPr>
          <w:lang w:val="sk-SK"/>
        </w:rPr>
      </w:pPr>
    </w:p>
    <w:p w14:paraId="6EEAA3E4" w14:textId="77777777" w:rsidR="00160CFC" w:rsidRPr="004B1A50" w:rsidRDefault="00160CFC" w:rsidP="00853064">
      <w:pPr>
        <w:rPr>
          <w:lang w:val="sk-SK"/>
        </w:rPr>
      </w:pPr>
    </w:p>
    <w:p w14:paraId="3A9E5A3D" w14:textId="77777777" w:rsidR="00160CFC" w:rsidRPr="004B1A50" w:rsidRDefault="00160CFC" w:rsidP="00853064">
      <w:pPr>
        <w:numPr>
          <w:ilvl w:val="0"/>
          <w:numId w:val="5"/>
        </w:numPr>
        <w:tabs>
          <w:tab w:val="clear" w:pos="567"/>
        </w:tabs>
        <w:ind w:left="567" w:hanging="567"/>
        <w:rPr>
          <w:caps/>
          <w:lang w:val="sk-SK"/>
        </w:rPr>
      </w:pPr>
      <w:r w:rsidRPr="004B1A50">
        <w:rPr>
          <w:b/>
          <w:bCs/>
          <w:lang w:val="sk-SK"/>
        </w:rPr>
        <w:t xml:space="preserve">LIEKOVÁ </w:t>
      </w:r>
      <w:r w:rsidRPr="004B1A50">
        <w:rPr>
          <w:b/>
          <w:bCs/>
          <w:caps/>
          <w:lang w:val="sk-SK"/>
        </w:rPr>
        <w:t>forma</w:t>
      </w:r>
    </w:p>
    <w:p w14:paraId="67F8AC1A" w14:textId="77777777" w:rsidR="00160CFC" w:rsidRPr="004B1A50" w:rsidRDefault="00160CFC" w:rsidP="00853064">
      <w:pPr>
        <w:rPr>
          <w:lang w:val="sk-SK"/>
        </w:rPr>
      </w:pPr>
    </w:p>
    <w:p w14:paraId="49EF4866" w14:textId="77777777" w:rsidR="00160CFC" w:rsidRPr="004B1A50" w:rsidRDefault="00160CFC" w:rsidP="00853064">
      <w:pPr>
        <w:rPr>
          <w:lang w:val="sk-SK"/>
        </w:rPr>
      </w:pPr>
      <w:r w:rsidRPr="004B1A50">
        <w:rPr>
          <w:lang w:val="sk-SK"/>
        </w:rPr>
        <w:t>Tableta.</w:t>
      </w:r>
    </w:p>
    <w:p w14:paraId="7BB93A8E" w14:textId="77777777" w:rsidR="00160CFC" w:rsidRPr="004B1A50" w:rsidRDefault="00160CFC" w:rsidP="00853064">
      <w:pPr>
        <w:rPr>
          <w:lang w:val="sk-SK"/>
        </w:rPr>
      </w:pPr>
    </w:p>
    <w:p w14:paraId="0C08610F" w14:textId="08817AB6" w:rsidR="00160CFC" w:rsidRPr="004B1A50" w:rsidRDefault="00297F80" w:rsidP="00853064">
      <w:pPr>
        <w:autoSpaceDE w:val="0"/>
        <w:autoSpaceDN w:val="0"/>
        <w:adjustRightInd w:val="0"/>
        <w:spacing w:line="240" w:lineRule="auto"/>
        <w:rPr>
          <w:lang w:val="sk-SK"/>
        </w:rPr>
      </w:pPr>
      <w:r w:rsidRPr="004B1A50">
        <w:rPr>
          <w:lang w:val="sk-SK"/>
        </w:rPr>
        <w:t>Perindamlostad</w:t>
      </w:r>
      <w:r w:rsidR="00160CFC" w:rsidRPr="004B1A50">
        <w:rPr>
          <w:lang w:val="sk-SK"/>
        </w:rPr>
        <w:t xml:space="preserve"> </w:t>
      </w:r>
      <w:r w:rsidR="00160CFC" w:rsidRPr="004B1A50">
        <w:rPr>
          <w:color w:val="000000"/>
          <w:szCs w:val="22"/>
          <w:lang w:val="sk-SK"/>
        </w:rPr>
        <w:t>4 mg/5 mg</w:t>
      </w:r>
      <w:r w:rsidR="00971E0C" w:rsidRPr="004B1A50">
        <w:rPr>
          <w:color w:val="000000"/>
          <w:szCs w:val="22"/>
          <w:lang w:val="sk-SK"/>
        </w:rPr>
        <w:t xml:space="preserve"> tablety sú b</w:t>
      </w:r>
      <w:r w:rsidR="00160CFC" w:rsidRPr="004B1A50">
        <w:rPr>
          <w:lang w:val="sk-SK"/>
        </w:rPr>
        <w:t xml:space="preserve">iele až </w:t>
      </w:r>
      <w:r w:rsidR="00916CB6" w:rsidRPr="004B1A50">
        <w:rPr>
          <w:lang w:val="sk-SK"/>
        </w:rPr>
        <w:t>takmer biele</w:t>
      </w:r>
      <w:r w:rsidR="00160CFC" w:rsidRPr="004B1A50">
        <w:rPr>
          <w:lang w:val="sk-SK"/>
        </w:rPr>
        <w:t xml:space="preserve"> </w:t>
      </w:r>
      <w:r w:rsidR="00971E0C" w:rsidRPr="004B1A50">
        <w:rPr>
          <w:lang w:val="sk-SK"/>
        </w:rPr>
        <w:t>oválne</w:t>
      </w:r>
      <w:r w:rsidR="00160CFC" w:rsidRPr="004B1A50">
        <w:rPr>
          <w:lang w:val="sk-SK"/>
        </w:rPr>
        <w:t xml:space="preserve"> bikonvexné</w:t>
      </w:r>
      <w:r w:rsidR="00971E0C" w:rsidRPr="004B1A50">
        <w:rPr>
          <w:lang w:val="sk-SK"/>
        </w:rPr>
        <w:t xml:space="preserve"> </w:t>
      </w:r>
      <w:r w:rsidR="00916CB6" w:rsidRPr="004B1A50">
        <w:rPr>
          <w:lang w:val="sk-SK"/>
        </w:rPr>
        <w:t xml:space="preserve"> </w:t>
      </w:r>
      <w:r w:rsidR="00971E0C" w:rsidRPr="004B1A50">
        <w:rPr>
          <w:lang w:val="sk-SK"/>
        </w:rPr>
        <w:t>tablety, 5 mm x 9 mm, na jednej strane označené 4|5 a hladké na druhej strane.</w:t>
      </w:r>
    </w:p>
    <w:p w14:paraId="38803F83" w14:textId="328D9590" w:rsidR="00971E0C" w:rsidRPr="004B1A50" w:rsidRDefault="00971E0C" w:rsidP="00971E0C">
      <w:pPr>
        <w:autoSpaceDE w:val="0"/>
        <w:autoSpaceDN w:val="0"/>
        <w:adjustRightInd w:val="0"/>
        <w:spacing w:line="240" w:lineRule="auto"/>
        <w:rPr>
          <w:lang w:val="sk-SK"/>
        </w:rPr>
      </w:pPr>
      <w:r w:rsidRPr="004B1A50">
        <w:rPr>
          <w:lang w:val="sk-SK"/>
        </w:rPr>
        <w:t xml:space="preserve">Perindamlostad </w:t>
      </w:r>
      <w:r w:rsidRPr="004B1A50">
        <w:rPr>
          <w:color w:val="000000"/>
          <w:szCs w:val="22"/>
          <w:lang w:val="sk-SK"/>
        </w:rPr>
        <w:t>4 mg/10 mg tablety sú b</w:t>
      </w:r>
      <w:r w:rsidRPr="004B1A50">
        <w:rPr>
          <w:lang w:val="sk-SK"/>
        </w:rPr>
        <w:t>iele až takmer biele obdĺžnikové bikonvexné  tablety, 8 mm x 8 mm, na jednej strane označené 4|10 a hladké na druhej strane.</w:t>
      </w:r>
    </w:p>
    <w:p w14:paraId="2B114DDF" w14:textId="76641937" w:rsidR="00971E0C" w:rsidRPr="004B1A50" w:rsidRDefault="00971E0C" w:rsidP="00971E0C">
      <w:pPr>
        <w:autoSpaceDE w:val="0"/>
        <w:autoSpaceDN w:val="0"/>
        <w:adjustRightInd w:val="0"/>
        <w:spacing w:line="240" w:lineRule="auto"/>
        <w:rPr>
          <w:lang w:val="sk-SK"/>
        </w:rPr>
      </w:pPr>
      <w:r w:rsidRPr="004B1A50">
        <w:rPr>
          <w:lang w:val="sk-SK"/>
        </w:rPr>
        <w:t xml:space="preserve">Perindamlostad </w:t>
      </w:r>
      <w:r w:rsidRPr="004B1A50">
        <w:rPr>
          <w:color w:val="000000"/>
          <w:szCs w:val="22"/>
          <w:lang w:val="sk-SK"/>
        </w:rPr>
        <w:t>8 mg/5 mg tablety sú b</w:t>
      </w:r>
      <w:r w:rsidRPr="004B1A50">
        <w:rPr>
          <w:lang w:val="sk-SK"/>
        </w:rPr>
        <w:t>iele až takmer biele trojuholníkové bikonvexné  tablety, jedna strana 9 mm</w:t>
      </w:r>
      <w:r w:rsidR="00370588" w:rsidRPr="004B1A50">
        <w:rPr>
          <w:lang w:val="sk-SK"/>
        </w:rPr>
        <w:t xml:space="preserve"> dlhá</w:t>
      </w:r>
      <w:r w:rsidRPr="004B1A50">
        <w:rPr>
          <w:lang w:val="sk-SK"/>
        </w:rPr>
        <w:t>, na jednej strane označené 8|5 a hladké na druhej strane.</w:t>
      </w:r>
    </w:p>
    <w:p w14:paraId="51E53037" w14:textId="1AF504DC" w:rsidR="00971E0C" w:rsidRPr="004B1A50" w:rsidRDefault="00971E0C" w:rsidP="00971E0C">
      <w:pPr>
        <w:autoSpaceDE w:val="0"/>
        <w:autoSpaceDN w:val="0"/>
        <w:adjustRightInd w:val="0"/>
        <w:spacing w:line="240" w:lineRule="auto"/>
        <w:rPr>
          <w:lang w:val="sk-SK"/>
        </w:rPr>
      </w:pPr>
      <w:r w:rsidRPr="004B1A50">
        <w:rPr>
          <w:lang w:val="sk-SK"/>
        </w:rPr>
        <w:t xml:space="preserve">Perindamlostad </w:t>
      </w:r>
      <w:r w:rsidRPr="004B1A50">
        <w:rPr>
          <w:color w:val="000000"/>
          <w:szCs w:val="22"/>
          <w:lang w:val="sk-SK"/>
        </w:rPr>
        <w:t>8 mg/10 mg tablety sú b</w:t>
      </w:r>
      <w:r w:rsidRPr="004B1A50">
        <w:rPr>
          <w:lang w:val="sk-SK"/>
        </w:rPr>
        <w:t>iele až takmer biele okrúhle bikonvexné  tablety, priemer 9 mm, na jednej strane označené 8|10 a hladké na druhej strane.</w:t>
      </w:r>
    </w:p>
    <w:p w14:paraId="60777D67" w14:textId="77777777" w:rsidR="00971E0C" w:rsidRPr="004B1A50" w:rsidRDefault="00971E0C" w:rsidP="00853064">
      <w:pPr>
        <w:autoSpaceDE w:val="0"/>
        <w:autoSpaceDN w:val="0"/>
        <w:adjustRightInd w:val="0"/>
        <w:spacing w:line="240" w:lineRule="auto"/>
        <w:rPr>
          <w:lang w:val="sk-SK"/>
        </w:rPr>
      </w:pPr>
    </w:p>
    <w:p w14:paraId="6312C6EF" w14:textId="77777777" w:rsidR="00160CFC" w:rsidRPr="004B1A50" w:rsidRDefault="00160CFC" w:rsidP="00853064">
      <w:pPr>
        <w:rPr>
          <w:lang w:val="sk-SK"/>
        </w:rPr>
      </w:pPr>
    </w:p>
    <w:p w14:paraId="6266BBF4" w14:textId="77777777" w:rsidR="00160CFC" w:rsidRPr="004B1A50" w:rsidRDefault="00160CFC" w:rsidP="00853064">
      <w:pPr>
        <w:numPr>
          <w:ilvl w:val="0"/>
          <w:numId w:val="5"/>
        </w:numPr>
        <w:tabs>
          <w:tab w:val="clear" w:pos="567"/>
        </w:tabs>
        <w:ind w:left="567" w:hanging="567"/>
        <w:rPr>
          <w:caps/>
          <w:lang w:val="sk-SK"/>
        </w:rPr>
      </w:pPr>
      <w:r w:rsidRPr="004B1A50">
        <w:rPr>
          <w:b/>
          <w:bCs/>
          <w:caps/>
          <w:lang w:val="sk-SK"/>
        </w:rPr>
        <w:lastRenderedPageBreak/>
        <w:t>Klinické údaje</w:t>
      </w:r>
    </w:p>
    <w:p w14:paraId="1A456685" w14:textId="77777777" w:rsidR="00160CFC" w:rsidRPr="004B1A50" w:rsidRDefault="00160CFC" w:rsidP="00853064">
      <w:pPr>
        <w:rPr>
          <w:lang w:val="sk-SK"/>
        </w:rPr>
      </w:pPr>
    </w:p>
    <w:p w14:paraId="737ABEDA" w14:textId="77777777" w:rsidR="00160CFC" w:rsidRPr="004B1A50" w:rsidRDefault="00160CFC" w:rsidP="00853064">
      <w:pPr>
        <w:numPr>
          <w:ilvl w:val="0"/>
          <w:numId w:val="7"/>
        </w:numPr>
        <w:tabs>
          <w:tab w:val="clear" w:pos="567"/>
        </w:tabs>
        <w:ind w:left="567" w:hanging="567"/>
        <w:rPr>
          <w:lang w:val="sk-SK"/>
        </w:rPr>
      </w:pPr>
      <w:r w:rsidRPr="004B1A50">
        <w:rPr>
          <w:b/>
          <w:bCs/>
          <w:lang w:val="sk-SK"/>
        </w:rPr>
        <w:t>Terapeutické indikácie</w:t>
      </w:r>
    </w:p>
    <w:p w14:paraId="46F8966C" w14:textId="77777777" w:rsidR="00160CFC" w:rsidRPr="004B1A50" w:rsidRDefault="00160CFC" w:rsidP="00853064">
      <w:pPr>
        <w:ind w:left="567" w:hanging="567"/>
        <w:rPr>
          <w:lang w:val="sk-SK"/>
        </w:rPr>
      </w:pPr>
    </w:p>
    <w:p w14:paraId="49AF965C" w14:textId="77777777" w:rsidR="00160CFC" w:rsidRPr="004B1A50" w:rsidRDefault="00297F80" w:rsidP="00853064">
      <w:pPr>
        <w:autoSpaceDE w:val="0"/>
        <w:autoSpaceDN w:val="0"/>
        <w:adjustRightInd w:val="0"/>
        <w:spacing w:line="240" w:lineRule="auto"/>
        <w:rPr>
          <w:rFonts w:eastAsia="TimesNewRoman"/>
          <w:color w:val="000000"/>
          <w:szCs w:val="22"/>
          <w:lang w:val="sk-SK"/>
        </w:rPr>
      </w:pPr>
      <w:r w:rsidRPr="004B1A50">
        <w:rPr>
          <w:lang w:val="sk-SK"/>
        </w:rPr>
        <w:t>Perindamlostad</w:t>
      </w:r>
      <w:r w:rsidR="005E5C6C" w:rsidRPr="004B1A50">
        <w:rPr>
          <w:lang w:val="sk-SK"/>
        </w:rPr>
        <w:t xml:space="preserve"> </w:t>
      </w:r>
      <w:r w:rsidR="00160CFC" w:rsidRPr="004B1A50">
        <w:rPr>
          <w:color w:val="000000"/>
          <w:szCs w:val="22"/>
          <w:lang w:val="sk-SK"/>
        </w:rPr>
        <w:t xml:space="preserve">je indikovaný ako substitučná liečba na liečbu esenciálnej hypertenzie a/alebo </w:t>
      </w:r>
      <w:r w:rsidR="0014699D" w:rsidRPr="004B1A50">
        <w:rPr>
          <w:lang w:val="sk-SK" w:eastAsia="sk-SK"/>
        </w:rPr>
        <w:t>stabilnej ischemickej choroby srdca</w:t>
      </w:r>
      <w:r w:rsidR="00160CFC" w:rsidRPr="004B1A50">
        <w:rPr>
          <w:color w:val="000000"/>
          <w:szCs w:val="22"/>
          <w:lang w:val="sk-SK"/>
        </w:rPr>
        <w:t xml:space="preserve"> u pacientov už kontrolovaných perindoprilom a amlodipínom, ktoré </w:t>
      </w:r>
      <w:r w:rsidR="00AF7258" w:rsidRPr="004B1A50">
        <w:rPr>
          <w:color w:val="000000"/>
          <w:szCs w:val="22"/>
          <w:lang w:val="sk-SK"/>
        </w:rPr>
        <w:t>sa podávajú súbežne v</w:t>
      </w:r>
      <w:r w:rsidR="00370588" w:rsidRPr="004B1A50">
        <w:rPr>
          <w:color w:val="000000"/>
          <w:szCs w:val="22"/>
          <w:lang w:val="sk-SK"/>
        </w:rPr>
        <w:t> </w:t>
      </w:r>
      <w:r w:rsidR="00AF7258" w:rsidRPr="004B1A50">
        <w:rPr>
          <w:color w:val="000000"/>
          <w:szCs w:val="22"/>
          <w:lang w:val="sk-SK"/>
        </w:rPr>
        <w:t>rovnakých</w:t>
      </w:r>
      <w:r w:rsidR="00370588" w:rsidRPr="004B1A50">
        <w:rPr>
          <w:color w:val="000000"/>
          <w:szCs w:val="22"/>
          <w:lang w:val="sk-SK"/>
        </w:rPr>
        <w:t xml:space="preserve"> dávkach</w:t>
      </w:r>
      <w:r w:rsidR="00AF7258" w:rsidRPr="004B1A50">
        <w:rPr>
          <w:color w:val="000000"/>
          <w:szCs w:val="22"/>
          <w:lang w:val="sk-SK"/>
        </w:rPr>
        <w:t>.</w:t>
      </w:r>
    </w:p>
    <w:p w14:paraId="70281B30" w14:textId="77777777" w:rsidR="00160CFC" w:rsidRPr="004B1A50" w:rsidRDefault="00160CFC" w:rsidP="00853064">
      <w:pPr>
        <w:rPr>
          <w:rFonts w:eastAsia="TimesNewRoman"/>
          <w:color w:val="000000"/>
          <w:szCs w:val="22"/>
          <w:lang w:val="sk-SK"/>
        </w:rPr>
      </w:pPr>
    </w:p>
    <w:p w14:paraId="4DA8037D" w14:textId="77777777" w:rsidR="00160CFC" w:rsidRPr="004B1A50" w:rsidRDefault="00160CFC" w:rsidP="00853064">
      <w:pPr>
        <w:numPr>
          <w:ilvl w:val="0"/>
          <w:numId w:val="7"/>
        </w:numPr>
        <w:tabs>
          <w:tab w:val="clear" w:pos="567"/>
        </w:tabs>
        <w:ind w:left="567" w:hanging="567"/>
        <w:rPr>
          <w:lang w:val="sk-SK"/>
        </w:rPr>
      </w:pPr>
      <w:r w:rsidRPr="004B1A50">
        <w:rPr>
          <w:b/>
          <w:bCs/>
          <w:lang w:val="sk-SK"/>
        </w:rPr>
        <w:t>Dávkovanie a spôsob podávania</w:t>
      </w:r>
    </w:p>
    <w:p w14:paraId="419AA069" w14:textId="77777777" w:rsidR="00160CFC" w:rsidRPr="004B1A50" w:rsidRDefault="00160CFC" w:rsidP="00853064">
      <w:pPr>
        <w:ind w:left="567" w:hanging="567"/>
        <w:rPr>
          <w:lang w:val="sk-SK"/>
        </w:rPr>
      </w:pPr>
    </w:p>
    <w:p w14:paraId="6408B95A" w14:textId="77777777" w:rsidR="00160CFC" w:rsidRPr="004B1A50" w:rsidRDefault="00160CFC" w:rsidP="00853064">
      <w:pPr>
        <w:tabs>
          <w:tab w:val="clear" w:pos="567"/>
        </w:tabs>
        <w:spacing w:line="240" w:lineRule="auto"/>
        <w:rPr>
          <w:szCs w:val="22"/>
          <w:lang w:val="sk-SK"/>
        </w:rPr>
      </w:pPr>
      <w:r w:rsidRPr="004B1A50">
        <w:rPr>
          <w:szCs w:val="22"/>
          <w:u w:val="single"/>
          <w:lang w:val="sk-SK"/>
        </w:rPr>
        <w:t>Dávkovanie</w:t>
      </w:r>
    </w:p>
    <w:p w14:paraId="3DBBB066" w14:textId="77777777" w:rsidR="00160CFC" w:rsidRPr="004B1A50" w:rsidRDefault="00160CFC" w:rsidP="00853064">
      <w:pPr>
        <w:autoSpaceDE w:val="0"/>
        <w:autoSpaceDN w:val="0"/>
        <w:adjustRightInd w:val="0"/>
        <w:spacing w:line="240" w:lineRule="auto"/>
        <w:rPr>
          <w:rFonts w:eastAsia="TimesNewRoman"/>
          <w:szCs w:val="22"/>
          <w:lang w:val="sk-SK"/>
        </w:rPr>
      </w:pPr>
      <w:r w:rsidRPr="004B1A50">
        <w:rPr>
          <w:rFonts w:eastAsia="TimesNewRoman"/>
          <w:szCs w:val="22"/>
          <w:lang w:val="sk-SK"/>
        </w:rPr>
        <w:t xml:space="preserve">Jedna tableta </w:t>
      </w:r>
      <w:r w:rsidR="006D0FA8" w:rsidRPr="004B1A50">
        <w:rPr>
          <w:rFonts w:eastAsia="TimesNewRoman"/>
          <w:szCs w:val="22"/>
          <w:lang w:val="sk-SK"/>
        </w:rPr>
        <w:t xml:space="preserve">užitá </w:t>
      </w:r>
      <w:r w:rsidRPr="004B1A50">
        <w:rPr>
          <w:rFonts w:eastAsia="TimesNewRoman"/>
          <w:szCs w:val="22"/>
          <w:lang w:val="sk-SK"/>
        </w:rPr>
        <w:t>denne ako jednotlivá dávka, prednostne ráno a pred jedlom.</w:t>
      </w:r>
    </w:p>
    <w:p w14:paraId="646B18D0" w14:textId="77777777" w:rsidR="00160CFC" w:rsidRPr="004B1A50" w:rsidRDefault="00160CFC" w:rsidP="00853064">
      <w:pPr>
        <w:tabs>
          <w:tab w:val="clear" w:pos="567"/>
        </w:tabs>
        <w:spacing w:line="240" w:lineRule="auto"/>
        <w:rPr>
          <w:szCs w:val="22"/>
          <w:u w:val="single"/>
          <w:lang w:val="sk-SK"/>
        </w:rPr>
      </w:pPr>
    </w:p>
    <w:p w14:paraId="7BA3C2A5" w14:textId="77777777" w:rsidR="00160CFC" w:rsidRPr="004B1A50" w:rsidRDefault="0014699D"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Na</w:t>
      </w:r>
      <w:r w:rsidR="00160CFC" w:rsidRPr="004B1A50">
        <w:rPr>
          <w:rFonts w:eastAsia="TimesNewRoman"/>
          <w:color w:val="000000"/>
          <w:szCs w:val="22"/>
          <w:lang w:val="sk-SK"/>
        </w:rPr>
        <w:t xml:space="preserve"> </w:t>
      </w:r>
      <w:r w:rsidRPr="004B1A50">
        <w:rPr>
          <w:rFonts w:eastAsia="TimesNewRoman"/>
          <w:color w:val="000000"/>
          <w:szCs w:val="22"/>
          <w:lang w:val="sk-SK"/>
        </w:rPr>
        <w:t>za</w:t>
      </w:r>
      <w:r w:rsidR="00160CFC" w:rsidRPr="004B1A50">
        <w:rPr>
          <w:rFonts w:eastAsia="TimesNewRoman"/>
          <w:color w:val="000000"/>
          <w:szCs w:val="22"/>
          <w:lang w:val="sk-SK"/>
        </w:rPr>
        <w:t xml:space="preserve">čiatočnú liečbu nie je vhodná </w:t>
      </w:r>
      <w:r w:rsidRPr="004B1A50">
        <w:rPr>
          <w:rFonts w:eastAsia="TimesNewRoman"/>
          <w:color w:val="000000"/>
          <w:szCs w:val="22"/>
          <w:lang w:val="sk-SK"/>
        </w:rPr>
        <w:t xml:space="preserve">fixná </w:t>
      </w:r>
      <w:r w:rsidR="00160CFC" w:rsidRPr="004B1A50">
        <w:rPr>
          <w:rFonts w:eastAsia="TimesNewRoman"/>
          <w:color w:val="000000"/>
          <w:szCs w:val="22"/>
          <w:lang w:val="sk-SK"/>
        </w:rPr>
        <w:t>kombinácia dávok.</w:t>
      </w:r>
    </w:p>
    <w:p w14:paraId="546F2109"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color w:val="000000"/>
          <w:szCs w:val="22"/>
          <w:lang w:val="sk-SK"/>
        </w:rPr>
        <w:t xml:space="preserve">Ak je potrebná zmena dávkovania, dávka </w:t>
      </w:r>
      <w:r w:rsidR="00534EA4" w:rsidRPr="004B1A50">
        <w:rPr>
          <w:color w:val="000000"/>
          <w:szCs w:val="22"/>
          <w:lang w:val="sk-SK"/>
        </w:rPr>
        <w:t>Perindamlostadu</w:t>
      </w:r>
      <w:r w:rsidRPr="004B1A50">
        <w:rPr>
          <w:color w:val="000000"/>
          <w:szCs w:val="22"/>
          <w:lang w:val="sk-SK"/>
        </w:rPr>
        <w:t xml:space="preserve"> sa </w:t>
      </w:r>
      <w:r w:rsidR="00534EA4" w:rsidRPr="004B1A50">
        <w:rPr>
          <w:color w:val="000000"/>
          <w:szCs w:val="22"/>
          <w:lang w:val="sk-SK"/>
        </w:rPr>
        <w:t>môže</w:t>
      </w:r>
      <w:r w:rsidRPr="004B1A50">
        <w:rPr>
          <w:color w:val="000000"/>
          <w:szCs w:val="22"/>
          <w:lang w:val="sk-SK"/>
        </w:rPr>
        <w:t xml:space="preserve"> upraviť</w:t>
      </w:r>
      <w:r w:rsidR="0011263D" w:rsidRPr="004B1A50">
        <w:rPr>
          <w:color w:val="000000"/>
          <w:szCs w:val="22"/>
          <w:lang w:val="sk-SK"/>
        </w:rPr>
        <w:t>,</w:t>
      </w:r>
      <w:r w:rsidRPr="004B1A50">
        <w:rPr>
          <w:color w:val="000000"/>
          <w:szCs w:val="22"/>
          <w:lang w:val="sk-SK"/>
        </w:rPr>
        <w:t xml:space="preserve"> alebo sa môže zvážiť </w:t>
      </w:r>
      <w:r w:rsidR="00F516AB" w:rsidRPr="004B1A50">
        <w:rPr>
          <w:color w:val="000000"/>
          <w:szCs w:val="22"/>
          <w:lang w:val="sk-SK"/>
        </w:rPr>
        <w:t>jednotlivá</w:t>
      </w:r>
      <w:r w:rsidRPr="004B1A50">
        <w:rPr>
          <w:color w:val="000000"/>
          <w:szCs w:val="22"/>
          <w:lang w:val="sk-SK"/>
        </w:rPr>
        <w:t xml:space="preserve"> titrácia voľnou kombináciou.</w:t>
      </w:r>
    </w:p>
    <w:p w14:paraId="46534217"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31B54CF"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Osobitné skupiny pacientov</w:t>
      </w:r>
    </w:p>
    <w:p w14:paraId="4A91449E"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42023CD0" w14:textId="4C975BA8" w:rsidR="00160CFC" w:rsidRPr="004B1A50" w:rsidRDefault="00447086" w:rsidP="00853064">
      <w:pPr>
        <w:autoSpaceDE w:val="0"/>
        <w:autoSpaceDN w:val="0"/>
        <w:adjustRightInd w:val="0"/>
        <w:spacing w:line="240" w:lineRule="auto"/>
        <w:rPr>
          <w:rFonts w:eastAsia="TimesNewRoman,Italic"/>
          <w:iCs/>
          <w:color w:val="000000"/>
          <w:szCs w:val="22"/>
          <w:lang w:val="sk-SK"/>
        </w:rPr>
      </w:pPr>
      <w:r>
        <w:rPr>
          <w:rFonts w:eastAsia="TimesNewRoman,Italic"/>
          <w:i/>
          <w:iCs/>
          <w:color w:val="000000"/>
          <w:szCs w:val="22"/>
          <w:lang w:val="sk-SK"/>
        </w:rPr>
        <w:t xml:space="preserve">Porucha </w:t>
      </w:r>
      <w:r w:rsidR="0014699D" w:rsidRPr="004B1A50">
        <w:rPr>
          <w:rFonts w:eastAsia="TimesNewRoman,Italic"/>
          <w:i/>
          <w:iCs/>
          <w:color w:val="000000"/>
          <w:szCs w:val="22"/>
          <w:lang w:val="sk-SK"/>
        </w:rPr>
        <w:t xml:space="preserve">funkcie </w:t>
      </w:r>
      <w:r w:rsidR="00160CFC" w:rsidRPr="004B1A50">
        <w:rPr>
          <w:rFonts w:eastAsia="TimesNewRoman,Italic"/>
          <w:i/>
          <w:iCs/>
          <w:color w:val="000000"/>
          <w:szCs w:val="22"/>
          <w:lang w:val="sk-SK"/>
        </w:rPr>
        <w:t xml:space="preserve">obličiek a starší </w:t>
      </w:r>
      <w:r w:rsidR="00706438">
        <w:rPr>
          <w:rFonts w:eastAsia="TimesNewRoman,Italic"/>
          <w:i/>
          <w:iCs/>
          <w:color w:val="000000"/>
          <w:szCs w:val="22"/>
          <w:lang w:val="sk-SK"/>
        </w:rPr>
        <w:t>ľudia</w:t>
      </w:r>
      <w:r w:rsidR="00706438" w:rsidRPr="004B1A50">
        <w:rPr>
          <w:rFonts w:eastAsia="TimesNewRoman,Italic"/>
          <w:i/>
          <w:iCs/>
          <w:color w:val="000000"/>
          <w:szCs w:val="22"/>
          <w:lang w:val="sk-SK"/>
        </w:rPr>
        <w:t xml:space="preserve"> </w:t>
      </w:r>
      <w:r w:rsidR="00160CFC" w:rsidRPr="004B1A50">
        <w:rPr>
          <w:rFonts w:eastAsia="TimesNewRoman,Italic"/>
          <w:i/>
          <w:iCs/>
          <w:color w:val="000000"/>
          <w:szCs w:val="22"/>
          <w:lang w:val="sk-SK"/>
        </w:rPr>
        <w:t>(pozri časti 4.4 a 5.2)</w:t>
      </w:r>
    </w:p>
    <w:p w14:paraId="6AE3D91E" w14:textId="662570E0"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U starších </w:t>
      </w:r>
      <w:r w:rsidR="00706438">
        <w:rPr>
          <w:rFonts w:eastAsia="TimesNewRoman"/>
          <w:color w:val="000000"/>
          <w:szCs w:val="22"/>
          <w:lang w:val="sk-SK"/>
        </w:rPr>
        <w:t>ľudí</w:t>
      </w:r>
      <w:r w:rsidR="00706438" w:rsidRPr="004B1A50">
        <w:rPr>
          <w:rFonts w:eastAsia="TimesNewRoman"/>
          <w:color w:val="000000"/>
          <w:szCs w:val="22"/>
          <w:lang w:val="sk-SK"/>
        </w:rPr>
        <w:t xml:space="preserve"> </w:t>
      </w:r>
      <w:r w:rsidRPr="004B1A50">
        <w:rPr>
          <w:rFonts w:eastAsia="TimesNewRoman"/>
          <w:color w:val="000000"/>
          <w:szCs w:val="22"/>
          <w:lang w:val="sk-SK"/>
        </w:rPr>
        <w:t xml:space="preserve">a pacientov </w:t>
      </w:r>
      <w:r w:rsidR="00753F55">
        <w:rPr>
          <w:rFonts w:eastAsia="TimesNewRoman"/>
          <w:color w:val="000000"/>
          <w:szCs w:val="22"/>
          <w:lang w:val="sk-SK"/>
        </w:rPr>
        <w:t>so zlyhaním</w:t>
      </w:r>
      <w:r w:rsidR="0014699D" w:rsidRPr="004B1A50">
        <w:rPr>
          <w:rFonts w:eastAsia="TimesNewRoman"/>
          <w:color w:val="000000"/>
          <w:szCs w:val="22"/>
          <w:lang w:val="sk-SK"/>
        </w:rPr>
        <w:t xml:space="preserve"> </w:t>
      </w:r>
      <w:r w:rsidRPr="004B1A50">
        <w:rPr>
          <w:rFonts w:eastAsia="TimesNewRoman"/>
          <w:color w:val="000000"/>
          <w:szCs w:val="22"/>
          <w:lang w:val="sk-SK"/>
        </w:rPr>
        <w:t>obličiek sa znižuje eliminácia perindoprilátu. Bežné lekárske sledovanie bude preto zahŕňať časté monitorovanie kreatinínu a draslíka.</w:t>
      </w:r>
    </w:p>
    <w:p w14:paraId="420D40C5" w14:textId="77777777" w:rsidR="00160CFC" w:rsidRPr="004B1A50" w:rsidRDefault="00E9220C" w:rsidP="00853064">
      <w:pPr>
        <w:autoSpaceDE w:val="0"/>
        <w:autoSpaceDN w:val="0"/>
        <w:adjustRightInd w:val="0"/>
        <w:spacing w:line="240" w:lineRule="auto"/>
        <w:rPr>
          <w:rFonts w:eastAsia="TimesNewRoman"/>
          <w:color w:val="000000"/>
          <w:szCs w:val="22"/>
          <w:lang w:val="sk-SK"/>
        </w:rPr>
      </w:pPr>
      <w:r w:rsidRPr="004B1A50">
        <w:rPr>
          <w:lang w:val="sk-SK"/>
        </w:rPr>
        <w:t xml:space="preserve">Perindamlostad </w:t>
      </w:r>
      <w:r w:rsidR="00160CFC" w:rsidRPr="004B1A50">
        <w:rPr>
          <w:rFonts w:eastAsia="TimesNewRoman"/>
          <w:color w:val="000000"/>
          <w:szCs w:val="22"/>
          <w:lang w:val="sk-SK"/>
        </w:rPr>
        <w:t>sa môže podávať u pacientov s hodnotou Clcr ≥ 60 ml/min a nie je</w:t>
      </w:r>
      <w:r w:rsidR="008C4FB9" w:rsidRPr="004B1A50">
        <w:rPr>
          <w:rFonts w:eastAsia="TimesNewRoman"/>
          <w:color w:val="000000"/>
          <w:szCs w:val="22"/>
          <w:lang w:val="sk-SK"/>
        </w:rPr>
        <w:t xml:space="preserve"> </w:t>
      </w:r>
      <w:r w:rsidR="00160CFC" w:rsidRPr="004B1A50">
        <w:rPr>
          <w:rFonts w:eastAsia="TimesNewRoman"/>
          <w:color w:val="000000"/>
          <w:szCs w:val="22"/>
          <w:lang w:val="sk-SK"/>
        </w:rPr>
        <w:t>vhodn</w:t>
      </w:r>
      <w:r w:rsidRPr="004B1A50">
        <w:rPr>
          <w:rFonts w:eastAsia="TimesNewRoman"/>
          <w:color w:val="000000"/>
          <w:szCs w:val="22"/>
          <w:lang w:val="sk-SK"/>
        </w:rPr>
        <w:t>ý</w:t>
      </w:r>
      <w:r w:rsidR="00160CFC" w:rsidRPr="004B1A50">
        <w:rPr>
          <w:rFonts w:eastAsia="TimesNewRoman"/>
          <w:color w:val="000000"/>
          <w:szCs w:val="22"/>
          <w:lang w:val="sk-SK"/>
        </w:rPr>
        <w:t xml:space="preserve"> pre pacientov s hodnotou Clcr &lt; 60 ml/min. U týchto pacientov sa odporúča individuálna titrácia dávky monokomponentmi.</w:t>
      </w:r>
    </w:p>
    <w:p w14:paraId="117A9C90" w14:textId="77777777" w:rsidR="00E9220C" w:rsidRPr="004B1A50" w:rsidRDefault="00E9220C" w:rsidP="00853064">
      <w:pPr>
        <w:autoSpaceDE w:val="0"/>
        <w:autoSpaceDN w:val="0"/>
        <w:adjustRightInd w:val="0"/>
        <w:spacing w:line="240" w:lineRule="auto"/>
        <w:rPr>
          <w:rFonts w:eastAsia="TimesNewRoman"/>
          <w:color w:val="000000"/>
          <w:szCs w:val="22"/>
          <w:lang w:val="sk-SK"/>
        </w:rPr>
      </w:pPr>
    </w:p>
    <w:p w14:paraId="27D4EF5F" w14:textId="45681CF0"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Amlodipín použitý v podobných dávkach u starších alebo mladších pacientov je rovnako dobre tolerovaný. U starších </w:t>
      </w:r>
      <w:r w:rsidR="00706438">
        <w:rPr>
          <w:rFonts w:eastAsia="TimesNewRoman"/>
          <w:color w:val="000000"/>
          <w:szCs w:val="22"/>
          <w:lang w:val="sk-SK"/>
        </w:rPr>
        <w:t>ľudí</w:t>
      </w:r>
      <w:r w:rsidR="00706438" w:rsidRPr="004B1A50">
        <w:rPr>
          <w:rFonts w:eastAsia="TimesNewRoman"/>
          <w:color w:val="000000"/>
          <w:szCs w:val="22"/>
          <w:lang w:val="sk-SK"/>
        </w:rPr>
        <w:t xml:space="preserve"> </w:t>
      </w:r>
      <w:r w:rsidRPr="004B1A50">
        <w:rPr>
          <w:rFonts w:eastAsia="TimesNewRoman"/>
          <w:color w:val="000000"/>
          <w:szCs w:val="22"/>
          <w:lang w:val="sk-SK"/>
        </w:rPr>
        <w:t>sa odporúčajú normálne režimy dávkovania, ale pri zvyšovaní dávky sa má postupovať opatrne. Zmeny v koncentrácii amlodipínu v plazme nekorelujú so stupňom poruchy funkcie obličiek. Amlodipín nie je dialyzovateľný.</w:t>
      </w:r>
    </w:p>
    <w:p w14:paraId="2EEFC5B0"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3F7FB0ED" w14:textId="462AFBAE" w:rsidR="00160CFC" w:rsidRPr="004B1A50" w:rsidRDefault="00447086" w:rsidP="00853064">
      <w:pPr>
        <w:autoSpaceDE w:val="0"/>
        <w:autoSpaceDN w:val="0"/>
        <w:adjustRightInd w:val="0"/>
        <w:spacing w:line="240" w:lineRule="auto"/>
        <w:rPr>
          <w:rFonts w:eastAsia="TimesNewRoman,Italic"/>
          <w:iCs/>
          <w:color w:val="000000"/>
          <w:szCs w:val="22"/>
          <w:lang w:val="sk-SK"/>
        </w:rPr>
      </w:pPr>
      <w:r>
        <w:rPr>
          <w:rFonts w:eastAsia="TimesNewRoman,Italic"/>
          <w:i/>
          <w:iCs/>
          <w:color w:val="000000"/>
          <w:szCs w:val="22"/>
          <w:lang w:val="sk-SK"/>
        </w:rPr>
        <w:t xml:space="preserve">Porucha </w:t>
      </w:r>
      <w:r w:rsidR="00160CFC" w:rsidRPr="004B1A50">
        <w:rPr>
          <w:rFonts w:eastAsia="TimesNewRoman,Italic"/>
          <w:i/>
          <w:iCs/>
          <w:color w:val="000000"/>
          <w:szCs w:val="22"/>
          <w:lang w:val="sk-SK"/>
        </w:rPr>
        <w:t>funkcie pečene</w:t>
      </w:r>
      <w:r w:rsidR="00E9220C" w:rsidRPr="004B1A50">
        <w:rPr>
          <w:rFonts w:eastAsia="TimesNewRoman,Italic"/>
          <w:i/>
          <w:iCs/>
          <w:color w:val="000000"/>
          <w:szCs w:val="22"/>
          <w:lang w:val="sk-SK"/>
        </w:rPr>
        <w:t xml:space="preserve">: </w:t>
      </w:r>
      <w:r w:rsidR="00160CFC" w:rsidRPr="004B1A50">
        <w:rPr>
          <w:rFonts w:eastAsia="TimesNewRoman,Italic"/>
          <w:i/>
          <w:iCs/>
          <w:color w:val="000000"/>
          <w:szCs w:val="22"/>
          <w:lang w:val="sk-SK"/>
        </w:rPr>
        <w:t>pozri časti 4.4 a 5.2</w:t>
      </w:r>
    </w:p>
    <w:p w14:paraId="20B35296" w14:textId="70190129"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U pacientov s miernou až stredne </w:t>
      </w:r>
      <w:r w:rsidR="00706438">
        <w:rPr>
          <w:rFonts w:eastAsia="TimesNewRoman"/>
          <w:color w:val="000000"/>
          <w:szCs w:val="22"/>
          <w:lang w:val="sk-SK"/>
        </w:rPr>
        <w:t>ťažkou</w:t>
      </w:r>
      <w:r w:rsidR="00706438" w:rsidRPr="004B1A50">
        <w:rPr>
          <w:rFonts w:eastAsia="TimesNewRoman"/>
          <w:color w:val="000000"/>
          <w:szCs w:val="22"/>
          <w:lang w:val="sk-SK"/>
        </w:rPr>
        <w:t xml:space="preserve"> </w:t>
      </w:r>
      <w:r w:rsidRPr="004B1A50">
        <w:rPr>
          <w:rFonts w:eastAsia="TimesNewRoman"/>
          <w:color w:val="000000"/>
          <w:szCs w:val="22"/>
          <w:lang w:val="sk-SK"/>
        </w:rPr>
        <w:t>poruchou funkcie pečene neboli stanovené odporúčania týkajúce sa dávkovania,</w:t>
      </w:r>
      <w:r w:rsidR="008C4FB9" w:rsidRPr="004B1A50">
        <w:rPr>
          <w:rFonts w:eastAsia="TimesNewRoman"/>
          <w:color w:val="000000"/>
          <w:szCs w:val="22"/>
          <w:lang w:val="sk-SK"/>
        </w:rPr>
        <w:t xml:space="preserve"> </w:t>
      </w:r>
      <w:r w:rsidRPr="004B1A50">
        <w:rPr>
          <w:rFonts w:eastAsia="TimesNewRoman"/>
          <w:color w:val="000000"/>
          <w:szCs w:val="22"/>
          <w:lang w:val="sk-SK"/>
        </w:rPr>
        <w:t>pri výbere dávky sa má preto postupovať opatrne a má sa začať</w:t>
      </w:r>
      <w:r w:rsidR="00B86B52" w:rsidRPr="004B1A50">
        <w:rPr>
          <w:rFonts w:eastAsia="TimesNewRoman"/>
          <w:color w:val="000000"/>
          <w:szCs w:val="22"/>
          <w:lang w:val="sk-SK"/>
        </w:rPr>
        <w:t xml:space="preserve"> na dolnej hranici dávkovacieho rozmedzia</w:t>
      </w:r>
      <w:r w:rsidRPr="004B1A50">
        <w:rPr>
          <w:rFonts w:eastAsia="TimesNewRoman"/>
          <w:color w:val="000000"/>
          <w:szCs w:val="22"/>
          <w:lang w:val="sk-SK"/>
        </w:rPr>
        <w:t xml:space="preserve"> (pozri časti 4.4 a 5.2). V záujme určenia optimálnej </w:t>
      </w:r>
      <w:r w:rsidR="002B63D5" w:rsidRPr="004B1A50">
        <w:rPr>
          <w:rFonts w:eastAsia="TimesNewRoman"/>
          <w:color w:val="000000"/>
          <w:szCs w:val="22"/>
          <w:lang w:val="sk-SK"/>
        </w:rPr>
        <w:t>za</w:t>
      </w:r>
      <w:r w:rsidRPr="004B1A50">
        <w:rPr>
          <w:rFonts w:eastAsia="TimesNewRoman"/>
          <w:color w:val="000000"/>
          <w:szCs w:val="22"/>
          <w:lang w:val="sk-SK"/>
        </w:rPr>
        <w:t>čiatočnej a</w:t>
      </w:r>
      <w:r w:rsidR="00706438">
        <w:rPr>
          <w:rFonts w:eastAsia="TimesNewRoman"/>
          <w:color w:val="000000"/>
          <w:szCs w:val="22"/>
          <w:lang w:val="sk-SK"/>
        </w:rPr>
        <w:t> </w:t>
      </w:r>
      <w:r w:rsidRPr="004B1A50">
        <w:rPr>
          <w:rFonts w:eastAsia="TimesNewRoman"/>
          <w:color w:val="000000"/>
          <w:szCs w:val="22"/>
          <w:lang w:val="sk-SK"/>
        </w:rPr>
        <w:t>udržiavacej dávky u pacientov s poruchou funkcie pečene sa majú pacienti individuálne titrovať pomocou voľnej kombinácie amlodipínu a perindoprilu. Farmakokinetika amlodipínu sa neskúmala v</w:t>
      </w:r>
      <w:r w:rsidR="00706438">
        <w:rPr>
          <w:rFonts w:eastAsia="TimesNewRoman"/>
          <w:color w:val="000000"/>
          <w:szCs w:val="22"/>
          <w:lang w:val="sk-SK"/>
        </w:rPr>
        <w:t> </w:t>
      </w:r>
      <w:r w:rsidRPr="004B1A50">
        <w:rPr>
          <w:rFonts w:eastAsia="TimesNewRoman"/>
          <w:color w:val="000000"/>
          <w:szCs w:val="22"/>
          <w:lang w:val="sk-SK"/>
        </w:rPr>
        <w:t xml:space="preserve">prípade </w:t>
      </w:r>
      <w:r w:rsidR="00E9220C" w:rsidRPr="004B1A50">
        <w:rPr>
          <w:rFonts w:eastAsia="TimesNewRoman"/>
          <w:color w:val="000000"/>
          <w:szCs w:val="22"/>
          <w:lang w:val="sk-SK"/>
        </w:rPr>
        <w:t>ťažkej</w:t>
      </w:r>
      <w:r w:rsidRPr="004B1A50">
        <w:rPr>
          <w:rFonts w:eastAsia="TimesNewRoman"/>
          <w:color w:val="000000"/>
          <w:szCs w:val="22"/>
          <w:lang w:val="sk-SK"/>
        </w:rPr>
        <w:t xml:space="preserve"> poruchy funkcie pečene.</w:t>
      </w:r>
      <w:r w:rsidR="008C4FB9" w:rsidRPr="004B1A50">
        <w:rPr>
          <w:rFonts w:eastAsia="TimesNewRoman"/>
          <w:color w:val="000000"/>
          <w:szCs w:val="22"/>
          <w:lang w:val="sk-SK"/>
        </w:rPr>
        <w:t xml:space="preserve"> </w:t>
      </w:r>
      <w:r w:rsidRPr="004B1A50">
        <w:rPr>
          <w:rFonts w:eastAsia="TimesNewRoman"/>
          <w:color w:val="000000"/>
          <w:szCs w:val="22"/>
          <w:lang w:val="sk-SK"/>
        </w:rPr>
        <w:t xml:space="preserve">U pacientov </w:t>
      </w:r>
      <w:r w:rsidR="00E9220C" w:rsidRPr="004B1A50">
        <w:rPr>
          <w:rFonts w:eastAsia="TimesNewRoman"/>
          <w:color w:val="000000"/>
          <w:szCs w:val="22"/>
          <w:lang w:val="sk-SK"/>
        </w:rPr>
        <w:t>s ťažkou</w:t>
      </w:r>
      <w:r w:rsidRPr="004B1A50">
        <w:rPr>
          <w:rFonts w:eastAsia="TimesNewRoman"/>
          <w:color w:val="000000"/>
          <w:szCs w:val="22"/>
          <w:lang w:val="sk-SK"/>
        </w:rPr>
        <w:t xml:space="preserve"> poruchou funkcie pečene má podávanie amlodipínu začať pri najnižšej dávke a má sa pomaly titrovať.</w:t>
      </w:r>
    </w:p>
    <w:p w14:paraId="1A73F9D8"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6E449388"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Pediatrická populácia</w:t>
      </w:r>
    </w:p>
    <w:p w14:paraId="57DCADDC" w14:textId="77777777" w:rsidR="00160CFC" w:rsidRPr="004B1A50" w:rsidRDefault="00E9220C" w:rsidP="00853064">
      <w:pPr>
        <w:autoSpaceDE w:val="0"/>
        <w:autoSpaceDN w:val="0"/>
        <w:adjustRightInd w:val="0"/>
        <w:spacing w:line="240" w:lineRule="auto"/>
        <w:rPr>
          <w:rFonts w:eastAsia="TimesNewRoman"/>
          <w:color w:val="000000"/>
          <w:szCs w:val="22"/>
          <w:lang w:val="sk-SK"/>
        </w:rPr>
      </w:pPr>
      <w:r w:rsidRPr="004B1A50">
        <w:rPr>
          <w:lang w:val="sk-SK"/>
        </w:rPr>
        <w:t xml:space="preserve">Perindamlostad </w:t>
      </w:r>
      <w:r w:rsidR="00160CFC" w:rsidRPr="004B1A50">
        <w:rPr>
          <w:rFonts w:eastAsia="TimesNewRoman"/>
          <w:color w:val="000000"/>
          <w:szCs w:val="22"/>
          <w:lang w:val="sk-SK"/>
        </w:rPr>
        <w:t>sa nemá používať u detí a dospievajúcich, keďže u detí a dospievajúcich nebola stanovená účinnosť a znášanlivosť kombiná</w:t>
      </w:r>
      <w:r w:rsidRPr="004B1A50">
        <w:rPr>
          <w:rFonts w:eastAsia="TimesNewRoman"/>
          <w:color w:val="000000"/>
          <w:szCs w:val="22"/>
          <w:lang w:val="sk-SK"/>
        </w:rPr>
        <w:t>cie perindoprilu a amlodipínu</w:t>
      </w:r>
      <w:r w:rsidR="00160CFC" w:rsidRPr="004B1A50">
        <w:rPr>
          <w:rFonts w:eastAsia="TimesNewRoman"/>
          <w:color w:val="000000"/>
          <w:szCs w:val="22"/>
          <w:lang w:val="sk-SK"/>
        </w:rPr>
        <w:t>.</w:t>
      </w:r>
    </w:p>
    <w:p w14:paraId="4806A8AA"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4281502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u w:val="single"/>
          <w:lang w:val="sk-SK"/>
        </w:rPr>
        <w:t>Spôsob podávania</w:t>
      </w:r>
    </w:p>
    <w:p w14:paraId="75EC020A" w14:textId="77777777" w:rsidR="00160CFC" w:rsidRPr="004B1A50" w:rsidRDefault="00E9220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Na p</w:t>
      </w:r>
      <w:r w:rsidR="00160CFC" w:rsidRPr="004B1A50">
        <w:rPr>
          <w:rFonts w:eastAsia="TimesNewRoman"/>
          <w:color w:val="000000"/>
          <w:szCs w:val="22"/>
          <w:lang w:val="sk-SK"/>
        </w:rPr>
        <w:t>eroráln</w:t>
      </w:r>
      <w:r w:rsidR="002B63D5" w:rsidRPr="004B1A50">
        <w:rPr>
          <w:rFonts w:eastAsia="TimesNewRoman"/>
          <w:color w:val="000000"/>
          <w:szCs w:val="22"/>
          <w:lang w:val="sk-SK"/>
        </w:rPr>
        <w:t>e</w:t>
      </w:r>
      <w:r w:rsidR="00160CFC" w:rsidRPr="004B1A50">
        <w:rPr>
          <w:rFonts w:eastAsia="TimesNewRoman"/>
          <w:color w:val="000000"/>
          <w:szCs w:val="22"/>
          <w:lang w:val="sk-SK"/>
        </w:rPr>
        <w:t xml:space="preserve"> </w:t>
      </w:r>
      <w:r w:rsidR="002B63D5" w:rsidRPr="004B1A50">
        <w:rPr>
          <w:rFonts w:eastAsia="TimesNewRoman"/>
          <w:color w:val="000000"/>
          <w:szCs w:val="22"/>
          <w:lang w:val="sk-SK"/>
        </w:rPr>
        <w:t>použitie.</w:t>
      </w:r>
    </w:p>
    <w:p w14:paraId="7A1723BA" w14:textId="77777777" w:rsidR="00160CFC" w:rsidRPr="00FC0B45" w:rsidRDefault="00160CFC" w:rsidP="00853064">
      <w:pPr>
        <w:autoSpaceDE w:val="0"/>
        <w:autoSpaceDN w:val="0"/>
        <w:adjustRightInd w:val="0"/>
        <w:spacing w:line="240" w:lineRule="auto"/>
        <w:rPr>
          <w:rFonts w:eastAsia="TimesNewRoman"/>
          <w:strike/>
          <w:szCs w:val="22"/>
          <w:lang w:val="sk-SK"/>
        </w:rPr>
      </w:pPr>
    </w:p>
    <w:p w14:paraId="64C29E90" w14:textId="77777777" w:rsidR="00160CFC" w:rsidRPr="004B1A50" w:rsidRDefault="00160CFC" w:rsidP="00853064">
      <w:pPr>
        <w:numPr>
          <w:ilvl w:val="0"/>
          <w:numId w:val="7"/>
        </w:numPr>
        <w:tabs>
          <w:tab w:val="clear" w:pos="567"/>
        </w:tabs>
        <w:ind w:left="567" w:hanging="567"/>
        <w:rPr>
          <w:szCs w:val="22"/>
          <w:lang w:val="sk-SK"/>
        </w:rPr>
      </w:pPr>
      <w:r w:rsidRPr="004B1A50">
        <w:rPr>
          <w:b/>
          <w:bCs/>
          <w:szCs w:val="22"/>
          <w:lang w:val="sk-SK"/>
        </w:rPr>
        <w:t>Kontraindikácie</w:t>
      </w:r>
    </w:p>
    <w:p w14:paraId="1949EE3B" w14:textId="77777777" w:rsidR="004B1A50" w:rsidRPr="004B1A50" w:rsidRDefault="004B1A50" w:rsidP="00853064">
      <w:pPr>
        <w:rPr>
          <w:szCs w:val="22"/>
          <w:lang w:val="sk-SK"/>
        </w:rPr>
      </w:pPr>
    </w:p>
    <w:p w14:paraId="444500D6" w14:textId="77777777" w:rsidR="00E9220C" w:rsidRPr="004B1A50" w:rsidRDefault="00E9220C" w:rsidP="00E9220C">
      <w:pPr>
        <w:rPr>
          <w:bCs/>
          <w:i/>
          <w:szCs w:val="22"/>
          <w:lang w:val="sk-SK"/>
        </w:rPr>
      </w:pPr>
      <w:r w:rsidRPr="004B1A50">
        <w:rPr>
          <w:bCs/>
          <w:i/>
          <w:szCs w:val="22"/>
          <w:lang w:val="sk-SK"/>
        </w:rPr>
        <w:t>Súvisiace s perindoprilom:</w:t>
      </w:r>
    </w:p>
    <w:p w14:paraId="263DDC73" w14:textId="77777777" w:rsidR="00E9220C" w:rsidRPr="004B1A50" w:rsidRDefault="00E9220C" w:rsidP="00E9220C">
      <w:pPr>
        <w:numPr>
          <w:ilvl w:val="0"/>
          <w:numId w:val="17"/>
        </w:numPr>
        <w:tabs>
          <w:tab w:val="clear" w:pos="567"/>
        </w:tabs>
        <w:spacing w:line="240" w:lineRule="auto"/>
        <w:ind w:hanging="720"/>
        <w:rPr>
          <w:rStyle w:val="longtext1"/>
          <w:b/>
          <w:bCs/>
          <w:sz w:val="22"/>
          <w:szCs w:val="22"/>
          <w:lang w:val="sk-SK"/>
        </w:rPr>
      </w:pPr>
      <w:r w:rsidRPr="004B1A50">
        <w:rPr>
          <w:rStyle w:val="longtext1"/>
          <w:color w:val="000000"/>
          <w:sz w:val="22"/>
          <w:szCs w:val="22"/>
          <w:shd w:val="clear" w:color="auto" w:fill="FFFFFF"/>
          <w:lang w:val="sk-SK"/>
        </w:rPr>
        <w:t>Precitlivenosť na perindopril alebo na iný ACE inhibítor</w:t>
      </w:r>
    </w:p>
    <w:p w14:paraId="2E3EDEED" w14:textId="77777777" w:rsidR="00E9220C" w:rsidRPr="004B1A50" w:rsidRDefault="00E9220C" w:rsidP="00E9220C">
      <w:pPr>
        <w:numPr>
          <w:ilvl w:val="0"/>
          <w:numId w:val="17"/>
        </w:numPr>
        <w:tabs>
          <w:tab w:val="clear" w:pos="567"/>
        </w:tabs>
        <w:spacing w:line="240" w:lineRule="auto"/>
        <w:ind w:hanging="720"/>
        <w:rPr>
          <w:rStyle w:val="longtext1"/>
          <w:b/>
          <w:bCs/>
          <w:sz w:val="22"/>
          <w:szCs w:val="22"/>
          <w:lang w:val="sk-SK"/>
        </w:rPr>
      </w:pPr>
      <w:r w:rsidRPr="004B1A50">
        <w:rPr>
          <w:rStyle w:val="longtext1"/>
          <w:color w:val="000000"/>
          <w:sz w:val="22"/>
          <w:szCs w:val="22"/>
          <w:shd w:val="clear" w:color="auto" w:fill="FFFFFF"/>
          <w:lang w:val="sk-SK"/>
        </w:rPr>
        <w:t>Angioedém spojený s predchádzajúcou liečbou ACE inhibítormi v anamnéze</w:t>
      </w:r>
    </w:p>
    <w:p w14:paraId="3CFAF7F3" w14:textId="77777777" w:rsidR="00E9220C" w:rsidRPr="004B1A50" w:rsidRDefault="00E9220C" w:rsidP="00E9220C">
      <w:pPr>
        <w:numPr>
          <w:ilvl w:val="0"/>
          <w:numId w:val="17"/>
        </w:numPr>
        <w:tabs>
          <w:tab w:val="clear" w:pos="567"/>
        </w:tabs>
        <w:spacing w:line="240" w:lineRule="auto"/>
        <w:ind w:hanging="720"/>
        <w:rPr>
          <w:rStyle w:val="longtext1"/>
          <w:b/>
          <w:bCs/>
          <w:sz w:val="22"/>
          <w:szCs w:val="22"/>
          <w:lang w:val="sk-SK"/>
        </w:rPr>
      </w:pPr>
      <w:r w:rsidRPr="004B1A50">
        <w:rPr>
          <w:rStyle w:val="longtext1"/>
          <w:color w:val="000000"/>
          <w:sz w:val="22"/>
          <w:szCs w:val="22"/>
          <w:shd w:val="clear" w:color="auto" w:fill="FFFFFF"/>
          <w:lang w:val="sk-SK"/>
        </w:rPr>
        <w:t>Dedičný alebo idiopatický angioedém</w:t>
      </w:r>
    </w:p>
    <w:p w14:paraId="0306F48E" w14:textId="77777777" w:rsidR="00E9220C" w:rsidRPr="004B1A50" w:rsidRDefault="00E9220C" w:rsidP="00E9220C">
      <w:pPr>
        <w:numPr>
          <w:ilvl w:val="0"/>
          <w:numId w:val="17"/>
        </w:numPr>
        <w:tabs>
          <w:tab w:val="clear" w:pos="567"/>
        </w:tabs>
        <w:spacing w:line="240" w:lineRule="auto"/>
        <w:ind w:hanging="720"/>
        <w:rPr>
          <w:rStyle w:val="longtext1"/>
          <w:b/>
          <w:bCs/>
          <w:sz w:val="22"/>
          <w:szCs w:val="22"/>
          <w:lang w:val="sk-SK"/>
        </w:rPr>
      </w:pPr>
      <w:r w:rsidRPr="004B1A50">
        <w:rPr>
          <w:rStyle w:val="longtext1"/>
          <w:color w:val="000000"/>
          <w:sz w:val="22"/>
          <w:szCs w:val="22"/>
          <w:shd w:val="clear" w:color="auto" w:fill="FFFFFF"/>
          <w:lang w:val="sk-SK"/>
        </w:rPr>
        <w:t xml:space="preserve">Druhý a tretí trimester gravidity (pozri časti </w:t>
      </w:r>
      <w:smartTag w:uri="urn:schemas-microsoft-com:office:smarttags" w:element="metricconverter">
        <w:smartTagPr>
          <w:attr w:name="ProductID" w:val="4.4 a"/>
        </w:smartTagPr>
        <w:r w:rsidRPr="004B1A50">
          <w:rPr>
            <w:rStyle w:val="longtext1"/>
            <w:color w:val="000000"/>
            <w:sz w:val="22"/>
            <w:szCs w:val="22"/>
            <w:shd w:val="clear" w:color="auto" w:fill="FFFFFF"/>
            <w:lang w:val="sk-SK"/>
          </w:rPr>
          <w:t>4.4 a</w:t>
        </w:r>
      </w:smartTag>
      <w:r w:rsidRPr="004B1A50">
        <w:rPr>
          <w:rStyle w:val="longtext1"/>
          <w:color w:val="000000"/>
          <w:sz w:val="22"/>
          <w:szCs w:val="22"/>
          <w:shd w:val="clear" w:color="auto" w:fill="FFFFFF"/>
          <w:lang w:val="sk-SK"/>
        </w:rPr>
        <w:t xml:space="preserve"> 4.6)</w:t>
      </w:r>
    </w:p>
    <w:p w14:paraId="3CE0A5CE" w14:textId="0A4E6DA5" w:rsidR="00E9220C" w:rsidRPr="006B1759" w:rsidRDefault="00E9220C" w:rsidP="00E9220C">
      <w:pPr>
        <w:numPr>
          <w:ilvl w:val="0"/>
          <w:numId w:val="17"/>
        </w:numPr>
        <w:tabs>
          <w:tab w:val="clear" w:pos="567"/>
        </w:tabs>
        <w:autoSpaceDE w:val="0"/>
        <w:autoSpaceDN w:val="0"/>
        <w:adjustRightInd w:val="0"/>
        <w:spacing w:line="240" w:lineRule="auto"/>
        <w:ind w:left="567" w:hanging="567"/>
        <w:rPr>
          <w:rFonts w:eastAsia="TimesNewRoman"/>
          <w:color w:val="000000"/>
          <w:szCs w:val="22"/>
          <w:lang w:val="sk-SK"/>
        </w:rPr>
      </w:pPr>
      <w:r w:rsidRPr="004B1A50">
        <w:rPr>
          <w:color w:val="000000"/>
          <w:szCs w:val="22"/>
          <w:lang w:val="sk-SK"/>
        </w:rPr>
        <w:lastRenderedPageBreak/>
        <w:t xml:space="preserve">Súbežné užívanie </w:t>
      </w:r>
      <w:r w:rsidRPr="004B1A50">
        <w:rPr>
          <w:lang w:val="sk-SK"/>
        </w:rPr>
        <w:t xml:space="preserve">perindoprilu </w:t>
      </w:r>
      <w:r w:rsidRPr="004B1A50">
        <w:rPr>
          <w:color w:val="000000"/>
          <w:szCs w:val="22"/>
          <w:lang w:val="sk-SK"/>
        </w:rPr>
        <w:t>s liekmi obsahujúcimi aliskirén je kontraindikované u pacientov s</w:t>
      </w:r>
      <w:r w:rsidR="00706438">
        <w:rPr>
          <w:color w:val="000000"/>
          <w:szCs w:val="22"/>
          <w:lang w:val="sk-SK"/>
        </w:rPr>
        <w:t> </w:t>
      </w:r>
      <w:r w:rsidRPr="004B1A50">
        <w:rPr>
          <w:color w:val="000000"/>
          <w:szCs w:val="22"/>
          <w:lang w:val="sk-SK"/>
        </w:rPr>
        <w:t>diabetom mellitus alebo poruchou funkcie obličiek (GFR &lt; 60 ml/min/1,73 m</w:t>
      </w:r>
      <w:r w:rsidRPr="004B1A50">
        <w:rPr>
          <w:color w:val="000000"/>
          <w:szCs w:val="22"/>
          <w:vertAlign w:val="superscript"/>
          <w:lang w:val="sk-SK"/>
        </w:rPr>
        <w:t>2</w:t>
      </w:r>
      <w:r w:rsidRPr="004B1A50">
        <w:rPr>
          <w:color w:val="000000"/>
          <w:szCs w:val="22"/>
          <w:lang w:val="sk-SK"/>
        </w:rPr>
        <w:t xml:space="preserve">) (pozri časti </w:t>
      </w:r>
      <w:r w:rsidRPr="006B1759">
        <w:rPr>
          <w:color w:val="000000"/>
          <w:szCs w:val="22"/>
          <w:lang w:val="sk-SK"/>
        </w:rPr>
        <w:t>4.5 a 5.1).</w:t>
      </w:r>
    </w:p>
    <w:p w14:paraId="3951919A" w14:textId="1E1F9AAB" w:rsidR="00176241" w:rsidRPr="006B1759" w:rsidRDefault="00176241" w:rsidP="00FC0B45">
      <w:pPr>
        <w:numPr>
          <w:ilvl w:val="0"/>
          <w:numId w:val="17"/>
        </w:numPr>
        <w:tabs>
          <w:tab w:val="clear" w:pos="567"/>
        </w:tabs>
        <w:autoSpaceDE w:val="0"/>
        <w:autoSpaceDN w:val="0"/>
        <w:adjustRightInd w:val="0"/>
        <w:spacing w:line="240" w:lineRule="auto"/>
        <w:ind w:left="567" w:hanging="567"/>
        <w:rPr>
          <w:rFonts w:eastAsia="TimesNewRoman"/>
          <w:color w:val="000000"/>
          <w:szCs w:val="22"/>
          <w:lang w:val="sk-SK"/>
        </w:rPr>
      </w:pPr>
      <w:r w:rsidRPr="006B1759">
        <w:rPr>
          <w:rFonts w:eastAsia="TimesNewRoman"/>
          <w:color w:val="000000"/>
          <w:szCs w:val="22"/>
          <w:lang w:val="sk-SK"/>
        </w:rPr>
        <w:t xml:space="preserve">Súbežná liečba sakubitrilom/valsartanom. Liečba </w:t>
      </w:r>
      <w:r w:rsidR="00706438" w:rsidRPr="006B1759">
        <w:rPr>
          <w:rFonts w:eastAsia="TimesNewRoman"/>
          <w:color w:val="000000"/>
          <w:szCs w:val="22"/>
          <w:lang w:val="sk-SK"/>
        </w:rPr>
        <w:t>perindoprilom</w:t>
      </w:r>
      <w:r w:rsidRPr="006B1759">
        <w:rPr>
          <w:rFonts w:eastAsia="TimesNewRoman"/>
          <w:color w:val="000000"/>
          <w:szCs w:val="22"/>
          <w:lang w:val="sk-SK"/>
        </w:rPr>
        <w:t xml:space="preserve"> sa nesmie začať skôr ako po 36</w:t>
      </w:r>
      <w:r w:rsidR="00664151" w:rsidRPr="006B1759">
        <w:rPr>
          <w:rFonts w:eastAsia="TimesNewRoman"/>
          <w:color w:val="000000"/>
          <w:szCs w:val="22"/>
          <w:lang w:val="sk-SK"/>
        </w:rPr>
        <w:t> </w:t>
      </w:r>
      <w:r w:rsidRPr="006B1759">
        <w:rPr>
          <w:rFonts w:eastAsia="TimesNewRoman"/>
          <w:color w:val="000000"/>
          <w:szCs w:val="22"/>
          <w:lang w:val="sk-SK"/>
        </w:rPr>
        <w:t>hodinách od poslednej dávky sakubitrilu/valsartanu (pozri tiež časti 4.4 a 4.5).</w:t>
      </w:r>
    </w:p>
    <w:p w14:paraId="094B8176" w14:textId="77777777" w:rsidR="00E9220C" w:rsidRPr="006B1759" w:rsidRDefault="00E9220C" w:rsidP="00E9220C">
      <w:pPr>
        <w:ind w:left="720"/>
        <w:rPr>
          <w:color w:val="000000"/>
          <w:szCs w:val="22"/>
          <w:shd w:val="clear" w:color="auto" w:fill="FFFFFF"/>
          <w:lang w:val="sk-SK"/>
        </w:rPr>
      </w:pPr>
    </w:p>
    <w:p w14:paraId="30B24E68" w14:textId="77777777" w:rsidR="00E9220C" w:rsidRPr="004B1A50" w:rsidRDefault="00E9220C" w:rsidP="00E9220C">
      <w:pPr>
        <w:rPr>
          <w:rStyle w:val="longtext1"/>
          <w:i/>
          <w:color w:val="000000"/>
          <w:sz w:val="22"/>
          <w:szCs w:val="22"/>
          <w:lang w:val="sk-SK"/>
        </w:rPr>
      </w:pPr>
      <w:r w:rsidRPr="006B1759">
        <w:rPr>
          <w:bCs/>
          <w:i/>
          <w:szCs w:val="22"/>
          <w:lang w:val="sk-SK"/>
        </w:rPr>
        <w:t>Súvisiace s </w:t>
      </w:r>
      <w:r w:rsidRPr="006B1759">
        <w:rPr>
          <w:rStyle w:val="longtext1"/>
          <w:i/>
          <w:color w:val="000000"/>
          <w:sz w:val="22"/>
          <w:szCs w:val="22"/>
          <w:lang w:val="sk-SK"/>
        </w:rPr>
        <w:t>amlodipínom:</w:t>
      </w:r>
    </w:p>
    <w:p w14:paraId="4376AAA5" w14:textId="77777777" w:rsidR="00E9220C" w:rsidRPr="004B1A50" w:rsidRDefault="00E9220C" w:rsidP="00E9220C">
      <w:pPr>
        <w:numPr>
          <w:ilvl w:val="0"/>
          <w:numId w:val="18"/>
        </w:numPr>
        <w:tabs>
          <w:tab w:val="clear" w:pos="567"/>
        </w:tabs>
        <w:spacing w:line="240" w:lineRule="auto"/>
        <w:ind w:hanging="720"/>
        <w:rPr>
          <w:rStyle w:val="longtext1"/>
          <w:color w:val="000000"/>
          <w:sz w:val="22"/>
          <w:szCs w:val="22"/>
          <w:shd w:val="clear" w:color="auto" w:fill="FFFFFF"/>
          <w:lang w:val="sk-SK"/>
        </w:rPr>
      </w:pPr>
      <w:r w:rsidRPr="004B1A50">
        <w:rPr>
          <w:rStyle w:val="longtext1"/>
          <w:color w:val="000000"/>
          <w:sz w:val="22"/>
          <w:szCs w:val="22"/>
          <w:shd w:val="clear" w:color="auto" w:fill="FFFFFF"/>
          <w:lang w:val="sk-SK"/>
        </w:rPr>
        <w:t>Ťažká hypotenzia</w:t>
      </w:r>
    </w:p>
    <w:p w14:paraId="3A7D64FE" w14:textId="77777777" w:rsidR="00E9220C" w:rsidRPr="004B1A50" w:rsidRDefault="00E9220C" w:rsidP="00E9220C">
      <w:pPr>
        <w:numPr>
          <w:ilvl w:val="0"/>
          <w:numId w:val="18"/>
        </w:numPr>
        <w:tabs>
          <w:tab w:val="clear" w:pos="567"/>
        </w:tabs>
        <w:spacing w:line="240" w:lineRule="auto"/>
        <w:ind w:hanging="720"/>
        <w:rPr>
          <w:rStyle w:val="longtext1"/>
          <w:color w:val="000000"/>
          <w:sz w:val="22"/>
          <w:szCs w:val="22"/>
          <w:shd w:val="clear" w:color="auto" w:fill="FFFFFF"/>
          <w:lang w:val="sk-SK"/>
        </w:rPr>
      </w:pPr>
      <w:r w:rsidRPr="004B1A50">
        <w:rPr>
          <w:rStyle w:val="longtext1"/>
          <w:color w:val="000000"/>
          <w:sz w:val="22"/>
          <w:szCs w:val="22"/>
          <w:shd w:val="clear" w:color="auto" w:fill="FFFFFF"/>
          <w:lang w:val="sk-SK"/>
        </w:rPr>
        <w:t>Precitlivenosť na amlodipín alebo na deriváty dihydropyridínov</w:t>
      </w:r>
    </w:p>
    <w:p w14:paraId="77983112" w14:textId="77777777" w:rsidR="00E9220C" w:rsidRPr="004B1A50" w:rsidRDefault="00E9220C" w:rsidP="00E9220C">
      <w:pPr>
        <w:numPr>
          <w:ilvl w:val="0"/>
          <w:numId w:val="18"/>
        </w:numPr>
        <w:tabs>
          <w:tab w:val="clear" w:pos="567"/>
        </w:tabs>
        <w:spacing w:line="240" w:lineRule="auto"/>
        <w:ind w:hanging="720"/>
        <w:rPr>
          <w:rStyle w:val="longtext1"/>
          <w:color w:val="000000"/>
          <w:sz w:val="22"/>
          <w:szCs w:val="22"/>
          <w:shd w:val="clear" w:color="auto" w:fill="FFFFFF"/>
          <w:lang w:val="sk-SK"/>
        </w:rPr>
      </w:pPr>
      <w:r w:rsidRPr="004B1A50">
        <w:rPr>
          <w:rStyle w:val="longtext1"/>
          <w:color w:val="000000"/>
          <w:sz w:val="22"/>
          <w:szCs w:val="22"/>
          <w:shd w:val="clear" w:color="auto" w:fill="FFFFFF"/>
          <w:lang w:val="sk-SK"/>
        </w:rPr>
        <w:t>Šok, vrátane kardiogénneho šoku</w:t>
      </w:r>
    </w:p>
    <w:p w14:paraId="249F86B6" w14:textId="77777777" w:rsidR="00E9220C" w:rsidRPr="004B1A50" w:rsidRDefault="00E9220C" w:rsidP="00E9220C">
      <w:pPr>
        <w:numPr>
          <w:ilvl w:val="0"/>
          <w:numId w:val="18"/>
        </w:numPr>
        <w:tabs>
          <w:tab w:val="clear" w:pos="567"/>
        </w:tabs>
        <w:spacing w:line="240" w:lineRule="auto"/>
        <w:ind w:hanging="720"/>
        <w:rPr>
          <w:rStyle w:val="longtext1"/>
          <w:color w:val="000000"/>
          <w:sz w:val="22"/>
          <w:szCs w:val="22"/>
          <w:shd w:val="clear" w:color="auto" w:fill="FFFFFF"/>
          <w:lang w:val="sk-SK"/>
        </w:rPr>
      </w:pPr>
      <w:r w:rsidRPr="004B1A50">
        <w:rPr>
          <w:rStyle w:val="longtext1"/>
          <w:color w:val="000000"/>
          <w:sz w:val="22"/>
          <w:szCs w:val="22"/>
          <w:shd w:val="clear" w:color="auto" w:fill="FFFFFF"/>
          <w:lang w:val="sk-SK"/>
        </w:rPr>
        <w:t>Obštrukcia prietoku ľavej srdcovej komory (napr. vysoký stupeň aortálnej stenózy)</w:t>
      </w:r>
    </w:p>
    <w:p w14:paraId="16FFC1AC" w14:textId="77777777" w:rsidR="00E9220C" w:rsidRPr="004B1A50" w:rsidRDefault="00E9220C" w:rsidP="00E9220C">
      <w:pPr>
        <w:numPr>
          <w:ilvl w:val="0"/>
          <w:numId w:val="18"/>
        </w:numPr>
        <w:tabs>
          <w:tab w:val="clear" w:pos="567"/>
        </w:tabs>
        <w:spacing w:line="240" w:lineRule="auto"/>
        <w:ind w:hanging="720"/>
        <w:rPr>
          <w:color w:val="000000"/>
          <w:szCs w:val="22"/>
          <w:shd w:val="clear" w:color="auto" w:fill="FFFFFF"/>
          <w:lang w:val="sk-SK"/>
        </w:rPr>
      </w:pPr>
      <w:r w:rsidRPr="004B1A50">
        <w:rPr>
          <w:rStyle w:val="longtext1"/>
          <w:color w:val="000000"/>
          <w:sz w:val="22"/>
          <w:szCs w:val="22"/>
          <w:shd w:val="clear" w:color="auto" w:fill="FFFFFF"/>
          <w:lang w:val="sk-SK"/>
        </w:rPr>
        <w:t>Hemodynamicky nestabilné srdcové zlyhanie po akútnom infarkte myokardu</w:t>
      </w:r>
    </w:p>
    <w:p w14:paraId="6CB596E2" w14:textId="77777777" w:rsidR="00E9220C" w:rsidRPr="004B1A50" w:rsidRDefault="00E9220C" w:rsidP="00E9220C">
      <w:pPr>
        <w:rPr>
          <w:color w:val="000000"/>
          <w:szCs w:val="22"/>
          <w:shd w:val="clear" w:color="auto" w:fill="FFFFFF"/>
          <w:lang w:val="sk-SK"/>
        </w:rPr>
      </w:pPr>
    </w:p>
    <w:p w14:paraId="0D6A4D2C" w14:textId="77777777" w:rsidR="00E9220C" w:rsidRPr="004B1A50" w:rsidRDefault="00E9220C" w:rsidP="00E9220C">
      <w:pPr>
        <w:rPr>
          <w:b/>
          <w:bCs/>
          <w:szCs w:val="22"/>
          <w:lang w:val="sk-SK"/>
        </w:rPr>
      </w:pPr>
      <w:r w:rsidRPr="004B1A50">
        <w:rPr>
          <w:bCs/>
          <w:i/>
          <w:szCs w:val="22"/>
          <w:lang w:val="sk-SK"/>
        </w:rPr>
        <w:t>Súvisiace s amlodipínom a perindoprilom:</w:t>
      </w:r>
    </w:p>
    <w:p w14:paraId="421F4835" w14:textId="77777777" w:rsidR="00E9220C" w:rsidRPr="004B1A50" w:rsidRDefault="00E9220C" w:rsidP="00E9220C">
      <w:pPr>
        <w:rPr>
          <w:rStyle w:val="longtext1"/>
          <w:color w:val="000000"/>
          <w:sz w:val="22"/>
          <w:szCs w:val="22"/>
          <w:shd w:val="clear" w:color="auto" w:fill="FFFFFF"/>
          <w:lang w:val="sk-SK"/>
        </w:rPr>
      </w:pPr>
      <w:r w:rsidRPr="004B1A50">
        <w:rPr>
          <w:szCs w:val="22"/>
          <w:lang w:val="sk-SK"/>
        </w:rPr>
        <w:t>Všetky kontraindikácie súvisiace s jednotlivými liečivami uvedené vyššie platia aj pre fixnú kombináciu amlodipínu s perindoprilom.</w:t>
      </w:r>
    </w:p>
    <w:p w14:paraId="4521EE13" w14:textId="6EE3AFB6" w:rsidR="00E9220C" w:rsidRPr="004B1A50" w:rsidRDefault="00E9220C" w:rsidP="00E9220C">
      <w:pPr>
        <w:numPr>
          <w:ilvl w:val="0"/>
          <w:numId w:val="19"/>
        </w:numPr>
        <w:tabs>
          <w:tab w:val="clear" w:pos="567"/>
        </w:tabs>
        <w:spacing w:line="240" w:lineRule="auto"/>
        <w:ind w:hanging="720"/>
        <w:rPr>
          <w:rStyle w:val="longtext1"/>
          <w:color w:val="000000"/>
          <w:sz w:val="22"/>
          <w:szCs w:val="22"/>
          <w:shd w:val="clear" w:color="auto" w:fill="FFFFFF"/>
          <w:lang w:val="sk-SK"/>
        </w:rPr>
      </w:pPr>
      <w:r w:rsidRPr="004B1A50">
        <w:rPr>
          <w:rStyle w:val="longtext1"/>
          <w:color w:val="000000"/>
          <w:sz w:val="22"/>
          <w:szCs w:val="22"/>
          <w:shd w:val="clear" w:color="auto" w:fill="FFFFFF"/>
          <w:lang w:val="sk-SK"/>
        </w:rPr>
        <w:t>Precitlivenosť na ktorúkoľvek z pomocných látok</w:t>
      </w:r>
      <w:r w:rsidR="003E70FB">
        <w:rPr>
          <w:rStyle w:val="longtext1"/>
          <w:color w:val="000000"/>
          <w:sz w:val="22"/>
          <w:szCs w:val="22"/>
          <w:shd w:val="clear" w:color="auto" w:fill="FFFFFF"/>
          <w:lang w:val="sk-SK"/>
        </w:rPr>
        <w:t xml:space="preserve"> </w:t>
      </w:r>
      <w:r w:rsidR="003E70FB" w:rsidRPr="003021DE">
        <w:rPr>
          <w:noProof/>
        </w:rPr>
        <w:t>uvedených v časti 6.1</w:t>
      </w:r>
      <w:r w:rsidRPr="004B1A50">
        <w:rPr>
          <w:rStyle w:val="longtext1"/>
          <w:color w:val="000000"/>
          <w:sz w:val="22"/>
          <w:szCs w:val="22"/>
          <w:shd w:val="clear" w:color="auto" w:fill="FFFFFF"/>
          <w:lang w:val="sk-SK"/>
        </w:rPr>
        <w:t>.</w:t>
      </w:r>
    </w:p>
    <w:p w14:paraId="41B71A0E" w14:textId="77777777" w:rsidR="00160CFC" w:rsidRPr="004B1A50" w:rsidRDefault="00160CFC" w:rsidP="00853064">
      <w:pPr>
        <w:ind w:left="567" w:hanging="567"/>
        <w:rPr>
          <w:szCs w:val="22"/>
          <w:lang w:val="sk-SK"/>
        </w:rPr>
      </w:pPr>
    </w:p>
    <w:p w14:paraId="286F6C0B" w14:textId="77777777" w:rsidR="00160CFC" w:rsidRPr="004B1A50" w:rsidRDefault="00160CFC" w:rsidP="00853064">
      <w:pPr>
        <w:numPr>
          <w:ilvl w:val="0"/>
          <w:numId w:val="7"/>
        </w:numPr>
        <w:tabs>
          <w:tab w:val="clear" w:pos="567"/>
        </w:tabs>
        <w:ind w:left="567" w:hanging="567"/>
        <w:rPr>
          <w:szCs w:val="22"/>
          <w:lang w:val="sk-SK"/>
        </w:rPr>
      </w:pPr>
      <w:r w:rsidRPr="004B1A50">
        <w:rPr>
          <w:b/>
          <w:bCs/>
          <w:szCs w:val="22"/>
          <w:lang w:val="sk-SK"/>
        </w:rPr>
        <w:t>Osobitné upozornenia a opatrenia pri používaní</w:t>
      </w:r>
    </w:p>
    <w:p w14:paraId="5590BD7C"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2CC20F92" w14:textId="77777777" w:rsidR="00160CFC" w:rsidRPr="004B1A50" w:rsidRDefault="00220AB2" w:rsidP="00853064">
      <w:pPr>
        <w:autoSpaceDE w:val="0"/>
        <w:autoSpaceDN w:val="0"/>
        <w:adjustRightInd w:val="0"/>
        <w:spacing w:line="240" w:lineRule="auto"/>
        <w:rPr>
          <w:rFonts w:eastAsia="TimesNewRoman"/>
          <w:color w:val="000000"/>
          <w:szCs w:val="22"/>
          <w:lang w:val="sk-SK"/>
        </w:rPr>
      </w:pPr>
      <w:r w:rsidRPr="004B1A50">
        <w:rPr>
          <w:lang w:val="sk-SK" w:eastAsia="sk-SK"/>
        </w:rPr>
        <w:t xml:space="preserve">Všetky upozornenia súvisiace s jednotlivými liečivami uvedené nižšie platia aj pre fixnú kombináciu </w:t>
      </w:r>
      <w:r w:rsidR="00831273" w:rsidRPr="004B1A50">
        <w:rPr>
          <w:lang w:val="sk-SK" w:eastAsia="sk-SK"/>
        </w:rPr>
        <w:t>amlodipín/perindopril</w:t>
      </w:r>
      <w:r w:rsidRPr="004B1A50">
        <w:rPr>
          <w:lang w:val="sk-SK" w:eastAsia="sk-SK"/>
        </w:rPr>
        <w:t>.</w:t>
      </w:r>
    </w:p>
    <w:p w14:paraId="2BDC1F7E"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36B0FB3E"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Súvisiace s</w:t>
      </w:r>
      <w:r w:rsidR="00831273" w:rsidRPr="004B1A50">
        <w:rPr>
          <w:rFonts w:eastAsia="TimesNewRoman,Italic"/>
          <w:iCs/>
          <w:color w:val="000000"/>
          <w:szCs w:val="22"/>
          <w:u w:val="single"/>
          <w:lang w:val="sk-SK"/>
        </w:rPr>
        <w:t> </w:t>
      </w:r>
      <w:r w:rsidRPr="004B1A50">
        <w:rPr>
          <w:rFonts w:eastAsia="TimesNewRoman,Italic"/>
          <w:iCs/>
          <w:color w:val="000000"/>
          <w:szCs w:val="22"/>
          <w:u w:val="single"/>
          <w:lang w:val="sk-SK"/>
        </w:rPr>
        <w:t>perindoprilom</w:t>
      </w:r>
    </w:p>
    <w:p w14:paraId="3EA34487" w14:textId="77777777" w:rsidR="00831273" w:rsidRPr="004B1A50" w:rsidRDefault="00831273" w:rsidP="00853064">
      <w:pPr>
        <w:autoSpaceDE w:val="0"/>
        <w:autoSpaceDN w:val="0"/>
        <w:adjustRightInd w:val="0"/>
        <w:spacing w:line="240" w:lineRule="auto"/>
        <w:rPr>
          <w:rFonts w:eastAsia="TimesNewRoman,Italic"/>
          <w:iCs/>
          <w:color w:val="000000"/>
          <w:szCs w:val="22"/>
          <w:lang w:val="sk-SK"/>
        </w:rPr>
      </w:pPr>
    </w:p>
    <w:p w14:paraId="1888C211" w14:textId="77777777" w:rsidR="00831273" w:rsidRPr="004B1A50" w:rsidRDefault="00831273" w:rsidP="00853064">
      <w:pPr>
        <w:autoSpaceDE w:val="0"/>
        <w:autoSpaceDN w:val="0"/>
        <w:adjustRightInd w:val="0"/>
        <w:spacing w:line="240" w:lineRule="auto"/>
        <w:rPr>
          <w:rFonts w:eastAsia="TimesNewRoman,Italic"/>
          <w:i/>
          <w:iCs/>
          <w:color w:val="000000"/>
          <w:szCs w:val="22"/>
          <w:lang w:val="sk-SK"/>
        </w:rPr>
      </w:pPr>
      <w:r w:rsidRPr="004B1A50">
        <w:rPr>
          <w:rFonts w:eastAsia="TimesNewRoman,Italic"/>
          <w:i/>
          <w:iCs/>
          <w:color w:val="000000"/>
          <w:szCs w:val="22"/>
          <w:lang w:val="sk-SK"/>
        </w:rPr>
        <w:t>Osobitné upozornenia</w:t>
      </w:r>
    </w:p>
    <w:p w14:paraId="5189C38B"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2D1F7C45"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Precitlivenosť/angioedém:</w:t>
      </w:r>
    </w:p>
    <w:p w14:paraId="2BEF3590" w14:textId="3D7D4885"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liečených inhibítormi ACE vrátane perindoprilu bol hlásený angioedém tváre, končatín, pier, slizníc, jazyka, hlasiviek a/alebo hrtana (pozri časť 4.8). Môže sa vyskytnúť kedykoľvek počas liečby. V</w:t>
      </w:r>
      <w:r w:rsidR="003E70FB">
        <w:rPr>
          <w:rFonts w:eastAsia="TimesNewRoman"/>
          <w:color w:val="000000"/>
          <w:szCs w:val="22"/>
          <w:lang w:val="sk-SK"/>
        </w:rPr>
        <w:t> </w:t>
      </w:r>
      <w:r w:rsidRPr="004B1A50">
        <w:rPr>
          <w:rFonts w:eastAsia="TimesNewRoman"/>
          <w:color w:val="000000"/>
          <w:szCs w:val="22"/>
          <w:lang w:val="sk-SK"/>
        </w:rPr>
        <w:t xml:space="preserve">takých prípadoch sa má okamžite prerušiť </w:t>
      </w:r>
      <w:r w:rsidR="00831273" w:rsidRPr="004B1A50">
        <w:rPr>
          <w:rFonts w:eastAsia="TimesNewRoman"/>
          <w:color w:val="000000"/>
          <w:szCs w:val="22"/>
          <w:lang w:val="sk-SK"/>
        </w:rPr>
        <w:t xml:space="preserve">podávanie </w:t>
      </w:r>
      <w:r w:rsidR="00831273" w:rsidRPr="004B1A50">
        <w:rPr>
          <w:lang w:val="sk-SK"/>
        </w:rPr>
        <w:t>Perindamlostadu</w:t>
      </w:r>
      <w:r w:rsidRPr="004B1A50">
        <w:rPr>
          <w:rFonts w:eastAsia="TimesNewRoman"/>
          <w:color w:val="000000"/>
          <w:szCs w:val="22"/>
          <w:lang w:val="sk-SK"/>
        </w:rPr>
        <w:t xml:space="preserve"> a má sa začať primerané monitorovanie, ktoré má pokračovať, až kým úplne nevymiznú príznaky. V prípadoch, kedy sa opuch obmedzil na tvár a pery, tento stav sa vo všeobecnosti upravil bez liečby, </w:t>
      </w:r>
      <w:r w:rsidR="00220AB2" w:rsidRPr="004B1A50">
        <w:rPr>
          <w:rFonts w:eastAsia="TimesNewRoman"/>
          <w:color w:val="000000"/>
          <w:szCs w:val="22"/>
          <w:lang w:val="sk-SK"/>
        </w:rPr>
        <w:t>hoci</w:t>
      </w:r>
      <w:r w:rsidRPr="004B1A50">
        <w:rPr>
          <w:rFonts w:eastAsia="TimesNewRoman"/>
          <w:color w:val="000000"/>
          <w:szCs w:val="22"/>
          <w:lang w:val="sk-SK"/>
        </w:rPr>
        <w:t xml:space="preserve"> pri </w:t>
      </w:r>
      <w:r w:rsidR="00220AB2" w:rsidRPr="004B1A50">
        <w:rPr>
          <w:rFonts w:eastAsia="TimesNewRoman"/>
          <w:color w:val="000000"/>
          <w:szCs w:val="22"/>
          <w:lang w:val="sk-SK"/>
        </w:rPr>
        <w:t>z</w:t>
      </w:r>
      <w:r w:rsidRPr="004B1A50">
        <w:rPr>
          <w:rFonts w:eastAsia="TimesNewRoman"/>
          <w:color w:val="000000"/>
          <w:szCs w:val="22"/>
          <w:lang w:val="sk-SK"/>
        </w:rPr>
        <w:t>mierňovaní príznakov boli užitočné antihistaminiká.</w:t>
      </w:r>
    </w:p>
    <w:p w14:paraId="12E6AEA1"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36C61DBF"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Angioedém spojený s edémom hrtana môže byť fatálny. Pri postihnutí jazyka, hlasiviek alebo hrtana, ktoré môže viesť k obštrukcii dýchacích ciest, sa má okamžite podať núdzová liečba. Táto liečba môže zahŕňať podanie adrenalínu a/alebo opatrenia na zabezpečenie priechodnosti dýchacích ciest pacienta. Pacient</w:t>
      </w:r>
      <w:r w:rsidR="008401CE" w:rsidRPr="004B1A50">
        <w:rPr>
          <w:rFonts w:eastAsia="TimesNewRoman"/>
          <w:color w:val="000000"/>
          <w:szCs w:val="22"/>
          <w:lang w:val="sk-SK"/>
        </w:rPr>
        <w:t xml:space="preserve"> </w:t>
      </w:r>
      <w:r w:rsidRPr="004B1A50">
        <w:rPr>
          <w:rFonts w:eastAsia="TimesNewRoman"/>
          <w:color w:val="000000"/>
          <w:szCs w:val="22"/>
          <w:lang w:val="sk-SK"/>
        </w:rPr>
        <w:t xml:space="preserve">má byť pod dôsledným lekárskym dohľadom, kým nedôjde k úplnému a pretrvávajúcemu </w:t>
      </w:r>
      <w:r w:rsidR="00220AB2" w:rsidRPr="004B1A50">
        <w:rPr>
          <w:rFonts w:eastAsia="TimesNewRoman"/>
          <w:color w:val="000000"/>
          <w:szCs w:val="22"/>
          <w:lang w:val="sk-SK"/>
        </w:rPr>
        <w:t xml:space="preserve">ústupu </w:t>
      </w:r>
      <w:r w:rsidRPr="004B1A50">
        <w:rPr>
          <w:rFonts w:eastAsia="TimesNewRoman"/>
          <w:color w:val="000000"/>
          <w:szCs w:val="22"/>
          <w:lang w:val="sk-SK"/>
        </w:rPr>
        <w:t>príznakov.</w:t>
      </w:r>
    </w:p>
    <w:p w14:paraId="696FF842"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0793EDF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s anamnézou angioedému nesúvisiaceho s liečbou inhibítormi ACE môže byť zvýšené riziko vzniku angioedému počas užívania inhibítora ACE (pozri časť 4.3).</w:t>
      </w:r>
    </w:p>
    <w:p w14:paraId="511C1AF4"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3E42EBC4" w14:textId="77777777" w:rsidR="00160CFC"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liečených inhibítormi ACE bol zriedkavo hlásený črevný angioedém. Títo pacienti mali bolesti brucha (s nauzeou alebo vracaním alebo bez nich), v niektorých prípadoch bez predchádzajúceho angioedému</w:t>
      </w:r>
      <w:r w:rsidR="008401CE" w:rsidRPr="004B1A50">
        <w:rPr>
          <w:rFonts w:eastAsia="TimesNewRoman"/>
          <w:color w:val="000000"/>
          <w:szCs w:val="22"/>
          <w:lang w:val="sk-SK"/>
        </w:rPr>
        <w:t xml:space="preserve"> </w:t>
      </w:r>
      <w:r w:rsidRPr="004B1A50">
        <w:rPr>
          <w:rFonts w:eastAsia="TimesNewRoman"/>
          <w:color w:val="000000"/>
          <w:szCs w:val="22"/>
          <w:lang w:val="sk-SK"/>
        </w:rPr>
        <w:t>tváre, pričom hladiny C-1 esterázy boli v norme. Angioedém sa diagnostikoval prostredníctvom vyšetrení zahŕňajúcich CT brucha alebo ultrazvuk alebo pri chirurgickom zákroku a príznaky ustúpili po vysadení inhibítorov ACE.</w:t>
      </w:r>
      <w:r w:rsidR="008401CE" w:rsidRPr="004B1A50">
        <w:rPr>
          <w:rFonts w:eastAsia="TimesNewRoman"/>
          <w:color w:val="000000"/>
          <w:szCs w:val="22"/>
          <w:lang w:val="sk-SK"/>
        </w:rPr>
        <w:t xml:space="preserve"> </w:t>
      </w:r>
      <w:r w:rsidRPr="004B1A50">
        <w:rPr>
          <w:rFonts w:eastAsia="TimesNewRoman"/>
          <w:color w:val="000000"/>
          <w:szCs w:val="22"/>
          <w:lang w:val="sk-SK"/>
        </w:rPr>
        <w:t>Črevný angioedém má byť zahrnutý do diferenciálnej diagnózy pacientov užívajúcich inhibítory ACE, u ktorých sa vyskytne bolesť brucha (pozri časť 4.8).</w:t>
      </w:r>
    </w:p>
    <w:p w14:paraId="285B91FA" w14:textId="77777777" w:rsidR="00176241" w:rsidRDefault="00176241" w:rsidP="00853064">
      <w:pPr>
        <w:autoSpaceDE w:val="0"/>
        <w:autoSpaceDN w:val="0"/>
        <w:adjustRightInd w:val="0"/>
        <w:spacing w:line="240" w:lineRule="auto"/>
        <w:rPr>
          <w:rFonts w:eastAsia="TimesNewRoman"/>
          <w:color w:val="000000"/>
          <w:szCs w:val="22"/>
          <w:lang w:val="sk-SK"/>
        </w:rPr>
      </w:pPr>
    </w:p>
    <w:p w14:paraId="37EE9FEB" w14:textId="272145E4" w:rsidR="00176241" w:rsidRPr="003A0D80" w:rsidRDefault="00176241" w:rsidP="00176241">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 xml:space="preserve">Súbežné užívanie inhibítorov angiotenzín konvertujúceho enzýmu (ACE) so sakubitrilom/valsartanom je kontraindikované v dôsledku zvýšeného rizika angioedému. Liečba sakubitrilom/valsartanom sa </w:t>
      </w:r>
      <w:r w:rsidRPr="003A0D80">
        <w:rPr>
          <w:rFonts w:eastAsia="TimesNewRoman"/>
          <w:color w:val="000000"/>
          <w:szCs w:val="22"/>
          <w:lang w:val="sk-SK"/>
        </w:rPr>
        <w:lastRenderedPageBreak/>
        <w:t xml:space="preserve">nesmie začať skôr ako po 36 hodinách od poslednej dávky </w:t>
      </w:r>
      <w:r w:rsidR="003E70FB" w:rsidRPr="003A0D80">
        <w:rPr>
          <w:rFonts w:eastAsia="TimesNewRoman"/>
          <w:color w:val="000000"/>
          <w:szCs w:val="22"/>
          <w:lang w:val="sk-SK"/>
        </w:rPr>
        <w:t>perindopril</w:t>
      </w:r>
      <w:r w:rsidRPr="003A0D80">
        <w:rPr>
          <w:rFonts w:eastAsia="TimesNewRoman"/>
          <w:color w:val="000000"/>
          <w:szCs w:val="22"/>
          <w:lang w:val="sk-SK"/>
        </w:rPr>
        <w:t xml:space="preserve">u. Liečba </w:t>
      </w:r>
      <w:r w:rsidR="003E70FB" w:rsidRPr="003A0D80">
        <w:rPr>
          <w:rFonts w:eastAsia="TimesNewRoman"/>
          <w:color w:val="000000"/>
          <w:szCs w:val="22"/>
          <w:lang w:val="sk-SK"/>
        </w:rPr>
        <w:t>perindoprilom</w:t>
      </w:r>
      <w:r w:rsidRPr="003A0D80">
        <w:rPr>
          <w:rFonts w:eastAsia="TimesNewRoman"/>
          <w:color w:val="000000"/>
          <w:szCs w:val="22"/>
          <w:lang w:val="sk-SK"/>
        </w:rPr>
        <w:t xml:space="preserve"> sa nesmie začať skôr ako po 36 hodinách od poslednej dávky </w:t>
      </w:r>
      <w:r w:rsidR="00370676" w:rsidRPr="003A0D80">
        <w:rPr>
          <w:rFonts w:eastAsia="TimesNewRoman"/>
          <w:color w:val="000000"/>
          <w:szCs w:val="22"/>
          <w:lang w:val="sk-SK"/>
        </w:rPr>
        <w:t>s</w:t>
      </w:r>
      <w:r w:rsidRPr="003A0D80">
        <w:rPr>
          <w:rFonts w:eastAsia="TimesNewRoman"/>
          <w:color w:val="000000"/>
          <w:szCs w:val="22"/>
          <w:lang w:val="sk-SK"/>
        </w:rPr>
        <w:t xml:space="preserve">akubitrilu/valsartanu (pozri časti 4.3 a 4.5). </w:t>
      </w:r>
    </w:p>
    <w:p w14:paraId="5879C48D" w14:textId="77777777" w:rsidR="00176241" w:rsidRPr="003A0D80" w:rsidRDefault="00176241" w:rsidP="00176241">
      <w:pPr>
        <w:autoSpaceDE w:val="0"/>
        <w:autoSpaceDN w:val="0"/>
        <w:adjustRightInd w:val="0"/>
        <w:spacing w:line="240" w:lineRule="auto"/>
        <w:rPr>
          <w:rFonts w:eastAsia="TimesNewRoman"/>
          <w:color w:val="000000"/>
          <w:szCs w:val="22"/>
          <w:lang w:val="sk-SK"/>
        </w:rPr>
      </w:pPr>
    </w:p>
    <w:p w14:paraId="184780FB" w14:textId="532EA77C" w:rsidR="00176241" w:rsidRPr="003A0D80" w:rsidRDefault="00176241" w:rsidP="00176241">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Súbežné užívanie inhibítorov ACE s racekadotrilom, inhibítormi mTOR (mammalian target of rapamycin, cicavčia cieľová kináza rapamycínu) (napr. sirolimus, everolimus, temsirolimus) a</w:t>
      </w:r>
      <w:r w:rsidR="00370676" w:rsidRPr="003A0D80">
        <w:rPr>
          <w:rFonts w:eastAsia="TimesNewRoman"/>
          <w:color w:val="000000"/>
          <w:szCs w:val="22"/>
          <w:lang w:val="sk-SK"/>
        </w:rPr>
        <w:t> </w:t>
      </w:r>
      <w:r w:rsidRPr="003A0D80">
        <w:rPr>
          <w:rFonts w:eastAsia="TimesNewRoman"/>
          <w:color w:val="000000"/>
          <w:szCs w:val="22"/>
          <w:lang w:val="sk-SK"/>
        </w:rPr>
        <w:t>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w:t>
      </w:r>
    </w:p>
    <w:p w14:paraId="74FB7283" w14:textId="77777777" w:rsidR="00225CBD" w:rsidRPr="003A0D80" w:rsidRDefault="00225CBD" w:rsidP="00FC0B45">
      <w:pPr>
        <w:tabs>
          <w:tab w:val="clear" w:pos="567"/>
        </w:tabs>
        <w:autoSpaceDE w:val="0"/>
        <w:autoSpaceDN w:val="0"/>
        <w:adjustRightInd w:val="0"/>
        <w:spacing w:line="240" w:lineRule="auto"/>
        <w:rPr>
          <w:rFonts w:eastAsia="TimesNewRoman,Italic"/>
          <w:i/>
          <w:iCs/>
          <w:color w:val="000000"/>
          <w:szCs w:val="22"/>
          <w:lang w:val="sk-SK"/>
        </w:rPr>
      </w:pPr>
    </w:p>
    <w:p w14:paraId="6D64FE27" w14:textId="77777777" w:rsidR="00160CFC" w:rsidRPr="003A0D80" w:rsidRDefault="00160CFC" w:rsidP="00853064">
      <w:pPr>
        <w:autoSpaceDE w:val="0"/>
        <w:autoSpaceDN w:val="0"/>
        <w:adjustRightInd w:val="0"/>
        <w:spacing w:line="240" w:lineRule="auto"/>
        <w:rPr>
          <w:rFonts w:eastAsia="TimesNewRoman,Italic"/>
          <w:iCs/>
          <w:color w:val="000000"/>
          <w:szCs w:val="22"/>
          <w:u w:val="single"/>
          <w:lang w:val="sk-SK"/>
        </w:rPr>
      </w:pPr>
      <w:r w:rsidRPr="003A0D80">
        <w:rPr>
          <w:rFonts w:eastAsia="TimesNewRoman,Italic"/>
          <w:i/>
          <w:iCs/>
          <w:color w:val="000000"/>
          <w:szCs w:val="22"/>
          <w:u w:val="single"/>
          <w:lang w:val="sk-SK"/>
        </w:rPr>
        <w:t>Anafylaktoidné reakcie počas aferézy lipoproteínov s nízkou hustotou (LDL):</w:t>
      </w:r>
    </w:p>
    <w:p w14:paraId="56771407"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14:paraId="3148461B" w14:textId="77777777" w:rsidR="00160CFC" w:rsidRPr="003A0D80" w:rsidRDefault="00160CFC" w:rsidP="00853064">
      <w:pPr>
        <w:autoSpaceDE w:val="0"/>
        <w:autoSpaceDN w:val="0"/>
        <w:adjustRightInd w:val="0"/>
        <w:spacing w:line="240" w:lineRule="auto"/>
        <w:rPr>
          <w:rFonts w:eastAsia="TimesNewRoman"/>
          <w:color w:val="000000"/>
          <w:szCs w:val="22"/>
          <w:lang w:val="sk-SK"/>
        </w:rPr>
      </w:pPr>
    </w:p>
    <w:p w14:paraId="3CB6536C" w14:textId="77777777" w:rsidR="00160CFC" w:rsidRPr="003A0D80" w:rsidRDefault="00160CFC" w:rsidP="00853064">
      <w:pPr>
        <w:autoSpaceDE w:val="0"/>
        <w:autoSpaceDN w:val="0"/>
        <w:adjustRightInd w:val="0"/>
        <w:spacing w:line="240" w:lineRule="auto"/>
        <w:rPr>
          <w:rFonts w:eastAsia="TimesNewRoman,Italic"/>
          <w:iCs/>
          <w:color w:val="000000"/>
          <w:szCs w:val="22"/>
          <w:u w:val="single"/>
          <w:lang w:val="sk-SK"/>
        </w:rPr>
      </w:pPr>
      <w:r w:rsidRPr="003A0D80">
        <w:rPr>
          <w:rFonts w:eastAsia="TimesNewRoman,Italic"/>
          <w:i/>
          <w:iCs/>
          <w:color w:val="000000"/>
          <w:szCs w:val="22"/>
          <w:u w:val="single"/>
          <w:lang w:val="sk-SK"/>
        </w:rPr>
        <w:t>Anafylaktoidné reakcie počas desenzibilizácie:</w:t>
      </w:r>
    </w:p>
    <w:p w14:paraId="39AB395D"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 xml:space="preserve">U pacientov liečených inhibítormi ACE počas desenzibilizačnej liečby (napr. hymenoptera venom) sa vyskytli anafylaktoidné reakcie. U tých istých pacientov sa týmto reakciám predišlo dočasným vysadením liečby inhibítormi ACE, </w:t>
      </w:r>
      <w:r w:rsidR="009364D1" w:rsidRPr="003A0D80">
        <w:rPr>
          <w:lang w:val="sk-SK" w:eastAsia="sk-SK"/>
        </w:rPr>
        <w:t>ale pri náhodnej opätovnej expozícii sa tieto reakcie objavili znova.</w:t>
      </w:r>
    </w:p>
    <w:p w14:paraId="78C48A89" w14:textId="77777777" w:rsidR="00160CFC" w:rsidRPr="003A0D80" w:rsidRDefault="00160CFC" w:rsidP="00853064">
      <w:pPr>
        <w:autoSpaceDE w:val="0"/>
        <w:autoSpaceDN w:val="0"/>
        <w:adjustRightInd w:val="0"/>
        <w:spacing w:line="240" w:lineRule="auto"/>
        <w:rPr>
          <w:rFonts w:eastAsia="TimesNewRoman,Italic"/>
          <w:i/>
          <w:iCs/>
          <w:color w:val="000000"/>
          <w:szCs w:val="22"/>
          <w:lang w:val="sk-SK"/>
        </w:rPr>
      </w:pPr>
    </w:p>
    <w:p w14:paraId="27039D3C" w14:textId="77777777" w:rsidR="00160CFC" w:rsidRPr="003A0D80" w:rsidRDefault="00160CFC" w:rsidP="00853064">
      <w:pPr>
        <w:autoSpaceDE w:val="0"/>
        <w:autoSpaceDN w:val="0"/>
        <w:adjustRightInd w:val="0"/>
        <w:spacing w:line="240" w:lineRule="auto"/>
        <w:rPr>
          <w:rFonts w:eastAsia="TimesNewRoman,Italic"/>
          <w:iCs/>
          <w:color w:val="000000"/>
          <w:szCs w:val="22"/>
          <w:u w:val="single"/>
          <w:lang w:val="sk-SK"/>
        </w:rPr>
      </w:pPr>
      <w:r w:rsidRPr="003A0D80">
        <w:rPr>
          <w:rFonts w:eastAsia="TimesNewRoman,Italic"/>
          <w:i/>
          <w:iCs/>
          <w:color w:val="000000"/>
          <w:szCs w:val="22"/>
          <w:u w:val="single"/>
          <w:lang w:val="sk-SK"/>
        </w:rPr>
        <w:t>Neutropénia/agranulocytóza/trombocytopénia/anémia:</w:t>
      </w:r>
    </w:p>
    <w:p w14:paraId="50B3DD30" w14:textId="37F35E18" w:rsidR="00160CFC" w:rsidRPr="004B1A5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U pacientov užívajúcich inhibítory</w:t>
      </w:r>
      <w:r w:rsidR="008401CE" w:rsidRPr="003A0D80">
        <w:rPr>
          <w:rFonts w:eastAsia="TimesNewRoman"/>
          <w:color w:val="000000"/>
          <w:szCs w:val="22"/>
          <w:lang w:val="sk-SK"/>
        </w:rPr>
        <w:t xml:space="preserve"> </w:t>
      </w:r>
      <w:r w:rsidRPr="003A0D80">
        <w:rPr>
          <w:rFonts w:eastAsia="TimesNewRoman"/>
          <w:color w:val="000000"/>
          <w:szCs w:val="22"/>
          <w:lang w:val="sk-SK"/>
        </w:rPr>
        <w:t>ACE boli hlásené neutropénia/agranulocytóza, trombocytopénia a</w:t>
      </w:r>
      <w:r w:rsidR="00336B53" w:rsidRPr="003A0D80">
        <w:rPr>
          <w:rFonts w:eastAsia="TimesNewRoman"/>
          <w:color w:val="000000"/>
          <w:szCs w:val="22"/>
          <w:lang w:val="sk-SK"/>
        </w:rPr>
        <w:t> </w:t>
      </w:r>
      <w:r w:rsidRPr="003A0D80">
        <w:rPr>
          <w:rFonts w:eastAsia="TimesNewRoman"/>
          <w:color w:val="000000"/>
          <w:szCs w:val="22"/>
          <w:lang w:val="sk-SK"/>
        </w:rPr>
        <w:t>anémia. U pacientov s</w:t>
      </w:r>
      <w:r w:rsidRPr="004B1A50">
        <w:rPr>
          <w:rFonts w:eastAsia="TimesNewRoman"/>
          <w:color w:val="000000"/>
          <w:szCs w:val="22"/>
          <w:lang w:val="sk-SK"/>
        </w:rPr>
        <w:t xml:space="preserve"> normálnou funkciou obličiek a bez ďalších komplikujúcich faktorov sa neutropénia vyskytuje zriedkavo. Perindopril sa má používať s najvyššou opatrnosťou u pacientov s</w:t>
      </w:r>
      <w:r w:rsidR="00336B53">
        <w:rPr>
          <w:rFonts w:eastAsia="TimesNewRoman"/>
          <w:color w:val="000000"/>
          <w:szCs w:val="22"/>
          <w:lang w:val="sk-SK"/>
        </w:rPr>
        <w:t> </w:t>
      </w:r>
      <w:r w:rsidRPr="004B1A50">
        <w:rPr>
          <w:rFonts w:eastAsia="TimesNewRoman"/>
          <w:color w:val="000000"/>
          <w:szCs w:val="22"/>
          <w:lang w:val="sk-SK"/>
        </w:rPr>
        <w:t>kolagénovým vaskulárnym ochorením, u pacientov užívajúcich imunosupresívnu liečbu, alopurinol alebo prokaínamid alebo pri kombinácii týchto komplikujúcich faktorov, najmä ak má pacient preexistujúcu poruchu funkcie obličiek. U niektorých z týchto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hrdla, horúčku).</w:t>
      </w:r>
    </w:p>
    <w:p w14:paraId="1F3964D7"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77DE3CE1" w14:textId="0E6D83E2" w:rsidR="00AF76B6" w:rsidRPr="004B1A50" w:rsidRDefault="00AF76B6" w:rsidP="00AF76B6">
      <w:pPr>
        <w:autoSpaceDE w:val="0"/>
        <w:autoSpaceDN w:val="0"/>
        <w:adjustRightInd w:val="0"/>
        <w:spacing w:line="240" w:lineRule="auto"/>
        <w:rPr>
          <w:rFonts w:eastAsia="TimesNewRoman"/>
          <w:color w:val="000000"/>
          <w:szCs w:val="22"/>
          <w:lang w:val="sk-SK"/>
        </w:rPr>
      </w:pPr>
      <w:r w:rsidRPr="004B1A50">
        <w:rPr>
          <w:rFonts w:eastAsia="TimesNewRoman"/>
          <w:i/>
          <w:iCs/>
          <w:color w:val="000000"/>
          <w:szCs w:val="22"/>
          <w:lang w:val="sk-SK"/>
        </w:rPr>
        <w:t xml:space="preserve">Duálna </w:t>
      </w:r>
      <w:r w:rsidR="00336B53">
        <w:rPr>
          <w:rFonts w:eastAsia="TimesNewRoman"/>
          <w:i/>
          <w:iCs/>
          <w:color w:val="000000"/>
          <w:szCs w:val="22"/>
          <w:lang w:val="sk-SK"/>
        </w:rPr>
        <w:t>inhibícia</w:t>
      </w:r>
      <w:r w:rsidR="00336B53" w:rsidRPr="004B1A50">
        <w:rPr>
          <w:rFonts w:eastAsia="TimesNewRoman"/>
          <w:i/>
          <w:iCs/>
          <w:color w:val="000000"/>
          <w:szCs w:val="22"/>
          <w:lang w:val="sk-SK"/>
        </w:rPr>
        <w:t xml:space="preserve"> </w:t>
      </w:r>
      <w:r w:rsidRPr="004B1A50">
        <w:rPr>
          <w:rFonts w:eastAsia="TimesNewRoman"/>
          <w:i/>
          <w:iCs/>
          <w:color w:val="000000"/>
          <w:szCs w:val="22"/>
          <w:lang w:val="sk-SK"/>
        </w:rPr>
        <w:t>systému renín-angiotenzín-aldosterón (RAAS)</w:t>
      </w:r>
    </w:p>
    <w:p w14:paraId="23D28D75" w14:textId="1A691B51" w:rsidR="00AF76B6" w:rsidRPr="004B1A50" w:rsidRDefault="00AF76B6" w:rsidP="00AF76B6">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Existujú dôkazy, že súbežné použitie inhibítorov ACE, blokátorov receptorov angiotenzínu II alebo aliskirénu zvyšuje riziko hypotenzie, hyperkaliémie a zníženia funkcie obličiek (vrátane akútneho zlyhania obličiek). Duálna </w:t>
      </w:r>
      <w:r w:rsidR="00336B53">
        <w:rPr>
          <w:rFonts w:eastAsia="TimesNewRoman"/>
          <w:color w:val="000000"/>
          <w:szCs w:val="22"/>
          <w:lang w:val="sk-SK"/>
        </w:rPr>
        <w:t>inhibícia</w:t>
      </w:r>
      <w:r w:rsidR="00336B53" w:rsidRPr="004B1A50">
        <w:rPr>
          <w:rFonts w:eastAsia="TimesNewRoman"/>
          <w:color w:val="000000"/>
          <w:szCs w:val="22"/>
          <w:lang w:val="sk-SK"/>
        </w:rPr>
        <w:t xml:space="preserve"> </w:t>
      </w:r>
      <w:r w:rsidRPr="004B1A50">
        <w:rPr>
          <w:rFonts w:eastAsia="TimesNewRoman"/>
          <w:color w:val="000000"/>
          <w:szCs w:val="22"/>
          <w:lang w:val="sk-SK"/>
        </w:rPr>
        <w:t>RAAS prostredníctvom kombinovaného použitia inhibítorov ACE, blokátorov receptorov angiotenzínu II alebo aliskirénu sa preto neodporúča (pozri časti 4.5 a 5.1).</w:t>
      </w:r>
    </w:p>
    <w:p w14:paraId="5F8995F2"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3C4A59F4" w14:textId="4D49BE54" w:rsidR="00AF76B6" w:rsidRPr="004B1A50" w:rsidRDefault="00AF76B6" w:rsidP="00AF76B6">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Ak sa liečba duálnou </w:t>
      </w:r>
      <w:r w:rsidR="00336B53">
        <w:rPr>
          <w:rFonts w:eastAsia="TimesNewRoman"/>
          <w:color w:val="000000"/>
          <w:szCs w:val="22"/>
          <w:lang w:val="sk-SK"/>
        </w:rPr>
        <w:t>inhibíci</w:t>
      </w:r>
      <w:r w:rsidR="00336B53" w:rsidRPr="004B1A50">
        <w:rPr>
          <w:rFonts w:eastAsia="TimesNewRoman"/>
          <w:color w:val="000000"/>
          <w:szCs w:val="22"/>
          <w:lang w:val="sk-SK"/>
        </w:rPr>
        <w:t xml:space="preserve">ou </w:t>
      </w:r>
      <w:r w:rsidRPr="004B1A50">
        <w:rPr>
          <w:rFonts w:eastAsia="TimesNewRoman"/>
          <w:color w:val="000000"/>
          <w:szCs w:val="22"/>
          <w:lang w:val="sk-SK"/>
        </w:rPr>
        <w:t>považuje za absolútne nevyhnutnú, liečba sa má uskutočniť len pod dohľadom odborníka a za častého sledovania funkcie obličiek, elektrolytov a krvného tlaku.</w:t>
      </w:r>
    </w:p>
    <w:p w14:paraId="0B69B4D8" w14:textId="77777777" w:rsidR="00AF76B6" w:rsidRPr="004B1A50" w:rsidRDefault="00AF76B6" w:rsidP="00AF76B6">
      <w:pPr>
        <w:autoSpaceDE w:val="0"/>
        <w:autoSpaceDN w:val="0"/>
        <w:adjustRightInd w:val="0"/>
        <w:spacing w:line="240" w:lineRule="auto"/>
        <w:rPr>
          <w:rFonts w:eastAsia="TimesNewRoman"/>
          <w:color w:val="000000"/>
          <w:szCs w:val="22"/>
          <w:lang w:val="sk-SK"/>
        </w:rPr>
      </w:pPr>
    </w:p>
    <w:p w14:paraId="714B75B8" w14:textId="2117766F" w:rsidR="00AF76B6" w:rsidRPr="004B1A50" w:rsidRDefault="00AF76B6" w:rsidP="00AF76B6">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Inhibítory ACE a blokátory receptorov angiotenzínu II sa nemajú používať súčasne u pacientov s</w:t>
      </w:r>
      <w:r w:rsidR="00336B53">
        <w:rPr>
          <w:rFonts w:eastAsia="TimesNewRoman"/>
          <w:color w:val="000000"/>
          <w:szCs w:val="22"/>
          <w:lang w:val="sk-SK"/>
        </w:rPr>
        <w:t> </w:t>
      </w:r>
      <w:r w:rsidRPr="004B1A50">
        <w:rPr>
          <w:rFonts w:eastAsia="TimesNewRoman"/>
          <w:color w:val="000000"/>
          <w:szCs w:val="22"/>
          <w:lang w:val="sk-SK"/>
        </w:rPr>
        <w:t>diabetickou nefropatiou.</w:t>
      </w:r>
    </w:p>
    <w:p w14:paraId="76EFF6F9"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6EE29448"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Gravidita:</w:t>
      </w:r>
    </w:p>
    <w:p w14:paraId="055F88A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Liečba inhibítormi ACE sa nemá začať počas gravidity. </w:t>
      </w:r>
      <w:r w:rsidR="009364D1" w:rsidRPr="004B1A50">
        <w:rPr>
          <w:rFonts w:eastAsia="TimesNewRoman"/>
          <w:color w:val="000000"/>
          <w:szCs w:val="22"/>
          <w:lang w:val="sk-SK"/>
        </w:rPr>
        <w:t xml:space="preserve">Ak </w:t>
      </w:r>
      <w:r w:rsidRPr="004B1A50">
        <w:rPr>
          <w:rFonts w:eastAsia="TimesNewRoman"/>
          <w:color w:val="000000"/>
          <w:szCs w:val="22"/>
          <w:lang w:val="sk-SK"/>
        </w:rPr>
        <w:t>je pokračujúca liečba ACE inhibítorom považovaná za nevyhnutnú, pacientkam, ktoré plánujú graviditu, sa má liečba zmeniť na alternatívnu antihypertenz</w:t>
      </w:r>
      <w:r w:rsidR="004B1A50">
        <w:rPr>
          <w:rFonts w:eastAsia="TimesNewRoman"/>
          <w:color w:val="000000"/>
          <w:szCs w:val="22"/>
          <w:lang w:val="sk-SK"/>
        </w:rPr>
        <w:t>nú</w:t>
      </w:r>
      <w:r w:rsidRPr="004B1A50">
        <w:rPr>
          <w:rFonts w:eastAsia="TimesNewRoman"/>
          <w:color w:val="000000"/>
          <w:szCs w:val="22"/>
          <w:lang w:val="sk-SK"/>
        </w:rPr>
        <w:t xml:space="preserve"> liečbu, ktorá</w:t>
      </w:r>
      <w:r w:rsidR="008401CE" w:rsidRPr="004B1A50">
        <w:rPr>
          <w:rFonts w:eastAsia="TimesNewRoman"/>
          <w:color w:val="000000"/>
          <w:szCs w:val="22"/>
          <w:lang w:val="sk-SK"/>
        </w:rPr>
        <w:t xml:space="preserve"> </w:t>
      </w:r>
      <w:r w:rsidRPr="004B1A50">
        <w:rPr>
          <w:rFonts w:eastAsia="TimesNewRoman"/>
          <w:color w:val="000000"/>
          <w:szCs w:val="22"/>
          <w:lang w:val="sk-SK"/>
        </w:rPr>
        <w:t xml:space="preserve">má stanovený bezpečnostný profil </w:t>
      </w:r>
      <w:r w:rsidR="009364D1" w:rsidRPr="004B1A50">
        <w:rPr>
          <w:rFonts w:eastAsia="TimesNewRoman"/>
          <w:color w:val="000000"/>
          <w:szCs w:val="22"/>
          <w:lang w:val="sk-SK"/>
        </w:rPr>
        <w:t>na</w:t>
      </w:r>
      <w:r w:rsidRPr="004B1A50">
        <w:rPr>
          <w:rFonts w:eastAsia="TimesNewRoman"/>
          <w:color w:val="000000"/>
          <w:szCs w:val="22"/>
          <w:lang w:val="sk-SK"/>
        </w:rPr>
        <w:t xml:space="preserve"> použitie v gravidite. </w:t>
      </w:r>
      <w:r w:rsidR="009364D1" w:rsidRPr="004B1A50">
        <w:rPr>
          <w:rFonts w:eastAsia="TimesNewRoman"/>
          <w:color w:val="000000"/>
          <w:szCs w:val="22"/>
          <w:lang w:val="sk-SK"/>
        </w:rPr>
        <w:t xml:space="preserve">Ak sa </w:t>
      </w:r>
      <w:r w:rsidRPr="004B1A50">
        <w:rPr>
          <w:rFonts w:eastAsia="TimesNewRoman"/>
          <w:color w:val="000000"/>
          <w:szCs w:val="22"/>
          <w:lang w:val="sk-SK"/>
        </w:rPr>
        <w:t xml:space="preserve">gravidita </w:t>
      </w:r>
      <w:r w:rsidR="009364D1" w:rsidRPr="004B1A50">
        <w:rPr>
          <w:rFonts w:eastAsia="TimesNewRoman"/>
          <w:color w:val="000000"/>
          <w:szCs w:val="22"/>
          <w:lang w:val="sk-SK"/>
        </w:rPr>
        <w:t>potvrdí</w:t>
      </w:r>
      <w:r w:rsidRPr="004B1A50">
        <w:rPr>
          <w:rFonts w:eastAsia="TimesNewRoman"/>
          <w:color w:val="000000"/>
          <w:szCs w:val="22"/>
          <w:lang w:val="sk-SK"/>
        </w:rPr>
        <w:t>, liečba inhibítormi ACE</w:t>
      </w:r>
      <w:r w:rsidR="008401CE" w:rsidRPr="004B1A50">
        <w:rPr>
          <w:rFonts w:eastAsia="TimesNewRoman"/>
          <w:color w:val="000000"/>
          <w:szCs w:val="22"/>
          <w:lang w:val="sk-SK"/>
        </w:rPr>
        <w:t xml:space="preserve"> </w:t>
      </w:r>
      <w:r w:rsidRPr="004B1A50">
        <w:rPr>
          <w:rFonts w:eastAsia="TimesNewRoman"/>
          <w:color w:val="000000"/>
          <w:szCs w:val="22"/>
          <w:lang w:val="sk-SK"/>
        </w:rPr>
        <w:t>sa má ihneď ukončiť</w:t>
      </w:r>
      <w:r w:rsidR="0011263D" w:rsidRPr="004B1A50">
        <w:rPr>
          <w:rFonts w:eastAsia="TimesNewRoman"/>
          <w:color w:val="000000"/>
          <w:szCs w:val="22"/>
          <w:lang w:val="sk-SK"/>
        </w:rPr>
        <w:t>,</w:t>
      </w:r>
      <w:r w:rsidRPr="004B1A50">
        <w:rPr>
          <w:rFonts w:eastAsia="TimesNewRoman"/>
          <w:color w:val="000000"/>
          <w:szCs w:val="22"/>
          <w:lang w:val="sk-SK"/>
        </w:rPr>
        <w:t xml:space="preserve"> a ak je to vhodné, má sa začať alternatívna liečba (pozri časti 4.3 a 4.6).</w:t>
      </w:r>
    </w:p>
    <w:p w14:paraId="3D0ABAFF"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5FB4AF49" w14:textId="77777777" w:rsidR="00AF76B6" w:rsidRPr="004B1A50" w:rsidRDefault="00AF76B6" w:rsidP="00853064">
      <w:pPr>
        <w:autoSpaceDE w:val="0"/>
        <w:autoSpaceDN w:val="0"/>
        <w:adjustRightInd w:val="0"/>
        <w:spacing w:line="240" w:lineRule="auto"/>
        <w:rPr>
          <w:rFonts w:eastAsia="TimesNewRoman,Italic"/>
          <w:i/>
          <w:iCs/>
          <w:color w:val="000000"/>
          <w:szCs w:val="22"/>
          <w:u w:val="single"/>
          <w:lang w:val="sk-SK"/>
        </w:rPr>
      </w:pPr>
      <w:r w:rsidRPr="004B1A50">
        <w:rPr>
          <w:rFonts w:eastAsia="TimesNewRoman,Italic"/>
          <w:i/>
          <w:iCs/>
          <w:color w:val="000000"/>
          <w:szCs w:val="22"/>
          <w:u w:val="single"/>
          <w:lang w:val="sk-SK"/>
        </w:rPr>
        <w:t>Opatrenia pri používaní</w:t>
      </w:r>
    </w:p>
    <w:p w14:paraId="31B57DE1"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Hypotenzia:</w:t>
      </w:r>
    </w:p>
    <w:p w14:paraId="1AAAEBF8" w14:textId="1C27329B"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lastRenderedPageBreak/>
        <w:t>Inhibítory ACE môžu spôsobiť pokles krvného tlaku. Symptomatická hypotenzia sa zriedka vyskytuje u</w:t>
      </w:r>
      <w:r w:rsidR="008401CE" w:rsidRPr="004B1A50">
        <w:rPr>
          <w:rFonts w:eastAsia="TimesNewRoman"/>
          <w:color w:val="000000"/>
          <w:szCs w:val="22"/>
          <w:lang w:val="sk-SK"/>
        </w:rPr>
        <w:t> </w:t>
      </w:r>
      <w:r w:rsidRPr="004B1A50">
        <w:rPr>
          <w:rFonts w:eastAsia="TimesNewRoman"/>
          <w:color w:val="000000"/>
          <w:szCs w:val="22"/>
          <w:lang w:val="sk-SK"/>
        </w:rPr>
        <w:t>nekomplikovaných</w:t>
      </w:r>
      <w:r w:rsidR="008401CE" w:rsidRPr="004B1A50">
        <w:rPr>
          <w:rFonts w:eastAsia="TimesNewRoman"/>
          <w:color w:val="000000"/>
          <w:szCs w:val="22"/>
          <w:lang w:val="sk-SK"/>
        </w:rPr>
        <w:t xml:space="preserve"> </w:t>
      </w:r>
      <w:r w:rsidRPr="004B1A50">
        <w:rPr>
          <w:rFonts w:eastAsia="TimesNewRoman"/>
          <w:color w:val="000000"/>
          <w:szCs w:val="22"/>
          <w:lang w:val="sk-SK"/>
        </w:rPr>
        <w:t>pacientov s hypertenziou a je vyššia pravdepodobnosť, že sa vyskytne u pacientov s depléciou objemu</w:t>
      </w:r>
      <w:r w:rsidR="00AF76B6" w:rsidRPr="004B1A50">
        <w:rPr>
          <w:rFonts w:eastAsia="TimesNewRoman"/>
          <w:color w:val="000000"/>
          <w:szCs w:val="22"/>
          <w:lang w:val="sk-SK"/>
        </w:rPr>
        <w:t>,</w:t>
      </w:r>
      <w:r w:rsidRPr="004B1A50">
        <w:rPr>
          <w:rFonts w:eastAsia="TimesNewRoman"/>
          <w:color w:val="000000"/>
          <w:szCs w:val="22"/>
          <w:lang w:val="sk-SK"/>
        </w:rPr>
        <w:t xml:space="preserve"> napr. pri liečbe</w:t>
      </w:r>
      <w:r w:rsidR="008401CE" w:rsidRPr="004B1A50">
        <w:rPr>
          <w:rFonts w:eastAsia="TimesNewRoman"/>
          <w:color w:val="000000"/>
          <w:szCs w:val="22"/>
          <w:lang w:val="sk-SK"/>
        </w:rPr>
        <w:t xml:space="preserve"> </w:t>
      </w:r>
      <w:r w:rsidRPr="004B1A50">
        <w:rPr>
          <w:rFonts w:eastAsia="TimesNewRoman"/>
          <w:color w:val="000000"/>
          <w:szCs w:val="22"/>
          <w:lang w:val="sk-SK"/>
        </w:rPr>
        <w:t xml:space="preserve">diuretikom, pri obmedzení soli v </w:t>
      </w:r>
      <w:r w:rsidR="000C77BC" w:rsidRPr="004B1A50">
        <w:rPr>
          <w:rFonts w:eastAsia="TimesNewRoman"/>
          <w:color w:val="000000"/>
          <w:szCs w:val="22"/>
          <w:lang w:val="sk-SK"/>
        </w:rPr>
        <w:t>potrave</w:t>
      </w:r>
      <w:r w:rsidRPr="004B1A50">
        <w:rPr>
          <w:rFonts w:eastAsia="TimesNewRoman"/>
          <w:color w:val="000000"/>
          <w:szCs w:val="22"/>
          <w:lang w:val="sk-SK"/>
        </w:rPr>
        <w:t xml:space="preserve">, pri dialýze, hnačke alebo vracaní alebo ak </w:t>
      </w:r>
      <w:r w:rsidR="000C77BC" w:rsidRPr="004B1A50">
        <w:rPr>
          <w:rFonts w:eastAsia="TimesNewRoman"/>
          <w:color w:val="000000"/>
          <w:szCs w:val="22"/>
          <w:lang w:val="sk-SK"/>
        </w:rPr>
        <w:t xml:space="preserve">má </w:t>
      </w:r>
      <w:r w:rsidRPr="004B1A50">
        <w:rPr>
          <w:rFonts w:eastAsia="TimesNewRoman"/>
          <w:color w:val="000000"/>
          <w:szCs w:val="22"/>
          <w:lang w:val="sk-SK"/>
        </w:rPr>
        <w:t>pacient závažn</w:t>
      </w:r>
      <w:r w:rsidR="000C77BC" w:rsidRPr="004B1A50">
        <w:rPr>
          <w:rFonts w:eastAsia="TimesNewRoman"/>
          <w:color w:val="000000"/>
          <w:szCs w:val="22"/>
          <w:lang w:val="sk-SK"/>
        </w:rPr>
        <w:t>ú</w:t>
      </w:r>
      <w:r w:rsidRPr="004B1A50">
        <w:rPr>
          <w:rFonts w:eastAsia="TimesNewRoman"/>
          <w:color w:val="000000"/>
          <w:szCs w:val="22"/>
          <w:lang w:val="sk-SK"/>
        </w:rPr>
        <w:t xml:space="preserve"> </w:t>
      </w:r>
      <w:r w:rsidR="000C77BC" w:rsidRPr="004B1A50">
        <w:rPr>
          <w:rFonts w:eastAsia="TimesNewRoman"/>
          <w:color w:val="000000"/>
          <w:szCs w:val="22"/>
          <w:lang w:val="sk-SK"/>
        </w:rPr>
        <w:t xml:space="preserve">renín-dependentnú </w:t>
      </w:r>
      <w:r w:rsidRPr="004B1A50">
        <w:rPr>
          <w:rFonts w:eastAsia="TimesNewRoman"/>
          <w:color w:val="000000"/>
          <w:szCs w:val="22"/>
          <w:lang w:val="sk-SK"/>
        </w:rPr>
        <w:t>hypertenzi</w:t>
      </w:r>
      <w:r w:rsidR="000C77BC" w:rsidRPr="004B1A50">
        <w:rPr>
          <w:rFonts w:eastAsia="TimesNewRoman"/>
          <w:color w:val="000000"/>
          <w:szCs w:val="22"/>
          <w:lang w:val="sk-SK"/>
        </w:rPr>
        <w:t>u</w:t>
      </w:r>
      <w:r w:rsidRPr="004B1A50">
        <w:rPr>
          <w:rFonts w:eastAsia="TimesNewRoman"/>
          <w:color w:val="000000"/>
          <w:szCs w:val="22"/>
          <w:lang w:val="sk-SK"/>
        </w:rPr>
        <w:t xml:space="preserve"> (pozri časti 4.5 a</w:t>
      </w:r>
      <w:r w:rsidR="00336B53">
        <w:rPr>
          <w:rFonts w:eastAsia="TimesNewRoman"/>
          <w:color w:val="000000"/>
          <w:szCs w:val="22"/>
          <w:lang w:val="sk-SK"/>
        </w:rPr>
        <w:t> </w:t>
      </w:r>
      <w:r w:rsidRPr="004B1A50">
        <w:rPr>
          <w:rFonts w:eastAsia="TimesNewRoman"/>
          <w:color w:val="000000"/>
          <w:szCs w:val="22"/>
          <w:lang w:val="sk-SK"/>
        </w:rPr>
        <w:t>4.8). U pacientov s vysokým rizikom symptomatickej hypotenzie sa má starostlivo sledovať krvný tlak, fungovanie obličiek a hladin</w:t>
      </w:r>
      <w:r w:rsidR="008401CE" w:rsidRPr="004B1A50">
        <w:rPr>
          <w:rFonts w:eastAsia="TimesNewRoman"/>
          <w:color w:val="000000"/>
          <w:szCs w:val="22"/>
          <w:lang w:val="sk-SK"/>
        </w:rPr>
        <w:t>y</w:t>
      </w:r>
      <w:r w:rsidRPr="004B1A50">
        <w:rPr>
          <w:rFonts w:eastAsia="TimesNewRoman"/>
          <w:color w:val="000000"/>
          <w:szCs w:val="22"/>
          <w:lang w:val="sk-SK"/>
        </w:rPr>
        <w:t xml:space="preserve"> draslíka v sére počas liečby </w:t>
      </w:r>
      <w:r w:rsidR="00AF76B6" w:rsidRPr="004B1A50">
        <w:rPr>
          <w:rFonts w:eastAsia="TimesNewRoman"/>
          <w:color w:val="000000"/>
          <w:szCs w:val="22"/>
          <w:lang w:val="sk-SK"/>
        </w:rPr>
        <w:t>Perindamlostadom.</w:t>
      </w:r>
    </w:p>
    <w:p w14:paraId="2A2B4AA8"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59DBE665" w14:textId="77777777" w:rsidR="00AF76B6"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Podobnú pozornosť vyžadujú pacienti s</w:t>
      </w:r>
      <w:r w:rsidR="000C77BC" w:rsidRPr="004B1A50">
        <w:rPr>
          <w:rFonts w:eastAsia="TimesNewRoman"/>
          <w:color w:val="000000"/>
          <w:szCs w:val="22"/>
          <w:lang w:val="sk-SK"/>
        </w:rPr>
        <w:t> </w:t>
      </w:r>
      <w:r w:rsidRPr="004B1A50">
        <w:rPr>
          <w:rFonts w:eastAsia="TimesNewRoman"/>
          <w:color w:val="000000"/>
          <w:szCs w:val="22"/>
          <w:lang w:val="sk-SK"/>
        </w:rPr>
        <w:t>ischemick</w:t>
      </w:r>
      <w:r w:rsidR="000C77BC" w:rsidRPr="004B1A50">
        <w:rPr>
          <w:rFonts w:eastAsia="TimesNewRoman"/>
          <w:color w:val="000000"/>
          <w:szCs w:val="22"/>
          <w:lang w:val="sk-SK"/>
        </w:rPr>
        <w:t>ou chorobou</w:t>
      </w:r>
      <w:r w:rsidRPr="004B1A50">
        <w:rPr>
          <w:rFonts w:eastAsia="TimesNewRoman"/>
          <w:color w:val="000000"/>
          <w:szCs w:val="22"/>
          <w:lang w:val="sk-SK"/>
        </w:rPr>
        <w:t xml:space="preserve"> srdc</w:t>
      </w:r>
      <w:r w:rsidR="000C77BC" w:rsidRPr="004B1A50">
        <w:rPr>
          <w:rFonts w:eastAsia="TimesNewRoman"/>
          <w:color w:val="000000"/>
          <w:szCs w:val="22"/>
          <w:lang w:val="sk-SK"/>
        </w:rPr>
        <w:t>a</w:t>
      </w:r>
      <w:r w:rsidRPr="004B1A50">
        <w:rPr>
          <w:rFonts w:eastAsia="TimesNewRoman"/>
          <w:color w:val="000000"/>
          <w:szCs w:val="22"/>
          <w:lang w:val="sk-SK"/>
        </w:rPr>
        <w:t xml:space="preserve"> alebo cerebrovaskulárnym ochorením, u ktorých by nadmerný pokles krvného tlaku mohol mať za následok infarkt myokardu alebo cerebrovaskulárnu príhodu.</w:t>
      </w:r>
      <w:r w:rsidR="008401CE" w:rsidRPr="004B1A50">
        <w:rPr>
          <w:rFonts w:eastAsia="TimesNewRoman"/>
          <w:color w:val="000000"/>
          <w:szCs w:val="22"/>
          <w:lang w:val="sk-SK"/>
        </w:rPr>
        <w:t xml:space="preserve"> </w:t>
      </w:r>
    </w:p>
    <w:p w14:paraId="6422A8F3"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20B86093" w14:textId="77777777" w:rsidR="00AF76B6"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Ak sa vyskytne hypotenzia, pacient sa má uložiť na chrbát a</w:t>
      </w:r>
      <w:r w:rsidR="00AF76B6" w:rsidRPr="004B1A50">
        <w:rPr>
          <w:rFonts w:eastAsia="TimesNewRoman"/>
          <w:color w:val="000000"/>
          <w:szCs w:val="22"/>
          <w:lang w:val="sk-SK"/>
        </w:rPr>
        <w:t>,</w:t>
      </w:r>
      <w:r w:rsidRPr="004B1A50">
        <w:rPr>
          <w:rFonts w:eastAsia="TimesNewRoman"/>
          <w:color w:val="000000"/>
          <w:szCs w:val="22"/>
          <w:lang w:val="sk-SK"/>
        </w:rPr>
        <w:t xml:space="preserve"> ak je to potrebné, má dostať intravenóznu infúziu roztoku chloridu sodného 9 mg/ml (0,9 %). Prechodná hypotenzná reakcia nie je</w:t>
      </w:r>
      <w:r w:rsidR="008401CE" w:rsidRPr="004B1A50">
        <w:rPr>
          <w:rFonts w:eastAsia="TimesNewRoman"/>
          <w:color w:val="000000"/>
          <w:szCs w:val="22"/>
          <w:lang w:val="sk-SK"/>
        </w:rPr>
        <w:t xml:space="preserve"> </w:t>
      </w:r>
      <w:r w:rsidRPr="004B1A50">
        <w:rPr>
          <w:rFonts w:eastAsia="TimesNewRoman"/>
          <w:color w:val="000000"/>
          <w:szCs w:val="22"/>
          <w:lang w:val="sk-SK"/>
        </w:rPr>
        <w:t>kontraindikáciou pre ďalšie dávky, ktoré sa môžu zvyčajne podávať bez problémov, ak sa po objemovej expanzii zvýšil krvný tlak.</w:t>
      </w:r>
      <w:r w:rsidR="008401CE" w:rsidRPr="004B1A50">
        <w:rPr>
          <w:rFonts w:eastAsia="TimesNewRoman"/>
          <w:color w:val="000000"/>
          <w:szCs w:val="22"/>
          <w:lang w:val="sk-SK"/>
        </w:rPr>
        <w:t xml:space="preserve"> </w:t>
      </w:r>
    </w:p>
    <w:p w14:paraId="5C5DA943"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10336295"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Stenóza aortálnej a mitrálnej chlopne/hypertrofická kardiomyopatia:</w:t>
      </w:r>
    </w:p>
    <w:p w14:paraId="1E59AF8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Podobne ako iné inhibítory ACE sa má perindopril podávať opatrne pacientom so stenózou mitrálnej chlopne</w:t>
      </w:r>
      <w:r w:rsidR="008401CE" w:rsidRPr="004B1A50">
        <w:rPr>
          <w:rFonts w:eastAsia="TimesNewRoman"/>
          <w:color w:val="000000"/>
          <w:szCs w:val="22"/>
          <w:lang w:val="sk-SK"/>
        </w:rPr>
        <w:t xml:space="preserve"> </w:t>
      </w:r>
      <w:r w:rsidRPr="004B1A50">
        <w:rPr>
          <w:rFonts w:eastAsia="TimesNewRoman"/>
          <w:color w:val="000000"/>
          <w:szCs w:val="22"/>
          <w:lang w:val="sk-SK"/>
        </w:rPr>
        <w:t>a obštrukciou výtoku ľavej komory, ako je aortálna stenóza alebo hypertrofická kardiomyopatia.</w:t>
      </w:r>
    </w:p>
    <w:p w14:paraId="71B030EC"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F51CE3D"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Poruch</w:t>
      </w:r>
      <w:r w:rsidR="00871280" w:rsidRPr="004B1A50">
        <w:rPr>
          <w:rFonts w:eastAsia="TimesNewRoman,Italic"/>
          <w:i/>
          <w:iCs/>
          <w:color w:val="000000"/>
          <w:szCs w:val="22"/>
          <w:u w:val="single"/>
          <w:lang w:val="sk-SK"/>
        </w:rPr>
        <w:t>a</w:t>
      </w:r>
      <w:r w:rsidRPr="004B1A50">
        <w:rPr>
          <w:rFonts w:eastAsia="TimesNewRoman,Italic"/>
          <w:i/>
          <w:iCs/>
          <w:color w:val="000000"/>
          <w:szCs w:val="22"/>
          <w:u w:val="single"/>
          <w:lang w:val="sk-SK"/>
        </w:rPr>
        <w:t xml:space="preserve"> </w:t>
      </w:r>
      <w:r w:rsidR="00871280" w:rsidRPr="004B1A50">
        <w:rPr>
          <w:rFonts w:eastAsia="TimesNewRoman,Italic"/>
          <w:i/>
          <w:iCs/>
          <w:color w:val="000000"/>
          <w:szCs w:val="22"/>
          <w:u w:val="single"/>
          <w:lang w:val="sk-SK"/>
        </w:rPr>
        <w:t xml:space="preserve">funkcie </w:t>
      </w:r>
      <w:r w:rsidRPr="004B1A50">
        <w:rPr>
          <w:rFonts w:eastAsia="TimesNewRoman,Italic"/>
          <w:i/>
          <w:iCs/>
          <w:color w:val="000000"/>
          <w:szCs w:val="22"/>
          <w:u w:val="single"/>
          <w:lang w:val="sk-SK"/>
        </w:rPr>
        <w:t>obličiek:</w:t>
      </w:r>
    </w:p>
    <w:p w14:paraId="5061C16B" w14:textId="77777777" w:rsidR="00AF76B6"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V prípade poruchy funkcie obličiek (klírens kreatinínu &lt; 60 ml/min) sa odporúča individuálne titrovanie dávky s monokomponentmi (pozri časť 4.2).</w:t>
      </w:r>
      <w:r w:rsidR="008401CE" w:rsidRPr="004B1A50">
        <w:rPr>
          <w:rFonts w:eastAsia="TimesNewRoman"/>
          <w:color w:val="000000"/>
          <w:szCs w:val="22"/>
          <w:lang w:val="sk-SK"/>
        </w:rPr>
        <w:t xml:space="preserve"> </w:t>
      </w:r>
    </w:p>
    <w:p w14:paraId="5145F5BE"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03F16BFE"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U pacientov s poruchou funkcie obličiek </w:t>
      </w:r>
      <w:r w:rsidR="00871280" w:rsidRPr="004B1A50">
        <w:rPr>
          <w:lang w:val="sk-SK" w:eastAsia="sk-SK"/>
        </w:rPr>
        <w:t>je rutinné monitorovanie kaliémie a hladín kreatinínu súčasťou bežnej lekárskej praxe</w:t>
      </w:r>
      <w:r w:rsidRPr="004B1A50">
        <w:rPr>
          <w:rFonts w:eastAsia="TimesNewRoman"/>
          <w:color w:val="000000"/>
          <w:szCs w:val="22"/>
          <w:lang w:val="sk-SK"/>
        </w:rPr>
        <w:t xml:space="preserve"> (pozri časť 4.8).</w:t>
      </w:r>
    </w:p>
    <w:p w14:paraId="5FC8AD50" w14:textId="77777777" w:rsidR="00AF76B6" w:rsidRPr="004B1A50" w:rsidRDefault="00AF76B6" w:rsidP="00853064">
      <w:pPr>
        <w:autoSpaceDE w:val="0"/>
        <w:autoSpaceDN w:val="0"/>
        <w:adjustRightInd w:val="0"/>
        <w:spacing w:line="240" w:lineRule="auto"/>
        <w:rPr>
          <w:rFonts w:eastAsia="TimesNewRoman"/>
          <w:color w:val="000000"/>
          <w:szCs w:val="22"/>
          <w:lang w:val="sk-SK"/>
        </w:rPr>
      </w:pPr>
    </w:p>
    <w:p w14:paraId="30ADBF30" w14:textId="1C9B635D"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niektorých pacientov s bilaterálnou stenózou renáln</w:t>
      </w:r>
      <w:r w:rsidR="00871280" w:rsidRPr="004B1A50">
        <w:rPr>
          <w:rFonts w:eastAsia="TimesNewRoman"/>
          <w:color w:val="000000"/>
          <w:szCs w:val="22"/>
          <w:lang w:val="sk-SK"/>
        </w:rPr>
        <w:t>ej</w:t>
      </w:r>
      <w:r w:rsidRPr="004B1A50">
        <w:rPr>
          <w:rFonts w:eastAsia="TimesNewRoman"/>
          <w:color w:val="000000"/>
          <w:szCs w:val="22"/>
          <w:lang w:val="sk-SK"/>
        </w:rPr>
        <w:t xml:space="preserve"> artéri</w:t>
      </w:r>
      <w:r w:rsidR="00871280" w:rsidRPr="004B1A50">
        <w:rPr>
          <w:rFonts w:eastAsia="TimesNewRoman"/>
          <w:color w:val="000000"/>
          <w:szCs w:val="22"/>
          <w:lang w:val="sk-SK"/>
        </w:rPr>
        <w:t>e</w:t>
      </w:r>
      <w:r w:rsidRPr="004B1A50">
        <w:rPr>
          <w:rFonts w:eastAsia="TimesNewRoman"/>
          <w:color w:val="000000"/>
          <w:szCs w:val="22"/>
          <w:lang w:val="sk-SK"/>
        </w:rPr>
        <w:t xml:space="preserve"> alebo so stenózou artérie solitérnej obličk</w:t>
      </w:r>
      <w:r w:rsidR="00871280" w:rsidRPr="004B1A50">
        <w:rPr>
          <w:rFonts w:eastAsia="TimesNewRoman"/>
          <w:color w:val="000000"/>
          <w:szCs w:val="22"/>
          <w:lang w:val="sk-SK"/>
        </w:rPr>
        <w:t>y</w:t>
      </w:r>
      <w:r w:rsidRPr="004B1A50">
        <w:rPr>
          <w:rFonts w:eastAsia="TimesNewRoman"/>
          <w:color w:val="000000"/>
          <w:szCs w:val="22"/>
          <w:lang w:val="sk-SK"/>
        </w:rPr>
        <w:t>, ktorí boli liečení inhibítormi ACE, sa pozorovalo zvýšenie močoviny v krvi a sérového kreatinínu, zvyčajne reverzibilné po prerušení liečby. Je to zvlášť pravdepodobné u pacientov s</w:t>
      </w:r>
      <w:r w:rsidR="00336B53">
        <w:rPr>
          <w:rFonts w:eastAsia="TimesNewRoman"/>
          <w:color w:val="000000"/>
          <w:szCs w:val="22"/>
          <w:lang w:val="sk-SK"/>
        </w:rPr>
        <w:t> </w:t>
      </w:r>
      <w:r w:rsidRPr="004B1A50">
        <w:rPr>
          <w:rFonts w:eastAsia="TimesNewRoman"/>
          <w:color w:val="000000"/>
          <w:szCs w:val="22"/>
          <w:lang w:val="sk-SK"/>
        </w:rPr>
        <w:t>renálnou insuficienciou. Zvýšené riziko závažnej hypotenzie a renálnej insuficiencie existuje tiež v</w:t>
      </w:r>
      <w:r w:rsidR="00336B53">
        <w:rPr>
          <w:rFonts w:eastAsia="TimesNewRoman"/>
          <w:color w:val="000000"/>
          <w:szCs w:val="22"/>
          <w:lang w:val="sk-SK"/>
        </w:rPr>
        <w:t> </w:t>
      </w:r>
      <w:r w:rsidRPr="004B1A50">
        <w:rPr>
          <w:rFonts w:eastAsia="TimesNewRoman"/>
          <w:color w:val="000000"/>
          <w:szCs w:val="22"/>
          <w:lang w:val="sk-SK"/>
        </w:rPr>
        <w:t>prípade prítomnej renovaskulárnej hypertenzie. U niektorých pacientov s hypertenziou bez zjavného už existujúceho renálneho vaskulárneho ochorenia sa objavilo zvyčajne mierne a prechodné zvýšenie močoviny v krvi a sérového kreatinínu, predovšetkým keď sa perindopril podával súčasne s</w:t>
      </w:r>
      <w:r w:rsidR="00336B53">
        <w:rPr>
          <w:rFonts w:eastAsia="TimesNewRoman"/>
          <w:color w:val="000000"/>
          <w:szCs w:val="22"/>
          <w:lang w:val="sk-SK"/>
        </w:rPr>
        <w:t> </w:t>
      </w:r>
      <w:r w:rsidRPr="004B1A50">
        <w:rPr>
          <w:rFonts w:eastAsia="TimesNewRoman"/>
          <w:color w:val="000000"/>
          <w:szCs w:val="22"/>
          <w:lang w:val="sk-SK"/>
        </w:rPr>
        <w:t xml:space="preserve">diuretikom. S vyššou pravdepodobnosťou sa vyskytuje u pacientov s už existujúcou poruchou funkcie obličiek. </w:t>
      </w:r>
    </w:p>
    <w:p w14:paraId="148C6836"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698695F0"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 xml:space="preserve">Zlyhanie </w:t>
      </w:r>
      <w:r w:rsidR="00871280" w:rsidRPr="004B1A50">
        <w:rPr>
          <w:rFonts w:eastAsia="TimesNewRoman,Italic"/>
          <w:i/>
          <w:iCs/>
          <w:color w:val="000000"/>
          <w:szCs w:val="22"/>
          <w:u w:val="single"/>
          <w:lang w:val="sk-SK"/>
        </w:rPr>
        <w:t xml:space="preserve">funkcie </w:t>
      </w:r>
      <w:r w:rsidRPr="004B1A50">
        <w:rPr>
          <w:rFonts w:eastAsia="TimesNewRoman,Italic"/>
          <w:i/>
          <w:iCs/>
          <w:color w:val="000000"/>
          <w:szCs w:val="22"/>
          <w:u w:val="single"/>
          <w:lang w:val="sk-SK"/>
        </w:rPr>
        <w:t>pečene:</w:t>
      </w:r>
    </w:p>
    <w:p w14:paraId="6B330C79" w14:textId="77777777" w:rsidR="00160CFC" w:rsidRPr="004B1A50" w:rsidRDefault="00871280" w:rsidP="00853064">
      <w:pPr>
        <w:autoSpaceDE w:val="0"/>
        <w:autoSpaceDN w:val="0"/>
        <w:adjustRightInd w:val="0"/>
        <w:spacing w:line="240" w:lineRule="auto"/>
        <w:rPr>
          <w:rFonts w:eastAsia="TimesNewRoman"/>
          <w:color w:val="000000"/>
          <w:szCs w:val="22"/>
          <w:lang w:val="sk-SK"/>
        </w:rPr>
      </w:pPr>
      <w:r w:rsidRPr="004B1A50">
        <w:rPr>
          <w:lang w:val="sk-SK" w:eastAsia="sk-SK"/>
        </w:rPr>
        <w:t>Užívanie inhibítorov ACE bolo zriedkavo spojené so vznikom syndrómu</w:t>
      </w:r>
      <w:r w:rsidR="00160CFC" w:rsidRPr="004B1A50">
        <w:rPr>
          <w:rFonts w:eastAsia="TimesNewRoman"/>
          <w:color w:val="000000"/>
          <w:szCs w:val="22"/>
          <w:lang w:val="sk-SK"/>
        </w:rPr>
        <w:t>, ktorý začína cholestatickou žltačkou a pokračuje do fulminantnej nekrózy a (niekedy)</w:t>
      </w:r>
      <w:r w:rsidR="001605AB" w:rsidRPr="004B1A50">
        <w:rPr>
          <w:rFonts w:eastAsia="TimesNewRoman"/>
          <w:color w:val="000000"/>
          <w:szCs w:val="22"/>
          <w:lang w:val="sk-SK"/>
        </w:rPr>
        <w:t xml:space="preserve"> </w:t>
      </w:r>
      <w:r w:rsidRPr="004B1A50">
        <w:rPr>
          <w:rFonts w:eastAsia="TimesNewRoman"/>
          <w:color w:val="000000"/>
          <w:szCs w:val="22"/>
          <w:lang w:val="sk-SK"/>
        </w:rPr>
        <w:t>úmrtiu.</w:t>
      </w:r>
      <w:r w:rsidR="00160CFC" w:rsidRPr="004B1A50">
        <w:rPr>
          <w:rFonts w:eastAsia="TimesNewRoman"/>
          <w:color w:val="000000"/>
          <w:szCs w:val="22"/>
          <w:lang w:val="sk-SK"/>
        </w:rPr>
        <w:t xml:space="preserve"> Mechanizmus</w:t>
      </w:r>
      <w:r w:rsidRPr="004B1A50">
        <w:rPr>
          <w:rFonts w:eastAsia="TimesNewRoman"/>
          <w:color w:val="000000"/>
          <w:szCs w:val="22"/>
          <w:lang w:val="sk-SK"/>
        </w:rPr>
        <w:t xml:space="preserve"> vzniku</w:t>
      </w:r>
      <w:r w:rsidR="00160CFC" w:rsidRPr="004B1A50">
        <w:rPr>
          <w:rFonts w:eastAsia="TimesNewRoman"/>
          <w:color w:val="000000"/>
          <w:szCs w:val="22"/>
          <w:lang w:val="sk-SK"/>
        </w:rPr>
        <w:t xml:space="preserve"> tohto syndrómu nie je známy. </w:t>
      </w:r>
      <w:r w:rsidRPr="004B1A50">
        <w:rPr>
          <w:lang w:val="sk-SK" w:eastAsia="sk-SK"/>
        </w:rPr>
        <w:t xml:space="preserve">Pacienti užívajúci inhibítory ACE, u ktorých sa rozvinie žltačka, alebo u ktorých dôjde k výraznému zvýšeniu hepatálnych enzýmov, musia ukončiť užívanie inhibítora ACE a musia zostať pod náležitým lekárskym dohľadom </w:t>
      </w:r>
      <w:r w:rsidR="00160CFC" w:rsidRPr="004B1A50">
        <w:rPr>
          <w:rFonts w:eastAsia="TimesNewRoman"/>
          <w:color w:val="000000"/>
          <w:szCs w:val="22"/>
          <w:lang w:val="sk-SK"/>
        </w:rPr>
        <w:t>(pozri časť 4.8).</w:t>
      </w:r>
    </w:p>
    <w:p w14:paraId="20727A91"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62D4C2D9"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Rasa:</w:t>
      </w:r>
    </w:p>
    <w:p w14:paraId="1743E530" w14:textId="77777777" w:rsidR="00871280" w:rsidRPr="004B1A50" w:rsidRDefault="00160CFC" w:rsidP="00114912">
      <w:pPr>
        <w:spacing w:line="240" w:lineRule="auto"/>
        <w:rPr>
          <w:lang w:val="sk-SK"/>
        </w:rPr>
      </w:pPr>
      <w:r w:rsidRPr="004B1A50">
        <w:rPr>
          <w:rFonts w:eastAsia="TimesNewRoman"/>
          <w:color w:val="000000"/>
          <w:szCs w:val="22"/>
          <w:lang w:val="sk-SK"/>
        </w:rPr>
        <w:t xml:space="preserve">Inhibítory ACE spôsobujú vyšší výskyt angioedému u pacientov čiernej </w:t>
      </w:r>
      <w:r w:rsidR="00871280" w:rsidRPr="004B1A50">
        <w:rPr>
          <w:rFonts w:eastAsia="TimesNewRoman"/>
          <w:color w:val="000000"/>
          <w:szCs w:val="22"/>
          <w:lang w:val="sk-SK"/>
        </w:rPr>
        <w:t>rasy,</w:t>
      </w:r>
      <w:r w:rsidRPr="004B1A50">
        <w:rPr>
          <w:rFonts w:eastAsia="TimesNewRoman"/>
          <w:color w:val="000000"/>
          <w:szCs w:val="22"/>
          <w:lang w:val="sk-SK"/>
        </w:rPr>
        <w:t xml:space="preserve"> ako u</w:t>
      </w:r>
      <w:r w:rsidR="00871280" w:rsidRPr="004B1A50">
        <w:rPr>
          <w:rFonts w:eastAsia="TimesNewRoman"/>
          <w:color w:val="000000"/>
          <w:szCs w:val="22"/>
          <w:lang w:val="sk-SK"/>
        </w:rPr>
        <w:t> pacientov iných rás.</w:t>
      </w:r>
      <w:r w:rsidR="00EF084C" w:rsidRPr="004B1A50">
        <w:rPr>
          <w:rFonts w:eastAsia="TimesNewRoman"/>
          <w:color w:val="000000"/>
          <w:szCs w:val="22"/>
          <w:lang w:val="sk-SK"/>
        </w:rPr>
        <w:t xml:space="preserve"> </w:t>
      </w:r>
      <w:r w:rsidR="00871280" w:rsidRPr="004B1A50">
        <w:rPr>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14:paraId="22BC1A90" w14:textId="77777777" w:rsidR="00871280" w:rsidRPr="004B1A50" w:rsidRDefault="00871280" w:rsidP="00114912">
      <w:pPr>
        <w:spacing w:line="240" w:lineRule="auto"/>
        <w:rPr>
          <w:lang w:val="sk-SK"/>
        </w:rPr>
      </w:pPr>
    </w:p>
    <w:p w14:paraId="2553BBAA" w14:textId="77777777" w:rsidR="00160CFC" w:rsidRPr="004B1A50" w:rsidRDefault="00160CFC" w:rsidP="00114912">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Kašeľ:</w:t>
      </w:r>
    </w:p>
    <w:p w14:paraId="185328D3" w14:textId="77777777" w:rsidR="00871280" w:rsidRPr="004B1A50" w:rsidRDefault="00160CFC" w:rsidP="00114912">
      <w:pPr>
        <w:spacing w:line="240" w:lineRule="auto"/>
        <w:rPr>
          <w:lang w:val="sk-SK" w:eastAsia="sk-SK"/>
        </w:rPr>
      </w:pPr>
      <w:r w:rsidRPr="004B1A50">
        <w:rPr>
          <w:rFonts w:eastAsia="TimesNewRoman"/>
          <w:color w:val="000000"/>
          <w:szCs w:val="22"/>
          <w:lang w:val="sk-SK"/>
        </w:rPr>
        <w:t xml:space="preserve">Pri používaní inhibítorov ACE bol </w:t>
      </w:r>
      <w:r w:rsidR="00871280" w:rsidRPr="004B1A50">
        <w:rPr>
          <w:rFonts w:eastAsia="TimesNewRoman"/>
          <w:color w:val="000000"/>
          <w:szCs w:val="22"/>
          <w:lang w:val="sk-SK"/>
        </w:rPr>
        <w:t>zaznamenaný</w:t>
      </w:r>
      <w:r w:rsidR="005C320E" w:rsidRPr="004B1A50">
        <w:rPr>
          <w:rFonts w:eastAsia="TimesNewRoman"/>
          <w:color w:val="000000"/>
          <w:szCs w:val="22"/>
          <w:lang w:val="sk-SK"/>
        </w:rPr>
        <w:t xml:space="preserve"> </w:t>
      </w:r>
      <w:r w:rsidRPr="004B1A50">
        <w:rPr>
          <w:rFonts w:eastAsia="TimesNewRoman"/>
          <w:color w:val="000000"/>
          <w:szCs w:val="22"/>
          <w:lang w:val="sk-SK"/>
        </w:rPr>
        <w:t xml:space="preserve">kašeľ. Kašeľ je </w:t>
      </w:r>
      <w:r w:rsidR="00871280" w:rsidRPr="004B1A50">
        <w:rPr>
          <w:rFonts w:eastAsia="TimesNewRoman"/>
          <w:color w:val="000000"/>
          <w:szCs w:val="22"/>
          <w:lang w:val="sk-SK"/>
        </w:rPr>
        <w:t xml:space="preserve">zvyčajne </w:t>
      </w:r>
      <w:r w:rsidRPr="004B1A50">
        <w:rPr>
          <w:rFonts w:eastAsia="TimesNewRoman"/>
          <w:color w:val="000000"/>
          <w:szCs w:val="22"/>
          <w:lang w:val="sk-SK"/>
        </w:rPr>
        <w:t xml:space="preserve">neproduktívny, pretrvávajúci a ustúpi po </w:t>
      </w:r>
      <w:r w:rsidR="00871280" w:rsidRPr="004B1A50">
        <w:rPr>
          <w:rFonts w:eastAsia="TimesNewRoman"/>
          <w:color w:val="000000"/>
          <w:szCs w:val="22"/>
          <w:lang w:val="sk-SK"/>
        </w:rPr>
        <w:t xml:space="preserve">ukončení </w:t>
      </w:r>
      <w:r w:rsidRPr="004B1A50">
        <w:rPr>
          <w:rFonts w:eastAsia="TimesNewRoman"/>
          <w:color w:val="000000"/>
          <w:szCs w:val="22"/>
          <w:lang w:val="sk-SK"/>
        </w:rPr>
        <w:t xml:space="preserve">liečby. </w:t>
      </w:r>
      <w:r w:rsidR="00871280" w:rsidRPr="004B1A50">
        <w:rPr>
          <w:lang w:val="sk-SK" w:eastAsia="sk-SK"/>
        </w:rPr>
        <w:t>Kašeľ vyvolaný inhibítorom ACE má byť považovaný za súčasť diferenciálnej diagnostiky kašľa.</w:t>
      </w:r>
    </w:p>
    <w:p w14:paraId="4951E5BE" w14:textId="77777777" w:rsidR="00160CFC" w:rsidRPr="004B1A50" w:rsidRDefault="00160CFC" w:rsidP="00114912">
      <w:pPr>
        <w:autoSpaceDE w:val="0"/>
        <w:autoSpaceDN w:val="0"/>
        <w:adjustRightInd w:val="0"/>
        <w:spacing w:line="240" w:lineRule="auto"/>
        <w:rPr>
          <w:rFonts w:eastAsia="TimesNewRoman,Italic"/>
          <w:i/>
          <w:iCs/>
          <w:color w:val="000000"/>
          <w:szCs w:val="22"/>
          <w:lang w:val="sk-SK"/>
        </w:rPr>
      </w:pPr>
    </w:p>
    <w:p w14:paraId="65E7819D" w14:textId="77777777" w:rsidR="00160CFC" w:rsidRPr="004B1A50" w:rsidRDefault="00DA5C58" w:rsidP="00114912">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Operácia</w:t>
      </w:r>
      <w:r w:rsidR="00160CFC" w:rsidRPr="004B1A50">
        <w:rPr>
          <w:rFonts w:eastAsia="TimesNewRoman,Italic"/>
          <w:i/>
          <w:iCs/>
          <w:color w:val="000000"/>
          <w:szCs w:val="22"/>
          <w:u w:val="single"/>
          <w:lang w:val="sk-SK"/>
        </w:rPr>
        <w:t>/anestézia:</w:t>
      </w:r>
    </w:p>
    <w:p w14:paraId="7D644AD5" w14:textId="77777777" w:rsidR="00160CFC" w:rsidRPr="003A0D80" w:rsidRDefault="00804BB1" w:rsidP="00114912">
      <w:pPr>
        <w:autoSpaceDE w:val="0"/>
        <w:autoSpaceDN w:val="0"/>
        <w:adjustRightInd w:val="0"/>
        <w:spacing w:line="240" w:lineRule="auto"/>
        <w:rPr>
          <w:rFonts w:eastAsia="TimesNewRoman,Italic"/>
          <w:i/>
          <w:iCs/>
          <w:color w:val="000000"/>
          <w:szCs w:val="22"/>
          <w:lang w:val="sk-SK"/>
        </w:rPr>
      </w:pPr>
      <w:r w:rsidRPr="004B1A50">
        <w:rPr>
          <w:lang w:val="sk-SK" w:eastAsia="sk-SK"/>
        </w:rPr>
        <w:t xml:space="preserve">U pacientov, ktorí sa podrobujú závažnému chirurgickému zákroku, alebo počas anestézie látkami vyvolávajúcimi hypotenziu, môže </w:t>
      </w:r>
      <w:r w:rsidR="00085153" w:rsidRPr="004B1A50">
        <w:rPr>
          <w:lang w:val="sk-SK" w:eastAsia="sk-SK"/>
        </w:rPr>
        <w:t>amlodipín / perindopril</w:t>
      </w:r>
      <w:r w:rsidRPr="004B1A50">
        <w:rPr>
          <w:lang w:val="sk-SK" w:eastAsia="sk-SK"/>
        </w:rPr>
        <w:t xml:space="preserve"> blokovať sekundárnu tvorbu angiotenzínu II po kompenzačnom uvoľnení renínu. Liečba sa má vysadiť jeden deň pred chirurgickým zákrokom. Ak sa vyskytne hypotenzia, ktorá je považovaná za dôsledok tohto mechanizmu, je možné ju korigovať </w:t>
      </w:r>
      <w:r w:rsidRPr="003A0D80">
        <w:rPr>
          <w:lang w:val="sk-SK" w:eastAsia="sk-SK"/>
        </w:rPr>
        <w:t>zvýšením cirkulujúceho objemu.</w:t>
      </w:r>
    </w:p>
    <w:p w14:paraId="0B97D5AD" w14:textId="77777777" w:rsidR="0011263D" w:rsidRPr="003A0D80" w:rsidRDefault="0011263D" w:rsidP="00114912">
      <w:pPr>
        <w:autoSpaceDE w:val="0"/>
        <w:autoSpaceDN w:val="0"/>
        <w:adjustRightInd w:val="0"/>
        <w:spacing w:line="240" w:lineRule="auto"/>
        <w:rPr>
          <w:rFonts w:eastAsia="TimesNewRoman,Italic"/>
          <w:i/>
          <w:iCs/>
          <w:color w:val="000000"/>
          <w:szCs w:val="22"/>
          <w:lang w:val="sk-SK"/>
        </w:rPr>
      </w:pPr>
    </w:p>
    <w:p w14:paraId="6907E74C" w14:textId="77777777" w:rsidR="00DC60D9" w:rsidRPr="003A0D80" w:rsidRDefault="00DC60D9" w:rsidP="00DC60D9">
      <w:pPr>
        <w:autoSpaceDE w:val="0"/>
        <w:autoSpaceDN w:val="0"/>
        <w:adjustRightInd w:val="0"/>
        <w:spacing w:line="240" w:lineRule="auto"/>
        <w:rPr>
          <w:rFonts w:eastAsia="TimesNewRoman"/>
          <w:i/>
          <w:color w:val="000000"/>
          <w:szCs w:val="22"/>
          <w:lang w:val="sk-SK"/>
        </w:rPr>
      </w:pPr>
      <w:r w:rsidRPr="003A0D80">
        <w:rPr>
          <w:rFonts w:eastAsia="TimesNewRoman"/>
          <w:i/>
          <w:color w:val="000000"/>
          <w:szCs w:val="22"/>
          <w:lang w:val="sk-SK"/>
        </w:rPr>
        <w:t xml:space="preserve">Hladiny draslíka v sére: </w:t>
      </w:r>
    </w:p>
    <w:p w14:paraId="7018AE51" w14:textId="4EB4761F" w:rsidR="00DC60D9" w:rsidRDefault="00DC60D9" w:rsidP="00DC60D9">
      <w:pPr>
        <w:autoSpaceDE w:val="0"/>
        <w:autoSpaceDN w:val="0"/>
        <w:adjustRightInd w:val="0"/>
        <w:spacing w:line="240" w:lineRule="auto"/>
        <w:rPr>
          <w:bCs/>
          <w:iCs/>
          <w:lang w:val="sk-SK" w:eastAsia="sk-SK"/>
        </w:rPr>
      </w:pPr>
      <w:r w:rsidRPr="003A0D80">
        <w:rPr>
          <w:rFonts w:eastAsia="TimesNewRoman"/>
          <w:color w:val="000000"/>
          <w:szCs w:val="22"/>
          <w:lang w:val="sk-SK"/>
        </w:rPr>
        <w:t>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aldosterónu alebo blokátory receptorov angiotenzínu. Draslík šetriace diuretiká a blokátory receptorov angiotenzínu sa majú používať s</w:t>
      </w:r>
      <w:r w:rsidR="00565D08" w:rsidRPr="003A0D80">
        <w:rPr>
          <w:rFonts w:eastAsia="TimesNewRoman"/>
          <w:color w:val="000000"/>
          <w:szCs w:val="22"/>
          <w:lang w:val="sk-SK"/>
        </w:rPr>
        <w:t> </w:t>
      </w:r>
      <w:r w:rsidRPr="003A0D80">
        <w:rPr>
          <w:rFonts w:eastAsia="TimesNewRoman"/>
          <w:color w:val="000000"/>
          <w:szCs w:val="22"/>
          <w:lang w:val="sk-SK"/>
        </w:rPr>
        <w:t>opatrnosťou u pacientov užívajúcich inhibítory ACE a u týchto pacientov sa má sledovať hladina draslíka v sére a funkcia obličiek (pozri časť 4.5).</w:t>
      </w:r>
      <w:r w:rsidR="00565D08" w:rsidRPr="003A0D80">
        <w:rPr>
          <w:rFonts w:eastAsia="TimesNewRoman"/>
          <w:color w:val="000000"/>
          <w:szCs w:val="22"/>
          <w:lang w:val="sk-SK"/>
        </w:rPr>
        <w:t xml:space="preserve"> </w:t>
      </w:r>
      <w:r w:rsidR="00BF375C" w:rsidRPr="003A0D80">
        <w:rPr>
          <w:rFonts w:eastAsia="TimesNewRoman"/>
          <w:color w:val="000000"/>
          <w:szCs w:val="22"/>
          <w:lang w:val="sk-SK"/>
        </w:rPr>
        <w:t>Medzi rizikové faktory vzniku hyperkaliémie patrí vek (&gt; 70 rokov), diabetes mellitus, pridružené udalosti, najmä dehydratácia, akútna dekompenzácia srdca, metabolická acidóza, hyperaldosteronizmus alebo in</w:t>
      </w:r>
      <w:r w:rsidR="00565D08" w:rsidRPr="003A0D80">
        <w:rPr>
          <w:rFonts w:eastAsia="TimesNewRoman"/>
          <w:color w:val="000000"/>
          <w:szCs w:val="22"/>
          <w:lang w:val="sk-SK"/>
        </w:rPr>
        <w:t>é</w:t>
      </w:r>
      <w:r w:rsidR="00BF375C" w:rsidRPr="003A0D80">
        <w:rPr>
          <w:rFonts w:eastAsia="TimesNewRoman"/>
          <w:color w:val="000000"/>
          <w:szCs w:val="22"/>
          <w:lang w:val="sk-SK"/>
        </w:rPr>
        <w:t xml:space="preserve"> liek</w:t>
      </w:r>
      <w:r w:rsidR="00565D08" w:rsidRPr="003A0D80">
        <w:rPr>
          <w:rFonts w:eastAsia="TimesNewRoman"/>
          <w:color w:val="000000"/>
          <w:szCs w:val="22"/>
          <w:lang w:val="sk-SK"/>
        </w:rPr>
        <w:t>y</w:t>
      </w:r>
      <w:r w:rsidR="00BF375C" w:rsidRPr="003A0D80">
        <w:rPr>
          <w:rFonts w:eastAsia="TimesNewRoman"/>
          <w:color w:val="000000"/>
          <w:szCs w:val="22"/>
          <w:lang w:val="sk-SK"/>
        </w:rPr>
        <w:t>, ktoré súvisia so zvýšením draslíka v sére (napr. heparín). Hyperkaliémia môže spôsobiť závažné, niekedy fatálne arytmie</w:t>
      </w:r>
      <w:r w:rsidR="00BF375C" w:rsidRPr="003A0D80">
        <w:rPr>
          <w:lang w:val="sk-SK" w:eastAsia="sk-SK"/>
        </w:rPr>
        <w:t xml:space="preserve"> </w:t>
      </w:r>
      <w:r w:rsidR="00BF375C" w:rsidRPr="003A0D80">
        <w:rPr>
          <w:bCs/>
          <w:iCs/>
          <w:lang w:val="sk-SK" w:eastAsia="sk-SK"/>
        </w:rPr>
        <w:t>(pozri časť 4.5).</w:t>
      </w:r>
    </w:p>
    <w:p w14:paraId="7DE44CE3" w14:textId="77777777" w:rsidR="00BF375C" w:rsidRPr="004B1A50" w:rsidRDefault="00BF375C" w:rsidP="00DC60D9">
      <w:pPr>
        <w:autoSpaceDE w:val="0"/>
        <w:autoSpaceDN w:val="0"/>
        <w:adjustRightInd w:val="0"/>
        <w:spacing w:line="240" w:lineRule="auto"/>
        <w:rPr>
          <w:rFonts w:eastAsia="TimesNewRoman"/>
          <w:color w:val="000000"/>
          <w:szCs w:val="22"/>
          <w:lang w:val="sk-SK"/>
        </w:rPr>
      </w:pPr>
    </w:p>
    <w:p w14:paraId="3A669D39"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r w:rsidRPr="004B1A50">
        <w:rPr>
          <w:rFonts w:eastAsia="TimesNewRoman,Italic"/>
          <w:i/>
          <w:iCs/>
          <w:color w:val="000000"/>
          <w:szCs w:val="22"/>
          <w:u w:val="single"/>
          <w:lang w:val="sk-SK"/>
        </w:rPr>
        <w:t>Diabetickí pacienti:</w:t>
      </w:r>
    </w:p>
    <w:p w14:paraId="0DAA57D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w:t>
      </w:r>
      <w:r w:rsidR="00804BB1" w:rsidRPr="004B1A50">
        <w:rPr>
          <w:rFonts w:eastAsia="TimesNewRoman"/>
          <w:color w:val="000000"/>
          <w:szCs w:val="22"/>
          <w:lang w:val="sk-SK"/>
        </w:rPr>
        <w:t xml:space="preserve"> s diabetom mellitus</w:t>
      </w:r>
      <w:r w:rsidRPr="004B1A50">
        <w:rPr>
          <w:rFonts w:eastAsia="TimesNewRoman"/>
          <w:color w:val="000000"/>
          <w:szCs w:val="22"/>
          <w:lang w:val="sk-SK"/>
        </w:rPr>
        <w:t xml:space="preserve"> liečených perorálnymi antidiabetikami alebo inzulínom sa má počas prvého mesiaca liečby inhibítorom ACE starostlivo monitorovať </w:t>
      </w:r>
      <w:r w:rsidR="00804BB1" w:rsidRPr="004B1A50">
        <w:rPr>
          <w:rFonts w:eastAsia="TimesNewRoman"/>
          <w:color w:val="000000"/>
          <w:szCs w:val="22"/>
          <w:lang w:val="sk-SK"/>
        </w:rPr>
        <w:t>glykémia</w:t>
      </w:r>
      <w:r w:rsidRPr="004B1A50">
        <w:rPr>
          <w:rFonts w:eastAsia="TimesNewRoman"/>
          <w:color w:val="000000"/>
          <w:szCs w:val="22"/>
          <w:lang w:val="sk-SK"/>
        </w:rPr>
        <w:t xml:space="preserve"> (pozri časť 4.5).</w:t>
      </w:r>
    </w:p>
    <w:p w14:paraId="5AF7CB09"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6F34F780"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Súvisiace s amlodipínom</w:t>
      </w:r>
    </w:p>
    <w:p w14:paraId="5E07E488"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6FD71922" w14:textId="77777777" w:rsidR="00085153" w:rsidRPr="004B1A50" w:rsidRDefault="00085153" w:rsidP="00085153">
      <w:pPr>
        <w:autoSpaceDE w:val="0"/>
        <w:autoSpaceDN w:val="0"/>
        <w:adjustRightInd w:val="0"/>
        <w:spacing w:line="240" w:lineRule="auto"/>
        <w:rPr>
          <w:rFonts w:eastAsia="TimesNewRoman,Italic"/>
          <w:i/>
          <w:iCs/>
          <w:color w:val="000000"/>
          <w:szCs w:val="22"/>
          <w:u w:val="single"/>
          <w:lang w:val="sk-SK"/>
        </w:rPr>
      </w:pPr>
      <w:r w:rsidRPr="004B1A50">
        <w:rPr>
          <w:rFonts w:eastAsia="TimesNewRoman,Italic"/>
          <w:i/>
          <w:iCs/>
          <w:color w:val="000000"/>
          <w:szCs w:val="22"/>
          <w:u w:val="single"/>
          <w:lang w:val="sk-SK"/>
        </w:rPr>
        <w:t>Opatrenia pri používaní</w:t>
      </w:r>
    </w:p>
    <w:p w14:paraId="29EC247D" w14:textId="77777777" w:rsidR="00085153" w:rsidRPr="004B1A50" w:rsidRDefault="00085153" w:rsidP="00853064">
      <w:pPr>
        <w:autoSpaceDE w:val="0"/>
        <w:autoSpaceDN w:val="0"/>
        <w:adjustRightInd w:val="0"/>
        <w:spacing w:line="240" w:lineRule="auto"/>
        <w:rPr>
          <w:rFonts w:eastAsia="TimesNewRoman"/>
          <w:color w:val="000000"/>
          <w:szCs w:val="22"/>
          <w:lang w:val="sk-SK"/>
        </w:rPr>
      </w:pPr>
    </w:p>
    <w:p w14:paraId="6340A20E"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Bezpečnosť a účinnosť amlodipínu pri hypertenznej kríze nebol</w:t>
      </w:r>
      <w:r w:rsidR="00F24B8C" w:rsidRPr="004B1A50">
        <w:rPr>
          <w:rFonts w:eastAsia="TimesNewRoman"/>
          <w:color w:val="000000"/>
          <w:szCs w:val="22"/>
          <w:lang w:val="sk-SK"/>
        </w:rPr>
        <w:t>i</w:t>
      </w:r>
      <w:r w:rsidRPr="004B1A50">
        <w:rPr>
          <w:rFonts w:eastAsia="TimesNewRoman"/>
          <w:color w:val="000000"/>
          <w:szCs w:val="22"/>
          <w:lang w:val="sk-SK"/>
        </w:rPr>
        <w:t xml:space="preserve"> stanoven</w:t>
      </w:r>
      <w:r w:rsidR="00F24B8C" w:rsidRPr="004B1A50">
        <w:rPr>
          <w:rFonts w:eastAsia="TimesNewRoman"/>
          <w:color w:val="000000"/>
          <w:szCs w:val="22"/>
          <w:lang w:val="sk-SK"/>
        </w:rPr>
        <w:t>é</w:t>
      </w:r>
      <w:r w:rsidRPr="004B1A50">
        <w:rPr>
          <w:rFonts w:eastAsia="TimesNewRoman"/>
          <w:color w:val="000000"/>
          <w:szCs w:val="22"/>
          <w:lang w:val="sk-SK"/>
        </w:rPr>
        <w:t>.</w:t>
      </w:r>
    </w:p>
    <w:p w14:paraId="4195DA56"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2CE5FA9F" w14:textId="1AACD944"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Pacient</w:t>
      </w:r>
      <w:r w:rsidR="00565D08">
        <w:rPr>
          <w:rFonts w:eastAsia="TimesNewRoman,Italic"/>
          <w:i/>
          <w:iCs/>
          <w:color w:val="000000"/>
          <w:szCs w:val="22"/>
          <w:lang w:val="sk-SK"/>
        </w:rPr>
        <w:t>i</w:t>
      </w:r>
      <w:r w:rsidRPr="004B1A50">
        <w:rPr>
          <w:rFonts w:eastAsia="TimesNewRoman,Italic"/>
          <w:i/>
          <w:iCs/>
          <w:color w:val="000000"/>
          <w:szCs w:val="22"/>
          <w:lang w:val="sk-SK"/>
        </w:rPr>
        <w:t xml:space="preserve"> so zlyh</w:t>
      </w:r>
      <w:r w:rsidR="00F24B8C" w:rsidRPr="004B1A50">
        <w:rPr>
          <w:rFonts w:eastAsia="TimesNewRoman,Italic"/>
          <w:i/>
          <w:iCs/>
          <w:color w:val="000000"/>
          <w:szCs w:val="22"/>
          <w:lang w:val="sk-SK"/>
        </w:rPr>
        <w:t>ávaním</w:t>
      </w:r>
      <w:r w:rsidRPr="004B1A50">
        <w:rPr>
          <w:rFonts w:eastAsia="TimesNewRoman,Italic"/>
          <w:i/>
          <w:iCs/>
          <w:color w:val="000000"/>
          <w:szCs w:val="22"/>
          <w:lang w:val="sk-SK"/>
        </w:rPr>
        <w:t xml:space="preserve"> srdca:</w:t>
      </w:r>
    </w:p>
    <w:p w14:paraId="0DCC7663" w14:textId="77777777" w:rsidR="00160CFC" w:rsidRPr="004B1A50" w:rsidRDefault="00F24B8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w:t>
      </w:r>
      <w:r w:rsidR="00160CFC" w:rsidRPr="004B1A50">
        <w:rPr>
          <w:rFonts w:eastAsia="TimesNewRoman"/>
          <w:color w:val="000000"/>
          <w:szCs w:val="22"/>
          <w:lang w:val="sk-SK"/>
        </w:rPr>
        <w:t>acient</w:t>
      </w:r>
      <w:r w:rsidRPr="004B1A50">
        <w:rPr>
          <w:rFonts w:eastAsia="TimesNewRoman"/>
          <w:color w:val="000000"/>
          <w:szCs w:val="22"/>
          <w:lang w:val="sk-SK"/>
        </w:rPr>
        <w:t>i</w:t>
      </w:r>
      <w:r w:rsidR="00160CFC" w:rsidRPr="004B1A50">
        <w:rPr>
          <w:rFonts w:eastAsia="TimesNewRoman"/>
          <w:color w:val="000000"/>
          <w:szCs w:val="22"/>
          <w:lang w:val="sk-SK"/>
        </w:rPr>
        <w:t xml:space="preserve"> so zlyh</w:t>
      </w:r>
      <w:r w:rsidRPr="004B1A50">
        <w:rPr>
          <w:rFonts w:eastAsia="TimesNewRoman"/>
          <w:color w:val="000000"/>
          <w:szCs w:val="22"/>
          <w:lang w:val="sk-SK"/>
        </w:rPr>
        <w:t>ávaním</w:t>
      </w:r>
      <w:r w:rsidR="00160CFC" w:rsidRPr="004B1A50">
        <w:rPr>
          <w:rFonts w:eastAsia="TimesNewRoman"/>
          <w:color w:val="000000"/>
          <w:szCs w:val="22"/>
          <w:lang w:val="sk-SK"/>
        </w:rPr>
        <w:t xml:space="preserve"> srdca </w:t>
      </w:r>
      <w:r w:rsidRPr="004B1A50">
        <w:rPr>
          <w:rFonts w:eastAsia="TimesNewRoman"/>
          <w:color w:val="000000"/>
          <w:szCs w:val="22"/>
          <w:lang w:val="sk-SK"/>
        </w:rPr>
        <w:t>majú byť liečení opatrne.</w:t>
      </w:r>
    </w:p>
    <w:p w14:paraId="77E6788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V dlhodob</w:t>
      </w:r>
      <w:r w:rsidR="003037A1" w:rsidRPr="004B1A50">
        <w:rPr>
          <w:rFonts w:eastAsia="TimesNewRoman"/>
          <w:color w:val="000000"/>
          <w:szCs w:val="22"/>
          <w:lang w:val="sk-SK"/>
        </w:rPr>
        <w:t>o</w:t>
      </w:r>
      <w:r w:rsidR="0011263D" w:rsidRPr="004B1A50">
        <w:rPr>
          <w:rFonts w:eastAsia="TimesNewRoman"/>
          <w:color w:val="000000"/>
          <w:szCs w:val="22"/>
          <w:lang w:val="sk-SK"/>
        </w:rPr>
        <w:t>m</w:t>
      </w:r>
      <w:r w:rsidRPr="004B1A50">
        <w:rPr>
          <w:rFonts w:eastAsia="TimesNewRoman"/>
          <w:color w:val="000000"/>
          <w:szCs w:val="22"/>
          <w:lang w:val="sk-SK"/>
        </w:rPr>
        <w:t xml:space="preserve"> placebom kontrolovan</w:t>
      </w:r>
      <w:r w:rsidR="003037A1" w:rsidRPr="004B1A50">
        <w:rPr>
          <w:rFonts w:eastAsia="TimesNewRoman"/>
          <w:color w:val="000000"/>
          <w:szCs w:val="22"/>
          <w:lang w:val="sk-SK"/>
        </w:rPr>
        <w:t xml:space="preserve">om skúšaní </w:t>
      </w:r>
      <w:r w:rsidRPr="004B1A50">
        <w:rPr>
          <w:rFonts w:eastAsia="TimesNewRoman"/>
          <w:color w:val="000000"/>
          <w:szCs w:val="22"/>
          <w:lang w:val="sk-SK"/>
        </w:rPr>
        <w:t>u pacientov so závažným zlyh</w:t>
      </w:r>
      <w:r w:rsidR="00655480" w:rsidRPr="004B1A50">
        <w:rPr>
          <w:rFonts w:eastAsia="TimesNewRoman"/>
          <w:color w:val="000000"/>
          <w:szCs w:val="22"/>
          <w:lang w:val="sk-SK"/>
        </w:rPr>
        <w:t>ávaním</w:t>
      </w:r>
      <w:r w:rsidRPr="004B1A50">
        <w:rPr>
          <w:rFonts w:eastAsia="TimesNewRoman"/>
          <w:color w:val="000000"/>
          <w:szCs w:val="22"/>
          <w:lang w:val="sk-SK"/>
        </w:rPr>
        <w:t xml:space="preserve"> srdca (</w:t>
      </w:r>
      <w:r w:rsidR="00FB25DB" w:rsidRPr="004B1A50">
        <w:rPr>
          <w:rFonts w:eastAsia="TimesNewRoman"/>
          <w:color w:val="000000"/>
          <w:szCs w:val="22"/>
          <w:lang w:val="sk-SK"/>
        </w:rPr>
        <w:t xml:space="preserve">štádium </w:t>
      </w:r>
      <w:r w:rsidRPr="004B1A50">
        <w:rPr>
          <w:rFonts w:eastAsia="TimesNewRoman"/>
          <w:color w:val="000000"/>
          <w:szCs w:val="22"/>
          <w:lang w:val="sk-SK"/>
        </w:rPr>
        <w:t>NYHA III a IV) bol</w:t>
      </w:r>
      <w:r w:rsidR="00655480" w:rsidRPr="004B1A50">
        <w:rPr>
          <w:rFonts w:eastAsia="TimesNewRoman"/>
          <w:color w:val="000000"/>
          <w:szCs w:val="22"/>
          <w:lang w:val="sk-SK"/>
        </w:rPr>
        <w:t>o</w:t>
      </w:r>
      <w:r w:rsidRPr="004B1A50">
        <w:rPr>
          <w:rFonts w:eastAsia="TimesNewRoman"/>
          <w:color w:val="000000"/>
          <w:szCs w:val="22"/>
          <w:lang w:val="sk-SK"/>
        </w:rPr>
        <w:t xml:space="preserve"> hlásen</w:t>
      </w:r>
      <w:r w:rsidR="00655480" w:rsidRPr="004B1A50">
        <w:rPr>
          <w:rFonts w:eastAsia="TimesNewRoman"/>
          <w:color w:val="000000"/>
          <w:szCs w:val="22"/>
          <w:lang w:val="sk-SK"/>
        </w:rPr>
        <w:t>ie výskytu</w:t>
      </w:r>
      <w:r w:rsidRPr="004B1A50">
        <w:rPr>
          <w:rFonts w:eastAsia="TimesNewRoman"/>
          <w:color w:val="000000"/>
          <w:szCs w:val="22"/>
          <w:lang w:val="sk-SK"/>
        </w:rPr>
        <w:t xml:space="preserve">  pľúcneho edému vyšši</w:t>
      </w:r>
      <w:r w:rsidR="00655480" w:rsidRPr="004B1A50">
        <w:rPr>
          <w:rFonts w:eastAsia="TimesNewRoman"/>
          <w:color w:val="000000"/>
          <w:szCs w:val="22"/>
          <w:lang w:val="sk-SK"/>
        </w:rPr>
        <w:t>e</w:t>
      </w:r>
      <w:r w:rsidRPr="004B1A50">
        <w:rPr>
          <w:rFonts w:eastAsia="TimesNewRoman"/>
          <w:color w:val="000000"/>
          <w:szCs w:val="22"/>
          <w:lang w:val="sk-SK"/>
        </w:rPr>
        <w:t xml:space="preserve"> v skupine liečenej amlodipínom ako v</w:t>
      </w:r>
      <w:r w:rsidR="00655480" w:rsidRPr="004B1A50">
        <w:rPr>
          <w:rFonts w:eastAsia="TimesNewRoman"/>
          <w:color w:val="000000"/>
          <w:szCs w:val="22"/>
          <w:lang w:val="sk-SK"/>
        </w:rPr>
        <w:t> </w:t>
      </w:r>
      <w:r w:rsidRPr="004B1A50">
        <w:rPr>
          <w:rFonts w:eastAsia="TimesNewRoman"/>
          <w:color w:val="000000"/>
          <w:szCs w:val="22"/>
          <w:lang w:val="sk-SK"/>
        </w:rPr>
        <w:t>skupine</w:t>
      </w:r>
      <w:r w:rsidR="00655480" w:rsidRPr="004B1A50">
        <w:rPr>
          <w:rFonts w:eastAsia="TimesNewRoman"/>
          <w:color w:val="000000"/>
          <w:szCs w:val="22"/>
          <w:lang w:val="sk-SK"/>
        </w:rPr>
        <w:t xml:space="preserve"> pacientov, ktorí dostávali placebo</w:t>
      </w:r>
      <w:r w:rsidR="004019D9" w:rsidRPr="004B1A50">
        <w:rPr>
          <w:rFonts w:eastAsia="TimesNewRoman"/>
          <w:color w:val="000000"/>
          <w:szCs w:val="22"/>
          <w:lang w:val="sk-SK"/>
        </w:rPr>
        <w:t xml:space="preserve"> </w:t>
      </w:r>
      <w:r w:rsidRPr="004B1A50">
        <w:rPr>
          <w:rFonts w:eastAsia="TimesNewRoman"/>
          <w:color w:val="000000"/>
          <w:szCs w:val="22"/>
          <w:lang w:val="sk-SK"/>
        </w:rPr>
        <w:t>(pozri časť 5.1). Blokátory vápnikových kanálov vrátane amlodipínu sa majú používať opatrne u pacientov s kongestívnym zlyh</w:t>
      </w:r>
      <w:r w:rsidR="00655480" w:rsidRPr="004B1A50">
        <w:rPr>
          <w:rFonts w:eastAsia="TimesNewRoman"/>
          <w:color w:val="000000"/>
          <w:szCs w:val="22"/>
          <w:lang w:val="sk-SK"/>
        </w:rPr>
        <w:t>ávaním</w:t>
      </w:r>
      <w:r w:rsidRPr="004B1A50">
        <w:rPr>
          <w:rFonts w:eastAsia="TimesNewRoman"/>
          <w:color w:val="000000"/>
          <w:szCs w:val="22"/>
          <w:lang w:val="sk-SK"/>
        </w:rPr>
        <w:t xml:space="preserve"> srdca, pretože môžu zvýšiť riziko budúcich kardiovaskulárnych </w:t>
      </w:r>
      <w:r w:rsidR="00655480" w:rsidRPr="004B1A50">
        <w:rPr>
          <w:rFonts w:eastAsia="TimesNewRoman"/>
          <w:color w:val="000000"/>
          <w:szCs w:val="22"/>
          <w:lang w:val="sk-SK"/>
        </w:rPr>
        <w:t xml:space="preserve">príhod </w:t>
      </w:r>
      <w:r w:rsidRPr="004B1A50">
        <w:rPr>
          <w:rFonts w:eastAsia="TimesNewRoman"/>
          <w:color w:val="000000"/>
          <w:szCs w:val="22"/>
          <w:lang w:val="sk-SK"/>
        </w:rPr>
        <w:t>a mortalit</w:t>
      </w:r>
      <w:r w:rsidR="00655480" w:rsidRPr="004B1A50">
        <w:rPr>
          <w:rFonts w:eastAsia="TimesNewRoman"/>
          <w:color w:val="000000"/>
          <w:szCs w:val="22"/>
          <w:lang w:val="sk-SK"/>
        </w:rPr>
        <w:t>y</w:t>
      </w:r>
      <w:r w:rsidRPr="004B1A50">
        <w:rPr>
          <w:rFonts w:eastAsia="TimesNewRoman"/>
          <w:color w:val="000000"/>
          <w:szCs w:val="22"/>
          <w:lang w:val="sk-SK"/>
        </w:rPr>
        <w:t>.</w:t>
      </w:r>
    </w:p>
    <w:p w14:paraId="5FAA8E3C"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2D1F80D2" w14:textId="4EDCD7BA"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Pacient</w:t>
      </w:r>
      <w:r w:rsidR="00565D08">
        <w:rPr>
          <w:rFonts w:eastAsia="TimesNewRoman,Italic"/>
          <w:i/>
          <w:iCs/>
          <w:color w:val="000000"/>
          <w:szCs w:val="22"/>
          <w:lang w:val="sk-SK"/>
        </w:rPr>
        <w:t>i</w:t>
      </w:r>
      <w:r w:rsidRPr="004B1A50">
        <w:rPr>
          <w:rFonts w:eastAsia="TimesNewRoman,Italic"/>
          <w:i/>
          <w:iCs/>
          <w:color w:val="000000"/>
          <w:szCs w:val="22"/>
          <w:lang w:val="sk-SK"/>
        </w:rPr>
        <w:t xml:space="preserve"> s poruchou </w:t>
      </w:r>
      <w:r w:rsidR="00655480" w:rsidRPr="004B1A50">
        <w:rPr>
          <w:rFonts w:eastAsia="TimesNewRoman,Italic"/>
          <w:i/>
          <w:iCs/>
          <w:color w:val="000000"/>
          <w:szCs w:val="22"/>
          <w:lang w:val="sk-SK"/>
        </w:rPr>
        <w:t xml:space="preserve">funkcie </w:t>
      </w:r>
      <w:r w:rsidRPr="004B1A50">
        <w:rPr>
          <w:rFonts w:eastAsia="TimesNewRoman,Italic"/>
          <w:i/>
          <w:iCs/>
          <w:color w:val="000000"/>
          <w:szCs w:val="22"/>
          <w:lang w:val="sk-SK"/>
        </w:rPr>
        <w:t>pečene:</w:t>
      </w:r>
    </w:p>
    <w:p w14:paraId="2C9DB6C8" w14:textId="618F280F"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s poruchou funkcie pečene je polčas amlodipínu predĺžený a hodnoty AUC sú vyššie;</w:t>
      </w:r>
      <w:r w:rsidR="00EF084C" w:rsidRPr="004B1A50">
        <w:rPr>
          <w:rFonts w:eastAsia="TimesNewRoman"/>
          <w:color w:val="000000"/>
          <w:szCs w:val="22"/>
          <w:lang w:val="sk-SK"/>
        </w:rPr>
        <w:t xml:space="preserve"> </w:t>
      </w:r>
      <w:r w:rsidRPr="004B1A50">
        <w:rPr>
          <w:rFonts w:eastAsia="TimesNewRoman"/>
          <w:color w:val="000000"/>
          <w:szCs w:val="22"/>
          <w:lang w:val="sk-SK"/>
        </w:rPr>
        <w:t xml:space="preserve">odporúčania týkajúce sa dávkovania neboli stanovené. Amlodipín sa má preto začať podávať na dolnej </w:t>
      </w:r>
      <w:r w:rsidR="00655480" w:rsidRPr="004B1A50">
        <w:rPr>
          <w:rFonts w:eastAsia="TimesNewRoman"/>
          <w:color w:val="000000"/>
          <w:szCs w:val="22"/>
          <w:lang w:val="sk-SK"/>
        </w:rPr>
        <w:t>hranici dávkovacieho rozmedzia</w:t>
      </w:r>
      <w:r w:rsidRPr="004B1A50">
        <w:rPr>
          <w:rFonts w:eastAsia="TimesNewRoman"/>
          <w:color w:val="000000"/>
          <w:szCs w:val="22"/>
          <w:lang w:val="sk-SK"/>
        </w:rPr>
        <w:t xml:space="preserve"> a</w:t>
      </w:r>
      <w:r w:rsidR="00655480" w:rsidRPr="004B1A50">
        <w:rPr>
          <w:rFonts w:eastAsia="TimesNewRoman"/>
          <w:color w:val="000000"/>
          <w:szCs w:val="22"/>
          <w:lang w:val="sk-SK"/>
        </w:rPr>
        <w:t> je potrebná opatrnosť na začiatku liečby ako aj pri zvyšovaní dávky.</w:t>
      </w:r>
      <w:r w:rsidR="00EF084C" w:rsidRPr="004B1A50">
        <w:rPr>
          <w:rFonts w:eastAsia="TimesNewRoman"/>
          <w:color w:val="000000"/>
          <w:szCs w:val="22"/>
          <w:lang w:val="sk-SK"/>
        </w:rPr>
        <w:t xml:space="preserve"> </w:t>
      </w:r>
      <w:r w:rsidRPr="004B1A50">
        <w:rPr>
          <w:rFonts w:eastAsia="TimesNewRoman"/>
          <w:color w:val="000000"/>
          <w:szCs w:val="22"/>
          <w:lang w:val="sk-SK"/>
        </w:rPr>
        <w:t xml:space="preserve">U pacientov s </w:t>
      </w:r>
      <w:r w:rsidR="00565D08">
        <w:rPr>
          <w:rFonts w:eastAsia="TimesNewRoman"/>
          <w:color w:val="000000"/>
          <w:szCs w:val="22"/>
          <w:lang w:val="sk-SK"/>
        </w:rPr>
        <w:t>ťažkou</w:t>
      </w:r>
      <w:r w:rsidR="00565D08" w:rsidRPr="004B1A50">
        <w:rPr>
          <w:rFonts w:eastAsia="TimesNewRoman"/>
          <w:color w:val="000000"/>
          <w:szCs w:val="22"/>
          <w:lang w:val="sk-SK"/>
        </w:rPr>
        <w:t xml:space="preserve"> </w:t>
      </w:r>
      <w:r w:rsidRPr="004B1A50">
        <w:rPr>
          <w:rFonts w:eastAsia="TimesNewRoman"/>
          <w:color w:val="000000"/>
          <w:szCs w:val="22"/>
          <w:lang w:val="sk-SK"/>
        </w:rPr>
        <w:t>poruchou funkcie pečene môže byť potrebn</w:t>
      </w:r>
      <w:r w:rsidR="00655480" w:rsidRPr="004B1A50">
        <w:rPr>
          <w:rFonts w:eastAsia="TimesNewRoman"/>
          <w:color w:val="000000"/>
          <w:szCs w:val="22"/>
          <w:lang w:val="sk-SK"/>
        </w:rPr>
        <w:t>á</w:t>
      </w:r>
      <w:r w:rsidRPr="004B1A50">
        <w:rPr>
          <w:rFonts w:eastAsia="TimesNewRoman"/>
          <w:color w:val="000000"/>
          <w:szCs w:val="22"/>
          <w:lang w:val="sk-SK"/>
        </w:rPr>
        <w:t xml:space="preserve"> pomal</w:t>
      </w:r>
      <w:r w:rsidR="00655480" w:rsidRPr="004B1A50">
        <w:rPr>
          <w:rFonts w:eastAsia="TimesNewRoman"/>
          <w:color w:val="000000"/>
          <w:szCs w:val="22"/>
          <w:lang w:val="sk-SK"/>
        </w:rPr>
        <w:t>á</w:t>
      </w:r>
      <w:r w:rsidRPr="004B1A50">
        <w:rPr>
          <w:rFonts w:eastAsia="TimesNewRoman"/>
          <w:color w:val="000000"/>
          <w:szCs w:val="22"/>
          <w:lang w:val="sk-SK"/>
        </w:rPr>
        <w:t xml:space="preserve"> </w:t>
      </w:r>
      <w:r w:rsidR="00605BCF" w:rsidRPr="004B1A50">
        <w:rPr>
          <w:rFonts w:eastAsia="TimesNewRoman"/>
          <w:color w:val="000000"/>
          <w:szCs w:val="22"/>
          <w:lang w:val="sk-SK"/>
        </w:rPr>
        <w:t>titrácia</w:t>
      </w:r>
      <w:r w:rsidRPr="004B1A50">
        <w:rPr>
          <w:rFonts w:eastAsia="TimesNewRoman"/>
          <w:color w:val="000000"/>
          <w:szCs w:val="22"/>
          <w:lang w:val="sk-SK"/>
        </w:rPr>
        <w:t xml:space="preserve"> dávky a dôsledné monitorovanie.</w:t>
      </w:r>
    </w:p>
    <w:p w14:paraId="3979DCDD"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131AEBB2"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Použitie u starších pacientov:</w:t>
      </w:r>
    </w:p>
    <w:p w14:paraId="0AD0C43D"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starších pacientov sa má pri zvyšovaní dávky postupovať opatrne (pozri časti 4.2 a 5.2).</w:t>
      </w:r>
    </w:p>
    <w:p w14:paraId="060510F6"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B6854B5"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Použitie pri zlyhaní obličiek:</w:t>
      </w:r>
    </w:p>
    <w:p w14:paraId="3C866518" w14:textId="77777777" w:rsidR="00160CFC" w:rsidRPr="004B1A50" w:rsidRDefault="00655480"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Títo</w:t>
      </w:r>
      <w:r w:rsidR="00160CFC" w:rsidRPr="004B1A50">
        <w:rPr>
          <w:rFonts w:eastAsia="TimesNewRoman"/>
          <w:color w:val="000000"/>
          <w:szCs w:val="22"/>
          <w:lang w:val="sk-SK"/>
        </w:rPr>
        <w:t xml:space="preserve"> pacient</w:t>
      </w:r>
      <w:r w:rsidRPr="004B1A50">
        <w:rPr>
          <w:rFonts w:eastAsia="TimesNewRoman"/>
          <w:color w:val="000000"/>
          <w:szCs w:val="22"/>
          <w:lang w:val="sk-SK"/>
        </w:rPr>
        <w:t>i</w:t>
      </w:r>
      <w:r w:rsidR="00160CFC" w:rsidRPr="004B1A50">
        <w:rPr>
          <w:rFonts w:eastAsia="TimesNewRoman"/>
          <w:color w:val="000000"/>
          <w:szCs w:val="22"/>
          <w:lang w:val="sk-SK"/>
        </w:rPr>
        <w:t xml:space="preserve"> môž</w:t>
      </w:r>
      <w:r w:rsidRPr="004B1A50">
        <w:rPr>
          <w:rFonts w:eastAsia="TimesNewRoman"/>
          <w:color w:val="000000"/>
          <w:szCs w:val="22"/>
          <w:lang w:val="sk-SK"/>
        </w:rPr>
        <w:t>u</w:t>
      </w:r>
      <w:r w:rsidR="00160CFC" w:rsidRPr="004B1A50">
        <w:rPr>
          <w:rFonts w:eastAsia="TimesNewRoman"/>
          <w:color w:val="000000"/>
          <w:szCs w:val="22"/>
          <w:lang w:val="sk-SK"/>
        </w:rPr>
        <w:t xml:space="preserve"> amlodipín užívať v </w:t>
      </w:r>
      <w:r w:rsidR="00B33FAD" w:rsidRPr="004B1A50">
        <w:rPr>
          <w:rFonts w:eastAsia="TimesNewRoman"/>
          <w:color w:val="000000"/>
          <w:szCs w:val="22"/>
          <w:lang w:val="sk-SK"/>
        </w:rPr>
        <w:t>bežných</w:t>
      </w:r>
      <w:r w:rsidR="00160CFC" w:rsidRPr="004B1A50">
        <w:rPr>
          <w:rFonts w:eastAsia="TimesNewRoman"/>
          <w:color w:val="000000"/>
          <w:szCs w:val="22"/>
          <w:lang w:val="sk-SK"/>
        </w:rPr>
        <w:t xml:space="preserve"> dávkach. Zmeny v</w:t>
      </w:r>
      <w:r w:rsidR="004019D9" w:rsidRPr="004B1A50">
        <w:rPr>
          <w:rFonts w:eastAsia="TimesNewRoman"/>
          <w:color w:val="000000"/>
          <w:szCs w:val="22"/>
          <w:lang w:val="sk-SK"/>
        </w:rPr>
        <w:t xml:space="preserve"> </w:t>
      </w:r>
      <w:r w:rsidRPr="004B1A50">
        <w:rPr>
          <w:rFonts w:eastAsia="TimesNewRoman"/>
          <w:color w:val="000000"/>
          <w:szCs w:val="22"/>
          <w:lang w:val="sk-SK"/>
        </w:rPr>
        <w:t xml:space="preserve">plazmatických </w:t>
      </w:r>
      <w:r w:rsidR="00160CFC" w:rsidRPr="004B1A50">
        <w:rPr>
          <w:rFonts w:eastAsia="TimesNewRoman"/>
          <w:color w:val="000000"/>
          <w:szCs w:val="22"/>
          <w:lang w:val="sk-SK"/>
        </w:rPr>
        <w:t>koncentráci</w:t>
      </w:r>
      <w:r w:rsidRPr="004B1A50">
        <w:rPr>
          <w:rFonts w:eastAsia="TimesNewRoman"/>
          <w:color w:val="000000"/>
          <w:szCs w:val="22"/>
          <w:lang w:val="sk-SK"/>
        </w:rPr>
        <w:t>ách</w:t>
      </w:r>
      <w:r w:rsidR="00160CFC" w:rsidRPr="004B1A50">
        <w:rPr>
          <w:rFonts w:eastAsia="TimesNewRoman"/>
          <w:color w:val="000000"/>
          <w:szCs w:val="22"/>
          <w:lang w:val="sk-SK"/>
        </w:rPr>
        <w:t xml:space="preserve"> amlodipínu nekorelujú</w:t>
      </w:r>
      <w:r w:rsidR="00EF084C" w:rsidRPr="004B1A50">
        <w:rPr>
          <w:rFonts w:eastAsia="TimesNewRoman"/>
          <w:color w:val="000000"/>
          <w:szCs w:val="22"/>
          <w:lang w:val="sk-SK"/>
        </w:rPr>
        <w:t xml:space="preserve"> </w:t>
      </w:r>
      <w:r w:rsidR="00160CFC" w:rsidRPr="004B1A50">
        <w:rPr>
          <w:rFonts w:eastAsia="TimesNewRoman"/>
          <w:color w:val="000000"/>
          <w:szCs w:val="22"/>
          <w:lang w:val="sk-SK"/>
        </w:rPr>
        <w:t>so stupňom poruchy funkcie obličiek. Amlodipín nie je dialyzovateľný.</w:t>
      </w:r>
    </w:p>
    <w:p w14:paraId="0AE10C2F"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69D1EF8"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 xml:space="preserve">Súvisiace s kombináciou </w:t>
      </w:r>
      <w:r w:rsidR="00FB25DB" w:rsidRPr="004B1A50">
        <w:rPr>
          <w:rFonts w:eastAsia="TimesNewRoman,Italic"/>
          <w:iCs/>
          <w:color w:val="000000"/>
          <w:szCs w:val="22"/>
          <w:u w:val="single"/>
          <w:lang w:val="sk-SK"/>
        </w:rPr>
        <w:t>amlodipín/perindopril</w:t>
      </w:r>
    </w:p>
    <w:p w14:paraId="04B9FD45" w14:textId="77777777" w:rsidR="00FB25DB" w:rsidRPr="004B1A50" w:rsidRDefault="00FB25DB" w:rsidP="00853064">
      <w:pPr>
        <w:autoSpaceDE w:val="0"/>
        <w:autoSpaceDN w:val="0"/>
        <w:adjustRightInd w:val="0"/>
        <w:spacing w:line="240" w:lineRule="auto"/>
        <w:rPr>
          <w:rFonts w:eastAsia="TimesNewRoman"/>
          <w:color w:val="000000"/>
          <w:szCs w:val="22"/>
          <w:lang w:val="sk-SK"/>
        </w:rPr>
      </w:pPr>
    </w:p>
    <w:p w14:paraId="6E35E634"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Všetky upozornenia súvisiace s </w:t>
      </w:r>
      <w:r w:rsidR="00655480" w:rsidRPr="004B1A50">
        <w:rPr>
          <w:rFonts w:eastAsia="TimesNewRoman"/>
          <w:color w:val="000000"/>
          <w:szCs w:val="22"/>
          <w:lang w:val="sk-SK"/>
        </w:rPr>
        <w:t>jednotlivými liečivami,</w:t>
      </w:r>
      <w:r w:rsidRPr="004B1A50">
        <w:rPr>
          <w:rFonts w:eastAsia="TimesNewRoman"/>
          <w:color w:val="000000"/>
          <w:szCs w:val="22"/>
          <w:lang w:val="sk-SK"/>
        </w:rPr>
        <w:t xml:space="preserve"> ako sú uvedené vyššie, sa </w:t>
      </w:r>
      <w:r w:rsidR="00655480" w:rsidRPr="004B1A50">
        <w:rPr>
          <w:rFonts w:eastAsia="TimesNewRoman"/>
          <w:color w:val="000000"/>
          <w:szCs w:val="22"/>
          <w:lang w:val="sk-SK"/>
        </w:rPr>
        <w:t>týkajú</w:t>
      </w:r>
      <w:r w:rsidRPr="004B1A50">
        <w:rPr>
          <w:rFonts w:eastAsia="TimesNewRoman"/>
          <w:color w:val="000000"/>
          <w:szCs w:val="22"/>
          <w:lang w:val="sk-SK"/>
        </w:rPr>
        <w:t xml:space="preserve"> aj </w:t>
      </w:r>
      <w:r w:rsidR="00655480" w:rsidRPr="004B1A50">
        <w:rPr>
          <w:rFonts w:eastAsia="TimesNewRoman"/>
          <w:color w:val="000000"/>
          <w:szCs w:val="22"/>
          <w:lang w:val="sk-SK"/>
        </w:rPr>
        <w:t xml:space="preserve">fixnej </w:t>
      </w:r>
      <w:r w:rsidRPr="004B1A50">
        <w:rPr>
          <w:rFonts w:eastAsia="TimesNewRoman"/>
          <w:color w:val="000000"/>
          <w:szCs w:val="22"/>
          <w:lang w:val="sk-SK"/>
        </w:rPr>
        <w:t>kombinácie</w:t>
      </w:r>
      <w:r w:rsidR="00EF084C" w:rsidRPr="004B1A50">
        <w:rPr>
          <w:rFonts w:eastAsia="TimesNewRoman"/>
          <w:color w:val="000000"/>
          <w:szCs w:val="22"/>
          <w:lang w:val="sk-SK"/>
        </w:rPr>
        <w:t xml:space="preserve"> </w:t>
      </w:r>
      <w:r w:rsidR="00A94704" w:rsidRPr="004B1A50">
        <w:rPr>
          <w:rFonts w:eastAsia="TimesNewRoman"/>
          <w:color w:val="000000"/>
          <w:szCs w:val="22"/>
          <w:lang w:val="sk-SK"/>
        </w:rPr>
        <w:t xml:space="preserve">amlodipínu a </w:t>
      </w:r>
      <w:r w:rsidRPr="004B1A50">
        <w:rPr>
          <w:rFonts w:eastAsia="TimesNewRoman"/>
          <w:color w:val="000000"/>
          <w:szCs w:val="22"/>
          <w:lang w:val="sk-SK"/>
        </w:rPr>
        <w:t>perindoprilu.</w:t>
      </w:r>
    </w:p>
    <w:p w14:paraId="24CD4431"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1BDC378"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Opatrenia pri používaní</w:t>
      </w:r>
    </w:p>
    <w:p w14:paraId="1800D13A"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726750A5"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Interakcie</w:t>
      </w:r>
    </w:p>
    <w:p w14:paraId="008DBB16"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Súbežné použitie</w:t>
      </w:r>
      <w:r w:rsidR="00A94704" w:rsidRPr="004B1A50">
        <w:rPr>
          <w:rFonts w:eastAsia="TimesNewRoman"/>
          <w:color w:val="000000"/>
          <w:szCs w:val="22"/>
          <w:lang w:val="sk-SK"/>
        </w:rPr>
        <w:t xml:space="preserve"> fixnej</w:t>
      </w:r>
      <w:r w:rsidRPr="004B1A50">
        <w:rPr>
          <w:rFonts w:eastAsia="TimesNewRoman"/>
          <w:color w:val="000000"/>
          <w:szCs w:val="22"/>
          <w:lang w:val="sk-SK"/>
        </w:rPr>
        <w:t xml:space="preserve"> kombinácie </w:t>
      </w:r>
      <w:r w:rsidR="00A94704" w:rsidRPr="004B1A50">
        <w:rPr>
          <w:rFonts w:eastAsia="TimesNewRoman"/>
          <w:color w:val="000000"/>
          <w:szCs w:val="22"/>
          <w:lang w:val="sk-SK"/>
        </w:rPr>
        <w:t xml:space="preserve">amlodipínu a </w:t>
      </w:r>
      <w:r w:rsidRPr="004B1A50">
        <w:rPr>
          <w:rFonts w:eastAsia="TimesNewRoman"/>
          <w:color w:val="000000"/>
          <w:szCs w:val="22"/>
          <w:lang w:val="sk-SK"/>
        </w:rPr>
        <w:t xml:space="preserve">perindoprilu s lítiom, draslík </w:t>
      </w:r>
      <w:r w:rsidR="00655480" w:rsidRPr="004B1A50">
        <w:rPr>
          <w:rFonts w:eastAsia="TimesNewRoman"/>
          <w:color w:val="000000"/>
          <w:szCs w:val="22"/>
          <w:lang w:val="sk-SK"/>
        </w:rPr>
        <w:t xml:space="preserve">šetriacimi diuretikami </w:t>
      </w:r>
      <w:r w:rsidRPr="003A0D80">
        <w:rPr>
          <w:rFonts w:eastAsia="TimesNewRoman"/>
          <w:color w:val="000000"/>
          <w:szCs w:val="22"/>
          <w:lang w:val="sk-SK"/>
        </w:rPr>
        <w:t xml:space="preserve">alebo doplnkami </w:t>
      </w:r>
      <w:r w:rsidR="009D1D94" w:rsidRPr="003A0D80">
        <w:rPr>
          <w:rFonts w:eastAsia="TimesNewRoman"/>
          <w:color w:val="000000"/>
          <w:szCs w:val="22"/>
          <w:lang w:val="sk-SK"/>
        </w:rPr>
        <w:t xml:space="preserve">draslíka </w:t>
      </w:r>
      <w:r w:rsidRPr="003A0D80">
        <w:rPr>
          <w:rFonts w:eastAsia="TimesNewRoman"/>
          <w:color w:val="000000"/>
          <w:szCs w:val="22"/>
          <w:lang w:val="sk-SK"/>
        </w:rPr>
        <w:t>alebo dantrolénom sa neodporúča (pozri časť 4.5).</w:t>
      </w:r>
    </w:p>
    <w:p w14:paraId="584EF942" w14:textId="77777777" w:rsidR="00DC60D9" w:rsidRPr="003A0D80" w:rsidRDefault="00DC60D9" w:rsidP="00853064">
      <w:pPr>
        <w:autoSpaceDE w:val="0"/>
        <w:autoSpaceDN w:val="0"/>
        <w:adjustRightInd w:val="0"/>
        <w:spacing w:line="240" w:lineRule="auto"/>
        <w:rPr>
          <w:rFonts w:eastAsia="TimesNewRoman"/>
          <w:color w:val="000000"/>
          <w:szCs w:val="22"/>
          <w:lang w:val="sk-SK"/>
        </w:rPr>
      </w:pPr>
    </w:p>
    <w:p w14:paraId="68BD30A4" w14:textId="77777777" w:rsidR="00DC60D9" w:rsidRPr="003A0D80" w:rsidRDefault="00DC60D9" w:rsidP="00853064">
      <w:pPr>
        <w:autoSpaceDE w:val="0"/>
        <w:autoSpaceDN w:val="0"/>
        <w:adjustRightInd w:val="0"/>
        <w:spacing w:line="240" w:lineRule="auto"/>
        <w:rPr>
          <w:rFonts w:eastAsia="TimesNewRoman"/>
          <w:color w:val="000000"/>
          <w:szCs w:val="22"/>
          <w:u w:val="single"/>
          <w:lang w:val="sk-SK"/>
        </w:rPr>
      </w:pPr>
      <w:r w:rsidRPr="003A0D80">
        <w:rPr>
          <w:rFonts w:eastAsia="TimesNewRoman"/>
          <w:color w:val="000000"/>
          <w:szCs w:val="22"/>
          <w:u w:val="single"/>
          <w:lang w:val="sk-SK"/>
        </w:rPr>
        <w:t>Pomocná látka</w:t>
      </w:r>
    </w:p>
    <w:p w14:paraId="43928D5B" w14:textId="4C00B31F" w:rsidR="00DC60D9" w:rsidRPr="003A0D80" w:rsidRDefault="00DC60D9" w:rsidP="00DC60D9">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Tento liek obsahuje menej ako 1 mmol sodíka (23 mg) v tablete, t.</w:t>
      </w:r>
      <w:r w:rsidR="00565D08" w:rsidRPr="003A0D80">
        <w:rPr>
          <w:rFonts w:eastAsia="TimesNewRoman"/>
          <w:color w:val="000000"/>
          <w:szCs w:val="22"/>
          <w:lang w:val="sk-SK"/>
        </w:rPr>
        <w:t xml:space="preserve"> </w:t>
      </w:r>
      <w:r w:rsidRPr="003A0D80">
        <w:rPr>
          <w:rFonts w:eastAsia="TimesNewRoman"/>
          <w:color w:val="000000"/>
          <w:szCs w:val="22"/>
          <w:lang w:val="sk-SK"/>
        </w:rPr>
        <w:t>j. v podstate zanedbateľné množstvo sodíka.</w:t>
      </w:r>
    </w:p>
    <w:p w14:paraId="6845B512" w14:textId="77777777" w:rsidR="00160CFC" w:rsidRPr="003A0D80" w:rsidRDefault="00160CFC" w:rsidP="00853064">
      <w:pPr>
        <w:ind w:left="567" w:hanging="567"/>
        <w:rPr>
          <w:lang w:val="sk-SK"/>
        </w:rPr>
      </w:pPr>
    </w:p>
    <w:p w14:paraId="55406BA6" w14:textId="77777777" w:rsidR="00160CFC" w:rsidRPr="003A0D80" w:rsidRDefault="00B72C72" w:rsidP="00853064">
      <w:pPr>
        <w:numPr>
          <w:ilvl w:val="0"/>
          <w:numId w:val="7"/>
        </w:numPr>
        <w:tabs>
          <w:tab w:val="clear" w:pos="567"/>
        </w:tabs>
        <w:ind w:left="567" w:hanging="567"/>
        <w:rPr>
          <w:lang w:val="sk-SK"/>
        </w:rPr>
      </w:pPr>
      <w:r w:rsidRPr="003A0D80">
        <w:rPr>
          <w:b/>
          <w:szCs w:val="22"/>
          <w:lang w:val="sk-SK"/>
        </w:rPr>
        <w:t>Liekové a iné interakcie</w:t>
      </w:r>
    </w:p>
    <w:p w14:paraId="236E9FAA" w14:textId="77777777" w:rsidR="00160CFC" w:rsidRPr="003A0D80" w:rsidRDefault="00160CFC" w:rsidP="00853064">
      <w:pPr>
        <w:rPr>
          <w:lang w:val="sk-SK"/>
        </w:rPr>
      </w:pPr>
    </w:p>
    <w:p w14:paraId="65F006DC" w14:textId="77777777" w:rsidR="00160CFC" w:rsidRPr="003A0D80" w:rsidRDefault="00160CFC" w:rsidP="00853064">
      <w:pPr>
        <w:autoSpaceDE w:val="0"/>
        <w:autoSpaceDN w:val="0"/>
        <w:adjustRightInd w:val="0"/>
        <w:spacing w:line="240" w:lineRule="auto"/>
        <w:rPr>
          <w:rFonts w:eastAsia="TimesNewRoman,Italic"/>
          <w:iCs/>
          <w:color w:val="000000"/>
          <w:szCs w:val="22"/>
          <w:lang w:val="sk-SK"/>
        </w:rPr>
      </w:pPr>
      <w:r w:rsidRPr="003A0D80">
        <w:rPr>
          <w:rFonts w:eastAsia="TimesNewRoman,Italic"/>
          <w:iCs/>
          <w:color w:val="000000"/>
          <w:szCs w:val="22"/>
          <w:u w:val="single"/>
          <w:lang w:val="sk-SK"/>
        </w:rPr>
        <w:t>Súvisiace s perindoprilom</w:t>
      </w:r>
    </w:p>
    <w:p w14:paraId="4444186A" w14:textId="77777777" w:rsidR="00160CFC" w:rsidRPr="003A0D80" w:rsidRDefault="00160CFC" w:rsidP="00853064">
      <w:pPr>
        <w:autoSpaceDE w:val="0"/>
        <w:autoSpaceDN w:val="0"/>
        <w:adjustRightInd w:val="0"/>
        <w:spacing w:line="240" w:lineRule="auto"/>
        <w:rPr>
          <w:rFonts w:eastAsia="TimesNewRoman,Italic"/>
          <w:i/>
          <w:iCs/>
          <w:color w:val="000000"/>
          <w:szCs w:val="22"/>
          <w:u w:val="single"/>
          <w:lang w:val="sk-SK"/>
        </w:rPr>
      </w:pPr>
    </w:p>
    <w:p w14:paraId="036962F8" w14:textId="4922C24E" w:rsidR="00160CFC"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Údaje</w:t>
      </w:r>
      <w:r w:rsidRPr="004B1A50">
        <w:rPr>
          <w:rFonts w:eastAsia="TimesNewRoman"/>
          <w:color w:val="000000"/>
          <w:szCs w:val="22"/>
          <w:lang w:val="sk-SK"/>
        </w:rPr>
        <w:t xml:space="preserve"> z klinických </w:t>
      </w:r>
      <w:r w:rsidR="003037A1" w:rsidRPr="004B1A50">
        <w:rPr>
          <w:rFonts w:eastAsia="TimesNewRoman"/>
          <w:color w:val="000000"/>
          <w:szCs w:val="22"/>
          <w:lang w:val="sk-SK"/>
        </w:rPr>
        <w:t>skúšaní</w:t>
      </w:r>
      <w:r w:rsidR="00AF4F11" w:rsidRPr="004B1A50">
        <w:rPr>
          <w:rFonts w:eastAsia="TimesNewRoman"/>
          <w:color w:val="000000"/>
          <w:szCs w:val="22"/>
          <w:lang w:val="sk-SK"/>
        </w:rPr>
        <w:t xml:space="preserve"> </w:t>
      </w:r>
      <w:r w:rsidRPr="004B1A50">
        <w:rPr>
          <w:rFonts w:eastAsia="TimesNewRoman"/>
          <w:color w:val="000000"/>
          <w:szCs w:val="22"/>
          <w:lang w:val="sk-SK"/>
        </w:rPr>
        <w:t xml:space="preserve">preukázali, že duálna </w:t>
      </w:r>
      <w:r w:rsidR="00D214D9">
        <w:rPr>
          <w:rFonts w:eastAsia="TimesNewRoman"/>
          <w:color w:val="000000"/>
          <w:szCs w:val="22"/>
          <w:lang w:val="sk-SK"/>
        </w:rPr>
        <w:t>inhibícia</w:t>
      </w:r>
      <w:r w:rsidR="00D214D9" w:rsidRPr="004B1A50">
        <w:rPr>
          <w:rFonts w:eastAsia="TimesNewRoman"/>
          <w:color w:val="000000"/>
          <w:szCs w:val="22"/>
          <w:lang w:val="sk-SK"/>
        </w:rPr>
        <w:t xml:space="preserve"> </w:t>
      </w:r>
      <w:r w:rsidR="00C30AB6" w:rsidRPr="004B1A50">
        <w:rPr>
          <w:rFonts w:eastAsia="TimesNewRoman"/>
          <w:color w:val="000000"/>
          <w:szCs w:val="22"/>
          <w:lang w:val="sk-SK"/>
        </w:rPr>
        <w:t>systému</w:t>
      </w:r>
      <w:r w:rsidRPr="004B1A50">
        <w:rPr>
          <w:rFonts w:eastAsia="TimesNewRoman"/>
          <w:color w:val="000000"/>
          <w:szCs w:val="22"/>
          <w:lang w:val="sk-SK"/>
        </w:rPr>
        <w:t xml:space="preserve"> renín-angiotenzín-aldosterón (RAAS) prostredníctvom kombinovaného použitia inhibítorov ACE, blokátorov receptorov angiotenzínu II alebo aliskirénu je spojená s vyššou frekvenciou nežiaducich príhod, ako sú hypotenzia, hyperkaliémia a znížená funkcia obličiek (vrátane akútneho zlyhania obličiek) v</w:t>
      </w:r>
      <w:r w:rsidR="002E41EF">
        <w:rPr>
          <w:rFonts w:eastAsia="TimesNewRoman"/>
          <w:color w:val="000000"/>
          <w:szCs w:val="22"/>
          <w:lang w:val="sk-SK"/>
        </w:rPr>
        <w:t> </w:t>
      </w:r>
      <w:r w:rsidRPr="004B1A50">
        <w:rPr>
          <w:rFonts w:eastAsia="TimesNewRoman"/>
          <w:color w:val="000000"/>
          <w:szCs w:val="22"/>
          <w:lang w:val="sk-SK"/>
        </w:rPr>
        <w:t>porovnaní s použitím jedného liečiva pôsobiaceho na RAAS (pozri časti 4.3, 4.4 a 5.1).</w:t>
      </w:r>
    </w:p>
    <w:p w14:paraId="7D066A01" w14:textId="77777777" w:rsidR="00BF375C" w:rsidRDefault="00BF375C" w:rsidP="00853064">
      <w:pPr>
        <w:autoSpaceDE w:val="0"/>
        <w:autoSpaceDN w:val="0"/>
        <w:adjustRightInd w:val="0"/>
        <w:spacing w:line="240" w:lineRule="auto"/>
        <w:rPr>
          <w:rFonts w:eastAsia="TimesNewRoman"/>
          <w:color w:val="000000"/>
          <w:szCs w:val="22"/>
          <w:lang w:val="sk-SK"/>
        </w:rPr>
      </w:pPr>
    </w:p>
    <w:p w14:paraId="7A1DA51E" w14:textId="5584FBEF" w:rsidR="00BF375C" w:rsidRDefault="00BF375C" w:rsidP="00853064">
      <w:pPr>
        <w:autoSpaceDE w:val="0"/>
        <w:autoSpaceDN w:val="0"/>
        <w:adjustRightInd w:val="0"/>
        <w:spacing w:line="240" w:lineRule="auto"/>
        <w:rPr>
          <w:rFonts w:eastAsia="TimesNewRoman"/>
          <w:i/>
          <w:color w:val="000000"/>
          <w:szCs w:val="22"/>
          <w:lang w:val="sk-SK"/>
        </w:rPr>
      </w:pPr>
      <w:r>
        <w:rPr>
          <w:rFonts w:eastAsia="TimesNewRoman"/>
          <w:i/>
          <w:color w:val="000000"/>
          <w:szCs w:val="22"/>
          <w:lang w:val="sk-SK"/>
        </w:rPr>
        <w:t>Lieky zvyšujúce rizik</w:t>
      </w:r>
      <w:r w:rsidR="00D214D9">
        <w:rPr>
          <w:rFonts w:eastAsia="TimesNewRoman"/>
          <w:i/>
          <w:color w:val="000000"/>
          <w:szCs w:val="22"/>
          <w:lang w:val="sk-SK"/>
        </w:rPr>
        <w:t>o</w:t>
      </w:r>
      <w:r>
        <w:rPr>
          <w:rFonts w:eastAsia="TimesNewRoman"/>
          <w:i/>
          <w:color w:val="000000"/>
          <w:szCs w:val="22"/>
          <w:lang w:val="sk-SK"/>
        </w:rPr>
        <w:t xml:space="preserve"> angioedému:</w:t>
      </w:r>
    </w:p>
    <w:p w14:paraId="5E545A5F" w14:textId="1BE8C577" w:rsidR="00BF375C" w:rsidRPr="00BF375C" w:rsidRDefault="00BF375C" w:rsidP="00853064">
      <w:pPr>
        <w:autoSpaceDE w:val="0"/>
        <w:autoSpaceDN w:val="0"/>
        <w:adjustRightInd w:val="0"/>
        <w:spacing w:line="240" w:lineRule="auto"/>
        <w:rPr>
          <w:rFonts w:eastAsia="TimesNewRoman"/>
          <w:color w:val="000000"/>
          <w:szCs w:val="22"/>
          <w:lang w:val="sk-SK"/>
        </w:rPr>
      </w:pPr>
      <w:r>
        <w:rPr>
          <w:rFonts w:eastAsia="TimesNewRoman"/>
          <w:color w:val="000000"/>
          <w:szCs w:val="22"/>
          <w:lang w:val="sk-SK"/>
        </w:rPr>
        <w:t xml:space="preserve">Súbežné užívanie ACE inhibítorov so sakubitrilom/valsartanom je kontraindikované, pretože </w:t>
      </w:r>
      <w:r w:rsidR="00D214D9">
        <w:rPr>
          <w:rFonts w:eastAsia="TimesNewRoman"/>
          <w:color w:val="000000"/>
          <w:szCs w:val="22"/>
          <w:lang w:val="sk-SK"/>
        </w:rPr>
        <w:t xml:space="preserve">sa </w:t>
      </w:r>
      <w:r>
        <w:rPr>
          <w:rFonts w:eastAsia="TimesNewRoman"/>
          <w:color w:val="000000"/>
          <w:szCs w:val="22"/>
          <w:lang w:val="sk-SK"/>
        </w:rPr>
        <w:t>zvyšuje riziko angioedému (pozri časti 4.3 a 4.4).</w:t>
      </w:r>
    </w:p>
    <w:p w14:paraId="651BCCB2"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688AEDD"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Súbežné použitie, ktoré sa neodporúča:</w:t>
      </w:r>
    </w:p>
    <w:p w14:paraId="693180A5" w14:textId="77777777" w:rsidR="002E41EF" w:rsidRPr="00FC0B45" w:rsidRDefault="002E41EF" w:rsidP="00853064">
      <w:pPr>
        <w:autoSpaceDE w:val="0"/>
        <w:autoSpaceDN w:val="0"/>
        <w:adjustRightInd w:val="0"/>
        <w:spacing w:line="240" w:lineRule="auto"/>
        <w:rPr>
          <w:rFonts w:eastAsia="TimesNewRoman,Italic"/>
          <w:i/>
          <w:iCs/>
          <w:color w:val="000000"/>
          <w:szCs w:val="22"/>
          <w:lang w:val="sk-SK"/>
        </w:rPr>
      </w:pPr>
    </w:p>
    <w:p w14:paraId="41C1A998" w14:textId="1EC9CB43" w:rsidR="002E41EF" w:rsidRPr="00FC0B45" w:rsidRDefault="002E41EF" w:rsidP="00853064">
      <w:pPr>
        <w:autoSpaceDE w:val="0"/>
        <w:autoSpaceDN w:val="0"/>
        <w:adjustRightInd w:val="0"/>
        <w:spacing w:line="240" w:lineRule="auto"/>
        <w:rPr>
          <w:rFonts w:eastAsia="TimesNewRoman,Italic"/>
          <w:i/>
          <w:iCs/>
          <w:color w:val="000000"/>
          <w:szCs w:val="22"/>
          <w:lang w:val="sk-SK"/>
        </w:rPr>
      </w:pPr>
      <w:r w:rsidRPr="00FC0B45">
        <w:rPr>
          <w:rFonts w:eastAsia="TimesNewRoman,Italic"/>
          <w:i/>
          <w:iCs/>
          <w:color w:val="000000"/>
          <w:szCs w:val="22"/>
          <w:lang w:val="sk-SK"/>
        </w:rPr>
        <w:t>Racekadotril</w:t>
      </w:r>
    </w:p>
    <w:p w14:paraId="0252C187" w14:textId="77777777" w:rsidR="00A94704" w:rsidRPr="004B1A50" w:rsidRDefault="00A94704" w:rsidP="00853064">
      <w:pPr>
        <w:autoSpaceDE w:val="0"/>
        <w:autoSpaceDN w:val="0"/>
        <w:adjustRightInd w:val="0"/>
        <w:spacing w:line="240" w:lineRule="auto"/>
        <w:rPr>
          <w:rFonts w:eastAsia="TimesNewRoman,Italic"/>
          <w:iCs/>
          <w:color w:val="000000"/>
          <w:szCs w:val="22"/>
          <w:lang w:val="sk-SK"/>
        </w:rPr>
      </w:pPr>
    </w:p>
    <w:p w14:paraId="7DD6E61F" w14:textId="77777777" w:rsidR="008B1753" w:rsidRDefault="00B130D2" w:rsidP="00B130D2">
      <w:pPr>
        <w:autoSpaceDE w:val="0"/>
        <w:autoSpaceDN w:val="0"/>
        <w:adjustRightInd w:val="0"/>
        <w:spacing w:line="240" w:lineRule="auto"/>
        <w:rPr>
          <w:rFonts w:eastAsia="TimesNewRoman"/>
          <w:color w:val="000000"/>
          <w:szCs w:val="22"/>
          <w:lang w:val="sk-SK"/>
        </w:rPr>
      </w:pPr>
      <w:r w:rsidRPr="004B1A50">
        <w:rPr>
          <w:rFonts w:eastAsia="TimesNewRoman,Italic"/>
          <w:iCs/>
          <w:color w:val="000000"/>
          <w:szCs w:val="22"/>
          <w:lang w:val="sk-SK"/>
        </w:rPr>
        <w:t xml:space="preserve">O ACE inhibítoroch (napr. perindopril) je známe, že spôsobujú angioedém. </w:t>
      </w:r>
      <w:r>
        <w:rPr>
          <w:rFonts w:eastAsia="TimesNewRoman"/>
          <w:color w:val="000000"/>
          <w:szCs w:val="22"/>
          <w:lang w:val="sk-SK"/>
        </w:rPr>
        <w:t>Súbežné užívanie</w:t>
      </w:r>
      <w:r w:rsidR="002E41EF">
        <w:rPr>
          <w:rFonts w:eastAsia="TimesNewRoman"/>
          <w:color w:val="000000"/>
          <w:szCs w:val="22"/>
          <w:lang w:val="sk-SK"/>
        </w:rPr>
        <w:t xml:space="preserve"> s racekadotrilom (liek používaný na akútnu hnačku) môže zvýšiť toto riziko.</w:t>
      </w:r>
      <w:r>
        <w:rPr>
          <w:rFonts w:eastAsia="TimesNewRoman"/>
          <w:color w:val="000000"/>
          <w:szCs w:val="22"/>
          <w:lang w:val="sk-SK"/>
        </w:rPr>
        <w:t xml:space="preserve"> </w:t>
      </w:r>
    </w:p>
    <w:p w14:paraId="002313C4" w14:textId="350514E5" w:rsidR="008B1753" w:rsidRDefault="008B1753" w:rsidP="00B130D2">
      <w:pPr>
        <w:autoSpaceDE w:val="0"/>
        <w:autoSpaceDN w:val="0"/>
        <w:adjustRightInd w:val="0"/>
        <w:spacing w:line="240" w:lineRule="auto"/>
        <w:rPr>
          <w:rFonts w:eastAsia="TimesNewRoman"/>
          <w:color w:val="000000"/>
          <w:szCs w:val="22"/>
          <w:lang w:val="sk-SK"/>
        </w:rPr>
      </w:pPr>
    </w:p>
    <w:p w14:paraId="661B4ECF" w14:textId="77777777" w:rsidR="008B1753" w:rsidRDefault="008B1753" w:rsidP="008B1753">
      <w:pPr>
        <w:autoSpaceDE w:val="0"/>
        <w:autoSpaceDN w:val="0"/>
        <w:adjustRightInd w:val="0"/>
        <w:spacing w:line="240" w:lineRule="auto"/>
        <w:rPr>
          <w:rFonts w:eastAsia="TimesNewRoman"/>
          <w:i/>
          <w:color w:val="000000"/>
          <w:szCs w:val="22"/>
          <w:lang w:val="sk-SK"/>
        </w:rPr>
      </w:pPr>
      <w:r>
        <w:rPr>
          <w:rFonts w:eastAsia="TimesNewRoman"/>
          <w:i/>
          <w:color w:val="000000"/>
          <w:szCs w:val="22"/>
          <w:lang w:val="sk-SK"/>
        </w:rPr>
        <w:t>Lieky zvyšujúce riziku angioedému:</w:t>
      </w:r>
    </w:p>
    <w:p w14:paraId="415AFC17" w14:textId="00D3597E" w:rsidR="00B130D2" w:rsidRPr="00390F4C" w:rsidRDefault="008B1753" w:rsidP="00B130D2">
      <w:pPr>
        <w:autoSpaceDE w:val="0"/>
        <w:autoSpaceDN w:val="0"/>
        <w:adjustRightInd w:val="0"/>
        <w:spacing w:line="240" w:lineRule="auto"/>
        <w:rPr>
          <w:rFonts w:eastAsia="TimesNewRoman"/>
          <w:color w:val="000000"/>
          <w:szCs w:val="22"/>
          <w:lang w:val="sk-SK"/>
        </w:rPr>
      </w:pPr>
      <w:r>
        <w:rPr>
          <w:rFonts w:eastAsia="TimesNewRoman"/>
          <w:color w:val="000000"/>
          <w:szCs w:val="22"/>
          <w:lang w:val="sk-SK"/>
        </w:rPr>
        <w:t xml:space="preserve">Súbežné používanie </w:t>
      </w:r>
      <w:r w:rsidR="00B130D2">
        <w:rPr>
          <w:rFonts w:eastAsia="TimesNewRoman"/>
          <w:color w:val="000000"/>
          <w:szCs w:val="22"/>
          <w:lang w:val="sk-SK"/>
        </w:rPr>
        <w:t>ACE inhibítorov s</w:t>
      </w:r>
      <w:r>
        <w:rPr>
          <w:rFonts w:eastAsia="TimesNewRoman"/>
          <w:color w:val="000000"/>
          <w:szCs w:val="22"/>
          <w:lang w:val="sk-SK"/>
        </w:rPr>
        <w:t> </w:t>
      </w:r>
      <w:r w:rsidR="00B130D2">
        <w:rPr>
          <w:rFonts w:eastAsia="TimesNewRoman"/>
          <w:color w:val="000000"/>
          <w:szCs w:val="22"/>
          <w:lang w:val="sk-SK"/>
        </w:rPr>
        <w:t>racekadotrilom</w:t>
      </w:r>
      <w:r>
        <w:rPr>
          <w:rFonts w:eastAsia="TimesNewRoman"/>
          <w:color w:val="000000"/>
          <w:szCs w:val="22"/>
          <w:lang w:val="sk-SK"/>
        </w:rPr>
        <w:t>,</w:t>
      </w:r>
      <w:r w:rsidR="00B130D2">
        <w:rPr>
          <w:rFonts w:eastAsia="TimesNewRoman"/>
          <w:color w:val="000000"/>
          <w:szCs w:val="22"/>
          <w:lang w:val="sk-SK"/>
        </w:rPr>
        <w:t xml:space="preserve"> mTOR inhibítormi </w:t>
      </w:r>
      <w:r w:rsidR="00B130D2" w:rsidRPr="00FC0B45">
        <w:rPr>
          <w:rFonts w:eastAsia="TimesNewRoman"/>
          <w:color w:val="000000"/>
          <w:szCs w:val="22"/>
          <w:lang w:val="sk-SK"/>
        </w:rPr>
        <w:t>(napr. sirolimus, everolimus, temsirolimus)</w:t>
      </w:r>
      <w:r w:rsidR="00B130D2">
        <w:rPr>
          <w:rFonts w:eastAsia="TimesNewRoman"/>
          <w:color w:val="000000"/>
          <w:szCs w:val="22"/>
          <w:lang w:val="sk-SK"/>
        </w:rPr>
        <w:t xml:space="preserve"> a vildagliptínom</w:t>
      </w:r>
      <w:r w:rsidR="00B130D2" w:rsidRPr="00B130D2">
        <w:rPr>
          <w:rFonts w:eastAsia="TimesNewRoman"/>
          <w:color w:val="000000"/>
          <w:szCs w:val="22"/>
          <w:lang w:val="sk-SK"/>
        </w:rPr>
        <w:t xml:space="preserve"> </w:t>
      </w:r>
      <w:r w:rsidR="00B130D2">
        <w:rPr>
          <w:rFonts w:eastAsia="TimesNewRoman"/>
          <w:color w:val="000000"/>
          <w:szCs w:val="22"/>
          <w:lang w:val="sk-SK"/>
        </w:rPr>
        <w:t xml:space="preserve">môže viesť k zvýšenému riziku angioedému </w:t>
      </w:r>
      <w:r w:rsidR="00B130D2" w:rsidRPr="00F30D47">
        <w:rPr>
          <w:bCs/>
          <w:szCs w:val="22"/>
          <w:lang w:val="sk-SK" w:eastAsia="sk-SK"/>
        </w:rPr>
        <w:t>(pozri časť 4.4).</w:t>
      </w:r>
    </w:p>
    <w:p w14:paraId="5A85CEE7" w14:textId="77777777" w:rsidR="00B130D2" w:rsidRDefault="00B130D2" w:rsidP="00B130D2">
      <w:pPr>
        <w:autoSpaceDE w:val="0"/>
        <w:autoSpaceDN w:val="0"/>
        <w:adjustRightInd w:val="0"/>
        <w:spacing w:line="240" w:lineRule="auto"/>
        <w:rPr>
          <w:rFonts w:eastAsia="TimesNewRoman,Italic"/>
          <w:iCs/>
          <w:color w:val="000000"/>
          <w:szCs w:val="22"/>
          <w:lang w:val="sk-SK"/>
        </w:rPr>
      </w:pPr>
    </w:p>
    <w:p w14:paraId="4E7AB220" w14:textId="77777777" w:rsidR="00DC60D9" w:rsidRPr="003A0D80" w:rsidRDefault="00DC60D9" w:rsidP="00DC60D9">
      <w:pPr>
        <w:tabs>
          <w:tab w:val="clear" w:pos="567"/>
        </w:tabs>
        <w:autoSpaceDE w:val="0"/>
        <w:autoSpaceDN w:val="0"/>
        <w:adjustRightInd w:val="0"/>
        <w:spacing w:line="240" w:lineRule="auto"/>
        <w:rPr>
          <w:bCs/>
          <w:i/>
          <w:szCs w:val="22"/>
          <w:lang w:val="sk-SK" w:eastAsia="sk-SK"/>
        </w:rPr>
      </w:pPr>
      <w:r w:rsidRPr="003A0D80">
        <w:rPr>
          <w:bCs/>
          <w:i/>
          <w:szCs w:val="22"/>
          <w:lang w:val="sk-SK" w:eastAsia="sk-SK"/>
        </w:rPr>
        <w:t xml:space="preserve">Draslík šetriace diuretiká, doplnky draslíka alebo náhrady solí obsahujúce draslík: </w:t>
      </w:r>
    </w:p>
    <w:p w14:paraId="63A840A7" w14:textId="3A27288F" w:rsidR="00447086" w:rsidRPr="003A0D80" w:rsidRDefault="00DC60D9" w:rsidP="00DC60D9">
      <w:pPr>
        <w:tabs>
          <w:tab w:val="clear" w:pos="567"/>
        </w:tabs>
        <w:autoSpaceDE w:val="0"/>
        <w:autoSpaceDN w:val="0"/>
        <w:adjustRightInd w:val="0"/>
        <w:spacing w:line="240" w:lineRule="auto"/>
        <w:rPr>
          <w:bCs/>
          <w:szCs w:val="22"/>
          <w:lang w:val="sk-SK" w:eastAsia="sk-SK"/>
        </w:rPr>
      </w:pPr>
      <w:r w:rsidRPr="003A0D80">
        <w:rPr>
          <w:bCs/>
          <w:szCs w:val="22"/>
          <w:lang w:val="sk-SK" w:eastAsia="sk-SK"/>
        </w:rPr>
        <w:t xml:space="preserve">Hoci hladiny draslíka v sére zvyčajne zostávajú v rámci normálnych hodnôt, u niektorých pacientov liečených </w:t>
      </w:r>
      <w:r w:rsidR="00B130D2" w:rsidRPr="003A0D80">
        <w:rPr>
          <w:bCs/>
          <w:szCs w:val="22"/>
          <w:lang w:val="sk-SK" w:eastAsia="sk-SK"/>
        </w:rPr>
        <w:t>perindoprilom</w:t>
      </w:r>
      <w:r w:rsidRPr="003A0D80">
        <w:rPr>
          <w:bCs/>
          <w:szCs w:val="22"/>
          <w:lang w:val="sk-SK" w:eastAsia="sk-SK"/>
        </w:rPr>
        <w:t xml:space="preserve"> sa môže vyskytnúť hyperkaliémia. Užívanie draslík šetriacich diuretík (napr. spironolaktón, triamterén alebo amilorid), doplnkov draslíka alebo náhrad solí obsahujúcich draslík môže viesť k významnému zvýšeniu hladín draslíka v sére. Opatrnosť je tiež potrebná pri súbežnom podávaní </w:t>
      </w:r>
      <w:r w:rsidR="00B130D2" w:rsidRPr="003A0D80">
        <w:rPr>
          <w:bCs/>
          <w:szCs w:val="22"/>
          <w:lang w:val="sk-SK" w:eastAsia="sk-SK"/>
        </w:rPr>
        <w:t>Perindamlostadu</w:t>
      </w:r>
      <w:r w:rsidRPr="003A0D80">
        <w:rPr>
          <w:bCs/>
          <w:szCs w:val="22"/>
          <w:lang w:val="sk-SK" w:eastAsia="sk-SK"/>
        </w:rPr>
        <w:t xml:space="preserve"> s inými liekmi, ktoré zvyšujú hladinu draslíka v</w:t>
      </w:r>
      <w:r w:rsidR="00B130D2" w:rsidRPr="003A0D80">
        <w:rPr>
          <w:bCs/>
          <w:szCs w:val="22"/>
          <w:lang w:val="sk-SK" w:eastAsia="sk-SK"/>
        </w:rPr>
        <w:t> </w:t>
      </w:r>
      <w:r w:rsidRPr="003A0D80">
        <w:rPr>
          <w:bCs/>
          <w:szCs w:val="22"/>
          <w:lang w:val="sk-SK" w:eastAsia="sk-SK"/>
        </w:rPr>
        <w:t>sére</w:t>
      </w:r>
      <w:r w:rsidR="00B130D2" w:rsidRPr="003A0D80">
        <w:rPr>
          <w:bCs/>
          <w:szCs w:val="22"/>
          <w:lang w:val="sk-SK" w:eastAsia="sk-SK"/>
        </w:rPr>
        <w:t>, ako sú</w:t>
      </w:r>
      <w:r w:rsidRPr="003A0D80">
        <w:rPr>
          <w:bCs/>
          <w:szCs w:val="22"/>
          <w:lang w:val="sk-SK" w:eastAsia="sk-SK"/>
        </w:rPr>
        <w:t xml:space="preserve"> trimetoprim a</w:t>
      </w:r>
      <w:r w:rsidR="00FC5DF7" w:rsidRPr="003A0D80">
        <w:rPr>
          <w:bCs/>
          <w:szCs w:val="22"/>
          <w:lang w:val="sk-SK" w:eastAsia="sk-SK"/>
        </w:rPr>
        <w:t> </w:t>
      </w:r>
      <w:r w:rsidRPr="003A0D80">
        <w:rPr>
          <w:bCs/>
          <w:szCs w:val="22"/>
          <w:lang w:val="sk-SK" w:eastAsia="sk-SK"/>
        </w:rPr>
        <w:t>kotrimoxazol (trimetoprim/sulfametoxazol), ke</w:t>
      </w:r>
      <w:r w:rsidR="00FC5DF7" w:rsidRPr="003A0D80">
        <w:rPr>
          <w:bCs/>
          <w:szCs w:val="22"/>
          <w:lang w:val="sk-SK" w:eastAsia="sk-SK"/>
        </w:rPr>
        <w:t>ď</w:t>
      </w:r>
      <w:r w:rsidRPr="003A0D80">
        <w:rPr>
          <w:bCs/>
          <w:szCs w:val="22"/>
          <w:lang w:val="sk-SK" w:eastAsia="sk-SK"/>
        </w:rPr>
        <w:t xml:space="preserve">že trimetoprim pôsobí ako draslík šetriace diuretikum, rovnako ako amilorid. Preto sa užívanie </w:t>
      </w:r>
      <w:r w:rsidR="00B130D2" w:rsidRPr="003A0D80">
        <w:rPr>
          <w:bCs/>
          <w:szCs w:val="22"/>
          <w:lang w:val="sk-SK" w:eastAsia="sk-SK"/>
        </w:rPr>
        <w:t>perindoprilu</w:t>
      </w:r>
      <w:r w:rsidRPr="003A0D80">
        <w:rPr>
          <w:bCs/>
          <w:szCs w:val="22"/>
          <w:lang w:val="sk-SK" w:eastAsia="sk-SK"/>
        </w:rPr>
        <w:t xml:space="preserve"> v kombinácii s vyššie uvedenými liekmi neodporúča</w:t>
      </w:r>
      <w:r w:rsidR="00B130D2" w:rsidRPr="003A0D80">
        <w:rPr>
          <w:bCs/>
          <w:szCs w:val="22"/>
          <w:lang w:val="sk-SK" w:eastAsia="sk-SK"/>
        </w:rPr>
        <w:t xml:space="preserve"> (pozri časť 4.4)</w:t>
      </w:r>
      <w:r w:rsidRPr="003A0D80">
        <w:rPr>
          <w:bCs/>
          <w:szCs w:val="22"/>
          <w:lang w:val="sk-SK" w:eastAsia="sk-SK"/>
        </w:rPr>
        <w:t>. Ak je indikované ich súbežné užívanie, majú sa užívať s</w:t>
      </w:r>
      <w:r w:rsidR="00FC5DF7" w:rsidRPr="003A0D80">
        <w:rPr>
          <w:bCs/>
          <w:szCs w:val="22"/>
          <w:lang w:val="sk-SK" w:eastAsia="sk-SK"/>
        </w:rPr>
        <w:t> </w:t>
      </w:r>
      <w:r w:rsidRPr="003A0D80">
        <w:rPr>
          <w:bCs/>
          <w:szCs w:val="22"/>
          <w:lang w:val="sk-SK" w:eastAsia="sk-SK"/>
        </w:rPr>
        <w:t>opatrnosťou a</w:t>
      </w:r>
      <w:r w:rsidR="00FC5DF7" w:rsidRPr="003A0D80">
        <w:rPr>
          <w:bCs/>
          <w:szCs w:val="22"/>
          <w:lang w:val="sk-SK" w:eastAsia="sk-SK"/>
        </w:rPr>
        <w:t xml:space="preserve"> majú sa </w:t>
      </w:r>
      <w:r w:rsidRPr="003A0D80">
        <w:rPr>
          <w:bCs/>
          <w:szCs w:val="22"/>
          <w:lang w:val="sk-SK" w:eastAsia="sk-SK"/>
        </w:rPr>
        <w:t>často sledovať hladiny draslíka v sére.</w:t>
      </w:r>
    </w:p>
    <w:p w14:paraId="48C52BAC" w14:textId="77777777" w:rsidR="00DC60D9" w:rsidRPr="003A0D80" w:rsidRDefault="00DC60D9">
      <w:pPr>
        <w:tabs>
          <w:tab w:val="clear" w:pos="567"/>
        </w:tabs>
        <w:autoSpaceDE w:val="0"/>
        <w:autoSpaceDN w:val="0"/>
        <w:adjustRightInd w:val="0"/>
        <w:spacing w:line="240" w:lineRule="auto"/>
        <w:rPr>
          <w:rFonts w:ascii="TimesNewRoman,Bold" w:hAnsi="TimesNewRoman,Bold" w:cs="TimesNewRoman,Bold"/>
          <w:b/>
          <w:bCs/>
          <w:szCs w:val="22"/>
          <w:lang w:val="sk-SK" w:eastAsia="sk-SK"/>
        </w:rPr>
      </w:pPr>
    </w:p>
    <w:p w14:paraId="7B94AEA6" w14:textId="77777777" w:rsidR="00160CFC" w:rsidRPr="003A0D80" w:rsidRDefault="00160CFC">
      <w:pPr>
        <w:autoSpaceDE w:val="0"/>
        <w:autoSpaceDN w:val="0"/>
        <w:adjustRightInd w:val="0"/>
        <w:spacing w:line="240" w:lineRule="auto"/>
        <w:rPr>
          <w:rFonts w:eastAsia="TimesNewRoman,Italic"/>
          <w:iCs/>
          <w:color w:val="000000"/>
          <w:szCs w:val="22"/>
          <w:lang w:val="sk-SK"/>
        </w:rPr>
      </w:pPr>
      <w:r w:rsidRPr="003A0D80">
        <w:rPr>
          <w:rFonts w:eastAsia="TimesNewRoman,Italic"/>
          <w:i/>
          <w:iCs/>
          <w:color w:val="000000"/>
          <w:szCs w:val="22"/>
          <w:lang w:val="sk-SK"/>
        </w:rPr>
        <w:t>Lítium:</w:t>
      </w:r>
    </w:p>
    <w:p w14:paraId="11FD1C5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Počas</w:t>
      </w:r>
      <w:r w:rsidRPr="004B1A50">
        <w:rPr>
          <w:rFonts w:eastAsia="TimesNewRoman"/>
          <w:color w:val="000000"/>
          <w:szCs w:val="22"/>
          <w:lang w:val="sk-SK"/>
        </w:rPr>
        <w:t xml:space="preserve"> súbežného podávania lítia s inhibítormi ACE boli hlásené reverzibilné zvýšenia sérových koncentrácií lítia a jeho toxicity</w:t>
      </w:r>
      <w:r w:rsidR="00EF084C" w:rsidRPr="004B1A50">
        <w:rPr>
          <w:rFonts w:eastAsia="TimesNewRoman"/>
          <w:color w:val="000000"/>
          <w:szCs w:val="22"/>
          <w:lang w:val="sk-SK"/>
        </w:rPr>
        <w:t xml:space="preserve"> </w:t>
      </w:r>
      <w:r w:rsidRPr="004B1A50">
        <w:rPr>
          <w:rFonts w:eastAsia="TimesNewRoman"/>
          <w:color w:val="000000"/>
          <w:szCs w:val="22"/>
          <w:lang w:val="sk-SK"/>
        </w:rPr>
        <w:t xml:space="preserve">(závažná neurotoxicita). Kombinácia perindoprilu s lítiom sa </w:t>
      </w:r>
      <w:r w:rsidRPr="004B1A50">
        <w:rPr>
          <w:rFonts w:eastAsia="TimesNewRoman"/>
          <w:color w:val="000000"/>
          <w:szCs w:val="22"/>
          <w:lang w:val="sk-SK"/>
        </w:rPr>
        <w:lastRenderedPageBreak/>
        <w:t>neodporúča.</w:t>
      </w:r>
      <w:r w:rsidR="00EF084C" w:rsidRPr="004B1A50">
        <w:rPr>
          <w:rFonts w:eastAsia="TimesNewRoman"/>
          <w:color w:val="000000"/>
          <w:szCs w:val="22"/>
          <w:lang w:val="sk-SK"/>
        </w:rPr>
        <w:t xml:space="preserve"> </w:t>
      </w:r>
      <w:r w:rsidRPr="004B1A50">
        <w:rPr>
          <w:rFonts w:eastAsia="TimesNewRoman"/>
          <w:color w:val="000000"/>
          <w:szCs w:val="22"/>
          <w:lang w:val="sk-SK"/>
        </w:rPr>
        <w:t>Ak sa potvrdí, že je táto kombinácia nutná, majú sa starostlivo monitorovať hladiny lítia v sére (pozri časť 4.4).</w:t>
      </w:r>
    </w:p>
    <w:p w14:paraId="363580E3"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3D9E5649"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Estramustín:</w:t>
      </w:r>
    </w:p>
    <w:p w14:paraId="7E6115D8"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Riziko zvýšenia nežiaducich účinkov, ako je angioneurotický edém (angioedém).</w:t>
      </w:r>
    </w:p>
    <w:p w14:paraId="6D8FEBD0" w14:textId="77777777" w:rsidR="00DC60D9" w:rsidRPr="003A0D80" w:rsidRDefault="00DC60D9" w:rsidP="00853064">
      <w:pPr>
        <w:autoSpaceDE w:val="0"/>
        <w:autoSpaceDN w:val="0"/>
        <w:adjustRightInd w:val="0"/>
        <w:spacing w:line="240" w:lineRule="auto"/>
        <w:rPr>
          <w:rFonts w:eastAsia="TimesNewRoman"/>
          <w:color w:val="000000"/>
          <w:szCs w:val="22"/>
          <w:lang w:val="sk-SK"/>
        </w:rPr>
      </w:pPr>
    </w:p>
    <w:p w14:paraId="45567D94" w14:textId="77777777" w:rsidR="00DC60D9" w:rsidRPr="003A0D80" w:rsidRDefault="00DC60D9" w:rsidP="00DC60D9">
      <w:pPr>
        <w:autoSpaceDE w:val="0"/>
        <w:autoSpaceDN w:val="0"/>
        <w:adjustRightInd w:val="0"/>
        <w:spacing w:line="240" w:lineRule="auto"/>
        <w:rPr>
          <w:rFonts w:eastAsia="TimesNewRoman"/>
          <w:i/>
          <w:color w:val="000000"/>
          <w:szCs w:val="22"/>
          <w:lang w:val="sk-SK"/>
        </w:rPr>
      </w:pPr>
      <w:r w:rsidRPr="003A0D80">
        <w:rPr>
          <w:rFonts w:eastAsia="TimesNewRoman"/>
          <w:i/>
          <w:color w:val="000000"/>
          <w:szCs w:val="22"/>
          <w:lang w:val="sk-SK"/>
        </w:rPr>
        <w:t xml:space="preserve">Cyklosporín: </w:t>
      </w:r>
    </w:p>
    <w:p w14:paraId="4391E447" w14:textId="0B4BBDBC" w:rsidR="003505D3" w:rsidRPr="003A0D80" w:rsidRDefault="00DC60D9" w:rsidP="00DC60D9">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 xml:space="preserve">Pri súbežnom užívaní inhibítorov ACE s cyklosporínom sa môže vyskytnúť hyperkaliémia. </w:t>
      </w:r>
    </w:p>
    <w:p w14:paraId="371047E1" w14:textId="77777777" w:rsidR="00DC60D9" w:rsidRPr="003A0D80" w:rsidRDefault="00DC60D9" w:rsidP="00DC60D9">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 xml:space="preserve">Odporúča sa monitorovanie hladiny draslíka v sére. </w:t>
      </w:r>
    </w:p>
    <w:p w14:paraId="06A257A3" w14:textId="73BA8938" w:rsidR="00DC60D9" w:rsidRPr="003A0D80" w:rsidRDefault="00DC60D9" w:rsidP="00DC60D9">
      <w:pPr>
        <w:autoSpaceDE w:val="0"/>
        <w:autoSpaceDN w:val="0"/>
        <w:adjustRightInd w:val="0"/>
        <w:spacing w:line="240" w:lineRule="auto"/>
        <w:rPr>
          <w:rFonts w:eastAsia="TimesNewRoman"/>
          <w:color w:val="000000"/>
          <w:szCs w:val="22"/>
          <w:lang w:val="sk-SK"/>
        </w:rPr>
      </w:pPr>
    </w:p>
    <w:p w14:paraId="1D08B3FA" w14:textId="77777777" w:rsidR="00DC60D9" w:rsidRPr="003A0D80" w:rsidRDefault="00DC60D9" w:rsidP="00DC60D9">
      <w:pPr>
        <w:autoSpaceDE w:val="0"/>
        <w:autoSpaceDN w:val="0"/>
        <w:adjustRightInd w:val="0"/>
        <w:spacing w:line="240" w:lineRule="auto"/>
        <w:rPr>
          <w:rFonts w:eastAsia="TimesNewRoman"/>
          <w:i/>
          <w:color w:val="000000"/>
          <w:szCs w:val="22"/>
          <w:lang w:val="sk-SK"/>
        </w:rPr>
      </w:pPr>
      <w:r w:rsidRPr="003A0D80">
        <w:rPr>
          <w:rFonts w:eastAsia="TimesNewRoman"/>
          <w:i/>
          <w:color w:val="000000"/>
          <w:szCs w:val="22"/>
          <w:lang w:val="sk-SK"/>
        </w:rPr>
        <w:t xml:space="preserve">Heparín: </w:t>
      </w:r>
    </w:p>
    <w:p w14:paraId="7D817D25" w14:textId="562F24D3" w:rsidR="003505D3" w:rsidRPr="003A0D80" w:rsidRDefault="00DC60D9" w:rsidP="00DC60D9">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 xml:space="preserve">Hyperkaliémia sa môže vyskytnúť pri súbežnom užívaní inhibítorov ACE s heparínom. </w:t>
      </w:r>
    </w:p>
    <w:p w14:paraId="33FBFD1C" w14:textId="77777777" w:rsidR="00DC60D9" w:rsidRPr="003A0D80" w:rsidRDefault="00DC60D9" w:rsidP="00DC60D9">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Odporúča sa monitorovanie hladiny draslíka v sére.</w:t>
      </w:r>
    </w:p>
    <w:p w14:paraId="6529E952" w14:textId="77777777" w:rsidR="00DC60D9" w:rsidRPr="003A0D80" w:rsidRDefault="00DC60D9" w:rsidP="00DC60D9">
      <w:pPr>
        <w:autoSpaceDE w:val="0"/>
        <w:autoSpaceDN w:val="0"/>
        <w:adjustRightInd w:val="0"/>
        <w:spacing w:line="240" w:lineRule="auto"/>
        <w:rPr>
          <w:rFonts w:eastAsia="TimesNewRoman"/>
          <w:color w:val="000000"/>
          <w:szCs w:val="22"/>
          <w:lang w:val="sk-SK"/>
        </w:rPr>
      </w:pPr>
    </w:p>
    <w:p w14:paraId="2A617D07"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3A0D80">
        <w:rPr>
          <w:rFonts w:eastAsia="TimesNewRoman,Italic"/>
          <w:i/>
          <w:iCs/>
          <w:color w:val="000000"/>
          <w:szCs w:val="22"/>
          <w:u w:val="single"/>
          <w:lang w:val="sk-SK"/>
        </w:rPr>
        <w:t>Súbežné použitie, ktoré vyžaduje osobitnú pozornosť:</w:t>
      </w:r>
    </w:p>
    <w:p w14:paraId="79064D95"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1DB3762"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 xml:space="preserve">Nesteroidné protizápalové lieky (NSAID) vrátane </w:t>
      </w:r>
      <w:r w:rsidR="00A94704" w:rsidRPr="004B1A50">
        <w:rPr>
          <w:rFonts w:eastAsia="TimesNewRoman,Italic"/>
          <w:i/>
          <w:iCs/>
          <w:color w:val="000000"/>
          <w:szCs w:val="22"/>
          <w:lang w:val="sk-SK"/>
        </w:rPr>
        <w:t>kyseliny acetylsalicylovej</w:t>
      </w:r>
      <w:r w:rsidRPr="004B1A50">
        <w:rPr>
          <w:rFonts w:eastAsia="TimesNewRoman,Italic"/>
          <w:i/>
          <w:iCs/>
          <w:color w:val="000000"/>
          <w:szCs w:val="22"/>
          <w:lang w:val="sk-SK"/>
        </w:rPr>
        <w:t xml:space="preserve"> v dávke ≥ 3 g/deň:</w:t>
      </w:r>
    </w:p>
    <w:p w14:paraId="51E84D98" w14:textId="5C2AAE8F" w:rsidR="00160CFC" w:rsidRPr="004B1A50" w:rsidRDefault="00A75FD7"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Ak </w:t>
      </w:r>
      <w:r w:rsidR="00160CFC" w:rsidRPr="004B1A50">
        <w:rPr>
          <w:rFonts w:eastAsia="TimesNewRoman"/>
          <w:color w:val="000000"/>
          <w:szCs w:val="22"/>
          <w:lang w:val="sk-SK"/>
        </w:rPr>
        <w:t>sa inhibítory ACE podávajú sú</w:t>
      </w:r>
      <w:r w:rsidR="003505D3">
        <w:rPr>
          <w:rFonts w:eastAsia="TimesNewRoman"/>
          <w:color w:val="000000"/>
          <w:szCs w:val="22"/>
          <w:lang w:val="sk-SK"/>
        </w:rPr>
        <w:t>bež</w:t>
      </w:r>
      <w:r w:rsidR="00160CFC" w:rsidRPr="004B1A50">
        <w:rPr>
          <w:rFonts w:eastAsia="TimesNewRoman"/>
          <w:color w:val="000000"/>
          <w:szCs w:val="22"/>
          <w:lang w:val="sk-SK"/>
        </w:rPr>
        <w:t>ne s nesteroidnými protizápalovými liekmi (t.</w:t>
      </w:r>
      <w:r w:rsidR="003505D3">
        <w:rPr>
          <w:rFonts w:eastAsia="TimesNewRoman"/>
          <w:color w:val="000000"/>
          <w:szCs w:val="22"/>
          <w:lang w:val="sk-SK"/>
        </w:rPr>
        <w:t xml:space="preserve"> </w:t>
      </w:r>
      <w:r w:rsidR="00160CFC" w:rsidRPr="004B1A50">
        <w:rPr>
          <w:rFonts w:eastAsia="TimesNewRoman"/>
          <w:color w:val="000000"/>
          <w:szCs w:val="22"/>
          <w:lang w:val="sk-SK"/>
        </w:rPr>
        <w:t>j. kyselinou acetylsalicylovou v protizápalových režimoch dávkovania, inhibítor</w:t>
      </w:r>
      <w:r w:rsidRPr="004B1A50">
        <w:rPr>
          <w:rFonts w:eastAsia="TimesNewRoman"/>
          <w:color w:val="000000"/>
          <w:szCs w:val="22"/>
          <w:lang w:val="sk-SK"/>
        </w:rPr>
        <w:t>mi</w:t>
      </w:r>
      <w:r w:rsidR="00160CFC" w:rsidRPr="004B1A50">
        <w:rPr>
          <w:rFonts w:eastAsia="TimesNewRoman"/>
          <w:color w:val="000000"/>
          <w:szCs w:val="22"/>
          <w:lang w:val="sk-SK"/>
        </w:rPr>
        <w:t xml:space="preserve"> COX-2 a neselektívn</w:t>
      </w:r>
      <w:r w:rsidRPr="004B1A50">
        <w:rPr>
          <w:rFonts w:eastAsia="TimesNewRoman"/>
          <w:color w:val="000000"/>
          <w:szCs w:val="22"/>
          <w:lang w:val="sk-SK"/>
        </w:rPr>
        <w:t>ymi</w:t>
      </w:r>
      <w:r w:rsidR="00160CFC" w:rsidRPr="004B1A50">
        <w:rPr>
          <w:rFonts w:eastAsia="TimesNewRoman"/>
          <w:color w:val="000000"/>
          <w:szCs w:val="22"/>
          <w:lang w:val="sk-SK"/>
        </w:rPr>
        <w:t xml:space="preserve"> NSAID), môže dôjsť k oslabeniu antihypertenzného účinku. Súbežné podávanie inhibítorov ACE a</w:t>
      </w:r>
      <w:r w:rsidR="003505D3">
        <w:rPr>
          <w:rFonts w:eastAsia="TimesNewRoman"/>
          <w:color w:val="000000"/>
          <w:szCs w:val="22"/>
          <w:lang w:val="sk-SK"/>
        </w:rPr>
        <w:t> </w:t>
      </w:r>
      <w:r w:rsidR="00160CFC" w:rsidRPr="004B1A50">
        <w:rPr>
          <w:rFonts w:eastAsia="TimesNewRoman"/>
          <w:color w:val="000000"/>
          <w:szCs w:val="22"/>
          <w:lang w:val="sk-SK"/>
        </w:rPr>
        <w:t>NSAID môže</w:t>
      </w:r>
      <w:r w:rsidR="00EF084C" w:rsidRPr="004B1A50">
        <w:rPr>
          <w:rFonts w:eastAsia="TimesNewRoman"/>
          <w:color w:val="000000"/>
          <w:szCs w:val="22"/>
          <w:lang w:val="sk-SK"/>
        </w:rPr>
        <w:t xml:space="preserve"> </w:t>
      </w:r>
      <w:r w:rsidR="00160CFC" w:rsidRPr="004B1A50">
        <w:rPr>
          <w:rFonts w:eastAsia="TimesNewRoman"/>
          <w:color w:val="000000"/>
          <w:szCs w:val="22"/>
          <w:lang w:val="sk-SK"/>
        </w:rPr>
        <w:t>viesť k zvýšenému riziku zhoršenia renálnych funkcií vrátane možného akútneho zlyhania obličiek a k zvýšeniu hladiny draslíka v sére, predovšetkým u pacientov s už predtým existujúcou zníženou funkciou obličiek. Táto kombinácia sa má podávať opatrne, a to najmä u</w:t>
      </w:r>
      <w:r w:rsidR="003505D3">
        <w:rPr>
          <w:rFonts w:eastAsia="TimesNewRoman"/>
          <w:color w:val="000000"/>
          <w:szCs w:val="22"/>
          <w:lang w:val="sk-SK"/>
        </w:rPr>
        <w:t> </w:t>
      </w:r>
      <w:r w:rsidR="00160CFC" w:rsidRPr="004B1A50">
        <w:rPr>
          <w:rFonts w:eastAsia="TimesNewRoman"/>
          <w:color w:val="000000"/>
          <w:szCs w:val="22"/>
          <w:lang w:val="sk-SK"/>
        </w:rPr>
        <w:t>starších pacientov. Pacienti majú byť primerane hydratovaní a</w:t>
      </w:r>
      <w:r w:rsidR="00EF084C" w:rsidRPr="004B1A50">
        <w:rPr>
          <w:rFonts w:eastAsia="TimesNewRoman"/>
          <w:color w:val="000000"/>
          <w:szCs w:val="22"/>
          <w:lang w:val="sk-SK"/>
        </w:rPr>
        <w:t xml:space="preserve"> </w:t>
      </w:r>
      <w:r w:rsidR="00160CFC" w:rsidRPr="004B1A50">
        <w:rPr>
          <w:rFonts w:eastAsia="TimesNewRoman"/>
          <w:color w:val="000000"/>
          <w:szCs w:val="22"/>
          <w:lang w:val="sk-SK"/>
        </w:rPr>
        <w:t>je potrebné zvážiť monitorovanie renálnych funkcií po začatí súbežnej liečby a neskôr v pravidelných intervaloch.</w:t>
      </w:r>
    </w:p>
    <w:p w14:paraId="57F59364"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32445A3"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 xml:space="preserve">Antidiabetiká (inzulín, </w:t>
      </w:r>
      <w:r w:rsidR="00A75FD7" w:rsidRPr="004B1A50">
        <w:rPr>
          <w:rFonts w:eastAsia="TimesNewRoman,Italic"/>
          <w:i/>
          <w:iCs/>
          <w:color w:val="000000"/>
          <w:szCs w:val="22"/>
          <w:lang w:val="sk-SK"/>
        </w:rPr>
        <w:t xml:space="preserve">hypoglykemizujúce </w:t>
      </w:r>
      <w:r w:rsidRPr="004B1A50">
        <w:rPr>
          <w:rFonts w:eastAsia="TimesNewRoman,Italic"/>
          <w:i/>
          <w:iCs/>
          <w:color w:val="000000"/>
          <w:szCs w:val="22"/>
          <w:lang w:val="sk-SK"/>
        </w:rPr>
        <w:t>sulf</w:t>
      </w:r>
      <w:r w:rsidR="00F52265" w:rsidRPr="004B1A50">
        <w:rPr>
          <w:rFonts w:eastAsia="TimesNewRoman,Italic"/>
          <w:i/>
          <w:iCs/>
          <w:color w:val="000000"/>
          <w:szCs w:val="22"/>
          <w:lang w:val="sk-SK"/>
        </w:rPr>
        <w:t>ó</w:t>
      </w:r>
      <w:r w:rsidRPr="004B1A50">
        <w:rPr>
          <w:rFonts w:eastAsia="TimesNewRoman,Italic"/>
          <w:i/>
          <w:iCs/>
          <w:color w:val="000000"/>
          <w:szCs w:val="22"/>
          <w:lang w:val="sk-SK"/>
        </w:rPr>
        <w:t>namidy):</w:t>
      </w:r>
    </w:p>
    <w:p w14:paraId="21903DAE" w14:textId="6C778DBF" w:rsidR="00160CFC"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Používanie inhibítorov enzýmu konvertujúceho angiotenzín môže zvýšiť </w:t>
      </w:r>
      <w:r w:rsidR="00A75FD7" w:rsidRPr="004B1A50">
        <w:rPr>
          <w:rFonts w:eastAsia="TimesNewRoman"/>
          <w:color w:val="000000"/>
          <w:szCs w:val="22"/>
          <w:lang w:val="sk-SK"/>
        </w:rPr>
        <w:t xml:space="preserve">hypoglykemizujúci </w:t>
      </w:r>
      <w:r w:rsidRPr="004B1A50">
        <w:rPr>
          <w:rFonts w:eastAsia="TimesNewRoman"/>
          <w:color w:val="000000"/>
          <w:szCs w:val="22"/>
          <w:lang w:val="sk-SK"/>
        </w:rPr>
        <w:t>účinok u</w:t>
      </w:r>
      <w:r w:rsidR="003505D3">
        <w:rPr>
          <w:rFonts w:eastAsia="TimesNewRoman"/>
          <w:color w:val="000000"/>
          <w:szCs w:val="22"/>
          <w:lang w:val="sk-SK"/>
        </w:rPr>
        <w:t> </w:t>
      </w:r>
      <w:r w:rsidRPr="004B1A50">
        <w:rPr>
          <w:rFonts w:eastAsia="TimesNewRoman"/>
          <w:color w:val="000000"/>
          <w:szCs w:val="22"/>
          <w:lang w:val="sk-SK"/>
        </w:rPr>
        <w:t xml:space="preserve">diabetikov liečených inzulínom alebo </w:t>
      </w:r>
      <w:r w:rsidR="00A75FD7" w:rsidRPr="004B1A50">
        <w:rPr>
          <w:rFonts w:eastAsia="TimesNewRoman"/>
          <w:color w:val="000000"/>
          <w:szCs w:val="22"/>
          <w:lang w:val="sk-SK"/>
        </w:rPr>
        <w:t xml:space="preserve">hypoglykemizujúcimi </w:t>
      </w:r>
      <w:r w:rsidRPr="004B1A50">
        <w:rPr>
          <w:rFonts w:eastAsia="TimesNewRoman"/>
          <w:color w:val="000000"/>
          <w:szCs w:val="22"/>
          <w:lang w:val="sk-SK"/>
        </w:rPr>
        <w:t>sulf</w:t>
      </w:r>
      <w:r w:rsidR="00F52265" w:rsidRPr="004B1A50">
        <w:rPr>
          <w:rFonts w:eastAsia="TimesNewRoman"/>
          <w:color w:val="000000"/>
          <w:szCs w:val="22"/>
          <w:lang w:val="sk-SK"/>
        </w:rPr>
        <w:t>ó</w:t>
      </w:r>
      <w:r w:rsidRPr="004B1A50">
        <w:rPr>
          <w:rFonts w:eastAsia="TimesNewRoman"/>
          <w:color w:val="000000"/>
          <w:szCs w:val="22"/>
          <w:lang w:val="sk-SK"/>
        </w:rPr>
        <w:t>namidmi. Vznik hypoglykemických epizód je veľmi zriedkavý (dochádza pravdepodobne k zlepšeniu glukózovej tolerancie, ktoré vedie k zníženiu potreby inzulínu).</w:t>
      </w:r>
    </w:p>
    <w:p w14:paraId="359B1049" w14:textId="77777777" w:rsidR="00DC60D9" w:rsidRDefault="00DC60D9" w:rsidP="00853064">
      <w:pPr>
        <w:autoSpaceDE w:val="0"/>
        <w:autoSpaceDN w:val="0"/>
        <w:adjustRightInd w:val="0"/>
        <w:spacing w:line="240" w:lineRule="auto"/>
        <w:rPr>
          <w:rFonts w:eastAsia="TimesNewRoman"/>
          <w:color w:val="000000"/>
          <w:szCs w:val="22"/>
          <w:lang w:val="sk-SK"/>
        </w:rPr>
      </w:pPr>
    </w:p>
    <w:p w14:paraId="14A2AEAD"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Súbežné použitie, ktoré vyžaduje určitú pozornosť:</w:t>
      </w:r>
    </w:p>
    <w:p w14:paraId="4013F14C"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581CD144"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Diuretiká:</w:t>
      </w:r>
    </w:p>
    <w:p w14:paraId="649503AE"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už užívajúcich diuretiká, a predovšetkým u tých s depléciou objemu a/alebo soli, môže dôjsť po začatí liečby inhibítorom ACE k nadmernému zníženiu krvného tlaku. Pravdepodobnosť hypotenzných účinkov sa môže znížiť vysadením diuretika, zvýšením objemu alebo príjmu soli pred začatím liečby s nízkymi a postupne sa zvyšujúcimi dávkami perindoprilu.</w:t>
      </w:r>
    </w:p>
    <w:p w14:paraId="43BB0C38"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9D08A4B"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Sympatomimetiká:</w:t>
      </w:r>
    </w:p>
    <w:p w14:paraId="50566A2A"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Sympatomimetiká môžu znižovať antihypertenzné účinky inhibítorov ACE.</w:t>
      </w:r>
    </w:p>
    <w:p w14:paraId="1E339E1C"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3D454B46"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Zlato:</w:t>
      </w:r>
    </w:p>
    <w:p w14:paraId="266591A0"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Zriedka boli hlásené nitritoidné reakcie (symptómy zahŕňajú sčerven</w:t>
      </w:r>
      <w:r w:rsidR="00A75FD7" w:rsidRPr="004B1A50">
        <w:rPr>
          <w:rFonts w:eastAsia="TimesNewRoman"/>
          <w:color w:val="000000"/>
          <w:szCs w:val="22"/>
          <w:lang w:val="sk-SK"/>
        </w:rPr>
        <w:t>e</w:t>
      </w:r>
      <w:r w:rsidRPr="004B1A50">
        <w:rPr>
          <w:rFonts w:eastAsia="TimesNewRoman"/>
          <w:color w:val="000000"/>
          <w:szCs w:val="22"/>
          <w:lang w:val="sk-SK"/>
        </w:rPr>
        <w:t>nie</w:t>
      </w:r>
      <w:r w:rsidR="00A75FD7" w:rsidRPr="004B1A50">
        <w:rPr>
          <w:rFonts w:eastAsia="TimesNewRoman"/>
          <w:color w:val="000000"/>
          <w:szCs w:val="22"/>
          <w:lang w:val="sk-SK"/>
        </w:rPr>
        <w:t xml:space="preserve"> tváre</w:t>
      </w:r>
      <w:r w:rsidRPr="004B1A50">
        <w:rPr>
          <w:rFonts w:eastAsia="TimesNewRoman"/>
          <w:color w:val="000000"/>
          <w:szCs w:val="22"/>
          <w:lang w:val="sk-SK"/>
        </w:rPr>
        <w:t>, nauzeu, vracanie a hypotenziu)</w:t>
      </w:r>
      <w:r w:rsidR="00EF084C" w:rsidRPr="004B1A50">
        <w:rPr>
          <w:rFonts w:eastAsia="TimesNewRoman"/>
          <w:color w:val="000000"/>
          <w:szCs w:val="22"/>
          <w:lang w:val="sk-SK"/>
        </w:rPr>
        <w:t xml:space="preserve"> </w:t>
      </w:r>
      <w:r w:rsidRPr="004B1A50">
        <w:rPr>
          <w:rFonts w:eastAsia="TimesNewRoman"/>
          <w:color w:val="000000"/>
          <w:szCs w:val="22"/>
          <w:lang w:val="sk-SK"/>
        </w:rPr>
        <w:t>u pacientov liečených injekčným podávaním zlata (aurotiomalátu sodného) a súbežne inhibítorom ACE vrátane perindoprilu.</w:t>
      </w:r>
    </w:p>
    <w:p w14:paraId="21906EC2" w14:textId="77777777" w:rsidR="00160CFC" w:rsidRPr="004B1A50" w:rsidRDefault="00160CFC" w:rsidP="00A94704">
      <w:pPr>
        <w:autoSpaceDE w:val="0"/>
        <w:autoSpaceDN w:val="0"/>
        <w:adjustRightInd w:val="0"/>
        <w:spacing w:line="240" w:lineRule="auto"/>
        <w:rPr>
          <w:rFonts w:eastAsia="TimesNewRoman"/>
          <w:color w:val="000000"/>
          <w:szCs w:val="22"/>
          <w:lang w:val="sk-SK"/>
        </w:rPr>
      </w:pPr>
    </w:p>
    <w:p w14:paraId="3CF5D4D4" w14:textId="77777777" w:rsidR="00160CFC" w:rsidRPr="004B1A50" w:rsidRDefault="00160CFC" w:rsidP="00A9470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Súvisiace s amlodipínom</w:t>
      </w:r>
    </w:p>
    <w:p w14:paraId="3DF2A660" w14:textId="77777777" w:rsidR="00160CFC" w:rsidRPr="004B1A50" w:rsidRDefault="00160CFC" w:rsidP="00A94704">
      <w:pPr>
        <w:autoSpaceDE w:val="0"/>
        <w:autoSpaceDN w:val="0"/>
        <w:adjustRightInd w:val="0"/>
        <w:spacing w:line="240" w:lineRule="auto"/>
        <w:rPr>
          <w:rFonts w:eastAsia="TimesNewRoman,Italic"/>
          <w:i/>
          <w:iCs/>
          <w:color w:val="000000"/>
          <w:szCs w:val="22"/>
          <w:u w:val="single"/>
          <w:lang w:val="sk-SK"/>
        </w:rPr>
      </w:pPr>
    </w:p>
    <w:p w14:paraId="20E59728" w14:textId="77777777" w:rsidR="00160CFC" w:rsidRPr="004B1A50" w:rsidRDefault="00160CFC" w:rsidP="00A9470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Súbežné použitie, ktoré sa neodporúča:</w:t>
      </w:r>
    </w:p>
    <w:p w14:paraId="22E48AB0" w14:textId="77777777" w:rsidR="00A94704" w:rsidRPr="004B1A50" w:rsidRDefault="00A94704" w:rsidP="00A94704">
      <w:pPr>
        <w:spacing w:line="240" w:lineRule="auto"/>
        <w:rPr>
          <w:rFonts w:eastAsia="TimesNewRoman"/>
          <w:i/>
          <w:color w:val="000000"/>
          <w:szCs w:val="22"/>
          <w:lang w:val="sk-SK"/>
        </w:rPr>
      </w:pPr>
    </w:p>
    <w:p w14:paraId="34A93B69" w14:textId="77777777" w:rsidR="00A94704" w:rsidRPr="004B1A50" w:rsidRDefault="00160CFC" w:rsidP="00A94704">
      <w:pPr>
        <w:spacing w:line="240" w:lineRule="auto"/>
        <w:rPr>
          <w:rFonts w:eastAsia="TimesNewRoman"/>
          <w:i/>
          <w:color w:val="000000"/>
          <w:szCs w:val="22"/>
          <w:lang w:val="sk-SK"/>
        </w:rPr>
      </w:pPr>
      <w:r w:rsidRPr="004B1A50">
        <w:rPr>
          <w:rFonts w:eastAsia="TimesNewRoman"/>
          <w:i/>
          <w:color w:val="000000"/>
          <w:szCs w:val="22"/>
          <w:lang w:val="sk-SK"/>
        </w:rPr>
        <w:t xml:space="preserve">Dantrolén (infúzia): </w:t>
      </w:r>
    </w:p>
    <w:p w14:paraId="5B58EAD5" w14:textId="77777777" w:rsidR="00A75FD7" w:rsidRPr="004B1A50" w:rsidRDefault="00160CFC" w:rsidP="00A94704">
      <w:pPr>
        <w:spacing w:line="240" w:lineRule="auto"/>
        <w:rPr>
          <w:lang w:val="sk-SK" w:eastAsia="sk-SK"/>
        </w:rPr>
      </w:pPr>
      <w:r w:rsidRPr="004B1A50">
        <w:rPr>
          <w:rFonts w:eastAsia="TimesNewRoman"/>
          <w:color w:val="000000"/>
          <w:szCs w:val="22"/>
          <w:lang w:val="sk-SK"/>
        </w:rPr>
        <w:t>U zvierat sa pozorovali letálna fibrilácia komôr a kardiovaskulárny kolaps</w:t>
      </w:r>
      <w:r w:rsidR="00EF084C" w:rsidRPr="004B1A50">
        <w:rPr>
          <w:rFonts w:eastAsia="TimesNewRoman"/>
          <w:color w:val="000000"/>
          <w:szCs w:val="22"/>
          <w:lang w:val="sk-SK"/>
        </w:rPr>
        <w:t xml:space="preserve"> </w:t>
      </w:r>
      <w:r w:rsidRPr="004B1A50">
        <w:rPr>
          <w:rFonts w:eastAsia="TimesNewRoman"/>
          <w:color w:val="000000"/>
          <w:szCs w:val="22"/>
          <w:lang w:val="sk-SK"/>
        </w:rPr>
        <w:t>v súvislosti s hyperkal</w:t>
      </w:r>
      <w:r w:rsidR="003366DD" w:rsidRPr="004B1A50">
        <w:rPr>
          <w:rFonts w:eastAsia="TimesNewRoman"/>
          <w:color w:val="000000"/>
          <w:szCs w:val="22"/>
          <w:lang w:val="sk-SK"/>
        </w:rPr>
        <w:t>i</w:t>
      </w:r>
      <w:r w:rsidRPr="004B1A50">
        <w:rPr>
          <w:rFonts w:eastAsia="TimesNewRoman"/>
          <w:color w:val="000000"/>
          <w:szCs w:val="22"/>
          <w:lang w:val="sk-SK"/>
        </w:rPr>
        <w:t>émiou po podaní verapamilu a intravenózneho dantrolénu. Vzhľadom na riziko</w:t>
      </w:r>
      <w:r w:rsidR="00EF084C" w:rsidRPr="004B1A50">
        <w:rPr>
          <w:rFonts w:eastAsia="TimesNewRoman"/>
          <w:color w:val="000000"/>
          <w:szCs w:val="22"/>
          <w:lang w:val="sk-SK"/>
        </w:rPr>
        <w:t xml:space="preserve"> </w:t>
      </w:r>
      <w:r w:rsidRPr="004B1A50">
        <w:rPr>
          <w:rFonts w:eastAsia="TimesNewRoman"/>
          <w:color w:val="000000"/>
          <w:szCs w:val="22"/>
          <w:lang w:val="sk-SK"/>
        </w:rPr>
        <w:lastRenderedPageBreak/>
        <w:t>hyperkal</w:t>
      </w:r>
      <w:r w:rsidR="003366DD" w:rsidRPr="004B1A50">
        <w:rPr>
          <w:rFonts w:eastAsia="TimesNewRoman"/>
          <w:color w:val="000000"/>
          <w:szCs w:val="22"/>
          <w:lang w:val="sk-SK"/>
        </w:rPr>
        <w:t>i</w:t>
      </w:r>
      <w:r w:rsidRPr="004B1A50">
        <w:rPr>
          <w:rFonts w:eastAsia="TimesNewRoman"/>
          <w:color w:val="000000"/>
          <w:szCs w:val="22"/>
          <w:lang w:val="sk-SK"/>
        </w:rPr>
        <w:t>émie sa odporúča</w:t>
      </w:r>
      <w:r w:rsidR="00A75FD7" w:rsidRPr="004B1A50">
        <w:rPr>
          <w:rFonts w:eastAsia="TimesNewRoman"/>
          <w:color w:val="000000"/>
          <w:szCs w:val="22"/>
          <w:lang w:val="sk-SK"/>
        </w:rPr>
        <w:t>,</w:t>
      </w:r>
      <w:r w:rsidRPr="004B1A50">
        <w:rPr>
          <w:rFonts w:eastAsia="TimesNewRoman"/>
          <w:color w:val="000000"/>
          <w:szCs w:val="22"/>
          <w:lang w:val="sk-SK"/>
        </w:rPr>
        <w:t xml:space="preserve"> </w:t>
      </w:r>
      <w:r w:rsidR="00A75FD7" w:rsidRPr="004B1A50">
        <w:rPr>
          <w:lang w:val="sk-SK" w:eastAsia="sk-SK"/>
        </w:rPr>
        <w:t>aby sa pacienti náchylní na malígnu hypertermiu a pri regulovaní malígnej hypertermie vyhýbali súčasnému podávaniu blokátorov kalciových kanálov, ako je amlodipín.</w:t>
      </w:r>
    </w:p>
    <w:p w14:paraId="7D35D65A"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156D26E5"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Súbežné použitie, ktoré vyžaduje osobitnú pozornosť:</w:t>
      </w:r>
    </w:p>
    <w:p w14:paraId="1779DDC2" w14:textId="77777777" w:rsidR="00F81239" w:rsidRPr="004B1A50" w:rsidRDefault="00F81239" w:rsidP="00853064">
      <w:pPr>
        <w:autoSpaceDE w:val="0"/>
        <w:autoSpaceDN w:val="0"/>
        <w:adjustRightInd w:val="0"/>
        <w:spacing w:line="240" w:lineRule="auto"/>
        <w:rPr>
          <w:rFonts w:eastAsia="TimesNewRoman"/>
          <w:i/>
          <w:color w:val="000000"/>
          <w:szCs w:val="22"/>
          <w:lang w:val="sk-SK"/>
        </w:rPr>
      </w:pPr>
    </w:p>
    <w:p w14:paraId="393D28A7" w14:textId="77777777" w:rsidR="00F81239" w:rsidRPr="004B1A50" w:rsidRDefault="00160CFC" w:rsidP="00853064">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 xml:space="preserve">Induktory CYP3A4: </w:t>
      </w:r>
    </w:p>
    <w:p w14:paraId="50B9A1CE" w14:textId="71457E7E" w:rsidR="00873829" w:rsidRPr="00FC0B45" w:rsidRDefault="00873829" w:rsidP="00873829">
      <w:pPr>
        <w:rPr>
          <w:rFonts w:eastAsia="TimesNewRoman,Bold"/>
          <w:bCs/>
          <w:lang w:val="sk-SK"/>
        </w:rPr>
      </w:pPr>
      <w:r w:rsidRPr="00FC0B45">
        <w:rPr>
          <w:rFonts w:eastAsia="TimesNewRoman,Bold"/>
          <w:bCs/>
          <w:lang w:val="sk-SK"/>
        </w:rPr>
        <w:t>Pri súbežnom podávaní známych induktorov CYP3A4 sa môže meniť plazmatická koncentrácia</w:t>
      </w:r>
      <w:r w:rsidR="005B3FA1">
        <w:rPr>
          <w:rFonts w:eastAsia="TimesNewRoman,Bold"/>
          <w:bCs/>
          <w:lang w:val="sk-SK"/>
        </w:rPr>
        <w:t xml:space="preserve"> </w:t>
      </w:r>
      <w:r w:rsidRPr="00FC0B45">
        <w:rPr>
          <w:rFonts w:eastAsia="TimesNewRoman,Bold"/>
          <w:bCs/>
          <w:lang w:val="sk-SK"/>
        </w:rPr>
        <w:t>amlodipínu. Preto sa má v prípade súbežného podávania najmä so silnými induktormi CYP3A4</w:t>
      </w:r>
      <w:r w:rsidR="005B3FA1">
        <w:rPr>
          <w:rFonts w:eastAsia="TimesNewRoman,Bold"/>
          <w:bCs/>
          <w:lang w:val="sk-SK"/>
        </w:rPr>
        <w:t xml:space="preserve"> </w:t>
      </w:r>
      <w:r w:rsidRPr="00FC0B45">
        <w:rPr>
          <w:rFonts w:eastAsia="TimesNewRoman,Bold"/>
          <w:bCs/>
          <w:lang w:val="sk-SK"/>
        </w:rPr>
        <w:t xml:space="preserve">(napr. rifampicínom, </w:t>
      </w:r>
      <w:r w:rsidR="005B3FA1">
        <w:rPr>
          <w:rFonts w:eastAsia="TimesNewRoman,Bold"/>
          <w:bCs/>
          <w:i/>
          <w:iCs/>
          <w:lang w:val="sk-SK"/>
        </w:rPr>
        <w:t>H</w:t>
      </w:r>
      <w:r w:rsidRPr="00FC0B45">
        <w:rPr>
          <w:rFonts w:eastAsia="TimesNewRoman,Bold"/>
          <w:bCs/>
          <w:i/>
          <w:iCs/>
          <w:lang w:val="sk-SK"/>
        </w:rPr>
        <w:t xml:space="preserve">ypericum perforatum </w:t>
      </w:r>
      <w:r w:rsidRPr="00FC0B45">
        <w:rPr>
          <w:rFonts w:eastAsia="TimesNewRoman,Bold"/>
          <w:bCs/>
          <w:lang w:val="sk-SK"/>
        </w:rPr>
        <w:t xml:space="preserve">– </w:t>
      </w:r>
      <w:r w:rsidR="005B3FA1">
        <w:rPr>
          <w:rFonts w:eastAsia="TimesNewRoman,Bold"/>
          <w:bCs/>
          <w:lang w:val="sk-SK"/>
        </w:rPr>
        <w:t>ľ</w:t>
      </w:r>
      <w:r w:rsidRPr="00FC0B45">
        <w:rPr>
          <w:rFonts w:eastAsia="TimesNewRoman,Bold"/>
          <w:bCs/>
          <w:lang w:val="sk-SK"/>
        </w:rPr>
        <w:t>ubovníkom bodkovaným) monitorovať krvný</w:t>
      </w:r>
      <w:r w:rsidR="005B3FA1">
        <w:rPr>
          <w:rFonts w:eastAsia="TimesNewRoman,Bold"/>
          <w:bCs/>
          <w:lang w:val="sk-SK"/>
        </w:rPr>
        <w:t xml:space="preserve"> </w:t>
      </w:r>
      <w:r w:rsidRPr="00FC0B45">
        <w:rPr>
          <w:rFonts w:eastAsia="TimesNewRoman,Bold"/>
          <w:bCs/>
          <w:lang w:val="sk-SK"/>
        </w:rPr>
        <w:t>tlak a zvážiť regulácia dávkovania počas takejto súbežnej liečby aj po nej.</w:t>
      </w:r>
    </w:p>
    <w:p w14:paraId="7C81330D" w14:textId="77777777" w:rsidR="00F81239" w:rsidRPr="004B1A50" w:rsidRDefault="00F81239" w:rsidP="00F81239">
      <w:pPr>
        <w:spacing w:line="240" w:lineRule="auto"/>
        <w:rPr>
          <w:rFonts w:eastAsia="TimesNewRoman"/>
          <w:i/>
          <w:color w:val="000000"/>
          <w:szCs w:val="22"/>
          <w:lang w:val="sk-SK"/>
        </w:rPr>
      </w:pPr>
    </w:p>
    <w:p w14:paraId="0390640D" w14:textId="77777777" w:rsidR="00F81239" w:rsidRPr="004B1A50" w:rsidRDefault="00160CFC" w:rsidP="00F81239">
      <w:pPr>
        <w:spacing w:line="240" w:lineRule="auto"/>
        <w:rPr>
          <w:rFonts w:eastAsia="TimesNewRoman"/>
          <w:i/>
          <w:color w:val="000000"/>
          <w:szCs w:val="22"/>
          <w:lang w:val="sk-SK"/>
        </w:rPr>
      </w:pPr>
      <w:r w:rsidRPr="004B1A50">
        <w:rPr>
          <w:rFonts w:eastAsia="TimesNewRoman"/>
          <w:i/>
          <w:color w:val="000000"/>
          <w:szCs w:val="22"/>
          <w:lang w:val="sk-SK"/>
        </w:rPr>
        <w:t xml:space="preserve">Inhibítory CYP3A4: </w:t>
      </w:r>
    </w:p>
    <w:p w14:paraId="555AF09B" w14:textId="77777777" w:rsidR="00AA7692" w:rsidRPr="004B1A50" w:rsidDel="003172A3" w:rsidRDefault="00AA7692" w:rsidP="00F81239">
      <w:pPr>
        <w:spacing w:line="240" w:lineRule="auto"/>
        <w:rPr>
          <w:lang w:val="sk-SK" w:eastAsia="sk-SK"/>
        </w:rPr>
      </w:pPr>
      <w:r w:rsidRPr="004B1A50">
        <w:rPr>
          <w:lang w:val="sk-SK" w:eastAsia="sk-SK"/>
        </w:rPr>
        <w:t>Súbežné užívanie amlodipínu so silnými alebo stredne silnými CYP3A4 inhibítormi (inhibítory proteáz, azolové antimykotiká, makrolidy ako erytromycín alebo klaritromycín</w:t>
      </w:r>
      <w:r w:rsidR="00F81239" w:rsidRPr="004B1A50">
        <w:rPr>
          <w:lang w:val="sk-SK" w:eastAsia="sk-SK"/>
        </w:rPr>
        <w:t>,</w:t>
      </w:r>
      <w:r w:rsidRPr="004B1A50">
        <w:rPr>
          <w:lang w:val="sk-SK" w:eastAsia="sk-SK"/>
        </w:rPr>
        <w:t xml:space="preserve"> verapamil alebo diltiazem) môže viesť k výraznému zvýšeniu expozície amlodipínu. Klinický význam týchto zmien vo farmakokinetike (PK) môže byť viac výrazný u starších pacientov. Preto sa môže vyžadovať klinické monitorovanie a úprava dávky.</w:t>
      </w:r>
    </w:p>
    <w:p w14:paraId="1CCD58C1"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CD2B3EA"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Súbežné použitie, ktoré vyžaduje určitú pozornosť:</w:t>
      </w:r>
    </w:p>
    <w:p w14:paraId="0A4CDCA5" w14:textId="77777777" w:rsidR="00F81239" w:rsidRPr="004B1A50" w:rsidRDefault="00F81239" w:rsidP="00853064">
      <w:pPr>
        <w:autoSpaceDE w:val="0"/>
        <w:autoSpaceDN w:val="0"/>
        <w:adjustRightInd w:val="0"/>
        <w:spacing w:line="240" w:lineRule="auto"/>
        <w:rPr>
          <w:lang w:val="sk-SK" w:eastAsia="sk-SK"/>
        </w:rPr>
      </w:pPr>
    </w:p>
    <w:p w14:paraId="41B9681A" w14:textId="77777777" w:rsidR="00160CFC" w:rsidRPr="004B1A50" w:rsidRDefault="00AA7692" w:rsidP="00853064">
      <w:pPr>
        <w:autoSpaceDE w:val="0"/>
        <w:autoSpaceDN w:val="0"/>
        <w:adjustRightInd w:val="0"/>
        <w:spacing w:line="240" w:lineRule="auto"/>
        <w:rPr>
          <w:rFonts w:eastAsia="TimesNewRoman"/>
          <w:color w:val="000000"/>
          <w:szCs w:val="22"/>
          <w:lang w:val="sk-SK"/>
        </w:rPr>
      </w:pPr>
      <w:r w:rsidRPr="004B1A50">
        <w:rPr>
          <w:lang w:val="sk-SK" w:eastAsia="sk-SK"/>
        </w:rPr>
        <w:t>Účinok amlodipínu znižovať krvný tlak z</w:t>
      </w:r>
      <w:r w:rsidR="00C14B30" w:rsidRPr="004B1A50">
        <w:rPr>
          <w:lang w:val="sk-SK" w:eastAsia="sk-SK"/>
        </w:rPr>
        <w:t>osilň</w:t>
      </w:r>
      <w:r w:rsidRPr="004B1A50">
        <w:rPr>
          <w:lang w:val="sk-SK" w:eastAsia="sk-SK"/>
        </w:rPr>
        <w:t>uje účinky znižovať krvný tlak ostatných liekov s antihypertenznými vlastnosťami.</w:t>
      </w:r>
    </w:p>
    <w:p w14:paraId="00DB9633"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031DD376"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lang w:val="sk-SK"/>
        </w:rPr>
        <w:t>Iné kombinácie:</w:t>
      </w:r>
    </w:p>
    <w:p w14:paraId="2A45FA6F" w14:textId="77777777" w:rsidR="00F81239" w:rsidRPr="004B1A50" w:rsidRDefault="00F81239" w:rsidP="00853064">
      <w:pPr>
        <w:autoSpaceDE w:val="0"/>
        <w:autoSpaceDN w:val="0"/>
        <w:adjustRightInd w:val="0"/>
        <w:spacing w:line="240" w:lineRule="auto"/>
        <w:rPr>
          <w:rFonts w:eastAsia="TimesNewRoman"/>
          <w:color w:val="000000"/>
          <w:szCs w:val="22"/>
          <w:lang w:val="sk-SK"/>
        </w:rPr>
      </w:pPr>
    </w:p>
    <w:p w14:paraId="59A54BE0"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V klinických interakčných </w:t>
      </w:r>
      <w:r w:rsidR="003037A1" w:rsidRPr="004B1A50">
        <w:rPr>
          <w:rFonts w:eastAsia="TimesNewRoman"/>
          <w:color w:val="000000"/>
          <w:szCs w:val="22"/>
          <w:lang w:val="sk-SK"/>
        </w:rPr>
        <w:t>skúšaniach</w:t>
      </w:r>
      <w:r w:rsidRPr="004B1A50">
        <w:rPr>
          <w:rFonts w:eastAsia="TimesNewRoman"/>
          <w:color w:val="000000"/>
          <w:szCs w:val="22"/>
          <w:lang w:val="sk-SK"/>
        </w:rPr>
        <w:t xml:space="preserve"> nemal amlodipín vplyv na farmakokinetiku atorvastatínu, digoxínu, warfarínu alebo cyklosporínu.</w:t>
      </w:r>
    </w:p>
    <w:p w14:paraId="355CAFDF" w14:textId="77777777" w:rsidR="00F81239" w:rsidRPr="004B1A50" w:rsidRDefault="00F81239" w:rsidP="00853064">
      <w:pPr>
        <w:autoSpaceDE w:val="0"/>
        <w:autoSpaceDN w:val="0"/>
        <w:adjustRightInd w:val="0"/>
        <w:spacing w:line="240" w:lineRule="auto"/>
        <w:rPr>
          <w:rFonts w:eastAsia="TimesNewRoman"/>
          <w:color w:val="000000"/>
          <w:szCs w:val="22"/>
          <w:lang w:val="sk-SK"/>
        </w:rPr>
      </w:pPr>
    </w:p>
    <w:p w14:paraId="3FD3D7ED" w14:textId="77777777" w:rsidR="00AA7692" w:rsidRPr="004B1A50" w:rsidRDefault="00160CFC" w:rsidP="00853064">
      <w:pPr>
        <w:autoSpaceDE w:val="0"/>
        <w:autoSpaceDN w:val="0"/>
        <w:adjustRightInd w:val="0"/>
        <w:spacing w:line="240" w:lineRule="auto"/>
        <w:rPr>
          <w:lang w:val="sk-SK" w:eastAsia="sk-SK"/>
        </w:rPr>
      </w:pPr>
      <w:r w:rsidRPr="004B1A50">
        <w:rPr>
          <w:rFonts w:eastAsia="TimesNewRoman"/>
          <w:color w:val="000000"/>
          <w:szCs w:val="22"/>
          <w:lang w:val="sk-SK"/>
        </w:rPr>
        <w:t>Podávanie amlodipínu s grapefruitom alebo grapefruitovou šťavou sa neodporúča, pretože u niektorých pacientov môže dôjsť k zvýšeniu biologickej dostupnosti</w:t>
      </w:r>
      <w:r w:rsidR="00EF084C" w:rsidRPr="004B1A50">
        <w:rPr>
          <w:rFonts w:eastAsia="TimesNewRoman"/>
          <w:color w:val="000000"/>
          <w:szCs w:val="22"/>
          <w:lang w:val="sk-SK"/>
        </w:rPr>
        <w:t xml:space="preserve"> </w:t>
      </w:r>
      <w:r w:rsidR="00AA7692" w:rsidRPr="004B1A50">
        <w:rPr>
          <w:lang w:val="sk-SK" w:eastAsia="sk-SK"/>
        </w:rPr>
        <w:t>amlodipínu s následným zosilnením jeho účinkov na zníženie tlaku krvi.</w:t>
      </w:r>
    </w:p>
    <w:p w14:paraId="3D0F77BD"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p>
    <w:p w14:paraId="157162EE" w14:textId="6DE314AC"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Súvisiace s kombináciou amlodipín</w:t>
      </w:r>
      <w:r w:rsidR="00F81239" w:rsidRPr="004B1A50">
        <w:rPr>
          <w:rFonts w:eastAsia="TimesNewRoman,Italic"/>
          <w:iCs/>
          <w:color w:val="000000"/>
          <w:szCs w:val="22"/>
          <w:u w:val="single"/>
          <w:lang w:val="sk-SK"/>
        </w:rPr>
        <w:t>/perindopril:</w:t>
      </w:r>
    </w:p>
    <w:p w14:paraId="39ED1310"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5701150B" w14:textId="77777777" w:rsidR="00160CFC" w:rsidRPr="004B1A50" w:rsidRDefault="00160CFC" w:rsidP="00853064">
      <w:pPr>
        <w:autoSpaceDE w:val="0"/>
        <w:autoSpaceDN w:val="0"/>
        <w:adjustRightInd w:val="0"/>
        <w:spacing w:line="240" w:lineRule="auto"/>
        <w:rPr>
          <w:rFonts w:eastAsia="TimesNewRoman,Italic"/>
          <w:i/>
          <w:iCs/>
          <w:color w:val="000000"/>
          <w:szCs w:val="22"/>
          <w:u w:val="single"/>
          <w:lang w:val="sk-SK"/>
        </w:rPr>
      </w:pPr>
      <w:r w:rsidRPr="004B1A50">
        <w:rPr>
          <w:rFonts w:eastAsia="TimesNewRoman,Italic"/>
          <w:i/>
          <w:iCs/>
          <w:color w:val="000000"/>
          <w:szCs w:val="22"/>
          <w:u w:val="single"/>
          <w:lang w:val="sk-SK"/>
        </w:rPr>
        <w:t>Súbežné použitie, ktoré vyžaduje osobitnú pozornosť:</w:t>
      </w:r>
    </w:p>
    <w:p w14:paraId="5F9124BB" w14:textId="77777777" w:rsidR="00F81239" w:rsidRPr="004B1A50" w:rsidRDefault="00F81239" w:rsidP="00853064">
      <w:pPr>
        <w:autoSpaceDE w:val="0"/>
        <w:autoSpaceDN w:val="0"/>
        <w:adjustRightInd w:val="0"/>
        <w:spacing w:line="240" w:lineRule="auto"/>
        <w:rPr>
          <w:rFonts w:eastAsia="TimesNewRoman,Italic"/>
          <w:iCs/>
          <w:color w:val="000000"/>
          <w:szCs w:val="22"/>
          <w:lang w:val="sk-SK"/>
        </w:rPr>
      </w:pPr>
    </w:p>
    <w:p w14:paraId="5E3AFCB0" w14:textId="77777777" w:rsidR="00F81239" w:rsidRPr="004B1A50" w:rsidRDefault="00F81239" w:rsidP="00853064">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Baklofén:</w:t>
      </w:r>
    </w:p>
    <w:p w14:paraId="17FCD537" w14:textId="3B9CFE06"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Zosilnenie antihypertenzného účinku. </w:t>
      </w:r>
      <w:r w:rsidR="00AA7692" w:rsidRPr="004B1A50">
        <w:rPr>
          <w:rFonts w:eastAsia="TimesNewRoman"/>
          <w:color w:val="000000"/>
          <w:szCs w:val="22"/>
          <w:lang w:val="sk-SK"/>
        </w:rPr>
        <w:t>Vyžaduje sa m</w:t>
      </w:r>
      <w:r w:rsidRPr="004B1A50">
        <w:rPr>
          <w:rFonts w:eastAsia="TimesNewRoman"/>
          <w:color w:val="000000"/>
          <w:szCs w:val="22"/>
          <w:lang w:val="sk-SK"/>
        </w:rPr>
        <w:t>onitorovanie krvného tlaku a renálnych funkcií a</w:t>
      </w:r>
      <w:r w:rsidR="005F5345">
        <w:rPr>
          <w:rFonts w:eastAsia="TimesNewRoman"/>
          <w:color w:val="000000"/>
          <w:szCs w:val="22"/>
          <w:lang w:val="sk-SK"/>
        </w:rPr>
        <w:t> </w:t>
      </w:r>
      <w:r w:rsidRPr="004B1A50">
        <w:rPr>
          <w:rFonts w:eastAsia="TimesNewRoman"/>
          <w:color w:val="000000"/>
          <w:szCs w:val="22"/>
          <w:lang w:val="sk-SK"/>
        </w:rPr>
        <w:t>v prípade potreby prispôsobenie dávky antihypertenzíva.</w:t>
      </w:r>
    </w:p>
    <w:p w14:paraId="598C5A53"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7871F698" w14:textId="77777777" w:rsidR="00160CFC" w:rsidRPr="004B1A50" w:rsidRDefault="00160CFC" w:rsidP="00853064">
      <w:pPr>
        <w:tabs>
          <w:tab w:val="clear" w:pos="567"/>
        </w:tabs>
        <w:autoSpaceDE w:val="0"/>
        <w:autoSpaceDN w:val="0"/>
        <w:adjustRightInd w:val="0"/>
        <w:spacing w:line="240" w:lineRule="auto"/>
        <w:rPr>
          <w:rFonts w:eastAsia="TimesNewRoman,Italic"/>
          <w:i/>
          <w:iCs/>
          <w:color w:val="000000"/>
          <w:szCs w:val="22"/>
          <w:lang w:val="sk-SK"/>
        </w:rPr>
      </w:pPr>
      <w:r w:rsidRPr="004B1A50">
        <w:rPr>
          <w:rFonts w:eastAsia="TimesNewRoman,Italic"/>
          <w:i/>
          <w:iCs/>
          <w:color w:val="000000"/>
          <w:szCs w:val="22"/>
          <w:u w:val="single"/>
          <w:lang w:val="sk-SK"/>
        </w:rPr>
        <w:t>Súbežné použitie, ktoré vyžaduje určitú pozornosť</w:t>
      </w:r>
      <w:r w:rsidRPr="004B1A50">
        <w:rPr>
          <w:rFonts w:eastAsia="TimesNewRoman,Italic"/>
          <w:i/>
          <w:iCs/>
          <w:color w:val="000000"/>
          <w:szCs w:val="22"/>
          <w:lang w:val="sk-SK"/>
        </w:rPr>
        <w:t>:</w:t>
      </w:r>
    </w:p>
    <w:p w14:paraId="470E1A42" w14:textId="77777777" w:rsidR="00AC77BA" w:rsidRPr="004B1A50" w:rsidRDefault="00AC77BA" w:rsidP="00853064">
      <w:pPr>
        <w:tabs>
          <w:tab w:val="clear" w:pos="567"/>
        </w:tabs>
        <w:autoSpaceDE w:val="0"/>
        <w:autoSpaceDN w:val="0"/>
        <w:adjustRightInd w:val="0"/>
        <w:spacing w:line="240" w:lineRule="auto"/>
        <w:rPr>
          <w:rFonts w:eastAsia="TimesNewRoman,Italic"/>
          <w:iCs/>
          <w:color w:val="000000"/>
          <w:szCs w:val="22"/>
          <w:lang w:val="sk-SK"/>
        </w:rPr>
      </w:pPr>
    </w:p>
    <w:p w14:paraId="03122554" w14:textId="77777777" w:rsidR="00160CFC" w:rsidRPr="004B1A50" w:rsidRDefault="00160CFC" w:rsidP="00AC77BA">
      <w:pPr>
        <w:tabs>
          <w:tab w:val="clear" w:pos="567"/>
        </w:tabs>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Antihypertenzíva (napríklad betablokátory) a</w:t>
      </w:r>
      <w:r w:rsidR="00AA7692" w:rsidRPr="004B1A50">
        <w:rPr>
          <w:rFonts w:eastAsia="TimesNewRoman"/>
          <w:i/>
          <w:color w:val="000000"/>
          <w:szCs w:val="22"/>
          <w:lang w:val="sk-SK"/>
        </w:rPr>
        <w:t> </w:t>
      </w:r>
      <w:r w:rsidRPr="004B1A50">
        <w:rPr>
          <w:rFonts w:eastAsia="TimesNewRoman"/>
          <w:i/>
          <w:color w:val="000000"/>
          <w:szCs w:val="22"/>
          <w:lang w:val="sk-SK"/>
        </w:rPr>
        <w:t>vazodilat</w:t>
      </w:r>
      <w:r w:rsidR="00AA7692" w:rsidRPr="004B1A50">
        <w:rPr>
          <w:rFonts w:eastAsia="TimesNewRoman"/>
          <w:i/>
          <w:color w:val="000000"/>
          <w:szCs w:val="22"/>
          <w:lang w:val="sk-SK"/>
        </w:rPr>
        <w:t>anciá:</w:t>
      </w:r>
    </w:p>
    <w:p w14:paraId="1FD67C49" w14:textId="4F414B6E" w:rsidR="00160CFC" w:rsidRPr="004B1A50" w:rsidRDefault="00160CFC" w:rsidP="00AC77BA">
      <w:pPr>
        <w:tabs>
          <w:tab w:val="clear" w:pos="567"/>
        </w:tabs>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Súbežné po</w:t>
      </w:r>
      <w:r w:rsidR="005F5345">
        <w:rPr>
          <w:rFonts w:eastAsia="TimesNewRoman"/>
          <w:color w:val="000000"/>
          <w:szCs w:val="22"/>
          <w:lang w:val="sk-SK"/>
        </w:rPr>
        <w:t>užíva</w:t>
      </w:r>
      <w:r w:rsidRPr="004B1A50">
        <w:rPr>
          <w:rFonts w:eastAsia="TimesNewRoman"/>
          <w:color w:val="000000"/>
          <w:szCs w:val="22"/>
          <w:lang w:val="sk-SK"/>
        </w:rPr>
        <w:t xml:space="preserve">nie týchto </w:t>
      </w:r>
      <w:r w:rsidR="00AA7692" w:rsidRPr="004B1A50">
        <w:rPr>
          <w:rFonts w:eastAsia="TimesNewRoman"/>
          <w:color w:val="000000"/>
          <w:szCs w:val="22"/>
          <w:lang w:val="sk-SK"/>
        </w:rPr>
        <w:t xml:space="preserve">liečiv </w:t>
      </w:r>
      <w:r w:rsidRPr="004B1A50">
        <w:rPr>
          <w:rFonts w:eastAsia="TimesNewRoman"/>
          <w:color w:val="000000"/>
          <w:szCs w:val="22"/>
          <w:lang w:val="sk-SK"/>
        </w:rPr>
        <w:t>môže viesť k zvýšeniu hypotenzných účinkov perindoprilu a</w:t>
      </w:r>
      <w:r w:rsidR="005F5345">
        <w:rPr>
          <w:rFonts w:eastAsia="TimesNewRoman"/>
          <w:color w:val="000000"/>
          <w:szCs w:val="22"/>
          <w:lang w:val="sk-SK"/>
        </w:rPr>
        <w:t> </w:t>
      </w:r>
      <w:r w:rsidRPr="004B1A50">
        <w:rPr>
          <w:rFonts w:eastAsia="TimesNewRoman"/>
          <w:color w:val="000000"/>
          <w:szCs w:val="22"/>
          <w:lang w:val="sk-SK"/>
        </w:rPr>
        <w:t>amlodipínu.</w:t>
      </w:r>
      <w:r w:rsidR="005F5345" w:rsidRPr="004B1A50" w:rsidDel="005F5345">
        <w:rPr>
          <w:rFonts w:eastAsia="TimesNewRoman"/>
          <w:color w:val="000000"/>
          <w:szCs w:val="22"/>
          <w:lang w:val="sk-SK"/>
        </w:rPr>
        <w:t xml:space="preserve"> </w:t>
      </w:r>
      <w:r w:rsidRPr="004B1A50">
        <w:rPr>
          <w:rFonts w:eastAsia="TimesNewRoman"/>
          <w:color w:val="000000"/>
          <w:szCs w:val="22"/>
          <w:lang w:val="sk-SK"/>
        </w:rPr>
        <w:t xml:space="preserve">Súbežné </w:t>
      </w:r>
      <w:r w:rsidR="005F5345" w:rsidRPr="004B1A50">
        <w:rPr>
          <w:rFonts w:eastAsia="TimesNewRoman"/>
          <w:color w:val="000000"/>
          <w:szCs w:val="22"/>
          <w:lang w:val="sk-SK"/>
        </w:rPr>
        <w:t>po</w:t>
      </w:r>
      <w:r w:rsidR="005F5345">
        <w:rPr>
          <w:rFonts w:eastAsia="TimesNewRoman"/>
          <w:color w:val="000000"/>
          <w:szCs w:val="22"/>
          <w:lang w:val="sk-SK"/>
        </w:rPr>
        <w:t>užívanie</w:t>
      </w:r>
      <w:r w:rsidR="005F5345" w:rsidRPr="004B1A50">
        <w:rPr>
          <w:rFonts w:eastAsia="TimesNewRoman"/>
          <w:color w:val="000000"/>
          <w:szCs w:val="22"/>
          <w:lang w:val="sk-SK"/>
        </w:rPr>
        <w:t xml:space="preserve"> </w:t>
      </w:r>
      <w:r w:rsidRPr="004B1A50">
        <w:rPr>
          <w:rFonts w:eastAsia="TimesNewRoman"/>
          <w:color w:val="000000"/>
          <w:szCs w:val="22"/>
          <w:lang w:val="sk-SK"/>
        </w:rPr>
        <w:t xml:space="preserve">s nitroglycerínom a inými </w:t>
      </w:r>
      <w:r w:rsidR="00AA7692" w:rsidRPr="004B1A50">
        <w:rPr>
          <w:rFonts w:eastAsia="TimesNewRoman"/>
          <w:color w:val="000000"/>
          <w:szCs w:val="22"/>
          <w:lang w:val="sk-SK"/>
        </w:rPr>
        <w:t xml:space="preserve">nitrátmi </w:t>
      </w:r>
      <w:r w:rsidRPr="004B1A50">
        <w:rPr>
          <w:rFonts w:eastAsia="TimesNewRoman"/>
          <w:color w:val="000000"/>
          <w:szCs w:val="22"/>
          <w:lang w:val="sk-SK"/>
        </w:rPr>
        <w:t xml:space="preserve">alebo </w:t>
      </w:r>
      <w:r w:rsidR="00AA7692" w:rsidRPr="004B1A50">
        <w:rPr>
          <w:rFonts w:eastAsia="TimesNewRoman"/>
          <w:color w:val="000000"/>
          <w:szCs w:val="22"/>
          <w:lang w:val="sk-SK"/>
        </w:rPr>
        <w:t xml:space="preserve">vazodilatanciami </w:t>
      </w:r>
      <w:r w:rsidRPr="004B1A50">
        <w:rPr>
          <w:rFonts w:eastAsia="TimesNewRoman"/>
          <w:color w:val="000000"/>
          <w:szCs w:val="22"/>
          <w:lang w:val="sk-SK"/>
        </w:rPr>
        <w:t>môže viesť k ďalšiemu zníženiu</w:t>
      </w:r>
      <w:r w:rsidR="00857EB5" w:rsidRPr="004B1A50">
        <w:rPr>
          <w:rFonts w:eastAsia="TimesNewRoman"/>
          <w:color w:val="000000"/>
          <w:szCs w:val="22"/>
          <w:lang w:val="sk-SK"/>
        </w:rPr>
        <w:t xml:space="preserve"> k</w:t>
      </w:r>
      <w:r w:rsidRPr="004B1A50">
        <w:rPr>
          <w:rFonts w:eastAsia="TimesNewRoman"/>
          <w:color w:val="000000"/>
          <w:szCs w:val="22"/>
          <w:lang w:val="sk-SK"/>
        </w:rPr>
        <w:t>rvného tlaku, a preto sa má dôsledne zvážiť.</w:t>
      </w:r>
    </w:p>
    <w:p w14:paraId="026AAD4D" w14:textId="77777777" w:rsidR="00AC77BA"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p>
    <w:p w14:paraId="51871FF7" w14:textId="16F79D7F" w:rsidR="00AC77BA" w:rsidRPr="004B1A50" w:rsidRDefault="00160CFC" w:rsidP="00AC77BA">
      <w:pPr>
        <w:tabs>
          <w:tab w:val="clear" w:pos="567"/>
        </w:tabs>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Kortikosteroidy, tetrako</w:t>
      </w:r>
      <w:r w:rsidR="005F5345">
        <w:rPr>
          <w:rFonts w:eastAsia="TimesNewRoman"/>
          <w:i/>
          <w:color w:val="000000"/>
          <w:szCs w:val="22"/>
          <w:lang w:val="sk-SK"/>
        </w:rPr>
        <w:t>z</w:t>
      </w:r>
      <w:r w:rsidRPr="004B1A50">
        <w:rPr>
          <w:rFonts w:eastAsia="TimesNewRoman"/>
          <w:i/>
          <w:color w:val="000000"/>
          <w:szCs w:val="22"/>
          <w:lang w:val="sk-SK"/>
        </w:rPr>
        <w:t xml:space="preserve">aktid: </w:t>
      </w:r>
    </w:p>
    <w:p w14:paraId="47E21B07" w14:textId="77777777" w:rsidR="00160CFC"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Z</w:t>
      </w:r>
      <w:r w:rsidR="00160CFC" w:rsidRPr="004B1A50">
        <w:rPr>
          <w:rFonts w:eastAsia="TimesNewRoman"/>
          <w:color w:val="000000"/>
          <w:szCs w:val="22"/>
          <w:lang w:val="sk-SK"/>
        </w:rPr>
        <w:t>níženie antihypertenzného účinku (zadržiavanie soli alebo vody spôsobené</w:t>
      </w:r>
      <w:r w:rsidR="00857EB5" w:rsidRPr="004B1A50">
        <w:rPr>
          <w:rFonts w:eastAsia="TimesNewRoman"/>
          <w:color w:val="000000"/>
          <w:szCs w:val="22"/>
          <w:lang w:val="sk-SK"/>
        </w:rPr>
        <w:t xml:space="preserve"> </w:t>
      </w:r>
      <w:r w:rsidR="00160CFC" w:rsidRPr="004B1A50">
        <w:rPr>
          <w:rFonts w:eastAsia="TimesNewRoman"/>
          <w:color w:val="000000"/>
          <w:szCs w:val="22"/>
          <w:lang w:val="sk-SK"/>
        </w:rPr>
        <w:t>kortikosteroidmi).</w:t>
      </w:r>
    </w:p>
    <w:p w14:paraId="4833B349" w14:textId="77777777" w:rsidR="00AC77BA"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p>
    <w:p w14:paraId="0271C5E6" w14:textId="77777777" w:rsidR="00AC77BA" w:rsidRPr="004B1A50" w:rsidRDefault="00160CFC" w:rsidP="00AC77BA">
      <w:pPr>
        <w:tabs>
          <w:tab w:val="clear" w:pos="567"/>
        </w:tabs>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Alfablokátory (prazosín, alfuzosín, doxazosín, tam</w:t>
      </w:r>
      <w:r w:rsidR="00C14B30" w:rsidRPr="004B1A50">
        <w:rPr>
          <w:rFonts w:eastAsia="TimesNewRoman"/>
          <w:i/>
          <w:color w:val="000000"/>
          <w:szCs w:val="22"/>
          <w:lang w:val="sk-SK"/>
        </w:rPr>
        <w:t>s</w:t>
      </w:r>
      <w:r w:rsidRPr="004B1A50">
        <w:rPr>
          <w:rFonts w:eastAsia="TimesNewRoman"/>
          <w:i/>
          <w:color w:val="000000"/>
          <w:szCs w:val="22"/>
          <w:lang w:val="sk-SK"/>
        </w:rPr>
        <w:t xml:space="preserve">ulosín, terazosín): </w:t>
      </w:r>
    </w:p>
    <w:p w14:paraId="61C1BBE1" w14:textId="77777777" w:rsidR="00160CFC"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Z</w:t>
      </w:r>
      <w:r w:rsidR="00160CFC" w:rsidRPr="004B1A50">
        <w:rPr>
          <w:rFonts w:eastAsia="TimesNewRoman"/>
          <w:color w:val="000000"/>
          <w:szCs w:val="22"/>
          <w:lang w:val="sk-SK"/>
        </w:rPr>
        <w:t>výšenie antihypertenzného</w:t>
      </w:r>
      <w:r w:rsidR="00857EB5" w:rsidRPr="004B1A50">
        <w:rPr>
          <w:rFonts w:eastAsia="TimesNewRoman"/>
          <w:color w:val="000000"/>
          <w:szCs w:val="22"/>
          <w:lang w:val="sk-SK"/>
        </w:rPr>
        <w:t xml:space="preserve"> </w:t>
      </w:r>
      <w:r w:rsidR="00160CFC" w:rsidRPr="004B1A50">
        <w:rPr>
          <w:rFonts w:eastAsia="TimesNewRoman"/>
          <w:color w:val="000000"/>
          <w:szCs w:val="22"/>
          <w:lang w:val="sk-SK"/>
        </w:rPr>
        <w:t>účinku a zvýšené riziko ortostatickej hypotenzie.</w:t>
      </w:r>
    </w:p>
    <w:p w14:paraId="605190D6" w14:textId="77777777" w:rsidR="00AC77BA"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p>
    <w:p w14:paraId="342E5A61" w14:textId="77777777" w:rsidR="00AC77BA" w:rsidRPr="004B1A50" w:rsidRDefault="00160CFC" w:rsidP="00AC77BA">
      <w:pPr>
        <w:tabs>
          <w:tab w:val="clear" w:pos="567"/>
        </w:tabs>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 xml:space="preserve">Amifostín: </w:t>
      </w:r>
    </w:p>
    <w:p w14:paraId="714DFFA5" w14:textId="77777777" w:rsidR="00160CFC"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lastRenderedPageBreak/>
        <w:t>M</w:t>
      </w:r>
      <w:r w:rsidR="00160CFC" w:rsidRPr="004B1A50">
        <w:rPr>
          <w:rFonts w:eastAsia="TimesNewRoman"/>
          <w:color w:val="000000"/>
          <w:szCs w:val="22"/>
          <w:lang w:val="sk-SK"/>
        </w:rPr>
        <w:t>ôže zosil</w:t>
      </w:r>
      <w:r w:rsidR="001E0A8D" w:rsidRPr="004B1A50">
        <w:rPr>
          <w:rFonts w:eastAsia="TimesNewRoman"/>
          <w:color w:val="000000"/>
          <w:szCs w:val="22"/>
          <w:lang w:val="sk-SK"/>
        </w:rPr>
        <w:t>niť</w:t>
      </w:r>
      <w:r w:rsidR="00160CFC" w:rsidRPr="004B1A50">
        <w:rPr>
          <w:rFonts w:eastAsia="TimesNewRoman"/>
          <w:color w:val="000000"/>
          <w:szCs w:val="22"/>
          <w:lang w:val="sk-SK"/>
        </w:rPr>
        <w:t xml:space="preserve"> antihypertenzný účinok amlodipínu.</w:t>
      </w:r>
    </w:p>
    <w:p w14:paraId="08C03930" w14:textId="77777777" w:rsidR="005F5345" w:rsidRDefault="005F5345" w:rsidP="00AC77BA">
      <w:pPr>
        <w:tabs>
          <w:tab w:val="clear" w:pos="567"/>
        </w:tabs>
        <w:autoSpaceDE w:val="0"/>
        <w:autoSpaceDN w:val="0"/>
        <w:adjustRightInd w:val="0"/>
        <w:spacing w:line="240" w:lineRule="auto"/>
        <w:rPr>
          <w:rFonts w:eastAsia="TimesNewRoman"/>
          <w:i/>
          <w:color w:val="000000"/>
          <w:szCs w:val="22"/>
          <w:lang w:val="sk-SK"/>
        </w:rPr>
      </w:pPr>
    </w:p>
    <w:p w14:paraId="585556EC" w14:textId="23442806" w:rsidR="00AC77BA" w:rsidRPr="004B1A50" w:rsidRDefault="00160CFC" w:rsidP="00AC77BA">
      <w:pPr>
        <w:tabs>
          <w:tab w:val="clear" w:pos="567"/>
        </w:tabs>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 xml:space="preserve">Tricyklické antidepresíva/antipsychotiká/anestetiká: </w:t>
      </w:r>
    </w:p>
    <w:p w14:paraId="5CF490D9" w14:textId="77777777" w:rsidR="00160CFC" w:rsidRPr="004B1A50" w:rsidRDefault="00AC77BA" w:rsidP="00AC77BA">
      <w:pPr>
        <w:tabs>
          <w:tab w:val="clear" w:pos="567"/>
        </w:tabs>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Z</w:t>
      </w:r>
      <w:r w:rsidR="00160CFC" w:rsidRPr="004B1A50">
        <w:rPr>
          <w:rFonts w:eastAsia="TimesNewRoman"/>
          <w:color w:val="000000"/>
          <w:szCs w:val="22"/>
          <w:lang w:val="sk-SK"/>
        </w:rPr>
        <w:t>výšený antihypertenzný účinok a</w:t>
      </w:r>
      <w:r w:rsidR="00857EB5" w:rsidRPr="004B1A50">
        <w:rPr>
          <w:rFonts w:eastAsia="TimesNewRoman"/>
          <w:color w:val="000000"/>
          <w:szCs w:val="22"/>
          <w:lang w:val="sk-SK"/>
        </w:rPr>
        <w:t> </w:t>
      </w:r>
      <w:r w:rsidR="00160CFC" w:rsidRPr="004B1A50">
        <w:rPr>
          <w:rFonts w:eastAsia="TimesNewRoman"/>
          <w:color w:val="000000"/>
          <w:szCs w:val="22"/>
          <w:lang w:val="sk-SK"/>
        </w:rPr>
        <w:t>zvýšené</w:t>
      </w:r>
      <w:r w:rsidR="00857EB5" w:rsidRPr="004B1A50">
        <w:rPr>
          <w:rFonts w:eastAsia="TimesNewRoman"/>
          <w:color w:val="000000"/>
          <w:szCs w:val="22"/>
          <w:lang w:val="sk-SK"/>
        </w:rPr>
        <w:t xml:space="preserve"> </w:t>
      </w:r>
      <w:r w:rsidR="00160CFC" w:rsidRPr="004B1A50">
        <w:rPr>
          <w:rFonts w:eastAsia="TimesNewRoman"/>
          <w:color w:val="000000"/>
          <w:szCs w:val="22"/>
          <w:lang w:val="sk-SK"/>
        </w:rPr>
        <w:t>riziko ortostatickej hypotenzie.</w:t>
      </w:r>
    </w:p>
    <w:p w14:paraId="2D65AB00" w14:textId="77777777" w:rsidR="00160CFC" w:rsidRPr="004B1A50" w:rsidRDefault="00160CFC" w:rsidP="00853064">
      <w:pPr>
        <w:autoSpaceDE w:val="0"/>
        <w:autoSpaceDN w:val="0"/>
        <w:adjustRightInd w:val="0"/>
        <w:spacing w:line="240" w:lineRule="auto"/>
        <w:ind w:left="720"/>
        <w:rPr>
          <w:rFonts w:eastAsia="TimesNewRoman"/>
          <w:color w:val="000000"/>
          <w:szCs w:val="22"/>
          <w:lang w:val="sk-SK"/>
        </w:rPr>
      </w:pPr>
    </w:p>
    <w:p w14:paraId="305DF47F" w14:textId="77777777" w:rsidR="00160CFC" w:rsidRPr="004B1A50" w:rsidRDefault="00160CFC" w:rsidP="00853064">
      <w:pPr>
        <w:numPr>
          <w:ilvl w:val="0"/>
          <w:numId w:val="7"/>
        </w:numPr>
        <w:tabs>
          <w:tab w:val="clear" w:pos="567"/>
        </w:tabs>
        <w:ind w:left="567" w:hanging="567"/>
        <w:rPr>
          <w:lang w:val="sk-SK"/>
        </w:rPr>
      </w:pPr>
      <w:r w:rsidRPr="004B1A50">
        <w:rPr>
          <w:b/>
          <w:bCs/>
          <w:lang w:val="sk-SK"/>
        </w:rPr>
        <w:t>Fertilita, gravidita a laktácia</w:t>
      </w:r>
    </w:p>
    <w:p w14:paraId="1F796948" w14:textId="77777777" w:rsidR="00160CFC" w:rsidRPr="004B1A50" w:rsidRDefault="00160CFC" w:rsidP="00853064">
      <w:pPr>
        <w:tabs>
          <w:tab w:val="clear" w:pos="567"/>
        </w:tabs>
        <w:autoSpaceDE w:val="0"/>
        <w:autoSpaceDN w:val="0"/>
        <w:adjustRightInd w:val="0"/>
        <w:spacing w:line="240" w:lineRule="auto"/>
        <w:ind w:left="567" w:hanging="567"/>
        <w:rPr>
          <w:rFonts w:eastAsia="TimesNewRoman"/>
          <w:szCs w:val="22"/>
          <w:lang w:val="sk-SK"/>
        </w:rPr>
      </w:pPr>
    </w:p>
    <w:p w14:paraId="0FC8AB07" w14:textId="77777777" w:rsidR="00160CFC" w:rsidRPr="004B1A50" w:rsidRDefault="00160CFC" w:rsidP="00853064">
      <w:pPr>
        <w:tabs>
          <w:tab w:val="clear" w:pos="567"/>
        </w:tabs>
        <w:autoSpaceDE w:val="0"/>
        <w:autoSpaceDN w:val="0"/>
        <w:adjustRightInd w:val="0"/>
        <w:spacing w:line="240" w:lineRule="auto"/>
        <w:rPr>
          <w:rFonts w:eastAsia="TimesNewRoman"/>
          <w:szCs w:val="22"/>
          <w:lang w:val="sk-SK"/>
        </w:rPr>
      </w:pPr>
      <w:r w:rsidRPr="004B1A50">
        <w:rPr>
          <w:rFonts w:eastAsia="TimesNewRoman"/>
          <w:szCs w:val="22"/>
          <w:lang w:val="sk-SK"/>
        </w:rPr>
        <w:t>Vzhľadom na účinky jednotlivých komponentov v tomto kombinovanom lieku na graviditu a laktáciu:</w:t>
      </w:r>
    </w:p>
    <w:p w14:paraId="1A1A2BD3" w14:textId="3461BF25" w:rsidR="00160CFC" w:rsidRPr="004B1A50" w:rsidRDefault="007D110C" w:rsidP="00853064">
      <w:pPr>
        <w:tabs>
          <w:tab w:val="clear" w:pos="567"/>
        </w:tabs>
        <w:autoSpaceDE w:val="0"/>
        <w:autoSpaceDN w:val="0"/>
        <w:adjustRightInd w:val="0"/>
        <w:spacing w:line="240" w:lineRule="auto"/>
        <w:rPr>
          <w:rFonts w:eastAsia="TimesNewRoman"/>
          <w:szCs w:val="22"/>
          <w:lang w:val="sk-SK"/>
        </w:rPr>
      </w:pPr>
      <w:r w:rsidRPr="004B1A50">
        <w:rPr>
          <w:rFonts w:eastAsia="TimesNewRoman"/>
          <w:szCs w:val="22"/>
          <w:lang w:val="sk-SK"/>
        </w:rPr>
        <w:t>Fixná k</w:t>
      </w:r>
      <w:r w:rsidR="00160CFC" w:rsidRPr="004B1A50">
        <w:rPr>
          <w:rFonts w:eastAsia="TimesNewRoman"/>
          <w:szCs w:val="22"/>
          <w:lang w:val="sk-SK"/>
        </w:rPr>
        <w:t xml:space="preserve">ombinácia </w:t>
      </w:r>
      <w:r w:rsidRPr="004B1A50">
        <w:rPr>
          <w:rFonts w:eastAsia="TimesNewRoman"/>
          <w:szCs w:val="22"/>
          <w:lang w:val="sk-SK"/>
        </w:rPr>
        <w:t xml:space="preserve">amlodipínu a </w:t>
      </w:r>
      <w:r w:rsidR="00160CFC" w:rsidRPr="004B1A50">
        <w:rPr>
          <w:rFonts w:eastAsia="TimesNewRoman"/>
          <w:szCs w:val="22"/>
          <w:lang w:val="sk-SK"/>
        </w:rPr>
        <w:t>perindoprilu sa neodporúča počas prvého trimestra gravidity.</w:t>
      </w:r>
      <w:r w:rsidR="000A4C64">
        <w:rPr>
          <w:rFonts w:eastAsia="TimesNewRoman"/>
          <w:szCs w:val="22"/>
          <w:lang w:val="sk-SK"/>
        </w:rPr>
        <w:t xml:space="preserve"> </w:t>
      </w:r>
      <w:r w:rsidRPr="004B1A50">
        <w:rPr>
          <w:rFonts w:eastAsia="TimesNewRoman"/>
          <w:szCs w:val="22"/>
          <w:lang w:val="sk-SK"/>
        </w:rPr>
        <w:t>A</w:t>
      </w:r>
      <w:r w:rsidR="00D85652" w:rsidRPr="004B1A50">
        <w:rPr>
          <w:rFonts w:eastAsia="TimesNewRoman"/>
          <w:szCs w:val="22"/>
          <w:lang w:val="sk-SK"/>
        </w:rPr>
        <w:t>m</w:t>
      </w:r>
      <w:r w:rsidRPr="004B1A50">
        <w:rPr>
          <w:rFonts w:eastAsia="TimesNewRoman"/>
          <w:szCs w:val="22"/>
          <w:lang w:val="sk-SK"/>
        </w:rPr>
        <w:t>lodipín/perindopril</w:t>
      </w:r>
      <w:r w:rsidR="00160CFC" w:rsidRPr="004B1A50">
        <w:rPr>
          <w:rFonts w:eastAsia="TimesNewRoman"/>
          <w:szCs w:val="22"/>
          <w:lang w:val="sk-SK"/>
        </w:rPr>
        <w:t xml:space="preserve"> je kontraindikovan</w:t>
      </w:r>
      <w:r w:rsidRPr="004B1A50">
        <w:rPr>
          <w:rFonts w:eastAsia="TimesNewRoman"/>
          <w:szCs w:val="22"/>
          <w:lang w:val="sk-SK"/>
        </w:rPr>
        <w:t>ý</w:t>
      </w:r>
      <w:r w:rsidR="00160CFC" w:rsidRPr="004B1A50">
        <w:rPr>
          <w:rFonts w:eastAsia="TimesNewRoman"/>
          <w:szCs w:val="22"/>
          <w:lang w:val="sk-SK"/>
        </w:rPr>
        <w:t xml:space="preserve"> počas druhého a tretieho trimestra gravidity.</w:t>
      </w:r>
    </w:p>
    <w:p w14:paraId="79100F79" w14:textId="77777777" w:rsidR="00160CFC" w:rsidRPr="004B1A50" w:rsidRDefault="00160CFC" w:rsidP="007D110C">
      <w:pPr>
        <w:tabs>
          <w:tab w:val="clear" w:pos="567"/>
        </w:tabs>
        <w:autoSpaceDE w:val="0"/>
        <w:autoSpaceDN w:val="0"/>
        <w:adjustRightInd w:val="0"/>
        <w:spacing w:line="240" w:lineRule="auto"/>
        <w:rPr>
          <w:rFonts w:eastAsia="TimesNewRoman"/>
          <w:szCs w:val="22"/>
          <w:lang w:val="sk-SK"/>
        </w:rPr>
      </w:pPr>
      <w:r w:rsidRPr="004B1A50">
        <w:rPr>
          <w:rFonts w:eastAsia="TimesNewRoman"/>
          <w:szCs w:val="22"/>
          <w:lang w:val="sk-SK"/>
        </w:rPr>
        <w:t xml:space="preserve">Kombinácia amlodipínu </w:t>
      </w:r>
      <w:r w:rsidR="007D110C" w:rsidRPr="004B1A50">
        <w:rPr>
          <w:rFonts w:eastAsia="TimesNewRoman"/>
          <w:szCs w:val="22"/>
          <w:lang w:val="sk-SK"/>
        </w:rPr>
        <w:t xml:space="preserve">a perindoprilu </w:t>
      </w:r>
      <w:r w:rsidRPr="004B1A50">
        <w:rPr>
          <w:rFonts w:eastAsia="TimesNewRoman"/>
          <w:szCs w:val="22"/>
          <w:lang w:val="sk-SK"/>
        </w:rPr>
        <w:t>sa neodporúča počas laktácie.</w:t>
      </w:r>
      <w:r w:rsidR="007D110C" w:rsidRPr="004B1A50">
        <w:rPr>
          <w:rFonts w:eastAsia="TimesNewRoman"/>
          <w:szCs w:val="22"/>
          <w:lang w:val="sk-SK"/>
        </w:rPr>
        <w:t xml:space="preserve"> </w:t>
      </w:r>
      <w:r w:rsidRPr="004B1A50">
        <w:rPr>
          <w:rFonts w:eastAsia="TimesNewRoman"/>
          <w:szCs w:val="22"/>
          <w:lang w:val="sk-SK"/>
        </w:rPr>
        <w:t>Je potrebné rozhodnúť, či sa má prerušiť dojčenie alebo liečba amlodipín</w:t>
      </w:r>
      <w:r w:rsidR="007D110C" w:rsidRPr="004B1A50">
        <w:rPr>
          <w:rFonts w:eastAsia="TimesNewRoman"/>
          <w:szCs w:val="22"/>
          <w:lang w:val="sk-SK"/>
        </w:rPr>
        <w:t>om/perindoprilom</w:t>
      </w:r>
      <w:r w:rsidRPr="004B1A50">
        <w:rPr>
          <w:rFonts w:eastAsia="TimesNewRoman"/>
          <w:szCs w:val="22"/>
          <w:lang w:val="sk-SK"/>
        </w:rPr>
        <w:t xml:space="preserve">, pričom </w:t>
      </w:r>
      <w:r w:rsidR="001E0A8D" w:rsidRPr="004B1A50">
        <w:rPr>
          <w:rFonts w:eastAsia="TimesNewRoman"/>
          <w:szCs w:val="22"/>
          <w:lang w:val="sk-SK"/>
        </w:rPr>
        <w:t>je potrebné vziať</w:t>
      </w:r>
      <w:r w:rsidRPr="004B1A50">
        <w:rPr>
          <w:rFonts w:eastAsia="TimesNewRoman"/>
          <w:szCs w:val="22"/>
          <w:lang w:val="sk-SK"/>
        </w:rPr>
        <w:t xml:space="preserve"> do úvahy dôležitosť tejto liečby pre matku.</w:t>
      </w:r>
    </w:p>
    <w:p w14:paraId="782E7C48" w14:textId="77777777" w:rsidR="00160CFC" w:rsidRPr="004B1A50" w:rsidRDefault="00160CFC" w:rsidP="007D110C">
      <w:pPr>
        <w:tabs>
          <w:tab w:val="clear" w:pos="567"/>
        </w:tabs>
        <w:autoSpaceDE w:val="0"/>
        <w:autoSpaceDN w:val="0"/>
        <w:adjustRightInd w:val="0"/>
        <w:spacing w:line="240" w:lineRule="auto"/>
        <w:rPr>
          <w:rFonts w:eastAsia="TimesNewRoman,Italic"/>
          <w:i/>
          <w:iCs/>
          <w:szCs w:val="22"/>
          <w:lang w:val="sk-SK"/>
        </w:rPr>
      </w:pPr>
    </w:p>
    <w:p w14:paraId="2A62C294" w14:textId="77777777" w:rsidR="00160CFC" w:rsidRPr="004B1A50" w:rsidRDefault="00160CFC" w:rsidP="007D110C">
      <w:pPr>
        <w:tabs>
          <w:tab w:val="clear" w:pos="567"/>
        </w:tabs>
        <w:autoSpaceDE w:val="0"/>
        <w:autoSpaceDN w:val="0"/>
        <w:adjustRightInd w:val="0"/>
        <w:spacing w:line="240" w:lineRule="auto"/>
        <w:rPr>
          <w:rFonts w:eastAsia="TimesNewRoman,Italic"/>
          <w:iCs/>
          <w:szCs w:val="22"/>
          <w:lang w:val="sk-SK"/>
        </w:rPr>
      </w:pPr>
      <w:r w:rsidRPr="004B1A50">
        <w:rPr>
          <w:rFonts w:eastAsia="TimesNewRoman,Italic"/>
          <w:iCs/>
          <w:szCs w:val="22"/>
          <w:u w:val="single"/>
          <w:lang w:val="sk-SK"/>
        </w:rPr>
        <w:t>Gravidita</w:t>
      </w:r>
    </w:p>
    <w:p w14:paraId="29CF7B50" w14:textId="77777777" w:rsidR="00160CFC" w:rsidRPr="004B1A50" w:rsidRDefault="00160CFC" w:rsidP="007D110C">
      <w:pPr>
        <w:tabs>
          <w:tab w:val="clear" w:pos="567"/>
        </w:tabs>
        <w:autoSpaceDE w:val="0"/>
        <w:autoSpaceDN w:val="0"/>
        <w:adjustRightInd w:val="0"/>
        <w:spacing w:line="240" w:lineRule="auto"/>
        <w:rPr>
          <w:rFonts w:eastAsia="TimesNewRoman,Italic"/>
          <w:i/>
          <w:iCs/>
          <w:szCs w:val="22"/>
          <w:u w:val="single"/>
          <w:lang w:val="sk-SK"/>
        </w:rPr>
      </w:pPr>
    </w:p>
    <w:p w14:paraId="17BA73D9" w14:textId="77777777" w:rsidR="00160CFC" w:rsidRPr="004B1A50" w:rsidRDefault="00160CFC" w:rsidP="007D110C">
      <w:pPr>
        <w:spacing w:line="240" w:lineRule="auto"/>
        <w:rPr>
          <w:rFonts w:eastAsia="TimesNewRoman"/>
          <w:i/>
          <w:szCs w:val="22"/>
          <w:lang w:val="sk-SK"/>
        </w:rPr>
      </w:pPr>
      <w:r w:rsidRPr="004B1A50">
        <w:rPr>
          <w:rFonts w:eastAsia="TimesNewRoman"/>
          <w:i/>
          <w:szCs w:val="22"/>
          <w:lang w:val="sk-SK"/>
        </w:rPr>
        <w:t>Súvisiace s perindoprilom</w:t>
      </w:r>
    </w:p>
    <w:p w14:paraId="66FAFFC1" w14:textId="77777777" w:rsidR="00160CFC" w:rsidRPr="004B1A50" w:rsidRDefault="00160CFC" w:rsidP="007D110C">
      <w:pPr>
        <w:spacing w:line="240" w:lineRule="auto"/>
        <w:rPr>
          <w:rFonts w:eastAsia="TimesNewRoman"/>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160CFC" w:rsidRPr="004B1A50" w14:paraId="1BFBD03F" w14:textId="77777777" w:rsidTr="004F6CA9">
        <w:tc>
          <w:tcPr>
            <w:tcW w:w="9779" w:type="dxa"/>
            <w:shd w:val="clear" w:color="auto" w:fill="auto"/>
          </w:tcPr>
          <w:p w14:paraId="46328A98" w14:textId="77777777" w:rsidR="00160CFC" w:rsidRPr="004B1A50" w:rsidRDefault="00160CFC" w:rsidP="007D110C">
            <w:pPr>
              <w:tabs>
                <w:tab w:val="clear" w:pos="567"/>
              </w:tabs>
              <w:autoSpaceDE w:val="0"/>
              <w:autoSpaceDN w:val="0"/>
              <w:adjustRightInd w:val="0"/>
              <w:spacing w:line="240" w:lineRule="auto"/>
              <w:rPr>
                <w:szCs w:val="22"/>
                <w:lang w:val="sk-SK"/>
              </w:rPr>
            </w:pPr>
            <w:r w:rsidRPr="004B1A50">
              <w:rPr>
                <w:rFonts w:eastAsia="TimesNewRoman"/>
                <w:szCs w:val="22"/>
                <w:lang w:val="sk-SK"/>
              </w:rPr>
              <w:t>Použitie inhibítorov ACE sa neodporúča počas prvého trimestra gravidity (pozri časť 4.4). Použitie inhibítorov ACE je kontraindikované počas druhého a tretieho trimestra gravidity (pozri časti 4.3 a 4.4).</w:t>
            </w:r>
          </w:p>
        </w:tc>
      </w:tr>
    </w:tbl>
    <w:p w14:paraId="2670D15D" w14:textId="77777777" w:rsidR="00160CFC" w:rsidRPr="004B1A50" w:rsidRDefault="00160CFC" w:rsidP="007D110C">
      <w:pPr>
        <w:spacing w:line="240" w:lineRule="auto"/>
        <w:rPr>
          <w:i/>
          <w:u w:val="single"/>
          <w:lang w:val="sk-SK"/>
        </w:rPr>
      </w:pPr>
    </w:p>
    <w:p w14:paraId="511C9368" w14:textId="77777777" w:rsidR="007D110C" w:rsidRPr="004B1A50" w:rsidRDefault="001E0A8D" w:rsidP="007D110C">
      <w:pPr>
        <w:spacing w:line="240" w:lineRule="auto"/>
        <w:rPr>
          <w:iCs/>
          <w:lang w:val="sk-SK" w:eastAsia="sk-SK"/>
        </w:rPr>
      </w:pPr>
      <w:r w:rsidRPr="004B1A50">
        <w:rPr>
          <w:lang w:val="sk-SK" w:eastAsia="sk-SK"/>
        </w:rPr>
        <w:t xml:space="preserve">Neexistujú </w:t>
      </w:r>
      <w:r w:rsidR="00D85652" w:rsidRPr="004B1A50">
        <w:rPr>
          <w:lang w:val="sk-SK" w:eastAsia="sk-SK"/>
        </w:rPr>
        <w:t>presvedčivé</w:t>
      </w:r>
      <w:r w:rsidRPr="004B1A50">
        <w:rPr>
          <w:lang w:val="sk-SK" w:eastAsia="sk-SK"/>
        </w:rPr>
        <w:t xml:space="preserve"> epidemiologické údaje ohľadne rizika teratogenity po expozícii inhibítorom ACE počas prvého trimestra gravidity; malé zvýšenie rizika však nemožno vylúčiť.</w:t>
      </w:r>
      <w:r w:rsidRPr="004B1A50" w:rsidDel="001E0A8D">
        <w:rPr>
          <w:rFonts w:eastAsia="TimesNewRoman"/>
          <w:color w:val="000000"/>
          <w:szCs w:val="22"/>
          <w:lang w:val="sk-SK"/>
        </w:rPr>
        <w:t xml:space="preserve"> </w:t>
      </w:r>
      <w:r w:rsidRPr="004B1A50">
        <w:rPr>
          <w:iCs/>
          <w:lang w:val="sk-SK" w:eastAsia="sk-SK"/>
        </w:rPr>
        <w:t xml:space="preserve">Ak sa pokračovanie v terapii inhibítormi ACE nepovažuje za nevyhnutné, pacientky plánujúce tehotenstvo majú prejsť na alternatívnu antihypertenznú liečbu, ktorá má lepšie stanovený bezpečnostný profil na použitie počas tehotenstva. </w:t>
      </w:r>
    </w:p>
    <w:p w14:paraId="504FE694" w14:textId="77777777" w:rsidR="001E0A8D" w:rsidRPr="004B1A50" w:rsidRDefault="001E0A8D" w:rsidP="007D110C">
      <w:pPr>
        <w:spacing w:line="240" w:lineRule="auto"/>
        <w:rPr>
          <w:iCs/>
          <w:lang w:val="sk-SK" w:eastAsia="sk-SK"/>
        </w:rPr>
      </w:pPr>
      <w:r w:rsidRPr="004B1A50">
        <w:rPr>
          <w:iCs/>
          <w:lang w:val="sk-SK" w:eastAsia="sk-SK"/>
        </w:rPr>
        <w:t>Ak sa potvrdí tehotenstvo, terapia inhibítormi ACE sa má okamžite prerušiť a prípadne začať alternatívna liečba.</w:t>
      </w:r>
    </w:p>
    <w:p w14:paraId="244DA7E4"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522E8D6D"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O expozícii liečb</w:t>
      </w:r>
      <w:r w:rsidR="008C6A88" w:rsidRPr="004B1A50">
        <w:rPr>
          <w:rFonts w:eastAsia="TimesNewRoman"/>
          <w:color w:val="000000"/>
          <w:szCs w:val="22"/>
          <w:lang w:val="sk-SK"/>
        </w:rPr>
        <w:t>e</w:t>
      </w:r>
      <w:r w:rsidRPr="004B1A50">
        <w:rPr>
          <w:rFonts w:eastAsia="TimesNewRoman"/>
          <w:color w:val="000000"/>
          <w:szCs w:val="22"/>
          <w:lang w:val="sk-SK"/>
        </w:rPr>
        <w:t xml:space="preserve"> inhibítorom ACE počas druhého a tretieho trimestra je známe, že môže vyvolať humánnu fetotoxicitu (znížené renálne funkcie, oligohydramnión, spomalenie osifikácie lebky) a neonatálnu toxicitu (renálne zlyhanie, hypotenziu, hyperkaliémiu) (pozri časť 5.3).</w:t>
      </w:r>
    </w:p>
    <w:p w14:paraId="5EF45FE5" w14:textId="77777777" w:rsidR="007D110C" w:rsidRPr="004B1A50" w:rsidRDefault="007D110C" w:rsidP="00853064">
      <w:pPr>
        <w:autoSpaceDE w:val="0"/>
        <w:autoSpaceDN w:val="0"/>
        <w:adjustRightInd w:val="0"/>
        <w:spacing w:line="240" w:lineRule="auto"/>
        <w:rPr>
          <w:rFonts w:eastAsia="TimesNewRoman"/>
          <w:color w:val="000000"/>
          <w:szCs w:val="22"/>
          <w:lang w:val="sk-SK"/>
        </w:rPr>
      </w:pPr>
    </w:p>
    <w:p w14:paraId="600FB11A" w14:textId="77777777" w:rsidR="007D110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Ak sa expozícia inhibítor</w:t>
      </w:r>
      <w:r w:rsidR="00B05C7B" w:rsidRPr="004B1A50">
        <w:rPr>
          <w:rFonts w:eastAsia="TimesNewRoman"/>
          <w:color w:val="000000"/>
          <w:szCs w:val="22"/>
          <w:lang w:val="sk-SK"/>
        </w:rPr>
        <w:t>u</w:t>
      </w:r>
      <w:r w:rsidRPr="004B1A50">
        <w:rPr>
          <w:rFonts w:eastAsia="TimesNewRoman"/>
          <w:color w:val="000000"/>
          <w:szCs w:val="22"/>
          <w:lang w:val="sk-SK"/>
        </w:rPr>
        <w:t xml:space="preserve"> ACE vyskytovala od druhého trimestra gravidity, odporúča sa ultrazvuková kontrola</w:t>
      </w:r>
      <w:r w:rsidR="00857EB5" w:rsidRPr="004B1A50">
        <w:rPr>
          <w:rFonts w:eastAsia="TimesNewRoman"/>
          <w:color w:val="000000"/>
          <w:szCs w:val="22"/>
          <w:lang w:val="sk-SK"/>
        </w:rPr>
        <w:t xml:space="preserve"> </w:t>
      </w:r>
      <w:r w:rsidRPr="004B1A50">
        <w:rPr>
          <w:rFonts w:eastAsia="TimesNewRoman"/>
          <w:color w:val="000000"/>
          <w:szCs w:val="22"/>
          <w:lang w:val="sk-SK"/>
        </w:rPr>
        <w:t>renálnych funkcií a lebky.</w:t>
      </w:r>
      <w:r w:rsidR="00857EB5" w:rsidRPr="004B1A50">
        <w:rPr>
          <w:rFonts w:eastAsia="TimesNewRoman"/>
          <w:color w:val="000000"/>
          <w:szCs w:val="22"/>
          <w:lang w:val="sk-SK"/>
        </w:rPr>
        <w:t xml:space="preserve"> </w:t>
      </w:r>
    </w:p>
    <w:p w14:paraId="550A1546" w14:textId="77777777" w:rsidR="007D110C" w:rsidRPr="004B1A50" w:rsidRDefault="007D110C" w:rsidP="00853064">
      <w:pPr>
        <w:autoSpaceDE w:val="0"/>
        <w:autoSpaceDN w:val="0"/>
        <w:adjustRightInd w:val="0"/>
        <w:spacing w:line="240" w:lineRule="auto"/>
        <w:rPr>
          <w:rFonts w:eastAsia="TimesNewRoman"/>
          <w:color w:val="000000"/>
          <w:szCs w:val="22"/>
          <w:lang w:val="sk-SK"/>
        </w:rPr>
      </w:pPr>
    </w:p>
    <w:p w14:paraId="7EDF0EA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Deti, ktorých matky užívali inhibítory ACE, sa majú dôsledne sledovať </w:t>
      </w:r>
      <w:r w:rsidR="007D110C" w:rsidRPr="004B1A50">
        <w:rPr>
          <w:rFonts w:eastAsia="TimesNewRoman"/>
          <w:color w:val="000000"/>
          <w:szCs w:val="22"/>
          <w:lang w:val="sk-SK"/>
        </w:rPr>
        <w:t>na</w:t>
      </w:r>
      <w:r w:rsidR="00B05C7B" w:rsidRPr="004B1A50">
        <w:rPr>
          <w:rFonts w:eastAsia="TimesNewRoman"/>
          <w:color w:val="000000"/>
          <w:szCs w:val="22"/>
          <w:lang w:val="sk-SK"/>
        </w:rPr>
        <w:t xml:space="preserve"> možnosť</w:t>
      </w:r>
      <w:r w:rsidRPr="004B1A50">
        <w:rPr>
          <w:rFonts w:eastAsia="TimesNewRoman"/>
          <w:color w:val="000000"/>
          <w:szCs w:val="22"/>
          <w:lang w:val="sk-SK"/>
        </w:rPr>
        <w:t xml:space="preserve"> hypotenzie (pozri časti</w:t>
      </w:r>
      <w:r w:rsidR="00857EB5" w:rsidRPr="004B1A50">
        <w:rPr>
          <w:rFonts w:eastAsia="TimesNewRoman"/>
          <w:color w:val="000000"/>
          <w:szCs w:val="22"/>
          <w:lang w:val="sk-SK"/>
        </w:rPr>
        <w:t xml:space="preserve"> </w:t>
      </w:r>
      <w:r w:rsidRPr="004B1A50">
        <w:rPr>
          <w:rFonts w:eastAsia="TimesNewRoman"/>
          <w:color w:val="000000"/>
          <w:szCs w:val="22"/>
          <w:lang w:val="sk-SK"/>
        </w:rPr>
        <w:t>4.3 a 4.4).</w:t>
      </w:r>
    </w:p>
    <w:p w14:paraId="4E42BA12" w14:textId="77777777" w:rsidR="00160CFC" w:rsidRPr="004B1A50" w:rsidRDefault="00160CFC" w:rsidP="00853064">
      <w:pPr>
        <w:autoSpaceDE w:val="0"/>
        <w:autoSpaceDN w:val="0"/>
        <w:adjustRightInd w:val="0"/>
        <w:spacing w:line="240" w:lineRule="auto"/>
        <w:rPr>
          <w:rFonts w:eastAsia="TimesNewRoman"/>
          <w:i/>
          <w:color w:val="000000"/>
          <w:szCs w:val="22"/>
          <w:lang w:val="sk-SK"/>
        </w:rPr>
      </w:pPr>
    </w:p>
    <w:p w14:paraId="70E9196E" w14:textId="77777777" w:rsidR="00160CFC" w:rsidRPr="004B1A50" w:rsidRDefault="00160CFC" w:rsidP="00853064">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Súvisiace s amlodipínom</w:t>
      </w:r>
    </w:p>
    <w:p w14:paraId="3981897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Bezpečnosť amlodipínu </w:t>
      </w:r>
      <w:r w:rsidR="00B05C7B" w:rsidRPr="004B1A50">
        <w:rPr>
          <w:rFonts w:eastAsia="TimesNewRoman"/>
          <w:color w:val="000000"/>
          <w:szCs w:val="22"/>
          <w:lang w:val="sk-SK"/>
        </w:rPr>
        <w:t xml:space="preserve">počas </w:t>
      </w:r>
      <w:r w:rsidRPr="004B1A50">
        <w:rPr>
          <w:rFonts w:eastAsia="TimesNewRoman"/>
          <w:color w:val="000000"/>
          <w:szCs w:val="22"/>
          <w:lang w:val="sk-SK"/>
        </w:rPr>
        <w:t>gravidit</w:t>
      </w:r>
      <w:r w:rsidR="00B05C7B" w:rsidRPr="004B1A50">
        <w:rPr>
          <w:rFonts w:eastAsia="TimesNewRoman"/>
          <w:color w:val="000000"/>
          <w:szCs w:val="22"/>
          <w:lang w:val="sk-SK"/>
        </w:rPr>
        <w:t>y</w:t>
      </w:r>
      <w:r w:rsidR="007D110C" w:rsidRPr="004B1A50">
        <w:rPr>
          <w:rFonts w:eastAsia="TimesNewRoman"/>
          <w:color w:val="000000"/>
          <w:szCs w:val="22"/>
          <w:lang w:val="sk-SK"/>
        </w:rPr>
        <w:t xml:space="preserve"> </w:t>
      </w:r>
      <w:r w:rsidR="008C6A88" w:rsidRPr="004B1A50">
        <w:rPr>
          <w:rFonts w:eastAsia="TimesNewRoman"/>
          <w:color w:val="000000"/>
          <w:szCs w:val="22"/>
          <w:lang w:val="sk-SK"/>
        </w:rPr>
        <w:t xml:space="preserve">u ľudí </w:t>
      </w:r>
      <w:r w:rsidRPr="004B1A50">
        <w:rPr>
          <w:rFonts w:eastAsia="TimesNewRoman"/>
          <w:color w:val="000000"/>
          <w:szCs w:val="22"/>
          <w:lang w:val="sk-SK"/>
        </w:rPr>
        <w:t>nebola stanovená.</w:t>
      </w:r>
    </w:p>
    <w:p w14:paraId="3982B740" w14:textId="77777777" w:rsidR="007D110C" w:rsidRPr="004B1A50" w:rsidRDefault="007D110C" w:rsidP="00853064">
      <w:pPr>
        <w:autoSpaceDE w:val="0"/>
        <w:autoSpaceDN w:val="0"/>
        <w:adjustRightInd w:val="0"/>
        <w:spacing w:line="240" w:lineRule="auto"/>
        <w:rPr>
          <w:rFonts w:eastAsia="TimesNewRoman"/>
          <w:color w:val="000000"/>
          <w:szCs w:val="22"/>
          <w:lang w:val="sk-SK"/>
        </w:rPr>
      </w:pPr>
    </w:p>
    <w:p w14:paraId="66BCEE1C" w14:textId="77777777" w:rsidR="007D110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V štúdiách na zvieratách bola zaznamenaná reprodukčná toxicita pri vysokých dávkach (pozri časť 5.3). </w:t>
      </w:r>
    </w:p>
    <w:p w14:paraId="79079C88" w14:textId="77777777" w:rsidR="007D110C" w:rsidRPr="004B1A50" w:rsidRDefault="007D110C" w:rsidP="00853064">
      <w:pPr>
        <w:autoSpaceDE w:val="0"/>
        <w:autoSpaceDN w:val="0"/>
        <w:adjustRightInd w:val="0"/>
        <w:spacing w:line="240" w:lineRule="auto"/>
        <w:rPr>
          <w:rFonts w:eastAsia="TimesNewRoman"/>
          <w:color w:val="000000"/>
          <w:szCs w:val="22"/>
          <w:lang w:val="sk-SK"/>
        </w:rPr>
      </w:pPr>
    </w:p>
    <w:p w14:paraId="340D10F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Použitie v tehotenstve sa</w:t>
      </w:r>
      <w:r w:rsidR="00857EB5" w:rsidRPr="004B1A50">
        <w:rPr>
          <w:rFonts w:eastAsia="TimesNewRoman"/>
          <w:color w:val="000000"/>
          <w:szCs w:val="22"/>
          <w:lang w:val="sk-SK"/>
        </w:rPr>
        <w:t xml:space="preserve"> </w:t>
      </w:r>
      <w:r w:rsidRPr="004B1A50">
        <w:rPr>
          <w:rFonts w:eastAsia="TimesNewRoman"/>
          <w:color w:val="000000"/>
          <w:szCs w:val="22"/>
          <w:lang w:val="sk-SK"/>
        </w:rPr>
        <w:t xml:space="preserve">odporúča len vtedy, ak nie je iná bezpečnejšia alternatíva a ak ochorenie </w:t>
      </w:r>
      <w:r w:rsidR="00B05C7B" w:rsidRPr="004B1A50">
        <w:rPr>
          <w:rFonts w:eastAsia="TimesNewRoman"/>
          <w:color w:val="000000"/>
          <w:szCs w:val="22"/>
          <w:lang w:val="sk-SK"/>
        </w:rPr>
        <w:t xml:space="preserve">samo o sebe </w:t>
      </w:r>
      <w:r w:rsidRPr="004B1A50">
        <w:rPr>
          <w:rFonts w:eastAsia="TimesNewRoman"/>
          <w:color w:val="000000"/>
          <w:szCs w:val="22"/>
          <w:lang w:val="sk-SK"/>
        </w:rPr>
        <w:t>predstavuje väčšie riziko pre</w:t>
      </w:r>
      <w:r w:rsidR="00857EB5" w:rsidRPr="004B1A50">
        <w:rPr>
          <w:rFonts w:eastAsia="TimesNewRoman"/>
          <w:color w:val="000000"/>
          <w:szCs w:val="22"/>
          <w:lang w:val="sk-SK"/>
        </w:rPr>
        <w:t xml:space="preserve"> </w:t>
      </w:r>
      <w:r w:rsidRPr="004B1A50">
        <w:rPr>
          <w:rFonts w:eastAsia="TimesNewRoman"/>
          <w:color w:val="000000"/>
          <w:szCs w:val="22"/>
          <w:lang w:val="sk-SK"/>
        </w:rPr>
        <w:t>matku a plod.</w:t>
      </w:r>
    </w:p>
    <w:p w14:paraId="74514585"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6CE50570"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Dojčenie</w:t>
      </w:r>
    </w:p>
    <w:p w14:paraId="290E78EC" w14:textId="77777777" w:rsidR="00160CFC" w:rsidRPr="004B1A50" w:rsidRDefault="00160CFC" w:rsidP="00853064">
      <w:pPr>
        <w:autoSpaceDE w:val="0"/>
        <w:autoSpaceDN w:val="0"/>
        <w:adjustRightInd w:val="0"/>
        <w:spacing w:line="240" w:lineRule="auto"/>
        <w:rPr>
          <w:rFonts w:eastAsia="TimesNewRoman,Italic"/>
          <w:i/>
          <w:iCs/>
          <w:color w:val="000000"/>
          <w:szCs w:val="22"/>
          <w:u w:val="single"/>
          <w:lang w:val="sk-SK"/>
        </w:rPr>
      </w:pPr>
    </w:p>
    <w:p w14:paraId="2B41CA7B" w14:textId="77777777" w:rsidR="00160CFC" w:rsidRPr="004B1A50" w:rsidRDefault="00160CFC" w:rsidP="00853064">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Súvisiace s perindoprilom</w:t>
      </w:r>
    </w:p>
    <w:p w14:paraId="160194DF" w14:textId="77777777" w:rsidR="00160CFC" w:rsidRPr="004B1A50" w:rsidRDefault="007D110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Keď</w:t>
      </w:r>
      <w:r w:rsidR="00B05C7B" w:rsidRPr="004B1A50">
        <w:rPr>
          <w:rFonts w:eastAsia="TimesNewRoman"/>
          <w:color w:val="000000"/>
          <w:szCs w:val="22"/>
          <w:lang w:val="sk-SK"/>
        </w:rPr>
        <w:t>že n</w:t>
      </w:r>
      <w:r w:rsidR="00160CFC" w:rsidRPr="004B1A50">
        <w:rPr>
          <w:rFonts w:eastAsia="TimesNewRoman"/>
          <w:color w:val="000000"/>
          <w:szCs w:val="22"/>
          <w:lang w:val="sk-SK"/>
        </w:rPr>
        <w:t>ie sú k dispozícii žiadne informácie o použití perindoprilu počas dojčenia, perindopril</w:t>
      </w:r>
      <w:r w:rsidR="00857EB5" w:rsidRPr="004B1A50">
        <w:rPr>
          <w:rFonts w:eastAsia="TimesNewRoman"/>
          <w:color w:val="000000"/>
          <w:szCs w:val="22"/>
          <w:lang w:val="sk-SK"/>
        </w:rPr>
        <w:t xml:space="preserve"> </w:t>
      </w:r>
      <w:r w:rsidR="00B05C7B" w:rsidRPr="004B1A50">
        <w:rPr>
          <w:rFonts w:eastAsia="TimesNewRoman"/>
          <w:color w:val="000000"/>
          <w:szCs w:val="22"/>
          <w:lang w:val="sk-SK"/>
        </w:rPr>
        <w:t xml:space="preserve">sa </w:t>
      </w:r>
      <w:r w:rsidR="00160CFC" w:rsidRPr="004B1A50">
        <w:rPr>
          <w:rFonts w:eastAsia="TimesNewRoman"/>
          <w:color w:val="000000"/>
          <w:szCs w:val="22"/>
          <w:lang w:val="sk-SK"/>
        </w:rPr>
        <w:t>neodporúča a dáva sa prednosť alternatívnej liečbe s lepšie stanoveným profilom bezpečnosti počas dojčenia,</w:t>
      </w:r>
      <w:r w:rsidR="00857EB5" w:rsidRPr="004B1A50">
        <w:rPr>
          <w:rFonts w:eastAsia="TimesNewRoman"/>
          <w:color w:val="000000"/>
          <w:szCs w:val="22"/>
          <w:lang w:val="sk-SK"/>
        </w:rPr>
        <w:t xml:space="preserve"> </w:t>
      </w:r>
      <w:r w:rsidR="00160CFC" w:rsidRPr="004B1A50">
        <w:rPr>
          <w:rFonts w:eastAsia="TimesNewRoman"/>
          <w:color w:val="000000"/>
          <w:szCs w:val="22"/>
          <w:lang w:val="sk-SK"/>
        </w:rPr>
        <w:t>a to najmä pri dojčení novorodenca alebo predčasne narodeného dieťaťa.</w:t>
      </w:r>
    </w:p>
    <w:p w14:paraId="4DF0BD67" w14:textId="77777777" w:rsidR="000A4C64" w:rsidRDefault="000A4C64" w:rsidP="00853064">
      <w:pPr>
        <w:autoSpaceDE w:val="0"/>
        <w:autoSpaceDN w:val="0"/>
        <w:adjustRightInd w:val="0"/>
        <w:spacing w:line="240" w:lineRule="auto"/>
        <w:rPr>
          <w:rFonts w:eastAsia="TimesNewRoman"/>
          <w:i/>
          <w:color w:val="000000"/>
          <w:szCs w:val="22"/>
          <w:lang w:val="sk-SK"/>
        </w:rPr>
      </w:pPr>
    </w:p>
    <w:p w14:paraId="3284D3AF" w14:textId="389BD96B" w:rsidR="00160CFC" w:rsidRPr="00176241" w:rsidRDefault="00160CFC" w:rsidP="00853064">
      <w:pPr>
        <w:autoSpaceDE w:val="0"/>
        <w:autoSpaceDN w:val="0"/>
        <w:adjustRightInd w:val="0"/>
        <w:spacing w:line="240" w:lineRule="auto"/>
        <w:rPr>
          <w:rFonts w:eastAsia="TimesNewRoman"/>
          <w:i/>
          <w:color w:val="000000"/>
          <w:szCs w:val="22"/>
          <w:lang w:val="sk-SK"/>
        </w:rPr>
      </w:pPr>
      <w:r w:rsidRPr="00176241">
        <w:rPr>
          <w:rFonts w:eastAsia="TimesNewRoman"/>
          <w:i/>
          <w:color w:val="000000"/>
          <w:szCs w:val="22"/>
          <w:lang w:val="sk-SK"/>
        </w:rPr>
        <w:t>Súvisiace s amlodipínom</w:t>
      </w:r>
    </w:p>
    <w:p w14:paraId="2CB9B59F" w14:textId="74CEA31F" w:rsidR="00873829" w:rsidRPr="00FC0B45" w:rsidRDefault="00873829" w:rsidP="00873829">
      <w:pPr>
        <w:rPr>
          <w:rFonts w:eastAsia="TimesNewRoman,Bold"/>
          <w:bCs/>
          <w:lang w:val="sk-SK"/>
        </w:rPr>
      </w:pPr>
      <w:r w:rsidRPr="00FC0B45">
        <w:rPr>
          <w:rFonts w:eastAsia="TimesNewRoman,Bold"/>
          <w:bCs/>
          <w:lang w:val="sk-SK"/>
        </w:rPr>
        <w:t>Amlodipín sa vylučuje do ľudského materského mlieka. Podiel dávky podanej matke, ktorý</w:t>
      </w:r>
      <w:r w:rsidR="00206AC6">
        <w:rPr>
          <w:rFonts w:eastAsia="TimesNewRoman,Bold"/>
          <w:bCs/>
          <w:lang w:val="sk-SK"/>
        </w:rPr>
        <w:t xml:space="preserve"> </w:t>
      </w:r>
      <w:r w:rsidRPr="00FC0B45">
        <w:rPr>
          <w:rFonts w:eastAsia="TimesNewRoman,Bold"/>
          <w:bCs/>
          <w:lang w:val="sk-SK"/>
        </w:rPr>
        <w:t>dostane</w:t>
      </w:r>
      <w:r w:rsidR="000A4C64">
        <w:rPr>
          <w:rFonts w:eastAsia="TimesNewRoman,Bold"/>
          <w:bCs/>
          <w:lang w:val="sk-SK"/>
        </w:rPr>
        <w:t xml:space="preserve"> </w:t>
      </w:r>
      <w:r w:rsidRPr="00FC0B45">
        <w:rPr>
          <w:rFonts w:eastAsia="TimesNewRoman,Bold"/>
          <w:bCs/>
          <w:lang w:val="sk-SK"/>
        </w:rPr>
        <w:t>dieťa, sa odhadol s interkvartilovým rozsahom 3 až</w:t>
      </w:r>
      <w:r w:rsidR="00206AC6" w:rsidRPr="00176241">
        <w:rPr>
          <w:rFonts w:eastAsia="TimesNewRoman,Bold"/>
          <w:bCs/>
          <w:lang w:val="sk-SK"/>
        </w:rPr>
        <w:t xml:space="preserve"> 7 %</w:t>
      </w:r>
      <w:r w:rsidRPr="00FC0B45">
        <w:rPr>
          <w:rFonts w:eastAsia="TimesNewRoman,Bold"/>
          <w:bCs/>
          <w:lang w:val="sk-SK"/>
        </w:rPr>
        <w:t xml:space="preserve"> s maximom 15 %. Účinok</w:t>
      </w:r>
      <w:r w:rsidR="00206AC6">
        <w:rPr>
          <w:rFonts w:eastAsia="TimesNewRoman,Bold"/>
          <w:bCs/>
          <w:lang w:val="sk-SK"/>
        </w:rPr>
        <w:t xml:space="preserve"> </w:t>
      </w:r>
      <w:r w:rsidRPr="00FC0B45">
        <w:rPr>
          <w:rFonts w:eastAsia="TimesNewRoman,Bold"/>
          <w:bCs/>
          <w:lang w:val="sk-SK"/>
        </w:rPr>
        <w:t xml:space="preserve">amlodipínu na deti nie je známy. </w:t>
      </w:r>
    </w:p>
    <w:p w14:paraId="6B794E74" w14:textId="77777777" w:rsidR="00873829" w:rsidRDefault="00873829" w:rsidP="00873829">
      <w:pPr>
        <w:rPr>
          <w:rFonts w:eastAsia="TimesNewRoman,Bold"/>
          <w:bCs/>
        </w:rPr>
      </w:pPr>
    </w:p>
    <w:p w14:paraId="27C3B31A" w14:textId="77777777" w:rsidR="00B05C7B" w:rsidRPr="004B1A50" w:rsidDel="00831590" w:rsidRDefault="00B05C7B" w:rsidP="00853064">
      <w:pPr>
        <w:spacing w:line="240" w:lineRule="auto"/>
        <w:rPr>
          <w:lang w:val="sk-SK" w:eastAsia="sk-SK"/>
        </w:rPr>
      </w:pPr>
      <w:r w:rsidRPr="004B1A50">
        <w:rPr>
          <w:lang w:val="sk-SK" w:eastAsia="sk-SK"/>
        </w:rPr>
        <w:t>Rozhodnutie, či pokračovať v dojčení/prerušiť dojčenie alebo pokračovať v liečbe/prerušiť liečbu amlodipínom sa má urobiť po zvážení prínosu dojčenia pre dieťa a prínosu liečby amlodipínom pre matku.</w:t>
      </w:r>
    </w:p>
    <w:p w14:paraId="19BAA2C5" w14:textId="77777777" w:rsidR="00160CFC" w:rsidRPr="004B1A50" w:rsidRDefault="00160CFC" w:rsidP="00853064">
      <w:pPr>
        <w:autoSpaceDE w:val="0"/>
        <w:autoSpaceDN w:val="0"/>
        <w:adjustRightInd w:val="0"/>
        <w:spacing w:line="240" w:lineRule="auto"/>
        <w:rPr>
          <w:rFonts w:eastAsia="TimesNewRoman"/>
          <w:color w:val="000000"/>
          <w:szCs w:val="22"/>
          <w:u w:val="single"/>
          <w:lang w:val="sk-SK"/>
        </w:rPr>
      </w:pPr>
    </w:p>
    <w:p w14:paraId="28032D7E"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Fertilita</w:t>
      </w:r>
    </w:p>
    <w:p w14:paraId="1CF5110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niektorých pacientov liečených blokátormi vápnikových kanálov boli hlásené reverzibilné biochemické zmeny</w:t>
      </w:r>
      <w:r w:rsidR="00857EB5" w:rsidRPr="004B1A50">
        <w:rPr>
          <w:rFonts w:eastAsia="TimesNewRoman"/>
          <w:color w:val="000000"/>
          <w:szCs w:val="22"/>
          <w:lang w:val="sk-SK"/>
        </w:rPr>
        <w:t xml:space="preserve"> </w:t>
      </w:r>
      <w:r w:rsidRPr="004B1A50">
        <w:rPr>
          <w:rFonts w:eastAsia="TimesNewRoman"/>
          <w:color w:val="000000"/>
          <w:szCs w:val="22"/>
          <w:lang w:val="sk-SK"/>
        </w:rPr>
        <w:t xml:space="preserve">v hlavičkách </w:t>
      </w:r>
      <w:r w:rsidR="00B05C7B" w:rsidRPr="004B1A50">
        <w:rPr>
          <w:rFonts w:eastAsia="TimesNewRoman"/>
          <w:color w:val="000000"/>
          <w:szCs w:val="22"/>
          <w:lang w:val="sk-SK"/>
        </w:rPr>
        <w:t>spermií</w:t>
      </w:r>
      <w:r w:rsidRPr="004B1A50">
        <w:rPr>
          <w:rFonts w:eastAsia="TimesNewRoman"/>
          <w:color w:val="000000"/>
          <w:szCs w:val="22"/>
          <w:lang w:val="sk-SK"/>
        </w:rPr>
        <w:t>. Klinické údaje týkajúce sa potenciálneho účinku amlodipínu na</w:t>
      </w:r>
      <w:r w:rsidR="00857EB5" w:rsidRPr="004B1A50">
        <w:rPr>
          <w:rFonts w:eastAsia="TimesNewRoman"/>
          <w:color w:val="000000"/>
          <w:szCs w:val="22"/>
          <w:lang w:val="sk-SK"/>
        </w:rPr>
        <w:t xml:space="preserve"> </w:t>
      </w:r>
      <w:r w:rsidRPr="004B1A50">
        <w:rPr>
          <w:rFonts w:eastAsia="TimesNewRoman"/>
          <w:color w:val="000000"/>
          <w:szCs w:val="22"/>
          <w:lang w:val="sk-SK"/>
        </w:rPr>
        <w:t xml:space="preserve">fertilitu sú nedostatočné. V jednej štúdii na potkanoch boli zistené nežiaduce účinky na fertilitu </w:t>
      </w:r>
      <w:r w:rsidR="00B05C7B" w:rsidRPr="004B1A50">
        <w:rPr>
          <w:rFonts w:eastAsia="TimesNewRoman"/>
          <w:color w:val="000000"/>
          <w:szCs w:val="22"/>
          <w:lang w:val="sk-SK"/>
        </w:rPr>
        <w:t xml:space="preserve">samcov </w:t>
      </w:r>
      <w:r w:rsidRPr="004B1A50">
        <w:rPr>
          <w:rFonts w:eastAsia="TimesNewRoman"/>
          <w:color w:val="000000"/>
          <w:szCs w:val="22"/>
          <w:lang w:val="sk-SK"/>
        </w:rPr>
        <w:t>(pozri časť 5.3).</w:t>
      </w:r>
    </w:p>
    <w:p w14:paraId="009AA2EB" w14:textId="77777777" w:rsidR="00160CFC" w:rsidRPr="004B1A50" w:rsidRDefault="00160CFC" w:rsidP="00853064">
      <w:pPr>
        <w:autoSpaceDE w:val="0"/>
        <w:autoSpaceDN w:val="0"/>
        <w:adjustRightInd w:val="0"/>
        <w:spacing w:line="240" w:lineRule="auto"/>
        <w:rPr>
          <w:rFonts w:eastAsia="TimesNewRoman"/>
          <w:color w:val="000000"/>
          <w:szCs w:val="22"/>
          <w:u w:val="single"/>
          <w:lang w:val="sk-SK"/>
        </w:rPr>
      </w:pPr>
    </w:p>
    <w:p w14:paraId="4768CA64" w14:textId="77777777" w:rsidR="00160CFC" w:rsidRPr="004B1A50" w:rsidRDefault="00160CFC" w:rsidP="00853064">
      <w:pPr>
        <w:numPr>
          <w:ilvl w:val="0"/>
          <w:numId w:val="7"/>
        </w:numPr>
        <w:ind w:left="567" w:hanging="567"/>
        <w:rPr>
          <w:lang w:val="sk-SK"/>
        </w:rPr>
      </w:pPr>
      <w:r w:rsidRPr="004B1A50">
        <w:rPr>
          <w:b/>
          <w:bCs/>
          <w:lang w:val="sk-SK"/>
        </w:rPr>
        <w:t>Ovplyvnenie schopnosti viesť vozidlá a obsluhovať stroje</w:t>
      </w:r>
    </w:p>
    <w:p w14:paraId="1A2940F0" w14:textId="77777777" w:rsidR="00160CFC" w:rsidRPr="004B1A50" w:rsidRDefault="00160CFC" w:rsidP="00853064">
      <w:pPr>
        <w:rPr>
          <w:lang w:val="sk-SK"/>
        </w:rPr>
      </w:pPr>
    </w:p>
    <w:p w14:paraId="3BACF7A0"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Nevykonali sa žiadne </w:t>
      </w:r>
      <w:r w:rsidR="00452AF9" w:rsidRPr="004B1A50">
        <w:rPr>
          <w:rFonts w:eastAsia="TimesNewRoman"/>
          <w:color w:val="000000"/>
          <w:szCs w:val="22"/>
          <w:lang w:val="sk-SK"/>
        </w:rPr>
        <w:t>skúšania</w:t>
      </w:r>
      <w:r w:rsidRPr="004B1A50">
        <w:rPr>
          <w:rFonts w:eastAsia="TimesNewRoman"/>
          <w:color w:val="000000"/>
          <w:szCs w:val="22"/>
          <w:lang w:val="sk-SK"/>
        </w:rPr>
        <w:t xml:space="preserve"> o účinkoch kombinácie </w:t>
      </w:r>
      <w:r w:rsidR="007D110C" w:rsidRPr="004B1A50">
        <w:rPr>
          <w:rFonts w:eastAsia="TimesNewRoman"/>
          <w:color w:val="000000"/>
          <w:szCs w:val="22"/>
          <w:lang w:val="sk-SK"/>
        </w:rPr>
        <w:t>amlodipínu/</w:t>
      </w:r>
      <w:r w:rsidRPr="004B1A50">
        <w:rPr>
          <w:rFonts w:eastAsia="TimesNewRoman"/>
          <w:color w:val="000000"/>
          <w:szCs w:val="22"/>
          <w:lang w:val="sk-SK"/>
        </w:rPr>
        <w:t>perindoprilu na schopnosť viesť vozidlá a</w:t>
      </w:r>
      <w:r w:rsidR="00857EB5" w:rsidRPr="004B1A50">
        <w:rPr>
          <w:rFonts w:eastAsia="TimesNewRoman"/>
          <w:color w:val="000000"/>
          <w:szCs w:val="22"/>
          <w:lang w:val="sk-SK"/>
        </w:rPr>
        <w:t xml:space="preserve"> </w:t>
      </w:r>
      <w:r w:rsidRPr="004B1A50">
        <w:rPr>
          <w:rFonts w:eastAsia="TimesNewRoman"/>
          <w:color w:val="000000"/>
          <w:szCs w:val="22"/>
          <w:lang w:val="sk-SK"/>
        </w:rPr>
        <w:t>obsluhovať stroje. Amlodipín môže mať malý alebo mierny vplyv na schopnosť viesť vozidlá</w:t>
      </w:r>
      <w:r w:rsidR="008C4255" w:rsidRPr="004B1A50">
        <w:rPr>
          <w:rFonts w:eastAsia="TimesNewRoman"/>
          <w:color w:val="000000"/>
          <w:szCs w:val="22"/>
          <w:lang w:val="sk-SK"/>
        </w:rPr>
        <w:t xml:space="preserve"> </w:t>
      </w:r>
      <w:r w:rsidRPr="004B1A50">
        <w:rPr>
          <w:rFonts w:eastAsia="TimesNewRoman"/>
          <w:color w:val="000000"/>
          <w:szCs w:val="22"/>
          <w:lang w:val="sk-SK"/>
        </w:rPr>
        <w:t>a obsluhovať stroje. Ak pacienti pociťujú závrat</w:t>
      </w:r>
      <w:r w:rsidR="00B05C7B" w:rsidRPr="004B1A50">
        <w:rPr>
          <w:rFonts w:eastAsia="TimesNewRoman"/>
          <w:color w:val="000000"/>
          <w:szCs w:val="22"/>
          <w:lang w:val="sk-SK"/>
        </w:rPr>
        <w:t>y</w:t>
      </w:r>
      <w:r w:rsidRPr="004B1A50">
        <w:rPr>
          <w:rFonts w:eastAsia="TimesNewRoman"/>
          <w:color w:val="000000"/>
          <w:szCs w:val="22"/>
          <w:lang w:val="sk-SK"/>
        </w:rPr>
        <w:t>, bolesť hlavy, vyčerpanosť, únavu alebo nauzeu, môže byť schopnosť</w:t>
      </w:r>
      <w:r w:rsidR="008C4255" w:rsidRPr="004B1A50">
        <w:rPr>
          <w:rFonts w:eastAsia="TimesNewRoman"/>
          <w:color w:val="000000"/>
          <w:szCs w:val="22"/>
          <w:lang w:val="sk-SK"/>
        </w:rPr>
        <w:t xml:space="preserve"> </w:t>
      </w:r>
      <w:r w:rsidRPr="004B1A50">
        <w:rPr>
          <w:rFonts w:eastAsia="TimesNewRoman"/>
          <w:color w:val="000000"/>
          <w:szCs w:val="22"/>
          <w:lang w:val="sk-SK"/>
        </w:rPr>
        <w:t>reagovať znížená. Odporúča sa opatrn</w:t>
      </w:r>
      <w:r w:rsidR="008C6A88" w:rsidRPr="004B1A50">
        <w:rPr>
          <w:rFonts w:eastAsia="TimesNewRoman"/>
          <w:color w:val="000000"/>
          <w:szCs w:val="22"/>
          <w:lang w:val="sk-SK"/>
        </w:rPr>
        <w:t>osť</w:t>
      </w:r>
      <w:r w:rsidRPr="004B1A50">
        <w:rPr>
          <w:rFonts w:eastAsia="TimesNewRoman"/>
          <w:color w:val="000000"/>
          <w:szCs w:val="22"/>
          <w:lang w:val="sk-SK"/>
        </w:rPr>
        <w:t>, najmä na začiatku liečby.</w:t>
      </w:r>
    </w:p>
    <w:p w14:paraId="75A4970E" w14:textId="77777777" w:rsidR="00160CFC" w:rsidRPr="004B1A50" w:rsidRDefault="00160CFC" w:rsidP="00853064">
      <w:pPr>
        <w:tabs>
          <w:tab w:val="clear" w:pos="567"/>
          <w:tab w:val="left" w:pos="2460"/>
        </w:tabs>
        <w:rPr>
          <w:lang w:val="sk-SK"/>
        </w:rPr>
      </w:pPr>
    </w:p>
    <w:p w14:paraId="4643DD6F" w14:textId="77777777" w:rsidR="00160CFC" w:rsidRPr="004B1A50" w:rsidRDefault="00160CFC" w:rsidP="00853064">
      <w:pPr>
        <w:numPr>
          <w:ilvl w:val="0"/>
          <w:numId w:val="7"/>
        </w:numPr>
        <w:tabs>
          <w:tab w:val="clear" w:pos="567"/>
        </w:tabs>
        <w:ind w:left="567" w:hanging="567"/>
        <w:rPr>
          <w:lang w:val="sk-SK"/>
        </w:rPr>
      </w:pPr>
      <w:r w:rsidRPr="004B1A50">
        <w:rPr>
          <w:b/>
          <w:bCs/>
          <w:lang w:val="sk-SK"/>
        </w:rPr>
        <w:t>Nežiaduce účinky</w:t>
      </w:r>
    </w:p>
    <w:p w14:paraId="3492D426"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FE19410"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Počas liečby perindoprilom alebo amlodipínom podávanými samostatne boli pozorované tieto nežiaduce účinky,</w:t>
      </w:r>
      <w:r w:rsidR="008C4255" w:rsidRPr="004B1A50">
        <w:rPr>
          <w:rFonts w:eastAsia="TimesNewRoman"/>
          <w:color w:val="000000"/>
          <w:szCs w:val="22"/>
          <w:lang w:val="sk-SK"/>
        </w:rPr>
        <w:t xml:space="preserve"> </w:t>
      </w:r>
      <w:r w:rsidRPr="004B1A50">
        <w:rPr>
          <w:rFonts w:eastAsia="TimesNewRoman"/>
          <w:color w:val="000000"/>
          <w:szCs w:val="22"/>
          <w:lang w:val="sk-SK"/>
        </w:rPr>
        <w:t>ktoré sú uvedené na základe klasifikácie</w:t>
      </w:r>
      <w:r w:rsidR="007D110C" w:rsidRPr="004B1A50">
        <w:rPr>
          <w:rFonts w:eastAsia="TimesNewRoman"/>
          <w:color w:val="000000"/>
          <w:szCs w:val="22"/>
          <w:lang w:val="sk-SK"/>
        </w:rPr>
        <w:t xml:space="preserve"> </w:t>
      </w:r>
      <w:r w:rsidRPr="004B1A50">
        <w:rPr>
          <w:rFonts w:eastAsia="TimesNewRoman"/>
          <w:color w:val="000000"/>
          <w:szCs w:val="22"/>
          <w:lang w:val="sk-SK"/>
        </w:rPr>
        <w:t>databázy MedDRA podľa tried orgánových systémov a nasledujúcej frekvencie výskytu:</w:t>
      </w:r>
    </w:p>
    <w:p w14:paraId="14508E0D" w14:textId="17F51F09"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Veľmi časté (≥</w:t>
      </w:r>
      <w:r w:rsidR="000A4C64">
        <w:rPr>
          <w:rFonts w:eastAsia="TimesNewRoman"/>
          <w:color w:val="000000"/>
          <w:szCs w:val="22"/>
          <w:lang w:val="sk-SK"/>
        </w:rPr>
        <w:t> </w:t>
      </w:r>
      <w:r w:rsidRPr="004B1A50">
        <w:rPr>
          <w:rFonts w:eastAsia="TimesNewRoman"/>
          <w:color w:val="000000"/>
          <w:szCs w:val="22"/>
          <w:lang w:val="sk-SK"/>
        </w:rPr>
        <w:t>1/10); časté (≥</w:t>
      </w:r>
      <w:r w:rsidR="000A4C64">
        <w:rPr>
          <w:rFonts w:eastAsia="TimesNewRoman"/>
          <w:color w:val="000000"/>
          <w:szCs w:val="22"/>
          <w:lang w:val="sk-SK"/>
        </w:rPr>
        <w:t> </w:t>
      </w:r>
      <w:r w:rsidRPr="004B1A50">
        <w:rPr>
          <w:rFonts w:eastAsia="TimesNewRoman"/>
          <w:color w:val="000000"/>
          <w:szCs w:val="22"/>
          <w:lang w:val="sk-SK"/>
        </w:rPr>
        <w:t>1/100 až &lt;</w:t>
      </w:r>
      <w:r w:rsidR="000A4C64">
        <w:rPr>
          <w:rFonts w:eastAsia="TimesNewRoman"/>
          <w:color w:val="000000"/>
          <w:szCs w:val="22"/>
          <w:lang w:val="sk-SK"/>
        </w:rPr>
        <w:t> </w:t>
      </w:r>
      <w:r w:rsidRPr="004B1A50">
        <w:rPr>
          <w:rFonts w:eastAsia="TimesNewRoman"/>
          <w:color w:val="000000"/>
          <w:szCs w:val="22"/>
          <w:lang w:val="sk-SK"/>
        </w:rPr>
        <w:t>1/10); menej časté (≥</w:t>
      </w:r>
      <w:r w:rsidR="000A4C64">
        <w:rPr>
          <w:rFonts w:eastAsia="TimesNewRoman"/>
          <w:color w:val="000000"/>
          <w:szCs w:val="22"/>
          <w:lang w:val="sk-SK"/>
        </w:rPr>
        <w:t> </w:t>
      </w:r>
      <w:r w:rsidRPr="004B1A50">
        <w:rPr>
          <w:rFonts w:eastAsia="TimesNewRoman"/>
          <w:color w:val="000000"/>
          <w:szCs w:val="22"/>
          <w:lang w:val="sk-SK"/>
        </w:rPr>
        <w:t>1/1</w:t>
      </w:r>
      <w:r w:rsidR="000A4C64">
        <w:rPr>
          <w:rFonts w:eastAsia="TimesNewRoman"/>
          <w:color w:val="000000"/>
          <w:szCs w:val="22"/>
          <w:lang w:val="sk-SK"/>
        </w:rPr>
        <w:t> </w:t>
      </w:r>
      <w:r w:rsidRPr="004B1A50">
        <w:rPr>
          <w:rFonts w:eastAsia="TimesNewRoman"/>
          <w:color w:val="000000"/>
          <w:szCs w:val="22"/>
          <w:lang w:val="sk-SK"/>
        </w:rPr>
        <w:t>000 až &lt;</w:t>
      </w:r>
      <w:r w:rsidR="000A4C64">
        <w:rPr>
          <w:rFonts w:eastAsia="TimesNewRoman"/>
          <w:color w:val="000000"/>
          <w:szCs w:val="22"/>
          <w:lang w:val="sk-SK"/>
        </w:rPr>
        <w:t> </w:t>
      </w:r>
      <w:r w:rsidRPr="004B1A50">
        <w:rPr>
          <w:rFonts w:eastAsia="TimesNewRoman"/>
          <w:color w:val="000000"/>
          <w:szCs w:val="22"/>
          <w:lang w:val="sk-SK"/>
        </w:rPr>
        <w:t>1/100); zriedkavé (≥</w:t>
      </w:r>
      <w:r w:rsidR="000A4C64">
        <w:rPr>
          <w:rFonts w:eastAsia="TimesNewRoman"/>
          <w:color w:val="000000"/>
          <w:szCs w:val="22"/>
          <w:lang w:val="sk-SK"/>
        </w:rPr>
        <w:t> </w:t>
      </w:r>
      <w:r w:rsidRPr="004B1A50">
        <w:rPr>
          <w:rFonts w:eastAsia="TimesNewRoman"/>
          <w:color w:val="000000"/>
          <w:szCs w:val="22"/>
          <w:lang w:val="sk-SK"/>
        </w:rPr>
        <w:t>1/10</w:t>
      </w:r>
      <w:r w:rsidR="000A4C64">
        <w:rPr>
          <w:rFonts w:eastAsia="TimesNewRoman"/>
          <w:color w:val="000000"/>
          <w:szCs w:val="22"/>
          <w:lang w:val="sk-SK"/>
        </w:rPr>
        <w:t> </w:t>
      </w:r>
      <w:r w:rsidRPr="004B1A50">
        <w:rPr>
          <w:rFonts w:eastAsia="TimesNewRoman"/>
          <w:color w:val="000000"/>
          <w:szCs w:val="22"/>
          <w:lang w:val="sk-SK"/>
        </w:rPr>
        <w:t>000 až</w:t>
      </w:r>
      <w:r w:rsidR="007D110C" w:rsidRPr="004B1A50">
        <w:rPr>
          <w:rFonts w:eastAsia="TimesNewRoman"/>
          <w:color w:val="000000"/>
          <w:szCs w:val="22"/>
          <w:lang w:val="sk-SK"/>
        </w:rPr>
        <w:t xml:space="preserve"> </w:t>
      </w:r>
      <w:r w:rsidRPr="004B1A50">
        <w:rPr>
          <w:rFonts w:eastAsia="TimesNewRoman"/>
          <w:color w:val="000000"/>
          <w:szCs w:val="22"/>
          <w:lang w:val="sk-SK"/>
        </w:rPr>
        <w:t>&lt;</w:t>
      </w:r>
      <w:r w:rsidR="000A4C64">
        <w:rPr>
          <w:rFonts w:eastAsia="TimesNewRoman"/>
          <w:color w:val="000000"/>
          <w:szCs w:val="22"/>
          <w:lang w:val="sk-SK"/>
        </w:rPr>
        <w:t> </w:t>
      </w:r>
      <w:r w:rsidRPr="004B1A50">
        <w:rPr>
          <w:rFonts w:eastAsia="TimesNewRoman"/>
          <w:color w:val="000000"/>
          <w:szCs w:val="22"/>
          <w:lang w:val="sk-SK"/>
        </w:rPr>
        <w:t>1/1</w:t>
      </w:r>
      <w:r w:rsidR="000A4C64">
        <w:rPr>
          <w:rFonts w:eastAsia="TimesNewRoman"/>
          <w:color w:val="000000"/>
          <w:szCs w:val="22"/>
          <w:lang w:val="sk-SK"/>
        </w:rPr>
        <w:t> </w:t>
      </w:r>
      <w:r w:rsidRPr="004B1A50">
        <w:rPr>
          <w:rFonts w:eastAsia="TimesNewRoman"/>
          <w:color w:val="000000"/>
          <w:szCs w:val="22"/>
          <w:lang w:val="sk-SK"/>
        </w:rPr>
        <w:t>000); veľmi zriedkavé (&lt;</w:t>
      </w:r>
      <w:r w:rsidR="000A4C64">
        <w:rPr>
          <w:rFonts w:eastAsia="TimesNewRoman"/>
          <w:color w:val="000000"/>
          <w:szCs w:val="22"/>
          <w:lang w:val="sk-SK"/>
        </w:rPr>
        <w:t> </w:t>
      </w:r>
      <w:r w:rsidRPr="004B1A50">
        <w:rPr>
          <w:rFonts w:eastAsia="TimesNewRoman"/>
          <w:color w:val="000000"/>
          <w:szCs w:val="22"/>
          <w:lang w:val="sk-SK"/>
        </w:rPr>
        <w:t>1/10</w:t>
      </w:r>
      <w:r w:rsidR="000A4C64">
        <w:rPr>
          <w:rFonts w:eastAsia="TimesNewRoman"/>
          <w:color w:val="000000"/>
          <w:szCs w:val="22"/>
          <w:lang w:val="sk-SK"/>
        </w:rPr>
        <w:t> </w:t>
      </w:r>
      <w:r w:rsidRPr="004B1A50">
        <w:rPr>
          <w:rFonts w:eastAsia="TimesNewRoman"/>
          <w:color w:val="000000"/>
          <w:szCs w:val="22"/>
          <w:lang w:val="sk-SK"/>
        </w:rPr>
        <w:t>000); neznáme (z dostupných údajov).</w:t>
      </w:r>
    </w:p>
    <w:p w14:paraId="71664DA7" w14:textId="77777777" w:rsidR="00160CFC" w:rsidRPr="004B1A50" w:rsidRDefault="00160CFC" w:rsidP="00853064">
      <w:pPr>
        <w:rPr>
          <w:lang w:val="sk-SK"/>
        </w:rPr>
      </w:pPr>
    </w:p>
    <w:p w14:paraId="7CBE0410" w14:textId="77777777" w:rsidR="00160CFC" w:rsidRPr="004B1A50" w:rsidRDefault="00160CFC" w:rsidP="00853064">
      <w:pPr>
        <w:rPr>
          <w:lang w:val="sk-SK"/>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893"/>
        <w:gridCol w:w="1726"/>
        <w:gridCol w:w="1716"/>
      </w:tblGrid>
      <w:tr w:rsidR="00160CFC" w:rsidRPr="004B1A50" w14:paraId="753F2BBA" w14:textId="77777777" w:rsidTr="005D2728">
        <w:tc>
          <w:tcPr>
            <w:tcW w:w="2136" w:type="dxa"/>
            <w:vMerge w:val="restart"/>
            <w:shd w:val="clear" w:color="auto" w:fill="auto"/>
          </w:tcPr>
          <w:p w14:paraId="20AED885"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 xml:space="preserve">MedDRA </w:t>
            </w:r>
          </w:p>
          <w:p w14:paraId="6EB51FC9"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Trieda orgánových</w:t>
            </w:r>
            <w:r w:rsidR="00620D3D" w:rsidRPr="004B1A50">
              <w:rPr>
                <w:b/>
                <w:bCs/>
                <w:i/>
                <w:color w:val="000000"/>
                <w:szCs w:val="22"/>
                <w:lang w:val="sk-SK"/>
              </w:rPr>
              <w:t xml:space="preserve"> </w:t>
            </w:r>
            <w:r w:rsidRPr="004B1A50">
              <w:rPr>
                <w:b/>
                <w:bCs/>
                <w:i/>
                <w:color w:val="000000"/>
                <w:szCs w:val="22"/>
                <w:lang w:val="sk-SK"/>
              </w:rPr>
              <w:t>systémov</w:t>
            </w:r>
          </w:p>
        </w:tc>
        <w:tc>
          <w:tcPr>
            <w:tcW w:w="4244" w:type="dxa"/>
            <w:vMerge w:val="restart"/>
            <w:shd w:val="clear" w:color="auto" w:fill="auto"/>
          </w:tcPr>
          <w:p w14:paraId="35914813" w14:textId="77777777" w:rsidR="00160CFC" w:rsidRPr="004B1A50" w:rsidRDefault="00160CFC" w:rsidP="00853064">
            <w:pPr>
              <w:autoSpaceDE w:val="0"/>
              <w:autoSpaceDN w:val="0"/>
              <w:adjustRightInd w:val="0"/>
              <w:spacing w:line="240" w:lineRule="auto"/>
              <w:rPr>
                <w:b/>
                <w:bCs/>
                <w:color w:val="000000"/>
                <w:szCs w:val="22"/>
                <w:lang w:val="sk-SK"/>
              </w:rPr>
            </w:pPr>
            <w:r w:rsidRPr="004B1A50">
              <w:rPr>
                <w:b/>
                <w:bCs/>
                <w:color w:val="000000"/>
                <w:szCs w:val="22"/>
                <w:lang w:val="sk-SK"/>
              </w:rPr>
              <w:t>Nežiaduce účinky</w:t>
            </w:r>
          </w:p>
        </w:tc>
        <w:tc>
          <w:tcPr>
            <w:tcW w:w="3651" w:type="dxa"/>
            <w:gridSpan w:val="2"/>
            <w:shd w:val="clear" w:color="auto" w:fill="auto"/>
          </w:tcPr>
          <w:p w14:paraId="2186C3AA" w14:textId="77777777" w:rsidR="00160CFC" w:rsidRPr="004B1A50" w:rsidRDefault="00160CFC" w:rsidP="00853064">
            <w:pPr>
              <w:rPr>
                <w:b/>
                <w:bCs/>
                <w:color w:val="000000"/>
                <w:szCs w:val="22"/>
                <w:lang w:val="sk-SK"/>
              </w:rPr>
            </w:pPr>
            <w:r w:rsidRPr="004B1A50">
              <w:rPr>
                <w:b/>
                <w:bCs/>
                <w:color w:val="000000"/>
                <w:szCs w:val="22"/>
                <w:lang w:val="sk-SK"/>
              </w:rPr>
              <w:t>Frekvencia výskytu</w:t>
            </w:r>
          </w:p>
          <w:p w14:paraId="4A0D2487" w14:textId="77777777" w:rsidR="00160CFC" w:rsidRPr="004B1A50" w:rsidRDefault="00160CFC" w:rsidP="00853064">
            <w:pPr>
              <w:rPr>
                <w:szCs w:val="22"/>
                <w:u w:val="single"/>
                <w:lang w:val="sk-SK"/>
              </w:rPr>
            </w:pPr>
          </w:p>
        </w:tc>
      </w:tr>
      <w:tr w:rsidR="00160CFC" w:rsidRPr="004B1A50" w14:paraId="35A4B4AD" w14:textId="77777777" w:rsidTr="005D2728">
        <w:trPr>
          <w:trHeight w:val="441"/>
        </w:trPr>
        <w:tc>
          <w:tcPr>
            <w:tcW w:w="2136" w:type="dxa"/>
            <w:vMerge/>
            <w:shd w:val="clear" w:color="auto" w:fill="auto"/>
          </w:tcPr>
          <w:p w14:paraId="137D72DD" w14:textId="77777777" w:rsidR="00160CFC" w:rsidRPr="004B1A50" w:rsidRDefault="00160CFC" w:rsidP="00853064">
            <w:pPr>
              <w:rPr>
                <w:i/>
                <w:szCs w:val="22"/>
                <w:u w:val="single"/>
                <w:lang w:val="sk-SK"/>
              </w:rPr>
            </w:pPr>
          </w:p>
        </w:tc>
        <w:tc>
          <w:tcPr>
            <w:tcW w:w="4244" w:type="dxa"/>
            <w:vMerge/>
            <w:shd w:val="clear" w:color="auto" w:fill="auto"/>
          </w:tcPr>
          <w:p w14:paraId="4EAC382A" w14:textId="77777777" w:rsidR="00160CFC" w:rsidRPr="004B1A50" w:rsidRDefault="00160CFC" w:rsidP="00853064">
            <w:pPr>
              <w:rPr>
                <w:szCs w:val="22"/>
                <w:u w:val="single"/>
                <w:lang w:val="sk-SK"/>
              </w:rPr>
            </w:pPr>
          </w:p>
        </w:tc>
        <w:tc>
          <w:tcPr>
            <w:tcW w:w="1842" w:type="dxa"/>
            <w:shd w:val="clear" w:color="auto" w:fill="auto"/>
          </w:tcPr>
          <w:p w14:paraId="3FF37FB8" w14:textId="77777777" w:rsidR="00160CFC" w:rsidRPr="004B1A50" w:rsidRDefault="00160CFC" w:rsidP="00853064">
            <w:pPr>
              <w:rPr>
                <w:b/>
                <w:bCs/>
                <w:color w:val="000000"/>
                <w:szCs w:val="22"/>
                <w:lang w:val="sk-SK"/>
              </w:rPr>
            </w:pPr>
            <w:r w:rsidRPr="004B1A50">
              <w:rPr>
                <w:b/>
                <w:bCs/>
                <w:color w:val="000000"/>
                <w:szCs w:val="22"/>
                <w:lang w:val="sk-SK"/>
              </w:rPr>
              <w:t>Amlodipín</w:t>
            </w:r>
          </w:p>
        </w:tc>
        <w:tc>
          <w:tcPr>
            <w:tcW w:w="1809" w:type="dxa"/>
            <w:shd w:val="clear" w:color="auto" w:fill="auto"/>
          </w:tcPr>
          <w:p w14:paraId="7B779539" w14:textId="77777777" w:rsidR="00160CFC" w:rsidRPr="004B1A50" w:rsidRDefault="00160CFC" w:rsidP="00853064">
            <w:pPr>
              <w:rPr>
                <w:b/>
                <w:bCs/>
                <w:color w:val="000000"/>
                <w:szCs w:val="22"/>
                <w:lang w:val="sk-SK"/>
              </w:rPr>
            </w:pPr>
            <w:r w:rsidRPr="004B1A50">
              <w:rPr>
                <w:b/>
                <w:bCs/>
                <w:color w:val="000000"/>
                <w:szCs w:val="22"/>
                <w:lang w:val="sk-SK"/>
              </w:rPr>
              <w:t>Perindopril</w:t>
            </w:r>
          </w:p>
        </w:tc>
      </w:tr>
      <w:tr w:rsidR="00160CFC" w:rsidRPr="004B1A50" w14:paraId="711DF425" w14:textId="77777777" w:rsidTr="005D2728">
        <w:tc>
          <w:tcPr>
            <w:tcW w:w="2136" w:type="dxa"/>
            <w:vMerge w:val="restart"/>
            <w:shd w:val="clear" w:color="auto" w:fill="auto"/>
          </w:tcPr>
          <w:p w14:paraId="0AB42C30"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 krvi a</w:t>
            </w:r>
            <w:r w:rsidR="00620D3D" w:rsidRPr="004B1A50">
              <w:rPr>
                <w:b/>
                <w:bCs/>
                <w:i/>
                <w:color w:val="000000"/>
                <w:szCs w:val="22"/>
                <w:lang w:val="sk-SK"/>
              </w:rPr>
              <w:t xml:space="preserve"> l</w:t>
            </w:r>
            <w:r w:rsidRPr="004B1A50">
              <w:rPr>
                <w:b/>
                <w:bCs/>
                <w:i/>
                <w:color w:val="000000"/>
                <w:szCs w:val="22"/>
                <w:lang w:val="sk-SK"/>
              </w:rPr>
              <w:t>ymfatického</w:t>
            </w:r>
            <w:r w:rsidR="00620D3D" w:rsidRPr="004B1A50">
              <w:rPr>
                <w:b/>
                <w:bCs/>
                <w:i/>
                <w:color w:val="000000"/>
                <w:szCs w:val="22"/>
                <w:lang w:val="sk-SK"/>
              </w:rPr>
              <w:t xml:space="preserve"> systém</w:t>
            </w:r>
          </w:p>
          <w:p w14:paraId="3D0FF106" w14:textId="77777777" w:rsidR="00160CFC" w:rsidRPr="004B1A50" w:rsidRDefault="00160CFC" w:rsidP="00853064">
            <w:pPr>
              <w:rPr>
                <w:i/>
                <w:szCs w:val="22"/>
                <w:u w:val="single"/>
                <w:lang w:val="sk-SK"/>
              </w:rPr>
            </w:pPr>
          </w:p>
        </w:tc>
        <w:tc>
          <w:tcPr>
            <w:tcW w:w="4244" w:type="dxa"/>
            <w:shd w:val="clear" w:color="auto" w:fill="auto"/>
          </w:tcPr>
          <w:p w14:paraId="279E46E0" w14:textId="77777777" w:rsidR="00160CFC" w:rsidRPr="004B1A50" w:rsidRDefault="00160CFC" w:rsidP="00853064">
            <w:pPr>
              <w:rPr>
                <w:color w:val="000000"/>
                <w:szCs w:val="22"/>
                <w:lang w:val="sk-SK"/>
              </w:rPr>
            </w:pPr>
            <w:r w:rsidRPr="004B1A50">
              <w:rPr>
                <w:rFonts w:eastAsia="TimesNewRoman"/>
                <w:color w:val="000000"/>
                <w:szCs w:val="22"/>
                <w:lang w:val="sk-SK"/>
              </w:rPr>
              <w:t>Leukopénia/neutropénia (pozri časť 4.4)</w:t>
            </w:r>
          </w:p>
        </w:tc>
        <w:tc>
          <w:tcPr>
            <w:tcW w:w="1842" w:type="dxa"/>
            <w:shd w:val="clear" w:color="auto" w:fill="auto"/>
          </w:tcPr>
          <w:p w14:paraId="7E11D517"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0D28CBC5" w14:textId="77777777" w:rsidR="00160CFC" w:rsidRPr="004B1A50" w:rsidRDefault="00160CFC" w:rsidP="00853064">
            <w:pPr>
              <w:rPr>
                <w:szCs w:val="22"/>
                <w:lang w:val="sk-SK"/>
              </w:rPr>
            </w:pPr>
            <w:r w:rsidRPr="004B1A50">
              <w:rPr>
                <w:szCs w:val="22"/>
                <w:lang w:val="sk-SK"/>
              </w:rPr>
              <w:t>Veľmi zriedkavé</w:t>
            </w:r>
          </w:p>
        </w:tc>
      </w:tr>
      <w:tr w:rsidR="00160CFC" w:rsidRPr="004B1A50" w14:paraId="4C8FB475" w14:textId="77777777" w:rsidTr="005D2728">
        <w:tc>
          <w:tcPr>
            <w:tcW w:w="2136" w:type="dxa"/>
            <w:vMerge/>
            <w:shd w:val="clear" w:color="auto" w:fill="auto"/>
          </w:tcPr>
          <w:p w14:paraId="252C1665" w14:textId="77777777" w:rsidR="00160CFC" w:rsidRPr="004B1A50" w:rsidRDefault="00160CFC" w:rsidP="00853064">
            <w:pPr>
              <w:rPr>
                <w:i/>
                <w:szCs w:val="22"/>
                <w:u w:val="single"/>
                <w:lang w:val="sk-SK"/>
              </w:rPr>
            </w:pPr>
          </w:p>
        </w:tc>
        <w:tc>
          <w:tcPr>
            <w:tcW w:w="4244" w:type="dxa"/>
            <w:shd w:val="clear" w:color="auto" w:fill="auto"/>
          </w:tcPr>
          <w:p w14:paraId="2763EA59" w14:textId="77777777" w:rsidR="00160CFC" w:rsidRPr="004B1A50" w:rsidRDefault="00160CFC" w:rsidP="00853064">
            <w:pPr>
              <w:rPr>
                <w:color w:val="000000"/>
                <w:szCs w:val="22"/>
                <w:lang w:val="sk-SK"/>
              </w:rPr>
            </w:pPr>
            <w:r w:rsidRPr="004B1A50">
              <w:rPr>
                <w:rFonts w:eastAsia="TimesNewRoman"/>
                <w:color w:val="000000"/>
                <w:szCs w:val="22"/>
                <w:lang w:val="sk-SK"/>
              </w:rPr>
              <w:t>Agranulocytóza alebo pancytopénia (pozri časť 4.4)</w:t>
            </w:r>
          </w:p>
        </w:tc>
        <w:tc>
          <w:tcPr>
            <w:tcW w:w="1842" w:type="dxa"/>
            <w:shd w:val="clear" w:color="auto" w:fill="auto"/>
          </w:tcPr>
          <w:p w14:paraId="3F222103"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1B595146" w14:textId="77777777" w:rsidR="00160CFC" w:rsidRPr="004B1A50" w:rsidRDefault="00160CFC" w:rsidP="00853064">
            <w:pPr>
              <w:rPr>
                <w:szCs w:val="22"/>
                <w:lang w:val="sk-SK"/>
              </w:rPr>
            </w:pPr>
            <w:r w:rsidRPr="004B1A50">
              <w:rPr>
                <w:szCs w:val="22"/>
                <w:lang w:val="sk-SK"/>
              </w:rPr>
              <w:t>Veľmi zriedkavé</w:t>
            </w:r>
          </w:p>
        </w:tc>
      </w:tr>
      <w:tr w:rsidR="00160CFC" w:rsidRPr="004B1A50" w14:paraId="12370F93" w14:textId="77777777" w:rsidTr="005D2728">
        <w:tc>
          <w:tcPr>
            <w:tcW w:w="2136" w:type="dxa"/>
            <w:vMerge/>
            <w:shd w:val="clear" w:color="auto" w:fill="auto"/>
          </w:tcPr>
          <w:p w14:paraId="400AD807" w14:textId="77777777" w:rsidR="00160CFC" w:rsidRPr="004B1A50" w:rsidRDefault="00160CFC" w:rsidP="00853064">
            <w:pPr>
              <w:rPr>
                <w:i/>
                <w:szCs w:val="22"/>
                <w:u w:val="single"/>
                <w:lang w:val="sk-SK"/>
              </w:rPr>
            </w:pPr>
          </w:p>
        </w:tc>
        <w:tc>
          <w:tcPr>
            <w:tcW w:w="4244" w:type="dxa"/>
            <w:shd w:val="clear" w:color="auto" w:fill="auto"/>
          </w:tcPr>
          <w:p w14:paraId="7B0E511E" w14:textId="77777777" w:rsidR="00160CFC" w:rsidRPr="004B1A50" w:rsidRDefault="00160CFC" w:rsidP="00853064">
            <w:pPr>
              <w:rPr>
                <w:color w:val="000000"/>
                <w:szCs w:val="22"/>
                <w:lang w:val="sk-SK"/>
              </w:rPr>
            </w:pPr>
            <w:r w:rsidRPr="004B1A50">
              <w:rPr>
                <w:rFonts w:eastAsia="TimesNewRoman"/>
                <w:color w:val="000000"/>
                <w:szCs w:val="22"/>
                <w:lang w:val="sk-SK"/>
              </w:rPr>
              <w:t>Trombocytopénia (pozri časť 4.4)</w:t>
            </w:r>
          </w:p>
        </w:tc>
        <w:tc>
          <w:tcPr>
            <w:tcW w:w="1842" w:type="dxa"/>
            <w:shd w:val="clear" w:color="auto" w:fill="auto"/>
          </w:tcPr>
          <w:p w14:paraId="6F4ADE29"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2639CB40" w14:textId="77777777" w:rsidR="00160CFC" w:rsidRPr="004B1A50" w:rsidRDefault="00160CFC" w:rsidP="00853064">
            <w:pPr>
              <w:rPr>
                <w:szCs w:val="22"/>
                <w:lang w:val="sk-SK"/>
              </w:rPr>
            </w:pPr>
            <w:r w:rsidRPr="004B1A50">
              <w:rPr>
                <w:szCs w:val="22"/>
                <w:lang w:val="sk-SK"/>
              </w:rPr>
              <w:t>Veľmi zriedkavé</w:t>
            </w:r>
          </w:p>
        </w:tc>
      </w:tr>
      <w:tr w:rsidR="00160CFC" w:rsidRPr="004B1A50" w14:paraId="0B08F0FB" w14:textId="77777777" w:rsidTr="005D2728">
        <w:tc>
          <w:tcPr>
            <w:tcW w:w="2136" w:type="dxa"/>
            <w:vMerge/>
            <w:shd w:val="clear" w:color="auto" w:fill="auto"/>
          </w:tcPr>
          <w:p w14:paraId="655D2C27" w14:textId="77777777" w:rsidR="00160CFC" w:rsidRPr="004B1A50" w:rsidRDefault="00160CFC" w:rsidP="00853064">
            <w:pPr>
              <w:rPr>
                <w:i/>
                <w:szCs w:val="22"/>
                <w:u w:val="single"/>
                <w:lang w:val="sk-SK"/>
              </w:rPr>
            </w:pPr>
          </w:p>
        </w:tc>
        <w:tc>
          <w:tcPr>
            <w:tcW w:w="4244" w:type="dxa"/>
            <w:shd w:val="clear" w:color="auto" w:fill="auto"/>
          </w:tcPr>
          <w:p w14:paraId="4273C563" w14:textId="31B4560A"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Hemolytická anémia u pacientov s</w:t>
            </w:r>
            <w:r w:rsidR="00A045BA">
              <w:rPr>
                <w:rFonts w:eastAsia="TimesNewRoman"/>
                <w:color w:val="000000"/>
                <w:szCs w:val="22"/>
                <w:lang w:val="sk-SK"/>
              </w:rPr>
              <w:t> </w:t>
            </w:r>
            <w:r w:rsidRPr="004B1A50">
              <w:rPr>
                <w:rFonts w:eastAsia="TimesNewRoman"/>
                <w:color w:val="000000"/>
                <w:szCs w:val="22"/>
                <w:lang w:val="sk-SK"/>
              </w:rPr>
              <w:t>vrodenou deficienciou G-6PDH (pozri časť 4.4)</w:t>
            </w:r>
          </w:p>
        </w:tc>
        <w:tc>
          <w:tcPr>
            <w:tcW w:w="1842" w:type="dxa"/>
            <w:shd w:val="clear" w:color="auto" w:fill="auto"/>
          </w:tcPr>
          <w:p w14:paraId="6E682C0C"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D6EB455" w14:textId="77777777" w:rsidR="00160CFC" w:rsidRPr="004B1A50" w:rsidRDefault="00160CFC" w:rsidP="00853064">
            <w:pPr>
              <w:rPr>
                <w:szCs w:val="22"/>
                <w:lang w:val="sk-SK"/>
              </w:rPr>
            </w:pPr>
            <w:r w:rsidRPr="004B1A50">
              <w:rPr>
                <w:szCs w:val="22"/>
                <w:lang w:val="sk-SK"/>
              </w:rPr>
              <w:t>Veľmi zriedkavé</w:t>
            </w:r>
          </w:p>
        </w:tc>
      </w:tr>
      <w:tr w:rsidR="00160CFC" w:rsidRPr="004B1A50" w14:paraId="7833A166" w14:textId="77777777" w:rsidTr="005D2728">
        <w:tc>
          <w:tcPr>
            <w:tcW w:w="2136" w:type="dxa"/>
            <w:vMerge/>
            <w:shd w:val="clear" w:color="auto" w:fill="auto"/>
          </w:tcPr>
          <w:p w14:paraId="71118753" w14:textId="77777777" w:rsidR="00160CFC" w:rsidRPr="004B1A50" w:rsidRDefault="00160CFC" w:rsidP="00853064">
            <w:pPr>
              <w:rPr>
                <w:i/>
                <w:szCs w:val="22"/>
                <w:u w:val="single"/>
                <w:lang w:val="sk-SK"/>
              </w:rPr>
            </w:pPr>
          </w:p>
        </w:tc>
        <w:tc>
          <w:tcPr>
            <w:tcW w:w="4244" w:type="dxa"/>
            <w:shd w:val="clear" w:color="auto" w:fill="auto"/>
          </w:tcPr>
          <w:p w14:paraId="4881798E" w14:textId="77777777" w:rsidR="00160CFC" w:rsidRPr="004B1A50" w:rsidRDefault="00160CFC" w:rsidP="00853064">
            <w:pPr>
              <w:rPr>
                <w:color w:val="000000"/>
                <w:szCs w:val="22"/>
                <w:lang w:val="sk-SK"/>
              </w:rPr>
            </w:pPr>
            <w:r w:rsidRPr="004B1A50">
              <w:rPr>
                <w:rFonts w:eastAsia="TimesNewRoman"/>
                <w:color w:val="000000"/>
                <w:szCs w:val="22"/>
                <w:lang w:val="sk-SK"/>
              </w:rPr>
              <w:t>Zníženie hodnôt hemoglobínu a hematokritu</w:t>
            </w:r>
          </w:p>
        </w:tc>
        <w:tc>
          <w:tcPr>
            <w:tcW w:w="1842" w:type="dxa"/>
            <w:shd w:val="clear" w:color="auto" w:fill="auto"/>
          </w:tcPr>
          <w:p w14:paraId="2A2126E9"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54DE88D1" w14:textId="77777777" w:rsidR="00160CFC" w:rsidRPr="004B1A50" w:rsidRDefault="00160CFC" w:rsidP="00853064">
            <w:pPr>
              <w:rPr>
                <w:szCs w:val="22"/>
                <w:lang w:val="sk-SK"/>
              </w:rPr>
            </w:pPr>
            <w:r w:rsidRPr="004B1A50">
              <w:rPr>
                <w:szCs w:val="22"/>
                <w:lang w:val="sk-SK"/>
              </w:rPr>
              <w:t>Veľmi zriedkavé</w:t>
            </w:r>
          </w:p>
        </w:tc>
      </w:tr>
      <w:tr w:rsidR="00160CFC" w:rsidRPr="004B1A50" w14:paraId="1FD1AC53" w14:textId="77777777" w:rsidTr="005D2728">
        <w:tc>
          <w:tcPr>
            <w:tcW w:w="2136" w:type="dxa"/>
            <w:shd w:val="clear" w:color="auto" w:fill="auto"/>
          </w:tcPr>
          <w:p w14:paraId="6FC3C056"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 imunitného</w:t>
            </w:r>
            <w:r w:rsidR="00620D3D" w:rsidRPr="004B1A50">
              <w:rPr>
                <w:b/>
                <w:bCs/>
                <w:i/>
                <w:color w:val="000000"/>
                <w:szCs w:val="22"/>
                <w:lang w:val="sk-SK"/>
              </w:rPr>
              <w:t xml:space="preserve"> </w:t>
            </w:r>
            <w:r w:rsidRPr="004B1A50">
              <w:rPr>
                <w:b/>
                <w:bCs/>
                <w:i/>
                <w:color w:val="000000"/>
                <w:szCs w:val="22"/>
                <w:lang w:val="sk-SK"/>
              </w:rPr>
              <w:t>systému</w:t>
            </w:r>
          </w:p>
        </w:tc>
        <w:tc>
          <w:tcPr>
            <w:tcW w:w="4244" w:type="dxa"/>
            <w:shd w:val="clear" w:color="auto" w:fill="auto"/>
          </w:tcPr>
          <w:p w14:paraId="43B68DDE" w14:textId="77777777" w:rsidR="00160CFC" w:rsidRPr="004B1A50" w:rsidRDefault="00160CFC" w:rsidP="00853064">
            <w:pPr>
              <w:rPr>
                <w:color w:val="000000"/>
                <w:szCs w:val="22"/>
                <w:lang w:val="sk-SK"/>
              </w:rPr>
            </w:pPr>
            <w:r w:rsidRPr="004B1A50">
              <w:rPr>
                <w:rFonts w:eastAsia="TimesNewRoman"/>
                <w:color w:val="000000"/>
                <w:szCs w:val="22"/>
                <w:lang w:val="sk-SK"/>
              </w:rPr>
              <w:t>Alergické reakcie</w:t>
            </w:r>
          </w:p>
        </w:tc>
        <w:tc>
          <w:tcPr>
            <w:tcW w:w="1842" w:type="dxa"/>
            <w:shd w:val="clear" w:color="auto" w:fill="auto"/>
          </w:tcPr>
          <w:p w14:paraId="4D6D4368"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73BFCABD" w14:textId="77777777" w:rsidR="00160CFC" w:rsidRPr="004B1A50" w:rsidRDefault="00160CFC" w:rsidP="00853064">
            <w:pPr>
              <w:rPr>
                <w:szCs w:val="22"/>
                <w:lang w:val="sk-SK"/>
              </w:rPr>
            </w:pPr>
            <w:r w:rsidRPr="004B1A50">
              <w:rPr>
                <w:szCs w:val="22"/>
                <w:lang w:val="sk-SK"/>
              </w:rPr>
              <w:t>Menej časté</w:t>
            </w:r>
          </w:p>
        </w:tc>
      </w:tr>
      <w:tr w:rsidR="00160CFC" w:rsidRPr="004B1A50" w14:paraId="279FBDA4" w14:textId="77777777" w:rsidTr="005D2728">
        <w:tc>
          <w:tcPr>
            <w:tcW w:w="2136" w:type="dxa"/>
            <w:vMerge w:val="restart"/>
            <w:shd w:val="clear" w:color="auto" w:fill="auto"/>
          </w:tcPr>
          <w:p w14:paraId="49CCA2C6"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w:t>
            </w:r>
            <w:r w:rsidR="00620D3D" w:rsidRPr="004B1A50">
              <w:rPr>
                <w:b/>
                <w:bCs/>
                <w:i/>
                <w:color w:val="000000"/>
                <w:szCs w:val="22"/>
                <w:lang w:val="sk-SK"/>
              </w:rPr>
              <w:t xml:space="preserve"> m</w:t>
            </w:r>
            <w:r w:rsidRPr="004B1A50">
              <w:rPr>
                <w:b/>
                <w:bCs/>
                <w:i/>
                <w:color w:val="000000"/>
                <w:szCs w:val="22"/>
                <w:lang w:val="sk-SK"/>
              </w:rPr>
              <w:t>etabolizmu</w:t>
            </w:r>
            <w:r w:rsidR="00620D3D" w:rsidRPr="004B1A50">
              <w:rPr>
                <w:b/>
                <w:bCs/>
                <w:i/>
                <w:color w:val="000000"/>
                <w:szCs w:val="22"/>
                <w:lang w:val="sk-SK"/>
              </w:rPr>
              <w:t xml:space="preserve"> </w:t>
            </w:r>
            <w:r w:rsidRPr="004B1A50">
              <w:rPr>
                <w:b/>
                <w:bCs/>
                <w:i/>
                <w:color w:val="000000"/>
                <w:szCs w:val="22"/>
                <w:lang w:val="sk-SK"/>
              </w:rPr>
              <w:t>a výživy</w:t>
            </w:r>
          </w:p>
        </w:tc>
        <w:tc>
          <w:tcPr>
            <w:tcW w:w="4244" w:type="dxa"/>
            <w:shd w:val="clear" w:color="auto" w:fill="auto"/>
          </w:tcPr>
          <w:p w14:paraId="4A8D6FBA" w14:textId="77777777" w:rsidR="00160CFC" w:rsidRPr="004B1A50" w:rsidRDefault="00160CFC" w:rsidP="00853064">
            <w:pPr>
              <w:rPr>
                <w:color w:val="000000"/>
                <w:szCs w:val="22"/>
                <w:lang w:val="sk-SK"/>
              </w:rPr>
            </w:pPr>
            <w:r w:rsidRPr="004B1A50">
              <w:rPr>
                <w:rFonts w:eastAsia="TimesNewRoman"/>
                <w:color w:val="000000"/>
                <w:szCs w:val="22"/>
                <w:lang w:val="sk-SK"/>
              </w:rPr>
              <w:t xml:space="preserve">Hyperglykémia </w:t>
            </w:r>
          </w:p>
        </w:tc>
        <w:tc>
          <w:tcPr>
            <w:tcW w:w="1842" w:type="dxa"/>
            <w:shd w:val="clear" w:color="auto" w:fill="auto"/>
          </w:tcPr>
          <w:p w14:paraId="2F041EB1" w14:textId="77777777" w:rsidR="00160CFC" w:rsidRPr="004B1A50" w:rsidRDefault="00160CFC" w:rsidP="00853064">
            <w:pPr>
              <w:rPr>
                <w:color w:val="000000"/>
                <w:szCs w:val="22"/>
                <w:lang w:val="sk-SK"/>
              </w:rPr>
            </w:pPr>
            <w:r w:rsidRPr="004B1A50">
              <w:rPr>
                <w:rFonts w:eastAsia="TimesNewRoman"/>
                <w:color w:val="000000"/>
                <w:szCs w:val="22"/>
                <w:lang w:val="sk-SK"/>
              </w:rPr>
              <w:t>Veľmi zriedkavé</w:t>
            </w:r>
          </w:p>
        </w:tc>
        <w:tc>
          <w:tcPr>
            <w:tcW w:w="1809" w:type="dxa"/>
            <w:shd w:val="clear" w:color="auto" w:fill="auto"/>
          </w:tcPr>
          <w:p w14:paraId="4C1A4A43" w14:textId="77777777" w:rsidR="00160CFC" w:rsidRPr="004B1A50" w:rsidRDefault="00160CFC" w:rsidP="00853064">
            <w:pPr>
              <w:rPr>
                <w:szCs w:val="22"/>
                <w:lang w:val="sk-SK"/>
              </w:rPr>
            </w:pPr>
            <w:r w:rsidRPr="004B1A50">
              <w:rPr>
                <w:szCs w:val="22"/>
                <w:lang w:val="sk-SK"/>
              </w:rPr>
              <w:t>–</w:t>
            </w:r>
          </w:p>
        </w:tc>
      </w:tr>
      <w:tr w:rsidR="00160CFC" w:rsidRPr="004B1A50" w14:paraId="058A6A56" w14:textId="77777777" w:rsidTr="005D2728">
        <w:tc>
          <w:tcPr>
            <w:tcW w:w="2136" w:type="dxa"/>
            <w:vMerge/>
            <w:shd w:val="clear" w:color="auto" w:fill="auto"/>
          </w:tcPr>
          <w:p w14:paraId="363AF320" w14:textId="77777777" w:rsidR="00160CFC" w:rsidRPr="004B1A50" w:rsidRDefault="00160CFC" w:rsidP="00853064">
            <w:pPr>
              <w:rPr>
                <w:i/>
                <w:szCs w:val="22"/>
                <w:u w:val="single"/>
                <w:lang w:val="sk-SK"/>
              </w:rPr>
            </w:pPr>
          </w:p>
        </w:tc>
        <w:tc>
          <w:tcPr>
            <w:tcW w:w="4244" w:type="dxa"/>
            <w:shd w:val="clear" w:color="auto" w:fill="auto"/>
          </w:tcPr>
          <w:p w14:paraId="0E8DF575" w14:textId="77777777" w:rsidR="00160CFC" w:rsidRPr="004B1A50" w:rsidRDefault="00160CFC" w:rsidP="00853064">
            <w:pPr>
              <w:rPr>
                <w:szCs w:val="22"/>
                <w:lang w:val="sk-SK"/>
              </w:rPr>
            </w:pPr>
            <w:r w:rsidRPr="004B1A50">
              <w:rPr>
                <w:rFonts w:eastAsia="TimesNewRoman"/>
                <w:szCs w:val="22"/>
                <w:lang w:val="sk-SK"/>
              </w:rPr>
              <w:t>Hypoglykémia (pozri časti 4.4 a 4.5)</w:t>
            </w:r>
          </w:p>
        </w:tc>
        <w:tc>
          <w:tcPr>
            <w:tcW w:w="1842" w:type="dxa"/>
            <w:shd w:val="clear" w:color="auto" w:fill="auto"/>
          </w:tcPr>
          <w:p w14:paraId="770E5361"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7BA1B42F" w14:textId="77777777" w:rsidR="00160CFC" w:rsidRPr="004B1A50" w:rsidRDefault="00160CFC" w:rsidP="00853064">
            <w:pPr>
              <w:rPr>
                <w:szCs w:val="22"/>
                <w:lang w:val="sk-SK"/>
              </w:rPr>
            </w:pPr>
            <w:r w:rsidRPr="004B1A50">
              <w:rPr>
                <w:szCs w:val="22"/>
                <w:lang w:val="sk-SK"/>
              </w:rPr>
              <w:t>Neznáme</w:t>
            </w:r>
          </w:p>
        </w:tc>
      </w:tr>
      <w:tr w:rsidR="00160CFC" w:rsidRPr="004B1A50" w14:paraId="2DC2B548" w14:textId="77777777" w:rsidTr="005D2728">
        <w:tc>
          <w:tcPr>
            <w:tcW w:w="2136" w:type="dxa"/>
            <w:vMerge w:val="restart"/>
            <w:shd w:val="clear" w:color="auto" w:fill="auto"/>
          </w:tcPr>
          <w:p w14:paraId="2A1E1114"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Psychické</w:t>
            </w:r>
            <w:r w:rsidR="00620D3D" w:rsidRPr="004B1A50">
              <w:rPr>
                <w:b/>
                <w:bCs/>
                <w:i/>
                <w:color w:val="000000"/>
                <w:szCs w:val="22"/>
                <w:lang w:val="sk-SK"/>
              </w:rPr>
              <w:t xml:space="preserve"> </w:t>
            </w:r>
            <w:r w:rsidRPr="004B1A50">
              <w:rPr>
                <w:b/>
                <w:bCs/>
                <w:i/>
                <w:color w:val="000000"/>
                <w:szCs w:val="22"/>
                <w:lang w:val="sk-SK"/>
              </w:rPr>
              <w:t>poruchy</w:t>
            </w:r>
          </w:p>
        </w:tc>
        <w:tc>
          <w:tcPr>
            <w:tcW w:w="4244" w:type="dxa"/>
            <w:shd w:val="clear" w:color="auto" w:fill="auto"/>
          </w:tcPr>
          <w:p w14:paraId="5E81E9B5" w14:textId="77777777" w:rsidR="00160CFC" w:rsidRPr="004B1A50" w:rsidRDefault="00160CFC" w:rsidP="00853064">
            <w:pPr>
              <w:rPr>
                <w:szCs w:val="22"/>
                <w:lang w:val="sk-SK"/>
              </w:rPr>
            </w:pPr>
            <w:r w:rsidRPr="004B1A50">
              <w:rPr>
                <w:szCs w:val="22"/>
                <w:lang w:val="sk-SK"/>
              </w:rPr>
              <w:t>Nespavosť</w:t>
            </w:r>
          </w:p>
        </w:tc>
        <w:tc>
          <w:tcPr>
            <w:tcW w:w="1842" w:type="dxa"/>
            <w:shd w:val="clear" w:color="auto" w:fill="auto"/>
          </w:tcPr>
          <w:p w14:paraId="38EF9C7F"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5B538283" w14:textId="77777777" w:rsidR="00160CFC" w:rsidRPr="004B1A50" w:rsidRDefault="00160CFC" w:rsidP="00853064">
            <w:pPr>
              <w:rPr>
                <w:szCs w:val="22"/>
                <w:lang w:val="sk-SK"/>
              </w:rPr>
            </w:pPr>
            <w:r w:rsidRPr="004B1A50">
              <w:rPr>
                <w:szCs w:val="22"/>
                <w:lang w:val="sk-SK"/>
              </w:rPr>
              <w:t>–</w:t>
            </w:r>
          </w:p>
        </w:tc>
      </w:tr>
      <w:tr w:rsidR="00160CFC" w:rsidRPr="004B1A50" w14:paraId="65D22E07" w14:textId="77777777" w:rsidTr="005D2728">
        <w:tc>
          <w:tcPr>
            <w:tcW w:w="2136" w:type="dxa"/>
            <w:vMerge/>
            <w:shd w:val="clear" w:color="auto" w:fill="auto"/>
          </w:tcPr>
          <w:p w14:paraId="21B14EE5" w14:textId="77777777" w:rsidR="00160CFC" w:rsidRPr="004B1A50" w:rsidRDefault="00160CFC" w:rsidP="00853064">
            <w:pPr>
              <w:rPr>
                <w:i/>
                <w:szCs w:val="22"/>
                <w:u w:val="single"/>
                <w:lang w:val="sk-SK"/>
              </w:rPr>
            </w:pPr>
          </w:p>
        </w:tc>
        <w:tc>
          <w:tcPr>
            <w:tcW w:w="4244" w:type="dxa"/>
            <w:shd w:val="clear" w:color="auto" w:fill="auto"/>
          </w:tcPr>
          <w:p w14:paraId="2A2C6276" w14:textId="77777777" w:rsidR="00160CFC" w:rsidRPr="004B1A50" w:rsidRDefault="00160CFC" w:rsidP="00853064">
            <w:pPr>
              <w:rPr>
                <w:szCs w:val="22"/>
                <w:lang w:val="sk-SK"/>
              </w:rPr>
            </w:pPr>
            <w:r w:rsidRPr="004B1A50">
              <w:rPr>
                <w:szCs w:val="22"/>
                <w:lang w:val="sk-SK"/>
              </w:rPr>
              <w:t>Zmeny nálady (vrátane úzkosti)</w:t>
            </w:r>
          </w:p>
        </w:tc>
        <w:tc>
          <w:tcPr>
            <w:tcW w:w="1842" w:type="dxa"/>
            <w:shd w:val="clear" w:color="auto" w:fill="auto"/>
          </w:tcPr>
          <w:p w14:paraId="03CA1659"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7AC800C3" w14:textId="77777777" w:rsidR="00160CFC" w:rsidRPr="004B1A50" w:rsidRDefault="00160CFC" w:rsidP="00853064">
            <w:pPr>
              <w:rPr>
                <w:szCs w:val="22"/>
                <w:lang w:val="sk-SK"/>
              </w:rPr>
            </w:pPr>
            <w:r w:rsidRPr="004B1A50">
              <w:rPr>
                <w:szCs w:val="22"/>
                <w:lang w:val="sk-SK"/>
              </w:rPr>
              <w:t>Menej časté</w:t>
            </w:r>
          </w:p>
        </w:tc>
      </w:tr>
      <w:tr w:rsidR="00160CFC" w:rsidRPr="004B1A50" w14:paraId="00A34CD1" w14:textId="77777777" w:rsidTr="005D2728">
        <w:tc>
          <w:tcPr>
            <w:tcW w:w="2136" w:type="dxa"/>
            <w:vMerge/>
            <w:shd w:val="clear" w:color="auto" w:fill="auto"/>
          </w:tcPr>
          <w:p w14:paraId="4B3C9FAE" w14:textId="77777777" w:rsidR="00160CFC" w:rsidRPr="004B1A50" w:rsidRDefault="00160CFC" w:rsidP="00853064">
            <w:pPr>
              <w:rPr>
                <w:i/>
                <w:szCs w:val="22"/>
                <w:u w:val="single"/>
                <w:lang w:val="sk-SK"/>
              </w:rPr>
            </w:pPr>
          </w:p>
        </w:tc>
        <w:tc>
          <w:tcPr>
            <w:tcW w:w="4244" w:type="dxa"/>
            <w:shd w:val="clear" w:color="auto" w:fill="auto"/>
          </w:tcPr>
          <w:p w14:paraId="6FC6A795" w14:textId="77777777" w:rsidR="00160CFC" w:rsidRPr="004B1A50" w:rsidRDefault="00160CFC" w:rsidP="00853064">
            <w:pPr>
              <w:rPr>
                <w:szCs w:val="22"/>
                <w:lang w:val="sk-SK"/>
              </w:rPr>
            </w:pPr>
            <w:r w:rsidRPr="004B1A50">
              <w:rPr>
                <w:szCs w:val="22"/>
                <w:lang w:val="sk-SK"/>
              </w:rPr>
              <w:t>Depresia</w:t>
            </w:r>
          </w:p>
        </w:tc>
        <w:tc>
          <w:tcPr>
            <w:tcW w:w="1842" w:type="dxa"/>
            <w:shd w:val="clear" w:color="auto" w:fill="auto"/>
          </w:tcPr>
          <w:p w14:paraId="3317E302"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366CA283" w14:textId="77777777" w:rsidR="00160CFC" w:rsidRPr="004B1A50" w:rsidRDefault="00160CFC" w:rsidP="00853064">
            <w:pPr>
              <w:rPr>
                <w:szCs w:val="22"/>
                <w:lang w:val="sk-SK"/>
              </w:rPr>
            </w:pPr>
            <w:r w:rsidRPr="004B1A50">
              <w:rPr>
                <w:szCs w:val="22"/>
                <w:lang w:val="sk-SK"/>
              </w:rPr>
              <w:t>–</w:t>
            </w:r>
          </w:p>
        </w:tc>
      </w:tr>
      <w:tr w:rsidR="00160CFC" w:rsidRPr="004B1A50" w14:paraId="7F5CB3C0" w14:textId="77777777" w:rsidTr="005D2728">
        <w:tc>
          <w:tcPr>
            <w:tcW w:w="2136" w:type="dxa"/>
            <w:vMerge/>
            <w:shd w:val="clear" w:color="auto" w:fill="auto"/>
          </w:tcPr>
          <w:p w14:paraId="13C69D82" w14:textId="77777777" w:rsidR="00160CFC" w:rsidRPr="004B1A50" w:rsidRDefault="00160CFC" w:rsidP="00853064">
            <w:pPr>
              <w:rPr>
                <w:i/>
                <w:szCs w:val="22"/>
                <w:u w:val="single"/>
                <w:lang w:val="sk-SK"/>
              </w:rPr>
            </w:pPr>
          </w:p>
        </w:tc>
        <w:tc>
          <w:tcPr>
            <w:tcW w:w="4244" w:type="dxa"/>
            <w:shd w:val="clear" w:color="auto" w:fill="auto"/>
          </w:tcPr>
          <w:p w14:paraId="459544D1" w14:textId="77777777" w:rsidR="00160CFC" w:rsidRPr="004B1A50" w:rsidRDefault="00160CFC" w:rsidP="00853064">
            <w:pPr>
              <w:rPr>
                <w:szCs w:val="22"/>
                <w:lang w:val="sk-SK"/>
              </w:rPr>
            </w:pPr>
            <w:r w:rsidRPr="004B1A50">
              <w:rPr>
                <w:szCs w:val="22"/>
                <w:lang w:val="sk-SK"/>
              </w:rPr>
              <w:t>Poruchy spánku</w:t>
            </w:r>
          </w:p>
        </w:tc>
        <w:tc>
          <w:tcPr>
            <w:tcW w:w="1842" w:type="dxa"/>
            <w:shd w:val="clear" w:color="auto" w:fill="auto"/>
          </w:tcPr>
          <w:p w14:paraId="0A7DDAEF"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1944CC42" w14:textId="77777777" w:rsidR="00160CFC" w:rsidRPr="004B1A50" w:rsidRDefault="00160CFC" w:rsidP="00853064">
            <w:pPr>
              <w:rPr>
                <w:szCs w:val="22"/>
                <w:lang w:val="sk-SK"/>
              </w:rPr>
            </w:pPr>
            <w:r w:rsidRPr="004B1A50">
              <w:rPr>
                <w:szCs w:val="22"/>
                <w:lang w:val="sk-SK"/>
              </w:rPr>
              <w:t>Menej časté</w:t>
            </w:r>
          </w:p>
        </w:tc>
      </w:tr>
      <w:tr w:rsidR="00160CFC" w:rsidRPr="004B1A50" w14:paraId="6F00F36D" w14:textId="77777777" w:rsidTr="005D2728">
        <w:tc>
          <w:tcPr>
            <w:tcW w:w="2136" w:type="dxa"/>
            <w:vMerge/>
            <w:shd w:val="clear" w:color="auto" w:fill="auto"/>
          </w:tcPr>
          <w:p w14:paraId="2268BA4C" w14:textId="77777777" w:rsidR="00160CFC" w:rsidRPr="004B1A50" w:rsidRDefault="00160CFC" w:rsidP="00853064">
            <w:pPr>
              <w:rPr>
                <w:i/>
                <w:szCs w:val="22"/>
                <w:u w:val="single"/>
                <w:lang w:val="sk-SK"/>
              </w:rPr>
            </w:pPr>
          </w:p>
        </w:tc>
        <w:tc>
          <w:tcPr>
            <w:tcW w:w="4244" w:type="dxa"/>
            <w:shd w:val="clear" w:color="auto" w:fill="auto"/>
          </w:tcPr>
          <w:p w14:paraId="26BFBEAB" w14:textId="77777777" w:rsidR="00160CFC" w:rsidRPr="004B1A50" w:rsidRDefault="00160CFC" w:rsidP="00853064">
            <w:pPr>
              <w:rPr>
                <w:szCs w:val="22"/>
                <w:lang w:val="sk-SK"/>
              </w:rPr>
            </w:pPr>
            <w:r w:rsidRPr="004B1A50">
              <w:rPr>
                <w:szCs w:val="22"/>
                <w:lang w:val="sk-SK"/>
              </w:rPr>
              <w:t>Zmätenosť</w:t>
            </w:r>
          </w:p>
        </w:tc>
        <w:tc>
          <w:tcPr>
            <w:tcW w:w="1842" w:type="dxa"/>
            <w:shd w:val="clear" w:color="auto" w:fill="auto"/>
          </w:tcPr>
          <w:p w14:paraId="25025D6C" w14:textId="77777777" w:rsidR="00160CFC" w:rsidRPr="004B1A50" w:rsidRDefault="00160CFC" w:rsidP="00853064">
            <w:pPr>
              <w:rPr>
                <w:szCs w:val="22"/>
                <w:lang w:val="sk-SK"/>
              </w:rPr>
            </w:pPr>
            <w:r w:rsidRPr="004B1A50">
              <w:rPr>
                <w:szCs w:val="22"/>
                <w:lang w:val="sk-SK"/>
              </w:rPr>
              <w:t>Zriedkavé</w:t>
            </w:r>
          </w:p>
        </w:tc>
        <w:tc>
          <w:tcPr>
            <w:tcW w:w="1809" w:type="dxa"/>
            <w:shd w:val="clear" w:color="auto" w:fill="auto"/>
          </w:tcPr>
          <w:p w14:paraId="66C6ADA8" w14:textId="77777777" w:rsidR="00160CFC" w:rsidRPr="004B1A50" w:rsidRDefault="00160CFC" w:rsidP="00853064">
            <w:pPr>
              <w:rPr>
                <w:szCs w:val="22"/>
                <w:lang w:val="sk-SK"/>
              </w:rPr>
            </w:pPr>
            <w:r w:rsidRPr="004B1A50">
              <w:rPr>
                <w:szCs w:val="22"/>
                <w:lang w:val="sk-SK"/>
              </w:rPr>
              <w:t>Veľmi zriedkavé</w:t>
            </w:r>
          </w:p>
        </w:tc>
      </w:tr>
      <w:tr w:rsidR="00160CFC" w:rsidRPr="004B1A50" w14:paraId="61B940FA" w14:textId="77777777" w:rsidTr="005D2728">
        <w:tc>
          <w:tcPr>
            <w:tcW w:w="2136" w:type="dxa"/>
            <w:vMerge w:val="restart"/>
            <w:shd w:val="clear" w:color="auto" w:fill="auto"/>
          </w:tcPr>
          <w:p w14:paraId="12877DEF" w14:textId="77777777" w:rsidR="00160CFC" w:rsidRPr="004B1A50" w:rsidRDefault="00160CFC" w:rsidP="00853064">
            <w:pPr>
              <w:autoSpaceDE w:val="0"/>
              <w:autoSpaceDN w:val="0"/>
              <w:adjustRightInd w:val="0"/>
              <w:spacing w:line="240" w:lineRule="auto"/>
              <w:rPr>
                <w:i/>
                <w:szCs w:val="22"/>
                <w:u w:val="single"/>
                <w:lang w:val="sk-SK"/>
              </w:rPr>
            </w:pPr>
            <w:r w:rsidRPr="004B1A50">
              <w:rPr>
                <w:b/>
                <w:bCs/>
                <w:i/>
                <w:color w:val="000000"/>
                <w:szCs w:val="22"/>
                <w:lang w:val="sk-SK"/>
              </w:rPr>
              <w:lastRenderedPageBreak/>
              <w:t>Poruchy nervového</w:t>
            </w:r>
            <w:r w:rsidR="00620D3D" w:rsidRPr="004B1A50">
              <w:rPr>
                <w:b/>
                <w:bCs/>
                <w:i/>
                <w:color w:val="000000"/>
                <w:szCs w:val="22"/>
                <w:lang w:val="sk-SK"/>
              </w:rPr>
              <w:t xml:space="preserve"> </w:t>
            </w:r>
            <w:r w:rsidRPr="004B1A50">
              <w:rPr>
                <w:b/>
                <w:bCs/>
                <w:i/>
                <w:color w:val="000000"/>
                <w:szCs w:val="22"/>
                <w:lang w:val="sk-SK"/>
              </w:rPr>
              <w:t>systému</w:t>
            </w:r>
          </w:p>
        </w:tc>
        <w:tc>
          <w:tcPr>
            <w:tcW w:w="4244" w:type="dxa"/>
            <w:shd w:val="clear" w:color="auto" w:fill="auto"/>
          </w:tcPr>
          <w:p w14:paraId="72F6EB80" w14:textId="77777777" w:rsidR="00160CFC" w:rsidRPr="004B1A50" w:rsidRDefault="00160CFC" w:rsidP="00853064">
            <w:pPr>
              <w:rPr>
                <w:szCs w:val="22"/>
                <w:lang w:val="sk-SK"/>
              </w:rPr>
            </w:pPr>
            <w:r w:rsidRPr="004B1A50">
              <w:rPr>
                <w:szCs w:val="22"/>
                <w:lang w:val="sk-SK"/>
              </w:rPr>
              <w:t>Somnolencia (najmä na začiatku liečby)</w:t>
            </w:r>
          </w:p>
        </w:tc>
        <w:tc>
          <w:tcPr>
            <w:tcW w:w="1842" w:type="dxa"/>
            <w:shd w:val="clear" w:color="auto" w:fill="auto"/>
          </w:tcPr>
          <w:p w14:paraId="05B577C1"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1DBFCA1B" w14:textId="77777777" w:rsidR="00160CFC" w:rsidRPr="004B1A50" w:rsidRDefault="00160CFC" w:rsidP="00853064">
            <w:pPr>
              <w:rPr>
                <w:szCs w:val="22"/>
                <w:u w:val="single"/>
                <w:lang w:val="sk-SK"/>
              </w:rPr>
            </w:pPr>
          </w:p>
        </w:tc>
      </w:tr>
      <w:tr w:rsidR="00160CFC" w:rsidRPr="004B1A50" w14:paraId="13C7EF04" w14:textId="77777777" w:rsidTr="005D2728">
        <w:tc>
          <w:tcPr>
            <w:tcW w:w="2136" w:type="dxa"/>
            <w:vMerge/>
            <w:shd w:val="clear" w:color="auto" w:fill="auto"/>
          </w:tcPr>
          <w:p w14:paraId="1AFEA87D" w14:textId="77777777" w:rsidR="00160CFC" w:rsidRPr="004B1A50" w:rsidRDefault="00160CFC" w:rsidP="00853064">
            <w:pPr>
              <w:rPr>
                <w:i/>
                <w:szCs w:val="22"/>
                <w:u w:val="single"/>
                <w:lang w:val="sk-SK"/>
              </w:rPr>
            </w:pPr>
          </w:p>
        </w:tc>
        <w:tc>
          <w:tcPr>
            <w:tcW w:w="4244" w:type="dxa"/>
            <w:shd w:val="clear" w:color="auto" w:fill="auto"/>
          </w:tcPr>
          <w:p w14:paraId="36928BF1" w14:textId="77777777" w:rsidR="00160CFC" w:rsidRPr="004B1A50" w:rsidRDefault="00160CFC" w:rsidP="00853064">
            <w:pPr>
              <w:rPr>
                <w:szCs w:val="22"/>
                <w:lang w:val="sk-SK"/>
              </w:rPr>
            </w:pPr>
            <w:r w:rsidRPr="004B1A50">
              <w:rPr>
                <w:szCs w:val="22"/>
                <w:lang w:val="sk-SK"/>
              </w:rPr>
              <w:t>Závrat</w:t>
            </w:r>
            <w:r w:rsidR="0017779B" w:rsidRPr="004B1A50">
              <w:rPr>
                <w:szCs w:val="22"/>
                <w:lang w:val="sk-SK"/>
              </w:rPr>
              <w:t>y</w:t>
            </w:r>
            <w:r w:rsidRPr="004B1A50">
              <w:rPr>
                <w:szCs w:val="22"/>
                <w:lang w:val="sk-SK"/>
              </w:rPr>
              <w:t xml:space="preserve"> (najmä na začiatku liečby)</w:t>
            </w:r>
          </w:p>
        </w:tc>
        <w:tc>
          <w:tcPr>
            <w:tcW w:w="1842" w:type="dxa"/>
            <w:shd w:val="clear" w:color="auto" w:fill="auto"/>
          </w:tcPr>
          <w:p w14:paraId="2F0F6FCC"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7E40B761" w14:textId="77777777" w:rsidR="00160CFC" w:rsidRPr="004B1A50" w:rsidRDefault="00160CFC" w:rsidP="00853064">
            <w:pPr>
              <w:rPr>
                <w:szCs w:val="22"/>
                <w:lang w:val="sk-SK"/>
              </w:rPr>
            </w:pPr>
            <w:r w:rsidRPr="004B1A50">
              <w:rPr>
                <w:szCs w:val="22"/>
                <w:lang w:val="sk-SK"/>
              </w:rPr>
              <w:t>Časté</w:t>
            </w:r>
          </w:p>
        </w:tc>
      </w:tr>
      <w:tr w:rsidR="00160CFC" w:rsidRPr="004B1A50" w14:paraId="6AFB25BE" w14:textId="77777777" w:rsidTr="005D2728">
        <w:tc>
          <w:tcPr>
            <w:tcW w:w="2136" w:type="dxa"/>
            <w:vMerge/>
            <w:shd w:val="clear" w:color="auto" w:fill="auto"/>
          </w:tcPr>
          <w:p w14:paraId="782919C8" w14:textId="77777777" w:rsidR="00160CFC" w:rsidRPr="004B1A50" w:rsidRDefault="00160CFC" w:rsidP="00853064">
            <w:pPr>
              <w:rPr>
                <w:i/>
                <w:szCs w:val="22"/>
                <w:u w:val="single"/>
                <w:lang w:val="sk-SK"/>
              </w:rPr>
            </w:pPr>
          </w:p>
        </w:tc>
        <w:tc>
          <w:tcPr>
            <w:tcW w:w="4244" w:type="dxa"/>
            <w:shd w:val="clear" w:color="auto" w:fill="auto"/>
          </w:tcPr>
          <w:p w14:paraId="5BCF09BC" w14:textId="77777777" w:rsidR="00160CFC" w:rsidRPr="004B1A50" w:rsidRDefault="00160CFC" w:rsidP="00853064">
            <w:pPr>
              <w:rPr>
                <w:szCs w:val="22"/>
                <w:lang w:val="sk-SK"/>
              </w:rPr>
            </w:pPr>
            <w:r w:rsidRPr="004B1A50">
              <w:rPr>
                <w:szCs w:val="22"/>
                <w:lang w:val="sk-SK"/>
              </w:rPr>
              <w:t>Bolesť hlavy (najmä na začiatku liečby)</w:t>
            </w:r>
          </w:p>
        </w:tc>
        <w:tc>
          <w:tcPr>
            <w:tcW w:w="1842" w:type="dxa"/>
            <w:shd w:val="clear" w:color="auto" w:fill="auto"/>
          </w:tcPr>
          <w:p w14:paraId="30B569B5"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3AA51A9F" w14:textId="77777777" w:rsidR="00160CFC" w:rsidRPr="004B1A50" w:rsidRDefault="00160CFC" w:rsidP="00853064">
            <w:pPr>
              <w:rPr>
                <w:szCs w:val="22"/>
                <w:lang w:val="sk-SK"/>
              </w:rPr>
            </w:pPr>
            <w:r w:rsidRPr="004B1A50">
              <w:rPr>
                <w:szCs w:val="22"/>
                <w:lang w:val="sk-SK"/>
              </w:rPr>
              <w:t>Časté</w:t>
            </w:r>
          </w:p>
        </w:tc>
      </w:tr>
      <w:tr w:rsidR="00160CFC" w:rsidRPr="004B1A50" w14:paraId="187ABCFB" w14:textId="77777777" w:rsidTr="005D2728">
        <w:tc>
          <w:tcPr>
            <w:tcW w:w="2136" w:type="dxa"/>
            <w:vMerge/>
            <w:shd w:val="clear" w:color="auto" w:fill="auto"/>
          </w:tcPr>
          <w:p w14:paraId="3FE3DE03" w14:textId="77777777" w:rsidR="00160CFC" w:rsidRPr="004B1A50" w:rsidRDefault="00160CFC" w:rsidP="00853064">
            <w:pPr>
              <w:rPr>
                <w:i/>
                <w:szCs w:val="22"/>
                <w:u w:val="single"/>
                <w:lang w:val="sk-SK"/>
              </w:rPr>
            </w:pPr>
          </w:p>
        </w:tc>
        <w:tc>
          <w:tcPr>
            <w:tcW w:w="4244" w:type="dxa"/>
            <w:shd w:val="clear" w:color="auto" w:fill="auto"/>
          </w:tcPr>
          <w:p w14:paraId="23C8F9D3" w14:textId="77777777" w:rsidR="00160CFC" w:rsidRPr="004B1A50" w:rsidRDefault="00160CFC" w:rsidP="00853064">
            <w:pPr>
              <w:rPr>
                <w:szCs w:val="22"/>
                <w:lang w:val="sk-SK"/>
              </w:rPr>
            </w:pPr>
            <w:r w:rsidRPr="004B1A50">
              <w:rPr>
                <w:szCs w:val="22"/>
                <w:lang w:val="sk-SK"/>
              </w:rPr>
              <w:t>Dysgeúzia</w:t>
            </w:r>
          </w:p>
        </w:tc>
        <w:tc>
          <w:tcPr>
            <w:tcW w:w="1842" w:type="dxa"/>
            <w:shd w:val="clear" w:color="auto" w:fill="auto"/>
          </w:tcPr>
          <w:p w14:paraId="7024DA3B"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50D50DAE" w14:textId="77777777" w:rsidR="00160CFC" w:rsidRPr="004B1A50" w:rsidRDefault="00160CFC" w:rsidP="00853064">
            <w:pPr>
              <w:rPr>
                <w:szCs w:val="22"/>
                <w:lang w:val="sk-SK"/>
              </w:rPr>
            </w:pPr>
            <w:r w:rsidRPr="004B1A50">
              <w:rPr>
                <w:szCs w:val="22"/>
                <w:lang w:val="sk-SK"/>
              </w:rPr>
              <w:t>Časté</w:t>
            </w:r>
          </w:p>
        </w:tc>
      </w:tr>
      <w:tr w:rsidR="00160CFC" w:rsidRPr="004B1A50" w14:paraId="4CEB3469" w14:textId="77777777" w:rsidTr="005D2728">
        <w:tc>
          <w:tcPr>
            <w:tcW w:w="2136" w:type="dxa"/>
            <w:vMerge/>
            <w:shd w:val="clear" w:color="auto" w:fill="auto"/>
          </w:tcPr>
          <w:p w14:paraId="37B0AAD2" w14:textId="77777777" w:rsidR="00160CFC" w:rsidRPr="004B1A50" w:rsidRDefault="00160CFC" w:rsidP="00853064">
            <w:pPr>
              <w:rPr>
                <w:i/>
                <w:szCs w:val="22"/>
                <w:u w:val="single"/>
                <w:lang w:val="sk-SK"/>
              </w:rPr>
            </w:pPr>
          </w:p>
        </w:tc>
        <w:tc>
          <w:tcPr>
            <w:tcW w:w="4244" w:type="dxa"/>
            <w:shd w:val="clear" w:color="auto" w:fill="auto"/>
          </w:tcPr>
          <w:p w14:paraId="0F9618A1" w14:textId="77777777" w:rsidR="00160CFC" w:rsidRPr="004B1A50" w:rsidRDefault="00160CFC" w:rsidP="00853064">
            <w:pPr>
              <w:rPr>
                <w:szCs w:val="22"/>
                <w:lang w:val="sk-SK"/>
              </w:rPr>
            </w:pPr>
            <w:r w:rsidRPr="004B1A50">
              <w:rPr>
                <w:szCs w:val="22"/>
                <w:lang w:val="sk-SK"/>
              </w:rPr>
              <w:t>Tremor</w:t>
            </w:r>
          </w:p>
        </w:tc>
        <w:tc>
          <w:tcPr>
            <w:tcW w:w="1842" w:type="dxa"/>
            <w:shd w:val="clear" w:color="auto" w:fill="auto"/>
          </w:tcPr>
          <w:p w14:paraId="0C3B7FE7"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61A68939" w14:textId="77777777" w:rsidR="00160CFC" w:rsidRPr="004B1A50" w:rsidRDefault="00160CFC" w:rsidP="00853064">
            <w:pPr>
              <w:rPr>
                <w:szCs w:val="22"/>
                <w:lang w:val="sk-SK"/>
              </w:rPr>
            </w:pPr>
            <w:r w:rsidRPr="004B1A50">
              <w:rPr>
                <w:szCs w:val="22"/>
                <w:lang w:val="sk-SK"/>
              </w:rPr>
              <w:t>–</w:t>
            </w:r>
          </w:p>
        </w:tc>
      </w:tr>
      <w:tr w:rsidR="00160CFC" w:rsidRPr="004B1A50" w14:paraId="6D34F4D4" w14:textId="77777777" w:rsidTr="005D2728">
        <w:tc>
          <w:tcPr>
            <w:tcW w:w="2136" w:type="dxa"/>
            <w:vMerge/>
            <w:shd w:val="clear" w:color="auto" w:fill="auto"/>
          </w:tcPr>
          <w:p w14:paraId="76467EC7" w14:textId="77777777" w:rsidR="00160CFC" w:rsidRPr="004B1A50" w:rsidRDefault="00160CFC" w:rsidP="00853064">
            <w:pPr>
              <w:rPr>
                <w:i/>
                <w:szCs w:val="22"/>
                <w:u w:val="single"/>
                <w:lang w:val="sk-SK"/>
              </w:rPr>
            </w:pPr>
          </w:p>
        </w:tc>
        <w:tc>
          <w:tcPr>
            <w:tcW w:w="4244" w:type="dxa"/>
            <w:shd w:val="clear" w:color="auto" w:fill="auto"/>
          </w:tcPr>
          <w:p w14:paraId="097A81F2" w14:textId="77777777" w:rsidR="00160CFC" w:rsidRPr="004B1A50" w:rsidRDefault="00160CFC" w:rsidP="00853064">
            <w:pPr>
              <w:rPr>
                <w:szCs w:val="22"/>
                <w:lang w:val="sk-SK"/>
              </w:rPr>
            </w:pPr>
            <w:r w:rsidRPr="004B1A50">
              <w:rPr>
                <w:rFonts w:eastAsia="TimesNewRoman"/>
                <w:szCs w:val="22"/>
                <w:lang w:val="sk-SK"/>
              </w:rPr>
              <w:t>Hypestézia</w:t>
            </w:r>
          </w:p>
        </w:tc>
        <w:tc>
          <w:tcPr>
            <w:tcW w:w="1842" w:type="dxa"/>
            <w:shd w:val="clear" w:color="auto" w:fill="auto"/>
          </w:tcPr>
          <w:p w14:paraId="3BD7D8E3"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62A84A3D" w14:textId="77777777" w:rsidR="00160CFC" w:rsidRPr="004B1A50" w:rsidRDefault="00160CFC" w:rsidP="00853064">
            <w:pPr>
              <w:rPr>
                <w:szCs w:val="22"/>
                <w:lang w:val="sk-SK"/>
              </w:rPr>
            </w:pPr>
            <w:r w:rsidRPr="004B1A50">
              <w:rPr>
                <w:szCs w:val="22"/>
                <w:lang w:val="sk-SK"/>
              </w:rPr>
              <w:t>–</w:t>
            </w:r>
          </w:p>
        </w:tc>
      </w:tr>
      <w:tr w:rsidR="00160CFC" w:rsidRPr="004B1A50" w14:paraId="2AE1BCD0" w14:textId="77777777" w:rsidTr="005D2728">
        <w:tc>
          <w:tcPr>
            <w:tcW w:w="2136" w:type="dxa"/>
            <w:vMerge/>
            <w:shd w:val="clear" w:color="auto" w:fill="auto"/>
          </w:tcPr>
          <w:p w14:paraId="23A14DB9" w14:textId="77777777" w:rsidR="00160CFC" w:rsidRPr="004B1A50" w:rsidRDefault="00160CFC" w:rsidP="00853064">
            <w:pPr>
              <w:rPr>
                <w:i/>
                <w:szCs w:val="22"/>
                <w:u w:val="single"/>
                <w:lang w:val="sk-SK"/>
              </w:rPr>
            </w:pPr>
          </w:p>
        </w:tc>
        <w:tc>
          <w:tcPr>
            <w:tcW w:w="4244" w:type="dxa"/>
            <w:shd w:val="clear" w:color="auto" w:fill="auto"/>
          </w:tcPr>
          <w:p w14:paraId="7E2F6A7A" w14:textId="77777777" w:rsidR="00160CFC" w:rsidRPr="004B1A50" w:rsidRDefault="00160CFC" w:rsidP="00853064">
            <w:pPr>
              <w:rPr>
                <w:szCs w:val="22"/>
                <w:lang w:val="sk-SK"/>
              </w:rPr>
            </w:pPr>
            <w:r w:rsidRPr="004B1A50">
              <w:rPr>
                <w:rFonts w:eastAsia="TimesNewRoman"/>
                <w:szCs w:val="22"/>
                <w:lang w:val="sk-SK"/>
              </w:rPr>
              <w:t>Parestézia</w:t>
            </w:r>
          </w:p>
        </w:tc>
        <w:tc>
          <w:tcPr>
            <w:tcW w:w="1842" w:type="dxa"/>
            <w:shd w:val="clear" w:color="auto" w:fill="auto"/>
          </w:tcPr>
          <w:p w14:paraId="7C14B3F7"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41490F6E" w14:textId="77777777" w:rsidR="00160CFC" w:rsidRPr="004B1A50" w:rsidRDefault="00160CFC" w:rsidP="00853064">
            <w:pPr>
              <w:rPr>
                <w:szCs w:val="22"/>
                <w:lang w:val="sk-SK"/>
              </w:rPr>
            </w:pPr>
            <w:r w:rsidRPr="004B1A50">
              <w:rPr>
                <w:szCs w:val="22"/>
                <w:lang w:val="sk-SK"/>
              </w:rPr>
              <w:t>Časté</w:t>
            </w:r>
          </w:p>
        </w:tc>
      </w:tr>
      <w:tr w:rsidR="00160CFC" w:rsidRPr="004B1A50" w14:paraId="284595C3" w14:textId="77777777" w:rsidTr="005D2728">
        <w:tc>
          <w:tcPr>
            <w:tcW w:w="2136" w:type="dxa"/>
            <w:vMerge/>
            <w:shd w:val="clear" w:color="auto" w:fill="auto"/>
          </w:tcPr>
          <w:p w14:paraId="311546D6" w14:textId="77777777" w:rsidR="00160CFC" w:rsidRPr="004B1A50" w:rsidRDefault="00160CFC" w:rsidP="00853064">
            <w:pPr>
              <w:rPr>
                <w:i/>
                <w:szCs w:val="22"/>
                <w:u w:val="single"/>
                <w:lang w:val="sk-SK"/>
              </w:rPr>
            </w:pPr>
          </w:p>
        </w:tc>
        <w:tc>
          <w:tcPr>
            <w:tcW w:w="4244" w:type="dxa"/>
            <w:shd w:val="clear" w:color="auto" w:fill="auto"/>
          </w:tcPr>
          <w:p w14:paraId="184B6054" w14:textId="77777777" w:rsidR="00160CFC" w:rsidRPr="004B1A50" w:rsidRDefault="00160CFC" w:rsidP="00853064">
            <w:pPr>
              <w:rPr>
                <w:szCs w:val="22"/>
                <w:lang w:val="sk-SK"/>
              </w:rPr>
            </w:pPr>
            <w:r w:rsidRPr="004B1A50">
              <w:rPr>
                <w:szCs w:val="22"/>
                <w:lang w:val="sk-SK"/>
              </w:rPr>
              <w:t>Synkopa</w:t>
            </w:r>
          </w:p>
        </w:tc>
        <w:tc>
          <w:tcPr>
            <w:tcW w:w="1842" w:type="dxa"/>
            <w:shd w:val="clear" w:color="auto" w:fill="auto"/>
          </w:tcPr>
          <w:p w14:paraId="1EBB2F2A"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0E0D1E06" w14:textId="77777777" w:rsidR="00160CFC" w:rsidRPr="004B1A50" w:rsidRDefault="00160CFC" w:rsidP="00853064">
            <w:pPr>
              <w:rPr>
                <w:szCs w:val="22"/>
                <w:lang w:val="sk-SK"/>
              </w:rPr>
            </w:pPr>
            <w:r w:rsidRPr="004B1A50">
              <w:rPr>
                <w:szCs w:val="22"/>
                <w:lang w:val="sk-SK"/>
              </w:rPr>
              <w:t>–</w:t>
            </w:r>
          </w:p>
        </w:tc>
      </w:tr>
      <w:tr w:rsidR="00160CFC" w:rsidRPr="004B1A50" w14:paraId="09799CF1" w14:textId="77777777" w:rsidTr="005D2728">
        <w:tc>
          <w:tcPr>
            <w:tcW w:w="2136" w:type="dxa"/>
            <w:vMerge/>
            <w:shd w:val="clear" w:color="auto" w:fill="auto"/>
          </w:tcPr>
          <w:p w14:paraId="108F1B8E" w14:textId="77777777" w:rsidR="00160CFC" w:rsidRPr="004B1A50" w:rsidRDefault="00160CFC" w:rsidP="00853064">
            <w:pPr>
              <w:rPr>
                <w:i/>
                <w:szCs w:val="22"/>
                <w:u w:val="single"/>
                <w:lang w:val="sk-SK"/>
              </w:rPr>
            </w:pPr>
          </w:p>
        </w:tc>
        <w:tc>
          <w:tcPr>
            <w:tcW w:w="4244" w:type="dxa"/>
            <w:shd w:val="clear" w:color="auto" w:fill="auto"/>
          </w:tcPr>
          <w:p w14:paraId="5D20D586" w14:textId="77777777" w:rsidR="00160CFC" w:rsidRPr="004B1A50" w:rsidRDefault="00160CFC" w:rsidP="00853064">
            <w:pPr>
              <w:rPr>
                <w:szCs w:val="22"/>
                <w:lang w:val="sk-SK"/>
              </w:rPr>
            </w:pPr>
            <w:r w:rsidRPr="004B1A50">
              <w:rPr>
                <w:szCs w:val="22"/>
                <w:lang w:val="sk-SK"/>
              </w:rPr>
              <w:t>Hypertónia</w:t>
            </w:r>
          </w:p>
        </w:tc>
        <w:tc>
          <w:tcPr>
            <w:tcW w:w="1842" w:type="dxa"/>
            <w:shd w:val="clear" w:color="auto" w:fill="auto"/>
          </w:tcPr>
          <w:p w14:paraId="4FAC65B2"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23C64CB6" w14:textId="77777777" w:rsidR="00160CFC" w:rsidRPr="004B1A50" w:rsidRDefault="00160CFC" w:rsidP="00853064">
            <w:pPr>
              <w:rPr>
                <w:szCs w:val="22"/>
                <w:lang w:val="sk-SK"/>
              </w:rPr>
            </w:pPr>
            <w:r w:rsidRPr="004B1A50">
              <w:rPr>
                <w:szCs w:val="22"/>
                <w:lang w:val="sk-SK"/>
              </w:rPr>
              <w:t>–</w:t>
            </w:r>
          </w:p>
        </w:tc>
      </w:tr>
      <w:tr w:rsidR="00160CFC" w:rsidRPr="004B1A50" w14:paraId="693CAF8D" w14:textId="77777777" w:rsidTr="005D2728">
        <w:tc>
          <w:tcPr>
            <w:tcW w:w="2136" w:type="dxa"/>
            <w:vMerge/>
            <w:shd w:val="clear" w:color="auto" w:fill="auto"/>
          </w:tcPr>
          <w:p w14:paraId="19866D38" w14:textId="77777777" w:rsidR="00160CFC" w:rsidRPr="004B1A50" w:rsidRDefault="00160CFC" w:rsidP="00853064">
            <w:pPr>
              <w:rPr>
                <w:i/>
                <w:szCs w:val="22"/>
                <w:u w:val="single"/>
                <w:lang w:val="sk-SK"/>
              </w:rPr>
            </w:pPr>
          </w:p>
        </w:tc>
        <w:tc>
          <w:tcPr>
            <w:tcW w:w="4244" w:type="dxa"/>
            <w:shd w:val="clear" w:color="auto" w:fill="auto"/>
          </w:tcPr>
          <w:p w14:paraId="5518C280" w14:textId="77777777" w:rsidR="00160CFC" w:rsidRPr="004B1A50" w:rsidRDefault="00160CFC" w:rsidP="00853064">
            <w:pPr>
              <w:rPr>
                <w:szCs w:val="22"/>
                <w:lang w:val="sk-SK"/>
              </w:rPr>
            </w:pPr>
            <w:r w:rsidRPr="004B1A50">
              <w:rPr>
                <w:szCs w:val="22"/>
                <w:lang w:val="sk-SK"/>
              </w:rPr>
              <w:t>Periférna neuropatia</w:t>
            </w:r>
          </w:p>
        </w:tc>
        <w:tc>
          <w:tcPr>
            <w:tcW w:w="1842" w:type="dxa"/>
            <w:shd w:val="clear" w:color="auto" w:fill="auto"/>
          </w:tcPr>
          <w:p w14:paraId="31EA9B71"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105A09F5" w14:textId="77777777" w:rsidR="00160CFC" w:rsidRPr="004B1A50" w:rsidRDefault="00160CFC" w:rsidP="00853064">
            <w:pPr>
              <w:rPr>
                <w:szCs w:val="22"/>
                <w:lang w:val="sk-SK"/>
              </w:rPr>
            </w:pPr>
            <w:r w:rsidRPr="004B1A50">
              <w:rPr>
                <w:szCs w:val="22"/>
                <w:lang w:val="sk-SK"/>
              </w:rPr>
              <w:t>–</w:t>
            </w:r>
          </w:p>
        </w:tc>
      </w:tr>
      <w:tr w:rsidR="00160CFC" w:rsidRPr="004B1A50" w14:paraId="246900C9" w14:textId="77777777" w:rsidTr="005D2728">
        <w:tc>
          <w:tcPr>
            <w:tcW w:w="2136" w:type="dxa"/>
            <w:vMerge/>
            <w:shd w:val="clear" w:color="auto" w:fill="auto"/>
          </w:tcPr>
          <w:p w14:paraId="5827B33A" w14:textId="77777777" w:rsidR="00160CFC" w:rsidRPr="004B1A50" w:rsidRDefault="00160CFC" w:rsidP="00853064">
            <w:pPr>
              <w:rPr>
                <w:i/>
                <w:szCs w:val="22"/>
                <w:u w:val="single"/>
                <w:lang w:val="sk-SK"/>
              </w:rPr>
            </w:pPr>
          </w:p>
        </w:tc>
        <w:tc>
          <w:tcPr>
            <w:tcW w:w="4244" w:type="dxa"/>
            <w:shd w:val="clear" w:color="auto" w:fill="auto"/>
          </w:tcPr>
          <w:p w14:paraId="06138D58" w14:textId="77777777" w:rsidR="00160CFC" w:rsidRPr="004B1A50" w:rsidRDefault="00160CFC" w:rsidP="00853064">
            <w:pPr>
              <w:rPr>
                <w:szCs w:val="22"/>
                <w:lang w:val="sk-SK"/>
              </w:rPr>
            </w:pPr>
            <w:r w:rsidRPr="004B1A50">
              <w:rPr>
                <w:szCs w:val="22"/>
                <w:lang w:val="sk-SK"/>
              </w:rPr>
              <w:t>Vertigo</w:t>
            </w:r>
          </w:p>
        </w:tc>
        <w:tc>
          <w:tcPr>
            <w:tcW w:w="1842" w:type="dxa"/>
            <w:shd w:val="clear" w:color="auto" w:fill="auto"/>
          </w:tcPr>
          <w:p w14:paraId="37221135"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30FAE67C" w14:textId="77777777" w:rsidR="00160CFC" w:rsidRPr="004B1A50" w:rsidRDefault="00160CFC" w:rsidP="00853064">
            <w:pPr>
              <w:rPr>
                <w:szCs w:val="22"/>
                <w:lang w:val="sk-SK"/>
              </w:rPr>
            </w:pPr>
            <w:r w:rsidRPr="004B1A50">
              <w:rPr>
                <w:szCs w:val="22"/>
                <w:lang w:val="sk-SK"/>
              </w:rPr>
              <w:t>Časté</w:t>
            </w:r>
          </w:p>
        </w:tc>
      </w:tr>
      <w:tr w:rsidR="00160CFC" w:rsidRPr="004B1A50" w14:paraId="549DA80D" w14:textId="77777777" w:rsidTr="005D2728">
        <w:tc>
          <w:tcPr>
            <w:tcW w:w="2136" w:type="dxa"/>
            <w:shd w:val="clear" w:color="auto" w:fill="auto"/>
          </w:tcPr>
          <w:p w14:paraId="6B4FDB69" w14:textId="77777777" w:rsidR="00160CFC" w:rsidRPr="004B1A50" w:rsidRDefault="00160CFC" w:rsidP="00853064">
            <w:pPr>
              <w:rPr>
                <w:b/>
                <w:bCs/>
                <w:i/>
                <w:color w:val="000000"/>
                <w:szCs w:val="22"/>
                <w:lang w:val="sk-SK"/>
              </w:rPr>
            </w:pPr>
            <w:r w:rsidRPr="004B1A50">
              <w:rPr>
                <w:b/>
                <w:bCs/>
                <w:i/>
                <w:color w:val="000000"/>
                <w:szCs w:val="22"/>
                <w:lang w:val="sk-SK"/>
              </w:rPr>
              <w:t>Poruchy oka</w:t>
            </w:r>
          </w:p>
        </w:tc>
        <w:tc>
          <w:tcPr>
            <w:tcW w:w="4244" w:type="dxa"/>
            <w:shd w:val="clear" w:color="auto" w:fill="auto"/>
          </w:tcPr>
          <w:p w14:paraId="71A1346B" w14:textId="77777777" w:rsidR="00160CFC" w:rsidRPr="004B1A50" w:rsidRDefault="00160CFC" w:rsidP="00853064">
            <w:pPr>
              <w:autoSpaceDE w:val="0"/>
              <w:autoSpaceDN w:val="0"/>
              <w:adjustRightInd w:val="0"/>
              <w:spacing w:line="240" w:lineRule="auto"/>
              <w:rPr>
                <w:color w:val="000000"/>
                <w:szCs w:val="22"/>
                <w:lang w:val="sk-SK"/>
              </w:rPr>
            </w:pPr>
            <w:r w:rsidRPr="004B1A50">
              <w:rPr>
                <w:rFonts w:eastAsia="TimesNewRoman"/>
                <w:color w:val="000000"/>
                <w:szCs w:val="22"/>
                <w:lang w:val="sk-SK"/>
              </w:rPr>
              <w:t xml:space="preserve">Poruchy videnia (vrátane diplopie) </w:t>
            </w:r>
          </w:p>
        </w:tc>
        <w:tc>
          <w:tcPr>
            <w:tcW w:w="1842" w:type="dxa"/>
            <w:shd w:val="clear" w:color="auto" w:fill="auto"/>
          </w:tcPr>
          <w:p w14:paraId="5064CEA7"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c>
          <w:tcPr>
            <w:tcW w:w="1809" w:type="dxa"/>
            <w:shd w:val="clear" w:color="auto" w:fill="auto"/>
          </w:tcPr>
          <w:p w14:paraId="4658B828"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tc>
      </w:tr>
      <w:tr w:rsidR="00160CFC" w:rsidRPr="004B1A50" w14:paraId="05E22062" w14:textId="77777777" w:rsidTr="005D2728">
        <w:tc>
          <w:tcPr>
            <w:tcW w:w="2136" w:type="dxa"/>
            <w:shd w:val="clear" w:color="auto" w:fill="auto"/>
          </w:tcPr>
          <w:p w14:paraId="3F44EC8A"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w:t>
            </w:r>
            <w:r w:rsidR="00620D3D" w:rsidRPr="004B1A50">
              <w:rPr>
                <w:b/>
                <w:bCs/>
                <w:i/>
                <w:color w:val="000000"/>
                <w:szCs w:val="22"/>
                <w:lang w:val="sk-SK"/>
              </w:rPr>
              <w:t xml:space="preserve"> </w:t>
            </w:r>
            <w:r w:rsidRPr="004B1A50">
              <w:rPr>
                <w:b/>
                <w:bCs/>
                <w:i/>
                <w:color w:val="000000"/>
                <w:szCs w:val="22"/>
                <w:lang w:val="sk-SK"/>
              </w:rPr>
              <w:t>ucha</w:t>
            </w:r>
            <w:r w:rsidR="00620D3D" w:rsidRPr="004B1A50">
              <w:rPr>
                <w:b/>
                <w:bCs/>
                <w:i/>
                <w:color w:val="000000"/>
                <w:szCs w:val="22"/>
                <w:lang w:val="sk-SK"/>
              </w:rPr>
              <w:t xml:space="preserve"> </w:t>
            </w:r>
            <w:r w:rsidRPr="004B1A50">
              <w:rPr>
                <w:b/>
                <w:bCs/>
                <w:i/>
                <w:color w:val="000000"/>
                <w:szCs w:val="22"/>
                <w:lang w:val="sk-SK"/>
              </w:rPr>
              <w:t>a labyrintu</w:t>
            </w:r>
          </w:p>
        </w:tc>
        <w:tc>
          <w:tcPr>
            <w:tcW w:w="4244" w:type="dxa"/>
            <w:shd w:val="clear" w:color="auto" w:fill="auto"/>
          </w:tcPr>
          <w:p w14:paraId="52334099" w14:textId="77777777" w:rsidR="00160CFC" w:rsidRPr="004B1A50" w:rsidRDefault="00160CFC" w:rsidP="00853064">
            <w:pPr>
              <w:autoSpaceDE w:val="0"/>
              <w:autoSpaceDN w:val="0"/>
              <w:adjustRightInd w:val="0"/>
              <w:spacing w:line="240" w:lineRule="auto"/>
              <w:rPr>
                <w:color w:val="000000"/>
                <w:szCs w:val="22"/>
                <w:lang w:val="sk-SK"/>
              </w:rPr>
            </w:pPr>
            <w:r w:rsidRPr="004B1A50">
              <w:rPr>
                <w:rFonts w:eastAsia="TimesNewRoman"/>
                <w:color w:val="000000"/>
                <w:szCs w:val="22"/>
                <w:lang w:val="sk-SK"/>
              </w:rPr>
              <w:t>Tin</w:t>
            </w:r>
            <w:r w:rsidR="008866E7" w:rsidRPr="004B1A50">
              <w:rPr>
                <w:rFonts w:eastAsia="TimesNewRoman"/>
                <w:color w:val="000000"/>
                <w:szCs w:val="22"/>
                <w:lang w:val="sk-SK"/>
              </w:rPr>
              <w:t>n</w:t>
            </w:r>
            <w:r w:rsidRPr="004B1A50">
              <w:rPr>
                <w:rFonts w:eastAsia="TimesNewRoman"/>
                <w:color w:val="000000"/>
                <w:szCs w:val="22"/>
                <w:lang w:val="sk-SK"/>
              </w:rPr>
              <w:t xml:space="preserve">itus </w:t>
            </w:r>
          </w:p>
        </w:tc>
        <w:tc>
          <w:tcPr>
            <w:tcW w:w="1842" w:type="dxa"/>
            <w:shd w:val="clear" w:color="auto" w:fill="auto"/>
          </w:tcPr>
          <w:p w14:paraId="13421EF4"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c>
          <w:tcPr>
            <w:tcW w:w="1809" w:type="dxa"/>
            <w:shd w:val="clear" w:color="auto" w:fill="auto"/>
          </w:tcPr>
          <w:p w14:paraId="6AAA234C"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p w14:paraId="1C18FE57" w14:textId="77777777" w:rsidR="00160CFC" w:rsidRPr="004B1A50" w:rsidRDefault="00160CFC" w:rsidP="00853064">
            <w:pPr>
              <w:rPr>
                <w:szCs w:val="22"/>
                <w:u w:val="single"/>
                <w:lang w:val="sk-SK"/>
              </w:rPr>
            </w:pPr>
          </w:p>
        </w:tc>
      </w:tr>
      <w:tr w:rsidR="00160CFC" w:rsidRPr="004B1A50" w14:paraId="4B554BBC" w14:textId="77777777" w:rsidTr="005D2728">
        <w:tc>
          <w:tcPr>
            <w:tcW w:w="2136" w:type="dxa"/>
            <w:vMerge w:val="restart"/>
            <w:shd w:val="clear" w:color="auto" w:fill="auto"/>
          </w:tcPr>
          <w:p w14:paraId="4F00FBBC" w14:textId="77777777" w:rsidR="00160CFC" w:rsidRPr="004B1A50" w:rsidRDefault="00160CFC" w:rsidP="00853064">
            <w:pPr>
              <w:autoSpaceDE w:val="0"/>
              <w:autoSpaceDN w:val="0"/>
              <w:adjustRightInd w:val="0"/>
              <w:spacing w:line="240" w:lineRule="auto"/>
              <w:rPr>
                <w:i/>
                <w:szCs w:val="22"/>
                <w:u w:val="single"/>
                <w:lang w:val="sk-SK"/>
              </w:rPr>
            </w:pPr>
            <w:r w:rsidRPr="004B1A50">
              <w:rPr>
                <w:b/>
                <w:bCs/>
                <w:i/>
                <w:color w:val="000000"/>
                <w:szCs w:val="22"/>
                <w:lang w:val="sk-SK"/>
              </w:rPr>
              <w:t>Poruchy srdca</w:t>
            </w:r>
            <w:r w:rsidR="00620D3D" w:rsidRPr="004B1A50">
              <w:rPr>
                <w:b/>
                <w:bCs/>
                <w:i/>
                <w:color w:val="000000"/>
                <w:szCs w:val="22"/>
                <w:lang w:val="sk-SK"/>
              </w:rPr>
              <w:t xml:space="preserve"> </w:t>
            </w:r>
            <w:r w:rsidRPr="004B1A50">
              <w:rPr>
                <w:b/>
                <w:bCs/>
                <w:i/>
                <w:color w:val="000000"/>
                <w:szCs w:val="22"/>
                <w:lang w:val="sk-SK"/>
              </w:rPr>
              <w:t>a srdcovej činnosti</w:t>
            </w:r>
          </w:p>
        </w:tc>
        <w:tc>
          <w:tcPr>
            <w:tcW w:w="4244" w:type="dxa"/>
            <w:shd w:val="clear" w:color="auto" w:fill="auto"/>
          </w:tcPr>
          <w:p w14:paraId="73C6349C" w14:textId="77777777" w:rsidR="00160CFC" w:rsidRPr="004B1A50" w:rsidRDefault="00160CFC" w:rsidP="00853064">
            <w:pPr>
              <w:rPr>
                <w:color w:val="000000"/>
                <w:szCs w:val="22"/>
                <w:lang w:val="sk-SK"/>
              </w:rPr>
            </w:pPr>
            <w:r w:rsidRPr="004B1A50">
              <w:rPr>
                <w:rFonts w:eastAsia="TimesNewRoman"/>
                <w:color w:val="000000"/>
                <w:szCs w:val="22"/>
                <w:lang w:val="sk-SK"/>
              </w:rPr>
              <w:t>Palpitáci</w:t>
            </w:r>
            <w:r w:rsidR="0017779B" w:rsidRPr="004B1A50">
              <w:rPr>
                <w:rFonts w:eastAsia="TimesNewRoman"/>
                <w:color w:val="000000"/>
                <w:szCs w:val="22"/>
                <w:lang w:val="sk-SK"/>
              </w:rPr>
              <w:t>e</w:t>
            </w:r>
          </w:p>
        </w:tc>
        <w:tc>
          <w:tcPr>
            <w:tcW w:w="1842" w:type="dxa"/>
            <w:shd w:val="clear" w:color="auto" w:fill="auto"/>
          </w:tcPr>
          <w:p w14:paraId="15DD324B"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61DF3731" w14:textId="77777777" w:rsidR="00160CFC" w:rsidRPr="004B1A50" w:rsidRDefault="00160CFC" w:rsidP="00853064">
            <w:pPr>
              <w:rPr>
                <w:szCs w:val="22"/>
                <w:lang w:val="sk-SK"/>
              </w:rPr>
            </w:pPr>
            <w:r w:rsidRPr="004B1A50">
              <w:rPr>
                <w:szCs w:val="22"/>
                <w:lang w:val="sk-SK"/>
              </w:rPr>
              <w:t>–</w:t>
            </w:r>
          </w:p>
        </w:tc>
      </w:tr>
      <w:tr w:rsidR="00160CFC" w:rsidRPr="004B1A50" w14:paraId="013D2F03" w14:textId="77777777" w:rsidTr="005D2728">
        <w:tc>
          <w:tcPr>
            <w:tcW w:w="2136" w:type="dxa"/>
            <w:vMerge/>
            <w:shd w:val="clear" w:color="auto" w:fill="auto"/>
          </w:tcPr>
          <w:p w14:paraId="22474B95" w14:textId="77777777" w:rsidR="00160CFC" w:rsidRPr="004B1A50" w:rsidRDefault="00160CFC" w:rsidP="00853064">
            <w:pPr>
              <w:rPr>
                <w:i/>
                <w:szCs w:val="22"/>
                <w:u w:val="single"/>
                <w:lang w:val="sk-SK"/>
              </w:rPr>
            </w:pPr>
          </w:p>
        </w:tc>
        <w:tc>
          <w:tcPr>
            <w:tcW w:w="4244" w:type="dxa"/>
            <w:shd w:val="clear" w:color="auto" w:fill="auto"/>
          </w:tcPr>
          <w:p w14:paraId="242B5644" w14:textId="77777777" w:rsidR="00160CFC" w:rsidRPr="004B1A50" w:rsidRDefault="00160CFC" w:rsidP="00853064">
            <w:pPr>
              <w:rPr>
                <w:color w:val="000000"/>
                <w:szCs w:val="22"/>
                <w:lang w:val="sk-SK"/>
              </w:rPr>
            </w:pPr>
            <w:r w:rsidRPr="004B1A50">
              <w:rPr>
                <w:rFonts w:eastAsia="TimesNewRoman"/>
                <w:color w:val="000000"/>
                <w:szCs w:val="22"/>
                <w:lang w:val="sk-SK"/>
              </w:rPr>
              <w:t>Angina pectoris</w:t>
            </w:r>
          </w:p>
        </w:tc>
        <w:tc>
          <w:tcPr>
            <w:tcW w:w="1842" w:type="dxa"/>
            <w:shd w:val="clear" w:color="auto" w:fill="auto"/>
          </w:tcPr>
          <w:p w14:paraId="2D993EF4"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6B10DEB8" w14:textId="77777777" w:rsidR="00160CFC" w:rsidRPr="004B1A50" w:rsidRDefault="00160CFC" w:rsidP="00853064">
            <w:pPr>
              <w:rPr>
                <w:szCs w:val="22"/>
                <w:lang w:val="sk-SK"/>
              </w:rPr>
            </w:pPr>
            <w:r w:rsidRPr="004B1A50">
              <w:rPr>
                <w:szCs w:val="22"/>
                <w:lang w:val="sk-SK"/>
              </w:rPr>
              <w:t>Veľmi zriedkavé</w:t>
            </w:r>
          </w:p>
        </w:tc>
      </w:tr>
      <w:tr w:rsidR="00160CFC" w:rsidRPr="004B1A50" w14:paraId="0B68E547" w14:textId="77777777" w:rsidTr="005D2728">
        <w:tc>
          <w:tcPr>
            <w:tcW w:w="2136" w:type="dxa"/>
            <w:vMerge/>
            <w:shd w:val="clear" w:color="auto" w:fill="auto"/>
          </w:tcPr>
          <w:p w14:paraId="23412470" w14:textId="77777777" w:rsidR="00160CFC" w:rsidRPr="004B1A50" w:rsidRDefault="00160CFC" w:rsidP="00853064">
            <w:pPr>
              <w:rPr>
                <w:i/>
                <w:szCs w:val="22"/>
                <w:u w:val="single"/>
                <w:lang w:val="sk-SK"/>
              </w:rPr>
            </w:pPr>
          </w:p>
        </w:tc>
        <w:tc>
          <w:tcPr>
            <w:tcW w:w="4244" w:type="dxa"/>
            <w:shd w:val="clear" w:color="auto" w:fill="auto"/>
          </w:tcPr>
          <w:p w14:paraId="151FA5D2" w14:textId="64E2EBA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Infarkt myokardu, prípadne sekundárny k</w:t>
            </w:r>
            <w:r w:rsidR="00A045BA">
              <w:rPr>
                <w:rFonts w:eastAsia="TimesNewRoman"/>
                <w:color w:val="000000"/>
                <w:szCs w:val="22"/>
                <w:lang w:val="sk-SK"/>
              </w:rPr>
              <w:t> </w:t>
            </w:r>
            <w:r w:rsidRPr="004B1A50">
              <w:rPr>
                <w:rFonts w:eastAsia="TimesNewRoman"/>
                <w:color w:val="000000"/>
                <w:szCs w:val="22"/>
                <w:lang w:val="sk-SK"/>
              </w:rPr>
              <w:t>nadmernej hypotenzii u</w:t>
            </w:r>
            <w:r w:rsidR="00A045BA">
              <w:rPr>
                <w:rFonts w:eastAsia="TimesNewRoman"/>
                <w:color w:val="000000"/>
                <w:szCs w:val="22"/>
                <w:lang w:val="sk-SK"/>
              </w:rPr>
              <w:t> </w:t>
            </w:r>
            <w:r w:rsidRPr="004B1A50">
              <w:rPr>
                <w:rFonts w:eastAsia="TimesNewRoman"/>
                <w:color w:val="000000"/>
                <w:szCs w:val="22"/>
                <w:lang w:val="sk-SK"/>
              </w:rPr>
              <w:t>vysokorizikových pacientov (pozri časť 4.4)</w:t>
            </w:r>
          </w:p>
        </w:tc>
        <w:tc>
          <w:tcPr>
            <w:tcW w:w="1842" w:type="dxa"/>
            <w:shd w:val="clear" w:color="auto" w:fill="auto"/>
          </w:tcPr>
          <w:p w14:paraId="7A29330E"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19988667" w14:textId="77777777" w:rsidR="00160CFC" w:rsidRPr="004B1A50" w:rsidRDefault="00160CFC" w:rsidP="00853064">
            <w:pPr>
              <w:rPr>
                <w:szCs w:val="22"/>
                <w:lang w:val="sk-SK"/>
              </w:rPr>
            </w:pPr>
            <w:r w:rsidRPr="004B1A50">
              <w:rPr>
                <w:szCs w:val="22"/>
                <w:lang w:val="sk-SK"/>
              </w:rPr>
              <w:t>Veľmi zriedkavé</w:t>
            </w:r>
          </w:p>
        </w:tc>
      </w:tr>
      <w:tr w:rsidR="00160CFC" w:rsidRPr="004B1A50" w14:paraId="741A9B8F" w14:textId="77777777" w:rsidTr="005D2728">
        <w:tc>
          <w:tcPr>
            <w:tcW w:w="2136" w:type="dxa"/>
            <w:vMerge/>
            <w:shd w:val="clear" w:color="auto" w:fill="auto"/>
          </w:tcPr>
          <w:p w14:paraId="52308FB0" w14:textId="77777777" w:rsidR="00160CFC" w:rsidRPr="004B1A50" w:rsidRDefault="00160CFC" w:rsidP="00853064">
            <w:pPr>
              <w:rPr>
                <w:i/>
                <w:szCs w:val="22"/>
                <w:u w:val="single"/>
                <w:lang w:val="sk-SK"/>
              </w:rPr>
            </w:pPr>
          </w:p>
        </w:tc>
        <w:tc>
          <w:tcPr>
            <w:tcW w:w="4244" w:type="dxa"/>
            <w:shd w:val="clear" w:color="auto" w:fill="auto"/>
          </w:tcPr>
          <w:p w14:paraId="2C0523F0"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Arytmia (vrátane bradykardie, ventrikulárnej tachykardie a atriálnej fibrilácie)</w:t>
            </w:r>
          </w:p>
        </w:tc>
        <w:tc>
          <w:tcPr>
            <w:tcW w:w="1842" w:type="dxa"/>
            <w:shd w:val="clear" w:color="auto" w:fill="auto"/>
          </w:tcPr>
          <w:p w14:paraId="5C406F39"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2EF7D106" w14:textId="77777777" w:rsidR="00160CFC" w:rsidRPr="004B1A50" w:rsidRDefault="00160CFC" w:rsidP="00853064">
            <w:pPr>
              <w:rPr>
                <w:szCs w:val="22"/>
                <w:lang w:val="sk-SK"/>
              </w:rPr>
            </w:pPr>
            <w:r w:rsidRPr="004B1A50">
              <w:rPr>
                <w:szCs w:val="22"/>
                <w:lang w:val="sk-SK"/>
              </w:rPr>
              <w:t>Veľmi zriedkavé</w:t>
            </w:r>
          </w:p>
        </w:tc>
      </w:tr>
      <w:tr w:rsidR="00160CFC" w:rsidRPr="004B1A50" w14:paraId="6DBD50A3" w14:textId="77777777" w:rsidTr="005D2728">
        <w:tc>
          <w:tcPr>
            <w:tcW w:w="2136" w:type="dxa"/>
            <w:vMerge w:val="restart"/>
            <w:shd w:val="clear" w:color="auto" w:fill="auto"/>
          </w:tcPr>
          <w:p w14:paraId="3BCEA89F" w14:textId="77777777" w:rsidR="00160CFC" w:rsidRPr="003A0D80" w:rsidRDefault="00160CFC" w:rsidP="00853064">
            <w:pPr>
              <w:autoSpaceDE w:val="0"/>
              <w:autoSpaceDN w:val="0"/>
              <w:adjustRightInd w:val="0"/>
              <w:spacing w:line="240" w:lineRule="auto"/>
              <w:rPr>
                <w:i/>
                <w:szCs w:val="22"/>
                <w:u w:val="single"/>
                <w:lang w:val="sk-SK"/>
              </w:rPr>
            </w:pPr>
            <w:r w:rsidRPr="003A0D80">
              <w:rPr>
                <w:b/>
                <w:bCs/>
                <w:i/>
                <w:color w:val="000000"/>
                <w:szCs w:val="22"/>
                <w:lang w:val="sk-SK"/>
              </w:rPr>
              <w:t>Poruchy</w:t>
            </w:r>
            <w:r w:rsidR="00620D3D" w:rsidRPr="003A0D80">
              <w:rPr>
                <w:b/>
                <w:bCs/>
                <w:i/>
                <w:color w:val="000000"/>
                <w:szCs w:val="22"/>
                <w:lang w:val="sk-SK"/>
              </w:rPr>
              <w:t xml:space="preserve"> </w:t>
            </w:r>
            <w:r w:rsidRPr="003A0D80">
              <w:rPr>
                <w:b/>
                <w:bCs/>
                <w:i/>
                <w:color w:val="000000"/>
                <w:szCs w:val="22"/>
                <w:lang w:val="sk-SK"/>
              </w:rPr>
              <w:t>ciev</w:t>
            </w:r>
          </w:p>
        </w:tc>
        <w:tc>
          <w:tcPr>
            <w:tcW w:w="4244" w:type="dxa"/>
            <w:shd w:val="clear" w:color="auto" w:fill="auto"/>
          </w:tcPr>
          <w:p w14:paraId="0227B65B" w14:textId="77777777" w:rsidR="00160CFC" w:rsidRPr="003A0D80" w:rsidRDefault="00160CFC" w:rsidP="00853064">
            <w:pPr>
              <w:rPr>
                <w:color w:val="000000"/>
                <w:szCs w:val="22"/>
                <w:lang w:val="sk-SK"/>
              </w:rPr>
            </w:pPr>
            <w:r w:rsidRPr="003A0D80">
              <w:rPr>
                <w:rFonts w:eastAsia="TimesNewRoman"/>
                <w:color w:val="000000"/>
                <w:szCs w:val="22"/>
                <w:lang w:val="sk-SK"/>
              </w:rPr>
              <w:t>Sčerven</w:t>
            </w:r>
            <w:r w:rsidR="0017779B" w:rsidRPr="003A0D80">
              <w:rPr>
                <w:rFonts w:eastAsia="TimesNewRoman"/>
                <w:color w:val="000000"/>
                <w:szCs w:val="22"/>
                <w:lang w:val="sk-SK"/>
              </w:rPr>
              <w:t>e</w:t>
            </w:r>
            <w:r w:rsidRPr="003A0D80">
              <w:rPr>
                <w:rFonts w:eastAsia="TimesNewRoman"/>
                <w:color w:val="000000"/>
                <w:szCs w:val="22"/>
                <w:lang w:val="sk-SK"/>
              </w:rPr>
              <w:t>nie</w:t>
            </w:r>
          </w:p>
        </w:tc>
        <w:tc>
          <w:tcPr>
            <w:tcW w:w="1842" w:type="dxa"/>
            <w:shd w:val="clear" w:color="auto" w:fill="auto"/>
          </w:tcPr>
          <w:p w14:paraId="488B6553" w14:textId="77777777" w:rsidR="00160CFC" w:rsidRPr="003A0D80" w:rsidRDefault="00160CFC" w:rsidP="00853064">
            <w:pPr>
              <w:rPr>
                <w:szCs w:val="22"/>
                <w:lang w:val="sk-SK"/>
              </w:rPr>
            </w:pPr>
            <w:r w:rsidRPr="003A0D80">
              <w:rPr>
                <w:szCs w:val="22"/>
                <w:lang w:val="sk-SK"/>
              </w:rPr>
              <w:t>Časté</w:t>
            </w:r>
          </w:p>
        </w:tc>
        <w:tc>
          <w:tcPr>
            <w:tcW w:w="1809" w:type="dxa"/>
            <w:shd w:val="clear" w:color="auto" w:fill="auto"/>
          </w:tcPr>
          <w:p w14:paraId="26BAF7B3" w14:textId="77777777" w:rsidR="00160CFC" w:rsidRPr="003A0D80" w:rsidRDefault="00160CFC" w:rsidP="00853064">
            <w:pPr>
              <w:rPr>
                <w:szCs w:val="22"/>
                <w:lang w:val="sk-SK"/>
              </w:rPr>
            </w:pPr>
            <w:r w:rsidRPr="003A0D80">
              <w:rPr>
                <w:szCs w:val="22"/>
                <w:lang w:val="sk-SK"/>
              </w:rPr>
              <w:t>–</w:t>
            </w:r>
          </w:p>
        </w:tc>
      </w:tr>
      <w:tr w:rsidR="00160CFC" w:rsidRPr="004B1A50" w14:paraId="590B209B" w14:textId="77777777" w:rsidTr="005D2728">
        <w:tc>
          <w:tcPr>
            <w:tcW w:w="2136" w:type="dxa"/>
            <w:vMerge/>
            <w:shd w:val="clear" w:color="auto" w:fill="auto"/>
          </w:tcPr>
          <w:p w14:paraId="12CB696A" w14:textId="77777777" w:rsidR="00160CFC" w:rsidRPr="003A0D80" w:rsidRDefault="00160CFC" w:rsidP="00853064">
            <w:pPr>
              <w:rPr>
                <w:szCs w:val="22"/>
                <w:u w:val="single"/>
                <w:lang w:val="sk-SK"/>
              </w:rPr>
            </w:pPr>
          </w:p>
        </w:tc>
        <w:tc>
          <w:tcPr>
            <w:tcW w:w="4244" w:type="dxa"/>
            <w:shd w:val="clear" w:color="auto" w:fill="auto"/>
          </w:tcPr>
          <w:p w14:paraId="2097C613" w14:textId="7077536F" w:rsidR="00160CFC" w:rsidRPr="003A0D80" w:rsidRDefault="00160CFC" w:rsidP="00853064">
            <w:pPr>
              <w:rPr>
                <w:color w:val="000000"/>
                <w:szCs w:val="22"/>
                <w:lang w:val="sk-SK"/>
              </w:rPr>
            </w:pPr>
            <w:r w:rsidRPr="003A0D80">
              <w:rPr>
                <w:rFonts w:eastAsia="TimesNewRoman"/>
                <w:color w:val="000000"/>
                <w:szCs w:val="22"/>
                <w:lang w:val="sk-SK"/>
              </w:rPr>
              <w:t>Hypotenzia (a účinky súvisiace s</w:t>
            </w:r>
            <w:r w:rsidR="00A045BA" w:rsidRPr="003A0D80">
              <w:rPr>
                <w:rFonts w:eastAsia="TimesNewRoman"/>
                <w:color w:val="000000"/>
                <w:szCs w:val="22"/>
                <w:lang w:val="sk-SK"/>
              </w:rPr>
              <w:t> </w:t>
            </w:r>
            <w:r w:rsidRPr="003A0D80">
              <w:rPr>
                <w:rFonts w:eastAsia="TimesNewRoman"/>
                <w:color w:val="000000"/>
                <w:szCs w:val="22"/>
                <w:lang w:val="sk-SK"/>
              </w:rPr>
              <w:t>hypotenziou)</w:t>
            </w:r>
          </w:p>
        </w:tc>
        <w:tc>
          <w:tcPr>
            <w:tcW w:w="1842" w:type="dxa"/>
            <w:shd w:val="clear" w:color="auto" w:fill="auto"/>
          </w:tcPr>
          <w:p w14:paraId="79969413" w14:textId="77777777" w:rsidR="00160CFC" w:rsidRPr="003A0D80" w:rsidRDefault="00160CFC" w:rsidP="00853064">
            <w:pPr>
              <w:rPr>
                <w:color w:val="000000"/>
                <w:szCs w:val="22"/>
                <w:lang w:val="sk-SK"/>
              </w:rPr>
            </w:pPr>
            <w:r w:rsidRPr="003A0D80">
              <w:rPr>
                <w:rFonts w:eastAsia="TimesNewRoman"/>
                <w:color w:val="000000"/>
                <w:szCs w:val="22"/>
                <w:lang w:val="sk-SK"/>
              </w:rPr>
              <w:t>Menej časté</w:t>
            </w:r>
          </w:p>
        </w:tc>
        <w:tc>
          <w:tcPr>
            <w:tcW w:w="1809" w:type="dxa"/>
            <w:shd w:val="clear" w:color="auto" w:fill="auto"/>
          </w:tcPr>
          <w:p w14:paraId="20BBA08E"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Časté</w:t>
            </w:r>
          </w:p>
        </w:tc>
      </w:tr>
      <w:tr w:rsidR="00160CFC" w:rsidRPr="004B1A50" w14:paraId="56F319E5" w14:textId="77777777" w:rsidTr="005D2728">
        <w:tc>
          <w:tcPr>
            <w:tcW w:w="2136" w:type="dxa"/>
            <w:vMerge/>
            <w:shd w:val="clear" w:color="auto" w:fill="auto"/>
          </w:tcPr>
          <w:p w14:paraId="1AEEBCEB" w14:textId="77777777" w:rsidR="00160CFC" w:rsidRPr="003A0D80" w:rsidRDefault="00160CFC" w:rsidP="00853064">
            <w:pPr>
              <w:rPr>
                <w:szCs w:val="22"/>
                <w:u w:val="single"/>
                <w:lang w:val="sk-SK"/>
              </w:rPr>
            </w:pPr>
          </w:p>
        </w:tc>
        <w:tc>
          <w:tcPr>
            <w:tcW w:w="4244" w:type="dxa"/>
            <w:shd w:val="clear" w:color="auto" w:fill="auto"/>
          </w:tcPr>
          <w:p w14:paraId="53D23858"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Náhla cievna mozgová príhoda</w:t>
            </w:r>
            <w:r w:rsidR="00774128" w:rsidRPr="003A0D80">
              <w:rPr>
                <w:rFonts w:eastAsia="TimesNewRoman"/>
                <w:color w:val="000000"/>
                <w:szCs w:val="22"/>
                <w:lang w:val="sk-SK"/>
              </w:rPr>
              <w:t xml:space="preserve"> </w:t>
            </w:r>
            <w:r w:rsidR="0017779B" w:rsidRPr="003A0D80">
              <w:rPr>
                <w:rFonts w:eastAsia="TimesNewRoman"/>
                <w:color w:val="000000"/>
                <w:szCs w:val="22"/>
                <w:lang w:val="sk-SK"/>
              </w:rPr>
              <w:t>pravdepodobne</w:t>
            </w:r>
            <w:r w:rsidRPr="003A0D80">
              <w:rPr>
                <w:rFonts w:eastAsia="TimesNewRoman"/>
                <w:color w:val="000000"/>
                <w:szCs w:val="22"/>
                <w:lang w:val="sk-SK"/>
              </w:rPr>
              <w:t xml:space="preserve"> sekundárna </w:t>
            </w:r>
            <w:r w:rsidR="0017779B" w:rsidRPr="003A0D80">
              <w:rPr>
                <w:rFonts w:eastAsia="TimesNewRoman"/>
                <w:color w:val="000000"/>
                <w:szCs w:val="22"/>
                <w:lang w:val="sk-SK"/>
              </w:rPr>
              <w:t>v dôsledku</w:t>
            </w:r>
            <w:r w:rsidRPr="003A0D80">
              <w:rPr>
                <w:rFonts w:eastAsia="TimesNewRoman"/>
                <w:color w:val="000000"/>
                <w:szCs w:val="22"/>
                <w:lang w:val="sk-SK"/>
              </w:rPr>
              <w:t xml:space="preserve"> nadmernej hypotenzi</w:t>
            </w:r>
            <w:r w:rsidR="0017779B" w:rsidRPr="003A0D80">
              <w:rPr>
                <w:rFonts w:eastAsia="TimesNewRoman"/>
                <w:color w:val="000000"/>
                <w:szCs w:val="22"/>
                <w:lang w:val="sk-SK"/>
              </w:rPr>
              <w:t>e</w:t>
            </w:r>
            <w:r w:rsidRPr="003A0D80">
              <w:rPr>
                <w:rFonts w:eastAsia="TimesNewRoman"/>
                <w:color w:val="000000"/>
                <w:szCs w:val="22"/>
                <w:lang w:val="sk-SK"/>
              </w:rPr>
              <w:t xml:space="preserve"> u vysokorizikových pacientov (pozri časť 4.4)</w:t>
            </w:r>
          </w:p>
        </w:tc>
        <w:tc>
          <w:tcPr>
            <w:tcW w:w="1842" w:type="dxa"/>
            <w:shd w:val="clear" w:color="auto" w:fill="auto"/>
          </w:tcPr>
          <w:p w14:paraId="42C871EB" w14:textId="77777777" w:rsidR="00160CFC" w:rsidRPr="003A0D80" w:rsidRDefault="00160CFC" w:rsidP="00853064">
            <w:pPr>
              <w:rPr>
                <w:szCs w:val="22"/>
                <w:lang w:val="sk-SK"/>
              </w:rPr>
            </w:pPr>
            <w:r w:rsidRPr="003A0D80">
              <w:rPr>
                <w:szCs w:val="22"/>
                <w:lang w:val="sk-SK"/>
              </w:rPr>
              <w:t>–</w:t>
            </w:r>
          </w:p>
        </w:tc>
        <w:tc>
          <w:tcPr>
            <w:tcW w:w="1809" w:type="dxa"/>
            <w:shd w:val="clear" w:color="auto" w:fill="auto"/>
          </w:tcPr>
          <w:p w14:paraId="1EC71811" w14:textId="77777777" w:rsidR="00160CFC" w:rsidRPr="003A0D80" w:rsidRDefault="00160CFC" w:rsidP="00853064">
            <w:pPr>
              <w:rPr>
                <w:szCs w:val="22"/>
                <w:lang w:val="sk-SK"/>
              </w:rPr>
            </w:pPr>
            <w:r w:rsidRPr="003A0D80">
              <w:rPr>
                <w:szCs w:val="22"/>
                <w:lang w:val="sk-SK"/>
              </w:rPr>
              <w:t>Veľmi zriedkavé</w:t>
            </w:r>
          </w:p>
        </w:tc>
      </w:tr>
      <w:tr w:rsidR="00160CFC" w:rsidRPr="004B1A50" w14:paraId="43394EDB" w14:textId="77777777" w:rsidTr="005D2728">
        <w:tc>
          <w:tcPr>
            <w:tcW w:w="2136" w:type="dxa"/>
            <w:vMerge/>
            <w:shd w:val="clear" w:color="auto" w:fill="auto"/>
          </w:tcPr>
          <w:p w14:paraId="4735383D" w14:textId="77777777" w:rsidR="00160CFC" w:rsidRPr="003A0D80" w:rsidRDefault="00160CFC" w:rsidP="00853064">
            <w:pPr>
              <w:rPr>
                <w:szCs w:val="22"/>
                <w:u w:val="single"/>
                <w:lang w:val="sk-SK"/>
              </w:rPr>
            </w:pPr>
          </w:p>
        </w:tc>
        <w:tc>
          <w:tcPr>
            <w:tcW w:w="4244" w:type="dxa"/>
            <w:shd w:val="clear" w:color="auto" w:fill="auto"/>
          </w:tcPr>
          <w:p w14:paraId="5FBB5207" w14:textId="77777777" w:rsidR="00160CFC" w:rsidRPr="003A0D80" w:rsidRDefault="00160CFC" w:rsidP="00853064">
            <w:pPr>
              <w:rPr>
                <w:color w:val="000000"/>
                <w:szCs w:val="22"/>
                <w:lang w:val="sk-SK"/>
              </w:rPr>
            </w:pPr>
            <w:r w:rsidRPr="003A0D80">
              <w:rPr>
                <w:rFonts w:eastAsia="TimesNewRoman"/>
                <w:color w:val="000000"/>
                <w:szCs w:val="22"/>
                <w:lang w:val="sk-SK"/>
              </w:rPr>
              <w:t>Vaskulitída</w:t>
            </w:r>
          </w:p>
        </w:tc>
        <w:tc>
          <w:tcPr>
            <w:tcW w:w="1842" w:type="dxa"/>
            <w:shd w:val="clear" w:color="auto" w:fill="auto"/>
          </w:tcPr>
          <w:p w14:paraId="3046B687" w14:textId="77777777" w:rsidR="00160CFC" w:rsidRPr="003A0D80" w:rsidRDefault="00160CFC" w:rsidP="00853064">
            <w:pPr>
              <w:rPr>
                <w:szCs w:val="22"/>
                <w:lang w:val="sk-SK"/>
              </w:rPr>
            </w:pPr>
            <w:r w:rsidRPr="003A0D80">
              <w:rPr>
                <w:szCs w:val="22"/>
                <w:lang w:val="sk-SK"/>
              </w:rPr>
              <w:t>Veľmi zriedkavé</w:t>
            </w:r>
          </w:p>
        </w:tc>
        <w:tc>
          <w:tcPr>
            <w:tcW w:w="1809" w:type="dxa"/>
            <w:shd w:val="clear" w:color="auto" w:fill="auto"/>
          </w:tcPr>
          <w:p w14:paraId="23D526AC" w14:textId="77777777" w:rsidR="00160CFC" w:rsidRPr="003A0D80" w:rsidRDefault="00160CFC" w:rsidP="00853064">
            <w:pPr>
              <w:rPr>
                <w:szCs w:val="22"/>
                <w:lang w:val="sk-SK"/>
              </w:rPr>
            </w:pPr>
            <w:r w:rsidRPr="003A0D80">
              <w:rPr>
                <w:szCs w:val="22"/>
                <w:lang w:val="sk-SK"/>
              </w:rPr>
              <w:t>Neznáme</w:t>
            </w:r>
          </w:p>
        </w:tc>
      </w:tr>
      <w:tr w:rsidR="007A15EB" w:rsidRPr="004B1A50" w14:paraId="0E304738" w14:textId="77777777" w:rsidTr="005D2728">
        <w:tc>
          <w:tcPr>
            <w:tcW w:w="2136" w:type="dxa"/>
            <w:shd w:val="clear" w:color="auto" w:fill="auto"/>
          </w:tcPr>
          <w:p w14:paraId="0892EE25" w14:textId="77777777" w:rsidR="007A15EB" w:rsidRPr="003A0D80" w:rsidRDefault="007A15EB" w:rsidP="00853064">
            <w:pPr>
              <w:rPr>
                <w:szCs w:val="22"/>
                <w:u w:val="single"/>
                <w:lang w:val="sk-SK"/>
              </w:rPr>
            </w:pPr>
          </w:p>
        </w:tc>
        <w:tc>
          <w:tcPr>
            <w:tcW w:w="4244" w:type="dxa"/>
            <w:shd w:val="clear" w:color="auto" w:fill="auto"/>
          </w:tcPr>
          <w:p w14:paraId="07C6B8F8" w14:textId="77777777" w:rsidR="007A15EB" w:rsidRPr="003A0D80" w:rsidRDefault="007A15EB" w:rsidP="00853064">
            <w:pPr>
              <w:rPr>
                <w:rFonts w:eastAsia="TimesNewRoman"/>
                <w:color w:val="000000"/>
                <w:szCs w:val="22"/>
                <w:lang w:val="sk-SK"/>
              </w:rPr>
            </w:pPr>
            <w:r w:rsidRPr="003A0D80">
              <w:rPr>
                <w:rFonts w:eastAsia="TimesNewRoman"/>
                <w:color w:val="000000"/>
                <w:szCs w:val="22"/>
                <w:lang w:val="sk-SK"/>
              </w:rPr>
              <w:t>Raynaudov fenomén</w:t>
            </w:r>
          </w:p>
        </w:tc>
        <w:tc>
          <w:tcPr>
            <w:tcW w:w="1842" w:type="dxa"/>
            <w:shd w:val="clear" w:color="auto" w:fill="auto"/>
          </w:tcPr>
          <w:p w14:paraId="6DB2A60F" w14:textId="77777777" w:rsidR="007A15EB" w:rsidRPr="003A0D80" w:rsidRDefault="007A15EB" w:rsidP="00853064">
            <w:pPr>
              <w:rPr>
                <w:szCs w:val="22"/>
                <w:lang w:val="sk-SK"/>
              </w:rPr>
            </w:pPr>
            <w:r w:rsidRPr="003A0D80">
              <w:rPr>
                <w:szCs w:val="22"/>
                <w:lang w:val="sk-SK"/>
              </w:rPr>
              <w:t>-</w:t>
            </w:r>
          </w:p>
        </w:tc>
        <w:tc>
          <w:tcPr>
            <w:tcW w:w="1809" w:type="dxa"/>
            <w:shd w:val="clear" w:color="auto" w:fill="auto"/>
          </w:tcPr>
          <w:p w14:paraId="79996E7A" w14:textId="77777777" w:rsidR="007A15EB" w:rsidRPr="003A0D80" w:rsidRDefault="007A15EB" w:rsidP="00853064">
            <w:pPr>
              <w:rPr>
                <w:szCs w:val="22"/>
                <w:lang w:val="sk-SK"/>
              </w:rPr>
            </w:pPr>
            <w:r w:rsidRPr="003A0D80">
              <w:rPr>
                <w:szCs w:val="22"/>
                <w:lang w:val="sk-SK"/>
              </w:rPr>
              <w:t>Neznáme</w:t>
            </w:r>
          </w:p>
        </w:tc>
      </w:tr>
      <w:tr w:rsidR="00160CFC" w:rsidRPr="004B1A50" w14:paraId="24883B5C" w14:textId="77777777" w:rsidTr="005D2728">
        <w:tc>
          <w:tcPr>
            <w:tcW w:w="2136" w:type="dxa"/>
            <w:vMerge w:val="restart"/>
            <w:shd w:val="clear" w:color="auto" w:fill="auto"/>
          </w:tcPr>
          <w:p w14:paraId="6D28DD6C" w14:textId="77777777" w:rsidR="00160CFC" w:rsidRPr="003A0D80" w:rsidRDefault="00160CFC" w:rsidP="00853064">
            <w:pPr>
              <w:autoSpaceDE w:val="0"/>
              <w:autoSpaceDN w:val="0"/>
              <w:adjustRightInd w:val="0"/>
              <w:spacing w:line="240" w:lineRule="auto"/>
              <w:rPr>
                <w:b/>
                <w:bCs/>
                <w:i/>
                <w:color w:val="000000"/>
                <w:szCs w:val="22"/>
                <w:lang w:val="sk-SK"/>
              </w:rPr>
            </w:pPr>
            <w:r w:rsidRPr="003A0D80">
              <w:rPr>
                <w:b/>
                <w:bCs/>
                <w:i/>
                <w:color w:val="000000"/>
                <w:szCs w:val="22"/>
                <w:lang w:val="sk-SK"/>
              </w:rPr>
              <w:t>Poruchy dýchacej</w:t>
            </w:r>
            <w:r w:rsidR="00857EB5" w:rsidRPr="003A0D80">
              <w:rPr>
                <w:b/>
                <w:bCs/>
                <w:i/>
                <w:color w:val="000000"/>
                <w:szCs w:val="22"/>
                <w:lang w:val="sk-SK"/>
              </w:rPr>
              <w:t xml:space="preserve"> </w:t>
            </w:r>
            <w:r w:rsidRPr="003A0D80">
              <w:rPr>
                <w:b/>
                <w:bCs/>
                <w:i/>
                <w:color w:val="000000"/>
                <w:szCs w:val="22"/>
                <w:lang w:val="sk-SK"/>
              </w:rPr>
              <w:t>sústavy,</w:t>
            </w:r>
            <w:r w:rsidR="00857EB5" w:rsidRPr="003A0D80">
              <w:rPr>
                <w:b/>
                <w:bCs/>
                <w:i/>
                <w:color w:val="000000"/>
                <w:szCs w:val="22"/>
                <w:lang w:val="sk-SK"/>
              </w:rPr>
              <w:t xml:space="preserve"> </w:t>
            </w:r>
            <w:r w:rsidRPr="003A0D80">
              <w:rPr>
                <w:b/>
                <w:bCs/>
                <w:i/>
                <w:color w:val="000000"/>
                <w:szCs w:val="22"/>
                <w:lang w:val="sk-SK"/>
              </w:rPr>
              <w:t>hrudníka</w:t>
            </w:r>
            <w:r w:rsidR="00857EB5" w:rsidRPr="003A0D80">
              <w:rPr>
                <w:b/>
                <w:bCs/>
                <w:i/>
                <w:color w:val="000000"/>
                <w:szCs w:val="22"/>
                <w:lang w:val="sk-SK"/>
              </w:rPr>
              <w:t xml:space="preserve"> </w:t>
            </w:r>
            <w:r w:rsidRPr="003A0D80">
              <w:rPr>
                <w:b/>
                <w:bCs/>
                <w:i/>
                <w:color w:val="000000"/>
                <w:szCs w:val="22"/>
                <w:lang w:val="sk-SK"/>
              </w:rPr>
              <w:t>a mediastína</w:t>
            </w:r>
          </w:p>
        </w:tc>
        <w:tc>
          <w:tcPr>
            <w:tcW w:w="4244" w:type="dxa"/>
            <w:shd w:val="clear" w:color="auto" w:fill="auto"/>
          </w:tcPr>
          <w:p w14:paraId="53C36D46" w14:textId="77777777" w:rsidR="00160CFC" w:rsidRPr="003A0D80" w:rsidRDefault="00160CFC" w:rsidP="00853064">
            <w:pPr>
              <w:rPr>
                <w:color w:val="000000"/>
                <w:szCs w:val="22"/>
                <w:lang w:val="sk-SK"/>
              </w:rPr>
            </w:pPr>
            <w:r w:rsidRPr="003A0D80">
              <w:rPr>
                <w:rFonts w:eastAsia="TimesNewRoman"/>
                <w:color w:val="000000"/>
                <w:szCs w:val="22"/>
                <w:lang w:val="sk-SK"/>
              </w:rPr>
              <w:t>Dyspnoe</w:t>
            </w:r>
          </w:p>
        </w:tc>
        <w:tc>
          <w:tcPr>
            <w:tcW w:w="1842" w:type="dxa"/>
            <w:shd w:val="clear" w:color="auto" w:fill="auto"/>
          </w:tcPr>
          <w:p w14:paraId="0B43E5C8" w14:textId="77777777" w:rsidR="00160CFC" w:rsidRPr="003A0D80" w:rsidRDefault="00160CFC" w:rsidP="00853064">
            <w:pPr>
              <w:rPr>
                <w:color w:val="000000"/>
                <w:szCs w:val="22"/>
                <w:lang w:val="sk-SK"/>
              </w:rPr>
            </w:pPr>
            <w:r w:rsidRPr="003A0D80">
              <w:rPr>
                <w:rFonts w:eastAsia="TimesNewRoman"/>
                <w:color w:val="000000"/>
                <w:szCs w:val="22"/>
                <w:lang w:val="sk-SK"/>
              </w:rPr>
              <w:t>Menej časté</w:t>
            </w:r>
          </w:p>
        </w:tc>
        <w:tc>
          <w:tcPr>
            <w:tcW w:w="1809" w:type="dxa"/>
            <w:shd w:val="clear" w:color="auto" w:fill="auto"/>
          </w:tcPr>
          <w:p w14:paraId="46D2EAD8" w14:textId="77777777" w:rsidR="00160CFC" w:rsidRPr="003A0D80" w:rsidRDefault="00160CFC" w:rsidP="00853064">
            <w:pPr>
              <w:autoSpaceDE w:val="0"/>
              <w:autoSpaceDN w:val="0"/>
              <w:adjustRightInd w:val="0"/>
              <w:spacing w:line="240" w:lineRule="auto"/>
              <w:rPr>
                <w:rFonts w:eastAsia="TimesNewRoman"/>
                <w:color w:val="000000"/>
                <w:szCs w:val="22"/>
                <w:lang w:val="sk-SK"/>
              </w:rPr>
            </w:pPr>
            <w:r w:rsidRPr="003A0D80">
              <w:rPr>
                <w:rFonts w:eastAsia="TimesNewRoman"/>
                <w:color w:val="000000"/>
                <w:szCs w:val="22"/>
                <w:lang w:val="sk-SK"/>
              </w:rPr>
              <w:t>Časté</w:t>
            </w:r>
            <w:bookmarkStart w:id="0" w:name="_GoBack"/>
            <w:bookmarkEnd w:id="0"/>
          </w:p>
        </w:tc>
      </w:tr>
      <w:tr w:rsidR="00160CFC" w:rsidRPr="004B1A50" w14:paraId="60959CE8" w14:textId="77777777" w:rsidTr="005D2728">
        <w:tc>
          <w:tcPr>
            <w:tcW w:w="2136" w:type="dxa"/>
            <w:vMerge/>
            <w:shd w:val="clear" w:color="auto" w:fill="auto"/>
          </w:tcPr>
          <w:p w14:paraId="1959F890" w14:textId="77777777" w:rsidR="00160CFC" w:rsidRPr="004B1A50" w:rsidRDefault="00160CFC" w:rsidP="00853064">
            <w:pPr>
              <w:rPr>
                <w:i/>
                <w:szCs w:val="22"/>
                <w:u w:val="single"/>
                <w:lang w:val="sk-SK"/>
              </w:rPr>
            </w:pPr>
          </w:p>
        </w:tc>
        <w:tc>
          <w:tcPr>
            <w:tcW w:w="4244" w:type="dxa"/>
            <w:shd w:val="clear" w:color="auto" w:fill="auto"/>
          </w:tcPr>
          <w:p w14:paraId="2BA1725F" w14:textId="77777777" w:rsidR="00160CFC" w:rsidRPr="004B1A50" w:rsidRDefault="00160CFC" w:rsidP="00853064">
            <w:pPr>
              <w:rPr>
                <w:color w:val="000000"/>
                <w:szCs w:val="22"/>
                <w:lang w:val="sk-SK"/>
              </w:rPr>
            </w:pPr>
            <w:r w:rsidRPr="004B1A50">
              <w:rPr>
                <w:rFonts w:eastAsia="TimesNewRoman"/>
                <w:color w:val="000000"/>
                <w:szCs w:val="22"/>
                <w:lang w:val="sk-SK"/>
              </w:rPr>
              <w:t>Rinitída</w:t>
            </w:r>
          </w:p>
        </w:tc>
        <w:tc>
          <w:tcPr>
            <w:tcW w:w="1842" w:type="dxa"/>
            <w:shd w:val="clear" w:color="auto" w:fill="auto"/>
          </w:tcPr>
          <w:p w14:paraId="6BAD79FB"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792D795B" w14:textId="77777777" w:rsidR="00160CFC" w:rsidRPr="004B1A50" w:rsidRDefault="00160CFC" w:rsidP="00853064">
            <w:pPr>
              <w:rPr>
                <w:szCs w:val="22"/>
                <w:lang w:val="sk-SK"/>
              </w:rPr>
            </w:pPr>
            <w:r w:rsidRPr="004B1A50">
              <w:rPr>
                <w:szCs w:val="22"/>
                <w:lang w:val="sk-SK"/>
              </w:rPr>
              <w:t>Veľmi zriedkavé</w:t>
            </w:r>
          </w:p>
        </w:tc>
      </w:tr>
      <w:tr w:rsidR="00160CFC" w:rsidRPr="004B1A50" w14:paraId="339A2AC0" w14:textId="77777777" w:rsidTr="005D2728">
        <w:tc>
          <w:tcPr>
            <w:tcW w:w="2136" w:type="dxa"/>
            <w:vMerge/>
            <w:shd w:val="clear" w:color="auto" w:fill="auto"/>
          </w:tcPr>
          <w:p w14:paraId="66B14C11" w14:textId="77777777" w:rsidR="00160CFC" w:rsidRPr="004B1A50" w:rsidRDefault="00160CFC" w:rsidP="00853064">
            <w:pPr>
              <w:rPr>
                <w:i/>
                <w:szCs w:val="22"/>
                <w:u w:val="single"/>
                <w:lang w:val="sk-SK"/>
              </w:rPr>
            </w:pPr>
          </w:p>
        </w:tc>
        <w:tc>
          <w:tcPr>
            <w:tcW w:w="4244" w:type="dxa"/>
            <w:shd w:val="clear" w:color="auto" w:fill="auto"/>
          </w:tcPr>
          <w:p w14:paraId="3AC01592" w14:textId="77777777" w:rsidR="00160CFC" w:rsidRPr="004B1A50" w:rsidRDefault="00160CFC" w:rsidP="00853064">
            <w:pPr>
              <w:rPr>
                <w:color w:val="000000"/>
                <w:szCs w:val="22"/>
                <w:lang w:val="sk-SK"/>
              </w:rPr>
            </w:pPr>
            <w:r w:rsidRPr="004B1A50">
              <w:rPr>
                <w:rFonts w:eastAsia="TimesNewRoman"/>
                <w:color w:val="000000"/>
                <w:szCs w:val="22"/>
                <w:lang w:val="sk-SK"/>
              </w:rPr>
              <w:t>Kašeľ</w:t>
            </w:r>
          </w:p>
        </w:tc>
        <w:tc>
          <w:tcPr>
            <w:tcW w:w="1842" w:type="dxa"/>
            <w:shd w:val="clear" w:color="auto" w:fill="auto"/>
          </w:tcPr>
          <w:p w14:paraId="7608635E"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3AD90B7A" w14:textId="77777777" w:rsidR="00160CFC" w:rsidRPr="004B1A50" w:rsidRDefault="00160CFC" w:rsidP="00853064">
            <w:pPr>
              <w:rPr>
                <w:szCs w:val="22"/>
                <w:lang w:val="sk-SK"/>
              </w:rPr>
            </w:pPr>
            <w:r w:rsidRPr="004B1A50">
              <w:rPr>
                <w:szCs w:val="22"/>
                <w:lang w:val="sk-SK"/>
              </w:rPr>
              <w:t>Časté</w:t>
            </w:r>
          </w:p>
        </w:tc>
      </w:tr>
      <w:tr w:rsidR="00160CFC" w:rsidRPr="004B1A50" w14:paraId="796637FC" w14:textId="77777777" w:rsidTr="005D2728">
        <w:tc>
          <w:tcPr>
            <w:tcW w:w="2136" w:type="dxa"/>
            <w:vMerge/>
            <w:shd w:val="clear" w:color="auto" w:fill="auto"/>
          </w:tcPr>
          <w:p w14:paraId="3C66E303" w14:textId="77777777" w:rsidR="00160CFC" w:rsidRPr="004B1A50" w:rsidRDefault="00160CFC" w:rsidP="00853064">
            <w:pPr>
              <w:rPr>
                <w:i/>
                <w:szCs w:val="22"/>
                <w:u w:val="single"/>
                <w:lang w:val="sk-SK"/>
              </w:rPr>
            </w:pPr>
          </w:p>
        </w:tc>
        <w:tc>
          <w:tcPr>
            <w:tcW w:w="4244" w:type="dxa"/>
            <w:shd w:val="clear" w:color="auto" w:fill="auto"/>
          </w:tcPr>
          <w:p w14:paraId="521FCD12" w14:textId="77777777" w:rsidR="00160CFC" w:rsidRPr="004B1A50" w:rsidRDefault="00160CFC" w:rsidP="00853064">
            <w:pPr>
              <w:rPr>
                <w:color w:val="000000"/>
                <w:szCs w:val="22"/>
                <w:lang w:val="sk-SK"/>
              </w:rPr>
            </w:pPr>
            <w:r w:rsidRPr="004B1A50">
              <w:rPr>
                <w:rFonts w:eastAsia="TimesNewRoman"/>
                <w:color w:val="000000"/>
                <w:szCs w:val="22"/>
                <w:lang w:val="sk-SK"/>
              </w:rPr>
              <w:t>Bronchospazmus</w:t>
            </w:r>
          </w:p>
        </w:tc>
        <w:tc>
          <w:tcPr>
            <w:tcW w:w="1842" w:type="dxa"/>
            <w:shd w:val="clear" w:color="auto" w:fill="auto"/>
          </w:tcPr>
          <w:p w14:paraId="290B035B"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68C8F67" w14:textId="77777777" w:rsidR="00160CFC" w:rsidRPr="004B1A50" w:rsidRDefault="00160CFC" w:rsidP="00853064">
            <w:pPr>
              <w:rPr>
                <w:szCs w:val="22"/>
                <w:lang w:val="sk-SK"/>
              </w:rPr>
            </w:pPr>
            <w:r w:rsidRPr="004B1A50">
              <w:rPr>
                <w:szCs w:val="22"/>
                <w:lang w:val="sk-SK"/>
              </w:rPr>
              <w:t>Menej časté</w:t>
            </w:r>
          </w:p>
        </w:tc>
      </w:tr>
      <w:tr w:rsidR="00160CFC" w:rsidRPr="004B1A50" w14:paraId="70A5A0A4" w14:textId="77777777" w:rsidTr="005D2728">
        <w:tc>
          <w:tcPr>
            <w:tcW w:w="2136" w:type="dxa"/>
            <w:vMerge/>
            <w:shd w:val="clear" w:color="auto" w:fill="auto"/>
          </w:tcPr>
          <w:p w14:paraId="617EA905" w14:textId="77777777" w:rsidR="00160CFC" w:rsidRPr="004B1A50" w:rsidRDefault="00160CFC" w:rsidP="00853064">
            <w:pPr>
              <w:rPr>
                <w:i/>
                <w:szCs w:val="22"/>
                <w:u w:val="single"/>
                <w:lang w:val="sk-SK"/>
              </w:rPr>
            </w:pPr>
          </w:p>
        </w:tc>
        <w:tc>
          <w:tcPr>
            <w:tcW w:w="4244" w:type="dxa"/>
            <w:shd w:val="clear" w:color="auto" w:fill="auto"/>
          </w:tcPr>
          <w:p w14:paraId="53270300" w14:textId="77777777" w:rsidR="00160CFC" w:rsidRPr="004B1A50" w:rsidRDefault="00160CFC" w:rsidP="00853064">
            <w:pPr>
              <w:rPr>
                <w:color w:val="000000"/>
                <w:szCs w:val="22"/>
                <w:lang w:val="sk-SK"/>
              </w:rPr>
            </w:pPr>
            <w:r w:rsidRPr="004B1A50">
              <w:rPr>
                <w:rFonts w:eastAsia="TimesNewRoman"/>
                <w:color w:val="000000"/>
                <w:szCs w:val="22"/>
                <w:lang w:val="sk-SK"/>
              </w:rPr>
              <w:t>Eozinofil</w:t>
            </w:r>
            <w:r w:rsidR="0017779B" w:rsidRPr="004B1A50">
              <w:rPr>
                <w:rFonts w:eastAsia="TimesNewRoman"/>
                <w:color w:val="000000"/>
                <w:szCs w:val="22"/>
                <w:lang w:val="sk-SK"/>
              </w:rPr>
              <w:t>ná</w:t>
            </w:r>
            <w:r w:rsidRPr="004B1A50">
              <w:rPr>
                <w:rFonts w:eastAsia="TimesNewRoman"/>
                <w:color w:val="000000"/>
                <w:szCs w:val="22"/>
                <w:lang w:val="sk-SK"/>
              </w:rPr>
              <w:t xml:space="preserve"> pneumónia</w:t>
            </w:r>
          </w:p>
        </w:tc>
        <w:tc>
          <w:tcPr>
            <w:tcW w:w="1842" w:type="dxa"/>
            <w:shd w:val="clear" w:color="auto" w:fill="auto"/>
          </w:tcPr>
          <w:p w14:paraId="1AAAFD34"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CC08471" w14:textId="77777777" w:rsidR="00160CFC" w:rsidRPr="004B1A50" w:rsidRDefault="00160CFC" w:rsidP="00853064">
            <w:pPr>
              <w:rPr>
                <w:szCs w:val="22"/>
                <w:lang w:val="sk-SK"/>
              </w:rPr>
            </w:pPr>
            <w:r w:rsidRPr="004B1A50">
              <w:rPr>
                <w:szCs w:val="22"/>
                <w:lang w:val="sk-SK"/>
              </w:rPr>
              <w:t>Veľmi zriedkavé</w:t>
            </w:r>
          </w:p>
        </w:tc>
      </w:tr>
      <w:tr w:rsidR="00160CFC" w:rsidRPr="004B1A50" w14:paraId="092F0C90" w14:textId="77777777" w:rsidTr="005D2728">
        <w:tc>
          <w:tcPr>
            <w:tcW w:w="2136" w:type="dxa"/>
            <w:vMerge w:val="restart"/>
            <w:shd w:val="clear" w:color="auto" w:fill="auto"/>
          </w:tcPr>
          <w:p w14:paraId="1D109942" w14:textId="77777777" w:rsidR="00160CFC" w:rsidRPr="004B1A50" w:rsidRDefault="00160CFC" w:rsidP="00853064">
            <w:pPr>
              <w:autoSpaceDE w:val="0"/>
              <w:autoSpaceDN w:val="0"/>
              <w:adjustRightInd w:val="0"/>
              <w:spacing w:line="240" w:lineRule="auto"/>
              <w:rPr>
                <w:i/>
                <w:szCs w:val="22"/>
                <w:u w:val="single"/>
                <w:lang w:val="sk-SK"/>
              </w:rPr>
            </w:pPr>
            <w:r w:rsidRPr="004B1A50">
              <w:rPr>
                <w:b/>
                <w:bCs/>
                <w:i/>
                <w:color w:val="000000"/>
                <w:szCs w:val="22"/>
                <w:lang w:val="sk-SK"/>
              </w:rPr>
              <w:t>Poruchy gastrointestinálneho</w:t>
            </w:r>
            <w:r w:rsidR="00857EB5" w:rsidRPr="004B1A50">
              <w:rPr>
                <w:b/>
                <w:bCs/>
                <w:i/>
                <w:color w:val="000000"/>
                <w:szCs w:val="22"/>
                <w:lang w:val="sk-SK"/>
              </w:rPr>
              <w:t xml:space="preserve"> </w:t>
            </w:r>
            <w:r w:rsidRPr="004B1A50">
              <w:rPr>
                <w:b/>
                <w:bCs/>
                <w:i/>
                <w:color w:val="000000"/>
                <w:szCs w:val="22"/>
                <w:lang w:val="sk-SK"/>
              </w:rPr>
              <w:t>traktu</w:t>
            </w:r>
          </w:p>
        </w:tc>
        <w:tc>
          <w:tcPr>
            <w:tcW w:w="4244" w:type="dxa"/>
            <w:shd w:val="clear" w:color="auto" w:fill="auto"/>
          </w:tcPr>
          <w:p w14:paraId="20D43F30" w14:textId="77777777" w:rsidR="00160CFC" w:rsidRPr="004B1A50" w:rsidRDefault="00BD5671" w:rsidP="00853064">
            <w:pPr>
              <w:rPr>
                <w:color w:val="000000"/>
                <w:szCs w:val="22"/>
                <w:lang w:val="sk-SK"/>
              </w:rPr>
            </w:pPr>
            <w:r w:rsidRPr="004B1A50">
              <w:rPr>
                <w:rFonts w:eastAsia="TimesNewRoman"/>
                <w:color w:val="000000"/>
                <w:szCs w:val="22"/>
                <w:lang w:val="sk-SK"/>
              </w:rPr>
              <w:t>H</w:t>
            </w:r>
            <w:r w:rsidR="00160CFC" w:rsidRPr="004B1A50">
              <w:rPr>
                <w:rFonts w:eastAsia="TimesNewRoman"/>
                <w:color w:val="000000"/>
                <w:szCs w:val="22"/>
                <w:lang w:val="sk-SK"/>
              </w:rPr>
              <w:t>yperplázia</w:t>
            </w:r>
            <w:r w:rsidR="0017779B" w:rsidRPr="004B1A50">
              <w:rPr>
                <w:rFonts w:eastAsia="TimesNewRoman"/>
                <w:color w:val="000000"/>
                <w:szCs w:val="22"/>
                <w:lang w:val="sk-SK"/>
              </w:rPr>
              <w:t xml:space="preserve"> gingívy</w:t>
            </w:r>
          </w:p>
        </w:tc>
        <w:tc>
          <w:tcPr>
            <w:tcW w:w="1842" w:type="dxa"/>
            <w:shd w:val="clear" w:color="auto" w:fill="auto"/>
          </w:tcPr>
          <w:p w14:paraId="0988CF7C"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608C809E" w14:textId="77777777" w:rsidR="00160CFC" w:rsidRPr="004B1A50" w:rsidRDefault="00160CFC" w:rsidP="00853064">
            <w:pPr>
              <w:rPr>
                <w:szCs w:val="22"/>
                <w:lang w:val="sk-SK"/>
              </w:rPr>
            </w:pPr>
            <w:r w:rsidRPr="004B1A50">
              <w:rPr>
                <w:szCs w:val="22"/>
                <w:lang w:val="sk-SK"/>
              </w:rPr>
              <w:t>–</w:t>
            </w:r>
          </w:p>
        </w:tc>
      </w:tr>
      <w:tr w:rsidR="00160CFC" w:rsidRPr="004B1A50" w14:paraId="640BE2C7" w14:textId="77777777" w:rsidTr="005D2728">
        <w:tc>
          <w:tcPr>
            <w:tcW w:w="2136" w:type="dxa"/>
            <w:vMerge/>
            <w:shd w:val="clear" w:color="auto" w:fill="auto"/>
          </w:tcPr>
          <w:p w14:paraId="6D0197A6" w14:textId="77777777" w:rsidR="00160CFC" w:rsidRPr="004B1A50" w:rsidRDefault="00160CFC" w:rsidP="00853064">
            <w:pPr>
              <w:rPr>
                <w:i/>
                <w:szCs w:val="22"/>
                <w:u w:val="single"/>
                <w:lang w:val="sk-SK"/>
              </w:rPr>
            </w:pPr>
          </w:p>
        </w:tc>
        <w:tc>
          <w:tcPr>
            <w:tcW w:w="4244" w:type="dxa"/>
            <w:shd w:val="clear" w:color="auto" w:fill="auto"/>
          </w:tcPr>
          <w:p w14:paraId="7123A301" w14:textId="77777777" w:rsidR="00160CFC" w:rsidRPr="004B1A50" w:rsidRDefault="00160CFC" w:rsidP="00853064">
            <w:pPr>
              <w:rPr>
                <w:color w:val="000000"/>
                <w:szCs w:val="22"/>
                <w:lang w:val="sk-SK"/>
              </w:rPr>
            </w:pPr>
            <w:r w:rsidRPr="004B1A50">
              <w:rPr>
                <w:rFonts w:eastAsia="TimesNewRoman"/>
                <w:color w:val="000000"/>
                <w:szCs w:val="22"/>
                <w:lang w:val="sk-SK"/>
              </w:rPr>
              <w:t>Bolesť brucha, nauzea</w:t>
            </w:r>
          </w:p>
        </w:tc>
        <w:tc>
          <w:tcPr>
            <w:tcW w:w="1842" w:type="dxa"/>
            <w:shd w:val="clear" w:color="auto" w:fill="auto"/>
          </w:tcPr>
          <w:p w14:paraId="7F31462F"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205E7DC6" w14:textId="77777777" w:rsidR="00160CFC" w:rsidRPr="004B1A50" w:rsidRDefault="00160CFC" w:rsidP="00853064">
            <w:pPr>
              <w:rPr>
                <w:szCs w:val="22"/>
                <w:lang w:val="sk-SK"/>
              </w:rPr>
            </w:pPr>
            <w:r w:rsidRPr="004B1A50">
              <w:rPr>
                <w:szCs w:val="22"/>
                <w:lang w:val="sk-SK"/>
              </w:rPr>
              <w:t>Časté</w:t>
            </w:r>
          </w:p>
        </w:tc>
      </w:tr>
      <w:tr w:rsidR="00160CFC" w:rsidRPr="004B1A50" w14:paraId="4EBCDC5A" w14:textId="77777777" w:rsidTr="005D2728">
        <w:tc>
          <w:tcPr>
            <w:tcW w:w="2136" w:type="dxa"/>
            <w:vMerge/>
            <w:shd w:val="clear" w:color="auto" w:fill="auto"/>
          </w:tcPr>
          <w:p w14:paraId="3707E1EE" w14:textId="77777777" w:rsidR="00160CFC" w:rsidRPr="004B1A50" w:rsidRDefault="00160CFC" w:rsidP="00853064">
            <w:pPr>
              <w:rPr>
                <w:i/>
                <w:szCs w:val="22"/>
                <w:u w:val="single"/>
                <w:lang w:val="sk-SK"/>
              </w:rPr>
            </w:pPr>
          </w:p>
        </w:tc>
        <w:tc>
          <w:tcPr>
            <w:tcW w:w="4244" w:type="dxa"/>
            <w:shd w:val="clear" w:color="auto" w:fill="auto"/>
          </w:tcPr>
          <w:p w14:paraId="4473480B" w14:textId="77777777" w:rsidR="00160CFC" w:rsidRPr="004B1A50" w:rsidRDefault="00160CFC" w:rsidP="00853064">
            <w:pPr>
              <w:rPr>
                <w:color w:val="000000"/>
                <w:szCs w:val="22"/>
                <w:lang w:val="sk-SK"/>
              </w:rPr>
            </w:pPr>
            <w:r w:rsidRPr="004B1A50">
              <w:rPr>
                <w:rFonts w:eastAsia="TimesNewRoman"/>
                <w:color w:val="000000"/>
                <w:szCs w:val="22"/>
                <w:lang w:val="sk-SK"/>
              </w:rPr>
              <w:t>Vracanie</w:t>
            </w:r>
          </w:p>
        </w:tc>
        <w:tc>
          <w:tcPr>
            <w:tcW w:w="1842" w:type="dxa"/>
            <w:shd w:val="clear" w:color="auto" w:fill="auto"/>
          </w:tcPr>
          <w:p w14:paraId="159FAD02"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c>
          <w:tcPr>
            <w:tcW w:w="1809" w:type="dxa"/>
            <w:shd w:val="clear" w:color="auto" w:fill="auto"/>
          </w:tcPr>
          <w:p w14:paraId="29BCE57E"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tc>
      </w:tr>
      <w:tr w:rsidR="00160CFC" w:rsidRPr="004B1A50" w14:paraId="510D97A7" w14:textId="77777777" w:rsidTr="005D2728">
        <w:tc>
          <w:tcPr>
            <w:tcW w:w="2136" w:type="dxa"/>
            <w:vMerge/>
            <w:shd w:val="clear" w:color="auto" w:fill="auto"/>
          </w:tcPr>
          <w:p w14:paraId="3E5E50C5" w14:textId="77777777" w:rsidR="00160CFC" w:rsidRPr="004B1A50" w:rsidRDefault="00160CFC" w:rsidP="00853064">
            <w:pPr>
              <w:rPr>
                <w:i/>
                <w:szCs w:val="22"/>
                <w:u w:val="single"/>
                <w:lang w:val="sk-SK"/>
              </w:rPr>
            </w:pPr>
          </w:p>
        </w:tc>
        <w:tc>
          <w:tcPr>
            <w:tcW w:w="4244" w:type="dxa"/>
            <w:shd w:val="clear" w:color="auto" w:fill="auto"/>
          </w:tcPr>
          <w:p w14:paraId="434D7ADF" w14:textId="77777777" w:rsidR="00160CFC" w:rsidRPr="004B1A50" w:rsidRDefault="00160CFC" w:rsidP="00853064">
            <w:pPr>
              <w:rPr>
                <w:color w:val="000000"/>
                <w:szCs w:val="22"/>
                <w:lang w:val="sk-SK"/>
              </w:rPr>
            </w:pPr>
            <w:r w:rsidRPr="004B1A50">
              <w:rPr>
                <w:rFonts w:eastAsia="TimesNewRoman"/>
                <w:color w:val="000000"/>
                <w:szCs w:val="22"/>
                <w:lang w:val="sk-SK"/>
              </w:rPr>
              <w:t>Dyspepsia</w:t>
            </w:r>
          </w:p>
        </w:tc>
        <w:tc>
          <w:tcPr>
            <w:tcW w:w="1842" w:type="dxa"/>
            <w:shd w:val="clear" w:color="auto" w:fill="auto"/>
          </w:tcPr>
          <w:p w14:paraId="0E6F86AB"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c>
          <w:tcPr>
            <w:tcW w:w="1809" w:type="dxa"/>
            <w:shd w:val="clear" w:color="auto" w:fill="auto"/>
          </w:tcPr>
          <w:p w14:paraId="678E16CD"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tc>
      </w:tr>
      <w:tr w:rsidR="00160CFC" w:rsidRPr="004B1A50" w14:paraId="7A70ABB6" w14:textId="77777777" w:rsidTr="005D2728">
        <w:tc>
          <w:tcPr>
            <w:tcW w:w="2136" w:type="dxa"/>
            <w:vMerge/>
            <w:shd w:val="clear" w:color="auto" w:fill="auto"/>
          </w:tcPr>
          <w:p w14:paraId="117FD210" w14:textId="77777777" w:rsidR="00160CFC" w:rsidRPr="004B1A50" w:rsidRDefault="00160CFC" w:rsidP="00853064">
            <w:pPr>
              <w:rPr>
                <w:i/>
                <w:szCs w:val="22"/>
                <w:u w:val="single"/>
                <w:lang w:val="sk-SK"/>
              </w:rPr>
            </w:pPr>
          </w:p>
        </w:tc>
        <w:tc>
          <w:tcPr>
            <w:tcW w:w="4244" w:type="dxa"/>
            <w:shd w:val="clear" w:color="auto" w:fill="auto"/>
          </w:tcPr>
          <w:p w14:paraId="6FAA74F8" w14:textId="77777777" w:rsidR="00160CFC" w:rsidRPr="004B1A50" w:rsidRDefault="0017779B" w:rsidP="00853064">
            <w:pPr>
              <w:rPr>
                <w:color w:val="000000"/>
                <w:szCs w:val="22"/>
                <w:lang w:val="sk-SK"/>
              </w:rPr>
            </w:pPr>
            <w:r w:rsidRPr="004B1A50">
              <w:rPr>
                <w:rFonts w:eastAsia="TimesNewRoman"/>
                <w:color w:val="000000"/>
                <w:szCs w:val="22"/>
                <w:lang w:val="sk-SK"/>
              </w:rPr>
              <w:t>Porucha činnosti čriev</w:t>
            </w:r>
          </w:p>
        </w:tc>
        <w:tc>
          <w:tcPr>
            <w:tcW w:w="1842" w:type="dxa"/>
            <w:shd w:val="clear" w:color="auto" w:fill="auto"/>
          </w:tcPr>
          <w:p w14:paraId="79564108"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7D09C251" w14:textId="77777777" w:rsidR="00160CFC" w:rsidRPr="004B1A50" w:rsidRDefault="00160CFC" w:rsidP="00853064">
            <w:pPr>
              <w:rPr>
                <w:szCs w:val="22"/>
                <w:lang w:val="sk-SK"/>
              </w:rPr>
            </w:pPr>
            <w:r w:rsidRPr="004B1A50">
              <w:rPr>
                <w:szCs w:val="22"/>
                <w:lang w:val="sk-SK"/>
              </w:rPr>
              <w:t>–</w:t>
            </w:r>
          </w:p>
        </w:tc>
      </w:tr>
      <w:tr w:rsidR="00160CFC" w:rsidRPr="004B1A50" w14:paraId="24D4690A" w14:textId="77777777" w:rsidTr="005D2728">
        <w:trPr>
          <w:trHeight w:val="227"/>
        </w:trPr>
        <w:tc>
          <w:tcPr>
            <w:tcW w:w="2136" w:type="dxa"/>
            <w:vMerge/>
            <w:shd w:val="clear" w:color="auto" w:fill="auto"/>
          </w:tcPr>
          <w:p w14:paraId="4F7862EC" w14:textId="77777777" w:rsidR="00160CFC" w:rsidRPr="004B1A50" w:rsidRDefault="00160CFC" w:rsidP="00853064">
            <w:pPr>
              <w:rPr>
                <w:i/>
                <w:szCs w:val="22"/>
                <w:u w:val="single"/>
                <w:lang w:val="sk-SK"/>
              </w:rPr>
            </w:pPr>
          </w:p>
        </w:tc>
        <w:tc>
          <w:tcPr>
            <w:tcW w:w="4244" w:type="dxa"/>
            <w:shd w:val="clear" w:color="auto" w:fill="auto"/>
          </w:tcPr>
          <w:p w14:paraId="5877D0AC" w14:textId="77777777" w:rsidR="00160CFC" w:rsidRPr="004B1A50" w:rsidRDefault="00160CFC" w:rsidP="00853064">
            <w:pPr>
              <w:rPr>
                <w:color w:val="000000"/>
                <w:szCs w:val="22"/>
                <w:lang w:val="sk-SK"/>
              </w:rPr>
            </w:pPr>
            <w:r w:rsidRPr="004B1A50">
              <w:rPr>
                <w:rFonts w:eastAsia="TimesNewRoman"/>
                <w:color w:val="000000"/>
                <w:szCs w:val="22"/>
                <w:lang w:val="sk-SK"/>
              </w:rPr>
              <w:t>Sucho v ústach</w:t>
            </w:r>
          </w:p>
        </w:tc>
        <w:tc>
          <w:tcPr>
            <w:tcW w:w="1842" w:type="dxa"/>
            <w:shd w:val="clear" w:color="auto" w:fill="auto"/>
          </w:tcPr>
          <w:p w14:paraId="078D47A1"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5201A99A" w14:textId="77777777" w:rsidR="00160CFC" w:rsidRPr="004B1A50" w:rsidRDefault="00160CFC" w:rsidP="00853064">
            <w:pPr>
              <w:rPr>
                <w:szCs w:val="22"/>
                <w:lang w:val="sk-SK"/>
              </w:rPr>
            </w:pPr>
            <w:r w:rsidRPr="004B1A50">
              <w:rPr>
                <w:szCs w:val="22"/>
                <w:lang w:val="sk-SK"/>
              </w:rPr>
              <w:t>Menej časté</w:t>
            </w:r>
          </w:p>
        </w:tc>
      </w:tr>
      <w:tr w:rsidR="00160CFC" w:rsidRPr="004B1A50" w14:paraId="2EF9D44D" w14:textId="77777777" w:rsidTr="005D2728">
        <w:tc>
          <w:tcPr>
            <w:tcW w:w="2136" w:type="dxa"/>
            <w:vMerge/>
            <w:shd w:val="clear" w:color="auto" w:fill="auto"/>
          </w:tcPr>
          <w:p w14:paraId="03CE7449" w14:textId="77777777" w:rsidR="00160CFC" w:rsidRPr="004B1A50" w:rsidRDefault="00160CFC" w:rsidP="00853064">
            <w:pPr>
              <w:rPr>
                <w:i/>
                <w:szCs w:val="22"/>
                <w:u w:val="single"/>
                <w:lang w:val="sk-SK"/>
              </w:rPr>
            </w:pPr>
          </w:p>
        </w:tc>
        <w:tc>
          <w:tcPr>
            <w:tcW w:w="4244" w:type="dxa"/>
            <w:shd w:val="clear" w:color="auto" w:fill="auto"/>
          </w:tcPr>
          <w:p w14:paraId="224FCB38" w14:textId="77777777" w:rsidR="00160CFC" w:rsidRPr="004B1A50" w:rsidRDefault="00160CFC" w:rsidP="00853064">
            <w:pPr>
              <w:rPr>
                <w:color w:val="000000"/>
                <w:szCs w:val="22"/>
                <w:lang w:val="sk-SK"/>
              </w:rPr>
            </w:pPr>
            <w:r w:rsidRPr="004B1A50">
              <w:rPr>
                <w:rFonts w:eastAsia="TimesNewRoman"/>
                <w:color w:val="000000"/>
                <w:szCs w:val="22"/>
                <w:lang w:val="sk-SK"/>
              </w:rPr>
              <w:t>Hnačka, zápcha</w:t>
            </w:r>
          </w:p>
        </w:tc>
        <w:tc>
          <w:tcPr>
            <w:tcW w:w="1842" w:type="dxa"/>
            <w:shd w:val="clear" w:color="auto" w:fill="auto"/>
          </w:tcPr>
          <w:p w14:paraId="6A33EDBF"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c>
          <w:tcPr>
            <w:tcW w:w="1809" w:type="dxa"/>
            <w:shd w:val="clear" w:color="auto" w:fill="auto"/>
          </w:tcPr>
          <w:p w14:paraId="6534A063"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tc>
      </w:tr>
      <w:tr w:rsidR="00160CFC" w:rsidRPr="004B1A50" w14:paraId="53384D1A" w14:textId="77777777" w:rsidTr="005D2728">
        <w:tc>
          <w:tcPr>
            <w:tcW w:w="2136" w:type="dxa"/>
            <w:vMerge/>
            <w:shd w:val="clear" w:color="auto" w:fill="auto"/>
          </w:tcPr>
          <w:p w14:paraId="41525BC0" w14:textId="77777777" w:rsidR="00160CFC" w:rsidRPr="004B1A50" w:rsidRDefault="00160CFC" w:rsidP="00853064">
            <w:pPr>
              <w:rPr>
                <w:i/>
                <w:szCs w:val="22"/>
                <w:u w:val="single"/>
                <w:lang w:val="sk-SK"/>
              </w:rPr>
            </w:pPr>
          </w:p>
        </w:tc>
        <w:tc>
          <w:tcPr>
            <w:tcW w:w="4244" w:type="dxa"/>
            <w:shd w:val="clear" w:color="auto" w:fill="auto"/>
          </w:tcPr>
          <w:p w14:paraId="0F969D0F" w14:textId="77777777" w:rsidR="00160CFC" w:rsidRPr="004B1A50" w:rsidRDefault="00160CFC" w:rsidP="00853064">
            <w:pPr>
              <w:rPr>
                <w:color w:val="000000"/>
                <w:szCs w:val="22"/>
                <w:lang w:val="sk-SK"/>
              </w:rPr>
            </w:pPr>
            <w:r w:rsidRPr="004B1A50">
              <w:rPr>
                <w:rFonts w:eastAsia="TimesNewRoman"/>
                <w:color w:val="000000"/>
                <w:szCs w:val="22"/>
                <w:lang w:val="sk-SK"/>
              </w:rPr>
              <w:t>Pankreatitída</w:t>
            </w:r>
          </w:p>
        </w:tc>
        <w:tc>
          <w:tcPr>
            <w:tcW w:w="1842" w:type="dxa"/>
            <w:shd w:val="clear" w:color="auto" w:fill="auto"/>
          </w:tcPr>
          <w:p w14:paraId="201406CB"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3B555205" w14:textId="77777777" w:rsidR="00160CFC" w:rsidRPr="004B1A50" w:rsidRDefault="00160CFC" w:rsidP="00853064">
            <w:pPr>
              <w:rPr>
                <w:szCs w:val="22"/>
                <w:lang w:val="sk-SK"/>
              </w:rPr>
            </w:pPr>
            <w:r w:rsidRPr="004B1A50">
              <w:rPr>
                <w:szCs w:val="22"/>
                <w:lang w:val="sk-SK"/>
              </w:rPr>
              <w:t>Veľmi zriedkavé</w:t>
            </w:r>
          </w:p>
        </w:tc>
      </w:tr>
      <w:tr w:rsidR="00160CFC" w:rsidRPr="004B1A50" w14:paraId="15B2ECB3" w14:textId="77777777" w:rsidTr="005D2728">
        <w:tc>
          <w:tcPr>
            <w:tcW w:w="2136" w:type="dxa"/>
            <w:vMerge/>
            <w:shd w:val="clear" w:color="auto" w:fill="auto"/>
          </w:tcPr>
          <w:p w14:paraId="31F2BCA2" w14:textId="77777777" w:rsidR="00160CFC" w:rsidRPr="004B1A50" w:rsidRDefault="00160CFC" w:rsidP="00853064">
            <w:pPr>
              <w:rPr>
                <w:i/>
                <w:szCs w:val="22"/>
                <w:u w:val="single"/>
                <w:lang w:val="sk-SK"/>
              </w:rPr>
            </w:pPr>
          </w:p>
        </w:tc>
        <w:tc>
          <w:tcPr>
            <w:tcW w:w="4244" w:type="dxa"/>
            <w:shd w:val="clear" w:color="auto" w:fill="auto"/>
          </w:tcPr>
          <w:p w14:paraId="483B52B1" w14:textId="77777777" w:rsidR="00160CFC" w:rsidRPr="004B1A50" w:rsidRDefault="00160CFC" w:rsidP="00853064">
            <w:pPr>
              <w:rPr>
                <w:color w:val="000000"/>
                <w:szCs w:val="22"/>
                <w:lang w:val="sk-SK"/>
              </w:rPr>
            </w:pPr>
            <w:r w:rsidRPr="004B1A50">
              <w:rPr>
                <w:rFonts w:eastAsia="TimesNewRoman"/>
                <w:color w:val="000000"/>
                <w:szCs w:val="22"/>
                <w:lang w:val="sk-SK"/>
              </w:rPr>
              <w:t>Gastritída</w:t>
            </w:r>
          </w:p>
        </w:tc>
        <w:tc>
          <w:tcPr>
            <w:tcW w:w="1842" w:type="dxa"/>
            <w:shd w:val="clear" w:color="auto" w:fill="auto"/>
          </w:tcPr>
          <w:p w14:paraId="26E020DA"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7F5908C8" w14:textId="77777777" w:rsidR="00160CFC" w:rsidRPr="004B1A50" w:rsidRDefault="00160CFC" w:rsidP="00853064">
            <w:pPr>
              <w:rPr>
                <w:szCs w:val="22"/>
                <w:lang w:val="sk-SK"/>
              </w:rPr>
            </w:pPr>
            <w:r w:rsidRPr="004B1A50">
              <w:rPr>
                <w:szCs w:val="22"/>
                <w:lang w:val="sk-SK"/>
              </w:rPr>
              <w:t>–</w:t>
            </w:r>
          </w:p>
        </w:tc>
      </w:tr>
      <w:tr w:rsidR="00160CFC" w:rsidRPr="004B1A50" w14:paraId="385DD344" w14:textId="77777777" w:rsidTr="005D2728">
        <w:tc>
          <w:tcPr>
            <w:tcW w:w="2136" w:type="dxa"/>
            <w:vMerge w:val="restart"/>
            <w:shd w:val="clear" w:color="auto" w:fill="auto"/>
          </w:tcPr>
          <w:p w14:paraId="0C2F553D" w14:textId="77777777" w:rsidR="00160CFC" w:rsidRPr="004B1A50" w:rsidRDefault="00160CFC" w:rsidP="00853064">
            <w:pPr>
              <w:autoSpaceDE w:val="0"/>
              <w:autoSpaceDN w:val="0"/>
              <w:adjustRightInd w:val="0"/>
              <w:spacing w:line="240" w:lineRule="auto"/>
              <w:rPr>
                <w:i/>
                <w:szCs w:val="22"/>
                <w:u w:val="single"/>
                <w:lang w:val="sk-SK"/>
              </w:rPr>
            </w:pPr>
            <w:r w:rsidRPr="004B1A50">
              <w:rPr>
                <w:b/>
                <w:bCs/>
                <w:i/>
                <w:color w:val="000000"/>
                <w:szCs w:val="22"/>
                <w:lang w:val="sk-SK"/>
              </w:rPr>
              <w:t>Poruchy pečene</w:t>
            </w:r>
            <w:r w:rsidR="00857EB5" w:rsidRPr="004B1A50">
              <w:rPr>
                <w:b/>
                <w:bCs/>
                <w:i/>
                <w:color w:val="000000"/>
                <w:szCs w:val="22"/>
                <w:lang w:val="sk-SK"/>
              </w:rPr>
              <w:t xml:space="preserve"> </w:t>
            </w:r>
            <w:r w:rsidRPr="004B1A50">
              <w:rPr>
                <w:b/>
                <w:bCs/>
                <w:i/>
                <w:color w:val="000000"/>
                <w:szCs w:val="22"/>
                <w:lang w:val="sk-SK"/>
              </w:rPr>
              <w:t>a žlčových ciest</w:t>
            </w:r>
          </w:p>
        </w:tc>
        <w:tc>
          <w:tcPr>
            <w:tcW w:w="4244" w:type="dxa"/>
            <w:shd w:val="clear" w:color="auto" w:fill="auto"/>
          </w:tcPr>
          <w:p w14:paraId="0EE5C03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Hepatitída žltačka </w:t>
            </w:r>
          </w:p>
        </w:tc>
        <w:tc>
          <w:tcPr>
            <w:tcW w:w="1842" w:type="dxa"/>
            <w:shd w:val="clear" w:color="auto" w:fill="auto"/>
          </w:tcPr>
          <w:p w14:paraId="1F0B69D4"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13E7A2D0" w14:textId="77777777" w:rsidR="00160CFC" w:rsidRPr="004B1A50" w:rsidRDefault="00160CFC" w:rsidP="00853064">
            <w:pPr>
              <w:rPr>
                <w:szCs w:val="22"/>
                <w:lang w:val="sk-SK"/>
              </w:rPr>
            </w:pPr>
            <w:r w:rsidRPr="004B1A50">
              <w:rPr>
                <w:szCs w:val="22"/>
                <w:lang w:val="sk-SK"/>
              </w:rPr>
              <w:t>–</w:t>
            </w:r>
          </w:p>
        </w:tc>
      </w:tr>
      <w:tr w:rsidR="00160CFC" w:rsidRPr="004B1A50" w14:paraId="2E118CD1" w14:textId="77777777" w:rsidTr="005D2728">
        <w:tc>
          <w:tcPr>
            <w:tcW w:w="2136" w:type="dxa"/>
            <w:vMerge/>
            <w:shd w:val="clear" w:color="auto" w:fill="auto"/>
          </w:tcPr>
          <w:p w14:paraId="027E990B" w14:textId="77777777" w:rsidR="00160CFC" w:rsidRPr="004B1A50" w:rsidRDefault="00160CFC" w:rsidP="00853064">
            <w:pPr>
              <w:rPr>
                <w:i/>
                <w:szCs w:val="22"/>
                <w:u w:val="single"/>
                <w:lang w:val="sk-SK"/>
              </w:rPr>
            </w:pPr>
          </w:p>
        </w:tc>
        <w:tc>
          <w:tcPr>
            <w:tcW w:w="4244" w:type="dxa"/>
            <w:shd w:val="clear" w:color="auto" w:fill="auto"/>
          </w:tcPr>
          <w:p w14:paraId="4DC1FD75" w14:textId="77777777" w:rsidR="00160CFC" w:rsidRPr="004B1A50" w:rsidRDefault="00BD5671"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C</w:t>
            </w:r>
            <w:r w:rsidR="00160CFC" w:rsidRPr="004B1A50">
              <w:rPr>
                <w:rFonts w:eastAsia="TimesNewRoman"/>
                <w:color w:val="000000"/>
                <w:szCs w:val="22"/>
                <w:lang w:val="sk-SK"/>
              </w:rPr>
              <w:t xml:space="preserve">ytolytická alebo cholestatická </w:t>
            </w:r>
            <w:r w:rsidR="0017779B" w:rsidRPr="004B1A50">
              <w:rPr>
                <w:rFonts w:eastAsia="TimesNewRoman"/>
                <w:color w:val="000000"/>
                <w:szCs w:val="22"/>
                <w:lang w:val="sk-SK"/>
              </w:rPr>
              <w:t xml:space="preserve">hepatitída </w:t>
            </w:r>
            <w:r w:rsidR="00160CFC" w:rsidRPr="004B1A50">
              <w:rPr>
                <w:rFonts w:eastAsia="TimesNewRoman"/>
                <w:color w:val="000000"/>
                <w:szCs w:val="22"/>
                <w:lang w:val="sk-SK"/>
              </w:rPr>
              <w:t>(pozri časť 4.4)</w:t>
            </w:r>
          </w:p>
        </w:tc>
        <w:tc>
          <w:tcPr>
            <w:tcW w:w="1842" w:type="dxa"/>
            <w:shd w:val="clear" w:color="auto" w:fill="auto"/>
          </w:tcPr>
          <w:p w14:paraId="26254FC5"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0071F004" w14:textId="77777777" w:rsidR="00160CFC" w:rsidRPr="004B1A50" w:rsidRDefault="00160CFC" w:rsidP="00853064">
            <w:pPr>
              <w:rPr>
                <w:szCs w:val="22"/>
                <w:lang w:val="sk-SK"/>
              </w:rPr>
            </w:pPr>
            <w:r w:rsidRPr="004B1A50">
              <w:rPr>
                <w:szCs w:val="22"/>
                <w:lang w:val="sk-SK"/>
              </w:rPr>
              <w:t>Veľmi zriedkavé</w:t>
            </w:r>
          </w:p>
        </w:tc>
      </w:tr>
      <w:tr w:rsidR="00160CFC" w:rsidRPr="004B1A50" w14:paraId="076A8378" w14:textId="77777777" w:rsidTr="005D2728">
        <w:tc>
          <w:tcPr>
            <w:tcW w:w="2136" w:type="dxa"/>
            <w:vMerge/>
            <w:shd w:val="clear" w:color="auto" w:fill="auto"/>
          </w:tcPr>
          <w:p w14:paraId="7253ECB7" w14:textId="77777777" w:rsidR="00160CFC" w:rsidRPr="004B1A50" w:rsidRDefault="00160CFC" w:rsidP="00853064">
            <w:pPr>
              <w:rPr>
                <w:i/>
                <w:szCs w:val="22"/>
                <w:u w:val="single"/>
                <w:lang w:val="sk-SK"/>
              </w:rPr>
            </w:pPr>
          </w:p>
        </w:tc>
        <w:tc>
          <w:tcPr>
            <w:tcW w:w="4244" w:type="dxa"/>
            <w:shd w:val="clear" w:color="auto" w:fill="auto"/>
          </w:tcPr>
          <w:p w14:paraId="18AD1611"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Zvýšenie hladiny pečeňových enzýmov (</w:t>
            </w:r>
            <w:r w:rsidR="0017779B" w:rsidRPr="004B1A50">
              <w:rPr>
                <w:rFonts w:eastAsia="TimesNewRoman"/>
                <w:color w:val="000000"/>
                <w:szCs w:val="22"/>
                <w:lang w:val="sk-SK"/>
              </w:rPr>
              <w:t>väčšinou zhodné</w:t>
            </w:r>
            <w:r w:rsidRPr="004B1A50">
              <w:rPr>
                <w:rFonts w:eastAsia="TimesNewRoman"/>
                <w:color w:val="000000"/>
                <w:szCs w:val="22"/>
                <w:lang w:val="sk-SK"/>
              </w:rPr>
              <w:t xml:space="preserve"> s cholestázou)</w:t>
            </w:r>
          </w:p>
        </w:tc>
        <w:tc>
          <w:tcPr>
            <w:tcW w:w="1842" w:type="dxa"/>
            <w:shd w:val="clear" w:color="auto" w:fill="auto"/>
          </w:tcPr>
          <w:p w14:paraId="4334437F"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470E3741" w14:textId="77777777" w:rsidR="00160CFC" w:rsidRPr="004B1A50" w:rsidRDefault="00160CFC" w:rsidP="00853064">
            <w:pPr>
              <w:rPr>
                <w:szCs w:val="22"/>
                <w:lang w:val="sk-SK"/>
              </w:rPr>
            </w:pPr>
            <w:r w:rsidRPr="004B1A50">
              <w:rPr>
                <w:szCs w:val="22"/>
                <w:lang w:val="sk-SK"/>
              </w:rPr>
              <w:t>–</w:t>
            </w:r>
          </w:p>
        </w:tc>
      </w:tr>
      <w:tr w:rsidR="00160CFC" w:rsidRPr="004B1A50" w14:paraId="6D86751B" w14:textId="77777777" w:rsidTr="005D2728">
        <w:tc>
          <w:tcPr>
            <w:tcW w:w="2136" w:type="dxa"/>
            <w:vMerge w:val="restart"/>
            <w:shd w:val="clear" w:color="auto" w:fill="auto"/>
          </w:tcPr>
          <w:p w14:paraId="1C4257AE"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 kože</w:t>
            </w:r>
            <w:r w:rsidR="00620D3D" w:rsidRPr="004B1A50">
              <w:rPr>
                <w:b/>
                <w:bCs/>
                <w:i/>
                <w:color w:val="000000"/>
                <w:szCs w:val="22"/>
                <w:lang w:val="sk-SK"/>
              </w:rPr>
              <w:t xml:space="preserve"> </w:t>
            </w:r>
            <w:r w:rsidRPr="004B1A50">
              <w:rPr>
                <w:b/>
                <w:bCs/>
                <w:i/>
                <w:color w:val="000000"/>
                <w:szCs w:val="22"/>
                <w:lang w:val="sk-SK"/>
              </w:rPr>
              <w:lastRenderedPageBreak/>
              <w:t>a</w:t>
            </w:r>
            <w:r w:rsidR="00620D3D" w:rsidRPr="004B1A50">
              <w:rPr>
                <w:b/>
                <w:bCs/>
                <w:i/>
                <w:color w:val="000000"/>
                <w:szCs w:val="22"/>
                <w:lang w:val="sk-SK"/>
              </w:rPr>
              <w:t> </w:t>
            </w:r>
            <w:r w:rsidRPr="004B1A50">
              <w:rPr>
                <w:b/>
                <w:bCs/>
                <w:i/>
                <w:color w:val="000000"/>
                <w:szCs w:val="22"/>
                <w:lang w:val="sk-SK"/>
              </w:rPr>
              <w:t>podkožného</w:t>
            </w:r>
            <w:r w:rsidR="00620D3D" w:rsidRPr="004B1A50">
              <w:rPr>
                <w:b/>
                <w:bCs/>
                <w:i/>
                <w:color w:val="000000"/>
                <w:szCs w:val="22"/>
                <w:lang w:val="sk-SK"/>
              </w:rPr>
              <w:t xml:space="preserve"> </w:t>
            </w:r>
            <w:r w:rsidRPr="004B1A50">
              <w:rPr>
                <w:b/>
                <w:bCs/>
                <w:i/>
                <w:color w:val="000000"/>
                <w:szCs w:val="22"/>
                <w:lang w:val="sk-SK"/>
              </w:rPr>
              <w:t>tkaniva</w:t>
            </w:r>
          </w:p>
        </w:tc>
        <w:tc>
          <w:tcPr>
            <w:tcW w:w="4244" w:type="dxa"/>
            <w:shd w:val="clear" w:color="auto" w:fill="auto"/>
          </w:tcPr>
          <w:p w14:paraId="382A73D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lastRenderedPageBreak/>
              <w:t>Quinckeho edém</w:t>
            </w:r>
          </w:p>
        </w:tc>
        <w:tc>
          <w:tcPr>
            <w:tcW w:w="1842" w:type="dxa"/>
            <w:shd w:val="clear" w:color="auto" w:fill="auto"/>
          </w:tcPr>
          <w:p w14:paraId="4FAA0F50"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4A1A499A" w14:textId="77777777" w:rsidR="00160CFC" w:rsidRPr="004B1A50" w:rsidRDefault="00160CFC" w:rsidP="00853064">
            <w:pPr>
              <w:rPr>
                <w:szCs w:val="22"/>
                <w:lang w:val="sk-SK"/>
              </w:rPr>
            </w:pPr>
            <w:r w:rsidRPr="004B1A50">
              <w:rPr>
                <w:szCs w:val="22"/>
                <w:lang w:val="sk-SK"/>
              </w:rPr>
              <w:t>–</w:t>
            </w:r>
          </w:p>
        </w:tc>
      </w:tr>
      <w:tr w:rsidR="00160CFC" w:rsidRPr="004B1A50" w14:paraId="546C5664" w14:textId="77777777" w:rsidTr="005D2728">
        <w:tc>
          <w:tcPr>
            <w:tcW w:w="2136" w:type="dxa"/>
            <w:vMerge/>
            <w:shd w:val="clear" w:color="auto" w:fill="auto"/>
          </w:tcPr>
          <w:p w14:paraId="5A4776AE" w14:textId="77777777" w:rsidR="00160CFC" w:rsidRPr="004B1A50" w:rsidRDefault="00160CFC" w:rsidP="00853064">
            <w:pPr>
              <w:rPr>
                <w:i/>
                <w:szCs w:val="22"/>
                <w:u w:val="single"/>
                <w:lang w:val="sk-SK"/>
              </w:rPr>
            </w:pPr>
          </w:p>
        </w:tc>
        <w:tc>
          <w:tcPr>
            <w:tcW w:w="4244" w:type="dxa"/>
            <w:shd w:val="clear" w:color="auto" w:fill="auto"/>
          </w:tcPr>
          <w:p w14:paraId="02A0E461"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Angioedém tváre, končatín, pier, slizníc, jazyka, hlasiviek a/alebo hrtana (pozri časť 4.4)</w:t>
            </w:r>
          </w:p>
        </w:tc>
        <w:tc>
          <w:tcPr>
            <w:tcW w:w="1842" w:type="dxa"/>
            <w:shd w:val="clear" w:color="auto" w:fill="auto"/>
          </w:tcPr>
          <w:p w14:paraId="716617AE"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74A76220" w14:textId="77777777" w:rsidR="00160CFC" w:rsidRPr="004B1A50" w:rsidRDefault="00160CFC" w:rsidP="00853064">
            <w:pPr>
              <w:rPr>
                <w:szCs w:val="22"/>
                <w:lang w:val="sk-SK"/>
              </w:rPr>
            </w:pPr>
            <w:r w:rsidRPr="004B1A50">
              <w:rPr>
                <w:szCs w:val="22"/>
                <w:lang w:val="sk-SK"/>
              </w:rPr>
              <w:t>Menej časté</w:t>
            </w:r>
          </w:p>
        </w:tc>
      </w:tr>
      <w:tr w:rsidR="00160CFC" w:rsidRPr="004B1A50" w14:paraId="6EECEAE9" w14:textId="77777777" w:rsidTr="005D2728">
        <w:tc>
          <w:tcPr>
            <w:tcW w:w="2136" w:type="dxa"/>
            <w:vMerge/>
            <w:shd w:val="clear" w:color="auto" w:fill="auto"/>
          </w:tcPr>
          <w:p w14:paraId="5B3B2267" w14:textId="77777777" w:rsidR="00160CFC" w:rsidRPr="004B1A50" w:rsidRDefault="00160CFC" w:rsidP="00853064">
            <w:pPr>
              <w:rPr>
                <w:i/>
                <w:szCs w:val="22"/>
                <w:u w:val="single"/>
                <w:lang w:val="sk-SK"/>
              </w:rPr>
            </w:pPr>
          </w:p>
        </w:tc>
        <w:tc>
          <w:tcPr>
            <w:tcW w:w="4244" w:type="dxa"/>
            <w:shd w:val="clear" w:color="auto" w:fill="auto"/>
          </w:tcPr>
          <w:p w14:paraId="06A3AEBA" w14:textId="77777777" w:rsidR="00160CFC" w:rsidRPr="004B1A50" w:rsidRDefault="00160CFC" w:rsidP="00853064">
            <w:pPr>
              <w:rPr>
                <w:color w:val="000000"/>
                <w:szCs w:val="22"/>
                <w:lang w:val="sk-SK"/>
              </w:rPr>
            </w:pPr>
            <w:r w:rsidRPr="004B1A50">
              <w:rPr>
                <w:rFonts w:eastAsia="TimesNewRoman"/>
                <w:color w:val="000000"/>
                <w:szCs w:val="22"/>
                <w:lang w:val="sk-SK"/>
              </w:rPr>
              <w:t>Multiformný erytém</w:t>
            </w:r>
          </w:p>
        </w:tc>
        <w:tc>
          <w:tcPr>
            <w:tcW w:w="1842" w:type="dxa"/>
            <w:shd w:val="clear" w:color="auto" w:fill="auto"/>
          </w:tcPr>
          <w:p w14:paraId="5072B8DC"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5C2ABEF7" w14:textId="77777777" w:rsidR="00160CFC" w:rsidRPr="004B1A50" w:rsidRDefault="00160CFC" w:rsidP="00853064">
            <w:pPr>
              <w:rPr>
                <w:szCs w:val="22"/>
                <w:lang w:val="sk-SK"/>
              </w:rPr>
            </w:pPr>
            <w:r w:rsidRPr="004B1A50">
              <w:rPr>
                <w:szCs w:val="22"/>
                <w:lang w:val="sk-SK"/>
              </w:rPr>
              <w:t>Veľmi zriedkavé</w:t>
            </w:r>
          </w:p>
        </w:tc>
      </w:tr>
      <w:tr w:rsidR="00160CFC" w:rsidRPr="004B1A50" w14:paraId="7C2B77FF" w14:textId="77777777" w:rsidTr="005D2728">
        <w:tc>
          <w:tcPr>
            <w:tcW w:w="2136" w:type="dxa"/>
            <w:vMerge/>
            <w:shd w:val="clear" w:color="auto" w:fill="auto"/>
          </w:tcPr>
          <w:p w14:paraId="11FCDD0A" w14:textId="77777777" w:rsidR="00160CFC" w:rsidRPr="004B1A50" w:rsidRDefault="00160CFC" w:rsidP="00853064">
            <w:pPr>
              <w:rPr>
                <w:i/>
                <w:szCs w:val="22"/>
                <w:u w:val="single"/>
                <w:lang w:val="sk-SK"/>
              </w:rPr>
            </w:pPr>
          </w:p>
        </w:tc>
        <w:tc>
          <w:tcPr>
            <w:tcW w:w="4244" w:type="dxa"/>
            <w:shd w:val="clear" w:color="auto" w:fill="auto"/>
          </w:tcPr>
          <w:p w14:paraId="2CB88DCB" w14:textId="77777777" w:rsidR="00160CFC" w:rsidRPr="004B1A50" w:rsidRDefault="00160CFC" w:rsidP="00853064">
            <w:pPr>
              <w:rPr>
                <w:color w:val="000000"/>
                <w:szCs w:val="22"/>
                <w:lang w:val="sk-SK"/>
              </w:rPr>
            </w:pPr>
            <w:r w:rsidRPr="004B1A50">
              <w:rPr>
                <w:rFonts w:eastAsia="TimesNewRoman"/>
                <w:color w:val="000000"/>
                <w:szCs w:val="22"/>
                <w:lang w:val="sk-SK"/>
              </w:rPr>
              <w:t>Alopécia</w:t>
            </w:r>
          </w:p>
        </w:tc>
        <w:tc>
          <w:tcPr>
            <w:tcW w:w="1842" w:type="dxa"/>
            <w:shd w:val="clear" w:color="auto" w:fill="auto"/>
          </w:tcPr>
          <w:p w14:paraId="3F247153"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741C490D" w14:textId="77777777" w:rsidR="00160CFC" w:rsidRPr="004B1A50" w:rsidRDefault="00160CFC" w:rsidP="00853064">
            <w:pPr>
              <w:rPr>
                <w:szCs w:val="22"/>
                <w:lang w:val="sk-SK"/>
              </w:rPr>
            </w:pPr>
            <w:r w:rsidRPr="004B1A50">
              <w:rPr>
                <w:szCs w:val="22"/>
                <w:lang w:val="sk-SK"/>
              </w:rPr>
              <w:t>–</w:t>
            </w:r>
          </w:p>
        </w:tc>
      </w:tr>
      <w:tr w:rsidR="00160CFC" w:rsidRPr="004B1A50" w14:paraId="397A5A44" w14:textId="77777777" w:rsidTr="005D2728">
        <w:tc>
          <w:tcPr>
            <w:tcW w:w="2136" w:type="dxa"/>
            <w:vMerge/>
            <w:shd w:val="clear" w:color="auto" w:fill="auto"/>
          </w:tcPr>
          <w:p w14:paraId="2AA770A4" w14:textId="77777777" w:rsidR="00160CFC" w:rsidRPr="004B1A50" w:rsidRDefault="00160CFC" w:rsidP="00853064">
            <w:pPr>
              <w:rPr>
                <w:i/>
                <w:szCs w:val="22"/>
                <w:u w:val="single"/>
                <w:lang w:val="sk-SK"/>
              </w:rPr>
            </w:pPr>
          </w:p>
        </w:tc>
        <w:tc>
          <w:tcPr>
            <w:tcW w:w="4244" w:type="dxa"/>
            <w:shd w:val="clear" w:color="auto" w:fill="auto"/>
          </w:tcPr>
          <w:p w14:paraId="749918EB" w14:textId="77777777" w:rsidR="00160CFC" w:rsidRPr="00206AC6" w:rsidRDefault="00160CFC" w:rsidP="00853064">
            <w:pPr>
              <w:rPr>
                <w:color w:val="000000"/>
                <w:szCs w:val="22"/>
                <w:lang w:val="sk-SK"/>
              </w:rPr>
            </w:pPr>
            <w:r w:rsidRPr="00206AC6">
              <w:rPr>
                <w:rFonts w:eastAsia="TimesNewRoman"/>
                <w:color w:val="000000"/>
                <w:szCs w:val="22"/>
                <w:lang w:val="sk-SK"/>
              </w:rPr>
              <w:t>Purpura</w:t>
            </w:r>
          </w:p>
        </w:tc>
        <w:tc>
          <w:tcPr>
            <w:tcW w:w="1842" w:type="dxa"/>
            <w:shd w:val="clear" w:color="auto" w:fill="auto"/>
          </w:tcPr>
          <w:p w14:paraId="305DEB4E" w14:textId="77777777" w:rsidR="00160CFC" w:rsidRPr="00206AC6" w:rsidRDefault="00160CFC" w:rsidP="00853064">
            <w:pPr>
              <w:rPr>
                <w:szCs w:val="22"/>
                <w:lang w:val="sk-SK"/>
              </w:rPr>
            </w:pPr>
            <w:r w:rsidRPr="00206AC6">
              <w:rPr>
                <w:szCs w:val="22"/>
                <w:lang w:val="sk-SK"/>
              </w:rPr>
              <w:t>Menej časté</w:t>
            </w:r>
          </w:p>
        </w:tc>
        <w:tc>
          <w:tcPr>
            <w:tcW w:w="1809" w:type="dxa"/>
            <w:shd w:val="clear" w:color="auto" w:fill="auto"/>
          </w:tcPr>
          <w:p w14:paraId="1E18D399" w14:textId="77777777" w:rsidR="00160CFC" w:rsidRPr="004B1A50" w:rsidRDefault="00160CFC" w:rsidP="00853064">
            <w:pPr>
              <w:rPr>
                <w:szCs w:val="22"/>
                <w:lang w:val="sk-SK"/>
              </w:rPr>
            </w:pPr>
            <w:r w:rsidRPr="004B1A50">
              <w:rPr>
                <w:szCs w:val="22"/>
                <w:lang w:val="sk-SK"/>
              </w:rPr>
              <w:t>–</w:t>
            </w:r>
          </w:p>
        </w:tc>
      </w:tr>
      <w:tr w:rsidR="00160CFC" w:rsidRPr="004B1A50" w14:paraId="62C21106" w14:textId="77777777" w:rsidTr="005D2728">
        <w:tc>
          <w:tcPr>
            <w:tcW w:w="2136" w:type="dxa"/>
            <w:vMerge/>
            <w:shd w:val="clear" w:color="auto" w:fill="auto"/>
          </w:tcPr>
          <w:p w14:paraId="25E5B9B2" w14:textId="77777777" w:rsidR="00160CFC" w:rsidRPr="004B1A50" w:rsidRDefault="00160CFC" w:rsidP="00853064">
            <w:pPr>
              <w:rPr>
                <w:i/>
                <w:szCs w:val="22"/>
                <w:u w:val="single"/>
                <w:lang w:val="sk-SK"/>
              </w:rPr>
            </w:pPr>
          </w:p>
        </w:tc>
        <w:tc>
          <w:tcPr>
            <w:tcW w:w="4244" w:type="dxa"/>
            <w:shd w:val="clear" w:color="auto" w:fill="auto"/>
          </w:tcPr>
          <w:p w14:paraId="7911B714" w14:textId="77777777" w:rsidR="00160CFC" w:rsidRPr="00206AC6" w:rsidRDefault="00160CFC" w:rsidP="00853064">
            <w:pPr>
              <w:rPr>
                <w:color w:val="000000"/>
                <w:szCs w:val="22"/>
                <w:lang w:val="sk-SK"/>
              </w:rPr>
            </w:pPr>
            <w:r w:rsidRPr="00206AC6">
              <w:rPr>
                <w:rFonts w:eastAsia="TimesNewRoman"/>
                <w:color w:val="000000"/>
                <w:szCs w:val="22"/>
                <w:lang w:val="sk-SK"/>
              </w:rPr>
              <w:t>Zmen</w:t>
            </w:r>
            <w:r w:rsidR="0017779B" w:rsidRPr="00206AC6">
              <w:rPr>
                <w:rFonts w:eastAsia="TimesNewRoman"/>
                <w:color w:val="000000"/>
                <w:szCs w:val="22"/>
                <w:lang w:val="sk-SK"/>
              </w:rPr>
              <w:t>y</w:t>
            </w:r>
            <w:r w:rsidRPr="00206AC6">
              <w:rPr>
                <w:rFonts w:eastAsia="TimesNewRoman"/>
                <w:color w:val="000000"/>
                <w:szCs w:val="22"/>
                <w:lang w:val="sk-SK"/>
              </w:rPr>
              <w:t xml:space="preserve"> sfarbenia </w:t>
            </w:r>
            <w:r w:rsidR="0017779B" w:rsidRPr="00206AC6">
              <w:rPr>
                <w:rFonts w:eastAsia="TimesNewRoman"/>
                <w:color w:val="000000"/>
                <w:szCs w:val="22"/>
                <w:lang w:val="sk-SK"/>
              </w:rPr>
              <w:t>pokožky</w:t>
            </w:r>
          </w:p>
        </w:tc>
        <w:tc>
          <w:tcPr>
            <w:tcW w:w="1842" w:type="dxa"/>
            <w:shd w:val="clear" w:color="auto" w:fill="auto"/>
          </w:tcPr>
          <w:p w14:paraId="37A97D2B" w14:textId="77777777" w:rsidR="00160CFC" w:rsidRPr="00206AC6" w:rsidRDefault="00160CFC" w:rsidP="00853064">
            <w:pPr>
              <w:rPr>
                <w:szCs w:val="22"/>
                <w:lang w:val="sk-SK"/>
              </w:rPr>
            </w:pPr>
            <w:r w:rsidRPr="00206AC6">
              <w:rPr>
                <w:szCs w:val="22"/>
                <w:lang w:val="sk-SK"/>
              </w:rPr>
              <w:t>Menej časté</w:t>
            </w:r>
          </w:p>
        </w:tc>
        <w:tc>
          <w:tcPr>
            <w:tcW w:w="1809" w:type="dxa"/>
            <w:shd w:val="clear" w:color="auto" w:fill="auto"/>
          </w:tcPr>
          <w:p w14:paraId="7C339AAE" w14:textId="77777777" w:rsidR="00160CFC" w:rsidRPr="004B1A50" w:rsidRDefault="00160CFC" w:rsidP="00853064">
            <w:pPr>
              <w:rPr>
                <w:szCs w:val="22"/>
                <w:lang w:val="sk-SK"/>
              </w:rPr>
            </w:pPr>
            <w:r w:rsidRPr="004B1A50">
              <w:rPr>
                <w:szCs w:val="22"/>
                <w:lang w:val="sk-SK"/>
              </w:rPr>
              <w:t>–</w:t>
            </w:r>
          </w:p>
        </w:tc>
      </w:tr>
      <w:tr w:rsidR="00160CFC" w:rsidRPr="004B1A50" w14:paraId="422FE13F" w14:textId="77777777" w:rsidTr="005D2728">
        <w:tc>
          <w:tcPr>
            <w:tcW w:w="2136" w:type="dxa"/>
            <w:vMerge/>
            <w:shd w:val="clear" w:color="auto" w:fill="auto"/>
          </w:tcPr>
          <w:p w14:paraId="4A141149" w14:textId="77777777" w:rsidR="00160CFC" w:rsidRPr="004B1A50" w:rsidRDefault="00160CFC" w:rsidP="00853064">
            <w:pPr>
              <w:rPr>
                <w:i/>
                <w:szCs w:val="22"/>
                <w:u w:val="single"/>
                <w:lang w:val="sk-SK"/>
              </w:rPr>
            </w:pPr>
          </w:p>
        </w:tc>
        <w:tc>
          <w:tcPr>
            <w:tcW w:w="4244" w:type="dxa"/>
            <w:shd w:val="clear" w:color="auto" w:fill="auto"/>
          </w:tcPr>
          <w:p w14:paraId="7EE7EBE4" w14:textId="77777777" w:rsidR="00160CFC" w:rsidRPr="00206AC6" w:rsidRDefault="00160CFC" w:rsidP="00853064">
            <w:pPr>
              <w:rPr>
                <w:color w:val="000000"/>
                <w:szCs w:val="22"/>
                <w:lang w:val="sk-SK"/>
              </w:rPr>
            </w:pPr>
            <w:r w:rsidRPr="00206AC6">
              <w:rPr>
                <w:rFonts w:eastAsia="TimesNewRoman"/>
                <w:color w:val="000000"/>
                <w:szCs w:val="22"/>
                <w:lang w:val="sk-SK"/>
              </w:rPr>
              <w:t>Hyperhidróza</w:t>
            </w:r>
          </w:p>
        </w:tc>
        <w:tc>
          <w:tcPr>
            <w:tcW w:w="1842" w:type="dxa"/>
            <w:shd w:val="clear" w:color="auto" w:fill="auto"/>
          </w:tcPr>
          <w:p w14:paraId="225189E2" w14:textId="77777777" w:rsidR="00160CFC" w:rsidRPr="00206AC6" w:rsidRDefault="00160CFC" w:rsidP="00853064">
            <w:pPr>
              <w:rPr>
                <w:szCs w:val="22"/>
                <w:lang w:val="sk-SK"/>
              </w:rPr>
            </w:pPr>
            <w:r w:rsidRPr="00206AC6">
              <w:rPr>
                <w:szCs w:val="22"/>
                <w:lang w:val="sk-SK"/>
              </w:rPr>
              <w:t>Menej časté</w:t>
            </w:r>
          </w:p>
        </w:tc>
        <w:tc>
          <w:tcPr>
            <w:tcW w:w="1809" w:type="dxa"/>
            <w:shd w:val="clear" w:color="auto" w:fill="auto"/>
          </w:tcPr>
          <w:p w14:paraId="2D2366EA" w14:textId="77777777" w:rsidR="00160CFC" w:rsidRPr="004B1A50" w:rsidRDefault="00160CFC" w:rsidP="00853064">
            <w:pPr>
              <w:rPr>
                <w:szCs w:val="22"/>
                <w:lang w:val="sk-SK"/>
              </w:rPr>
            </w:pPr>
            <w:r w:rsidRPr="004B1A50">
              <w:rPr>
                <w:szCs w:val="22"/>
                <w:lang w:val="sk-SK"/>
              </w:rPr>
              <w:t>Menej časté</w:t>
            </w:r>
          </w:p>
        </w:tc>
      </w:tr>
      <w:tr w:rsidR="00160CFC" w:rsidRPr="004B1A50" w14:paraId="05313E3F" w14:textId="77777777" w:rsidTr="005D2728">
        <w:tc>
          <w:tcPr>
            <w:tcW w:w="2136" w:type="dxa"/>
            <w:vMerge/>
            <w:shd w:val="clear" w:color="auto" w:fill="auto"/>
          </w:tcPr>
          <w:p w14:paraId="41E0F73E" w14:textId="77777777" w:rsidR="00160CFC" w:rsidRPr="004B1A50" w:rsidRDefault="00160CFC" w:rsidP="00853064">
            <w:pPr>
              <w:rPr>
                <w:i/>
                <w:szCs w:val="22"/>
                <w:u w:val="single"/>
                <w:lang w:val="sk-SK"/>
              </w:rPr>
            </w:pPr>
          </w:p>
        </w:tc>
        <w:tc>
          <w:tcPr>
            <w:tcW w:w="4244" w:type="dxa"/>
            <w:shd w:val="clear" w:color="auto" w:fill="auto"/>
          </w:tcPr>
          <w:p w14:paraId="6E79D8B1" w14:textId="77777777" w:rsidR="00160CFC" w:rsidRPr="00206AC6" w:rsidRDefault="00160CFC" w:rsidP="00853064">
            <w:pPr>
              <w:rPr>
                <w:color w:val="000000"/>
                <w:szCs w:val="22"/>
                <w:lang w:val="sk-SK"/>
              </w:rPr>
            </w:pPr>
            <w:r w:rsidRPr="00206AC6">
              <w:rPr>
                <w:rFonts w:eastAsia="TimesNewRoman"/>
                <w:color w:val="000000"/>
                <w:szCs w:val="22"/>
                <w:lang w:val="sk-SK"/>
              </w:rPr>
              <w:t>Pruritus</w:t>
            </w:r>
          </w:p>
        </w:tc>
        <w:tc>
          <w:tcPr>
            <w:tcW w:w="1842" w:type="dxa"/>
            <w:shd w:val="clear" w:color="auto" w:fill="auto"/>
          </w:tcPr>
          <w:p w14:paraId="537AEFF7" w14:textId="77777777" w:rsidR="00160CFC" w:rsidRPr="00206AC6" w:rsidRDefault="00160CFC" w:rsidP="00853064">
            <w:pPr>
              <w:rPr>
                <w:color w:val="000000"/>
                <w:szCs w:val="22"/>
                <w:lang w:val="sk-SK"/>
              </w:rPr>
            </w:pPr>
            <w:r w:rsidRPr="00206AC6">
              <w:rPr>
                <w:rFonts w:eastAsia="TimesNewRoman"/>
                <w:color w:val="000000"/>
                <w:szCs w:val="22"/>
                <w:lang w:val="sk-SK"/>
              </w:rPr>
              <w:t>Menej časté</w:t>
            </w:r>
          </w:p>
        </w:tc>
        <w:tc>
          <w:tcPr>
            <w:tcW w:w="1809" w:type="dxa"/>
            <w:shd w:val="clear" w:color="auto" w:fill="auto"/>
          </w:tcPr>
          <w:p w14:paraId="2E54C5B3"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tc>
      </w:tr>
      <w:tr w:rsidR="00160CFC" w:rsidRPr="004B1A50" w14:paraId="2A449210" w14:textId="77777777" w:rsidTr="005D2728">
        <w:tc>
          <w:tcPr>
            <w:tcW w:w="2136" w:type="dxa"/>
            <w:vMerge/>
            <w:shd w:val="clear" w:color="auto" w:fill="auto"/>
          </w:tcPr>
          <w:p w14:paraId="4D2D9EAC" w14:textId="77777777" w:rsidR="00160CFC" w:rsidRPr="004B1A50" w:rsidRDefault="00160CFC" w:rsidP="00853064">
            <w:pPr>
              <w:rPr>
                <w:i/>
                <w:szCs w:val="22"/>
                <w:u w:val="single"/>
                <w:lang w:val="sk-SK"/>
              </w:rPr>
            </w:pPr>
          </w:p>
        </w:tc>
        <w:tc>
          <w:tcPr>
            <w:tcW w:w="4244" w:type="dxa"/>
            <w:shd w:val="clear" w:color="auto" w:fill="auto"/>
          </w:tcPr>
          <w:p w14:paraId="6A2D17A1" w14:textId="77777777" w:rsidR="00160CFC" w:rsidRPr="00206AC6" w:rsidRDefault="00160CFC" w:rsidP="00853064">
            <w:pPr>
              <w:rPr>
                <w:color w:val="000000"/>
                <w:szCs w:val="22"/>
                <w:lang w:val="sk-SK"/>
              </w:rPr>
            </w:pPr>
            <w:r w:rsidRPr="00206AC6">
              <w:rPr>
                <w:rFonts w:eastAsia="TimesNewRoman"/>
                <w:color w:val="000000"/>
                <w:szCs w:val="22"/>
                <w:lang w:val="sk-SK"/>
              </w:rPr>
              <w:t>Vyrážka, exantém</w:t>
            </w:r>
          </w:p>
        </w:tc>
        <w:tc>
          <w:tcPr>
            <w:tcW w:w="1842" w:type="dxa"/>
            <w:shd w:val="clear" w:color="auto" w:fill="auto"/>
          </w:tcPr>
          <w:p w14:paraId="5EF071F3" w14:textId="77777777" w:rsidR="00160CFC" w:rsidRPr="00206AC6" w:rsidRDefault="00160CFC" w:rsidP="00853064">
            <w:pPr>
              <w:rPr>
                <w:color w:val="000000"/>
                <w:szCs w:val="22"/>
                <w:lang w:val="sk-SK"/>
              </w:rPr>
            </w:pPr>
            <w:r w:rsidRPr="00206AC6">
              <w:rPr>
                <w:rFonts w:eastAsia="TimesNewRoman"/>
                <w:color w:val="000000"/>
                <w:szCs w:val="22"/>
                <w:lang w:val="sk-SK"/>
              </w:rPr>
              <w:t>Menej časté</w:t>
            </w:r>
          </w:p>
        </w:tc>
        <w:tc>
          <w:tcPr>
            <w:tcW w:w="1809" w:type="dxa"/>
            <w:shd w:val="clear" w:color="auto" w:fill="auto"/>
          </w:tcPr>
          <w:p w14:paraId="495057C9"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Časté</w:t>
            </w:r>
          </w:p>
        </w:tc>
      </w:tr>
      <w:tr w:rsidR="00160CFC" w:rsidRPr="004B1A50" w14:paraId="6D6021EB" w14:textId="77777777" w:rsidTr="005D2728">
        <w:tc>
          <w:tcPr>
            <w:tcW w:w="2136" w:type="dxa"/>
            <w:vMerge/>
            <w:shd w:val="clear" w:color="auto" w:fill="auto"/>
          </w:tcPr>
          <w:p w14:paraId="23A433B3" w14:textId="77777777" w:rsidR="00160CFC" w:rsidRPr="004B1A50" w:rsidRDefault="00160CFC" w:rsidP="00853064">
            <w:pPr>
              <w:rPr>
                <w:i/>
                <w:szCs w:val="22"/>
                <w:u w:val="single"/>
                <w:lang w:val="sk-SK"/>
              </w:rPr>
            </w:pPr>
          </w:p>
        </w:tc>
        <w:tc>
          <w:tcPr>
            <w:tcW w:w="4244" w:type="dxa"/>
            <w:shd w:val="clear" w:color="auto" w:fill="auto"/>
          </w:tcPr>
          <w:p w14:paraId="6D60233B" w14:textId="77777777" w:rsidR="00160CFC" w:rsidRPr="00206AC6" w:rsidRDefault="00160CFC" w:rsidP="00853064">
            <w:pPr>
              <w:rPr>
                <w:color w:val="000000"/>
                <w:szCs w:val="22"/>
                <w:lang w:val="sk-SK"/>
              </w:rPr>
            </w:pPr>
            <w:r w:rsidRPr="00206AC6">
              <w:rPr>
                <w:rFonts w:eastAsia="TimesNewRoman"/>
                <w:color w:val="000000"/>
                <w:szCs w:val="22"/>
                <w:lang w:val="sk-SK"/>
              </w:rPr>
              <w:t>Urtikária</w:t>
            </w:r>
          </w:p>
        </w:tc>
        <w:tc>
          <w:tcPr>
            <w:tcW w:w="1842" w:type="dxa"/>
            <w:shd w:val="clear" w:color="auto" w:fill="auto"/>
          </w:tcPr>
          <w:p w14:paraId="1C347A08" w14:textId="77777777" w:rsidR="00160CFC" w:rsidRPr="00206AC6" w:rsidRDefault="00160CFC" w:rsidP="00853064">
            <w:pPr>
              <w:rPr>
                <w:szCs w:val="22"/>
                <w:lang w:val="sk-SK"/>
              </w:rPr>
            </w:pPr>
            <w:r w:rsidRPr="00206AC6">
              <w:rPr>
                <w:szCs w:val="22"/>
                <w:lang w:val="sk-SK"/>
              </w:rPr>
              <w:t>Veľmi zriedkavé</w:t>
            </w:r>
          </w:p>
        </w:tc>
        <w:tc>
          <w:tcPr>
            <w:tcW w:w="1809" w:type="dxa"/>
            <w:shd w:val="clear" w:color="auto" w:fill="auto"/>
          </w:tcPr>
          <w:p w14:paraId="243A5874" w14:textId="77777777" w:rsidR="00160CFC" w:rsidRPr="004B1A50" w:rsidRDefault="00160CFC" w:rsidP="00853064">
            <w:pPr>
              <w:rPr>
                <w:szCs w:val="22"/>
                <w:lang w:val="sk-SK"/>
              </w:rPr>
            </w:pPr>
            <w:r w:rsidRPr="004B1A50">
              <w:rPr>
                <w:szCs w:val="22"/>
                <w:lang w:val="sk-SK"/>
              </w:rPr>
              <w:t>Menej časté</w:t>
            </w:r>
          </w:p>
        </w:tc>
      </w:tr>
      <w:tr w:rsidR="00160CFC" w:rsidRPr="004B1A50" w14:paraId="3039BC21" w14:textId="77777777" w:rsidTr="005D2728">
        <w:tc>
          <w:tcPr>
            <w:tcW w:w="2136" w:type="dxa"/>
            <w:vMerge/>
            <w:shd w:val="clear" w:color="auto" w:fill="auto"/>
          </w:tcPr>
          <w:p w14:paraId="1C023507" w14:textId="77777777" w:rsidR="00160CFC" w:rsidRPr="004B1A50" w:rsidRDefault="00160CFC" w:rsidP="00853064">
            <w:pPr>
              <w:rPr>
                <w:i/>
                <w:szCs w:val="22"/>
                <w:u w:val="single"/>
                <w:lang w:val="sk-SK"/>
              </w:rPr>
            </w:pPr>
          </w:p>
        </w:tc>
        <w:tc>
          <w:tcPr>
            <w:tcW w:w="4244" w:type="dxa"/>
            <w:shd w:val="clear" w:color="auto" w:fill="auto"/>
          </w:tcPr>
          <w:p w14:paraId="1BB8FC60" w14:textId="77777777" w:rsidR="00160CFC" w:rsidRPr="00206AC6" w:rsidRDefault="00160CFC" w:rsidP="00853064">
            <w:pPr>
              <w:rPr>
                <w:color w:val="000000"/>
                <w:szCs w:val="22"/>
                <w:lang w:val="sk-SK"/>
              </w:rPr>
            </w:pPr>
            <w:r w:rsidRPr="00206AC6">
              <w:rPr>
                <w:rFonts w:eastAsia="TimesNewRoman"/>
                <w:color w:val="000000"/>
                <w:szCs w:val="22"/>
                <w:lang w:val="sk-SK"/>
              </w:rPr>
              <w:t>Stevensov-Johnsonov syndróm</w:t>
            </w:r>
          </w:p>
        </w:tc>
        <w:tc>
          <w:tcPr>
            <w:tcW w:w="1842" w:type="dxa"/>
            <w:shd w:val="clear" w:color="auto" w:fill="auto"/>
          </w:tcPr>
          <w:p w14:paraId="22B6B682" w14:textId="77777777" w:rsidR="00160CFC" w:rsidRPr="00206AC6" w:rsidRDefault="00160CFC" w:rsidP="00853064">
            <w:pPr>
              <w:rPr>
                <w:szCs w:val="22"/>
                <w:lang w:val="sk-SK"/>
              </w:rPr>
            </w:pPr>
            <w:r w:rsidRPr="00206AC6">
              <w:rPr>
                <w:szCs w:val="22"/>
                <w:lang w:val="sk-SK"/>
              </w:rPr>
              <w:t>Veľmi zriedkavé</w:t>
            </w:r>
          </w:p>
        </w:tc>
        <w:tc>
          <w:tcPr>
            <w:tcW w:w="1809" w:type="dxa"/>
            <w:shd w:val="clear" w:color="auto" w:fill="auto"/>
          </w:tcPr>
          <w:p w14:paraId="56846594" w14:textId="77777777" w:rsidR="00160CFC" w:rsidRPr="004B1A50" w:rsidRDefault="00160CFC" w:rsidP="00853064">
            <w:pPr>
              <w:rPr>
                <w:szCs w:val="22"/>
                <w:lang w:val="sk-SK"/>
              </w:rPr>
            </w:pPr>
            <w:r w:rsidRPr="004B1A50">
              <w:rPr>
                <w:szCs w:val="22"/>
                <w:lang w:val="sk-SK"/>
              </w:rPr>
              <w:t>–</w:t>
            </w:r>
          </w:p>
        </w:tc>
      </w:tr>
      <w:tr w:rsidR="00DF0BC1" w:rsidRPr="004B1A50" w14:paraId="057DF91B" w14:textId="77777777" w:rsidTr="005D2728">
        <w:tc>
          <w:tcPr>
            <w:tcW w:w="2136" w:type="dxa"/>
            <w:vMerge/>
            <w:shd w:val="clear" w:color="auto" w:fill="auto"/>
          </w:tcPr>
          <w:p w14:paraId="31F2FDE7" w14:textId="77777777" w:rsidR="00DF0BC1" w:rsidRPr="004B1A50" w:rsidRDefault="00DF0BC1" w:rsidP="00853064">
            <w:pPr>
              <w:rPr>
                <w:i/>
                <w:szCs w:val="22"/>
                <w:u w:val="single"/>
                <w:lang w:val="sk-SK"/>
              </w:rPr>
            </w:pPr>
          </w:p>
        </w:tc>
        <w:tc>
          <w:tcPr>
            <w:tcW w:w="4244" w:type="dxa"/>
            <w:shd w:val="clear" w:color="auto" w:fill="auto"/>
          </w:tcPr>
          <w:p w14:paraId="52035E6F" w14:textId="77777777" w:rsidR="00DF0BC1" w:rsidRPr="00206AC6" w:rsidRDefault="00DF0BC1" w:rsidP="00DF0BC1">
            <w:pPr>
              <w:rPr>
                <w:rFonts w:eastAsia="TimesNewRoman"/>
                <w:color w:val="000000"/>
                <w:szCs w:val="22"/>
                <w:lang w:val="sk-SK"/>
              </w:rPr>
            </w:pPr>
            <w:r w:rsidRPr="00206AC6">
              <w:rPr>
                <w:szCs w:val="22"/>
                <w:lang w:val="sk-SK" w:eastAsia="sk-SK"/>
              </w:rPr>
              <w:t>Zhoršenie psoriázy</w:t>
            </w:r>
          </w:p>
        </w:tc>
        <w:tc>
          <w:tcPr>
            <w:tcW w:w="1842" w:type="dxa"/>
            <w:shd w:val="clear" w:color="auto" w:fill="auto"/>
          </w:tcPr>
          <w:p w14:paraId="664AA828" w14:textId="77777777" w:rsidR="00DF0BC1" w:rsidRPr="00206AC6" w:rsidRDefault="00DF0BC1" w:rsidP="00853064">
            <w:pPr>
              <w:rPr>
                <w:szCs w:val="22"/>
                <w:lang w:val="sk-SK"/>
              </w:rPr>
            </w:pPr>
            <w:r w:rsidRPr="00206AC6">
              <w:rPr>
                <w:szCs w:val="22"/>
                <w:lang w:val="sk-SK"/>
              </w:rPr>
              <w:t>–</w:t>
            </w:r>
          </w:p>
        </w:tc>
        <w:tc>
          <w:tcPr>
            <w:tcW w:w="1809" w:type="dxa"/>
            <w:shd w:val="clear" w:color="auto" w:fill="auto"/>
          </w:tcPr>
          <w:p w14:paraId="5921EC95" w14:textId="77777777" w:rsidR="00DF0BC1" w:rsidRPr="004B1A50" w:rsidRDefault="00DF0BC1" w:rsidP="00853064">
            <w:pPr>
              <w:rPr>
                <w:szCs w:val="22"/>
                <w:lang w:val="sk-SK"/>
              </w:rPr>
            </w:pPr>
            <w:r w:rsidRPr="004B1A50">
              <w:rPr>
                <w:szCs w:val="22"/>
                <w:lang w:val="sk-SK"/>
              </w:rPr>
              <w:t>zriedkavé</w:t>
            </w:r>
          </w:p>
        </w:tc>
      </w:tr>
      <w:tr w:rsidR="00160CFC" w:rsidRPr="004B1A50" w14:paraId="0A007AB4" w14:textId="77777777" w:rsidTr="005D2728">
        <w:tc>
          <w:tcPr>
            <w:tcW w:w="2136" w:type="dxa"/>
            <w:vMerge/>
            <w:shd w:val="clear" w:color="auto" w:fill="auto"/>
          </w:tcPr>
          <w:p w14:paraId="4CCA46A4" w14:textId="77777777" w:rsidR="00160CFC" w:rsidRPr="004B1A50" w:rsidRDefault="00160CFC" w:rsidP="00853064">
            <w:pPr>
              <w:rPr>
                <w:i/>
                <w:szCs w:val="22"/>
                <w:u w:val="single"/>
                <w:lang w:val="sk-SK"/>
              </w:rPr>
            </w:pPr>
          </w:p>
        </w:tc>
        <w:tc>
          <w:tcPr>
            <w:tcW w:w="4244" w:type="dxa"/>
            <w:shd w:val="clear" w:color="auto" w:fill="auto"/>
          </w:tcPr>
          <w:p w14:paraId="0704E683" w14:textId="77777777" w:rsidR="00160CFC" w:rsidRPr="00206AC6" w:rsidRDefault="00160CFC" w:rsidP="00853064">
            <w:pPr>
              <w:rPr>
                <w:color w:val="000000"/>
                <w:szCs w:val="22"/>
                <w:lang w:val="sk-SK"/>
              </w:rPr>
            </w:pPr>
            <w:r w:rsidRPr="00206AC6">
              <w:rPr>
                <w:rFonts w:eastAsia="TimesNewRoman"/>
                <w:color w:val="000000"/>
                <w:szCs w:val="22"/>
                <w:lang w:val="sk-SK"/>
              </w:rPr>
              <w:t>Exfoliatívna dermatitída</w:t>
            </w:r>
          </w:p>
        </w:tc>
        <w:tc>
          <w:tcPr>
            <w:tcW w:w="1842" w:type="dxa"/>
            <w:shd w:val="clear" w:color="auto" w:fill="auto"/>
          </w:tcPr>
          <w:p w14:paraId="620BD667" w14:textId="77777777" w:rsidR="00160CFC" w:rsidRPr="00206AC6" w:rsidRDefault="00160CFC" w:rsidP="00853064">
            <w:pPr>
              <w:rPr>
                <w:szCs w:val="22"/>
                <w:lang w:val="sk-SK"/>
              </w:rPr>
            </w:pPr>
            <w:r w:rsidRPr="00206AC6">
              <w:rPr>
                <w:szCs w:val="22"/>
                <w:lang w:val="sk-SK"/>
              </w:rPr>
              <w:t>Veľmi zriedkavé</w:t>
            </w:r>
          </w:p>
        </w:tc>
        <w:tc>
          <w:tcPr>
            <w:tcW w:w="1809" w:type="dxa"/>
            <w:shd w:val="clear" w:color="auto" w:fill="auto"/>
          </w:tcPr>
          <w:p w14:paraId="7B2D0AB3" w14:textId="77777777" w:rsidR="00160CFC" w:rsidRPr="004B1A50" w:rsidRDefault="00160CFC" w:rsidP="00853064">
            <w:pPr>
              <w:rPr>
                <w:szCs w:val="22"/>
                <w:lang w:val="sk-SK"/>
              </w:rPr>
            </w:pPr>
            <w:r w:rsidRPr="004B1A50">
              <w:rPr>
                <w:szCs w:val="22"/>
                <w:lang w:val="sk-SK"/>
              </w:rPr>
              <w:t>–</w:t>
            </w:r>
          </w:p>
        </w:tc>
      </w:tr>
      <w:tr w:rsidR="00160CFC" w:rsidRPr="004B1A50" w14:paraId="4422E4CC" w14:textId="77777777" w:rsidTr="005D2728">
        <w:tc>
          <w:tcPr>
            <w:tcW w:w="2136" w:type="dxa"/>
            <w:vMerge/>
            <w:shd w:val="clear" w:color="auto" w:fill="auto"/>
          </w:tcPr>
          <w:p w14:paraId="4F7000AA" w14:textId="77777777" w:rsidR="00160CFC" w:rsidRPr="004B1A50" w:rsidRDefault="00160CFC" w:rsidP="00853064">
            <w:pPr>
              <w:rPr>
                <w:i/>
                <w:szCs w:val="22"/>
                <w:u w:val="single"/>
                <w:lang w:val="sk-SK"/>
              </w:rPr>
            </w:pPr>
          </w:p>
        </w:tc>
        <w:tc>
          <w:tcPr>
            <w:tcW w:w="4244" w:type="dxa"/>
            <w:shd w:val="clear" w:color="auto" w:fill="auto"/>
          </w:tcPr>
          <w:p w14:paraId="16D65938" w14:textId="77777777" w:rsidR="00160CFC" w:rsidRPr="004B1A50" w:rsidRDefault="00160CFC" w:rsidP="00853064">
            <w:pPr>
              <w:rPr>
                <w:color w:val="000000"/>
                <w:szCs w:val="22"/>
                <w:lang w:val="sk-SK"/>
              </w:rPr>
            </w:pPr>
            <w:r w:rsidRPr="004B1A50">
              <w:rPr>
                <w:rFonts w:eastAsia="TimesNewRoman"/>
                <w:color w:val="000000"/>
                <w:szCs w:val="22"/>
                <w:lang w:val="sk-SK"/>
              </w:rPr>
              <w:t>Fotosenzitivita</w:t>
            </w:r>
          </w:p>
        </w:tc>
        <w:tc>
          <w:tcPr>
            <w:tcW w:w="1842" w:type="dxa"/>
            <w:shd w:val="clear" w:color="auto" w:fill="auto"/>
          </w:tcPr>
          <w:p w14:paraId="38297C8E" w14:textId="77777777" w:rsidR="00160CFC" w:rsidRPr="004B1A50" w:rsidRDefault="00160CFC" w:rsidP="00853064">
            <w:pPr>
              <w:rPr>
                <w:szCs w:val="22"/>
                <w:lang w:val="sk-SK"/>
              </w:rPr>
            </w:pPr>
            <w:r w:rsidRPr="004B1A50">
              <w:rPr>
                <w:szCs w:val="22"/>
                <w:lang w:val="sk-SK"/>
              </w:rPr>
              <w:t>Veľmi zriedkavé</w:t>
            </w:r>
          </w:p>
        </w:tc>
        <w:tc>
          <w:tcPr>
            <w:tcW w:w="1809" w:type="dxa"/>
            <w:shd w:val="clear" w:color="auto" w:fill="auto"/>
          </w:tcPr>
          <w:p w14:paraId="2A9C2ACE" w14:textId="77777777" w:rsidR="00160CFC" w:rsidRPr="004B1A50" w:rsidRDefault="00160CFC" w:rsidP="00853064">
            <w:pPr>
              <w:rPr>
                <w:szCs w:val="22"/>
                <w:lang w:val="sk-SK"/>
              </w:rPr>
            </w:pPr>
            <w:r w:rsidRPr="004B1A50">
              <w:rPr>
                <w:szCs w:val="22"/>
                <w:lang w:val="sk-SK"/>
              </w:rPr>
              <w:t>–</w:t>
            </w:r>
          </w:p>
        </w:tc>
      </w:tr>
      <w:tr w:rsidR="00206AC6" w:rsidRPr="004B1A50" w14:paraId="5BC6C28F" w14:textId="77777777" w:rsidTr="005D2728">
        <w:tc>
          <w:tcPr>
            <w:tcW w:w="2136" w:type="dxa"/>
            <w:shd w:val="clear" w:color="auto" w:fill="auto"/>
          </w:tcPr>
          <w:p w14:paraId="09B03649" w14:textId="77777777" w:rsidR="00206AC6" w:rsidRPr="004B1A50" w:rsidRDefault="00206AC6" w:rsidP="00853064">
            <w:pPr>
              <w:rPr>
                <w:i/>
                <w:szCs w:val="22"/>
                <w:u w:val="single"/>
                <w:lang w:val="sk-SK"/>
              </w:rPr>
            </w:pPr>
          </w:p>
        </w:tc>
        <w:tc>
          <w:tcPr>
            <w:tcW w:w="4244" w:type="dxa"/>
            <w:shd w:val="clear" w:color="auto" w:fill="auto"/>
          </w:tcPr>
          <w:p w14:paraId="481F4FA2" w14:textId="77777777" w:rsidR="00206AC6" w:rsidRPr="004B1A50" w:rsidRDefault="00206AC6" w:rsidP="00853064">
            <w:pPr>
              <w:rPr>
                <w:rFonts w:eastAsia="TimesNewRoman"/>
                <w:color w:val="000000"/>
                <w:szCs w:val="22"/>
                <w:lang w:val="sk-SK"/>
              </w:rPr>
            </w:pPr>
            <w:r>
              <w:rPr>
                <w:rFonts w:eastAsia="TimesNewRoman"/>
                <w:color w:val="000000"/>
                <w:szCs w:val="22"/>
                <w:lang w:val="sk-SK"/>
              </w:rPr>
              <w:t>Toxická epidermálna nekrolýza</w:t>
            </w:r>
          </w:p>
        </w:tc>
        <w:tc>
          <w:tcPr>
            <w:tcW w:w="1842" w:type="dxa"/>
            <w:shd w:val="clear" w:color="auto" w:fill="auto"/>
          </w:tcPr>
          <w:p w14:paraId="743ECDC5" w14:textId="77777777" w:rsidR="00206AC6" w:rsidRPr="004B1A50" w:rsidRDefault="00206AC6" w:rsidP="00853064">
            <w:pPr>
              <w:rPr>
                <w:szCs w:val="22"/>
                <w:lang w:val="sk-SK"/>
              </w:rPr>
            </w:pPr>
            <w:r>
              <w:rPr>
                <w:szCs w:val="22"/>
                <w:lang w:val="sk-SK"/>
              </w:rPr>
              <w:t>Neznáme</w:t>
            </w:r>
          </w:p>
        </w:tc>
        <w:tc>
          <w:tcPr>
            <w:tcW w:w="1809" w:type="dxa"/>
            <w:shd w:val="clear" w:color="auto" w:fill="auto"/>
          </w:tcPr>
          <w:p w14:paraId="2868E931" w14:textId="77777777" w:rsidR="00206AC6" w:rsidRPr="004B1A50" w:rsidRDefault="00206AC6" w:rsidP="00853064">
            <w:pPr>
              <w:rPr>
                <w:szCs w:val="22"/>
                <w:lang w:val="sk-SK"/>
              </w:rPr>
            </w:pPr>
            <w:r w:rsidRPr="004B1A50">
              <w:rPr>
                <w:szCs w:val="22"/>
                <w:lang w:val="sk-SK"/>
              </w:rPr>
              <w:t>–</w:t>
            </w:r>
          </w:p>
        </w:tc>
      </w:tr>
      <w:tr w:rsidR="00160CFC" w:rsidRPr="004B1A50" w14:paraId="04C179CD" w14:textId="77777777" w:rsidTr="005D2728">
        <w:tc>
          <w:tcPr>
            <w:tcW w:w="2136" w:type="dxa"/>
            <w:vMerge w:val="restart"/>
            <w:shd w:val="clear" w:color="auto" w:fill="auto"/>
          </w:tcPr>
          <w:p w14:paraId="7322C5E8" w14:textId="77777777" w:rsidR="00160CFC" w:rsidRPr="004B1A50" w:rsidRDefault="00160CFC" w:rsidP="00853064">
            <w:pPr>
              <w:autoSpaceDE w:val="0"/>
              <w:autoSpaceDN w:val="0"/>
              <w:adjustRightInd w:val="0"/>
              <w:spacing w:line="240" w:lineRule="auto"/>
              <w:rPr>
                <w:i/>
                <w:szCs w:val="22"/>
                <w:u w:val="single"/>
                <w:lang w:val="sk-SK"/>
              </w:rPr>
            </w:pPr>
            <w:r w:rsidRPr="004B1A50">
              <w:rPr>
                <w:b/>
                <w:bCs/>
                <w:i/>
                <w:color w:val="000000"/>
                <w:szCs w:val="22"/>
                <w:lang w:val="sk-SK"/>
              </w:rPr>
              <w:t>Poruchy kostrovej</w:t>
            </w:r>
            <w:r w:rsidR="00620D3D" w:rsidRPr="004B1A50">
              <w:rPr>
                <w:b/>
                <w:bCs/>
                <w:i/>
                <w:color w:val="000000"/>
                <w:szCs w:val="22"/>
                <w:lang w:val="sk-SK"/>
              </w:rPr>
              <w:t xml:space="preserve"> </w:t>
            </w:r>
            <w:r w:rsidRPr="004B1A50">
              <w:rPr>
                <w:b/>
                <w:bCs/>
                <w:i/>
                <w:color w:val="000000"/>
                <w:szCs w:val="22"/>
                <w:lang w:val="sk-SK"/>
              </w:rPr>
              <w:t>a svalovej sústavy</w:t>
            </w:r>
            <w:r w:rsidR="00620D3D" w:rsidRPr="004B1A50">
              <w:rPr>
                <w:b/>
                <w:bCs/>
                <w:i/>
                <w:color w:val="000000"/>
                <w:szCs w:val="22"/>
                <w:lang w:val="sk-SK"/>
              </w:rPr>
              <w:t xml:space="preserve"> </w:t>
            </w:r>
            <w:r w:rsidRPr="004B1A50">
              <w:rPr>
                <w:b/>
                <w:bCs/>
                <w:i/>
                <w:color w:val="000000"/>
                <w:szCs w:val="22"/>
                <w:lang w:val="sk-SK"/>
              </w:rPr>
              <w:t>a spojivového tkaniva</w:t>
            </w:r>
          </w:p>
        </w:tc>
        <w:tc>
          <w:tcPr>
            <w:tcW w:w="4244" w:type="dxa"/>
            <w:shd w:val="clear" w:color="auto" w:fill="auto"/>
          </w:tcPr>
          <w:p w14:paraId="180F4CF2" w14:textId="77777777" w:rsidR="00160CFC" w:rsidRPr="004B1A50" w:rsidRDefault="00160CFC" w:rsidP="00853064">
            <w:pPr>
              <w:rPr>
                <w:color w:val="000000"/>
                <w:szCs w:val="22"/>
                <w:lang w:val="sk-SK"/>
              </w:rPr>
            </w:pPr>
            <w:r w:rsidRPr="004B1A50">
              <w:rPr>
                <w:rFonts w:eastAsia="TimesNewRoman"/>
                <w:color w:val="000000"/>
                <w:szCs w:val="22"/>
                <w:lang w:val="sk-SK"/>
              </w:rPr>
              <w:t>Opuch členkov</w:t>
            </w:r>
          </w:p>
        </w:tc>
        <w:tc>
          <w:tcPr>
            <w:tcW w:w="1842" w:type="dxa"/>
            <w:shd w:val="clear" w:color="auto" w:fill="auto"/>
          </w:tcPr>
          <w:p w14:paraId="1E07968A"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2426EF92" w14:textId="77777777" w:rsidR="00160CFC" w:rsidRPr="004B1A50" w:rsidRDefault="00160CFC" w:rsidP="00853064">
            <w:pPr>
              <w:rPr>
                <w:szCs w:val="22"/>
                <w:lang w:val="sk-SK"/>
              </w:rPr>
            </w:pPr>
            <w:r w:rsidRPr="004B1A50">
              <w:rPr>
                <w:szCs w:val="22"/>
                <w:lang w:val="sk-SK"/>
              </w:rPr>
              <w:t>–</w:t>
            </w:r>
          </w:p>
        </w:tc>
      </w:tr>
      <w:tr w:rsidR="00160CFC" w:rsidRPr="004B1A50" w14:paraId="2D9D7F61" w14:textId="77777777" w:rsidTr="005D2728">
        <w:tc>
          <w:tcPr>
            <w:tcW w:w="2136" w:type="dxa"/>
            <w:vMerge/>
            <w:shd w:val="clear" w:color="auto" w:fill="auto"/>
          </w:tcPr>
          <w:p w14:paraId="0D6A6513" w14:textId="77777777" w:rsidR="00160CFC" w:rsidRPr="004B1A50" w:rsidRDefault="00160CFC" w:rsidP="00853064">
            <w:pPr>
              <w:rPr>
                <w:i/>
                <w:szCs w:val="22"/>
                <w:u w:val="single"/>
                <w:lang w:val="sk-SK"/>
              </w:rPr>
            </w:pPr>
          </w:p>
        </w:tc>
        <w:tc>
          <w:tcPr>
            <w:tcW w:w="4244" w:type="dxa"/>
            <w:shd w:val="clear" w:color="auto" w:fill="auto"/>
          </w:tcPr>
          <w:p w14:paraId="45B434D6" w14:textId="77777777" w:rsidR="00160CFC" w:rsidRPr="004B1A50" w:rsidRDefault="00160CFC" w:rsidP="00853064">
            <w:pPr>
              <w:rPr>
                <w:color w:val="000000"/>
                <w:szCs w:val="22"/>
                <w:lang w:val="sk-SK"/>
              </w:rPr>
            </w:pPr>
            <w:r w:rsidRPr="004B1A50">
              <w:rPr>
                <w:rFonts w:eastAsia="TimesNewRoman"/>
                <w:color w:val="000000"/>
                <w:szCs w:val="22"/>
                <w:lang w:val="sk-SK"/>
              </w:rPr>
              <w:t>Artralgia, myalgia</w:t>
            </w:r>
          </w:p>
        </w:tc>
        <w:tc>
          <w:tcPr>
            <w:tcW w:w="1842" w:type="dxa"/>
            <w:shd w:val="clear" w:color="auto" w:fill="auto"/>
          </w:tcPr>
          <w:p w14:paraId="2D5BD2A8"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36AD3380" w14:textId="77777777" w:rsidR="00160CFC" w:rsidRPr="004B1A50" w:rsidRDefault="00160CFC" w:rsidP="00853064">
            <w:pPr>
              <w:rPr>
                <w:szCs w:val="22"/>
                <w:lang w:val="sk-SK"/>
              </w:rPr>
            </w:pPr>
            <w:r w:rsidRPr="004B1A50">
              <w:rPr>
                <w:szCs w:val="22"/>
                <w:lang w:val="sk-SK"/>
              </w:rPr>
              <w:t>–</w:t>
            </w:r>
          </w:p>
        </w:tc>
      </w:tr>
      <w:tr w:rsidR="00160CFC" w:rsidRPr="004B1A50" w14:paraId="1489E17B" w14:textId="77777777" w:rsidTr="005D2728">
        <w:tc>
          <w:tcPr>
            <w:tcW w:w="2136" w:type="dxa"/>
            <w:vMerge/>
            <w:shd w:val="clear" w:color="auto" w:fill="auto"/>
          </w:tcPr>
          <w:p w14:paraId="0E2C89D4" w14:textId="77777777" w:rsidR="00160CFC" w:rsidRPr="004B1A50" w:rsidRDefault="00160CFC" w:rsidP="00853064">
            <w:pPr>
              <w:rPr>
                <w:i/>
                <w:szCs w:val="22"/>
                <w:u w:val="single"/>
                <w:lang w:val="sk-SK"/>
              </w:rPr>
            </w:pPr>
          </w:p>
        </w:tc>
        <w:tc>
          <w:tcPr>
            <w:tcW w:w="4244" w:type="dxa"/>
            <w:shd w:val="clear" w:color="auto" w:fill="auto"/>
          </w:tcPr>
          <w:p w14:paraId="5DB03878" w14:textId="77777777" w:rsidR="00160CFC" w:rsidRPr="004B1A50" w:rsidRDefault="00160CFC" w:rsidP="00853064">
            <w:pPr>
              <w:rPr>
                <w:color w:val="000000"/>
                <w:szCs w:val="22"/>
                <w:lang w:val="sk-SK"/>
              </w:rPr>
            </w:pPr>
            <w:r w:rsidRPr="004B1A50">
              <w:rPr>
                <w:rFonts w:eastAsia="TimesNewRoman"/>
                <w:color w:val="000000"/>
                <w:szCs w:val="22"/>
                <w:lang w:val="sk-SK"/>
              </w:rPr>
              <w:t>Svalové kŕče</w:t>
            </w:r>
          </w:p>
        </w:tc>
        <w:tc>
          <w:tcPr>
            <w:tcW w:w="1842" w:type="dxa"/>
            <w:shd w:val="clear" w:color="auto" w:fill="auto"/>
          </w:tcPr>
          <w:p w14:paraId="4C73451C"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7D2F2420" w14:textId="77777777" w:rsidR="00160CFC" w:rsidRPr="004B1A50" w:rsidRDefault="00160CFC" w:rsidP="00853064">
            <w:pPr>
              <w:rPr>
                <w:szCs w:val="22"/>
                <w:lang w:val="sk-SK"/>
              </w:rPr>
            </w:pPr>
            <w:r w:rsidRPr="004B1A50">
              <w:rPr>
                <w:szCs w:val="22"/>
                <w:lang w:val="sk-SK"/>
              </w:rPr>
              <w:t>Časté</w:t>
            </w:r>
          </w:p>
        </w:tc>
      </w:tr>
      <w:tr w:rsidR="00160CFC" w:rsidRPr="004B1A50" w14:paraId="56E27394" w14:textId="77777777" w:rsidTr="005D2728">
        <w:tc>
          <w:tcPr>
            <w:tcW w:w="2136" w:type="dxa"/>
            <w:vMerge/>
            <w:shd w:val="clear" w:color="auto" w:fill="auto"/>
          </w:tcPr>
          <w:p w14:paraId="089BD6EC" w14:textId="77777777" w:rsidR="00160CFC" w:rsidRPr="004B1A50" w:rsidRDefault="00160CFC" w:rsidP="00853064">
            <w:pPr>
              <w:rPr>
                <w:i/>
                <w:szCs w:val="22"/>
                <w:u w:val="single"/>
                <w:lang w:val="sk-SK"/>
              </w:rPr>
            </w:pPr>
          </w:p>
        </w:tc>
        <w:tc>
          <w:tcPr>
            <w:tcW w:w="4244" w:type="dxa"/>
            <w:shd w:val="clear" w:color="auto" w:fill="auto"/>
          </w:tcPr>
          <w:p w14:paraId="5D90C7CA" w14:textId="77777777" w:rsidR="00160CFC" w:rsidRPr="004B1A50" w:rsidRDefault="00160CFC" w:rsidP="00853064">
            <w:pPr>
              <w:rPr>
                <w:color w:val="000000"/>
                <w:szCs w:val="22"/>
                <w:lang w:val="sk-SK"/>
              </w:rPr>
            </w:pPr>
            <w:r w:rsidRPr="004B1A50">
              <w:rPr>
                <w:rFonts w:eastAsia="TimesNewRoman"/>
                <w:color w:val="000000"/>
                <w:szCs w:val="22"/>
                <w:lang w:val="sk-SK"/>
              </w:rPr>
              <w:t>Bolesť chrbta</w:t>
            </w:r>
          </w:p>
        </w:tc>
        <w:tc>
          <w:tcPr>
            <w:tcW w:w="1842" w:type="dxa"/>
            <w:shd w:val="clear" w:color="auto" w:fill="auto"/>
          </w:tcPr>
          <w:p w14:paraId="164D8918"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37912919" w14:textId="77777777" w:rsidR="00160CFC" w:rsidRPr="004B1A50" w:rsidRDefault="00160CFC" w:rsidP="00853064">
            <w:pPr>
              <w:rPr>
                <w:szCs w:val="22"/>
                <w:lang w:val="sk-SK"/>
              </w:rPr>
            </w:pPr>
            <w:r w:rsidRPr="004B1A50">
              <w:rPr>
                <w:szCs w:val="22"/>
                <w:lang w:val="sk-SK"/>
              </w:rPr>
              <w:t>–</w:t>
            </w:r>
          </w:p>
        </w:tc>
      </w:tr>
      <w:tr w:rsidR="00160CFC" w:rsidRPr="004B1A50" w14:paraId="1CCBC767" w14:textId="77777777" w:rsidTr="005D2728">
        <w:tc>
          <w:tcPr>
            <w:tcW w:w="2136" w:type="dxa"/>
            <w:vMerge w:val="restart"/>
            <w:shd w:val="clear" w:color="auto" w:fill="auto"/>
          </w:tcPr>
          <w:p w14:paraId="4878EA41"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 obličiek</w:t>
            </w:r>
            <w:r w:rsidR="00620D3D" w:rsidRPr="004B1A50">
              <w:rPr>
                <w:b/>
                <w:bCs/>
                <w:i/>
                <w:color w:val="000000"/>
                <w:szCs w:val="22"/>
                <w:lang w:val="sk-SK"/>
              </w:rPr>
              <w:t xml:space="preserve"> </w:t>
            </w:r>
            <w:r w:rsidRPr="004B1A50">
              <w:rPr>
                <w:b/>
                <w:bCs/>
                <w:i/>
                <w:color w:val="000000"/>
                <w:szCs w:val="22"/>
                <w:lang w:val="sk-SK"/>
              </w:rPr>
              <w:t>a močových ciest</w:t>
            </w:r>
          </w:p>
        </w:tc>
        <w:tc>
          <w:tcPr>
            <w:tcW w:w="4244" w:type="dxa"/>
            <w:shd w:val="clear" w:color="auto" w:fill="auto"/>
          </w:tcPr>
          <w:p w14:paraId="61BF9242" w14:textId="77777777" w:rsidR="00160CFC" w:rsidRPr="004B1A50" w:rsidRDefault="000F0C4B" w:rsidP="00853064">
            <w:pPr>
              <w:rPr>
                <w:color w:val="000000"/>
                <w:szCs w:val="22"/>
                <w:lang w:val="sk-SK"/>
              </w:rPr>
            </w:pPr>
            <w:r w:rsidRPr="004B1A50">
              <w:rPr>
                <w:rFonts w:eastAsia="TimesNewRoman"/>
                <w:color w:val="000000"/>
                <w:szCs w:val="22"/>
                <w:lang w:val="sk-SK"/>
              </w:rPr>
              <w:t>Poruchy močenia</w:t>
            </w:r>
            <w:r w:rsidR="00160CFC" w:rsidRPr="004B1A50">
              <w:rPr>
                <w:rFonts w:eastAsia="TimesNewRoman"/>
                <w:color w:val="000000"/>
                <w:szCs w:val="22"/>
                <w:lang w:val="sk-SK"/>
              </w:rPr>
              <w:t xml:space="preserve">, </w:t>
            </w:r>
            <w:r w:rsidRPr="004B1A50">
              <w:rPr>
                <w:rFonts w:eastAsia="TimesNewRoman"/>
                <w:color w:val="000000"/>
                <w:szCs w:val="22"/>
                <w:lang w:val="sk-SK"/>
              </w:rPr>
              <w:t>nočné močenie</w:t>
            </w:r>
            <w:r w:rsidR="00160CFC" w:rsidRPr="004B1A50">
              <w:rPr>
                <w:rFonts w:eastAsia="TimesNewRoman"/>
                <w:color w:val="000000"/>
                <w:szCs w:val="22"/>
                <w:lang w:val="sk-SK"/>
              </w:rPr>
              <w:t xml:space="preserve">, </w:t>
            </w:r>
            <w:r w:rsidRPr="004B1A50">
              <w:rPr>
                <w:rFonts w:eastAsia="TimesNewRoman"/>
                <w:color w:val="000000"/>
                <w:szCs w:val="22"/>
                <w:lang w:val="sk-SK"/>
              </w:rPr>
              <w:t>časté močenie</w:t>
            </w:r>
          </w:p>
        </w:tc>
        <w:tc>
          <w:tcPr>
            <w:tcW w:w="1842" w:type="dxa"/>
            <w:shd w:val="clear" w:color="auto" w:fill="auto"/>
          </w:tcPr>
          <w:p w14:paraId="0D5AD53B"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70B2F772" w14:textId="77777777" w:rsidR="00160CFC" w:rsidRPr="004B1A50" w:rsidRDefault="00160CFC" w:rsidP="00853064">
            <w:pPr>
              <w:rPr>
                <w:szCs w:val="22"/>
                <w:lang w:val="sk-SK"/>
              </w:rPr>
            </w:pPr>
            <w:r w:rsidRPr="004B1A50">
              <w:rPr>
                <w:szCs w:val="22"/>
                <w:lang w:val="sk-SK"/>
              </w:rPr>
              <w:t>–</w:t>
            </w:r>
          </w:p>
        </w:tc>
      </w:tr>
      <w:tr w:rsidR="00160CFC" w:rsidRPr="004B1A50" w14:paraId="5381F9C9" w14:textId="77777777" w:rsidTr="005D2728">
        <w:tc>
          <w:tcPr>
            <w:tcW w:w="2136" w:type="dxa"/>
            <w:vMerge/>
            <w:shd w:val="clear" w:color="auto" w:fill="auto"/>
          </w:tcPr>
          <w:p w14:paraId="50AD7EFA" w14:textId="77777777" w:rsidR="00160CFC" w:rsidRPr="004B1A50" w:rsidRDefault="00160CFC" w:rsidP="00853064">
            <w:pPr>
              <w:rPr>
                <w:i/>
                <w:szCs w:val="22"/>
                <w:u w:val="single"/>
                <w:lang w:val="sk-SK"/>
              </w:rPr>
            </w:pPr>
          </w:p>
        </w:tc>
        <w:tc>
          <w:tcPr>
            <w:tcW w:w="4244" w:type="dxa"/>
            <w:shd w:val="clear" w:color="auto" w:fill="auto"/>
          </w:tcPr>
          <w:p w14:paraId="2AED1E61" w14:textId="77777777" w:rsidR="00160CFC" w:rsidRPr="004B1A50" w:rsidRDefault="000F0C4B" w:rsidP="00853064">
            <w:pPr>
              <w:rPr>
                <w:color w:val="000000"/>
                <w:szCs w:val="22"/>
                <w:lang w:val="sk-SK"/>
              </w:rPr>
            </w:pPr>
            <w:r w:rsidRPr="004B1A50">
              <w:rPr>
                <w:rFonts w:eastAsia="TimesNewRoman"/>
                <w:color w:val="000000"/>
                <w:szCs w:val="22"/>
                <w:lang w:val="sk-SK"/>
              </w:rPr>
              <w:t>Porucha funkcie obličiek</w:t>
            </w:r>
          </w:p>
        </w:tc>
        <w:tc>
          <w:tcPr>
            <w:tcW w:w="1842" w:type="dxa"/>
            <w:shd w:val="clear" w:color="auto" w:fill="auto"/>
          </w:tcPr>
          <w:p w14:paraId="65B335BE"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721B74E" w14:textId="77777777" w:rsidR="00160CFC" w:rsidRPr="004B1A50" w:rsidRDefault="00160CFC" w:rsidP="00853064">
            <w:pPr>
              <w:rPr>
                <w:szCs w:val="22"/>
                <w:lang w:val="sk-SK"/>
              </w:rPr>
            </w:pPr>
            <w:r w:rsidRPr="004B1A50">
              <w:rPr>
                <w:szCs w:val="22"/>
                <w:lang w:val="sk-SK"/>
              </w:rPr>
              <w:t>Menej časté</w:t>
            </w:r>
          </w:p>
        </w:tc>
      </w:tr>
      <w:tr w:rsidR="00160CFC" w:rsidRPr="004B1A50" w14:paraId="1D6611F7" w14:textId="77777777" w:rsidTr="005D2728">
        <w:tc>
          <w:tcPr>
            <w:tcW w:w="2136" w:type="dxa"/>
            <w:vMerge/>
            <w:shd w:val="clear" w:color="auto" w:fill="auto"/>
          </w:tcPr>
          <w:p w14:paraId="3C5874AD" w14:textId="77777777" w:rsidR="00160CFC" w:rsidRPr="004B1A50" w:rsidRDefault="00160CFC" w:rsidP="00853064">
            <w:pPr>
              <w:rPr>
                <w:i/>
                <w:szCs w:val="22"/>
                <w:u w:val="single"/>
                <w:lang w:val="sk-SK"/>
              </w:rPr>
            </w:pPr>
          </w:p>
        </w:tc>
        <w:tc>
          <w:tcPr>
            <w:tcW w:w="4244" w:type="dxa"/>
            <w:shd w:val="clear" w:color="auto" w:fill="auto"/>
          </w:tcPr>
          <w:p w14:paraId="2880F6D4" w14:textId="77777777" w:rsidR="00160CFC" w:rsidRPr="004B1A50" w:rsidRDefault="00160CFC" w:rsidP="00853064">
            <w:pPr>
              <w:rPr>
                <w:color w:val="000000"/>
                <w:szCs w:val="22"/>
                <w:lang w:val="sk-SK"/>
              </w:rPr>
            </w:pPr>
            <w:r w:rsidRPr="004B1A50">
              <w:rPr>
                <w:rFonts w:eastAsia="TimesNewRoman"/>
                <w:color w:val="000000"/>
                <w:szCs w:val="22"/>
                <w:lang w:val="sk-SK"/>
              </w:rPr>
              <w:t>Akútne zlyhanie obličiek</w:t>
            </w:r>
          </w:p>
        </w:tc>
        <w:tc>
          <w:tcPr>
            <w:tcW w:w="1842" w:type="dxa"/>
            <w:shd w:val="clear" w:color="auto" w:fill="auto"/>
          </w:tcPr>
          <w:p w14:paraId="7689DEA8"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22FC35A" w14:textId="77777777" w:rsidR="00160CFC" w:rsidRPr="004B1A50" w:rsidRDefault="00160CFC" w:rsidP="00853064">
            <w:pPr>
              <w:rPr>
                <w:szCs w:val="22"/>
                <w:lang w:val="sk-SK"/>
              </w:rPr>
            </w:pPr>
            <w:r w:rsidRPr="004B1A50">
              <w:rPr>
                <w:szCs w:val="22"/>
                <w:lang w:val="sk-SK"/>
              </w:rPr>
              <w:t>Veľmi zriedkavé</w:t>
            </w:r>
          </w:p>
        </w:tc>
      </w:tr>
      <w:tr w:rsidR="00160CFC" w:rsidRPr="004B1A50" w14:paraId="35CBD51B" w14:textId="77777777" w:rsidTr="005D2728">
        <w:tc>
          <w:tcPr>
            <w:tcW w:w="2136" w:type="dxa"/>
            <w:vMerge w:val="restart"/>
            <w:shd w:val="clear" w:color="auto" w:fill="auto"/>
          </w:tcPr>
          <w:p w14:paraId="6FCBE208"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Poruchy reprodukčného</w:t>
            </w:r>
            <w:r w:rsidR="00620D3D" w:rsidRPr="004B1A50">
              <w:rPr>
                <w:b/>
                <w:bCs/>
                <w:i/>
                <w:color w:val="000000"/>
                <w:szCs w:val="22"/>
                <w:lang w:val="sk-SK"/>
              </w:rPr>
              <w:t xml:space="preserve"> </w:t>
            </w:r>
            <w:r w:rsidRPr="004B1A50">
              <w:rPr>
                <w:b/>
                <w:bCs/>
                <w:i/>
                <w:color w:val="000000"/>
                <w:szCs w:val="22"/>
                <w:lang w:val="sk-SK"/>
              </w:rPr>
              <w:t>systému a</w:t>
            </w:r>
            <w:r w:rsidR="00620D3D" w:rsidRPr="004B1A50">
              <w:rPr>
                <w:b/>
                <w:bCs/>
                <w:i/>
                <w:color w:val="000000"/>
                <w:szCs w:val="22"/>
                <w:lang w:val="sk-SK"/>
              </w:rPr>
              <w:t xml:space="preserve"> </w:t>
            </w:r>
            <w:r w:rsidRPr="004B1A50">
              <w:rPr>
                <w:b/>
                <w:bCs/>
                <w:i/>
                <w:color w:val="000000"/>
                <w:szCs w:val="22"/>
                <w:lang w:val="sk-SK"/>
              </w:rPr>
              <w:t>prsníkov</w:t>
            </w:r>
          </w:p>
        </w:tc>
        <w:tc>
          <w:tcPr>
            <w:tcW w:w="4244" w:type="dxa"/>
            <w:shd w:val="clear" w:color="auto" w:fill="auto"/>
          </w:tcPr>
          <w:p w14:paraId="7BAB3AAC" w14:textId="77777777" w:rsidR="00160CFC" w:rsidRPr="004B1A50" w:rsidRDefault="00160CFC" w:rsidP="00853064">
            <w:pPr>
              <w:rPr>
                <w:color w:val="000000"/>
                <w:szCs w:val="22"/>
                <w:lang w:val="sk-SK"/>
              </w:rPr>
            </w:pPr>
            <w:r w:rsidRPr="004B1A50">
              <w:rPr>
                <w:rFonts w:eastAsia="TimesNewRoman"/>
                <w:color w:val="000000"/>
                <w:szCs w:val="22"/>
                <w:lang w:val="sk-SK"/>
              </w:rPr>
              <w:t xml:space="preserve">Impotencia </w:t>
            </w:r>
          </w:p>
        </w:tc>
        <w:tc>
          <w:tcPr>
            <w:tcW w:w="1842" w:type="dxa"/>
            <w:shd w:val="clear" w:color="auto" w:fill="auto"/>
          </w:tcPr>
          <w:p w14:paraId="72F6DCBB" w14:textId="77777777" w:rsidR="00160CFC" w:rsidRPr="004B1A50" w:rsidRDefault="00160CFC" w:rsidP="00853064">
            <w:pPr>
              <w:rPr>
                <w:color w:val="000000"/>
                <w:szCs w:val="22"/>
                <w:lang w:val="sk-SK"/>
              </w:rPr>
            </w:pPr>
            <w:r w:rsidRPr="004B1A50">
              <w:rPr>
                <w:rFonts w:eastAsia="TimesNewRoman"/>
                <w:color w:val="000000"/>
                <w:szCs w:val="22"/>
                <w:lang w:val="sk-SK"/>
              </w:rPr>
              <w:t xml:space="preserve">Menej časté </w:t>
            </w:r>
          </w:p>
        </w:tc>
        <w:tc>
          <w:tcPr>
            <w:tcW w:w="1809" w:type="dxa"/>
            <w:shd w:val="clear" w:color="auto" w:fill="auto"/>
          </w:tcPr>
          <w:p w14:paraId="037EE2B4"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r>
      <w:tr w:rsidR="00160CFC" w:rsidRPr="004B1A50" w14:paraId="15D7C0C1" w14:textId="77777777" w:rsidTr="005D2728">
        <w:tc>
          <w:tcPr>
            <w:tcW w:w="2136" w:type="dxa"/>
            <w:vMerge/>
            <w:shd w:val="clear" w:color="auto" w:fill="auto"/>
          </w:tcPr>
          <w:p w14:paraId="67BB2BBF" w14:textId="77777777" w:rsidR="00160CFC" w:rsidRPr="004B1A50" w:rsidRDefault="00160CFC" w:rsidP="00853064">
            <w:pPr>
              <w:rPr>
                <w:i/>
                <w:szCs w:val="22"/>
                <w:u w:val="single"/>
                <w:lang w:val="sk-SK"/>
              </w:rPr>
            </w:pPr>
          </w:p>
        </w:tc>
        <w:tc>
          <w:tcPr>
            <w:tcW w:w="4244" w:type="dxa"/>
            <w:shd w:val="clear" w:color="auto" w:fill="auto"/>
          </w:tcPr>
          <w:p w14:paraId="128A2E68" w14:textId="77777777" w:rsidR="00160CFC" w:rsidRPr="004B1A50" w:rsidRDefault="00160CFC" w:rsidP="00853064">
            <w:pPr>
              <w:rPr>
                <w:color w:val="000000"/>
                <w:szCs w:val="22"/>
                <w:lang w:val="sk-SK"/>
              </w:rPr>
            </w:pPr>
            <w:r w:rsidRPr="004B1A50">
              <w:rPr>
                <w:rFonts w:eastAsia="TimesNewRoman"/>
                <w:color w:val="000000"/>
                <w:szCs w:val="22"/>
                <w:lang w:val="sk-SK"/>
              </w:rPr>
              <w:t>Gynekomastia</w:t>
            </w:r>
          </w:p>
        </w:tc>
        <w:tc>
          <w:tcPr>
            <w:tcW w:w="1842" w:type="dxa"/>
            <w:shd w:val="clear" w:color="auto" w:fill="auto"/>
          </w:tcPr>
          <w:p w14:paraId="5A231476" w14:textId="77777777" w:rsidR="00160CFC" w:rsidRPr="004B1A50" w:rsidRDefault="00160CFC" w:rsidP="00853064">
            <w:pPr>
              <w:rPr>
                <w:color w:val="000000"/>
                <w:szCs w:val="22"/>
                <w:lang w:val="sk-SK"/>
              </w:rPr>
            </w:pPr>
            <w:r w:rsidRPr="004B1A50">
              <w:rPr>
                <w:rFonts w:eastAsia="TimesNewRoman"/>
                <w:color w:val="000000"/>
                <w:szCs w:val="22"/>
                <w:lang w:val="sk-SK"/>
              </w:rPr>
              <w:t>Menej časté</w:t>
            </w:r>
          </w:p>
        </w:tc>
        <w:tc>
          <w:tcPr>
            <w:tcW w:w="1809" w:type="dxa"/>
            <w:shd w:val="clear" w:color="auto" w:fill="auto"/>
          </w:tcPr>
          <w:p w14:paraId="0ED4D40D" w14:textId="77777777" w:rsidR="00160CFC" w:rsidRPr="004B1A50" w:rsidRDefault="00160CFC" w:rsidP="00853064">
            <w:pPr>
              <w:rPr>
                <w:szCs w:val="22"/>
                <w:lang w:val="sk-SK"/>
              </w:rPr>
            </w:pPr>
            <w:r w:rsidRPr="004B1A50">
              <w:rPr>
                <w:szCs w:val="22"/>
                <w:lang w:val="sk-SK"/>
              </w:rPr>
              <w:t>–</w:t>
            </w:r>
          </w:p>
        </w:tc>
      </w:tr>
      <w:tr w:rsidR="00160CFC" w:rsidRPr="004B1A50" w14:paraId="38E8A50F" w14:textId="77777777" w:rsidTr="005D2728">
        <w:tc>
          <w:tcPr>
            <w:tcW w:w="2136" w:type="dxa"/>
            <w:vMerge w:val="restart"/>
            <w:shd w:val="clear" w:color="auto" w:fill="auto"/>
          </w:tcPr>
          <w:p w14:paraId="110A7146" w14:textId="77777777" w:rsidR="00160CFC" w:rsidRPr="004B1A50" w:rsidRDefault="00160CFC" w:rsidP="00853064">
            <w:pPr>
              <w:autoSpaceDE w:val="0"/>
              <w:autoSpaceDN w:val="0"/>
              <w:adjustRightInd w:val="0"/>
              <w:spacing w:line="240" w:lineRule="auto"/>
              <w:rPr>
                <w:i/>
                <w:szCs w:val="22"/>
                <w:lang w:val="sk-SK"/>
              </w:rPr>
            </w:pPr>
            <w:r w:rsidRPr="004B1A50">
              <w:rPr>
                <w:b/>
                <w:bCs/>
                <w:i/>
                <w:color w:val="000000"/>
                <w:szCs w:val="22"/>
                <w:lang w:val="sk-SK"/>
              </w:rPr>
              <w:t>Celkové</w:t>
            </w:r>
            <w:r w:rsidR="00620D3D" w:rsidRPr="004B1A50">
              <w:rPr>
                <w:b/>
                <w:bCs/>
                <w:i/>
                <w:color w:val="000000"/>
                <w:szCs w:val="22"/>
                <w:lang w:val="sk-SK"/>
              </w:rPr>
              <w:t xml:space="preserve"> </w:t>
            </w:r>
            <w:r w:rsidRPr="004B1A50">
              <w:rPr>
                <w:b/>
                <w:bCs/>
                <w:i/>
                <w:color w:val="000000"/>
                <w:szCs w:val="22"/>
                <w:lang w:val="sk-SK"/>
              </w:rPr>
              <w:t>poruchy a</w:t>
            </w:r>
            <w:r w:rsidR="00620D3D" w:rsidRPr="004B1A50">
              <w:rPr>
                <w:b/>
                <w:bCs/>
                <w:i/>
                <w:color w:val="000000"/>
                <w:szCs w:val="22"/>
                <w:lang w:val="sk-SK"/>
              </w:rPr>
              <w:t> </w:t>
            </w:r>
            <w:r w:rsidRPr="004B1A50">
              <w:rPr>
                <w:b/>
                <w:bCs/>
                <w:i/>
                <w:color w:val="000000"/>
                <w:szCs w:val="22"/>
                <w:lang w:val="sk-SK"/>
              </w:rPr>
              <w:t>reakcie</w:t>
            </w:r>
            <w:r w:rsidR="00620D3D" w:rsidRPr="004B1A50">
              <w:rPr>
                <w:b/>
                <w:bCs/>
                <w:i/>
                <w:color w:val="000000"/>
                <w:szCs w:val="22"/>
                <w:lang w:val="sk-SK"/>
              </w:rPr>
              <w:t xml:space="preserve"> </w:t>
            </w:r>
            <w:r w:rsidRPr="004B1A50">
              <w:rPr>
                <w:b/>
                <w:bCs/>
                <w:i/>
                <w:color w:val="000000"/>
                <w:szCs w:val="22"/>
                <w:lang w:val="sk-SK"/>
              </w:rPr>
              <w:t>v mieste podania</w:t>
            </w:r>
          </w:p>
        </w:tc>
        <w:tc>
          <w:tcPr>
            <w:tcW w:w="4244" w:type="dxa"/>
            <w:shd w:val="clear" w:color="auto" w:fill="auto"/>
          </w:tcPr>
          <w:p w14:paraId="58A85701" w14:textId="77777777" w:rsidR="00160CFC" w:rsidRPr="004B1A50" w:rsidRDefault="00160CFC" w:rsidP="00853064">
            <w:pPr>
              <w:rPr>
                <w:szCs w:val="22"/>
                <w:lang w:val="sk-SK"/>
              </w:rPr>
            </w:pPr>
            <w:r w:rsidRPr="004B1A50">
              <w:rPr>
                <w:szCs w:val="22"/>
                <w:lang w:val="sk-SK"/>
              </w:rPr>
              <w:t>Edém</w:t>
            </w:r>
          </w:p>
        </w:tc>
        <w:tc>
          <w:tcPr>
            <w:tcW w:w="1842" w:type="dxa"/>
            <w:shd w:val="clear" w:color="auto" w:fill="auto"/>
          </w:tcPr>
          <w:p w14:paraId="4D1EB3A1"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2DDE0167" w14:textId="77777777" w:rsidR="00160CFC" w:rsidRPr="004B1A50" w:rsidRDefault="00160CFC" w:rsidP="00853064">
            <w:pPr>
              <w:rPr>
                <w:szCs w:val="22"/>
                <w:lang w:val="sk-SK"/>
              </w:rPr>
            </w:pPr>
            <w:r w:rsidRPr="004B1A50">
              <w:rPr>
                <w:szCs w:val="22"/>
                <w:lang w:val="sk-SK"/>
              </w:rPr>
              <w:t>–</w:t>
            </w:r>
          </w:p>
        </w:tc>
      </w:tr>
      <w:tr w:rsidR="00160CFC" w:rsidRPr="004B1A50" w14:paraId="234E299B" w14:textId="77777777" w:rsidTr="005D2728">
        <w:tc>
          <w:tcPr>
            <w:tcW w:w="2136" w:type="dxa"/>
            <w:vMerge/>
            <w:shd w:val="clear" w:color="auto" w:fill="auto"/>
          </w:tcPr>
          <w:p w14:paraId="501105B8" w14:textId="77777777" w:rsidR="00160CFC" w:rsidRPr="004B1A50" w:rsidRDefault="00160CFC" w:rsidP="00853064">
            <w:pPr>
              <w:autoSpaceDE w:val="0"/>
              <w:autoSpaceDN w:val="0"/>
              <w:adjustRightInd w:val="0"/>
              <w:spacing w:line="240" w:lineRule="auto"/>
              <w:rPr>
                <w:i/>
                <w:szCs w:val="22"/>
                <w:lang w:val="sk-SK"/>
              </w:rPr>
            </w:pPr>
          </w:p>
        </w:tc>
        <w:tc>
          <w:tcPr>
            <w:tcW w:w="4244" w:type="dxa"/>
            <w:shd w:val="clear" w:color="auto" w:fill="auto"/>
          </w:tcPr>
          <w:p w14:paraId="38153272" w14:textId="77777777" w:rsidR="00160CFC" w:rsidRPr="004B1A50" w:rsidRDefault="00BD5671" w:rsidP="00853064">
            <w:pPr>
              <w:rPr>
                <w:color w:val="000000"/>
                <w:szCs w:val="22"/>
                <w:lang w:val="sk-SK"/>
              </w:rPr>
            </w:pPr>
            <w:r w:rsidRPr="004B1A50">
              <w:rPr>
                <w:rFonts w:eastAsia="TimesNewRoman"/>
                <w:color w:val="000000"/>
                <w:szCs w:val="22"/>
                <w:lang w:val="sk-SK"/>
              </w:rPr>
              <w:t>Ú</w:t>
            </w:r>
            <w:r w:rsidR="000F0C4B" w:rsidRPr="004B1A50">
              <w:rPr>
                <w:rFonts w:eastAsia="TimesNewRoman"/>
                <w:color w:val="000000"/>
                <w:szCs w:val="22"/>
                <w:lang w:val="sk-SK"/>
              </w:rPr>
              <w:t>nava</w:t>
            </w:r>
          </w:p>
        </w:tc>
        <w:tc>
          <w:tcPr>
            <w:tcW w:w="1842" w:type="dxa"/>
            <w:shd w:val="clear" w:color="auto" w:fill="auto"/>
          </w:tcPr>
          <w:p w14:paraId="203D07A6" w14:textId="77777777" w:rsidR="00160CFC" w:rsidRPr="004B1A50" w:rsidRDefault="00160CFC" w:rsidP="00853064">
            <w:pPr>
              <w:rPr>
                <w:szCs w:val="22"/>
                <w:lang w:val="sk-SK"/>
              </w:rPr>
            </w:pPr>
            <w:r w:rsidRPr="004B1A50">
              <w:rPr>
                <w:szCs w:val="22"/>
                <w:lang w:val="sk-SK"/>
              </w:rPr>
              <w:t>Časté</w:t>
            </w:r>
          </w:p>
        </w:tc>
        <w:tc>
          <w:tcPr>
            <w:tcW w:w="1809" w:type="dxa"/>
            <w:shd w:val="clear" w:color="auto" w:fill="auto"/>
          </w:tcPr>
          <w:p w14:paraId="605B22AD" w14:textId="77777777" w:rsidR="00160CFC" w:rsidRPr="004B1A50" w:rsidRDefault="00160CFC" w:rsidP="00853064">
            <w:pPr>
              <w:rPr>
                <w:szCs w:val="22"/>
                <w:lang w:val="sk-SK"/>
              </w:rPr>
            </w:pPr>
            <w:r w:rsidRPr="004B1A50">
              <w:rPr>
                <w:szCs w:val="22"/>
                <w:lang w:val="sk-SK"/>
              </w:rPr>
              <w:t>–</w:t>
            </w:r>
          </w:p>
        </w:tc>
      </w:tr>
      <w:tr w:rsidR="00160CFC" w:rsidRPr="004B1A50" w14:paraId="7BDA91CE" w14:textId="77777777" w:rsidTr="005D2728">
        <w:tc>
          <w:tcPr>
            <w:tcW w:w="2136" w:type="dxa"/>
            <w:vMerge/>
            <w:shd w:val="clear" w:color="auto" w:fill="auto"/>
          </w:tcPr>
          <w:p w14:paraId="089EE239" w14:textId="77777777" w:rsidR="00160CFC" w:rsidRPr="004B1A50" w:rsidRDefault="00160CFC" w:rsidP="00853064">
            <w:pPr>
              <w:rPr>
                <w:i/>
                <w:szCs w:val="22"/>
                <w:lang w:val="sk-SK"/>
              </w:rPr>
            </w:pPr>
          </w:p>
        </w:tc>
        <w:tc>
          <w:tcPr>
            <w:tcW w:w="4244" w:type="dxa"/>
            <w:shd w:val="clear" w:color="auto" w:fill="auto"/>
          </w:tcPr>
          <w:p w14:paraId="5259600D" w14:textId="77777777" w:rsidR="00160CFC" w:rsidRPr="004B1A50" w:rsidRDefault="00160CFC" w:rsidP="00853064">
            <w:pPr>
              <w:rPr>
                <w:color w:val="000000"/>
                <w:szCs w:val="22"/>
                <w:lang w:val="sk-SK"/>
              </w:rPr>
            </w:pPr>
            <w:r w:rsidRPr="004B1A50">
              <w:rPr>
                <w:rFonts w:eastAsia="TimesNewRoman"/>
                <w:color w:val="000000"/>
                <w:szCs w:val="22"/>
                <w:lang w:val="sk-SK"/>
              </w:rPr>
              <w:t xml:space="preserve">Bolesť </w:t>
            </w:r>
            <w:r w:rsidR="000F0C4B" w:rsidRPr="004B1A50">
              <w:rPr>
                <w:rFonts w:eastAsia="TimesNewRoman"/>
                <w:color w:val="000000"/>
                <w:szCs w:val="22"/>
                <w:lang w:val="sk-SK"/>
              </w:rPr>
              <w:t>na</w:t>
            </w:r>
            <w:r w:rsidRPr="004B1A50">
              <w:rPr>
                <w:rFonts w:eastAsia="TimesNewRoman"/>
                <w:color w:val="000000"/>
                <w:szCs w:val="22"/>
                <w:lang w:val="sk-SK"/>
              </w:rPr>
              <w:t xml:space="preserve"> hrudníku</w:t>
            </w:r>
          </w:p>
        </w:tc>
        <w:tc>
          <w:tcPr>
            <w:tcW w:w="1842" w:type="dxa"/>
            <w:shd w:val="clear" w:color="auto" w:fill="auto"/>
          </w:tcPr>
          <w:p w14:paraId="49C6A72B"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6507EB4B" w14:textId="77777777" w:rsidR="00160CFC" w:rsidRPr="004B1A50" w:rsidRDefault="00160CFC" w:rsidP="00853064">
            <w:pPr>
              <w:rPr>
                <w:szCs w:val="22"/>
                <w:lang w:val="sk-SK"/>
              </w:rPr>
            </w:pPr>
            <w:r w:rsidRPr="004B1A50">
              <w:rPr>
                <w:szCs w:val="22"/>
                <w:lang w:val="sk-SK"/>
              </w:rPr>
              <w:t>–</w:t>
            </w:r>
          </w:p>
        </w:tc>
      </w:tr>
      <w:tr w:rsidR="00160CFC" w:rsidRPr="004B1A50" w14:paraId="721422C1" w14:textId="77777777" w:rsidTr="005D2728">
        <w:tc>
          <w:tcPr>
            <w:tcW w:w="2136" w:type="dxa"/>
            <w:vMerge/>
            <w:shd w:val="clear" w:color="auto" w:fill="auto"/>
          </w:tcPr>
          <w:p w14:paraId="0B188BD1" w14:textId="77777777" w:rsidR="00160CFC" w:rsidRPr="004B1A50" w:rsidRDefault="00160CFC" w:rsidP="00853064">
            <w:pPr>
              <w:rPr>
                <w:i/>
                <w:szCs w:val="22"/>
                <w:lang w:val="sk-SK"/>
              </w:rPr>
            </w:pPr>
          </w:p>
        </w:tc>
        <w:tc>
          <w:tcPr>
            <w:tcW w:w="4244" w:type="dxa"/>
            <w:shd w:val="clear" w:color="auto" w:fill="auto"/>
          </w:tcPr>
          <w:p w14:paraId="47B88DB1" w14:textId="77777777" w:rsidR="00160CFC" w:rsidRPr="004B1A50" w:rsidRDefault="00160CFC" w:rsidP="00853064">
            <w:pPr>
              <w:rPr>
                <w:color w:val="000000"/>
                <w:szCs w:val="22"/>
                <w:lang w:val="sk-SK"/>
              </w:rPr>
            </w:pPr>
            <w:r w:rsidRPr="004B1A50">
              <w:rPr>
                <w:rFonts w:eastAsia="TimesNewRoman"/>
                <w:color w:val="000000"/>
                <w:szCs w:val="22"/>
                <w:lang w:val="sk-SK"/>
              </w:rPr>
              <w:t>Asténia</w:t>
            </w:r>
          </w:p>
        </w:tc>
        <w:tc>
          <w:tcPr>
            <w:tcW w:w="1842" w:type="dxa"/>
            <w:shd w:val="clear" w:color="auto" w:fill="auto"/>
          </w:tcPr>
          <w:p w14:paraId="0E20A50F"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1568D731" w14:textId="77777777" w:rsidR="00160CFC" w:rsidRPr="004B1A50" w:rsidRDefault="00160CFC" w:rsidP="00853064">
            <w:pPr>
              <w:rPr>
                <w:szCs w:val="22"/>
                <w:lang w:val="sk-SK"/>
              </w:rPr>
            </w:pPr>
            <w:r w:rsidRPr="004B1A50">
              <w:rPr>
                <w:szCs w:val="22"/>
                <w:lang w:val="sk-SK"/>
              </w:rPr>
              <w:t>Časté</w:t>
            </w:r>
          </w:p>
        </w:tc>
      </w:tr>
      <w:tr w:rsidR="00160CFC" w:rsidRPr="004B1A50" w14:paraId="09ED5015" w14:textId="77777777" w:rsidTr="005D2728">
        <w:tc>
          <w:tcPr>
            <w:tcW w:w="2136" w:type="dxa"/>
            <w:vMerge/>
            <w:shd w:val="clear" w:color="auto" w:fill="auto"/>
          </w:tcPr>
          <w:p w14:paraId="0986298C" w14:textId="77777777" w:rsidR="00160CFC" w:rsidRPr="004B1A50" w:rsidRDefault="00160CFC" w:rsidP="00853064">
            <w:pPr>
              <w:rPr>
                <w:i/>
                <w:szCs w:val="22"/>
                <w:lang w:val="sk-SK"/>
              </w:rPr>
            </w:pPr>
          </w:p>
        </w:tc>
        <w:tc>
          <w:tcPr>
            <w:tcW w:w="4244" w:type="dxa"/>
            <w:shd w:val="clear" w:color="auto" w:fill="auto"/>
          </w:tcPr>
          <w:p w14:paraId="7AF494D5" w14:textId="77777777" w:rsidR="00160CFC" w:rsidRPr="004B1A50" w:rsidRDefault="00160CFC" w:rsidP="00853064">
            <w:pPr>
              <w:rPr>
                <w:szCs w:val="22"/>
                <w:lang w:val="sk-SK"/>
              </w:rPr>
            </w:pPr>
            <w:r w:rsidRPr="004B1A50">
              <w:rPr>
                <w:szCs w:val="22"/>
                <w:lang w:val="sk-SK"/>
              </w:rPr>
              <w:t>Bolesť</w:t>
            </w:r>
          </w:p>
        </w:tc>
        <w:tc>
          <w:tcPr>
            <w:tcW w:w="1842" w:type="dxa"/>
            <w:shd w:val="clear" w:color="auto" w:fill="auto"/>
          </w:tcPr>
          <w:p w14:paraId="13FE9955"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294CFF5D" w14:textId="77777777" w:rsidR="00160CFC" w:rsidRPr="004B1A50" w:rsidRDefault="00160CFC" w:rsidP="00853064">
            <w:pPr>
              <w:rPr>
                <w:szCs w:val="22"/>
                <w:lang w:val="sk-SK"/>
              </w:rPr>
            </w:pPr>
            <w:r w:rsidRPr="004B1A50">
              <w:rPr>
                <w:szCs w:val="22"/>
                <w:lang w:val="sk-SK"/>
              </w:rPr>
              <w:t>–</w:t>
            </w:r>
          </w:p>
        </w:tc>
      </w:tr>
      <w:tr w:rsidR="00160CFC" w:rsidRPr="004B1A50" w14:paraId="1E8051A6" w14:textId="77777777" w:rsidTr="005D2728">
        <w:tc>
          <w:tcPr>
            <w:tcW w:w="2136" w:type="dxa"/>
            <w:vMerge/>
            <w:shd w:val="clear" w:color="auto" w:fill="auto"/>
          </w:tcPr>
          <w:p w14:paraId="7025D911" w14:textId="77777777" w:rsidR="00160CFC" w:rsidRPr="004B1A50" w:rsidRDefault="00160CFC" w:rsidP="00853064">
            <w:pPr>
              <w:rPr>
                <w:i/>
                <w:szCs w:val="22"/>
                <w:u w:val="single"/>
                <w:lang w:val="sk-SK"/>
              </w:rPr>
            </w:pPr>
          </w:p>
        </w:tc>
        <w:tc>
          <w:tcPr>
            <w:tcW w:w="4244" w:type="dxa"/>
            <w:shd w:val="clear" w:color="auto" w:fill="auto"/>
          </w:tcPr>
          <w:p w14:paraId="77055E27" w14:textId="77777777" w:rsidR="00160CFC" w:rsidRPr="004B1A50" w:rsidRDefault="00DF0BC1" w:rsidP="00853064">
            <w:pPr>
              <w:rPr>
                <w:color w:val="000000"/>
                <w:szCs w:val="22"/>
                <w:lang w:val="sk-SK"/>
              </w:rPr>
            </w:pPr>
            <w:r w:rsidRPr="004B1A50">
              <w:rPr>
                <w:rFonts w:eastAsia="TimesNewRoman"/>
                <w:color w:val="000000"/>
                <w:szCs w:val="22"/>
                <w:lang w:val="sk-SK"/>
              </w:rPr>
              <w:t>Celková n</w:t>
            </w:r>
            <w:r w:rsidR="00160CFC" w:rsidRPr="004B1A50">
              <w:rPr>
                <w:rFonts w:eastAsia="TimesNewRoman"/>
                <w:color w:val="000000"/>
                <w:szCs w:val="22"/>
                <w:lang w:val="sk-SK"/>
              </w:rPr>
              <w:t>evoľnosť</w:t>
            </w:r>
          </w:p>
        </w:tc>
        <w:tc>
          <w:tcPr>
            <w:tcW w:w="1842" w:type="dxa"/>
            <w:shd w:val="clear" w:color="auto" w:fill="auto"/>
          </w:tcPr>
          <w:p w14:paraId="23F9FD79"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487DD5CF" w14:textId="77777777" w:rsidR="00160CFC" w:rsidRPr="004B1A50" w:rsidRDefault="00160CFC" w:rsidP="00853064">
            <w:pPr>
              <w:rPr>
                <w:szCs w:val="22"/>
                <w:lang w:val="sk-SK"/>
              </w:rPr>
            </w:pPr>
            <w:r w:rsidRPr="004B1A50">
              <w:rPr>
                <w:szCs w:val="22"/>
                <w:lang w:val="sk-SK"/>
              </w:rPr>
              <w:t>–</w:t>
            </w:r>
          </w:p>
        </w:tc>
      </w:tr>
      <w:tr w:rsidR="00160CFC" w:rsidRPr="004B1A50" w14:paraId="4FCA0146" w14:textId="77777777" w:rsidTr="005D2728">
        <w:tc>
          <w:tcPr>
            <w:tcW w:w="2136" w:type="dxa"/>
            <w:shd w:val="clear" w:color="auto" w:fill="auto"/>
          </w:tcPr>
          <w:p w14:paraId="3BC912EA" w14:textId="77777777" w:rsidR="00160CFC" w:rsidRPr="004B1A50" w:rsidRDefault="00160CFC" w:rsidP="00853064">
            <w:pPr>
              <w:autoSpaceDE w:val="0"/>
              <w:autoSpaceDN w:val="0"/>
              <w:adjustRightInd w:val="0"/>
              <w:spacing w:line="240" w:lineRule="auto"/>
              <w:rPr>
                <w:b/>
                <w:bCs/>
                <w:i/>
                <w:color w:val="000000"/>
                <w:szCs w:val="22"/>
                <w:lang w:val="sk-SK"/>
              </w:rPr>
            </w:pPr>
            <w:r w:rsidRPr="004B1A50">
              <w:rPr>
                <w:b/>
                <w:bCs/>
                <w:i/>
                <w:color w:val="000000"/>
                <w:szCs w:val="22"/>
                <w:lang w:val="sk-SK"/>
              </w:rPr>
              <w:t>Laboratórne a funkčné vyšetrenia</w:t>
            </w:r>
          </w:p>
        </w:tc>
        <w:tc>
          <w:tcPr>
            <w:tcW w:w="4244" w:type="dxa"/>
            <w:shd w:val="clear" w:color="auto" w:fill="auto"/>
          </w:tcPr>
          <w:p w14:paraId="2BE76B08" w14:textId="77777777" w:rsidR="00160CFC" w:rsidRPr="004B1A50" w:rsidRDefault="00160CFC" w:rsidP="00853064">
            <w:pPr>
              <w:rPr>
                <w:color w:val="000000"/>
                <w:szCs w:val="22"/>
                <w:lang w:val="sk-SK"/>
              </w:rPr>
            </w:pPr>
            <w:r w:rsidRPr="004B1A50">
              <w:rPr>
                <w:rFonts w:eastAsia="TimesNewRoman"/>
                <w:color w:val="000000"/>
                <w:szCs w:val="22"/>
                <w:lang w:val="sk-SK"/>
              </w:rPr>
              <w:t xml:space="preserve">Zvýšenie </w:t>
            </w:r>
            <w:r w:rsidR="000F0C4B" w:rsidRPr="004B1A50">
              <w:rPr>
                <w:rFonts w:eastAsia="TimesNewRoman"/>
                <w:color w:val="000000"/>
                <w:szCs w:val="22"/>
                <w:lang w:val="sk-SK"/>
              </w:rPr>
              <w:t xml:space="preserve">telesnej </w:t>
            </w:r>
            <w:r w:rsidRPr="004B1A50">
              <w:rPr>
                <w:rFonts w:eastAsia="TimesNewRoman"/>
                <w:color w:val="000000"/>
                <w:szCs w:val="22"/>
                <w:lang w:val="sk-SK"/>
              </w:rPr>
              <w:t xml:space="preserve">hmotnosti, zníženie </w:t>
            </w:r>
            <w:r w:rsidR="000F0C4B" w:rsidRPr="004B1A50">
              <w:rPr>
                <w:rFonts w:eastAsia="TimesNewRoman"/>
                <w:color w:val="000000"/>
                <w:szCs w:val="22"/>
                <w:lang w:val="sk-SK"/>
              </w:rPr>
              <w:t xml:space="preserve">telesnej </w:t>
            </w:r>
            <w:r w:rsidRPr="004B1A50">
              <w:rPr>
                <w:rFonts w:eastAsia="TimesNewRoman"/>
                <w:color w:val="000000"/>
                <w:szCs w:val="22"/>
                <w:lang w:val="sk-SK"/>
              </w:rPr>
              <w:t>hmotnosti</w:t>
            </w:r>
          </w:p>
        </w:tc>
        <w:tc>
          <w:tcPr>
            <w:tcW w:w="1842" w:type="dxa"/>
            <w:shd w:val="clear" w:color="auto" w:fill="auto"/>
          </w:tcPr>
          <w:p w14:paraId="6801EB72" w14:textId="77777777" w:rsidR="00160CFC" w:rsidRPr="004B1A50" w:rsidRDefault="00160CFC" w:rsidP="00853064">
            <w:pPr>
              <w:rPr>
                <w:szCs w:val="22"/>
                <w:lang w:val="sk-SK"/>
              </w:rPr>
            </w:pPr>
            <w:r w:rsidRPr="004B1A50">
              <w:rPr>
                <w:szCs w:val="22"/>
                <w:lang w:val="sk-SK"/>
              </w:rPr>
              <w:t>Menej časté</w:t>
            </w:r>
          </w:p>
        </w:tc>
        <w:tc>
          <w:tcPr>
            <w:tcW w:w="1809" w:type="dxa"/>
            <w:shd w:val="clear" w:color="auto" w:fill="auto"/>
          </w:tcPr>
          <w:p w14:paraId="2CB25094" w14:textId="77777777" w:rsidR="00160CFC" w:rsidRPr="004B1A50" w:rsidRDefault="00160CFC" w:rsidP="00853064">
            <w:pPr>
              <w:rPr>
                <w:szCs w:val="22"/>
                <w:lang w:val="sk-SK"/>
              </w:rPr>
            </w:pPr>
            <w:r w:rsidRPr="004B1A50">
              <w:rPr>
                <w:szCs w:val="22"/>
                <w:lang w:val="sk-SK"/>
              </w:rPr>
              <w:t>–</w:t>
            </w:r>
          </w:p>
        </w:tc>
      </w:tr>
      <w:tr w:rsidR="00160CFC" w:rsidRPr="004B1A50" w14:paraId="441F811F" w14:textId="77777777" w:rsidTr="005D2728">
        <w:tc>
          <w:tcPr>
            <w:tcW w:w="2136" w:type="dxa"/>
            <w:shd w:val="clear" w:color="auto" w:fill="auto"/>
          </w:tcPr>
          <w:p w14:paraId="139FCD86" w14:textId="77777777" w:rsidR="00160CFC" w:rsidRPr="004B1A50" w:rsidRDefault="00160CFC" w:rsidP="00853064">
            <w:pPr>
              <w:rPr>
                <w:i/>
                <w:szCs w:val="22"/>
                <w:u w:val="single"/>
                <w:lang w:val="sk-SK"/>
              </w:rPr>
            </w:pPr>
          </w:p>
        </w:tc>
        <w:tc>
          <w:tcPr>
            <w:tcW w:w="4244" w:type="dxa"/>
            <w:shd w:val="clear" w:color="auto" w:fill="auto"/>
          </w:tcPr>
          <w:p w14:paraId="749C4127" w14:textId="77777777" w:rsidR="00160CFC" w:rsidRPr="004B1A50" w:rsidRDefault="00160CFC" w:rsidP="00853064">
            <w:pPr>
              <w:rPr>
                <w:color w:val="000000"/>
                <w:szCs w:val="22"/>
                <w:lang w:val="sk-SK"/>
              </w:rPr>
            </w:pPr>
            <w:r w:rsidRPr="004B1A50">
              <w:rPr>
                <w:rFonts w:eastAsia="TimesNewRoman"/>
                <w:color w:val="000000"/>
                <w:szCs w:val="22"/>
                <w:lang w:val="sk-SK"/>
              </w:rPr>
              <w:t>Zvýšenie hladín sérového bilirubínu a pečeňových enzýmov</w:t>
            </w:r>
          </w:p>
        </w:tc>
        <w:tc>
          <w:tcPr>
            <w:tcW w:w="1842" w:type="dxa"/>
            <w:shd w:val="clear" w:color="auto" w:fill="auto"/>
          </w:tcPr>
          <w:p w14:paraId="297C6D34"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5763D6F" w14:textId="77777777" w:rsidR="00160CFC" w:rsidRPr="004B1A50" w:rsidRDefault="00160CFC" w:rsidP="00853064">
            <w:pPr>
              <w:rPr>
                <w:szCs w:val="22"/>
                <w:lang w:val="sk-SK"/>
              </w:rPr>
            </w:pPr>
            <w:r w:rsidRPr="004B1A50">
              <w:rPr>
                <w:szCs w:val="22"/>
                <w:lang w:val="sk-SK"/>
              </w:rPr>
              <w:t>Zriedkavé</w:t>
            </w:r>
          </w:p>
        </w:tc>
      </w:tr>
      <w:tr w:rsidR="00160CFC" w:rsidRPr="004B1A50" w14:paraId="105AFEE5" w14:textId="77777777" w:rsidTr="005D2728">
        <w:tc>
          <w:tcPr>
            <w:tcW w:w="2136" w:type="dxa"/>
            <w:shd w:val="clear" w:color="auto" w:fill="auto"/>
          </w:tcPr>
          <w:p w14:paraId="07A96C24" w14:textId="77777777" w:rsidR="00160CFC" w:rsidRPr="004B1A50" w:rsidRDefault="00160CFC" w:rsidP="00853064">
            <w:pPr>
              <w:rPr>
                <w:szCs w:val="22"/>
                <w:u w:val="single"/>
                <w:lang w:val="sk-SK"/>
              </w:rPr>
            </w:pPr>
          </w:p>
        </w:tc>
        <w:tc>
          <w:tcPr>
            <w:tcW w:w="4244" w:type="dxa"/>
            <w:shd w:val="clear" w:color="auto" w:fill="auto"/>
          </w:tcPr>
          <w:p w14:paraId="09A64772" w14:textId="77777777" w:rsidR="00160CFC" w:rsidRPr="004B1A50" w:rsidRDefault="00160CFC" w:rsidP="00853064">
            <w:pPr>
              <w:tabs>
                <w:tab w:val="clear" w:pos="567"/>
              </w:tabs>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Zvýšenie hladín urey v krvi a  kreatinínu</w:t>
            </w:r>
            <w:r w:rsidR="000F0C4B" w:rsidRPr="004B1A50">
              <w:rPr>
                <w:rFonts w:eastAsia="TimesNewRoman"/>
                <w:color w:val="000000"/>
                <w:szCs w:val="22"/>
                <w:lang w:val="sk-SK"/>
              </w:rPr>
              <w:t xml:space="preserve"> v sére</w:t>
            </w:r>
            <w:r w:rsidRPr="004B1A50">
              <w:rPr>
                <w:rFonts w:eastAsia="TimesNewRoman"/>
                <w:color w:val="000000"/>
                <w:szCs w:val="22"/>
                <w:lang w:val="sk-SK"/>
              </w:rPr>
              <w:t>,</w:t>
            </w:r>
            <w:r w:rsidR="005C320E" w:rsidRPr="004B1A50">
              <w:rPr>
                <w:rFonts w:eastAsia="TimesNewRoman"/>
                <w:color w:val="000000"/>
                <w:szCs w:val="22"/>
                <w:lang w:val="sk-SK"/>
              </w:rPr>
              <w:t xml:space="preserve"> hyperkaliémia (pozri časť 4.4)</w:t>
            </w:r>
          </w:p>
        </w:tc>
        <w:tc>
          <w:tcPr>
            <w:tcW w:w="1842" w:type="dxa"/>
            <w:shd w:val="clear" w:color="auto" w:fill="auto"/>
          </w:tcPr>
          <w:p w14:paraId="4B0F93E4" w14:textId="77777777" w:rsidR="00160CFC" w:rsidRPr="004B1A50" w:rsidRDefault="00160CFC" w:rsidP="00853064">
            <w:pPr>
              <w:rPr>
                <w:szCs w:val="22"/>
                <w:lang w:val="sk-SK"/>
              </w:rPr>
            </w:pPr>
            <w:r w:rsidRPr="004B1A50">
              <w:rPr>
                <w:szCs w:val="22"/>
                <w:lang w:val="sk-SK"/>
              </w:rPr>
              <w:t>–</w:t>
            </w:r>
          </w:p>
        </w:tc>
        <w:tc>
          <w:tcPr>
            <w:tcW w:w="1809" w:type="dxa"/>
            <w:shd w:val="clear" w:color="auto" w:fill="auto"/>
          </w:tcPr>
          <w:p w14:paraId="2FA96380" w14:textId="77777777" w:rsidR="00160CFC" w:rsidRPr="004B1A50" w:rsidRDefault="00160CFC" w:rsidP="00853064">
            <w:pPr>
              <w:rPr>
                <w:szCs w:val="22"/>
                <w:lang w:val="sk-SK"/>
              </w:rPr>
            </w:pPr>
            <w:r w:rsidRPr="004B1A50">
              <w:rPr>
                <w:szCs w:val="22"/>
                <w:lang w:val="sk-SK"/>
              </w:rPr>
              <w:t>Neznáme</w:t>
            </w:r>
          </w:p>
        </w:tc>
      </w:tr>
    </w:tbl>
    <w:p w14:paraId="0DF13F0F" w14:textId="77777777" w:rsidR="008C4255" w:rsidRPr="004B1A50" w:rsidRDefault="008C4255" w:rsidP="00853064">
      <w:pPr>
        <w:rPr>
          <w:szCs w:val="22"/>
          <w:u w:val="single"/>
          <w:lang w:val="sk-SK"/>
        </w:rPr>
      </w:pPr>
    </w:p>
    <w:p w14:paraId="7B0CC7D6"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u w:val="single"/>
          <w:lang w:val="sk-SK"/>
        </w:rPr>
        <w:t>Ďalšie informácie súvisiace s amlodipínom</w:t>
      </w:r>
    </w:p>
    <w:p w14:paraId="345B4F15" w14:textId="77777777" w:rsidR="00160CFC" w:rsidRPr="004B1A50" w:rsidRDefault="006A6F84"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Pri podávaní blokátorov kalciového kanála bol v</w:t>
      </w:r>
      <w:r w:rsidR="00160CFC" w:rsidRPr="004B1A50">
        <w:rPr>
          <w:rFonts w:eastAsia="TimesNewRoman"/>
          <w:color w:val="000000"/>
          <w:szCs w:val="22"/>
          <w:lang w:val="sk-SK"/>
        </w:rPr>
        <w:t>o výnimočných prípadoch</w:t>
      </w:r>
      <w:r w:rsidRPr="004B1A50">
        <w:rPr>
          <w:rFonts w:eastAsia="TimesNewRoman"/>
          <w:color w:val="000000"/>
          <w:szCs w:val="22"/>
          <w:lang w:val="sk-SK"/>
        </w:rPr>
        <w:t xml:space="preserve"> hlásený extrapyramídový syndróm.</w:t>
      </w:r>
      <w:r w:rsidR="00160CFC" w:rsidRPr="004B1A50">
        <w:rPr>
          <w:rFonts w:eastAsia="TimesNewRoman"/>
          <w:color w:val="000000"/>
          <w:szCs w:val="22"/>
          <w:lang w:val="sk-SK"/>
        </w:rPr>
        <w:t xml:space="preserve"> </w:t>
      </w:r>
    </w:p>
    <w:p w14:paraId="2DF5B9AA"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46E06ADA" w14:textId="77777777" w:rsidR="00206AC6" w:rsidRPr="00206AC6" w:rsidRDefault="00206AC6" w:rsidP="00206AC6">
      <w:pPr>
        <w:keepNext/>
        <w:rPr>
          <w:u w:val="single"/>
          <w:lang w:val="sk-SK"/>
        </w:rPr>
      </w:pPr>
      <w:r w:rsidRPr="00206AC6">
        <w:rPr>
          <w:u w:val="single"/>
          <w:lang w:val="sk-SK"/>
        </w:rPr>
        <w:t>Hlásenie podozrení na nežiaduce reakcie</w:t>
      </w:r>
    </w:p>
    <w:p w14:paraId="2A6FFA99" w14:textId="77777777" w:rsidR="00206AC6" w:rsidRPr="00206AC6" w:rsidRDefault="00206AC6" w:rsidP="00206AC6">
      <w:pPr>
        <w:suppressLineNumbers/>
        <w:rPr>
          <w:rStyle w:val="Hypertextovprepojenie"/>
          <w:lang w:val="sk-SK"/>
        </w:rPr>
      </w:pPr>
      <w:r w:rsidRPr="00206AC6">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012C56">
        <w:rPr>
          <w:highlight w:val="lightGray"/>
          <w:lang w:val="sk-SK"/>
        </w:rPr>
        <w:t>národné centrum hlásenia uvedené v </w:t>
      </w:r>
      <w:hyperlink r:id="rId8">
        <w:r w:rsidRPr="00012C56">
          <w:rPr>
            <w:rStyle w:val="Hypertextovprepojenie"/>
            <w:highlight w:val="lightGray"/>
            <w:lang w:val="sk-SK"/>
          </w:rPr>
          <w:t>Prílohe V</w:t>
        </w:r>
      </w:hyperlink>
      <w:r w:rsidRPr="00206AC6">
        <w:rPr>
          <w:rStyle w:val="Hypertextovprepojenie"/>
          <w:lang w:val="sk-SK"/>
        </w:rPr>
        <w:t>.</w:t>
      </w:r>
    </w:p>
    <w:p w14:paraId="24ED8B69" w14:textId="77777777" w:rsidR="00160CFC" w:rsidRPr="00206AC6" w:rsidRDefault="00160CFC" w:rsidP="00853064">
      <w:pPr>
        <w:autoSpaceDE w:val="0"/>
        <w:autoSpaceDN w:val="0"/>
        <w:adjustRightInd w:val="0"/>
        <w:rPr>
          <w:szCs w:val="22"/>
          <w:highlight w:val="yellow"/>
          <w:lang w:val="sk-SK"/>
        </w:rPr>
      </w:pPr>
    </w:p>
    <w:p w14:paraId="480A0E17" w14:textId="77777777" w:rsidR="00160CFC" w:rsidRPr="00206AC6" w:rsidRDefault="00160CFC" w:rsidP="00853064">
      <w:pPr>
        <w:numPr>
          <w:ilvl w:val="0"/>
          <w:numId w:val="7"/>
        </w:numPr>
        <w:tabs>
          <w:tab w:val="clear" w:pos="567"/>
        </w:tabs>
        <w:ind w:left="567" w:hanging="567"/>
        <w:rPr>
          <w:lang w:val="sk-SK"/>
        </w:rPr>
      </w:pPr>
      <w:r w:rsidRPr="00206AC6">
        <w:rPr>
          <w:b/>
          <w:bCs/>
          <w:lang w:val="sk-SK"/>
        </w:rPr>
        <w:t>Predávkovanie</w:t>
      </w:r>
    </w:p>
    <w:p w14:paraId="44CB651E" w14:textId="77777777" w:rsidR="00160CFC" w:rsidRPr="00206AC6" w:rsidRDefault="00160CFC" w:rsidP="00853064">
      <w:pPr>
        <w:rPr>
          <w:lang w:val="sk-SK"/>
        </w:rPr>
      </w:pPr>
    </w:p>
    <w:p w14:paraId="49F304CB" w14:textId="77777777" w:rsidR="00160CFC" w:rsidRPr="00206AC6" w:rsidRDefault="00160CFC" w:rsidP="00853064">
      <w:pPr>
        <w:autoSpaceDE w:val="0"/>
        <w:autoSpaceDN w:val="0"/>
        <w:adjustRightInd w:val="0"/>
        <w:spacing w:line="240" w:lineRule="auto"/>
        <w:rPr>
          <w:rFonts w:eastAsia="TimesNewRoman"/>
          <w:color w:val="000000"/>
          <w:szCs w:val="22"/>
          <w:lang w:val="sk-SK"/>
        </w:rPr>
      </w:pPr>
      <w:r w:rsidRPr="00206AC6">
        <w:rPr>
          <w:rFonts w:eastAsia="TimesNewRoman"/>
          <w:color w:val="000000"/>
          <w:szCs w:val="22"/>
          <w:lang w:val="sk-SK"/>
        </w:rPr>
        <w:t xml:space="preserve">Nie sú dostupné žiadne informácie o predávkovaní </w:t>
      </w:r>
      <w:r w:rsidR="007D110C" w:rsidRPr="00206AC6">
        <w:rPr>
          <w:rFonts w:eastAsia="TimesNewRoman"/>
          <w:color w:val="000000"/>
          <w:szCs w:val="22"/>
          <w:lang w:val="sk-SK"/>
        </w:rPr>
        <w:t>amlodipínom/perindoprilom</w:t>
      </w:r>
      <w:r w:rsidRPr="00206AC6">
        <w:rPr>
          <w:rFonts w:eastAsia="TimesNewRoman"/>
          <w:color w:val="000000"/>
          <w:szCs w:val="22"/>
          <w:lang w:val="sk-SK"/>
        </w:rPr>
        <w:t xml:space="preserve"> u ľudí.</w:t>
      </w:r>
    </w:p>
    <w:p w14:paraId="0B0BB1DF" w14:textId="77777777" w:rsidR="00160CFC" w:rsidRPr="00206AC6" w:rsidRDefault="00160CFC" w:rsidP="00853064">
      <w:pPr>
        <w:autoSpaceDE w:val="0"/>
        <w:autoSpaceDN w:val="0"/>
        <w:adjustRightInd w:val="0"/>
        <w:spacing w:line="240" w:lineRule="auto"/>
        <w:rPr>
          <w:rFonts w:eastAsia="TimesNewRoman"/>
          <w:color w:val="000000"/>
          <w:szCs w:val="22"/>
          <w:lang w:val="sk-SK"/>
        </w:rPr>
      </w:pPr>
    </w:p>
    <w:p w14:paraId="5AB36E7C" w14:textId="77777777" w:rsidR="006A6F84" w:rsidRPr="004B1A50" w:rsidRDefault="00341ED6" w:rsidP="00853064">
      <w:pPr>
        <w:tabs>
          <w:tab w:val="left" w:pos="-142"/>
          <w:tab w:val="left" w:pos="284"/>
        </w:tabs>
        <w:spacing w:line="240" w:lineRule="auto"/>
        <w:rPr>
          <w:lang w:val="sk-SK" w:eastAsia="sk-SK"/>
        </w:rPr>
      </w:pPr>
      <w:r w:rsidRPr="00206AC6">
        <w:rPr>
          <w:lang w:val="sk-SK" w:eastAsia="sk-SK"/>
        </w:rPr>
        <w:t>S</w:t>
      </w:r>
      <w:r w:rsidR="006A6F84" w:rsidRPr="00206AC6">
        <w:rPr>
          <w:lang w:val="sk-SK" w:eastAsia="sk-SK"/>
        </w:rPr>
        <w:t xml:space="preserve"> amlodipín</w:t>
      </w:r>
      <w:r w:rsidRPr="00206AC6">
        <w:rPr>
          <w:lang w:val="sk-SK" w:eastAsia="sk-SK"/>
        </w:rPr>
        <w:t>om</w:t>
      </w:r>
      <w:r w:rsidR="006A6F84" w:rsidRPr="004B1A50">
        <w:rPr>
          <w:lang w:val="sk-SK" w:eastAsia="sk-SK"/>
        </w:rPr>
        <w:t xml:space="preserve"> sú len obmedzené skúsenosti s úmyselným predávkovaním u ľudí. </w:t>
      </w:r>
    </w:p>
    <w:p w14:paraId="30A266E9" w14:textId="77777777" w:rsidR="00341ED6" w:rsidRPr="004B1A50" w:rsidRDefault="00341ED6" w:rsidP="00853064">
      <w:pPr>
        <w:tabs>
          <w:tab w:val="left" w:pos="-142"/>
          <w:tab w:val="left" w:pos="284"/>
        </w:tabs>
        <w:spacing w:line="240" w:lineRule="auto"/>
        <w:rPr>
          <w:lang w:val="sk-SK" w:eastAsia="sk-SK"/>
        </w:rPr>
      </w:pPr>
    </w:p>
    <w:p w14:paraId="6152C6A5" w14:textId="77777777" w:rsidR="00160CFC" w:rsidRPr="004B1A50" w:rsidRDefault="006A6F84" w:rsidP="00853064">
      <w:pPr>
        <w:autoSpaceDE w:val="0"/>
        <w:autoSpaceDN w:val="0"/>
        <w:adjustRightInd w:val="0"/>
        <w:spacing w:line="240" w:lineRule="auto"/>
        <w:rPr>
          <w:rFonts w:eastAsia="TimesNewRoman"/>
          <w:color w:val="000000"/>
          <w:szCs w:val="22"/>
          <w:lang w:val="sk-SK"/>
        </w:rPr>
      </w:pPr>
      <w:r w:rsidRPr="004B1A50">
        <w:rPr>
          <w:lang w:val="sk-SK" w:eastAsia="sk-SK"/>
        </w:rPr>
        <w:t xml:space="preserve">Príznaky: dostupné údaje naznačujú, že </w:t>
      </w:r>
      <w:r w:rsidR="009E6554" w:rsidRPr="004B1A50">
        <w:rPr>
          <w:lang w:val="sk-SK" w:eastAsia="sk-SK"/>
        </w:rPr>
        <w:t>ťažké</w:t>
      </w:r>
      <w:r w:rsidRPr="004B1A50">
        <w:rPr>
          <w:lang w:val="sk-SK" w:eastAsia="sk-SK"/>
        </w:rPr>
        <w:t xml:space="preserve"> predávkovanie môže spôsobiť nadmernú periférnu vazodilatáciu a možnú reflexnú tachykardiu.</w:t>
      </w:r>
      <w:r w:rsidR="003366DD" w:rsidRPr="004B1A50">
        <w:rPr>
          <w:lang w:val="sk-SK" w:eastAsia="sk-SK"/>
        </w:rPr>
        <w:t xml:space="preserve"> </w:t>
      </w:r>
      <w:r w:rsidR="00160CFC" w:rsidRPr="004B1A50">
        <w:rPr>
          <w:rFonts w:eastAsia="TimesNewRoman"/>
          <w:color w:val="000000"/>
          <w:szCs w:val="22"/>
          <w:lang w:val="sk-SK"/>
        </w:rPr>
        <w:t xml:space="preserve">Bola hlásená výrazná a pravdepodobne </w:t>
      </w:r>
      <w:r w:rsidRPr="004B1A50">
        <w:rPr>
          <w:rFonts w:eastAsia="TimesNewRoman"/>
          <w:color w:val="000000"/>
          <w:szCs w:val="22"/>
          <w:lang w:val="sk-SK"/>
        </w:rPr>
        <w:t xml:space="preserve">dlhodobá </w:t>
      </w:r>
      <w:r w:rsidR="00160CFC" w:rsidRPr="004B1A50">
        <w:rPr>
          <w:rFonts w:eastAsia="TimesNewRoman"/>
          <w:color w:val="000000"/>
          <w:szCs w:val="22"/>
          <w:lang w:val="sk-SK"/>
        </w:rPr>
        <w:t xml:space="preserve">systémová hypotenzia </w:t>
      </w:r>
      <w:r w:rsidRPr="004B1A50">
        <w:rPr>
          <w:rFonts w:eastAsia="TimesNewRoman"/>
          <w:color w:val="000000"/>
          <w:szCs w:val="22"/>
          <w:lang w:val="sk-SK"/>
        </w:rPr>
        <w:t>až</w:t>
      </w:r>
      <w:r w:rsidR="00620D3D" w:rsidRPr="004B1A50">
        <w:rPr>
          <w:rFonts w:eastAsia="TimesNewRoman"/>
          <w:color w:val="000000"/>
          <w:szCs w:val="22"/>
          <w:lang w:val="sk-SK"/>
        </w:rPr>
        <w:t xml:space="preserve"> </w:t>
      </w:r>
      <w:r w:rsidR="00160CFC" w:rsidRPr="004B1A50">
        <w:rPr>
          <w:rFonts w:eastAsia="TimesNewRoman"/>
          <w:color w:val="000000"/>
          <w:szCs w:val="22"/>
          <w:lang w:val="sk-SK"/>
        </w:rPr>
        <w:t xml:space="preserve">šok s fatálnym </w:t>
      </w:r>
      <w:r w:rsidRPr="004B1A50">
        <w:rPr>
          <w:rFonts w:eastAsia="TimesNewRoman"/>
          <w:color w:val="000000"/>
          <w:szCs w:val="22"/>
          <w:lang w:val="sk-SK"/>
        </w:rPr>
        <w:t>koncom.</w:t>
      </w:r>
    </w:p>
    <w:p w14:paraId="3F9B8527"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4C50018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Liečba: Klinicky významná hypotenzia v dôsledku predávkovania amlodipínom si vyžaduje aktívnu kardiovaskulárnu</w:t>
      </w:r>
      <w:r w:rsidR="00620D3D" w:rsidRPr="004B1A50">
        <w:rPr>
          <w:rFonts w:eastAsia="TimesNewRoman"/>
          <w:color w:val="000000"/>
          <w:szCs w:val="22"/>
          <w:lang w:val="sk-SK"/>
        </w:rPr>
        <w:t xml:space="preserve"> </w:t>
      </w:r>
      <w:r w:rsidRPr="004B1A50">
        <w:rPr>
          <w:rFonts w:eastAsia="TimesNewRoman"/>
          <w:color w:val="000000"/>
          <w:szCs w:val="22"/>
          <w:lang w:val="sk-SK"/>
        </w:rPr>
        <w:t>podporu vrátane častého monitorovania srdcov</w:t>
      </w:r>
      <w:r w:rsidR="006A6F84" w:rsidRPr="004B1A50">
        <w:rPr>
          <w:rFonts w:eastAsia="TimesNewRoman"/>
          <w:color w:val="000000"/>
          <w:szCs w:val="22"/>
          <w:lang w:val="sk-SK"/>
        </w:rPr>
        <w:t>ej</w:t>
      </w:r>
      <w:r w:rsidRPr="004B1A50">
        <w:rPr>
          <w:rFonts w:eastAsia="TimesNewRoman"/>
          <w:color w:val="000000"/>
          <w:szCs w:val="22"/>
          <w:lang w:val="sk-SK"/>
        </w:rPr>
        <w:t xml:space="preserve"> a </w:t>
      </w:r>
      <w:r w:rsidR="006A6F84" w:rsidRPr="004B1A50">
        <w:rPr>
          <w:rFonts w:eastAsia="TimesNewRoman"/>
          <w:color w:val="000000"/>
          <w:szCs w:val="22"/>
          <w:lang w:val="sk-SK"/>
        </w:rPr>
        <w:t>dýchacej</w:t>
      </w:r>
      <w:r w:rsidRPr="004B1A50">
        <w:rPr>
          <w:rFonts w:eastAsia="TimesNewRoman"/>
          <w:color w:val="000000"/>
          <w:szCs w:val="22"/>
          <w:lang w:val="sk-SK"/>
        </w:rPr>
        <w:t xml:space="preserve"> </w:t>
      </w:r>
      <w:r w:rsidR="006A6F84" w:rsidRPr="004B1A50">
        <w:rPr>
          <w:rFonts w:eastAsia="TimesNewRoman"/>
          <w:color w:val="000000"/>
          <w:szCs w:val="22"/>
          <w:lang w:val="sk-SK"/>
        </w:rPr>
        <w:t>činnosti</w:t>
      </w:r>
      <w:r w:rsidRPr="004B1A50">
        <w:rPr>
          <w:rFonts w:eastAsia="TimesNewRoman"/>
          <w:color w:val="000000"/>
          <w:szCs w:val="22"/>
          <w:lang w:val="sk-SK"/>
        </w:rPr>
        <w:t xml:space="preserve">, </w:t>
      </w:r>
      <w:r w:rsidR="006A6F84" w:rsidRPr="004B1A50">
        <w:rPr>
          <w:rFonts w:eastAsia="TimesNewRoman"/>
          <w:color w:val="000000"/>
          <w:szCs w:val="22"/>
          <w:lang w:val="sk-SK"/>
        </w:rPr>
        <w:t>zdvihnutie</w:t>
      </w:r>
      <w:r w:rsidRPr="004B1A50">
        <w:rPr>
          <w:rFonts w:eastAsia="TimesNewRoman"/>
          <w:color w:val="000000"/>
          <w:szCs w:val="22"/>
          <w:lang w:val="sk-SK"/>
        </w:rPr>
        <w:t xml:space="preserve"> končatín a</w:t>
      </w:r>
      <w:r w:rsidR="00620D3D" w:rsidRPr="004B1A50">
        <w:rPr>
          <w:rFonts w:eastAsia="TimesNewRoman"/>
          <w:color w:val="000000"/>
          <w:szCs w:val="22"/>
          <w:lang w:val="sk-SK"/>
        </w:rPr>
        <w:t xml:space="preserve"> </w:t>
      </w:r>
      <w:r w:rsidRPr="004B1A50">
        <w:rPr>
          <w:rFonts w:eastAsia="TimesNewRoman"/>
          <w:color w:val="000000"/>
          <w:szCs w:val="22"/>
          <w:lang w:val="sk-SK"/>
        </w:rPr>
        <w:t>sledovani</w:t>
      </w:r>
      <w:r w:rsidR="006A6F84" w:rsidRPr="004B1A50">
        <w:rPr>
          <w:rFonts w:eastAsia="TimesNewRoman"/>
          <w:color w:val="000000"/>
          <w:szCs w:val="22"/>
          <w:lang w:val="sk-SK"/>
        </w:rPr>
        <w:t>e</w:t>
      </w:r>
      <w:r w:rsidRPr="004B1A50">
        <w:rPr>
          <w:rFonts w:eastAsia="TimesNewRoman"/>
          <w:color w:val="000000"/>
          <w:szCs w:val="22"/>
          <w:lang w:val="sk-SK"/>
        </w:rPr>
        <w:t xml:space="preserve"> objemu cirkulujúc</w:t>
      </w:r>
      <w:r w:rsidR="006A6F84" w:rsidRPr="004B1A50">
        <w:rPr>
          <w:rFonts w:eastAsia="TimesNewRoman"/>
          <w:color w:val="000000"/>
          <w:szCs w:val="22"/>
          <w:lang w:val="sk-SK"/>
        </w:rPr>
        <w:t>ich</w:t>
      </w:r>
      <w:r w:rsidRPr="004B1A50">
        <w:rPr>
          <w:rFonts w:eastAsia="TimesNewRoman"/>
          <w:color w:val="000000"/>
          <w:szCs w:val="22"/>
          <w:lang w:val="sk-SK"/>
        </w:rPr>
        <w:t xml:space="preserve"> tekut</w:t>
      </w:r>
      <w:r w:rsidR="006A6F84" w:rsidRPr="004B1A50">
        <w:rPr>
          <w:rFonts w:eastAsia="TimesNewRoman"/>
          <w:color w:val="000000"/>
          <w:szCs w:val="22"/>
          <w:lang w:val="sk-SK"/>
        </w:rPr>
        <w:t>ín</w:t>
      </w:r>
      <w:r w:rsidRPr="004B1A50">
        <w:rPr>
          <w:rFonts w:eastAsia="TimesNewRoman"/>
          <w:color w:val="000000"/>
          <w:szCs w:val="22"/>
          <w:lang w:val="sk-SK"/>
        </w:rPr>
        <w:t xml:space="preserve"> a</w:t>
      </w:r>
      <w:r w:rsidR="006A6F84" w:rsidRPr="004B1A50">
        <w:rPr>
          <w:rFonts w:eastAsia="TimesNewRoman"/>
          <w:color w:val="000000"/>
          <w:szCs w:val="22"/>
          <w:lang w:val="sk-SK"/>
        </w:rPr>
        <w:t xml:space="preserve"> objemu </w:t>
      </w:r>
      <w:r w:rsidRPr="004B1A50">
        <w:rPr>
          <w:rFonts w:eastAsia="TimesNewRoman"/>
          <w:color w:val="000000"/>
          <w:szCs w:val="22"/>
          <w:lang w:val="sk-SK"/>
        </w:rPr>
        <w:t>moču.</w:t>
      </w:r>
    </w:p>
    <w:p w14:paraId="3456B7FC"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7DDD1DA1" w14:textId="77777777" w:rsidR="00341ED6" w:rsidRPr="004B1A50" w:rsidRDefault="00160CFC" w:rsidP="00853064">
      <w:pPr>
        <w:autoSpaceDE w:val="0"/>
        <w:autoSpaceDN w:val="0"/>
        <w:adjustRightInd w:val="0"/>
        <w:spacing w:line="240" w:lineRule="auto"/>
        <w:rPr>
          <w:lang w:val="sk-SK" w:eastAsia="sk-SK"/>
        </w:rPr>
      </w:pPr>
      <w:r w:rsidRPr="004B1A50">
        <w:rPr>
          <w:rFonts w:eastAsia="TimesNewRoman"/>
          <w:color w:val="000000"/>
          <w:szCs w:val="22"/>
          <w:lang w:val="sk-SK"/>
        </w:rPr>
        <w:t xml:space="preserve">Pri obnovení </w:t>
      </w:r>
      <w:r w:rsidR="00077DD2" w:rsidRPr="004B1A50">
        <w:rPr>
          <w:rFonts w:eastAsia="TimesNewRoman"/>
          <w:color w:val="000000"/>
          <w:szCs w:val="22"/>
          <w:lang w:val="sk-SK"/>
        </w:rPr>
        <w:t>cievneho tonusu</w:t>
      </w:r>
      <w:r w:rsidRPr="004B1A50">
        <w:rPr>
          <w:rFonts w:eastAsia="TimesNewRoman"/>
          <w:color w:val="000000"/>
          <w:szCs w:val="22"/>
          <w:lang w:val="sk-SK"/>
        </w:rPr>
        <w:t xml:space="preserve"> a krvného tlaku môže byť užitočné podanie vazokonstriktora za predpokladu, že jeho použitie</w:t>
      </w:r>
      <w:r w:rsidR="00620D3D" w:rsidRPr="004B1A50">
        <w:rPr>
          <w:rFonts w:eastAsia="TimesNewRoman"/>
          <w:color w:val="000000"/>
          <w:szCs w:val="22"/>
          <w:lang w:val="sk-SK"/>
        </w:rPr>
        <w:t xml:space="preserve"> </w:t>
      </w:r>
      <w:r w:rsidRPr="004B1A50">
        <w:rPr>
          <w:rFonts w:eastAsia="TimesNewRoman"/>
          <w:color w:val="000000"/>
          <w:szCs w:val="22"/>
          <w:lang w:val="sk-SK"/>
        </w:rPr>
        <w:t xml:space="preserve">nie je kontraindikované. </w:t>
      </w:r>
      <w:r w:rsidR="00077DD2" w:rsidRPr="004B1A50">
        <w:rPr>
          <w:lang w:val="sk-SK" w:eastAsia="sk-SK"/>
        </w:rPr>
        <w:t>Na zvrátenie účinkov blokády kalciového kanála je vhodné intravenózne podanie glukonátu vápenatého.</w:t>
      </w:r>
    </w:p>
    <w:p w14:paraId="26C69696" w14:textId="77777777" w:rsidR="00341ED6" w:rsidRPr="004B1A50" w:rsidRDefault="00341ED6" w:rsidP="00853064">
      <w:pPr>
        <w:autoSpaceDE w:val="0"/>
        <w:autoSpaceDN w:val="0"/>
        <w:adjustRightInd w:val="0"/>
        <w:spacing w:line="240" w:lineRule="auto"/>
        <w:rPr>
          <w:lang w:val="sk-SK" w:eastAsia="sk-SK"/>
        </w:rPr>
      </w:pPr>
    </w:p>
    <w:p w14:paraId="2B8BBDF4"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V niektorých prípadoch môže byť </w:t>
      </w:r>
      <w:r w:rsidR="00077DD2" w:rsidRPr="004B1A50">
        <w:rPr>
          <w:rFonts w:eastAsia="TimesNewRoman"/>
          <w:color w:val="000000"/>
          <w:szCs w:val="22"/>
          <w:lang w:val="sk-SK"/>
        </w:rPr>
        <w:t>vhodn</w:t>
      </w:r>
      <w:r w:rsidR="00341ED6" w:rsidRPr="004B1A50">
        <w:rPr>
          <w:rFonts w:eastAsia="TimesNewRoman"/>
          <w:color w:val="000000"/>
          <w:szCs w:val="22"/>
          <w:lang w:val="sk-SK"/>
        </w:rPr>
        <w:t>ý výplach žalúdka</w:t>
      </w:r>
      <w:r w:rsidR="00077DD2" w:rsidRPr="004B1A50">
        <w:rPr>
          <w:rFonts w:eastAsia="TimesNewRoman"/>
          <w:color w:val="000000"/>
          <w:szCs w:val="22"/>
          <w:lang w:val="sk-SK"/>
        </w:rPr>
        <w:t>.</w:t>
      </w:r>
      <w:r w:rsidRPr="004B1A50">
        <w:rPr>
          <w:rFonts w:eastAsia="TimesNewRoman"/>
          <w:color w:val="000000"/>
          <w:szCs w:val="22"/>
          <w:lang w:val="sk-SK"/>
        </w:rPr>
        <w:t xml:space="preserve"> </w:t>
      </w:r>
      <w:r w:rsidR="009E6554" w:rsidRPr="004B1A50">
        <w:rPr>
          <w:rFonts w:eastAsia="TimesNewRoman"/>
          <w:color w:val="000000"/>
          <w:szCs w:val="22"/>
          <w:lang w:val="sk-SK"/>
        </w:rPr>
        <w:t>U</w:t>
      </w:r>
      <w:r w:rsidRPr="004B1A50">
        <w:rPr>
          <w:rFonts w:eastAsia="TimesNewRoman"/>
          <w:color w:val="000000"/>
          <w:szCs w:val="22"/>
          <w:lang w:val="sk-SK"/>
        </w:rPr>
        <w:t xml:space="preserve"> zdravých dobrovoľníko</w:t>
      </w:r>
      <w:r w:rsidR="009E6554" w:rsidRPr="004B1A50">
        <w:rPr>
          <w:rFonts w:eastAsia="TimesNewRoman"/>
          <w:color w:val="000000"/>
          <w:szCs w:val="22"/>
          <w:lang w:val="sk-SK"/>
        </w:rPr>
        <w:t>v</w:t>
      </w:r>
      <w:r w:rsidRPr="004B1A50">
        <w:rPr>
          <w:rFonts w:eastAsia="TimesNewRoman"/>
          <w:color w:val="000000"/>
          <w:szCs w:val="22"/>
          <w:lang w:val="sk-SK"/>
        </w:rPr>
        <w:t xml:space="preserve"> sa </w:t>
      </w:r>
      <w:r w:rsidR="00077DD2" w:rsidRPr="004B1A50">
        <w:rPr>
          <w:rFonts w:eastAsia="TimesNewRoman"/>
          <w:color w:val="000000"/>
          <w:szCs w:val="22"/>
          <w:lang w:val="sk-SK"/>
        </w:rPr>
        <w:t>dokázalo,</w:t>
      </w:r>
      <w:r w:rsidRPr="004B1A50">
        <w:rPr>
          <w:rFonts w:eastAsia="TimesNewRoman"/>
          <w:color w:val="000000"/>
          <w:szCs w:val="22"/>
          <w:lang w:val="sk-SK"/>
        </w:rPr>
        <w:t xml:space="preserve"> že užitie </w:t>
      </w:r>
      <w:r w:rsidR="00077DD2" w:rsidRPr="004B1A50">
        <w:rPr>
          <w:rFonts w:eastAsia="TimesNewRoman"/>
          <w:color w:val="000000"/>
          <w:szCs w:val="22"/>
          <w:lang w:val="sk-SK"/>
        </w:rPr>
        <w:t>aktívneho</w:t>
      </w:r>
      <w:r w:rsidRPr="004B1A50">
        <w:rPr>
          <w:rFonts w:eastAsia="TimesNewRoman"/>
          <w:color w:val="000000"/>
          <w:szCs w:val="22"/>
          <w:lang w:val="sk-SK"/>
        </w:rPr>
        <w:t xml:space="preserve"> uhlia do 2 hodín</w:t>
      </w:r>
      <w:r w:rsidR="00620D3D" w:rsidRPr="004B1A50">
        <w:rPr>
          <w:rFonts w:eastAsia="TimesNewRoman"/>
          <w:color w:val="000000"/>
          <w:szCs w:val="22"/>
          <w:lang w:val="sk-SK"/>
        </w:rPr>
        <w:t xml:space="preserve"> </w:t>
      </w:r>
      <w:r w:rsidRPr="004B1A50">
        <w:rPr>
          <w:rFonts w:eastAsia="TimesNewRoman"/>
          <w:color w:val="000000"/>
          <w:szCs w:val="22"/>
          <w:lang w:val="sk-SK"/>
        </w:rPr>
        <w:t>po podaní 10 mg amlodipínu zníži rýchlosť absorpcie amlodipínu.</w:t>
      </w:r>
    </w:p>
    <w:p w14:paraId="2B02FBBB"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2C7FF05A" w14:textId="77777777" w:rsidR="00160CFC" w:rsidRPr="004B1A50" w:rsidRDefault="00341ED6"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Keďže a</w:t>
      </w:r>
      <w:r w:rsidR="00160CFC" w:rsidRPr="004B1A50">
        <w:rPr>
          <w:rFonts w:eastAsia="TimesNewRoman"/>
          <w:color w:val="000000"/>
          <w:szCs w:val="22"/>
          <w:lang w:val="sk-SK"/>
        </w:rPr>
        <w:t xml:space="preserve">mlodipín sa </w:t>
      </w:r>
      <w:r w:rsidR="00077DD2" w:rsidRPr="004B1A50">
        <w:rPr>
          <w:rFonts w:eastAsia="TimesNewRoman"/>
          <w:color w:val="000000"/>
          <w:szCs w:val="22"/>
          <w:lang w:val="sk-SK"/>
        </w:rPr>
        <w:t>siln</w:t>
      </w:r>
      <w:r w:rsidRPr="004B1A50">
        <w:rPr>
          <w:rFonts w:eastAsia="TimesNewRoman"/>
          <w:color w:val="000000"/>
          <w:szCs w:val="22"/>
          <w:lang w:val="sk-SK"/>
        </w:rPr>
        <w:t>o</w:t>
      </w:r>
      <w:r w:rsidR="00077DD2" w:rsidRPr="004B1A50">
        <w:rPr>
          <w:rFonts w:eastAsia="TimesNewRoman"/>
          <w:color w:val="000000"/>
          <w:szCs w:val="22"/>
          <w:lang w:val="sk-SK"/>
        </w:rPr>
        <w:t xml:space="preserve"> </w:t>
      </w:r>
      <w:r w:rsidR="00160CFC" w:rsidRPr="004B1A50">
        <w:rPr>
          <w:rFonts w:eastAsia="TimesNewRoman"/>
          <w:color w:val="000000"/>
          <w:szCs w:val="22"/>
          <w:lang w:val="sk-SK"/>
        </w:rPr>
        <w:t xml:space="preserve">viaže na bielkoviny, </w:t>
      </w:r>
      <w:r w:rsidR="00077DD2" w:rsidRPr="004B1A50">
        <w:rPr>
          <w:lang w:val="sk-SK" w:eastAsia="sk-SK"/>
        </w:rPr>
        <w:t xml:space="preserve">dialýza </w:t>
      </w:r>
      <w:r w:rsidRPr="004B1A50">
        <w:rPr>
          <w:lang w:val="sk-SK" w:eastAsia="sk-SK"/>
        </w:rPr>
        <w:t xml:space="preserve">by pravdepodobne nebola </w:t>
      </w:r>
      <w:r w:rsidR="00077DD2" w:rsidRPr="004B1A50">
        <w:rPr>
          <w:lang w:val="sk-SK" w:eastAsia="sk-SK"/>
        </w:rPr>
        <w:t>bola účinná.</w:t>
      </w:r>
    </w:p>
    <w:p w14:paraId="4334881C"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515664BA" w14:textId="77777777" w:rsidR="00341ED6" w:rsidRPr="004B1A50" w:rsidRDefault="00077DD2"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Pre</w:t>
      </w:r>
      <w:r w:rsidR="00160CFC" w:rsidRPr="004B1A50">
        <w:rPr>
          <w:rFonts w:eastAsia="TimesNewRoman"/>
          <w:color w:val="000000"/>
          <w:szCs w:val="22"/>
          <w:lang w:val="sk-SK"/>
        </w:rPr>
        <w:t xml:space="preserve"> perindopril sú k dispozícii obmedzené údaje o predávkovaní u ľudí. Symptómy súvisiace s</w:t>
      </w:r>
      <w:r w:rsidR="00620D3D" w:rsidRPr="004B1A50">
        <w:rPr>
          <w:rFonts w:eastAsia="TimesNewRoman"/>
          <w:color w:val="000000"/>
          <w:szCs w:val="22"/>
          <w:lang w:val="sk-SK"/>
        </w:rPr>
        <w:t xml:space="preserve"> </w:t>
      </w:r>
      <w:r w:rsidR="00160CFC" w:rsidRPr="004B1A50">
        <w:rPr>
          <w:rFonts w:eastAsia="TimesNewRoman"/>
          <w:color w:val="000000"/>
          <w:szCs w:val="22"/>
          <w:lang w:val="sk-SK"/>
        </w:rPr>
        <w:t>predávkovaním inhibítormi ACE môžu zahŕňať hypotenziu, obehový šok, poruchy elektrolytov, renálne</w:t>
      </w:r>
      <w:r w:rsidR="00620D3D" w:rsidRPr="004B1A50">
        <w:rPr>
          <w:rFonts w:eastAsia="TimesNewRoman"/>
          <w:color w:val="000000"/>
          <w:szCs w:val="22"/>
          <w:lang w:val="sk-SK"/>
        </w:rPr>
        <w:t xml:space="preserve"> </w:t>
      </w:r>
      <w:r w:rsidR="00160CFC" w:rsidRPr="004B1A50">
        <w:rPr>
          <w:rFonts w:eastAsia="TimesNewRoman"/>
          <w:color w:val="000000"/>
          <w:szCs w:val="22"/>
          <w:lang w:val="sk-SK"/>
        </w:rPr>
        <w:t>zlyhanie, hyperventiláciu, tachykardiu, palpitácie, bradykardiu, závrat</w:t>
      </w:r>
      <w:r w:rsidRPr="004B1A50">
        <w:rPr>
          <w:rFonts w:eastAsia="TimesNewRoman"/>
          <w:color w:val="000000"/>
          <w:szCs w:val="22"/>
          <w:lang w:val="sk-SK"/>
        </w:rPr>
        <w:t>y</w:t>
      </w:r>
      <w:r w:rsidR="00160CFC" w:rsidRPr="004B1A50">
        <w:rPr>
          <w:rFonts w:eastAsia="TimesNewRoman"/>
          <w:color w:val="000000"/>
          <w:szCs w:val="22"/>
          <w:lang w:val="sk-SK"/>
        </w:rPr>
        <w:t>, úzkosť a kašeľ.</w:t>
      </w:r>
      <w:r w:rsidR="00620D3D" w:rsidRPr="004B1A50">
        <w:rPr>
          <w:rFonts w:eastAsia="TimesNewRoman"/>
          <w:color w:val="000000"/>
          <w:szCs w:val="22"/>
          <w:lang w:val="sk-SK"/>
        </w:rPr>
        <w:t xml:space="preserve"> </w:t>
      </w:r>
    </w:p>
    <w:p w14:paraId="7A630324"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437C7889" w14:textId="77777777" w:rsidR="00160CFC" w:rsidRPr="004B1A50" w:rsidRDefault="00160CFC" w:rsidP="00853064">
      <w:pPr>
        <w:autoSpaceDE w:val="0"/>
        <w:autoSpaceDN w:val="0"/>
        <w:adjustRightInd w:val="0"/>
        <w:spacing w:line="240" w:lineRule="auto"/>
        <w:rPr>
          <w:lang w:val="sk-SK"/>
        </w:rPr>
      </w:pPr>
      <w:r w:rsidRPr="004B1A50">
        <w:rPr>
          <w:rFonts w:eastAsia="TimesNewRoman"/>
          <w:color w:val="000000"/>
          <w:szCs w:val="22"/>
          <w:lang w:val="sk-SK"/>
        </w:rPr>
        <w:t xml:space="preserve">Odporúčaná liečba predávkovania </w:t>
      </w:r>
      <w:r w:rsidR="00077DD2" w:rsidRPr="004B1A50">
        <w:rPr>
          <w:rFonts w:eastAsia="TimesNewRoman"/>
          <w:color w:val="000000"/>
          <w:szCs w:val="22"/>
          <w:lang w:val="sk-SK"/>
        </w:rPr>
        <w:t>je</w:t>
      </w:r>
      <w:r w:rsidRPr="004B1A50">
        <w:rPr>
          <w:rFonts w:eastAsia="TimesNewRoman"/>
          <w:color w:val="000000"/>
          <w:szCs w:val="22"/>
          <w:lang w:val="sk-SK"/>
        </w:rPr>
        <w:t xml:space="preserve"> intravenózn</w:t>
      </w:r>
      <w:r w:rsidR="00077DD2" w:rsidRPr="004B1A50">
        <w:rPr>
          <w:rFonts w:eastAsia="TimesNewRoman"/>
          <w:color w:val="000000"/>
          <w:szCs w:val="22"/>
          <w:lang w:val="sk-SK"/>
        </w:rPr>
        <w:t>a</w:t>
      </w:r>
      <w:r w:rsidRPr="004B1A50">
        <w:rPr>
          <w:rFonts w:eastAsia="TimesNewRoman"/>
          <w:color w:val="000000"/>
          <w:szCs w:val="22"/>
          <w:lang w:val="sk-SK"/>
        </w:rPr>
        <w:t xml:space="preserve"> infúzi</w:t>
      </w:r>
      <w:r w:rsidR="00077DD2" w:rsidRPr="004B1A50">
        <w:rPr>
          <w:rFonts w:eastAsia="TimesNewRoman"/>
          <w:color w:val="000000"/>
          <w:szCs w:val="22"/>
          <w:lang w:val="sk-SK"/>
        </w:rPr>
        <w:t>a</w:t>
      </w:r>
      <w:r w:rsidRPr="004B1A50">
        <w:rPr>
          <w:rFonts w:eastAsia="TimesNewRoman"/>
          <w:color w:val="000000"/>
          <w:szCs w:val="22"/>
          <w:lang w:val="sk-SK"/>
        </w:rPr>
        <w:t xml:space="preserve"> fyziologického roztoku. Ak </w:t>
      </w:r>
      <w:r w:rsidR="00077DD2" w:rsidRPr="004B1A50">
        <w:rPr>
          <w:rFonts w:eastAsia="TimesNewRoman"/>
          <w:color w:val="000000"/>
          <w:szCs w:val="22"/>
          <w:lang w:val="sk-SK"/>
        </w:rPr>
        <w:t xml:space="preserve">nastane </w:t>
      </w:r>
      <w:r w:rsidRPr="004B1A50">
        <w:rPr>
          <w:rFonts w:eastAsia="TimesNewRoman"/>
          <w:color w:val="000000"/>
          <w:szCs w:val="22"/>
          <w:lang w:val="sk-SK"/>
        </w:rPr>
        <w:t>hypotenzia,</w:t>
      </w:r>
      <w:r w:rsidR="00620D3D" w:rsidRPr="004B1A50">
        <w:rPr>
          <w:rFonts w:eastAsia="TimesNewRoman"/>
          <w:color w:val="000000"/>
          <w:szCs w:val="22"/>
          <w:lang w:val="sk-SK"/>
        </w:rPr>
        <w:t xml:space="preserve"> </w:t>
      </w:r>
      <w:r w:rsidRPr="004B1A50">
        <w:rPr>
          <w:rFonts w:eastAsia="TimesNewRoman"/>
          <w:color w:val="000000"/>
          <w:szCs w:val="22"/>
          <w:lang w:val="sk-SK"/>
        </w:rPr>
        <w:t xml:space="preserve">pacienta </w:t>
      </w:r>
      <w:r w:rsidR="00077DD2" w:rsidRPr="004B1A50">
        <w:rPr>
          <w:rFonts w:eastAsia="TimesNewRoman"/>
          <w:color w:val="000000"/>
          <w:szCs w:val="22"/>
          <w:lang w:val="sk-SK"/>
        </w:rPr>
        <w:t>má byť uložený</w:t>
      </w:r>
      <w:r w:rsidRPr="004B1A50">
        <w:rPr>
          <w:rFonts w:eastAsia="TimesNewRoman"/>
          <w:color w:val="000000"/>
          <w:szCs w:val="22"/>
          <w:lang w:val="sk-SK"/>
        </w:rPr>
        <w:t xml:space="preserve"> do protišokovej polohy. </w:t>
      </w:r>
      <w:r w:rsidR="00077DD2" w:rsidRPr="004B1A50">
        <w:rPr>
          <w:lang w:val="sk-SK" w:eastAsia="sk-SK"/>
        </w:rPr>
        <w:t>Ak je k dispozícii, môže sa tiež zvážiť liečba infúziou angiotenzínu II a/alebo intravenózne podanie katecholamínov.</w:t>
      </w:r>
      <w:r w:rsidRPr="004B1A50">
        <w:rPr>
          <w:rFonts w:eastAsia="TimesNewRoman"/>
          <w:color w:val="000000"/>
          <w:szCs w:val="22"/>
          <w:lang w:val="sk-SK"/>
        </w:rPr>
        <w:t xml:space="preserve"> Perindopril možno odstrániť zo systémového obehu</w:t>
      </w:r>
      <w:r w:rsidR="00620D3D" w:rsidRPr="004B1A50">
        <w:rPr>
          <w:rFonts w:eastAsia="TimesNewRoman"/>
          <w:color w:val="000000"/>
          <w:szCs w:val="22"/>
          <w:lang w:val="sk-SK"/>
        </w:rPr>
        <w:t xml:space="preserve"> </w:t>
      </w:r>
      <w:r w:rsidR="00077DD2" w:rsidRPr="004B1A50">
        <w:rPr>
          <w:rFonts w:eastAsia="TimesNewRoman"/>
          <w:color w:val="000000"/>
          <w:szCs w:val="22"/>
          <w:lang w:val="sk-SK"/>
        </w:rPr>
        <w:t xml:space="preserve">pomocou </w:t>
      </w:r>
      <w:r w:rsidRPr="004B1A50">
        <w:rPr>
          <w:rFonts w:eastAsia="TimesNewRoman"/>
          <w:color w:val="000000"/>
          <w:szCs w:val="22"/>
          <w:lang w:val="sk-SK"/>
        </w:rPr>
        <w:t>hemodialýz</w:t>
      </w:r>
      <w:r w:rsidR="00077DD2" w:rsidRPr="004B1A50">
        <w:rPr>
          <w:rFonts w:eastAsia="TimesNewRoman"/>
          <w:color w:val="000000"/>
          <w:szCs w:val="22"/>
          <w:lang w:val="sk-SK"/>
        </w:rPr>
        <w:t>y</w:t>
      </w:r>
      <w:r w:rsidRPr="004B1A50">
        <w:rPr>
          <w:rFonts w:eastAsia="TimesNewRoman"/>
          <w:color w:val="000000"/>
          <w:szCs w:val="22"/>
          <w:lang w:val="sk-SK"/>
        </w:rPr>
        <w:t xml:space="preserve"> (pozri časť 4.4). Kardiostimulačná liečba je indikovaná v prípade bradykardie </w:t>
      </w:r>
      <w:r w:rsidR="00077DD2" w:rsidRPr="004B1A50">
        <w:rPr>
          <w:rFonts w:eastAsia="TimesNewRoman"/>
          <w:color w:val="000000"/>
          <w:szCs w:val="22"/>
          <w:lang w:val="sk-SK"/>
        </w:rPr>
        <w:t xml:space="preserve">rezistentnej </w:t>
      </w:r>
      <w:r w:rsidRPr="004B1A50">
        <w:rPr>
          <w:rFonts w:eastAsia="TimesNewRoman"/>
          <w:color w:val="000000"/>
          <w:szCs w:val="22"/>
          <w:lang w:val="sk-SK"/>
        </w:rPr>
        <w:t xml:space="preserve">na liečbu. </w:t>
      </w:r>
      <w:r w:rsidR="00077DD2" w:rsidRPr="004B1A50">
        <w:rPr>
          <w:lang w:val="sk-SK" w:eastAsia="sk-SK"/>
        </w:rPr>
        <w:t>Nepretržite musia byť monitorované životne dôležité funkcie, sérové elektrolyty a koncentrácie kreatinínu.</w:t>
      </w:r>
    </w:p>
    <w:p w14:paraId="1928EE5F" w14:textId="77777777" w:rsidR="00160CFC" w:rsidRPr="004B1A50" w:rsidRDefault="00160CFC" w:rsidP="00853064">
      <w:pPr>
        <w:rPr>
          <w:lang w:val="sk-SK"/>
        </w:rPr>
      </w:pPr>
    </w:p>
    <w:p w14:paraId="524D7ABE" w14:textId="77777777" w:rsidR="00341ED6" w:rsidRPr="004B1A50" w:rsidRDefault="00341ED6" w:rsidP="00853064">
      <w:pPr>
        <w:rPr>
          <w:lang w:val="sk-SK"/>
        </w:rPr>
      </w:pPr>
    </w:p>
    <w:p w14:paraId="016AA8C3" w14:textId="77777777" w:rsidR="00160CFC" w:rsidRPr="004B1A50" w:rsidRDefault="00160CFC" w:rsidP="00853064">
      <w:pPr>
        <w:numPr>
          <w:ilvl w:val="0"/>
          <w:numId w:val="8"/>
        </w:numPr>
        <w:tabs>
          <w:tab w:val="clear" w:pos="567"/>
        </w:tabs>
        <w:ind w:left="567" w:hanging="567"/>
        <w:rPr>
          <w:lang w:val="sk-SK"/>
        </w:rPr>
      </w:pPr>
      <w:r w:rsidRPr="004B1A50">
        <w:rPr>
          <w:b/>
          <w:bCs/>
          <w:lang w:val="sk-SK"/>
        </w:rPr>
        <w:t>FARMAKOLOGICKÉ VLASTNOSTI</w:t>
      </w:r>
    </w:p>
    <w:p w14:paraId="73D8FD3B" w14:textId="77777777" w:rsidR="00160CFC" w:rsidRPr="004B1A50" w:rsidRDefault="00160CFC" w:rsidP="00853064">
      <w:pPr>
        <w:rPr>
          <w:b/>
          <w:lang w:val="sk-SK"/>
        </w:rPr>
      </w:pPr>
    </w:p>
    <w:p w14:paraId="6677A9B5" w14:textId="77777777" w:rsidR="00160CFC" w:rsidRPr="004B1A50" w:rsidRDefault="00160CFC" w:rsidP="00853064">
      <w:pPr>
        <w:numPr>
          <w:ilvl w:val="0"/>
          <w:numId w:val="9"/>
        </w:numPr>
        <w:tabs>
          <w:tab w:val="clear" w:pos="567"/>
        </w:tabs>
        <w:ind w:left="567" w:hanging="567"/>
        <w:rPr>
          <w:lang w:val="sk-SK"/>
        </w:rPr>
      </w:pPr>
      <w:r w:rsidRPr="004B1A50">
        <w:rPr>
          <w:b/>
          <w:bCs/>
          <w:lang w:val="sk-SK"/>
        </w:rPr>
        <w:t>Farmakodynamické vlastnosti</w:t>
      </w:r>
    </w:p>
    <w:p w14:paraId="17B67214" w14:textId="77777777" w:rsidR="00160CFC" w:rsidRPr="004B1A50" w:rsidRDefault="00160CFC" w:rsidP="00853064">
      <w:pPr>
        <w:rPr>
          <w:lang w:val="sk-SK"/>
        </w:rPr>
      </w:pPr>
    </w:p>
    <w:p w14:paraId="4D431D44"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Farmakoterapeutická skupina: </w:t>
      </w:r>
      <w:r w:rsidR="002762D5" w:rsidRPr="004B1A50">
        <w:rPr>
          <w:rFonts w:eastAsia="TimesNewRoman"/>
          <w:color w:val="000000"/>
          <w:szCs w:val="22"/>
          <w:lang w:val="sk-SK"/>
        </w:rPr>
        <w:t xml:space="preserve">Liečivá </w:t>
      </w:r>
      <w:r w:rsidR="00341ED6" w:rsidRPr="004B1A50">
        <w:rPr>
          <w:rFonts w:eastAsia="TimesNewRoman"/>
          <w:color w:val="000000"/>
          <w:szCs w:val="22"/>
          <w:lang w:val="sk-SK"/>
        </w:rPr>
        <w:t>s účinkom</w:t>
      </w:r>
      <w:r w:rsidRPr="004B1A50">
        <w:rPr>
          <w:rFonts w:eastAsia="TimesNewRoman"/>
          <w:color w:val="000000"/>
          <w:szCs w:val="22"/>
          <w:lang w:val="sk-SK"/>
        </w:rPr>
        <w:t xml:space="preserve"> na renín-angiotenzínový systém; inhibítory ACE a</w:t>
      </w:r>
      <w:r w:rsidR="001B708B" w:rsidRPr="004B1A50">
        <w:rPr>
          <w:rFonts w:eastAsia="TimesNewRoman"/>
          <w:color w:val="000000"/>
          <w:szCs w:val="22"/>
          <w:lang w:val="sk-SK"/>
        </w:rPr>
        <w:t> </w:t>
      </w:r>
      <w:r w:rsidRPr="004B1A50">
        <w:rPr>
          <w:rFonts w:eastAsia="TimesNewRoman"/>
          <w:color w:val="000000"/>
          <w:szCs w:val="22"/>
          <w:lang w:val="sk-SK"/>
        </w:rPr>
        <w:t>blokátory</w:t>
      </w:r>
      <w:r w:rsidR="001B708B" w:rsidRPr="004B1A50">
        <w:rPr>
          <w:rFonts w:eastAsia="TimesNewRoman"/>
          <w:color w:val="000000"/>
          <w:szCs w:val="22"/>
          <w:lang w:val="sk-SK"/>
        </w:rPr>
        <w:t xml:space="preserve"> </w:t>
      </w:r>
      <w:r w:rsidR="002762D5" w:rsidRPr="004B1A50">
        <w:rPr>
          <w:rFonts w:eastAsia="TimesNewRoman"/>
          <w:color w:val="000000"/>
          <w:szCs w:val="22"/>
          <w:lang w:val="sk-SK"/>
        </w:rPr>
        <w:t>kalciov</w:t>
      </w:r>
      <w:r w:rsidR="00341ED6" w:rsidRPr="004B1A50">
        <w:rPr>
          <w:rFonts w:eastAsia="TimesNewRoman"/>
          <w:color w:val="000000"/>
          <w:szCs w:val="22"/>
          <w:lang w:val="sk-SK"/>
        </w:rPr>
        <w:t xml:space="preserve">ého </w:t>
      </w:r>
      <w:r w:rsidR="002762D5" w:rsidRPr="004B1A50">
        <w:rPr>
          <w:rFonts w:eastAsia="TimesNewRoman"/>
          <w:color w:val="000000"/>
          <w:szCs w:val="22"/>
          <w:lang w:val="sk-SK"/>
        </w:rPr>
        <w:t>kanál</w:t>
      </w:r>
      <w:r w:rsidR="00341ED6" w:rsidRPr="004B1A50">
        <w:rPr>
          <w:rFonts w:eastAsia="TimesNewRoman"/>
          <w:color w:val="000000"/>
          <w:szCs w:val="22"/>
          <w:lang w:val="sk-SK"/>
        </w:rPr>
        <w:t>a</w:t>
      </w:r>
      <w:r w:rsidR="00A76926" w:rsidRPr="004B1A50">
        <w:rPr>
          <w:rFonts w:eastAsia="TimesNewRoman"/>
          <w:color w:val="000000"/>
          <w:szCs w:val="22"/>
          <w:lang w:val="sk-SK"/>
        </w:rPr>
        <w:t>,</w:t>
      </w:r>
      <w:r w:rsidR="00530AC5" w:rsidRPr="004B1A50">
        <w:rPr>
          <w:rFonts w:eastAsia="TimesNewRoman"/>
          <w:color w:val="000000"/>
          <w:szCs w:val="22"/>
          <w:lang w:val="sk-SK"/>
        </w:rPr>
        <w:t xml:space="preserve"> </w:t>
      </w:r>
      <w:r w:rsidRPr="004B1A50">
        <w:rPr>
          <w:rFonts w:eastAsia="TimesNewRoman"/>
          <w:color w:val="000000"/>
          <w:szCs w:val="22"/>
          <w:lang w:val="sk-SK"/>
        </w:rPr>
        <w:t>ATC</w:t>
      </w:r>
      <w:r w:rsidR="002762D5" w:rsidRPr="004B1A50">
        <w:rPr>
          <w:rFonts w:eastAsia="TimesNewRoman"/>
          <w:color w:val="000000"/>
          <w:szCs w:val="22"/>
          <w:lang w:val="sk-SK"/>
        </w:rPr>
        <w:t xml:space="preserve"> kód</w:t>
      </w:r>
      <w:r w:rsidRPr="004B1A50">
        <w:rPr>
          <w:rFonts w:eastAsia="TimesNewRoman"/>
          <w:color w:val="000000"/>
          <w:szCs w:val="22"/>
          <w:lang w:val="sk-SK"/>
        </w:rPr>
        <w:t>: C09BB04.</w:t>
      </w:r>
    </w:p>
    <w:p w14:paraId="22C695CB"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376D494A" w14:textId="77777777" w:rsidR="00160CFC" w:rsidRPr="004B1A50" w:rsidRDefault="00160CFC" w:rsidP="00753F55">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Perindopril</w:t>
      </w:r>
    </w:p>
    <w:p w14:paraId="76A16CBA" w14:textId="77777777" w:rsidR="00160CFC" w:rsidRPr="004B1A50" w:rsidRDefault="00160CFC">
      <w:pPr>
        <w:autoSpaceDE w:val="0"/>
        <w:autoSpaceDN w:val="0"/>
        <w:adjustRightInd w:val="0"/>
        <w:spacing w:line="240" w:lineRule="auto"/>
        <w:rPr>
          <w:rFonts w:eastAsia="TimesNewRoman,Italic"/>
          <w:i/>
          <w:iCs/>
          <w:color w:val="000000"/>
          <w:szCs w:val="22"/>
          <w:u w:val="single"/>
          <w:lang w:val="sk-SK"/>
        </w:rPr>
      </w:pPr>
    </w:p>
    <w:p w14:paraId="29D51B66" w14:textId="77777777" w:rsidR="00444638" w:rsidRPr="004B1A50" w:rsidRDefault="00160CFC" w:rsidP="00FC0B45">
      <w:pPr>
        <w:spacing w:line="240" w:lineRule="auto"/>
        <w:rPr>
          <w:lang w:val="sk-SK" w:eastAsia="sk-SK"/>
        </w:rPr>
      </w:pPr>
      <w:r w:rsidRPr="004B1A50">
        <w:rPr>
          <w:rFonts w:eastAsia="TimesNewRoman"/>
          <w:color w:val="000000"/>
          <w:szCs w:val="22"/>
          <w:lang w:val="sk-SK"/>
        </w:rPr>
        <w:t>Perindopril je inhibítor enzýmu, ktorý konvertuje angiotenzín I na angiotenzín II (angiotenzín konvertujúci</w:t>
      </w:r>
      <w:r w:rsidR="001B708B" w:rsidRPr="004B1A50">
        <w:rPr>
          <w:rFonts w:eastAsia="TimesNewRoman"/>
          <w:color w:val="000000"/>
          <w:szCs w:val="22"/>
          <w:lang w:val="sk-SK"/>
        </w:rPr>
        <w:t xml:space="preserve"> </w:t>
      </w:r>
      <w:r w:rsidRPr="004B1A50">
        <w:rPr>
          <w:rFonts w:eastAsia="TimesNewRoman"/>
          <w:color w:val="000000"/>
          <w:szCs w:val="22"/>
          <w:lang w:val="sk-SK"/>
        </w:rPr>
        <w:t xml:space="preserve">enzým, ACE). </w:t>
      </w:r>
      <w:r w:rsidR="00077DD2" w:rsidRPr="004B1A50">
        <w:rPr>
          <w:rFonts w:eastAsia="TimesNewRoman"/>
          <w:color w:val="000000"/>
          <w:szCs w:val="22"/>
          <w:lang w:val="sk-SK"/>
        </w:rPr>
        <w:t>Tento k</w:t>
      </w:r>
      <w:r w:rsidRPr="004B1A50">
        <w:rPr>
          <w:rFonts w:eastAsia="TimesNewRoman"/>
          <w:color w:val="000000"/>
          <w:szCs w:val="22"/>
          <w:lang w:val="sk-SK"/>
        </w:rPr>
        <w:t>onvertujúci enzým alebo kináza, je exopeptidáza, ktorá umožňuje konverziu</w:t>
      </w:r>
      <w:r w:rsidR="001B708B" w:rsidRPr="004B1A50">
        <w:rPr>
          <w:rFonts w:eastAsia="TimesNewRoman"/>
          <w:color w:val="000000"/>
          <w:szCs w:val="22"/>
          <w:lang w:val="sk-SK"/>
        </w:rPr>
        <w:t xml:space="preserve"> </w:t>
      </w:r>
      <w:r w:rsidRPr="004B1A50">
        <w:rPr>
          <w:rFonts w:eastAsia="TimesNewRoman"/>
          <w:color w:val="000000"/>
          <w:szCs w:val="22"/>
          <w:lang w:val="sk-SK"/>
        </w:rPr>
        <w:t>angiotenzínu I na vazokonstrikčný angiotenzín II</w:t>
      </w:r>
      <w:r w:rsidR="00077DD2" w:rsidRPr="004B1A50">
        <w:rPr>
          <w:rFonts w:eastAsia="TimesNewRoman"/>
          <w:color w:val="000000"/>
          <w:szCs w:val="22"/>
          <w:lang w:val="sk-SK"/>
        </w:rPr>
        <w:t xml:space="preserve"> a zároveň</w:t>
      </w:r>
      <w:r w:rsidRPr="004B1A50">
        <w:rPr>
          <w:rFonts w:eastAsia="TimesNewRoman"/>
          <w:color w:val="000000"/>
          <w:szCs w:val="22"/>
          <w:lang w:val="sk-SK"/>
        </w:rPr>
        <w:t xml:space="preserve"> spôsobuje </w:t>
      </w:r>
      <w:r w:rsidR="00077DD2" w:rsidRPr="004B1A50">
        <w:rPr>
          <w:rFonts w:eastAsia="TimesNewRoman"/>
          <w:color w:val="000000"/>
          <w:szCs w:val="22"/>
          <w:lang w:val="sk-SK"/>
        </w:rPr>
        <w:t xml:space="preserve">rozpad vazodilatačného </w:t>
      </w:r>
      <w:r w:rsidRPr="004B1A50">
        <w:rPr>
          <w:rFonts w:eastAsia="TimesNewRoman"/>
          <w:color w:val="000000"/>
          <w:szCs w:val="22"/>
          <w:lang w:val="sk-SK"/>
        </w:rPr>
        <w:t>bradykinínu na inaktívny heptapeptid. Inhibícia ACE vedie k redukcii angiotenzínu II v</w:t>
      </w:r>
      <w:r w:rsidR="001B708B" w:rsidRPr="004B1A50">
        <w:rPr>
          <w:rFonts w:eastAsia="TimesNewRoman"/>
          <w:color w:val="000000"/>
          <w:szCs w:val="22"/>
          <w:lang w:val="sk-SK"/>
        </w:rPr>
        <w:t xml:space="preserve"> </w:t>
      </w:r>
      <w:r w:rsidRPr="004B1A50">
        <w:rPr>
          <w:rFonts w:eastAsia="TimesNewRoman"/>
          <w:color w:val="000000"/>
          <w:szCs w:val="22"/>
          <w:lang w:val="sk-SK"/>
        </w:rPr>
        <w:t>plazme, čo vedie k zvýšenej aktivite plazmatického renínu (inhibíciou negatívnej spätnej väzby uvoľnenia</w:t>
      </w:r>
      <w:r w:rsidR="001B708B" w:rsidRPr="004B1A50">
        <w:rPr>
          <w:rFonts w:eastAsia="TimesNewRoman"/>
          <w:color w:val="000000"/>
          <w:szCs w:val="22"/>
          <w:lang w:val="sk-SK"/>
        </w:rPr>
        <w:t xml:space="preserve"> </w:t>
      </w:r>
      <w:r w:rsidRPr="004B1A50">
        <w:rPr>
          <w:rFonts w:eastAsia="TimesNewRoman"/>
          <w:color w:val="000000"/>
          <w:szCs w:val="22"/>
          <w:lang w:val="sk-SK"/>
        </w:rPr>
        <w:t>renínu) a zníženej sekrécii aldosterónu. Keďže ACE inaktivuje bradykinín</w:t>
      </w:r>
      <w:r w:rsidR="00077DD2" w:rsidRPr="004B1A50">
        <w:rPr>
          <w:rFonts w:eastAsia="TimesNewRoman"/>
          <w:color w:val="000000"/>
          <w:szCs w:val="22"/>
          <w:lang w:val="sk-SK"/>
        </w:rPr>
        <w:t>,</w:t>
      </w:r>
      <w:r w:rsidR="00077DD2" w:rsidRPr="004B1A50">
        <w:rPr>
          <w:lang w:val="sk-SK" w:eastAsia="sk-SK"/>
        </w:rPr>
        <w:t xml:space="preserve"> inhibícia ACE vedie zároveň k zvýšenej aktivite obehového a lokálneho kalikreín-kinínového systému (a tým aj k aktivácii prostaglandínového systému)</w:t>
      </w:r>
      <w:r w:rsidRPr="004B1A50">
        <w:rPr>
          <w:rFonts w:eastAsia="TimesNewRoman"/>
          <w:color w:val="000000"/>
          <w:szCs w:val="22"/>
          <w:lang w:val="sk-SK"/>
        </w:rPr>
        <w:t>. Je možné, že tento mechanizmus prispieva k</w:t>
      </w:r>
      <w:r w:rsidR="001B708B" w:rsidRPr="004B1A50">
        <w:rPr>
          <w:rFonts w:eastAsia="TimesNewRoman"/>
          <w:color w:val="000000"/>
          <w:szCs w:val="22"/>
          <w:lang w:val="sk-SK"/>
        </w:rPr>
        <w:t> </w:t>
      </w:r>
      <w:r w:rsidRPr="004B1A50">
        <w:rPr>
          <w:rFonts w:eastAsia="TimesNewRoman"/>
          <w:color w:val="000000"/>
          <w:szCs w:val="22"/>
          <w:lang w:val="sk-SK"/>
        </w:rPr>
        <w:t>účinku</w:t>
      </w:r>
      <w:r w:rsidR="001B708B" w:rsidRPr="004B1A50">
        <w:rPr>
          <w:rFonts w:eastAsia="TimesNewRoman"/>
          <w:color w:val="000000"/>
          <w:szCs w:val="22"/>
          <w:lang w:val="sk-SK"/>
        </w:rPr>
        <w:t xml:space="preserve"> </w:t>
      </w:r>
      <w:r w:rsidRPr="004B1A50">
        <w:rPr>
          <w:rFonts w:eastAsia="TimesNewRoman"/>
          <w:color w:val="000000"/>
          <w:szCs w:val="22"/>
          <w:lang w:val="sk-SK"/>
        </w:rPr>
        <w:t xml:space="preserve">inhibítorov ACE na zníženie tlaku krvi a čiastočne je zodpovedný </w:t>
      </w:r>
      <w:r w:rsidR="00444638" w:rsidRPr="004B1A50">
        <w:rPr>
          <w:lang w:val="sk-SK" w:eastAsia="sk-SK"/>
        </w:rPr>
        <w:t>za ich niektoré vedľajšie účinky (napr. kašeľ).</w:t>
      </w:r>
    </w:p>
    <w:p w14:paraId="6F88ED65"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308379F" w14:textId="77777777" w:rsidR="00444638" w:rsidRPr="004B1A50" w:rsidRDefault="00160CFC" w:rsidP="00853064">
      <w:pPr>
        <w:spacing w:line="240" w:lineRule="auto"/>
        <w:rPr>
          <w:lang w:val="sk-SK" w:eastAsia="sk-SK"/>
        </w:rPr>
      </w:pPr>
      <w:r w:rsidRPr="004B1A50">
        <w:rPr>
          <w:rFonts w:eastAsia="TimesNewRoman"/>
          <w:color w:val="000000"/>
          <w:szCs w:val="22"/>
          <w:lang w:val="sk-SK"/>
        </w:rPr>
        <w:t xml:space="preserve">Perindopril pôsobí prostredníctvom svojho aktívneho metabolitu, perindoprilátu. </w:t>
      </w:r>
      <w:r w:rsidR="00444638" w:rsidRPr="004B1A50">
        <w:rPr>
          <w:lang w:val="sk-SK" w:eastAsia="sk-SK"/>
        </w:rPr>
        <w:t xml:space="preserve">Ostatné metabolity nemajú </w:t>
      </w:r>
      <w:r w:rsidR="00444638" w:rsidRPr="004B1A50">
        <w:rPr>
          <w:i/>
          <w:lang w:val="sk-SK" w:eastAsia="sk-SK"/>
        </w:rPr>
        <w:t>in vitro</w:t>
      </w:r>
      <w:r w:rsidR="00444638" w:rsidRPr="004B1A50">
        <w:rPr>
          <w:lang w:val="sk-SK" w:eastAsia="sk-SK"/>
        </w:rPr>
        <w:t xml:space="preserve"> žiadnu ACE inhibičnú aktivitu.</w:t>
      </w:r>
    </w:p>
    <w:p w14:paraId="1D4AB963" w14:textId="77777777" w:rsidR="00160CFC" w:rsidRPr="004B1A50" w:rsidRDefault="00160CFC" w:rsidP="00853064">
      <w:pPr>
        <w:autoSpaceDE w:val="0"/>
        <w:autoSpaceDN w:val="0"/>
        <w:adjustRightInd w:val="0"/>
        <w:spacing w:line="240" w:lineRule="auto"/>
        <w:rPr>
          <w:rFonts w:eastAsia="TimesNewRoman"/>
          <w:color w:val="000000"/>
          <w:szCs w:val="22"/>
          <w:u w:val="single"/>
          <w:lang w:val="sk-SK"/>
        </w:rPr>
      </w:pPr>
    </w:p>
    <w:p w14:paraId="56B6D0B9" w14:textId="77777777" w:rsidR="00160CFC" w:rsidRPr="004B1A50" w:rsidRDefault="00160CFC" w:rsidP="00853064">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u w:val="single"/>
          <w:lang w:val="sk-SK"/>
        </w:rPr>
        <w:t>Hypertenzia:</w:t>
      </w:r>
    </w:p>
    <w:p w14:paraId="3E72272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lastRenderedPageBreak/>
        <w:t>Perindopril je účinný pri všetkých stupňoch hypertenzie: miernej, stredne závažnej, závažnej, a znižuje systolický a</w:t>
      </w:r>
      <w:r w:rsidR="001B708B" w:rsidRPr="004B1A50">
        <w:rPr>
          <w:rFonts w:eastAsia="TimesNewRoman"/>
          <w:color w:val="000000"/>
          <w:szCs w:val="22"/>
          <w:lang w:val="sk-SK"/>
        </w:rPr>
        <w:t xml:space="preserve"> </w:t>
      </w:r>
      <w:r w:rsidRPr="004B1A50">
        <w:rPr>
          <w:rFonts w:eastAsia="TimesNewRoman"/>
          <w:color w:val="000000"/>
          <w:szCs w:val="22"/>
          <w:lang w:val="sk-SK"/>
        </w:rPr>
        <w:t xml:space="preserve">diastolický tlak krvi v polohe </w:t>
      </w:r>
      <w:r w:rsidR="00444638" w:rsidRPr="004B1A50">
        <w:rPr>
          <w:rFonts w:eastAsia="TimesNewRoman"/>
          <w:color w:val="000000"/>
          <w:szCs w:val="22"/>
          <w:lang w:val="sk-SK"/>
        </w:rPr>
        <w:t>lež</w:t>
      </w:r>
      <w:r w:rsidR="00530AC5" w:rsidRPr="004B1A50">
        <w:rPr>
          <w:rFonts w:eastAsia="TimesNewRoman"/>
          <w:color w:val="000000"/>
          <w:szCs w:val="22"/>
          <w:lang w:val="sk-SK"/>
        </w:rPr>
        <w:t>m</w:t>
      </w:r>
      <w:r w:rsidR="00444638" w:rsidRPr="004B1A50">
        <w:rPr>
          <w:rFonts w:eastAsia="TimesNewRoman"/>
          <w:color w:val="000000"/>
          <w:szCs w:val="22"/>
          <w:lang w:val="sk-SK"/>
        </w:rPr>
        <w:t>o</w:t>
      </w:r>
      <w:r w:rsidRPr="004B1A50">
        <w:rPr>
          <w:rFonts w:eastAsia="TimesNewRoman"/>
          <w:color w:val="000000"/>
          <w:szCs w:val="22"/>
          <w:lang w:val="sk-SK"/>
        </w:rPr>
        <w:t xml:space="preserve"> a v stoji.</w:t>
      </w:r>
    </w:p>
    <w:p w14:paraId="3C556DEB"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3466AD49"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Perindopril znižuje periférnu vaskulárnu rezistenciu, čo vedie k </w:t>
      </w:r>
      <w:r w:rsidR="00444638" w:rsidRPr="004B1A50">
        <w:rPr>
          <w:rFonts w:eastAsia="TimesNewRoman"/>
          <w:color w:val="000000"/>
          <w:szCs w:val="22"/>
          <w:lang w:val="sk-SK"/>
        </w:rPr>
        <w:t xml:space="preserve">zníženiu </w:t>
      </w:r>
      <w:r w:rsidRPr="004B1A50">
        <w:rPr>
          <w:rFonts w:eastAsia="TimesNewRoman"/>
          <w:color w:val="000000"/>
          <w:szCs w:val="22"/>
          <w:lang w:val="sk-SK"/>
        </w:rPr>
        <w:t>tlaku krvi. Dôsled</w:t>
      </w:r>
      <w:r w:rsidR="00444638" w:rsidRPr="004B1A50">
        <w:rPr>
          <w:rFonts w:eastAsia="TimesNewRoman"/>
          <w:color w:val="000000"/>
          <w:szCs w:val="22"/>
          <w:lang w:val="sk-SK"/>
        </w:rPr>
        <w:t>kom toho</w:t>
      </w:r>
      <w:r w:rsidRPr="004B1A50">
        <w:rPr>
          <w:rFonts w:eastAsia="TimesNewRoman"/>
          <w:color w:val="000000"/>
          <w:szCs w:val="22"/>
          <w:lang w:val="sk-SK"/>
        </w:rPr>
        <w:t xml:space="preserve"> </w:t>
      </w:r>
      <w:r w:rsidR="00444638" w:rsidRPr="004B1A50">
        <w:rPr>
          <w:rFonts w:eastAsia="TimesNewRoman"/>
          <w:color w:val="000000"/>
          <w:szCs w:val="22"/>
          <w:lang w:val="sk-SK"/>
        </w:rPr>
        <w:t>sa zvyšuje</w:t>
      </w:r>
      <w:r w:rsidR="001B708B" w:rsidRPr="004B1A50">
        <w:rPr>
          <w:rFonts w:eastAsia="TimesNewRoman"/>
          <w:color w:val="000000"/>
          <w:szCs w:val="22"/>
          <w:lang w:val="sk-SK"/>
        </w:rPr>
        <w:t xml:space="preserve"> </w:t>
      </w:r>
      <w:r w:rsidRPr="004B1A50">
        <w:rPr>
          <w:rFonts w:eastAsia="TimesNewRoman"/>
          <w:color w:val="000000"/>
          <w:szCs w:val="22"/>
          <w:lang w:val="sk-SK"/>
        </w:rPr>
        <w:t>periférn</w:t>
      </w:r>
      <w:r w:rsidR="00444638" w:rsidRPr="004B1A50">
        <w:rPr>
          <w:rFonts w:eastAsia="TimesNewRoman"/>
          <w:color w:val="000000"/>
          <w:szCs w:val="22"/>
          <w:lang w:val="sk-SK"/>
        </w:rPr>
        <w:t>y</w:t>
      </w:r>
      <w:r w:rsidRPr="004B1A50">
        <w:rPr>
          <w:rFonts w:eastAsia="TimesNewRoman"/>
          <w:color w:val="000000"/>
          <w:szCs w:val="22"/>
          <w:lang w:val="sk-SK"/>
        </w:rPr>
        <w:t xml:space="preserve"> prietok krvi bez </w:t>
      </w:r>
      <w:r w:rsidR="00444638" w:rsidRPr="004B1A50">
        <w:rPr>
          <w:rFonts w:eastAsia="TimesNewRoman"/>
          <w:color w:val="000000"/>
          <w:szCs w:val="22"/>
          <w:lang w:val="sk-SK"/>
        </w:rPr>
        <w:t>ovplyvnenia srdcovej frekvencie.</w:t>
      </w:r>
    </w:p>
    <w:p w14:paraId="621285FC"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7BAB04C9" w14:textId="77777777" w:rsidR="00444638" w:rsidRPr="004B1A50" w:rsidRDefault="00444638" w:rsidP="00853064">
      <w:pPr>
        <w:spacing w:line="240" w:lineRule="auto"/>
        <w:rPr>
          <w:lang w:val="sk-SK" w:eastAsia="sk-SK"/>
        </w:rPr>
      </w:pPr>
      <w:r w:rsidRPr="004B1A50">
        <w:rPr>
          <w:lang w:val="sk-SK" w:eastAsia="sk-SK"/>
        </w:rPr>
        <w:t xml:space="preserve">Spravidla sa zvyšuje prietok krvi obličkami, kým rýchlosť glomerulárnej filtrácie (GFR) sa zvyčajne nemení. </w:t>
      </w:r>
    </w:p>
    <w:p w14:paraId="6AE396F7" w14:textId="77777777" w:rsidR="001B708B" w:rsidRPr="004B1A50" w:rsidRDefault="001B708B" w:rsidP="00853064">
      <w:pPr>
        <w:autoSpaceDE w:val="0"/>
        <w:autoSpaceDN w:val="0"/>
        <w:adjustRightInd w:val="0"/>
        <w:spacing w:line="240" w:lineRule="auto"/>
        <w:rPr>
          <w:rFonts w:eastAsia="TimesNewRoman"/>
          <w:color w:val="000000"/>
          <w:szCs w:val="22"/>
          <w:lang w:val="sk-SK"/>
        </w:rPr>
      </w:pPr>
    </w:p>
    <w:p w14:paraId="38237CFD" w14:textId="77777777" w:rsidR="00341ED6" w:rsidRPr="004B1A50" w:rsidRDefault="00160CFC" w:rsidP="00341ED6">
      <w:pPr>
        <w:spacing w:line="240" w:lineRule="auto"/>
        <w:rPr>
          <w:lang w:val="sk-SK" w:eastAsia="sk-SK"/>
        </w:rPr>
      </w:pPr>
      <w:r w:rsidRPr="004B1A50">
        <w:rPr>
          <w:rFonts w:eastAsia="TimesNewRoman"/>
          <w:color w:val="000000"/>
          <w:szCs w:val="22"/>
          <w:lang w:val="sk-SK"/>
        </w:rPr>
        <w:t xml:space="preserve">Antihypertenzný účinok je maximálny medzi 4 a 6 hodinou po podaní jednotlivej dávky a </w:t>
      </w:r>
      <w:r w:rsidR="00444638" w:rsidRPr="004B1A50">
        <w:rPr>
          <w:rFonts w:eastAsia="TimesNewRoman"/>
          <w:color w:val="000000"/>
          <w:szCs w:val="22"/>
          <w:lang w:val="sk-SK"/>
        </w:rPr>
        <w:t>pretrváva najmenej</w:t>
      </w:r>
      <w:r w:rsidRPr="004B1A50">
        <w:rPr>
          <w:rFonts w:eastAsia="TimesNewRoman"/>
          <w:color w:val="000000"/>
          <w:szCs w:val="22"/>
          <w:lang w:val="sk-SK"/>
        </w:rPr>
        <w:t xml:space="preserve"> 24 hodín: </w:t>
      </w:r>
      <w:r w:rsidR="00444638" w:rsidRPr="004B1A50">
        <w:rPr>
          <w:lang w:val="sk-SK" w:eastAsia="sk-SK"/>
        </w:rPr>
        <w:t>účinok v čase minimálnej účinnosti predstavuje približne 87–100 % účinku v čase maximálnej účinnosti.</w:t>
      </w:r>
    </w:p>
    <w:p w14:paraId="447EC81B" w14:textId="77777777" w:rsidR="00341ED6" w:rsidRPr="004B1A50" w:rsidRDefault="00341ED6" w:rsidP="00341ED6">
      <w:pPr>
        <w:spacing w:line="240" w:lineRule="auto"/>
        <w:rPr>
          <w:lang w:val="sk-SK" w:eastAsia="sk-SK"/>
        </w:rPr>
      </w:pPr>
    </w:p>
    <w:p w14:paraId="4ECF979D" w14:textId="77777777" w:rsidR="00444638" w:rsidRPr="004B1A50" w:rsidRDefault="00444638" w:rsidP="00341ED6">
      <w:pPr>
        <w:spacing w:line="240" w:lineRule="auto"/>
        <w:rPr>
          <w:lang w:val="sk-SK" w:eastAsia="sk-SK"/>
        </w:rPr>
      </w:pPr>
      <w:r w:rsidRPr="004B1A50">
        <w:rPr>
          <w:lang w:val="sk-SK" w:eastAsia="sk-SK"/>
        </w:rPr>
        <w:t>K zníženiu tlaku krvi dochádza rýchlo. U reagujúcich pacientov sa normalizácia tlaku dosiahne v priebehu jedného mesiaca a pretrváva bez výskytu tachyfylaxie.</w:t>
      </w:r>
    </w:p>
    <w:p w14:paraId="0CF839C8" w14:textId="77777777" w:rsidR="00341ED6" w:rsidRPr="004B1A50" w:rsidRDefault="00341ED6" w:rsidP="00341ED6">
      <w:pPr>
        <w:spacing w:line="240" w:lineRule="auto"/>
        <w:rPr>
          <w:lang w:val="sk-SK" w:eastAsia="sk-SK"/>
        </w:rPr>
      </w:pPr>
    </w:p>
    <w:p w14:paraId="29CD55AB" w14:textId="77777777" w:rsidR="00444638" w:rsidRPr="004B1A50" w:rsidRDefault="00444638" w:rsidP="00341ED6">
      <w:pPr>
        <w:spacing w:line="240" w:lineRule="auto"/>
        <w:rPr>
          <w:lang w:val="sk-SK" w:eastAsia="sk-SK"/>
        </w:rPr>
      </w:pPr>
      <w:r w:rsidRPr="004B1A50">
        <w:rPr>
          <w:lang w:val="sk-SK" w:eastAsia="sk-SK"/>
        </w:rPr>
        <w:t>Ukončenie liečby nevedie k </w:t>
      </w:r>
      <w:r w:rsidRPr="004B1A50">
        <w:rPr>
          <w:i/>
          <w:iCs/>
          <w:lang w:val="sk-SK" w:eastAsia="sk-SK"/>
        </w:rPr>
        <w:t>rebound</w:t>
      </w:r>
      <w:r w:rsidRPr="004B1A50">
        <w:rPr>
          <w:lang w:val="sk-SK" w:eastAsia="sk-SK"/>
        </w:rPr>
        <w:t xml:space="preserve"> efektu.</w:t>
      </w:r>
    </w:p>
    <w:p w14:paraId="455C5ACF" w14:textId="77777777" w:rsidR="00341ED6" w:rsidRPr="004B1A50" w:rsidRDefault="00341ED6" w:rsidP="00341ED6">
      <w:pPr>
        <w:spacing w:line="240" w:lineRule="auto"/>
        <w:rPr>
          <w:lang w:val="sk-SK" w:eastAsia="sk-SK"/>
        </w:rPr>
      </w:pPr>
    </w:p>
    <w:p w14:paraId="0314A14D" w14:textId="77777777" w:rsidR="00444638" w:rsidRPr="004B1A50" w:rsidRDefault="00444638" w:rsidP="00341ED6">
      <w:pPr>
        <w:spacing w:line="240" w:lineRule="auto"/>
        <w:rPr>
          <w:lang w:val="sk-SK" w:eastAsia="sk-SK"/>
        </w:rPr>
      </w:pPr>
      <w:r w:rsidRPr="004B1A50">
        <w:rPr>
          <w:lang w:val="sk-SK" w:eastAsia="sk-SK"/>
        </w:rPr>
        <w:t>Perindopril redukuje hypertrofiu ľavej komory.</w:t>
      </w:r>
    </w:p>
    <w:p w14:paraId="497CC23E" w14:textId="77777777" w:rsidR="00341ED6" w:rsidRPr="004B1A50" w:rsidRDefault="00341ED6" w:rsidP="00341ED6">
      <w:pPr>
        <w:spacing w:line="240" w:lineRule="auto"/>
        <w:rPr>
          <w:lang w:val="sk-SK" w:eastAsia="sk-SK"/>
        </w:rPr>
      </w:pPr>
    </w:p>
    <w:p w14:paraId="52349200" w14:textId="77777777" w:rsidR="00444638" w:rsidRPr="004B1A50" w:rsidRDefault="00444638" w:rsidP="00341ED6">
      <w:pPr>
        <w:spacing w:line="240" w:lineRule="auto"/>
        <w:rPr>
          <w:lang w:val="sk-SK" w:eastAsia="sk-SK"/>
        </w:rPr>
      </w:pPr>
      <w:r w:rsidRPr="004B1A50">
        <w:rPr>
          <w:lang w:val="sk-SK" w:eastAsia="sk-SK"/>
        </w:rPr>
        <w:t>U ľudí boli potvrdené vazodilatačné vlastnosti perindoprilu. Perindopril zlepšuje elasticitu veľkých artérií a znižuje pomer média: lúmen malých artérií.</w:t>
      </w:r>
    </w:p>
    <w:p w14:paraId="45D1F3CC" w14:textId="77777777" w:rsidR="00160CFC" w:rsidRPr="004B1A50" w:rsidRDefault="00160CFC" w:rsidP="00341ED6">
      <w:pPr>
        <w:autoSpaceDE w:val="0"/>
        <w:autoSpaceDN w:val="0"/>
        <w:adjustRightInd w:val="0"/>
        <w:spacing w:line="240" w:lineRule="auto"/>
        <w:rPr>
          <w:rFonts w:eastAsia="TimesNewRoman"/>
          <w:color w:val="000000"/>
          <w:szCs w:val="22"/>
          <w:lang w:val="sk-SK"/>
        </w:rPr>
      </w:pPr>
    </w:p>
    <w:p w14:paraId="2282C53C" w14:textId="77777777" w:rsidR="00452AF9" w:rsidRPr="004B1A50" w:rsidRDefault="00444638" w:rsidP="00341ED6">
      <w:pPr>
        <w:autoSpaceDE w:val="0"/>
        <w:autoSpaceDN w:val="0"/>
        <w:adjustRightInd w:val="0"/>
        <w:spacing w:line="240" w:lineRule="auto"/>
        <w:rPr>
          <w:rFonts w:eastAsia="TimesNewRoman"/>
          <w:i/>
          <w:color w:val="000000"/>
          <w:szCs w:val="22"/>
          <w:lang w:val="sk-SK"/>
        </w:rPr>
      </w:pPr>
      <w:r w:rsidRPr="004B1A50">
        <w:rPr>
          <w:i/>
          <w:lang w:val="sk-SK" w:eastAsia="sk-SK"/>
        </w:rPr>
        <w:t>Pacienti so stabilnou koronárnou chorobou srdca</w:t>
      </w:r>
      <w:r w:rsidR="00452AF9" w:rsidRPr="004B1A50">
        <w:rPr>
          <w:i/>
          <w:lang w:val="sk-SK" w:eastAsia="sk-SK"/>
        </w:rPr>
        <w:t>:</w:t>
      </w:r>
    </w:p>
    <w:p w14:paraId="0DD54666" w14:textId="77777777" w:rsidR="00160CFC" w:rsidRPr="004B1A50" w:rsidRDefault="00452AF9" w:rsidP="00341ED6">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Skúšanie</w:t>
      </w:r>
      <w:r w:rsidR="00160CFC" w:rsidRPr="004B1A50">
        <w:rPr>
          <w:rFonts w:eastAsia="TimesNewRoman"/>
          <w:color w:val="000000"/>
          <w:szCs w:val="22"/>
          <w:lang w:val="sk-SK"/>
        </w:rPr>
        <w:t xml:space="preserve"> EUROPA </w:t>
      </w:r>
      <w:r w:rsidRPr="004B1A50">
        <w:rPr>
          <w:rFonts w:eastAsia="TimesNewRoman"/>
          <w:color w:val="000000"/>
          <w:szCs w:val="22"/>
          <w:lang w:val="sk-SK"/>
        </w:rPr>
        <w:t xml:space="preserve">bolo </w:t>
      </w:r>
      <w:r w:rsidR="00160CFC" w:rsidRPr="004B1A50">
        <w:rPr>
          <w:rFonts w:eastAsia="TimesNewRoman"/>
          <w:color w:val="000000"/>
          <w:szCs w:val="22"/>
          <w:lang w:val="sk-SK"/>
        </w:rPr>
        <w:t>multicentráln</w:t>
      </w:r>
      <w:r w:rsidRPr="004B1A50">
        <w:rPr>
          <w:rFonts w:eastAsia="TimesNewRoman"/>
          <w:color w:val="000000"/>
          <w:szCs w:val="22"/>
          <w:lang w:val="sk-SK"/>
        </w:rPr>
        <w:t>e</w:t>
      </w:r>
      <w:r w:rsidR="00160CFC" w:rsidRPr="004B1A50">
        <w:rPr>
          <w:rFonts w:eastAsia="TimesNewRoman"/>
          <w:color w:val="000000"/>
          <w:szCs w:val="22"/>
          <w:lang w:val="sk-SK"/>
        </w:rPr>
        <w:t>, medzinárodn</w:t>
      </w:r>
      <w:r w:rsidRPr="004B1A50">
        <w:rPr>
          <w:rFonts w:eastAsia="TimesNewRoman"/>
          <w:color w:val="000000"/>
          <w:szCs w:val="22"/>
          <w:lang w:val="sk-SK"/>
        </w:rPr>
        <w:t>é</w:t>
      </w:r>
      <w:r w:rsidR="00160CFC" w:rsidRPr="004B1A50">
        <w:rPr>
          <w:rFonts w:eastAsia="TimesNewRoman"/>
          <w:color w:val="000000"/>
          <w:szCs w:val="22"/>
          <w:lang w:val="sk-SK"/>
        </w:rPr>
        <w:t>, randomizovan</w:t>
      </w:r>
      <w:r w:rsidRPr="004B1A50">
        <w:rPr>
          <w:rFonts w:eastAsia="TimesNewRoman"/>
          <w:color w:val="000000"/>
          <w:szCs w:val="22"/>
          <w:lang w:val="sk-SK"/>
        </w:rPr>
        <w:t>é</w:t>
      </w:r>
      <w:r w:rsidR="00160CFC" w:rsidRPr="004B1A50">
        <w:rPr>
          <w:rFonts w:eastAsia="TimesNewRoman"/>
          <w:color w:val="000000"/>
          <w:szCs w:val="22"/>
          <w:lang w:val="sk-SK"/>
        </w:rPr>
        <w:t>, dvojito zaslepen</w:t>
      </w:r>
      <w:r w:rsidRPr="004B1A50">
        <w:rPr>
          <w:rFonts w:eastAsia="TimesNewRoman"/>
          <w:color w:val="000000"/>
          <w:szCs w:val="22"/>
          <w:lang w:val="sk-SK"/>
        </w:rPr>
        <w:t>é</w:t>
      </w:r>
      <w:r w:rsidR="00160CFC" w:rsidRPr="004B1A50">
        <w:rPr>
          <w:rFonts w:eastAsia="TimesNewRoman"/>
          <w:color w:val="000000"/>
          <w:szCs w:val="22"/>
          <w:lang w:val="sk-SK"/>
        </w:rPr>
        <w:t>, placebom kontrolovan</w:t>
      </w:r>
      <w:r w:rsidRPr="004B1A50">
        <w:rPr>
          <w:rFonts w:eastAsia="TimesNewRoman"/>
          <w:color w:val="000000"/>
          <w:szCs w:val="22"/>
          <w:lang w:val="sk-SK"/>
        </w:rPr>
        <w:t>é</w:t>
      </w:r>
      <w:r w:rsidR="00160CFC" w:rsidRPr="004B1A50">
        <w:rPr>
          <w:rFonts w:eastAsia="TimesNewRoman"/>
          <w:color w:val="000000"/>
          <w:szCs w:val="22"/>
          <w:lang w:val="sk-SK"/>
        </w:rPr>
        <w:t xml:space="preserve"> klinick</w:t>
      </w:r>
      <w:r w:rsidRPr="004B1A50">
        <w:rPr>
          <w:rFonts w:eastAsia="TimesNewRoman"/>
          <w:color w:val="000000"/>
          <w:szCs w:val="22"/>
          <w:lang w:val="sk-SK"/>
        </w:rPr>
        <w:t>é</w:t>
      </w:r>
      <w:r w:rsidR="00160CFC" w:rsidRPr="004B1A50">
        <w:rPr>
          <w:rFonts w:eastAsia="TimesNewRoman"/>
          <w:color w:val="000000"/>
          <w:szCs w:val="22"/>
          <w:lang w:val="sk-SK"/>
        </w:rPr>
        <w:t xml:space="preserve"> </w:t>
      </w:r>
      <w:r w:rsidRPr="004B1A50">
        <w:rPr>
          <w:rFonts w:eastAsia="TimesNewRoman"/>
          <w:color w:val="000000"/>
          <w:szCs w:val="22"/>
          <w:lang w:val="sk-SK"/>
        </w:rPr>
        <w:t>skúšanie</w:t>
      </w:r>
      <w:r w:rsidR="001B708B" w:rsidRPr="004B1A50">
        <w:rPr>
          <w:rFonts w:eastAsia="TimesNewRoman"/>
          <w:color w:val="000000"/>
          <w:szCs w:val="22"/>
          <w:lang w:val="sk-SK"/>
        </w:rPr>
        <w:t xml:space="preserve"> </w:t>
      </w:r>
      <w:r w:rsidR="00160CFC" w:rsidRPr="004B1A50">
        <w:rPr>
          <w:rFonts w:eastAsia="TimesNewRoman"/>
          <w:color w:val="000000"/>
          <w:szCs w:val="22"/>
          <w:lang w:val="sk-SK"/>
        </w:rPr>
        <w:t>trvajúc</w:t>
      </w:r>
      <w:r w:rsidRPr="004B1A50">
        <w:rPr>
          <w:rFonts w:eastAsia="TimesNewRoman"/>
          <w:color w:val="000000"/>
          <w:szCs w:val="22"/>
          <w:lang w:val="sk-SK"/>
        </w:rPr>
        <w:t>e</w:t>
      </w:r>
      <w:r w:rsidR="00160CFC" w:rsidRPr="004B1A50">
        <w:rPr>
          <w:rFonts w:eastAsia="TimesNewRoman"/>
          <w:color w:val="000000"/>
          <w:szCs w:val="22"/>
          <w:lang w:val="sk-SK"/>
        </w:rPr>
        <w:t xml:space="preserve"> 4 roky.</w:t>
      </w:r>
    </w:p>
    <w:p w14:paraId="49FA61FD" w14:textId="77777777" w:rsidR="00341ED6" w:rsidRPr="004B1A50" w:rsidRDefault="00341ED6" w:rsidP="00341ED6">
      <w:pPr>
        <w:autoSpaceDE w:val="0"/>
        <w:autoSpaceDN w:val="0"/>
        <w:adjustRightInd w:val="0"/>
        <w:spacing w:line="240" w:lineRule="auto"/>
        <w:rPr>
          <w:rFonts w:eastAsia="TimesNewRoman"/>
          <w:color w:val="000000"/>
          <w:szCs w:val="22"/>
          <w:lang w:val="sk-SK"/>
        </w:rPr>
      </w:pPr>
    </w:p>
    <w:p w14:paraId="258E03D3" w14:textId="2E806ADD" w:rsidR="00160CFC" w:rsidRPr="004B1A50" w:rsidRDefault="00160CFC" w:rsidP="00341ED6">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Dvanásťtisíc dvesto osemnásť (12 218) pacientov vo veku nad 18 rokov bolo randomizovaných</w:t>
      </w:r>
      <w:r w:rsidR="00187DD5" w:rsidRPr="004B1A50">
        <w:rPr>
          <w:rFonts w:eastAsia="TimesNewRoman"/>
          <w:color w:val="000000"/>
          <w:szCs w:val="22"/>
          <w:lang w:val="sk-SK"/>
        </w:rPr>
        <w:t xml:space="preserve"> na</w:t>
      </w:r>
      <w:r w:rsidRPr="004B1A50">
        <w:rPr>
          <w:rFonts w:eastAsia="TimesNewRoman"/>
          <w:color w:val="000000"/>
          <w:szCs w:val="22"/>
          <w:lang w:val="sk-SK"/>
        </w:rPr>
        <w:t xml:space="preserve"> </w:t>
      </w:r>
      <w:r w:rsidR="00187DD5" w:rsidRPr="004B1A50">
        <w:rPr>
          <w:rFonts w:eastAsia="TimesNewRoman"/>
          <w:color w:val="000000"/>
          <w:szCs w:val="22"/>
          <w:lang w:val="sk-SK"/>
        </w:rPr>
        <w:t>8</w:t>
      </w:r>
      <w:r w:rsidR="00A045BA">
        <w:rPr>
          <w:rFonts w:eastAsia="TimesNewRoman"/>
          <w:color w:val="000000"/>
          <w:szCs w:val="22"/>
          <w:lang w:val="sk-SK"/>
        </w:rPr>
        <w:t> </w:t>
      </w:r>
      <w:r w:rsidR="00187DD5" w:rsidRPr="004B1A50">
        <w:rPr>
          <w:rFonts w:eastAsia="TimesNewRoman"/>
          <w:color w:val="000000"/>
          <w:szCs w:val="22"/>
          <w:lang w:val="sk-SK"/>
        </w:rPr>
        <w:t>mg</w:t>
      </w:r>
      <w:r w:rsidRPr="004B1A50">
        <w:rPr>
          <w:rFonts w:eastAsia="TimesNewRoman"/>
          <w:color w:val="000000"/>
          <w:szCs w:val="22"/>
          <w:lang w:val="sk-SK"/>
        </w:rPr>
        <w:t xml:space="preserve"> </w:t>
      </w:r>
      <w:r w:rsidRPr="004B1A50">
        <w:rPr>
          <w:rFonts w:eastAsia="TimesNewRoman"/>
          <w:i/>
          <w:color w:val="000000"/>
          <w:szCs w:val="22"/>
          <w:lang w:val="sk-SK"/>
        </w:rPr>
        <w:t>terc</w:t>
      </w:r>
      <w:r w:rsidRPr="004B1A50">
        <w:rPr>
          <w:rFonts w:eastAsia="TimesNewRoman"/>
          <w:color w:val="000000"/>
          <w:szCs w:val="22"/>
          <w:lang w:val="sk-SK"/>
        </w:rPr>
        <w:t>-butylamín</w:t>
      </w:r>
      <w:r w:rsidR="00187DD5" w:rsidRPr="004B1A50">
        <w:rPr>
          <w:rFonts w:eastAsia="TimesNewRoman"/>
          <w:color w:val="000000"/>
          <w:szCs w:val="22"/>
          <w:lang w:val="sk-SK"/>
        </w:rPr>
        <w:t>ovej soli perindoprilu</w:t>
      </w:r>
      <w:r w:rsidRPr="004B1A50">
        <w:rPr>
          <w:rFonts w:eastAsia="TimesNewRoman"/>
          <w:color w:val="000000"/>
          <w:szCs w:val="22"/>
          <w:lang w:val="sk-SK"/>
        </w:rPr>
        <w:t xml:space="preserve"> (čo zodpovedá 10 mg perindopril arginínu) (n = 6 110) alebo placebo (n = 6 108).</w:t>
      </w:r>
    </w:p>
    <w:p w14:paraId="5435721E" w14:textId="77777777" w:rsidR="00341ED6" w:rsidRPr="004B1A50" w:rsidRDefault="00341ED6" w:rsidP="00341ED6">
      <w:pPr>
        <w:autoSpaceDE w:val="0"/>
        <w:autoSpaceDN w:val="0"/>
        <w:adjustRightInd w:val="0"/>
        <w:spacing w:line="240" w:lineRule="auto"/>
        <w:rPr>
          <w:rFonts w:eastAsia="TimesNewRoman"/>
          <w:color w:val="000000"/>
          <w:szCs w:val="22"/>
          <w:lang w:val="sk-SK"/>
        </w:rPr>
      </w:pPr>
    </w:p>
    <w:p w14:paraId="2167D925" w14:textId="77777777" w:rsidR="00187DD5" w:rsidRPr="004B1A50" w:rsidRDefault="00187DD5" w:rsidP="00853064">
      <w:pPr>
        <w:spacing w:line="240" w:lineRule="auto"/>
        <w:rPr>
          <w:lang w:val="sk-SK" w:eastAsia="sk-SK"/>
        </w:rPr>
      </w:pPr>
      <w:r w:rsidRPr="004B1A50">
        <w:rPr>
          <w:lang w:val="sk-SK" w:eastAsia="sk-SK"/>
        </w:rPr>
        <w:t>Populácia v </w:t>
      </w:r>
      <w:r w:rsidR="00452AF9" w:rsidRPr="004B1A50">
        <w:rPr>
          <w:lang w:val="sk-SK" w:eastAsia="sk-SK"/>
        </w:rPr>
        <w:t>skúšaní</w:t>
      </w:r>
      <w:r w:rsidRPr="004B1A50">
        <w:rPr>
          <w:lang w:val="sk-SK" w:eastAsia="sk-SK"/>
        </w:rPr>
        <w:t xml:space="preserve"> mala potvrdenú koronárnu chorobu srdca bez klinických známok srdcového zlyhania. Celkovo 90 % pacientov prekonalo v minulosti infarkt myokardu a/alebo boli po koronárnej revaskularizácii. Väčšine pacientov bol skúšaný produkt pridaný ku konvenčnej liečbe zahŕňajúcej antiagregačné látky, hypolipidemiká a betablokátory.</w:t>
      </w:r>
    </w:p>
    <w:p w14:paraId="280217AA" w14:textId="77777777" w:rsidR="00341ED6" w:rsidRPr="004B1A50" w:rsidRDefault="00341ED6" w:rsidP="00853064">
      <w:pPr>
        <w:spacing w:line="240" w:lineRule="auto"/>
        <w:rPr>
          <w:lang w:val="sk-SK" w:eastAsia="sk-SK"/>
        </w:rPr>
      </w:pPr>
    </w:p>
    <w:p w14:paraId="7352A993" w14:textId="77777777" w:rsidR="0078138B" w:rsidRPr="004B1A50" w:rsidRDefault="0078138B" w:rsidP="00853064">
      <w:pPr>
        <w:spacing w:line="240" w:lineRule="auto"/>
        <w:rPr>
          <w:lang w:val="sk-SK" w:eastAsia="sk-SK"/>
        </w:rPr>
      </w:pPr>
      <w:r w:rsidRPr="004B1A50">
        <w:rPr>
          <w:lang w:val="sk-SK" w:eastAsia="sk-SK"/>
        </w:rPr>
        <w:t xml:space="preserve">Hlavné hodnotiace kritérium účinnosti bol kompozit </w:t>
      </w:r>
      <w:r w:rsidRPr="004B1A50">
        <w:rPr>
          <w:lang w:val="sk-SK"/>
        </w:rPr>
        <w:t>kardiovaskulárnej mortality, nefatálneho infarktu myokardu a/alebo zastavenia srdca s úspešnou resuscitáciou.</w:t>
      </w:r>
      <w:r w:rsidR="00160CFC" w:rsidRPr="004B1A50">
        <w:rPr>
          <w:rFonts w:eastAsia="TimesNewRoman"/>
          <w:color w:val="000000"/>
          <w:szCs w:val="22"/>
          <w:lang w:val="sk-SK"/>
        </w:rPr>
        <w:t xml:space="preserve"> </w:t>
      </w:r>
      <w:r w:rsidRPr="004B1A50">
        <w:rPr>
          <w:lang w:val="sk-SK"/>
        </w:rPr>
        <w:t xml:space="preserve">Liečba 8 mg </w:t>
      </w:r>
      <w:r w:rsidRPr="004B1A50">
        <w:rPr>
          <w:i/>
          <w:lang w:val="sk-SK"/>
        </w:rPr>
        <w:t>terc</w:t>
      </w:r>
      <w:r w:rsidRPr="004B1A50">
        <w:rPr>
          <w:lang w:val="sk-SK"/>
        </w:rPr>
        <w:t>-butylamínovej soli perindoprilu (</w:t>
      </w:r>
      <w:r w:rsidRPr="004B1A50">
        <w:rPr>
          <w:lang w:val="sk-SK" w:eastAsia="sk-SK"/>
        </w:rPr>
        <w:t>ekvivalentných s </w:t>
      </w:r>
      <w:r w:rsidRPr="004B1A50">
        <w:rPr>
          <w:lang w:val="sk-SK"/>
        </w:rPr>
        <w:t>10 </w:t>
      </w:r>
      <w:r w:rsidRPr="004B1A50">
        <w:rPr>
          <w:lang w:val="sk-SK" w:eastAsia="sk-SK"/>
        </w:rPr>
        <w:t>mg perindopril</w:t>
      </w:r>
      <w:r w:rsidR="00A76926" w:rsidRPr="004B1A50">
        <w:rPr>
          <w:lang w:val="sk-SK" w:eastAsia="sk-SK"/>
        </w:rPr>
        <w:t>u</w:t>
      </w:r>
      <w:r w:rsidRPr="004B1A50">
        <w:rPr>
          <w:lang w:val="sk-SK" w:eastAsia="sk-SK"/>
        </w:rPr>
        <w:t xml:space="preserve"> arginínu) raz denne viedla k signifikantnému absolútnemu zníženiu primárneho cieľa o 1,9 % (zníženie relatívneho rizika o 20 %, 95 % CI [9,4; 28,6] – p &lt; 0,001).</w:t>
      </w:r>
    </w:p>
    <w:p w14:paraId="45405DEB" w14:textId="77777777" w:rsidR="00341ED6" w:rsidRPr="004B1A50" w:rsidRDefault="00341ED6" w:rsidP="00853064">
      <w:pPr>
        <w:spacing w:line="240" w:lineRule="auto"/>
        <w:rPr>
          <w:lang w:val="sk-SK" w:eastAsia="sk-SK"/>
        </w:rPr>
      </w:pPr>
    </w:p>
    <w:p w14:paraId="515FE167" w14:textId="77777777" w:rsidR="0078138B" w:rsidRPr="004B1A50" w:rsidRDefault="0078138B" w:rsidP="00853064">
      <w:pPr>
        <w:spacing w:line="240" w:lineRule="auto"/>
        <w:rPr>
          <w:lang w:val="sk-SK" w:eastAsia="sk-SK"/>
        </w:rPr>
      </w:pPr>
      <w:r w:rsidRPr="004B1A50">
        <w:rPr>
          <w:lang w:val="sk-SK" w:eastAsia="sk-SK"/>
        </w:rPr>
        <w:t>U pacientov s infarktom myokardu a/alebo revaskularizáciou v anamnéze bolo v porovnaní s placebom pozorované absolútne zníženie primárneho cieľa o 2,2 %, zodpovedajúce zníženiu relatívneho rizika (RRR) o 22,4 % (95 % CI [12,0; 31,6] – p &lt; 0,001).</w:t>
      </w:r>
    </w:p>
    <w:p w14:paraId="66570EDF"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34E274C7" w14:textId="0F905F14" w:rsidR="00341ED6" w:rsidRPr="004B1A50" w:rsidRDefault="00341ED6" w:rsidP="00341ED6">
      <w:pPr>
        <w:autoSpaceDE w:val="0"/>
        <w:autoSpaceDN w:val="0"/>
        <w:adjustRightInd w:val="0"/>
        <w:spacing w:line="240" w:lineRule="auto"/>
        <w:rPr>
          <w:rFonts w:eastAsia="TimesNewRoman"/>
          <w:color w:val="000000"/>
          <w:szCs w:val="22"/>
          <w:u w:val="single"/>
          <w:lang w:val="sk-SK"/>
        </w:rPr>
      </w:pPr>
      <w:r w:rsidRPr="004B1A50">
        <w:rPr>
          <w:rFonts w:eastAsia="TimesNewRoman"/>
          <w:iCs/>
          <w:color w:val="000000"/>
          <w:szCs w:val="22"/>
          <w:u w:val="single"/>
          <w:lang w:val="sk-SK"/>
        </w:rPr>
        <w:t xml:space="preserve">Duálna </w:t>
      </w:r>
      <w:r w:rsidR="00A045BA">
        <w:rPr>
          <w:rFonts w:eastAsia="TimesNewRoman"/>
          <w:iCs/>
          <w:color w:val="000000"/>
          <w:szCs w:val="22"/>
          <w:u w:val="single"/>
          <w:lang w:val="sk-SK"/>
        </w:rPr>
        <w:t>inhibícia</w:t>
      </w:r>
      <w:r w:rsidR="00A045BA" w:rsidRPr="004B1A50">
        <w:rPr>
          <w:rFonts w:eastAsia="TimesNewRoman"/>
          <w:iCs/>
          <w:color w:val="000000"/>
          <w:szCs w:val="22"/>
          <w:u w:val="single"/>
          <w:lang w:val="sk-SK"/>
        </w:rPr>
        <w:t xml:space="preserve"> </w:t>
      </w:r>
      <w:r w:rsidRPr="004B1A50">
        <w:rPr>
          <w:rFonts w:eastAsia="TimesNewRoman"/>
          <w:iCs/>
          <w:color w:val="000000"/>
          <w:szCs w:val="22"/>
          <w:u w:val="single"/>
          <w:lang w:val="sk-SK"/>
        </w:rPr>
        <w:t>systému renín-angiotenzín-aldosterón (RAAS), údaje z klinických skúšaní</w:t>
      </w:r>
    </w:p>
    <w:p w14:paraId="6EA6C21E" w14:textId="77777777" w:rsidR="00341ED6" w:rsidRPr="004B1A50" w:rsidRDefault="00341ED6" w:rsidP="00853064">
      <w:pPr>
        <w:autoSpaceDE w:val="0"/>
        <w:autoSpaceDN w:val="0"/>
        <w:adjustRightInd w:val="0"/>
        <w:spacing w:line="240" w:lineRule="auto"/>
        <w:rPr>
          <w:rFonts w:eastAsia="TimesNewRoman"/>
          <w:color w:val="000000"/>
          <w:szCs w:val="22"/>
          <w:lang w:val="sk-SK"/>
        </w:rPr>
      </w:pPr>
    </w:p>
    <w:p w14:paraId="0E71F236" w14:textId="77777777" w:rsidR="00160CFC" w:rsidRPr="004B1A50" w:rsidRDefault="00160CFC" w:rsidP="00853064">
      <w:pPr>
        <w:tabs>
          <w:tab w:val="clear" w:pos="567"/>
        </w:tabs>
        <w:autoSpaceDE w:val="0"/>
        <w:autoSpaceDN w:val="0"/>
        <w:adjustRightInd w:val="0"/>
        <w:spacing w:line="240" w:lineRule="auto"/>
        <w:rPr>
          <w:iCs/>
          <w:szCs w:val="22"/>
          <w:lang w:val="sk-SK"/>
        </w:rPr>
      </w:pPr>
      <w:r w:rsidRPr="004B1A50">
        <w:rPr>
          <w:iCs/>
          <w:szCs w:val="22"/>
          <w:lang w:val="sk-SK"/>
        </w:rPr>
        <w:t xml:space="preserve">V dvoch veľkých randomizovaných kontrolovaných </w:t>
      </w:r>
      <w:r w:rsidR="00452AF9" w:rsidRPr="004B1A50">
        <w:rPr>
          <w:iCs/>
          <w:szCs w:val="22"/>
          <w:lang w:val="sk-SK"/>
        </w:rPr>
        <w:t>skúšaniach</w:t>
      </w:r>
      <w:r w:rsidRPr="004B1A50">
        <w:rPr>
          <w:iCs/>
          <w:szCs w:val="22"/>
          <w:lang w:val="sk-SK"/>
        </w:rPr>
        <w:t xml:space="preserve"> (ONTARGET (ONgoing Telmisartan Alone and in combination</w:t>
      </w:r>
      <w:r w:rsidR="001B708B" w:rsidRPr="004B1A50">
        <w:rPr>
          <w:iCs/>
          <w:szCs w:val="22"/>
          <w:lang w:val="sk-SK"/>
        </w:rPr>
        <w:t xml:space="preserve"> </w:t>
      </w:r>
      <w:r w:rsidRPr="004B1A50">
        <w:rPr>
          <w:iCs/>
          <w:szCs w:val="22"/>
          <w:lang w:val="sk-SK"/>
        </w:rPr>
        <w:t>with Ramipril Global Endpoint Trial) a VA NEPHRON-D (The Veterans Affairs Nephropathy in</w:t>
      </w:r>
      <w:r w:rsidR="001B708B" w:rsidRPr="004B1A50">
        <w:rPr>
          <w:iCs/>
          <w:szCs w:val="22"/>
          <w:lang w:val="sk-SK"/>
        </w:rPr>
        <w:t xml:space="preserve"> </w:t>
      </w:r>
      <w:r w:rsidRPr="004B1A50">
        <w:rPr>
          <w:iCs/>
          <w:szCs w:val="22"/>
          <w:lang w:val="sk-SK"/>
        </w:rPr>
        <w:t>Diabetes)) sa skúmalo použitie kombinácie inhibítora ACE s blokátorom receptora angiotenzínu II</w:t>
      </w:r>
      <w:r w:rsidR="001B708B" w:rsidRPr="004B1A50">
        <w:rPr>
          <w:iCs/>
          <w:szCs w:val="22"/>
          <w:lang w:val="sk-SK"/>
        </w:rPr>
        <w:t>.</w:t>
      </w:r>
    </w:p>
    <w:p w14:paraId="4465B817" w14:textId="77777777" w:rsidR="00341ED6" w:rsidRPr="004B1A50" w:rsidRDefault="00341ED6" w:rsidP="00853064">
      <w:pPr>
        <w:tabs>
          <w:tab w:val="clear" w:pos="567"/>
        </w:tabs>
        <w:autoSpaceDE w:val="0"/>
        <w:autoSpaceDN w:val="0"/>
        <w:adjustRightInd w:val="0"/>
        <w:spacing w:line="240" w:lineRule="auto"/>
        <w:rPr>
          <w:iCs/>
          <w:szCs w:val="22"/>
          <w:lang w:val="sk-SK"/>
        </w:rPr>
      </w:pPr>
    </w:p>
    <w:p w14:paraId="0D542639" w14:textId="77777777" w:rsidR="003314AA" w:rsidRPr="004B1A50" w:rsidRDefault="003314AA" w:rsidP="00853064">
      <w:pPr>
        <w:pStyle w:val="Bezriadkovania"/>
        <w:rPr>
          <w:sz w:val="22"/>
          <w:szCs w:val="22"/>
        </w:rPr>
      </w:pPr>
      <w:r w:rsidRPr="004B1A50">
        <w:rPr>
          <w:sz w:val="22"/>
          <w:szCs w:val="22"/>
        </w:rPr>
        <w:t xml:space="preserve">Skúšanie ONTARGET sa vykonalo u pacientov s kardiovaskulárnym alebo cerebrovaskulárnym ochorením v anamnéze, alebo u pacientov s diabetom mellitus 2. typu, u ktorých sa preukázalo </w:t>
      </w:r>
      <w:r w:rsidRPr="004B1A50">
        <w:rPr>
          <w:sz w:val="22"/>
          <w:szCs w:val="22"/>
        </w:rPr>
        <w:lastRenderedPageBreak/>
        <w:t>poškodenie cieľových orgánov. Skúšanie VA NEPHRON-D sa vykonalo u pacientov s diabetom mellitus 2. typu a diabetickou nefropatiou.</w:t>
      </w:r>
    </w:p>
    <w:p w14:paraId="704B0057" w14:textId="77777777" w:rsidR="00341ED6" w:rsidRPr="004B1A50" w:rsidRDefault="00341ED6" w:rsidP="00853064">
      <w:pPr>
        <w:pStyle w:val="Bezriadkovania"/>
        <w:rPr>
          <w:sz w:val="22"/>
          <w:szCs w:val="22"/>
        </w:rPr>
      </w:pPr>
    </w:p>
    <w:p w14:paraId="08590D2F" w14:textId="77777777" w:rsidR="003314AA" w:rsidRPr="004B1A50" w:rsidRDefault="003314AA" w:rsidP="00853064">
      <w:pPr>
        <w:pStyle w:val="Bezriadkovania"/>
        <w:rPr>
          <w:sz w:val="22"/>
          <w:szCs w:val="22"/>
        </w:rPr>
      </w:pPr>
      <w:r w:rsidRPr="004B1A50">
        <w:rPr>
          <w:sz w:val="22"/>
          <w:szCs w:val="22"/>
        </w:rPr>
        <w:t>Tieto skúšania neukázali významný priaznivý účinok na renálne a/alebo kardiovaskulárne ukazovatele a mortalitu, zatiaľ čo v porovnaní s monoterapiou sa pozorovalo zvýšené riziko hyperkaliémie, akútneho poškodenia obličiek a/alebo hypotenzie.</w:t>
      </w:r>
    </w:p>
    <w:p w14:paraId="5B5B760D" w14:textId="77777777" w:rsidR="00341ED6" w:rsidRPr="004B1A50" w:rsidRDefault="00341ED6" w:rsidP="00853064">
      <w:pPr>
        <w:pStyle w:val="Bezriadkovania"/>
        <w:rPr>
          <w:sz w:val="22"/>
          <w:szCs w:val="22"/>
        </w:rPr>
      </w:pPr>
    </w:p>
    <w:p w14:paraId="5ECCB07B" w14:textId="77777777" w:rsidR="003314AA" w:rsidRPr="004B1A50" w:rsidRDefault="003314AA" w:rsidP="00853064">
      <w:pPr>
        <w:pStyle w:val="Bezriadkovania"/>
        <w:rPr>
          <w:sz w:val="22"/>
          <w:szCs w:val="22"/>
        </w:rPr>
      </w:pPr>
      <w:r w:rsidRPr="004B1A50">
        <w:rPr>
          <w:sz w:val="22"/>
          <w:szCs w:val="22"/>
        </w:rPr>
        <w:t>Vzhľadom na podobné farmakodynamické vlastnosti sú tieto výsledky relevantné aj pre ostatné inhibítory ACE a blokátory receptorov angiotenzínu II.</w:t>
      </w:r>
    </w:p>
    <w:p w14:paraId="6D9B3DC4" w14:textId="77777777" w:rsidR="00341ED6" w:rsidRPr="004B1A50" w:rsidRDefault="00341ED6" w:rsidP="00853064">
      <w:pPr>
        <w:pStyle w:val="Bezriadkovania"/>
        <w:rPr>
          <w:sz w:val="22"/>
          <w:szCs w:val="22"/>
        </w:rPr>
      </w:pPr>
    </w:p>
    <w:p w14:paraId="779D754C" w14:textId="77777777" w:rsidR="00160CFC" w:rsidRPr="004B1A50" w:rsidRDefault="00160CFC" w:rsidP="00853064">
      <w:pPr>
        <w:tabs>
          <w:tab w:val="clear" w:pos="567"/>
        </w:tabs>
        <w:autoSpaceDE w:val="0"/>
        <w:autoSpaceDN w:val="0"/>
        <w:adjustRightInd w:val="0"/>
        <w:spacing w:line="240" w:lineRule="auto"/>
        <w:rPr>
          <w:szCs w:val="22"/>
          <w:lang w:val="sk-SK"/>
        </w:rPr>
      </w:pPr>
      <w:r w:rsidRPr="004B1A50">
        <w:rPr>
          <w:szCs w:val="22"/>
          <w:lang w:val="sk-SK"/>
        </w:rPr>
        <w:t>Inhibítory ACE a blokátory receptorov angiotenzínu II sa preto nemajú používať súčasne</w:t>
      </w:r>
      <w:r w:rsidR="001B708B" w:rsidRPr="004B1A50">
        <w:rPr>
          <w:szCs w:val="22"/>
          <w:lang w:val="sk-SK"/>
        </w:rPr>
        <w:t xml:space="preserve"> </w:t>
      </w:r>
      <w:r w:rsidRPr="004B1A50">
        <w:rPr>
          <w:szCs w:val="22"/>
          <w:lang w:val="sk-SK"/>
        </w:rPr>
        <w:t>u pacientov s diabetickou nefropatiou.</w:t>
      </w:r>
    </w:p>
    <w:p w14:paraId="6EA9D06E" w14:textId="77777777" w:rsidR="00341ED6" w:rsidRPr="004B1A50" w:rsidRDefault="00341ED6" w:rsidP="00853064">
      <w:pPr>
        <w:tabs>
          <w:tab w:val="clear" w:pos="567"/>
        </w:tabs>
        <w:autoSpaceDE w:val="0"/>
        <w:autoSpaceDN w:val="0"/>
        <w:adjustRightInd w:val="0"/>
        <w:spacing w:line="240" w:lineRule="auto"/>
        <w:rPr>
          <w:iCs/>
          <w:szCs w:val="22"/>
          <w:lang w:val="sk-SK"/>
        </w:rPr>
      </w:pPr>
    </w:p>
    <w:p w14:paraId="03ADF47D" w14:textId="77777777" w:rsidR="003314AA" w:rsidRPr="004B1A50" w:rsidRDefault="003314AA" w:rsidP="00853064">
      <w:pPr>
        <w:pStyle w:val="Bezriadkovania"/>
        <w:rPr>
          <w:sz w:val="22"/>
          <w:szCs w:val="22"/>
        </w:rPr>
      </w:pPr>
      <w:r w:rsidRPr="004B1A50">
        <w:rPr>
          <w:sz w:val="22"/>
          <w:szCs w:val="22"/>
        </w:rPr>
        <w:t>Skúšanie ALTITUDE (Aliskiren Trial in Type 2 Diabetes Using Cardiovascular and Renal Disease Endpoints) bolo navrhnuté na otestovanie prínosu pridania aliskir</w:t>
      </w:r>
      <w:r w:rsidR="006E0877" w:rsidRPr="004B1A50">
        <w:rPr>
          <w:sz w:val="22"/>
          <w:szCs w:val="22"/>
        </w:rPr>
        <w:t>é</w:t>
      </w:r>
      <w:r w:rsidRPr="004B1A50">
        <w:rPr>
          <w:sz w:val="22"/>
          <w:szCs w:val="22"/>
        </w:rPr>
        <w:t>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w:t>
      </w:r>
      <w:r w:rsidR="006E0877" w:rsidRPr="004B1A50">
        <w:rPr>
          <w:sz w:val="22"/>
          <w:szCs w:val="22"/>
        </w:rPr>
        <w:t>é</w:t>
      </w:r>
      <w:r w:rsidRPr="004B1A50">
        <w:rPr>
          <w:sz w:val="22"/>
          <w:szCs w:val="22"/>
        </w:rPr>
        <w:t>nu bolo numericky viac úmrtí z kardiovaskulárnej príčiny a cievnych mozgových príhod ako v skupine placeba a v skupine aliskir</w:t>
      </w:r>
      <w:r w:rsidR="006E0877" w:rsidRPr="004B1A50">
        <w:rPr>
          <w:sz w:val="22"/>
          <w:szCs w:val="22"/>
        </w:rPr>
        <w:t>é</w:t>
      </w:r>
      <w:r w:rsidRPr="004B1A50">
        <w:rPr>
          <w:sz w:val="22"/>
          <w:szCs w:val="22"/>
        </w:rPr>
        <w:t>nu boli častejšie hlásené sledované nežiaduce udalosti a závažné nežiaduce udalosti (hyperkaliémia, hypotenzia a renálna dysfunkcia) ako v skupine placeba.</w:t>
      </w:r>
    </w:p>
    <w:p w14:paraId="438921DF" w14:textId="77777777" w:rsidR="003314AA" w:rsidRPr="004B1A50" w:rsidRDefault="003314AA" w:rsidP="00853064">
      <w:pPr>
        <w:tabs>
          <w:tab w:val="left" w:pos="0"/>
        </w:tabs>
        <w:spacing w:line="240" w:lineRule="auto"/>
        <w:rPr>
          <w:b/>
          <w:i/>
          <w:u w:val="single"/>
          <w:lang w:val="sk-SK" w:eastAsia="sk-SK"/>
        </w:rPr>
      </w:pPr>
    </w:p>
    <w:p w14:paraId="7EE54645"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
          <w:iCs/>
          <w:color w:val="000000"/>
          <w:szCs w:val="22"/>
          <w:u w:val="single"/>
          <w:lang w:val="sk-SK"/>
        </w:rPr>
        <w:t>Amlodipín</w:t>
      </w:r>
    </w:p>
    <w:p w14:paraId="3CC5B23D" w14:textId="77777777" w:rsidR="00160CFC" w:rsidRPr="004B1A50" w:rsidRDefault="00160CFC" w:rsidP="00853064">
      <w:pPr>
        <w:autoSpaceDE w:val="0"/>
        <w:autoSpaceDN w:val="0"/>
        <w:adjustRightInd w:val="0"/>
        <w:spacing w:line="240" w:lineRule="auto"/>
        <w:rPr>
          <w:rFonts w:eastAsia="TimesNewRoman"/>
          <w:color w:val="000000"/>
          <w:szCs w:val="22"/>
          <w:u w:val="single"/>
          <w:lang w:val="sk-SK"/>
        </w:rPr>
      </w:pPr>
    </w:p>
    <w:p w14:paraId="07539AAA"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Amlodipín je inhibítor vstupu kalciových iónov dihydropyridínovej skupiny (blokátor pomalého kanála alebo antagonista kalciových</w:t>
      </w:r>
      <w:r w:rsidR="001B708B" w:rsidRPr="004B1A50">
        <w:rPr>
          <w:rFonts w:eastAsia="TimesNewRoman"/>
          <w:color w:val="000000"/>
          <w:szCs w:val="22"/>
          <w:lang w:val="sk-SK"/>
        </w:rPr>
        <w:t xml:space="preserve"> </w:t>
      </w:r>
      <w:r w:rsidRPr="004B1A50">
        <w:rPr>
          <w:rFonts w:eastAsia="TimesNewRoman"/>
          <w:color w:val="000000"/>
          <w:szCs w:val="22"/>
          <w:lang w:val="sk-SK"/>
        </w:rPr>
        <w:t>iónov) a inhibuje transmembránový vstup kalciových iónov do hladkých svalov srdca a</w:t>
      </w:r>
      <w:r w:rsidR="001B708B" w:rsidRPr="004B1A50">
        <w:rPr>
          <w:rFonts w:eastAsia="TimesNewRoman"/>
          <w:color w:val="000000"/>
          <w:szCs w:val="22"/>
          <w:lang w:val="sk-SK"/>
        </w:rPr>
        <w:t xml:space="preserve"> </w:t>
      </w:r>
      <w:r w:rsidRPr="004B1A50">
        <w:rPr>
          <w:rFonts w:eastAsia="TimesNewRoman"/>
          <w:color w:val="000000"/>
          <w:szCs w:val="22"/>
          <w:lang w:val="sk-SK"/>
        </w:rPr>
        <w:t>ciev.</w:t>
      </w:r>
      <w:r w:rsidR="00341ED6" w:rsidRPr="004B1A50">
        <w:rPr>
          <w:rFonts w:eastAsia="TimesNewRoman"/>
          <w:color w:val="000000"/>
          <w:szCs w:val="22"/>
          <w:lang w:val="sk-SK"/>
        </w:rPr>
        <w:t xml:space="preserve"> </w:t>
      </w:r>
      <w:r w:rsidRPr="004B1A50">
        <w:rPr>
          <w:rFonts w:eastAsia="TimesNewRoman"/>
          <w:color w:val="000000"/>
          <w:szCs w:val="22"/>
          <w:lang w:val="sk-SK"/>
        </w:rPr>
        <w:t>Mechanizmus antihypertenzného účinku amlodipínu spočíva v priamom relaxačnom účinku na hladké</w:t>
      </w:r>
      <w:r w:rsidR="001B708B" w:rsidRPr="004B1A50">
        <w:rPr>
          <w:rFonts w:eastAsia="TimesNewRoman"/>
          <w:color w:val="000000"/>
          <w:szCs w:val="22"/>
          <w:lang w:val="sk-SK"/>
        </w:rPr>
        <w:t xml:space="preserve"> </w:t>
      </w:r>
      <w:r w:rsidRPr="004B1A50">
        <w:rPr>
          <w:rFonts w:eastAsia="TimesNewRoman"/>
          <w:color w:val="000000"/>
          <w:szCs w:val="22"/>
          <w:lang w:val="sk-SK"/>
        </w:rPr>
        <w:t xml:space="preserve">svaly ciev. Presný mechanizmus, ktorým amlodipín zmierňuje anginu pectoris, nie je úplne </w:t>
      </w:r>
      <w:r w:rsidR="003314AA" w:rsidRPr="004B1A50">
        <w:rPr>
          <w:rFonts w:eastAsia="TimesNewRoman"/>
          <w:color w:val="000000"/>
          <w:szCs w:val="22"/>
          <w:lang w:val="sk-SK"/>
        </w:rPr>
        <w:t>známy</w:t>
      </w:r>
      <w:r w:rsidRPr="004B1A50">
        <w:rPr>
          <w:rFonts w:eastAsia="TimesNewRoman"/>
          <w:color w:val="000000"/>
          <w:szCs w:val="22"/>
          <w:lang w:val="sk-SK"/>
        </w:rPr>
        <w:t>,</w:t>
      </w:r>
      <w:r w:rsidR="001B708B" w:rsidRPr="004B1A50">
        <w:rPr>
          <w:rFonts w:eastAsia="TimesNewRoman"/>
          <w:color w:val="000000"/>
          <w:szCs w:val="22"/>
          <w:lang w:val="sk-SK"/>
        </w:rPr>
        <w:t xml:space="preserve"> </w:t>
      </w:r>
      <w:r w:rsidRPr="004B1A50">
        <w:rPr>
          <w:rFonts w:eastAsia="TimesNewRoman"/>
          <w:color w:val="000000"/>
          <w:szCs w:val="22"/>
          <w:lang w:val="sk-SK"/>
        </w:rPr>
        <w:t>ale amlodipín znižuje celkovú ischemickú záťaž dvoma nasled</w:t>
      </w:r>
      <w:r w:rsidR="00341ED6" w:rsidRPr="004B1A50">
        <w:rPr>
          <w:rFonts w:eastAsia="TimesNewRoman"/>
          <w:color w:val="000000"/>
          <w:szCs w:val="22"/>
          <w:lang w:val="sk-SK"/>
        </w:rPr>
        <w:t>ovný</w:t>
      </w:r>
      <w:r w:rsidRPr="004B1A50">
        <w:rPr>
          <w:rFonts w:eastAsia="TimesNewRoman"/>
          <w:color w:val="000000"/>
          <w:szCs w:val="22"/>
          <w:lang w:val="sk-SK"/>
        </w:rPr>
        <w:t>mi mechanizmami:</w:t>
      </w:r>
    </w:p>
    <w:p w14:paraId="2D6130B1" w14:textId="77777777" w:rsidR="003314AA" w:rsidRPr="004B1A50" w:rsidRDefault="00160CFC" w:rsidP="000A3141">
      <w:pPr>
        <w:numPr>
          <w:ilvl w:val="0"/>
          <w:numId w:val="20"/>
        </w:numPr>
        <w:tabs>
          <w:tab w:val="clear" w:pos="567"/>
        </w:tabs>
        <w:autoSpaceDE w:val="0"/>
        <w:autoSpaceDN w:val="0"/>
        <w:adjustRightInd w:val="0"/>
        <w:spacing w:before="120" w:after="200" w:line="240" w:lineRule="auto"/>
        <w:ind w:left="567" w:hanging="567"/>
        <w:rPr>
          <w:lang w:val="sk-SK" w:eastAsia="sk-SK"/>
        </w:rPr>
      </w:pPr>
      <w:r w:rsidRPr="004B1A50">
        <w:rPr>
          <w:rFonts w:eastAsia="TimesNewRoman"/>
          <w:color w:val="000000"/>
          <w:szCs w:val="22"/>
          <w:lang w:val="sk-SK"/>
        </w:rPr>
        <w:t>Amlodipín dilatuje periférne arterioly, čím znižuje celkovú periférnu rezistenciu („afterload“),</w:t>
      </w:r>
      <w:r w:rsidR="001B708B" w:rsidRPr="004B1A50">
        <w:rPr>
          <w:rFonts w:eastAsia="TimesNewRoman"/>
          <w:color w:val="000000"/>
          <w:szCs w:val="22"/>
          <w:lang w:val="sk-SK"/>
        </w:rPr>
        <w:t xml:space="preserve"> </w:t>
      </w:r>
      <w:r w:rsidRPr="004B1A50">
        <w:rPr>
          <w:rFonts w:eastAsia="TimesNewRoman"/>
          <w:color w:val="000000"/>
          <w:szCs w:val="22"/>
          <w:lang w:val="sk-SK"/>
        </w:rPr>
        <w:t xml:space="preserve">proti ktorej srdce pracuje. </w:t>
      </w:r>
      <w:r w:rsidR="003314AA" w:rsidRPr="004B1A50">
        <w:rPr>
          <w:lang w:val="sk-SK" w:eastAsia="sk-SK"/>
        </w:rPr>
        <w:t>Keďže frekvencia srdca ostáva stabilná,</w:t>
      </w:r>
      <w:r w:rsidRPr="004B1A50">
        <w:rPr>
          <w:rFonts w:eastAsia="TimesNewRoman"/>
          <w:color w:val="000000"/>
          <w:szCs w:val="22"/>
          <w:lang w:val="sk-SK"/>
        </w:rPr>
        <w:t xml:space="preserve"> </w:t>
      </w:r>
      <w:r w:rsidR="003314AA" w:rsidRPr="004B1A50">
        <w:rPr>
          <w:lang w:val="sk-SK" w:eastAsia="sk-SK"/>
        </w:rPr>
        <w:t xml:space="preserve">táto menšia záťaž srdca znižuje spotrebu energie v myokarde a potrebu kyslíka. </w:t>
      </w:r>
    </w:p>
    <w:p w14:paraId="0495D457" w14:textId="77777777" w:rsidR="00160CFC" w:rsidRPr="004B1A50" w:rsidRDefault="00160CFC" w:rsidP="000A3141">
      <w:pPr>
        <w:numPr>
          <w:ilvl w:val="0"/>
          <w:numId w:val="20"/>
        </w:numPr>
        <w:tabs>
          <w:tab w:val="clear" w:pos="567"/>
        </w:tabs>
        <w:autoSpaceDE w:val="0"/>
        <w:autoSpaceDN w:val="0"/>
        <w:adjustRightInd w:val="0"/>
        <w:spacing w:line="240" w:lineRule="auto"/>
        <w:ind w:left="567" w:hanging="567"/>
        <w:rPr>
          <w:rFonts w:eastAsia="TimesNewRoman"/>
          <w:color w:val="000000"/>
          <w:szCs w:val="22"/>
          <w:lang w:val="sk-SK"/>
        </w:rPr>
      </w:pPr>
      <w:r w:rsidRPr="004B1A50">
        <w:rPr>
          <w:rFonts w:eastAsia="TimesNewRoman"/>
          <w:color w:val="000000"/>
          <w:szCs w:val="22"/>
          <w:lang w:val="sk-SK"/>
        </w:rPr>
        <w:t>Mechanizmus účinku amlodipínu pravdepodobne zahŕňa aj dilatáciu hlavných vetiev koronárnych</w:t>
      </w:r>
      <w:r w:rsidR="001B708B" w:rsidRPr="004B1A50">
        <w:rPr>
          <w:rFonts w:eastAsia="TimesNewRoman"/>
          <w:color w:val="000000"/>
          <w:szCs w:val="22"/>
          <w:lang w:val="sk-SK"/>
        </w:rPr>
        <w:t xml:space="preserve"> </w:t>
      </w:r>
      <w:r w:rsidRPr="004B1A50">
        <w:rPr>
          <w:rFonts w:eastAsia="TimesNewRoman"/>
          <w:color w:val="000000"/>
          <w:szCs w:val="22"/>
          <w:lang w:val="sk-SK"/>
        </w:rPr>
        <w:t xml:space="preserve">tepien a koronárnych arteriol v normálnych aj ischemických oblastiach. </w:t>
      </w:r>
      <w:r w:rsidR="003314AA" w:rsidRPr="004B1A50">
        <w:rPr>
          <w:rFonts w:eastAsia="TimesNewRoman"/>
          <w:color w:val="000000"/>
          <w:szCs w:val="22"/>
          <w:lang w:val="sk-SK"/>
        </w:rPr>
        <w:t xml:space="preserve">Táto </w:t>
      </w:r>
      <w:r w:rsidRPr="004B1A50">
        <w:rPr>
          <w:rFonts w:eastAsia="TimesNewRoman"/>
          <w:color w:val="000000"/>
          <w:szCs w:val="22"/>
          <w:lang w:val="sk-SK"/>
        </w:rPr>
        <w:t>dilatáci</w:t>
      </w:r>
      <w:r w:rsidR="003314AA" w:rsidRPr="004B1A50">
        <w:rPr>
          <w:rFonts w:eastAsia="TimesNewRoman"/>
          <w:color w:val="000000"/>
          <w:szCs w:val="22"/>
          <w:lang w:val="sk-SK"/>
        </w:rPr>
        <w:t>a</w:t>
      </w:r>
      <w:r w:rsidRPr="004B1A50">
        <w:rPr>
          <w:rFonts w:eastAsia="TimesNewRoman"/>
          <w:color w:val="000000"/>
          <w:szCs w:val="22"/>
          <w:lang w:val="sk-SK"/>
        </w:rPr>
        <w:t xml:space="preserve"> zvyšuje </w:t>
      </w:r>
      <w:r w:rsidR="003314AA" w:rsidRPr="004B1A50">
        <w:rPr>
          <w:rFonts w:eastAsia="TimesNewRoman"/>
          <w:color w:val="000000"/>
          <w:szCs w:val="22"/>
          <w:lang w:val="sk-SK"/>
        </w:rPr>
        <w:t>dodanie</w:t>
      </w:r>
      <w:r w:rsidR="00A75CBF" w:rsidRPr="004B1A50">
        <w:rPr>
          <w:rFonts w:eastAsia="TimesNewRoman"/>
          <w:color w:val="000000"/>
          <w:szCs w:val="22"/>
          <w:lang w:val="sk-SK"/>
        </w:rPr>
        <w:t xml:space="preserve"> </w:t>
      </w:r>
      <w:r w:rsidRPr="004B1A50">
        <w:rPr>
          <w:rFonts w:eastAsia="TimesNewRoman"/>
          <w:color w:val="000000"/>
          <w:szCs w:val="22"/>
          <w:lang w:val="sk-SK"/>
        </w:rPr>
        <w:t xml:space="preserve">kyslíka do myokardu u pacientov so spazmom koronárnych </w:t>
      </w:r>
      <w:r w:rsidR="00C15BAC" w:rsidRPr="004B1A50">
        <w:rPr>
          <w:rFonts w:eastAsia="TimesNewRoman"/>
          <w:color w:val="000000"/>
          <w:szCs w:val="22"/>
          <w:lang w:val="sk-SK"/>
        </w:rPr>
        <w:t xml:space="preserve">artérií </w:t>
      </w:r>
      <w:r w:rsidRPr="004B1A50">
        <w:rPr>
          <w:rFonts w:eastAsia="TimesNewRoman"/>
          <w:color w:val="000000"/>
          <w:szCs w:val="22"/>
          <w:lang w:val="sk-SK"/>
        </w:rPr>
        <w:t xml:space="preserve">(Prinzmetalova alebo </w:t>
      </w:r>
      <w:r w:rsidR="00C15BAC" w:rsidRPr="004B1A50">
        <w:rPr>
          <w:rFonts w:eastAsia="TimesNewRoman"/>
          <w:color w:val="000000"/>
          <w:szCs w:val="22"/>
          <w:lang w:val="sk-SK"/>
        </w:rPr>
        <w:t xml:space="preserve">variantná </w:t>
      </w:r>
      <w:r w:rsidRPr="004B1A50">
        <w:rPr>
          <w:rFonts w:eastAsia="TimesNewRoman"/>
          <w:color w:val="000000"/>
          <w:szCs w:val="22"/>
          <w:lang w:val="sk-SK"/>
        </w:rPr>
        <w:t>angina pectoris).</w:t>
      </w:r>
    </w:p>
    <w:p w14:paraId="02FFBF83"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2862B70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s hypertenziou vedie dávkovanie jedenkrát denne ku klinicky signifikantnému zníženiu krvného tlaku</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v ľahu aj v stoji počas celého 24-hodinového intervalu. Vzhľadom </w:t>
      </w:r>
      <w:r w:rsidR="00314F52" w:rsidRPr="004B1A50">
        <w:rPr>
          <w:rFonts w:eastAsia="TimesNewRoman"/>
          <w:color w:val="000000"/>
          <w:szCs w:val="22"/>
          <w:lang w:val="sk-SK"/>
        </w:rPr>
        <w:t>na</w:t>
      </w:r>
      <w:r w:rsidRPr="004B1A50">
        <w:rPr>
          <w:rFonts w:eastAsia="TimesNewRoman"/>
          <w:color w:val="000000"/>
          <w:szCs w:val="22"/>
          <w:lang w:val="sk-SK"/>
        </w:rPr>
        <w:t xml:space="preserve"> pozvoľn</w:t>
      </w:r>
      <w:r w:rsidR="00314F52" w:rsidRPr="004B1A50">
        <w:rPr>
          <w:rFonts w:eastAsia="TimesNewRoman"/>
          <w:color w:val="000000"/>
          <w:szCs w:val="22"/>
          <w:lang w:val="sk-SK"/>
        </w:rPr>
        <w:t>ý</w:t>
      </w:r>
      <w:r w:rsidRPr="004B1A50">
        <w:rPr>
          <w:rFonts w:eastAsia="TimesNewRoman"/>
          <w:color w:val="000000"/>
          <w:szCs w:val="22"/>
          <w:lang w:val="sk-SK"/>
        </w:rPr>
        <w:t xml:space="preserve"> nástup účinku</w:t>
      </w:r>
      <w:r w:rsidR="001B708B" w:rsidRPr="004B1A50">
        <w:rPr>
          <w:rFonts w:eastAsia="TimesNewRoman"/>
          <w:color w:val="000000"/>
          <w:szCs w:val="22"/>
          <w:lang w:val="sk-SK"/>
        </w:rPr>
        <w:t xml:space="preserve"> </w:t>
      </w:r>
      <w:r w:rsidRPr="004B1A50">
        <w:rPr>
          <w:rFonts w:eastAsia="TimesNewRoman"/>
          <w:color w:val="000000"/>
          <w:szCs w:val="22"/>
          <w:lang w:val="sk-SK"/>
        </w:rPr>
        <w:t>nie je podávanie amlodipínu spojené s akútnou hypotenziou.</w:t>
      </w:r>
    </w:p>
    <w:p w14:paraId="6E13F7A8"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0F10EBC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U pacientov s anginou pectoris dávkovanie amlodipínu jedenkrát denne predlžuje celkový čas schopnosti vykonávať fyzickú záťaž, časový interval do vzniku anginóznych</w:t>
      </w:r>
      <w:r w:rsidR="001B708B" w:rsidRPr="004B1A50">
        <w:rPr>
          <w:rFonts w:eastAsia="TimesNewRoman"/>
          <w:color w:val="000000"/>
          <w:szCs w:val="22"/>
          <w:lang w:val="sk-SK"/>
        </w:rPr>
        <w:t xml:space="preserve"> </w:t>
      </w:r>
      <w:r w:rsidRPr="004B1A50">
        <w:rPr>
          <w:rFonts w:eastAsia="TimesNewRoman"/>
          <w:color w:val="000000"/>
          <w:szCs w:val="22"/>
          <w:lang w:val="sk-SK"/>
        </w:rPr>
        <w:t>ťažkostí a čas do objavenia sa 1-milimetrovej depresie ST segmentu a znižuje frekvenciu anginóznych záchvatov, ako aj potrebu užívania tabliet</w:t>
      </w:r>
      <w:r w:rsidR="00EA73D5" w:rsidRPr="004B1A50">
        <w:rPr>
          <w:rFonts w:eastAsia="TimesNewRoman"/>
          <w:color w:val="000000"/>
          <w:szCs w:val="22"/>
          <w:lang w:val="sk-SK"/>
        </w:rPr>
        <w:t xml:space="preserve"> </w:t>
      </w:r>
      <w:r w:rsidRPr="004B1A50">
        <w:rPr>
          <w:rFonts w:eastAsia="TimesNewRoman"/>
          <w:color w:val="000000"/>
          <w:szCs w:val="22"/>
          <w:lang w:val="sk-SK"/>
        </w:rPr>
        <w:t>nitroglycerínu.</w:t>
      </w:r>
    </w:p>
    <w:p w14:paraId="1731318B"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55466096"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Amlodipín sa nespája so žiadnymi nežiaducimi metabolickými účinkami ani zmenami plazmatických lipidov a</w:t>
      </w:r>
      <w:r w:rsidR="00EA73D5" w:rsidRPr="004B1A50">
        <w:rPr>
          <w:rFonts w:eastAsia="TimesNewRoman"/>
          <w:color w:val="000000"/>
          <w:szCs w:val="22"/>
          <w:lang w:val="sk-SK"/>
        </w:rPr>
        <w:t> </w:t>
      </w:r>
      <w:r w:rsidRPr="004B1A50">
        <w:rPr>
          <w:rFonts w:eastAsia="TimesNewRoman"/>
          <w:color w:val="000000"/>
          <w:szCs w:val="22"/>
          <w:lang w:val="sk-SK"/>
        </w:rPr>
        <w:t>je</w:t>
      </w:r>
      <w:r w:rsidR="00EA73D5" w:rsidRPr="004B1A50">
        <w:rPr>
          <w:rFonts w:eastAsia="TimesNewRoman"/>
          <w:color w:val="000000"/>
          <w:szCs w:val="22"/>
          <w:lang w:val="sk-SK"/>
        </w:rPr>
        <w:t xml:space="preserve"> </w:t>
      </w:r>
      <w:r w:rsidRPr="004B1A50">
        <w:rPr>
          <w:rFonts w:eastAsia="TimesNewRoman"/>
          <w:color w:val="000000"/>
          <w:szCs w:val="22"/>
          <w:lang w:val="sk-SK"/>
        </w:rPr>
        <w:t>vhodný pre pacientov s astmou, diabetom a dnou.</w:t>
      </w:r>
    </w:p>
    <w:p w14:paraId="07F43216"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3E32366E"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u w:val="single"/>
          <w:lang w:val="sk-SK"/>
        </w:rPr>
        <w:t>Pacienti s koronárnou chorobou srdca (KCHS):</w:t>
      </w:r>
    </w:p>
    <w:p w14:paraId="275EFBE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Účinnosť amlodipínu v prevencii klinických udalostí u pacientov s koronárnou chorobou srdca (KCHS)</w:t>
      </w:r>
      <w:r w:rsidR="001B708B" w:rsidRPr="004B1A50">
        <w:rPr>
          <w:rFonts w:eastAsia="TimesNewRoman"/>
          <w:color w:val="000000"/>
          <w:szCs w:val="22"/>
          <w:lang w:val="sk-SK"/>
        </w:rPr>
        <w:t xml:space="preserve"> </w:t>
      </w:r>
      <w:r w:rsidRPr="004B1A50">
        <w:rPr>
          <w:rFonts w:eastAsia="TimesNewRoman"/>
          <w:color w:val="000000"/>
          <w:szCs w:val="22"/>
          <w:lang w:val="sk-SK"/>
        </w:rPr>
        <w:t>sa posudzoval</w:t>
      </w:r>
      <w:r w:rsidR="00452AF9" w:rsidRPr="004B1A50">
        <w:rPr>
          <w:rFonts w:eastAsia="TimesNewRoman"/>
          <w:color w:val="000000"/>
          <w:szCs w:val="22"/>
          <w:lang w:val="sk-SK"/>
        </w:rPr>
        <w:t>o</w:t>
      </w:r>
      <w:r w:rsidRPr="004B1A50">
        <w:rPr>
          <w:rFonts w:eastAsia="TimesNewRoman"/>
          <w:color w:val="000000"/>
          <w:szCs w:val="22"/>
          <w:lang w:val="sk-SK"/>
        </w:rPr>
        <w:t xml:space="preserve"> v rámci nezávisl</w:t>
      </w:r>
      <w:r w:rsidR="00452AF9" w:rsidRPr="004B1A50">
        <w:rPr>
          <w:rFonts w:eastAsia="TimesNewRoman"/>
          <w:color w:val="000000"/>
          <w:szCs w:val="22"/>
          <w:lang w:val="sk-SK"/>
        </w:rPr>
        <w:t>ého</w:t>
      </w:r>
      <w:r w:rsidRPr="004B1A50">
        <w:rPr>
          <w:rFonts w:eastAsia="TimesNewRoman"/>
          <w:color w:val="000000"/>
          <w:szCs w:val="22"/>
          <w:lang w:val="sk-SK"/>
        </w:rPr>
        <w:t>, multicentrick</w:t>
      </w:r>
      <w:r w:rsidR="00452AF9" w:rsidRPr="004B1A50">
        <w:rPr>
          <w:rFonts w:eastAsia="TimesNewRoman"/>
          <w:color w:val="000000"/>
          <w:szCs w:val="22"/>
          <w:lang w:val="sk-SK"/>
        </w:rPr>
        <w:t>ého</w:t>
      </w:r>
      <w:r w:rsidRPr="004B1A50">
        <w:rPr>
          <w:rFonts w:eastAsia="TimesNewRoman"/>
          <w:color w:val="000000"/>
          <w:szCs w:val="22"/>
          <w:lang w:val="sk-SK"/>
        </w:rPr>
        <w:t>, randomizovan</w:t>
      </w:r>
      <w:r w:rsidR="00452AF9" w:rsidRPr="004B1A50">
        <w:rPr>
          <w:rFonts w:eastAsia="TimesNewRoman"/>
          <w:color w:val="000000"/>
          <w:szCs w:val="22"/>
          <w:lang w:val="sk-SK"/>
        </w:rPr>
        <w:t>ého</w:t>
      </w:r>
      <w:r w:rsidRPr="004B1A50">
        <w:rPr>
          <w:rFonts w:eastAsia="TimesNewRoman"/>
          <w:color w:val="000000"/>
          <w:szCs w:val="22"/>
          <w:lang w:val="sk-SK"/>
        </w:rPr>
        <w:t>, dvojito zaslepen</w:t>
      </w:r>
      <w:r w:rsidR="00452AF9" w:rsidRPr="004B1A50">
        <w:rPr>
          <w:rFonts w:eastAsia="TimesNewRoman"/>
          <w:color w:val="000000"/>
          <w:szCs w:val="22"/>
          <w:lang w:val="sk-SK"/>
        </w:rPr>
        <w:t>ého</w:t>
      </w:r>
      <w:r w:rsidRPr="004B1A50">
        <w:rPr>
          <w:rFonts w:eastAsia="TimesNewRoman"/>
          <w:color w:val="000000"/>
          <w:szCs w:val="22"/>
          <w:lang w:val="sk-SK"/>
        </w:rPr>
        <w:t>, placebom kontrolovan</w:t>
      </w:r>
      <w:r w:rsidR="00452AF9" w:rsidRPr="004B1A50">
        <w:rPr>
          <w:rFonts w:eastAsia="TimesNewRoman"/>
          <w:color w:val="000000"/>
          <w:szCs w:val="22"/>
          <w:lang w:val="sk-SK"/>
        </w:rPr>
        <w:t>ého skúšania</w:t>
      </w:r>
      <w:r w:rsidRPr="004B1A50">
        <w:rPr>
          <w:rFonts w:eastAsia="TimesNewRoman"/>
          <w:color w:val="000000"/>
          <w:szCs w:val="22"/>
          <w:lang w:val="sk-SK"/>
        </w:rPr>
        <w:t xml:space="preserve"> s</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1 997 pacientmi zameranej na porovnanie </w:t>
      </w:r>
      <w:r w:rsidRPr="004B1A50">
        <w:rPr>
          <w:rFonts w:eastAsia="TimesNewRoman"/>
          <w:color w:val="000000"/>
          <w:szCs w:val="22"/>
          <w:lang w:val="sk-SK"/>
        </w:rPr>
        <w:lastRenderedPageBreak/>
        <w:t>amlodipínu s enalaprilom zamerané na zníženie výskytu trombózy (Comparison of Amlodipín vs. Enalapril to Limit Occurrences of Thrombosis, CAMELOT).</w:t>
      </w:r>
      <w:r w:rsidR="000A3141" w:rsidRPr="004B1A50">
        <w:rPr>
          <w:rFonts w:eastAsia="TimesNewRoman"/>
          <w:color w:val="000000"/>
          <w:szCs w:val="22"/>
          <w:lang w:val="sk-SK"/>
        </w:rPr>
        <w:t xml:space="preserve"> </w:t>
      </w:r>
      <w:r w:rsidRPr="004B1A50">
        <w:rPr>
          <w:rFonts w:eastAsia="TimesNewRoman"/>
          <w:color w:val="000000"/>
          <w:szCs w:val="22"/>
          <w:lang w:val="sk-SK"/>
        </w:rPr>
        <w:t>Z týchto pacientov bolo 663 liečených amlodipínom v dávke 5 – 10 mg, 673 pacientov bolo liečených enalaprilom v dávke 10 – 20</w:t>
      </w:r>
      <w:r w:rsidR="00EA73D5" w:rsidRPr="004B1A50">
        <w:rPr>
          <w:rFonts w:eastAsia="TimesNewRoman"/>
          <w:color w:val="000000"/>
          <w:szCs w:val="22"/>
          <w:lang w:val="sk-SK"/>
        </w:rPr>
        <w:t xml:space="preserve"> </w:t>
      </w:r>
      <w:r w:rsidRPr="004B1A50">
        <w:rPr>
          <w:rFonts w:eastAsia="TimesNewRoman"/>
          <w:color w:val="000000"/>
          <w:szCs w:val="22"/>
          <w:lang w:val="sk-SK"/>
        </w:rPr>
        <w:t>mg a 655 pacientov bolo liečených placebom navyše k štandardnej liečbe statínmi, betablokátormi,</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diuretikami a </w:t>
      </w:r>
      <w:r w:rsidR="00F24373" w:rsidRPr="004B1A50">
        <w:rPr>
          <w:rFonts w:eastAsia="TimesNewRoman"/>
          <w:color w:val="000000"/>
          <w:szCs w:val="22"/>
          <w:lang w:val="sk-SK"/>
        </w:rPr>
        <w:t xml:space="preserve">kyselinou acetylsalicylovou </w:t>
      </w:r>
      <w:r w:rsidRPr="004B1A50">
        <w:rPr>
          <w:rFonts w:eastAsia="TimesNewRoman"/>
          <w:color w:val="000000"/>
          <w:szCs w:val="22"/>
          <w:lang w:val="sk-SK"/>
        </w:rPr>
        <w:t xml:space="preserve">počas 2 rokov. </w:t>
      </w:r>
      <w:r w:rsidR="00F24373" w:rsidRPr="004B1A50">
        <w:rPr>
          <w:rFonts w:eastAsia="TimesNewRoman"/>
          <w:color w:val="000000"/>
          <w:szCs w:val="22"/>
          <w:lang w:val="sk-SK"/>
        </w:rPr>
        <w:t>Najdôl</w:t>
      </w:r>
      <w:r w:rsidR="005C320E" w:rsidRPr="004B1A50">
        <w:rPr>
          <w:rFonts w:eastAsia="TimesNewRoman"/>
          <w:color w:val="000000"/>
          <w:szCs w:val="22"/>
          <w:lang w:val="sk-SK"/>
        </w:rPr>
        <w:t>e</w:t>
      </w:r>
      <w:r w:rsidR="00F24373" w:rsidRPr="004B1A50">
        <w:rPr>
          <w:rFonts w:eastAsia="TimesNewRoman"/>
          <w:color w:val="000000"/>
          <w:szCs w:val="22"/>
          <w:lang w:val="sk-SK"/>
        </w:rPr>
        <w:t xml:space="preserve">žitejšie </w:t>
      </w:r>
      <w:r w:rsidRPr="004B1A50">
        <w:rPr>
          <w:rFonts w:eastAsia="TimesNewRoman"/>
          <w:color w:val="000000"/>
          <w:szCs w:val="22"/>
          <w:lang w:val="sk-SK"/>
        </w:rPr>
        <w:t>výsledky týkajúce sa účinnosti sú uvedené v tabuľke 1. Výsledky naznačujú, že</w:t>
      </w:r>
      <w:r w:rsidR="00EA73D5" w:rsidRPr="004B1A50">
        <w:rPr>
          <w:rFonts w:eastAsia="TimesNewRoman"/>
          <w:color w:val="000000"/>
          <w:szCs w:val="22"/>
          <w:lang w:val="sk-SK"/>
        </w:rPr>
        <w:t xml:space="preserve"> </w:t>
      </w:r>
      <w:r w:rsidRPr="004B1A50">
        <w:rPr>
          <w:rFonts w:eastAsia="TimesNewRoman"/>
          <w:color w:val="000000"/>
          <w:szCs w:val="22"/>
          <w:lang w:val="sk-SK"/>
        </w:rPr>
        <w:t>liečba amlodipínom sa spája s menším výskytom hospitalizácií pre anginu pectoris a revaskularizačné procedúry</w:t>
      </w:r>
      <w:r w:rsidR="00EA73D5" w:rsidRPr="004B1A50">
        <w:rPr>
          <w:rFonts w:eastAsia="TimesNewRoman"/>
          <w:color w:val="000000"/>
          <w:szCs w:val="22"/>
          <w:lang w:val="sk-SK"/>
        </w:rPr>
        <w:t xml:space="preserve"> </w:t>
      </w:r>
      <w:r w:rsidRPr="004B1A50">
        <w:rPr>
          <w:rFonts w:eastAsia="TimesNewRoman"/>
          <w:color w:val="000000"/>
          <w:szCs w:val="22"/>
          <w:lang w:val="sk-SK"/>
        </w:rPr>
        <w:t>u pacientov s KCHS.</w:t>
      </w:r>
    </w:p>
    <w:p w14:paraId="01F2432E" w14:textId="77777777" w:rsidR="004862E1" w:rsidRPr="004B1A50" w:rsidRDefault="004862E1" w:rsidP="00853064">
      <w:pPr>
        <w:autoSpaceDE w:val="0"/>
        <w:autoSpaceDN w:val="0"/>
        <w:adjustRightInd w:val="0"/>
        <w:spacing w:line="240" w:lineRule="auto"/>
        <w:rPr>
          <w:rFonts w:eastAsia="TimesNewRoman"/>
          <w:color w:val="000000"/>
          <w:szCs w:val="22"/>
          <w:lang w:val="sk-SK"/>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276"/>
        <w:gridCol w:w="1276"/>
        <w:gridCol w:w="1276"/>
        <w:gridCol w:w="1842"/>
        <w:gridCol w:w="1276"/>
      </w:tblGrid>
      <w:tr w:rsidR="004862E1" w:rsidRPr="004B1A50" w14:paraId="3BA8FC81" w14:textId="77777777" w:rsidTr="00853064">
        <w:tc>
          <w:tcPr>
            <w:tcW w:w="9889" w:type="dxa"/>
            <w:gridSpan w:val="6"/>
          </w:tcPr>
          <w:p w14:paraId="4607FE06" w14:textId="77777777" w:rsidR="004862E1" w:rsidRPr="004B1A50" w:rsidRDefault="004862E1" w:rsidP="00853064">
            <w:pPr>
              <w:spacing w:before="120" w:line="240" w:lineRule="auto"/>
              <w:rPr>
                <w:b/>
                <w:lang w:val="sk-SK"/>
              </w:rPr>
            </w:pPr>
            <w:r w:rsidRPr="004B1A50">
              <w:rPr>
                <w:b/>
                <w:lang w:val="sk-SK"/>
              </w:rPr>
              <w:t>Tabuľka 1. Výskyt významných klinických výsledkov pre CAMELOT</w:t>
            </w:r>
          </w:p>
        </w:tc>
      </w:tr>
      <w:tr w:rsidR="004862E1" w:rsidRPr="004B1A50" w14:paraId="5AE27461" w14:textId="77777777" w:rsidTr="00853064">
        <w:tc>
          <w:tcPr>
            <w:tcW w:w="6771" w:type="dxa"/>
            <w:gridSpan w:val="4"/>
          </w:tcPr>
          <w:p w14:paraId="5CEBC6EA" w14:textId="77777777" w:rsidR="004862E1" w:rsidRPr="004B1A50" w:rsidRDefault="004862E1" w:rsidP="000A3141">
            <w:pPr>
              <w:spacing w:before="120" w:line="240" w:lineRule="auto"/>
              <w:rPr>
                <w:u w:val="single"/>
                <w:lang w:val="sk-SK"/>
              </w:rPr>
            </w:pPr>
            <w:r w:rsidRPr="004B1A50">
              <w:rPr>
                <w:lang w:val="sk-SK"/>
              </w:rPr>
              <w:t xml:space="preserve">                         </w:t>
            </w:r>
            <w:r w:rsidRPr="004B1A50">
              <w:rPr>
                <w:u w:val="single"/>
                <w:lang w:val="sk-SK"/>
              </w:rPr>
              <w:t>Výskyt kardiovaskulárnych príhod</w:t>
            </w:r>
            <w:r w:rsidR="000A3141" w:rsidRPr="004B1A50">
              <w:rPr>
                <w:u w:val="single"/>
                <w:lang w:val="sk-SK"/>
              </w:rPr>
              <w:t>, počet (%)</w:t>
            </w:r>
            <w:r w:rsidRPr="004B1A50">
              <w:rPr>
                <w:lang w:val="sk-SK"/>
              </w:rPr>
              <w:t xml:space="preserve">                                      </w:t>
            </w:r>
          </w:p>
        </w:tc>
        <w:tc>
          <w:tcPr>
            <w:tcW w:w="3118" w:type="dxa"/>
            <w:gridSpan w:val="2"/>
          </w:tcPr>
          <w:p w14:paraId="5C3AE7FB" w14:textId="77777777" w:rsidR="004862E1" w:rsidRPr="004B1A50" w:rsidRDefault="004862E1" w:rsidP="00853064">
            <w:pPr>
              <w:spacing w:before="120" w:line="240" w:lineRule="auto"/>
              <w:rPr>
                <w:u w:val="single"/>
                <w:lang w:val="sk-SK"/>
              </w:rPr>
            </w:pPr>
            <w:r w:rsidRPr="004B1A50">
              <w:rPr>
                <w:u w:val="single"/>
                <w:lang w:val="sk-SK"/>
              </w:rPr>
              <w:t>Amlodipín vs. placebo</w:t>
            </w:r>
          </w:p>
        </w:tc>
      </w:tr>
      <w:tr w:rsidR="004862E1" w:rsidRPr="004B1A50" w14:paraId="79C2900E" w14:textId="77777777" w:rsidTr="00853064">
        <w:tc>
          <w:tcPr>
            <w:tcW w:w="2943" w:type="dxa"/>
          </w:tcPr>
          <w:p w14:paraId="3C97922B" w14:textId="77777777" w:rsidR="004862E1" w:rsidRPr="004B1A50" w:rsidRDefault="004862E1" w:rsidP="00853064">
            <w:pPr>
              <w:spacing w:before="120" w:line="240" w:lineRule="auto"/>
              <w:rPr>
                <w:lang w:val="sk-SK"/>
              </w:rPr>
            </w:pPr>
            <w:r w:rsidRPr="004B1A50">
              <w:rPr>
                <w:lang w:val="sk-SK"/>
              </w:rPr>
              <w:t>Výsledky</w:t>
            </w:r>
          </w:p>
        </w:tc>
        <w:tc>
          <w:tcPr>
            <w:tcW w:w="1276" w:type="dxa"/>
          </w:tcPr>
          <w:p w14:paraId="1DCF48CD" w14:textId="77777777" w:rsidR="004862E1" w:rsidRPr="004B1A50" w:rsidRDefault="004862E1" w:rsidP="00853064">
            <w:pPr>
              <w:spacing w:before="120" w:line="240" w:lineRule="auto"/>
              <w:rPr>
                <w:lang w:val="sk-SK"/>
              </w:rPr>
            </w:pPr>
            <w:r w:rsidRPr="004B1A50">
              <w:rPr>
                <w:lang w:val="sk-SK"/>
              </w:rPr>
              <w:t>Amlodipín</w:t>
            </w:r>
          </w:p>
        </w:tc>
        <w:tc>
          <w:tcPr>
            <w:tcW w:w="1276" w:type="dxa"/>
          </w:tcPr>
          <w:p w14:paraId="34289765" w14:textId="77777777" w:rsidR="004862E1" w:rsidRPr="004B1A50" w:rsidRDefault="004862E1" w:rsidP="00853064">
            <w:pPr>
              <w:spacing w:before="120" w:line="240" w:lineRule="auto"/>
              <w:rPr>
                <w:lang w:val="sk-SK"/>
              </w:rPr>
            </w:pPr>
            <w:r w:rsidRPr="004B1A50">
              <w:rPr>
                <w:lang w:val="sk-SK"/>
              </w:rPr>
              <w:t>Placebo</w:t>
            </w:r>
          </w:p>
        </w:tc>
        <w:tc>
          <w:tcPr>
            <w:tcW w:w="1276" w:type="dxa"/>
          </w:tcPr>
          <w:p w14:paraId="1444DD01" w14:textId="77777777" w:rsidR="004862E1" w:rsidRPr="004B1A50" w:rsidRDefault="004862E1" w:rsidP="00853064">
            <w:pPr>
              <w:spacing w:before="120" w:line="240" w:lineRule="auto"/>
              <w:rPr>
                <w:lang w:val="sk-SK"/>
              </w:rPr>
            </w:pPr>
            <w:r w:rsidRPr="004B1A50">
              <w:rPr>
                <w:lang w:val="sk-SK"/>
              </w:rPr>
              <w:t>Enalapril</w:t>
            </w:r>
          </w:p>
        </w:tc>
        <w:tc>
          <w:tcPr>
            <w:tcW w:w="1842" w:type="dxa"/>
          </w:tcPr>
          <w:p w14:paraId="30DF24A3" w14:textId="77777777" w:rsidR="004862E1" w:rsidRPr="004B1A50" w:rsidRDefault="004862E1" w:rsidP="00853064">
            <w:pPr>
              <w:spacing w:before="120" w:line="240" w:lineRule="auto"/>
              <w:rPr>
                <w:lang w:val="sk-SK"/>
              </w:rPr>
            </w:pPr>
            <w:r w:rsidRPr="004B1A50">
              <w:rPr>
                <w:lang w:val="sk-SK"/>
              </w:rPr>
              <w:t>Pomer rizika (95% IS)</w:t>
            </w:r>
          </w:p>
        </w:tc>
        <w:tc>
          <w:tcPr>
            <w:tcW w:w="1276" w:type="dxa"/>
          </w:tcPr>
          <w:p w14:paraId="7B8D60AC" w14:textId="77777777" w:rsidR="004862E1" w:rsidRPr="004B1A50" w:rsidRDefault="004862E1" w:rsidP="00853064">
            <w:pPr>
              <w:spacing w:before="120" w:line="240" w:lineRule="auto"/>
              <w:rPr>
                <w:lang w:val="sk-SK"/>
              </w:rPr>
            </w:pPr>
            <w:r w:rsidRPr="004B1A50">
              <w:rPr>
                <w:iCs/>
                <w:lang w:val="sk-SK"/>
              </w:rPr>
              <w:t xml:space="preserve">Hodnota P </w:t>
            </w:r>
          </w:p>
        </w:tc>
      </w:tr>
      <w:tr w:rsidR="004862E1" w:rsidRPr="004B1A50" w14:paraId="449AEB45" w14:textId="77777777" w:rsidTr="00853064">
        <w:tc>
          <w:tcPr>
            <w:tcW w:w="2943" w:type="dxa"/>
          </w:tcPr>
          <w:p w14:paraId="381D66BE" w14:textId="77777777" w:rsidR="004862E1" w:rsidRPr="004B1A50" w:rsidRDefault="004862E1" w:rsidP="00853064">
            <w:pPr>
              <w:spacing w:before="120" w:line="240" w:lineRule="auto"/>
              <w:rPr>
                <w:u w:val="single"/>
                <w:lang w:val="sk-SK"/>
              </w:rPr>
            </w:pPr>
            <w:r w:rsidRPr="004B1A50">
              <w:rPr>
                <w:u w:val="single"/>
                <w:lang w:val="sk-SK"/>
              </w:rPr>
              <w:t>Primárny koncový bod</w:t>
            </w:r>
          </w:p>
          <w:p w14:paraId="5AFB5206" w14:textId="77777777" w:rsidR="004862E1" w:rsidRPr="004B1A50" w:rsidRDefault="004862E1" w:rsidP="00853064">
            <w:pPr>
              <w:spacing w:before="120" w:line="240" w:lineRule="auto"/>
              <w:rPr>
                <w:lang w:val="sk-SK"/>
              </w:rPr>
            </w:pPr>
            <w:r w:rsidRPr="004B1A50">
              <w:rPr>
                <w:lang w:val="sk-SK"/>
              </w:rPr>
              <w:t>Nežiad</w:t>
            </w:r>
            <w:r w:rsidR="00DA4C2D" w:rsidRPr="004B1A50">
              <w:rPr>
                <w:lang w:val="sk-SK"/>
              </w:rPr>
              <w:t>u</w:t>
            </w:r>
            <w:r w:rsidRPr="004B1A50">
              <w:rPr>
                <w:lang w:val="sk-SK"/>
              </w:rPr>
              <w:t>ce kardiovaskulárne príhody</w:t>
            </w:r>
          </w:p>
        </w:tc>
        <w:tc>
          <w:tcPr>
            <w:tcW w:w="1276" w:type="dxa"/>
          </w:tcPr>
          <w:p w14:paraId="7686A98F" w14:textId="77777777" w:rsidR="004862E1" w:rsidRPr="004B1A50" w:rsidRDefault="004862E1" w:rsidP="00853064">
            <w:pPr>
              <w:spacing w:before="120" w:line="240" w:lineRule="auto"/>
              <w:rPr>
                <w:u w:val="single"/>
                <w:lang w:val="sk-SK"/>
              </w:rPr>
            </w:pPr>
          </w:p>
          <w:p w14:paraId="2723DD0B" w14:textId="77777777" w:rsidR="004862E1" w:rsidRPr="004B1A50" w:rsidRDefault="004862E1" w:rsidP="00853064">
            <w:pPr>
              <w:spacing w:before="120" w:line="240" w:lineRule="auto"/>
              <w:rPr>
                <w:u w:val="single"/>
                <w:lang w:val="sk-SK"/>
              </w:rPr>
            </w:pPr>
            <w:r w:rsidRPr="004B1A50">
              <w:rPr>
                <w:u w:val="single"/>
                <w:lang w:val="sk-SK"/>
              </w:rPr>
              <w:t>110 (16,6)</w:t>
            </w:r>
          </w:p>
        </w:tc>
        <w:tc>
          <w:tcPr>
            <w:tcW w:w="1276" w:type="dxa"/>
          </w:tcPr>
          <w:p w14:paraId="25E3BFD8" w14:textId="77777777" w:rsidR="004862E1" w:rsidRPr="004B1A50" w:rsidRDefault="004862E1" w:rsidP="00853064">
            <w:pPr>
              <w:spacing w:before="120" w:line="240" w:lineRule="auto"/>
              <w:rPr>
                <w:u w:val="single"/>
                <w:lang w:val="sk-SK"/>
              </w:rPr>
            </w:pPr>
          </w:p>
          <w:p w14:paraId="2D439AEF" w14:textId="77777777" w:rsidR="004862E1" w:rsidRPr="004B1A50" w:rsidRDefault="004862E1" w:rsidP="00853064">
            <w:pPr>
              <w:spacing w:before="120" w:line="240" w:lineRule="auto"/>
              <w:rPr>
                <w:u w:val="single"/>
                <w:lang w:val="sk-SK"/>
              </w:rPr>
            </w:pPr>
            <w:r w:rsidRPr="004B1A50">
              <w:rPr>
                <w:u w:val="single"/>
                <w:lang w:val="sk-SK"/>
              </w:rPr>
              <w:t>151 (23,1)</w:t>
            </w:r>
          </w:p>
        </w:tc>
        <w:tc>
          <w:tcPr>
            <w:tcW w:w="1276" w:type="dxa"/>
          </w:tcPr>
          <w:p w14:paraId="159B9805" w14:textId="77777777" w:rsidR="004862E1" w:rsidRPr="004B1A50" w:rsidRDefault="004862E1" w:rsidP="00853064">
            <w:pPr>
              <w:spacing w:before="120" w:line="240" w:lineRule="auto"/>
              <w:rPr>
                <w:u w:val="single"/>
                <w:lang w:val="sk-SK"/>
              </w:rPr>
            </w:pPr>
          </w:p>
          <w:p w14:paraId="0D23BF74" w14:textId="77777777" w:rsidR="004862E1" w:rsidRPr="004B1A50" w:rsidRDefault="004862E1" w:rsidP="00853064">
            <w:pPr>
              <w:spacing w:before="120" w:line="240" w:lineRule="auto"/>
              <w:rPr>
                <w:u w:val="single"/>
                <w:lang w:val="sk-SK"/>
              </w:rPr>
            </w:pPr>
            <w:r w:rsidRPr="004B1A50">
              <w:rPr>
                <w:u w:val="single"/>
                <w:lang w:val="sk-SK"/>
              </w:rPr>
              <w:t>136 (20,2)</w:t>
            </w:r>
          </w:p>
        </w:tc>
        <w:tc>
          <w:tcPr>
            <w:tcW w:w="1842" w:type="dxa"/>
          </w:tcPr>
          <w:p w14:paraId="2F746B21" w14:textId="77777777" w:rsidR="004862E1" w:rsidRPr="004B1A50" w:rsidRDefault="004862E1" w:rsidP="00853064">
            <w:pPr>
              <w:spacing w:before="120" w:line="240" w:lineRule="auto"/>
              <w:rPr>
                <w:u w:val="single"/>
                <w:lang w:val="sk-SK"/>
              </w:rPr>
            </w:pPr>
          </w:p>
          <w:p w14:paraId="203EAE5A" w14:textId="77777777" w:rsidR="004862E1" w:rsidRPr="004B1A50" w:rsidRDefault="004862E1" w:rsidP="00853064">
            <w:pPr>
              <w:spacing w:before="120" w:line="240" w:lineRule="auto"/>
              <w:rPr>
                <w:u w:val="single"/>
                <w:lang w:val="sk-SK"/>
              </w:rPr>
            </w:pPr>
            <w:r w:rsidRPr="004B1A50">
              <w:rPr>
                <w:u w:val="single"/>
                <w:lang w:val="sk-SK"/>
              </w:rPr>
              <w:t>0,69 (0,54-0,88)</w:t>
            </w:r>
          </w:p>
        </w:tc>
        <w:tc>
          <w:tcPr>
            <w:tcW w:w="1276" w:type="dxa"/>
          </w:tcPr>
          <w:p w14:paraId="1FB3729D" w14:textId="77777777" w:rsidR="004862E1" w:rsidRPr="004B1A50" w:rsidRDefault="004862E1" w:rsidP="00853064">
            <w:pPr>
              <w:spacing w:before="120" w:line="240" w:lineRule="auto"/>
              <w:rPr>
                <w:u w:val="single"/>
                <w:lang w:val="sk-SK"/>
              </w:rPr>
            </w:pPr>
          </w:p>
          <w:p w14:paraId="4240A230" w14:textId="77777777" w:rsidR="004862E1" w:rsidRPr="004B1A50" w:rsidRDefault="004862E1" w:rsidP="00853064">
            <w:pPr>
              <w:spacing w:before="120" w:line="240" w:lineRule="auto"/>
              <w:rPr>
                <w:u w:val="single"/>
                <w:lang w:val="sk-SK"/>
              </w:rPr>
            </w:pPr>
            <w:r w:rsidRPr="004B1A50">
              <w:rPr>
                <w:u w:val="single"/>
                <w:lang w:val="sk-SK"/>
              </w:rPr>
              <w:t>0,003</w:t>
            </w:r>
          </w:p>
        </w:tc>
      </w:tr>
      <w:tr w:rsidR="004862E1" w:rsidRPr="004B1A50" w14:paraId="2F7309CC" w14:textId="77777777" w:rsidTr="00853064">
        <w:trPr>
          <w:trHeight w:val="3190"/>
        </w:trPr>
        <w:tc>
          <w:tcPr>
            <w:tcW w:w="2943" w:type="dxa"/>
          </w:tcPr>
          <w:p w14:paraId="06409C1F" w14:textId="77777777" w:rsidR="004862E1" w:rsidRPr="004B1A50" w:rsidRDefault="004862E1" w:rsidP="00853064">
            <w:pPr>
              <w:spacing w:line="240" w:lineRule="auto"/>
              <w:rPr>
                <w:u w:val="single"/>
                <w:lang w:val="sk-SK"/>
              </w:rPr>
            </w:pPr>
            <w:r w:rsidRPr="004B1A50">
              <w:rPr>
                <w:u w:val="single"/>
                <w:lang w:val="sk-SK"/>
              </w:rPr>
              <w:t>Jednotlivé zložky</w:t>
            </w:r>
          </w:p>
          <w:p w14:paraId="77B213DF" w14:textId="77777777" w:rsidR="004862E1" w:rsidRPr="004B1A50" w:rsidRDefault="004862E1" w:rsidP="00853064">
            <w:pPr>
              <w:spacing w:line="240" w:lineRule="auto"/>
              <w:rPr>
                <w:lang w:val="sk-SK"/>
              </w:rPr>
            </w:pPr>
            <w:r w:rsidRPr="004B1A50">
              <w:rPr>
                <w:lang w:val="sk-SK"/>
              </w:rPr>
              <w:t>Koronárna revaskularizácia</w:t>
            </w:r>
          </w:p>
          <w:p w14:paraId="05B13E36" w14:textId="77777777" w:rsidR="004862E1" w:rsidRPr="004B1A50" w:rsidRDefault="004862E1" w:rsidP="00853064">
            <w:pPr>
              <w:spacing w:line="240" w:lineRule="auto"/>
              <w:rPr>
                <w:lang w:val="sk-SK"/>
              </w:rPr>
            </w:pPr>
            <w:r w:rsidRPr="004B1A50">
              <w:rPr>
                <w:lang w:val="sk-SK"/>
              </w:rPr>
              <w:t>Hospitalizácia pre anginu pectoris</w:t>
            </w:r>
          </w:p>
          <w:p w14:paraId="7BAC5C2E" w14:textId="77777777" w:rsidR="004862E1" w:rsidRPr="004B1A50" w:rsidRDefault="004862E1" w:rsidP="00853064">
            <w:pPr>
              <w:spacing w:line="240" w:lineRule="auto"/>
              <w:rPr>
                <w:lang w:val="sk-SK"/>
              </w:rPr>
            </w:pPr>
            <w:r w:rsidRPr="004B1A50">
              <w:rPr>
                <w:lang w:val="sk-SK"/>
              </w:rPr>
              <w:t>Nefatálny IM</w:t>
            </w:r>
          </w:p>
          <w:p w14:paraId="1E594441" w14:textId="77777777" w:rsidR="004862E1" w:rsidRPr="004B1A50" w:rsidRDefault="004862E1" w:rsidP="00853064">
            <w:pPr>
              <w:spacing w:line="240" w:lineRule="auto"/>
              <w:rPr>
                <w:lang w:val="sk-SK"/>
              </w:rPr>
            </w:pPr>
            <w:r w:rsidRPr="004B1A50">
              <w:rPr>
                <w:lang w:val="sk-SK"/>
              </w:rPr>
              <w:t>Mozgová mŕtvica alebo TIA</w:t>
            </w:r>
          </w:p>
          <w:p w14:paraId="619C28AF" w14:textId="77777777" w:rsidR="004862E1" w:rsidRPr="004B1A50" w:rsidRDefault="004862E1" w:rsidP="00853064">
            <w:pPr>
              <w:spacing w:line="240" w:lineRule="auto"/>
              <w:rPr>
                <w:lang w:val="sk-SK"/>
              </w:rPr>
            </w:pPr>
            <w:r w:rsidRPr="004B1A50">
              <w:rPr>
                <w:lang w:val="sk-SK"/>
              </w:rPr>
              <w:t>Smrť z kardiovaskulárnych príčin</w:t>
            </w:r>
          </w:p>
          <w:p w14:paraId="3ED1AED2" w14:textId="77777777" w:rsidR="004862E1" w:rsidRPr="004B1A50" w:rsidRDefault="004862E1" w:rsidP="00853064">
            <w:pPr>
              <w:spacing w:line="240" w:lineRule="auto"/>
              <w:rPr>
                <w:lang w:val="sk-SK"/>
              </w:rPr>
            </w:pPr>
            <w:r w:rsidRPr="004B1A50">
              <w:rPr>
                <w:lang w:val="sk-SK"/>
              </w:rPr>
              <w:t>Hospitalizácia kvôli KZS</w:t>
            </w:r>
          </w:p>
          <w:p w14:paraId="0D2C81B0" w14:textId="052B8508" w:rsidR="004862E1" w:rsidRPr="004B1A50" w:rsidRDefault="004862E1" w:rsidP="00853064">
            <w:pPr>
              <w:spacing w:line="240" w:lineRule="auto"/>
              <w:rPr>
                <w:lang w:val="sk-SK"/>
              </w:rPr>
            </w:pPr>
            <w:r w:rsidRPr="004B1A50">
              <w:rPr>
                <w:lang w:val="sk-SK"/>
              </w:rPr>
              <w:t>Resuscitovan</w:t>
            </w:r>
            <w:r w:rsidR="00A045BA">
              <w:rPr>
                <w:lang w:val="sk-SK"/>
              </w:rPr>
              <w:t>é</w:t>
            </w:r>
            <w:r w:rsidRPr="004B1A50">
              <w:rPr>
                <w:lang w:val="sk-SK"/>
              </w:rPr>
              <w:t xml:space="preserve"> z</w:t>
            </w:r>
            <w:r w:rsidR="00A045BA">
              <w:rPr>
                <w:lang w:val="sk-SK"/>
              </w:rPr>
              <w:t>a</w:t>
            </w:r>
            <w:r w:rsidRPr="004B1A50">
              <w:rPr>
                <w:lang w:val="sk-SK"/>
              </w:rPr>
              <w:t>stav</w:t>
            </w:r>
            <w:r w:rsidR="00A045BA">
              <w:rPr>
                <w:lang w:val="sk-SK"/>
              </w:rPr>
              <w:t>enie</w:t>
            </w:r>
            <w:r w:rsidRPr="004B1A50">
              <w:rPr>
                <w:lang w:val="sk-SK"/>
              </w:rPr>
              <w:t xml:space="preserve"> srdca </w:t>
            </w:r>
          </w:p>
          <w:p w14:paraId="7F77F6C7" w14:textId="77777777" w:rsidR="004862E1" w:rsidRPr="004B1A50" w:rsidRDefault="004862E1" w:rsidP="00853064">
            <w:pPr>
              <w:spacing w:line="240" w:lineRule="auto"/>
              <w:rPr>
                <w:u w:val="single"/>
                <w:lang w:val="sk-SK"/>
              </w:rPr>
            </w:pPr>
            <w:r w:rsidRPr="004B1A50">
              <w:rPr>
                <w:lang w:val="sk-SK"/>
              </w:rPr>
              <w:t>Novodiagnostikované ochorenie periférnych ciev</w:t>
            </w:r>
          </w:p>
        </w:tc>
        <w:tc>
          <w:tcPr>
            <w:tcW w:w="1276" w:type="dxa"/>
          </w:tcPr>
          <w:p w14:paraId="38433930" w14:textId="77777777" w:rsidR="004862E1" w:rsidRPr="004B1A50" w:rsidRDefault="004862E1" w:rsidP="00853064">
            <w:pPr>
              <w:spacing w:line="240" w:lineRule="auto"/>
              <w:rPr>
                <w:lang w:val="sk-SK"/>
              </w:rPr>
            </w:pPr>
          </w:p>
          <w:p w14:paraId="05F5BAE3" w14:textId="77777777" w:rsidR="004862E1" w:rsidRPr="004B1A50" w:rsidRDefault="004862E1" w:rsidP="00853064">
            <w:pPr>
              <w:spacing w:line="240" w:lineRule="auto"/>
              <w:rPr>
                <w:lang w:val="sk-SK"/>
              </w:rPr>
            </w:pPr>
            <w:r w:rsidRPr="004B1A50">
              <w:rPr>
                <w:lang w:val="sk-SK"/>
              </w:rPr>
              <w:t>78 (11,8)</w:t>
            </w:r>
          </w:p>
          <w:p w14:paraId="3F0F3EC7" w14:textId="77777777" w:rsidR="004862E1" w:rsidRPr="004B1A50" w:rsidRDefault="004862E1" w:rsidP="00853064">
            <w:pPr>
              <w:spacing w:line="240" w:lineRule="auto"/>
              <w:rPr>
                <w:lang w:val="sk-SK"/>
              </w:rPr>
            </w:pPr>
            <w:r w:rsidRPr="004B1A50">
              <w:rPr>
                <w:lang w:val="sk-SK"/>
              </w:rPr>
              <w:t>51 (7,7)</w:t>
            </w:r>
          </w:p>
          <w:p w14:paraId="46E8277E" w14:textId="77777777" w:rsidR="004862E1" w:rsidRPr="004B1A50" w:rsidRDefault="004862E1" w:rsidP="00853064">
            <w:pPr>
              <w:spacing w:line="240" w:lineRule="auto"/>
              <w:rPr>
                <w:lang w:val="sk-SK"/>
              </w:rPr>
            </w:pPr>
          </w:p>
          <w:p w14:paraId="533FE663" w14:textId="77777777" w:rsidR="004862E1" w:rsidRPr="004B1A50" w:rsidRDefault="004862E1" w:rsidP="00853064">
            <w:pPr>
              <w:spacing w:line="240" w:lineRule="auto"/>
              <w:rPr>
                <w:lang w:val="sk-SK"/>
              </w:rPr>
            </w:pPr>
            <w:r w:rsidRPr="004B1A50">
              <w:rPr>
                <w:lang w:val="sk-SK"/>
              </w:rPr>
              <w:t>14 (2,1)</w:t>
            </w:r>
          </w:p>
          <w:p w14:paraId="55764718" w14:textId="77777777" w:rsidR="004862E1" w:rsidRPr="004B1A50" w:rsidRDefault="004862E1" w:rsidP="00853064">
            <w:pPr>
              <w:spacing w:line="240" w:lineRule="auto"/>
              <w:rPr>
                <w:lang w:val="sk-SK"/>
              </w:rPr>
            </w:pPr>
            <w:r w:rsidRPr="004B1A50">
              <w:rPr>
                <w:lang w:val="sk-SK"/>
              </w:rPr>
              <w:t>6 (0,9)</w:t>
            </w:r>
          </w:p>
          <w:p w14:paraId="35924979" w14:textId="77777777" w:rsidR="004862E1" w:rsidRPr="004B1A50" w:rsidRDefault="004862E1" w:rsidP="00853064">
            <w:pPr>
              <w:spacing w:line="240" w:lineRule="auto"/>
              <w:rPr>
                <w:lang w:val="sk-SK"/>
              </w:rPr>
            </w:pPr>
            <w:r w:rsidRPr="004B1A50">
              <w:rPr>
                <w:lang w:val="sk-SK"/>
              </w:rPr>
              <w:t>5 (0,8)</w:t>
            </w:r>
          </w:p>
          <w:p w14:paraId="4819740F" w14:textId="77777777" w:rsidR="004862E1" w:rsidRPr="004B1A50" w:rsidRDefault="004862E1" w:rsidP="00853064">
            <w:pPr>
              <w:spacing w:line="240" w:lineRule="auto"/>
              <w:rPr>
                <w:lang w:val="sk-SK"/>
              </w:rPr>
            </w:pPr>
          </w:p>
          <w:p w14:paraId="138639C5" w14:textId="77777777" w:rsidR="004862E1" w:rsidRPr="004B1A50" w:rsidRDefault="004862E1" w:rsidP="00853064">
            <w:pPr>
              <w:spacing w:line="240" w:lineRule="auto"/>
              <w:rPr>
                <w:lang w:val="sk-SK"/>
              </w:rPr>
            </w:pPr>
            <w:r w:rsidRPr="004B1A50">
              <w:rPr>
                <w:lang w:val="sk-SK"/>
              </w:rPr>
              <w:t>3 (0,5)</w:t>
            </w:r>
          </w:p>
          <w:p w14:paraId="1F62F7A3" w14:textId="77777777" w:rsidR="004862E1" w:rsidRPr="004B1A50" w:rsidRDefault="004862E1" w:rsidP="00853064">
            <w:pPr>
              <w:spacing w:line="240" w:lineRule="auto"/>
              <w:rPr>
                <w:lang w:val="sk-SK"/>
              </w:rPr>
            </w:pPr>
            <w:r w:rsidRPr="004B1A50">
              <w:rPr>
                <w:lang w:val="sk-SK"/>
              </w:rPr>
              <w:t>0</w:t>
            </w:r>
          </w:p>
          <w:p w14:paraId="53151B2D" w14:textId="77777777" w:rsidR="00A045BA" w:rsidRDefault="00A045BA" w:rsidP="00853064">
            <w:pPr>
              <w:spacing w:line="240" w:lineRule="auto"/>
              <w:rPr>
                <w:lang w:val="sk-SK"/>
              </w:rPr>
            </w:pPr>
          </w:p>
          <w:p w14:paraId="32C2DD1E" w14:textId="1C891C73" w:rsidR="004862E1" w:rsidRPr="004B1A50" w:rsidRDefault="004862E1" w:rsidP="00853064">
            <w:pPr>
              <w:spacing w:line="240" w:lineRule="auto"/>
              <w:rPr>
                <w:lang w:val="sk-SK"/>
              </w:rPr>
            </w:pPr>
            <w:r w:rsidRPr="004B1A50">
              <w:rPr>
                <w:lang w:val="sk-SK"/>
              </w:rPr>
              <w:t>5 (0,8)</w:t>
            </w:r>
          </w:p>
        </w:tc>
        <w:tc>
          <w:tcPr>
            <w:tcW w:w="1276" w:type="dxa"/>
          </w:tcPr>
          <w:p w14:paraId="78A98483" w14:textId="77777777" w:rsidR="004862E1" w:rsidRPr="004B1A50" w:rsidRDefault="004862E1" w:rsidP="00853064">
            <w:pPr>
              <w:spacing w:line="240" w:lineRule="auto"/>
              <w:rPr>
                <w:lang w:val="sk-SK"/>
              </w:rPr>
            </w:pPr>
          </w:p>
          <w:p w14:paraId="1A4D93C6" w14:textId="77777777" w:rsidR="004862E1" w:rsidRPr="004B1A50" w:rsidRDefault="004862E1" w:rsidP="00853064">
            <w:pPr>
              <w:spacing w:line="240" w:lineRule="auto"/>
              <w:rPr>
                <w:lang w:val="sk-SK"/>
              </w:rPr>
            </w:pPr>
            <w:r w:rsidRPr="004B1A50">
              <w:rPr>
                <w:lang w:val="sk-SK"/>
              </w:rPr>
              <w:t>103 (15,7)</w:t>
            </w:r>
          </w:p>
          <w:p w14:paraId="2D2AC1E9" w14:textId="77777777" w:rsidR="004862E1" w:rsidRPr="004B1A50" w:rsidRDefault="004862E1" w:rsidP="00853064">
            <w:pPr>
              <w:spacing w:line="240" w:lineRule="auto"/>
              <w:rPr>
                <w:lang w:val="sk-SK"/>
              </w:rPr>
            </w:pPr>
            <w:r w:rsidRPr="004B1A50">
              <w:rPr>
                <w:lang w:val="sk-SK"/>
              </w:rPr>
              <w:t>84 (12,8)</w:t>
            </w:r>
          </w:p>
          <w:p w14:paraId="5C5DDD36" w14:textId="77777777" w:rsidR="004862E1" w:rsidRPr="004B1A50" w:rsidRDefault="004862E1" w:rsidP="00853064">
            <w:pPr>
              <w:spacing w:line="240" w:lineRule="auto"/>
              <w:rPr>
                <w:lang w:val="sk-SK"/>
              </w:rPr>
            </w:pPr>
          </w:p>
          <w:p w14:paraId="17FC4B18" w14:textId="77777777" w:rsidR="004862E1" w:rsidRPr="004B1A50" w:rsidRDefault="004862E1" w:rsidP="00853064">
            <w:pPr>
              <w:spacing w:line="240" w:lineRule="auto"/>
              <w:rPr>
                <w:lang w:val="sk-SK"/>
              </w:rPr>
            </w:pPr>
            <w:r w:rsidRPr="004B1A50">
              <w:rPr>
                <w:lang w:val="sk-SK"/>
              </w:rPr>
              <w:t>19 (2,9)</w:t>
            </w:r>
          </w:p>
          <w:p w14:paraId="44D98F77" w14:textId="77777777" w:rsidR="004862E1" w:rsidRPr="004B1A50" w:rsidRDefault="004862E1" w:rsidP="00853064">
            <w:pPr>
              <w:spacing w:line="240" w:lineRule="auto"/>
              <w:rPr>
                <w:lang w:val="sk-SK"/>
              </w:rPr>
            </w:pPr>
            <w:r w:rsidRPr="004B1A50">
              <w:rPr>
                <w:lang w:val="sk-SK"/>
              </w:rPr>
              <w:t>12 (1,8)</w:t>
            </w:r>
          </w:p>
          <w:p w14:paraId="6961A776" w14:textId="77777777" w:rsidR="004862E1" w:rsidRPr="004B1A50" w:rsidRDefault="004862E1" w:rsidP="00853064">
            <w:pPr>
              <w:spacing w:line="240" w:lineRule="auto"/>
              <w:rPr>
                <w:lang w:val="sk-SK"/>
              </w:rPr>
            </w:pPr>
            <w:r w:rsidRPr="004B1A50">
              <w:rPr>
                <w:lang w:val="sk-SK"/>
              </w:rPr>
              <w:t>2 (0,3)</w:t>
            </w:r>
          </w:p>
          <w:p w14:paraId="626254E6" w14:textId="77777777" w:rsidR="004862E1" w:rsidRPr="004B1A50" w:rsidRDefault="004862E1" w:rsidP="00853064">
            <w:pPr>
              <w:spacing w:line="240" w:lineRule="auto"/>
              <w:rPr>
                <w:lang w:val="sk-SK"/>
              </w:rPr>
            </w:pPr>
          </w:p>
          <w:p w14:paraId="715FDF22" w14:textId="77777777" w:rsidR="004862E1" w:rsidRPr="004B1A50" w:rsidRDefault="004862E1" w:rsidP="00853064">
            <w:pPr>
              <w:spacing w:line="240" w:lineRule="auto"/>
              <w:rPr>
                <w:lang w:val="sk-SK"/>
              </w:rPr>
            </w:pPr>
            <w:r w:rsidRPr="004B1A50">
              <w:rPr>
                <w:lang w:val="sk-SK"/>
              </w:rPr>
              <w:t>5 (0,8)</w:t>
            </w:r>
          </w:p>
          <w:p w14:paraId="0600048E" w14:textId="77777777" w:rsidR="004862E1" w:rsidRPr="004B1A50" w:rsidRDefault="004862E1" w:rsidP="00853064">
            <w:pPr>
              <w:spacing w:line="240" w:lineRule="auto"/>
              <w:rPr>
                <w:lang w:val="sk-SK"/>
              </w:rPr>
            </w:pPr>
            <w:r w:rsidRPr="004B1A50">
              <w:rPr>
                <w:lang w:val="sk-SK"/>
              </w:rPr>
              <w:t>4 (0,6)</w:t>
            </w:r>
          </w:p>
          <w:p w14:paraId="7A4885C4" w14:textId="77777777" w:rsidR="00A045BA" w:rsidRDefault="00A045BA" w:rsidP="00853064">
            <w:pPr>
              <w:spacing w:line="240" w:lineRule="auto"/>
              <w:rPr>
                <w:lang w:val="sk-SK"/>
              </w:rPr>
            </w:pPr>
          </w:p>
          <w:p w14:paraId="49BB6FF6" w14:textId="7FF8790B" w:rsidR="004862E1" w:rsidRPr="004B1A50" w:rsidRDefault="004862E1" w:rsidP="00853064">
            <w:pPr>
              <w:spacing w:line="240" w:lineRule="auto"/>
              <w:rPr>
                <w:lang w:val="sk-SK"/>
              </w:rPr>
            </w:pPr>
            <w:r w:rsidRPr="004B1A50">
              <w:rPr>
                <w:lang w:val="sk-SK"/>
              </w:rPr>
              <w:t>2 (0,3)</w:t>
            </w:r>
          </w:p>
        </w:tc>
        <w:tc>
          <w:tcPr>
            <w:tcW w:w="1276" w:type="dxa"/>
          </w:tcPr>
          <w:p w14:paraId="36C308EF" w14:textId="77777777" w:rsidR="004862E1" w:rsidRPr="004B1A50" w:rsidRDefault="004862E1" w:rsidP="00853064">
            <w:pPr>
              <w:spacing w:line="240" w:lineRule="auto"/>
              <w:rPr>
                <w:lang w:val="sk-SK"/>
              </w:rPr>
            </w:pPr>
          </w:p>
          <w:p w14:paraId="733A871F" w14:textId="77777777" w:rsidR="004862E1" w:rsidRPr="004B1A50" w:rsidRDefault="004862E1" w:rsidP="00853064">
            <w:pPr>
              <w:spacing w:line="240" w:lineRule="auto"/>
              <w:rPr>
                <w:lang w:val="sk-SK"/>
              </w:rPr>
            </w:pPr>
            <w:r w:rsidRPr="004B1A50">
              <w:rPr>
                <w:lang w:val="sk-SK"/>
              </w:rPr>
              <w:t>95 (14,1)</w:t>
            </w:r>
          </w:p>
          <w:p w14:paraId="275EA959" w14:textId="77777777" w:rsidR="004862E1" w:rsidRPr="004B1A50" w:rsidRDefault="004862E1" w:rsidP="00853064">
            <w:pPr>
              <w:spacing w:line="240" w:lineRule="auto"/>
              <w:rPr>
                <w:lang w:val="sk-SK"/>
              </w:rPr>
            </w:pPr>
            <w:r w:rsidRPr="004B1A50">
              <w:rPr>
                <w:lang w:val="sk-SK"/>
              </w:rPr>
              <w:t>86 (12,8)</w:t>
            </w:r>
          </w:p>
          <w:p w14:paraId="7593832F" w14:textId="77777777" w:rsidR="004862E1" w:rsidRPr="004B1A50" w:rsidRDefault="004862E1" w:rsidP="00853064">
            <w:pPr>
              <w:spacing w:line="240" w:lineRule="auto"/>
              <w:rPr>
                <w:lang w:val="sk-SK"/>
              </w:rPr>
            </w:pPr>
          </w:p>
          <w:p w14:paraId="371CA9B2" w14:textId="77777777" w:rsidR="004862E1" w:rsidRPr="004B1A50" w:rsidRDefault="004862E1" w:rsidP="00853064">
            <w:pPr>
              <w:spacing w:line="240" w:lineRule="auto"/>
              <w:rPr>
                <w:lang w:val="sk-SK"/>
              </w:rPr>
            </w:pPr>
            <w:r w:rsidRPr="004B1A50">
              <w:rPr>
                <w:lang w:val="sk-SK"/>
              </w:rPr>
              <w:t>11 (1,6)</w:t>
            </w:r>
          </w:p>
          <w:p w14:paraId="61A6E2CF" w14:textId="77777777" w:rsidR="004862E1" w:rsidRPr="004B1A50" w:rsidRDefault="004862E1" w:rsidP="00853064">
            <w:pPr>
              <w:spacing w:line="240" w:lineRule="auto"/>
              <w:rPr>
                <w:lang w:val="sk-SK"/>
              </w:rPr>
            </w:pPr>
            <w:r w:rsidRPr="004B1A50">
              <w:rPr>
                <w:lang w:val="sk-SK"/>
              </w:rPr>
              <w:t>8 (1,2)</w:t>
            </w:r>
          </w:p>
          <w:p w14:paraId="5A581489" w14:textId="77777777" w:rsidR="004862E1" w:rsidRPr="004B1A50" w:rsidRDefault="004862E1" w:rsidP="00853064">
            <w:pPr>
              <w:spacing w:line="240" w:lineRule="auto"/>
              <w:rPr>
                <w:lang w:val="sk-SK"/>
              </w:rPr>
            </w:pPr>
            <w:r w:rsidRPr="004B1A50">
              <w:rPr>
                <w:lang w:val="sk-SK"/>
              </w:rPr>
              <w:t>5 (0,7)</w:t>
            </w:r>
          </w:p>
          <w:p w14:paraId="0018B6D9" w14:textId="77777777" w:rsidR="004862E1" w:rsidRPr="004B1A50" w:rsidRDefault="004862E1" w:rsidP="00853064">
            <w:pPr>
              <w:spacing w:line="240" w:lineRule="auto"/>
              <w:rPr>
                <w:lang w:val="sk-SK"/>
              </w:rPr>
            </w:pPr>
          </w:p>
          <w:p w14:paraId="4F2B4599" w14:textId="77777777" w:rsidR="004862E1" w:rsidRPr="004B1A50" w:rsidRDefault="004862E1" w:rsidP="00853064">
            <w:pPr>
              <w:spacing w:line="240" w:lineRule="auto"/>
              <w:rPr>
                <w:lang w:val="sk-SK"/>
              </w:rPr>
            </w:pPr>
            <w:r w:rsidRPr="004B1A50">
              <w:rPr>
                <w:lang w:val="sk-SK"/>
              </w:rPr>
              <w:t>4 (0,6)</w:t>
            </w:r>
          </w:p>
          <w:p w14:paraId="4A19E336" w14:textId="77777777" w:rsidR="004862E1" w:rsidRPr="004B1A50" w:rsidRDefault="004862E1" w:rsidP="00853064">
            <w:pPr>
              <w:spacing w:line="240" w:lineRule="auto"/>
              <w:rPr>
                <w:lang w:val="sk-SK"/>
              </w:rPr>
            </w:pPr>
            <w:r w:rsidRPr="004B1A50">
              <w:rPr>
                <w:lang w:val="sk-SK"/>
              </w:rPr>
              <w:t>1 (0,1)</w:t>
            </w:r>
          </w:p>
          <w:p w14:paraId="0E729018" w14:textId="77777777" w:rsidR="00A045BA" w:rsidRDefault="00A045BA" w:rsidP="00853064">
            <w:pPr>
              <w:spacing w:line="240" w:lineRule="auto"/>
              <w:rPr>
                <w:lang w:val="sk-SK"/>
              </w:rPr>
            </w:pPr>
          </w:p>
          <w:p w14:paraId="5E2E73EB" w14:textId="41E522BD" w:rsidR="004862E1" w:rsidRPr="004B1A50" w:rsidRDefault="004862E1" w:rsidP="00853064">
            <w:pPr>
              <w:spacing w:line="240" w:lineRule="auto"/>
              <w:rPr>
                <w:lang w:val="sk-SK"/>
              </w:rPr>
            </w:pPr>
            <w:r w:rsidRPr="004B1A50">
              <w:rPr>
                <w:lang w:val="sk-SK"/>
              </w:rPr>
              <w:t>8 (1,2)</w:t>
            </w:r>
          </w:p>
        </w:tc>
        <w:tc>
          <w:tcPr>
            <w:tcW w:w="1842" w:type="dxa"/>
          </w:tcPr>
          <w:p w14:paraId="3721EE64" w14:textId="77777777" w:rsidR="004862E1" w:rsidRPr="004B1A50" w:rsidRDefault="004862E1" w:rsidP="00853064">
            <w:pPr>
              <w:spacing w:line="240" w:lineRule="auto"/>
              <w:rPr>
                <w:lang w:val="sk-SK"/>
              </w:rPr>
            </w:pPr>
          </w:p>
          <w:p w14:paraId="2BC33B03" w14:textId="77777777" w:rsidR="004862E1" w:rsidRPr="004B1A50" w:rsidRDefault="004862E1" w:rsidP="00853064">
            <w:pPr>
              <w:spacing w:line="240" w:lineRule="auto"/>
              <w:rPr>
                <w:lang w:val="sk-SK"/>
              </w:rPr>
            </w:pPr>
            <w:r w:rsidRPr="004B1A50">
              <w:rPr>
                <w:lang w:val="sk-SK"/>
              </w:rPr>
              <w:t>0,73 (0,54-0,98)</w:t>
            </w:r>
          </w:p>
          <w:p w14:paraId="7BBB9CE8" w14:textId="77777777" w:rsidR="004862E1" w:rsidRPr="004B1A50" w:rsidRDefault="004862E1" w:rsidP="00853064">
            <w:pPr>
              <w:spacing w:line="240" w:lineRule="auto"/>
              <w:rPr>
                <w:lang w:val="sk-SK"/>
              </w:rPr>
            </w:pPr>
            <w:r w:rsidRPr="004B1A50">
              <w:rPr>
                <w:lang w:val="sk-SK"/>
              </w:rPr>
              <w:t>0,58 (0,41-0,82)</w:t>
            </w:r>
          </w:p>
          <w:p w14:paraId="677F60AC" w14:textId="77777777" w:rsidR="004862E1" w:rsidRPr="004B1A50" w:rsidRDefault="004862E1" w:rsidP="00853064">
            <w:pPr>
              <w:spacing w:line="240" w:lineRule="auto"/>
              <w:rPr>
                <w:lang w:val="sk-SK"/>
              </w:rPr>
            </w:pPr>
          </w:p>
          <w:p w14:paraId="1CAC9202" w14:textId="77777777" w:rsidR="004862E1" w:rsidRPr="004B1A50" w:rsidRDefault="004862E1" w:rsidP="00853064">
            <w:pPr>
              <w:spacing w:line="240" w:lineRule="auto"/>
              <w:rPr>
                <w:lang w:val="sk-SK"/>
              </w:rPr>
            </w:pPr>
            <w:r w:rsidRPr="004B1A50">
              <w:rPr>
                <w:lang w:val="sk-SK"/>
              </w:rPr>
              <w:t>0,73 (0,37-1,46)</w:t>
            </w:r>
          </w:p>
          <w:p w14:paraId="236A234E" w14:textId="77777777" w:rsidR="004862E1" w:rsidRPr="004B1A50" w:rsidRDefault="004862E1" w:rsidP="00853064">
            <w:pPr>
              <w:spacing w:line="240" w:lineRule="auto"/>
              <w:rPr>
                <w:lang w:val="sk-SK"/>
              </w:rPr>
            </w:pPr>
            <w:r w:rsidRPr="004B1A50">
              <w:rPr>
                <w:lang w:val="sk-SK"/>
              </w:rPr>
              <w:t>0,50 (0,19-1,32)</w:t>
            </w:r>
          </w:p>
          <w:p w14:paraId="39D9333D" w14:textId="77777777" w:rsidR="004862E1" w:rsidRPr="004B1A50" w:rsidRDefault="004862E1" w:rsidP="00853064">
            <w:pPr>
              <w:spacing w:line="240" w:lineRule="auto"/>
              <w:rPr>
                <w:lang w:val="sk-SK"/>
              </w:rPr>
            </w:pPr>
            <w:r w:rsidRPr="004B1A50">
              <w:rPr>
                <w:lang w:val="sk-SK"/>
              </w:rPr>
              <w:t>2,46 (0,48-12,7)</w:t>
            </w:r>
          </w:p>
          <w:p w14:paraId="5C8F8513" w14:textId="77777777" w:rsidR="004862E1" w:rsidRPr="004B1A50" w:rsidRDefault="004862E1" w:rsidP="00853064">
            <w:pPr>
              <w:spacing w:line="240" w:lineRule="auto"/>
              <w:rPr>
                <w:lang w:val="sk-SK"/>
              </w:rPr>
            </w:pPr>
          </w:p>
          <w:p w14:paraId="08F1028C" w14:textId="77777777" w:rsidR="004862E1" w:rsidRPr="004B1A50" w:rsidRDefault="004862E1" w:rsidP="00853064">
            <w:pPr>
              <w:spacing w:line="240" w:lineRule="auto"/>
              <w:rPr>
                <w:lang w:val="sk-SK"/>
              </w:rPr>
            </w:pPr>
            <w:r w:rsidRPr="004B1A50">
              <w:rPr>
                <w:lang w:val="sk-SK"/>
              </w:rPr>
              <w:t>0,59 (0,14-2,47)</w:t>
            </w:r>
          </w:p>
          <w:p w14:paraId="20FB63C4" w14:textId="77777777" w:rsidR="004862E1" w:rsidRPr="004B1A50" w:rsidRDefault="004862E1" w:rsidP="00853064">
            <w:pPr>
              <w:spacing w:line="240" w:lineRule="auto"/>
              <w:rPr>
                <w:lang w:val="sk-SK"/>
              </w:rPr>
            </w:pPr>
            <w:r w:rsidRPr="004B1A50">
              <w:rPr>
                <w:lang w:val="sk-SK"/>
              </w:rPr>
              <w:t>NA</w:t>
            </w:r>
          </w:p>
          <w:p w14:paraId="7C502CB7" w14:textId="77777777" w:rsidR="00A045BA" w:rsidRDefault="00A045BA" w:rsidP="00853064">
            <w:pPr>
              <w:spacing w:line="240" w:lineRule="auto"/>
              <w:rPr>
                <w:lang w:val="sk-SK"/>
              </w:rPr>
            </w:pPr>
          </w:p>
          <w:p w14:paraId="672F24CD" w14:textId="760D6E5F" w:rsidR="004862E1" w:rsidRPr="004B1A50" w:rsidRDefault="004862E1" w:rsidP="00853064">
            <w:pPr>
              <w:spacing w:line="240" w:lineRule="auto"/>
              <w:rPr>
                <w:lang w:val="sk-SK"/>
              </w:rPr>
            </w:pPr>
            <w:r w:rsidRPr="004B1A50">
              <w:rPr>
                <w:lang w:val="sk-SK"/>
              </w:rPr>
              <w:t>2,6 (0,50-13,4)</w:t>
            </w:r>
          </w:p>
        </w:tc>
        <w:tc>
          <w:tcPr>
            <w:tcW w:w="1276" w:type="dxa"/>
          </w:tcPr>
          <w:p w14:paraId="16A3BB12" w14:textId="77777777" w:rsidR="004862E1" w:rsidRPr="004B1A50" w:rsidRDefault="004862E1" w:rsidP="00853064">
            <w:pPr>
              <w:spacing w:line="240" w:lineRule="auto"/>
              <w:rPr>
                <w:lang w:val="sk-SK"/>
              </w:rPr>
            </w:pPr>
          </w:p>
          <w:p w14:paraId="224C58EA" w14:textId="77777777" w:rsidR="004862E1" w:rsidRPr="004B1A50" w:rsidRDefault="004862E1" w:rsidP="00853064">
            <w:pPr>
              <w:spacing w:line="240" w:lineRule="auto"/>
              <w:rPr>
                <w:lang w:val="sk-SK"/>
              </w:rPr>
            </w:pPr>
            <w:r w:rsidRPr="004B1A50">
              <w:rPr>
                <w:lang w:val="sk-SK"/>
              </w:rPr>
              <w:t>0,03</w:t>
            </w:r>
          </w:p>
          <w:p w14:paraId="65FBC566" w14:textId="77777777" w:rsidR="004862E1" w:rsidRPr="004B1A50" w:rsidRDefault="004862E1" w:rsidP="00853064">
            <w:pPr>
              <w:spacing w:line="240" w:lineRule="auto"/>
              <w:rPr>
                <w:lang w:val="sk-SK"/>
              </w:rPr>
            </w:pPr>
            <w:r w:rsidRPr="004B1A50">
              <w:rPr>
                <w:lang w:val="sk-SK"/>
              </w:rPr>
              <w:t>0,002</w:t>
            </w:r>
          </w:p>
          <w:p w14:paraId="06D0C355" w14:textId="77777777" w:rsidR="004862E1" w:rsidRPr="004B1A50" w:rsidRDefault="004862E1" w:rsidP="00853064">
            <w:pPr>
              <w:spacing w:line="240" w:lineRule="auto"/>
              <w:rPr>
                <w:lang w:val="sk-SK"/>
              </w:rPr>
            </w:pPr>
          </w:p>
          <w:p w14:paraId="11E24F3A" w14:textId="77777777" w:rsidR="004862E1" w:rsidRPr="004B1A50" w:rsidRDefault="004862E1" w:rsidP="00853064">
            <w:pPr>
              <w:spacing w:line="240" w:lineRule="auto"/>
              <w:rPr>
                <w:lang w:val="sk-SK"/>
              </w:rPr>
            </w:pPr>
            <w:r w:rsidRPr="004B1A50">
              <w:rPr>
                <w:lang w:val="sk-SK"/>
              </w:rPr>
              <w:t>0,37</w:t>
            </w:r>
          </w:p>
          <w:p w14:paraId="32061227" w14:textId="77777777" w:rsidR="004862E1" w:rsidRPr="004B1A50" w:rsidRDefault="004862E1" w:rsidP="00853064">
            <w:pPr>
              <w:spacing w:line="240" w:lineRule="auto"/>
              <w:rPr>
                <w:lang w:val="sk-SK"/>
              </w:rPr>
            </w:pPr>
            <w:r w:rsidRPr="004B1A50">
              <w:rPr>
                <w:lang w:val="sk-SK"/>
              </w:rPr>
              <w:t>0,15</w:t>
            </w:r>
          </w:p>
          <w:p w14:paraId="2DF330D8" w14:textId="77777777" w:rsidR="004862E1" w:rsidRPr="004B1A50" w:rsidRDefault="004862E1" w:rsidP="00853064">
            <w:pPr>
              <w:spacing w:line="240" w:lineRule="auto"/>
              <w:rPr>
                <w:lang w:val="sk-SK"/>
              </w:rPr>
            </w:pPr>
            <w:r w:rsidRPr="004B1A50">
              <w:rPr>
                <w:lang w:val="sk-SK"/>
              </w:rPr>
              <w:t>0,27</w:t>
            </w:r>
          </w:p>
          <w:p w14:paraId="65A59DAA" w14:textId="77777777" w:rsidR="004862E1" w:rsidRPr="004B1A50" w:rsidRDefault="004862E1" w:rsidP="00853064">
            <w:pPr>
              <w:spacing w:line="240" w:lineRule="auto"/>
              <w:rPr>
                <w:lang w:val="sk-SK"/>
              </w:rPr>
            </w:pPr>
          </w:p>
          <w:p w14:paraId="1D9E82BD" w14:textId="77777777" w:rsidR="004862E1" w:rsidRPr="004B1A50" w:rsidRDefault="004862E1" w:rsidP="00853064">
            <w:pPr>
              <w:spacing w:line="240" w:lineRule="auto"/>
              <w:rPr>
                <w:lang w:val="sk-SK"/>
              </w:rPr>
            </w:pPr>
            <w:r w:rsidRPr="004B1A50">
              <w:rPr>
                <w:lang w:val="sk-SK"/>
              </w:rPr>
              <w:t>0,46</w:t>
            </w:r>
          </w:p>
          <w:p w14:paraId="650A496D" w14:textId="77777777" w:rsidR="004862E1" w:rsidRPr="004B1A50" w:rsidRDefault="004862E1" w:rsidP="00853064">
            <w:pPr>
              <w:spacing w:line="240" w:lineRule="auto"/>
              <w:rPr>
                <w:lang w:val="sk-SK"/>
              </w:rPr>
            </w:pPr>
            <w:r w:rsidRPr="004B1A50">
              <w:rPr>
                <w:lang w:val="sk-SK"/>
              </w:rPr>
              <w:t>0,04</w:t>
            </w:r>
          </w:p>
          <w:p w14:paraId="75DF1D07" w14:textId="77777777" w:rsidR="00A045BA" w:rsidRDefault="00A045BA" w:rsidP="00853064">
            <w:pPr>
              <w:spacing w:line="240" w:lineRule="auto"/>
              <w:rPr>
                <w:lang w:val="sk-SK"/>
              </w:rPr>
            </w:pPr>
          </w:p>
          <w:p w14:paraId="56AFC059" w14:textId="299C8D22" w:rsidR="004862E1" w:rsidRPr="004B1A50" w:rsidRDefault="004862E1" w:rsidP="00853064">
            <w:pPr>
              <w:spacing w:line="240" w:lineRule="auto"/>
              <w:rPr>
                <w:lang w:val="sk-SK"/>
              </w:rPr>
            </w:pPr>
            <w:r w:rsidRPr="004B1A50">
              <w:rPr>
                <w:lang w:val="sk-SK"/>
              </w:rPr>
              <w:t>0,24</w:t>
            </w:r>
          </w:p>
        </w:tc>
      </w:tr>
    </w:tbl>
    <w:p w14:paraId="6B4BAD6D"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Skratky: </w:t>
      </w:r>
      <w:r w:rsidR="0078138B" w:rsidRPr="004B1A50">
        <w:rPr>
          <w:rFonts w:eastAsia="TimesNewRoman"/>
          <w:color w:val="000000"/>
          <w:szCs w:val="22"/>
          <w:lang w:val="sk-SK"/>
        </w:rPr>
        <w:t xml:space="preserve">KZS </w:t>
      </w:r>
      <w:r w:rsidRPr="004B1A50">
        <w:rPr>
          <w:rFonts w:eastAsia="TimesNewRoman"/>
          <w:color w:val="000000"/>
          <w:szCs w:val="22"/>
          <w:lang w:val="sk-SK"/>
        </w:rPr>
        <w:t xml:space="preserve">– kongestívne </w:t>
      </w:r>
      <w:r w:rsidR="0078138B" w:rsidRPr="004B1A50">
        <w:rPr>
          <w:rFonts w:eastAsia="TimesNewRoman"/>
          <w:color w:val="000000"/>
          <w:szCs w:val="22"/>
          <w:lang w:val="sk-SK"/>
        </w:rPr>
        <w:t>zlyhávanie srdca</w:t>
      </w:r>
      <w:r w:rsidRPr="004B1A50">
        <w:rPr>
          <w:rFonts w:eastAsia="TimesNewRoman"/>
          <w:color w:val="000000"/>
          <w:szCs w:val="22"/>
          <w:lang w:val="sk-SK"/>
        </w:rPr>
        <w:t>; IS – interval spoľahlivosti; IM – infarkt myokardu; TIA –</w:t>
      </w:r>
      <w:r w:rsidR="001B708B" w:rsidRPr="004B1A50">
        <w:rPr>
          <w:rFonts w:eastAsia="TimesNewRoman"/>
          <w:color w:val="000000"/>
          <w:szCs w:val="22"/>
          <w:lang w:val="sk-SK"/>
        </w:rPr>
        <w:t xml:space="preserve"> </w:t>
      </w:r>
      <w:r w:rsidRPr="004B1A50">
        <w:rPr>
          <w:rFonts w:eastAsia="TimesNewRoman"/>
          <w:color w:val="000000"/>
          <w:szCs w:val="22"/>
          <w:lang w:val="sk-SK"/>
        </w:rPr>
        <w:t>tranzitórny ischemický atak.</w:t>
      </w:r>
    </w:p>
    <w:p w14:paraId="51491207"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B4571E1"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Používanie u pacientov so srdcovým zlyhaním:</w:t>
      </w:r>
    </w:p>
    <w:p w14:paraId="322EAEB0"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43F069C8" w14:textId="77777777" w:rsidR="0078138B" w:rsidRPr="004B1A50" w:rsidRDefault="0078138B" w:rsidP="00853064">
      <w:pPr>
        <w:autoSpaceDE w:val="0"/>
        <w:autoSpaceDN w:val="0"/>
        <w:adjustRightInd w:val="0"/>
        <w:spacing w:line="240" w:lineRule="auto"/>
        <w:rPr>
          <w:lang w:val="sk-SK" w:eastAsia="sk-SK"/>
        </w:rPr>
      </w:pPr>
      <w:r w:rsidRPr="004B1A50">
        <w:rPr>
          <w:lang w:val="sk-SK" w:eastAsia="sk-SK"/>
        </w:rPr>
        <w:t>Hemodynamické štúdie a kontrolované klinické skúšania na základe záťažových testov u pacientov so srdcovým zlyhaním (</w:t>
      </w:r>
      <w:r w:rsidR="000A3141" w:rsidRPr="004B1A50">
        <w:rPr>
          <w:lang w:val="sk-SK" w:eastAsia="sk-SK"/>
        </w:rPr>
        <w:t xml:space="preserve">štádium </w:t>
      </w:r>
      <w:r w:rsidRPr="004B1A50">
        <w:rPr>
          <w:lang w:val="sk-SK" w:eastAsia="sk-SK"/>
        </w:rPr>
        <w:t>NYHA II – IV) preukázali, že amlodipín na základe posúdenia tolerancie fyzickej záťaže, ejekčnej frakcie ľavej komory a klinickej symptomatológie nespôsobuje klinické zhoršenie stavu.</w:t>
      </w:r>
    </w:p>
    <w:p w14:paraId="7917014F" w14:textId="77777777" w:rsidR="000A3141" w:rsidRPr="004B1A50" w:rsidRDefault="000A3141" w:rsidP="00853064">
      <w:pPr>
        <w:autoSpaceDE w:val="0"/>
        <w:autoSpaceDN w:val="0"/>
        <w:adjustRightInd w:val="0"/>
        <w:spacing w:line="240" w:lineRule="auto"/>
        <w:rPr>
          <w:lang w:val="sk-SK" w:eastAsia="sk-SK"/>
        </w:rPr>
      </w:pPr>
    </w:p>
    <w:p w14:paraId="029A23DF" w14:textId="77777777" w:rsidR="0078138B" w:rsidRPr="004B1A50" w:rsidRDefault="0078138B" w:rsidP="00853064">
      <w:pPr>
        <w:autoSpaceDE w:val="0"/>
        <w:autoSpaceDN w:val="0"/>
        <w:adjustRightInd w:val="0"/>
        <w:spacing w:line="240" w:lineRule="auto"/>
        <w:rPr>
          <w:lang w:val="sk-SK" w:eastAsia="sk-SK"/>
        </w:rPr>
      </w:pPr>
      <w:r w:rsidRPr="004B1A50">
        <w:rPr>
          <w:lang w:val="sk-SK" w:eastAsia="sk-SK"/>
        </w:rPr>
        <w:t>Placebom kontrolovaná štúdia (PRAISE) navrhnutá na hodnotenie pacientov so srdcovým zlyhaním (</w:t>
      </w:r>
      <w:r w:rsidR="000A3141" w:rsidRPr="004B1A50">
        <w:rPr>
          <w:lang w:val="sk-SK" w:eastAsia="sk-SK"/>
        </w:rPr>
        <w:t xml:space="preserve">štádium </w:t>
      </w:r>
      <w:r w:rsidRPr="004B1A50">
        <w:rPr>
          <w:lang w:val="sk-SK" w:eastAsia="sk-SK"/>
        </w:rPr>
        <w:t xml:space="preserve">NYHA II – IV), ktorí užívali digoxín, diuretiká a ACE inhibítory ukázala, že amlodipín nevedie k zvýšeniu rizika mortality alebo kombinovanej mortality a morbidity pri srdcovom zlyhaní. </w:t>
      </w:r>
    </w:p>
    <w:p w14:paraId="6E5ED257" w14:textId="77777777" w:rsidR="000A3141" w:rsidRPr="004B1A50" w:rsidRDefault="000A3141" w:rsidP="00853064">
      <w:pPr>
        <w:autoSpaceDE w:val="0"/>
        <w:autoSpaceDN w:val="0"/>
        <w:adjustRightInd w:val="0"/>
        <w:spacing w:line="240" w:lineRule="auto"/>
        <w:rPr>
          <w:lang w:val="sk-SK" w:eastAsia="sk-SK"/>
        </w:rPr>
      </w:pPr>
    </w:p>
    <w:p w14:paraId="46B83384" w14:textId="77777777" w:rsidR="00160CFC" w:rsidRPr="004B1A50" w:rsidRDefault="0078138B" w:rsidP="00853064">
      <w:pPr>
        <w:autoSpaceDE w:val="0"/>
        <w:autoSpaceDN w:val="0"/>
        <w:adjustRightInd w:val="0"/>
        <w:spacing w:line="240" w:lineRule="auto"/>
        <w:rPr>
          <w:rFonts w:eastAsia="TimesNewRoman"/>
          <w:color w:val="000000"/>
          <w:szCs w:val="22"/>
          <w:lang w:val="sk-SK"/>
        </w:rPr>
      </w:pPr>
      <w:r w:rsidRPr="004B1A50">
        <w:rPr>
          <w:lang w:val="sk-SK" w:eastAsia="sk-SK"/>
        </w:rPr>
        <w:t>V následnej dlhodobej placebom kontrolovanej štúdii (PRAISE-2) s amlodipínom u pacientov so srdcovým zlyhaním (</w:t>
      </w:r>
      <w:r w:rsidR="000A3141" w:rsidRPr="004B1A50">
        <w:rPr>
          <w:lang w:val="sk-SK" w:eastAsia="sk-SK"/>
        </w:rPr>
        <w:t xml:space="preserve">štádium </w:t>
      </w:r>
      <w:r w:rsidRPr="004B1A50">
        <w:rPr>
          <w:lang w:val="sk-SK" w:eastAsia="sk-SK"/>
        </w:rPr>
        <w:t>NYHA III a IV) bez klinických príznakov alebo objektívnych nálezov sugestívnej alebo základnej ischemickej choroby, na stabilných dávkach ACE inhibítorov, digitálisu a diuretík, amlodipín nemal žiadny vplyv na celkovú kardiovaskulárnu mortalitu. U tejto istej populácie bol amlodipín spojený so zvýšeným počtom hlásení pľúcneho edému.</w:t>
      </w:r>
    </w:p>
    <w:p w14:paraId="239D2CB1"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5FC83EB1"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u w:val="single"/>
          <w:lang w:val="sk-SK"/>
        </w:rPr>
        <w:t>Liečba zameraná na prevenciu infarktu myokardu (ALLHAT):</w:t>
      </w:r>
    </w:p>
    <w:p w14:paraId="2019F594" w14:textId="77777777" w:rsidR="00CA2C48"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Randomizovan</w:t>
      </w:r>
      <w:r w:rsidR="0078138B" w:rsidRPr="004B1A50">
        <w:rPr>
          <w:rFonts w:eastAsia="TimesNewRoman"/>
          <w:color w:val="000000"/>
          <w:szCs w:val="22"/>
          <w:lang w:val="sk-SK"/>
        </w:rPr>
        <w:t>é</w:t>
      </w:r>
      <w:r w:rsidRPr="004B1A50">
        <w:rPr>
          <w:rFonts w:eastAsia="TimesNewRoman"/>
          <w:color w:val="000000"/>
          <w:szCs w:val="22"/>
          <w:lang w:val="sk-SK"/>
        </w:rPr>
        <w:t xml:space="preserve"> dvojito-zaslepen</w:t>
      </w:r>
      <w:r w:rsidR="0078138B" w:rsidRPr="004B1A50">
        <w:rPr>
          <w:rFonts w:eastAsia="TimesNewRoman"/>
          <w:color w:val="000000"/>
          <w:szCs w:val="22"/>
          <w:lang w:val="sk-SK"/>
        </w:rPr>
        <w:t>é</w:t>
      </w:r>
      <w:r w:rsidRPr="004B1A50">
        <w:rPr>
          <w:rFonts w:eastAsia="TimesNewRoman"/>
          <w:color w:val="000000"/>
          <w:szCs w:val="22"/>
          <w:lang w:val="sk-SK"/>
        </w:rPr>
        <w:t xml:space="preserve"> morbiditno-mortalitn</w:t>
      </w:r>
      <w:r w:rsidR="0078138B" w:rsidRPr="004B1A50">
        <w:rPr>
          <w:rFonts w:eastAsia="TimesNewRoman"/>
          <w:color w:val="000000"/>
          <w:szCs w:val="22"/>
          <w:lang w:val="sk-SK"/>
        </w:rPr>
        <w:t>é</w:t>
      </w:r>
      <w:r w:rsidRPr="004B1A50">
        <w:rPr>
          <w:rFonts w:eastAsia="TimesNewRoman"/>
          <w:color w:val="000000"/>
          <w:szCs w:val="22"/>
          <w:lang w:val="sk-SK"/>
        </w:rPr>
        <w:t xml:space="preserve"> </w:t>
      </w:r>
      <w:r w:rsidR="0078138B" w:rsidRPr="004B1A50">
        <w:rPr>
          <w:rFonts w:eastAsia="TimesNewRoman"/>
          <w:color w:val="000000"/>
          <w:szCs w:val="22"/>
          <w:lang w:val="sk-SK"/>
        </w:rPr>
        <w:t>skúšanie</w:t>
      </w:r>
      <w:r w:rsidRPr="004B1A50">
        <w:rPr>
          <w:rFonts w:eastAsia="TimesNewRoman"/>
          <w:color w:val="000000"/>
          <w:szCs w:val="22"/>
          <w:lang w:val="sk-SK"/>
        </w:rPr>
        <w:t xml:space="preserve"> </w:t>
      </w:r>
      <w:r w:rsidR="00CA2C48" w:rsidRPr="004B1A50">
        <w:rPr>
          <w:rFonts w:eastAsia="TimesNewRoman"/>
          <w:color w:val="000000"/>
          <w:szCs w:val="22"/>
          <w:lang w:val="sk-SK"/>
        </w:rPr>
        <w:t>nazvané</w:t>
      </w:r>
      <w:r w:rsidRPr="004B1A50">
        <w:rPr>
          <w:rFonts w:eastAsia="TimesNewRoman"/>
          <w:color w:val="000000"/>
          <w:szCs w:val="22"/>
          <w:lang w:val="sk-SK"/>
        </w:rPr>
        <w:t xml:space="preserve"> </w:t>
      </w:r>
      <w:r w:rsidR="0078138B" w:rsidRPr="004B1A50">
        <w:rPr>
          <w:lang w:val="sk-SK" w:eastAsia="sk-SK"/>
        </w:rPr>
        <w:t>Klinické skúšanie zamerané na antihypertenznú a hypolipidemickú liečbu za účelom prevencie infarktu myokardu</w:t>
      </w:r>
      <w:r w:rsidR="00CA2C48" w:rsidRPr="004B1A50">
        <w:rPr>
          <w:lang w:val="sk-SK" w:eastAsia="sk-SK"/>
        </w:rPr>
        <w:t xml:space="preserve"> (ALLHAT “Antihypertensive and Lipid-Lowering Treatment to Prevent Heart Attack Trial“)</w:t>
      </w:r>
      <w:r w:rsidR="00DA4C2D" w:rsidRPr="004B1A50">
        <w:rPr>
          <w:lang w:val="sk-SK" w:eastAsia="sk-SK"/>
        </w:rPr>
        <w:t xml:space="preserve"> </w:t>
      </w:r>
      <w:r w:rsidRPr="004B1A50">
        <w:rPr>
          <w:rFonts w:eastAsia="TimesNewRoman"/>
          <w:color w:val="000000"/>
          <w:szCs w:val="22"/>
          <w:lang w:val="sk-SK"/>
        </w:rPr>
        <w:t>bol</w:t>
      </w:r>
      <w:r w:rsidR="00CA2C48" w:rsidRPr="004B1A50">
        <w:rPr>
          <w:rFonts w:eastAsia="TimesNewRoman"/>
          <w:color w:val="000000"/>
          <w:szCs w:val="22"/>
          <w:lang w:val="sk-SK"/>
        </w:rPr>
        <w:t>o</w:t>
      </w:r>
      <w:r w:rsidRPr="004B1A50">
        <w:rPr>
          <w:rFonts w:eastAsia="TimesNewRoman"/>
          <w:color w:val="000000"/>
          <w:szCs w:val="22"/>
          <w:lang w:val="sk-SK"/>
        </w:rPr>
        <w:t xml:space="preserve"> </w:t>
      </w:r>
      <w:r w:rsidRPr="004B1A50">
        <w:rPr>
          <w:rFonts w:eastAsia="TimesNewRoman"/>
          <w:color w:val="000000"/>
          <w:szCs w:val="22"/>
          <w:lang w:val="sk-SK"/>
        </w:rPr>
        <w:lastRenderedPageBreak/>
        <w:t>vykonan</w:t>
      </w:r>
      <w:r w:rsidR="00CA2C48" w:rsidRPr="004B1A50">
        <w:rPr>
          <w:rFonts w:eastAsia="TimesNewRoman"/>
          <w:color w:val="000000"/>
          <w:szCs w:val="22"/>
          <w:lang w:val="sk-SK"/>
        </w:rPr>
        <w:t>é</w:t>
      </w:r>
      <w:r w:rsidRPr="004B1A50">
        <w:rPr>
          <w:rFonts w:eastAsia="TimesNewRoman"/>
          <w:color w:val="000000"/>
          <w:szCs w:val="22"/>
          <w:lang w:val="sk-SK"/>
        </w:rPr>
        <w:t xml:space="preserve"> na porovnanie terapie novšími liekmi:</w:t>
      </w:r>
      <w:r w:rsidR="001B708B" w:rsidRPr="004B1A50">
        <w:rPr>
          <w:rFonts w:eastAsia="TimesNewRoman"/>
          <w:color w:val="000000"/>
          <w:szCs w:val="22"/>
          <w:lang w:val="sk-SK"/>
        </w:rPr>
        <w:t xml:space="preserve"> </w:t>
      </w:r>
      <w:r w:rsidRPr="004B1A50">
        <w:rPr>
          <w:rFonts w:eastAsia="TimesNewRoman"/>
          <w:color w:val="000000"/>
          <w:szCs w:val="22"/>
          <w:lang w:val="sk-SK"/>
        </w:rPr>
        <w:t>amlodipínom 2,5 – 10 mg/deň (blokátor kalciového kanála) alebo lizinoprilom 10 – 40 mg/deň (inhibítor ACE) ako liekov prvej voľby</w:t>
      </w:r>
      <w:r w:rsidR="00EA73D5" w:rsidRPr="004B1A50">
        <w:rPr>
          <w:rFonts w:eastAsia="TimesNewRoman"/>
          <w:color w:val="000000"/>
          <w:szCs w:val="22"/>
          <w:lang w:val="sk-SK"/>
        </w:rPr>
        <w:t xml:space="preserve"> </w:t>
      </w:r>
      <w:r w:rsidRPr="004B1A50">
        <w:rPr>
          <w:rFonts w:eastAsia="TimesNewRoman"/>
          <w:color w:val="000000"/>
          <w:szCs w:val="22"/>
          <w:lang w:val="sk-SK"/>
        </w:rPr>
        <w:t>s liečbou tiazidovým diuretikom chlórtalidónom 12,5 – 25 mg/deň pri miernej až stredne závažnej hypertenzii.</w:t>
      </w:r>
    </w:p>
    <w:p w14:paraId="1EEEEA1C"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4E98089E"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Celkovo bolo randomizovaných 33 357 pacientov s hypertenziou vo veku 55 rokov alebo starších, ktorí pokračovali v liečbe v priemere 4,9</w:t>
      </w:r>
      <w:r w:rsidR="00EA73D5" w:rsidRPr="004B1A50">
        <w:rPr>
          <w:rFonts w:eastAsia="TimesNewRoman"/>
          <w:color w:val="000000"/>
          <w:szCs w:val="22"/>
          <w:lang w:val="sk-SK"/>
        </w:rPr>
        <w:t xml:space="preserve"> </w:t>
      </w:r>
      <w:r w:rsidRPr="004B1A50">
        <w:rPr>
          <w:rFonts w:eastAsia="TimesNewRoman"/>
          <w:color w:val="000000"/>
          <w:szCs w:val="22"/>
          <w:lang w:val="sk-SK"/>
        </w:rPr>
        <w:t>roka. Pacienti mali aspoň jeden ďalší rizikový faktor KCHS vrátane prekonaného infarktu myokardu alebo</w:t>
      </w:r>
      <w:r w:rsidR="00EA73D5" w:rsidRPr="004B1A50">
        <w:rPr>
          <w:rFonts w:eastAsia="TimesNewRoman"/>
          <w:color w:val="000000"/>
          <w:szCs w:val="22"/>
          <w:lang w:val="sk-SK"/>
        </w:rPr>
        <w:t xml:space="preserve"> </w:t>
      </w:r>
      <w:r w:rsidRPr="004B1A50">
        <w:rPr>
          <w:rFonts w:eastAsia="TimesNewRoman"/>
          <w:color w:val="000000"/>
          <w:szCs w:val="22"/>
          <w:lang w:val="sk-SK"/>
        </w:rPr>
        <w:t>cievnej mozgovej príhody &gt; 6 mesiacov pred zaradením do štúdie alebo dokumentované iné aterosklerotické kardiovaskulárne ochorenie (celkom 51,5 %), diabetes typu 2</w:t>
      </w:r>
      <w:r w:rsidR="001B708B" w:rsidRPr="004B1A50">
        <w:rPr>
          <w:rFonts w:eastAsia="TimesNewRoman"/>
          <w:color w:val="000000"/>
          <w:szCs w:val="22"/>
          <w:lang w:val="sk-SK"/>
        </w:rPr>
        <w:t xml:space="preserve"> </w:t>
      </w:r>
      <w:r w:rsidRPr="004B1A50">
        <w:rPr>
          <w:rFonts w:eastAsia="TimesNewRoman"/>
          <w:color w:val="000000"/>
          <w:szCs w:val="22"/>
          <w:lang w:val="sk-SK"/>
        </w:rPr>
        <w:t>(36,1 %), HDL-C &lt; 35 mg/dl (11,6 %), hypertrofiu ľavej komory diagnostikovanú pomocou elektrokardiogramu</w:t>
      </w:r>
      <w:r w:rsidR="00EA73D5" w:rsidRPr="004B1A50">
        <w:rPr>
          <w:rFonts w:eastAsia="TimesNewRoman"/>
          <w:color w:val="000000"/>
          <w:szCs w:val="22"/>
          <w:lang w:val="sk-SK"/>
        </w:rPr>
        <w:t xml:space="preserve"> </w:t>
      </w:r>
      <w:r w:rsidRPr="004B1A50">
        <w:rPr>
          <w:rFonts w:eastAsia="TimesNewRoman"/>
          <w:color w:val="000000"/>
          <w:szCs w:val="22"/>
          <w:lang w:val="sk-SK"/>
        </w:rPr>
        <w:t>alebo echokardiogr</w:t>
      </w:r>
      <w:r w:rsidR="00E2623E" w:rsidRPr="004B1A50">
        <w:rPr>
          <w:rFonts w:eastAsia="TimesNewRoman"/>
          <w:color w:val="000000"/>
          <w:szCs w:val="22"/>
          <w:lang w:val="sk-SK"/>
        </w:rPr>
        <w:t>aficky</w:t>
      </w:r>
      <w:r w:rsidRPr="004B1A50">
        <w:rPr>
          <w:rFonts w:eastAsia="TimesNewRoman"/>
          <w:color w:val="000000"/>
          <w:szCs w:val="22"/>
          <w:lang w:val="sk-SK"/>
        </w:rPr>
        <w:t xml:space="preserve"> (20,9 %), fajčenie cigariet v súčasnosti (21,9 %).</w:t>
      </w:r>
    </w:p>
    <w:p w14:paraId="398F6413"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4CFEFC1A" w14:textId="77777777" w:rsidR="00E2623E" w:rsidRPr="004B1A50" w:rsidRDefault="00E2623E" w:rsidP="000A3141">
      <w:pPr>
        <w:autoSpaceDE w:val="0"/>
        <w:autoSpaceDN w:val="0"/>
        <w:adjustRightInd w:val="0"/>
        <w:spacing w:line="240" w:lineRule="auto"/>
        <w:rPr>
          <w:lang w:val="sk-SK" w:eastAsia="sk-SK"/>
        </w:rPr>
      </w:pPr>
      <w:r w:rsidRPr="004B1A50">
        <w:rPr>
          <w:lang w:val="sk-SK" w:eastAsia="sk-SK"/>
        </w:rPr>
        <w:t>Primárny cieľový ukazovateľ bol kombináciou fatálnej ICHS alebo nefatálneho infarktu myokardu. V primárnom cieľovom ukazovate</w:t>
      </w:r>
      <w:r w:rsidR="006E0877" w:rsidRPr="004B1A50">
        <w:rPr>
          <w:lang w:val="sk-SK" w:eastAsia="sk-SK"/>
        </w:rPr>
        <w:t>l</w:t>
      </w:r>
      <w:r w:rsidRPr="004B1A50">
        <w:rPr>
          <w:lang w:val="sk-SK" w:eastAsia="sk-SK"/>
        </w:rPr>
        <w:t xml:space="preserve">i nebol signifikantný rozdiel medzi amlodipínovou liečbou a chlórtalidónovou liečbou: RR 0,98 (95 % IS [0,90–1,07] p = 0,65). Medzi sekundárnymi cieľovými ukazovateľmi bola incidencia srdcového zlyhania (súčasť kompozitného zloženého kardio-vaskulárneho cieľového ukazovateľa) v amlodipínovej skupine v porovnaní s chlórtalidónovou skupinou významne vyššia (10,2 % vs. 7,7 %, RR 1,38, (95 % IS [1,25–1,52] p &lt; 0,001). Nebol však žiadny signifikantný rozdiel v mortalite z akejkoľvek príčiny medzi amlodipínovou liečbou a chlórtalidónovou liečbou: RR 0,96 (95 % IS [0,89 – 1,02] p = 0,20). </w:t>
      </w:r>
    </w:p>
    <w:p w14:paraId="6D1A4B0F" w14:textId="77777777" w:rsidR="00160CFC" w:rsidRPr="004B1A50" w:rsidRDefault="00160CFC" w:rsidP="000A3141">
      <w:pPr>
        <w:spacing w:line="240" w:lineRule="auto"/>
        <w:rPr>
          <w:bCs/>
          <w:iCs/>
          <w:szCs w:val="22"/>
          <w:lang w:val="sk-SK"/>
        </w:rPr>
      </w:pPr>
    </w:p>
    <w:p w14:paraId="24BE6195" w14:textId="77777777" w:rsidR="00160CFC" w:rsidRPr="004B1A50" w:rsidRDefault="00160CFC" w:rsidP="000A3141">
      <w:pPr>
        <w:numPr>
          <w:ilvl w:val="0"/>
          <w:numId w:val="9"/>
        </w:numPr>
        <w:tabs>
          <w:tab w:val="clear" w:pos="567"/>
        </w:tabs>
        <w:spacing w:line="240" w:lineRule="auto"/>
        <w:ind w:left="567" w:hanging="567"/>
        <w:rPr>
          <w:lang w:val="sk-SK"/>
        </w:rPr>
      </w:pPr>
      <w:r w:rsidRPr="004B1A50">
        <w:rPr>
          <w:b/>
          <w:bCs/>
          <w:lang w:val="sk-SK"/>
        </w:rPr>
        <w:t>Farmakokinetické vlastnosti</w:t>
      </w:r>
    </w:p>
    <w:p w14:paraId="36B25098" w14:textId="77777777" w:rsidR="00160CFC" w:rsidRPr="004B1A50" w:rsidRDefault="00160CFC" w:rsidP="000A3141">
      <w:pPr>
        <w:autoSpaceDE w:val="0"/>
        <w:autoSpaceDN w:val="0"/>
        <w:adjustRightInd w:val="0"/>
        <w:spacing w:line="240" w:lineRule="auto"/>
        <w:rPr>
          <w:rFonts w:eastAsia="TimesNewRoman"/>
          <w:color w:val="000000"/>
          <w:szCs w:val="22"/>
          <w:lang w:val="sk-SK"/>
        </w:rPr>
      </w:pPr>
    </w:p>
    <w:p w14:paraId="71CAAB49" w14:textId="77777777" w:rsidR="00DB7ADD" w:rsidRPr="004B1A50" w:rsidRDefault="00160CFC" w:rsidP="000A3141">
      <w:pPr>
        <w:spacing w:line="240" w:lineRule="auto"/>
        <w:rPr>
          <w:lang w:val="sk-SK" w:eastAsia="sk-SK"/>
        </w:rPr>
      </w:pPr>
      <w:r w:rsidRPr="004B1A50">
        <w:rPr>
          <w:rFonts w:eastAsia="TimesNewRoman"/>
          <w:color w:val="000000"/>
          <w:szCs w:val="22"/>
          <w:lang w:val="sk-SK"/>
        </w:rPr>
        <w:t xml:space="preserve">Rýchlosť a </w:t>
      </w:r>
      <w:r w:rsidR="00DB7ADD" w:rsidRPr="004B1A50">
        <w:rPr>
          <w:rFonts w:eastAsia="TimesNewRoman"/>
          <w:color w:val="000000"/>
          <w:szCs w:val="22"/>
          <w:lang w:val="sk-SK"/>
        </w:rPr>
        <w:t xml:space="preserve">miera </w:t>
      </w:r>
      <w:r w:rsidRPr="004B1A50">
        <w:rPr>
          <w:rFonts w:eastAsia="TimesNewRoman"/>
          <w:color w:val="000000"/>
          <w:szCs w:val="22"/>
          <w:lang w:val="sk-SK"/>
        </w:rPr>
        <w:t>absorpcie perindoprilu a amlodipínu z</w:t>
      </w:r>
      <w:r w:rsidR="000A3141" w:rsidRPr="004B1A50">
        <w:rPr>
          <w:rFonts w:eastAsia="TimesNewRoman"/>
          <w:color w:val="000000"/>
          <w:szCs w:val="22"/>
          <w:lang w:val="sk-SK"/>
        </w:rPr>
        <w:t xml:space="preserve"> fixnej </w:t>
      </w:r>
      <w:r w:rsidRPr="004B1A50">
        <w:rPr>
          <w:rFonts w:eastAsia="TimesNewRoman"/>
          <w:color w:val="000000"/>
          <w:szCs w:val="22"/>
          <w:lang w:val="sk-SK"/>
        </w:rPr>
        <w:t>kombinácie perindoprilu a</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amlodipínu </w:t>
      </w:r>
      <w:r w:rsidR="00DB7ADD" w:rsidRPr="004B1A50">
        <w:rPr>
          <w:lang w:val="sk-SK" w:eastAsia="sk-SK"/>
        </w:rPr>
        <w:t>nie sú významne rozdielne v porovnaní s rýchlosťou a mierou absorpcie perindoprilu a amlodipínu zo samostatných tabletových foriem.</w:t>
      </w:r>
    </w:p>
    <w:p w14:paraId="071A0815" w14:textId="77777777" w:rsidR="00160CFC" w:rsidRPr="004B1A50" w:rsidRDefault="00160CFC" w:rsidP="000A3141">
      <w:pPr>
        <w:autoSpaceDE w:val="0"/>
        <w:autoSpaceDN w:val="0"/>
        <w:adjustRightInd w:val="0"/>
        <w:spacing w:line="240" w:lineRule="auto"/>
        <w:rPr>
          <w:rFonts w:eastAsia="TimesNewRoman,Italic"/>
          <w:i/>
          <w:iCs/>
          <w:color w:val="000000"/>
          <w:szCs w:val="22"/>
          <w:lang w:val="sk-SK"/>
        </w:rPr>
      </w:pPr>
    </w:p>
    <w:p w14:paraId="0CB4CB26" w14:textId="77777777" w:rsidR="00160CFC" w:rsidRPr="004B1A50" w:rsidRDefault="00160CFC" w:rsidP="000A3141">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Perindopril</w:t>
      </w:r>
    </w:p>
    <w:p w14:paraId="0EE22927" w14:textId="77777777" w:rsidR="00160CFC" w:rsidRPr="004B1A50" w:rsidRDefault="00160CFC" w:rsidP="000A3141">
      <w:pPr>
        <w:autoSpaceDE w:val="0"/>
        <w:autoSpaceDN w:val="0"/>
        <w:adjustRightInd w:val="0"/>
        <w:spacing w:line="240" w:lineRule="auto"/>
        <w:rPr>
          <w:rFonts w:eastAsia="TimesNewRoman"/>
          <w:color w:val="000000"/>
          <w:szCs w:val="22"/>
          <w:u w:val="single"/>
          <w:lang w:val="sk-SK"/>
        </w:rPr>
      </w:pPr>
    </w:p>
    <w:p w14:paraId="1551876D"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 perorálnom podaní je absorpcia perindoprilu rýchla a maximálna koncentrácia sa dosiahne</w:t>
      </w:r>
      <w:r w:rsidR="00EA73D5" w:rsidRPr="004B1A50">
        <w:rPr>
          <w:rFonts w:eastAsia="TimesNewRoman"/>
          <w:color w:val="000000"/>
          <w:szCs w:val="22"/>
          <w:lang w:val="sk-SK"/>
        </w:rPr>
        <w:t xml:space="preserve"> </w:t>
      </w:r>
      <w:r w:rsidRPr="004B1A50">
        <w:rPr>
          <w:rFonts w:eastAsia="TimesNewRoman"/>
          <w:color w:val="000000"/>
          <w:szCs w:val="22"/>
          <w:lang w:val="sk-SK"/>
        </w:rPr>
        <w:t>v priebehu 1 hodiny. Plazmatický polčas perindoprilu je 1 hodina.</w:t>
      </w:r>
    </w:p>
    <w:p w14:paraId="73C5144C" w14:textId="77777777" w:rsidR="000A3141" w:rsidRPr="004B1A50" w:rsidRDefault="000A3141" w:rsidP="000A3141">
      <w:pPr>
        <w:autoSpaceDE w:val="0"/>
        <w:autoSpaceDN w:val="0"/>
        <w:adjustRightInd w:val="0"/>
        <w:spacing w:line="240" w:lineRule="auto"/>
        <w:rPr>
          <w:rFonts w:eastAsia="TimesNewRoman"/>
          <w:color w:val="000000"/>
          <w:szCs w:val="22"/>
          <w:lang w:val="sk-SK"/>
        </w:rPr>
      </w:pPr>
    </w:p>
    <w:p w14:paraId="6AA88E2F"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Perindopril je </w:t>
      </w:r>
      <w:r w:rsidR="00DB7ADD" w:rsidRPr="004B1A50">
        <w:rPr>
          <w:rFonts w:eastAsia="TimesNewRoman"/>
          <w:color w:val="000000"/>
          <w:szCs w:val="22"/>
          <w:lang w:val="sk-SK"/>
        </w:rPr>
        <w:t>prodrug</w:t>
      </w:r>
      <w:r w:rsidR="00853064" w:rsidRPr="004B1A50">
        <w:rPr>
          <w:rFonts w:eastAsia="TimesNewRoman"/>
          <w:color w:val="000000"/>
          <w:szCs w:val="22"/>
          <w:lang w:val="sk-SK"/>
        </w:rPr>
        <w:t xml:space="preserve">. </w:t>
      </w:r>
      <w:r w:rsidRPr="004B1A50">
        <w:rPr>
          <w:rFonts w:eastAsia="TimesNewRoman"/>
          <w:color w:val="000000"/>
          <w:szCs w:val="22"/>
          <w:lang w:val="sk-SK"/>
        </w:rPr>
        <w:t>Dvadsaťsedem percent podanej dávky perindoprilu sa dostane do</w:t>
      </w:r>
      <w:r w:rsidR="001B708B" w:rsidRPr="004B1A50">
        <w:rPr>
          <w:rFonts w:eastAsia="TimesNewRoman"/>
          <w:color w:val="000000"/>
          <w:szCs w:val="22"/>
          <w:lang w:val="sk-SK"/>
        </w:rPr>
        <w:t xml:space="preserve"> </w:t>
      </w:r>
      <w:r w:rsidRPr="004B1A50">
        <w:rPr>
          <w:rFonts w:eastAsia="TimesNewRoman"/>
          <w:color w:val="000000"/>
          <w:szCs w:val="22"/>
          <w:lang w:val="sk-SK"/>
        </w:rPr>
        <w:t>krvného obehu ako aktívny metabolit perindoprilát. Okrem aktívneho perindoprilátu poskytuje perindopril ďalších päť</w:t>
      </w:r>
      <w:r w:rsidR="00EA73D5" w:rsidRPr="004B1A50">
        <w:rPr>
          <w:rFonts w:eastAsia="TimesNewRoman"/>
          <w:color w:val="000000"/>
          <w:szCs w:val="22"/>
          <w:lang w:val="sk-SK"/>
        </w:rPr>
        <w:t xml:space="preserve"> </w:t>
      </w:r>
      <w:r w:rsidRPr="004B1A50">
        <w:rPr>
          <w:rFonts w:eastAsia="TimesNewRoman"/>
          <w:color w:val="000000"/>
          <w:szCs w:val="22"/>
          <w:lang w:val="sk-SK"/>
        </w:rPr>
        <w:t>metabolitov, ktoré sú všetky neaktívne. Maximálna plazmatická koncentrácia perindoprilátu sa dosiahne v priebehu 3 až 4 hodín.</w:t>
      </w:r>
    </w:p>
    <w:p w14:paraId="5F63948A" w14:textId="77777777" w:rsidR="000A3141" w:rsidRPr="004B1A50" w:rsidRDefault="000A3141" w:rsidP="000A3141">
      <w:pPr>
        <w:autoSpaceDE w:val="0"/>
        <w:autoSpaceDN w:val="0"/>
        <w:adjustRightInd w:val="0"/>
        <w:spacing w:line="240" w:lineRule="auto"/>
        <w:rPr>
          <w:rFonts w:eastAsia="TimesNewRoman"/>
          <w:color w:val="000000"/>
          <w:szCs w:val="22"/>
          <w:lang w:val="sk-SK"/>
        </w:rPr>
      </w:pPr>
    </w:p>
    <w:p w14:paraId="0A464874"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Keďže požitie jedla znižuje premenu na perindoprilát, a tým aj biodostupnosť, soľ perindoprilu </w:t>
      </w:r>
      <w:r w:rsidRPr="004B1A50">
        <w:rPr>
          <w:rFonts w:eastAsia="TimesNewRoman"/>
          <w:i/>
          <w:color w:val="000000"/>
          <w:szCs w:val="22"/>
          <w:lang w:val="sk-SK"/>
        </w:rPr>
        <w:t>terc-</w:t>
      </w:r>
      <w:r w:rsidRPr="004B1A50">
        <w:rPr>
          <w:rFonts w:eastAsia="TimesNewRoman"/>
          <w:color w:val="000000"/>
          <w:szCs w:val="22"/>
          <w:lang w:val="sk-SK"/>
        </w:rPr>
        <w:t>butylamínu sa má</w:t>
      </w:r>
      <w:r w:rsidR="00EA73D5" w:rsidRPr="004B1A50">
        <w:rPr>
          <w:rFonts w:eastAsia="TimesNewRoman"/>
          <w:color w:val="000000"/>
          <w:szCs w:val="22"/>
          <w:lang w:val="sk-SK"/>
        </w:rPr>
        <w:t xml:space="preserve"> </w:t>
      </w:r>
      <w:r w:rsidRPr="004B1A50">
        <w:rPr>
          <w:rFonts w:eastAsia="TimesNewRoman"/>
          <w:color w:val="000000"/>
          <w:szCs w:val="22"/>
          <w:lang w:val="sk-SK"/>
        </w:rPr>
        <w:t>podávať perorálne v jednorazovej dennej dávke ráno pred jedlom.</w:t>
      </w:r>
    </w:p>
    <w:p w14:paraId="45564735"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Bol dokázaný lineárny vzťah medzi dávkou perindoprilu a jeho expozíciou v plazme.</w:t>
      </w:r>
    </w:p>
    <w:p w14:paraId="19F69785" w14:textId="77777777" w:rsidR="00160CFC" w:rsidRPr="004B1A50" w:rsidRDefault="00160CFC" w:rsidP="000A3141">
      <w:pPr>
        <w:autoSpaceDE w:val="0"/>
        <w:autoSpaceDN w:val="0"/>
        <w:adjustRightInd w:val="0"/>
        <w:spacing w:line="240" w:lineRule="auto"/>
        <w:rPr>
          <w:rFonts w:eastAsia="TimesNewRoman"/>
          <w:color w:val="000000"/>
          <w:szCs w:val="22"/>
          <w:lang w:val="sk-SK"/>
        </w:rPr>
      </w:pPr>
    </w:p>
    <w:p w14:paraId="241F85EF"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Distribučný objem neviazaného perindoprilátu je približne 0,2 l/kg. Väzba perindoprilátu</w:t>
      </w:r>
      <w:r w:rsidR="00EA73D5" w:rsidRPr="004B1A50">
        <w:rPr>
          <w:rFonts w:eastAsia="TimesNewRoman"/>
          <w:color w:val="000000"/>
          <w:szCs w:val="22"/>
          <w:lang w:val="sk-SK"/>
        </w:rPr>
        <w:t xml:space="preserve"> </w:t>
      </w:r>
      <w:r w:rsidRPr="004B1A50">
        <w:rPr>
          <w:rFonts w:eastAsia="TimesNewRoman"/>
          <w:color w:val="000000"/>
          <w:szCs w:val="22"/>
          <w:lang w:val="sk-SK"/>
        </w:rPr>
        <w:t>na plazmatické bielkoviny je 20 %, prevažne na angiotenzín konvertujúci enzým, ale je závislá od koncentrácie.</w:t>
      </w:r>
      <w:r w:rsidR="000A3141" w:rsidRPr="004B1A50">
        <w:rPr>
          <w:rFonts w:eastAsia="TimesNewRoman"/>
          <w:color w:val="000000"/>
          <w:szCs w:val="22"/>
          <w:lang w:val="sk-SK"/>
        </w:rPr>
        <w:t xml:space="preserve"> </w:t>
      </w:r>
      <w:r w:rsidRPr="004B1A50">
        <w:rPr>
          <w:rFonts w:eastAsia="TimesNewRoman"/>
          <w:color w:val="000000"/>
          <w:szCs w:val="22"/>
          <w:lang w:val="sk-SK"/>
        </w:rPr>
        <w:t>Perindoprilát sa vylučuje močom a konečný polčas neviazanej frakcie je približne 17</w:t>
      </w:r>
      <w:r w:rsidR="00EA73D5" w:rsidRPr="004B1A50">
        <w:rPr>
          <w:rFonts w:eastAsia="TimesNewRoman"/>
          <w:color w:val="000000"/>
          <w:szCs w:val="22"/>
          <w:lang w:val="sk-SK"/>
        </w:rPr>
        <w:t xml:space="preserve"> </w:t>
      </w:r>
      <w:r w:rsidRPr="004B1A50">
        <w:rPr>
          <w:rFonts w:eastAsia="TimesNewRoman"/>
          <w:color w:val="000000"/>
          <w:szCs w:val="22"/>
          <w:lang w:val="sk-SK"/>
        </w:rPr>
        <w:t>hodín, takže rovnovážny stav sa dosiahne v priebehu 4 dní.</w:t>
      </w:r>
    </w:p>
    <w:p w14:paraId="6861F9A3" w14:textId="77777777" w:rsidR="000A3141" w:rsidRPr="004B1A50" w:rsidRDefault="000A3141" w:rsidP="000A3141">
      <w:pPr>
        <w:autoSpaceDE w:val="0"/>
        <w:autoSpaceDN w:val="0"/>
        <w:adjustRightInd w:val="0"/>
        <w:spacing w:line="240" w:lineRule="auto"/>
        <w:rPr>
          <w:rFonts w:eastAsia="TimesNewRoman"/>
          <w:color w:val="000000"/>
          <w:szCs w:val="22"/>
          <w:lang w:val="sk-SK"/>
        </w:rPr>
      </w:pPr>
    </w:p>
    <w:p w14:paraId="11B2DDED" w14:textId="77777777" w:rsidR="00DB7ADD" w:rsidRPr="004B1A50" w:rsidRDefault="00160CFC" w:rsidP="000A3141">
      <w:pPr>
        <w:spacing w:line="240" w:lineRule="auto"/>
        <w:rPr>
          <w:lang w:val="sk-SK" w:eastAsia="sk-SK"/>
        </w:rPr>
      </w:pPr>
      <w:r w:rsidRPr="004B1A50">
        <w:rPr>
          <w:rFonts w:eastAsia="TimesNewRoman"/>
          <w:color w:val="000000"/>
          <w:szCs w:val="22"/>
          <w:lang w:val="sk-SK"/>
        </w:rPr>
        <w:t>Vylučovanie perindoprilátu je znížené u starších osôb a tiež u pacientov so srdcovým alebo renálnym zlyhaním (pozri</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časť 4.2). </w:t>
      </w:r>
      <w:r w:rsidR="00DB7ADD" w:rsidRPr="004B1A50">
        <w:rPr>
          <w:lang w:val="sk-SK" w:eastAsia="sk-SK"/>
        </w:rPr>
        <w:t xml:space="preserve">Preto je súčasťou bežnej lekárskej praxe časté monitorovanie kaliémie a hladín kreatinínu. </w:t>
      </w:r>
    </w:p>
    <w:p w14:paraId="15F87C4E" w14:textId="77777777" w:rsidR="000A3141" w:rsidRPr="004B1A50" w:rsidRDefault="000A3141" w:rsidP="000A3141">
      <w:pPr>
        <w:spacing w:line="240" w:lineRule="auto"/>
        <w:rPr>
          <w:lang w:val="sk-SK" w:eastAsia="sk-SK"/>
        </w:rPr>
      </w:pPr>
    </w:p>
    <w:p w14:paraId="78C58071"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Dialyzačný klírens perindoprilátu je 70 ml/min.</w:t>
      </w:r>
    </w:p>
    <w:p w14:paraId="4BDD7386" w14:textId="77777777" w:rsidR="000A3141" w:rsidRPr="004B1A50" w:rsidRDefault="000A3141" w:rsidP="000A3141">
      <w:pPr>
        <w:autoSpaceDE w:val="0"/>
        <w:autoSpaceDN w:val="0"/>
        <w:adjustRightInd w:val="0"/>
        <w:spacing w:line="240" w:lineRule="auto"/>
        <w:rPr>
          <w:rFonts w:eastAsia="TimesNewRoman"/>
          <w:color w:val="000000"/>
          <w:szCs w:val="22"/>
          <w:lang w:val="sk-SK"/>
        </w:rPr>
      </w:pPr>
    </w:p>
    <w:p w14:paraId="09A5BAEB"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Kinetika perindoprilu je modifikovaná u pacientov s cirhózou: hepatálny klírens pôvodnej molekuly je znížený</w:t>
      </w:r>
      <w:r w:rsidR="00EA73D5" w:rsidRPr="004B1A50">
        <w:rPr>
          <w:rFonts w:eastAsia="TimesNewRoman"/>
          <w:color w:val="000000"/>
          <w:szCs w:val="22"/>
          <w:lang w:val="sk-SK"/>
        </w:rPr>
        <w:t xml:space="preserve"> </w:t>
      </w:r>
      <w:r w:rsidRPr="004B1A50">
        <w:rPr>
          <w:rFonts w:eastAsia="TimesNewRoman"/>
          <w:color w:val="000000"/>
          <w:szCs w:val="22"/>
          <w:lang w:val="sk-SK"/>
        </w:rPr>
        <w:t>o polovicu. Množstvo vytvoreného perindoprilátu však nie je znížené, a preto nie je potrebná</w:t>
      </w:r>
      <w:r w:rsidR="00584D8D" w:rsidRPr="004B1A50">
        <w:rPr>
          <w:rFonts w:eastAsia="TimesNewRoman"/>
          <w:color w:val="000000"/>
          <w:szCs w:val="22"/>
          <w:lang w:val="sk-SK"/>
        </w:rPr>
        <w:t xml:space="preserve"> </w:t>
      </w:r>
      <w:r w:rsidRPr="004B1A50">
        <w:rPr>
          <w:rFonts w:eastAsia="TimesNewRoman"/>
          <w:color w:val="000000"/>
          <w:szCs w:val="22"/>
          <w:lang w:val="sk-SK"/>
        </w:rPr>
        <w:t>úprava dávkovania (pozri časti 4.2 a 4.4).</w:t>
      </w:r>
    </w:p>
    <w:p w14:paraId="360077AD" w14:textId="77777777" w:rsidR="00160CFC" w:rsidRPr="004B1A50" w:rsidRDefault="00160CFC" w:rsidP="000A3141">
      <w:pPr>
        <w:autoSpaceDE w:val="0"/>
        <w:autoSpaceDN w:val="0"/>
        <w:adjustRightInd w:val="0"/>
        <w:spacing w:line="240" w:lineRule="auto"/>
        <w:rPr>
          <w:rFonts w:eastAsia="TimesNewRoman,Italic"/>
          <w:i/>
          <w:iCs/>
          <w:color w:val="000000"/>
          <w:szCs w:val="22"/>
          <w:lang w:val="sk-SK"/>
        </w:rPr>
      </w:pPr>
    </w:p>
    <w:p w14:paraId="4AFC0B6D" w14:textId="77777777" w:rsidR="00160CFC" w:rsidRPr="004B1A50" w:rsidRDefault="00160CFC" w:rsidP="000A3141">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Amlodipín</w:t>
      </w:r>
    </w:p>
    <w:p w14:paraId="424F3DCC" w14:textId="77777777" w:rsidR="00160CFC" w:rsidRPr="004B1A50" w:rsidRDefault="00160CFC" w:rsidP="000A3141">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Po perorálnom podaní terapeutických dávok sa amlodipín dobre vstrebáva, pričom maximálne koncentrácie v krvi sa dosiahnu</w:t>
      </w:r>
      <w:r w:rsidR="00EA73D5" w:rsidRPr="004B1A50">
        <w:rPr>
          <w:rFonts w:eastAsia="TimesNewRoman"/>
          <w:color w:val="000000"/>
          <w:szCs w:val="22"/>
          <w:lang w:val="sk-SK"/>
        </w:rPr>
        <w:t xml:space="preserve"> </w:t>
      </w:r>
      <w:r w:rsidRPr="004B1A50">
        <w:rPr>
          <w:rFonts w:eastAsia="TimesNewRoman"/>
          <w:color w:val="000000"/>
          <w:szCs w:val="22"/>
          <w:lang w:val="sk-SK"/>
        </w:rPr>
        <w:t>za 6 až 12 hodín po podaní dávky. Absolútna biologická dostupnosť nezmenen</w:t>
      </w:r>
      <w:r w:rsidR="00DB7ADD" w:rsidRPr="004B1A50">
        <w:rPr>
          <w:rFonts w:eastAsia="TimesNewRoman"/>
          <w:color w:val="000000"/>
          <w:szCs w:val="22"/>
          <w:lang w:val="sk-SK"/>
        </w:rPr>
        <w:t>ého</w:t>
      </w:r>
      <w:r w:rsidRPr="004B1A50">
        <w:rPr>
          <w:rFonts w:eastAsia="TimesNewRoman"/>
          <w:color w:val="000000"/>
          <w:szCs w:val="22"/>
          <w:lang w:val="sk-SK"/>
        </w:rPr>
        <w:t xml:space="preserve"> aktívne</w:t>
      </w:r>
      <w:r w:rsidR="00DB7ADD" w:rsidRPr="004B1A50">
        <w:rPr>
          <w:rFonts w:eastAsia="TimesNewRoman"/>
          <w:color w:val="000000"/>
          <w:szCs w:val="22"/>
          <w:lang w:val="sk-SK"/>
        </w:rPr>
        <w:t>ho</w:t>
      </w:r>
      <w:r w:rsidRPr="004B1A50">
        <w:rPr>
          <w:rFonts w:eastAsia="TimesNewRoman"/>
          <w:color w:val="000000"/>
          <w:szCs w:val="22"/>
          <w:lang w:val="sk-SK"/>
        </w:rPr>
        <w:t xml:space="preserve"> </w:t>
      </w:r>
      <w:r w:rsidR="00DB7ADD" w:rsidRPr="004B1A50">
        <w:rPr>
          <w:rFonts w:eastAsia="TimesNewRoman"/>
          <w:color w:val="000000"/>
          <w:szCs w:val="22"/>
          <w:lang w:val="sk-SK"/>
        </w:rPr>
        <w:t xml:space="preserve">liečiva </w:t>
      </w:r>
      <w:r w:rsidRPr="004B1A50">
        <w:rPr>
          <w:rFonts w:eastAsia="TimesNewRoman"/>
          <w:color w:val="000000"/>
          <w:szCs w:val="22"/>
          <w:lang w:val="sk-SK"/>
        </w:rPr>
        <w:t>sa odhaduje na 64 až 80 %. Distribučný objem</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je približne 21 l/kg. Štúdie </w:t>
      </w:r>
      <w:r w:rsidRPr="004B1A50">
        <w:rPr>
          <w:rFonts w:eastAsia="TimesNewRoman"/>
          <w:i/>
          <w:iCs/>
          <w:color w:val="000000"/>
          <w:szCs w:val="22"/>
          <w:lang w:val="sk-SK"/>
        </w:rPr>
        <w:t>in vitro</w:t>
      </w:r>
      <w:r w:rsidRPr="004B1A50">
        <w:rPr>
          <w:rFonts w:eastAsia="TimesNewRoman"/>
          <w:color w:val="000000"/>
          <w:szCs w:val="22"/>
          <w:lang w:val="sk-SK"/>
        </w:rPr>
        <w:t xml:space="preserve"> ukázali, že približne 97,5 % cirkulujúceho</w:t>
      </w:r>
      <w:r w:rsidR="00EA73D5" w:rsidRPr="004B1A50">
        <w:rPr>
          <w:rFonts w:eastAsia="TimesNewRoman"/>
          <w:color w:val="000000"/>
          <w:szCs w:val="22"/>
          <w:lang w:val="sk-SK"/>
        </w:rPr>
        <w:t xml:space="preserve"> </w:t>
      </w:r>
      <w:r w:rsidRPr="004B1A50">
        <w:rPr>
          <w:rFonts w:eastAsia="TimesNewRoman"/>
          <w:color w:val="000000"/>
          <w:szCs w:val="22"/>
          <w:lang w:val="sk-SK"/>
        </w:rPr>
        <w:t>amlodipínu je naviazaných na plazmatické bielkoviny.</w:t>
      </w:r>
    </w:p>
    <w:p w14:paraId="750295D8"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7F3B7E6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Biologická dostupnosť amlodipínu nie je ovplyvnená príjmom potravy.</w:t>
      </w:r>
    </w:p>
    <w:p w14:paraId="286CDD82"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737A7E98" w14:textId="77777777" w:rsidR="00160CFC" w:rsidRPr="004B1A50" w:rsidRDefault="00DB7ADD"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Terminálny </w:t>
      </w:r>
      <w:r w:rsidR="00160CFC" w:rsidRPr="004B1A50">
        <w:rPr>
          <w:rFonts w:eastAsia="TimesNewRoman"/>
          <w:color w:val="000000"/>
          <w:szCs w:val="22"/>
          <w:lang w:val="sk-SK"/>
        </w:rPr>
        <w:t>plazmatický eliminačný polčas je približne 35 až 50 hodín a umožňuje podávanie amlodipínu v jednej dennej dávke.</w:t>
      </w:r>
      <w:r w:rsidR="000A3141" w:rsidRPr="004B1A50">
        <w:rPr>
          <w:rFonts w:eastAsia="TimesNewRoman"/>
          <w:color w:val="000000"/>
          <w:szCs w:val="22"/>
          <w:lang w:val="sk-SK"/>
        </w:rPr>
        <w:t xml:space="preserve"> </w:t>
      </w:r>
      <w:r w:rsidR="00160CFC" w:rsidRPr="004B1A50">
        <w:rPr>
          <w:rFonts w:eastAsia="TimesNewRoman"/>
          <w:color w:val="000000"/>
          <w:szCs w:val="22"/>
          <w:lang w:val="sk-SK"/>
        </w:rPr>
        <w:t xml:space="preserve">Amlodipín sa rozsiahlo metabolizuje v pečeni </w:t>
      </w:r>
      <w:r w:rsidRPr="004B1A50">
        <w:rPr>
          <w:rFonts w:eastAsia="TimesNewRoman"/>
          <w:color w:val="000000"/>
          <w:szCs w:val="22"/>
          <w:lang w:val="sk-SK"/>
        </w:rPr>
        <w:t xml:space="preserve">cytochrómovým </w:t>
      </w:r>
      <w:r w:rsidR="00160CFC" w:rsidRPr="004B1A50">
        <w:rPr>
          <w:rFonts w:eastAsia="TimesNewRoman"/>
          <w:color w:val="000000"/>
          <w:szCs w:val="22"/>
          <w:lang w:val="sk-SK"/>
        </w:rPr>
        <w:t xml:space="preserve">systémom P450, prevažne izoenzýmom CYP 3A4, na neúčinné metabolity, pričom 10 % </w:t>
      </w:r>
      <w:r w:rsidRPr="004B1A50">
        <w:rPr>
          <w:rFonts w:eastAsia="TimesNewRoman"/>
          <w:color w:val="000000"/>
          <w:szCs w:val="22"/>
          <w:lang w:val="sk-SK"/>
        </w:rPr>
        <w:t>pôvodného liečiva</w:t>
      </w:r>
      <w:r w:rsidR="00EA73D5" w:rsidRPr="004B1A50">
        <w:rPr>
          <w:rFonts w:eastAsia="TimesNewRoman"/>
          <w:color w:val="000000"/>
          <w:szCs w:val="22"/>
          <w:lang w:val="sk-SK"/>
        </w:rPr>
        <w:t xml:space="preserve"> </w:t>
      </w:r>
      <w:r w:rsidR="00160CFC" w:rsidRPr="004B1A50">
        <w:rPr>
          <w:rFonts w:eastAsia="TimesNewRoman"/>
          <w:color w:val="000000"/>
          <w:szCs w:val="22"/>
          <w:lang w:val="sk-SK"/>
        </w:rPr>
        <w:t>a 60 % metabolitov sa vylučuje do moču.</w:t>
      </w:r>
    </w:p>
    <w:p w14:paraId="3D577A2A"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5FF67B4B"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Čas do dosiahnutia maximálnej plazmatickej koncentrácie amlodipínu u starších aj mladších jedincov je podobný.</w:t>
      </w:r>
      <w:r w:rsidR="000A3141" w:rsidRPr="004B1A50">
        <w:rPr>
          <w:rFonts w:eastAsia="TimesNewRoman"/>
          <w:color w:val="000000"/>
          <w:szCs w:val="22"/>
          <w:lang w:val="sk-SK"/>
        </w:rPr>
        <w:t xml:space="preserve"> </w:t>
      </w:r>
      <w:r w:rsidRPr="004B1A50">
        <w:rPr>
          <w:rFonts w:eastAsia="TimesNewRoman"/>
          <w:color w:val="000000"/>
          <w:szCs w:val="22"/>
          <w:lang w:val="sk-SK"/>
        </w:rPr>
        <w:t>Klírens amlodipínu má tendenciu k zníženiu, čo vedie k zväčšeniu plochy pod krivkou (AUC) a predĺženiu eliminačného polčasu</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u starších pacientov. Zväčšenie plochy pod krivkou (AUC) a predĺženie eliminačného polčasu u pacientov s kongestívnym srdcovým </w:t>
      </w:r>
      <w:r w:rsidR="00DB7ADD" w:rsidRPr="004B1A50">
        <w:rPr>
          <w:rFonts w:eastAsia="TimesNewRoman"/>
          <w:color w:val="000000"/>
          <w:szCs w:val="22"/>
          <w:lang w:val="sk-SK"/>
        </w:rPr>
        <w:t xml:space="preserve">zlyhávaním </w:t>
      </w:r>
      <w:r w:rsidRPr="004B1A50">
        <w:rPr>
          <w:rFonts w:eastAsia="TimesNewRoman"/>
          <w:color w:val="000000"/>
          <w:szCs w:val="22"/>
          <w:lang w:val="sk-SK"/>
        </w:rPr>
        <w:t>bolo v rozsahu, aký sa očakával vzhľadom na vek skúmanej skupiny pacientov.</w:t>
      </w:r>
    </w:p>
    <w:p w14:paraId="0DE4C484"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1C53AE6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O podávaní amlodipínu pacientom s poruchou funkcie pečene sú dostupné veľmi obmedzené klinické</w:t>
      </w:r>
      <w:r w:rsidR="00EA73D5" w:rsidRPr="004B1A50">
        <w:rPr>
          <w:rFonts w:eastAsia="TimesNewRoman"/>
          <w:color w:val="000000"/>
          <w:szCs w:val="22"/>
          <w:lang w:val="sk-SK"/>
        </w:rPr>
        <w:t xml:space="preserve"> </w:t>
      </w:r>
      <w:r w:rsidRPr="004B1A50">
        <w:rPr>
          <w:rFonts w:eastAsia="TimesNewRoman"/>
          <w:color w:val="000000"/>
          <w:szCs w:val="22"/>
          <w:lang w:val="sk-SK"/>
        </w:rPr>
        <w:t>údaje. Pacienti s hepatálnou insuficienciou majú znížený klírens amlodipínu, ktorý má za následok predĺženie</w:t>
      </w:r>
      <w:r w:rsidR="00EA73D5" w:rsidRPr="004B1A50">
        <w:rPr>
          <w:rFonts w:eastAsia="TimesNewRoman"/>
          <w:color w:val="000000"/>
          <w:szCs w:val="22"/>
          <w:lang w:val="sk-SK"/>
        </w:rPr>
        <w:t xml:space="preserve"> </w:t>
      </w:r>
      <w:r w:rsidRPr="004B1A50">
        <w:rPr>
          <w:rFonts w:eastAsia="TimesNewRoman"/>
          <w:color w:val="000000"/>
          <w:szCs w:val="22"/>
          <w:lang w:val="sk-SK"/>
        </w:rPr>
        <w:t>biologického polčasu a zvýšenie AUC o približne o 40 – 60 %.</w:t>
      </w:r>
    </w:p>
    <w:p w14:paraId="5155A271" w14:textId="77777777" w:rsidR="00160CFC" w:rsidRPr="004B1A50" w:rsidRDefault="00160CFC" w:rsidP="00853064">
      <w:pPr>
        <w:autoSpaceDE w:val="0"/>
        <w:autoSpaceDN w:val="0"/>
        <w:adjustRightInd w:val="0"/>
        <w:spacing w:line="240" w:lineRule="auto"/>
        <w:rPr>
          <w:rFonts w:eastAsia="TimesNewRoman,Italic"/>
          <w:i/>
          <w:iCs/>
          <w:color w:val="000000"/>
          <w:szCs w:val="22"/>
          <w:lang w:val="sk-SK"/>
        </w:rPr>
      </w:pPr>
    </w:p>
    <w:p w14:paraId="5D45B5C5" w14:textId="77777777" w:rsidR="00160CFC" w:rsidRPr="004B1A50" w:rsidRDefault="00160CFC" w:rsidP="00853064">
      <w:pPr>
        <w:numPr>
          <w:ilvl w:val="1"/>
          <w:numId w:val="9"/>
        </w:numPr>
        <w:tabs>
          <w:tab w:val="clear" w:pos="567"/>
        </w:tabs>
        <w:ind w:left="567" w:hanging="567"/>
        <w:rPr>
          <w:lang w:val="sk-SK"/>
        </w:rPr>
      </w:pPr>
      <w:r w:rsidRPr="004B1A50">
        <w:rPr>
          <w:b/>
          <w:bCs/>
          <w:lang w:val="sk-SK"/>
        </w:rPr>
        <w:t>Predklinické údaje o bezpečnosti</w:t>
      </w:r>
    </w:p>
    <w:p w14:paraId="565B35E9" w14:textId="77777777" w:rsidR="00160CFC" w:rsidRPr="004B1A50" w:rsidRDefault="00160CFC" w:rsidP="00853064">
      <w:pPr>
        <w:rPr>
          <w:lang w:val="sk-SK"/>
        </w:rPr>
      </w:pPr>
    </w:p>
    <w:p w14:paraId="04300257"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Perindopril:</w:t>
      </w:r>
    </w:p>
    <w:p w14:paraId="40D67D27"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7F8C07D2"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V štúdiách chronickej perorálnej toxicity (na potkanoch a opiciach) sú cieľovým orgánom obličky s reverzibilným poškodením.</w:t>
      </w:r>
    </w:p>
    <w:p w14:paraId="3A150E82"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54DA5795"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Mutagenita sa v štúdiách </w:t>
      </w:r>
      <w:r w:rsidRPr="004B1A50">
        <w:rPr>
          <w:rFonts w:eastAsia="TimesNewRoman"/>
          <w:i/>
          <w:iCs/>
          <w:color w:val="000000"/>
          <w:szCs w:val="22"/>
          <w:lang w:val="sk-SK"/>
        </w:rPr>
        <w:t>in vitro</w:t>
      </w:r>
      <w:r w:rsidRPr="004B1A50">
        <w:rPr>
          <w:rFonts w:eastAsia="TimesNewRoman"/>
          <w:color w:val="000000"/>
          <w:szCs w:val="22"/>
          <w:lang w:val="sk-SK"/>
        </w:rPr>
        <w:t xml:space="preserve"> alebo </w:t>
      </w:r>
      <w:r w:rsidRPr="004B1A50">
        <w:rPr>
          <w:rFonts w:eastAsia="TimesNewRoman"/>
          <w:i/>
          <w:iCs/>
          <w:color w:val="000000"/>
          <w:szCs w:val="22"/>
          <w:lang w:val="sk-SK"/>
        </w:rPr>
        <w:t>in vivo</w:t>
      </w:r>
      <w:r w:rsidRPr="004B1A50">
        <w:rPr>
          <w:rFonts w:eastAsia="TimesNewRoman"/>
          <w:color w:val="000000"/>
          <w:szCs w:val="22"/>
          <w:lang w:val="sk-SK"/>
        </w:rPr>
        <w:t xml:space="preserve"> nepozorovala.</w:t>
      </w:r>
    </w:p>
    <w:p w14:paraId="575EDE79"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6D899EA6"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Reprodukčné toxikologické štúdie (na potkanoch, myšiach, králikoch a opiciach) </w:t>
      </w:r>
      <w:r w:rsidR="006015CF" w:rsidRPr="004B1A50">
        <w:rPr>
          <w:rFonts w:eastAsia="TimesNewRoman"/>
          <w:color w:val="000000"/>
          <w:szCs w:val="22"/>
          <w:lang w:val="sk-SK"/>
        </w:rPr>
        <w:t xml:space="preserve">nepreukázali </w:t>
      </w:r>
      <w:r w:rsidRPr="004B1A50">
        <w:rPr>
          <w:rFonts w:eastAsia="TimesNewRoman"/>
          <w:color w:val="000000"/>
          <w:szCs w:val="22"/>
          <w:lang w:val="sk-SK"/>
        </w:rPr>
        <w:t xml:space="preserve">žiadne </w:t>
      </w:r>
      <w:r w:rsidR="006015CF" w:rsidRPr="004B1A50">
        <w:rPr>
          <w:rFonts w:eastAsia="TimesNewRoman"/>
          <w:color w:val="000000"/>
          <w:szCs w:val="22"/>
          <w:lang w:val="sk-SK"/>
        </w:rPr>
        <w:t xml:space="preserve">náznaky </w:t>
      </w:r>
      <w:r w:rsidRPr="004B1A50">
        <w:rPr>
          <w:rFonts w:eastAsia="TimesNewRoman"/>
          <w:color w:val="000000"/>
          <w:szCs w:val="22"/>
          <w:lang w:val="sk-SK"/>
        </w:rPr>
        <w:t>embryotoxicity alebo</w:t>
      </w:r>
      <w:r w:rsidR="00EA73D5" w:rsidRPr="004B1A50">
        <w:rPr>
          <w:rFonts w:eastAsia="TimesNewRoman"/>
          <w:color w:val="000000"/>
          <w:szCs w:val="22"/>
          <w:lang w:val="sk-SK"/>
        </w:rPr>
        <w:t xml:space="preserve"> </w:t>
      </w:r>
      <w:r w:rsidRPr="004B1A50">
        <w:rPr>
          <w:rFonts w:eastAsia="TimesNewRoman"/>
          <w:color w:val="000000"/>
          <w:szCs w:val="22"/>
          <w:lang w:val="sk-SK"/>
        </w:rPr>
        <w:t>teratogenity. Napriek tomu sa pri inhibítoroch angiotenzín-konvertujúceho enzýmu ako skupiny potvrdilo, že majú</w:t>
      </w:r>
      <w:r w:rsidR="00EA73D5" w:rsidRPr="004B1A50">
        <w:rPr>
          <w:rFonts w:eastAsia="TimesNewRoman"/>
          <w:color w:val="000000"/>
          <w:szCs w:val="22"/>
          <w:lang w:val="sk-SK"/>
        </w:rPr>
        <w:t xml:space="preserve"> </w:t>
      </w:r>
      <w:r w:rsidRPr="004B1A50">
        <w:rPr>
          <w:rFonts w:eastAsia="TimesNewRoman"/>
          <w:color w:val="000000"/>
          <w:szCs w:val="22"/>
          <w:lang w:val="sk-SK"/>
        </w:rPr>
        <w:t>nežiaduc</w:t>
      </w:r>
      <w:r w:rsidR="006015CF" w:rsidRPr="004B1A50">
        <w:rPr>
          <w:rFonts w:eastAsia="TimesNewRoman"/>
          <w:color w:val="000000"/>
          <w:szCs w:val="22"/>
          <w:lang w:val="sk-SK"/>
        </w:rPr>
        <w:t>e</w:t>
      </w:r>
      <w:r w:rsidRPr="004B1A50">
        <w:rPr>
          <w:rFonts w:eastAsia="TimesNewRoman"/>
          <w:color w:val="000000"/>
          <w:szCs w:val="22"/>
          <w:lang w:val="sk-SK"/>
        </w:rPr>
        <w:t xml:space="preserve"> </w:t>
      </w:r>
      <w:r w:rsidR="006015CF" w:rsidRPr="004B1A50">
        <w:rPr>
          <w:rFonts w:eastAsia="TimesNewRoman"/>
          <w:color w:val="000000"/>
          <w:szCs w:val="22"/>
          <w:lang w:val="sk-SK"/>
        </w:rPr>
        <w:t xml:space="preserve">účinky </w:t>
      </w:r>
      <w:r w:rsidRPr="004B1A50">
        <w:rPr>
          <w:rFonts w:eastAsia="TimesNewRoman"/>
          <w:color w:val="000000"/>
          <w:szCs w:val="22"/>
          <w:lang w:val="sk-SK"/>
        </w:rPr>
        <w:t>na neskoré štádiá výv</w:t>
      </w:r>
      <w:r w:rsidR="006015CF" w:rsidRPr="004B1A50">
        <w:rPr>
          <w:rFonts w:eastAsia="TimesNewRoman"/>
          <w:color w:val="000000"/>
          <w:szCs w:val="22"/>
          <w:lang w:val="sk-SK"/>
        </w:rPr>
        <w:t>in</w:t>
      </w:r>
      <w:r w:rsidR="00457A64" w:rsidRPr="004B1A50">
        <w:rPr>
          <w:rFonts w:eastAsia="TimesNewRoman"/>
          <w:color w:val="000000"/>
          <w:szCs w:val="22"/>
          <w:lang w:val="sk-SK"/>
        </w:rPr>
        <w:t>u</w:t>
      </w:r>
      <w:r w:rsidRPr="004B1A50">
        <w:rPr>
          <w:rFonts w:eastAsia="TimesNewRoman"/>
          <w:color w:val="000000"/>
          <w:szCs w:val="22"/>
          <w:lang w:val="sk-SK"/>
        </w:rPr>
        <w:t xml:space="preserve"> plodu, čo vedie v prípade hlodavcov a</w:t>
      </w:r>
      <w:r w:rsidR="00EA73D5" w:rsidRPr="004B1A50">
        <w:rPr>
          <w:rFonts w:eastAsia="TimesNewRoman"/>
          <w:color w:val="000000"/>
          <w:szCs w:val="22"/>
          <w:lang w:val="sk-SK"/>
        </w:rPr>
        <w:t xml:space="preserve"> </w:t>
      </w:r>
      <w:r w:rsidRPr="004B1A50">
        <w:rPr>
          <w:rFonts w:eastAsia="TimesNewRoman"/>
          <w:color w:val="000000"/>
          <w:szCs w:val="22"/>
          <w:lang w:val="sk-SK"/>
        </w:rPr>
        <w:t xml:space="preserve">králikov k úmrtiu plodu a </w:t>
      </w:r>
      <w:r w:rsidR="006015CF" w:rsidRPr="004B1A50">
        <w:rPr>
          <w:rFonts w:eastAsia="TimesNewRoman"/>
          <w:color w:val="000000"/>
          <w:szCs w:val="22"/>
          <w:lang w:val="sk-SK"/>
        </w:rPr>
        <w:t>vrodeným defektom</w:t>
      </w:r>
      <w:r w:rsidRPr="004B1A50">
        <w:rPr>
          <w:rFonts w:eastAsia="TimesNewRoman"/>
          <w:color w:val="000000"/>
          <w:szCs w:val="22"/>
          <w:lang w:val="sk-SK"/>
        </w:rPr>
        <w:t xml:space="preserve">: boli </w:t>
      </w:r>
      <w:r w:rsidR="006015CF" w:rsidRPr="004B1A50">
        <w:rPr>
          <w:rFonts w:eastAsia="TimesNewRoman"/>
          <w:color w:val="000000"/>
          <w:szCs w:val="22"/>
          <w:lang w:val="sk-SK"/>
        </w:rPr>
        <w:t xml:space="preserve">pozorované </w:t>
      </w:r>
      <w:r w:rsidRPr="004B1A50">
        <w:rPr>
          <w:rFonts w:eastAsia="TimesNewRoman"/>
          <w:color w:val="000000"/>
          <w:szCs w:val="22"/>
          <w:lang w:val="sk-SK"/>
        </w:rPr>
        <w:t>renálne lézie a zvýšenie perinatálnej a postnatálnej mortality.</w:t>
      </w:r>
    </w:p>
    <w:p w14:paraId="53982636" w14:textId="77777777" w:rsidR="000A3141" w:rsidRPr="004B1A50" w:rsidRDefault="000A3141" w:rsidP="00853064">
      <w:pPr>
        <w:autoSpaceDE w:val="0"/>
        <w:autoSpaceDN w:val="0"/>
        <w:adjustRightInd w:val="0"/>
        <w:spacing w:line="240" w:lineRule="auto"/>
        <w:rPr>
          <w:rFonts w:eastAsia="TimesNewRoman"/>
          <w:color w:val="000000"/>
          <w:szCs w:val="22"/>
          <w:lang w:val="sk-SK"/>
        </w:rPr>
      </w:pPr>
    </w:p>
    <w:p w14:paraId="0EFED2A4"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V dlhodobých štúdiách na potkanoch a myšiach nebola pozorovaná karcinogenita.</w:t>
      </w:r>
    </w:p>
    <w:p w14:paraId="60E39C11" w14:textId="77777777" w:rsidR="00160CFC" w:rsidRPr="004B1A50" w:rsidRDefault="00160CFC" w:rsidP="00853064">
      <w:pPr>
        <w:autoSpaceDE w:val="0"/>
        <w:autoSpaceDN w:val="0"/>
        <w:adjustRightInd w:val="0"/>
        <w:spacing w:line="240" w:lineRule="auto"/>
        <w:rPr>
          <w:rFonts w:eastAsia="TimesNewRoman,Italic"/>
          <w:iCs/>
          <w:color w:val="000000"/>
          <w:szCs w:val="22"/>
          <w:u w:val="single"/>
          <w:lang w:val="sk-SK"/>
        </w:rPr>
      </w:pPr>
    </w:p>
    <w:p w14:paraId="16E724C0" w14:textId="77777777" w:rsidR="00160CFC" w:rsidRPr="004B1A50" w:rsidRDefault="00160CFC" w:rsidP="00853064">
      <w:pPr>
        <w:autoSpaceDE w:val="0"/>
        <w:autoSpaceDN w:val="0"/>
        <w:adjustRightInd w:val="0"/>
        <w:spacing w:line="240" w:lineRule="auto"/>
        <w:rPr>
          <w:rFonts w:eastAsia="TimesNewRoman,Italic"/>
          <w:iCs/>
          <w:color w:val="000000"/>
          <w:szCs w:val="22"/>
          <w:lang w:val="sk-SK"/>
        </w:rPr>
      </w:pPr>
      <w:r w:rsidRPr="004B1A50">
        <w:rPr>
          <w:rFonts w:eastAsia="TimesNewRoman,Italic"/>
          <w:iCs/>
          <w:color w:val="000000"/>
          <w:szCs w:val="22"/>
          <w:u w:val="single"/>
          <w:lang w:val="sk-SK"/>
        </w:rPr>
        <w:t>Amlodipín</w:t>
      </w:r>
    </w:p>
    <w:p w14:paraId="3C7994CB" w14:textId="77777777" w:rsidR="000C01BC" w:rsidRPr="004B1A50" w:rsidRDefault="000C01BC" w:rsidP="000C01BC">
      <w:pPr>
        <w:autoSpaceDE w:val="0"/>
        <w:autoSpaceDN w:val="0"/>
        <w:adjustRightInd w:val="0"/>
        <w:spacing w:line="240" w:lineRule="auto"/>
        <w:rPr>
          <w:rFonts w:eastAsia="TimesNewRoman"/>
          <w:i/>
          <w:color w:val="000000"/>
          <w:szCs w:val="22"/>
          <w:lang w:val="sk-SK"/>
        </w:rPr>
      </w:pPr>
    </w:p>
    <w:p w14:paraId="1F4E0EAF" w14:textId="77777777" w:rsidR="000C01BC" w:rsidRPr="004B1A50" w:rsidRDefault="000C01BC" w:rsidP="000C01BC">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Reprodukčná toxicita</w:t>
      </w:r>
    </w:p>
    <w:p w14:paraId="10960860"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xml:space="preserve">Reprodukčné štúdie </w:t>
      </w:r>
      <w:r w:rsidR="006015CF" w:rsidRPr="004B1A50">
        <w:rPr>
          <w:rFonts w:eastAsia="TimesNewRoman"/>
          <w:color w:val="000000"/>
          <w:szCs w:val="22"/>
          <w:lang w:val="sk-SK"/>
        </w:rPr>
        <w:t>na</w:t>
      </w:r>
      <w:r w:rsidRPr="004B1A50">
        <w:rPr>
          <w:rFonts w:eastAsia="TimesNewRoman"/>
          <w:color w:val="000000"/>
          <w:szCs w:val="22"/>
          <w:lang w:val="sk-SK"/>
        </w:rPr>
        <w:t xml:space="preserve"> </w:t>
      </w:r>
      <w:r w:rsidR="006015CF" w:rsidRPr="004B1A50">
        <w:rPr>
          <w:rFonts w:eastAsia="TimesNewRoman"/>
          <w:color w:val="000000"/>
          <w:szCs w:val="22"/>
          <w:lang w:val="sk-SK"/>
        </w:rPr>
        <w:t xml:space="preserve">potkanoch </w:t>
      </w:r>
      <w:r w:rsidRPr="004B1A50">
        <w:rPr>
          <w:rFonts w:eastAsia="TimesNewRoman"/>
          <w:color w:val="000000"/>
          <w:szCs w:val="22"/>
          <w:lang w:val="sk-SK"/>
        </w:rPr>
        <w:t>a myš</w:t>
      </w:r>
      <w:r w:rsidR="006015CF" w:rsidRPr="004B1A50">
        <w:rPr>
          <w:rFonts w:eastAsia="TimesNewRoman"/>
          <w:color w:val="000000"/>
          <w:szCs w:val="22"/>
          <w:lang w:val="sk-SK"/>
        </w:rPr>
        <w:t>iach</w:t>
      </w:r>
      <w:r w:rsidRPr="004B1A50">
        <w:rPr>
          <w:rFonts w:eastAsia="TimesNewRoman"/>
          <w:color w:val="000000"/>
          <w:szCs w:val="22"/>
          <w:lang w:val="sk-SK"/>
        </w:rPr>
        <w:t xml:space="preserve"> preukázali oneskorený dátum pôrodu, </w:t>
      </w:r>
      <w:r w:rsidR="006015CF" w:rsidRPr="004B1A50">
        <w:rPr>
          <w:lang w:val="sk-SK" w:eastAsia="sk-SK"/>
        </w:rPr>
        <w:t>predĺžené</w:t>
      </w:r>
      <w:r w:rsidRPr="004B1A50">
        <w:rPr>
          <w:rFonts w:eastAsia="TimesNewRoman"/>
          <w:color w:val="000000"/>
          <w:szCs w:val="22"/>
          <w:lang w:val="sk-SK"/>
        </w:rPr>
        <w:t xml:space="preserve"> trvanie pôrodu</w:t>
      </w:r>
      <w:r w:rsidR="00EA73D5" w:rsidRPr="004B1A50">
        <w:rPr>
          <w:rFonts w:eastAsia="TimesNewRoman"/>
          <w:color w:val="000000"/>
          <w:szCs w:val="22"/>
          <w:lang w:val="sk-SK"/>
        </w:rPr>
        <w:t xml:space="preserve"> </w:t>
      </w:r>
      <w:r w:rsidRPr="004B1A50">
        <w:rPr>
          <w:rFonts w:eastAsia="TimesNewRoman"/>
          <w:color w:val="000000"/>
          <w:szCs w:val="22"/>
          <w:lang w:val="sk-SK"/>
        </w:rPr>
        <w:t>a znížený počet prežívajúcich mláďat pri dávkach približne 50-krát vyšších, ako je maximálna odporúčaná</w:t>
      </w:r>
      <w:r w:rsidR="00584D8D" w:rsidRPr="004B1A50">
        <w:rPr>
          <w:rFonts w:eastAsia="TimesNewRoman"/>
          <w:color w:val="000000"/>
          <w:szCs w:val="22"/>
          <w:lang w:val="sk-SK"/>
        </w:rPr>
        <w:t xml:space="preserve"> </w:t>
      </w:r>
      <w:r w:rsidRPr="004B1A50">
        <w:rPr>
          <w:rFonts w:eastAsia="TimesNewRoman"/>
          <w:color w:val="000000"/>
          <w:szCs w:val="22"/>
          <w:lang w:val="sk-SK"/>
        </w:rPr>
        <w:t>dávka pre ľudí vyjadrená v mg/kg.</w:t>
      </w:r>
    </w:p>
    <w:p w14:paraId="66CBF236" w14:textId="77777777" w:rsidR="000C01BC" w:rsidRPr="004B1A50" w:rsidRDefault="000C01BC" w:rsidP="00853064">
      <w:pPr>
        <w:autoSpaceDE w:val="0"/>
        <w:autoSpaceDN w:val="0"/>
        <w:adjustRightInd w:val="0"/>
        <w:spacing w:line="240" w:lineRule="auto"/>
        <w:rPr>
          <w:rFonts w:eastAsia="TimesNewRoman"/>
          <w:color w:val="000000"/>
          <w:szCs w:val="22"/>
          <w:lang w:val="sk-SK"/>
        </w:rPr>
      </w:pPr>
    </w:p>
    <w:p w14:paraId="3917E952" w14:textId="77777777" w:rsidR="000C01BC" w:rsidRPr="004B1A50" w:rsidRDefault="000C01BC" w:rsidP="00853064">
      <w:pPr>
        <w:autoSpaceDE w:val="0"/>
        <w:autoSpaceDN w:val="0"/>
        <w:adjustRightInd w:val="0"/>
        <w:spacing w:line="240" w:lineRule="auto"/>
        <w:rPr>
          <w:rFonts w:eastAsia="TimesNewRoman"/>
          <w:i/>
          <w:color w:val="000000"/>
          <w:szCs w:val="22"/>
          <w:lang w:val="sk-SK"/>
        </w:rPr>
      </w:pPr>
      <w:r w:rsidRPr="004B1A50">
        <w:rPr>
          <w:rFonts w:eastAsia="TimesNewRoman"/>
          <w:i/>
          <w:color w:val="000000"/>
          <w:szCs w:val="22"/>
          <w:lang w:val="sk-SK"/>
        </w:rPr>
        <w:t>Porucha fertility</w:t>
      </w:r>
    </w:p>
    <w:p w14:paraId="655EB140" w14:textId="77777777" w:rsidR="00160CFC" w:rsidRPr="004B1A50" w:rsidRDefault="006015CF" w:rsidP="000C01BC">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Na</w:t>
      </w:r>
      <w:r w:rsidR="00160CFC" w:rsidRPr="004B1A50">
        <w:rPr>
          <w:rFonts w:eastAsia="TimesNewRoman"/>
          <w:color w:val="000000"/>
          <w:szCs w:val="22"/>
          <w:lang w:val="sk-SK"/>
        </w:rPr>
        <w:t xml:space="preserve"> potkano</w:t>
      </w:r>
      <w:r w:rsidRPr="004B1A50">
        <w:rPr>
          <w:rFonts w:eastAsia="TimesNewRoman"/>
          <w:color w:val="000000"/>
          <w:szCs w:val="22"/>
          <w:lang w:val="sk-SK"/>
        </w:rPr>
        <w:t>ch</w:t>
      </w:r>
      <w:r w:rsidR="00160CFC" w:rsidRPr="004B1A50">
        <w:rPr>
          <w:rFonts w:eastAsia="TimesNewRoman"/>
          <w:color w:val="000000"/>
          <w:szCs w:val="22"/>
          <w:lang w:val="sk-SK"/>
        </w:rPr>
        <w:t xml:space="preserve"> (samce 64 dní a samice 14 dní</w:t>
      </w:r>
      <w:r w:rsidR="00EA73D5" w:rsidRPr="004B1A50">
        <w:rPr>
          <w:rFonts w:eastAsia="TimesNewRoman"/>
          <w:color w:val="000000"/>
          <w:szCs w:val="22"/>
          <w:lang w:val="sk-SK"/>
        </w:rPr>
        <w:t xml:space="preserve"> </w:t>
      </w:r>
      <w:r w:rsidR="00160CFC" w:rsidRPr="004B1A50">
        <w:rPr>
          <w:rFonts w:eastAsia="TimesNewRoman"/>
          <w:color w:val="000000"/>
          <w:szCs w:val="22"/>
          <w:lang w:val="sk-SK"/>
        </w:rPr>
        <w:t xml:space="preserve">pred párením), liečených amlodipínom v dávkach až do 10 mg/kg/deň (8-násobok* maximálnej odporúčanej dávky u ľudí rovnajúcej sa 10 mg po prepočítaní </w:t>
      </w:r>
      <w:r w:rsidR="00457A64" w:rsidRPr="004B1A50">
        <w:rPr>
          <w:rFonts w:eastAsia="TimesNewRoman"/>
          <w:color w:val="000000"/>
          <w:szCs w:val="22"/>
          <w:lang w:val="sk-SK"/>
        </w:rPr>
        <w:t xml:space="preserve">na </w:t>
      </w:r>
      <w:r w:rsidR="00160CFC" w:rsidRPr="004B1A50">
        <w:rPr>
          <w:rFonts w:eastAsia="TimesNewRoman"/>
          <w:color w:val="000000"/>
          <w:szCs w:val="22"/>
          <w:lang w:val="sk-SK"/>
        </w:rPr>
        <w:t>mg/m</w:t>
      </w:r>
      <w:r w:rsidR="00160CFC" w:rsidRPr="004B1A50">
        <w:rPr>
          <w:rFonts w:eastAsia="TimesNewRoman"/>
          <w:color w:val="000000"/>
          <w:szCs w:val="22"/>
          <w:vertAlign w:val="superscript"/>
          <w:lang w:val="sk-SK"/>
        </w:rPr>
        <w:t>2</w:t>
      </w:r>
      <w:r w:rsidR="00160CFC" w:rsidRPr="004B1A50">
        <w:rPr>
          <w:rFonts w:eastAsia="TimesNewRoman"/>
          <w:color w:val="000000"/>
          <w:szCs w:val="22"/>
          <w:lang w:val="sk-SK"/>
        </w:rPr>
        <w:t xml:space="preserve"> povrchu) nebol zaznamenaný</w:t>
      </w:r>
      <w:r w:rsidR="00EA73D5" w:rsidRPr="004B1A50">
        <w:rPr>
          <w:rFonts w:eastAsia="TimesNewRoman"/>
          <w:color w:val="000000"/>
          <w:szCs w:val="22"/>
          <w:lang w:val="sk-SK"/>
        </w:rPr>
        <w:t xml:space="preserve"> </w:t>
      </w:r>
      <w:r w:rsidR="00160CFC" w:rsidRPr="004B1A50">
        <w:rPr>
          <w:rFonts w:eastAsia="TimesNewRoman"/>
          <w:color w:val="000000"/>
          <w:szCs w:val="22"/>
          <w:lang w:val="sk-SK"/>
        </w:rPr>
        <w:t xml:space="preserve">žiadny účinok na fertilitu. V inej štúdii </w:t>
      </w:r>
      <w:r w:rsidRPr="004B1A50">
        <w:rPr>
          <w:rFonts w:eastAsia="TimesNewRoman"/>
          <w:color w:val="000000"/>
          <w:szCs w:val="22"/>
          <w:lang w:val="sk-SK"/>
        </w:rPr>
        <w:t>na</w:t>
      </w:r>
      <w:r w:rsidR="00160CFC" w:rsidRPr="004B1A50">
        <w:rPr>
          <w:rFonts w:eastAsia="TimesNewRoman"/>
          <w:color w:val="000000"/>
          <w:szCs w:val="22"/>
          <w:lang w:val="sk-SK"/>
        </w:rPr>
        <w:t xml:space="preserve"> potkan</w:t>
      </w:r>
      <w:r w:rsidRPr="004B1A50">
        <w:rPr>
          <w:rFonts w:eastAsia="TimesNewRoman"/>
          <w:color w:val="000000"/>
          <w:szCs w:val="22"/>
          <w:lang w:val="sk-SK"/>
        </w:rPr>
        <w:t>och</w:t>
      </w:r>
      <w:r w:rsidR="00160CFC" w:rsidRPr="004B1A50">
        <w:rPr>
          <w:rFonts w:eastAsia="TimesNewRoman"/>
          <w:color w:val="000000"/>
          <w:szCs w:val="22"/>
          <w:lang w:val="sk-SK"/>
        </w:rPr>
        <w:t xml:space="preserve">, v ktorej boli samce potkanov liečené </w:t>
      </w:r>
      <w:r w:rsidRPr="004B1A50">
        <w:rPr>
          <w:rFonts w:eastAsia="TimesNewRoman"/>
          <w:color w:val="000000"/>
          <w:szCs w:val="22"/>
          <w:lang w:val="sk-SK"/>
        </w:rPr>
        <w:t>amlodipíniumbesilátom</w:t>
      </w:r>
      <w:r w:rsidR="00160CFC" w:rsidRPr="004B1A50">
        <w:rPr>
          <w:rFonts w:eastAsia="TimesNewRoman"/>
          <w:color w:val="000000"/>
          <w:szCs w:val="22"/>
          <w:lang w:val="sk-SK"/>
        </w:rPr>
        <w:t xml:space="preserve"> počas 30 dní v</w:t>
      </w:r>
      <w:r w:rsidR="00EA73D5" w:rsidRPr="004B1A50">
        <w:rPr>
          <w:rFonts w:eastAsia="TimesNewRoman"/>
          <w:color w:val="000000"/>
          <w:szCs w:val="22"/>
          <w:lang w:val="sk-SK"/>
        </w:rPr>
        <w:t xml:space="preserve"> </w:t>
      </w:r>
      <w:r w:rsidR="00160CFC" w:rsidRPr="004B1A50">
        <w:rPr>
          <w:rFonts w:eastAsia="TimesNewRoman"/>
          <w:color w:val="000000"/>
          <w:szCs w:val="22"/>
          <w:lang w:val="sk-SK"/>
        </w:rPr>
        <w:t xml:space="preserve">dávke porovnateľnej s dávkou pre ľudí, vyjadrenej v mg/kg, sa zistilo zníženie plazmatických hladín </w:t>
      </w:r>
      <w:r w:rsidRPr="004B1A50">
        <w:rPr>
          <w:rFonts w:eastAsia="TimesNewRoman"/>
          <w:color w:val="000000"/>
          <w:szCs w:val="22"/>
          <w:lang w:val="sk-SK"/>
        </w:rPr>
        <w:t>folikulostimulačného</w:t>
      </w:r>
      <w:r w:rsidR="00160CFC" w:rsidRPr="004B1A50">
        <w:rPr>
          <w:rFonts w:eastAsia="TimesNewRoman"/>
          <w:color w:val="000000"/>
          <w:szCs w:val="22"/>
          <w:lang w:val="sk-SK"/>
        </w:rPr>
        <w:t xml:space="preserve"> hormónu a</w:t>
      </w:r>
      <w:r w:rsidR="00EA73D5" w:rsidRPr="004B1A50">
        <w:rPr>
          <w:rFonts w:eastAsia="TimesNewRoman"/>
          <w:color w:val="000000"/>
          <w:szCs w:val="22"/>
          <w:lang w:val="sk-SK"/>
        </w:rPr>
        <w:t xml:space="preserve"> </w:t>
      </w:r>
      <w:r w:rsidR="00160CFC" w:rsidRPr="004B1A50">
        <w:rPr>
          <w:rFonts w:eastAsia="TimesNewRoman"/>
          <w:color w:val="000000"/>
          <w:szCs w:val="22"/>
          <w:lang w:val="sk-SK"/>
        </w:rPr>
        <w:lastRenderedPageBreak/>
        <w:t>testosterónu, ako aj zníženi</w:t>
      </w:r>
      <w:r w:rsidRPr="004B1A50">
        <w:rPr>
          <w:rFonts w:eastAsia="TimesNewRoman"/>
          <w:color w:val="000000"/>
          <w:szCs w:val="22"/>
          <w:lang w:val="sk-SK"/>
        </w:rPr>
        <w:t>e</w:t>
      </w:r>
      <w:r w:rsidR="00160CFC" w:rsidRPr="004B1A50">
        <w:rPr>
          <w:rFonts w:eastAsia="TimesNewRoman"/>
          <w:color w:val="000000"/>
          <w:szCs w:val="22"/>
          <w:lang w:val="sk-SK"/>
        </w:rPr>
        <w:t xml:space="preserve"> hustoty spermií a počtu zrelých spermatoblastov a</w:t>
      </w:r>
      <w:r w:rsidR="00EA73D5" w:rsidRPr="004B1A50">
        <w:rPr>
          <w:rFonts w:eastAsia="TimesNewRoman"/>
          <w:color w:val="000000"/>
          <w:szCs w:val="22"/>
          <w:lang w:val="sk-SK"/>
        </w:rPr>
        <w:t xml:space="preserve"> </w:t>
      </w:r>
      <w:r w:rsidR="00160CFC" w:rsidRPr="004B1A50">
        <w:rPr>
          <w:rFonts w:eastAsia="TimesNewRoman"/>
          <w:color w:val="000000"/>
          <w:szCs w:val="22"/>
          <w:lang w:val="sk-SK"/>
        </w:rPr>
        <w:t>Sertoliho podporných buniek.</w:t>
      </w:r>
    </w:p>
    <w:p w14:paraId="7CC2C282" w14:textId="77777777" w:rsidR="000C01BC" w:rsidRPr="004B1A50" w:rsidRDefault="000C01BC" w:rsidP="000C01BC">
      <w:pPr>
        <w:autoSpaceDE w:val="0"/>
        <w:autoSpaceDN w:val="0"/>
        <w:adjustRightInd w:val="0"/>
        <w:spacing w:line="240" w:lineRule="auto"/>
        <w:rPr>
          <w:lang w:val="sk-SK" w:eastAsia="sk-SK"/>
        </w:rPr>
      </w:pPr>
    </w:p>
    <w:p w14:paraId="56ACE265" w14:textId="77777777" w:rsidR="000C01BC" w:rsidRPr="004B1A50" w:rsidRDefault="000C01BC" w:rsidP="000C01BC">
      <w:pPr>
        <w:autoSpaceDE w:val="0"/>
        <w:autoSpaceDN w:val="0"/>
        <w:adjustRightInd w:val="0"/>
        <w:spacing w:line="240" w:lineRule="auto"/>
        <w:rPr>
          <w:i/>
          <w:lang w:val="sk-SK" w:eastAsia="sk-SK"/>
        </w:rPr>
      </w:pPr>
      <w:r w:rsidRPr="004B1A50">
        <w:rPr>
          <w:i/>
          <w:lang w:val="sk-SK" w:eastAsia="sk-SK"/>
        </w:rPr>
        <w:t>Karcinogenita, mutagenita</w:t>
      </w:r>
    </w:p>
    <w:p w14:paraId="41762F8F" w14:textId="77777777" w:rsidR="006015CF" w:rsidRPr="004B1A50" w:rsidRDefault="006015CF" w:rsidP="000C01BC">
      <w:pPr>
        <w:autoSpaceDE w:val="0"/>
        <w:autoSpaceDN w:val="0"/>
        <w:adjustRightInd w:val="0"/>
        <w:spacing w:line="240" w:lineRule="auto"/>
        <w:rPr>
          <w:lang w:val="sk-SK" w:eastAsia="sk-SK"/>
        </w:rPr>
      </w:pPr>
      <w:r w:rsidRPr="004B1A50">
        <w:rPr>
          <w:lang w:val="sk-SK" w:eastAsia="sk-SK"/>
        </w:rPr>
        <w:t>U potkanov a myší užívajúcich amlodipín v potrave po</w:t>
      </w:r>
      <w:r w:rsidR="000C01BC" w:rsidRPr="004B1A50">
        <w:rPr>
          <w:lang w:val="sk-SK" w:eastAsia="sk-SK"/>
        </w:rPr>
        <w:t>čas</w:t>
      </w:r>
      <w:r w:rsidRPr="004B1A50">
        <w:rPr>
          <w:lang w:val="sk-SK" w:eastAsia="sk-SK"/>
        </w:rPr>
        <w:t xml:space="preserve"> dvoch rokov v koncentráciách prepočítaných tak, aby sa zabezpečili denné dávky 0,5; 1,25 a 2,5 mg/kg/deň, sa nepreukázali žiadne dôkazy o jeho karcinogenite. Najvyššia dávka v mg (pre myši približne rovnaká a pre potkany rovnajúca sa dvojnásobnej</w:t>
      </w:r>
      <w:r w:rsidRPr="004B1A50">
        <w:rPr>
          <w:vertAlign w:val="superscript"/>
          <w:lang w:val="sk-SK" w:eastAsia="sk-SK"/>
        </w:rPr>
        <w:t>*</w:t>
      </w:r>
      <w:r w:rsidRPr="004B1A50">
        <w:rPr>
          <w:lang w:val="sk-SK" w:eastAsia="sk-SK"/>
        </w:rPr>
        <w:t xml:space="preserve"> maximálnej odporúčanej klinickej dávke 10 mg po prepočítaní na mg/m</w:t>
      </w:r>
      <w:r w:rsidRPr="004B1A50">
        <w:rPr>
          <w:vertAlign w:val="superscript"/>
          <w:lang w:val="sk-SK" w:eastAsia="sk-SK"/>
        </w:rPr>
        <w:t xml:space="preserve">2 </w:t>
      </w:r>
      <w:r w:rsidRPr="004B1A50">
        <w:rPr>
          <w:lang w:val="sk-SK" w:eastAsia="sk-SK"/>
        </w:rPr>
        <w:t>povrchu) sa blížila maximálnej tolerovanej dávke pre myši, ale nie pre potkany.</w:t>
      </w:r>
    </w:p>
    <w:p w14:paraId="6E0B45E1" w14:textId="77777777" w:rsidR="000C01BC" w:rsidRPr="004B1A50" w:rsidRDefault="000C01BC" w:rsidP="000C01BC">
      <w:pPr>
        <w:autoSpaceDE w:val="0"/>
        <w:autoSpaceDN w:val="0"/>
        <w:adjustRightInd w:val="0"/>
        <w:spacing w:line="240" w:lineRule="auto"/>
        <w:rPr>
          <w:lang w:val="sk-SK" w:eastAsia="sk-SK"/>
        </w:rPr>
      </w:pPr>
    </w:p>
    <w:p w14:paraId="4184CD23" w14:textId="77777777" w:rsidR="00160CFC" w:rsidRPr="004B1A50" w:rsidRDefault="00160CFC" w:rsidP="000C01BC">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Štúdie mutagenity neodhalili žiadne účinky súvisiace s liekom či už na génovej alebo chromozomálnej úrovni.</w:t>
      </w:r>
    </w:p>
    <w:p w14:paraId="1EBE900F" w14:textId="77777777" w:rsidR="00160CFC" w:rsidRPr="004B1A50" w:rsidRDefault="00160CFC" w:rsidP="000C01BC">
      <w:pPr>
        <w:autoSpaceDE w:val="0"/>
        <w:autoSpaceDN w:val="0"/>
        <w:adjustRightInd w:val="0"/>
        <w:spacing w:line="240" w:lineRule="auto"/>
        <w:rPr>
          <w:rFonts w:eastAsia="TimesNewRoman"/>
          <w:color w:val="000000"/>
          <w:szCs w:val="22"/>
          <w:lang w:val="sk-SK"/>
        </w:rPr>
      </w:pPr>
    </w:p>
    <w:p w14:paraId="0FA948D9" w14:textId="77777777" w:rsidR="00160CFC" w:rsidRPr="004B1A50" w:rsidRDefault="00160CFC" w:rsidP="000C01BC">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 Pri telesnej hmotnosti pacienta 50 kg.</w:t>
      </w:r>
    </w:p>
    <w:p w14:paraId="6C5C658D" w14:textId="77777777" w:rsidR="00160CFC" w:rsidRPr="004B1A50" w:rsidRDefault="00160CFC" w:rsidP="00853064">
      <w:pPr>
        <w:rPr>
          <w:b/>
          <w:lang w:val="sk-SK"/>
        </w:rPr>
      </w:pPr>
    </w:p>
    <w:p w14:paraId="2FB0BF52" w14:textId="77777777" w:rsidR="000C01BC" w:rsidRPr="004B1A50" w:rsidRDefault="000C01BC" w:rsidP="00853064">
      <w:pPr>
        <w:rPr>
          <w:b/>
          <w:lang w:val="sk-SK"/>
        </w:rPr>
      </w:pPr>
    </w:p>
    <w:p w14:paraId="2AA87240" w14:textId="77777777" w:rsidR="00160CFC" w:rsidRPr="004B1A50" w:rsidRDefault="00160CFC" w:rsidP="00853064">
      <w:pPr>
        <w:numPr>
          <w:ilvl w:val="0"/>
          <w:numId w:val="10"/>
        </w:numPr>
        <w:tabs>
          <w:tab w:val="clear" w:pos="567"/>
        </w:tabs>
        <w:ind w:left="567" w:hanging="567"/>
        <w:rPr>
          <w:lang w:val="sk-SK"/>
        </w:rPr>
      </w:pPr>
      <w:r w:rsidRPr="004B1A50">
        <w:rPr>
          <w:b/>
          <w:bCs/>
          <w:lang w:val="sk-SK"/>
        </w:rPr>
        <w:t>FARMACEUTICKÉ VLASTNOSTI</w:t>
      </w:r>
    </w:p>
    <w:p w14:paraId="1B33C357" w14:textId="77777777" w:rsidR="00160CFC" w:rsidRPr="004B1A50" w:rsidRDefault="00160CFC" w:rsidP="00853064">
      <w:pPr>
        <w:rPr>
          <w:b/>
          <w:lang w:val="sk-SK"/>
        </w:rPr>
      </w:pPr>
    </w:p>
    <w:p w14:paraId="2BD99C06" w14:textId="77777777" w:rsidR="00160CFC" w:rsidRPr="004B1A50" w:rsidRDefault="00160CFC" w:rsidP="00853064">
      <w:pPr>
        <w:numPr>
          <w:ilvl w:val="0"/>
          <w:numId w:val="11"/>
        </w:numPr>
        <w:tabs>
          <w:tab w:val="clear" w:pos="567"/>
        </w:tabs>
        <w:ind w:left="567" w:hanging="567"/>
        <w:rPr>
          <w:lang w:val="sk-SK"/>
        </w:rPr>
      </w:pPr>
      <w:r w:rsidRPr="004B1A50">
        <w:rPr>
          <w:b/>
          <w:bCs/>
          <w:lang w:val="sk-SK"/>
        </w:rPr>
        <w:t>Zoznam pomocných látok</w:t>
      </w:r>
    </w:p>
    <w:p w14:paraId="56436D97" w14:textId="77777777" w:rsidR="00160CFC" w:rsidRPr="004B1A50" w:rsidRDefault="00160CFC" w:rsidP="00853064">
      <w:pPr>
        <w:rPr>
          <w:lang w:val="sk-SK"/>
        </w:rPr>
      </w:pPr>
    </w:p>
    <w:p w14:paraId="73D02AC5" w14:textId="77777777" w:rsidR="000C01BC" w:rsidRPr="004B1A50" w:rsidRDefault="008436DE" w:rsidP="00853064">
      <w:pPr>
        <w:rPr>
          <w:rFonts w:eastAsia="TimesNewRoman"/>
          <w:color w:val="000000"/>
          <w:szCs w:val="22"/>
          <w:lang w:val="sk-SK"/>
        </w:rPr>
      </w:pPr>
      <w:r w:rsidRPr="004B1A50">
        <w:rPr>
          <w:rFonts w:eastAsia="TimesNewRoman"/>
          <w:color w:val="000000"/>
          <w:szCs w:val="22"/>
          <w:lang w:val="sk-SK"/>
        </w:rPr>
        <w:t>k</w:t>
      </w:r>
      <w:r w:rsidR="000C01BC" w:rsidRPr="004B1A50">
        <w:rPr>
          <w:rFonts w:eastAsia="TimesNewRoman"/>
          <w:color w:val="000000"/>
          <w:szCs w:val="22"/>
          <w:lang w:val="sk-SK"/>
        </w:rPr>
        <w:t>arboxymetylškrob A, sodná soľ</w:t>
      </w:r>
    </w:p>
    <w:p w14:paraId="1405BD82" w14:textId="77777777" w:rsidR="000C01BC" w:rsidRPr="004B1A50" w:rsidRDefault="000C01BC" w:rsidP="00853064">
      <w:pPr>
        <w:rPr>
          <w:rFonts w:eastAsia="TimesNewRoman"/>
          <w:color w:val="000000"/>
          <w:szCs w:val="22"/>
          <w:lang w:val="sk-SK"/>
        </w:rPr>
      </w:pPr>
      <w:r w:rsidRPr="004B1A50">
        <w:rPr>
          <w:rFonts w:eastAsia="TimesNewRoman"/>
          <w:color w:val="000000"/>
          <w:szCs w:val="22"/>
          <w:lang w:val="sk-SK"/>
        </w:rPr>
        <w:t>glyceroldibehenát</w:t>
      </w:r>
    </w:p>
    <w:p w14:paraId="3B43D41B" w14:textId="77777777" w:rsidR="000C01BC" w:rsidRPr="004B1A50" w:rsidRDefault="000C01BC" w:rsidP="00853064">
      <w:pPr>
        <w:rPr>
          <w:rFonts w:eastAsia="TimesNewRoman"/>
          <w:color w:val="000000"/>
          <w:szCs w:val="22"/>
          <w:lang w:val="sk-SK"/>
        </w:rPr>
      </w:pPr>
      <w:r w:rsidRPr="004B1A50">
        <w:rPr>
          <w:rFonts w:eastAsia="TimesNewRoman"/>
          <w:color w:val="000000"/>
          <w:szCs w:val="22"/>
          <w:lang w:val="sk-SK"/>
        </w:rPr>
        <w:t>hydrogenfosforečnan vápenatý, bezvodý</w:t>
      </w:r>
    </w:p>
    <w:p w14:paraId="342CEC45" w14:textId="77777777" w:rsidR="000C01BC" w:rsidRPr="004B1A50" w:rsidRDefault="000C01BC" w:rsidP="00853064">
      <w:pPr>
        <w:rPr>
          <w:rFonts w:eastAsia="TimesNewRoman"/>
          <w:color w:val="000000"/>
          <w:szCs w:val="22"/>
          <w:lang w:val="sk-SK"/>
        </w:rPr>
      </w:pPr>
      <w:r w:rsidRPr="004B1A50">
        <w:rPr>
          <w:rFonts w:eastAsia="TimesNewRoman"/>
          <w:color w:val="000000"/>
          <w:szCs w:val="22"/>
          <w:lang w:val="sk-SK"/>
        </w:rPr>
        <w:t>trehalóza, dihydrát</w:t>
      </w:r>
    </w:p>
    <w:p w14:paraId="3A70F273" w14:textId="77777777" w:rsidR="000C01BC" w:rsidRPr="004B1A50" w:rsidRDefault="000C01BC" w:rsidP="00853064">
      <w:pPr>
        <w:rPr>
          <w:rFonts w:eastAsia="TimesNewRoman"/>
          <w:color w:val="000000"/>
          <w:szCs w:val="22"/>
          <w:lang w:val="sk-SK"/>
        </w:rPr>
      </w:pPr>
      <w:r w:rsidRPr="004B1A50">
        <w:rPr>
          <w:rFonts w:eastAsia="TimesNewRoman"/>
          <w:color w:val="000000"/>
          <w:szCs w:val="22"/>
          <w:lang w:val="sk-SK"/>
        </w:rPr>
        <w:t>mikrokryštalická celulóza</w:t>
      </w:r>
    </w:p>
    <w:p w14:paraId="1A120863" w14:textId="77777777" w:rsidR="000C01BC" w:rsidRPr="004B1A50" w:rsidRDefault="000C01BC" w:rsidP="00853064">
      <w:pPr>
        <w:rPr>
          <w:rFonts w:eastAsia="TimesNewRoman"/>
          <w:color w:val="000000"/>
          <w:szCs w:val="22"/>
          <w:lang w:val="sk-SK"/>
        </w:rPr>
      </w:pPr>
      <w:r w:rsidRPr="004B1A50">
        <w:rPr>
          <w:rFonts w:eastAsia="TimesNewRoman"/>
          <w:color w:val="000000"/>
          <w:szCs w:val="22"/>
          <w:lang w:val="sk-SK"/>
        </w:rPr>
        <w:t>oxid horečnatý, ľahký</w:t>
      </w:r>
    </w:p>
    <w:p w14:paraId="40D872F0" w14:textId="77777777" w:rsidR="000C01BC" w:rsidRPr="004B1A50" w:rsidRDefault="000C01BC" w:rsidP="00853064">
      <w:pPr>
        <w:rPr>
          <w:rFonts w:eastAsia="TimesNewRoman"/>
          <w:color w:val="000000"/>
          <w:szCs w:val="22"/>
          <w:lang w:val="sk-SK"/>
        </w:rPr>
      </w:pPr>
      <w:r w:rsidRPr="004B1A50">
        <w:rPr>
          <w:rFonts w:eastAsia="TimesNewRoman"/>
          <w:color w:val="000000"/>
          <w:szCs w:val="22"/>
          <w:lang w:val="sk-SK"/>
        </w:rPr>
        <w:t>krospovidón</w:t>
      </w:r>
    </w:p>
    <w:p w14:paraId="4ABE4B23" w14:textId="719B2EB0" w:rsidR="000C01BC" w:rsidRPr="004B1A50" w:rsidRDefault="000C01BC" w:rsidP="00853064">
      <w:pPr>
        <w:rPr>
          <w:rFonts w:eastAsia="TimesNewRoman"/>
          <w:color w:val="000000"/>
          <w:szCs w:val="22"/>
          <w:lang w:val="sk-SK"/>
        </w:rPr>
      </w:pPr>
      <w:r w:rsidRPr="004B1A50">
        <w:rPr>
          <w:rFonts w:eastAsia="TimesNewRoman"/>
          <w:color w:val="000000"/>
          <w:szCs w:val="22"/>
          <w:lang w:val="sk-SK"/>
        </w:rPr>
        <w:t>stear</w:t>
      </w:r>
      <w:r w:rsidR="00E77551">
        <w:rPr>
          <w:rFonts w:eastAsia="TimesNewRoman"/>
          <w:color w:val="000000"/>
          <w:szCs w:val="22"/>
          <w:lang w:val="sk-SK"/>
        </w:rPr>
        <w:t>át</w:t>
      </w:r>
      <w:r w:rsidRPr="004B1A50">
        <w:rPr>
          <w:rFonts w:eastAsia="TimesNewRoman"/>
          <w:color w:val="000000"/>
          <w:szCs w:val="22"/>
          <w:lang w:val="sk-SK"/>
        </w:rPr>
        <w:t xml:space="preserve"> horečnatý</w:t>
      </w:r>
    </w:p>
    <w:p w14:paraId="0155516A" w14:textId="77777777" w:rsidR="00160CFC" w:rsidRPr="004B1A50" w:rsidRDefault="00160CFC" w:rsidP="00853064">
      <w:pPr>
        <w:rPr>
          <w:rFonts w:eastAsia="TimesNewRoman"/>
          <w:color w:val="000000"/>
          <w:szCs w:val="22"/>
          <w:lang w:val="sk-SK"/>
        </w:rPr>
      </w:pPr>
    </w:p>
    <w:p w14:paraId="4120FEDD" w14:textId="77777777" w:rsidR="00160CFC" w:rsidRPr="004B1A50" w:rsidRDefault="00160CFC" w:rsidP="00853064">
      <w:pPr>
        <w:numPr>
          <w:ilvl w:val="0"/>
          <w:numId w:val="11"/>
        </w:numPr>
        <w:tabs>
          <w:tab w:val="clear" w:pos="567"/>
        </w:tabs>
        <w:ind w:left="567" w:hanging="567"/>
        <w:rPr>
          <w:lang w:val="sk-SK"/>
        </w:rPr>
      </w:pPr>
      <w:r w:rsidRPr="004B1A50">
        <w:rPr>
          <w:b/>
          <w:bCs/>
          <w:lang w:val="sk-SK"/>
        </w:rPr>
        <w:t>Inkompatibility</w:t>
      </w:r>
    </w:p>
    <w:p w14:paraId="29DE3656" w14:textId="77777777" w:rsidR="00160CFC" w:rsidRPr="004B1A50" w:rsidRDefault="00160CFC" w:rsidP="00853064">
      <w:pPr>
        <w:tabs>
          <w:tab w:val="clear" w:pos="567"/>
        </w:tabs>
        <w:ind w:left="567" w:hanging="567"/>
        <w:rPr>
          <w:lang w:val="sk-SK"/>
        </w:rPr>
      </w:pPr>
    </w:p>
    <w:p w14:paraId="4CD73C36" w14:textId="77777777" w:rsidR="00160CFC" w:rsidRPr="004B1A50" w:rsidRDefault="00160CFC" w:rsidP="00853064">
      <w:pPr>
        <w:rPr>
          <w:lang w:val="sk-SK"/>
        </w:rPr>
      </w:pPr>
      <w:r w:rsidRPr="004B1A50">
        <w:rPr>
          <w:lang w:val="sk-SK"/>
        </w:rPr>
        <w:t>Neaplikovateľné.</w:t>
      </w:r>
    </w:p>
    <w:p w14:paraId="782DBB94" w14:textId="77777777" w:rsidR="00160CFC" w:rsidRPr="004B1A50" w:rsidRDefault="00160CFC" w:rsidP="00853064">
      <w:pPr>
        <w:rPr>
          <w:lang w:val="sk-SK"/>
        </w:rPr>
      </w:pPr>
    </w:p>
    <w:p w14:paraId="0D82266A" w14:textId="77777777" w:rsidR="00160CFC" w:rsidRPr="004B1A50" w:rsidRDefault="00EA73D5" w:rsidP="00853064">
      <w:pPr>
        <w:numPr>
          <w:ilvl w:val="0"/>
          <w:numId w:val="11"/>
        </w:numPr>
        <w:tabs>
          <w:tab w:val="clear" w:pos="567"/>
        </w:tabs>
        <w:ind w:left="567" w:hanging="567"/>
        <w:rPr>
          <w:lang w:val="sk-SK"/>
        </w:rPr>
      </w:pPr>
      <w:r w:rsidRPr="004B1A50">
        <w:rPr>
          <w:b/>
          <w:szCs w:val="22"/>
          <w:lang w:val="sk-SK"/>
        </w:rPr>
        <w:t>Čas použiteľnosti</w:t>
      </w:r>
    </w:p>
    <w:p w14:paraId="5508578B" w14:textId="77777777" w:rsidR="00160CFC" w:rsidRPr="004B1A50" w:rsidRDefault="00160CFC" w:rsidP="00853064">
      <w:pPr>
        <w:rPr>
          <w:lang w:val="sk-SK"/>
        </w:rPr>
      </w:pPr>
    </w:p>
    <w:p w14:paraId="3C1361B0" w14:textId="77777777" w:rsidR="00160CFC" w:rsidRPr="004B1A50" w:rsidRDefault="000C01BC" w:rsidP="00853064">
      <w:pPr>
        <w:rPr>
          <w:lang w:val="sk-SK"/>
        </w:rPr>
      </w:pPr>
      <w:r w:rsidRPr="004B1A50">
        <w:rPr>
          <w:lang w:val="sk-SK"/>
        </w:rPr>
        <w:t>Blistrové balenie (ALU/ALU): 2 roky</w:t>
      </w:r>
    </w:p>
    <w:p w14:paraId="4E976FE2" w14:textId="77777777" w:rsidR="000C01BC" w:rsidRPr="004B1A50" w:rsidRDefault="000C01BC" w:rsidP="00853064">
      <w:pPr>
        <w:rPr>
          <w:szCs w:val="22"/>
          <w:lang w:val="sk-SK"/>
        </w:rPr>
      </w:pPr>
      <w:r w:rsidRPr="004B1A50">
        <w:rPr>
          <w:szCs w:val="22"/>
          <w:lang w:val="sk-SK"/>
        </w:rPr>
        <w:t>HDPE fľaše: 2 roky</w:t>
      </w:r>
    </w:p>
    <w:p w14:paraId="22AC0DDD" w14:textId="77777777" w:rsidR="000C01BC" w:rsidRPr="004B1A50" w:rsidRDefault="000C01BC" w:rsidP="00853064">
      <w:pPr>
        <w:rPr>
          <w:szCs w:val="22"/>
          <w:lang w:val="sk-SK"/>
        </w:rPr>
      </w:pPr>
      <w:r w:rsidRPr="004B1A50">
        <w:rPr>
          <w:szCs w:val="22"/>
          <w:lang w:val="sk-SK"/>
        </w:rPr>
        <w:t>HDPE fľaše po prvom otvorení: 3 mesiace</w:t>
      </w:r>
    </w:p>
    <w:p w14:paraId="3D9CAC2E" w14:textId="77777777" w:rsidR="00160CFC" w:rsidRPr="004B1A50" w:rsidRDefault="00160CFC" w:rsidP="00853064">
      <w:pPr>
        <w:rPr>
          <w:b/>
          <w:szCs w:val="22"/>
          <w:lang w:val="sk-SK"/>
        </w:rPr>
      </w:pPr>
    </w:p>
    <w:p w14:paraId="3E8632D5" w14:textId="77777777" w:rsidR="00160CFC" w:rsidRPr="004B1A50" w:rsidRDefault="00160CFC" w:rsidP="00853064">
      <w:pPr>
        <w:numPr>
          <w:ilvl w:val="0"/>
          <w:numId w:val="12"/>
        </w:numPr>
        <w:tabs>
          <w:tab w:val="clear" w:pos="567"/>
        </w:tabs>
        <w:ind w:left="567" w:hanging="567"/>
        <w:rPr>
          <w:szCs w:val="22"/>
          <w:lang w:val="sk-SK"/>
        </w:rPr>
      </w:pPr>
      <w:r w:rsidRPr="004B1A50">
        <w:rPr>
          <w:b/>
          <w:bCs/>
          <w:szCs w:val="22"/>
          <w:lang w:val="sk-SK"/>
        </w:rPr>
        <w:t>Špeciálne upozornenia na uchovávanie</w:t>
      </w:r>
    </w:p>
    <w:p w14:paraId="3D58F237" w14:textId="77777777" w:rsidR="00160CFC" w:rsidRPr="004B1A50" w:rsidRDefault="00160CFC" w:rsidP="00853064">
      <w:pPr>
        <w:rPr>
          <w:szCs w:val="22"/>
          <w:lang w:val="sk-SK"/>
        </w:rPr>
      </w:pPr>
    </w:p>
    <w:p w14:paraId="185103D8" w14:textId="77777777" w:rsidR="000C01BC" w:rsidRPr="004B1A50" w:rsidRDefault="000C01BC" w:rsidP="000C01BC">
      <w:pPr>
        <w:rPr>
          <w:szCs w:val="22"/>
          <w:lang w:val="sk-SK"/>
        </w:rPr>
      </w:pPr>
      <w:r w:rsidRPr="004B1A50">
        <w:rPr>
          <w:szCs w:val="22"/>
          <w:lang w:val="sk-SK"/>
        </w:rPr>
        <w:t>Blistrové balenie (ALU/ALU): Uchovávajte v pôvodnom obale na ochranu pred svetlom a vlhkosťou.</w:t>
      </w:r>
    </w:p>
    <w:p w14:paraId="770D4377" w14:textId="77777777" w:rsidR="000C01BC" w:rsidRPr="004B1A50" w:rsidRDefault="000C01BC" w:rsidP="000C01BC">
      <w:pPr>
        <w:tabs>
          <w:tab w:val="clear" w:pos="567"/>
        </w:tabs>
        <w:autoSpaceDE w:val="0"/>
        <w:autoSpaceDN w:val="0"/>
        <w:adjustRightInd w:val="0"/>
        <w:spacing w:line="240" w:lineRule="auto"/>
        <w:rPr>
          <w:szCs w:val="22"/>
          <w:lang w:val="sk-SK"/>
        </w:rPr>
      </w:pPr>
    </w:p>
    <w:p w14:paraId="52E22FCE" w14:textId="64CC67A6" w:rsidR="000C01BC" w:rsidRPr="004B1A50" w:rsidRDefault="000C01BC" w:rsidP="000C01BC">
      <w:pPr>
        <w:tabs>
          <w:tab w:val="clear" w:pos="567"/>
        </w:tabs>
        <w:autoSpaceDE w:val="0"/>
        <w:autoSpaceDN w:val="0"/>
        <w:adjustRightInd w:val="0"/>
        <w:spacing w:line="240" w:lineRule="auto"/>
        <w:rPr>
          <w:szCs w:val="22"/>
          <w:lang w:val="sk-SK"/>
        </w:rPr>
      </w:pPr>
      <w:r w:rsidRPr="004B1A50">
        <w:rPr>
          <w:szCs w:val="22"/>
          <w:lang w:val="sk-SK"/>
        </w:rPr>
        <w:t xml:space="preserve">HDPE fľaše: Uchovávajte pri teplote </w:t>
      </w:r>
      <w:r w:rsidR="00176E95" w:rsidRPr="004B1A50">
        <w:rPr>
          <w:szCs w:val="22"/>
          <w:lang w:val="sk-SK"/>
        </w:rPr>
        <w:t>nepre</w:t>
      </w:r>
      <w:r w:rsidR="00176E95">
        <w:rPr>
          <w:szCs w:val="22"/>
          <w:lang w:val="sk-SK"/>
        </w:rPr>
        <w:t>vyšujúcej</w:t>
      </w:r>
      <w:r w:rsidR="00176E95" w:rsidRPr="004B1A50">
        <w:rPr>
          <w:szCs w:val="22"/>
          <w:lang w:val="sk-SK"/>
        </w:rPr>
        <w:t xml:space="preserve"> </w:t>
      </w:r>
      <w:r w:rsidRPr="004B1A50">
        <w:rPr>
          <w:szCs w:val="22"/>
          <w:lang w:val="sk-SK"/>
        </w:rPr>
        <w:t>30</w:t>
      </w:r>
      <w:r w:rsidR="00176E95">
        <w:rPr>
          <w:szCs w:val="22"/>
          <w:lang w:val="sk-SK"/>
        </w:rPr>
        <w:t> </w:t>
      </w:r>
      <w:r w:rsidRPr="004B1A50">
        <w:rPr>
          <w:szCs w:val="22"/>
          <w:lang w:val="sk-SK"/>
        </w:rPr>
        <w:t>°C. Uchovávajte v pôvodnom obale na ochranu pred svetlom a vlhkosťou.</w:t>
      </w:r>
    </w:p>
    <w:p w14:paraId="4A50CA2D" w14:textId="77777777" w:rsidR="000C01BC" w:rsidRPr="004B1A50" w:rsidRDefault="000C01BC" w:rsidP="000C01BC">
      <w:pPr>
        <w:tabs>
          <w:tab w:val="clear" w:pos="567"/>
        </w:tabs>
        <w:autoSpaceDE w:val="0"/>
        <w:autoSpaceDN w:val="0"/>
        <w:adjustRightInd w:val="0"/>
        <w:spacing w:line="240" w:lineRule="auto"/>
        <w:rPr>
          <w:szCs w:val="22"/>
          <w:lang w:val="sk-SK"/>
        </w:rPr>
      </w:pPr>
    </w:p>
    <w:p w14:paraId="1869001C" w14:textId="77777777" w:rsidR="000C01BC" w:rsidRPr="004B1A50" w:rsidRDefault="000C01BC" w:rsidP="000C01BC">
      <w:pPr>
        <w:tabs>
          <w:tab w:val="clear" w:pos="567"/>
        </w:tabs>
        <w:autoSpaceDE w:val="0"/>
        <w:autoSpaceDN w:val="0"/>
        <w:adjustRightInd w:val="0"/>
        <w:spacing w:line="240" w:lineRule="auto"/>
        <w:rPr>
          <w:szCs w:val="22"/>
          <w:lang w:val="sk-SK"/>
        </w:rPr>
      </w:pPr>
      <w:r w:rsidRPr="004B1A50">
        <w:rPr>
          <w:szCs w:val="22"/>
          <w:lang w:val="sk-SK"/>
        </w:rPr>
        <w:t>Podmienky uchovávania po prvom otvorení obalu, pozri časť 6.3.</w:t>
      </w:r>
    </w:p>
    <w:p w14:paraId="0F35EAE5" w14:textId="77777777" w:rsidR="00160CFC" w:rsidRPr="004B1A50" w:rsidRDefault="00160CFC" w:rsidP="00853064">
      <w:pPr>
        <w:rPr>
          <w:szCs w:val="22"/>
          <w:lang w:val="sk-SK"/>
        </w:rPr>
      </w:pPr>
    </w:p>
    <w:p w14:paraId="228119ED" w14:textId="77777777" w:rsidR="00160CFC" w:rsidRPr="004B1A50" w:rsidRDefault="00160CFC" w:rsidP="00853064">
      <w:pPr>
        <w:numPr>
          <w:ilvl w:val="0"/>
          <w:numId w:val="12"/>
        </w:numPr>
        <w:tabs>
          <w:tab w:val="clear" w:pos="567"/>
        </w:tabs>
        <w:ind w:left="567" w:hanging="567"/>
        <w:rPr>
          <w:szCs w:val="22"/>
          <w:lang w:val="sk-SK"/>
        </w:rPr>
      </w:pPr>
      <w:r w:rsidRPr="004B1A50">
        <w:rPr>
          <w:b/>
          <w:bCs/>
          <w:szCs w:val="22"/>
          <w:lang w:val="sk-SK"/>
        </w:rPr>
        <w:t>Druh obalu a obsah balenia</w:t>
      </w:r>
    </w:p>
    <w:p w14:paraId="4DCC5E8E" w14:textId="77777777" w:rsidR="00160CFC" w:rsidRPr="004B1A50" w:rsidRDefault="00160CFC" w:rsidP="00853064">
      <w:pPr>
        <w:rPr>
          <w:szCs w:val="22"/>
          <w:lang w:val="sk-SK"/>
        </w:rPr>
      </w:pPr>
    </w:p>
    <w:p w14:paraId="34545609" w14:textId="77777777" w:rsidR="00160CFC" w:rsidRPr="004B1A50" w:rsidRDefault="000C01BC" w:rsidP="00853064">
      <w:pPr>
        <w:rPr>
          <w:szCs w:val="22"/>
          <w:lang w:val="sk-SK"/>
        </w:rPr>
      </w:pPr>
      <w:r w:rsidRPr="004B1A50">
        <w:rPr>
          <w:szCs w:val="22"/>
          <w:lang w:val="sk-SK"/>
        </w:rPr>
        <w:t>Hliníkovo/hliníkový (ALU/ALU) blister</w:t>
      </w:r>
    </w:p>
    <w:p w14:paraId="2275790E" w14:textId="77777777" w:rsidR="000C01BC" w:rsidRPr="004B1A50" w:rsidRDefault="000C01BC" w:rsidP="00853064">
      <w:pPr>
        <w:rPr>
          <w:szCs w:val="22"/>
          <w:lang w:val="sk-SK"/>
        </w:rPr>
      </w:pPr>
      <w:r w:rsidRPr="004B1A50">
        <w:rPr>
          <w:szCs w:val="22"/>
          <w:lang w:val="sk-SK"/>
        </w:rPr>
        <w:t>Nádoba na tablety (HDPE</w:t>
      </w:r>
      <w:r w:rsidR="00457A64" w:rsidRPr="004B1A50">
        <w:rPr>
          <w:szCs w:val="22"/>
          <w:lang w:val="sk-SK"/>
        </w:rPr>
        <w:t xml:space="preserve"> fľaše</w:t>
      </w:r>
      <w:r w:rsidRPr="004B1A50">
        <w:rPr>
          <w:szCs w:val="22"/>
          <w:lang w:val="sk-SK"/>
        </w:rPr>
        <w:t xml:space="preserve">) </w:t>
      </w:r>
      <w:r w:rsidR="00667A2E" w:rsidRPr="004B1A50">
        <w:rPr>
          <w:szCs w:val="22"/>
          <w:lang w:val="sk-SK"/>
        </w:rPr>
        <w:t>utesnená fóliou a uzatvorená PP uzáverom so závitom.</w:t>
      </w:r>
    </w:p>
    <w:p w14:paraId="0FB1C323" w14:textId="77777777" w:rsidR="00667A2E" w:rsidRPr="004B1A50" w:rsidRDefault="00667A2E" w:rsidP="00853064">
      <w:pPr>
        <w:rPr>
          <w:szCs w:val="22"/>
          <w:lang w:val="sk-SK"/>
        </w:rPr>
      </w:pPr>
    </w:p>
    <w:p w14:paraId="3197E045" w14:textId="77777777" w:rsidR="00667A2E" w:rsidRPr="004B1A50" w:rsidRDefault="00667A2E" w:rsidP="00853064">
      <w:pPr>
        <w:rPr>
          <w:i/>
          <w:szCs w:val="22"/>
          <w:lang w:val="sk-SK"/>
        </w:rPr>
      </w:pPr>
      <w:r w:rsidRPr="004B1A50">
        <w:rPr>
          <w:i/>
          <w:szCs w:val="22"/>
          <w:lang w:val="sk-SK"/>
        </w:rPr>
        <w:t>Veľkosti balenia:</w:t>
      </w:r>
    </w:p>
    <w:p w14:paraId="1BEA5937" w14:textId="10B148BD" w:rsidR="000421F6" w:rsidRPr="004B1A50" w:rsidRDefault="00667A2E" w:rsidP="00853064">
      <w:pPr>
        <w:rPr>
          <w:szCs w:val="22"/>
          <w:lang w:val="sk-SK"/>
        </w:rPr>
      </w:pPr>
      <w:r w:rsidRPr="004B1A50">
        <w:rPr>
          <w:szCs w:val="22"/>
          <w:lang w:val="sk-SK"/>
        </w:rPr>
        <w:t>Blister: 10, 30, 60, 90 tabliet</w:t>
      </w:r>
    </w:p>
    <w:p w14:paraId="12D117AC" w14:textId="06BFADA4" w:rsidR="00667A2E" w:rsidRPr="004B1A50" w:rsidRDefault="00457A64" w:rsidP="00853064">
      <w:pPr>
        <w:rPr>
          <w:szCs w:val="22"/>
          <w:lang w:val="sk-SK"/>
        </w:rPr>
      </w:pPr>
      <w:r w:rsidRPr="004B1A50">
        <w:rPr>
          <w:szCs w:val="22"/>
          <w:lang w:val="sk-SK"/>
        </w:rPr>
        <w:lastRenderedPageBreak/>
        <w:t>HDPE fľaš</w:t>
      </w:r>
      <w:r w:rsidR="000421F6">
        <w:rPr>
          <w:szCs w:val="22"/>
          <w:lang w:val="sk-SK"/>
        </w:rPr>
        <w:t>a</w:t>
      </w:r>
      <w:r w:rsidR="00667A2E" w:rsidRPr="004B1A50">
        <w:rPr>
          <w:szCs w:val="22"/>
          <w:lang w:val="sk-SK"/>
        </w:rPr>
        <w:t>: 100 tabliet</w:t>
      </w:r>
    </w:p>
    <w:p w14:paraId="7A85F002" w14:textId="77777777" w:rsidR="00667A2E" w:rsidRPr="004B1A50" w:rsidRDefault="00667A2E" w:rsidP="00853064">
      <w:pPr>
        <w:rPr>
          <w:szCs w:val="22"/>
          <w:lang w:val="sk-SK"/>
        </w:rPr>
      </w:pPr>
    </w:p>
    <w:p w14:paraId="7F556459" w14:textId="77777777" w:rsidR="00160CFC" w:rsidRPr="004B1A50" w:rsidRDefault="00160CFC" w:rsidP="00853064">
      <w:pPr>
        <w:rPr>
          <w:szCs w:val="22"/>
          <w:lang w:val="sk-SK"/>
        </w:rPr>
      </w:pPr>
      <w:r w:rsidRPr="004B1A50">
        <w:rPr>
          <w:szCs w:val="22"/>
          <w:lang w:val="sk-SK"/>
        </w:rPr>
        <w:t>Na trh nemusia byť uvedené všetky veľkosti balenia.</w:t>
      </w:r>
    </w:p>
    <w:p w14:paraId="09F7B2A1" w14:textId="77777777" w:rsidR="00160CFC" w:rsidRPr="004B1A50" w:rsidRDefault="00160CFC" w:rsidP="00853064">
      <w:pPr>
        <w:rPr>
          <w:szCs w:val="22"/>
          <w:lang w:val="sk-SK"/>
        </w:rPr>
      </w:pPr>
    </w:p>
    <w:p w14:paraId="7E8C8D8C" w14:textId="77777777" w:rsidR="00160CFC" w:rsidRPr="004B1A50" w:rsidRDefault="00160CFC" w:rsidP="00853064">
      <w:pPr>
        <w:numPr>
          <w:ilvl w:val="0"/>
          <w:numId w:val="12"/>
        </w:numPr>
        <w:tabs>
          <w:tab w:val="clear" w:pos="567"/>
        </w:tabs>
        <w:ind w:left="567" w:hanging="567"/>
        <w:outlineLvl w:val="0"/>
        <w:rPr>
          <w:szCs w:val="22"/>
          <w:lang w:val="sk-SK"/>
        </w:rPr>
      </w:pPr>
      <w:r w:rsidRPr="004B1A50">
        <w:rPr>
          <w:b/>
          <w:bCs/>
          <w:szCs w:val="22"/>
          <w:lang w:val="sk-SK"/>
        </w:rPr>
        <w:t>Špeciálne opatrenia na likvidáciu a iné zaobchádzanie s liekom</w:t>
      </w:r>
    </w:p>
    <w:p w14:paraId="711F2380" w14:textId="77777777" w:rsidR="00160CFC" w:rsidRPr="004B1A50" w:rsidRDefault="00160CFC" w:rsidP="00853064">
      <w:pPr>
        <w:rPr>
          <w:szCs w:val="22"/>
          <w:lang w:val="sk-SK"/>
        </w:rPr>
      </w:pPr>
    </w:p>
    <w:p w14:paraId="52A1D837" w14:textId="77777777" w:rsidR="00160CFC" w:rsidRPr="004B1A50" w:rsidRDefault="00160CFC" w:rsidP="00853064">
      <w:pPr>
        <w:autoSpaceDE w:val="0"/>
        <w:autoSpaceDN w:val="0"/>
        <w:adjustRightInd w:val="0"/>
        <w:spacing w:line="240" w:lineRule="auto"/>
        <w:rPr>
          <w:rFonts w:eastAsia="TimesNewRoman"/>
          <w:color w:val="000000"/>
          <w:szCs w:val="22"/>
          <w:lang w:val="sk-SK"/>
        </w:rPr>
      </w:pPr>
      <w:r w:rsidRPr="004B1A50">
        <w:rPr>
          <w:rFonts w:eastAsia="TimesNewRoman"/>
          <w:color w:val="000000"/>
          <w:szCs w:val="22"/>
          <w:lang w:val="sk-SK"/>
        </w:rPr>
        <w:t>Žiadne zvláštne požiadavky.</w:t>
      </w:r>
    </w:p>
    <w:p w14:paraId="25F0936B" w14:textId="77777777" w:rsidR="00160CFC" w:rsidRPr="004B1A50" w:rsidRDefault="00160CFC" w:rsidP="00853064">
      <w:pPr>
        <w:autoSpaceDE w:val="0"/>
        <w:autoSpaceDN w:val="0"/>
        <w:adjustRightInd w:val="0"/>
        <w:spacing w:line="240" w:lineRule="auto"/>
        <w:rPr>
          <w:rFonts w:eastAsia="TimesNewRoman"/>
          <w:color w:val="000000"/>
          <w:szCs w:val="22"/>
          <w:lang w:val="sk-SK"/>
        </w:rPr>
      </w:pPr>
    </w:p>
    <w:p w14:paraId="195436C2" w14:textId="77777777" w:rsidR="00EA73D5" w:rsidRPr="004B1A50" w:rsidRDefault="00EA73D5" w:rsidP="00853064">
      <w:pPr>
        <w:rPr>
          <w:lang w:val="sk-SK"/>
        </w:rPr>
      </w:pPr>
    </w:p>
    <w:p w14:paraId="4EC55D82" w14:textId="77777777" w:rsidR="00160CFC" w:rsidRPr="004B1A50" w:rsidRDefault="00160CFC" w:rsidP="00853064">
      <w:pPr>
        <w:numPr>
          <w:ilvl w:val="0"/>
          <w:numId w:val="13"/>
        </w:numPr>
        <w:tabs>
          <w:tab w:val="clear" w:pos="567"/>
        </w:tabs>
        <w:ind w:left="567" w:hanging="567"/>
        <w:rPr>
          <w:lang w:val="sk-SK"/>
        </w:rPr>
      </w:pPr>
      <w:r w:rsidRPr="004B1A50">
        <w:rPr>
          <w:b/>
          <w:bCs/>
          <w:lang w:val="sk-SK"/>
        </w:rPr>
        <w:t>DRŽITEĽ ROZHODNUTIA O REGISTRÁCII</w:t>
      </w:r>
    </w:p>
    <w:p w14:paraId="04A12470" w14:textId="77777777" w:rsidR="00160CFC" w:rsidRPr="004B1A50" w:rsidRDefault="00160CFC" w:rsidP="00853064">
      <w:pPr>
        <w:rPr>
          <w:lang w:val="sk-SK"/>
        </w:rPr>
      </w:pPr>
    </w:p>
    <w:p w14:paraId="34FF98DB" w14:textId="77777777" w:rsidR="005F5B91" w:rsidRPr="004B1A50" w:rsidRDefault="00667A2E" w:rsidP="00853064">
      <w:pPr>
        <w:tabs>
          <w:tab w:val="clear" w:pos="567"/>
          <w:tab w:val="left" w:pos="708"/>
        </w:tabs>
        <w:spacing w:line="240" w:lineRule="auto"/>
        <w:rPr>
          <w:lang w:val="sk-SK"/>
        </w:rPr>
      </w:pPr>
      <w:r w:rsidRPr="004B1A50">
        <w:rPr>
          <w:lang w:val="sk-SK"/>
        </w:rPr>
        <w:t>STADA Arzneimittel AG</w:t>
      </w:r>
    </w:p>
    <w:p w14:paraId="4C97DDED" w14:textId="77777777" w:rsidR="00667A2E" w:rsidRPr="004B1A50" w:rsidRDefault="00667A2E" w:rsidP="00853064">
      <w:pPr>
        <w:tabs>
          <w:tab w:val="clear" w:pos="567"/>
          <w:tab w:val="left" w:pos="708"/>
        </w:tabs>
        <w:spacing w:line="240" w:lineRule="auto"/>
        <w:rPr>
          <w:lang w:val="sk-SK"/>
        </w:rPr>
      </w:pPr>
      <w:r w:rsidRPr="004B1A50">
        <w:rPr>
          <w:lang w:val="sk-SK"/>
        </w:rPr>
        <w:t>Stadastrasse 2-18</w:t>
      </w:r>
    </w:p>
    <w:p w14:paraId="7929BB2A" w14:textId="77777777" w:rsidR="00667A2E" w:rsidRPr="004B1A50" w:rsidRDefault="00667A2E" w:rsidP="00853064">
      <w:pPr>
        <w:tabs>
          <w:tab w:val="clear" w:pos="567"/>
          <w:tab w:val="left" w:pos="708"/>
        </w:tabs>
        <w:spacing w:line="240" w:lineRule="auto"/>
        <w:rPr>
          <w:lang w:val="sk-SK"/>
        </w:rPr>
      </w:pPr>
      <w:r w:rsidRPr="004B1A50">
        <w:rPr>
          <w:lang w:val="sk-SK"/>
        </w:rPr>
        <w:t>61118 Bad Vilbel</w:t>
      </w:r>
    </w:p>
    <w:p w14:paraId="50FE33F1" w14:textId="77777777" w:rsidR="00667A2E" w:rsidRPr="004B1A50" w:rsidRDefault="00667A2E" w:rsidP="00853064">
      <w:pPr>
        <w:tabs>
          <w:tab w:val="clear" w:pos="567"/>
          <w:tab w:val="left" w:pos="708"/>
        </w:tabs>
        <w:spacing w:line="240" w:lineRule="auto"/>
        <w:rPr>
          <w:lang w:val="sk-SK"/>
        </w:rPr>
      </w:pPr>
      <w:r w:rsidRPr="004B1A50">
        <w:rPr>
          <w:lang w:val="sk-SK"/>
        </w:rPr>
        <w:t>Nemecko</w:t>
      </w:r>
    </w:p>
    <w:p w14:paraId="431B7DCA" w14:textId="77777777" w:rsidR="00160CFC" w:rsidRPr="004B1A50" w:rsidRDefault="00160CFC" w:rsidP="00853064">
      <w:pPr>
        <w:rPr>
          <w:lang w:val="sk-SK"/>
        </w:rPr>
      </w:pPr>
    </w:p>
    <w:p w14:paraId="10B5950A" w14:textId="77777777" w:rsidR="00160CFC" w:rsidRPr="004B1A50" w:rsidRDefault="00160CFC" w:rsidP="00853064">
      <w:pPr>
        <w:rPr>
          <w:lang w:val="sk-SK"/>
        </w:rPr>
      </w:pPr>
    </w:p>
    <w:p w14:paraId="21234E44" w14:textId="77777777" w:rsidR="00160CFC" w:rsidRPr="004B1A50" w:rsidRDefault="00EA73D5" w:rsidP="00853064">
      <w:pPr>
        <w:numPr>
          <w:ilvl w:val="0"/>
          <w:numId w:val="13"/>
        </w:numPr>
        <w:tabs>
          <w:tab w:val="clear" w:pos="567"/>
        </w:tabs>
        <w:ind w:left="426" w:hanging="426"/>
        <w:rPr>
          <w:lang w:val="sk-SK"/>
        </w:rPr>
      </w:pPr>
      <w:r w:rsidRPr="004B1A50">
        <w:rPr>
          <w:b/>
          <w:bCs/>
          <w:lang w:val="sk-SK"/>
        </w:rPr>
        <w:t>REGISTRAČNÉ ČÍSL</w:t>
      </w:r>
      <w:r w:rsidR="00160CFC" w:rsidRPr="004B1A50">
        <w:rPr>
          <w:b/>
          <w:bCs/>
          <w:lang w:val="sk-SK"/>
        </w:rPr>
        <w:t>A</w:t>
      </w:r>
    </w:p>
    <w:p w14:paraId="627E51EE" w14:textId="77777777" w:rsidR="00160CFC" w:rsidRPr="004B1A50" w:rsidRDefault="00160CFC" w:rsidP="00853064">
      <w:pPr>
        <w:rPr>
          <w:i/>
          <w:lang w:val="sk-SK"/>
        </w:rPr>
      </w:pPr>
    </w:p>
    <w:p w14:paraId="2319FF63" w14:textId="77777777" w:rsidR="00667A2E" w:rsidRPr="004B1A50" w:rsidRDefault="00667A2E" w:rsidP="00667A2E">
      <w:pPr>
        <w:tabs>
          <w:tab w:val="clear" w:pos="567"/>
        </w:tabs>
        <w:rPr>
          <w:lang w:val="sk-SK"/>
        </w:rPr>
      </w:pPr>
      <w:r w:rsidRPr="004B1A50">
        <w:rPr>
          <w:lang w:val="sk-SK"/>
        </w:rPr>
        <w:t>Perindamlostad 4 mg/5 mg tablety:</w:t>
      </w:r>
      <w:r w:rsidR="00457A64" w:rsidRPr="004B1A50">
        <w:rPr>
          <w:lang w:val="sk-SK"/>
        </w:rPr>
        <w:t xml:space="preserve"> 58/0144/17-S</w:t>
      </w:r>
    </w:p>
    <w:p w14:paraId="37675055" w14:textId="77777777" w:rsidR="00667A2E" w:rsidRPr="004B1A50" w:rsidRDefault="00667A2E" w:rsidP="00667A2E">
      <w:pPr>
        <w:tabs>
          <w:tab w:val="clear" w:pos="567"/>
        </w:tabs>
        <w:rPr>
          <w:lang w:val="sk-SK"/>
        </w:rPr>
      </w:pPr>
      <w:r w:rsidRPr="004B1A50">
        <w:rPr>
          <w:lang w:val="sk-SK"/>
        </w:rPr>
        <w:t>Perindamlostad 4 mg/10 mg tablety:</w:t>
      </w:r>
      <w:r w:rsidR="00457A64" w:rsidRPr="004B1A50">
        <w:rPr>
          <w:lang w:val="sk-SK"/>
        </w:rPr>
        <w:t xml:space="preserve"> 58/0145/17-S</w:t>
      </w:r>
    </w:p>
    <w:p w14:paraId="11819EC7" w14:textId="77777777" w:rsidR="00667A2E" w:rsidRPr="004B1A50" w:rsidRDefault="00667A2E" w:rsidP="00667A2E">
      <w:pPr>
        <w:tabs>
          <w:tab w:val="clear" w:pos="567"/>
        </w:tabs>
        <w:rPr>
          <w:lang w:val="sk-SK"/>
        </w:rPr>
      </w:pPr>
      <w:r w:rsidRPr="004B1A50">
        <w:rPr>
          <w:lang w:val="sk-SK"/>
        </w:rPr>
        <w:t>Perindamlostad 8 mg/5 mg tablety:</w:t>
      </w:r>
      <w:r w:rsidR="00457A64" w:rsidRPr="004B1A50">
        <w:rPr>
          <w:lang w:val="sk-SK"/>
        </w:rPr>
        <w:t xml:space="preserve"> 58/0146/17-S</w:t>
      </w:r>
    </w:p>
    <w:p w14:paraId="34B5003A" w14:textId="77777777" w:rsidR="00667A2E" w:rsidRPr="004B1A50" w:rsidRDefault="00667A2E" w:rsidP="00667A2E">
      <w:pPr>
        <w:tabs>
          <w:tab w:val="clear" w:pos="567"/>
        </w:tabs>
        <w:rPr>
          <w:lang w:val="sk-SK"/>
        </w:rPr>
      </w:pPr>
      <w:r w:rsidRPr="004B1A50">
        <w:rPr>
          <w:lang w:val="sk-SK"/>
        </w:rPr>
        <w:t>Perindamlostad 8 mg/10 mg tablety:</w:t>
      </w:r>
      <w:r w:rsidR="00457A64" w:rsidRPr="004B1A50">
        <w:rPr>
          <w:lang w:val="sk-SK"/>
        </w:rPr>
        <w:t xml:space="preserve"> 58/0147/17-S</w:t>
      </w:r>
    </w:p>
    <w:p w14:paraId="1ED672EF" w14:textId="77777777" w:rsidR="00160CFC" w:rsidRPr="004B1A50" w:rsidRDefault="00160CFC" w:rsidP="00853064">
      <w:pPr>
        <w:rPr>
          <w:lang w:val="sk-SK"/>
        </w:rPr>
      </w:pPr>
    </w:p>
    <w:p w14:paraId="240407B4" w14:textId="77777777" w:rsidR="00160CFC" w:rsidRPr="004B1A50" w:rsidRDefault="00160CFC" w:rsidP="00853064">
      <w:pPr>
        <w:rPr>
          <w:lang w:val="sk-SK"/>
        </w:rPr>
      </w:pPr>
    </w:p>
    <w:p w14:paraId="49A845CE" w14:textId="77777777" w:rsidR="00160CFC" w:rsidRPr="004B1A50" w:rsidRDefault="00160CFC" w:rsidP="00853064">
      <w:pPr>
        <w:numPr>
          <w:ilvl w:val="0"/>
          <w:numId w:val="13"/>
        </w:numPr>
        <w:tabs>
          <w:tab w:val="clear" w:pos="567"/>
        </w:tabs>
        <w:ind w:left="567" w:hanging="567"/>
        <w:rPr>
          <w:lang w:val="sk-SK"/>
        </w:rPr>
      </w:pPr>
      <w:r w:rsidRPr="004B1A50">
        <w:rPr>
          <w:b/>
          <w:bCs/>
          <w:lang w:val="sk-SK"/>
        </w:rPr>
        <w:t>DÁTUM PRVEJ REGISTRÁCIE/PREDĹŽENIA REGISTRÁCIE</w:t>
      </w:r>
    </w:p>
    <w:p w14:paraId="578AB944" w14:textId="77777777" w:rsidR="00160CFC" w:rsidRPr="004B1A50" w:rsidRDefault="00160CFC" w:rsidP="00853064">
      <w:pPr>
        <w:rPr>
          <w:i/>
          <w:lang w:val="sk-SK"/>
        </w:rPr>
      </w:pPr>
    </w:p>
    <w:p w14:paraId="7FF23FD7" w14:textId="0275212F" w:rsidR="00160CFC" w:rsidRDefault="004B1A50" w:rsidP="00853064">
      <w:pPr>
        <w:rPr>
          <w:lang w:val="sk-SK"/>
        </w:rPr>
      </w:pPr>
      <w:r>
        <w:rPr>
          <w:lang w:val="sk-SK"/>
        </w:rPr>
        <w:t>Dátum prvej registrácie: 21. júna 2017</w:t>
      </w:r>
    </w:p>
    <w:p w14:paraId="0B8808A7" w14:textId="77777777" w:rsidR="004B1A50" w:rsidRPr="004B1A50" w:rsidRDefault="004B1A50" w:rsidP="00853064">
      <w:pPr>
        <w:rPr>
          <w:lang w:val="sk-SK"/>
        </w:rPr>
      </w:pPr>
    </w:p>
    <w:p w14:paraId="7CC0B7B8" w14:textId="77777777" w:rsidR="00160CFC" w:rsidRPr="004B1A50" w:rsidRDefault="00160CFC" w:rsidP="00853064">
      <w:pPr>
        <w:rPr>
          <w:lang w:val="sk-SK"/>
        </w:rPr>
      </w:pPr>
    </w:p>
    <w:p w14:paraId="085511DF" w14:textId="77777777" w:rsidR="00160CFC" w:rsidRPr="004B1A50" w:rsidRDefault="00160CFC" w:rsidP="00853064">
      <w:pPr>
        <w:numPr>
          <w:ilvl w:val="0"/>
          <w:numId w:val="13"/>
        </w:numPr>
        <w:tabs>
          <w:tab w:val="clear" w:pos="567"/>
        </w:tabs>
        <w:ind w:left="567" w:hanging="567"/>
        <w:rPr>
          <w:lang w:val="sk-SK"/>
        </w:rPr>
      </w:pPr>
      <w:r w:rsidRPr="004B1A50">
        <w:rPr>
          <w:b/>
          <w:bCs/>
          <w:lang w:val="sk-SK"/>
        </w:rPr>
        <w:t>DÁTUM REVÍZIE TEXTU</w:t>
      </w:r>
    </w:p>
    <w:p w14:paraId="429B4D96" w14:textId="77777777" w:rsidR="00160CFC" w:rsidRPr="004B1A50" w:rsidRDefault="00160CFC" w:rsidP="00853064">
      <w:pPr>
        <w:numPr>
          <w:ilvl w:val="12"/>
          <w:numId w:val="0"/>
        </w:numPr>
        <w:ind w:right="-2"/>
        <w:rPr>
          <w:iCs/>
          <w:lang w:val="sk-SK"/>
        </w:rPr>
      </w:pPr>
    </w:p>
    <w:p w14:paraId="1B74AFF6" w14:textId="288495EB" w:rsidR="00160CFC" w:rsidRPr="004B1A50" w:rsidRDefault="00CD4CB8" w:rsidP="00853064">
      <w:pPr>
        <w:numPr>
          <w:ilvl w:val="12"/>
          <w:numId w:val="0"/>
        </w:numPr>
        <w:ind w:right="-2"/>
        <w:rPr>
          <w:iCs/>
          <w:lang w:val="sk-SK"/>
        </w:rPr>
      </w:pPr>
      <w:r>
        <w:rPr>
          <w:iCs/>
          <w:lang w:val="sk-SK"/>
        </w:rPr>
        <w:t>05/2020</w:t>
      </w:r>
    </w:p>
    <w:p w14:paraId="668F22B8" w14:textId="77777777" w:rsidR="00160CFC" w:rsidRPr="004B1A50" w:rsidRDefault="00160CFC" w:rsidP="00853064">
      <w:pPr>
        <w:ind w:left="567" w:hanging="567"/>
        <w:rPr>
          <w:lang w:val="sk-SK"/>
        </w:rPr>
      </w:pPr>
    </w:p>
    <w:sectPr w:rsidR="00160CFC" w:rsidRPr="004B1A50" w:rsidSect="00FC0B45">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B01DD" w14:textId="77777777" w:rsidR="00012C56" w:rsidRPr="00160CFC" w:rsidRDefault="00012C56" w:rsidP="00160CFC">
      <w:pPr>
        <w:rPr>
          <w:noProof/>
        </w:rPr>
      </w:pPr>
      <w:r>
        <w:rPr>
          <w:noProof/>
        </w:rPr>
        <w:separator/>
      </w:r>
    </w:p>
  </w:endnote>
  <w:endnote w:type="continuationSeparator" w:id="0">
    <w:p w14:paraId="2E65E6D2" w14:textId="77777777" w:rsidR="00012C56" w:rsidRPr="00160CFC" w:rsidRDefault="00012C56" w:rsidP="00160CF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TimesNewRoman,Bold">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4FF4F" w14:textId="4D08C1E1" w:rsidR="00CD4CB8" w:rsidRPr="00160CFC" w:rsidRDefault="00CD4CB8">
    <w:pPr>
      <w:pStyle w:val="Pta"/>
      <w:tabs>
        <w:tab w:val="clear" w:pos="8930"/>
        <w:tab w:val="right" w:pos="8931"/>
      </w:tabs>
      <w:ind w:right="96"/>
      <w:jc w:val="center"/>
      <w:rPr>
        <w:rFonts w:ascii="Arial" w:hAnsi="Arial" w:cs="Arial"/>
        <w:noProof/>
      </w:rPr>
    </w:pPr>
    <w:r>
      <w:rPr>
        <w:rFonts w:ascii="Arial" w:hAnsi="Arial" w:cs="Arial"/>
        <w:noProof/>
        <w:lang w:val="sk"/>
      </w:rPr>
      <w:fldChar w:fldCharType="begin"/>
    </w:r>
    <w:r>
      <w:rPr>
        <w:rFonts w:ascii="Arial" w:hAnsi="Arial" w:cs="Arial"/>
        <w:noProof/>
        <w:lang w:val="sk"/>
      </w:rPr>
      <w:instrText xml:space="preserve"> EQ </w:instrText>
    </w:r>
    <w:r>
      <w:rPr>
        <w:rFonts w:ascii="Arial" w:hAnsi="Arial" w:cs="Arial"/>
        <w:noProof/>
        <w:lang w:val="sk"/>
      </w:rPr>
      <w:fldChar w:fldCharType="end"/>
    </w:r>
    <w:r w:rsidRPr="00A94704">
      <w:rPr>
        <w:rStyle w:val="slostrany"/>
        <w:rFonts w:ascii="Times New Roman" w:hAnsi="Times New Roman"/>
        <w:noProof/>
        <w:sz w:val="18"/>
        <w:szCs w:val="18"/>
        <w:lang w:val="sk"/>
      </w:rPr>
      <w:fldChar w:fldCharType="begin"/>
    </w:r>
    <w:r w:rsidRPr="00A94704">
      <w:rPr>
        <w:rStyle w:val="slostrany"/>
        <w:rFonts w:ascii="Times New Roman" w:hAnsi="Times New Roman"/>
        <w:noProof/>
        <w:sz w:val="18"/>
        <w:szCs w:val="18"/>
        <w:lang w:val="sk"/>
      </w:rPr>
      <w:instrText xml:space="preserve">PAGE  </w:instrText>
    </w:r>
    <w:r w:rsidRPr="00A94704">
      <w:rPr>
        <w:rStyle w:val="slostrany"/>
        <w:rFonts w:ascii="Times New Roman" w:hAnsi="Times New Roman"/>
        <w:noProof/>
        <w:sz w:val="18"/>
        <w:szCs w:val="18"/>
        <w:lang w:val="sk"/>
      </w:rPr>
      <w:fldChar w:fldCharType="separate"/>
    </w:r>
    <w:r w:rsidR="003A0D80">
      <w:rPr>
        <w:rStyle w:val="slostrany"/>
        <w:rFonts w:ascii="Times New Roman" w:hAnsi="Times New Roman"/>
        <w:noProof/>
        <w:sz w:val="18"/>
        <w:szCs w:val="18"/>
        <w:lang w:val="sk"/>
      </w:rPr>
      <w:t>12</w:t>
    </w:r>
    <w:r w:rsidRPr="00A94704">
      <w:rPr>
        <w:rStyle w:val="slostrany"/>
        <w:rFonts w:ascii="Times New Roman" w:hAnsi="Times New Roman"/>
        <w:noProof/>
        <w:sz w:val="18"/>
        <w:szCs w:val="18"/>
        <w:lang w:val="sk"/>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46D3" w14:textId="77777777" w:rsidR="00CD4CB8" w:rsidRPr="00160CFC" w:rsidRDefault="00CD4CB8">
    <w:pPr>
      <w:pStyle w:val="Pta"/>
      <w:tabs>
        <w:tab w:val="clear" w:pos="8930"/>
        <w:tab w:val="right" w:pos="8931"/>
      </w:tabs>
      <w:ind w:right="96"/>
      <w:jc w:val="center"/>
      <w:rPr>
        <w:rFonts w:ascii="Arial" w:hAnsi="Arial" w:cs="Arial"/>
        <w:noProof/>
      </w:rPr>
    </w:pPr>
    <w:r>
      <w:rPr>
        <w:rFonts w:ascii="Arial" w:hAnsi="Arial" w:cs="Arial"/>
        <w:noProof/>
        <w:lang w:val="sk"/>
      </w:rPr>
      <w:fldChar w:fldCharType="begin"/>
    </w:r>
    <w:r>
      <w:rPr>
        <w:rFonts w:ascii="Arial" w:hAnsi="Arial" w:cs="Arial"/>
        <w:noProof/>
        <w:lang w:val="sk"/>
      </w:rPr>
      <w:instrText xml:space="preserve"> EQ </w:instrText>
    </w:r>
    <w:r>
      <w:rPr>
        <w:rFonts w:ascii="Arial" w:hAnsi="Arial" w:cs="Arial"/>
        <w:noProof/>
        <w:lang w:val="sk"/>
      </w:rPr>
      <w:fldChar w:fldCharType="end"/>
    </w:r>
    <w:r w:rsidRPr="00297F80">
      <w:rPr>
        <w:rStyle w:val="slostrany"/>
        <w:rFonts w:ascii="Times New Roman" w:hAnsi="Times New Roman"/>
        <w:noProof/>
        <w:sz w:val="18"/>
        <w:szCs w:val="18"/>
        <w:lang w:val="sk"/>
      </w:rPr>
      <w:fldChar w:fldCharType="begin"/>
    </w:r>
    <w:r w:rsidRPr="00297F80">
      <w:rPr>
        <w:rStyle w:val="slostrany"/>
        <w:rFonts w:ascii="Times New Roman" w:hAnsi="Times New Roman"/>
        <w:noProof/>
        <w:sz w:val="18"/>
        <w:szCs w:val="18"/>
        <w:lang w:val="sk"/>
      </w:rPr>
      <w:instrText xml:space="preserve">PAGE  </w:instrText>
    </w:r>
    <w:r w:rsidRPr="00297F80">
      <w:rPr>
        <w:rStyle w:val="slostrany"/>
        <w:rFonts w:ascii="Times New Roman" w:hAnsi="Times New Roman"/>
        <w:noProof/>
        <w:sz w:val="18"/>
        <w:szCs w:val="18"/>
        <w:lang w:val="sk"/>
      </w:rPr>
      <w:fldChar w:fldCharType="separate"/>
    </w:r>
    <w:r>
      <w:rPr>
        <w:rStyle w:val="slostrany"/>
        <w:rFonts w:ascii="Times New Roman" w:hAnsi="Times New Roman"/>
        <w:noProof/>
        <w:sz w:val="18"/>
        <w:szCs w:val="18"/>
        <w:lang w:val="sk"/>
      </w:rPr>
      <w:t>1</w:t>
    </w:r>
    <w:r w:rsidRPr="00297F80">
      <w:rPr>
        <w:rStyle w:val="slostrany"/>
        <w:rFonts w:ascii="Times New Roman" w:hAnsi="Times New Roman"/>
        <w:noProof/>
        <w:sz w:val="18"/>
        <w:szCs w:val="18"/>
        <w:lang w:val="s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82914" w14:textId="77777777" w:rsidR="00012C56" w:rsidRPr="00160CFC" w:rsidRDefault="00012C56" w:rsidP="00160CFC">
      <w:pPr>
        <w:rPr>
          <w:noProof/>
        </w:rPr>
      </w:pPr>
      <w:r>
        <w:rPr>
          <w:noProof/>
        </w:rPr>
        <w:separator/>
      </w:r>
    </w:p>
  </w:footnote>
  <w:footnote w:type="continuationSeparator" w:id="0">
    <w:p w14:paraId="2E3380F1" w14:textId="77777777" w:rsidR="00012C56" w:rsidRPr="00160CFC" w:rsidRDefault="00012C56" w:rsidP="00160CFC">
      <w:pPr>
        <w:rPr>
          <w:noProof/>
        </w:rPr>
      </w:pPr>
      <w:r>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CFF72" w14:textId="77777777" w:rsidR="00CD4CB8" w:rsidRDefault="00CD4CB8" w:rsidP="00CC0C87">
    <w:pPr>
      <w:pStyle w:val="Hlavika"/>
      <w:rPr>
        <w:rFonts w:ascii="Times New Roman" w:hAnsi="Times New Roman"/>
        <w:sz w:val="18"/>
        <w:szCs w:val="18"/>
        <w:lang w:val="sk-SK"/>
      </w:rPr>
    </w:pPr>
    <w:r w:rsidRPr="00B23701">
      <w:rPr>
        <w:rFonts w:ascii="Times New Roman" w:hAnsi="Times New Roman"/>
        <w:sz w:val="18"/>
        <w:szCs w:val="18"/>
        <w:lang w:val="sk-SK"/>
      </w:rPr>
      <w:t>Príloha č. 1 k notifikácii o zmene, ev. č.: 2017/</w:t>
    </w:r>
    <w:r>
      <w:rPr>
        <w:rFonts w:ascii="Times New Roman" w:hAnsi="Times New Roman"/>
        <w:sz w:val="18"/>
        <w:szCs w:val="18"/>
      </w:rPr>
      <w:t xml:space="preserve">05675-Z1B, </w:t>
    </w:r>
    <w:r w:rsidRPr="00A55960">
      <w:rPr>
        <w:rFonts w:ascii="Times New Roman" w:hAnsi="Times New Roman"/>
        <w:sz w:val="18"/>
        <w:szCs w:val="18"/>
        <w:lang w:val="sk-SK"/>
      </w:rPr>
      <w:t>201</w:t>
    </w:r>
    <w:r>
      <w:rPr>
        <w:rFonts w:ascii="Times New Roman" w:hAnsi="Times New Roman"/>
        <w:sz w:val="18"/>
        <w:szCs w:val="18"/>
        <w:lang w:val="sk-SK"/>
      </w:rPr>
      <w:t xml:space="preserve">8/00224-Z1B, </w:t>
    </w:r>
    <w:r w:rsidRPr="00A55960">
      <w:rPr>
        <w:rFonts w:ascii="Times New Roman" w:hAnsi="Times New Roman"/>
        <w:sz w:val="18"/>
        <w:szCs w:val="18"/>
        <w:lang w:val="sk-SK"/>
      </w:rPr>
      <w:t>201</w:t>
    </w:r>
    <w:r>
      <w:rPr>
        <w:rFonts w:ascii="Times New Roman" w:hAnsi="Times New Roman"/>
        <w:sz w:val="18"/>
        <w:szCs w:val="18"/>
        <w:lang w:val="sk-SK"/>
      </w:rPr>
      <w:t>9/01761-Z1</w:t>
    </w:r>
  </w:p>
  <w:p w14:paraId="7FC72D75" w14:textId="60DA4B68" w:rsidR="00CD4CB8" w:rsidRDefault="00CD4CB8" w:rsidP="00CC0C87">
    <w:pPr>
      <w:pStyle w:val="Hlavika"/>
      <w:rPr>
        <w:rFonts w:ascii="Times New Roman" w:hAnsi="Times New Roman"/>
        <w:sz w:val="18"/>
        <w:szCs w:val="18"/>
      </w:rPr>
    </w:pPr>
  </w:p>
  <w:p w14:paraId="318BC181" w14:textId="77777777" w:rsidR="00CD4CB8" w:rsidRPr="00FC0B45" w:rsidRDefault="00CD4CB8" w:rsidP="00CC0C87">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258B3" w14:textId="77777777" w:rsidR="00CD4CB8" w:rsidRPr="00FC0B45" w:rsidRDefault="00CD4CB8">
    <w:pPr>
      <w:pStyle w:val="Hlavika"/>
      <w:rPr>
        <w:rFonts w:ascii="Times New Roman" w:hAnsi="Times New Roman"/>
        <w:sz w:val="18"/>
        <w:szCs w:val="18"/>
        <w:lang w:val="sk-SK"/>
      </w:rPr>
    </w:pPr>
    <w:r w:rsidRPr="00FC0B45">
      <w:rPr>
        <w:rFonts w:ascii="Times New Roman" w:hAnsi="Times New Roman"/>
        <w:sz w:val="18"/>
        <w:szCs w:val="18"/>
        <w:lang w:val="sk-SK"/>
      </w:rPr>
      <w:t>Príloha č. 1 k notifikácii o zmene, ev. č.: 2017/</w:t>
    </w:r>
    <w:r>
      <w:rPr>
        <w:rFonts w:ascii="Times New Roman" w:hAnsi="Times New Roman"/>
        <w:sz w:val="18"/>
        <w:szCs w:val="18"/>
      </w:rPr>
      <w:t xml:space="preserve">05675-Z1B, </w:t>
    </w:r>
    <w:r w:rsidRPr="00A55960">
      <w:rPr>
        <w:rFonts w:ascii="Times New Roman" w:hAnsi="Times New Roman"/>
        <w:sz w:val="18"/>
        <w:szCs w:val="18"/>
        <w:lang w:val="sk-SK"/>
      </w:rPr>
      <w:t>201</w:t>
    </w:r>
    <w:r>
      <w:rPr>
        <w:rFonts w:ascii="Times New Roman" w:hAnsi="Times New Roman"/>
        <w:sz w:val="18"/>
        <w:szCs w:val="18"/>
        <w:lang w:val="sk-SK"/>
      </w:rPr>
      <w:t xml:space="preserve">8/00224-Z1B, </w:t>
    </w:r>
    <w:r w:rsidRPr="00A55960">
      <w:rPr>
        <w:rFonts w:ascii="Times New Roman" w:hAnsi="Times New Roman"/>
        <w:sz w:val="18"/>
        <w:szCs w:val="18"/>
        <w:lang w:val="sk-SK"/>
      </w:rPr>
      <w:t>201</w:t>
    </w:r>
    <w:r>
      <w:rPr>
        <w:rFonts w:ascii="Times New Roman" w:hAnsi="Times New Roman"/>
        <w:sz w:val="18"/>
        <w:szCs w:val="18"/>
        <w:lang w:val="sk-SK"/>
      </w:rPr>
      <w:t>9/01761-Z1B</w:t>
    </w:r>
  </w:p>
  <w:p w14:paraId="437B7C68" w14:textId="77777777" w:rsidR="00CD4CB8" w:rsidRDefault="00CD4CB8">
    <w:pPr>
      <w:pStyle w:val="Hlavika"/>
      <w:rPr>
        <w:rFonts w:ascii="Times New Roman" w:hAnsi="Times New Roman"/>
        <w:sz w:val="18"/>
        <w:szCs w:val="18"/>
      </w:rPr>
    </w:pPr>
  </w:p>
  <w:p w14:paraId="73606A75" w14:textId="77777777" w:rsidR="00CD4CB8" w:rsidRPr="00FC0B45" w:rsidRDefault="00CD4CB8">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1777CE"/>
    <w:multiLevelType w:val="hybridMultilevel"/>
    <w:tmpl w:val="C186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CD6396"/>
    <w:multiLevelType w:val="hybridMultilevel"/>
    <w:tmpl w:val="9224FD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86081E"/>
    <w:multiLevelType w:val="hybridMultilevel"/>
    <w:tmpl w:val="DF06A86C"/>
    <w:lvl w:ilvl="0" w:tplc="DECCD6F4">
      <w:start w:val="1"/>
      <w:numFmt w:val="decimal"/>
      <w:lvlText w:val="%1."/>
      <w:lvlJc w:val="left"/>
      <w:pPr>
        <w:ind w:left="720" w:hanging="360"/>
      </w:pPr>
      <w:rPr>
        <w:rFonts w:eastAsia="TimesNew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56460F"/>
    <w:multiLevelType w:val="hybridMultilevel"/>
    <w:tmpl w:val="474CA84E"/>
    <w:lvl w:ilvl="0" w:tplc="5186E3B0">
      <w:start w:val="4"/>
      <w:numFmt w:val="decimal"/>
      <w:lvlText w:val="6.%1"/>
      <w:lvlJc w:val="left"/>
      <w:pPr>
        <w:ind w:left="144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3E69F8"/>
    <w:multiLevelType w:val="multilevel"/>
    <w:tmpl w:val="8CB0DB74"/>
    <w:lvl w:ilvl="0">
      <w:start w:val="6"/>
      <w:numFmt w:val="decimal"/>
      <w:lvlText w:val="%1."/>
      <w:lvlJc w:val="left"/>
      <w:pPr>
        <w:ind w:left="720" w:hanging="360"/>
      </w:pPr>
      <w:rPr>
        <w:rFonts w:hint="default"/>
        <w:b/>
        <w:bCs/>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7C13265"/>
    <w:multiLevelType w:val="hybridMultilevel"/>
    <w:tmpl w:val="2DDE208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D4624D"/>
    <w:multiLevelType w:val="multilevel"/>
    <w:tmpl w:val="FC54E4B8"/>
    <w:lvl w:ilvl="0">
      <w:start w:val="5"/>
      <w:numFmt w:val="decimal"/>
      <w:lvlText w:val="%1."/>
      <w:lvlJc w:val="left"/>
      <w:pPr>
        <w:ind w:left="720" w:hanging="360"/>
      </w:pPr>
      <w:rPr>
        <w:rFonts w:hint="default"/>
        <w:b/>
        <w:bCs/>
      </w:rPr>
    </w:lvl>
    <w:lvl w:ilvl="1">
      <w:start w:val="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3E5878BE"/>
    <w:multiLevelType w:val="multilevel"/>
    <w:tmpl w:val="2758CB12"/>
    <w:lvl w:ilvl="0">
      <w:start w:val="1"/>
      <w:numFmt w:val="decimal"/>
      <w:lvlText w:val="4.%1"/>
      <w:lvlJc w:val="left"/>
      <w:pPr>
        <w:ind w:left="720" w:hanging="360"/>
      </w:pPr>
      <w:rPr>
        <w:rFonts w:hint="default"/>
        <w:b/>
        <w:bCs/>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93C4597"/>
    <w:multiLevelType w:val="hybridMultilevel"/>
    <w:tmpl w:val="19787CD0"/>
    <w:lvl w:ilvl="0" w:tplc="9B5C8750">
      <w:start w:val="1"/>
      <w:numFmt w:val="decimal"/>
      <w:lvlText w:val="4.%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C9534A0"/>
    <w:multiLevelType w:val="multilevel"/>
    <w:tmpl w:val="EE0E258E"/>
    <w:lvl w:ilvl="0">
      <w:start w:val="1"/>
      <w:numFmt w:val="decimal"/>
      <w:lvlText w:val="%1."/>
      <w:lvlJc w:val="left"/>
      <w:pPr>
        <w:ind w:left="720" w:hanging="360"/>
      </w:pPr>
      <w:rPr>
        <w:rFonts w:hint="default"/>
        <w:b/>
        <w:bCs/>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9932241"/>
    <w:multiLevelType w:val="hybridMultilevel"/>
    <w:tmpl w:val="0A9076D4"/>
    <w:lvl w:ilvl="0" w:tplc="6DC22572">
      <w:numFmt w:val="bullet"/>
      <w:lvlText w:val="-"/>
      <w:lvlJc w:val="left"/>
      <w:pPr>
        <w:ind w:left="72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1803C47"/>
    <w:multiLevelType w:val="hybridMultilevel"/>
    <w:tmpl w:val="E250CB00"/>
    <w:lvl w:ilvl="0" w:tplc="652CDDDC">
      <w:start w:val="7"/>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6A2295"/>
    <w:multiLevelType w:val="hybridMultilevel"/>
    <w:tmpl w:val="BA722C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5DF77AD"/>
    <w:multiLevelType w:val="hybridMultilevel"/>
    <w:tmpl w:val="CE2058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240626"/>
    <w:multiLevelType w:val="hybridMultilevel"/>
    <w:tmpl w:val="20C2F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C001BED"/>
    <w:multiLevelType w:val="hybridMultilevel"/>
    <w:tmpl w:val="9F7854C4"/>
    <w:lvl w:ilvl="0" w:tplc="08D4274C">
      <w:start w:val="1"/>
      <w:numFmt w:val="decimal"/>
      <w:lvlText w:val="5.%1"/>
      <w:lvlJc w:val="left"/>
      <w:pPr>
        <w:ind w:left="720" w:hanging="360"/>
      </w:pPr>
      <w:rPr>
        <w:rFonts w:hint="default"/>
        <w:b/>
        <w:bCs/>
      </w:rPr>
    </w:lvl>
    <w:lvl w:ilvl="1" w:tplc="765C4D26">
      <w:start w:val="3"/>
      <w:numFmt w:val="decimal"/>
      <w:lvlText w:val="5.%2"/>
      <w:lvlJc w:val="left"/>
      <w:pPr>
        <w:ind w:left="1440" w:hanging="360"/>
      </w:pPr>
      <w:rPr>
        <w:rFonts w:hint="default"/>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010306"/>
    <w:multiLevelType w:val="hybridMultilevel"/>
    <w:tmpl w:val="09B4AA46"/>
    <w:lvl w:ilvl="0" w:tplc="220EF996">
      <w:start w:val="1"/>
      <w:numFmt w:val="decimal"/>
      <w:lvlText w:val="6.%1"/>
      <w:lvlJc w:val="left"/>
      <w:pPr>
        <w:ind w:left="720" w:hanging="360"/>
      </w:pPr>
      <w:rPr>
        <w:rFonts w:hint="default"/>
        <w:b/>
        <w:bCs w:val="0"/>
      </w:rPr>
    </w:lvl>
    <w:lvl w:ilvl="1" w:tplc="7A44E1D4">
      <w:start w:val="1"/>
      <w:numFmt w:val="decimal"/>
      <w:lvlText w:val="6.%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67433B"/>
    <w:multiLevelType w:val="hybridMultilevel"/>
    <w:tmpl w:val="80640D92"/>
    <w:lvl w:ilvl="0" w:tplc="041B0001">
      <w:start w:val="1"/>
      <w:numFmt w:val="bullet"/>
      <w:lvlText w:val=""/>
      <w:lvlJc w:val="left"/>
      <w:pPr>
        <w:ind w:left="720" w:hanging="360"/>
      </w:pPr>
      <w:rPr>
        <w:rFonts w:ascii="Symbol" w:hAnsi="Symbo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6"/>
  </w:num>
  <w:num w:numId="5">
    <w:abstractNumId w:val="11"/>
  </w:num>
  <w:num w:numId="6">
    <w:abstractNumId w:val="10"/>
  </w:num>
  <w:num w:numId="7">
    <w:abstractNumId w:val="9"/>
  </w:num>
  <w:num w:numId="8">
    <w:abstractNumId w:val="8"/>
  </w:num>
  <w:num w:numId="9">
    <w:abstractNumId w:val="17"/>
  </w:num>
  <w:num w:numId="10">
    <w:abstractNumId w:val="6"/>
  </w:num>
  <w:num w:numId="11">
    <w:abstractNumId w:val="18"/>
  </w:num>
  <w:num w:numId="12">
    <w:abstractNumId w:val="5"/>
  </w:num>
  <w:num w:numId="13">
    <w:abstractNumId w:val="13"/>
  </w:num>
  <w:num w:numId="14">
    <w:abstractNumId w:val="14"/>
  </w:num>
  <w:num w:numId="15">
    <w:abstractNumId w:val="0"/>
    <w:lvlOverride w:ilvl="0">
      <w:lvl w:ilvl="0">
        <w:start w:val="1"/>
        <w:numFmt w:val="bullet"/>
        <w:lvlText w:val="-"/>
        <w:legacy w:legacy="1" w:legacySpace="0" w:legacyIndent="360"/>
        <w:lvlJc w:val="left"/>
        <w:pPr>
          <w:ind w:left="360" w:hanging="360"/>
        </w:pPr>
      </w:lvl>
    </w:lvlOverride>
  </w:num>
  <w:num w:numId="16">
    <w:abstractNumId w:val="12"/>
  </w:num>
  <w:num w:numId="17">
    <w:abstractNumId w:val="19"/>
  </w:num>
  <w:num w:numId="18">
    <w:abstractNumId w:val="2"/>
  </w:num>
  <w:num w:numId="19">
    <w:abstractNumId w:val="15"/>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C53ACC"/>
    <w:rsid w:val="000064E6"/>
    <w:rsid w:val="00006DDA"/>
    <w:rsid w:val="00012C56"/>
    <w:rsid w:val="000131C2"/>
    <w:rsid w:val="00036A03"/>
    <w:rsid w:val="000421F6"/>
    <w:rsid w:val="000425D4"/>
    <w:rsid w:val="00043B8F"/>
    <w:rsid w:val="00056F1D"/>
    <w:rsid w:val="00061E2F"/>
    <w:rsid w:val="00065376"/>
    <w:rsid w:val="00067D17"/>
    <w:rsid w:val="00075EE3"/>
    <w:rsid w:val="00077DD2"/>
    <w:rsid w:val="000807C1"/>
    <w:rsid w:val="000807F6"/>
    <w:rsid w:val="00081234"/>
    <w:rsid w:val="00083518"/>
    <w:rsid w:val="00084E50"/>
    <w:rsid w:val="00085153"/>
    <w:rsid w:val="00093483"/>
    <w:rsid w:val="000A3141"/>
    <w:rsid w:val="000A4C64"/>
    <w:rsid w:val="000C01BC"/>
    <w:rsid w:val="000C1913"/>
    <w:rsid w:val="000C50EB"/>
    <w:rsid w:val="000C77BC"/>
    <w:rsid w:val="000C79EA"/>
    <w:rsid w:val="000D547F"/>
    <w:rsid w:val="000D7AA6"/>
    <w:rsid w:val="000F0C4B"/>
    <w:rsid w:val="000F7C99"/>
    <w:rsid w:val="001118C1"/>
    <w:rsid w:val="00111E65"/>
    <w:rsid w:val="0011263D"/>
    <w:rsid w:val="00114912"/>
    <w:rsid w:val="00120C88"/>
    <w:rsid w:val="001423A9"/>
    <w:rsid w:val="00146552"/>
    <w:rsid w:val="0014699D"/>
    <w:rsid w:val="00152CC5"/>
    <w:rsid w:val="00152E50"/>
    <w:rsid w:val="001605AB"/>
    <w:rsid w:val="00160CFC"/>
    <w:rsid w:val="00167629"/>
    <w:rsid w:val="00176241"/>
    <w:rsid w:val="00176E95"/>
    <w:rsid w:val="0017779B"/>
    <w:rsid w:val="00180D4E"/>
    <w:rsid w:val="00181DFA"/>
    <w:rsid w:val="00183999"/>
    <w:rsid w:val="00185256"/>
    <w:rsid w:val="00187DD5"/>
    <w:rsid w:val="00192EF5"/>
    <w:rsid w:val="001949DD"/>
    <w:rsid w:val="00195BAA"/>
    <w:rsid w:val="00196D23"/>
    <w:rsid w:val="00197D0B"/>
    <w:rsid w:val="001A7A3D"/>
    <w:rsid w:val="001A7C50"/>
    <w:rsid w:val="001B4A1B"/>
    <w:rsid w:val="001B708B"/>
    <w:rsid w:val="001C75CD"/>
    <w:rsid w:val="001D29E6"/>
    <w:rsid w:val="001D52A9"/>
    <w:rsid w:val="001E0A8D"/>
    <w:rsid w:val="001E16CA"/>
    <w:rsid w:val="001E3123"/>
    <w:rsid w:val="001E430A"/>
    <w:rsid w:val="001F3539"/>
    <w:rsid w:val="00206AC6"/>
    <w:rsid w:val="00211AF9"/>
    <w:rsid w:val="00211F4D"/>
    <w:rsid w:val="00216DE3"/>
    <w:rsid w:val="00220AB2"/>
    <w:rsid w:val="00225CBD"/>
    <w:rsid w:val="00232029"/>
    <w:rsid w:val="00245ED7"/>
    <w:rsid w:val="00246C7F"/>
    <w:rsid w:val="00251790"/>
    <w:rsid w:val="002525EA"/>
    <w:rsid w:val="0025303E"/>
    <w:rsid w:val="002541E4"/>
    <w:rsid w:val="002607D4"/>
    <w:rsid w:val="00264834"/>
    <w:rsid w:val="002739BB"/>
    <w:rsid w:val="002762D5"/>
    <w:rsid w:val="00280EA9"/>
    <w:rsid w:val="002826DD"/>
    <w:rsid w:val="002839CF"/>
    <w:rsid w:val="00286243"/>
    <w:rsid w:val="0028698C"/>
    <w:rsid w:val="0029721A"/>
    <w:rsid w:val="00297F80"/>
    <w:rsid w:val="002A3E3D"/>
    <w:rsid w:val="002A446B"/>
    <w:rsid w:val="002B57B9"/>
    <w:rsid w:val="002B63D5"/>
    <w:rsid w:val="002C63A6"/>
    <w:rsid w:val="002D4210"/>
    <w:rsid w:val="002E41EF"/>
    <w:rsid w:val="002E54E6"/>
    <w:rsid w:val="002F024B"/>
    <w:rsid w:val="002F20FB"/>
    <w:rsid w:val="00303190"/>
    <w:rsid w:val="003037A1"/>
    <w:rsid w:val="003045F7"/>
    <w:rsid w:val="0031220F"/>
    <w:rsid w:val="00313645"/>
    <w:rsid w:val="00314F52"/>
    <w:rsid w:val="003244BD"/>
    <w:rsid w:val="00324A74"/>
    <w:rsid w:val="003314AA"/>
    <w:rsid w:val="0033336E"/>
    <w:rsid w:val="003366DD"/>
    <w:rsid w:val="00336B53"/>
    <w:rsid w:val="0034005B"/>
    <w:rsid w:val="00341ED6"/>
    <w:rsid w:val="00345D9A"/>
    <w:rsid w:val="003505D3"/>
    <w:rsid w:val="00370588"/>
    <w:rsid w:val="00370676"/>
    <w:rsid w:val="00377C6C"/>
    <w:rsid w:val="0038641F"/>
    <w:rsid w:val="003918BA"/>
    <w:rsid w:val="003A0D80"/>
    <w:rsid w:val="003A54C0"/>
    <w:rsid w:val="003A5E63"/>
    <w:rsid w:val="003B3A2C"/>
    <w:rsid w:val="003B3D77"/>
    <w:rsid w:val="003C42F8"/>
    <w:rsid w:val="003C7660"/>
    <w:rsid w:val="003D212C"/>
    <w:rsid w:val="003D6B48"/>
    <w:rsid w:val="003E355A"/>
    <w:rsid w:val="003E70FB"/>
    <w:rsid w:val="003F146D"/>
    <w:rsid w:val="0040128A"/>
    <w:rsid w:val="004019D9"/>
    <w:rsid w:val="00414359"/>
    <w:rsid w:val="00415992"/>
    <w:rsid w:val="00437A01"/>
    <w:rsid w:val="00444638"/>
    <w:rsid w:val="00447086"/>
    <w:rsid w:val="00452AF9"/>
    <w:rsid w:val="00457A64"/>
    <w:rsid w:val="00465BB2"/>
    <w:rsid w:val="00465D1F"/>
    <w:rsid w:val="00474B56"/>
    <w:rsid w:val="004862E1"/>
    <w:rsid w:val="00492659"/>
    <w:rsid w:val="00492820"/>
    <w:rsid w:val="004959F8"/>
    <w:rsid w:val="004A5069"/>
    <w:rsid w:val="004A6D62"/>
    <w:rsid w:val="004B1A50"/>
    <w:rsid w:val="004C3474"/>
    <w:rsid w:val="004C3612"/>
    <w:rsid w:val="004C582F"/>
    <w:rsid w:val="004D22FA"/>
    <w:rsid w:val="004D76CB"/>
    <w:rsid w:val="004E675C"/>
    <w:rsid w:val="004F3EEF"/>
    <w:rsid w:val="004F449A"/>
    <w:rsid w:val="004F6CA9"/>
    <w:rsid w:val="005022DB"/>
    <w:rsid w:val="00521F11"/>
    <w:rsid w:val="00527527"/>
    <w:rsid w:val="00530AC5"/>
    <w:rsid w:val="00534EA4"/>
    <w:rsid w:val="00543621"/>
    <w:rsid w:val="00547410"/>
    <w:rsid w:val="00556E2C"/>
    <w:rsid w:val="0056308C"/>
    <w:rsid w:val="00565D08"/>
    <w:rsid w:val="0056769B"/>
    <w:rsid w:val="00576F9F"/>
    <w:rsid w:val="00577884"/>
    <w:rsid w:val="00584D8D"/>
    <w:rsid w:val="00585C0B"/>
    <w:rsid w:val="00587438"/>
    <w:rsid w:val="00587F62"/>
    <w:rsid w:val="0059608B"/>
    <w:rsid w:val="005A099B"/>
    <w:rsid w:val="005B3FA1"/>
    <w:rsid w:val="005C298D"/>
    <w:rsid w:val="005C320E"/>
    <w:rsid w:val="005C389D"/>
    <w:rsid w:val="005D2728"/>
    <w:rsid w:val="005D30A6"/>
    <w:rsid w:val="005E2E39"/>
    <w:rsid w:val="005E5C6C"/>
    <w:rsid w:val="005F5345"/>
    <w:rsid w:val="005F5B91"/>
    <w:rsid w:val="005F7B5B"/>
    <w:rsid w:val="006015CF"/>
    <w:rsid w:val="00605BCF"/>
    <w:rsid w:val="00607091"/>
    <w:rsid w:val="006077AB"/>
    <w:rsid w:val="0061054B"/>
    <w:rsid w:val="00610B88"/>
    <w:rsid w:val="00616BCA"/>
    <w:rsid w:val="00620D3D"/>
    <w:rsid w:val="00632CEE"/>
    <w:rsid w:val="00640F52"/>
    <w:rsid w:val="0064272C"/>
    <w:rsid w:val="00642E0C"/>
    <w:rsid w:val="00655480"/>
    <w:rsid w:val="00656D5B"/>
    <w:rsid w:val="00657137"/>
    <w:rsid w:val="00664151"/>
    <w:rsid w:val="00667A2E"/>
    <w:rsid w:val="00672BDA"/>
    <w:rsid w:val="006771AA"/>
    <w:rsid w:val="00684204"/>
    <w:rsid w:val="00693C1B"/>
    <w:rsid w:val="00694D71"/>
    <w:rsid w:val="006A017E"/>
    <w:rsid w:val="006A6F84"/>
    <w:rsid w:val="006B1759"/>
    <w:rsid w:val="006C2B92"/>
    <w:rsid w:val="006C5957"/>
    <w:rsid w:val="006C6573"/>
    <w:rsid w:val="006D0998"/>
    <w:rsid w:val="006D0FA8"/>
    <w:rsid w:val="006D7804"/>
    <w:rsid w:val="006E0877"/>
    <w:rsid w:val="006E5614"/>
    <w:rsid w:val="007021BB"/>
    <w:rsid w:val="00706438"/>
    <w:rsid w:val="00711BBD"/>
    <w:rsid w:val="007124F3"/>
    <w:rsid w:val="0071494D"/>
    <w:rsid w:val="00717F36"/>
    <w:rsid w:val="0072195C"/>
    <w:rsid w:val="00721A91"/>
    <w:rsid w:val="00732472"/>
    <w:rsid w:val="00737370"/>
    <w:rsid w:val="00740F1A"/>
    <w:rsid w:val="00753F55"/>
    <w:rsid w:val="007710EC"/>
    <w:rsid w:val="00774128"/>
    <w:rsid w:val="00774339"/>
    <w:rsid w:val="00777769"/>
    <w:rsid w:val="0078138B"/>
    <w:rsid w:val="007A15EB"/>
    <w:rsid w:val="007B0B31"/>
    <w:rsid w:val="007B39FC"/>
    <w:rsid w:val="007C68DD"/>
    <w:rsid w:val="007C706B"/>
    <w:rsid w:val="007D0D0E"/>
    <w:rsid w:val="007D110C"/>
    <w:rsid w:val="007D3315"/>
    <w:rsid w:val="007D4959"/>
    <w:rsid w:val="007D4F7B"/>
    <w:rsid w:val="007D5213"/>
    <w:rsid w:val="007E2CE0"/>
    <w:rsid w:val="007F0371"/>
    <w:rsid w:val="0080162D"/>
    <w:rsid w:val="00804BB1"/>
    <w:rsid w:val="00820498"/>
    <w:rsid w:val="00821980"/>
    <w:rsid w:val="00825CF6"/>
    <w:rsid w:val="008276A0"/>
    <w:rsid w:val="00831273"/>
    <w:rsid w:val="00834AD4"/>
    <w:rsid w:val="008401CE"/>
    <w:rsid w:val="0084262A"/>
    <w:rsid w:val="008436DE"/>
    <w:rsid w:val="00853064"/>
    <w:rsid w:val="00857EB5"/>
    <w:rsid w:val="008629A9"/>
    <w:rsid w:val="00866BA7"/>
    <w:rsid w:val="00871280"/>
    <w:rsid w:val="00873829"/>
    <w:rsid w:val="0087542F"/>
    <w:rsid w:val="008866E7"/>
    <w:rsid w:val="00887CC8"/>
    <w:rsid w:val="008A38C2"/>
    <w:rsid w:val="008A3D6B"/>
    <w:rsid w:val="008A57FF"/>
    <w:rsid w:val="008B1753"/>
    <w:rsid w:val="008B6C3B"/>
    <w:rsid w:val="008C24B6"/>
    <w:rsid w:val="008C3DC6"/>
    <w:rsid w:val="008C4255"/>
    <w:rsid w:val="008C4925"/>
    <w:rsid w:val="008C4FB9"/>
    <w:rsid w:val="008C6A88"/>
    <w:rsid w:val="008D116E"/>
    <w:rsid w:val="008E30A9"/>
    <w:rsid w:val="008F033B"/>
    <w:rsid w:val="008F2EBF"/>
    <w:rsid w:val="009004CC"/>
    <w:rsid w:val="009012F9"/>
    <w:rsid w:val="00916CB6"/>
    <w:rsid w:val="009364D1"/>
    <w:rsid w:val="00944E1F"/>
    <w:rsid w:val="00953E28"/>
    <w:rsid w:val="00962267"/>
    <w:rsid w:val="009623D3"/>
    <w:rsid w:val="00971E0C"/>
    <w:rsid w:val="00980BA5"/>
    <w:rsid w:val="00984DE0"/>
    <w:rsid w:val="00986641"/>
    <w:rsid w:val="0099472E"/>
    <w:rsid w:val="00995F09"/>
    <w:rsid w:val="009B28DA"/>
    <w:rsid w:val="009C5367"/>
    <w:rsid w:val="009D1D94"/>
    <w:rsid w:val="009E0F5F"/>
    <w:rsid w:val="009E6554"/>
    <w:rsid w:val="00A045BA"/>
    <w:rsid w:val="00A051D2"/>
    <w:rsid w:val="00A119E5"/>
    <w:rsid w:val="00A12005"/>
    <w:rsid w:val="00A20993"/>
    <w:rsid w:val="00A32674"/>
    <w:rsid w:val="00A50657"/>
    <w:rsid w:val="00A54618"/>
    <w:rsid w:val="00A57054"/>
    <w:rsid w:val="00A61D57"/>
    <w:rsid w:val="00A62132"/>
    <w:rsid w:val="00A624A6"/>
    <w:rsid w:val="00A648B1"/>
    <w:rsid w:val="00A7587C"/>
    <w:rsid w:val="00A75CBF"/>
    <w:rsid w:val="00A75FD7"/>
    <w:rsid w:val="00A76926"/>
    <w:rsid w:val="00A94704"/>
    <w:rsid w:val="00AA2310"/>
    <w:rsid w:val="00AA36C0"/>
    <w:rsid w:val="00AA65D7"/>
    <w:rsid w:val="00AA7692"/>
    <w:rsid w:val="00AB3152"/>
    <w:rsid w:val="00AC3E02"/>
    <w:rsid w:val="00AC77BA"/>
    <w:rsid w:val="00AD42A7"/>
    <w:rsid w:val="00AE1807"/>
    <w:rsid w:val="00AE605F"/>
    <w:rsid w:val="00AE636F"/>
    <w:rsid w:val="00AE7CD3"/>
    <w:rsid w:val="00AF0275"/>
    <w:rsid w:val="00AF0A54"/>
    <w:rsid w:val="00AF0FB5"/>
    <w:rsid w:val="00AF48FD"/>
    <w:rsid w:val="00AF4F11"/>
    <w:rsid w:val="00AF7258"/>
    <w:rsid w:val="00AF76B6"/>
    <w:rsid w:val="00B02B79"/>
    <w:rsid w:val="00B05C7B"/>
    <w:rsid w:val="00B130D2"/>
    <w:rsid w:val="00B24CF3"/>
    <w:rsid w:val="00B33FAD"/>
    <w:rsid w:val="00B45DB6"/>
    <w:rsid w:val="00B50922"/>
    <w:rsid w:val="00B54AFE"/>
    <w:rsid w:val="00B72C72"/>
    <w:rsid w:val="00B73BE1"/>
    <w:rsid w:val="00B75C3A"/>
    <w:rsid w:val="00B75CB4"/>
    <w:rsid w:val="00B86B52"/>
    <w:rsid w:val="00B91D98"/>
    <w:rsid w:val="00B93404"/>
    <w:rsid w:val="00BA14BF"/>
    <w:rsid w:val="00BA5570"/>
    <w:rsid w:val="00BA61F7"/>
    <w:rsid w:val="00BA6549"/>
    <w:rsid w:val="00BB4002"/>
    <w:rsid w:val="00BB6275"/>
    <w:rsid w:val="00BC0DE9"/>
    <w:rsid w:val="00BD06C8"/>
    <w:rsid w:val="00BD2158"/>
    <w:rsid w:val="00BD3633"/>
    <w:rsid w:val="00BD4A85"/>
    <w:rsid w:val="00BD5671"/>
    <w:rsid w:val="00BE5426"/>
    <w:rsid w:val="00BF375C"/>
    <w:rsid w:val="00BF6A1A"/>
    <w:rsid w:val="00C14B30"/>
    <w:rsid w:val="00C15BAC"/>
    <w:rsid w:val="00C20A63"/>
    <w:rsid w:val="00C239DB"/>
    <w:rsid w:val="00C2444C"/>
    <w:rsid w:val="00C30AB6"/>
    <w:rsid w:val="00C33D5F"/>
    <w:rsid w:val="00C45C2C"/>
    <w:rsid w:val="00C53ACC"/>
    <w:rsid w:val="00C56AB5"/>
    <w:rsid w:val="00C6217E"/>
    <w:rsid w:val="00C70C4D"/>
    <w:rsid w:val="00C815C0"/>
    <w:rsid w:val="00C834D4"/>
    <w:rsid w:val="00C93088"/>
    <w:rsid w:val="00CA20F9"/>
    <w:rsid w:val="00CA2C48"/>
    <w:rsid w:val="00CA6698"/>
    <w:rsid w:val="00CB32FD"/>
    <w:rsid w:val="00CB4B05"/>
    <w:rsid w:val="00CC0C87"/>
    <w:rsid w:val="00CD1041"/>
    <w:rsid w:val="00CD494C"/>
    <w:rsid w:val="00CD4CB8"/>
    <w:rsid w:val="00CD6CB9"/>
    <w:rsid w:val="00CD758F"/>
    <w:rsid w:val="00CE788E"/>
    <w:rsid w:val="00CF2B3B"/>
    <w:rsid w:val="00CF3C90"/>
    <w:rsid w:val="00D04018"/>
    <w:rsid w:val="00D06003"/>
    <w:rsid w:val="00D214D9"/>
    <w:rsid w:val="00D25F53"/>
    <w:rsid w:val="00D26F77"/>
    <w:rsid w:val="00D37B85"/>
    <w:rsid w:val="00D43772"/>
    <w:rsid w:val="00D452CE"/>
    <w:rsid w:val="00D45690"/>
    <w:rsid w:val="00D570BC"/>
    <w:rsid w:val="00D609B1"/>
    <w:rsid w:val="00D62179"/>
    <w:rsid w:val="00D66CF0"/>
    <w:rsid w:val="00D84420"/>
    <w:rsid w:val="00D85652"/>
    <w:rsid w:val="00D85AE7"/>
    <w:rsid w:val="00DA4C2D"/>
    <w:rsid w:val="00DA5C58"/>
    <w:rsid w:val="00DB62AE"/>
    <w:rsid w:val="00DB7ADD"/>
    <w:rsid w:val="00DC2D03"/>
    <w:rsid w:val="00DC60D9"/>
    <w:rsid w:val="00DD6DDB"/>
    <w:rsid w:val="00DF0BC1"/>
    <w:rsid w:val="00E044A8"/>
    <w:rsid w:val="00E075DE"/>
    <w:rsid w:val="00E14B80"/>
    <w:rsid w:val="00E15A4D"/>
    <w:rsid w:val="00E231E1"/>
    <w:rsid w:val="00E2623E"/>
    <w:rsid w:val="00E26E06"/>
    <w:rsid w:val="00E351F9"/>
    <w:rsid w:val="00E371D2"/>
    <w:rsid w:val="00E43E06"/>
    <w:rsid w:val="00E52D3D"/>
    <w:rsid w:val="00E53ED4"/>
    <w:rsid w:val="00E60956"/>
    <w:rsid w:val="00E62B32"/>
    <w:rsid w:val="00E63D87"/>
    <w:rsid w:val="00E64E3C"/>
    <w:rsid w:val="00E74980"/>
    <w:rsid w:val="00E763A4"/>
    <w:rsid w:val="00E77551"/>
    <w:rsid w:val="00E867EF"/>
    <w:rsid w:val="00E9220C"/>
    <w:rsid w:val="00EA303E"/>
    <w:rsid w:val="00EA599D"/>
    <w:rsid w:val="00EA73D5"/>
    <w:rsid w:val="00EC213D"/>
    <w:rsid w:val="00EC3A47"/>
    <w:rsid w:val="00EC66C2"/>
    <w:rsid w:val="00ED2F74"/>
    <w:rsid w:val="00EE33C0"/>
    <w:rsid w:val="00EE34B4"/>
    <w:rsid w:val="00EF084C"/>
    <w:rsid w:val="00EF2223"/>
    <w:rsid w:val="00F00876"/>
    <w:rsid w:val="00F029B6"/>
    <w:rsid w:val="00F102B2"/>
    <w:rsid w:val="00F24373"/>
    <w:rsid w:val="00F24B8C"/>
    <w:rsid w:val="00F2762F"/>
    <w:rsid w:val="00F315B2"/>
    <w:rsid w:val="00F3471D"/>
    <w:rsid w:val="00F408D6"/>
    <w:rsid w:val="00F42CEA"/>
    <w:rsid w:val="00F516AB"/>
    <w:rsid w:val="00F51C27"/>
    <w:rsid w:val="00F52265"/>
    <w:rsid w:val="00F73591"/>
    <w:rsid w:val="00F81239"/>
    <w:rsid w:val="00F94D5F"/>
    <w:rsid w:val="00F963F5"/>
    <w:rsid w:val="00F96B2D"/>
    <w:rsid w:val="00FA3E4E"/>
    <w:rsid w:val="00FB0126"/>
    <w:rsid w:val="00FB25DB"/>
    <w:rsid w:val="00FB7397"/>
    <w:rsid w:val="00FB7D1D"/>
    <w:rsid w:val="00FC0B45"/>
    <w:rsid w:val="00FC5DF7"/>
    <w:rsid w:val="00FE5478"/>
    <w:rsid w:val="00FE56DE"/>
    <w:rsid w:val="00FF1CA9"/>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3BDEF1"/>
  <w15:docId w15:val="{DB8D2D50-95E0-4B3C-B58D-41896830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00876"/>
    <w:rPr>
      <w:rFonts w:ascii="Verdana" w:eastAsia="Verdana" w:hAnsi="Verdana" w:cs="Verdana"/>
      <w:sz w:val="18"/>
      <w:szCs w:val="18"/>
    </w:rPr>
  </w:style>
  <w:style w:type="character" w:customStyle="1" w:styleId="apple-converted-space">
    <w:name w:val="apple-converted-space"/>
    <w:rsid w:val="001B4A1B"/>
  </w:style>
  <w:style w:type="table" w:styleId="Mriekatabuky">
    <w:name w:val="Table Grid"/>
    <w:basedOn w:val="Normlnatabuka"/>
    <w:rsid w:val="0065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314AA"/>
    <w:rPr>
      <w:sz w:val="24"/>
      <w:lang w:eastAsia="en-US"/>
    </w:rPr>
  </w:style>
  <w:style w:type="character" w:customStyle="1" w:styleId="longtext1">
    <w:name w:val="long_text1"/>
    <w:rsid w:val="00E9220C"/>
    <w:rPr>
      <w:sz w:val="20"/>
      <w:szCs w:val="20"/>
    </w:rPr>
  </w:style>
  <w:style w:type="paragraph" w:styleId="Revzia">
    <w:name w:val="Revision"/>
    <w:hidden/>
    <w:uiPriority w:val="99"/>
    <w:semiHidden/>
    <w:rsid w:val="00176241"/>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67212">
      <w:bodyDiv w:val="1"/>
      <w:marLeft w:val="0"/>
      <w:marRight w:val="0"/>
      <w:marTop w:val="0"/>
      <w:marBottom w:val="0"/>
      <w:divBdr>
        <w:top w:val="none" w:sz="0" w:space="0" w:color="auto"/>
        <w:left w:val="none" w:sz="0" w:space="0" w:color="auto"/>
        <w:bottom w:val="none" w:sz="0" w:space="0" w:color="auto"/>
        <w:right w:val="none" w:sz="0" w:space="0" w:color="auto"/>
      </w:divBdr>
    </w:div>
    <w:div w:id="1191534015">
      <w:bodyDiv w:val="1"/>
      <w:marLeft w:val="0"/>
      <w:marRight w:val="0"/>
      <w:marTop w:val="0"/>
      <w:marBottom w:val="0"/>
      <w:divBdr>
        <w:top w:val="none" w:sz="0" w:space="0" w:color="auto"/>
        <w:left w:val="none" w:sz="0" w:space="0" w:color="auto"/>
        <w:bottom w:val="none" w:sz="0" w:space="0" w:color="auto"/>
        <w:right w:val="none" w:sz="0" w:space="0" w:color="auto"/>
      </w:divBdr>
      <w:divsChild>
        <w:div w:id="1191838982">
          <w:marLeft w:val="0"/>
          <w:marRight w:val="0"/>
          <w:marTop w:val="0"/>
          <w:marBottom w:val="0"/>
          <w:divBdr>
            <w:top w:val="none" w:sz="0" w:space="0" w:color="auto"/>
            <w:left w:val="none" w:sz="0" w:space="0" w:color="auto"/>
            <w:bottom w:val="none" w:sz="0" w:space="0" w:color="auto"/>
            <w:right w:val="none" w:sz="0" w:space="0" w:color="auto"/>
          </w:divBdr>
          <w:divsChild>
            <w:div w:id="409234535">
              <w:marLeft w:val="0"/>
              <w:marRight w:val="0"/>
              <w:marTop w:val="0"/>
              <w:marBottom w:val="0"/>
              <w:divBdr>
                <w:top w:val="none" w:sz="0" w:space="0" w:color="auto"/>
                <w:left w:val="none" w:sz="0" w:space="0" w:color="auto"/>
                <w:bottom w:val="none" w:sz="0" w:space="0" w:color="auto"/>
                <w:right w:val="none" w:sz="0" w:space="0" w:color="auto"/>
              </w:divBdr>
              <w:divsChild>
                <w:div w:id="39794739">
                  <w:marLeft w:val="0"/>
                  <w:marRight w:val="0"/>
                  <w:marTop w:val="0"/>
                  <w:marBottom w:val="0"/>
                  <w:divBdr>
                    <w:top w:val="none" w:sz="0" w:space="0" w:color="auto"/>
                    <w:left w:val="none" w:sz="0" w:space="0" w:color="auto"/>
                    <w:bottom w:val="none" w:sz="0" w:space="0" w:color="auto"/>
                    <w:right w:val="none" w:sz="0" w:space="0" w:color="auto"/>
                  </w:divBdr>
                  <w:divsChild>
                    <w:div w:id="546334283">
                      <w:marLeft w:val="0"/>
                      <w:marRight w:val="0"/>
                      <w:marTop w:val="0"/>
                      <w:marBottom w:val="0"/>
                      <w:divBdr>
                        <w:top w:val="none" w:sz="0" w:space="0" w:color="auto"/>
                        <w:left w:val="none" w:sz="0" w:space="0" w:color="auto"/>
                        <w:bottom w:val="none" w:sz="0" w:space="0" w:color="auto"/>
                        <w:right w:val="none" w:sz="0" w:space="0" w:color="auto"/>
                      </w:divBdr>
                      <w:divsChild>
                        <w:div w:id="1533764375">
                          <w:marLeft w:val="0"/>
                          <w:marRight w:val="0"/>
                          <w:marTop w:val="0"/>
                          <w:marBottom w:val="0"/>
                          <w:divBdr>
                            <w:top w:val="none" w:sz="0" w:space="0" w:color="auto"/>
                            <w:left w:val="none" w:sz="0" w:space="0" w:color="auto"/>
                            <w:bottom w:val="none" w:sz="0" w:space="0" w:color="auto"/>
                            <w:right w:val="none" w:sz="0" w:space="0" w:color="auto"/>
                          </w:divBdr>
                          <w:divsChild>
                            <w:div w:id="1946843614">
                              <w:marLeft w:val="0"/>
                              <w:marRight w:val="0"/>
                              <w:marTop w:val="0"/>
                              <w:marBottom w:val="0"/>
                              <w:divBdr>
                                <w:top w:val="none" w:sz="0" w:space="0" w:color="auto"/>
                                <w:left w:val="none" w:sz="0" w:space="0" w:color="auto"/>
                                <w:bottom w:val="none" w:sz="0" w:space="0" w:color="auto"/>
                                <w:right w:val="none" w:sz="0" w:space="0" w:color="auto"/>
                              </w:divBdr>
                              <w:divsChild>
                                <w:div w:id="1396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EB0F-388C-47C3-ABD1-60F47297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21</Pages>
  <Words>8521</Words>
  <Characters>48576</Characters>
  <Application>Microsoft Office Word</Application>
  <DocSecurity>0</DocSecurity>
  <Lines>404</Lines>
  <Paragraphs>113</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SPC</vt:lpstr>
      <vt:lpstr>Hreferralspccleanen</vt:lpstr>
    </vt:vector>
  </TitlesOfParts>
  <Company>EMEA</Company>
  <LinksUpToDate>false</LinksUpToDate>
  <CharactersWithSpaces>56984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General-EMA/53548/2010</dc:subject>
  <dc:creator>regpharm</dc:creator>
  <cp:lastModifiedBy>Grančaiová, Zuzana</cp:lastModifiedBy>
  <cp:revision>25</cp:revision>
  <cp:lastPrinted>2020-05-05T06:30:00Z</cp:lastPrinted>
  <dcterms:created xsi:type="dcterms:W3CDTF">2019-02-21T10:46:00Z</dcterms:created>
  <dcterms:modified xsi:type="dcterms:W3CDTF">2020-05-05T06:44:00Z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