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22" w:rsidRPr="00011A30" w:rsidRDefault="00A13222" w:rsidP="00992BE5">
      <w:pPr>
        <w:jc w:val="center"/>
        <w:rPr>
          <w:b/>
          <w:caps/>
          <w:sz w:val="22"/>
          <w:szCs w:val="22"/>
        </w:rPr>
      </w:pPr>
      <w:r w:rsidRPr="00011A30">
        <w:rPr>
          <w:b/>
          <w:caps/>
          <w:sz w:val="22"/>
          <w:szCs w:val="22"/>
        </w:rPr>
        <w:t>Súhrn charakteristických vlastností lieku</w:t>
      </w:r>
    </w:p>
    <w:p w:rsidR="008D43C7" w:rsidRPr="003D2C5A" w:rsidRDefault="008D43C7" w:rsidP="00A13222">
      <w:pPr>
        <w:rPr>
          <w:b/>
          <w:sz w:val="22"/>
          <w:szCs w:val="22"/>
        </w:rPr>
      </w:pPr>
    </w:p>
    <w:p w:rsidR="00A13222" w:rsidRPr="003D2C5A" w:rsidRDefault="00A13222" w:rsidP="00A13222">
      <w:pPr>
        <w:rPr>
          <w:sz w:val="22"/>
          <w:szCs w:val="22"/>
        </w:rPr>
      </w:pPr>
    </w:p>
    <w:p w:rsidR="00A13222" w:rsidRPr="003D2C5A" w:rsidRDefault="00A13222" w:rsidP="00011A30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1.</w:t>
      </w:r>
      <w:r w:rsidR="00011A30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NÁZOV LIEKU </w:t>
      </w:r>
    </w:p>
    <w:p w:rsidR="008D43C7" w:rsidRPr="003D2C5A" w:rsidRDefault="008D43C7" w:rsidP="00A13222">
      <w:pPr>
        <w:rPr>
          <w:sz w:val="22"/>
          <w:szCs w:val="22"/>
        </w:rPr>
      </w:pPr>
    </w:p>
    <w:p w:rsidR="00B31C8D" w:rsidRDefault="00A13222" w:rsidP="00A13222">
      <w:pPr>
        <w:rPr>
          <w:sz w:val="22"/>
          <w:szCs w:val="22"/>
        </w:rPr>
      </w:pPr>
      <w:proofErr w:type="spellStart"/>
      <w:r w:rsidRPr="003D2C5A">
        <w:rPr>
          <w:sz w:val="22"/>
          <w:szCs w:val="22"/>
        </w:rPr>
        <w:t>A</w:t>
      </w:r>
      <w:r w:rsidR="00573F66">
        <w:rPr>
          <w:sz w:val="22"/>
          <w:szCs w:val="22"/>
        </w:rPr>
        <w:t>zatril</w:t>
      </w:r>
      <w:proofErr w:type="spellEnd"/>
    </w:p>
    <w:p w:rsidR="00A13222" w:rsidRPr="003D2C5A" w:rsidRDefault="006A6C2B" w:rsidP="006A6C2B">
      <w:pPr>
        <w:rPr>
          <w:sz w:val="22"/>
          <w:szCs w:val="22"/>
        </w:rPr>
      </w:pPr>
      <w:r>
        <w:rPr>
          <w:sz w:val="22"/>
          <w:szCs w:val="22"/>
        </w:rPr>
        <w:t>250 mg</w:t>
      </w:r>
      <w:r w:rsidR="001E222C">
        <w:rPr>
          <w:sz w:val="22"/>
          <w:szCs w:val="22"/>
        </w:rPr>
        <w:t xml:space="preserve"> </w:t>
      </w:r>
      <w:r w:rsidR="008D43C7" w:rsidRPr="003D2C5A">
        <w:rPr>
          <w:sz w:val="22"/>
          <w:szCs w:val="22"/>
        </w:rPr>
        <w:t>tvrdé kapsuly</w:t>
      </w:r>
    </w:p>
    <w:p w:rsidR="000D4BF1" w:rsidRDefault="000D4BF1" w:rsidP="00A13222">
      <w:pPr>
        <w:rPr>
          <w:sz w:val="22"/>
          <w:szCs w:val="22"/>
        </w:rPr>
      </w:pPr>
    </w:p>
    <w:p w:rsidR="002A0DAF" w:rsidRPr="003D2C5A" w:rsidRDefault="002A0DAF" w:rsidP="00A13222">
      <w:pPr>
        <w:rPr>
          <w:sz w:val="22"/>
          <w:szCs w:val="22"/>
        </w:rPr>
      </w:pPr>
    </w:p>
    <w:p w:rsidR="00A13222" w:rsidRPr="003D2C5A" w:rsidRDefault="00A13222" w:rsidP="009B7BE8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2.</w:t>
      </w:r>
      <w:r w:rsidR="009B7BE8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KVALITATÍVNE A KVANTITATÍVNE ZLOŽENIE </w:t>
      </w:r>
    </w:p>
    <w:p w:rsidR="008D43C7" w:rsidRPr="003D2C5A" w:rsidRDefault="008D43C7" w:rsidP="00A13222">
      <w:pPr>
        <w:rPr>
          <w:b/>
          <w:sz w:val="22"/>
          <w:szCs w:val="22"/>
        </w:rPr>
      </w:pPr>
    </w:p>
    <w:p w:rsidR="008D43C7" w:rsidRPr="003D2C5A" w:rsidRDefault="008958B4" w:rsidP="00A13222">
      <w:pPr>
        <w:rPr>
          <w:sz w:val="22"/>
          <w:szCs w:val="22"/>
        </w:rPr>
      </w:pPr>
      <w:r w:rsidRPr="008958B4">
        <w:rPr>
          <w:sz w:val="22"/>
          <w:szCs w:val="22"/>
        </w:rPr>
        <w:t>Jedna tvrdá ka</w:t>
      </w:r>
      <w:r w:rsidR="000A605F">
        <w:rPr>
          <w:sz w:val="22"/>
          <w:szCs w:val="22"/>
        </w:rPr>
        <w:t xml:space="preserve">psula </w:t>
      </w:r>
      <w:proofErr w:type="spellStart"/>
      <w:r w:rsidR="000A605F">
        <w:rPr>
          <w:sz w:val="22"/>
          <w:szCs w:val="22"/>
        </w:rPr>
        <w:t>Azatrilu</w:t>
      </w:r>
      <w:proofErr w:type="spellEnd"/>
      <w:r w:rsidR="000A605F">
        <w:rPr>
          <w:sz w:val="22"/>
          <w:szCs w:val="22"/>
        </w:rPr>
        <w:t xml:space="preserve"> obsahuje 250 mg </w:t>
      </w:r>
      <w:proofErr w:type="spellStart"/>
      <w:r w:rsidR="00992BE5">
        <w:rPr>
          <w:sz w:val="22"/>
          <w:szCs w:val="22"/>
        </w:rPr>
        <w:t>azitromycínu</w:t>
      </w:r>
      <w:proofErr w:type="spellEnd"/>
      <w:r w:rsidR="00992BE5">
        <w:rPr>
          <w:sz w:val="22"/>
          <w:szCs w:val="22"/>
        </w:rPr>
        <w:t xml:space="preserve"> (</w:t>
      </w:r>
      <w:r w:rsidRPr="008958B4">
        <w:rPr>
          <w:sz w:val="22"/>
          <w:szCs w:val="22"/>
        </w:rPr>
        <w:t xml:space="preserve">vo forme </w:t>
      </w:r>
      <w:proofErr w:type="spellStart"/>
      <w:r w:rsidRPr="008958B4">
        <w:rPr>
          <w:sz w:val="22"/>
          <w:szCs w:val="22"/>
        </w:rPr>
        <w:t>dihydrátu</w:t>
      </w:r>
      <w:proofErr w:type="spellEnd"/>
      <w:r w:rsidRPr="008958B4">
        <w:rPr>
          <w:sz w:val="22"/>
          <w:szCs w:val="22"/>
        </w:rPr>
        <w:t xml:space="preserve"> </w:t>
      </w:r>
      <w:proofErr w:type="spellStart"/>
      <w:r w:rsidRPr="008958B4">
        <w:rPr>
          <w:sz w:val="22"/>
          <w:szCs w:val="22"/>
        </w:rPr>
        <w:t>azitromycínu</w:t>
      </w:r>
      <w:proofErr w:type="spellEnd"/>
      <w:r w:rsidRPr="008958B4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8D43C7" w:rsidRDefault="008D43C7" w:rsidP="00A13222">
      <w:pPr>
        <w:rPr>
          <w:sz w:val="22"/>
          <w:szCs w:val="22"/>
        </w:rPr>
      </w:pPr>
    </w:p>
    <w:p w:rsidR="00F72AB2" w:rsidRDefault="00F72AB2" w:rsidP="00A13222">
      <w:pPr>
        <w:rPr>
          <w:sz w:val="22"/>
          <w:szCs w:val="22"/>
        </w:rPr>
      </w:pPr>
      <w:r w:rsidRPr="008F38EE">
        <w:rPr>
          <w:sz w:val="22"/>
          <w:szCs w:val="22"/>
          <w:u w:val="single"/>
        </w:rPr>
        <w:t>Pomocn</w:t>
      </w:r>
      <w:r w:rsidR="00652DD2" w:rsidRPr="008F38EE">
        <w:rPr>
          <w:sz w:val="22"/>
          <w:szCs w:val="22"/>
          <w:u w:val="single"/>
        </w:rPr>
        <w:t>é</w:t>
      </w:r>
      <w:r w:rsidRPr="008F38EE">
        <w:rPr>
          <w:sz w:val="22"/>
          <w:szCs w:val="22"/>
          <w:u w:val="single"/>
        </w:rPr>
        <w:t xml:space="preserve"> látk</w:t>
      </w:r>
      <w:r w:rsidR="00652DD2" w:rsidRPr="008F38EE">
        <w:rPr>
          <w:sz w:val="22"/>
          <w:szCs w:val="22"/>
          <w:u w:val="single"/>
        </w:rPr>
        <w:t>y</w:t>
      </w:r>
      <w:r w:rsidRPr="008F38EE">
        <w:rPr>
          <w:sz w:val="22"/>
          <w:szCs w:val="22"/>
          <w:u w:val="single"/>
        </w:rPr>
        <w:t xml:space="preserve"> so známym účinkom:</w:t>
      </w:r>
      <w:r>
        <w:rPr>
          <w:sz w:val="22"/>
          <w:szCs w:val="22"/>
        </w:rPr>
        <w:t xml:space="preserve"> </w:t>
      </w:r>
      <w:r w:rsidR="00833AAD">
        <w:rPr>
          <w:sz w:val="22"/>
          <w:szCs w:val="22"/>
        </w:rPr>
        <w:t>jedna kapsula obsahuje 1</w:t>
      </w:r>
      <w:r>
        <w:rPr>
          <w:sz w:val="22"/>
          <w:szCs w:val="22"/>
        </w:rPr>
        <w:t xml:space="preserve">51,55 mg </w:t>
      </w:r>
      <w:r w:rsidR="00833AAD">
        <w:rPr>
          <w:sz w:val="22"/>
          <w:szCs w:val="22"/>
        </w:rPr>
        <w:t>laktózy</w:t>
      </w:r>
      <w:r w:rsidR="00652DD2">
        <w:rPr>
          <w:sz w:val="22"/>
          <w:szCs w:val="22"/>
        </w:rPr>
        <w:t xml:space="preserve">, </w:t>
      </w:r>
      <w:r w:rsidR="00B62877">
        <w:rPr>
          <w:sz w:val="22"/>
          <w:szCs w:val="22"/>
        </w:rPr>
        <w:t xml:space="preserve">47,00 mg </w:t>
      </w:r>
      <w:r w:rsidR="00652DD2">
        <w:rPr>
          <w:sz w:val="22"/>
          <w:szCs w:val="22"/>
        </w:rPr>
        <w:t>pšeničn</w:t>
      </w:r>
      <w:r w:rsidR="00B62877">
        <w:rPr>
          <w:sz w:val="22"/>
          <w:szCs w:val="22"/>
        </w:rPr>
        <w:t xml:space="preserve">ého </w:t>
      </w:r>
      <w:r w:rsidR="00652DD2">
        <w:rPr>
          <w:sz w:val="22"/>
          <w:szCs w:val="22"/>
        </w:rPr>
        <w:t>škrob</w:t>
      </w:r>
      <w:r w:rsidR="00B62877">
        <w:rPr>
          <w:sz w:val="22"/>
          <w:szCs w:val="22"/>
        </w:rPr>
        <w:t xml:space="preserve">u </w:t>
      </w:r>
      <w:r w:rsidR="00652DD2">
        <w:rPr>
          <w:sz w:val="22"/>
          <w:szCs w:val="22"/>
        </w:rPr>
        <w:t xml:space="preserve">a farbivo </w:t>
      </w:r>
      <w:proofErr w:type="spellStart"/>
      <w:r w:rsidR="00652DD2">
        <w:rPr>
          <w:sz w:val="22"/>
          <w:szCs w:val="22"/>
        </w:rPr>
        <w:t>azorubín</w:t>
      </w:r>
      <w:proofErr w:type="spellEnd"/>
      <w:r w:rsidR="00652DD2">
        <w:rPr>
          <w:sz w:val="22"/>
          <w:szCs w:val="22"/>
        </w:rPr>
        <w:t xml:space="preserve"> (E122)</w:t>
      </w:r>
      <w:r w:rsidR="00833AAD">
        <w:rPr>
          <w:sz w:val="22"/>
          <w:szCs w:val="22"/>
        </w:rPr>
        <w:t>.</w:t>
      </w:r>
    </w:p>
    <w:p w:rsidR="00F72AB2" w:rsidRPr="003D2C5A" w:rsidRDefault="00F72AB2" w:rsidP="00A13222">
      <w:pPr>
        <w:rPr>
          <w:sz w:val="22"/>
          <w:szCs w:val="22"/>
        </w:rPr>
      </w:pPr>
    </w:p>
    <w:p w:rsidR="008D43C7" w:rsidRPr="003D2C5A" w:rsidRDefault="008D43C7" w:rsidP="008D43C7">
      <w:pPr>
        <w:rPr>
          <w:sz w:val="22"/>
          <w:szCs w:val="22"/>
        </w:rPr>
      </w:pPr>
      <w:r w:rsidRPr="003D2C5A">
        <w:rPr>
          <w:sz w:val="22"/>
          <w:szCs w:val="22"/>
        </w:rPr>
        <w:t xml:space="preserve">Úplný zoznam pomocných látok, pozri časť 6.1. </w:t>
      </w:r>
    </w:p>
    <w:p w:rsidR="00A13222" w:rsidRDefault="00A13222" w:rsidP="00A13222">
      <w:pPr>
        <w:rPr>
          <w:sz w:val="22"/>
          <w:szCs w:val="22"/>
        </w:rPr>
      </w:pPr>
    </w:p>
    <w:p w:rsidR="000D4BF1" w:rsidRPr="003D2C5A" w:rsidRDefault="000D4BF1" w:rsidP="00A13222">
      <w:pPr>
        <w:rPr>
          <w:sz w:val="22"/>
          <w:szCs w:val="22"/>
        </w:rPr>
      </w:pPr>
    </w:p>
    <w:p w:rsidR="00A13222" w:rsidRPr="003D2C5A" w:rsidRDefault="00A13222" w:rsidP="00011A30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3.</w:t>
      </w:r>
      <w:r w:rsidR="00011A30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LIEKOVÁ FORMA </w:t>
      </w:r>
    </w:p>
    <w:p w:rsidR="008D43C7" w:rsidRPr="003D2C5A" w:rsidRDefault="008D43C7" w:rsidP="00A13222">
      <w:pPr>
        <w:rPr>
          <w:sz w:val="22"/>
          <w:szCs w:val="22"/>
        </w:rPr>
      </w:pPr>
    </w:p>
    <w:p w:rsidR="00A13222" w:rsidRPr="003D2C5A" w:rsidRDefault="00A13222" w:rsidP="00A13222">
      <w:pPr>
        <w:rPr>
          <w:sz w:val="22"/>
          <w:szCs w:val="22"/>
        </w:rPr>
      </w:pPr>
      <w:r w:rsidRPr="003D2C5A">
        <w:rPr>
          <w:sz w:val="22"/>
          <w:szCs w:val="22"/>
        </w:rPr>
        <w:t>Tvrd</w:t>
      </w:r>
      <w:r w:rsidR="004C4CAC">
        <w:rPr>
          <w:sz w:val="22"/>
          <w:szCs w:val="22"/>
        </w:rPr>
        <w:t>á</w:t>
      </w:r>
      <w:r w:rsidRPr="003D2C5A">
        <w:rPr>
          <w:sz w:val="22"/>
          <w:szCs w:val="22"/>
        </w:rPr>
        <w:t xml:space="preserve"> </w:t>
      </w:r>
      <w:r w:rsidR="004C4CAC">
        <w:rPr>
          <w:sz w:val="22"/>
          <w:szCs w:val="22"/>
        </w:rPr>
        <w:t>kapsula</w:t>
      </w:r>
      <w:r w:rsidR="008D43C7" w:rsidRPr="003D2C5A">
        <w:rPr>
          <w:sz w:val="22"/>
          <w:szCs w:val="22"/>
        </w:rPr>
        <w:t>.</w:t>
      </w:r>
    </w:p>
    <w:p w:rsidR="000D4BF1" w:rsidRDefault="000D4BF1" w:rsidP="00A13222">
      <w:pPr>
        <w:rPr>
          <w:sz w:val="22"/>
          <w:szCs w:val="22"/>
        </w:rPr>
      </w:pPr>
    </w:p>
    <w:p w:rsidR="004C4CAC" w:rsidRDefault="00011A30" w:rsidP="00A13222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4C4CAC">
        <w:rPr>
          <w:bCs/>
          <w:sz w:val="22"/>
          <w:szCs w:val="22"/>
        </w:rPr>
        <w:t>vrd</w:t>
      </w:r>
      <w:r w:rsidR="00FF3D11">
        <w:rPr>
          <w:bCs/>
          <w:sz w:val="22"/>
          <w:szCs w:val="22"/>
        </w:rPr>
        <w:t>é</w:t>
      </w:r>
      <w:r w:rsidR="000C049A">
        <w:rPr>
          <w:bCs/>
          <w:sz w:val="22"/>
          <w:szCs w:val="22"/>
        </w:rPr>
        <w:t xml:space="preserve"> želatínov</w:t>
      </w:r>
      <w:r w:rsidR="00FF3D11">
        <w:rPr>
          <w:bCs/>
          <w:sz w:val="22"/>
          <w:szCs w:val="22"/>
        </w:rPr>
        <w:t>é</w:t>
      </w:r>
      <w:r w:rsidR="000C049A">
        <w:rPr>
          <w:bCs/>
          <w:sz w:val="22"/>
          <w:szCs w:val="22"/>
        </w:rPr>
        <w:t xml:space="preserve"> kapsul</w:t>
      </w:r>
      <w:r w:rsidR="00FF3D11">
        <w:rPr>
          <w:bCs/>
          <w:sz w:val="22"/>
          <w:szCs w:val="22"/>
        </w:rPr>
        <w:t xml:space="preserve">y </w:t>
      </w:r>
      <w:r w:rsidR="004C4CAC">
        <w:rPr>
          <w:bCs/>
          <w:sz w:val="22"/>
          <w:szCs w:val="22"/>
        </w:rPr>
        <w:t xml:space="preserve">ružovej farby na tele </w:t>
      </w:r>
      <w:r>
        <w:rPr>
          <w:bCs/>
          <w:sz w:val="22"/>
          <w:szCs w:val="22"/>
        </w:rPr>
        <w:t xml:space="preserve">a viečku </w:t>
      </w:r>
      <w:r w:rsidR="004C4CAC">
        <w:rPr>
          <w:bCs/>
          <w:sz w:val="22"/>
          <w:szCs w:val="22"/>
        </w:rPr>
        <w:t>kapsuly</w:t>
      </w:r>
      <w:r>
        <w:rPr>
          <w:bCs/>
          <w:sz w:val="22"/>
          <w:szCs w:val="22"/>
        </w:rPr>
        <w:t>.</w:t>
      </w:r>
    </w:p>
    <w:p w:rsidR="000D4BF1" w:rsidRDefault="000D4BF1" w:rsidP="00A13222">
      <w:pPr>
        <w:rPr>
          <w:sz w:val="22"/>
          <w:szCs w:val="22"/>
        </w:rPr>
      </w:pPr>
    </w:p>
    <w:p w:rsidR="00FF3D11" w:rsidRDefault="00FF3D11" w:rsidP="00A13222">
      <w:pPr>
        <w:rPr>
          <w:sz w:val="22"/>
          <w:szCs w:val="22"/>
        </w:rPr>
      </w:pPr>
    </w:p>
    <w:p w:rsidR="00A13222" w:rsidRPr="003D2C5A" w:rsidRDefault="00A13222" w:rsidP="00011A30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4.</w:t>
      </w:r>
      <w:r w:rsidR="00011A30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KLINICKÉ ÚDAJE </w:t>
      </w:r>
    </w:p>
    <w:p w:rsidR="002754AA" w:rsidRPr="003D2C5A" w:rsidRDefault="002754AA" w:rsidP="00A13222">
      <w:pPr>
        <w:rPr>
          <w:b/>
          <w:sz w:val="22"/>
          <w:szCs w:val="22"/>
        </w:rPr>
      </w:pPr>
    </w:p>
    <w:p w:rsidR="00A13222" w:rsidRPr="003D2C5A" w:rsidRDefault="00A13222" w:rsidP="00011A30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4.1</w:t>
      </w:r>
      <w:r w:rsidR="00011A30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Terapeutické indikácie </w:t>
      </w:r>
    </w:p>
    <w:p w:rsidR="002754AA" w:rsidRPr="003D2C5A" w:rsidRDefault="002754AA" w:rsidP="00A13222">
      <w:pPr>
        <w:rPr>
          <w:sz w:val="22"/>
          <w:szCs w:val="22"/>
        </w:rPr>
      </w:pPr>
    </w:p>
    <w:p w:rsidR="00A13222" w:rsidRPr="003D2C5A" w:rsidRDefault="002754AA" w:rsidP="00A13222">
      <w:pPr>
        <w:rPr>
          <w:sz w:val="22"/>
          <w:szCs w:val="22"/>
        </w:rPr>
      </w:pPr>
      <w:proofErr w:type="spellStart"/>
      <w:r w:rsidRPr="003D2C5A">
        <w:rPr>
          <w:sz w:val="22"/>
          <w:szCs w:val="22"/>
        </w:rPr>
        <w:t>Azatril</w:t>
      </w:r>
      <w:proofErr w:type="spellEnd"/>
      <w:r w:rsidR="00A13222" w:rsidRPr="003D2C5A">
        <w:rPr>
          <w:sz w:val="22"/>
          <w:szCs w:val="22"/>
        </w:rPr>
        <w:t xml:space="preserve"> sa používa na liečbu infekcií vyvolaných mikroorganizmami citlivými na </w:t>
      </w:r>
      <w:proofErr w:type="spellStart"/>
      <w:r w:rsidR="00A13222" w:rsidRPr="003D2C5A">
        <w:rPr>
          <w:sz w:val="22"/>
          <w:szCs w:val="22"/>
        </w:rPr>
        <w:t>azitromycín</w:t>
      </w:r>
      <w:proofErr w:type="spellEnd"/>
      <w:r w:rsidR="00097332">
        <w:rPr>
          <w:sz w:val="22"/>
          <w:szCs w:val="22"/>
        </w:rPr>
        <w:t xml:space="preserve"> lokalizovaných na</w:t>
      </w:r>
      <w:r w:rsidR="00A13222" w:rsidRPr="003D2C5A">
        <w:rPr>
          <w:sz w:val="22"/>
          <w:szCs w:val="22"/>
        </w:rPr>
        <w:t xml:space="preserve">: </w:t>
      </w:r>
    </w:p>
    <w:p w:rsidR="00960082" w:rsidRDefault="002754AA" w:rsidP="00670967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3D2C5A">
        <w:rPr>
          <w:sz w:val="22"/>
          <w:szCs w:val="22"/>
        </w:rPr>
        <w:t>horné dýchacie cesty -</w:t>
      </w:r>
      <w:r w:rsidR="00A13222" w:rsidRPr="003D2C5A">
        <w:rPr>
          <w:sz w:val="22"/>
          <w:szCs w:val="22"/>
        </w:rPr>
        <w:t xml:space="preserve"> </w:t>
      </w:r>
      <w:r w:rsidRPr="003D2C5A">
        <w:rPr>
          <w:sz w:val="22"/>
          <w:szCs w:val="22"/>
        </w:rPr>
        <w:t xml:space="preserve">ako alternatíva k liečbe penicilínom pri akútnej </w:t>
      </w:r>
      <w:proofErr w:type="spellStart"/>
      <w:r w:rsidRPr="003D2C5A">
        <w:rPr>
          <w:sz w:val="22"/>
          <w:szCs w:val="22"/>
        </w:rPr>
        <w:t>tonzilofaryngitíde</w:t>
      </w:r>
      <w:proofErr w:type="spellEnd"/>
      <w:r w:rsidRPr="003D2C5A">
        <w:rPr>
          <w:sz w:val="22"/>
          <w:szCs w:val="22"/>
        </w:rPr>
        <w:t xml:space="preserve">, </w:t>
      </w:r>
      <w:proofErr w:type="spellStart"/>
      <w:r w:rsidRPr="003D2C5A">
        <w:rPr>
          <w:sz w:val="22"/>
          <w:szCs w:val="22"/>
        </w:rPr>
        <w:t>sinusitíde</w:t>
      </w:r>
      <w:proofErr w:type="spellEnd"/>
      <w:r w:rsidRPr="003D2C5A">
        <w:rPr>
          <w:sz w:val="22"/>
          <w:szCs w:val="22"/>
        </w:rPr>
        <w:t xml:space="preserve"> a </w:t>
      </w:r>
      <w:proofErr w:type="spellStart"/>
      <w:r w:rsidRPr="003D2C5A">
        <w:rPr>
          <w:sz w:val="22"/>
          <w:szCs w:val="22"/>
        </w:rPr>
        <w:t>otitíde</w:t>
      </w:r>
      <w:proofErr w:type="spellEnd"/>
      <w:r w:rsidRPr="003D2C5A">
        <w:rPr>
          <w:sz w:val="22"/>
          <w:szCs w:val="22"/>
        </w:rPr>
        <w:t xml:space="preserve"> stredného ucha;</w:t>
      </w:r>
    </w:p>
    <w:p w:rsidR="002754AA" w:rsidRPr="007D0C3F" w:rsidRDefault="002754AA" w:rsidP="00670967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3D2C5A">
        <w:rPr>
          <w:sz w:val="22"/>
          <w:szCs w:val="22"/>
        </w:rPr>
        <w:t xml:space="preserve">dolné dýchacie cesty - </w:t>
      </w:r>
      <w:r w:rsidR="00A13222" w:rsidRPr="003D2C5A">
        <w:rPr>
          <w:sz w:val="22"/>
          <w:szCs w:val="22"/>
        </w:rPr>
        <w:t>bakteriálna bronchitída</w:t>
      </w:r>
      <w:r w:rsidRPr="003D2C5A">
        <w:rPr>
          <w:sz w:val="22"/>
          <w:szCs w:val="22"/>
        </w:rPr>
        <w:t xml:space="preserve"> a pneumónia (mierna a stredne ťažká forma)</w:t>
      </w:r>
      <w:r w:rsidR="00A13222" w:rsidRPr="003D2C5A">
        <w:rPr>
          <w:sz w:val="22"/>
          <w:szCs w:val="22"/>
        </w:rPr>
        <w:t>,</w:t>
      </w:r>
      <w:r w:rsidRPr="003D2C5A">
        <w:rPr>
          <w:sz w:val="22"/>
          <w:szCs w:val="22"/>
        </w:rPr>
        <w:t xml:space="preserve"> atypická pneumónia, </w:t>
      </w:r>
      <w:r w:rsidR="00AA67CF">
        <w:rPr>
          <w:sz w:val="22"/>
          <w:szCs w:val="22"/>
        </w:rPr>
        <w:t xml:space="preserve">chronická </w:t>
      </w:r>
      <w:r w:rsidR="00833AAD">
        <w:rPr>
          <w:sz w:val="22"/>
          <w:szCs w:val="22"/>
        </w:rPr>
        <w:t>obštrukčná</w:t>
      </w:r>
      <w:r w:rsidR="00AA67CF">
        <w:rPr>
          <w:sz w:val="22"/>
          <w:szCs w:val="22"/>
        </w:rPr>
        <w:t xml:space="preserve"> pľúcna </w:t>
      </w:r>
      <w:r w:rsidR="00AA67CF" w:rsidRPr="007D0C3F">
        <w:rPr>
          <w:sz w:val="22"/>
          <w:szCs w:val="22"/>
        </w:rPr>
        <w:t xml:space="preserve">choroba </w:t>
      </w:r>
      <w:r w:rsidR="00AA67CF" w:rsidRPr="007D0C3F">
        <w:rPr>
          <w:i/>
          <w:sz w:val="22"/>
          <w:szCs w:val="22"/>
        </w:rPr>
        <w:t>(</w:t>
      </w:r>
      <w:r w:rsidRPr="007D0C3F">
        <w:rPr>
          <w:i/>
          <w:sz w:val="22"/>
          <w:szCs w:val="22"/>
        </w:rPr>
        <w:t>COPD</w:t>
      </w:r>
      <w:r w:rsidR="00AA67CF" w:rsidRPr="007D0C3F">
        <w:rPr>
          <w:i/>
          <w:sz w:val="22"/>
          <w:szCs w:val="22"/>
        </w:rPr>
        <w:t xml:space="preserve"> = </w:t>
      </w:r>
      <w:proofErr w:type="spellStart"/>
      <w:r w:rsidR="00AA67CF" w:rsidRPr="007D0C3F">
        <w:rPr>
          <w:i/>
          <w:sz w:val="22"/>
          <w:szCs w:val="22"/>
        </w:rPr>
        <w:t>Chronic</w:t>
      </w:r>
      <w:proofErr w:type="spellEnd"/>
      <w:r w:rsidR="00AA67CF" w:rsidRPr="007D0C3F">
        <w:rPr>
          <w:i/>
          <w:sz w:val="22"/>
          <w:szCs w:val="22"/>
        </w:rPr>
        <w:t xml:space="preserve"> </w:t>
      </w:r>
      <w:proofErr w:type="spellStart"/>
      <w:r w:rsidR="00AA67CF" w:rsidRPr="007D0C3F">
        <w:rPr>
          <w:i/>
          <w:sz w:val="22"/>
          <w:szCs w:val="22"/>
        </w:rPr>
        <w:t>Obstructive</w:t>
      </w:r>
      <w:proofErr w:type="spellEnd"/>
      <w:r w:rsidR="00AA67CF" w:rsidRPr="007D0C3F">
        <w:rPr>
          <w:i/>
          <w:sz w:val="22"/>
          <w:szCs w:val="22"/>
        </w:rPr>
        <w:t xml:space="preserve"> </w:t>
      </w:r>
      <w:proofErr w:type="spellStart"/>
      <w:r w:rsidR="00AA67CF" w:rsidRPr="007D0C3F">
        <w:rPr>
          <w:i/>
          <w:sz w:val="22"/>
          <w:szCs w:val="22"/>
        </w:rPr>
        <w:t>Pulmonary</w:t>
      </w:r>
      <w:proofErr w:type="spellEnd"/>
      <w:r w:rsidR="00AA67CF" w:rsidRPr="007D0C3F">
        <w:rPr>
          <w:i/>
          <w:sz w:val="22"/>
          <w:szCs w:val="22"/>
        </w:rPr>
        <w:t xml:space="preserve"> </w:t>
      </w:r>
      <w:proofErr w:type="spellStart"/>
      <w:r w:rsidR="00AA67CF" w:rsidRPr="007D0C3F">
        <w:rPr>
          <w:i/>
          <w:sz w:val="22"/>
          <w:szCs w:val="22"/>
        </w:rPr>
        <w:t>Disease</w:t>
      </w:r>
      <w:proofErr w:type="spellEnd"/>
      <w:r w:rsidR="00AA67CF" w:rsidRPr="007D0C3F">
        <w:rPr>
          <w:i/>
          <w:sz w:val="22"/>
          <w:szCs w:val="22"/>
        </w:rPr>
        <w:t>)</w:t>
      </w:r>
      <w:r w:rsidR="00AA67CF" w:rsidRPr="007D0C3F">
        <w:rPr>
          <w:sz w:val="22"/>
          <w:szCs w:val="22"/>
        </w:rPr>
        <w:t xml:space="preserve"> </w:t>
      </w:r>
      <w:r w:rsidRPr="007D0C3F">
        <w:rPr>
          <w:sz w:val="22"/>
          <w:szCs w:val="22"/>
        </w:rPr>
        <w:t xml:space="preserve">v štádiu </w:t>
      </w:r>
      <w:proofErr w:type="spellStart"/>
      <w:r w:rsidRPr="007D0C3F">
        <w:rPr>
          <w:sz w:val="22"/>
          <w:szCs w:val="22"/>
        </w:rPr>
        <w:t>ex</w:t>
      </w:r>
      <w:r w:rsidR="00707D00" w:rsidRPr="007D0C3F">
        <w:rPr>
          <w:sz w:val="22"/>
          <w:szCs w:val="22"/>
        </w:rPr>
        <w:t>a</w:t>
      </w:r>
      <w:r w:rsidRPr="007D0C3F">
        <w:rPr>
          <w:sz w:val="22"/>
          <w:szCs w:val="22"/>
        </w:rPr>
        <w:t>cerbácie</w:t>
      </w:r>
      <w:proofErr w:type="spellEnd"/>
      <w:r w:rsidRPr="007D0C3F">
        <w:rPr>
          <w:sz w:val="22"/>
          <w:szCs w:val="22"/>
        </w:rPr>
        <w:t>;</w:t>
      </w:r>
    </w:p>
    <w:p w:rsidR="002754AA" w:rsidRPr="003D2C5A" w:rsidRDefault="002754AA" w:rsidP="00670967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3D2C5A">
        <w:rPr>
          <w:sz w:val="22"/>
          <w:szCs w:val="22"/>
        </w:rPr>
        <w:t>kož</w:t>
      </w:r>
      <w:r w:rsidR="00707D00">
        <w:rPr>
          <w:sz w:val="22"/>
          <w:szCs w:val="22"/>
        </w:rPr>
        <w:t>u</w:t>
      </w:r>
      <w:r w:rsidRPr="003D2C5A">
        <w:rPr>
          <w:sz w:val="22"/>
          <w:szCs w:val="22"/>
        </w:rPr>
        <w:t xml:space="preserve"> a mäkké tkanivá</w:t>
      </w:r>
      <w:r w:rsidR="00A13222" w:rsidRPr="003D2C5A">
        <w:rPr>
          <w:sz w:val="22"/>
          <w:szCs w:val="22"/>
        </w:rPr>
        <w:t xml:space="preserve"> </w:t>
      </w:r>
      <w:r w:rsidRPr="003D2C5A">
        <w:rPr>
          <w:sz w:val="22"/>
          <w:szCs w:val="22"/>
        </w:rPr>
        <w:t xml:space="preserve">– </w:t>
      </w:r>
      <w:proofErr w:type="spellStart"/>
      <w:r w:rsidRPr="003D2C5A">
        <w:rPr>
          <w:sz w:val="22"/>
          <w:szCs w:val="22"/>
        </w:rPr>
        <w:t>eryzipel</w:t>
      </w:r>
      <w:proofErr w:type="spellEnd"/>
      <w:r w:rsidRPr="003D2C5A">
        <w:rPr>
          <w:sz w:val="22"/>
          <w:szCs w:val="22"/>
        </w:rPr>
        <w:t xml:space="preserve">, </w:t>
      </w:r>
      <w:proofErr w:type="spellStart"/>
      <w:r w:rsidRPr="003D2C5A">
        <w:rPr>
          <w:sz w:val="22"/>
          <w:szCs w:val="22"/>
        </w:rPr>
        <w:t>impetigo</w:t>
      </w:r>
      <w:proofErr w:type="spellEnd"/>
      <w:r w:rsidRPr="003D2C5A">
        <w:rPr>
          <w:sz w:val="22"/>
          <w:szCs w:val="22"/>
        </w:rPr>
        <w:t xml:space="preserve"> a sekundárna </w:t>
      </w:r>
      <w:proofErr w:type="spellStart"/>
      <w:r w:rsidRPr="003D2C5A">
        <w:rPr>
          <w:sz w:val="22"/>
          <w:szCs w:val="22"/>
        </w:rPr>
        <w:t>pyoderm</w:t>
      </w:r>
      <w:r w:rsidR="002D4F88">
        <w:rPr>
          <w:sz w:val="22"/>
          <w:szCs w:val="22"/>
        </w:rPr>
        <w:t>i</w:t>
      </w:r>
      <w:r w:rsidRPr="003D2C5A">
        <w:rPr>
          <w:sz w:val="22"/>
          <w:szCs w:val="22"/>
        </w:rPr>
        <w:t>a</w:t>
      </w:r>
      <w:proofErr w:type="spellEnd"/>
      <w:r w:rsidRPr="003D2C5A">
        <w:rPr>
          <w:sz w:val="22"/>
          <w:szCs w:val="22"/>
        </w:rPr>
        <w:t xml:space="preserve">, </w:t>
      </w:r>
      <w:proofErr w:type="spellStart"/>
      <w:r w:rsidRPr="003D2C5A">
        <w:rPr>
          <w:sz w:val="22"/>
          <w:szCs w:val="22"/>
        </w:rPr>
        <w:t>erythema</w:t>
      </w:r>
      <w:proofErr w:type="spellEnd"/>
      <w:r w:rsidRPr="003D2C5A">
        <w:rPr>
          <w:sz w:val="22"/>
          <w:szCs w:val="22"/>
        </w:rPr>
        <w:t xml:space="preserve"> </w:t>
      </w:r>
      <w:proofErr w:type="spellStart"/>
      <w:r w:rsidRPr="003D2C5A">
        <w:rPr>
          <w:sz w:val="22"/>
          <w:szCs w:val="22"/>
        </w:rPr>
        <w:t>chronicum</w:t>
      </w:r>
      <w:proofErr w:type="spellEnd"/>
      <w:r w:rsidRPr="003D2C5A">
        <w:rPr>
          <w:sz w:val="22"/>
          <w:szCs w:val="22"/>
        </w:rPr>
        <w:t xml:space="preserve"> </w:t>
      </w:r>
      <w:proofErr w:type="spellStart"/>
      <w:r w:rsidRPr="003D2C5A">
        <w:rPr>
          <w:sz w:val="22"/>
          <w:szCs w:val="22"/>
        </w:rPr>
        <w:t>migrans</w:t>
      </w:r>
      <w:proofErr w:type="spellEnd"/>
      <w:r w:rsidRPr="003D2C5A">
        <w:rPr>
          <w:sz w:val="22"/>
          <w:szCs w:val="22"/>
        </w:rPr>
        <w:t>;</w:t>
      </w:r>
    </w:p>
    <w:p w:rsidR="002754AA" w:rsidRPr="003D2C5A" w:rsidRDefault="002754AA" w:rsidP="00670967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3D2C5A">
        <w:rPr>
          <w:sz w:val="22"/>
          <w:szCs w:val="22"/>
        </w:rPr>
        <w:t xml:space="preserve">pohlavne prenosné ochorenia - nekomplikovaná </w:t>
      </w:r>
      <w:proofErr w:type="spellStart"/>
      <w:r w:rsidRPr="003D2C5A">
        <w:rPr>
          <w:sz w:val="22"/>
          <w:szCs w:val="22"/>
        </w:rPr>
        <w:t>uretritída</w:t>
      </w:r>
      <w:proofErr w:type="spellEnd"/>
      <w:r w:rsidRPr="003D2C5A">
        <w:rPr>
          <w:sz w:val="22"/>
          <w:szCs w:val="22"/>
        </w:rPr>
        <w:t xml:space="preserve"> a </w:t>
      </w:r>
      <w:proofErr w:type="spellStart"/>
      <w:r w:rsidRPr="003D2C5A">
        <w:rPr>
          <w:sz w:val="22"/>
          <w:szCs w:val="22"/>
        </w:rPr>
        <w:t>cervicitída</w:t>
      </w:r>
      <w:proofErr w:type="spellEnd"/>
      <w:r w:rsidRPr="003D2C5A">
        <w:rPr>
          <w:sz w:val="22"/>
          <w:szCs w:val="22"/>
        </w:rPr>
        <w:t xml:space="preserve"> spôsobená </w:t>
      </w:r>
      <w:proofErr w:type="spellStart"/>
      <w:r w:rsidR="00960082" w:rsidRPr="00960082">
        <w:rPr>
          <w:i/>
          <w:sz w:val="22"/>
          <w:szCs w:val="22"/>
        </w:rPr>
        <w:t>C</w:t>
      </w:r>
      <w:r w:rsidRPr="00960082">
        <w:rPr>
          <w:i/>
          <w:sz w:val="22"/>
          <w:szCs w:val="22"/>
        </w:rPr>
        <w:t>hlamydia</w:t>
      </w:r>
      <w:proofErr w:type="spellEnd"/>
      <w:r w:rsidRPr="00960082">
        <w:rPr>
          <w:i/>
          <w:sz w:val="22"/>
          <w:szCs w:val="22"/>
        </w:rPr>
        <w:t xml:space="preserve"> </w:t>
      </w:r>
      <w:proofErr w:type="spellStart"/>
      <w:r w:rsidRPr="00960082">
        <w:rPr>
          <w:i/>
          <w:sz w:val="22"/>
          <w:szCs w:val="22"/>
        </w:rPr>
        <w:t>trachomatis</w:t>
      </w:r>
      <w:proofErr w:type="spellEnd"/>
      <w:r w:rsidRPr="003D2C5A">
        <w:rPr>
          <w:sz w:val="22"/>
          <w:szCs w:val="22"/>
        </w:rPr>
        <w:t xml:space="preserve">; </w:t>
      </w:r>
      <w:proofErr w:type="spellStart"/>
      <w:r w:rsidRPr="003D2C5A">
        <w:rPr>
          <w:sz w:val="22"/>
          <w:szCs w:val="22"/>
        </w:rPr>
        <w:t>gonokok</w:t>
      </w:r>
      <w:r w:rsidR="00A20161">
        <w:rPr>
          <w:sz w:val="22"/>
          <w:szCs w:val="22"/>
        </w:rPr>
        <w:t>ová</w:t>
      </w:r>
      <w:proofErr w:type="spellEnd"/>
      <w:r w:rsidRPr="003D2C5A">
        <w:rPr>
          <w:sz w:val="22"/>
          <w:szCs w:val="22"/>
        </w:rPr>
        <w:t xml:space="preserve"> </w:t>
      </w:r>
      <w:proofErr w:type="spellStart"/>
      <w:r w:rsidRPr="003D2C5A">
        <w:rPr>
          <w:sz w:val="22"/>
          <w:szCs w:val="22"/>
        </w:rPr>
        <w:t>uretritída</w:t>
      </w:r>
      <w:proofErr w:type="spellEnd"/>
      <w:r w:rsidRPr="003D2C5A">
        <w:rPr>
          <w:sz w:val="22"/>
          <w:szCs w:val="22"/>
        </w:rPr>
        <w:t xml:space="preserve"> a cervicitída;</w:t>
      </w:r>
    </w:p>
    <w:p w:rsidR="00A13222" w:rsidRPr="003D2C5A" w:rsidRDefault="002754AA" w:rsidP="00670967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 w:rsidRPr="003D2C5A">
        <w:rPr>
          <w:sz w:val="22"/>
          <w:szCs w:val="22"/>
        </w:rPr>
        <w:t xml:space="preserve">vredové ochorenia a chronická </w:t>
      </w:r>
      <w:proofErr w:type="spellStart"/>
      <w:r w:rsidRPr="003D2C5A">
        <w:rPr>
          <w:sz w:val="22"/>
          <w:szCs w:val="22"/>
        </w:rPr>
        <w:t>gastroduodenitída</w:t>
      </w:r>
      <w:proofErr w:type="spellEnd"/>
      <w:r w:rsidRPr="003D2C5A">
        <w:rPr>
          <w:sz w:val="22"/>
          <w:szCs w:val="22"/>
        </w:rPr>
        <w:t xml:space="preserve">, na </w:t>
      </w:r>
      <w:proofErr w:type="spellStart"/>
      <w:r w:rsidRPr="003D2C5A">
        <w:rPr>
          <w:sz w:val="22"/>
          <w:szCs w:val="22"/>
        </w:rPr>
        <w:t>eradikáciu</w:t>
      </w:r>
      <w:proofErr w:type="spellEnd"/>
      <w:r w:rsidRPr="003D2C5A">
        <w:rPr>
          <w:sz w:val="22"/>
          <w:szCs w:val="22"/>
        </w:rPr>
        <w:t xml:space="preserve"> </w:t>
      </w:r>
      <w:proofErr w:type="spellStart"/>
      <w:r w:rsidRPr="00704DFF">
        <w:rPr>
          <w:i/>
          <w:sz w:val="22"/>
          <w:szCs w:val="22"/>
        </w:rPr>
        <w:t>Helicobacter</w:t>
      </w:r>
      <w:proofErr w:type="spellEnd"/>
      <w:r w:rsidRPr="00704DFF">
        <w:rPr>
          <w:i/>
          <w:sz w:val="22"/>
          <w:szCs w:val="22"/>
        </w:rPr>
        <w:t xml:space="preserve"> </w:t>
      </w:r>
      <w:proofErr w:type="spellStart"/>
      <w:r w:rsidRPr="00704DFF">
        <w:rPr>
          <w:i/>
          <w:sz w:val="22"/>
          <w:szCs w:val="22"/>
        </w:rPr>
        <w:t>pylori</w:t>
      </w:r>
      <w:proofErr w:type="spellEnd"/>
      <w:r w:rsidR="005962D8">
        <w:rPr>
          <w:sz w:val="22"/>
          <w:szCs w:val="22"/>
        </w:rPr>
        <w:t>.</w:t>
      </w:r>
    </w:p>
    <w:p w:rsidR="00A13222" w:rsidRPr="003D2C5A" w:rsidRDefault="00A13222" w:rsidP="00A13222">
      <w:pPr>
        <w:rPr>
          <w:sz w:val="22"/>
          <w:szCs w:val="22"/>
        </w:rPr>
      </w:pPr>
    </w:p>
    <w:p w:rsidR="00A13222" w:rsidRPr="003D2C5A" w:rsidRDefault="00A13222" w:rsidP="00181840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4.2</w:t>
      </w:r>
      <w:r w:rsidR="00181840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>Dávkovanie a spôsob pod</w:t>
      </w:r>
      <w:r w:rsidR="00EB01E0">
        <w:rPr>
          <w:b/>
          <w:sz w:val="22"/>
          <w:szCs w:val="22"/>
        </w:rPr>
        <w:t>áv</w:t>
      </w:r>
      <w:r w:rsidRPr="003D2C5A">
        <w:rPr>
          <w:b/>
          <w:sz w:val="22"/>
          <w:szCs w:val="22"/>
        </w:rPr>
        <w:t xml:space="preserve">ania </w:t>
      </w:r>
    </w:p>
    <w:p w:rsidR="002754AA" w:rsidRPr="003D2C5A" w:rsidRDefault="002754AA" w:rsidP="00A13222">
      <w:pPr>
        <w:rPr>
          <w:b/>
          <w:sz w:val="22"/>
          <w:szCs w:val="22"/>
        </w:rPr>
      </w:pPr>
    </w:p>
    <w:p w:rsidR="00833AAD" w:rsidRDefault="00833AAD" w:rsidP="00A1322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:rsidR="00833AAD" w:rsidRPr="00833AAD" w:rsidRDefault="00833AAD" w:rsidP="00A13222">
      <w:pPr>
        <w:rPr>
          <w:sz w:val="22"/>
          <w:szCs w:val="22"/>
          <w:u w:val="single"/>
        </w:rPr>
      </w:pPr>
    </w:p>
    <w:p w:rsidR="002754AA" w:rsidRPr="003D2C5A" w:rsidRDefault="002754AA" w:rsidP="00A13222">
      <w:pPr>
        <w:rPr>
          <w:i/>
          <w:sz w:val="22"/>
          <w:szCs w:val="22"/>
        </w:rPr>
      </w:pPr>
      <w:r w:rsidRPr="003D2C5A">
        <w:rPr>
          <w:i/>
          <w:sz w:val="22"/>
          <w:szCs w:val="22"/>
        </w:rPr>
        <w:t>Dospelí</w:t>
      </w:r>
    </w:p>
    <w:p w:rsidR="002754AA" w:rsidRDefault="002754AA" w:rsidP="00670967">
      <w:pPr>
        <w:numPr>
          <w:ilvl w:val="0"/>
          <w:numId w:val="2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D2286">
        <w:rPr>
          <w:sz w:val="22"/>
          <w:szCs w:val="22"/>
        </w:rPr>
        <w:t>Infekcie horných a</w:t>
      </w:r>
      <w:r w:rsidR="00707D00" w:rsidRPr="009D2286">
        <w:rPr>
          <w:sz w:val="22"/>
          <w:szCs w:val="22"/>
        </w:rPr>
        <w:t> </w:t>
      </w:r>
      <w:r w:rsidRPr="009D2286">
        <w:rPr>
          <w:sz w:val="22"/>
          <w:szCs w:val="22"/>
        </w:rPr>
        <w:t>dolných</w:t>
      </w:r>
      <w:r w:rsidR="00707D00" w:rsidRPr="009D2286">
        <w:rPr>
          <w:sz w:val="22"/>
          <w:szCs w:val="22"/>
        </w:rPr>
        <w:t xml:space="preserve"> dýchacích </w:t>
      </w:r>
      <w:r w:rsidRPr="009D2286">
        <w:rPr>
          <w:sz w:val="22"/>
          <w:szCs w:val="22"/>
        </w:rPr>
        <w:t>ciest</w:t>
      </w:r>
      <w:r w:rsidR="00707D00" w:rsidRPr="009D2286">
        <w:rPr>
          <w:sz w:val="22"/>
          <w:szCs w:val="22"/>
        </w:rPr>
        <w:t xml:space="preserve"> </w:t>
      </w:r>
      <w:r w:rsidRPr="009D2286">
        <w:rPr>
          <w:sz w:val="22"/>
          <w:szCs w:val="22"/>
        </w:rPr>
        <w:t>a infekci</w:t>
      </w:r>
      <w:r w:rsidR="009A4486" w:rsidRPr="009D2286">
        <w:rPr>
          <w:sz w:val="22"/>
          <w:szCs w:val="22"/>
        </w:rPr>
        <w:t>e</w:t>
      </w:r>
      <w:r w:rsidRPr="009D2286">
        <w:rPr>
          <w:sz w:val="22"/>
          <w:szCs w:val="22"/>
        </w:rPr>
        <w:t xml:space="preserve"> kože a</w:t>
      </w:r>
      <w:r w:rsidR="00A20161" w:rsidRPr="009D2286">
        <w:rPr>
          <w:sz w:val="22"/>
          <w:szCs w:val="22"/>
        </w:rPr>
        <w:t> </w:t>
      </w:r>
      <w:r w:rsidRPr="009D2286">
        <w:rPr>
          <w:sz w:val="22"/>
          <w:szCs w:val="22"/>
        </w:rPr>
        <w:t>mäkkých</w:t>
      </w:r>
      <w:r w:rsidR="00A20161" w:rsidRPr="009D2286">
        <w:rPr>
          <w:sz w:val="22"/>
          <w:szCs w:val="22"/>
        </w:rPr>
        <w:t xml:space="preserve"> </w:t>
      </w:r>
      <w:r w:rsidRPr="009D2286">
        <w:rPr>
          <w:sz w:val="22"/>
          <w:szCs w:val="22"/>
        </w:rPr>
        <w:t>tkanív</w:t>
      </w:r>
      <w:r w:rsidRPr="003D2C5A">
        <w:rPr>
          <w:sz w:val="22"/>
          <w:szCs w:val="22"/>
        </w:rPr>
        <w:t xml:space="preserve"> (</w:t>
      </w:r>
      <w:r w:rsidRPr="00A20161">
        <w:rPr>
          <w:sz w:val="22"/>
          <w:szCs w:val="22"/>
        </w:rPr>
        <w:t>okrem</w:t>
      </w:r>
      <w:r w:rsidR="009A4486" w:rsidRPr="00A20161">
        <w:rPr>
          <w:sz w:val="22"/>
          <w:szCs w:val="22"/>
        </w:rPr>
        <w:t xml:space="preserve"> </w:t>
      </w:r>
      <w:proofErr w:type="spellStart"/>
      <w:r w:rsidR="00A20161" w:rsidRPr="00A20161">
        <w:rPr>
          <w:sz w:val="22"/>
          <w:szCs w:val="22"/>
        </w:rPr>
        <w:t>e</w:t>
      </w:r>
      <w:r w:rsidRPr="00A20161">
        <w:rPr>
          <w:sz w:val="22"/>
          <w:szCs w:val="22"/>
        </w:rPr>
        <w:t>rythema</w:t>
      </w:r>
      <w:proofErr w:type="spellEnd"/>
      <w:r w:rsidRPr="00A20161">
        <w:rPr>
          <w:sz w:val="22"/>
          <w:szCs w:val="22"/>
        </w:rPr>
        <w:t xml:space="preserve"> </w:t>
      </w:r>
      <w:proofErr w:type="spellStart"/>
      <w:r w:rsidRPr="00A20161">
        <w:rPr>
          <w:sz w:val="22"/>
          <w:szCs w:val="22"/>
        </w:rPr>
        <w:t>migrans</w:t>
      </w:r>
      <w:proofErr w:type="spellEnd"/>
      <w:r w:rsidRPr="00A20161">
        <w:rPr>
          <w:sz w:val="22"/>
          <w:szCs w:val="22"/>
        </w:rPr>
        <w:t>) - 500 mg</w:t>
      </w:r>
      <w:r w:rsidR="002D4F88">
        <w:rPr>
          <w:sz w:val="22"/>
          <w:szCs w:val="22"/>
        </w:rPr>
        <w:t xml:space="preserve"> jedenkrát</w:t>
      </w:r>
      <w:r w:rsidRPr="00A20161">
        <w:rPr>
          <w:sz w:val="22"/>
          <w:szCs w:val="22"/>
        </w:rPr>
        <w:t xml:space="preserve"> denne počas 3 nasledujúcich dní</w:t>
      </w:r>
      <w:r w:rsidR="00181840">
        <w:rPr>
          <w:sz w:val="22"/>
          <w:szCs w:val="22"/>
        </w:rPr>
        <w:t>.</w:t>
      </w:r>
    </w:p>
    <w:p w:rsidR="002754AA" w:rsidRPr="00706BA4" w:rsidRDefault="002754AA" w:rsidP="00670967">
      <w:pPr>
        <w:numPr>
          <w:ilvl w:val="0"/>
          <w:numId w:val="24"/>
        </w:numPr>
        <w:tabs>
          <w:tab w:val="left" w:pos="0"/>
          <w:tab w:val="left" w:pos="567"/>
        </w:tabs>
        <w:ind w:left="567" w:hanging="567"/>
        <w:rPr>
          <w:sz w:val="22"/>
          <w:szCs w:val="22"/>
        </w:rPr>
      </w:pPr>
      <w:r w:rsidRPr="009D2286">
        <w:rPr>
          <w:sz w:val="22"/>
          <w:szCs w:val="22"/>
        </w:rPr>
        <w:t>Pneumónia</w:t>
      </w:r>
      <w:r w:rsidRPr="003D2C5A">
        <w:rPr>
          <w:sz w:val="22"/>
          <w:szCs w:val="22"/>
        </w:rPr>
        <w:t xml:space="preserve"> - 500 mg </w:t>
      </w:r>
      <w:r w:rsidR="00706BA4">
        <w:rPr>
          <w:sz w:val="22"/>
          <w:szCs w:val="22"/>
        </w:rPr>
        <w:t>jeden</w:t>
      </w:r>
      <w:r w:rsidR="00996442">
        <w:rPr>
          <w:sz w:val="22"/>
          <w:szCs w:val="22"/>
        </w:rPr>
        <w:t xml:space="preserve">krát </w:t>
      </w:r>
      <w:r w:rsidRPr="003D2C5A">
        <w:rPr>
          <w:sz w:val="22"/>
          <w:szCs w:val="22"/>
        </w:rPr>
        <w:t xml:space="preserve">denne počas 3 nasledujúcich dní alebo </w:t>
      </w:r>
      <w:proofErr w:type="spellStart"/>
      <w:r w:rsidRPr="003D2C5A">
        <w:rPr>
          <w:sz w:val="22"/>
          <w:szCs w:val="22"/>
        </w:rPr>
        <w:t>jednorázovo</w:t>
      </w:r>
      <w:proofErr w:type="spellEnd"/>
      <w:r w:rsidRPr="003D2C5A">
        <w:rPr>
          <w:sz w:val="22"/>
          <w:szCs w:val="22"/>
        </w:rPr>
        <w:t xml:space="preserve"> 500 mg v prvý deň </w:t>
      </w:r>
      <w:r w:rsidRPr="00706BA4">
        <w:rPr>
          <w:sz w:val="22"/>
          <w:szCs w:val="22"/>
        </w:rPr>
        <w:t>liečby a 250 mg denne na druhý až piaty deň</w:t>
      </w:r>
      <w:r w:rsidR="00833AAD" w:rsidRPr="00706BA4">
        <w:rPr>
          <w:sz w:val="22"/>
          <w:szCs w:val="22"/>
        </w:rPr>
        <w:t xml:space="preserve"> vrátane</w:t>
      </w:r>
      <w:r w:rsidR="00181840" w:rsidRPr="00706BA4">
        <w:rPr>
          <w:sz w:val="22"/>
          <w:szCs w:val="22"/>
        </w:rPr>
        <w:t>.</w:t>
      </w:r>
    </w:p>
    <w:p w:rsidR="00F93911" w:rsidRPr="003D2C5A" w:rsidRDefault="002754AA" w:rsidP="00670967">
      <w:pPr>
        <w:numPr>
          <w:ilvl w:val="0"/>
          <w:numId w:val="24"/>
        </w:numPr>
        <w:tabs>
          <w:tab w:val="left" w:pos="0"/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9D2286">
        <w:rPr>
          <w:sz w:val="22"/>
          <w:szCs w:val="22"/>
        </w:rPr>
        <w:t>Erythema</w:t>
      </w:r>
      <w:proofErr w:type="spellEnd"/>
      <w:r w:rsidRPr="009D2286">
        <w:rPr>
          <w:sz w:val="22"/>
          <w:szCs w:val="22"/>
        </w:rPr>
        <w:t xml:space="preserve"> </w:t>
      </w:r>
      <w:proofErr w:type="spellStart"/>
      <w:r w:rsidRPr="009D2286">
        <w:rPr>
          <w:sz w:val="22"/>
          <w:szCs w:val="22"/>
        </w:rPr>
        <w:t>migrans</w:t>
      </w:r>
      <w:proofErr w:type="spellEnd"/>
      <w:r w:rsidRPr="003D2C5A">
        <w:rPr>
          <w:sz w:val="22"/>
          <w:szCs w:val="22"/>
        </w:rPr>
        <w:t xml:space="preserve"> - celková dávka predstavuje </w:t>
      </w:r>
      <w:smartTag w:uri="urn:schemas-microsoft-com:office:smarttags" w:element="metricconverter">
        <w:smartTagPr>
          <w:attr w:name="ProductID" w:val="3 g"/>
        </w:smartTagPr>
        <w:r w:rsidRPr="003D2C5A">
          <w:rPr>
            <w:sz w:val="22"/>
            <w:szCs w:val="22"/>
          </w:rPr>
          <w:t>3 g</w:t>
        </w:r>
      </w:smartTag>
      <w:r w:rsidRPr="003D2C5A">
        <w:rPr>
          <w:sz w:val="22"/>
          <w:szCs w:val="22"/>
        </w:rPr>
        <w:t xml:space="preserve">; prvý deň liečby </w:t>
      </w:r>
      <w:smartTag w:uri="urn:schemas-microsoft-com:office:smarttags" w:element="metricconverter">
        <w:smartTagPr>
          <w:attr w:name="ProductID" w:val="1 g"/>
        </w:smartTagPr>
        <w:r w:rsidRPr="003D2C5A">
          <w:rPr>
            <w:sz w:val="22"/>
            <w:szCs w:val="22"/>
          </w:rPr>
          <w:t>1 g</w:t>
        </w:r>
      </w:smartTag>
      <w:r w:rsidR="00F93911" w:rsidRPr="003D2C5A">
        <w:rPr>
          <w:sz w:val="22"/>
          <w:szCs w:val="22"/>
        </w:rPr>
        <w:t>; následne 500 mg denne na druhý až piaty deň vrátane.</w:t>
      </w:r>
    </w:p>
    <w:p w:rsidR="00181840" w:rsidRDefault="00181840" w:rsidP="00670967">
      <w:pPr>
        <w:numPr>
          <w:ilvl w:val="0"/>
          <w:numId w:val="24"/>
        </w:numPr>
        <w:tabs>
          <w:tab w:val="left" w:pos="0"/>
          <w:tab w:val="left" w:pos="567"/>
        </w:tabs>
        <w:ind w:left="567" w:hanging="567"/>
        <w:rPr>
          <w:sz w:val="22"/>
          <w:szCs w:val="22"/>
        </w:rPr>
      </w:pPr>
      <w:r w:rsidRPr="009D2286">
        <w:rPr>
          <w:sz w:val="22"/>
          <w:szCs w:val="22"/>
        </w:rPr>
        <w:lastRenderedPageBreak/>
        <w:t xml:space="preserve">Pohlavne </w:t>
      </w:r>
      <w:r w:rsidR="00F93911" w:rsidRPr="009D2286">
        <w:rPr>
          <w:sz w:val="22"/>
          <w:szCs w:val="22"/>
        </w:rPr>
        <w:t>prenosné choroby</w:t>
      </w:r>
      <w:r w:rsidR="00F93911" w:rsidRPr="00DF415D">
        <w:rPr>
          <w:b/>
          <w:sz w:val="22"/>
          <w:szCs w:val="22"/>
        </w:rPr>
        <w:t xml:space="preserve"> </w:t>
      </w:r>
      <w:r w:rsidR="00F93911" w:rsidRPr="003D2C5A">
        <w:rPr>
          <w:sz w:val="22"/>
          <w:szCs w:val="22"/>
        </w:rPr>
        <w:t xml:space="preserve">- jednorazová dávka </w:t>
      </w:r>
      <w:smartTag w:uri="urn:schemas-microsoft-com:office:smarttags" w:element="metricconverter">
        <w:smartTagPr>
          <w:attr w:name="ProductID" w:val="1 g"/>
        </w:smartTagPr>
        <w:r w:rsidR="00F93911" w:rsidRPr="003D2C5A">
          <w:rPr>
            <w:sz w:val="22"/>
            <w:szCs w:val="22"/>
          </w:rPr>
          <w:t>1 g</w:t>
        </w:r>
      </w:smartTag>
      <w:r w:rsidR="00F93911" w:rsidRPr="003D2C5A">
        <w:rPr>
          <w:sz w:val="22"/>
          <w:szCs w:val="22"/>
        </w:rPr>
        <w:t xml:space="preserve"> pri </w:t>
      </w:r>
      <w:proofErr w:type="spellStart"/>
      <w:r w:rsidR="00F93911" w:rsidRPr="003D2C5A">
        <w:rPr>
          <w:sz w:val="22"/>
          <w:szCs w:val="22"/>
        </w:rPr>
        <w:t>negonokok</w:t>
      </w:r>
      <w:r w:rsidR="00A20161">
        <w:rPr>
          <w:sz w:val="22"/>
          <w:szCs w:val="22"/>
        </w:rPr>
        <w:t>ovej</w:t>
      </w:r>
      <w:proofErr w:type="spellEnd"/>
      <w:r w:rsidR="00F93911" w:rsidRPr="003D2C5A">
        <w:rPr>
          <w:sz w:val="22"/>
          <w:szCs w:val="22"/>
        </w:rPr>
        <w:t xml:space="preserve"> </w:t>
      </w:r>
      <w:proofErr w:type="spellStart"/>
      <w:r w:rsidR="00F93911" w:rsidRPr="003D2C5A">
        <w:rPr>
          <w:sz w:val="22"/>
          <w:szCs w:val="22"/>
        </w:rPr>
        <w:t>uretritíde</w:t>
      </w:r>
      <w:proofErr w:type="spellEnd"/>
      <w:r w:rsidR="00F93911" w:rsidRPr="003D2C5A">
        <w:rPr>
          <w:sz w:val="22"/>
          <w:szCs w:val="22"/>
        </w:rPr>
        <w:t xml:space="preserve"> a </w:t>
      </w:r>
      <w:proofErr w:type="spellStart"/>
      <w:r w:rsidR="00F93911" w:rsidRPr="003D2C5A">
        <w:rPr>
          <w:sz w:val="22"/>
          <w:szCs w:val="22"/>
        </w:rPr>
        <w:t>cervicitíde</w:t>
      </w:r>
      <w:proofErr w:type="spellEnd"/>
      <w:r w:rsidR="00F93911" w:rsidRPr="003D2C5A">
        <w:rPr>
          <w:sz w:val="22"/>
          <w:szCs w:val="22"/>
        </w:rPr>
        <w:t xml:space="preserve"> spôsobenej </w:t>
      </w:r>
      <w:proofErr w:type="spellStart"/>
      <w:r w:rsidR="00F93911" w:rsidRPr="00704DFF">
        <w:rPr>
          <w:i/>
          <w:sz w:val="22"/>
          <w:szCs w:val="22"/>
        </w:rPr>
        <w:t>Chlam</w:t>
      </w:r>
      <w:r w:rsidR="00D17028">
        <w:rPr>
          <w:i/>
          <w:sz w:val="22"/>
          <w:szCs w:val="22"/>
        </w:rPr>
        <w:t>y</w:t>
      </w:r>
      <w:r w:rsidR="00F93911" w:rsidRPr="00704DFF">
        <w:rPr>
          <w:i/>
          <w:sz w:val="22"/>
          <w:szCs w:val="22"/>
        </w:rPr>
        <w:t>diou</w:t>
      </w:r>
      <w:proofErr w:type="spellEnd"/>
      <w:r w:rsidR="00F93911" w:rsidRPr="00704DFF">
        <w:rPr>
          <w:i/>
          <w:sz w:val="22"/>
          <w:szCs w:val="22"/>
        </w:rPr>
        <w:t xml:space="preserve"> </w:t>
      </w:r>
      <w:proofErr w:type="spellStart"/>
      <w:r w:rsidR="00F93911" w:rsidRPr="00704DFF">
        <w:rPr>
          <w:i/>
          <w:sz w:val="22"/>
          <w:szCs w:val="22"/>
        </w:rPr>
        <w:t>trachomatis</w:t>
      </w:r>
      <w:proofErr w:type="spellEnd"/>
      <w:r w:rsidR="00F93911" w:rsidRPr="003D2C5A">
        <w:rPr>
          <w:sz w:val="22"/>
          <w:szCs w:val="22"/>
        </w:rPr>
        <w:t xml:space="preserve"> a pri infekciách spôsobených </w:t>
      </w:r>
      <w:proofErr w:type="spellStart"/>
      <w:r w:rsidR="00F93911" w:rsidRPr="00704DFF">
        <w:rPr>
          <w:i/>
          <w:sz w:val="22"/>
          <w:szCs w:val="22"/>
        </w:rPr>
        <w:t>Haemophilus</w:t>
      </w:r>
      <w:proofErr w:type="spellEnd"/>
      <w:r w:rsidR="00F93911" w:rsidRPr="00704DFF">
        <w:rPr>
          <w:i/>
          <w:sz w:val="22"/>
          <w:szCs w:val="22"/>
        </w:rPr>
        <w:t xml:space="preserve"> </w:t>
      </w:r>
      <w:proofErr w:type="spellStart"/>
      <w:r w:rsidR="00F93911" w:rsidRPr="00704DFF">
        <w:rPr>
          <w:i/>
          <w:sz w:val="22"/>
          <w:szCs w:val="22"/>
        </w:rPr>
        <w:t>ducre</w:t>
      </w:r>
      <w:r w:rsidR="00D17028">
        <w:rPr>
          <w:i/>
          <w:sz w:val="22"/>
          <w:szCs w:val="22"/>
        </w:rPr>
        <w:t>y</w:t>
      </w:r>
      <w:r w:rsidR="00F93911" w:rsidRPr="00704DFF">
        <w:rPr>
          <w:i/>
          <w:sz w:val="22"/>
          <w:szCs w:val="22"/>
        </w:rPr>
        <w:t>i</w:t>
      </w:r>
      <w:proofErr w:type="spellEnd"/>
      <w:r w:rsidR="00F93911" w:rsidRPr="00704DFF">
        <w:rPr>
          <w:i/>
          <w:sz w:val="22"/>
          <w:szCs w:val="22"/>
        </w:rPr>
        <w:t xml:space="preserve">; </w:t>
      </w:r>
      <w:proofErr w:type="spellStart"/>
      <w:r w:rsidR="00F93911" w:rsidRPr="003D2C5A">
        <w:rPr>
          <w:sz w:val="22"/>
          <w:szCs w:val="22"/>
        </w:rPr>
        <w:t>gonokok</w:t>
      </w:r>
      <w:r>
        <w:rPr>
          <w:sz w:val="22"/>
          <w:szCs w:val="22"/>
        </w:rPr>
        <w:t>ová</w:t>
      </w:r>
      <w:proofErr w:type="spellEnd"/>
      <w:r w:rsidR="00F93911" w:rsidRPr="003D2C5A">
        <w:rPr>
          <w:sz w:val="22"/>
          <w:szCs w:val="22"/>
        </w:rPr>
        <w:t xml:space="preserve"> </w:t>
      </w:r>
      <w:proofErr w:type="spellStart"/>
      <w:r w:rsidR="00F93911" w:rsidRPr="003D2C5A">
        <w:rPr>
          <w:sz w:val="22"/>
          <w:szCs w:val="22"/>
        </w:rPr>
        <w:t>uretritída</w:t>
      </w:r>
      <w:proofErr w:type="spellEnd"/>
      <w:r w:rsidR="00F93911" w:rsidRPr="003D2C5A">
        <w:rPr>
          <w:sz w:val="22"/>
          <w:szCs w:val="22"/>
        </w:rPr>
        <w:t xml:space="preserve"> a cervicitída – jednorazová dávka </w:t>
      </w:r>
      <w:smartTag w:uri="urn:schemas-microsoft-com:office:smarttags" w:element="metricconverter">
        <w:smartTagPr>
          <w:attr w:name="ProductID" w:val="2 g"/>
        </w:smartTagPr>
        <w:r w:rsidR="00F93911" w:rsidRPr="003D2C5A">
          <w:rPr>
            <w:sz w:val="22"/>
            <w:szCs w:val="22"/>
          </w:rPr>
          <w:t>2 g</w:t>
        </w:r>
      </w:smartTag>
      <w:r>
        <w:rPr>
          <w:sz w:val="22"/>
          <w:szCs w:val="22"/>
        </w:rPr>
        <w:t>.</w:t>
      </w:r>
    </w:p>
    <w:p w:rsidR="00647BA8" w:rsidRDefault="00181840" w:rsidP="00670967">
      <w:pPr>
        <w:numPr>
          <w:ilvl w:val="0"/>
          <w:numId w:val="24"/>
        </w:numPr>
        <w:tabs>
          <w:tab w:val="left" w:pos="0"/>
          <w:tab w:val="left" w:pos="567"/>
        </w:tabs>
        <w:ind w:left="567" w:hanging="567"/>
        <w:rPr>
          <w:sz w:val="22"/>
          <w:szCs w:val="22"/>
        </w:rPr>
      </w:pPr>
      <w:r w:rsidRPr="001B5DFE">
        <w:rPr>
          <w:sz w:val="22"/>
          <w:szCs w:val="22"/>
        </w:rPr>
        <w:t xml:space="preserve">Vredové ochorenie a chronická </w:t>
      </w:r>
      <w:proofErr w:type="spellStart"/>
      <w:r w:rsidRPr="001B5DFE">
        <w:rPr>
          <w:sz w:val="22"/>
          <w:szCs w:val="22"/>
        </w:rPr>
        <w:t>gastroduodenitída</w:t>
      </w:r>
      <w:proofErr w:type="spellEnd"/>
      <w:r w:rsidRPr="001B5DFE">
        <w:rPr>
          <w:sz w:val="22"/>
          <w:szCs w:val="22"/>
        </w:rPr>
        <w:t xml:space="preserve">, </w:t>
      </w:r>
      <w:proofErr w:type="spellStart"/>
      <w:r w:rsidRPr="001B5DFE">
        <w:rPr>
          <w:sz w:val="22"/>
          <w:szCs w:val="22"/>
        </w:rPr>
        <w:t>eradikáci</w:t>
      </w:r>
      <w:r w:rsidR="00706BA4" w:rsidRPr="001B5DFE">
        <w:rPr>
          <w:sz w:val="22"/>
          <w:szCs w:val="22"/>
        </w:rPr>
        <w:t>a</w:t>
      </w:r>
      <w:proofErr w:type="spellEnd"/>
      <w:r w:rsidRPr="001B5DFE">
        <w:rPr>
          <w:sz w:val="22"/>
          <w:szCs w:val="22"/>
        </w:rPr>
        <w:t xml:space="preserve"> </w:t>
      </w:r>
      <w:proofErr w:type="spellStart"/>
      <w:r w:rsidRPr="001B5DFE">
        <w:rPr>
          <w:i/>
          <w:sz w:val="22"/>
          <w:szCs w:val="22"/>
        </w:rPr>
        <w:t>Helicobacter</w:t>
      </w:r>
      <w:proofErr w:type="spellEnd"/>
      <w:r w:rsidRPr="001B5DFE">
        <w:rPr>
          <w:i/>
          <w:sz w:val="22"/>
          <w:szCs w:val="22"/>
        </w:rPr>
        <w:t xml:space="preserve"> </w:t>
      </w:r>
      <w:proofErr w:type="spellStart"/>
      <w:r w:rsidRPr="001B5DFE">
        <w:rPr>
          <w:i/>
          <w:sz w:val="22"/>
          <w:szCs w:val="22"/>
        </w:rPr>
        <w:t>pylori</w:t>
      </w:r>
      <w:proofErr w:type="spellEnd"/>
      <w:r w:rsidRPr="00DF415D"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– </w:t>
      </w:r>
      <w:smartTag w:uri="urn:schemas-microsoft-com:office:smarttags" w:element="metricconverter">
        <w:smartTagPr>
          <w:attr w:name="ProductID" w:val="1 g"/>
        </w:smartTagPr>
        <w:r>
          <w:rPr>
            <w:sz w:val="22"/>
            <w:szCs w:val="22"/>
          </w:rPr>
          <w:t>1 g</w:t>
        </w:r>
      </w:smartTag>
      <w:r>
        <w:rPr>
          <w:sz w:val="22"/>
          <w:szCs w:val="22"/>
        </w:rPr>
        <w:t xml:space="preserve"> </w:t>
      </w:r>
      <w:r w:rsidR="00F93911" w:rsidRPr="003D2C5A">
        <w:rPr>
          <w:sz w:val="22"/>
          <w:szCs w:val="22"/>
        </w:rPr>
        <w:t xml:space="preserve">jedenkrát </w:t>
      </w:r>
      <w:r w:rsidR="00682766" w:rsidRPr="003D2C5A">
        <w:rPr>
          <w:sz w:val="22"/>
          <w:szCs w:val="22"/>
        </w:rPr>
        <w:t>denne po</w:t>
      </w:r>
      <w:r w:rsidR="00F93911" w:rsidRPr="003D2C5A">
        <w:rPr>
          <w:sz w:val="22"/>
          <w:szCs w:val="22"/>
        </w:rPr>
        <w:t xml:space="preserve"> dobu troch dní v komplexnej liečbe s </w:t>
      </w:r>
      <w:proofErr w:type="spellStart"/>
      <w:r w:rsidR="00F93911" w:rsidRPr="003D2C5A">
        <w:rPr>
          <w:sz w:val="22"/>
          <w:szCs w:val="22"/>
        </w:rPr>
        <w:t>amoxicilínom</w:t>
      </w:r>
      <w:proofErr w:type="spellEnd"/>
      <w:r w:rsidR="00F93911" w:rsidRPr="003D2C5A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="00F93911" w:rsidRPr="003D2C5A">
          <w:rPr>
            <w:sz w:val="22"/>
            <w:szCs w:val="22"/>
          </w:rPr>
          <w:t>1 g</w:t>
        </w:r>
      </w:smartTag>
      <w:r w:rsidR="00610477">
        <w:rPr>
          <w:sz w:val="22"/>
          <w:szCs w:val="22"/>
        </w:rPr>
        <w:t xml:space="preserve"> dvakrát denne alebo </w:t>
      </w:r>
      <w:proofErr w:type="spellStart"/>
      <w:r w:rsidR="00610477">
        <w:rPr>
          <w:sz w:val="22"/>
          <w:szCs w:val="22"/>
        </w:rPr>
        <w:t>m</w:t>
      </w:r>
      <w:r w:rsidR="00F93911" w:rsidRPr="003D2C5A">
        <w:rPr>
          <w:sz w:val="22"/>
          <w:szCs w:val="22"/>
        </w:rPr>
        <w:t>etronidazolom</w:t>
      </w:r>
      <w:proofErr w:type="spellEnd"/>
      <w:r w:rsidR="00F93911" w:rsidRPr="003D2C5A">
        <w:rPr>
          <w:sz w:val="22"/>
          <w:szCs w:val="22"/>
        </w:rPr>
        <w:t xml:space="preserve"> 500 mg</w:t>
      </w:r>
      <w:r w:rsidR="00610477">
        <w:rPr>
          <w:sz w:val="22"/>
          <w:szCs w:val="22"/>
        </w:rPr>
        <w:t xml:space="preserve"> dvakrát denne po dobu 7 dní a </w:t>
      </w:r>
      <w:proofErr w:type="spellStart"/>
      <w:r w:rsidR="00610477">
        <w:rPr>
          <w:sz w:val="22"/>
          <w:szCs w:val="22"/>
        </w:rPr>
        <w:t>o</w:t>
      </w:r>
      <w:r w:rsidR="00F93911" w:rsidRPr="003D2C5A">
        <w:rPr>
          <w:sz w:val="22"/>
          <w:szCs w:val="22"/>
        </w:rPr>
        <w:t>meprazolom</w:t>
      </w:r>
      <w:proofErr w:type="spellEnd"/>
      <w:r w:rsidR="00F93911" w:rsidRPr="003D2C5A">
        <w:rPr>
          <w:sz w:val="22"/>
          <w:szCs w:val="22"/>
        </w:rPr>
        <w:t xml:space="preserve"> 20 mg dvakrát denne alebo s iným </w:t>
      </w:r>
      <w:proofErr w:type="spellStart"/>
      <w:r w:rsidR="00F93911" w:rsidRPr="003D2C5A">
        <w:rPr>
          <w:sz w:val="22"/>
          <w:szCs w:val="22"/>
        </w:rPr>
        <w:t>blokátorom</w:t>
      </w:r>
      <w:proofErr w:type="spellEnd"/>
      <w:r w:rsidR="00F93911" w:rsidRPr="003D2C5A">
        <w:rPr>
          <w:sz w:val="22"/>
          <w:szCs w:val="22"/>
        </w:rPr>
        <w:t xml:space="preserve"> protónovej pumpy vo vhodnej dávke po dobu 7 dní.</w:t>
      </w:r>
    </w:p>
    <w:p w:rsidR="00647BA8" w:rsidRDefault="00647BA8" w:rsidP="00670967">
      <w:pPr>
        <w:tabs>
          <w:tab w:val="left" w:pos="0"/>
          <w:tab w:val="left" w:pos="567"/>
        </w:tabs>
        <w:ind w:left="567" w:hanging="567"/>
        <w:rPr>
          <w:b/>
          <w:sz w:val="22"/>
          <w:szCs w:val="22"/>
        </w:rPr>
      </w:pPr>
    </w:p>
    <w:p w:rsidR="00647BA8" w:rsidRDefault="001E4D7D" w:rsidP="00A05C29">
      <w:pPr>
        <w:tabs>
          <w:tab w:val="left" w:pos="0"/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Pacienti s poruchou funk</w:t>
      </w:r>
      <w:r w:rsidR="00F44022">
        <w:rPr>
          <w:i/>
          <w:sz w:val="22"/>
          <w:szCs w:val="22"/>
        </w:rPr>
        <w:t>c</w:t>
      </w:r>
      <w:r>
        <w:rPr>
          <w:i/>
          <w:sz w:val="22"/>
          <w:szCs w:val="22"/>
        </w:rPr>
        <w:t>ie pečene</w:t>
      </w:r>
    </w:p>
    <w:p w:rsidR="00AB2E3F" w:rsidRDefault="00375A38" w:rsidP="00A05C29">
      <w:pPr>
        <w:tabs>
          <w:tab w:val="left" w:pos="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Keď</w:t>
      </w:r>
      <w:r w:rsidR="00AB2E3F">
        <w:rPr>
          <w:sz w:val="22"/>
          <w:szCs w:val="22"/>
        </w:rPr>
        <w:t>že</w:t>
      </w:r>
      <w:r>
        <w:rPr>
          <w:sz w:val="22"/>
          <w:szCs w:val="22"/>
        </w:rPr>
        <w:t xml:space="preserve"> sa</w:t>
      </w:r>
      <w:r w:rsidR="00AB2E3F">
        <w:rPr>
          <w:sz w:val="22"/>
          <w:szCs w:val="22"/>
        </w:rPr>
        <w:t xml:space="preserve"> </w:t>
      </w:r>
      <w:proofErr w:type="spellStart"/>
      <w:r w:rsidR="00AB2E3F" w:rsidRPr="00AB2E3F">
        <w:rPr>
          <w:sz w:val="22"/>
          <w:szCs w:val="22"/>
        </w:rPr>
        <w:t>azitromycín</w:t>
      </w:r>
      <w:proofErr w:type="spellEnd"/>
      <w:r w:rsidR="00AB2E3F" w:rsidRPr="00AB2E3F">
        <w:rPr>
          <w:sz w:val="22"/>
          <w:szCs w:val="22"/>
        </w:rPr>
        <w:t xml:space="preserve"> metabolizuje v pečeni a vylučuje žlčou, </w:t>
      </w:r>
      <w:r>
        <w:rPr>
          <w:sz w:val="22"/>
          <w:szCs w:val="22"/>
        </w:rPr>
        <w:t xml:space="preserve">u pacientov s </w:t>
      </w:r>
      <w:r w:rsidR="00AB2E3F" w:rsidRPr="00AB2E3F">
        <w:rPr>
          <w:sz w:val="22"/>
          <w:szCs w:val="22"/>
        </w:rPr>
        <w:t>ťažkým ochorením pečene</w:t>
      </w:r>
      <w:r>
        <w:rPr>
          <w:sz w:val="22"/>
          <w:szCs w:val="22"/>
        </w:rPr>
        <w:t xml:space="preserve"> sa má </w:t>
      </w:r>
      <w:proofErr w:type="spellStart"/>
      <w:r>
        <w:rPr>
          <w:sz w:val="22"/>
          <w:szCs w:val="22"/>
        </w:rPr>
        <w:t>azitromycín</w:t>
      </w:r>
      <w:proofErr w:type="spellEnd"/>
      <w:r>
        <w:rPr>
          <w:sz w:val="22"/>
          <w:szCs w:val="22"/>
        </w:rPr>
        <w:t xml:space="preserve"> užívať s opatrnosťou</w:t>
      </w:r>
      <w:r w:rsidR="00AB2E3F" w:rsidRPr="00AB2E3F">
        <w:rPr>
          <w:sz w:val="22"/>
          <w:szCs w:val="22"/>
        </w:rPr>
        <w:t xml:space="preserve">. Neboli vykonané štúdie týkajúce sa liečby týchto pacientov </w:t>
      </w:r>
      <w:proofErr w:type="spellStart"/>
      <w:r w:rsidR="00AB2E3F" w:rsidRPr="00AB2E3F">
        <w:rPr>
          <w:sz w:val="22"/>
          <w:szCs w:val="22"/>
        </w:rPr>
        <w:t>azitromycínom</w:t>
      </w:r>
      <w:proofErr w:type="spellEnd"/>
      <w:r w:rsidR="00AB2E3F" w:rsidRPr="00AB2E3F">
        <w:rPr>
          <w:sz w:val="22"/>
          <w:szCs w:val="22"/>
        </w:rPr>
        <w:t>.</w:t>
      </w:r>
    </w:p>
    <w:p w:rsidR="00A05C29" w:rsidRDefault="00A05C29" w:rsidP="00A05C29">
      <w:pPr>
        <w:tabs>
          <w:tab w:val="left" w:pos="0"/>
          <w:tab w:val="left" w:pos="567"/>
        </w:tabs>
        <w:rPr>
          <w:sz w:val="22"/>
          <w:szCs w:val="22"/>
        </w:rPr>
      </w:pPr>
    </w:p>
    <w:p w:rsidR="00A05C29" w:rsidRDefault="00A05C29" w:rsidP="00A05C29">
      <w:pPr>
        <w:tabs>
          <w:tab w:val="left" w:pos="0"/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Pacienti s poruchou funk</w:t>
      </w:r>
      <w:r w:rsidR="00F44022">
        <w:rPr>
          <w:i/>
          <w:sz w:val="22"/>
          <w:szCs w:val="22"/>
        </w:rPr>
        <w:t>c</w:t>
      </w:r>
      <w:r>
        <w:rPr>
          <w:i/>
          <w:sz w:val="22"/>
          <w:szCs w:val="22"/>
        </w:rPr>
        <w:t>ie obličiek</w:t>
      </w:r>
    </w:p>
    <w:p w:rsidR="00A05C29" w:rsidRPr="00A05C29" w:rsidRDefault="00A11854" w:rsidP="00A05C29">
      <w:pPr>
        <w:tabs>
          <w:tab w:val="left" w:pos="0"/>
          <w:tab w:val="left" w:pos="567"/>
        </w:tabs>
        <w:rPr>
          <w:sz w:val="22"/>
          <w:szCs w:val="22"/>
        </w:rPr>
      </w:pPr>
      <w:r w:rsidRPr="00A11854">
        <w:rPr>
          <w:sz w:val="22"/>
          <w:szCs w:val="22"/>
        </w:rPr>
        <w:t xml:space="preserve">Úprava dávky nie je potrebná u pacientov s miernou až stredne ťažkou poruchou funkcie obličiek (GFR 10 - 80 ml / min). Opatrnosť je potrebná, ak </w:t>
      </w:r>
      <w:r>
        <w:rPr>
          <w:sz w:val="22"/>
          <w:szCs w:val="22"/>
        </w:rPr>
        <w:t xml:space="preserve">sa </w:t>
      </w:r>
      <w:proofErr w:type="spellStart"/>
      <w:r w:rsidRPr="00A11854">
        <w:rPr>
          <w:sz w:val="22"/>
          <w:szCs w:val="22"/>
        </w:rPr>
        <w:t>azitromycín</w:t>
      </w:r>
      <w:proofErr w:type="spellEnd"/>
      <w:r w:rsidRPr="00A11854">
        <w:rPr>
          <w:sz w:val="22"/>
          <w:szCs w:val="22"/>
        </w:rPr>
        <w:t xml:space="preserve"> podáva pacientom s </w:t>
      </w:r>
      <w:r>
        <w:rPr>
          <w:sz w:val="22"/>
          <w:szCs w:val="22"/>
        </w:rPr>
        <w:t>ťažkou</w:t>
      </w:r>
      <w:r w:rsidRPr="00A118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poruchou funkcie </w:t>
      </w:r>
      <w:r w:rsidRPr="00A11854">
        <w:rPr>
          <w:sz w:val="22"/>
          <w:szCs w:val="22"/>
        </w:rPr>
        <w:t>obličiek (GF &lt;10 ml / min) (pozri časť 4.4).</w:t>
      </w:r>
    </w:p>
    <w:p w:rsidR="00F71771" w:rsidRDefault="00F71771" w:rsidP="00F71771">
      <w:pPr>
        <w:tabs>
          <w:tab w:val="left" w:pos="0"/>
          <w:tab w:val="left" w:pos="567"/>
        </w:tabs>
        <w:rPr>
          <w:i/>
          <w:sz w:val="22"/>
          <w:szCs w:val="22"/>
        </w:rPr>
      </w:pPr>
    </w:p>
    <w:p w:rsidR="00474441" w:rsidRPr="005D4221" w:rsidRDefault="00474441" w:rsidP="00F71771">
      <w:pPr>
        <w:tabs>
          <w:tab w:val="left" w:pos="0"/>
          <w:tab w:val="left" w:pos="567"/>
        </w:tabs>
        <w:rPr>
          <w:i/>
          <w:sz w:val="22"/>
          <w:szCs w:val="22"/>
        </w:rPr>
      </w:pPr>
      <w:r w:rsidRPr="005D4221">
        <w:rPr>
          <w:i/>
          <w:sz w:val="22"/>
          <w:szCs w:val="22"/>
        </w:rPr>
        <w:t>Starší pacienti</w:t>
      </w:r>
    </w:p>
    <w:p w:rsidR="00474441" w:rsidRDefault="00474441" w:rsidP="0018184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U starších pacientov sa používajú rovnaké dávky ako u dospelých pacientov.</w:t>
      </w:r>
      <w:r w:rsidR="00C70B81">
        <w:rPr>
          <w:sz w:val="22"/>
          <w:szCs w:val="22"/>
        </w:rPr>
        <w:t xml:space="preserve"> U pacientov s prebiehajúcim </w:t>
      </w:r>
      <w:proofErr w:type="spellStart"/>
      <w:r w:rsidR="00C70B81">
        <w:rPr>
          <w:sz w:val="22"/>
          <w:szCs w:val="22"/>
        </w:rPr>
        <w:t>proarytm</w:t>
      </w:r>
      <w:r w:rsidR="005B3ECF">
        <w:rPr>
          <w:sz w:val="22"/>
          <w:szCs w:val="22"/>
        </w:rPr>
        <w:t>ickým</w:t>
      </w:r>
      <w:proofErr w:type="spellEnd"/>
      <w:r w:rsidR="005B3ECF">
        <w:rPr>
          <w:sz w:val="22"/>
          <w:szCs w:val="22"/>
        </w:rPr>
        <w:t xml:space="preserve"> stavom </w:t>
      </w:r>
      <w:r w:rsidR="00C70B81">
        <w:rPr>
          <w:sz w:val="22"/>
          <w:szCs w:val="22"/>
        </w:rPr>
        <w:t xml:space="preserve">sa odporúča osobitná pozornosť vzhľadom na riziko rozvíjajúcej sa srdcovej </w:t>
      </w:r>
      <w:proofErr w:type="spellStart"/>
      <w:r w:rsidR="00C70B81">
        <w:rPr>
          <w:sz w:val="22"/>
          <w:szCs w:val="22"/>
        </w:rPr>
        <w:t>arytmie</w:t>
      </w:r>
      <w:proofErr w:type="spellEnd"/>
      <w:r w:rsidR="00C70B81">
        <w:rPr>
          <w:sz w:val="22"/>
          <w:szCs w:val="22"/>
        </w:rPr>
        <w:t xml:space="preserve"> a </w:t>
      </w:r>
      <w:proofErr w:type="spellStart"/>
      <w:r w:rsidR="00C70B81" w:rsidRPr="005D4221">
        <w:rPr>
          <w:i/>
          <w:sz w:val="22"/>
          <w:szCs w:val="22"/>
        </w:rPr>
        <w:t>torsades</w:t>
      </w:r>
      <w:proofErr w:type="spellEnd"/>
      <w:r w:rsidR="00C70B81" w:rsidRPr="005D4221">
        <w:rPr>
          <w:i/>
          <w:sz w:val="22"/>
          <w:szCs w:val="22"/>
        </w:rPr>
        <w:t xml:space="preserve"> de </w:t>
      </w:r>
      <w:proofErr w:type="spellStart"/>
      <w:r w:rsidR="00C70B81" w:rsidRPr="005D4221">
        <w:rPr>
          <w:i/>
          <w:sz w:val="22"/>
          <w:szCs w:val="22"/>
        </w:rPr>
        <w:t>pointes</w:t>
      </w:r>
      <w:proofErr w:type="spellEnd"/>
      <w:r w:rsidR="00C70B81">
        <w:rPr>
          <w:i/>
          <w:sz w:val="22"/>
          <w:szCs w:val="22"/>
        </w:rPr>
        <w:t xml:space="preserve"> </w:t>
      </w:r>
      <w:r w:rsidR="00C70B81">
        <w:rPr>
          <w:sz w:val="22"/>
          <w:szCs w:val="22"/>
        </w:rPr>
        <w:t>(pozri časť 4.4).</w:t>
      </w:r>
    </w:p>
    <w:p w:rsidR="00D5402C" w:rsidRDefault="00474441" w:rsidP="00181840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B1D3B" w:rsidRPr="000D67D7" w:rsidRDefault="00EB01E0" w:rsidP="000B1D3B">
      <w:pPr>
        <w:rPr>
          <w:i/>
          <w:sz w:val="22"/>
          <w:szCs w:val="22"/>
        </w:rPr>
      </w:pPr>
      <w:r w:rsidRPr="000D67D7">
        <w:rPr>
          <w:i/>
          <w:sz w:val="22"/>
          <w:szCs w:val="22"/>
        </w:rPr>
        <w:t>Pediatrická populácia</w:t>
      </w:r>
    </w:p>
    <w:p w:rsidR="000B1D3B" w:rsidRPr="003D2C5A" w:rsidRDefault="007D5833" w:rsidP="000B1D3B">
      <w:pPr>
        <w:rPr>
          <w:sz w:val="22"/>
          <w:szCs w:val="22"/>
        </w:rPr>
      </w:pPr>
      <w:r w:rsidRPr="000D67D7">
        <w:rPr>
          <w:sz w:val="22"/>
          <w:szCs w:val="22"/>
        </w:rPr>
        <w:t xml:space="preserve">Kapsuly </w:t>
      </w:r>
      <w:proofErr w:type="spellStart"/>
      <w:r w:rsidR="007D0C3F" w:rsidRPr="000D67D7">
        <w:rPr>
          <w:sz w:val="22"/>
          <w:szCs w:val="22"/>
        </w:rPr>
        <w:t>Azatril</w:t>
      </w:r>
      <w:r w:rsidRPr="000D67D7">
        <w:rPr>
          <w:sz w:val="22"/>
          <w:szCs w:val="22"/>
        </w:rPr>
        <w:t>u</w:t>
      </w:r>
      <w:proofErr w:type="spellEnd"/>
      <w:r w:rsidRPr="000D67D7">
        <w:rPr>
          <w:sz w:val="22"/>
          <w:szCs w:val="22"/>
        </w:rPr>
        <w:t xml:space="preserve"> </w:t>
      </w:r>
      <w:r w:rsidR="007D0C3F" w:rsidRPr="000D67D7">
        <w:rPr>
          <w:sz w:val="22"/>
          <w:szCs w:val="22"/>
        </w:rPr>
        <w:t>sa neodporúča</w:t>
      </w:r>
      <w:r w:rsidRPr="000D67D7">
        <w:rPr>
          <w:sz w:val="22"/>
          <w:szCs w:val="22"/>
        </w:rPr>
        <w:t>jú</w:t>
      </w:r>
      <w:r w:rsidR="007D0C3F" w:rsidRPr="000D67D7">
        <w:rPr>
          <w:sz w:val="22"/>
          <w:szCs w:val="22"/>
        </w:rPr>
        <w:t xml:space="preserve"> u detí s hmotnosťou nižšou ako </w:t>
      </w:r>
      <w:smartTag w:uri="urn:schemas-microsoft-com:office:smarttags" w:element="metricconverter">
        <w:smartTagPr>
          <w:attr w:name="ProductID" w:val="45 kg"/>
        </w:smartTagPr>
        <w:r w:rsidR="007D0C3F" w:rsidRPr="000D67D7">
          <w:rPr>
            <w:sz w:val="22"/>
            <w:szCs w:val="22"/>
          </w:rPr>
          <w:t>45 kg</w:t>
        </w:r>
      </w:smartTag>
      <w:r w:rsidR="007D0C3F" w:rsidRPr="000D67D7">
        <w:rPr>
          <w:sz w:val="22"/>
          <w:szCs w:val="22"/>
        </w:rPr>
        <w:t xml:space="preserve">. U detí s hmotnosťou do </w:t>
      </w:r>
      <w:r w:rsidR="00E46F2A" w:rsidRPr="000D67D7">
        <w:rPr>
          <w:sz w:val="22"/>
          <w:szCs w:val="22"/>
        </w:rPr>
        <w:t>45</w:t>
      </w:r>
      <w:r w:rsidR="00E46F2A">
        <w:rPr>
          <w:sz w:val="22"/>
          <w:szCs w:val="22"/>
        </w:rPr>
        <w:t> </w:t>
      </w:r>
      <w:r w:rsidR="007D0C3F" w:rsidRPr="000D67D7">
        <w:rPr>
          <w:sz w:val="22"/>
          <w:szCs w:val="22"/>
        </w:rPr>
        <w:t xml:space="preserve">kg sa má používať suspenzia </w:t>
      </w:r>
      <w:proofErr w:type="spellStart"/>
      <w:r w:rsidR="007D0C3F" w:rsidRPr="000D67D7">
        <w:rPr>
          <w:sz w:val="22"/>
          <w:szCs w:val="22"/>
        </w:rPr>
        <w:t>azitromycínu</w:t>
      </w:r>
      <w:proofErr w:type="spellEnd"/>
      <w:r w:rsidR="007D0C3F" w:rsidRPr="000D67D7">
        <w:rPr>
          <w:sz w:val="22"/>
          <w:szCs w:val="22"/>
        </w:rPr>
        <w:t xml:space="preserve">. </w:t>
      </w:r>
      <w:r w:rsidR="000B1D3B" w:rsidRPr="000D67D7">
        <w:rPr>
          <w:sz w:val="22"/>
          <w:szCs w:val="22"/>
        </w:rPr>
        <w:t xml:space="preserve">Vhodná dávka u detí je 10 mg/kg telesnej hmotnosti jedenkrát denne počas </w:t>
      </w:r>
      <w:r w:rsidR="007D0C3F" w:rsidRPr="000D67D7">
        <w:rPr>
          <w:sz w:val="22"/>
          <w:szCs w:val="22"/>
        </w:rPr>
        <w:t>3 dní. Dávka závisí od hmotnosti dieťaťa a typu infekcie.</w:t>
      </w:r>
    </w:p>
    <w:p w:rsidR="000B1D3B" w:rsidRPr="003D2C5A" w:rsidRDefault="000B1D3B" w:rsidP="000B1D3B">
      <w:pPr>
        <w:rPr>
          <w:sz w:val="22"/>
          <w:szCs w:val="22"/>
        </w:rPr>
      </w:pPr>
    </w:p>
    <w:p w:rsidR="000B1D3B" w:rsidRPr="00833AAD" w:rsidRDefault="000B1D3B" w:rsidP="00181840">
      <w:pPr>
        <w:tabs>
          <w:tab w:val="left" w:pos="567"/>
        </w:tabs>
        <w:rPr>
          <w:sz w:val="22"/>
          <w:szCs w:val="22"/>
          <w:u w:val="single"/>
        </w:rPr>
      </w:pPr>
      <w:r w:rsidRPr="00833AAD">
        <w:rPr>
          <w:sz w:val="22"/>
          <w:szCs w:val="22"/>
          <w:u w:val="single"/>
        </w:rPr>
        <w:t>Spôsob pod</w:t>
      </w:r>
      <w:r w:rsidR="00EB01E0">
        <w:rPr>
          <w:sz w:val="22"/>
          <w:szCs w:val="22"/>
          <w:u w:val="single"/>
        </w:rPr>
        <w:t>áv</w:t>
      </w:r>
      <w:r w:rsidRPr="00833AAD">
        <w:rPr>
          <w:sz w:val="22"/>
          <w:szCs w:val="22"/>
          <w:u w:val="single"/>
        </w:rPr>
        <w:t>ania</w:t>
      </w:r>
    </w:p>
    <w:p w:rsidR="00A13222" w:rsidRPr="003D2C5A" w:rsidRDefault="00BA75D0" w:rsidP="00BA75D0">
      <w:pPr>
        <w:rPr>
          <w:sz w:val="22"/>
          <w:szCs w:val="22"/>
        </w:rPr>
      </w:pPr>
      <w:proofErr w:type="spellStart"/>
      <w:r w:rsidRPr="003D2C5A">
        <w:rPr>
          <w:sz w:val="22"/>
          <w:szCs w:val="22"/>
        </w:rPr>
        <w:t>Azatril</w:t>
      </w:r>
      <w:proofErr w:type="spellEnd"/>
      <w:r w:rsidR="00181840">
        <w:rPr>
          <w:sz w:val="22"/>
          <w:szCs w:val="22"/>
        </w:rPr>
        <w:t xml:space="preserve"> sa má </w:t>
      </w:r>
      <w:r w:rsidRPr="003D2C5A">
        <w:rPr>
          <w:sz w:val="22"/>
          <w:szCs w:val="22"/>
        </w:rPr>
        <w:t>podáva</w:t>
      </w:r>
      <w:r w:rsidR="00181840">
        <w:rPr>
          <w:sz w:val="22"/>
          <w:szCs w:val="22"/>
        </w:rPr>
        <w:t>ť v </w:t>
      </w:r>
      <w:r w:rsidR="000B1D3B" w:rsidRPr="003D2C5A">
        <w:rPr>
          <w:sz w:val="22"/>
          <w:szCs w:val="22"/>
        </w:rPr>
        <w:t>jednorazov</w:t>
      </w:r>
      <w:r w:rsidR="000B1D3B">
        <w:rPr>
          <w:sz w:val="22"/>
          <w:szCs w:val="22"/>
        </w:rPr>
        <w:t>ej</w:t>
      </w:r>
      <w:r w:rsidR="00181840">
        <w:rPr>
          <w:sz w:val="22"/>
          <w:szCs w:val="22"/>
        </w:rPr>
        <w:t xml:space="preserve"> dennej dávke</w:t>
      </w:r>
      <w:r w:rsidR="000B1D3B">
        <w:rPr>
          <w:sz w:val="22"/>
          <w:szCs w:val="22"/>
        </w:rPr>
        <w:t xml:space="preserve">. </w:t>
      </w:r>
      <w:proofErr w:type="spellStart"/>
      <w:r w:rsidR="000B1D3B">
        <w:rPr>
          <w:sz w:val="22"/>
          <w:szCs w:val="22"/>
        </w:rPr>
        <w:t>Azatril</w:t>
      </w:r>
      <w:proofErr w:type="spellEnd"/>
      <w:r w:rsidR="000B1D3B">
        <w:rPr>
          <w:sz w:val="22"/>
          <w:szCs w:val="22"/>
        </w:rPr>
        <w:t xml:space="preserve"> sa má užívať </w:t>
      </w:r>
      <w:r w:rsidR="00A13222" w:rsidRPr="003D2C5A">
        <w:rPr>
          <w:sz w:val="22"/>
          <w:szCs w:val="22"/>
        </w:rPr>
        <w:t xml:space="preserve">1 hodinu pred alebo 2 hodiny po jedle. </w:t>
      </w:r>
    </w:p>
    <w:p w:rsidR="000B1D3B" w:rsidRDefault="000B1D3B" w:rsidP="00A13222">
      <w:pPr>
        <w:rPr>
          <w:b/>
          <w:sz w:val="22"/>
          <w:szCs w:val="22"/>
        </w:rPr>
      </w:pPr>
    </w:p>
    <w:p w:rsidR="00A13222" w:rsidRPr="003D2C5A" w:rsidRDefault="00A13222" w:rsidP="000B1D3B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4.3</w:t>
      </w:r>
      <w:r w:rsidR="000B1D3B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Kontraindikácie </w:t>
      </w:r>
    </w:p>
    <w:p w:rsidR="00F772B1" w:rsidRPr="003D2C5A" w:rsidRDefault="00F772B1" w:rsidP="00A13222">
      <w:pPr>
        <w:rPr>
          <w:b/>
          <w:sz w:val="22"/>
          <w:szCs w:val="22"/>
        </w:rPr>
      </w:pPr>
    </w:p>
    <w:p w:rsidR="00A13222" w:rsidRPr="003D2C5A" w:rsidRDefault="00E46F2A" w:rsidP="00A13222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A13222" w:rsidRPr="003D2C5A">
        <w:rPr>
          <w:sz w:val="22"/>
          <w:szCs w:val="22"/>
        </w:rPr>
        <w:t>recitlivenos</w:t>
      </w:r>
      <w:r>
        <w:rPr>
          <w:sz w:val="22"/>
          <w:szCs w:val="22"/>
        </w:rPr>
        <w:t>ť</w:t>
      </w:r>
      <w:r w:rsidR="00A13222" w:rsidRPr="003D2C5A">
        <w:rPr>
          <w:sz w:val="22"/>
          <w:szCs w:val="22"/>
        </w:rPr>
        <w:t xml:space="preserve"> na </w:t>
      </w:r>
      <w:proofErr w:type="spellStart"/>
      <w:r w:rsidR="00A13222" w:rsidRPr="003D2C5A">
        <w:rPr>
          <w:sz w:val="22"/>
          <w:szCs w:val="22"/>
        </w:rPr>
        <w:t>azitromycín</w:t>
      </w:r>
      <w:proofErr w:type="spellEnd"/>
      <w:r w:rsidR="000B1D3B">
        <w:rPr>
          <w:sz w:val="22"/>
          <w:szCs w:val="22"/>
        </w:rPr>
        <w:t xml:space="preserve">, </w:t>
      </w:r>
      <w:proofErr w:type="spellStart"/>
      <w:r w:rsidR="005B3ECF">
        <w:rPr>
          <w:sz w:val="22"/>
          <w:szCs w:val="22"/>
        </w:rPr>
        <w:t>erytromycín</w:t>
      </w:r>
      <w:proofErr w:type="spellEnd"/>
      <w:r w:rsidR="005B3ECF">
        <w:rPr>
          <w:sz w:val="22"/>
          <w:szCs w:val="22"/>
        </w:rPr>
        <w:t xml:space="preserve">, </w:t>
      </w:r>
      <w:r w:rsidR="00FC70E5">
        <w:rPr>
          <w:sz w:val="22"/>
          <w:szCs w:val="22"/>
        </w:rPr>
        <w:t xml:space="preserve">iné </w:t>
      </w:r>
      <w:proofErr w:type="spellStart"/>
      <w:r w:rsidR="00FC70E5">
        <w:rPr>
          <w:sz w:val="22"/>
          <w:szCs w:val="22"/>
        </w:rPr>
        <w:t>ma</w:t>
      </w:r>
      <w:r w:rsidR="00F772B1" w:rsidRPr="003D2C5A">
        <w:rPr>
          <w:sz w:val="22"/>
          <w:szCs w:val="22"/>
        </w:rPr>
        <w:t>krolidové</w:t>
      </w:r>
      <w:proofErr w:type="spellEnd"/>
      <w:r w:rsidR="00F772B1" w:rsidRPr="003D2C5A">
        <w:rPr>
          <w:sz w:val="22"/>
          <w:szCs w:val="22"/>
        </w:rPr>
        <w:t xml:space="preserve"> </w:t>
      </w:r>
      <w:r w:rsidR="005B3ECF">
        <w:rPr>
          <w:sz w:val="22"/>
          <w:szCs w:val="22"/>
        </w:rPr>
        <w:t xml:space="preserve">alebo </w:t>
      </w:r>
      <w:proofErr w:type="spellStart"/>
      <w:r w:rsidR="005B3ECF">
        <w:rPr>
          <w:sz w:val="22"/>
          <w:szCs w:val="22"/>
        </w:rPr>
        <w:t>ketolidové</w:t>
      </w:r>
      <w:proofErr w:type="spellEnd"/>
      <w:r w:rsidR="005B3ECF">
        <w:rPr>
          <w:sz w:val="22"/>
          <w:szCs w:val="22"/>
        </w:rPr>
        <w:t xml:space="preserve"> </w:t>
      </w:r>
      <w:r w:rsidR="00A13222" w:rsidRPr="003D2C5A">
        <w:rPr>
          <w:sz w:val="22"/>
          <w:szCs w:val="22"/>
        </w:rPr>
        <w:t>ant</w:t>
      </w:r>
      <w:r w:rsidR="00F772B1" w:rsidRPr="003D2C5A">
        <w:rPr>
          <w:sz w:val="22"/>
          <w:szCs w:val="22"/>
        </w:rPr>
        <w:t>ibiotiká</w:t>
      </w:r>
      <w:r w:rsidR="00E4791E">
        <w:rPr>
          <w:sz w:val="22"/>
          <w:szCs w:val="22"/>
        </w:rPr>
        <w:t xml:space="preserve"> alebo ktorúkoľvek z pomocných látok</w:t>
      </w:r>
      <w:r w:rsidR="00833AAD">
        <w:rPr>
          <w:sz w:val="22"/>
          <w:szCs w:val="22"/>
        </w:rPr>
        <w:t xml:space="preserve"> uvedených v časti 6.1.</w:t>
      </w:r>
    </w:p>
    <w:p w:rsidR="00A13222" w:rsidRPr="003D2C5A" w:rsidRDefault="00A13222" w:rsidP="00A13222">
      <w:pPr>
        <w:rPr>
          <w:sz w:val="22"/>
          <w:szCs w:val="22"/>
        </w:rPr>
      </w:pPr>
    </w:p>
    <w:p w:rsidR="00A13222" w:rsidRPr="003D2C5A" w:rsidRDefault="00A13222" w:rsidP="00F56222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4.4</w:t>
      </w:r>
      <w:r w:rsidR="00F56222">
        <w:rPr>
          <w:b/>
          <w:sz w:val="22"/>
          <w:szCs w:val="22"/>
        </w:rPr>
        <w:tab/>
        <w:t xml:space="preserve">Osobitné </w:t>
      </w:r>
      <w:r w:rsidRPr="003D2C5A">
        <w:rPr>
          <w:b/>
          <w:sz w:val="22"/>
          <w:szCs w:val="22"/>
        </w:rPr>
        <w:t>upozornenia</w:t>
      </w:r>
      <w:r w:rsidR="00F56222">
        <w:rPr>
          <w:b/>
          <w:sz w:val="22"/>
          <w:szCs w:val="22"/>
        </w:rPr>
        <w:t xml:space="preserve"> a opatrenia pri používaní</w:t>
      </w:r>
      <w:r w:rsidRPr="003D2C5A">
        <w:rPr>
          <w:b/>
          <w:sz w:val="22"/>
          <w:szCs w:val="22"/>
        </w:rPr>
        <w:t xml:space="preserve"> </w:t>
      </w:r>
    </w:p>
    <w:p w:rsidR="00F772B1" w:rsidRDefault="00F772B1" w:rsidP="00A13222">
      <w:pPr>
        <w:rPr>
          <w:sz w:val="22"/>
          <w:szCs w:val="22"/>
        </w:rPr>
      </w:pPr>
    </w:p>
    <w:p w:rsidR="000E14D4" w:rsidRDefault="00E4791E" w:rsidP="00E4791E">
      <w:pPr>
        <w:rPr>
          <w:sz w:val="22"/>
          <w:szCs w:val="22"/>
        </w:rPr>
      </w:pPr>
      <w:r>
        <w:rPr>
          <w:sz w:val="22"/>
          <w:szCs w:val="22"/>
        </w:rPr>
        <w:t xml:space="preserve">Tak ako pri </w:t>
      </w:r>
      <w:proofErr w:type="spellStart"/>
      <w:r>
        <w:rPr>
          <w:sz w:val="22"/>
          <w:szCs w:val="22"/>
        </w:rPr>
        <w:t>erytromycíne</w:t>
      </w:r>
      <w:proofErr w:type="spellEnd"/>
      <w:r>
        <w:rPr>
          <w:sz w:val="22"/>
          <w:szCs w:val="22"/>
        </w:rPr>
        <w:t xml:space="preserve"> a iných </w:t>
      </w:r>
      <w:proofErr w:type="spellStart"/>
      <w:r>
        <w:rPr>
          <w:sz w:val="22"/>
          <w:szCs w:val="22"/>
        </w:rPr>
        <w:t>makrolidových</w:t>
      </w:r>
      <w:proofErr w:type="spellEnd"/>
      <w:r>
        <w:rPr>
          <w:sz w:val="22"/>
          <w:szCs w:val="22"/>
        </w:rPr>
        <w:t xml:space="preserve"> antibiotikách boli hlásené zriedkavé závažné alergické reakcie</w:t>
      </w:r>
      <w:r w:rsidR="000E14D4">
        <w:rPr>
          <w:sz w:val="22"/>
          <w:szCs w:val="22"/>
        </w:rPr>
        <w:t xml:space="preserve"> vrátane </w:t>
      </w:r>
      <w:proofErr w:type="spellStart"/>
      <w:r w:rsidR="000E14D4">
        <w:rPr>
          <w:sz w:val="22"/>
          <w:szCs w:val="22"/>
        </w:rPr>
        <w:t>angioedému</w:t>
      </w:r>
      <w:proofErr w:type="spellEnd"/>
      <w:r w:rsidR="000E14D4">
        <w:rPr>
          <w:sz w:val="22"/>
          <w:szCs w:val="22"/>
        </w:rPr>
        <w:t xml:space="preserve"> a </w:t>
      </w:r>
      <w:proofErr w:type="spellStart"/>
      <w:r w:rsidR="000E14D4">
        <w:rPr>
          <w:sz w:val="22"/>
          <w:szCs w:val="22"/>
        </w:rPr>
        <w:t>anafylaxie</w:t>
      </w:r>
      <w:proofErr w:type="spellEnd"/>
      <w:r w:rsidR="000E14D4">
        <w:rPr>
          <w:sz w:val="22"/>
          <w:szCs w:val="22"/>
        </w:rPr>
        <w:t xml:space="preserve"> (zriedkavo fatálne)</w:t>
      </w:r>
      <w:r w:rsidR="001D3B74">
        <w:rPr>
          <w:sz w:val="22"/>
          <w:szCs w:val="22"/>
        </w:rPr>
        <w:t xml:space="preserve">, závažné kožné reakcie vrátane </w:t>
      </w:r>
      <w:r w:rsidR="000F0B2A">
        <w:rPr>
          <w:sz w:val="22"/>
          <w:szCs w:val="22"/>
        </w:rPr>
        <w:t xml:space="preserve">akútnej </w:t>
      </w:r>
      <w:r w:rsidR="001D3B74">
        <w:rPr>
          <w:sz w:val="22"/>
          <w:szCs w:val="22"/>
        </w:rPr>
        <w:t xml:space="preserve">generalizovanej </w:t>
      </w:r>
      <w:proofErr w:type="spellStart"/>
      <w:r w:rsidR="001D3B74">
        <w:rPr>
          <w:sz w:val="22"/>
          <w:szCs w:val="22"/>
        </w:rPr>
        <w:t>ex</w:t>
      </w:r>
      <w:r w:rsidR="000F0B2A">
        <w:rPr>
          <w:sz w:val="22"/>
          <w:szCs w:val="22"/>
        </w:rPr>
        <w:t>ant</w:t>
      </w:r>
      <w:r w:rsidR="00274242">
        <w:rPr>
          <w:sz w:val="22"/>
          <w:szCs w:val="22"/>
        </w:rPr>
        <w:t>é</w:t>
      </w:r>
      <w:r w:rsidR="001D3B74">
        <w:rPr>
          <w:sz w:val="22"/>
          <w:szCs w:val="22"/>
        </w:rPr>
        <w:t>m</w:t>
      </w:r>
      <w:r w:rsidR="00982957">
        <w:rPr>
          <w:sz w:val="22"/>
          <w:szCs w:val="22"/>
        </w:rPr>
        <w:t>ovej</w:t>
      </w:r>
      <w:proofErr w:type="spellEnd"/>
      <w:r w:rsidR="001D3B74">
        <w:rPr>
          <w:sz w:val="22"/>
          <w:szCs w:val="22"/>
        </w:rPr>
        <w:t xml:space="preserve"> </w:t>
      </w:r>
      <w:proofErr w:type="spellStart"/>
      <w:r w:rsidR="001D3B74">
        <w:rPr>
          <w:sz w:val="22"/>
          <w:szCs w:val="22"/>
        </w:rPr>
        <w:t>pustulózy</w:t>
      </w:r>
      <w:proofErr w:type="spellEnd"/>
      <w:r w:rsidR="001D3B74">
        <w:rPr>
          <w:sz w:val="22"/>
          <w:szCs w:val="22"/>
        </w:rPr>
        <w:t xml:space="preserve"> (AGEP)</w:t>
      </w:r>
      <w:r w:rsidR="000E14D4">
        <w:rPr>
          <w:sz w:val="22"/>
          <w:szCs w:val="22"/>
        </w:rPr>
        <w:t>. Niektoré z týchto reakcií vyústili do recidívy príznakov a vyžadovali si dlhšie obdobie pozorovania a liečby.</w:t>
      </w:r>
    </w:p>
    <w:p w:rsidR="00BC1B31" w:rsidRDefault="00BC1B31" w:rsidP="00E4791E">
      <w:pPr>
        <w:rPr>
          <w:sz w:val="22"/>
          <w:szCs w:val="22"/>
        </w:rPr>
      </w:pPr>
    </w:p>
    <w:p w:rsidR="00092117" w:rsidRDefault="00092117" w:rsidP="00092117">
      <w:pPr>
        <w:rPr>
          <w:sz w:val="22"/>
          <w:szCs w:val="22"/>
        </w:rPr>
      </w:pPr>
      <w:r>
        <w:rPr>
          <w:sz w:val="22"/>
          <w:szCs w:val="22"/>
        </w:rPr>
        <w:t xml:space="preserve">Keďže pečeň je hlavnou cestou eliminácie </w:t>
      </w:r>
      <w:proofErr w:type="spellStart"/>
      <w:r>
        <w:rPr>
          <w:sz w:val="22"/>
          <w:szCs w:val="22"/>
        </w:rPr>
        <w:t>azitromycínu</w:t>
      </w:r>
      <w:proofErr w:type="spellEnd"/>
      <w:r>
        <w:rPr>
          <w:sz w:val="22"/>
          <w:szCs w:val="22"/>
        </w:rPr>
        <w:t xml:space="preserve">, pri použití </w:t>
      </w:r>
      <w:proofErr w:type="spellStart"/>
      <w:r>
        <w:rPr>
          <w:sz w:val="22"/>
          <w:szCs w:val="22"/>
        </w:rPr>
        <w:t>azitromycínu</w:t>
      </w:r>
      <w:proofErr w:type="spellEnd"/>
      <w:r>
        <w:rPr>
          <w:sz w:val="22"/>
          <w:szCs w:val="22"/>
        </w:rPr>
        <w:t xml:space="preserve"> u pacientov s</w:t>
      </w:r>
      <w:r w:rsidR="00AB2E3F">
        <w:rPr>
          <w:sz w:val="22"/>
          <w:szCs w:val="22"/>
        </w:rPr>
        <w:t> </w:t>
      </w:r>
      <w:r>
        <w:rPr>
          <w:sz w:val="22"/>
          <w:szCs w:val="22"/>
        </w:rPr>
        <w:t>významn</w:t>
      </w:r>
      <w:r w:rsidR="00AB2E3F">
        <w:rPr>
          <w:sz w:val="22"/>
          <w:szCs w:val="22"/>
        </w:rPr>
        <w:t xml:space="preserve">ou poruchou </w:t>
      </w:r>
      <w:r>
        <w:rPr>
          <w:sz w:val="22"/>
          <w:szCs w:val="22"/>
        </w:rPr>
        <w:t xml:space="preserve">funkcie pečene je potrebná opatrnosť. Po použití </w:t>
      </w:r>
      <w:proofErr w:type="spellStart"/>
      <w:r>
        <w:rPr>
          <w:sz w:val="22"/>
          <w:szCs w:val="22"/>
        </w:rPr>
        <w:t>azitromycínu</w:t>
      </w:r>
      <w:proofErr w:type="spellEnd"/>
      <w:r>
        <w:rPr>
          <w:sz w:val="22"/>
          <w:szCs w:val="22"/>
        </w:rPr>
        <w:t xml:space="preserve"> boli hlásené prípady fulminantnej hepatitídy potenciálne vedúcej k život ohrozujúcemu zlyhaniu pečene (pozri časť 4.8). Niektorí pacienti</w:t>
      </w:r>
      <w:r w:rsidR="00B3614E">
        <w:rPr>
          <w:sz w:val="22"/>
          <w:szCs w:val="22"/>
        </w:rPr>
        <w:t xml:space="preserve"> už mohli mať </w:t>
      </w:r>
      <w:r>
        <w:rPr>
          <w:sz w:val="22"/>
          <w:szCs w:val="22"/>
        </w:rPr>
        <w:t xml:space="preserve">ochorenie pečene alebo </w:t>
      </w:r>
      <w:r w:rsidR="00B3614E">
        <w:rPr>
          <w:sz w:val="22"/>
          <w:szCs w:val="22"/>
        </w:rPr>
        <w:t xml:space="preserve">mohli </w:t>
      </w:r>
      <w:r>
        <w:rPr>
          <w:sz w:val="22"/>
          <w:szCs w:val="22"/>
        </w:rPr>
        <w:t>užíva</w:t>
      </w:r>
      <w:r w:rsidR="00B3614E">
        <w:rPr>
          <w:sz w:val="22"/>
          <w:szCs w:val="22"/>
        </w:rPr>
        <w:t>ť</w:t>
      </w:r>
      <w:r>
        <w:rPr>
          <w:sz w:val="22"/>
          <w:szCs w:val="22"/>
        </w:rPr>
        <w:t xml:space="preserve"> iné </w:t>
      </w:r>
      <w:proofErr w:type="spellStart"/>
      <w:r>
        <w:rPr>
          <w:sz w:val="22"/>
          <w:szCs w:val="22"/>
        </w:rPr>
        <w:t>hepatotoxické</w:t>
      </w:r>
      <w:proofErr w:type="spellEnd"/>
      <w:r>
        <w:rPr>
          <w:sz w:val="22"/>
          <w:szCs w:val="22"/>
        </w:rPr>
        <w:t xml:space="preserve"> lieky.</w:t>
      </w:r>
    </w:p>
    <w:p w:rsidR="00B3614E" w:rsidRDefault="00B3614E" w:rsidP="00092117">
      <w:pPr>
        <w:rPr>
          <w:sz w:val="22"/>
          <w:szCs w:val="22"/>
        </w:rPr>
      </w:pPr>
    </w:p>
    <w:p w:rsidR="00092117" w:rsidRPr="003D0F23" w:rsidRDefault="00B3614E" w:rsidP="00092117">
      <w:pPr>
        <w:rPr>
          <w:sz w:val="22"/>
          <w:szCs w:val="22"/>
        </w:rPr>
      </w:pPr>
      <w:r>
        <w:rPr>
          <w:sz w:val="22"/>
          <w:szCs w:val="22"/>
        </w:rPr>
        <w:t xml:space="preserve">Ak sa </w:t>
      </w:r>
      <w:r w:rsidRPr="00EB143B">
        <w:rPr>
          <w:sz w:val="22"/>
          <w:szCs w:val="22"/>
        </w:rPr>
        <w:t xml:space="preserve">objavia </w:t>
      </w:r>
      <w:r w:rsidR="004244DA" w:rsidRPr="00EB143B">
        <w:rPr>
          <w:sz w:val="22"/>
          <w:szCs w:val="22"/>
        </w:rPr>
        <w:t>prejavy</w:t>
      </w:r>
      <w:r w:rsidR="00092117">
        <w:rPr>
          <w:sz w:val="22"/>
          <w:szCs w:val="22"/>
        </w:rPr>
        <w:t xml:space="preserve"> alebo príznaky </w:t>
      </w:r>
      <w:r>
        <w:rPr>
          <w:sz w:val="22"/>
          <w:szCs w:val="22"/>
        </w:rPr>
        <w:t xml:space="preserve">poruchy funkcie </w:t>
      </w:r>
      <w:r w:rsidR="00092117">
        <w:rPr>
          <w:sz w:val="22"/>
          <w:szCs w:val="22"/>
        </w:rPr>
        <w:t>peče</w:t>
      </w:r>
      <w:r>
        <w:rPr>
          <w:sz w:val="22"/>
          <w:szCs w:val="22"/>
        </w:rPr>
        <w:t>ne,</w:t>
      </w:r>
      <w:r w:rsidR="00092117">
        <w:rPr>
          <w:sz w:val="22"/>
          <w:szCs w:val="22"/>
        </w:rPr>
        <w:t xml:space="preserve"> ako je rýchle sa rozvíjajúca asténia spojená so žltačkou, tmavý moč, sklon ku krvácaniu alebo pečeňová </w:t>
      </w:r>
      <w:proofErr w:type="spellStart"/>
      <w:r w:rsidR="00092117">
        <w:rPr>
          <w:sz w:val="22"/>
          <w:szCs w:val="22"/>
        </w:rPr>
        <w:t>encefalopatia</w:t>
      </w:r>
      <w:proofErr w:type="spellEnd"/>
      <w:r>
        <w:rPr>
          <w:sz w:val="22"/>
          <w:szCs w:val="22"/>
        </w:rPr>
        <w:t>, majú sa okamžite vykonať pečeňové testy/vyšetrenia</w:t>
      </w:r>
      <w:r w:rsidR="0009211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092117" w:rsidRPr="003D0F23">
        <w:rPr>
          <w:sz w:val="22"/>
          <w:szCs w:val="22"/>
        </w:rPr>
        <w:t xml:space="preserve">Ak sa vyskytne naliehavá pečeňová porucha, liečba </w:t>
      </w:r>
      <w:proofErr w:type="spellStart"/>
      <w:r w:rsidR="00092117" w:rsidRPr="003D0F23">
        <w:rPr>
          <w:sz w:val="22"/>
          <w:szCs w:val="22"/>
        </w:rPr>
        <w:t>azitromycínom</w:t>
      </w:r>
      <w:proofErr w:type="spellEnd"/>
      <w:r w:rsidR="00092117" w:rsidRPr="003D0F23">
        <w:rPr>
          <w:sz w:val="22"/>
          <w:szCs w:val="22"/>
        </w:rPr>
        <w:t xml:space="preserve"> sa má ukončiť.</w:t>
      </w:r>
    </w:p>
    <w:p w:rsidR="00B62877" w:rsidRDefault="00B62877" w:rsidP="00E4791E">
      <w:pPr>
        <w:rPr>
          <w:sz w:val="22"/>
          <w:szCs w:val="22"/>
        </w:rPr>
      </w:pPr>
    </w:p>
    <w:p w:rsidR="00303F9E" w:rsidRDefault="00303F9E" w:rsidP="00E4791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Súbežné podávanie niektorých </w:t>
      </w:r>
      <w:proofErr w:type="spellStart"/>
      <w:r>
        <w:rPr>
          <w:sz w:val="22"/>
          <w:szCs w:val="22"/>
        </w:rPr>
        <w:t>makrolidových</w:t>
      </w:r>
      <w:proofErr w:type="spellEnd"/>
      <w:r>
        <w:rPr>
          <w:sz w:val="22"/>
          <w:szCs w:val="22"/>
        </w:rPr>
        <w:t xml:space="preserve"> antibiotík u pacientov užívajúcich deriváty </w:t>
      </w:r>
      <w:proofErr w:type="spellStart"/>
      <w:r>
        <w:rPr>
          <w:sz w:val="22"/>
          <w:szCs w:val="22"/>
        </w:rPr>
        <w:t>ergotamínu</w:t>
      </w:r>
      <w:proofErr w:type="spellEnd"/>
      <w:r>
        <w:rPr>
          <w:sz w:val="22"/>
          <w:szCs w:val="22"/>
        </w:rPr>
        <w:t xml:space="preserve"> urýchľuje rozvoj </w:t>
      </w:r>
      <w:proofErr w:type="spellStart"/>
      <w:r>
        <w:rPr>
          <w:sz w:val="22"/>
          <w:szCs w:val="22"/>
        </w:rPr>
        <w:t>ergotizmu</w:t>
      </w:r>
      <w:proofErr w:type="spellEnd"/>
      <w:r>
        <w:rPr>
          <w:sz w:val="22"/>
          <w:szCs w:val="22"/>
        </w:rPr>
        <w:t xml:space="preserve">. Nie sú k dispozícii údaje týkajúce sa možnej interakcie medzi derivátmi </w:t>
      </w:r>
      <w:proofErr w:type="spellStart"/>
      <w:r>
        <w:rPr>
          <w:sz w:val="22"/>
          <w:szCs w:val="22"/>
        </w:rPr>
        <w:t>ergotamínu</w:t>
      </w:r>
      <w:proofErr w:type="spellEnd"/>
      <w:r>
        <w:rPr>
          <w:sz w:val="22"/>
          <w:szCs w:val="22"/>
        </w:rPr>
        <w:t xml:space="preserve"> a</w:t>
      </w:r>
      <w:r w:rsidR="00AC2FBD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azitromycín</w:t>
      </w:r>
      <w:r w:rsidR="00AC2FBD">
        <w:rPr>
          <w:sz w:val="22"/>
          <w:szCs w:val="22"/>
        </w:rPr>
        <w:t>om</w:t>
      </w:r>
      <w:proofErr w:type="spellEnd"/>
      <w:r w:rsidR="00AC2FBD">
        <w:rPr>
          <w:sz w:val="22"/>
          <w:szCs w:val="22"/>
        </w:rPr>
        <w:t xml:space="preserve">. Avšak z dôvodu teoretickej možnosti vzniku </w:t>
      </w:r>
      <w:proofErr w:type="spellStart"/>
      <w:r w:rsidR="00AC2FBD">
        <w:rPr>
          <w:sz w:val="22"/>
          <w:szCs w:val="22"/>
        </w:rPr>
        <w:t>ergotizmu</w:t>
      </w:r>
      <w:proofErr w:type="spellEnd"/>
      <w:r w:rsidR="00AC2FBD">
        <w:rPr>
          <w:sz w:val="22"/>
          <w:szCs w:val="22"/>
        </w:rPr>
        <w:t xml:space="preserve"> sa </w:t>
      </w:r>
      <w:proofErr w:type="spellStart"/>
      <w:r w:rsidR="00AC2FBD">
        <w:rPr>
          <w:sz w:val="22"/>
          <w:szCs w:val="22"/>
        </w:rPr>
        <w:t>a</w:t>
      </w:r>
      <w:r w:rsidR="003C2334">
        <w:rPr>
          <w:sz w:val="22"/>
          <w:szCs w:val="22"/>
        </w:rPr>
        <w:t>z</w:t>
      </w:r>
      <w:r w:rsidR="00AC2FBD">
        <w:rPr>
          <w:sz w:val="22"/>
          <w:szCs w:val="22"/>
        </w:rPr>
        <w:t>itromycín</w:t>
      </w:r>
      <w:proofErr w:type="spellEnd"/>
      <w:r w:rsidR="00AC2FBD">
        <w:rPr>
          <w:sz w:val="22"/>
          <w:szCs w:val="22"/>
        </w:rPr>
        <w:t xml:space="preserve"> a deriváty </w:t>
      </w:r>
      <w:proofErr w:type="spellStart"/>
      <w:r w:rsidR="00AC2FBD">
        <w:rPr>
          <w:sz w:val="22"/>
          <w:szCs w:val="22"/>
        </w:rPr>
        <w:t>ergotamínu</w:t>
      </w:r>
      <w:proofErr w:type="spellEnd"/>
      <w:r w:rsidR="00AC2FBD">
        <w:rPr>
          <w:sz w:val="22"/>
          <w:szCs w:val="22"/>
        </w:rPr>
        <w:t xml:space="preserve"> nemajú súbežne podávať (pozri časť 4.5).</w:t>
      </w:r>
      <w:r>
        <w:rPr>
          <w:sz w:val="22"/>
          <w:szCs w:val="22"/>
        </w:rPr>
        <w:t xml:space="preserve"> </w:t>
      </w:r>
    </w:p>
    <w:p w:rsidR="00AC2FBD" w:rsidRDefault="00AC2FBD" w:rsidP="00E4791E">
      <w:pPr>
        <w:rPr>
          <w:sz w:val="22"/>
          <w:szCs w:val="22"/>
        </w:rPr>
      </w:pPr>
      <w:r>
        <w:rPr>
          <w:sz w:val="22"/>
          <w:szCs w:val="22"/>
        </w:rPr>
        <w:t xml:space="preserve">Ako pri iných </w:t>
      </w:r>
      <w:r w:rsidR="00BC1B31">
        <w:rPr>
          <w:sz w:val="22"/>
          <w:szCs w:val="22"/>
        </w:rPr>
        <w:t>antibiot</w:t>
      </w:r>
      <w:r>
        <w:rPr>
          <w:sz w:val="22"/>
          <w:szCs w:val="22"/>
        </w:rPr>
        <w:t>ikách</w:t>
      </w:r>
      <w:r w:rsidR="00B27958">
        <w:rPr>
          <w:sz w:val="22"/>
          <w:szCs w:val="22"/>
        </w:rPr>
        <w:t xml:space="preserve">, </w:t>
      </w:r>
      <w:r w:rsidR="009C2864">
        <w:rPr>
          <w:sz w:val="22"/>
          <w:szCs w:val="22"/>
        </w:rPr>
        <w:t>o</w:t>
      </w:r>
      <w:r w:rsidR="00BC1B31">
        <w:rPr>
          <w:sz w:val="22"/>
          <w:szCs w:val="22"/>
        </w:rPr>
        <w:t>dporúča</w:t>
      </w:r>
      <w:r w:rsidR="00B27958">
        <w:rPr>
          <w:sz w:val="22"/>
          <w:szCs w:val="22"/>
        </w:rPr>
        <w:t xml:space="preserve"> sa</w:t>
      </w:r>
      <w:r w:rsidR="00BC1B31">
        <w:rPr>
          <w:sz w:val="22"/>
          <w:szCs w:val="22"/>
        </w:rPr>
        <w:t xml:space="preserve"> sledovanie možných </w:t>
      </w:r>
      <w:r w:rsidR="004244DA" w:rsidRPr="00EB143B">
        <w:rPr>
          <w:sz w:val="22"/>
          <w:szCs w:val="22"/>
        </w:rPr>
        <w:t>prejavov</w:t>
      </w:r>
      <w:r w:rsidR="00BC1B31" w:rsidRPr="00EB143B">
        <w:rPr>
          <w:sz w:val="22"/>
          <w:szCs w:val="22"/>
        </w:rPr>
        <w:t xml:space="preserve"> </w:t>
      </w:r>
      <w:proofErr w:type="spellStart"/>
      <w:r w:rsidR="00C65B27" w:rsidRPr="00EB143B">
        <w:rPr>
          <w:sz w:val="22"/>
          <w:szCs w:val="22"/>
        </w:rPr>
        <w:t>superinfekcie</w:t>
      </w:r>
      <w:proofErr w:type="spellEnd"/>
      <w:r w:rsidR="00C65B27">
        <w:rPr>
          <w:sz w:val="22"/>
          <w:szCs w:val="22"/>
        </w:rPr>
        <w:t xml:space="preserve"> spôsobenej necitlivými mikroorganizmami vrátane húb. </w:t>
      </w:r>
    </w:p>
    <w:p w:rsidR="00B62877" w:rsidRDefault="00B62877" w:rsidP="00E4791E">
      <w:pPr>
        <w:rPr>
          <w:sz w:val="22"/>
          <w:szCs w:val="22"/>
        </w:rPr>
      </w:pPr>
    </w:p>
    <w:p w:rsidR="00221CA7" w:rsidRDefault="00F943AD" w:rsidP="00E4791E">
      <w:pPr>
        <w:rPr>
          <w:sz w:val="22"/>
          <w:szCs w:val="22"/>
        </w:rPr>
      </w:pPr>
      <w:r>
        <w:rPr>
          <w:sz w:val="22"/>
          <w:szCs w:val="22"/>
        </w:rPr>
        <w:t xml:space="preserve">Hnačka vyvolaná </w:t>
      </w:r>
      <w:proofErr w:type="spellStart"/>
      <w:r>
        <w:rPr>
          <w:i/>
          <w:sz w:val="22"/>
          <w:szCs w:val="22"/>
        </w:rPr>
        <w:t>Clostridium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difficile</w:t>
      </w:r>
      <w:proofErr w:type="spellEnd"/>
      <w:r>
        <w:rPr>
          <w:i/>
          <w:sz w:val="22"/>
          <w:szCs w:val="22"/>
        </w:rPr>
        <w:t xml:space="preserve"> (</w:t>
      </w:r>
      <w:proofErr w:type="spellStart"/>
      <w:r>
        <w:rPr>
          <w:i/>
          <w:sz w:val="22"/>
          <w:szCs w:val="22"/>
        </w:rPr>
        <w:t>Clostridium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difficile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associated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diarrhoea</w:t>
      </w:r>
      <w:proofErr w:type="spellEnd"/>
      <w:r>
        <w:rPr>
          <w:sz w:val="22"/>
          <w:szCs w:val="22"/>
        </w:rPr>
        <w:t>, CDAD) bola hlásená pri použití takmer všetkých antibakteriálnych lie</w:t>
      </w:r>
      <w:r w:rsidR="00757CFD">
        <w:rPr>
          <w:sz w:val="22"/>
          <w:szCs w:val="22"/>
        </w:rPr>
        <w:t>čiv</w:t>
      </w:r>
      <w:r>
        <w:rPr>
          <w:sz w:val="22"/>
          <w:szCs w:val="22"/>
        </w:rPr>
        <w:t xml:space="preserve">, vrátane </w:t>
      </w:r>
      <w:proofErr w:type="spellStart"/>
      <w:r>
        <w:rPr>
          <w:sz w:val="22"/>
          <w:szCs w:val="22"/>
        </w:rPr>
        <w:t>azitromycínu</w:t>
      </w:r>
      <w:proofErr w:type="spellEnd"/>
      <w:r>
        <w:rPr>
          <w:sz w:val="22"/>
          <w:szCs w:val="22"/>
        </w:rPr>
        <w:t>, a môže sa pohybovať v rozsahu od miernej hnačky až k fatálnej kolitíde. Liečba antibiotikami mení normálnu flóru hrubého čreva</w:t>
      </w:r>
      <w:r w:rsidR="00221CA7">
        <w:rPr>
          <w:sz w:val="22"/>
          <w:szCs w:val="22"/>
        </w:rPr>
        <w:t xml:space="preserve">, čo vedie k prerastaniu </w:t>
      </w:r>
      <w:proofErr w:type="spellStart"/>
      <w:r w:rsidR="00221CA7">
        <w:rPr>
          <w:i/>
          <w:sz w:val="22"/>
          <w:szCs w:val="22"/>
        </w:rPr>
        <w:t>C.difficile</w:t>
      </w:r>
      <w:proofErr w:type="spellEnd"/>
      <w:r w:rsidR="00221CA7">
        <w:rPr>
          <w:sz w:val="22"/>
          <w:szCs w:val="22"/>
        </w:rPr>
        <w:t>.</w:t>
      </w:r>
    </w:p>
    <w:p w:rsidR="00221CA7" w:rsidRDefault="00221CA7" w:rsidP="00E4791E">
      <w:pPr>
        <w:rPr>
          <w:sz w:val="22"/>
          <w:szCs w:val="22"/>
        </w:rPr>
      </w:pPr>
    </w:p>
    <w:p w:rsidR="00F943AD" w:rsidRPr="005D4221" w:rsidRDefault="00221CA7" w:rsidP="00E4791E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C.difficile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produkuje toxíny A 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 B, ktoré prispievajú </w:t>
      </w:r>
      <w:r w:rsidR="002237EF">
        <w:rPr>
          <w:sz w:val="22"/>
          <w:szCs w:val="22"/>
        </w:rPr>
        <w:t xml:space="preserve">k rozvoju CDAD. Kmene </w:t>
      </w:r>
      <w:proofErr w:type="spellStart"/>
      <w:r w:rsidR="002237EF">
        <w:rPr>
          <w:i/>
          <w:sz w:val="22"/>
          <w:szCs w:val="22"/>
        </w:rPr>
        <w:t>C.difficile</w:t>
      </w:r>
      <w:proofErr w:type="spellEnd"/>
      <w:r w:rsidR="002237EF">
        <w:rPr>
          <w:i/>
          <w:sz w:val="22"/>
          <w:szCs w:val="22"/>
        </w:rPr>
        <w:t xml:space="preserve"> </w:t>
      </w:r>
      <w:r w:rsidR="002237EF">
        <w:rPr>
          <w:sz w:val="22"/>
          <w:szCs w:val="22"/>
        </w:rPr>
        <w:t xml:space="preserve">produkujúce </w:t>
      </w:r>
      <w:proofErr w:type="spellStart"/>
      <w:r w:rsidR="002237EF">
        <w:rPr>
          <w:sz w:val="22"/>
          <w:szCs w:val="22"/>
        </w:rPr>
        <w:t>hypertoxín</w:t>
      </w:r>
      <w:proofErr w:type="spellEnd"/>
      <w:r w:rsidR="002237EF">
        <w:rPr>
          <w:sz w:val="22"/>
          <w:szCs w:val="22"/>
        </w:rPr>
        <w:t xml:space="preserve"> sú príčinou zvýšenej chorobnosti a úmrtnosti, pretože tieto infekcie môžu byť </w:t>
      </w:r>
      <w:r w:rsidR="004244DA" w:rsidRPr="00EB143B">
        <w:rPr>
          <w:sz w:val="22"/>
          <w:szCs w:val="22"/>
        </w:rPr>
        <w:t>rezistentné</w:t>
      </w:r>
      <w:r w:rsidR="002237EF">
        <w:rPr>
          <w:sz w:val="22"/>
          <w:szCs w:val="22"/>
        </w:rPr>
        <w:t xml:space="preserve"> na </w:t>
      </w:r>
      <w:proofErr w:type="spellStart"/>
      <w:r w:rsidR="002237EF">
        <w:rPr>
          <w:sz w:val="22"/>
          <w:szCs w:val="22"/>
        </w:rPr>
        <w:t>antimikrobiálnu</w:t>
      </w:r>
      <w:proofErr w:type="spellEnd"/>
      <w:r w:rsidR="002237EF">
        <w:rPr>
          <w:sz w:val="22"/>
          <w:szCs w:val="22"/>
        </w:rPr>
        <w:t xml:space="preserve"> liečbu a môžu si vyžadovať </w:t>
      </w:r>
      <w:proofErr w:type="spellStart"/>
      <w:r w:rsidR="002237EF">
        <w:rPr>
          <w:sz w:val="22"/>
          <w:szCs w:val="22"/>
        </w:rPr>
        <w:t>kolektómiu</w:t>
      </w:r>
      <w:proofErr w:type="spellEnd"/>
      <w:r w:rsidR="002237EF">
        <w:rPr>
          <w:sz w:val="22"/>
          <w:szCs w:val="22"/>
        </w:rPr>
        <w:t xml:space="preserve">. CDAD je potrebne vziať do </w:t>
      </w:r>
      <w:r w:rsidR="00CD732A">
        <w:rPr>
          <w:sz w:val="22"/>
          <w:szCs w:val="22"/>
        </w:rPr>
        <w:t>úvahy u</w:t>
      </w:r>
      <w:r w:rsidR="00D24CB7">
        <w:rPr>
          <w:sz w:val="22"/>
          <w:szCs w:val="22"/>
        </w:rPr>
        <w:t xml:space="preserve"> všetkých </w:t>
      </w:r>
      <w:r w:rsidR="00CD732A">
        <w:rPr>
          <w:sz w:val="22"/>
          <w:szCs w:val="22"/>
        </w:rPr>
        <w:t>pacientov</w:t>
      </w:r>
      <w:r w:rsidR="00D24CB7">
        <w:rPr>
          <w:sz w:val="22"/>
          <w:szCs w:val="22"/>
        </w:rPr>
        <w:t>, ktorí po užívaní antibiotík mali hnačky. Nevyhnutná je starostlivá anamnéza, pretože výskyt CDAD bol hlásený</w:t>
      </w:r>
      <w:r w:rsidR="007E3129">
        <w:rPr>
          <w:sz w:val="22"/>
          <w:szCs w:val="22"/>
        </w:rPr>
        <w:t xml:space="preserve"> aj</w:t>
      </w:r>
      <w:r w:rsidR="00D24CB7">
        <w:rPr>
          <w:sz w:val="22"/>
          <w:szCs w:val="22"/>
        </w:rPr>
        <w:t xml:space="preserve"> po viac ako dvoch mesiacoch po podaní antibiotík.</w:t>
      </w:r>
    </w:p>
    <w:p w:rsidR="004244DA" w:rsidRDefault="004244DA" w:rsidP="004244DA">
      <w:pPr>
        <w:rPr>
          <w:sz w:val="22"/>
          <w:szCs w:val="22"/>
        </w:rPr>
      </w:pPr>
    </w:p>
    <w:p w:rsidR="002474BE" w:rsidRDefault="00AC2FBD" w:rsidP="00AC2FBD">
      <w:pPr>
        <w:rPr>
          <w:sz w:val="22"/>
          <w:szCs w:val="22"/>
        </w:rPr>
      </w:pPr>
      <w:r w:rsidRPr="0027168C">
        <w:rPr>
          <w:sz w:val="22"/>
          <w:szCs w:val="22"/>
        </w:rPr>
        <w:t xml:space="preserve">Pri liečbe inými </w:t>
      </w:r>
      <w:proofErr w:type="spellStart"/>
      <w:r w:rsidRPr="0027168C">
        <w:rPr>
          <w:sz w:val="22"/>
          <w:szCs w:val="22"/>
        </w:rPr>
        <w:t>makrolidovými</w:t>
      </w:r>
      <w:proofErr w:type="spellEnd"/>
      <w:r w:rsidRPr="0027168C">
        <w:rPr>
          <w:sz w:val="22"/>
          <w:szCs w:val="22"/>
        </w:rPr>
        <w:t xml:space="preserve"> antibiotikami </w:t>
      </w:r>
      <w:r w:rsidR="00D7056B" w:rsidRPr="0027168C">
        <w:rPr>
          <w:sz w:val="22"/>
          <w:szCs w:val="22"/>
        </w:rPr>
        <w:t xml:space="preserve">vrátane </w:t>
      </w:r>
      <w:proofErr w:type="spellStart"/>
      <w:r w:rsidR="00D7056B" w:rsidRPr="0027168C">
        <w:rPr>
          <w:sz w:val="22"/>
          <w:szCs w:val="22"/>
        </w:rPr>
        <w:t>azitromycínu</w:t>
      </w:r>
      <w:proofErr w:type="spellEnd"/>
      <w:r w:rsidR="00D7056B" w:rsidRPr="0027168C">
        <w:rPr>
          <w:sz w:val="22"/>
          <w:szCs w:val="22"/>
        </w:rPr>
        <w:t xml:space="preserve"> </w:t>
      </w:r>
      <w:r w:rsidRPr="0027168C">
        <w:rPr>
          <w:sz w:val="22"/>
          <w:szCs w:val="22"/>
        </w:rPr>
        <w:t>sa pozorovalo predĺženie</w:t>
      </w:r>
      <w:r>
        <w:rPr>
          <w:sz w:val="22"/>
          <w:szCs w:val="22"/>
        </w:rPr>
        <w:t xml:space="preserve"> </w:t>
      </w:r>
      <w:proofErr w:type="spellStart"/>
      <w:r w:rsidRPr="00EB143B">
        <w:rPr>
          <w:sz w:val="22"/>
          <w:szCs w:val="22"/>
        </w:rPr>
        <w:t>repolarizácie</w:t>
      </w:r>
      <w:proofErr w:type="spellEnd"/>
      <w:r w:rsidRPr="00EB143B">
        <w:rPr>
          <w:sz w:val="22"/>
          <w:szCs w:val="22"/>
        </w:rPr>
        <w:t xml:space="preserve"> srdca a QT intervalu</w:t>
      </w:r>
      <w:r>
        <w:rPr>
          <w:sz w:val="22"/>
          <w:szCs w:val="22"/>
        </w:rPr>
        <w:t xml:space="preserve"> vedúce k riziku vzniku srdcovej </w:t>
      </w:r>
      <w:proofErr w:type="spellStart"/>
      <w:r>
        <w:rPr>
          <w:sz w:val="22"/>
          <w:szCs w:val="22"/>
        </w:rPr>
        <w:t>arytmie</w:t>
      </w:r>
      <w:proofErr w:type="spellEnd"/>
      <w:r>
        <w:rPr>
          <w:sz w:val="22"/>
          <w:szCs w:val="22"/>
        </w:rPr>
        <w:t xml:space="preserve"> a </w:t>
      </w:r>
      <w:proofErr w:type="spellStart"/>
      <w:r w:rsidRPr="00BC1B31">
        <w:rPr>
          <w:i/>
          <w:sz w:val="22"/>
          <w:szCs w:val="22"/>
        </w:rPr>
        <w:t>torsades</w:t>
      </w:r>
      <w:proofErr w:type="spellEnd"/>
      <w:r w:rsidRPr="00BC1B31">
        <w:rPr>
          <w:i/>
          <w:sz w:val="22"/>
          <w:szCs w:val="22"/>
        </w:rPr>
        <w:t xml:space="preserve"> de </w:t>
      </w:r>
      <w:proofErr w:type="spellStart"/>
      <w:r w:rsidRPr="00BC1B31">
        <w:rPr>
          <w:i/>
          <w:sz w:val="22"/>
          <w:szCs w:val="22"/>
        </w:rPr>
        <w:t>pointes</w:t>
      </w:r>
      <w:proofErr w:type="spellEnd"/>
      <w:r w:rsidR="00D7056B">
        <w:rPr>
          <w:i/>
          <w:sz w:val="22"/>
          <w:szCs w:val="22"/>
        </w:rPr>
        <w:t xml:space="preserve"> </w:t>
      </w:r>
      <w:r w:rsidR="00D7056B">
        <w:rPr>
          <w:sz w:val="22"/>
          <w:szCs w:val="22"/>
        </w:rPr>
        <w:t>(pozri časť 4.8)</w:t>
      </w:r>
      <w:r w:rsidR="002474BE">
        <w:rPr>
          <w:sz w:val="22"/>
          <w:szCs w:val="22"/>
        </w:rPr>
        <w:t xml:space="preserve">. Nasledujúce situácie môžu viesť k zvýšenému riziku </w:t>
      </w:r>
      <w:proofErr w:type="spellStart"/>
      <w:r w:rsidR="002474BE">
        <w:rPr>
          <w:sz w:val="22"/>
          <w:szCs w:val="22"/>
        </w:rPr>
        <w:t>ventrikulárnej</w:t>
      </w:r>
      <w:proofErr w:type="spellEnd"/>
      <w:r w:rsidR="002474BE">
        <w:rPr>
          <w:sz w:val="22"/>
          <w:szCs w:val="22"/>
        </w:rPr>
        <w:t xml:space="preserve"> </w:t>
      </w:r>
      <w:proofErr w:type="spellStart"/>
      <w:r w:rsidR="002474BE">
        <w:rPr>
          <w:sz w:val="22"/>
          <w:szCs w:val="22"/>
        </w:rPr>
        <w:t>arytmie</w:t>
      </w:r>
      <w:proofErr w:type="spellEnd"/>
      <w:r w:rsidR="002474BE">
        <w:rPr>
          <w:sz w:val="22"/>
          <w:szCs w:val="22"/>
        </w:rPr>
        <w:t xml:space="preserve"> (vr</w:t>
      </w:r>
      <w:r w:rsidR="00394497">
        <w:rPr>
          <w:sz w:val="22"/>
          <w:szCs w:val="22"/>
        </w:rPr>
        <w:t>á</w:t>
      </w:r>
      <w:r w:rsidR="002474BE">
        <w:rPr>
          <w:sz w:val="22"/>
          <w:szCs w:val="22"/>
        </w:rPr>
        <w:t xml:space="preserve">tane </w:t>
      </w:r>
      <w:proofErr w:type="spellStart"/>
      <w:r w:rsidR="002474BE">
        <w:rPr>
          <w:i/>
          <w:sz w:val="22"/>
          <w:szCs w:val="22"/>
        </w:rPr>
        <w:t>torsades</w:t>
      </w:r>
      <w:proofErr w:type="spellEnd"/>
      <w:r w:rsidR="002474BE">
        <w:rPr>
          <w:i/>
          <w:sz w:val="22"/>
          <w:szCs w:val="22"/>
        </w:rPr>
        <w:t xml:space="preserve"> de </w:t>
      </w:r>
      <w:proofErr w:type="spellStart"/>
      <w:r w:rsidR="002474BE">
        <w:rPr>
          <w:i/>
          <w:sz w:val="22"/>
          <w:szCs w:val="22"/>
        </w:rPr>
        <w:t>pointes</w:t>
      </w:r>
      <w:proofErr w:type="spellEnd"/>
      <w:r w:rsidR="002474BE">
        <w:rPr>
          <w:i/>
          <w:sz w:val="22"/>
          <w:szCs w:val="22"/>
        </w:rPr>
        <w:t>)</w:t>
      </w:r>
      <w:r w:rsidR="002474BE">
        <w:rPr>
          <w:sz w:val="22"/>
          <w:szCs w:val="22"/>
        </w:rPr>
        <w:t>, ktor</w:t>
      </w:r>
      <w:r w:rsidR="0027168C">
        <w:rPr>
          <w:sz w:val="22"/>
          <w:szCs w:val="22"/>
        </w:rPr>
        <w:t>é</w:t>
      </w:r>
      <w:r w:rsidR="002474BE">
        <w:rPr>
          <w:sz w:val="22"/>
          <w:szCs w:val="22"/>
        </w:rPr>
        <w:t xml:space="preserve"> môžu vyvolať zástavu srdca, preto sa </w:t>
      </w:r>
      <w:proofErr w:type="spellStart"/>
      <w:r w:rsidR="002474BE">
        <w:rPr>
          <w:sz w:val="22"/>
          <w:szCs w:val="22"/>
        </w:rPr>
        <w:t>azitromycín</w:t>
      </w:r>
      <w:proofErr w:type="spellEnd"/>
      <w:r w:rsidR="002474BE">
        <w:rPr>
          <w:sz w:val="22"/>
          <w:szCs w:val="22"/>
        </w:rPr>
        <w:t xml:space="preserve"> má používať s opatrnosťou u pacientov s prebiehajúcim </w:t>
      </w:r>
      <w:proofErr w:type="spellStart"/>
      <w:r w:rsidR="002474BE">
        <w:rPr>
          <w:sz w:val="22"/>
          <w:szCs w:val="22"/>
        </w:rPr>
        <w:t>proarytmickým</w:t>
      </w:r>
      <w:proofErr w:type="spellEnd"/>
      <w:r w:rsidR="002474BE">
        <w:rPr>
          <w:sz w:val="22"/>
          <w:szCs w:val="22"/>
        </w:rPr>
        <w:t xml:space="preserve"> stavom (najmä u žien a starších pacientov), ako sú pacienti:</w:t>
      </w:r>
    </w:p>
    <w:p w:rsidR="009653E9" w:rsidRDefault="002474BE" w:rsidP="00227ECF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 </w:t>
      </w:r>
      <w:proofErr w:type="spellStart"/>
      <w:r>
        <w:rPr>
          <w:sz w:val="22"/>
          <w:szCs w:val="22"/>
        </w:rPr>
        <w:t>kongenitálnym</w:t>
      </w:r>
      <w:proofErr w:type="spellEnd"/>
      <w:r>
        <w:rPr>
          <w:sz w:val="22"/>
          <w:szCs w:val="22"/>
        </w:rPr>
        <w:t xml:space="preserve"> alebo zdokumentovaným</w:t>
      </w:r>
      <w:r w:rsidR="009653E9">
        <w:rPr>
          <w:sz w:val="22"/>
          <w:szCs w:val="22"/>
        </w:rPr>
        <w:t xml:space="preserve"> predĺžením QT intervalu</w:t>
      </w:r>
      <w:r w:rsidR="00B024A7">
        <w:rPr>
          <w:sz w:val="22"/>
          <w:szCs w:val="22"/>
        </w:rPr>
        <w:t>,</w:t>
      </w:r>
    </w:p>
    <w:p w:rsidR="00B024A7" w:rsidRDefault="009653E9" w:rsidP="00227ECF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súbežne liečení inými liečivami, ktoré predlžujú QT interval, ako sú</w:t>
      </w:r>
      <w:r w:rsidR="00B024A7">
        <w:rPr>
          <w:sz w:val="22"/>
          <w:szCs w:val="22"/>
        </w:rPr>
        <w:t xml:space="preserve"> </w:t>
      </w:r>
      <w:proofErr w:type="spellStart"/>
      <w:r w:rsidR="00B024A7">
        <w:rPr>
          <w:sz w:val="22"/>
          <w:szCs w:val="22"/>
        </w:rPr>
        <w:t>anytiarytmiká</w:t>
      </w:r>
      <w:proofErr w:type="spellEnd"/>
      <w:r w:rsidR="00B024A7">
        <w:rPr>
          <w:sz w:val="22"/>
          <w:szCs w:val="22"/>
        </w:rPr>
        <w:t xml:space="preserve"> triedy IA (</w:t>
      </w:r>
      <w:proofErr w:type="spellStart"/>
      <w:r w:rsidR="00B024A7">
        <w:rPr>
          <w:sz w:val="22"/>
          <w:szCs w:val="22"/>
        </w:rPr>
        <w:t>chinidín</w:t>
      </w:r>
      <w:proofErr w:type="spellEnd"/>
      <w:r w:rsidR="00B024A7">
        <w:rPr>
          <w:sz w:val="22"/>
          <w:szCs w:val="22"/>
        </w:rPr>
        <w:t xml:space="preserve"> a </w:t>
      </w:r>
      <w:proofErr w:type="spellStart"/>
      <w:r w:rsidR="00B024A7" w:rsidRPr="00EB143B">
        <w:rPr>
          <w:sz w:val="22"/>
          <w:szCs w:val="22"/>
        </w:rPr>
        <w:t>proka</w:t>
      </w:r>
      <w:r w:rsidR="00506D54" w:rsidRPr="00EB143B">
        <w:rPr>
          <w:sz w:val="22"/>
          <w:szCs w:val="22"/>
        </w:rPr>
        <w:t>í</w:t>
      </w:r>
      <w:r w:rsidR="00B024A7" w:rsidRPr="00EB143B">
        <w:rPr>
          <w:sz w:val="22"/>
          <w:szCs w:val="22"/>
        </w:rPr>
        <w:t>namid</w:t>
      </w:r>
      <w:proofErr w:type="spellEnd"/>
      <w:r w:rsidR="00B024A7" w:rsidRPr="00EB143B">
        <w:rPr>
          <w:sz w:val="22"/>
          <w:szCs w:val="22"/>
        </w:rPr>
        <w:t>) a triedy III (</w:t>
      </w:r>
      <w:proofErr w:type="spellStart"/>
      <w:r w:rsidR="00B024A7" w:rsidRPr="00EB143B">
        <w:rPr>
          <w:sz w:val="22"/>
          <w:szCs w:val="22"/>
        </w:rPr>
        <w:t>dofetilid</w:t>
      </w:r>
      <w:proofErr w:type="spellEnd"/>
      <w:r w:rsidR="00B024A7" w:rsidRPr="00EB143B">
        <w:rPr>
          <w:sz w:val="22"/>
          <w:szCs w:val="22"/>
        </w:rPr>
        <w:t xml:space="preserve">, </w:t>
      </w:r>
      <w:proofErr w:type="spellStart"/>
      <w:r w:rsidR="00B024A7" w:rsidRPr="00EB143B">
        <w:rPr>
          <w:sz w:val="22"/>
          <w:szCs w:val="22"/>
        </w:rPr>
        <w:t>amiodar</w:t>
      </w:r>
      <w:r w:rsidR="00506D54" w:rsidRPr="00EB143B">
        <w:rPr>
          <w:sz w:val="22"/>
          <w:szCs w:val="22"/>
        </w:rPr>
        <w:t>ó</w:t>
      </w:r>
      <w:r w:rsidR="00B024A7" w:rsidRPr="00EB143B">
        <w:rPr>
          <w:sz w:val="22"/>
          <w:szCs w:val="22"/>
        </w:rPr>
        <w:t>n</w:t>
      </w:r>
      <w:proofErr w:type="spellEnd"/>
      <w:r w:rsidR="00B024A7" w:rsidRPr="00EB143B">
        <w:rPr>
          <w:sz w:val="22"/>
          <w:szCs w:val="22"/>
        </w:rPr>
        <w:t xml:space="preserve">, </w:t>
      </w:r>
      <w:proofErr w:type="spellStart"/>
      <w:r w:rsidR="00B024A7" w:rsidRPr="00EB143B">
        <w:rPr>
          <w:sz w:val="22"/>
          <w:szCs w:val="22"/>
        </w:rPr>
        <w:t>sotalol</w:t>
      </w:r>
      <w:proofErr w:type="spellEnd"/>
      <w:r w:rsidR="00B024A7">
        <w:rPr>
          <w:sz w:val="22"/>
          <w:szCs w:val="22"/>
        </w:rPr>
        <w:t xml:space="preserve">), </w:t>
      </w:r>
      <w:proofErr w:type="spellStart"/>
      <w:r w:rsidR="00B024A7">
        <w:rPr>
          <w:sz w:val="22"/>
          <w:szCs w:val="22"/>
        </w:rPr>
        <w:t>cisaprid</w:t>
      </w:r>
      <w:proofErr w:type="spellEnd"/>
      <w:r w:rsidR="00B024A7">
        <w:rPr>
          <w:sz w:val="22"/>
          <w:szCs w:val="22"/>
        </w:rPr>
        <w:t xml:space="preserve"> a </w:t>
      </w:r>
      <w:proofErr w:type="spellStart"/>
      <w:r w:rsidR="00B024A7">
        <w:rPr>
          <w:sz w:val="22"/>
          <w:szCs w:val="22"/>
        </w:rPr>
        <w:t>terfenadín</w:t>
      </w:r>
      <w:proofErr w:type="spellEnd"/>
      <w:r w:rsidR="00B024A7">
        <w:rPr>
          <w:sz w:val="22"/>
          <w:szCs w:val="22"/>
        </w:rPr>
        <w:t xml:space="preserve">; </w:t>
      </w:r>
      <w:proofErr w:type="spellStart"/>
      <w:r w:rsidR="00B024A7">
        <w:rPr>
          <w:sz w:val="22"/>
          <w:szCs w:val="22"/>
        </w:rPr>
        <w:t>antipsychotiká</w:t>
      </w:r>
      <w:proofErr w:type="spellEnd"/>
      <w:r w:rsidR="00B024A7">
        <w:rPr>
          <w:sz w:val="22"/>
          <w:szCs w:val="22"/>
        </w:rPr>
        <w:t xml:space="preserve"> , ako je </w:t>
      </w:r>
      <w:proofErr w:type="spellStart"/>
      <w:r w:rsidR="00B024A7">
        <w:rPr>
          <w:sz w:val="22"/>
          <w:szCs w:val="22"/>
        </w:rPr>
        <w:t>pimozid</w:t>
      </w:r>
      <w:proofErr w:type="spellEnd"/>
      <w:r w:rsidR="00B024A7">
        <w:rPr>
          <w:sz w:val="22"/>
          <w:szCs w:val="22"/>
        </w:rPr>
        <w:t xml:space="preserve">; </w:t>
      </w:r>
      <w:proofErr w:type="spellStart"/>
      <w:r w:rsidR="00B024A7">
        <w:rPr>
          <w:sz w:val="22"/>
          <w:szCs w:val="22"/>
        </w:rPr>
        <w:t>antidepresíva</w:t>
      </w:r>
      <w:proofErr w:type="spellEnd"/>
      <w:r w:rsidR="00B024A7">
        <w:rPr>
          <w:sz w:val="22"/>
          <w:szCs w:val="22"/>
        </w:rPr>
        <w:t xml:space="preserve">, ako je </w:t>
      </w:r>
      <w:proofErr w:type="spellStart"/>
      <w:r w:rsidR="00B024A7">
        <w:rPr>
          <w:sz w:val="22"/>
          <w:szCs w:val="22"/>
        </w:rPr>
        <w:t>citalopram</w:t>
      </w:r>
      <w:proofErr w:type="spellEnd"/>
      <w:r w:rsidR="00B024A7">
        <w:rPr>
          <w:sz w:val="22"/>
          <w:szCs w:val="22"/>
        </w:rPr>
        <w:t xml:space="preserve">; </w:t>
      </w:r>
      <w:proofErr w:type="spellStart"/>
      <w:r w:rsidR="00B024A7">
        <w:rPr>
          <w:sz w:val="22"/>
          <w:szCs w:val="22"/>
        </w:rPr>
        <w:t>fluó</w:t>
      </w:r>
      <w:r w:rsidR="00533C81">
        <w:rPr>
          <w:sz w:val="22"/>
          <w:szCs w:val="22"/>
        </w:rPr>
        <w:t>r</w:t>
      </w:r>
      <w:r w:rsidR="00B024A7">
        <w:rPr>
          <w:sz w:val="22"/>
          <w:szCs w:val="22"/>
        </w:rPr>
        <w:t>chinolóny</w:t>
      </w:r>
      <w:proofErr w:type="spellEnd"/>
      <w:r w:rsidR="00B024A7">
        <w:rPr>
          <w:sz w:val="22"/>
          <w:szCs w:val="22"/>
        </w:rPr>
        <w:t xml:space="preserve">, ako je </w:t>
      </w:r>
      <w:proofErr w:type="spellStart"/>
      <w:r w:rsidR="00B024A7">
        <w:rPr>
          <w:sz w:val="22"/>
          <w:szCs w:val="22"/>
        </w:rPr>
        <w:t>moxifloxacín</w:t>
      </w:r>
      <w:proofErr w:type="spellEnd"/>
      <w:r w:rsidR="00B024A7">
        <w:rPr>
          <w:sz w:val="22"/>
          <w:szCs w:val="22"/>
        </w:rPr>
        <w:t xml:space="preserve"> a </w:t>
      </w:r>
      <w:proofErr w:type="spellStart"/>
      <w:r w:rsidR="00B024A7">
        <w:rPr>
          <w:sz w:val="22"/>
          <w:szCs w:val="22"/>
        </w:rPr>
        <w:t>levofloxacín</w:t>
      </w:r>
      <w:proofErr w:type="spellEnd"/>
      <w:r w:rsidR="00B024A7">
        <w:rPr>
          <w:sz w:val="22"/>
          <w:szCs w:val="22"/>
        </w:rPr>
        <w:t>,</w:t>
      </w:r>
    </w:p>
    <w:p w:rsidR="00B024A7" w:rsidRDefault="00B024A7" w:rsidP="00227ECF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s poruchami rovnováhy elektrolytov, hlavne v prípadoch </w:t>
      </w:r>
      <w:proofErr w:type="spellStart"/>
      <w:r>
        <w:rPr>
          <w:sz w:val="22"/>
          <w:szCs w:val="22"/>
        </w:rPr>
        <w:t>hypokaliémie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hypomagneziémie</w:t>
      </w:r>
      <w:proofErr w:type="spellEnd"/>
      <w:r>
        <w:rPr>
          <w:sz w:val="22"/>
          <w:szCs w:val="22"/>
        </w:rPr>
        <w:t>,</w:t>
      </w:r>
    </w:p>
    <w:p w:rsidR="00B024A7" w:rsidRDefault="00B024A7" w:rsidP="00227ECF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s klinicky významnou bradykardiou, srdcovou arytmiou alebo závažnou srdcovou </w:t>
      </w:r>
      <w:r w:rsidR="00533C81">
        <w:rPr>
          <w:sz w:val="22"/>
          <w:szCs w:val="22"/>
        </w:rPr>
        <w:t>nedostatočnosťou</w:t>
      </w:r>
      <w:r>
        <w:rPr>
          <w:sz w:val="22"/>
          <w:szCs w:val="22"/>
        </w:rPr>
        <w:t>.</w:t>
      </w:r>
    </w:p>
    <w:p w:rsidR="00B024A7" w:rsidRDefault="00B024A7" w:rsidP="005D4221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533C81" w:rsidRDefault="00B024A7" w:rsidP="005D422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U pacientov užívajúcich </w:t>
      </w:r>
      <w:proofErr w:type="spellStart"/>
      <w:r>
        <w:rPr>
          <w:sz w:val="22"/>
          <w:szCs w:val="22"/>
        </w:rPr>
        <w:t>azitromycín</w:t>
      </w:r>
      <w:proofErr w:type="spellEnd"/>
      <w:r>
        <w:rPr>
          <w:sz w:val="22"/>
          <w:szCs w:val="22"/>
        </w:rPr>
        <w:t xml:space="preserve"> bolo hlásené zhoršenie príznakov </w:t>
      </w:r>
      <w:proofErr w:type="spellStart"/>
      <w:r w:rsidRPr="00EB143B">
        <w:rPr>
          <w:sz w:val="22"/>
          <w:szCs w:val="22"/>
        </w:rPr>
        <w:t>myst</w:t>
      </w:r>
      <w:r w:rsidR="00D64C70" w:rsidRPr="00E21C9E">
        <w:rPr>
          <w:sz w:val="22"/>
          <w:szCs w:val="22"/>
        </w:rPr>
        <w:t>é</w:t>
      </w:r>
      <w:r w:rsidRPr="00E21C9E">
        <w:rPr>
          <w:sz w:val="22"/>
          <w:szCs w:val="22"/>
        </w:rPr>
        <w:t>nie</w:t>
      </w:r>
      <w:proofErr w:type="spellEnd"/>
      <w:r w:rsidRPr="00E21C9E">
        <w:rPr>
          <w:sz w:val="22"/>
          <w:szCs w:val="22"/>
        </w:rPr>
        <w:t xml:space="preserve"> </w:t>
      </w:r>
      <w:proofErr w:type="spellStart"/>
      <w:r w:rsidRPr="00E21C9E">
        <w:rPr>
          <w:sz w:val="22"/>
          <w:szCs w:val="22"/>
        </w:rPr>
        <w:t>gravis</w:t>
      </w:r>
      <w:proofErr w:type="spellEnd"/>
      <w:r w:rsidR="00533C81" w:rsidRPr="00E21C9E">
        <w:rPr>
          <w:sz w:val="22"/>
          <w:szCs w:val="22"/>
        </w:rPr>
        <w:t xml:space="preserve"> a nový nástup syndrómu </w:t>
      </w:r>
      <w:proofErr w:type="spellStart"/>
      <w:r w:rsidR="00533C81" w:rsidRPr="00E21C9E">
        <w:rPr>
          <w:sz w:val="22"/>
          <w:szCs w:val="22"/>
        </w:rPr>
        <w:t>myast</w:t>
      </w:r>
      <w:r w:rsidR="00D64C70" w:rsidRPr="00652DD2">
        <w:rPr>
          <w:sz w:val="22"/>
          <w:szCs w:val="22"/>
        </w:rPr>
        <w:t>é</w:t>
      </w:r>
      <w:r w:rsidR="00533C81" w:rsidRPr="00652DD2">
        <w:rPr>
          <w:sz w:val="22"/>
          <w:szCs w:val="22"/>
        </w:rPr>
        <w:t>nie</w:t>
      </w:r>
      <w:proofErr w:type="spellEnd"/>
      <w:r w:rsidR="00533C81" w:rsidRPr="00652DD2">
        <w:rPr>
          <w:sz w:val="22"/>
          <w:szCs w:val="22"/>
        </w:rPr>
        <w:t xml:space="preserve"> </w:t>
      </w:r>
      <w:proofErr w:type="spellStart"/>
      <w:r w:rsidR="00533C81" w:rsidRPr="00652DD2">
        <w:rPr>
          <w:sz w:val="22"/>
          <w:szCs w:val="22"/>
        </w:rPr>
        <w:t>gravis</w:t>
      </w:r>
      <w:proofErr w:type="spellEnd"/>
      <w:r w:rsidR="00533C81" w:rsidRPr="00652DD2">
        <w:rPr>
          <w:sz w:val="22"/>
          <w:szCs w:val="22"/>
        </w:rPr>
        <w:t xml:space="preserve"> (pozri časť 4.8).</w:t>
      </w:r>
      <w:r>
        <w:rPr>
          <w:sz w:val="22"/>
          <w:szCs w:val="22"/>
        </w:rPr>
        <w:t xml:space="preserve"> </w:t>
      </w:r>
    </w:p>
    <w:p w:rsidR="00533C81" w:rsidRDefault="00533C81" w:rsidP="005D4221">
      <w:pPr>
        <w:tabs>
          <w:tab w:val="left" w:pos="567"/>
        </w:tabs>
        <w:rPr>
          <w:sz w:val="22"/>
          <w:szCs w:val="22"/>
        </w:rPr>
      </w:pPr>
    </w:p>
    <w:p w:rsidR="00533C81" w:rsidRDefault="00533C81" w:rsidP="005D4221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Bezpečnosť a účinnosť na prevenciu alebo liečbu </w:t>
      </w:r>
      <w:r w:rsidR="00C35AEB">
        <w:rPr>
          <w:sz w:val="22"/>
          <w:szCs w:val="22"/>
        </w:rPr>
        <w:t xml:space="preserve">komplexu </w:t>
      </w:r>
      <w:proofErr w:type="spellStart"/>
      <w:r w:rsidR="00C35AEB">
        <w:rPr>
          <w:i/>
          <w:sz w:val="22"/>
          <w:szCs w:val="22"/>
        </w:rPr>
        <w:t>Mycobacterium</w:t>
      </w:r>
      <w:proofErr w:type="spellEnd"/>
      <w:r w:rsidR="00C35AEB">
        <w:rPr>
          <w:i/>
          <w:sz w:val="22"/>
          <w:szCs w:val="22"/>
        </w:rPr>
        <w:t xml:space="preserve"> </w:t>
      </w:r>
      <w:proofErr w:type="spellStart"/>
      <w:r w:rsidR="00C35AEB">
        <w:rPr>
          <w:i/>
          <w:sz w:val="22"/>
          <w:szCs w:val="22"/>
        </w:rPr>
        <w:t>Avium</w:t>
      </w:r>
      <w:proofErr w:type="spellEnd"/>
      <w:r w:rsidR="00C35AEB">
        <w:rPr>
          <w:i/>
          <w:sz w:val="22"/>
          <w:szCs w:val="22"/>
        </w:rPr>
        <w:t xml:space="preserve"> </w:t>
      </w:r>
      <w:r w:rsidR="00C35AEB">
        <w:rPr>
          <w:sz w:val="22"/>
          <w:szCs w:val="22"/>
        </w:rPr>
        <w:t>(</w:t>
      </w:r>
      <w:r>
        <w:rPr>
          <w:sz w:val="22"/>
          <w:szCs w:val="22"/>
        </w:rPr>
        <w:t>MAC</w:t>
      </w:r>
      <w:r w:rsidR="00C35AEB">
        <w:rPr>
          <w:sz w:val="22"/>
          <w:szCs w:val="22"/>
        </w:rPr>
        <w:t>)</w:t>
      </w:r>
      <w:r>
        <w:rPr>
          <w:sz w:val="22"/>
          <w:szCs w:val="22"/>
        </w:rPr>
        <w:t xml:space="preserve"> u detí neboli stanovené.</w:t>
      </w:r>
    </w:p>
    <w:p w:rsidR="005C0161" w:rsidRPr="003D0F23" w:rsidRDefault="005C0161" w:rsidP="00E4791E">
      <w:pPr>
        <w:rPr>
          <w:b/>
        </w:rPr>
      </w:pPr>
    </w:p>
    <w:p w:rsidR="00533C81" w:rsidRPr="005D4221" w:rsidRDefault="00F56222" w:rsidP="00E4791E">
      <w:pPr>
        <w:rPr>
          <w:i/>
          <w:sz w:val="22"/>
          <w:szCs w:val="22"/>
        </w:rPr>
      </w:pPr>
      <w:r w:rsidRPr="005D4221">
        <w:rPr>
          <w:i/>
          <w:sz w:val="22"/>
          <w:szCs w:val="22"/>
        </w:rPr>
        <w:t>Liek obsahuje laktózu</w:t>
      </w:r>
      <w:r w:rsidR="00B62877">
        <w:rPr>
          <w:i/>
          <w:sz w:val="22"/>
          <w:szCs w:val="22"/>
        </w:rPr>
        <w:t xml:space="preserve"> </w:t>
      </w:r>
      <w:r w:rsidR="00652DD2">
        <w:rPr>
          <w:i/>
          <w:sz w:val="22"/>
          <w:szCs w:val="22"/>
        </w:rPr>
        <w:t>a iné pomocné látky so známym účinkom</w:t>
      </w:r>
      <w:r w:rsidR="00F8698A">
        <w:rPr>
          <w:i/>
          <w:sz w:val="22"/>
          <w:szCs w:val="22"/>
        </w:rPr>
        <w:t>.</w:t>
      </w:r>
    </w:p>
    <w:p w:rsidR="00F56222" w:rsidRDefault="00F56222" w:rsidP="00E4791E">
      <w:pPr>
        <w:rPr>
          <w:sz w:val="22"/>
          <w:szCs w:val="22"/>
        </w:rPr>
      </w:pPr>
      <w:r w:rsidRPr="003D0F23">
        <w:rPr>
          <w:sz w:val="22"/>
          <w:szCs w:val="22"/>
        </w:rPr>
        <w:t xml:space="preserve">Pacienti so zriedkavými dedičnými problémami </w:t>
      </w:r>
      <w:proofErr w:type="spellStart"/>
      <w:r w:rsidRPr="003D0F23">
        <w:rPr>
          <w:sz w:val="22"/>
          <w:szCs w:val="22"/>
        </w:rPr>
        <w:t>galaktózovej</w:t>
      </w:r>
      <w:proofErr w:type="spellEnd"/>
      <w:r w:rsidRPr="003D0F23">
        <w:rPr>
          <w:sz w:val="22"/>
          <w:szCs w:val="22"/>
        </w:rPr>
        <w:t xml:space="preserve"> intolerancie, </w:t>
      </w:r>
      <w:r w:rsidR="00CA472D">
        <w:rPr>
          <w:sz w:val="22"/>
          <w:szCs w:val="22"/>
        </w:rPr>
        <w:t>celkovým deficitom</w:t>
      </w:r>
      <w:r w:rsidRPr="003D0F23">
        <w:rPr>
          <w:sz w:val="22"/>
          <w:szCs w:val="22"/>
        </w:rPr>
        <w:t xml:space="preserve"> </w:t>
      </w:r>
      <w:proofErr w:type="spellStart"/>
      <w:r w:rsidRPr="003D0F23">
        <w:rPr>
          <w:sz w:val="22"/>
          <w:szCs w:val="22"/>
        </w:rPr>
        <w:t>laktázy</w:t>
      </w:r>
      <w:proofErr w:type="spellEnd"/>
      <w:r w:rsidRPr="003D0F23">
        <w:rPr>
          <w:sz w:val="22"/>
          <w:szCs w:val="22"/>
        </w:rPr>
        <w:t xml:space="preserve"> alebo </w:t>
      </w:r>
      <w:proofErr w:type="spellStart"/>
      <w:r w:rsidRPr="003D0F23">
        <w:rPr>
          <w:sz w:val="22"/>
          <w:szCs w:val="22"/>
        </w:rPr>
        <w:t>glukózo-galaktózov</w:t>
      </w:r>
      <w:r w:rsidR="00CA472D">
        <w:rPr>
          <w:sz w:val="22"/>
          <w:szCs w:val="22"/>
        </w:rPr>
        <w:t>ou</w:t>
      </w:r>
      <w:proofErr w:type="spellEnd"/>
      <w:r w:rsidRPr="003D0F23">
        <w:rPr>
          <w:sz w:val="22"/>
          <w:szCs w:val="22"/>
        </w:rPr>
        <w:t xml:space="preserve"> </w:t>
      </w:r>
      <w:proofErr w:type="spellStart"/>
      <w:r w:rsidRPr="003D0F23">
        <w:rPr>
          <w:sz w:val="22"/>
          <w:szCs w:val="22"/>
        </w:rPr>
        <w:t>malabsorpci</w:t>
      </w:r>
      <w:r w:rsidR="00CA472D">
        <w:rPr>
          <w:sz w:val="22"/>
          <w:szCs w:val="22"/>
        </w:rPr>
        <w:t>ou</w:t>
      </w:r>
      <w:proofErr w:type="spellEnd"/>
      <w:r w:rsidRPr="003D0F23">
        <w:rPr>
          <w:sz w:val="22"/>
          <w:szCs w:val="22"/>
        </w:rPr>
        <w:t xml:space="preserve"> nesmú užívať tento liek.</w:t>
      </w:r>
    </w:p>
    <w:p w:rsidR="00652DD2" w:rsidRPr="003D0F23" w:rsidRDefault="00652DD2" w:rsidP="00E4791E">
      <w:pPr>
        <w:rPr>
          <w:sz w:val="22"/>
          <w:szCs w:val="22"/>
        </w:rPr>
      </w:pPr>
      <w:r>
        <w:rPr>
          <w:sz w:val="22"/>
          <w:szCs w:val="22"/>
        </w:rPr>
        <w:t xml:space="preserve">Liek obsahuje aj pšeničný škrob a farbivo </w:t>
      </w:r>
      <w:proofErr w:type="spellStart"/>
      <w:r>
        <w:rPr>
          <w:sz w:val="22"/>
          <w:szCs w:val="22"/>
        </w:rPr>
        <w:t>azorubín</w:t>
      </w:r>
      <w:proofErr w:type="spellEnd"/>
      <w:r>
        <w:rPr>
          <w:sz w:val="22"/>
          <w:szCs w:val="22"/>
        </w:rPr>
        <w:t>.</w:t>
      </w:r>
    </w:p>
    <w:p w:rsidR="00606484" w:rsidRPr="003D0F23" w:rsidRDefault="00606484" w:rsidP="00E4791E">
      <w:pPr>
        <w:rPr>
          <w:sz w:val="22"/>
          <w:szCs w:val="22"/>
        </w:rPr>
      </w:pPr>
    </w:p>
    <w:p w:rsidR="00A13222" w:rsidRPr="003D0F23" w:rsidRDefault="00A13222" w:rsidP="00977620">
      <w:pPr>
        <w:tabs>
          <w:tab w:val="left" w:pos="567"/>
        </w:tabs>
        <w:rPr>
          <w:b/>
          <w:sz w:val="22"/>
          <w:szCs w:val="22"/>
        </w:rPr>
      </w:pPr>
      <w:r w:rsidRPr="003D0F23">
        <w:rPr>
          <w:b/>
          <w:sz w:val="22"/>
          <w:szCs w:val="22"/>
        </w:rPr>
        <w:t>4.5.</w:t>
      </w:r>
      <w:r w:rsidR="00977620" w:rsidRPr="003D0F23">
        <w:rPr>
          <w:b/>
          <w:sz w:val="22"/>
          <w:szCs w:val="22"/>
        </w:rPr>
        <w:tab/>
      </w:r>
      <w:r w:rsidRPr="003D0F23">
        <w:rPr>
          <w:b/>
          <w:sz w:val="22"/>
          <w:szCs w:val="22"/>
        </w:rPr>
        <w:t xml:space="preserve">Liekové a iné interakcie </w:t>
      </w:r>
    </w:p>
    <w:p w:rsidR="00B33D3B" w:rsidRPr="003D2C5A" w:rsidRDefault="00B33D3B" w:rsidP="00E4791E">
      <w:pPr>
        <w:rPr>
          <w:b/>
          <w:sz w:val="22"/>
          <w:szCs w:val="22"/>
        </w:rPr>
      </w:pPr>
    </w:p>
    <w:p w:rsidR="00977620" w:rsidRDefault="00977620" w:rsidP="00E4791E">
      <w:pPr>
        <w:rPr>
          <w:sz w:val="22"/>
          <w:szCs w:val="22"/>
        </w:rPr>
      </w:pPr>
      <w:proofErr w:type="spellStart"/>
      <w:r w:rsidRPr="000C6D20">
        <w:rPr>
          <w:b/>
          <w:sz w:val="22"/>
          <w:szCs w:val="22"/>
        </w:rPr>
        <w:t>Antac</w:t>
      </w:r>
      <w:r w:rsidR="0027168C">
        <w:rPr>
          <w:b/>
          <w:sz w:val="22"/>
          <w:szCs w:val="22"/>
        </w:rPr>
        <w:t>i</w:t>
      </w:r>
      <w:r w:rsidRPr="000C6D20">
        <w:rPr>
          <w:b/>
          <w:sz w:val="22"/>
          <w:szCs w:val="22"/>
        </w:rPr>
        <w:t>d</w:t>
      </w:r>
      <w:r w:rsidR="0027168C">
        <w:rPr>
          <w:b/>
          <w:sz w:val="22"/>
          <w:szCs w:val="22"/>
        </w:rPr>
        <w:t>á</w:t>
      </w:r>
      <w:proofErr w:type="spellEnd"/>
      <w:r w:rsidRPr="000C6D20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F6C4F">
        <w:rPr>
          <w:sz w:val="22"/>
          <w:szCs w:val="22"/>
        </w:rPr>
        <w:t xml:space="preserve">vo </w:t>
      </w:r>
      <w:proofErr w:type="spellStart"/>
      <w:r w:rsidR="00EF6C4F">
        <w:rPr>
          <w:sz w:val="22"/>
          <w:szCs w:val="22"/>
        </w:rPr>
        <w:t>farmakokinetickej</w:t>
      </w:r>
      <w:proofErr w:type="spellEnd"/>
      <w:r w:rsidR="00EF6C4F">
        <w:rPr>
          <w:sz w:val="22"/>
          <w:szCs w:val="22"/>
        </w:rPr>
        <w:t xml:space="preserve"> </w:t>
      </w:r>
      <w:r w:rsidR="001C3567">
        <w:rPr>
          <w:sz w:val="22"/>
          <w:szCs w:val="22"/>
        </w:rPr>
        <w:t xml:space="preserve">štúdii skúmajúcej účinky súbežného podávania </w:t>
      </w:r>
      <w:proofErr w:type="spellStart"/>
      <w:r w:rsidR="001C3567">
        <w:rPr>
          <w:sz w:val="22"/>
          <w:szCs w:val="22"/>
        </w:rPr>
        <w:t>antacíd</w:t>
      </w:r>
      <w:proofErr w:type="spellEnd"/>
      <w:r w:rsidR="001C3567">
        <w:rPr>
          <w:sz w:val="22"/>
          <w:szCs w:val="22"/>
        </w:rPr>
        <w:t xml:space="preserve"> a</w:t>
      </w:r>
      <w:r w:rsidR="001B4A1E">
        <w:rPr>
          <w:sz w:val="22"/>
          <w:szCs w:val="22"/>
        </w:rPr>
        <w:t> </w:t>
      </w:r>
      <w:proofErr w:type="spellStart"/>
      <w:r w:rsidR="001C3567">
        <w:rPr>
          <w:sz w:val="22"/>
          <w:szCs w:val="22"/>
        </w:rPr>
        <w:t>a</w:t>
      </w:r>
      <w:r>
        <w:rPr>
          <w:sz w:val="22"/>
          <w:szCs w:val="22"/>
        </w:rPr>
        <w:t>zitromycín</w:t>
      </w:r>
      <w:r w:rsidR="001C3567">
        <w:rPr>
          <w:sz w:val="22"/>
          <w:szCs w:val="22"/>
        </w:rPr>
        <w:t>u</w:t>
      </w:r>
      <w:proofErr w:type="spellEnd"/>
      <w:r w:rsidR="001C3567">
        <w:rPr>
          <w:sz w:val="22"/>
          <w:szCs w:val="22"/>
        </w:rPr>
        <w:t xml:space="preserve"> sa nepozoroval žiaden vplyv na celkovú biologickú dostupnosť, aj keď maximálne plazmatické koncentrácie </w:t>
      </w:r>
      <w:proofErr w:type="spellStart"/>
      <w:r>
        <w:rPr>
          <w:sz w:val="22"/>
          <w:szCs w:val="22"/>
        </w:rPr>
        <w:t>azitromycín</w:t>
      </w:r>
      <w:r w:rsidR="001C3567">
        <w:rPr>
          <w:sz w:val="22"/>
          <w:szCs w:val="22"/>
        </w:rPr>
        <w:t>u</w:t>
      </w:r>
      <w:proofErr w:type="spellEnd"/>
      <w:r w:rsidR="001C3567">
        <w:rPr>
          <w:sz w:val="22"/>
          <w:szCs w:val="22"/>
        </w:rPr>
        <w:t xml:space="preserve"> boli znížené o 25 %. U pacientov užívajúcich </w:t>
      </w:r>
      <w:proofErr w:type="spellStart"/>
      <w:r w:rsidR="001C3567">
        <w:rPr>
          <w:sz w:val="22"/>
          <w:szCs w:val="22"/>
        </w:rPr>
        <w:t>azitromycín</w:t>
      </w:r>
      <w:proofErr w:type="spellEnd"/>
      <w:r w:rsidR="001C3567">
        <w:rPr>
          <w:sz w:val="22"/>
          <w:szCs w:val="22"/>
        </w:rPr>
        <w:t xml:space="preserve"> a </w:t>
      </w:r>
      <w:proofErr w:type="spellStart"/>
      <w:r w:rsidR="001C3567">
        <w:rPr>
          <w:sz w:val="22"/>
          <w:szCs w:val="22"/>
        </w:rPr>
        <w:t>antac</w:t>
      </w:r>
      <w:r w:rsidR="00D2413D">
        <w:rPr>
          <w:sz w:val="22"/>
          <w:szCs w:val="22"/>
        </w:rPr>
        <w:t>i</w:t>
      </w:r>
      <w:r w:rsidR="001C3567">
        <w:rPr>
          <w:sz w:val="22"/>
          <w:szCs w:val="22"/>
        </w:rPr>
        <w:t>d</w:t>
      </w:r>
      <w:r w:rsidR="00D2413D">
        <w:rPr>
          <w:sz w:val="22"/>
          <w:szCs w:val="22"/>
        </w:rPr>
        <w:t>á</w:t>
      </w:r>
      <w:proofErr w:type="spellEnd"/>
      <w:r w:rsidR="001C3567">
        <w:rPr>
          <w:sz w:val="22"/>
          <w:szCs w:val="22"/>
        </w:rPr>
        <w:t xml:space="preserve"> sa tieto lieky nemajú užívať súbežne. Súbežné užívanie </w:t>
      </w:r>
      <w:proofErr w:type="spellStart"/>
      <w:r w:rsidR="001C3567">
        <w:rPr>
          <w:sz w:val="22"/>
          <w:szCs w:val="22"/>
        </w:rPr>
        <w:t>azitromycínu</w:t>
      </w:r>
      <w:proofErr w:type="spellEnd"/>
      <w:r w:rsidR="001C3567">
        <w:rPr>
          <w:sz w:val="22"/>
          <w:szCs w:val="22"/>
        </w:rPr>
        <w:t xml:space="preserve"> </w:t>
      </w:r>
      <w:r w:rsidR="00004F90">
        <w:rPr>
          <w:sz w:val="22"/>
          <w:szCs w:val="22"/>
        </w:rPr>
        <w:t xml:space="preserve">vo forme </w:t>
      </w:r>
      <w:proofErr w:type="spellStart"/>
      <w:r w:rsidR="001C3567" w:rsidRPr="00E21C9E">
        <w:rPr>
          <w:sz w:val="22"/>
          <w:szCs w:val="22"/>
        </w:rPr>
        <w:t>granulátu</w:t>
      </w:r>
      <w:proofErr w:type="spellEnd"/>
      <w:r w:rsidR="001C3567" w:rsidRPr="00E21C9E">
        <w:rPr>
          <w:sz w:val="22"/>
          <w:szCs w:val="22"/>
        </w:rPr>
        <w:t xml:space="preserve"> </w:t>
      </w:r>
      <w:r w:rsidR="00D64C70" w:rsidRPr="00E21C9E">
        <w:rPr>
          <w:sz w:val="22"/>
          <w:szCs w:val="22"/>
        </w:rPr>
        <w:t xml:space="preserve">s predĺženým účinkom </w:t>
      </w:r>
      <w:r w:rsidR="001C3567" w:rsidRPr="00E21C9E">
        <w:rPr>
          <w:sz w:val="22"/>
          <w:szCs w:val="22"/>
        </w:rPr>
        <w:t>na peroráln</w:t>
      </w:r>
      <w:r w:rsidR="00E21C9E">
        <w:rPr>
          <w:sz w:val="22"/>
          <w:szCs w:val="22"/>
        </w:rPr>
        <w:t>u</w:t>
      </w:r>
      <w:r w:rsidR="001C3567" w:rsidRPr="00E21C9E">
        <w:rPr>
          <w:sz w:val="22"/>
          <w:szCs w:val="22"/>
        </w:rPr>
        <w:t xml:space="preserve"> </w:t>
      </w:r>
      <w:r w:rsidR="00E21C9E">
        <w:rPr>
          <w:sz w:val="22"/>
          <w:szCs w:val="22"/>
        </w:rPr>
        <w:t>suspenziu</w:t>
      </w:r>
      <w:r w:rsidR="001C3567">
        <w:rPr>
          <w:sz w:val="22"/>
          <w:szCs w:val="22"/>
        </w:rPr>
        <w:t xml:space="preserve"> s </w:t>
      </w:r>
      <w:proofErr w:type="spellStart"/>
      <w:r w:rsidR="001C3567">
        <w:rPr>
          <w:sz w:val="22"/>
          <w:szCs w:val="22"/>
        </w:rPr>
        <w:t>megaldroxom</w:t>
      </w:r>
      <w:proofErr w:type="spellEnd"/>
      <w:r w:rsidR="001C3567">
        <w:rPr>
          <w:sz w:val="22"/>
          <w:szCs w:val="22"/>
        </w:rPr>
        <w:t xml:space="preserve"> (hydroxid hlinitý</w:t>
      </w:r>
      <w:r w:rsidR="001B4A1E">
        <w:rPr>
          <w:sz w:val="22"/>
          <w:szCs w:val="22"/>
        </w:rPr>
        <w:t xml:space="preserve"> </w:t>
      </w:r>
      <w:r w:rsidR="001C3567">
        <w:rPr>
          <w:sz w:val="22"/>
          <w:szCs w:val="22"/>
        </w:rPr>
        <w:t xml:space="preserve">a hydroxid </w:t>
      </w:r>
      <w:proofErr w:type="spellStart"/>
      <w:r w:rsidR="001C3567">
        <w:rPr>
          <w:sz w:val="22"/>
          <w:szCs w:val="22"/>
        </w:rPr>
        <w:t>horečnatý</w:t>
      </w:r>
      <w:proofErr w:type="spellEnd"/>
      <w:r w:rsidR="001C3567">
        <w:rPr>
          <w:sz w:val="22"/>
          <w:szCs w:val="22"/>
        </w:rPr>
        <w:t>) v</w:t>
      </w:r>
      <w:r w:rsidR="001B4A1E">
        <w:rPr>
          <w:sz w:val="22"/>
          <w:szCs w:val="22"/>
        </w:rPr>
        <w:t xml:space="preserve"> jednorazovej </w:t>
      </w:r>
      <w:r w:rsidR="001C3567">
        <w:rPr>
          <w:sz w:val="22"/>
          <w:szCs w:val="22"/>
        </w:rPr>
        <w:t xml:space="preserve">dávke 20 </w:t>
      </w:r>
      <w:r w:rsidR="001B4A1E">
        <w:rPr>
          <w:sz w:val="22"/>
          <w:szCs w:val="22"/>
        </w:rPr>
        <w:t xml:space="preserve">ml neovplyvnilo rýchlosť a rozsah absorpcie </w:t>
      </w:r>
      <w:proofErr w:type="spellStart"/>
      <w:r w:rsidR="001B4A1E">
        <w:rPr>
          <w:sz w:val="22"/>
          <w:szCs w:val="22"/>
        </w:rPr>
        <w:t>azitromycínu</w:t>
      </w:r>
      <w:proofErr w:type="spellEnd"/>
      <w:r w:rsidR="001B4A1E">
        <w:rPr>
          <w:sz w:val="22"/>
          <w:szCs w:val="22"/>
        </w:rPr>
        <w:t>.</w:t>
      </w:r>
    </w:p>
    <w:p w:rsidR="001B4A1E" w:rsidRDefault="001B4A1E" w:rsidP="00E4791E">
      <w:pPr>
        <w:rPr>
          <w:sz w:val="22"/>
          <w:szCs w:val="22"/>
        </w:rPr>
      </w:pPr>
    </w:p>
    <w:p w:rsidR="001B4A1E" w:rsidRDefault="001B4A1E" w:rsidP="00E4791E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lastRenderedPageBreak/>
        <w:t>Cetirizín</w:t>
      </w:r>
      <w:proofErr w:type="spellEnd"/>
      <w:r w:rsidRPr="005D422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u zdravých dobrovoľníkov pri súbežnom podávaní </w:t>
      </w:r>
      <w:proofErr w:type="spellStart"/>
      <w:r>
        <w:rPr>
          <w:sz w:val="22"/>
          <w:szCs w:val="22"/>
        </w:rPr>
        <w:t>azitromycínu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cetirizínu</w:t>
      </w:r>
      <w:proofErr w:type="spellEnd"/>
      <w:r>
        <w:rPr>
          <w:sz w:val="22"/>
          <w:szCs w:val="22"/>
        </w:rPr>
        <w:t xml:space="preserve"> v dávke 20 mg počas 5 dní v rovnovážnom stave </w:t>
      </w:r>
      <w:r w:rsidR="00FE089F">
        <w:rPr>
          <w:sz w:val="22"/>
          <w:szCs w:val="22"/>
        </w:rPr>
        <w:t xml:space="preserve">neboli zistené žiadne </w:t>
      </w:r>
      <w:proofErr w:type="spellStart"/>
      <w:r w:rsidR="00FE089F">
        <w:rPr>
          <w:sz w:val="22"/>
          <w:szCs w:val="22"/>
        </w:rPr>
        <w:t>farmakokinetické</w:t>
      </w:r>
      <w:proofErr w:type="spellEnd"/>
      <w:r w:rsidR="00FE089F">
        <w:rPr>
          <w:sz w:val="22"/>
          <w:szCs w:val="22"/>
        </w:rPr>
        <w:t xml:space="preserve"> interakcie a žiadne významné zmeny v QT intervale.</w:t>
      </w:r>
      <w:r>
        <w:rPr>
          <w:sz w:val="22"/>
          <w:szCs w:val="22"/>
        </w:rPr>
        <w:t xml:space="preserve"> </w:t>
      </w:r>
    </w:p>
    <w:p w:rsidR="001B4A1E" w:rsidRDefault="001B4A1E" w:rsidP="00E4791E">
      <w:pPr>
        <w:rPr>
          <w:b/>
          <w:sz w:val="22"/>
          <w:szCs w:val="22"/>
        </w:rPr>
      </w:pPr>
    </w:p>
    <w:p w:rsidR="001B4A1E" w:rsidRDefault="008701D3" w:rsidP="00E4791E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Didanozín</w:t>
      </w:r>
      <w:proofErr w:type="spellEnd"/>
      <w:r>
        <w:rPr>
          <w:b/>
          <w:sz w:val="22"/>
          <w:szCs w:val="22"/>
        </w:rPr>
        <w:t xml:space="preserve"> (</w:t>
      </w:r>
      <w:proofErr w:type="spellStart"/>
      <w:r>
        <w:rPr>
          <w:b/>
          <w:sz w:val="22"/>
          <w:szCs w:val="22"/>
        </w:rPr>
        <w:t>dideoxyinosín</w:t>
      </w:r>
      <w:proofErr w:type="spellEnd"/>
      <w:r>
        <w:rPr>
          <w:b/>
          <w:sz w:val="22"/>
          <w:szCs w:val="22"/>
        </w:rPr>
        <w:t xml:space="preserve">): </w:t>
      </w:r>
      <w:r>
        <w:rPr>
          <w:sz w:val="22"/>
          <w:szCs w:val="22"/>
        </w:rPr>
        <w:t xml:space="preserve">pri súbežnom podávaní </w:t>
      </w:r>
      <w:proofErr w:type="spellStart"/>
      <w:r>
        <w:rPr>
          <w:sz w:val="22"/>
          <w:szCs w:val="22"/>
        </w:rPr>
        <w:t>azitromycínu</w:t>
      </w:r>
      <w:proofErr w:type="spellEnd"/>
      <w:r>
        <w:rPr>
          <w:sz w:val="22"/>
          <w:szCs w:val="22"/>
        </w:rPr>
        <w:t xml:space="preserve"> v dávke 1</w:t>
      </w:r>
      <w:r w:rsidR="00DC5320">
        <w:rPr>
          <w:sz w:val="22"/>
          <w:szCs w:val="22"/>
        </w:rPr>
        <w:t> </w:t>
      </w:r>
      <w:r>
        <w:rPr>
          <w:sz w:val="22"/>
          <w:szCs w:val="22"/>
        </w:rPr>
        <w:t>200 mg/deň a </w:t>
      </w:r>
      <w:proofErr w:type="spellStart"/>
      <w:r>
        <w:rPr>
          <w:sz w:val="22"/>
          <w:szCs w:val="22"/>
        </w:rPr>
        <w:t>didanozínu</w:t>
      </w:r>
      <w:proofErr w:type="spellEnd"/>
      <w:r>
        <w:rPr>
          <w:sz w:val="22"/>
          <w:szCs w:val="22"/>
        </w:rPr>
        <w:t xml:space="preserve"> v dávke 400 mg/deň šiestim HIV-pozitívnym pacientom sa nepreukázal vplyv na </w:t>
      </w:r>
      <w:proofErr w:type="spellStart"/>
      <w:r>
        <w:rPr>
          <w:sz w:val="22"/>
          <w:szCs w:val="22"/>
        </w:rPr>
        <w:t>farmakokinetiku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didanozínu</w:t>
      </w:r>
      <w:proofErr w:type="spellEnd"/>
      <w:r>
        <w:rPr>
          <w:sz w:val="22"/>
          <w:szCs w:val="22"/>
        </w:rPr>
        <w:t xml:space="preserve"> v rovnovážnom stave v porovnaní s placebom.</w:t>
      </w:r>
    </w:p>
    <w:p w:rsidR="00FE4051" w:rsidRDefault="00FE4051" w:rsidP="00E4791E">
      <w:pPr>
        <w:rPr>
          <w:sz w:val="22"/>
          <w:szCs w:val="22"/>
        </w:rPr>
      </w:pPr>
    </w:p>
    <w:p w:rsidR="00FE4051" w:rsidRDefault="00FE4051" w:rsidP="00E4791E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Digoxín</w:t>
      </w:r>
      <w:proofErr w:type="spellEnd"/>
      <w:r w:rsidRPr="005D4221">
        <w:rPr>
          <w:b/>
          <w:sz w:val="22"/>
          <w:szCs w:val="22"/>
        </w:rPr>
        <w:t xml:space="preserve"> </w:t>
      </w:r>
      <w:r w:rsidR="00074CDA">
        <w:rPr>
          <w:b/>
          <w:sz w:val="22"/>
          <w:szCs w:val="22"/>
        </w:rPr>
        <w:t>a </w:t>
      </w:r>
      <w:proofErr w:type="spellStart"/>
      <w:r w:rsidR="00074CDA">
        <w:rPr>
          <w:b/>
          <w:sz w:val="22"/>
          <w:szCs w:val="22"/>
        </w:rPr>
        <w:t>kolchicín</w:t>
      </w:r>
      <w:proofErr w:type="spellEnd"/>
      <w:r w:rsidR="00074CDA">
        <w:rPr>
          <w:b/>
          <w:sz w:val="22"/>
          <w:szCs w:val="22"/>
        </w:rPr>
        <w:t xml:space="preserve"> </w:t>
      </w:r>
      <w:r w:rsidRPr="005D4221">
        <w:rPr>
          <w:b/>
          <w:sz w:val="22"/>
          <w:szCs w:val="22"/>
        </w:rPr>
        <w:t>(P-</w:t>
      </w:r>
      <w:proofErr w:type="spellStart"/>
      <w:r w:rsidRPr="005D4221">
        <w:rPr>
          <w:b/>
          <w:sz w:val="22"/>
          <w:szCs w:val="22"/>
        </w:rPr>
        <w:t>gp</w:t>
      </w:r>
      <w:proofErr w:type="spellEnd"/>
      <w:r w:rsidRPr="005D4221">
        <w:rPr>
          <w:b/>
          <w:sz w:val="22"/>
          <w:szCs w:val="22"/>
        </w:rPr>
        <w:t xml:space="preserve"> substrát</w:t>
      </w:r>
      <w:r w:rsidR="00074CDA">
        <w:rPr>
          <w:b/>
          <w:sz w:val="22"/>
          <w:szCs w:val="22"/>
        </w:rPr>
        <w:t>y</w:t>
      </w:r>
      <w:r w:rsidRPr="005D4221"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súbežné podávanie </w:t>
      </w:r>
      <w:proofErr w:type="spellStart"/>
      <w:r>
        <w:rPr>
          <w:sz w:val="22"/>
          <w:szCs w:val="22"/>
        </w:rPr>
        <w:t>makrolidových</w:t>
      </w:r>
      <w:proofErr w:type="spellEnd"/>
      <w:r>
        <w:rPr>
          <w:sz w:val="22"/>
          <w:szCs w:val="22"/>
        </w:rPr>
        <w:t xml:space="preserve"> antibiotík, vrátane </w:t>
      </w:r>
      <w:proofErr w:type="spellStart"/>
      <w:r>
        <w:rPr>
          <w:sz w:val="22"/>
          <w:szCs w:val="22"/>
        </w:rPr>
        <w:t>azitromycínu</w:t>
      </w:r>
      <w:proofErr w:type="spellEnd"/>
      <w:r>
        <w:rPr>
          <w:sz w:val="22"/>
          <w:szCs w:val="22"/>
        </w:rPr>
        <w:t>, so substrátmi P-</w:t>
      </w:r>
      <w:proofErr w:type="spellStart"/>
      <w:r>
        <w:rPr>
          <w:sz w:val="22"/>
          <w:szCs w:val="22"/>
        </w:rPr>
        <w:t>glykoproteínu</w:t>
      </w:r>
      <w:proofErr w:type="spellEnd"/>
      <w:r>
        <w:rPr>
          <w:sz w:val="22"/>
          <w:szCs w:val="22"/>
        </w:rPr>
        <w:t xml:space="preserve">, ako je </w:t>
      </w:r>
      <w:proofErr w:type="spellStart"/>
      <w:r>
        <w:rPr>
          <w:sz w:val="22"/>
          <w:szCs w:val="22"/>
        </w:rPr>
        <w:t>digoxín</w:t>
      </w:r>
      <w:proofErr w:type="spellEnd"/>
      <w:r w:rsidR="00074CDA">
        <w:rPr>
          <w:sz w:val="22"/>
          <w:szCs w:val="22"/>
        </w:rPr>
        <w:t xml:space="preserve"> a </w:t>
      </w:r>
      <w:proofErr w:type="spellStart"/>
      <w:r w:rsidR="00074CDA">
        <w:rPr>
          <w:sz w:val="22"/>
          <w:szCs w:val="22"/>
        </w:rPr>
        <w:t>kolchicín</w:t>
      </w:r>
      <w:proofErr w:type="spellEnd"/>
      <w:r>
        <w:rPr>
          <w:sz w:val="22"/>
          <w:szCs w:val="22"/>
        </w:rPr>
        <w:t>, viedlo k zvýšeniu sérových hladín substrátu P</w:t>
      </w:r>
      <w:r>
        <w:rPr>
          <w:sz w:val="22"/>
          <w:szCs w:val="22"/>
        </w:rPr>
        <w:noBreakHyphen/>
      </w:r>
      <w:proofErr w:type="spellStart"/>
      <w:r>
        <w:rPr>
          <w:sz w:val="22"/>
          <w:szCs w:val="22"/>
        </w:rPr>
        <w:t>glykoproteínu</w:t>
      </w:r>
      <w:proofErr w:type="spellEnd"/>
      <w:r>
        <w:rPr>
          <w:sz w:val="22"/>
          <w:szCs w:val="22"/>
        </w:rPr>
        <w:t>. Preto</w:t>
      </w:r>
      <w:r w:rsidR="00DC5320">
        <w:rPr>
          <w:sz w:val="22"/>
          <w:szCs w:val="22"/>
        </w:rPr>
        <w:t xml:space="preserve">, </w:t>
      </w:r>
      <w:r>
        <w:rPr>
          <w:sz w:val="22"/>
          <w:szCs w:val="22"/>
        </w:rPr>
        <w:t>ak sa</w:t>
      </w:r>
      <w:r w:rsidR="00DC5320">
        <w:rPr>
          <w:sz w:val="22"/>
          <w:szCs w:val="22"/>
        </w:rPr>
        <w:t xml:space="preserve"> </w:t>
      </w:r>
      <w:proofErr w:type="spellStart"/>
      <w:r w:rsidR="00DC5320">
        <w:rPr>
          <w:sz w:val="22"/>
          <w:szCs w:val="22"/>
        </w:rPr>
        <w:t>azitromycín</w:t>
      </w:r>
      <w:proofErr w:type="spellEnd"/>
      <w:r w:rsidR="00DC5320">
        <w:rPr>
          <w:sz w:val="22"/>
          <w:szCs w:val="22"/>
        </w:rPr>
        <w:t xml:space="preserve"> a P-</w:t>
      </w:r>
      <w:proofErr w:type="spellStart"/>
      <w:r w:rsidR="00DC5320">
        <w:rPr>
          <w:sz w:val="22"/>
          <w:szCs w:val="22"/>
        </w:rPr>
        <w:t>gp</w:t>
      </w:r>
      <w:proofErr w:type="spellEnd"/>
      <w:r w:rsidR="00DC5320">
        <w:rPr>
          <w:sz w:val="22"/>
          <w:szCs w:val="22"/>
        </w:rPr>
        <w:t xml:space="preserve"> substrát, ako je </w:t>
      </w:r>
      <w:proofErr w:type="spellStart"/>
      <w:r w:rsidR="00DC5320">
        <w:rPr>
          <w:sz w:val="22"/>
          <w:szCs w:val="22"/>
        </w:rPr>
        <w:t>digoxín</w:t>
      </w:r>
      <w:proofErr w:type="spellEnd"/>
      <w:r w:rsidR="00DC5320">
        <w:rPr>
          <w:sz w:val="22"/>
          <w:szCs w:val="22"/>
        </w:rPr>
        <w:t>, podávajú súbežne, je potrebné zvážiť zvýšené sérové koncentrácie substrátu.</w:t>
      </w:r>
      <w:r>
        <w:rPr>
          <w:sz w:val="22"/>
          <w:szCs w:val="22"/>
        </w:rPr>
        <w:t xml:space="preserve">   </w:t>
      </w:r>
    </w:p>
    <w:p w:rsidR="00FE4051" w:rsidRPr="00997843" w:rsidRDefault="00FE4051" w:rsidP="00E4791E">
      <w:pPr>
        <w:rPr>
          <w:b/>
          <w:sz w:val="22"/>
          <w:szCs w:val="22"/>
        </w:rPr>
      </w:pPr>
    </w:p>
    <w:p w:rsidR="00997843" w:rsidRPr="005D4221" w:rsidRDefault="00997843" w:rsidP="00997843">
      <w:pPr>
        <w:rPr>
          <w:sz w:val="22"/>
          <w:szCs w:val="22"/>
        </w:rPr>
      </w:pPr>
      <w:proofErr w:type="spellStart"/>
      <w:r w:rsidRPr="005D4221">
        <w:rPr>
          <w:b/>
          <w:iCs/>
          <w:sz w:val="22"/>
          <w:szCs w:val="22"/>
        </w:rPr>
        <w:t>Zidovudín</w:t>
      </w:r>
      <w:proofErr w:type="spellEnd"/>
      <w:r w:rsidR="00CA0D80">
        <w:rPr>
          <w:b/>
          <w:iCs/>
          <w:sz w:val="22"/>
          <w:szCs w:val="22"/>
        </w:rPr>
        <w:t xml:space="preserve">: </w:t>
      </w:r>
      <w:r w:rsidR="00CA0D80" w:rsidRPr="005D4221">
        <w:rPr>
          <w:iCs/>
          <w:sz w:val="22"/>
          <w:szCs w:val="22"/>
        </w:rPr>
        <w:t>j</w:t>
      </w:r>
      <w:r w:rsidRPr="005D4221">
        <w:rPr>
          <w:sz w:val="22"/>
          <w:szCs w:val="22"/>
        </w:rPr>
        <w:t>ednorazové dávky 1</w:t>
      </w:r>
      <w:r w:rsidR="00074CDA">
        <w:rPr>
          <w:sz w:val="22"/>
          <w:szCs w:val="22"/>
        </w:rPr>
        <w:t xml:space="preserve"> </w:t>
      </w:r>
      <w:r w:rsidRPr="005D4221">
        <w:rPr>
          <w:sz w:val="22"/>
          <w:szCs w:val="22"/>
        </w:rPr>
        <w:t xml:space="preserve">000 mg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a opakované dávky 1</w:t>
      </w:r>
      <w:r w:rsidR="00074CDA">
        <w:rPr>
          <w:sz w:val="22"/>
          <w:szCs w:val="22"/>
        </w:rPr>
        <w:t xml:space="preserve"> </w:t>
      </w:r>
      <w:r w:rsidRPr="005D4221">
        <w:rPr>
          <w:sz w:val="22"/>
          <w:szCs w:val="22"/>
        </w:rPr>
        <w:t xml:space="preserve">200 mg alebo 600 mg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mali len nepatrný vplyv na </w:t>
      </w:r>
      <w:proofErr w:type="spellStart"/>
      <w:r w:rsidRPr="005D4221">
        <w:rPr>
          <w:sz w:val="22"/>
          <w:szCs w:val="22"/>
        </w:rPr>
        <w:t>farmakokinetiku</w:t>
      </w:r>
      <w:proofErr w:type="spellEnd"/>
      <w:r w:rsidRPr="005D4221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zidovudínu</w:t>
      </w:r>
      <w:proofErr w:type="spellEnd"/>
      <w:r w:rsidRPr="005D4221">
        <w:rPr>
          <w:sz w:val="22"/>
          <w:szCs w:val="22"/>
        </w:rPr>
        <w:t xml:space="preserve"> alebo jeho </w:t>
      </w:r>
      <w:proofErr w:type="spellStart"/>
      <w:r w:rsidRPr="005D4221">
        <w:rPr>
          <w:sz w:val="22"/>
          <w:szCs w:val="22"/>
        </w:rPr>
        <w:t>glukuronidového</w:t>
      </w:r>
      <w:proofErr w:type="spellEnd"/>
      <w:r w:rsidRPr="005D4221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metabolitu</w:t>
      </w:r>
      <w:proofErr w:type="spellEnd"/>
      <w:r w:rsidRPr="005D4221">
        <w:rPr>
          <w:sz w:val="22"/>
          <w:szCs w:val="22"/>
        </w:rPr>
        <w:t xml:space="preserve"> v plazme alebo na </w:t>
      </w:r>
      <w:proofErr w:type="spellStart"/>
      <w:r w:rsidRPr="005D4221">
        <w:rPr>
          <w:sz w:val="22"/>
          <w:szCs w:val="22"/>
        </w:rPr>
        <w:t>renálne</w:t>
      </w:r>
      <w:proofErr w:type="spellEnd"/>
      <w:r w:rsidRPr="005D4221">
        <w:rPr>
          <w:sz w:val="22"/>
          <w:szCs w:val="22"/>
        </w:rPr>
        <w:t xml:space="preserve"> vylučovanie. Avšak po podaní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sa zvýšila koncentrácia </w:t>
      </w:r>
      <w:proofErr w:type="spellStart"/>
      <w:r w:rsidRPr="005D4221">
        <w:rPr>
          <w:sz w:val="22"/>
          <w:szCs w:val="22"/>
        </w:rPr>
        <w:t>fosforylovaného</w:t>
      </w:r>
      <w:proofErr w:type="spellEnd"/>
      <w:r w:rsidRPr="005D4221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zidovudínu</w:t>
      </w:r>
      <w:proofErr w:type="spellEnd"/>
      <w:r w:rsidRPr="005D4221">
        <w:rPr>
          <w:sz w:val="22"/>
          <w:szCs w:val="22"/>
        </w:rPr>
        <w:t xml:space="preserve">, klinicky aktívneho </w:t>
      </w:r>
      <w:proofErr w:type="spellStart"/>
      <w:r w:rsidRPr="005D4221">
        <w:rPr>
          <w:sz w:val="22"/>
          <w:szCs w:val="22"/>
        </w:rPr>
        <w:t>metabolitu</w:t>
      </w:r>
      <w:proofErr w:type="spellEnd"/>
      <w:r w:rsidRPr="005D4221">
        <w:rPr>
          <w:sz w:val="22"/>
          <w:szCs w:val="22"/>
        </w:rPr>
        <w:t xml:space="preserve"> v </w:t>
      </w:r>
      <w:proofErr w:type="spellStart"/>
      <w:r w:rsidRPr="005D4221">
        <w:rPr>
          <w:sz w:val="22"/>
          <w:szCs w:val="22"/>
        </w:rPr>
        <w:t>mononukleárnych</w:t>
      </w:r>
      <w:proofErr w:type="spellEnd"/>
      <w:r w:rsidRPr="005D4221">
        <w:rPr>
          <w:sz w:val="22"/>
          <w:szCs w:val="22"/>
        </w:rPr>
        <w:t xml:space="preserve"> bunkách v periférnom obehu. Klinický význam tohto zistenia nie je jasný, ale môže mať prínos pre pacientov.</w:t>
      </w:r>
    </w:p>
    <w:p w:rsidR="00997843" w:rsidRPr="005D4221" w:rsidRDefault="00997843" w:rsidP="00997843">
      <w:pPr>
        <w:rPr>
          <w:sz w:val="22"/>
          <w:szCs w:val="22"/>
        </w:rPr>
      </w:pPr>
    </w:p>
    <w:p w:rsidR="00997843" w:rsidRPr="005D4221" w:rsidRDefault="00997843" w:rsidP="00997843">
      <w:pPr>
        <w:rPr>
          <w:sz w:val="22"/>
          <w:szCs w:val="22"/>
        </w:rPr>
      </w:pPr>
      <w:proofErr w:type="spellStart"/>
      <w:r w:rsidRPr="005D4221">
        <w:rPr>
          <w:sz w:val="22"/>
          <w:szCs w:val="22"/>
        </w:rPr>
        <w:t>Azitromycín</w:t>
      </w:r>
      <w:proofErr w:type="spellEnd"/>
      <w:r w:rsidRPr="005D4221">
        <w:rPr>
          <w:sz w:val="22"/>
          <w:szCs w:val="22"/>
        </w:rPr>
        <w:t xml:space="preserve"> významne neovplyvňuje pečeňový systém cytochrómu P450. Nepredpokladá sa, že dochádza k </w:t>
      </w:r>
      <w:proofErr w:type="spellStart"/>
      <w:r w:rsidRPr="005D4221">
        <w:rPr>
          <w:sz w:val="22"/>
          <w:szCs w:val="22"/>
        </w:rPr>
        <w:t>farmakokinetickým</w:t>
      </w:r>
      <w:proofErr w:type="spellEnd"/>
      <w:r w:rsidRPr="005D4221">
        <w:rPr>
          <w:sz w:val="22"/>
          <w:szCs w:val="22"/>
        </w:rPr>
        <w:t xml:space="preserve"> liekovým interakciám, ako je to zrejmé pri </w:t>
      </w:r>
      <w:proofErr w:type="spellStart"/>
      <w:r w:rsidRPr="005D4221">
        <w:rPr>
          <w:sz w:val="22"/>
          <w:szCs w:val="22"/>
        </w:rPr>
        <w:t>erytromycíne</w:t>
      </w:r>
      <w:proofErr w:type="spellEnd"/>
      <w:r w:rsidRPr="005D4221">
        <w:rPr>
          <w:sz w:val="22"/>
          <w:szCs w:val="22"/>
        </w:rPr>
        <w:t xml:space="preserve"> a iných </w:t>
      </w:r>
      <w:proofErr w:type="spellStart"/>
      <w:r w:rsidRPr="005D4221">
        <w:rPr>
          <w:sz w:val="22"/>
          <w:szCs w:val="22"/>
        </w:rPr>
        <w:t>makrolidových</w:t>
      </w:r>
      <w:proofErr w:type="spellEnd"/>
      <w:r w:rsidRPr="005D4221">
        <w:rPr>
          <w:sz w:val="22"/>
          <w:szCs w:val="22"/>
        </w:rPr>
        <w:t xml:space="preserve"> antibiotikách. Pri </w:t>
      </w:r>
      <w:proofErr w:type="spellStart"/>
      <w:r w:rsidRPr="005D4221">
        <w:rPr>
          <w:sz w:val="22"/>
          <w:szCs w:val="22"/>
        </w:rPr>
        <w:t>azitromycín</w:t>
      </w:r>
      <w:r w:rsidR="00D56EDD">
        <w:rPr>
          <w:sz w:val="22"/>
          <w:szCs w:val="22"/>
        </w:rPr>
        <w:t>e</w:t>
      </w:r>
      <w:proofErr w:type="spellEnd"/>
      <w:r w:rsidRPr="005D4221">
        <w:rPr>
          <w:sz w:val="22"/>
          <w:szCs w:val="22"/>
        </w:rPr>
        <w:t xml:space="preserve"> nedochádza k indukcii pečeňového cytochrómu P450 alebo k </w:t>
      </w:r>
      <w:proofErr w:type="spellStart"/>
      <w:r w:rsidRPr="005D4221">
        <w:rPr>
          <w:sz w:val="22"/>
          <w:szCs w:val="22"/>
        </w:rPr>
        <w:t>inaktivácii</w:t>
      </w:r>
      <w:proofErr w:type="spellEnd"/>
      <w:r w:rsidRPr="005D4221">
        <w:rPr>
          <w:sz w:val="22"/>
          <w:szCs w:val="22"/>
        </w:rPr>
        <w:t xml:space="preserve"> komplexu </w:t>
      </w:r>
      <w:proofErr w:type="spellStart"/>
      <w:r w:rsidRPr="005D4221">
        <w:rPr>
          <w:sz w:val="22"/>
          <w:szCs w:val="22"/>
        </w:rPr>
        <w:t>cytochróm-metabolit</w:t>
      </w:r>
      <w:proofErr w:type="spellEnd"/>
      <w:r w:rsidRPr="005D4221">
        <w:rPr>
          <w:sz w:val="22"/>
          <w:szCs w:val="22"/>
        </w:rPr>
        <w:t>.</w:t>
      </w:r>
    </w:p>
    <w:p w:rsidR="001B4A1E" w:rsidRPr="00E9395A" w:rsidRDefault="001B4A1E" w:rsidP="00E4791E">
      <w:pPr>
        <w:rPr>
          <w:b/>
          <w:sz w:val="22"/>
          <w:szCs w:val="22"/>
        </w:rPr>
      </w:pPr>
    </w:p>
    <w:p w:rsidR="00997843" w:rsidRPr="005D4221" w:rsidRDefault="00997843" w:rsidP="00997843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Ergotamínové</w:t>
      </w:r>
      <w:proofErr w:type="spellEnd"/>
      <w:r w:rsidRPr="005D4221">
        <w:rPr>
          <w:b/>
          <w:sz w:val="22"/>
          <w:szCs w:val="22"/>
        </w:rPr>
        <w:t xml:space="preserve"> deriváty</w:t>
      </w:r>
      <w:r w:rsidR="00CA0D80">
        <w:rPr>
          <w:b/>
          <w:sz w:val="22"/>
          <w:szCs w:val="22"/>
        </w:rPr>
        <w:t xml:space="preserve">: </w:t>
      </w:r>
      <w:r w:rsidR="00CA0D80">
        <w:rPr>
          <w:sz w:val="22"/>
          <w:szCs w:val="22"/>
        </w:rPr>
        <w:t>s</w:t>
      </w:r>
      <w:r w:rsidRPr="005D4221">
        <w:rPr>
          <w:sz w:val="22"/>
          <w:szCs w:val="22"/>
        </w:rPr>
        <w:t xml:space="preserve">úbežné podávanie </w:t>
      </w:r>
      <w:proofErr w:type="spellStart"/>
      <w:r w:rsidRPr="005D4221">
        <w:rPr>
          <w:sz w:val="22"/>
          <w:szCs w:val="22"/>
        </w:rPr>
        <w:t>ergotamínu</w:t>
      </w:r>
      <w:proofErr w:type="spellEnd"/>
      <w:r w:rsidRPr="005D4221">
        <w:rPr>
          <w:sz w:val="22"/>
          <w:szCs w:val="22"/>
        </w:rPr>
        <w:t xml:space="preserve"> a niektorých </w:t>
      </w:r>
      <w:proofErr w:type="spellStart"/>
      <w:r w:rsidRPr="005D4221">
        <w:rPr>
          <w:sz w:val="22"/>
          <w:szCs w:val="22"/>
        </w:rPr>
        <w:t>makrolidových</w:t>
      </w:r>
      <w:proofErr w:type="spellEnd"/>
      <w:r w:rsidRPr="005D4221">
        <w:rPr>
          <w:sz w:val="22"/>
          <w:szCs w:val="22"/>
        </w:rPr>
        <w:t xml:space="preserve"> antibiotík môže teoreticky vyvolať </w:t>
      </w:r>
      <w:proofErr w:type="spellStart"/>
      <w:r w:rsidRPr="005D4221">
        <w:rPr>
          <w:sz w:val="22"/>
          <w:szCs w:val="22"/>
        </w:rPr>
        <w:t>ergotizmus</w:t>
      </w:r>
      <w:proofErr w:type="spellEnd"/>
      <w:r w:rsidRPr="005D4221">
        <w:rPr>
          <w:sz w:val="22"/>
          <w:szCs w:val="22"/>
        </w:rPr>
        <w:t>, a preto sa ich použitie v kombinácii neodporúča (pozri časť 4.4).</w:t>
      </w:r>
    </w:p>
    <w:p w:rsidR="00997843" w:rsidRPr="005D4221" w:rsidRDefault="00997843" w:rsidP="00997843">
      <w:pPr>
        <w:rPr>
          <w:sz w:val="22"/>
          <w:szCs w:val="22"/>
        </w:rPr>
      </w:pPr>
    </w:p>
    <w:p w:rsidR="00997843" w:rsidRPr="005D4221" w:rsidRDefault="00997843" w:rsidP="00997843">
      <w:pPr>
        <w:rPr>
          <w:sz w:val="22"/>
          <w:szCs w:val="22"/>
        </w:rPr>
      </w:pPr>
      <w:r w:rsidRPr="005D4221">
        <w:rPr>
          <w:sz w:val="22"/>
          <w:szCs w:val="22"/>
        </w:rPr>
        <w:t xml:space="preserve">Vykonali sa </w:t>
      </w:r>
      <w:proofErr w:type="spellStart"/>
      <w:r w:rsidRPr="005D4221">
        <w:rPr>
          <w:sz w:val="22"/>
          <w:szCs w:val="22"/>
        </w:rPr>
        <w:t>farmakokinetické</w:t>
      </w:r>
      <w:proofErr w:type="spellEnd"/>
      <w:r w:rsidRPr="005D4221">
        <w:rPr>
          <w:sz w:val="22"/>
          <w:szCs w:val="22"/>
        </w:rPr>
        <w:t xml:space="preserve"> štúdie s </w:t>
      </w:r>
      <w:proofErr w:type="spellStart"/>
      <w:r w:rsidRPr="005D4221">
        <w:rPr>
          <w:sz w:val="22"/>
          <w:szCs w:val="22"/>
        </w:rPr>
        <w:t>azitromycínom</w:t>
      </w:r>
      <w:proofErr w:type="spellEnd"/>
      <w:r w:rsidRPr="005D4221">
        <w:rPr>
          <w:sz w:val="22"/>
          <w:szCs w:val="22"/>
        </w:rPr>
        <w:t xml:space="preserve"> a nasledujúcimi liekmi, o ktorých je známe, že sa významne metabolizujú cytochrómom P450.</w:t>
      </w:r>
    </w:p>
    <w:p w:rsidR="00DC5320" w:rsidRPr="00E9395A" w:rsidRDefault="00DC5320" w:rsidP="00E4791E">
      <w:pPr>
        <w:rPr>
          <w:b/>
          <w:sz w:val="22"/>
          <w:szCs w:val="22"/>
        </w:rPr>
      </w:pPr>
    </w:p>
    <w:p w:rsidR="00E9395A" w:rsidRPr="005D4221" w:rsidRDefault="00E9395A" w:rsidP="00E9395A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Atorvastatín</w:t>
      </w:r>
      <w:proofErr w:type="spellEnd"/>
      <w:r w:rsidR="00CA0D80">
        <w:rPr>
          <w:b/>
          <w:sz w:val="22"/>
          <w:szCs w:val="22"/>
        </w:rPr>
        <w:t xml:space="preserve">: </w:t>
      </w:r>
      <w:r w:rsidR="00CA0D80">
        <w:rPr>
          <w:sz w:val="22"/>
          <w:szCs w:val="22"/>
        </w:rPr>
        <w:t>s</w:t>
      </w:r>
      <w:r w:rsidRPr="005D4221">
        <w:rPr>
          <w:sz w:val="22"/>
          <w:szCs w:val="22"/>
        </w:rPr>
        <w:t xml:space="preserve">úbežné užívanie </w:t>
      </w:r>
      <w:proofErr w:type="spellStart"/>
      <w:r w:rsidRPr="005D4221">
        <w:rPr>
          <w:sz w:val="22"/>
          <w:szCs w:val="22"/>
        </w:rPr>
        <w:t>atorvastatínu</w:t>
      </w:r>
      <w:proofErr w:type="spellEnd"/>
      <w:r w:rsidRPr="005D4221">
        <w:rPr>
          <w:sz w:val="22"/>
          <w:szCs w:val="22"/>
        </w:rPr>
        <w:t xml:space="preserve"> (10 mg denne) a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(500 mg denne) nemalo vplyv na plazmatickú koncentráciu </w:t>
      </w:r>
      <w:proofErr w:type="spellStart"/>
      <w:r w:rsidRPr="005D4221">
        <w:rPr>
          <w:sz w:val="22"/>
          <w:szCs w:val="22"/>
        </w:rPr>
        <w:t>atorvastatínu</w:t>
      </w:r>
      <w:proofErr w:type="spellEnd"/>
      <w:r w:rsidRPr="005D4221">
        <w:rPr>
          <w:sz w:val="22"/>
          <w:szCs w:val="22"/>
        </w:rPr>
        <w:t xml:space="preserve"> (na základe testu inhibície HMG </w:t>
      </w:r>
      <w:proofErr w:type="spellStart"/>
      <w:r w:rsidRPr="005D4221">
        <w:rPr>
          <w:sz w:val="22"/>
          <w:szCs w:val="22"/>
        </w:rPr>
        <w:t>CoA-reduktázy</w:t>
      </w:r>
      <w:proofErr w:type="spellEnd"/>
      <w:r w:rsidRPr="005D4221">
        <w:rPr>
          <w:sz w:val="22"/>
          <w:szCs w:val="22"/>
        </w:rPr>
        <w:t>).</w:t>
      </w:r>
      <w:r>
        <w:rPr>
          <w:sz w:val="22"/>
          <w:szCs w:val="22"/>
        </w:rPr>
        <w:t xml:space="preserve"> Avšak, po uvedení lieku na trh boli u pacientov užívajúcich </w:t>
      </w:r>
      <w:proofErr w:type="spellStart"/>
      <w:r>
        <w:rPr>
          <w:sz w:val="22"/>
          <w:szCs w:val="22"/>
        </w:rPr>
        <w:t>azitromycín</w:t>
      </w:r>
      <w:proofErr w:type="spellEnd"/>
      <w:r>
        <w:rPr>
          <w:sz w:val="22"/>
          <w:szCs w:val="22"/>
        </w:rPr>
        <w:t xml:space="preserve"> hlásené prípady </w:t>
      </w:r>
      <w:proofErr w:type="spellStart"/>
      <w:r>
        <w:rPr>
          <w:sz w:val="22"/>
          <w:szCs w:val="22"/>
        </w:rPr>
        <w:t>rabdomyolýzy</w:t>
      </w:r>
      <w:proofErr w:type="spellEnd"/>
      <w:r w:rsidR="00992BE5">
        <w:rPr>
          <w:sz w:val="22"/>
          <w:szCs w:val="22"/>
        </w:rPr>
        <w:t>.</w:t>
      </w:r>
      <w:r>
        <w:rPr>
          <w:sz w:val="22"/>
          <w:szCs w:val="22"/>
        </w:rPr>
        <w:t xml:space="preserve">   </w:t>
      </w:r>
    </w:p>
    <w:p w:rsidR="00DC5320" w:rsidRPr="00CA0D80" w:rsidRDefault="00DC5320" w:rsidP="00E4791E">
      <w:pPr>
        <w:rPr>
          <w:b/>
          <w:sz w:val="22"/>
          <w:szCs w:val="22"/>
        </w:rPr>
      </w:pPr>
    </w:p>
    <w:p w:rsidR="00CA0D80" w:rsidRPr="005D4221" w:rsidRDefault="00CA0D80" w:rsidP="00CA0D80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Karbamazepín</w:t>
      </w:r>
      <w:proofErr w:type="spellEnd"/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v</w:t>
      </w:r>
      <w:r w:rsidRPr="005D4221">
        <w:rPr>
          <w:sz w:val="22"/>
          <w:szCs w:val="22"/>
        </w:rPr>
        <w:t xml:space="preserve">o </w:t>
      </w:r>
      <w:proofErr w:type="spellStart"/>
      <w:r w:rsidRPr="005D4221">
        <w:rPr>
          <w:sz w:val="22"/>
          <w:szCs w:val="22"/>
        </w:rPr>
        <w:t>farmakokinetickej</w:t>
      </w:r>
      <w:proofErr w:type="spellEnd"/>
      <w:r w:rsidRPr="005D4221">
        <w:rPr>
          <w:sz w:val="22"/>
          <w:szCs w:val="22"/>
        </w:rPr>
        <w:t xml:space="preserve"> interakčnej štúdii u zdravých dobrovoľníkov sa nepozoroval žiadny významný vplyv na plazmatické hladiny </w:t>
      </w:r>
      <w:proofErr w:type="spellStart"/>
      <w:r w:rsidRPr="005D4221">
        <w:rPr>
          <w:sz w:val="22"/>
          <w:szCs w:val="22"/>
        </w:rPr>
        <w:t>karbamazepínu</w:t>
      </w:r>
      <w:proofErr w:type="spellEnd"/>
      <w:r w:rsidRPr="005D4221">
        <w:rPr>
          <w:sz w:val="22"/>
          <w:szCs w:val="22"/>
        </w:rPr>
        <w:t xml:space="preserve"> alebo jeho aktívneho metabolitu u</w:t>
      </w:r>
      <w:r>
        <w:rPr>
          <w:sz w:val="22"/>
          <w:szCs w:val="22"/>
        </w:rPr>
        <w:t> </w:t>
      </w:r>
      <w:r w:rsidRPr="005D4221">
        <w:rPr>
          <w:sz w:val="22"/>
          <w:szCs w:val="22"/>
        </w:rPr>
        <w:t xml:space="preserve">pacientov užívajúcich súbežne </w:t>
      </w:r>
      <w:proofErr w:type="spellStart"/>
      <w:r w:rsidRPr="005D4221">
        <w:rPr>
          <w:sz w:val="22"/>
          <w:szCs w:val="22"/>
        </w:rPr>
        <w:t>azitromycín</w:t>
      </w:r>
      <w:proofErr w:type="spellEnd"/>
      <w:r>
        <w:rPr>
          <w:sz w:val="22"/>
          <w:szCs w:val="22"/>
        </w:rPr>
        <w:t>.</w:t>
      </w:r>
      <w:r w:rsidRPr="005D4221">
        <w:rPr>
          <w:sz w:val="22"/>
          <w:szCs w:val="22"/>
        </w:rPr>
        <w:t xml:space="preserve"> </w:t>
      </w:r>
    </w:p>
    <w:p w:rsidR="00CA0D80" w:rsidRPr="005D4221" w:rsidRDefault="00CA0D80" w:rsidP="00CA0D80">
      <w:pPr>
        <w:rPr>
          <w:sz w:val="22"/>
          <w:szCs w:val="22"/>
        </w:rPr>
      </w:pPr>
    </w:p>
    <w:p w:rsidR="00CA0D80" w:rsidRPr="005D4221" w:rsidRDefault="00CA0D80" w:rsidP="00CA0D80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Cimetidín</w:t>
      </w:r>
      <w:proofErr w:type="spellEnd"/>
      <w:r>
        <w:rPr>
          <w:b/>
          <w:sz w:val="22"/>
          <w:szCs w:val="22"/>
        </w:rPr>
        <w:t xml:space="preserve">: </w:t>
      </w:r>
      <w:r w:rsidRPr="005D4221">
        <w:rPr>
          <w:sz w:val="22"/>
          <w:szCs w:val="22"/>
        </w:rPr>
        <w:t xml:space="preserve">vo </w:t>
      </w:r>
      <w:proofErr w:type="spellStart"/>
      <w:r w:rsidRPr="005D4221">
        <w:rPr>
          <w:sz w:val="22"/>
          <w:szCs w:val="22"/>
        </w:rPr>
        <w:t>farmakokinetickej</w:t>
      </w:r>
      <w:proofErr w:type="spellEnd"/>
      <w:r w:rsidRPr="005D4221">
        <w:rPr>
          <w:sz w:val="22"/>
          <w:szCs w:val="22"/>
        </w:rPr>
        <w:t xml:space="preserve"> štúdii skúmajúcej vplyv jednorazovej dávky </w:t>
      </w:r>
      <w:proofErr w:type="spellStart"/>
      <w:r w:rsidRPr="005D4221">
        <w:rPr>
          <w:sz w:val="22"/>
          <w:szCs w:val="22"/>
        </w:rPr>
        <w:t>cimetidínu</w:t>
      </w:r>
      <w:proofErr w:type="spellEnd"/>
      <w:r w:rsidRPr="005D4221">
        <w:rPr>
          <w:sz w:val="22"/>
          <w:szCs w:val="22"/>
        </w:rPr>
        <w:t xml:space="preserve"> podanej 2 hodiny pred podaním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na </w:t>
      </w:r>
      <w:proofErr w:type="spellStart"/>
      <w:r w:rsidRPr="005D4221">
        <w:rPr>
          <w:sz w:val="22"/>
          <w:szCs w:val="22"/>
        </w:rPr>
        <w:t>farmakokinetiku</w:t>
      </w:r>
      <w:proofErr w:type="spellEnd"/>
      <w:r w:rsidRPr="005D4221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sa nepozorovali žiadne zmeny vo </w:t>
      </w:r>
      <w:proofErr w:type="spellStart"/>
      <w:r w:rsidRPr="005D4221">
        <w:rPr>
          <w:sz w:val="22"/>
          <w:szCs w:val="22"/>
        </w:rPr>
        <w:t>farmakokinetike</w:t>
      </w:r>
      <w:proofErr w:type="spellEnd"/>
      <w:r w:rsidRPr="005D4221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>.</w:t>
      </w:r>
    </w:p>
    <w:p w:rsidR="00CA0D80" w:rsidRPr="005D4221" w:rsidRDefault="00CA0D80" w:rsidP="00CA0D80">
      <w:pPr>
        <w:rPr>
          <w:sz w:val="22"/>
          <w:szCs w:val="22"/>
        </w:rPr>
      </w:pPr>
    </w:p>
    <w:p w:rsidR="00CA0D80" w:rsidRPr="00CA0D80" w:rsidRDefault="00CA0D80" w:rsidP="00CA0D80">
      <w:pPr>
        <w:rPr>
          <w:sz w:val="22"/>
          <w:szCs w:val="22"/>
        </w:rPr>
      </w:pPr>
      <w:r w:rsidRPr="005D4221">
        <w:rPr>
          <w:b/>
          <w:sz w:val="22"/>
          <w:szCs w:val="22"/>
        </w:rPr>
        <w:t xml:space="preserve">Perorálne </w:t>
      </w:r>
      <w:proofErr w:type="spellStart"/>
      <w:r w:rsidRPr="005D4221">
        <w:rPr>
          <w:b/>
          <w:sz w:val="22"/>
          <w:szCs w:val="22"/>
        </w:rPr>
        <w:t>antikoagulanciá</w:t>
      </w:r>
      <w:proofErr w:type="spellEnd"/>
      <w:r w:rsidRPr="005D4221">
        <w:rPr>
          <w:b/>
          <w:sz w:val="22"/>
          <w:szCs w:val="22"/>
        </w:rPr>
        <w:t xml:space="preserve"> </w:t>
      </w:r>
      <w:proofErr w:type="spellStart"/>
      <w:r w:rsidRPr="005D4221">
        <w:rPr>
          <w:b/>
          <w:sz w:val="22"/>
          <w:szCs w:val="22"/>
        </w:rPr>
        <w:t>kumarínového</w:t>
      </w:r>
      <w:proofErr w:type="spellEnd"/>
      <w:r w:rsidRPr="005D4221">
        <w:rPr>
          <w:b/>
          <w:sz w:val="22"/>
          <w:szCs w:val="22"/>
        </w:rPr>
        <w:t xml:space="preserve"> typu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v</w:t>
      </w:r>
      <w:r w:rsidRPr="005D4221">
        <w:rPr>
          <w:sz w:val="22"/>
          <w:szCs w:val="22"/>
        </w:rPr>
        <w:t xml:space="preserve">o </w:t>
      </w:r>
      <w:proofErr w:type="spellStart"/>
      <w:r w:rsidRPr="005D4221">
        <w:rPr>
          <w:sz w:val="22"/>
          <w:szCs w:val="22"/>
        </w:rPr>
        <w:t>farmakokinetickej</w:t>
      </w:r>
      <w:proofErr w:type="spellEnd"/>
      <w:r w:rsidRPr="005D4221">
        <w:rPr>
          <w:sz w:val="22"/>
          <w:szCs w:val="22"/>
        </w:rPr>
        <w:t xml:space="preserve"> interakčnej štúdi</w:t>
      </w:r>
      <w:r w:rsidR="00D56EDD">
        <w:rPr>
          <w:sz w:val="22"/>
          <w:szCs w:val="22"/>
        </w:rPr>
        <w:t>e</w:t>
      </w:r>
      <w:r w:rsidRPr="005D4221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azitromycín</w:t>
      </w:r>
      <w:proofErr w:type="spellEnd"/>
      <w:r w:rsidRPr="005D4221">
        <w:rPr>
          <w:sz w:val="22"/>
          <w:szCs w:val="22"/>
        </w:rPr>
        <w:t xml:space="preserve"> neovplyvnil </w:t>
      </w:r>
      <w:proofErr w:type="spellStart"/>
      <w:r w:rsidRPr="005D4221">
        <w:rPr>
          <w:sz w:val="22"/>
          <w:szCs w:val="22"/>
        </w:rPr>
        <w:t>antikoagulačný</w:t>
      </w:r>
      <w:proofErr w:type="spellEnd"/>
      <w:r w:rsidRPr="005D4221">
        <w:rPr>
          <w:sz w:val="22"/>
          <w:szCs w:val="22"/>
        </w:rPr>
        <w:t xml:space="preserve"> účinok jednorazovej 15 mg dávky </w:t>
      </w:r>
      <w:proofErr w:type="spellStart"/>
      <w:r w:rsidRPr="005D4221">
        <w:rPr>
          <w:sz w:val="22"/>
          <w:szCs w:val="22"/>
        </w:rPr>
        <w:t>warfarínu</w:t>
      </w:r>
      <w:proofErr w:type="spellEnd"/>
      <w:r w:rsidRPr="005D4221">
        <w:rPr>
          <w:sz w:val="22"/>
          <w:szCs w:val="22"/>
        </w:rPr>
        <w:t xml:space="preserve"> podanej zdravým dobrovoľníkom. Údaje získané z obdobia po uvedení lieku na trh poukazujú na zvýšenú krvácavosť po súbežnom podávaní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a </w:t>
      </w:r>
      <w:proofErr w:type="spellStart"/>
      <w:r w:rsidRPr="005D4221">
        <w:rPr>
          <w:sz w:val="22"/>
          <w:szCs w:val="22"/>
        </w:rPr>
        <w:t>kumarínových</w:t>
      </w:r>
      <w:proofErr w:type="spellEnd"/>
      <w:r w:rsidRPr="005D4221">
        <w:rPr>
          <w:sz w:val="22"/>
          <w:szCs w:val="22"/>
        </w:rPr>
        <w:t xml:space="preserve"> perorálnych </w:t>
      </w:r>
      <w:proofErr w:type="spellStart"/>
      <w:r w:rsidRPr="005D4221">
        <w:rPr>
          <w:sz w:val="22"/>
          <w:szCs w:val="22"/>
        </w:rPr>
        <w:t>antikoagulancií</w:t>
      </w:r>
      <w:proofErr w:type="spellEnd"/>
      <w:r w:rsidRPr="005D4221">
        <w:rPr>
          <w:sz w:val="22"/>
          <w:szCs w:val="22"/>
        </w:rPr>
        <w:t xml:space="preserve">. Aj keď sa príčinná súvislosť nepreukázala, je potrebné venovať pozornosť frekvencii merania </w:t>
      </w:r>
      <w:proofErr w:type="spellStart"/>
      <w:r w:rsidRPr="005D4221">
        <w:rPr>
          <w:sz w:val="22"/>
          <w:szCs w:val="22"/>
        </w:rPr>
        <w:t>protrombínového</w:t>
      </w:r>
      <w:proofErr w:type="spellEnd"/>
      <w:r w:rsidRPr="005D4221">
        <w:rPr>
          <w:sz w:val="22"/>
          <w:szCs w:val="22"/>
        </w:rPr>
        <w:t xml:space="preserve"> času, keď sa </w:t>
      </w:r>
      <w:proofErr w:type="spellStart"/>
      <w:r w:rsidRPr="005D4221">
        <w:rPr>
          <w:sz w:val="22"/>
          <w:szCs w:val="22"/>
        </w:rPr>
        <w:t>azitromycín</w:t>
      </w:r>
      <w:proofErr w:type="spellEnd"/>
      <w:r w:rsidRPr="005D4221">
        <w:rPr>
          <w:sz w:val="22"/>
          <w:szCs w:val="22"/>
        </w:rPr>
        <w:t xml:space="preserve"> používa u pacientov, ktorí dostávajú perorálne </w:t>
      </w:r>
      <w:proofErr w:type="spellStart"/>
      <w:r w:rsidRPr="005D4221">
        <w:rPr>
          <w:sz w:val="22"/>
          <w:szCs w:val="22"/>
        </w:rPr>
        <w:t>antikoagulanciá</w:t>
      </w:r>
      <w:proofErr w:type="spellEnd"/>
      <w:r w:rsidRPr="005D4221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kumarínového</w:t>
      </w:r>
      <w:proofErr w:type="spellEnd"/>
      <w:r w:rsidRPr="005D4221">
        <w:rPr>
          <w:sz w:val="22"/>
          <w:szCs w:val="22"/>
        </w:rPr>
        <w:t xml:space="preserve"> typu.</w:t>
      </w:r>
    </w:p>
    <w:p w:rsidR="00CA0D80" w:rsidRPr="00CA0D80" w:rsidRDefault="00CA0D80" w:rsidP="00CA0D80">
      <w:pPr>
        <w:rPr>
          <w:sz w:val="22"/>
          <w:szCs w:val="22"/>
        </w:rPr>
      </w:pPr>
    </w:p>
    <w:p w:rsidR="00CA0D80" w:rsidRPr="005D4221" w:rsidRDefault="00CA0D80" w:rsidP="00CA0D80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Cyklosporín</w:t>
      </w:r>
      <w:proofErr w:type="spellEnd"/>
      <w:r w:rsidR="009D6A1F">
        <w:rPr>
          <w:b/>
          <w:sz w:val="22"/>
          <w:szCs w:val="22"/>
        </w:rPr>
        <w:t xml:space="preserve">: </w:t>
      </w:r>
      <w:r w:rsidR="009D6A1F">
        <w:rPr>
          <w:sz w:val="22"/>
          <w:szCs w:val="22"/>
        </w:rPr>
        <w:t>v</w:t>
      </w:r>
      <w:r w:rsidRPr="005D4221">
        <w:rPr>
          <w:sz w:val="22"/>
          <w:szCs w:val="22"/>
        </w:rPr>
        <w:t xml:space="preserve">o </w:t>
      </w:r>
      <w:proofErr w:type="spellStart"/>
      <w:r w:rsidRPr="005D4221">
        <w:rPr>
          <w:sz w:val="22"/>
          <w:szCs w:val="22"/>
        </w:rPr>
        <w:t>farmakokinetickej</w:t>
      </w:r>
      <w:proofErr w:type="spellEnd"/>
      <w:r w:rsidRPr="005D4221">
        <w:rPr>
          <w:sz w:val="22"/>
          <w:szCs w:val="22"/>
        </w:rPr>
        <w:t xml:space="preserve"> štúdii so zdravými dobrovoľníkmi, ktorým bola podávaná perorálna dávka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500 mg/deň počas 3 dní a následne jednorazová perorálna dávka </w:t>
      </w:r>
      <w:proofErr w:type="spellStart"/>
      <w:r w:rsidRPr="005D4221">
        <w:rPr>
          <w:sz w:val="22"/>
          <w:szCs w:val="22"/>
        </w:rPr>
        <w:t>cyklosporínu</w:t>
      </w:r>
      <w:proofErr w:type="spellEnd"/>
      <w:r w:rsidRPr="005D4221">
        <w:rPr>
          <w:sz w:val="22"/>
          <w:szCs w:val="22"/>
        </w:rPr>
        <w:t xml:space="preserve"> 10 mg/kg, došlo k významnému zvýšeniu </w:t>
      </w:r>
      <w:proofErr w:type="spellStart"/>
      <w:r w:rsidRPr="005D4221">
        <w:rPr>
          <w:sz w:val="22"/>
          <w:szCs w:val="22"/>
        </w:rPr>
        <w:t>C</w:t>
      </w:r>
      <w:r w:rsidRPr="005D4221">
        <w:rPr>
          <w:sz w:val="22"/>
          <w:szCs w:val="22"/>
          <w:vertAlign w:val="subscript"/>
        </w:rPr>
        <w:t>max</w:t>
      </w:r>
      <w:proofErr w:type="spellEnd"/>
      <w:r w:rsidRPr="005D4221">
        <w:rPr>
          <w:sz w:val="22"/>
          <w:szCs w:val="22"/>
        </w:rPr>
        <w:t xml:space="preserve"> a AUC</w:t>
      </w:r>
      <w:r w:rsidRPr="005D4221">
        <w:rPr>
          <w:sz w:val="22"/>
          <w:szCs w:val="22"/>
          <w:vertAlign w:val="subscript"/>
        </w:rPr>
        <w:t xml:space="preserve">0-5 </w:t>
      </w:r>
      <w:proofErr w:type="spellStart"/>
      <w:r w:rsidRPr="005D4221">
        <w:rPr>
          <w:sz w:val="22"/>
          <w:szCs w:val="22"/>
        </w:rPr>
        <w:t>cyklosporínu</w:t>
      </w:r>
      <w:proofErr w:type="spellEnd"/>
      <w:r w:rsidRPr="005D4221">
        <w:rPr>
          <w:sz w:val="22"/>
          <w:szCs w:val="22"/>
        </w:rPr>
        <w:t xml:space="preserve">. Pri zvažovaní </w:t>
      </w:r>
      <w:r w:rsidRPr="005D4221">
        <w:rPr>
          <w:sz w:val="22"/>
          <w:szCs w:val="22"/>
        </w:rPr>
        <w:lastRenderedPageBreak/>
        <w:t>súbežného podávania týchto liekov je potrebná opatrnosť. Ak je súbežné podávanie týchto liekov nevyhnutné</w:t>
      </w:r>
      <w:r w:rsidR="004B597E" w:rsidRPr="00E21C9E">
        <w:rPr>
          <w:sz w:val="22"/>
          <w:szCs w:val="22"/>
        </w:rPr>
        <w:t>,</w:t>
      </w:r>
      <w:r w:rsidRPr="005D4221">
        <w:rPr>
          <w:sz w:val="22"/>
          <w:szCs w:val="22"/>
        </w:rPr>
        <w:t xml:space="preserve"> majú sa monitorovať hladiny </w:t>
      </w:r>
      <w:proofErr w:type="spellStart"/>
      <w:r w:rsidRPr="005D4221">
        <w:rPr>
          <w:sz w:val="22"/>
          <w:szCs w:val="22"/>
        </w:rPr>
        <w:t>cyklosporínu</w:t>
      </w:r>
      <w:proofErr w:type="spellEnd"/>
      <w:r w:rsidRPr="005D4221">
        <w:rPr>
          <w:sz w:val="22"/>
          <w:szCs w:val="22"/>
        </w:rPr>
        <w:t xml:space="preserve"> a dávka sa má podľa potreby upraviť.</w:t>
      </w:r>
    </w:p>
    <w:p w:rsidR="00CA0D80" w:rsidRPr="005D4221" w:rsidRDefault="00CA0D80" w:rsidP="00CA0D80">
      <w:pPr>
        <w:rPr>
          <w:sz w:val="22"/>
          <w:szCs w:val="22"/>
        </w:rPr>
      </w:pPr>
    </w:p>
    <w:p w:rsidR="00CA0D80" w:rsidRPr="005D4221" w:rsidRDefault="00CA0D80" w:rsidP="00CA0D80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Efavirenz</w:t>
      </w:r>
      <w:proofErr w:type="spellEnd"/>
      <w:r w:rsidR="009D6A1F">
        <w:rPr>
          <w:b/>
          <w:sz w:val="22"/>
          <w:szCs w:val="22"/>
        </w:rPr>
        <w:t xml:space="preserve">: </w:t>
      </w:r>
      <w:r w:rsidR="009D6A1F">
        <w:rPr>
          <w:sz w:val="22"/>
          <w:szCs w:val="22"/>
        </w:rPr>
        <w:t>s</w:t>
      </w:r>
      <w:r w:rsidRPr="005D4221">
        <w:rPr>
          <w:sz w:val="22"/>
          <w:szCs w:val="22"/>
        </w:rPr>
        <w:t xml:space="preserve">úbežné podanie jednorazovej dávky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600 mg a 400 mg </w:t>
      </w:r>
      <w:proofErr w:type="spellStart"/>
      <w:r w:rsidRPr="005D4221">
        <w:rPr>
          <w:sz w:val="22"/>
          <w:szCs w:val="22"/>
        </w:rPr>
        <w:t>efavirenzu</w:t>
      </w:r>
      <w:proofErr w:type="spellEnd"/>
      <w:r w:rsidRPr="005D4221">
        <w:rPr>
          <w:sz w:val="22"/>
          <w:szCs w:val="22"/>
        </w:rPr>
        <w:t xml:space="preserve"> denne počas 7 dní neviedlo k žiadnym klinicky významným </w:t>
      </w:r>
      <w:proofErr w:type="spellStart"/>
      <w:r w:rsidRPr="005D4221">
        <w:rPr>
          <w:sz w:val="22"/>
          <w:szCs w:val="22"/>
        </w:rPr>
        <w:t>farmakokinetickým</w:t>
      </w:r>
      <w:proofErr w:type="spellEnd"/>
      <w:r w:rsidRPr="005D4221">
        <w:rPr>
          <w:sz w:val="22"/>
          <w:szCs w:val="22"/>
        </w:rPr>
        <w:t xml:space="preserve"> interakciám.</w:t>
      </w:r>
    </w:p>
    <w:p w:rsidR="00CA0D80" w:rsidRPr="005D4221" w:rsidRDefault="00CA0D80" w:rsidP="00CA0D80">
      <w:pPr>
        <w:rPr>
          <w:b/>
          <w:sz w:val="22"/>
          <w:szCs w:val="22"/>
        </w:rPr>
      </w:pPr>
    </w:p>
    <w:p w:rsidR="00CA0D80" w:rsidRPr="005D4221" w:rsidRDefault="00CA0D80" w:rsidP="00CA0D80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Flukonazol</w:t>
      </w:r>
      <w:proofErr w:type="spellEnd"/>
      <w:r w:rsidR="009D6A1F">
        <w:rPr>
          <w:b/>
          <w:sz w:val="22"/>
          <w:szCs w:val="22"/>
        </w:rPr>
        <w:t xml:space="preserve">: </w:t>
      </w:r>
      <w:r w:rsidR="009D6A1F">
        <w:rPr>
          <w:sz w:val="22"/>
          <w:szCs w:val="22"/>
        </w:rPr>
        <w:t>s</w:t>
      </w:r>
      <w:r w:rsidRPr="005D4221">
        <w:rPr>
          <w:sz w:val="22"/>
          <w:szCs w:val="22"/>
        </w:rPr>
        <w:t xml:space="preserve">úbežné podanie jednorazovej dávky 1 200 mg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nezmenilo </w:t>
      </w:r>
      <w:proofErr w:type="spellStart"/>
      <w:r w:rsidRPr="005D4221">
        <w:rPr>
          <w:sz w:val="22"/>
          <w:szCs w:val="22"/>
        </w:rPr>
        <w:t>farmakokinetiku</w:t>
      </w:r>
      <w:proofErr w:type="spellEnd"/>
      <w:r w:rsidRPr="005D4221">
        <w:rPr>
          <w:sz w:val="22"/>
          <w:szCs w:val="22"/>
        </w:rPr>
        <w:t xml:space="preserve"> jednorazovej dávky 800 mg </w:t>
      </w:r>
      <w:proofErr w:type="spellStart"/>
      <w:r w:rsidRPr="005D4221">
        <w:rPr>
          <w:sz w:val="22"/>
          <w:szCs w:val="22"/>
        </w:rPr>
        <w:t>flukonazolu</w:t>
      </w:r>
      <w:proofErr w:type="spellEnd"/>
      <w:r w:rsidRPr="005D4221">
        <w:rPr>
          <w:sz w:val="22"/>
          <w:szCs w:val="22"/>
        </w:rPr>
        <w:t xml:space="preserve">. Pri súbežnom podávaní </w:t>
      </w:r>
      <w:proofErr w:type="spellStart"/>
      <w:r w:rsidRPr="005D4221">
        <w:rPr>
          <w:sz w:val="22"/>
          <w:szCs w:val="22"/>
        </w:rPr>
        <w:t>flukonazolu</w:t>
      </w:r>
      <w:proofErr w:type="spellEnd"/>
      <w:r w:rsidRPr="005D4221">
        <w:rPr>
          <w:sz w:val="22"/>
          <w:szCs w:val="22"/>
        </w:rPr>
        <w:t xml:space="preserve"> boli celková expozícia a polčas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nezmenené, avšak pozorovalo sa klinicky nevýznamné zníženie v </w:t>
      </w:r>
      <w:proofErr w:type="spellStart"/>
      <w:r w:rsidRPr="005D4221">
        <w:rPr>
          <w:sz w:val="22"/>
          <w:szCs w:val="22"/>
        </w:rPr>
        <w:t>C</w:t>
      </w:r>
      <w:r w:rsidRPr="005D4221">
        <w:rPr>
          <w:sz w:val="22"/>
          <w:szCs w:val="22"/>
          <w:vertAlign w:val="subscript"/>
        </w:rPr>
        <w:t>max</w:t>
      </w:r>
      <w:proofErr w:type="spellEnd"/>
      <w:r w:rsidRPr="005D4221">
        <w:rPr>
          <w:sz w:val="22"/>
          <w:szCs w:val="22"/>
          <w:vertAlign w:val="subscript"/>
        </w:rPr>
        <w:t xml:space="preserve"> </w:t>
      </w:r>
      <w:r w:rsidRPr="005D4221">
        <w:rPr>
          <w:sz w:val="22"/>
          <w:szCs w:val="22"/>
        </w:rPr>
        <w:t xml:space="preserve">(18%)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. </w:t>
      </w:r>
    </w:p>
    <w:p w:rsidR="00CA0D80" w:rsidRPr="005D4221" w:rsidRDefault="00CA0D80" w:rsidP="00CA0D80">
      <w:pPr>
        <w:rPr>
          <w:sz w:val="22"/>
          <w:szCs w:val="22"/>
        </w:rPr>
      </w:pPr>
    </w:p>
    <w:p w:rsidR="00CA0D80" w:rsidRPr="005D4221" w:rsidRDefault="00CA0D80" w:rsidP="00CA0D80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Indinavir</w:t>
      </w:r>
      <w:proofErr w:type="spellEnd"/>
      <w:r w:rsidR="009D6A1F">
        <w:rPr>
          <w:b/>
          <w:sz w:val="22"/>
          <w:szCs w:val="22"/>
        </w:rPr>
        <w:t xml:space="preserve">: </w:t>
      </w:r>
      <w:r w:rsidR="009D6A1F">
        <w:rPr>
          <w:sz w:val="22"/>
          <w:szCs w:val="22"/>
        </w:rPr>
        <w:t>s</w:t>
      </w:r>
      <w:r w:rsidRPr="005D4221">
        <w:rPr>
          <w:sz w:val="22"/>
          <w:szCs w:val="22"/>
        </w:rPr>
        <w:t xml:space="preserve">úbežné podanie jednorazovej dávky 1 200 mg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nemalo štatisticky významný vplyv na </w:t>
      </w:r>
      <w:proofErr w:type="spellStart"/>
      <w:r w:rsidRPr="005D4221">
        <w:rPr>
          <w:sz w:val="22"/>
          <w:szCs w:val="22"/>
        </w:rPr>
        <w:t>farmakokinetiku</w:t>
      </w:r>
      <w:proofErr w:type="spellEnd"/>
      <w:r w:rsidRPr="005D4221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indinaviru</w:t>
      </w:r>
      <w:proofErr w:type="spellEnd"/>
      <w:r w:rsidRPr="005D4221">
        <w:rPr>
          <w:sz w:val="22"/>
          <w:szCs w:val="22"/>
        </w:rPr>
        <w:t xml:space="preserve"> podávaného v dávke 800 mg trikrát denne počas piatich dní.</w:t>
      </w:r>
    </w:p>
    <w:p w:rsidR="00CA0D80" w:rsidRPr="005D4221" w:rsidRDefault="00CA0D80" w:rsidP="00CA0D80">
      <w:pPr>
        <w:rPr>
          <w:b/>
          <w:sz w:val="22"/>
          <w:szCs w:val="22"/>
          <w:highlight w:val="yellow"/>
        </w:rPr>
      </w:pPr>
    </w:p>
    <w:p w:rsidR="00CA0D80" w:rsidRPr="005D4221" w:rsidRDefault="00CA0D80" w:rsidP="00CA0D80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Metylprednizolón</w:t>
      </w:r>
      <w:proofErr w:type="spellEnd"/>
      <w:r w:rsidR="009D6A1F">
        <w:rPr>
          <w:b/>
          <w:sz w:val="22"/>
          <w:szCs w:val="22"/>
        </w:rPr>
        <w:t>:</w:t>
      </w:r>
      <w:r w:rsidR="009D6A1F" w:rsidRPr="005D4221">
        <w:rPr>
          <w:sz w:val="22"/>
          <w:szCs w:val="22"/>
        </w:rPr>
        <w:t xml:space="preserve"> v</w:t>
      </w:r>
      <w:r w:rsidRPr="005D4221">
        <w:rPr>
          <w:sz w:val="22"/>
          <w:szCs w:val="22"/>
        </w:rPr>
        <w:t xml:space="preserve">o </w:t>
      </w:r>
      <w:proofErr w:type="spellStart"/>
      <w:r w:rsidRPr="005D4221">
        <w:rPr>
          <w:sz w:val="22"/>
          <w:szCs w:val="22"/>
        </w:rPr>
        <w:t>farmakokinetickej</w:t>
      </w:r>
      <w:proofErr w:type="spellEnd"/>
      <w:r w:rsidRPr="005D4221">
        <w:rPr>
          <w:sz w:val="22"/>
          <w:szCs w:val="22"/>
        </w:rPr>
        <w:t xml:space="preserve"> interakčnej štúdii u zdravých dobrovoľníkov nemal </w:t>
      </w:r>
      <w:proofErr w:type="spellStart"/>
      <w:r w:rsidRPr="005D4221">
        <w:rPr>
          <w:sz w:val="22"/>
          <w:szCs w:val="22"/>
        </w:rPr>
        <w:t>azitromycín</w:t>
      </w:r>
      <w:proofErr w:type="spellEnd"/>
      <w:r w:rsidRPr="005D4221">
        <w:rPr>
          <w:sz w:val="22"/>
          <w:szCs w:val="22"/>
        </w:rPr>
        <w:t xml:space="preserve"> významný vplyv na </w:t>
      </w:r>
      <w:proofErr w:type="spellStart"/>
      <w:r w:rsidRPr="005D4221">
        <w:rPr>
          <w:sz w:val="22"/>
          <w:szCs w:val="22"/>
        </w:rPr>
        <w:t>farmakokinetiku</w:t>
      </w:r>
      <w:proofErr w:type="spellEnd"/>
      <w:r w:rsidRPr="005D4221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metylprednizolónu</w:t>
      </w:r>
      <w:proofErr w:type="spellEnd"/>
      <w:r w:rsidRPr="005D4221">
        <w:rPr>
          <w:sz w:val="22"/>
          <w:szCs w:val="22"/>
        </w:rPr>
        <w:t>.</w:t>
      </w:r>
    </w:p>
    <w:p w:rsidR="00CA0D80" w:rsidRPr="005D4221" w:rsidRDefault="00CA0D80" w:rsidP="00CA0D80">
      <w:pPr>
        <w:rPr>
          <w:sz w:val="22"/>
          <w:szCs w:val="22"/>
        </w:rPr>
      </w:pPr>
    </w:p>
    <w:p w:rsidR="00CA0D80" w:rsidRPr="009D6A1F" w:rsidRDefault="00CA0D80" w:rsidP="00CA0D80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Midazolam</w:t>
      </w:r>
      <w:proofErr w:type="spellEnd"/>
      <w:r w:rsidR="009D6A1F" w:rsidRPr="009D6A1F">
        <w:rPr>
          <w:b/>
          <w:sz w:val="22"/>
          <w:szCs w:val="22"/>
        </w:rPr>
        <w:t xml:space="preserve">: </w:t>
      </w:r>
      <w:r w:rsidR="009D6A1F" w:rsidRPr="009D6A1F">
        <w:rPr>
          <w:sz w:val="22"/>
          <w:szCs w:val="22"/>
        </w:rPr>
        <w:t xml:space="preserve">u </w:t>
      </w:r>
      <w:r w:rsidRPr="005D4221">
        <w:rPr>
          <w:sz w:val="22"/>
          <w:szCs w:val="22"/>
        </w:rPr>
        <w:t xml:space="preserve">zdravých dobrovoľníkov súbežné podávanie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500 mg/deň po dobu 3 dní nespôsobilo</w:t>
      </w:r>
      <w:r w:rsidR="009D6A1F" w:rsidRPr="009D6A1F">
        <w:rPr>
          <w:sz w:val="22"/>
          <w:szCs w:val="22"/>
        </w:rPr>
        <w:t xml:space="preserve"> </w:t>
      </w:r>
      <w:r w:rsidRPr="005D4221">
        <w:rPr>
          <w:sz w:val="22"/>
          <w:szCs w:val="22"/>
        </w:rPr>
        <w:t xml:space="preserve">klinicky významné zmeny vo </w:t>
      </w:r>
      <w:proofErr w:type="spellStart"/>
      <w:r w:rsidRPr="005D4221">
        <w:rPr>
          <w:sz w:val="22"/>
          <w:szCs w:val="22"/>
        </w:rPr>
        <w:t>farmakokinetike</w:t>
      </w:r>
      <w:proofErr w:type="spellEnd"/>
      <w:r w:rsidRPr="005D4221">
        <w:rPr>
          <w:sz w:val="22"/>
          <w:szCs w:val="22"/>
        </w:rPr>
        <w:t xml:space="preserve"> a </w:t>
      </w:r>
      <w:proofErr w:type="spellStart"/>
      <w:r w:rsidRPr="005D4221">
        <w:rPr>
          <w:sz w:val="22"/>
          <w:szCs w:val="22"/>
        </w:rPr>
        <w:t>farmakodynamike</w:t>
      </w:r>
      <w:proofErr w:type="spellEnd"/>
      <w:r w:rsidRPr="005D4221">
        <w:rPr>
          <w:sz w:val="22"/>
          <w:szCs w:val="22"/>
        </w:rPr>
        <w:t xml:space="preserve"> jednorazovej dávky 15</w:t>
      </w:r>
      <w:r w:rsidR="009D6A1F" w:rsidRPr="009D6A1F">
        <w:rPr>
          <w:sz w:val="22"/>
          <w:szCs w:val="22"/>
        </w:rPr>
        <w:t> </w:t>
      </w:r>
      <w:r w:rsidRPr="005D4221">
        <w:rPr>
          <w:sz w:val="22"/>
          <w:szCs w:val="22"/>
        </w:rPr>
        <w:t>mg</w:t>
      </w:r>
      <w:r w:rsidR="009D6A1F" w:rsidRPr="009D6A1F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midazolamu</w:t>
      </w:r>
      <w:proofErr w:type="spellEnd"/>
      <w:r w:rsidRPr="005D4221">
        <w:rPr>
          <w:sz w:val="22"/>
          <w:szCs w:val="22"/>
        </w:rPr>
        <w:t>.</w:t>
      </w:r>
    </w:p>
    <w:p w:rsidR="009D6A1F" w:rsidRPr="009D6A1F" w:rsidRDefault="009D6A1F" w:rsidP="00CA0D80">
      <w:pPr>
        <w:rPr>
          <w:sz w:val="22"/>
          <w:szCs w:val="22"/>
        </w:rPr>
      </w:pPr>
    </w:p>
    <w:p w:rsidR="009D6A1F" w:rsidRPr="005D4221" w:rsidRDefault="009D6A1F" w:rsidP="009D6A1F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Nelfinavir</w:t>
      </w:r>
      <w:proofErr w:type="spellEnd"/>
      <w:r>
        <w:rPr>
          <w:b/>
          <w:sz w:val="22"/>
          <w:szCs w:val="22"/>
        </w:rPr>
        <w:t xml:space="preserve">: </w:t>
      </w:r>
      <w:r w:rsidRPr="005D4221">
        <w:rPr>
          <w:sz w:val="22"/>
          <w:szCs w:val="22"/>
        </w:rPr>
        <w:t xml:space="preserve">súbežné podávanie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>
        <w:rPr>
          <w:sz w:val="22"/>
          <w:szCs w:val="22"/>
        </w:rPr>
        <w:t xml:space="preserve"> (</w:t>
      </w:r>
      <w:r w:rsidRPr="005D4221">
        <w:rPr>
          <w:sz w:val="22"/>
          <w:szCs w:val="22"/>
        </w:rPr>
        <w:t>1 200 mg</w:t>
      </w:r>
      <w:r>
        <w:rPr>
          <w:sz w:val="22"/>
          <w:szCs w:val="22"/>
        </w:rPr>
        <w:t xml:space="preserve">) </w:t>
      </w:r>
      <w:r w:rsidRPr="005D4221">
        <w:rPr>
          <w:sz w:val="22"/>
          <w:szCs w:val="22"/>
        </w:rPr>
        <w:t xml:space="preserve">a </w:t>
      </w:r>
      <w:proofErr w:type="spellStart"/>
      <w:r w:rsidRPr="005D4221">
        <w:rPr>
          <w:sz w:val="22"/>
          <w:szCs w:val="22"/>
        </w:rPr>
        <w:t>nelfinaviru</w:t>
      </w:r>
      <w:proofErr w:type="spellEnd"/>
      <w:r w:rsidRPr="005D4221">
        <w:rPr>
          <w:sz w:val="22"/>
          <w:szCs w:val="22"/>
        </w:rPr>
        <w:t xml:space="preserve"> (750 mg 3-krát denne) v rovnovážnom stave viedlo k zvýšeniu koncentrácie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>. Nepozorovali sa žiadne klinicky významné nežiaduce účinky a nie je potrebná úprava dávky.</w:t>
      </w:r>
    </w:p>
    <w:p w:rsidR="009D6A1F" w:rsidRPr="005D4221" w:rsidRDefault="009D6A1F" w:rsidP="009D6A1F">
      <w:pPr>
        <w:rPr>
          <w:color w:val="FF0000"/>
          <w:sz w:val="22"/>
          <w:szCs w:val="22"/>
        </w:rPr>
      </w:pPr>
    </w:p>
    <w:p w:rsidR="009D6A1F" w:rsidRPr="005D4221" w:rsidRDefault="009D6A1F" w:rsidP="009D6A1F">
      <w:pPr>
        <w:rPr>
          <w:sz w:val="22"/>
          <w:szCs w:val="22"/>
        </w:rPr>
      </w:pPr>
      <w:proofErr w:type="spellStart"/>
      <w:r w:rsidRPr="005D4221">
        <w:rPr>
          <w:b/>
          <w:iCs/>
          <w:sz w:val="22"/>
          <w:szCs w:val="22"/>
        </w:rPr>
        <w:t>Rifabutín</w:t>
      </w:r>
      <w:proofErr w:type="spellEnd"/>
      <w:r w:rsidR="007232FE">
        <w:rPr>
          <w:b/>
          <w:iCs/>
          <w:sz w:val="22"/>
          <w:szCs w:val="22"/>
        </w:rPr>
        <w:t xml:space="preserve">: </w:t>
      </w:r>
      <w:r w:rsidR="007232FE">
        <w:rPr>
          <w:iCs/>
          <w:sz w:val="22"/>
          <w:szCs w:val="22"/>
        </w:rPr>
        <w:t>s</w:t>
      </w:r>
      <w:r w:rsidRPr="005D4221">
        <w:rPr>
          <w:sz w:val="22"/>
          <w:szCs w:val="22"/>
        </w:rPr>
        <w:t xml:space="preserve">úbežné podávanie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a </w:t>
      </w:r>
      <w:proofErr w:type="spellStart"/>
      <w:r w:rsidRPr="005D4221">
        <w:rPr>
          <w:sz w:val="22"/>
          <w:szCs w:val="22"/>
        </w:rPr>
        <w:t>rifabutínu</w:t>
      </w:r>
      <w:proofErr w:type="spellEnd"/>
      <w:r w:rsidRPr="005D4221">
        <w:rPr>
          <w:sz w:val="22"/>
          <w:szCs w:val="22"/>
        </w:rPr>
        <w:t xml:space="preserve"> neovplyvnilo sérovú koncentráciu ani jedného z liekov. </w:t>
      </w:r>
    </w:p>
    <w:p w:rsidR="009D6A1F" w:rsidRPr="005D4221" w:rsidRDefault="009D6A1F" w:rsidP="009D6A1F">
      <w:pPr>
        <w:rPr>
          <w:sz w:val="22"/>
          <w:szCs w:val="22"/>
        </w:rPr>
      </w:pPr>
      <w:r w:rsidRPr="005D4221">
        <w:rPr>
          <w:sz w:val="22"/>
          <w:szCs w:val="22"/>
        </w:rPr>
        <w:t xml:space="preserve">U pacientov liečených súčasne </w:t>
      </w:r>
      <w:proofErr w:type="spellStart"/>
      <w:r w:rsidRPr="005D4221">
        <w:rPr>
          <w:sz w:val="22"/>
          <w:szCs w:val="22"/>
        </w:rPr>
        <w:t>azitromycínom</w:t>
      </w:r>
      <w:proofErr w:type="spellEnd"/>
      <w:r w:rsidRPr="005D4221">
        <w:rPr>
          <w:sz w:val="22"/>
          <w:szCs w:val="22"/>
        </w:rPr>
        <w:t xml:space="preserve"> a </w:t>
      </w:r>
      <w:proofErr w:type="spellStart"/>
      <w:r w:rsidRPr="005D4221">
        <w:rPr>
          <w:sz w:val="22"/>
          <w:szCs w:val="22"/>
        </w:rPr>
        <w:t>rifabutínom</w:t>
      </w:r>
      <w:proofErr w:type="spellEnd"/>
      <w:r w:rsidRPr="005D4221">
        <w:rPr>
          <w:sz w:val="22"/>
          <w:szCs w:val="22"/>
        </w:rPr>
        <w:t xml:space="preserve"> sa pozorovala </w:t>
      </w:r>
      <w:proofErr w:type="spellStart"/>
      <w:r w:rsidRPr="005D4221">
        <w:rPr>
          <w:sz w:val="22"/>
          <w:szCs w:val="22"/>
        </w:rPr>
        <w:t>neutropénia</w:t>
      </w:r>
      <w:proofErr w:type="spellEnd"/>
      <w:r w:rsidRPr="005D4221">
        <w:rPr>
          <w:sz w:val="22"/>
          <w:szCs w:val="22"/>
        </w:rPr>
        <w:t xml:space="preserve">. Aj keď </w:t>
      </w:r>
      <w:proofErr w:type="spellStart"/>
      <w:r w:rsidRPr="005D4221">
        <w:rPr>
          <w:sz w:val="22"/>
          <w:szCs w:val="22"/>
        </w:rPr>
        <w:t>neutropénia</w:t>
      </w:r>
      <w:proofErr w:type="spellEnd"/>
      <w:r w:rsidRPr="005D4221">
        <w:rPr>
          <w:sz w:val="22"/>
          <w:szCs w:val="22"/>
        </w:rPr>
        <w:t xml:space="preserve"> súvisela s použitím </w:t>
      </w:r>
      <w:proofErr w:type="spellStart"/>
      <w:r w:rsidRPr="005D4221">
        <w:rPr>
          <w:sz w:val="22"/>
          <w:szCs w:val="22"/>
        </w:rPr>
        <w:t>rifabutínu</w:t>
      </w:r>
      <w:proofErr w:type="spellEnd"/>
      <w:r w:rsidRPr="005D4221">
        <w:rPr>
          <w:sz w:val="22"/>
          <w:szCs w:val="22"/>
        </w:rPr>
        <w:t>, kauzálny vzťah kombinácie s </w:t>
      </w:r>
      <w:proofErr w:type="spellStart"/>
      <w:r w:rsidRPr="005D4221">
        <w:rPr>
          <w:sz w:val="22"/>
          <w:szCs w:val="22"/>
        </w:rPr>
        <w:t>azitromycínom</w:t>
      </w:r>
      <w:proofErr w:type="spellEnd"/>
      <w:r w:rsidRPr="005D4221">
        <w:rPr>
          <w:sz w:val="22"/>
          <w:szCs w:val="22"/>
        </w:rPr>
        <w:t xml:space="preserve"> </w:t>
      </w:r>
      <w:r>
        <w:rPr>
          <w:sz w:val="22"/>
          <w:szCs w:val="22"/>
        </w:rPr>
        <w:t>sa ne</w:t>
      </w:r>
      <w:r w:rsidR="007232FE">
        <w:rPr>
          <w:sz w:val="22"/>
          <w:szCs w:val="22"/>
        </w:rPr>
        <w:t>p</w:t>
      </w:r>
      <w:r w:rsidRPr="005D4221">
        <w:rPr>
          <w:sz w:val="22"/>
          <w:szCs w:val="22"/>
        </w:rPr>
        <w:t>reukáza</w:t>
      </w:r>
      <w:r w:rsidR="007232FE">
        <w:rPr>
          <w:sz w:val="22"/>
          <w:szCs w:val="22"/>
        </w:rPr>
        <w:t xml:space="preserve">l </w:t>
      </w:r>
      <w:r w:rsidRPr="005D4221">
        <w:rPr>
          <w:sz w:val="22"/>
          <w:szCs w:val="22"/>
        </w:rPr>
        <w:t>(pozri časť 4.8).</w:t>
      </w:r>
    </w:p>
    <w:p w:rsidR="009D6A1F" w:rsidRPr="005D4221" w:rsidRDefault="009D6A1F" w:rsidP="009D6A1F">
      <w:pPr>
        <w:rPr>
          <w:sz w:val="22"/>
          <w:szCs w:val="22"/>
        </w:rPr>
      </w:pPr>
    </w:p>
    <w:p w:rsidR="009D6A1F" w:rsidRPr="005D4221" w:rsidRDefault="009D6A1F" w:rsidP="009D6A1F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Sildenafil</w:t>
      </w:r>
      <w:proofErr w:type="spellEnd"/>
      <w:r w:rsidR="007232FE">
        <w:rPr>
          <w:b/>
          <w:sz w:val="22"/>
          <w:szCs w:val="22"/>
        </w:rPr>
        <w:t xml:space="preserve">: </w:t>
      </w:r>
      <w:r w:rsidR="007232FE">
        <w:rPr>
          <w:sz w:val="22"/>
          <w:szCs w:val="22"/>
        </w:rPr>
        <w:t xml:space="preserve">u </w:t>
      </w:r>
      <w:r w:rsidRPr="005D4221">
        <w:rPr>
          <w:sz w:val="22"/>
          <w:szCs w:val="22"/>
        </w:rPr>
        <w:t xml:space="preserve">zdravých mužských dobrovoľníkov nebol preukázaný účinok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(500 mg denne po dobu 3 dní) na AUC a </w:t>
      </w:r>
      <w:proofErr w:type="spellStart"/>
      <w:r w:rsidRPr="005D4221">
        <w:rPr>
          <w:sz w:val="22"/>
          <w:szCs w:val="22"/>
        </w:rPr>
        <w:t>C</w:t>
      </w:r>
      <w:r w:rsidRPr="005D4221">
        <w:rPr>
          <w:sz w:val="22"/>
          <w:szCs w:val="22"/>
          <w:vertAlign w:val="subscript"/>
        </w:rPr>
        <w:t>max</w:t>
      </w:r>
      <w:proofErr w:type="spellEnd"/>
      <w:r w:rsidRPr="005D4221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sildenafilu</w:t>
      </w:r>
      <w:proofErr w:type="spellEnd"/>
      <w:r w:rsidRPr="005D4221">
        <w:rPr>
          <w:sz w:val="22"/>
          <w:szCs w:val="22"/>
        </w:rPr>
        <w:t xml:space="preserve"> alebo jeho hlavného cirkulujúceho metabolitu.</w:t>
      </w:r>
    </w:p>
    <w:p w:rsidR="009D6A1F" w:rsidRPr="005D4221" w:rsidRDefault="009D6A1F" w:rsidP="009D6A1F">
      <w:pPr>
        <w:rPr>
          <w:color w:val="FF0000"/>
          <w:sz w:val="22"/>
          <w:szCs w:val="22"/>
        </w:rPr>
      </w:pPr>
    </w:p>
    <w:p w:rsidR="009D6A1F" w:rsidRPr="005D4221" w:rsidRDefault="009D6A1F" w:rsidP="009D6A1F">
      <w:pPr>
        <w:rPr>
          <w:bCs/>
          <w:sz w:val="22"/>
          <w:szCs w:val="22"/>
        </w:rPr>
      </w:pPr>
      <w:proofErr w:type="spellStart"/>
      <w:r w:rsidRPr="005D4221">
        <w:rPr>
          <w:b/>
          <w:iCs/>
          <w:sz w:val="22"/>
          <w:szCs w:val="22"/>
        </w:rPr>
        <w:t>Terfenadín</w:t>
      </w:r>
      <w:proofErr w:type="spellEnd"/>
      <w:r w:rsidR="007232FE">
        <w:rPr>
          <w:b/>
          <w:iCs/>
          <w:sz w:val="22"/>
          <w:szCs w:val="22"/>
        </w:rPr>
        <w:t xml:space="preserve">: </w:t>
      </w:r>
      <w:proofErr w:type="spellStart"/>
      <w:r w:rsidR="007232FE">
        <w:rPr>
          <w:iCs/>
          <w:sz w:val="22"/>
          <w:szCs w:val="22"/>
        </w:rPr>
        <w:t>f</w:t>
      </w:r>
      <w:r w:rsidRPr="005D4221">
        <w:rPr>
          <w:sz w:val="22"/>
          <w:szCs w:val="22"/>
        </w:rPr>
        <w:t>armakokinetické</w:t>
      </w:r>
      <w:proofErr w:type="spellEnd"/>
      <w:r w:rsidRPr="005D4221">
        <w:rPr>
          <w:sz w:val="22"/>
          <w:szCs w:val="22"/>
        </w:rPr>
        <w:t xml:space="preserve"> štúdie nezaznamenali žiadne hlásenia interakcií medzi </w:t>
      </w:r>
      <w:proofErr w:type="spellStart"/>
      <w:r w:rsidRPr="005D4221">
        <w:rPr>
          <w:sz w:val="22"/>
          <w:szCs w:val="22"/>
        </w:rPr>
        <w:t>azitromycínom</w:t>
      </w:r>
      <w:proofErr w:type="spellEnd"/>
      <w:r w:rsidRPr="005D4221">
        <w:rPr>
          <w:sz w:val="22"/>
          <w:szCs w:val="22"/>
        </w:rPr>
        <w:t xml:space="preserve"> a </w:t>
      </w:r>
      <w:proofErr w:type="spellStart"/>
      <w:r w:rsidRPr="005D4221">
        <w:rPr>
          <w:sz w:val="22"/>
          <w:szCs w:val="22"/>
        </w:rPr>
        <w:t>terfenadínom</w:t>
      </w:r>
      <w:proofErr w:type="spellEnd"/>
      <w:r w:rsidRPr="005D4221">
        <w:rPr>
          <w:sz w:val="22"/>
          <w:szCs w:val="22"/>
        </w:rPr>
        <w:t xml:space="preserve">. </w:t>
      </w:r>
      <w:r w:rsidRPr="005D4221">
        <w:rPr>
          <w:bCs/>
          <w:sz w:val="22"/>
          <w:szCs w:val="22"/>
        </w:rPr>
        <w:t>Vyskytlo sa len niekoľko zriedkavých prípadov, pri ktorých sa možnosť uvedenej interakcie nedá úplne vylúčiť; neexistujú však konkrétne dôkazy o skutočnom výskyte takejto interakcie.</w:t>
      </w:r>
    </w:p>
    <w:p w:rsidR="009D6A1F" w:rsidRPr="005D4221" w:rsidRDefault="009D6A1F" w:rsidP="009D6A1F">
      <w:pPr>
        <w:rPr>
          <w:bCs/>
          <w:sz w:val="22"/>
          <w:szCs w:val="22"/>
        </w:rPr>
      </w:pPr>
    </w:p>
    <w:p w:rsidR="009D6A1F" w:rsidRDefault="009D6A1F" w:rsidP="009D6A1F">
      <w:pPr>
        <w:rPr>
          <w:sz w:val="22"/>
          <w:szCs w:val="22"/>
        </w:rPr>
      </w:pPr>
      <w:proofErr w:type="spellStart"/>
      <w:r w:rsidRPr="005D4221">
        <w:rPr>
          <w:b/>
          <w:bCs/>
          <w:sz w:val="22"/>
          <w:szCs w:val="22"/>
        </w:rPr>
        <w:t>Teofylín</w:t>
      </w:r>
      <w:proofErr w:type="spellEnd"/>
      <w:r w:rsidR="007232FE">
        <w:rPr>
          <w:b/>
          <w:bCs/>
          <w:sz w:val="22"/>
          <w:szCs w:val="22"/>
        </w:rPr>
        <w:t xml:space="preserve">: </w:t>
      </w:r>
      <w:r w:rsidR="007232FE">
        <w:rPr>
          <w:bCs/>
          <w:sz w:val="22"/>
          <w:szCs w:val="22"/>
        </w:rPr>
        <w:t>n</w:t>
      </w:r>
      <w:r w:rsidRPr="005D4221">
        <w:rPr>
          <w:sz w:val="22"/>
          <w:szCs w:val="22"/>
        </w:rPr>
        <w:t xml:space="preserve">eexistujú žiadne dôkazy o klinicky významných </w:t>
      </w:r>
      <w:proofErr w:type="spellStart"/>
      <w:r w:rsidRPr="005D4221">
        <w:rPr>
          <w:sz w:val="22"/>
          <w:szCs w:val="22"/>
        </w:rPr>
        <w:t>farmakokinetických</w:t>
      </w:r>
      <w:proofErr w:type="spellEnd"/>
      <w:r w:rsidRPr="005D4221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interakciach</w:t>
      </w:r>
      <w:proofErr w:type="spellEnd"/>
      <w:r w:rsidRPr="005D4221">
        <w:rPr>
          <w:sz w:val="22"/>
          <w:szCs w:val="22"/>
        </w:rPr>
        <w:t xml:space="preserve">, keď sa </w:t>
      </w:r>
      <w:proofErr w:type="spellStart"/>
      <w:r w:rsidRPr="005D4221">
        <w:rPr>
          <w:sz w:val="22"/>
          <w:szCs w:val="22"/>
        </w:rPr>
        <w:t>azitromycín</w:t>
      </w:r>
      <w:proofErr w:type="spellEnd"/>
      <w:r w:rsidRPr="005D4221">
        <w:rPr>
          <w:sz w:val="22"/>
          <w:szCs w:val="22"/>
        </w:rPr>
        <w:t xml:space="preserve"> a </w:t>
      </w:r>
      <w:proofErr w:type="spellStart"/>
      <w:r w:rsidRPr="005D4221">
        <w:rPr>
          <w:sz w:val="22"/>
          <w:szCs w:val="22"/>
        </w:rPr>
        <w:t>teofylín</w:t>
      </w:r>
      <w:proofErr w:type="spellEnd"/>
      <w:r w:rsidRPr="005D4221">
        <w:rPr>
          <w:sz w:val="22"/>
          <w:szCs w:val="22"/>
        </w:rPr>
        <w:t xml:space="preserve"> súbežne podával zdravým dobrovoľníkom. </w:t>
      </w:r>
    </w:p>
    <w:p w:rsidR="007232FE" w:rsidRPr="005D4221" w:rsidRDefault="007232FE" w:rsidP="009D6A1F">
      <w:pPr>
        <w:rPr>
          <w:b/>
          <w:color w:val="FF0000"/>
          <w:sz w:val="22"/>
          <w:szCs w:val="22"/>
        </w:rPr>
      </w:pPr>
    </w:p>
    <w:p w:rsidR="009D6A1F" w:rsidRPr="005D4221" w:rsidRDefault="009D6A1F" w:rsidP="009D6A1F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Triazolam</w:t>
      </w:r>
      <w:proofErr w:type="spellEnd"/>
      <w:r w:rsidR="007232FE">
        <w:rPr>
          <w:b/>
          <w:sz w:val="22"/>
          <w:szCs w:val="22"/>
        </w:rPr>
        <w:t xml:space="preserve">: </w:t>
      </w:r>
      <w:r w:rsidR="007232FE">
        <w:rPr>
          <w:sz w:val="22"/>
          <w:szCs w:val="22"/>
        </w:rPr>
        <w:t xml:space="preserve">u </w:t>
      </w:r>
      <w:r w:rsidRPr="005D4221">
        <w:rPr>
          <w:sz w:val="22"/>
          <w:szCs w:val="22"/>
        </w:rPr>
        <w:t xml:space="preserve">14 zdravých dobrovoľníkov nemalo súbežné podávanie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v dávke 500 mg 1.</w:t>
      </w:r>
      <w:r w:rsidR="007232FE">
        <w:rPr>
          <w:sz w:val="22"/>
          <w:szCs w:val="22"/>
        </w:rPr>
        <w:t> </w:t>
      </w:r>
      <w:r w:rsidRPr="005D4221">
        <w:rPr>
          <w:sz w:val="22"/>
          <w:szCs w:val="22"/>
        </w:rPr>
        <w:t xml:space="preserve">deň a 250 mg na 2 deň s 0,125 mg </w:t>
      </w:r>
      <w:proofErr w:type="spellStart"/>
      <w:r w:rsidRPr="005D4221">
        <w:rPr>
          <w:sz w:val="22"/>
          <w:szCs w:val="22"/>
        </w:rPr>
        <w:t>triazolamu</w:t>
      </w:r>
      <w:proofErr w:type="spellEnd"/>
      <w:r w:rsidRPr="005D4221">
        <w:rPr>
          <w:sz w:val="22"/>
          <w:szCs w:val="22"/>
        </w:rPr>
        <w:t xml:space="preserve"> na 2. deň významný účinok na nestálu </w:t>
      </w:r>
      <w:proofErr w:type="spellStart"/>
      <w:r w:rsidRPr="005D4221">
        <w:rPr>
          <w:sz w:val="22"/>
          <w:szCs w:val="22"/>
        </w:rPr>
        <w:t>farmakokinetiku</w:t>
      </w:r>
      <w:proofErr w:type="spellEnd"/>
      <w:r w:rsidRPr="005D4221">
        <w:rPr>
          <w:sz w:val="22"/>
          <w:szCs w:val="22"/>
        </w:rPr>
        <w:t xml:space="preserve"> </w:t>
      </w:r>
      <w:proofErr w:type="spellStart"/>
      <w:r w:rsidRPr="005D4221">
        <w:rPr>
          <w:sz w:val="22"/>
          <w:szCs w:val="22"/>
        </w:rPr>
        <w:t>triazolamu</w:t>
      </w:r>
      <w:proofErr w:type="spellEnd"/>
      <w:r w:rsidRPr="005D4221">
        <w:rPr>
          <w:sz w:val="22"/>
          <w:szCs w:val="22"/>
        </w:rPr>
        <w:t xml:space="preserve"> v porovnaní s </w:t>
      </w:r>
      <w:proofErr w:type="spellStart"/>
      <w:r w:rsidRPr="005D4221">
        <w:rPr>
          <w:sz w:val="22"/>
          <w:szCs w:val="22"/>
        </w:rPr>
        <w:t>triazolamom</w:t>
      </w:r>
      <w:proofErr w:type="spellEnd"/>
      <w:r w:rsidRPr="005D4221">
        <w:rPr>
          <w:sz w:val="22"/>
          <w:szCs w:val="22"/>
        </w:rPr>
        <w:t xml:space="preserve"> a placebom.</w:t>
      </w:r>
    </w:p>
    <w:p w:rsidR="009D6A1F" w:rsidRPr="005D4221" w:rsidRDefault="009D6A1F" w:rsidP="009D6A1F">
      <w:pPr>
        <w:rPr>
          <w:i/>
          <w:sz w:val="22"/>
          <w:szCs w:val="22"/>
        </w:rPr>
      </w:pPr>
    </w:p>
    <w:p w:rsidR="009D6A1F" w:rsidRPr="005D4221" w:rsidRDefault="009D6A1F" w:rsidP="009D6A1F">
      <w:pPr>
        <w:rPr>
          <w:sz w:val="22"/>
          <w:szCs w:val="22"/>
        </w:rPr>
      </w:pPr>
      <w:proofErr w:type="spellStart"/>
      <w:r w:rsidRPr="005D4221">
        <w:rPr>
          <w:b/>
          <w:sz w:val="22"/>
          <w:szCs w:val="22"/>
        </w:rPr>
        <w:t>Trimetoprim</w:t>
      </w:r>
      <w:proofErr w:type="spellEnd"/>
      <w:r w:rsidRPr="005D4221">
        <w:rPr>
          <w:b/>
          <w:sz w:val="22"/>
          <w:szCs w:val="22"/>
        </w:rPr>
        <w:t>/</w:t>
      </w:r>
      <w:proofErr w:type="spellStart"/>
      <w:r w:rsidRPr="005D4221">
        <w:rPr>
          <w:b/>
          <w:sz w:val="22"/>
          <w:szCs w:val="22"/>
        </w:rPr>
        <w:t>sulfametoxazol</w:t>
      </w:r>
      <w:proofErr w:type="spellEnd"/>
      <w:r w:rsidR="007232FE">
        <w:rPr>
          <w:b/>
          <w:sz w:val="22"/>
          <w:szCs w:val="22"/>
        </w:rPr>
        <w:t>:</w:t>
      </w:r>
      <w:r w:rsidR="007232FE" w:rsidRPr="005D4221">
        <w:rPr>
          <w:sz w:val="22"/>
          <w:szCs w:val="22"/>
        </w:rPr>
        <w:t xml:space="preserve"> s</w:t>
      </w:r>
      <w:r w:rsidRPr="005D4221">
        <w:rPr>
          <w:sz w:val="22"/>
          <w:szCs w:val="22"/>
        </w:rPr>
        <w:t xml:space="preserve">úbežné podávanie </w:t>
      </w:r>
      <w:proofErr w:type="spellStart"/>
      <w:r w:rsidRPr="005D4221">
        <w:rPr>
          <w:sz w:val="22"/>
          <w:szCs w:val="22"/>
        </w:rPr>
        <w:t>trimetoprimu</w:t>
      </w:r>
      <w:proofErr w:type="spellEnd"/>
      <w:r w:rsidRPr="005D4221">
        <w:rPr>
          <w:sz w:val="22"/>
          <w:szCs w:val="22"/>
        </w:rPr>
        <w:t>/</w:t>
      </w:r>
      <w:proofErr w:type="spellStart"/>
      <w:r w:rsidRPr="005D4221">
        <w:rPr>
          <w:sz w:val="22"/>
          <w:szCs w:val="22"/>
        </w:rPr>
        <w:t>sulfametoxazolu</w:t>
      </w:r>
      <w:proofErr w:type="spellEnd"/>
      <w:r w:rsidRPr="005D4221">
        <w:rPr>
          <w:sz w:val="22"/>
          <w:szCs w:val="22"/>
        </w:rPr>
        <w:t xml:space="preserve"> DS (160 mg/800 mg) po dobu7 dní s</w:t>
      </w:r>
      <w:r w:rsidR="007232FE">
        <w:rPr>
          <w:sz w:val="22"/>
          <w:szCs w:val="22"/>
        </w:rPr>
        <w:t> </w:t>
      </w:r>
      <w:proofErr w:type="spellStart"/>
      <w:r w:rsidRPr="005D4221">
        <w:rPr>
          <w:sz w:val="22"/>
          <w:szCs w:val="22"/>
        </w:rPr>
        <w:t>azitromycínom</w:t>
      </w:r>
      <w:proofErr w:type="spellEnd"/>
      <w:r w:rsidRPr="005D4221">
        <w:rPr>
          <w:sz w:val="22"/>
          <w:szCs w:val="22"/>
        </w:rPr>
        <w:t xml:space="preserve"> v dávke 1 200 mg na 7. deň nemalo významný účinok na maximálnu koncentráciu, celkovú expozíciu alebo vylučovanie obličkami ako </w:t>
      </w:r>
      <w:proofErr w:type="spellStart"/>
      <w:r w:rsidRPr="005D4221">
        <w:rPr>
          <w:sz w:val="22"/>
          <w:szCs w:val="22"/>
        </w:rPr>
        <w:t>trimetoprimu</w:t>
      </w:r>
      <w:proofErr w:type="spellEnd"/>
      <w:r w:rsidRPr="005D4221">
        <w:rPr>
          <w:sz w:val="22"/>
          <w:szCs w:val="22"/>
        </w:rPr>
        <w:t xml:space="preserve">, tak aj </w:t>
      </w:r>
      <w:proofErr w:type="spellStart"/>
      <w:r w:rsidRPr="005D4221">
        <w:rPr>
          <w:sz w:val="22"/>
          <w:szCs w:val="22"/>
        </w:rPr>
        <w:t>sulfametoxazolu</w:t>
      </w:r>
      <w:proofErr w:type="spellEnd"/>
      <w:r w:rsidRPr="005D4221">
        <w:rPr>
          <w:sz w:val="22"/>
          <w:szCs w:val="22"/>
        </w:rPr>
        <w:t xml:space="preserve">. Koncentrácia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v sére bola podobná ako koncentrácia zistená v iných štúdiách.</w:t>
      </w:r>
    </w:p>
    <w:p w:rsidR="009D6A1F" w:rsidRPr="005D4221" w:rsidRDefault="009D6A1F" w:rsidP="009D6A1F">
      <w:pPr>
        <w:rPr>
          <w:sz w:val="22"/>
          <w:szCs w:val="22"/>
        </w:rPr>
      </w:pPr>
    </w:p>
    <w:p w:rsidR="00A13222" w:rsidRPr="00AC607D" w:rsidRDefault="00A13222" w:rsidP="00C56CD2">
      <w:pPr>
        <w:tabs>
          <w:tab w:val="left" w:pos="567"/>
        </w:tabs>
        <w:rPr>
          <w:b/>
          <w:sz w:val="22"/>
          <w:szCs w:val="22"/>
        </w:rPr>
      </w:pPr>
      <w:r w:rsidRPr="00AC607D">
        <w:rPr>
          <w:b/>
          <w:sz w:val="22"/>
          <w:szCs w:val="22"/>
        </w:rPr>
        <w:t>4.6</w:t>
      </w:r>
      <w:r w:rsidR="00C56CD2" w:rsidRPr="00AC607D">
        <w:rPr>
          <w:b/>
          <w:sz w:val="22"/>
          <w:szCs w:val="22"/>
        </w:rPr>
        <w:tab/>
      </w:r>
      <w:proofErr w:type="spellStart"/>
      <w:r w:rsidR="00C06D77" w:rsidRPr="00AC607D">
        <w:rPr>
          <w:b/>
          <w:sz w:val="22"/>
          <w:szCs w:val="22"/>
        </w:rPr>
        <w:t>Fertilita</w:t>
      </w:r>
      <w:proofErr w:type="spellEnd"/>
      <w:r w:rsidR="00C06D77" w:rsidRPr="00AC607D">
        <w:rPr>
          <w:b/>
          <w:sz w:val="22"/>
          <w:szCs w:val="22"/>
        </w:rPr>
        <w:t>, g</w:t>
      </w:r>
      <w:r w:rsidRPr="00AC607D">
        <w:rPr>
          <w:b/>
          <w:sz w:val="22"/>
          <w:szCs w:val="22"/>
        </w:rPr>
        <w:t>ravidit</w:t>
      </w:r>
      <w:r w:rsidR="00C56CD2" w:rsidRPr="00AC607D">
        <w:rPr>
          <w:b/>
          <w:sz w:val="22"/>
          <w:szCs w:val="22"/>
        </w:rPr>
        <w:t>a</w:t>
      </w:r>
      <w:r w:rsidRPr="00AC607D">
        <w:rPr>
          <w:b/>
          <w:sz w:val="22"/>
          <w:szCs w:val="22"/>
        </w:rPr>
        <w:t xml:space="preserve"> a laktáci</w:t>
      </w:r>
      <w:r w:rsidR="00C56CD2" w:rsidRPr="00AC607D">
        <w:rPr>
          <w:b/>
          <w:sz w:val="22"/>
          <w:szCs w:val="22"/>
        </w:rPr>
        <w:t>a</w:t>
      </w:r>
      <w:r w:rsidRPr="00AC607D">
        <w:rPr>
          <w:b/>
          <w:sz w:val="22"/>
          <w:szCs w:val="22"/>
        </w:rPr>
        <w:t xml:space="preserve"> </w:t>
      </w:r>
    </w:p>
    <w:p w:rsidR="00BB19C9" w:rsidRPr="00AC607D" w:rsidRDefault="00BB19C9" w:rsidP="00E4791E">
      <w:pPr>
        <w:rPr>
          <w:b/>
          <w:sz w:val="22"/>
          <w:szCs w:val="22"/>
        </w:rPr>
      </w:pPr>
    </w:p>
    <w:p w:rsidR="00C06D77" w:rsidRPr="003A294D" w:rsidRDefault="00C06D77" w:rsidP="00E4791E">
      <w:pPr>
        <w:rPr>
          <w:sz w:val="22"/>
          <w:szCs w:val="22"/>
          <w:u w:val="single"/>
        </w:rPr>
      </w:pPr>
      <w:r w:rsidRPr="003A294D">
        <w:rPr>
          <w:sz w:val="22"/>
          <w:szCs w:val="22"/>
          <w:u w:val="single"/>
        </w:rPr>
        <w:t>G</w:t>
      </w:r>
      <w:r w:rsidR="00C64C0D" w:rsidRPr="003A294D">
        <w:rPr>
          <w:sz w:val="22"/>
          <w:szCs w:val="22"/>
          <w:u w:val="single"/>
        </w:rPr>
        <w:t>ravidit</w:t>
      </w:r>
      <w:r w:rsidRPr="003A294D">
        <w:rPr>
          <w:sz w:val="22"/>
          <w:szCs w:val="22"/>
          <w:u w:val="single"/>
        </w:rPr>
        <w:t>a</w:t>
      </w:r>
    </w:p>
    <w:p w:rsidR="0089012F" w:rsidRDefault="007232FE" w:rsidP="00E4791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Neexistujú žiadne dostatočné údaje o použití </w:t>
      </w:r>
      <w:proofErr w:type="spellStart"/>
      <w:r>
        <w:rPr>
          <w:sz w:val="22"/>
          <w:szCs w:val="22"/>
        </w:rPr>
        <w:t>azitromycínu</w:t>
      </w:r>
      <w:proofErr w:type="spellEnd"/>
      <w:r>
        <w:rPr>
          <w:sz w:val="22"/>
          <w:szCs w:val="22"/>
        </w:rPr>
        <w:t xml:space="preserve"> u gravidných žien. Štúdie reprodukčnej toxicity na zvieratách preukázali, že </w:t>
      </w:r>
      <w:proofErr w:type="spellStart"/>
      <w:r>
        <w:rPr>
          <w:sz w:val="22"/>
          <w:szCs w:val="22"/>
        </w:rPr>
        <w:t>azitromycín</w:t>
      </w:r>
      <w:proofErr w:type="spellEnd"/>
      <w:r>
        <w:rPr>
          <w:sz w:val="22"/>
          <w:szCs w:val="22"/>
        </w:rPr>
        <w:t xml:space="preserve"> prechádza placentou, </w:t>
      </w:r>
      <w:r w:rsidRPr="00E21C9E">
        <w:rPr>
          <w:sz w:val="22"/>
          <w:szCs w:val="22"/>
        </w:rPr>
        <w:t xml:space="preserve">avšak </w:t>
      </w:r>
      <w:r w:rsidR="00EB2821" w:rsidRPr="00E21C9E">
        <w:rPr>
          <w:sz w:val="22"/>
          <w:szCs w:val="22"/>
        </w:rPr>
        <w:t>nepozorovali</w:t>
      </w:r>
      <w:r>
        <w:rPr>
          <w:sz w:val="22"/>
          <w:szCs w:val="22"/>
        </w:rPr>
        <w:t xml:space="preserve"> sa žiadne teratogénne účinky</w:t>
      </w:r>
      <w:r w:rsidR="008F475C">
        <w:rPr>
          <w:sz w:val="22"/>
          <w:szCs w:val="22"/>
        </w:rPr>
        <w:t xml:space="preserve">. Bezpečnosť </w:t>
      </w:r>
      <w:proofErr w:type="spellStart"/>
      <w:r w:rsidR="008F475C">
        <w:rPr>
          <w:sz w:val="22"/>
          <w:szCs w:val="22"/>
        </w:rPr>
        <w:t>azitromycínu</w:t>
      </w:r>
      <w:proofErr w:type="spellEnd"/>
      <w:r w:rsidR="008F475C">
        <w:rPr>
          <w:sz w:val="22"/>
          <w:szCs w:val="22"/>
        </w:rPr>
        <w:t xml:space="preserve"> </w:t>
      </w:r>
      <w:r w:rsidR="008F475C" w:rsidRPr="00E21C9E">
        <w:rPr>
          <w:sz w:val="22"/>
          <w:szCs w:val="22"/>
        </w:rPr>
        <w:t>nebola potvrdená</w:t>
      </w:r>
      <w:r w:rsidR="00247E63" w:rsidRPr="00E21C9E">
        <w:rPr>
          <w:sz w:val="22"/>
          <w:szCs w:val="22"/>
        </w:rPr>
        <w:t xml:space="preserve"> </w:t>
      </w:r>
      <w:r w:rsidR="00EB2821" w:rsidRPr="00E21C9E">
        <w:rPr>
          <w:sz w:val="22"/>
          <w:szCs w:val="22"/>
        </w:rPr>
        <w:t>v súvislosti s</w:t>
      </w:r>
      <w:r w:rsidR="00992BE5">
        <w:rPr>
          <w:sz w:val="22"/>
          <w:szCs w:val="22"/>
        </w:rPr>
        <w:t> </w:t>
      </w:r>
      <w:r w:rsidR="00247E63" w:rsidRPr="007117C6">
        <w:rPr>
          <w:sz w:val="22"/>
          <w:szCs w:val="22"/>
        </w:rPr>
        <w:t>použit</w:t>
      </w:r>
      <w:r w:rsidR="00EB2821" w:rsidRPr="005F1445">
        <w:rPr>
          <w:sz w:val="22"/>
          <w:szCs w:val="22"/>
        </w:rPr>
        <w:t>ím</w:t>
      </w:r>
      <w:r w:rsidR="00247E63" w:rsidRPr="005F1445">
        <w:rPr>
          <w:sz w:val="22"/>
          <w:szCs w:val="22"/>
        </w:rPr>
        <w:t xml:space="preserve"> liečiva počas</w:t>
      </w:r>
      <w:r w:rsidR="00247E63">
        <w:rPr>
          <w:sz w:val="22"/>
          <w:szCs w:val="22"/>
        </w:rPr>
        <w:t xml:space="preserve"> gravidity. Preto sa má </w:t>
      </w:r>
      <w:proofErr w:type="spellStart"/>
      <w:r w:rsidR="00247E63">
        <w:rPr>
          <w:sz w:val="22"/>
          <w:szCs w:val="22"/>
        </w:rPr>
        <w:t>azitromycín</w:t>
      </w:r>
      <w:proofErr w:type="spellEnd"/>
      <w:r w:rsidR="00247E63">
        <w:rPr>
          <w:sz w:val="22"/>
          <w:szCs w:val="22"/>
        </w:rPr>
        <w:t xml:space="preserve"> používať počas gravidity iba vtedy, </w:t>
      </w:r>
      <w:r w:rsidR="0089012F" w:rsidRPr="00E21C9E">
        <w:rPr>
          <w:sz w:val="22"/>
          <w:szCs w:val="22"/>
        </w:rPr>
        <w:t xml:space="preserve">ak </w:t>
      </w:r>
      <w:r w:rsidR="00EB2821" w:rsidRPr="00E21C9E">
        <w:rPr>
          <w:sz w:val="22"/>
          <w:szCs w:val="22"/>
        </w:rPr>
        <w:t>prínos</w:t>
      </w:r>
      <w:r w:rsidR="0089012F" w:rsidRPr="00652DD2">
        <w:rPr>
          <w:sz w:val="22"/>
          <w:szCs w:val="22"/>
        </w:rPr>
        <w:t xml:space="preserve"> pre</w:t>
      </w:r>
      <w:r w:rsidR="0089012F">
        <w:rPr>
          <w:sz w:val="22"/>
          <w:szCs w:val="22"/>
        </w:rPr>
        <w:t xml:space="preserve"> matku preváži riziko pre plod</w:t>
      </w:r>
      <w:r w:rsidR="00247E63">
        <w:rPr>
          <w:sz w:val="22"/>
          <w:szCs w:val="22"/>
        </w:rPr>
        <w:t xml:space="preserve">. </w:t>
      </w:r>
      <w:r w:rsidR="008F475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:rsidR="007232FE" w:rsidRDefault="007232FE" w:rsidP="00E4791E">
      <w:pPr>
        <w:rPr>
          <w:sz w:val="22"/>
          <w:szCs w:val="22"/>
        </w:rPr>
      </w:pPr>
    </w:p>
    <w:p w:rsidR="00B62877" w:rsidRPr="003A294D" w:rsidRDefault="005317D4" w:rsidP="00E4791E">
      <w:pPr>
        <w:rPr>
          <w:sz w:val="22"/>
          <w:szCs w:val="22"/>
          <w:u w:val="single"/>
        </w:rPr>
      </w:pPr>
      <w:r w:rsidRPr="003A294D">
        <w:rPr>
          <w:sz w:val="22"/>
          <w:szCs w:val="22"/>
          <w:u w:val="single"/>
        </w:rPr>
        <w:t>Dojčenie</w:t>
      </w:r>
    </w:p>
    <w:p w:rsidR="009766CF" w:rsidRDefault="00247E63" w:rsidP="00E4791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Azitromycín</w:t>
      </w:r>
      <w:proofErr w:type="spellEnd"/>
      <w:r>
        <w:rPr>
          <w:sz w:val="22"/>
          <w:szCs w:val="22"/>
        </w:rPr>
        <w:t xml:space="preserve"> sa vylučuje do </w:t>
      </w:r>
      <w:r w:rsidR="00C64C0D">
        <w:rPr>
          <w:sz w:val="22"/>
          <w:szCs w:val="22"/>
        </w:rPr>
        <w:t>materského mlieka u</w:t>
      </w:r>
      <w:r>
        <w:rPr>
          <w:sz w:val="22"/>
          <w:szCs w:val="22"/>
        </w:rPr>
        <w:t> </w:t>
      </w:r>
      <w:r w:rsidR="00C64C0D">
        <w:rPr>
          <w:sz w:val="22"/>
          <w:szCs w:val="22"/>
        </w:rPr>
        <w:t>ľudí</w:t>
      </w:r>
      <w:r>
        <w:rPr>
          <w:sz w:val="22"/>
          <w:szCs w:val="22"/>
        </w:rPr>
        <w:t>, neexistujú však dostatočné</w:t>
      </w:r>
      <w:r w:rsidR="009766CF">
        <w:rPr>
          <w:sz w:val="22"/>
          <w:szCs w:val="22"/>
        </w:rPr>
        <w:t xml:space="preserve"> </w:t>
      </w:r>
      <w:r w:rsidR="00C64C0D">
        <w:rPr>
          <w:sz w:val="22"/>
          <w:szCs w:val="22"/>
        </w:rPr>
        <w:t>a</w:t>
      </w:r>
      <w:r w:rsidR="009766CF">
        <w:rPr>
          <w:sz w:val="22"/>
          <w:szCs w:val="22"/>
        </w:rPr>
        <w:t xml:space="preserve"> dobre kontrolované klinické štúdie u dojčiacich žien, ktoré by charakterizovali </w:t>
      </w:r>
      <w:proofErr w:type="spellStart"/>
      <w:r w:rsidR="009766CF">
        <w:rPr>
          <w:sz w:val="22"/>
          <w:szCs w:val="22"/>
        </w:rPr>
        <w:t>farmakokinetiku</w:t>
      </w:r>
      <w:proofErr w:type="spellEnd"/>
      <w:r w:rsidR="009766CF">
        <w:rPr>
          <w:sz w:val="22"/>
          <w:szCs w:val="22"/>
        </w:rPr>
        <w:t xml:space="preserve"> vylučovania </w:t>
      </w:r>
      <w:proofErr w:type="spellStart"/>
      <w:r w:rsidR="009766CF">
        <w:rPr>
          <w:sz w:val="22"/>
          <w:szCs w:val="22"/>
        </w:rPr>
        <w:t>azitromycínu</w:t>
      </w:r>
      <w:proofErr w:type="spellEnd"/>
      <w:r w:rsidR="009766CF">
        <w:rPr>
          <w:sz w:val="22"/>
          <w:szCs w:val="22"/>
        </w:rPr>
        <w:t xml:space="preserve"> do materského mlieka u ľudí.</w:t>
      </w:r>
      <w:r w:rsidR="009766CF" w:rsidDel="009766CF">
        <w:rPr>
          <w:sz w:val="22"/>
          <w:szCs w:val="22"/>
        </w:rPr>
        <w:t xml:space="preserve"> </w:t>
      </w:r>
    </w:p>
    <w:p w:rsidR="009766CF" w:rsidRDefault="009766CF" w:rsidP="00E4791E">
      <w:pPr>
        <w:rPr>
          <w:sz w:val="22"/>
          <w:szCs w:val="22"/>
        </w:rPr>
      </w:pPr>
    </w:p>
    <w:p w:rsidR="009766CF" w:rsidRPr="003A294D" w:rsidRDefault="009766CF" w:rsidP="00E4791E">
      <w:pPr>
        <w:rPr>
          <w:sz w:val="22"/>
          <w:szCs w:val="22"/>
          <w:u w:val="single"/>
        </w:rPr>
      </w:pPr>
      <w:proofErr w:type="spellStart"/>
      <w:r w:rsidRPr="003A294D">
        <w:rPr>
          <w:sz w:val="22"/>
          <w:szCs w:val="22"/>
          <w:u w:val="single"/>
        </w:rPr>
        <w:t>Fertilita</w:t>
      </w:r>
      <w:proofErr w:type="spellEnd"/>
    </w:p>
    <w:p w:rsidR="009766CF" w:rsidRPr="005D4221" w:rsidRDefault="009766CF" w:rsidP="00E4791E">
      <w:pPr>
        <w:rPr>
          <w:sz w:val="22"/>
          <w:szCs w:val="22"/>
        </w:rPr>
      </w:pPr>
      <w:r>
        <w:rPr>
          <w:sz w:val="22"/>
          <w:szCs w:val="22"/>
        </w:rPr>
        <w:t xml:space="preserve">V štúdiách </w:t>
      </w:r>
      <w:proofErr w:type="spellStart"/>
      <w:r>
        <w:rPr>
          <w:sz w:val="22"/>
          <w:szCs w:val="22"/>
        </w:rPr>
        <w:t>fertility</w:t>
      </w:r>
      <w:proofErr w:type="spellEnd"/>
      <w:r>
        <w:rPr>
          <w:sz w:val="22"/>
          <w:szCs w:val="22"/>
        </w:rPr>
        <w:t xml:space="preserve"> u potkanov sa </w:t>
      </w:r>
      <w:r w:rsidR="00D95167">
        <w:rPr>
          <w:sz w:val="22"/>
          <w:szCs w:val="22"/>
        </w:rPr>
        <w:t xml:space="preserve">po podaní </w:t>
      </w:r>
      <w:proofErr w:type="spellStart"/>
      <w:r w:rsidR="00D95167">
        <w:rPr>
          <w:sz w:val="22"/>
          <w:szCs w:val="22"/>
        </w:rPr>
        <w:t>azitromycínu</w:t>
      </w:r>
      <w:proofErr w:type="spellEnd"/>
      <w:r w:rsidR="00D95167">
        <w:rPr>
          <w:sz w:val="22"/>
          <w:szCs w:val="22"/>
        </w:rPr>
        <w:t xml:space="preserve"> </w:t>
      </w:r>
      <w:r>
        <w:rPr>
          <w:sz w:val="22"/>
          <w:szCs w:val="22"/>
        </w:rPr>
        <w:t>zaznamenal</w:t>
      </w:r>
      <w:r w:rsidR="00D95167">
        <w:rPr>
          <w:sz w:val="22"/>
          <w:szCs w:val="22"/>
        </w:rPr>
        <w:t xml:space="preserve">a zníženia frekvencia gravidity. Údaje u ľudí </w:t>
      </w:r>
      <w:r w:rsidR="0089012F">
        <w:rPr>
          <w:sz w:val="22"/>
          <w:szCs w:val="22"/>
        </w:rPr>
        <w:t>sú neznáme</w:t>
      </w:r>
      <w:r w:rsidR="00D95167">
        <w:rPr>
          <w:sz w:val="22"/>
          <w:szCs w:val="22"/>
        </w:rPr>
        <w:t xml:space="preserve">.  </w:t>
      </w:r>
      <w:r>
        <w:rPr>
          <w:sz w:val="22"/>
          <w:szCs w:val="22"/>
        </w:rPr>
        <w:t xml:space="preserve"> </w:t>
      </w:r>
    </w:p>
    <w:p w:rsidR="00A13222" w:rsidRPr="003D2C5A" w:rsidRDefault="00A13222" w:rsidP="00E4791E">
      <w:pPr>
        <w:rPr>
          <w:sz w:val="22"/>
          <w:szCs w:val="22"/>
        </w:rPr>
      </w:pPr>
    </w:p>
    <w:p w:rsidR="00A13222" w:rsidRDefault="00A13222" w:rsidP="005D4221">
      <w:pPr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4.7</w:t>
      </w:r>
      <w:r w:rsidR="007810EB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Ovplyvnenie schopnosti viesť vozidlá a obsluhovať stroje </w:t>
      </w:r>
    </w:p>
    <w:p w:rsidR="00D95167" w:rsidRDefault="00D95167" w:rsidP="007810EB">
      <w:pPr>
        <w:rPr>
          <w:sz w:val="22"/>
          <w:szCs w:val="22"/>
        </w:rPr>
      </w:pPr>
    </w:p>
    <w:p w:rsidR="00A13222" w:rsidRPr="003D2C5A" w:rsidRDefault="009F1C83" w:rsidP="007810EB">
      <w:pPr>
        <w:rPr>
          <w:sz w:val="22"/>
          <w:szCs w:val="22"/>
        </w:rPr>
      </w:pPr>
      <w:r w:rsidRPr="003D2C5A">
        <w:rPr>
          <w:sz w:val="22"/>
          <w:szCs w:val="22"/>
        </w:rPr>
        <w:t>Nie sú žiadn</w:t>
      </w:r>
      <w:r w:rsidR="009F2C57">
        <w:rPr>
          <w:sz w:val="22"/>
          <w:szCs w:val="22"/>
        </w:rPr>
        <w:t>e dôkazy o účinkoch na schopnosť</w:t>
      </w:r>
      <w:r w:rsidRPr="003D2C5A">
        <w:rPr>
          <w:sz w:val="22"/>
          <w:szCs w:val="22"/>
        </w:rPr>
        <w:t xml:space="preserve"> viesť vozidlá a obsluhovať stroje.</w:t>
      </w:r>
    </w:p>
    <w:p w:rsidR="00A13222" w:rsidRPr="003D2C5A" w:rsidRDefault="00A13222" w:rsidP="00E4791E">
      <w:pPr>
        <w:rPr>
          <w:sz w:val="22"/>
          <w:szCs w:val="22"/>
        </w:rPr>
      </w:pPr>
    </w:p>
    <w:p w:rsidR="001B439D" w:rsidRPr="003D2C5A" w:rsidRDefault="00A13222" w:rsidP="007810EB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4.8</w:t>
      </w:r>
      <w:r w:rsidR="007810EB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>Nežiaduce účinky</w:t>
      </w:r>
    </w:p>
    <w:p w:rsidR="00A13222" w:rsidRPr="00C15A04" w:rsidRDefault="00A13222" w:rsidP="00E4791E">
      <w:pPr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 xml:space="preserve"> </w:t>
      </w:r>
    </w:p>
    <w:p w:rsidR="00C15A04" w:rsidRPr="005D4221" w:rsidRDefault="00C15A04" w:rsidP="00C15A04">
      <w:pPr>
        <w:rPr>
          <w:sz w:val="22"/>
          <w:szCs w:val="22"/>
        </w:rPr>
      </w:pPr>
      <w:r w:rsidRPr="005D4221">
        <w:rPr>
          <w:sz w:val="22"/>
          <w:szCs w:val="22"/>
        </w:rPr>
        <w:t xml:space="preserve">Nižšie uvedená tabuľka uvádza nežiaduce reakcie zistené z klinických štúdií a skúseností zo sledovaní po uvedení lieku na trh podľa tried orgánových systémov a frekvencie. Nežiaduce </w:t>
      </w:r>
      <w:r w:rsidR="00EB2821" w:rsidRPr="00E21C9E">
        <w:rPr>
          <w:sz w:val="22"/>
          <w:szCs w:val="22"/>
        </w:rPr>
        <w:t>reakcie</w:t>
      </w:r>
      <w:r w:rsidRPr="005D4221">
        <w:rPr>
          <w:sz w:val="22"/>
          <w:szCs w:val="22"/>
        </w:rPr>
        <w:t xml:space="preserve"> zistené zo skúseností po uvedení lieku na trh sú uvedené kurzívou. Frekvencia výskytu je definovaná podľa nasledujúcej konvencie: veľmi časté (≥1/10); časté (≥ 1/100 až &lt;1/10); menej časté (≥1/1 000 až &lt;1/100); zriedkavé (≥ 1/10 000 až &lt;1/1 000); veľmi zriedkavé (&lt; 1/10 000); neznáme (</w:t>
      </w:r>
      <w:r w:rsidR="00B62877" w:rsidRPr="00222101">
        <w:rPr>
          <w:sz w:val="22"/>
          <w:szCs w:val="22"/>
        </w:rPr>
        <w:t>z</w:t>
      </w:r>
      <w:r w:rsidRPr="005D4221">
        <w:rPr>
          <w:sz w:val="22"/>
          <w:szCs w:val="22"/>
        </w:rPr>
        <w:t> dostupných údajov). V rámci každej skupiny frekvencie sú nežiaduce účinky uvedené podľa klesajúcej závažnosti.</w:t>
      </w:r>
    </w:p>
    <w:p w:rsidR="00C15A04" w:rsidRPr="005D4221" w:rsidRDefault="00C15A04" w:rsidP="00C15A04">
      <w:pPr>
        <w:rPr>
          <w:sz w:val="22"/>
          <w:szCs w:val="22"/>
        </w:rPr>
      </w:pPr>
    </w:p>
    <w:p w:rsidR="00C15A04" w:rsidRPr="005D4221" w:rsidRDefault="00C15A04" w:rsidP="00C15A04">
      <w:pPr>
        <w:rPr>
          <w:b/>
          <w:sz w:val="22"/>
          <w:szCs w:val="22"/>
        </w:rPr>
      </w:pPr>
      <w:r w:rsidRPr="005D4221">
        <w:rPr>
          <w:b/>
          <w:sz w:val="22"/>
          <w:szCs w:val="22"/>
        </w:rPr>
        <w:t xml:space="preserve">Nežiaduce </w:t>
      </w:r>
      <w:r w:rsidR="00614B58" w:rsidRPr="00E21C9E">
        <w:rPr>
          <w:b/>
          <w:sz w:val="22"/>
          <w:szCs w:val="22"/>
        </w:rPr>
        <w:t>reakcie</w:t>
      </w:r>
      <w:r w:rsidRPr="005D4221">
        <w:rPr>
          <w:b/>
          <w:sz w:val="22"/>
          <w:szCs w:val="22"/>
        </w:rPr>
        <w:t xml:space="preserve"> pravdepodobne súvisiace s </w:t>
      </w:r>
      <w:proofErr w:type="spellStart"/>
      <w:r w:rsidRPr="005D4221">
        <w:rPr>
          <w:b/>
          <w:sz w:val="22"/>
          <w:szCs w:val="22"/>
        </w:rPr>
        <w:t>azitromycínom</w:t>
      </w:r>
      <w:proofErr w:type="spellEnd"/>
      <w:r w:rsidRPr="005D4221">
        <w:rPr>
          <w:b/>
          <w:sz w:val="22"/>
          <w:szCs w:val="22"/>
        </w:rPr>
        <w:t xml:space="preserve"> na základe skúseností z klinických štúdií a sledovaní po uvedení lieku na trh</w:t>
      </w:r>
    </w:p>
    <w:p w:rsidR="007810EB" w:rsidRPr="00C15A04" w:rsidRDefault="007810EB" w:rsidP="00E4791E">
      <w:pPr>
        <w:rPr>
          <w:b/>
          <w:sz w:val="22"/>
          <w:szCs w:val="22"/>
        </w:rPr>
      </w:pPr>
    </w:p>
    <w:p w:rsidR="00C15A04" w:rsidRPr="005D4221" w:rsidRDefault="00C15A04" w:rsidP="00C15A04">
      <w:pPr>
        <w:pStyle w:val="Default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64"/>
        <w:gridCol w:w="841"/>
        <w:gridCol w:w="1306"/>
        <w:gridCol w:w="1702"/>
        <w:gridCol w:w="1618"/>
        <w:gridCol w:w="1596"/>
        <w:gridCol w:w="123"/>
      </w:tblGrid>
      <w:tr w:rsidR="00A00302" w:rsidRPr="00AC607D" w:rsidTr="00A82B8A">
        <w:trPr>
          <w:trHeight w:val="255"/>
          <w:tblHeader/>
          <w:jc w:val="center"/>
        </w:trPr>
        <w:tc>
          <w:tcPr>
            <w:tcW w:w="1132" w:type="pct"/>
            <w:gridSpan w:val="2"/>
            <w:vMerge w:val="restar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Trieda orgánových systémov</w:t>
            </w:r>
          </w:p>
        </w:tc>
        <w:tc>
          <w:tcPr>
            <w:tcW w:w="453" w:type="pct"/>
          </w:tcPr>
          <w:p w:rsidR="00C15A04" w:rsidRPr="005D4221" w:rsidRDefault="00C15A04" w:rsidP="00C15A0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4221">
              <w:rPr>
                <w:rFonts w:cs="Arial"/>
                <w:b/>
                <w:bCs/>
                <w:color w:val="000000"/>
                <w:sz w:val="22"/>
                <w:szCs w:val="22"/>
              </w:rPr>
              <w:t>V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eľmi časté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Časté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C15A04" w:rsidP="00B9307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Menej </w:t>
            </w:r>
            <w:r w:rsidR="00B93070">
              <w:rPr>
                <w:rFonts w:cs="Arial"/>
                <w:b/>
                <w:bCs/>
                <w:color w:val="000000"/>
                <w:sz w:val="22"/>
                <w:szCs w:val="22"/>
              </w:rPr>
              <w:t>časté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B93070" w:rsidP="00B9307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Zriedkavé</w:t>
            </w: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B93070" w:rsidP="00B9307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Neznáme</w:t>
            </w:r>
          </w:p>
        </w:tc>
      </w:tr>
      <w:tr w:rsidR="00A00302" w:rsidRPr="00AC607D" w:rsidTr="00A82B8A">
        <w:trPr>
          <w:trHeight w:val="255"/>
          <w:tblHeader/>
          <w:jc w:val="center"/>
        </w:trPr>
        <w:tc>
          <w:tcPr>
            <w:tcW w:w="1132" w:type="pct"/>
            <w:gridSpan w:val="2"/>
            <w:vMerge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D4221">
              <w:rPr>
                <w:rFonts w:cs="Arial"/>
                <w:color w:val="000000"/>
                <w:sz w:val="22"/>
                <w:szCs w:val="22"/>
              </w:rPr>
              <w:t>&gt; 1/10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B93070">
            <w:pPr>
              <w:jc w:val="center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5D4221">
              <w:rPr>
                <w:rFonts w:cs="Arial"/>
                <w:color w:val="000000"/>
                <w:sz w:val="22"/>
                <w:szCs w:val="22"/>
              </w:rPr>
              <w:t xml:space="preserve">≥ 1/100 </w:t>
            </w:r>
            <w:r w:rsidR="00B93070">
              <w:rPr>
                <w:rFonts w:cs="Arial"/>
                <w:color w:val="000000"/>
                <w:sz w:val="22"/>
                <w:szCs w:val="22"/>
              </w:rPr>
              <w:t>až</w:t>
            </w:r>
            <w:r w:rsidRPr="005D4221">
              <w:rPr>
                <w:rFonts w:cs="Arial"/>
                <w:color w:val="000000"/>
                <w:sz w:val="22"/>
                <w:szCs w:val="22"/>
              </w:rPr>
              <w:t xml:space="preserve"> &lt; 1/10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C15A04" w:rsidP="00B93070">
            <w:pPr>
              <w:jc w:val="center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5D4221">
              <w:rPr>
                <w:rFonts w:cs="Arial"/>
                <w:color w:val="000000"/>
                <w:sz w:val="22"/>
                <w:szCs w:val="22"/>
              </w:rPr>
              <w:t>≥ 1/1</w:t>
            </w:r>
            <w:r w:rsidR="00B93070">
              <w:rPr>
                <w:rFonts w:cs="Arial"/>
                <w:color w:val="000000"/>
                <w:sz w:val="22"/>
                <w:szCs w:val="22"/>
              </w:rPr>
              <w:t> </w:t>
            </w:r>
            <w:r w:rsidRPr="005D4221">
              <w:rPr>
                <w:rFonts w:cs="Arial"/>
                <w:color w:val="000000"/>
                <w:sz w:val="22"/>
                <w:szCs w:val="22"/>
              </w:rPr>
              <w:t xml:space="preserve">000 </w:t>
            </w:r>
            <w:r w:rsidR="00B93070">
              <w:rPr>
                <w:rFonts w:cs="Arial"/>
                <w:color w:val="000000"/>
                <w:sz w:val="22"/>
                <w:szCs w:val="22"/>
              </w:rPr>
              <w:t>až</w:t>
            </w:r>
            <w:r w:rsidRPr="005D4221">
              <w:rPr>
                <w:rFonts w:cs="Arial"/>
                <w:color w:val="000000"/>
                <w:sz w:val="22"/>
                <w:szCs w:val="22"/>
              </w:rPr>
              <w:t xml:space="preserve"> &lt; 1/100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B93070">
            <w:pPr>
              <w:jc w:val="center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5D4221">
              <w:rPr>
                <w:rFonts w:cs="Arial"/>
                <w:color w:val="000000"/>
                <w:sz w:val="22"/>
                <w:szCs w:val="22"/>
              </w:rPr>
              <w:t xml:space="preserve">≥ 1/10,000 </w:t>
            </w:r>
            <w:r w:rsidR="00B93070">
              <w:rPr>
                <w:rFonts w:cs="Arial"/>
                <w:color w:val="000000"/>
                <w:sz w:val="22"/>
                <w:szCs w:val="22"/>
              </w:rPr>
              <w:t>až</w:t>
            </w:r>
            <w:r w:rsidRPr="005D4221">
              <w:rPr>
                <w:rFonts w:cs="Arial"/>
                <w:color w:val="000000"/>
                <w:sz w:val="22"/>
                <w:szCs w:val="22"/>
              </w:rPr>
              <w:t xml:space="preserve"> &lt; 1/1</w:t>
            </w:r>
            <w:r w:rsidR="00B93070">
              <w:rPr>
                <w:rFonts w:cs="Arial"/>
                <w:color w:val="000000"/>
                <w:sz w:val="22"/>
                <w:szCs w:val="22"/>
              </w:rPr>
              <w:t> </w:t>
            </w:r>
            <w:r w:rsidRPr="005D4221">
              <w:rPr>
                <w:rFonts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C15A04" w:rsidP="00C15A04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A00302" w:rsidRPr="00614B58" w:rsidTr="00A82B8A">
        <w:trPr>
          <w:trHeight w:val="255"/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B93070" w:rsidP="00B93070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Poruchy krvi a lymfatického systému</w:t>
            </w:r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B93070" w:rsidP="00B93070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</w:t>
            </w:r>
            <w:r w:rsidR="00C15A04" w:rsidRPr="005D4221">
              <w:rPr>
                <w:rFonts w:cs="Arial"/>
                <w:sz w:val="22"/>
                <w:szCs w:val="22"/>
              </w:rPr>
              <w:t>eukop</w:t>
            </w:r>
            <w:r>
              <w:rPr>
                <w:rFonts w:cs="Arial"/>
                <w:sz w:val="22"/>
                <w:szCs w:val="22"/>
              </w:rPr>
              <w:t>é</w:t>
            </w:r>
            <w:r w:rsidR="00C15A04" w:rsidRPr="005D4221">
              <w:rPr>
                <w:rFonts w:cs="Arial"/>
                <w:sz w:val="22"/>
                <w:szCs w:val="22"/>
              </w:rPr>
              <w:t>nia</w:t>
            </w:r>
            <w:proofErr w:type="spellEnd"/>
            <w:r w:rsidR="00C15A04" w:rsidRPr="005D422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</w:rPr>
              <w:t>neutrop</w:t>
            </w:r>
            <w:r>
              <w:rPr>
                <w:rFonts w:cs="Arial"/>
                <w:sz w:val="22"/>
                <w:szCs w:val="22"/>
              </w:rPr>
              <w:t>é</w:t>
            </w:r>
            <w:r w:rsidR="00C15A04" w:rsidRPr="005D4221">
              <w:rPr>
                <w:rFonts w:cs="Arial"/>
                <w:sz w:val="22"/>
                <w:szCs w:val="22"/>
              </w:rPr>
              <w:t>nia</w:t>
            </w:r>
            <w:proofErr w:type="spellEnd"/>
            <w:r w:rsidR="00C15A04" w:rsidRPr="005D422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</w:rPr>
              <w:t>eo</w:t>
            </w:r>
            <w:r>
              <w:rPr>
                <w:rFonts w:cs="Arial"/>
                <w:sz w:val="22"/>
                <w:szCs w:val="22"/>
              </w:rPr>
              <w:t>z</w:t>
            </w:r>
            <w:r w:rsidR="00C15A04" w:rsidRPr="005D4221">
              <w:rPr>
                <w:rFonts w:cs="Arial"/>
                <w:sz w:val="22"/>
                <w:szCs w:val="22"/>
              </w:rPr>
              <w:t>ino</w:t>
            </w:r>
            <w:r>
              <w:rPr>
                <w:rFonts w:cs="Arial"/>
                <w:sz w:val="22"/>
                <w:szCs w:val="22"/>
              </w:rPr>
              <w:t>fília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934CDC" w:rsidP="00992BE5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proofErr w:type="spellStart"/>
            <w:r w:rsidRPr="005D4221">
              <w:rPr>
                <w:rFonts w:cs="Arial"/>
                <w:iCs/>
                <w:sz w:val="22"/>
                <w:szCs w:val="22"/>
              </w:rPr>
              <w:t>T</w:t>
            </w:r>
            <w:r w:rsidR="00C15A04" w:rsidRPr="005D4221">
              <w:rPr>
                <w:rFonts w:cs="Arial"/>
                <w:iCs/>
                <w:sz w:val="22"/>
                <w:szCs w:val="22"/>
              </w:rPr>
              <w:t>rombocytop</w:t>
            </w:r>
            <w:r w:rsidR="00B93070" w:rsidRPr="005D4221">
              <w:rPr>
                <w:rFonts w:cs="Arial"/>
                <w:iCs/>
                <w:sz w:val="22"/>
                <w:szCs w:val="22"/>
              </w:rPr>
              <w:t>é</w:t>
            </w:r>
            <w:r w:rsidR="002653A0">
              <w:rPr>
                <w:rFonts w:cs="Arial"/>
                <w:iCs/>
                <w:sz w:val="22"/>
                <w:szCs w:val="22"/>
              </w:rPr>
              <w:t>-</w:t>
            </w:r>
            <w:r w:rsidR="00C15A04" w:rsidRPr="005D4221">
              <w:rPr>
                <w:rFonts w:cs="Arial"/>
                <w:iCs/>
                <w:sz w:val="22"/>
                <w:szCs w:val="22"/>
              </w:rPr>
              <w:t>nia</w:t>
            </w:r>
            <w:proofErr w:type="spellEnd"/>
            <w:r>
              <w:rPr>
                <w:rFonts w:cs="Arial"/>
                <w:iCs/>
                <w:sz w:val="22"/>
                <w:szCs w:val="22"/>
              </w:rPr>
              <w:t>,</w:t>
            </w:r>
            <w:r w:rsidR="00C15A04" w:rsidRPr="005D4221">
              <w:rPr>
                <w:rFonts w:cs="Arial"/>
                <w:iCs/>
                <w:sz w:val="22"/>
                <w:szCs w:val="22"/>
              </w:rPr>
              <w:t xml:space="preserve"> </w:t>
            </w:r>
            <w:proofErr w:type="spellStart"/>
            <w:r w:rsidR="00C15A04" w:rsidRPr="005D4221">
              <w:rPr>
                <w:rFonts w:cs="Arial"/>
                <w:iCs/>
                <w:sz w:val="22"/>
                <w:szCs w:val="22"/>
              </w:rPr>
              <w:t>hemolytic</w:t>
            </w:r>
            <w:r w:rsidR="00B93070" w:rsidRPr="005D4221">
              <w:rPr>
                <w:rFonts w:cs="Arial"/>
                <w:iCs/>
                <w:sz w:val="22"/>
                <w:szCs w:val="22"/>
              </w:rPr>
              <w:t>ká</w:t>
            </w:r>
            <w:proofErr w:type="spellEnd"/>
            <w:r w:rsidR="00B93070" w:rsidRPr="005D4221">
              <w:rPr>
                <w:rFonts w:cs="Arial"/>
                <w:iCs/>
                <w:sz w:val="22"/>
                <w:szCs w:val="22"/>
              </w:rPr>
              <w:t xml:space="preserve"> anémia</w:t>
            </w: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C15A04" w:rsidP="00B93070">
            <w:pPr>
              <w:tabs>
                <w:tab w:val="left" w:pos="284"/>
              </w:tabs>
              <w:jc w:val="center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5D4221">
              <w:rPr>
                <w:b/>
                <w:sz w:val="22"/>
                <w:szCs w:val="22"/>
                <w:lang w:val="sv-SE"/>
              </w:rPr>
              <w:t>Infe</w:t>
            </w:r>
            <w:r w:rsidR="00B93070">
              <w:rPr>
                <w:b/>
                <w:sz w:val="22"/>
                <w:szCs w:val="22"/>
                <w:lang w:val="sv-SE"/>
              </w:rPr>
              <w:t>kcie a nákazy</w:t>
            </w:r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B93070" w:rsidP="00B93070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k</w:t>
            </w:r>
            <w:r w:rsidR="00C15A04" w:rsidRPr="005D4221">
              <w:rPr>
                <w:rFonts w:cs="Arial"/>
                <w:sz w:val="22"/>
                <w:szCs w:val="22"/>
                <w:lang w:val="en-US"/>
              </w:rPr>
              <w:t>andid</w:t>
            </w:r>
            <w:r>
              <w:rPr>
                <w:rFonts w:cs="Arial"/>
                <w:sz w:val="22"/>
                <w:szCs w:val="22"/>
                <w:lang w:val="en-US"/>
              </w:rPr>
              <w:t>óza</w:t>
            </w:r>
            <w:proofErr w:type="spellEnd"/>
            <w:r w:rsidR="00C15A04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  <w:lang w:val="en-US"/>
              </w:rPr>
              <w:t>or</w:t>
            </w:r>
            <w:r>
              <w:rPr>
                <w:rFonts w:cs="Arial"/>
                <w:sz w:val="22"/>
                <w:szCs w:val="22"/>
                <w:lang w:val="en-US"/>
              </w:rPr>
              <w:t>álna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k</w:t>
            </w:r>
            <w:r w:rsidR="00C15A04" w:rsidRPr="005D4221">
              <w:rPr>
                <w:rFonts w:cs="Arial"/>
                <w:sz w:val="22"/>
                <w:szCs w:val="22"/>
                <w:lang w:val="en-US"/>
              </w:rPr>
              <w:t>andid</w:t>
            </w:r>
            <w:r>
              <w:rPr>
                <w:rFonts w:cs="Arial"/>
                <w:sz w:val="22"/>
                <w:szCs w:val="22"/>
                <w:lang w:val="en-US"/>
              </w:rPr>
              <w:t>óza</w:t>
            </w:r>
            <w:proofErr w:type="spellEnd"/>
            <w:r w:rsidR="00C15A04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  <w:lang w:val="en-US"/>
              </w:rPr>
              <w:t>vagin</w:t>
            </w:r>
            <w:r>
              <w:rPr>
                <w:rFonts w:cs="Arial"/>
                <w:sz w:val="22"/>
                <w:szCs w:val="22"/>
                <w:lang w:val="en-US"/>
              </w:rPr>
              <w:t>álna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  <w:lang w:val="en-US"/>
              </w:rPr>
              <w:t>infe</w:t>
            </w:r>
            <w:r>
              <w:rPr>
                <w:rFonts w:cs="Arial"/>
                <w:sz w:val="22"/>
                <w:szCs w:val="22"/>
                <w:lang w:val="en-US"/>
              </w:rPr>
              <w:t>kcia</w:t>
            </w:r>
            <w:proofErr w:type="spellEnd"/>
            <w:r w:rsidR="00C15A04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  <w:lang w:val="en-US"/>
              </w:rPr>
              <w:t>pneum</w:t>
            </w:r>
            <w:r>
              <w:rPr>
                <w:rFonts w:cs="Arial"/>
                <w:sz w:val="22"/>
                <w:szCs w:val="22"/>
                <w:lang w:val="en-US"/>
              </w:rPr>
              <w:t>ónia</w:t>
            </w:r>
            <w:proofErr w:type="spellEnd"/>
            <w:r w:rsidR="00C15A04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hubová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infekcia</w:t>
            </w:r>
            <w:proofErr w:type="spellEnd"/>
            <w:r w:rsidR="00C15A04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  <w:lang w:val="en-US"/>
              </w:rPr>
              <w:t>ba</w:t>
            </w:r>
            <w:r>
              <w:rPr>
                <w:rFonts w:cs="Arial"/>
                <w:sz w:val="22"/>
                <w:szCs w:val="22"/>
                <w:lang w:val="en-US"/>
              </w:rPr>
              <w:t>k</w:t>
            </w:r>
            <w:r w:rsidR="00C15A04" w:rsidRPr="005D4221">
              <w:rPr>
                <w:rFonts w:cs="Arial"/>
                <w:sz w:val="22"/>
                <w:szCs w:val="22"/>
                <w:lang w:val="en-US"/>
              </w:rPr>
              <w:t>teri</w:t>
            </w:r>
            <w:r>
              <w:rPr>
                <w:rFonts w:cs="Arial"/>
                <w:sz w:val="22"/>
                <w:szCs w:val="22"/>
                <w:lang w:val="en-US"/>
              </w:rPr>
              <w:t>álna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infekcia</w:t>
            </w:r>
            <w:proofErr w:type="spellEnd"/>
            <w:r w:rsidR="00C15A04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f</w:t>
            </w:r>
            <w:r w:rsidR="00C15A04" w:rsidRPr="005D4221">
              <w:rPr>
                <w:rFonts w:cs="Arial"/>
                <w:sz w:val="22"/>
                <w:szCs w:val="22"/>
                <w:lang w:val="en-US"/>
              </w:rPr>
              <w:t>aryngit</w:t>
            </w:r>
            <w:r>
              <w:rPr>
                <w:rFonts w:cs="Arial"/>
                <w:sz w:val="22"/>
                <w:szCs w:val="22"/>
                <w:lang w:val="en-US"/>
              </w:rPr>
              <w:t>ída</w:t>
            </w:r>
            <w:proofErr w:type="spellEnd"/>
            <w:r w:rsidR="00C15A04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  <w:lang w:val="en-US"/>
              </w:rPr>
              <w:t>gastroenterit</w:t>
            </w:r>
            <w:r>
              <w:rPr>
                <w:rFonts w:cs="Arial"/>
                <w:sz w:val="22"/>
                <w:szCs w:val="22"/>
                <w:lang w:val="en-US"/>
              </w:rPr>
              <w:t>ída</w:t>
            </w:r>
            <w:proofErr w:type="spellEnd"/>
            <w:r w:rsidR="00C15A04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  <w:lang w:val="en-US"/>
              </w:rPr>
              <w:t>respira</w:t>
            </w:r>
            <w:r>
              <w:rPr>
                <w:rFonts w:cs="Arial"/>
                <w:sz w:val="22"/>
                <w:szCs w:val="22"/>
                <w:lang w:val="en-US"/>
              </w:rPr>
              <w:t>čné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ochorenie</w:t>
            </w:r>
            <w:proofErr w:type="spellEnd"/>
            <w:r w:rsidR="00C15A04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  <w:lang w:val="en-US"/>
              </w:rPr>
              <w:t>r</w:t>
            </w:r>
            <w:r>
              <w:rPr>
                <w:rFonts w:cs="Arial"/>
                <w:sz w:val="22"/>
                <w:szCs w:val="22"/>
                <w:lang w:val="en-US"/>
              </w:rPr>
              <w:t>initída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B93070" w:rsidP="00B93070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 w:rsidRPr="005D4221">
              <w:rPr>
                <w:rFonts w:cs="Arial"/>
                <w:iCs/>
                <w:sz w:val="22"/>
                <w:szCs w:val="22"/>
              </w:rPr>
              <w:t>p</w:t>
            </w:r>
            <w:r w:rsidR="00C15A04" w:rsidRPr="005D4221">
              <w:rPr>
                <w:rFonts w:cs="Arial"/>
                <w:iCs/>
                <w:sz w:val="22"/>
                <w:szCs w:val="22"/>
              </w:rPr>
              <w:t>seudomembra</w:t>
            </w:r>
            <w:r w:rsidRPr="005D4221">
              <w:rPr>
                <w:rFonts w:cs="Arial"/>
                <w:iCs/>
                <w:sz w:val="22"/>
                <w:szCs w:val="22"/>
              </w:rPr>
              <w:t>-nózna</w:t>
            </w:r>
            <w:proofErr w:type="spellEnd"/>
            <w:r w:rsidRPr="005D4221">
              <w:rPr>
                <w:rFonts w:cs="Arial"/>
                <w:iCs/>
                <w:sz w:val="22"/>
                <w:szCs w:val="22"/>
              </w:rPr>
              <w:t xml:space="preserve"> </w:t>
            </w:r>
            <w:proofErr w:type="spellStart"/>
            <w:r w:rsidRPr="005D4221">
              <w:rPr>
                <w:rFonts w:cs="Arial"/>
                <w:iCs/>
                <w:sz w:val="22"/>
                <w:szCs w:val="22"/>
              </w:rPr>
              <w:t>kolitída</w:t>
            </w:r>
            <w:proofErr w:type="spellEnd"/>
            <w:r w:rsidR="00C15A04" w:rsidRPr="005D4221">
              <w:rPr>
                <w:rFonts w:cs="Arial"/>
                <w:iCs/>
                <w:sz w:val="22"/>
                <w:szCs w:val="22"/>
              </w:rPr>
              <w:t xml:space="preserve"> </w:t>
            </w:r>
            <w:r w:rsidR="00C15A04" w:rsidRPr="005D4221">
              <w:rPr>
                <w:rFonts w:cs="Arial"/>
                <w:sz w:val="22"/>
                <w:szCs w:val="22"/>
              </w:rPr>
              <w:t>(</w:t>
            </w:r>
            <w:r w:rsidRPr="00872365">
              <w:rPr>
                <w:rFonts w:cs="Arial"/>
                <w:sz w:val="22"/>
                <w:szCs w:val="22"/>
              </w:rPr>
              <w:t xml:space="preserve">pozri časť </w:t>
            </w:r>
            <w:r w:rsidR="00C15A04" w:rsidRPr="005D4221">
              <w:rPr>
                <w:rFonts w:cs="Arial"/>
                <w:sz w:val="22"/>
                <w:szCs w:val="22"/>
              </w:rPr>
              <w:t>4.4)</w:t>
            </w: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B93070" w:rsidP="00B93070">
            <w:pPr>
              <w:tabs>
                <w:tab w:val="left" w:pos="284"/>
              </w:tabs>
              <w:jc w:val="center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imunitného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lastRenderedPageBreak/>
              <w:t>systému</w:t>
            </w:r>
            <w:proofErr w:type="spellEnd"/>
            <w:r w:rsidR="00C15A04" w:rsidRPr="005D4221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B93070" w:rsidP="00B93070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</w:t>
            </w:r>
            <w:r w:rsidR="00C15A04" w:rsidRPr="005D4221">
              <w:rPr>
                <w:rFonts w:cs="Arial"/>
                <w:sz w:val="22"/>
                <w:szCs w:val="22"/>
              </w:rPr>
              <w:t>ngioed</w:t>
            </w:r>
            <w:r>
              <w:rPr>
                <w:rFonts w:cs="Arial"/>
                <w:sz w:val="22"/>
                <w:szCs w:val="22"/>
              </w:rPr>
              <w:t>ém</w:t>
            </w:r>
            <w:proofErr w:type="spellEnd"/>
            <w:r w:rsidR="00C15A04" w:rsidRPr="005D422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</w:rPr>
              <w:t>hypersen</w:t>
            </w:r>
            <w:r>
              <w:rPr>
                <w:rFonts w:cs="Arial"/>
                <w:sz w:val="22"/>
                <w:szCs w:val="22"/>
              </w:rPr>
              <w:t>z</w:t>
            </w:r>
            <w:r w:rsidR="00C15A04" w:rsidRPr="005D4221">
              <w:rPr>
                <w:rFonts w:cs="Arial"/>
                <w:sz w:val="22"/>
                <w:szCs w:val="22"/>
              </w:rPr>
              <w:t>itivit</w:t>
            </w:r>
            <w:r>
              <w:rPr>
                <w:rFonts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831ACB" w:rsidP="00831AC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 w:rsidRPr="005D4221">
              <w:rPr>
                <w:rFonts w:cs="Arial"/>
                <w:iCs/>
                <w:sz w:val="22"/>
                <w:szCs w:val="22"/>
              </w:rPr>
              <w:t>a</w:t>
            </w:r>
            <w:r w:rsidR="00C15A04" w:rsidRPr="005D4221">
              <w:rPr>
                <w:rFonts w:cs="Arial"/>
                <w:iCs/>
                <w:sz w:val="22"/>
                <w:szCs w:val="22"/>
              </w:rPr>
              <w:t>na</w:t>
            </w:r>
            <w:r w:rsidRPr="005D4221">
              <w:rPr>
                <w:rFonts w:cs="Arial"/>
                <w:iCs/>
                <w:sz w:val="22"/>
                <w:szCs w:val="22"/>
              </w:rPr>
              <w:t>fylaktická</w:t>
            </w:r>
            <w:proofErr w:type="spellEnd"/>
            <w:r w:rsidRPr="005D4221">
              <w:rPr>
                <w:rFonts w:cs="Arial"/>
                <w:iCs/>
                <w:sz w:val="22"/>
                <w:szCs w:val="22"/>
              </w:rPr>
              <w:t xml:space="preserve"> reakcia</w:t>
            </w:r>
            <w:r w:rsidR="00C15A04" w:rsidRPr="005D4221">
              <w:rPr>
                <w:rFonts w:cs="Arial"/>
                <w:iCs/>
                <w:sz w:val="22"/>
                <w:szCs w:val="22"/>
              </w:rPr>
              <w:t xml:space="preserve"> </w:t>
            </w:r>
            <w:r w:rsidR="00C15A04" w:rsidRPr="005D4221">
              <w:rPr>
                <w:rFonts w:cs="Arial"/>
                <w:sz w:val="22"/>
                <w:szCs w:val="22"/>
              </w:rPr>
              <w:t>(</w:t>
            </w:r>
            <w:r w:rsidRPr="00872365">
              <w:rPr>
                <w:rFonts w:cs="Arial"/>
                <w:sz w:val="22"/>
                <w:szCs w:val="22"/>
              </w:rPr>
              <w:t xml:space="preserve">pozri </w:t>
            </w:r>
            <w:r w:rsidRPr="00872365">
              <w:rPr>
                <w:rFonts w:cs="Arial"/>
                <w:sz w:val="22"/>
                <w:szCs w:val="22"/>
              </w:rPr>
              <w:lastRenderedPageBreak/>
              <w:t xml:space="preserve">časť </w:t>
            </w:r>
            <w:r w:rsidR="00C15A04" w:rsidRPr="005D4221">
              <w:rPr>
                <w:rFonts w:cs="Arial"/>
                <w:sz w:val="22"/>
                <w:szCs w:val="22"/>
              </w:rPr>
              <w:t>4.4)</w:t>
            </w:r>
          </w:p>
        </w:tc>
      </w:tr>
      <w:tr w:rsidR="00A00302" w:rsidRPr="00614B58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831ACB" w:rsidP="00831ACB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lastRenderedPageBreak/>
              <w:t>Poruchy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metabolizmu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výživy</w:t>
            </w:r>
            <w:proofErr w:type="spellEnd"/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831ACB" w:rsidP="00831ACB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</w:t>
            </w:r>
            <w:r w:rsidR="00C15A04" w:rsidRPr="005D4221">
              <w:rPr>
                <w:rFonts w:cs="Arial"/>
                <w:sz w:val="22"/>
                <w:szCs w:val="22"/>
              </w:rPr>
              <w:t>norexia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C15A04" w:rsidP="00CE7136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proofErr w:type="spellStart"/>
            <w:r w:rsidRPr="005D4221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Psychi</w:t>
            </w:r>
            <w:r w:rsidR="00CE7136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cké</w:t>
            </w:r>
            <w:proofErr w:type="spellEnd"/>
            <w:r w:rsidR="00CE7136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E7136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CE7136" w:rsidP="00222101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rFonts w:cs="Arial"/>
                <w:sz w:val="22"/>
                <w:szCs w:val="22"/>
              </w:rPr>
              <w:t>nervozita</w:t>
            </w:r>
            <w:r w:rsidR="00C15A04" w:rsidRPr="005D4221">
              <w:rPr>
                <w:rFonts w:cs="Arial"/>
                <w:sz w:val="22"/>
                <w:szCs w:val="22"/>
              </w:rPr>
              <w:t xml:space="preserve">, </w:t>
            </w:r>
            <w:r w:rsidR="00222101">
              <w:rPr>
                <w:rFonts w:cs="Arial"/>
                <w:sz w:val="22"/>
                <w:szCs w:val="22"/>
              </w:rPr>
              <w:t>nespavosť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C4562" w:rsidP="00CC4562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rFonts w:cs="Arial"/>
                <w:sz w:val="22"/>
                <w:szCs w:val="22"/>
              </w:rPr>
              <w:t>nepokoj</w:t>
            </w: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CC4562" w:rsidP="00A82B8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 w:rsidRPr="00872365">
              <w:rPr>
                <w:rFonts w:cs="Arial"/>
                <w:iCs/>
                <w:sz w:val="22"/>
                <w:szCs w:val="22"/>
              </w:rPr>
              <w:t>agresivita</w:t>
            </w:r>
            <w:r w:rsidR="00C15A04" w:rsidRPr="005D4221">
              <w:rPr>
                <w:rFonts w:cs="Arial"/>
                <w:iCs/>
                <w:sz w:val="22"/>
                <w:szCs w:val="22"/>
              </w:rPr>
              <w:t xml:space="preserve">, </w:t>
            </w:r>
            <w:r w:rsidRPr="00872365">
              <w:rPr>
                <w:rFonts w:cs="Arial"/>
                <w:iCs/>
                <w:sz w:val="22"/>
                <w:szCs w:val="22"/>
              </w:rPr>
              <w:t>úzkosť, delírium,</w:t>
            </w:r>
            <w:r w:rsidR="00A82B8A">
              <w:rPr>
                <w:rFonts w:cs="Arial"/>
                <w:iCs/>
                <w:sz w:val="22"/>
                <w:szCs w:val="22"/>
              </w:rPr>
              <w:t xml:space="preserve"> </w:t>
            </w:r>
            <w:r w:rsidRPr="00872365">
              <w:rPr>
                <w:rFonts w:cs="Arial"/>
                <w:iCs/>
                <w:sz w:val="22"/>
                <w:szCs w:val="22"/>
              </w:rPr>
              <w:t>halucinácie</w:t>
            </w: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CC4562" w:rsidP="00CC4562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Poruchy nervového systému</w:t>
            </w:r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C4562" w:rsidP="00CC4562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rFonts w:cs="Arial"/>
                <w:sz w:val="22"/>
                <w:szCs w:val="22"/>
              </w:rPr>
              <w:t>bolesť hlavy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872365" w:rsidP="00872365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rFonts w:cs="Arial"/>
                <w:sz w:val="22"/>
                <w:szCs w:val="22"/>
              </w:rPr>
              <w:t>závrat</w:t>
            </w:r>
            <w:r w:rsidR="00C15A04" w:rsidRPr="005D4221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ospalosť</w:t>
            </w:r>
            <w:r w:rsidR="00C15A04" w:rsidRPr="005D422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</w:rPr>
              <w:t>par</w:t>
            </w:r>
            <w:r>
              <w:rPr>
                <w:rFonts w:cs="Arial"/>
                <w:sz w:val="22"/>
                <w:szCs w:val="22"/>
              </w:rPr>
              <w:t>estézia</w:t>
            </w:r>
            <w:proofErr w:type="spellEnd"/>
            <w:r w:rsidR="00C15A04" w:rsidRPr="005D422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sz w:val="22"/>
                <w:szCs w:val="22"/>
              </w:rPr>
              <w:t>dysge</w:t>
            </w:r>
            <w:r>
              <w:rPr>
                <w:rFonts w:cs="Arial"/>
                <w:sz w:val="22"/>
                <w:szCs w:val="22"/>
              </w:rPr>
              <w:t>úzia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872365" w:rsidP="00872365">
            <w:pPr>
              <w:tabs>
                <w:tab w:val="left" w:pos="284"/>
              </w:tabs>
              <w:jc w:val="center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872365">
              <w:rPr>
                <w:rFonts w:cs="Arial"/>
                <w:sz w:val="22"/>
                <w:szCs w:val="22"/>
                <w:lang w:val="en-US"/>
              </w:rPr>
              <w:t>h</w:t>
            </w:r>
            <w:r w:rsidR="00C15A04" w:rsidRPr="005D4221">
              <w:rPr>
                <w:rFonts w:cs="Arial"/>
                <w:sz w:val="22"/>
                <w:szCs w:val="22"/>
                <w:lang w:val="en-US"/>
              </w:rPr>
              <w:t>ypest</w:t>
            </w:r>
            <w:r w:rsidRPr="00872365">
              <w:rPr>
                <w:rFonts w:cs="Arial"/>
                <w:sz w:val="22"/>
                <w:szCs w:val="22"/>
                <w:lang w:val="en-US"/>
              </w:rPr>
              <w:t>ézia</w:t>
            </w:r>
            <w:proofErr w:type="spellEnd"/>
            <w:r w:rsidR="00C15A04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72365">
              <w:rPr>
                <w:rFonts w:cs="Arial"/>
                <w:sz w:val="22"/>
                <w:szCs w:val="22"/>
                <w:lang w:val="en-US"/>
              </w:rPr>
              <w:t>s</w:t>
            </w:r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>yn</w:t>
            </w:r>
            <w:r w:rsidRPr="005D4221">
              <w:rPr>
                <w:rFonts w:cs="Arial"/>
                <w:iCs/>
                <w:sz w:val="22"/>
                <w:szCs w:val="22"/>
                <w:lang w:val="en-US"/>
              </w:rPr>
              <w:t>kopa</w:t>
            </w:r>
            <w:proofErr w:type="spellEnd"/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4221">
              <w:rPr>
                <w:rFonts w:cs="Arial"/>
                <w:iCs/>
                <w:sz w:val="22"/>
                <w:szCs w:val="22"/>
                <w:lang w:val="en-US"/>
              </w:rPr>
              <w:t>kŕče</w:t>
            </w:r>
            <w:proofErr w:type="spellEnd"/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>psychomotor</w:t>
            </w:r>
            <w:r w:rsidRPr="005D4221">
              <w:rPr>
                <w:rFonts w:cs="Arial"/>
                <w:iCs/>
                <w:sz w:val="22"/>
                <w:szCs w:val="22"/>
                <w:lang w:val="en-US"/>
              </w:rPr>
              <w:t>i</w:t>
            </w:r>
            <w:r w:rsidR="001E6652">
              <w:rPr>
                <w:rFonts w:cs="Arial"/>
                <w:iCs/>
                <w:sz w:val="22"/>
                <w:szCs w:val="22"/>
                <w:lang w:val="en-US"/>
              </w:rPr>
              <w:t>-</w:t>
            </w:r>
            <w:r w:rsidRPr="005D4221">
              <w:rPr>
                <w:rFonts w:cs="Arial"/>
                <w:iCs/>
                <w:sz w:val="22"/>
                <w:szCs w:val="22"/>
                <w:lang w:val="en-US"/>
              </w:rPr>
              <w:t>cká</w:t>
            </w:r>
            <w:proofErr w:type="spellEnd"/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>hypera</w:t>
            </w:r>
            <w:r w:rsidRPr="005D4221">
              <w:rPr>
                <w:rFonts w:cs="Arial"/>
                <w:iCs/>
                <w:sz w:val="22"/>
                <w:szCs w:val="22"/>
                <w:lang w:val="en-US"/>
              </w:rPr>
              <w:t>ktivita</w:t>
            </w:r>
            <w:proofErr w:type="spellEnd"/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 xml:space="preserve">, anosmia, </w:t>
            </w:r>
            <w:proofErr w:type="spellStart"/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>age</w:t>
            </w:r>
            <w:r w:rsidRPr="005D4221">
              <w:rPr>
                <w:rFonts w:cs="Arial"/>
                <w:iCs/>
                <w:sz w:val="22"/>
                <w:szCs w:val="22"/>
                <w:lang w:val="en-US"/>
              </w:rPr>
              <w:t>úzia</w:t>
            </w:r>
            <w:proofErr w:type="spellEnd"/>
            <w:r w:rsidRPr="005D4221">
              <w:rPr>
                <w:rFonts w:cs="Arial"/>
                <w:iCs/>
                <w:sz w:val="22"/>
                <w:szCs w:val="22"/>
                <w:lang w:val="en-US"/>
              </w:rPr>
              <w:t>,</w:t>
            </w:r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>parosmia</w:t>
            </w:r>
            <w:proofErr w:type="spellEnd"/>
            <w:r>
              <w:rPr>
                <w:rFonts w:cs="Arial"/>
                <w:iCs/>
                <w:sz w:val="22"/>
                <w:szCs w:val="22"/>
                <w:lang w:val="en-US"/>
              </w:rPr>
              <w:t>,</w:t>
            </w:r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 xml:space="preserve"> </w:t>
            </w:r>
            <w:r w:rsidRPr="005D4221">
              <w:rPr>
                <w:rFonts w:cs="Arial"/>
                <w:iCs/>
                <w:sz w:val="22"/>
                <w:szCs w:val="22"/>
                <w:lang w:val="en-US"/>
              </w:rPr>
              <w:t>m</w:t>
            </w:r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>yasthenia gravis (</w:t>
            </w:r>
            <w:proofErr w:type="spellStart"/>
            <w:r w:rsidRPr="005D4221">
              <w:rPr>
                <w:rFonts w:cs="Arial"/>
                <w:iCs/>
                <w:sz w:val="22"/>
                <w:szCs w:val="22"/>
                <w:lang w:val="en-US"/>
              </w:rPr>
              <w:t>pozri</w:t>
            </w:r>
            <w:proofErr w:type="spellEnd"/>
            <w:r w:rsidRPr="005D4221">
              <w:rPr>
                <w:rFonts w:cs="Arial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4221">
              <w:rPr>
                <w:rFonts w:cs="Arial"/>
                <w:iCs/>
                <w:sz w:val="22"/>
                <w:szCs w:val="22"/>
                <w:lang w:val="en-US"/>
              </w:rPr>
              <w:t>časť</w:t>
            </w:r>
            <w:proofErr w:type="spellEnd"/>
            <w:r w:rsidRPr="005D4221">
              <w:rPr>
                <w:rFonts w:cs="Arial"/>
                <w:iCs/>
                <w:sz w:val="22"/>
                <w:szCs w:val="22"/>
                <w:lang w:val="en-US"/>
              </w:rPr>
              <w:t xml:space="preserve"> </w:t>
            </w:r>
            <w:r w:rsidR="00C15A04" w:rsidRPr="005D4221">
              <w:rPr>
                <w:rFonts w:cs="Arial"/>
                <w:iCs/>
                <w:sz w:val="22"/>
                <w:szCs w:val="22"/>
                <w:lang w:val="en-US"/>
              </w:rPr>
              <w:t>4.4)</w:t>
            </w: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872365" w:rsidP="00872365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oka</w:t>
            </w:r>
            <w:proofErr w:type="spellEnd"/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872365" w:rsidP="00872365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rFonts w:cs="Arial"/>
                <w:sz w:val="22"/>
                <w:szCs w:val="22"/>
              </w:rPr>
              <w:t>poruchy zraku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872365" w:rsidP="00872365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ucha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labyrintu</w:t>
            </w:r>
            <w:proofErr w:type="spellEnd"/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A1025D" w:rsidP="00A1025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rFonts w:cs="Arial"/>
                <w:sz w:val="22"/>
                <w:szCs w:val="22"/>
              </w:rPr>
              <w:t>poruchy ucha</w:t>
            </w:r>
            <w:r w:rsidR="00C15A04" w:rsidRPr="005D422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872365">
              <w:rPr>
                <w:rFonts w:cs="Arial"/>
                <w:sz w:val="22"/>
                <w:szCs w:val="22"/>
              </w:rPr>
              <w:t>v</w:t>
            </w:r>
            <w:r w:rsidR="00C15A04" w:rsidRPr="005D4221">
              <w:rPr>
                <w:rFonts w:cs="Arial"/>
                <w:sz w:val="22"/>
                <w:szCs w:val="22"/>
              </w:rPr>
              <w:t>ertigo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A1025D" w:rsidP="00A1025D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poškodenie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sluchu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vrátane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hluchoty</w:t>
            </w:r>
            <w:proofErr w:type="spellEnd"/>
            <w:r>
              <w:rPr>
                <w:sz w:val="22"/>
                <w:szCs w:val="22"/>
              </w:rPr>
              <w:t xml:space="preserve"> a/</w:t>
            </w:r>
            <w:proofErr w:type="spellStart"/>
            <w:r>
              <w:rPr>
                <w:sz w:val="22"/>
                <w:szCs w:val="22"/>
              </w:rPr>
              <w:t>alebo</w:t>
            </w:r>
            <w:proofErr w:type="spellEnd"/>
            <w:r>
              <w:rPr>
                <w:sz w:val="22"/>
                <w:szCs w:val="22"/>
              </w:rPr>
              <w:t xml:space="preserve"> tinnitus </w:t>
            </w: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A1025D" w:rsidP="00A1025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Poruchy srdca</w:t>
            </w:r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A1025D" w:rsidP="00A1025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</w:t>
            </w:r>
            <w:r w:rsidR="00C15A04" w:rsidRPr="005D4221">
              <w:rPr>
                <w:rFonts w:cs="Arial"/>
                <w:sz w:val="22"/>
                <w:szCs w:val="22"/>
              </w:rPr>
              <w:t>alpit</w:t>
            </w:r>
            <w:r>
              <w:rPr>
                <w:rFonts w:cs="Arial"/>
                <w:sz w:val="22"/>
                <w:szCs w:val="22"/>
              </w:rPr>
              <w:t>ácie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A1025D" w:rsidP="00A1025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 w:rsidRPr="005D4221">
              <w:rPr>
                <w:i/>
                <w:iCs/>
                <w:sz w:val="22"/>
                <w:szCs w:val="22"/>
                <w:lang w:val="en-US"/>
              </w:rPr>
              <w:t>t</w:t>
            </w:r>
            <w:r w:rsidR="00C15A04" w:rsidRPr="005D4221">
              <w:rPr>
                <w:i/>
                <w:iCs/>
                <w:sz w:val="22"/>
                <w:szCs w:val="22"/>
                <w:lang w:val="en-US"/>
              </w:rPr>
              <w:t>orsades</w:t>
            </w:r>
            <w:proofErr w:type="spellEnd"/>
            <w:r w:rsidR="00C15A04" w:rsidRPr="005D4221">
              <w:rPr>
                <w:i/>
                <w:iCs/>
                <w:sz w:val="22"/>
                <w:szCs w:val="22"/>
                <w:lang w:val="en-US"/>
              </w:rPr>
              <w:t xml:space="preserve"> de pointes</w:t>
            </w:r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C15A04" w:rsidRPr="005D4221"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pozri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časť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C15A04" w:rsidRPr="005D4221">
              <w:rPr>
                <w:sz w:val="22"/>
                <w:szCs w:val="22"/>
                <w:lang w:val="en-US"/>
              </w:rPr>
              <w:t>4.4)</w:t>
            </w:r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5A04" w:rsidRPr="005D4221">
              <w:rPr>
                <w:iCs/>
                <w:sz w:val="22"/>
                <w:szCs w:val="22"/>
                <w:lang w:val="en-US"/>
              </w:rPr>
              <w:t>ar</w:t>
            </w:r>
            <w:r>
              <w:rPr>
                <w:iCs/>
                <w:sz w:val="22"/>
                <w:szCs w:val="22"/>
                <w:lang w:val="en-US"/>
              </w:rPr>
              <w:t>ytmia</w:t>
            </w:r>
            <w:proofErr w:type="spellEnd"/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C15A04" w:rsidRPr="005D4221"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pozri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časť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C15A04" w:rsidRPr="005D4221">
              <w:rPr>
                <w:sz w:val="22"/>
                <w:szCs w:val="22"/>
                <w:lang w:val="en-US"/>
              </w:rPr>
              <w:t xml:space="preserve">4.4) </w:t>
            </w:r>
            <w:proofErr w:type="spellStart"/>
            <w:r>
              <w:rPr>
                <w:sz w:val="22"/>
                <w:szCs w:val="22"/>
                <w:lang w:val="en-US"/>
              </w:rPr>
              <w:t>vrátane</w:t>
            </w:r>
            <w:proofErr w:type="spellEnd"/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5A04" w:rsidRPr="00C35916">
              <w:rPr>
                <w:iCs/>
                <w:sz w:val="22"/>
                <w:szCs w:val="22"/>
                <w:lang w:val="en-US"/>
              </w:rPr>
              <w:t>ventri</w:t>
            </w:r>
            <w:r w:rsidRPr="00C35916">
              <w:rPr>
                <w:iCs/>
                <w:sz w:val="22"/>
                <w:szCs w:val="22"/>
                <w:lang w:val="en-US"/>
              </w:rPr>
              <w:t>kulárnej</w:t>
            </w:r>
            <w:proofErr w:type="spellEnd"/>
            <w:r w:rsidRPr="00D20185">
              <w:rPr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C15A04" w:rsidRPr="00C35916">
              <w:rPr>
                <w:iCs/>
                <w:sz w:val="22"/>
                <w:szCs w:val="22"/>
                <w:lang w:val="en-US"/>
              </w:rPr>
              <w:t>tachy</w:t>
            </w:r>
            <w:r w:rsidRPr="00C35916">
              <w:rPr>
                <w:iCs/>
                <w:sz w:val="22"/>
                <w:szCs w:val="22"/>
                <w:lang w:val="en-US"/>
              </w:rPr>
              <w:t>kardie</w:t>
            </w:r>
            <w:proofErr w:type="spellEnd"/>
            <w:r w:rsidRPr="00C35916"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451DA9">
              <w:rPr>
                <w:iCs/>
                <w:sz w:val="22"/>
                <w:szCs w:val="22"/>
                <w:lang w:val="en-US"/>
              </w:rPr>
              <w:t>na</w:t>
            </w:r>
            <w:proofErr w:type="spellEnd"/>
            <w:r w:rsidR="00451DA9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DD61E8" w:rsidRPr="00DD61E8">
              <w:rPr>
                <w:iCs/>
                <w:sz w:val="22"/>
                <w:szCs w:val="22"/>
                <w:lang w:val="en-US"/>
              </w:rPr>
              <w:t xml:space="preserve">EKG </w:t>
            </w:r>
            <w:proofErr w:type="spellStart"/>
            <w:r w:rsidR="00DD61E8" w:rsidRPr="00DD61E8">
              <w:rPr>
                <w:iCs/>
                <w:sz w:val="22"/>
                <w:szCs w:val="22"/>
                <w:lang w:val="en-US"/>
              </w:rPr>
              <w:t>predĺžený</w:t>
            </w:r>
            <w:proofErr w:type="spellEnd"/>
            <w:r w:rsidR="00DD61E8" w:rsidRPr="00DD61E8">
              <w:rPr>
                <w:iCs/>
                <w:sz w:val="22"/>
                <w:szCs w:val="22"/>
                <w:lang w:val="en-US"/>
              </w:rPr>
              <w:t xml:space="preserve"> interval QT</w:t>
            </w:r>
            <w:r w:rsidR="00C15A04" w:rsidRPr="00D20185">
              <w:rPr>
                <w:iCs/>
                <w:sz w:val="22"/>
                <w:szCs w:val="22"/>
                <w:highlight w:val="yellow"/>
              </w:rPr>
              <w:t xml:space="preserve"> </w:t>
            </w:r>
            <w:r w:rsidR="00C15A04" w:rsidRPr="00A82B8A">
              <w:rPr>
                <w:iCs/>
                <w:sz w:val="22"/>
                <w:szCs w:val="22"/>
              </w:rPr>
              <w:t>(</w:t>
            </w:r>
            <w:r w:rsidRPr="00A82B8A">
              <w:rPr>
                <w:iCs/>
                <w:sz w:val="22"/>
                <w:szCs w:val="22"/>
              </w:rPr>
              <w:t xml:space="preserve">pozri časť </w:t>
            </w:r>
            <w:r w:rsidR="00C15A04" w:rsidRPr="00A82B8A">
              <w:rPr>
                <w:iCs/>
                <w:sz w:val="22"/>
                <w:szCs w:val="22"/>
              </w:rPr>
              <w:t>4.4</w:t>
            </w:r>
            <w:r w:rsidR="00A82B8A" w:rsidRPr="00A82B8A">
              <w:rPr>
                <w:iCs/>
                <w:sz w:val="22"/>
                <w:szCs w:val="22"/>
              </w:rPr>
              <w:t>)</w:t>
            </w: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A00302" w:rsidP="00A00302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Poruchy ciev</w:t>
            </w:r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A00302" w:rsidP="00A00302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návaly horúčavy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A1025D" w:rsidP="00A1025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iCs/>
                <w:sz w:val="22"/>
                <w:szCs w:val="22"/>
              </w:rPr>
              <w:t>h</w:t>
            </w:r>
            <w:r w:rsidR="00C15A04" w:rsidRPr="005D4221">
              <w:rPr>
                <w:iCs/>
                <w:sz w:val="22"/>
                <w:szCs w:val="22"/>
              </w:rPr>
              <w:t>ypoten</w:t>
            </w:r>
            <w:r>
              <w:rPr>
                <w:iCs/>
                <w:sz w:val="22"/>
                <w:szCs w:val="22"/>
              </w:rPr>
              <w:t>zia</w:t>
            </w: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A00302" w:rsidP="00A00302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Poruchy dýchacej sústavy, hrudníka a mediastína</w:t>
            </w:r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A00302" w:rsidP="00A00302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sz w:val="22"/>
                <w:szCs w:val="22"/>
              </w:rPr>
              <w:t>d</w:t>
            </w:r>
            <w:r w:rsidR="00C15A04" w:rsidRPr="005D4221">
              <w:rPr>
                <w:sz w:val="22"/>
                <w:szCs w:val="22"/>
              </w:rPr>
              <w:t>yspnoe</w:t>
            </w:r>
            <w:proofErr w:type="spellEnd"/>
            <w:r w:rsidR="00C15A04" w:rsidRPr="005D422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</w:t>
            </w:r>
            <w:r w:rsidR="00C15A04" w:rsidRPr="005D4221">
              <w:rPr>
                <w:sz w:val="22"/>
                <w:szCs w:val="22"/>
              </w:rPr>
              <w:t>pistax</w:t>
            </w:r>
            <w:r>
              <w:rPr>
                <w:sz w:val="22"/>
                <w:szCs w:val="22"/>
              </w:rPr>
              <w:t>a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A00302" w:rsidP="00A00302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Poruchy gastrointestinálne</w:t>
            </w:r>
            <w:r w:rsidR="0000703E">
              <w:rPr>
                <w:b/>
                <w:sz w:val="22"/>
                <w:szCs w:val="22"/>
                <w:lang w:val="sv-SE"/>
              </w:rPr>
              <w:t>-</w:t>
            </w:r>
            <w:r>
              <w:rPr>
                <w:b/>
                <w:sz w:val="22"/>
                <w:szCs w:val="22"/>
                <w:lang w:val="sv-SE"/>
              </w:rPr>
              <w:t>ho traktu</w:t>
            </w:r>
          </w:p>
        </w:tc>
        <w:tc>
          <w:tcPr>
            <w:tcW w:w="453" w:type="pct"/>
            <w:vAlign w:val="center"/>
          </w:tcPr>
          <w:p w:rsidR="00C15A04" w:rsidRPr="005D4221" w:rsidRDefault="00A00302" w:rsidP="00A00302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</w:rPr>
              <w:t>hnačka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A00302" w:rsidP="00A00302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</w:rPr>
              <w:t>vracanie</w:t>
            </w:r>
            <w:r w:rsidR="00C15A04" w:rsidRPr="005D422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bolesť brucha</w:t>
            </w:r>
            <w:r w:rsidR="00C15A04" w:rsidRPr="005D4221">
              <w:rPr>
                <w:sz w:val="22"/>
                <w:szCs w:val="22"/>
              </w:rPr>
              <w:t>, nau</w:t>
            </w:r>
            <w:r>
              <w:rPr>
                <w:sz w:val="22"/>
                <w:szCs w:val="22"/>
              </w:rPr>
              <w:t>zea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A00302" w:rsidP="00222101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zápcha</w:t>
            </w:r>
            <w:proofErr w:type="spellEnd"/>
            <w:r w:rsidR="00C15A04" w:rsidRPr="005D422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5A04" w:rsidRPr="005D4221">
              <w:rPr>
                <w:sz w:val="22"/>
                <w:szCs w:val="22"/>
                <w:lang w:val="en-US"/>
              </w:rPr>
              <w:t>flatulenc</w:t>
            </w:r>
            <w:r>
              <w:rPr>
                <w:sz w:val="22"/>
                <w:szCs w:val="22"/>
                <w:lang w:val="en-US"/>
              </w:rPr>
              <w:t>ia</w:t>
            </w:r>
            <w:proofErr w:type="spellEnd"/>
            <w:r w:rsidR="00C15A04" w:rsidRPr="005D4221">
              <w:rPr>
                <w:sz w:val="22"/>
                <w:szCs w:val="22"/>
                <w:lang w:val="en-US"/>
              </w:rPr>
              <w:t xml:space="preserve">, dyspepsia, </w:t>
            </w:r>
            <w:proofErr w:type="spellStart"/>
            <w:r w:rsidR="00C15A04" w:rsidRPr="005D4221">
              <w:rPr>
                <w:sz w:val="22"/>
                <w:szCs w:val="22"/>
                <w:lang w:val="en-US"/>
              </w:rPr>
              <w:t>gastrit</w:t>
            </w:r>
            <w:r>
              <w:rPr>
                <w:sz w:val="22"/>
                <w:szCs w:val="22"/>
                <w:lang w:val="en-US"/>
              </w:rPr>
              <w:t>ída</w:t>
            </w:r>
            <w:proofErr w:type="spellEnd"/>
            <w:r>
              <w:rPr>
                <w:sz w:val="22"/>
                <w:szCs w:val="22"/>
                <w:lang w:val="en-US"/>
              </w:rPr>
              <w:t>,</w:t>
            </w:r>
            <w:r w:rsidR="00C15A04" w:rsidRPr="005D42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5A04" w:rsidRPr="005D4221">
              <w:rPr>
                <w:sz w:val="22"/>
                <w:szCs w:val="22"/>
                <w:lang w:val="en-US"/>
              </w:rPr>
              <w:t>dys</w:t>
            </w:r>
            <w:r>
              <w:rPr>
                <w:sz w:val="22"/>
                <w:szCs w:val="22"/>
                <w:lang w:val="en-US"/>
              </w:rPr>
              <w:t>fágia</w:t>
            </w:r>
            <w:proofErr w:type="spellEnd"/>
            <w:r w:rsidR="00C15A04" w:rsidRPr="005D422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5A04" w:rsidRPr="005D4221">
              <w:rPr>
                <w:sz w:val="22"/>
                <w:szCs w:val="22"/>
                <w:lang w:val="en-US"/>
              </w:rPr>
              <w:t>abdomin</w:t>
            </w:r>
            <w:r>
              <w:rPr>
                <w:sz w:val="22"/>
                <w:szCs w:val="22"/>
                <w:lang w:val="en-US"/>
              </w:rPr>
              <w:t>álna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dilatácia</w:t>
            </w:r>
            <w:proofErr w:type="spellEnd"/>
            <w:r w:rsidR="00C15A04" w:rsidRPr="005D422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sucho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v </w:t>
            </w:r>
            <w:proofErr w:type="spellStart"/>
            <w:r>
              <w:rPr>
                <w:sz w:val="22"/>
                <w:szCs w:val="22"/>
                <w:lang w:val="en-US"/>
              </w:rPr>
              <w:t>ústach</w:t>
            </w:r>
            <w:proofErr w:type="spellEnd"/>
            <w:r w:rsidR="00C15A04" w:rsidRPr="005D422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grganie</w:t>
            </w:r>
            <w:proofErr w:type="spellEnd"/>
            <w:r w:rsidR="00C15A04" w:rsidRPr="005D4221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vredy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v</w:t>
            </w:r>
            <w:r w:rsidR="00222101">
              <w:rPr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sz w:val="22"/>
                <w:szCs w:val="22"/>
                <w:lang w:val="en-US"/>
              </w:rPr>
              <w:t>ústach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hypersekrécia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slín</w:t>
            </w:r>
            <w:proofErr w:type="spellEnd"/>
            <w:r w:rsidR="00C15A04" w:rsidRPr="005D422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CB2D10" w:rsidP="00CB2D10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iCs/>
                <w:sz w:val="22"/>
                <w:szCs w:val="22"/>
              </w:rPr>
              <w:t>p</w:t>
            </w:r>
            <w:r w:rsidR="00C15A04" w:rsidRPr="005D4221">
              <w:rPr>
                <w:iCs/>
                <w:sz w:val="22"/>
                <w:szCs w:val="22"/>
              </w:rPr>
              <w:t>an</w:t>
            </w:r>
            <w:r>
              <w:rPr>
                <w:iCs/>
                <w:sz w:val="22"/>
                <w:szCs w:val="22"/>
              </w:rPr>
              <w:t>k</w:t>
            </w:r>
            <w:r w:rsidR="00C15A04" w:rsidRPr="005D4221">
              <w:rPr>
                <w:iCs/>
                <w:sz w:val="22"/>
                <w:szCs w:val="22"/>
              </w:rPr>
              <w:t>reatit</w:t>
            </w:r>
            <w:r>
              <w:rPr>
                <w:iCs/>
                <w:sz w:val="22"/>
                <w:szCs w:val="22"/>
              </w:rPr>
              <w:t>ída</w:t>
            </w:r>
            <w:r w:rsidR="00C15A04" w:rsidRPr="005D4221">
              <w:rPr>
                <w:iCs/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</w:rPr>
              <w:t>zmena sfarbenia jazyka</w:t>
            </w: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CB2D10" w:rsidP="00CB2D10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lastRenderedPageBreak/>
              <w:t>Poruchy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pečene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žlčových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ciest</w:t>
            </w:r>
            <w:proofErr w:type="spellEnd"/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AC224D" w:rsidP="00AC224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</w:t>
            </w:r>
            <w:r w:rsidR="00CB2D10">
              <w:rPr>
                <w:sz w:val="22"/>
                <w:szCs w:val="22"/>
                <w:lang w:val="en-US"/>
              </w:rPr>
              <w:t>bno</w:t>
            </w:r>
            <w:r>
              <w:rPr>
                <w:sz w:val="22"/>
                <w:szCs w:val="22"/>
                <w:lang w:val="en-US"/>
              </w:rPr>
              <w:t>r</w:t>
            </w:r>
            <w:r w:rsidR="00CB2D10">
              <w:rPr>
                <w:sz w:val="22"/>
                <w:szCs w:val="22"/>
                <w:lang w:val="en-US"/>
              </w:rPr>
              <w:t>málna</w:t>
            </w:r>
            <w:proofErr w:type="spellEnd"/>
            <w:r w:rsidR="00CB2D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2D10">
              <w:rPr>
                <w:sz w:val="22"/>
                <w:szCs w:val="22"/>
                <w:lang w:val="en-US"/>
              </w:rPr>
              <w:t>funkcia</w:t>
            </w:r>
            <w:proofErr w:type="spellEnd"/>
            <w:r w:rsidR="00CB2D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B2D10">
              <w:rPr>
                <w:sz w:val="22"/>
                <w:szCs w:val="22"/>
                <w:lang w:val="en-US"/>
              </w:rPr>
              <w:t>pečene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cholestatická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žltačka</w:t>
            </w:r>
            <w:proofErr w:type="spellEnd"/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AC224D" w:rsidP="00AC224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zlyhanie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pečene</w:t>
            </w:r>
            <w:proofErr w:type="spellEnd"/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ktoré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môže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zriedkavo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viesť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k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smrti</w:t>
            </w:r>
            <w:proofErr w:type="spellEnd"/>
            <w:r w:rsidR="00C15A04" w:rsidRPr="005D4221">
              <w:rPr>
                <w:sz w:val="22"/>
                <w:szCs w:val="22"/>
                <w:lang w:val="en-US"/>
              </w:rPr>
              <w:t xml:space="preserve">) </w:t>
            </w:r>
            <w:r w:rsidR="00C15A04" w:rsidRPr="005D4221">
              <w:rPr>
                <w:iCs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pozri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časť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4.4),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fulminantná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5A04" w:rsidRPr="005D4221">
              <w:rPr>
                <w:iCs/>
                <w:sz w:val="22"/>
                <w:szCs w:val="22"/>
                <w:lang w:val="en-US"/>
              </w:rPr>
              <w:t>hepatit</w:t>
            </w:r>
            <w:r>
              <w:rPr>
                <w:iCs/>
                <w:sz w:val="22"/>
                <w:szCs w:val="22"/>
                <w:lang w:val="en-US"/>
              </w:rPr>
              <w:t>ída</w:t>
            </w:r>
            <w:proofErr w:type="spellEnd"/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15A04" w:rsidRPr="005D4221">
              <w:rPr>
                <w:iCs/>
                <w:sz w:val="22"/>
                <w:szCs w:val="22"/>
                <w:lang w:val="en-US"/>
              </w:rPr>
              <w:t>hepat</w:t>
            </w:r>
            <w:r>
              <w:rPr>
                <w:iCs/>
                <w:sz w:val="22"/>
                <w:szCs w:val="22"/>
                <w:lang w:val="en-US"/>
              </w:rPr>
              <w:t>álna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nekróza</w:t>
            </w:r>
            <w:proofErr w:type="spellEnd"/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AC224D" w:rsidP="00AC224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kože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podkožného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tkaniva</w:t>
            </w:r>
            <w:proofErr w:type="spellEnd"/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AC224D" w:rsidP="00AC224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iCs/>
                <w:sz w:val="22"/>
                <w:szCs w:val="22"/>
              </w:rPr>
              <w:t>vyrážka</w:t>
            </w:r>
            <w:r w:rsidR="00C15A04" w:rsidRPr="005D4221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="00C15A04" w:rsidRPr="005D4221">
              <w:rPr>
                <w:iCs/>
                <w:sz w:val="22"/>
                <w:szCs w:val="22"/>
              </w:rPr>
              <w:t>pruritus</w:t>
            </w:r>
            <w:proofErr w:type="spellEnd"/>
            <w:r w:rsidR="00C15A04" w:rsidRPr="005D4221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="00C15A04" w:rsidRPr="005D4221">
              <w:rPr>
                <w:iCs/>
                <w:sz w:val="22"/>
                <w:szCs w:val="22"/>
              </w:rPr>
              <w:t>urti</w:t>
            </w:r>
            <w:r>
              <w:rPr>
                <w:iCs/>
                <w:sz w:val="22"/>
                <w:szCs w:val="22"/>
              </w:rPr>
              <w:t>kária</w:t>
            </w:r>
            <w:proofErr w:type="spellEnd"/>
            <w:r w:rsidR="00C15A04" w:rsidRPr="005D4221">
              <w:rPr>
                <w:iCs/>
                <w:sz w:val="22"/>
                <w:szCs w:val="22"/>
              </w:rPr>
              <w:t>, dermatit</w:t>
            </w:r>
            <w:r>
              <w:rPr>
                <w:iCs/>
                <w:sz w:val="22"/>
                <w:szCs w:val="22"/>
              </w:rPr>
              <w:t>ída</w:t>
            </w:r>
            <w:r w:rsidR="00C15A04" w:rsidRPr="005D4221">
              <w:rPr>
                <w:iCs/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</w:rPr>
              <w:t>suchá koža</w:t>
            </w:r>
            <w:r w:rsidR="00C15A04" w:rsidRPr="005D4221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="00C15A04" w:rsidRPr="005D4221">
              <w:rPr>
                <w:iCs/>
                <w:sz w:val="22"/>
                <w:szCs w:val="22"/>
              </w:rPr>
              <w:t>hyperhidr</w:t>
            </w:r>
            <w:r>
              <w:rPr>
                <w:iCs/>
                <w:sz w:val="22"/>
                <w:szCs w:val="22"/>
              </w:rPr>
              <w:t>óza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Default="00AC224D" w:rsidP="00AC224D">
            <w:pPr>
              <w:pStyle w:val="Default"/>
              <w:tabs>
                <w:tab w:val="left" w:pos="3600"/>
              </w:tabs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fotosenzitívn</w:t>
            </w:r>
            <w:r w:rsidR="00C5583C">
              <w:rPr>
                <w:iCs/>
                <w:sz w:val="22"/>
                <w:szCs w:val="22"/>
              </w:rPr>
              <w:t>a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2408F5">
              <w:rPr>
                <w:iCs/>
                <w:sz w:val="22"/>
                <w:szCs w:val="22"/>
              </w:rPr>
              <w:t>reakci</w:t>
            </w:r>
            <w:r w:rsidR="00C5583C">
              <w:rPr>
                <w:iCs/>
                <w:sz w:val="22"/>
                <w:szCs w:val="22"/>
              </w:rPr>
              <w:t>a</w:t>
            </w:r>
            <w:proofErr w:type="spellEnd"/>
          </w:p>
          <w:p w:rsidR="002408F5" w:rsidRPr="005D4221" w:rsidRDefault="002408F5" w:rsidP="001B0E6E">
            <w:pPr>
              <w:pStyle w:val="Default"/>
              <w:tabs>
                <w:tab w:val="left" w:pos="3600"/>
              </w:tabs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akútna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generalizovan</w:t>
            </w:r>
            <w:r w:rsidR="001B0E6E">
              <w:rPr>
                <w:iCs/>
                <w:sz w:val="22"/>
                <w:szCs w:val="22"/>
              </w:rPr>
              <w:t>á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ex</w:t>
            </w:r>
            <w:r w:rsidR="000F0B2A">
              <w:rPr>
                <w:iCs/>
                <w:sz w:val="22"/>
                <w:szCs w:val="22"/>
              </w:rPr>
              <w:t>antémová</w:t>
            </w:r>
            <w:proofErr w:type="spellEnd"/>
            <w:r w:rsidR="002653A0"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pustulóza</w:t>
            </w:r>
            <w:proofErr w:type="spellEnd"/>
            <w:r>
              <w:rPr>
                <w:iCs/>
                <w:sz w:val="22"/>
                <w:szCs w:val="22"/>
              </w:rPr>
              <w:t xml:space="preserve"> (AGEP)</w:t>
            </w: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C15A04" w:rsidP="00A82B8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 w:rsidRPr="005D4221">
              <w:rPr>
                <w:iCs/>
                <w:sz w:val="22"/>
                <w:szCs w:val="22"/>
              </w:rPr>
              <w:t>Stevens</w:t>
            </w:r>
            <w:r w:rsidR="00AC224D">
              <w:rPr>
                <w:iCs/>
                <w:sz w:val="22"/>
                <w:szCs w:val="22"/>
              </w:rPr>
              <w:t>ov</w:t>
            </w:r>
            <w:r w:rsidRPr="005D4221">
              <w:rPr>
                <w:iCs/>
                <w:sz w:val="22"/>
                <w:szCs w:val="22"/>
              </w:rPr>
              <w:t>-Johnson</w:t>
            </w:r>
            <w:r w:rsidR="00AC224D">
              <w:rPr>
                <w:iCs/>
                <w:sz w:val="22"/>
                <w:szCs w:val="22"/>
              </w:rPr>
              <w:t>ov</w:t>
            </w:r>
            <w:proofErr w:type="spellEnd"/>
            <w:r w:rsidRPr="005D4221">
              <w:rPr>
                <w:iCs/>
                <w:sz w:val="22"/>
                <w:szCs w:val="22"/>
              </w:rPr>
              <w:t xml:space="preserve"> syndr</w:t>
            </w:r>
            <w:r w:rsidR="00AC224D">
              <w:rPr>
                <w:iCs/>
                <w:sz w:val="22"/>
                <w:szCs w:val="22"/>
              </w:rPr>
              <w:t>óm</w:t>
            </w:r>
            <w:r w:rsidRPr="005D4221">
              <w:rPr>
                <w:iCs/>
                <w:sz w:val="22"/>
                <w:szCs w:val="22"/>
              </w:rPr>
              <w:t>, toxic</w:t>
            </w:r>
            <w:r w:rsidR="00AC224D">
              <w:rPr>
                <w:iCs/>
                <w:sz w:val="22"/>
                <w:szCs w:val="22"/>
              </w:rPr>
              <w:t>ká</w:t>
            </w:r>
            <w:r w:rsidRPr="005D422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5D4221">
              <w:rPr>
                <w:iCs/>
                <w:sz w:val="22"/>
                <w:szCs w:val="22"/>
              </w:rPr>
              <w:t>epiderm</w:t>
            </w:r>
            <w:r w:rsidR="00AC224D">
              <w:rPr>
                <w:iCs/>
                <w:sz w:val="22"/>
                <w:szCs w:val="22"/>
              </w:rPr>
              <w:t>álna</w:t>
            </w:r>
            <w:proofErr w:type="spellEnd"/>
            <w:r w:rsidRPr="005D422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5D4221">
              <w:rPr>
                <w:iCs/>
                <w:sz w:val="22"/>
                <w:szCs w:val="22"/>
              </w:rPr>
              <w:t>ne</w:t>
            </w:r>
            <w:r w:rsidR="00AC224D">
              <w:rPr>
                <w:iCs/>
                <w:sz w:val="22"/>
                <w:szCs w:val="22"/>
              </w:rPr>
              <w:t>k</w:t>
            </w:r>
            <w:r w:rsidRPr="005D4221">
              <w:rPr>
                <w:iCs/>
                <w:sz w:val="22"/>
                <w:szCs w:val="22"/>
              </w:rPr>
              <w:t>rol</w:t>
            </w:r>
            <w:r w:rsidR="00AC224D">
              <w:rPr>
                <w:iCs/>
                <w:sz w:val="22"/>
                <w:szCs w:val="22"/>
              </w:rPr>
              <w:t>ýza</w:t>
            </w:r>
            <w:proofErr w:type="spellEnd"/>
            <w:r w:rsidRPr="005D4221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="00A82B8A">
              <w:rPr>
                <w:iCs/>
                <w:sz w:val="22"/>
                <w:szCs w:val="22"/>
              </w:rPr>
              <w:t>multiformný</w:t>
            </w:r>
            <w:proofErr w:type="spellEnd"/>
            <w:r w:rsidR="00A82B8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A82B8A">
              <w:rPr>
                <w:iCs/>
                <w:sz w:val="22"/>
                <w:szCs w:val="22"/>
              </w:rPr>
              <w:t>erytém</w:t>
            </w:r>
            <w:proofErr w:type="spellEnd"/>
            <w:r w:rsidR="00BC09EB">
              <w:rPr>
                <w:iCs/>
                <w:sz w:val="22"/>
                <w:szCs w:val="22"/>
              </w:rPr>
              <w:t>, DRESS (lieková reakcia s </w:t>
            </w:r>
            <w:proofErr w:type="spellStart"/>
            <w:r w:rsidR="00BC09EB">
              <w:rPr>
                <w:iCs/>
                <w:sz w:val="22"/>
                <w:szCs w:val="22"/>
              </w:rPr>
              <w:t>eozinofíliou</w:t>
            </w:r>
            <w:proofErr w:type="spellEnd"/>
            <w:r w:rsidR="00BC09EB">
              <w:rPr>
                <w:iCs/>
                <w:sz w:val="22"/>
                <w:szCs w:val="22"/>
              </w:rPr>
              <w:t xml:space="preserve"> a systémovými príznakmi</w:t>
            </w:r>
            <w:r w:rsidR="00004606">
              <w:rPr>
                <w:iCs/>
                <w:sz w:val="22"/>
                <w:szCs w:val="22"/>
              </w:rPr>
              <w:t>)</w:t>
            </w: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2D0BC3" w:rsidP="002D0BC3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Poruchy kostrovej a svalovej sústavy a spojivového tkaniva</w:t>
            </w:r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2D0BC3" w:rsidP="002D0BC3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o</w:t>
            </w:r>
            <w:r w:rsidR="00C15A04" w:rsidRPr="005D4221">
              <w:rPr>
                <w:iCs/>
                <w:sz w:val="22"/>
                <w:szCs w:val="22"/>
                <w:lang w:val="en-US"/>
              </w:rPr>
              <w:t>steoar</w:t>
            </w:r>
            <w:r>
              <w:rPr>
                <w:iCs/>
                <w:sz w:val="22"/>
                <w:szCs w:val="22"/>
                <w:lang w:val="en-US"/>
              </w:rPr>
              <w:t>tritída</w:t>
            </w:r>
            <w:proofErr w:type="spellEnd"/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, myalgia,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bolesť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chrbta</w:t>
            </w:r>
            <w:proofErr w:type="spellEnd"/>
            <w:r w:rsidR="00C15A04" w:rsidRPr="005D4221">
              <w:rPr>
                <w:iCs/>
                <w:sz w:val="22"/>
                <w:szCs w:val="22"/>
                <w:lang w:val="en-US"/>
              </w:rPr>
              <w:t>,</w:t>
            </w:r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bolesť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krku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2D0BC3" w:rsidP="002D0BC3">
            <w:pPr>
              <w:tabs>
                <w:tab w:val="left" w:pos="284"/>
              </w:tabs>
              <w:jc w:val="center"/>
              <w:rPr>
                <w:sz w:val="22"/>
                <w:szCs w:val="22"/>
                <w:highlight w:val="green"/>
                <w:lang w:val="sv-SE"/>
              </w:rPr>
            </w:pPr>
            <w:proofErr w:type="spellStart"/>
            <w:r>
              <w:rPr>
                <w:iCs/>
                <w:sz w:val="22"/>
                <w:szCs w:val="22"/>
              </w:rPr>
              <w:t>a</w:t>
            </w:r>
            <w:r w:rsidR="00C15A04" w:rsidRPr="005D4221">
              <w:rPr>
                <w:iCs/>
                <w:sz w:val="22"/>
                <w:szCs w:val="22"/>
              </w:rPr>
              <w:t>rtralgia</w:t>
            </w:r>
            <w:proofErr w:type="spellEnd"/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2D0BC3" w:rsidP="002D0BC3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Poruchy obličiek a močových ciest</w:t>
            </w:r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highlight w:val="green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highlight w:val="green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2D0BC3" w:rsidP="002D0BC3">
            <w:pPr>
              <w:pStyle w:val="Default"/>
              <w:tabs>
                <w:tab w:val="left" w:pos="3600"/>
              </w:tabs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d</w:t>
            </w:r>
            <w:r w:rsidR="00C15A04" w:rsidRPr="005D4221">
              <w:rPr>
                <w:iCs/>
                <w:sz w:val="22"/>
                <w:szCs w:val="22"/>
              </w:rPr>
              <w:t>y</w:t>
            </w:r>
            <w:r>
              <w:rPr>
                <w:iCs/>
                <w:sz w:val="22"/>
                <w:szCs w:val="22"/>
              </w:rPr>
              <w:t>zúria</w:t>
            </w:r>
            <w:proofErr w:type="spellEnd"/>
            <w:r w:rsidR="00C15A04" w:rsidRPr="005D4221">
              <w:rPr>
                <w:iCs/>
                <w:sz w:val="22"/>
                <w:szCs w:val="22"/>
              </w:rPr>
              <w:t>,</w:t>
            </w:r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bolesť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obličiek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2D0BC3" w:rsidP="002D0BC3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akútne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zlyhanie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obličiek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intersticiálna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nefritída</w:t>
            </w:r>
            <w:proofErr w:type="spellEnd"/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2D0BC3" w:rsidP="002D0BC3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highlight w:val="yellow"/>
                <w:lang w:val="sv-SE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r</w:t>
            </w:r>
            <w:r w:rsidR="00C15A04" w:rsidRPr="005D4221">
              <w:rPr>
                <w:b/>
                <w:color w:val="000000"/>
                <w:sz w:val="22"/>
                <w:szCs w:val="22"/>
                <w:lang w:val="en-US"/>
              </w:rPr>
              <w:t>eprodu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kčného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systému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prsníkov</w:t>
            </w:r>
            <w:proofErr w:type="spellEnd"/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2D0BC3" w:rsidP="002D0BC3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iCs/>
                <w:sz w:val="22"/>
                <w:szCs w:val="22"/>
              </w:rPr>
              <w:t>m</w:t>
            </w:r>
            <w:r w:rsidR="00C15A04" w:rsidRPr="005D4221">
              <w:rPr>
                <w:iCs/>
                <w:sz w:val="22"/>
                <w:szCs w:val="22"/>
              </w:rPr>
              <w:t>etror</w:t>
            </w:r>
            <w:r>
              <w:rPr>
                <w:iCs/>
                <w:sz w:val="22"/>
                <w:szCs w:val="22"/>
              </w:rPr>
              <w:t>ágia</w:t>
            </w:r>
            <w:proofErr w:type="spellEnd"/>
            <w:r w:rsidR="00C15A04" w:rsidRPr="005D4221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="00C15A04" w:rsidRPr="005D4221">
              <w:rPr>
                <w:iCs/>
                <w:sz w:val="22"/>
                <w:szCs w:val="22"/>
              </w:rPr>
              <w:t>testi</w:t>
            </w:r>
            <w:r>
              <w:rPr>
                <w:iCs/>
                <w:sz w:val="22"/>
                <w:szCs w:val="22"/>
              </w:rPr>
              <w:t>kulárne</w:t>
            </w:r>
            <w:proofErr w:type="spellEnd"/>
            <w:r>
              <w:rPr>
                <w:iCs/>
                <w:sz w:val="22"/>
                <w:szCs w:val="22"/>
              </w:rPr>
              <w:t xml:space="preserve"> poruchy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2D0BC3" w:rsidP="002D0BC3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highlight w:val="yellow"/>
                <w:lang w:val="sv-SE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Celkové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reakcie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v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mieste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podania</w:t>
            </w:r>
            <w:proofErr w:type="spellEnd"/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D80638" w:rsidP="007968C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únava</w:t>
            </w:r>
            <w:proofErr w:type="spellEnd"/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edém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tváre</w:t>
            </w:r>
            <w:proofErr w:type="spellEnd"/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bolesť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hrudníku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, </w:t>
            </w:r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pyrexia, </w:t>
            </w:r>
            <w:proofErr w:type="spellStart"/>
            <w:r w:rsidR="00C15A04" w:rsidRPr="005D4221">
              <w:rPr>
                <w:iCs/>
                <w:sz w:val="22"/>
                <w:szCs w:val="22"/>
                <w:lang w:val="en-US"/>
              </w:rPr>
              <w:t>peri</w:t>
            </w:r>
            <w:r>
              <w:rPr>
                <w:iCs/>
                <w:sz w:val="22"/>
                <w:szCs w:val="22"/>
                <w:lang w:val="en-US"/>
              </w:rPr>
              <w:t>férn</w:t>
            </w:r>
            <w:r w:rsidR="007968CD">
              <w:rPr>
                <w:iCs/>
                <w:sz w:val="22"/>
                <w:szCs w:val="22"/>
                <w:lang w:val="en-US"/>
              </w:rPr>
              <w:t>y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968CD" w:rsidRPr="00806810">
              <w:rPr>
                <w:iCs/>
                <w:sz w:val="22"/>
                <w:szCs w:val="22"/>
                <w:lang w:val="en-US"/>
              </w:rPr>
              <w:t>ed</w:t>
            </w:r>
            <w:r w:rsidR="007968CD">
              <w:rPr>
                <w:iCs/>
                <w:sz w:val="22"/>
                <w:szCs w:val="22"/>
                <w:lang w:val="en-US"/>
              </w:rPr>
              <w:t>ém</w:t>
            </w:r>
            <w:proofErr w:type="spellEnd"/>
            <w:r w:rsidR="007968CD"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bolesť</w:t>
            </w:r>
            <w:proofErr w:type="spellEnd"/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malátnosť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asténia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E91D2D" w:rsidP="00C15A04">
            <w:pPr>
              <w:tabs>
                <w:tab w:val="left" w:pos="284"/>
              </w:tabs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Laboratórne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funkčné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vyšetrenia</w:t>
            </w:r>
            <w:proofErr w:type="spellEnd"/>
          </w:p>
          <w:p w:rsidR="00C15A04" w:rsidRPr="005D4221" w:rsidRDefault="00C15A04" w:rsidP="0010440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D80638" w:rsidP="00D80638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iCs/>
                <w:sz w:val="22"/>
                <w:szCs w:val="22"/>
                <w:lang w:val="en-US"/>
              </w:rPr>
              <w:t>zníženie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počtu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lymfocytov</w:t>
            </w:r>
            <w:proofErr w:type="spellEnd"/>
            <w:r w:rsidR="00C15A04" w:rsidRPr="005D4221"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zvýšenie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počtu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15A04" w:rsidRPr="005D4221">
              <w:rPr>
                <w:iCs/>
                <w:sz w:val="22"/>
                <w:szCs w:val="22"/>
                <w:lang w:val="en-US"/>
              </w:rPr>
              <w:t>eo</w:t>
            </w:r>
            <w:r>
              <w:rPr>
                <w:iCs/>
                <w:sz w:val="22"/>
                <w:szCs w:val="22"/>
                <w:lang w:val="en-US"/>
              </w:rPr>
              <w:t>zinofilov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zníženie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hladiny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bikarboná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-tov v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krvi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lastRenderedPageBreak/>
              <w:t>zvýšenie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počtu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bazofilov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monocytov</w:t>
            </w:r>
            <w:proofErr w:type="spellEnd"/>
            <w:r>
              <w:rPr>
                <w:iCs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neutrofilov</w:t>
            </w:r>
            <w:proofErr w:type="spellEnd"/>
          </w:p>
        </w:tc>
        <w:tc>
          <w:tcPr>
            <w:tcW w:w="916" w:type="pct"/>
            <w:shd w:val="clear" w:color="auto" w:fill="auto"/>
            <w:vAlign w:val="center"/>
          </w:tcPr>
          <w:p w:rsidR="00D80638" w:rsidRDefault="00D80638" w:rsidP="0010440A">
            <w:pPr>
              <w:pStyle w:val="Default"/>
              <w:tabs>
                <w:tab w:val="left" w:pos="3600"/>
              </w:tabs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lastRenderedPageBreak/>
              <w:t>zvýšené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hladina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a</w:t>
            </w:r>
            <w:r w:rsidR="00C15A04" w:rsidRPr="005D4221">
              <w:rPr>
                <w:iCs/>
                <w:sz w:val="22"/>
                <w:szCs w:val="22"/>
              </w:rPr>
              <w:t>spart</w:t>
            </w:r>
            <w:r>
              <w:rPr>
                <w:iCs/>
                <w:sz w:val="22"/>
                <w:szCs w:val="22"/>
              </w:rPr>
              <w:t>átamino</w:t>
            </w:r>
            <w:proofErr w:type="spellEnd"/>
            <w:r>
              <w:rPr>
                <w:iCs/>
                <w:sz w:val="22"/>
                <w:szCs w:val="22"/>
              </w:rPr>
              <w:t>-</w:t>
            </w:r>
          </w:p>
          <w:p w:rsidR="00D80638" w:rsidRDefault="00D80638" w:rsidP="0010440A">
            <w:pPr>
              <w:pStyle w:val="Default"/>
              <w:tabs>
                <w:tab w:val="left" w:pos="3600"/>
              </w:tabs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transferázy</w:t>
            </w:r>
            <w:proofErr w:type="spellEnd"/>
            <w:r>
              <w:rPr>
                <w:iCs/>
                <w:sz w:val="22"/>
                <w:szCs w:val="22"/>
              </w:rPr>
              <w:t>, ala-</w:t>
            </w:r>
          </w:p>
          <w:p w:rsidR="00E91D2D" w:rsidRDefault="00D80638" w:rsidP="0010440A">
            <w:pPr>
              <w:pStyle w:val="Default"/>
              <w:tabs>
                <w:tab w:val="left" w:pos="3600"/>
              </w:tabs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nín</w:t>
            </w:r>
            <w:r w:rsidR="00E91D2D">
              <w:rPr>
                <w:iCs/>
                <w:sz w:val="22"/>
                <w:szCs w:val="22"/>
              </w:rPr>
              <w:t>amino</w:t>
            </w:r>
            <w:r>
              <w:rPr>
                <w:iCs/>
                <w:sz w:val="22"/>
                <w:szCs w:val="22"/>
              </w:rPr>
              <w:t>trans</w:t>
            </w:r>
            <w:r w:rsidR="00E91D2D">
              <w:rPr>
                <w:iCs/>
                <w:sz w:val="22"/>
                <w:szCs w:val="22"/>
              </w:rPr>
              <w:t>-</w:t>
            </w:r>
            <w:r>
              <w:rPr>
                <w:iCs/>
                <w:sz w:val="22"/>
                <w:szCs w:val="22"/>
              </w:rPr>
              <w:t>ferázy</w:t>
            </w:r>
            <w:proofErr w:type="spellEnd"/>
            <w:r>
              <w:rPr>
                <w:iCs/>
                <w:sz w:val="22"/>
                <w:szCs w:val="22"/>
              </w:rPr>
              <w:t>,</w:t>
            </w:r>
            <w:r w:rsidR="00E91D2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1D2D">
              <w:rPr>
                <w:iCs/>
                <w:sz w:val="22"/>
                <w:szCs w:val="22"/>
              </w:rPr>
              <w:t>zvýšená</w:t>
            </w:r>
            <w:proofErr w:type="spellEnd"/>
            <w:r w:rsidR="00E91D2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1D2D">
              <w:rPr>
                <w:iCs/>
                <w:sz w:val="22"/>
                <w:szCs w:val="22"/>
              </w:rPr>
              <w:t>hladina</w:t>
            </w:r>
            <w:proofErr w:type="spellEnd"/>
            <w:r w:rsidR="00E91D2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1D2D">
              <w:rPr>
                <w:iCs/>
                <w:sz w:val="22"/>
                <w:szCs w:val="22"/>
              </w:rPr>
              <w:t>bilirubínu</w:t>
            </w:r>
            <w:proofErr w:type="spellEnd"/>
            <w:r w:rsidR="00E91D2D">
              <w:rPr>
                <w:iCs/>
                <w:sz w:val="22"/>
                <w:szCs w:val="22"/>
              </w:rPr>
              <w:t xml:space="preserve"> v </w:t>
            </w:r>
            <w:proofErr w:type="spellStart"/>
            <w:r w:rsidR="00E91D2D">
              <w:rPr>
                <w:iCs/>
                <w:sz w:val="22"/>
                <w:szCs w:val="22"/>
              </w:rPr>
              <w:t>krvi</w:t>
            </w:r>
            <w:proofErr w:type="spellEnd"/>
            <w:r w:rsidR="00E91D2D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="00E91D2D">
              <w:rPr>
                <w:iCs/>
                <w:sz w:val="22"/>
                <w:szCs w:val="22"/>
              </w:rPr>
              <w:t>zvýšenie</w:t>
            </w:r>
            <w:proofErr w:type="spellEnd"/>
            <w:r w:rsidR="00E91D2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1D2D">
              <w:rPr>
                <w:iCs/>
                <w:sz w:val="22"/>
                <w:szCs w:val="22"/>
              </w:rPr>
              <w:t>hladiny</w:t>
            </w:r>
            <w:proofErr w:type="spellEnd"/>
            <w:r w:rsidR="00E91D2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1D2D">
              <w:rPr>
                <w:iCs/>
                <w:sz w:val="22"/>
                <w:szCs w:val="22"/>
              </w:rPr>
              <w:t>močoviny</w:t>
            </w:r>
            <w:proofErr w:type="spellEnd"/>
            <w:r w:rsidR="00E91D2D">
              <w:rPr>
                <w:iCs/>
                <w:sz w:val="22"/>
                <w:szCs w:val="22"/>
              </w:rPr>
              <w:t xml:space="preserve"> v </w:t>
            </w:r>
            <w:proofErr w:type="spellStart"/>
            <w:r w:rsidR="00E91D2D">
              <w:rPr>
                <w:iCs/>
                <w:sz w:val="22"/>
                <w:szCs w:val="22"/>
              </w:rPr>
              <w:lastRenderedPageBreak/>
              <w:t>krvi</w:t>
            </w:r>
            <w:proofErr w:type="spellEnd"/>
            <w:r w:rsidR="00E91D2D" w:rsidRPr="00E21C9E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="00AC607D" w:rsidRPr="00E21C9E">
              <w:rPr>
                <w:iCs/>
                <w:sz w:val="22"/>
                <w:szCs w:val="22"/>
              </w:rPr>
              <w:t>zvýšenie</w:t>
            </w:r>
            <w:proofErr w:type="spellEnd"/>
            <w:r w:rsidR="00AC607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1D2D">
              <w:rPr>
                <w:iCs/>
                <w:sz w:val="22"/>
                <w:szCs w:val="22"/>
              </w:rPr>
              <w:t>hladiny</w:t>
            </w:r>
            <w:proofErr w:type="spellEnd"/>
            <w:r w:rsidR="00E91D2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1D2D">
              <w:rPr>
                <w:iCs/>
                <w:sz w:val="22"/>
                <w:szCs w:val="22"/>
              </w:rPr>
              <w:t>kreatinínu</w:t>
            </w:r>
            <w:proofErr w:type="spellEnd"/>
            <w:r w:rsidR="00E91D2D">
              <w:rPr>
                <w:iCs/>
                <w:sz w:val="22"/>
                <w:szCs w:val="22"/>
              </w:rPr>
              <w:t xml:space="preserve"> v </w:t>
            </w:r>
            <w:proofErr w:type="spellStart"/>
            <w:r w:rsidR="00E91D2D">
              <w:rPr>
                <w:iCs/>
                <w:sz w:val="22"/>
                <w:szCs w:val="22"/>
              </w:rPr>
              <w:t>krvi</w:t>
            </w:r>
            <w:proofErr w:type="spellEnd"/>
            <w:r w:rsidR="00E91D2D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="00E91D2D">
              <w:rPr>
                <w:iCs/>
                <w:sz w:val="22"/>
                <w:szCs w:val="22"/>
              </w:rPr>
              <w:t>abnormálna</w:t>
            </w:r>
            <w:proofErr w:type="spellEnd"/>
            <w:r w:rsidR="00E91D2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1D2D">
              <w:rPr>
                <w:iCs/>
                <w:sz w:val="22"/>
                <w:szCs w:val="22"/>
              </w:rPr>
              <w:t>hladina</w:t>
            </w:r>
            <w:proofErr w:type="spellEnd"/>
            <w:r w:rsidR="00E91D2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="00E91D2D">
              <w:rPr>
                <w:iCs/>
                <w:sz w:val="22"/>
                <w:szCs w:val="22"/>
              </w:rPr>
              <w:t>draslíka</w:t>
            </w:r>
            <w:proofErr w:type="spellEnd"/>
            <w:r w:rsidR="00E91D2D">
              <w:rPr>
                <w:iCs/>
                <w:sz w:val="22"/>
                <w:szCs w:val="22"/>
              </w:rPr>
              <w:t>,</w:t>
            </w:r>
          </w:p>
          <w:p w:rsidR="00E91D2D" w:rsidRDefault="00E91D2D" w:rsidP="0010440A">
            <w:pPr>
              <w:pStyle w:val="Default"/>
              <w:tabs>
                <w:tab w:val="left" w:pos="3600"/>
              </w:tabs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zvýšenie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hladiny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alkalickej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fosfa-tázy</w:t>
            </w:r>
            <w:proofErr w:type="spellEnd"/>
            <w:r>
              <w:rPr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chloridov</w:t>
            </w:r>
            <w:proofErr w:type="spellEnd"/>
            <w:r>
              <w:rPr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glukózy</w:t>
            </w:r>
            <w:proofErr w:type="spellEnd"/>
            <w:r>
              <w:rPr>
                <w:iCs/>
                <w:sz w:val="22"/>
                <w:szCs w:val="22"/>
              </w:rPr>
              <w:t xml:space="preserve"> v </w:t>
            </w:r>
            <w:proofErr w:type="spellStart"/>
            <w:r>
              <w:rPr>
                <w:iCs/>
                <w:sz w:val="22"/>
                <w:szCs w:val="22"/>
              </w:rPr>
              <w:t>krvi</w:t>
            </w:r>
            <w:proofErr w:type="spellEnd"/>
            <w:r>
              <w:rPr>
                <w:iCs/>
                <w:sz w:val="22"/>
                <w:szCs w:val="22"/>
              </w:rPr>
              <w:t>,</w:t>
            </w:r>
          </w:p>
          <w:p w:rsidR="00C15A04" w:rsidRPr="005D4221" w:rsidRDefault="00E91D2D" w:rsidP="0010440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iCs/>
                <w:sz w:val="22"/>
                <w:szCs w:val="22"/>
              </w:rPr>
              <w:t>zvýšený počet trombocytov, zníženie hematokritu, zvýšenie hladiny bikarbonátov, abnormálna hladina sodíka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A00302" w:rsidRPr="00AC607D" w:rsidTr="00A82B8A">
        <w:trPr>
          <w:jc w:val="center"/>
        </w:trPr>
        <w:tc>
          <w:tcPr>
            <w:tcW w:w="1132" w:type="pct"/>
            <w:gridSpan w:val="2"/>
            <w:shd w:val="clear" w:color="auto" w:fill="auto"/>
            <w:vAlign w:val="center"/>
          </w:tcPr>
          <w:p w:rsidR="00C15A04" w:rsidRPr="005D4221" w:rsidRDefault="00E91D2D" w:rsidP="00E91D2D">
            <w:pPr>
              <w:tabs>
                <w:tab w:val="left" w:pos="284"/>
              </w:tabs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Úrazy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otravy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komplikácie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liečebného</w:t>
            </w:r>
            <w:proofErr w:type="spellEnd"/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/>
              </w:rPr>
              <w:t>postupu</w:t>
            </w:r>
            <w:proofErr w:type="spellEnd"/>
          </w:p>
        </w:tc>
        <w:tc>
          <w:tcPr>
            <w:tcW w:w="453" w:type="pct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:rsidR="00C15A04" w:rsidRPr="005D4221" w:rsidRDefault="00E91D2D" w:rsidP="00E91D2D">
            <w:pPr>
              <w:pStyle w:val="Default"/>
              <w:tabs>
                <w:tab w:val="left" w:pos="3600"/>
              </w:tabs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pooperačné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komplikácie</w:t>
            </w:r>
            <w:proofErr w:type="spellEnd"/>
          </w:p>
        </w:tc>
        <w:tc>
          <w:tcPr>
            <w:tcW w:w="871" w:type="pct"/>
            <w:shd w:val="clear" w:color="auto" w:fill="auto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925" w:type="pct"/>
            <w:gridSpan w:val="2"/>
            <w:vAlign w:val="center"/>
          </w:tcPr>
          <w:p w:rsidR="00C15A04" w:rsidRPr="005D4221" w:rsidRDefault="00C15A04" w:rsidP="00C15A04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A00302" w:rsidRPr="00AC607D" w:rsidTr="00A82B8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90" w:type="pct"/>
          <w:wAfter w:w="66" w:type="pct"/>
          <w:jc w:val="center"/>
        </w:trPr>
        <w:tc>
          <w:tcPr>
            <w:tcW w:w="464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A04" w:rsidRPr="005D4221" w:rsidRDefault="00C15A04" w:rsidP="00C15A0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91D2D" w:rsidRDefault="006017A1" w:rsidP="00E91D2D">
      <w:r w:rsidRPr="005D4221">
        <w:rPr>
          <w:sz w:val="22"/>
          <w:szCs w:val="22"/>
        </w:rPr>
        <w:t xml:space="preserve">Nežiaduce reakcie pravdepodobne súvisiace s prevenciou a liečbou </w:t>
      </w:r>
      <w:r w:rsidR="0000703E">
        <w:rPr>
          <w:sz w:val="22"/>
          <w:szCs w:val="22"/>
        </w:rPr>
        <w:t xml:space="preserve">komplexu </w:t>
      </w:r>
      <w:proofErr w:type="spellStart"/>
      <w:r w:rsidRPr="005D4221">
        <w:rPr>
          <w:i/>
          <w:sz w:val="22"/>
          <w:szCs w:val="22"/>
        </w:rPr>
        <w:t>Mycobacterium</w:t>
      </w:r>
      <w:proofErr w:type="spellEnd"/>
      <w:r w:rsidRPr="005D4221">
        <w:rPr>
          <w:i/>
          <w:sz w:val="22"/>
          <w:szCs w:val="22"/>
        </w:rPr>
        <w:t xml:space="preserve"> </w:t>
      </w:r>
      <w:proofErr w:type="spellStart"/>
      <w:r w:rsidRPr="005D4221">
        <w:rPr>
          <w:i/>
          <w:sz w:val="22"/>
          <w:szCs w:val="22"/>
        </w:rPr>
        <w:t>Avium</w:t>
      </w:r>
      <w:proofErr w:type="spellEnd"/>
      <w:r w:rsidRPr="005D4221">
        <w:rPr>
          <w:sz w:val="22"/>
          <w:szCs w:val="22"/>
        </w:rPr>
        <w:t xml:space="preserve"> založené na </w:t>
      </w:r>
      <w:r w:rsidRPr="006017A1">
        <w:rPr>
          <w:sz w:val="22"/>
          <w:szCs w:val="22"/>
        </w:rPr>
        <w:t>skúsenostiach</w:t>
      </w:r>
      <w:r w:rsidRPr="005D4221">
        <w:rPr>
          <w:sz w:val="22"/>
          <w:szCs w:val="22"/>
        </w:rPr>
        <w:t xml:space="preserve"> z klinických skúšaní a sledovaní po uvedení lieku na trh. Tieto nežiaduce reakcie sa odlišujú od nežiaducich reakcii hlásených pri liekovej forme s okamžitým uvoľňovaním alebo predlženým </w:t>
      </w:r>
      <w:r>
        <w:rPr>
          <w:sz w:val="22"/>
          <w:szCs w:val="22"/>
        </w:rPr>
        <w:t>uvoľňovaním vzhľadom na frekvenciu a druh:</w:t>
      </w:r>
    </w:p>
    <w:p w:rsidR="006017A1" w:rsidRPr="005D4221" w:rsidRDefault="006017A1" w:rsidP="00E91D2D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1774"/>
        <w:gridCol w:w="2147"/>
        <w:gridCol w:w="2629"/>
      </w:tblGrid>
      <w:tr w:rsidR="00E91D2D" w:rsidRPr="005D4221" w:rsidTr="00E91D2D">
        <w:trPr>
          <w:trHeight w:val="255"/>
          <w:tblHeader/>
          <w:jc w:val="center"/>
        </w:trPr>
        <w:tc>
          <w:tcPr>
            <w:tcW w:w="1474" w:type="pct"/>
            <w:vMerge w:val="restar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Trieda orgánových systémov</w:t>
            </w:r>
          </w:p>
        </w:tc>
        <w:tc>
          <w:tcPr>
            <w:tcW w:w="955" w:type="pct"/>
          </w:tcPr>
          <w:p w:rsidR="00E91D2D" w:rsidRPr="005D4221" w:rsidRDefault="00E91D2D" w:rsidP="0000703E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4221">
              <w:rPr>
                <w:rFonts w:cs="Arial"/>
                <w:b/>
                <w:bCs/>
                <w:color w:val="000000"/>
                <w:sz w:val="22"/>
                <w:szCs w:val="22"/>
              </w:rPr>
              <w:t>Ve</w:t>
            </w:r>
            <w:r w:rsidR="0000703E">
              <w:rPr>
                <w:rFonts w:cs="Arial"/>
                <w:b/>
                <w:bCs/>
                <w:color w:val="000000"/>
                <w:sz w:val="22"/>
                <w:szCs w:val="22"/>
              </w:rPr>
              <w:t>ľmi časté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E91D2D" w:rsidRPr="005D4221" w:rsidRDefault="0000703E" w:rsidP="0000703E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Časté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E91D2D" w:rsidRPr="005D4221" w:rsidRDefault="0000703E" w:rsidP="0000703E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Menej časté</w:t>
            </w:r>
          </w:p>
        </w:tc>
      </w:tr>
      <w:tr w:rsidR="00E91D2D" w:rsidRPr="005D4221" w:rsidTr="00E91D2D">
        <w:trPr>
          <w:trHeight w:val="255"/>
          <w:tblHeader/>
          <w:jc w:val="center"/>
        </w:trPr>
        <w:tc>
          <w:tcPr>
            <w:tcW w:w="1474" w:type="pct"/>
            <w:vMerge/>
            <w:shd w:val="clear" w:color="auto" w:fill="auto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955" w:type="pct"/>
            <w:vAlign w:val="center"/>
          </w:tcPr>
          <w:p w:rsidR="00E91D2D" w:rsidRPr="005D4221" w:rsidRDefault="00E91D2D" w:rsidP="00E91D2D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5D4221">
              <w:rPr>
                <w:rFonts w:cs="Arial"/>
                <w:color w:val="000000"/>
                <w:sz w:val="22"/>
                <w:szCs w:val="22"/>
                <w:u w:val="single"/>
              </w:rPr>
              <w:t>&gt;</w:t>
            </w:r>
            <w:r w:rsidRPr="005D4221">
              <w:rPr>
                <w:rFonts w:cs="Arial"/>
                <w:color w:val="000000"/>
                <w:sz w:val="22"/>
                <w:szCs w:val="22"/>
              </w:rPr>
              <w:t xml:space="preserve"> 1/10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E91D2D" w:rsidRPr="005D4221" w:rsidRDefault="00E91D2D" w:rsidP="0000703E">
            <w:pPr>
              <w:jc w:val="center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5D4221">
              <w:rPr>
                <w:rFonts w:cs="Arial"/>
                <w:color w:val="000000"/>
                <w:sz w:val="22"/>
                <w:szCs w:val="22"/>
              </w:rPr>
              <w:t xml:space="preserve">≥ 1/100 </w:t>
            </w:r>
            <w:r w:rsidR="0000703E">
              <w:rPr>
                <w:rFonts w:cs="Arial"/>
                <w:color w:val="000000"/>
                <w:sz w:val="22"/>
                <w:szCs w:val="22"/>
              </w:rPr>
              <w:t>až</w:t>
            </w:r>
            <w:r w:rsidRPr="005D4221">
              <w:rPr>
                <w:rFonts w:cs="Arial"/>
                <w:color w:val="000000"/>
                <w:sz w:val="22"/>
                <w:szCs w:val="22"/>
              </w:rPr>
              <w:t xml:space="preserve"> &lt; 1/10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E91D2D" w:rsidRPr="005D4221" w:rsidRDefault="00E91D2D" w:rsidP="0000703E">
            <w:pPr>
              <w:jc w:val="center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5D4221">
              <w:rPr>
                <w:rFonts w:cs="Arial"/>
                <w:color w:val="000000"/>
                <w:sz w:val="22"/>
                <w:szCs w:val="22"/>
              </w:rPr>
              <w:t>≥ 1/1</w:t>
            </w:r>
            <w:r w:rsidR="0000703E">
              <w:rPr>
                <w:rFonts w:cs="Arial"/>
                <w:color w:val="000000"/>
                <w:sz w:val="22"/>
                <w:szCs w:val="22"/>
              </w:rPr>
              <w:t> </w:t>
            </w:r>
            <w:r w:rsidRPr="005D4221">
              <w:rPr>
                <w:rFonts w:cs="Arial"/>
                <w:color w:val="000000"/>
                <w:sz w:val="22"/>
                <w:szCs w:val="22"/>
              </w:rPr>
              <w:t xml:space="preserve">000 </w:t>
            </w:r>
            <w:r w:rsidR="0000703E">
              <w:rPr>
                <w:rFonts w:cs="Arial"/>
                <w:color w:val="000000"/>
                <w:sz w:val="22"/>
                <w:szCs w:val="22"/>
              </w:rPr>
              <w:t>až</w:t>
            </w:r>
            <w:r w:rsidRPr="005D4221">
              <w:rPr>
                <w:rFonts w:cs="Arial"/>
                <w:color w:val="000000"/>
                <w:sz w:val="22"/>
                <w:szCs w:val="22"/>
              </w:rPr>
              <w:t xml:space="preserve"> &lt; 1/100</w:t>
            </w:r>
          </w:p>
        </w:tc>
      </w:tr>
      <w:tr w:rsidR="00E91D2D" w:rsidRPr="005D4221" w:rsidTr="00A82B8A">
        <w:trPr>
          <w:jc w:val="center"/>
        </w:trPr>
        <w:tc>
          <w:tcPr>
            <w:tcW w:w="1474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m</w:t>
            </w:r>
            <w:r w:rsidR="00E91D2D" w:rsidRPr="005D4221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etaboli</w:t>
            </w:r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zmu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výživy</w:t>
            </w:r>
            <w:proofErr w:type="spellEnd"/>
          </w:p>
        </w:tc>
        <w:tc>
          <w:tcPr>
            <w:tcW w:w="955" w:type="pct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</w:t>
            </w:r>
            <w:r w:rsidR="00E91D2D" w:rsidRPr="005D4221">
              <w:rPr>
                <w:rFonts w:cs="Arial"/>
                <w:sz w:val="22"/>
                <w:szCs w:val="22"/>
              </w:rPr>
              <w:t>norexia</w:t>
            </w:r>
            <w:proofErr w:type="spellEnd"/>
          </w:p>
        </w:tc>
        <w:tc>
          <w:tcPr>
            <w:tcW w:w="1415" w:type="pct"/>
            <w:shd w:val="clear" w:color="auto" w:fill="auto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E91D2D" w:rsidRPr="005D4221" w:rsidTr="00A82B8A">
        <w:trPr>
          <w:jc w:val="center"/>
        </w:trPr>
        <w:tc>
          <w:tcPr>
            <w:tcW w:w="1474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Poruchy nervového systému</w:t>
            </w:r>
          </w:p>
        </w:tc>
        <w:tc>
          <w:tcPr>
            <w:tcW w:w="955" w:type="pct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rFonts w:cs="Arial"/>
                <w:sz w:val="22"/>
                <w:szCs w:val="22"/>
              </w:rPr>
              <w:t>závrat</w:t>
            </w:r>
            <w:r w:rsidR="00E91D2D" w:rsidRPr="005D422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E91D2D" w:rsidRPr="005D4221">
              <w:rPr>
                <w:rFonts w:cs="Arial"/>
                <w:sz w:val="22"/>
                <w:szCs w:val="22"/>
              </w:rPr>
              <w:t>parest</w:t>
            </w:r>
            <w:r>
              <w:rPr>
                <w:rFonts w:cs="Arial"/>
                <w:sz w:val="22"/>
                <w:szCs w:val="22"/>
              </w:rPr>
              <w:t>ézia</w:t>
            </w:r>
            <w:proofErr w:type="spellEnd"/>
            <w:r w:rsidR="00E91D2D" w:rsidRPr="005D422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E91D2D" w:rsidRPr="005D4221">
              <w:rPr>
                <w:rFonts w:cs="Arial"/>
                <w:sz w:val="22"/>
                <w:szCs w:val="22"/>
              </w:rPr>
              <w:t>dysge</w:t>
            </w:r>
            <w:r>
              <w:rPr>
                <w:rFonts w:cs="Arial"/>
                <w:sz w:val="22"/>
                <w:szCs w:val="22"/>
              </w:rPr>
              <w:t>úzia</w:t>
            </w:r>
            <w:proofErr w:type="spellEnd"/>
          </w:p>
        </w:tc>
        <w:tc>
          <w:tcPr>
            <w:tcW w:w="1415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h</w:t>
            </w:r>
            <w:r w:rsidR="00E91D2D" w:rsidRPr="005D4221">
              <w:rPr>
                <w:rFonts w:cs="Arial"/>
                <w:sz w:val="22"/>
                <w:szCs w:val="22"/>
              </w:rPr>
              <w:t>ypest</w:t>
            </w:r>
            <w:r>
              <w:rPr>
                <w:rFonts w:cs="Arial"/>
                <w:sz w:val="22"/>
                <w:szCs w:val="22"/>
              </w:rPr>
              <w:t>ézia</w:t>
            </w:r>
            <w:proofErr w:type="spellEnd"/>
          </w:p>
        </w:tc>
      </w:tr>
      <w:tr w:rsidR="00E91D2D" w:rsidRPr="005D4221" w:rsidTr="00A82B8A">
        <w:trPr>
          <w:jc w:val="center"/>
        </w:trPr>
        <w:tc>
          <w:tcPr>
            <w:tcW w:w="1474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oka</w:t>
            </w:r>
            <w:proofErr w:type="spellEnd"/>
          </w:p>
        </w:tc>
        <w:tc>
          <w:tcPr>
            <w:tcW w:w="955" w:type="pct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rFonts w:cs="Arial"/>
                <w:sz w:val="22"/>
                <w:szCs w:val="22"/>
              </w:rPr>
              <w:t>poruchy zraku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E91D2D" w:rsidRPr="005D4221" w:rsidTr="00A82B8A">
        <w:trPr>
          <w:jc w:val="center"/>
        </w:trPr>
        <w:tc>
          <w:tcPr>
            <w:tcW w:w="1474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ucha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labyrintu</w:t>
            </w:r>
            <w:proofErr w:type="spellEnd"/>
          </w:p>
        </w:tc>
        <w:tc>
          <w:tcPr>
            <w:tcW w:w="955" w:type="pct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hluchota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rFonts w:cs="Arial"/>
                <w:sz w:val="22"/>
                <w:szCs w:val="22"/>
              </w:rPr>
              <w:t xml:space="preserve">poruchy sluchu, </w:t>
            </w:r>
            <w:proofErr w:type="spellStart"/>
            <w:r w:rsidR="00E91D2D" w:rsidRPr="005D4221">
              <w:rPr>
                <w:rFonts w:cs="Arial"/>
                <w:sz w:val="22"/>
                <w:szCs w:val="22"/>
              </w:rPr>
              <w:t>tinnitus</w:t>
            </w:r>
            <w:proofErr w:type="spellEnd"/>
          </w:p>
        </w:tc>
      </w:tr>
      <w:tr w:rsidR="00E91D2D" w:rsidRPr="005D4221" w:rsidTr="00A82B8A">
        <w:trPr>
          <w:jc w:val="center"/>
        </w:trPr>
        <w:tc>
          <w:tcPr>
            <w:tcW w:w="1474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Poruchy srdca</w:t>
            </w:r>
          </w:p>
        </w:tc>
        <w:tc>
          <w:tcPr>
            <w:tcW w:w="955" w:type="pct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p</w:t>
            </w:r>
            <w:r w:rsidR="00E91D2D" w:rsidRPr="005D4221">
              <w:rPr>
                <w:rFonts w:cs="Arial"/>
                <w:sz w:val="22"/>
                <w:szCs w:val="22"/>
              </w:rPr>
              <w:t>alpit</w:t>
            </w:r>
            <w:r>
              <w:rPr>
                <w:rFonts w:cs="Arial"/>
                <w:sz w:val="22"/>
                <w:szCs w:val="22"/>
              </w:rPr>
              <w:t>ácie</w:t>
            </w:r>
            <w:proofErr w:type="spellEnd"/>
          </w:p>
        </w:tc>
      </w:tr>
      <w:tr w:rsidR="00E91D2D" w:rsidRPr="005D4221" w:rsidTr="00A82B8A">
        <w:trPr>
          <w:jc w:val="center"/>
        </w:trPr>
        <w:tc>
          <w:tcPr>
            <w:tcW w:w="1474" w:type="pct"/>
            <w:shd w:val="clear" w:color="auto" w:fill="auto"/>
            <w:vAlign w:val="center"/>
          </w:tcPr>
          <w:p w:rsidR="00E91D2D" w:rsidRPr="005D4221" w:rsidRDefault="0000703E" w:rsidP="0000703E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Poruchy gastrointestinálneho traktu</w:t>
            </w:r>
          </w:p>
        </w:tc>
        <w:tc>
          <w:tcPr>
            <w:tcW w:w="955" w:type="pct"/>
            <w:vAlign w:val="center"/>
          </w:tcPr>
          <w:p w:rsidR="00E91D2D" w:rsidRPr="005D4221" w:rsidRDefault="0000703E" w:rsidP="00D20185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hnačka</w:t>
            </w:r>
            <w:proofErr w:type="spellEnd"/>
            <w:r w:rsidR="00E91D2D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bolesť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brucha</w:t>
            </w:r>
            <w:proofErr w:type="spellEnd"/>
            <w:r w:rsidR="00E91D2D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91D2D" w:rsidRPr="005D4221">
              <w:rPr>
                <w:rFonts w:cs="Arial"/>
                <w:sz w:val="22"/>
                <w:szCs w:val="22"/>
                <w:lang w:val="en-US"/>
              </w:rPr>
              <w:t>nau</w:t>
            </w:r>
            <w:r>
              <w:rPr>
                <w:rFonts w:cs="Arial"/>
                <w:sz w:val="22"/>
                <w:szCs w:val="22"/>
                <w:lang w:val="en-US"/>
              </w:rPr>
              <w:t>z</w:t>
            </w:r>
            <w:r w:rsidR="00E91D2D" w:rsidRPr="005D4221">
              <w:rPr>
                <w:rFonts w:cs="Arial"/>
                <w:sz w:val="22"/>
                <w:szCs w:val="22"/>
                <w:lang w:val="en-US"/>
              </w:rPr>
              <w:t>ea</w:t>
            </w:r>
            <w:proofErr w:type="spellEnd"/>
            <w:r w:rsidR="00E91D2D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91D2D" w:rsidRPr="005D4221">
              <w:rPr>
                <w:rFonts w:cs="Arial"/>
                <w:sz w:val="22"/>
                <w:szCs w:val="22"/>
                <w:lang w:val="en-US"/>
              </w:rPr>
              <w:t>abdomin</w:t>
            </w:r>
            <w:r>
              <w:rPr>
                <w:rFonts w:cs="Arial"/>
                <w:sz w:val="22"/>
                <w:szCs w:val="22"/>
                <w:lang w:val="en-US"/>
              </w:rPr>
              <w:t>álny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91D2D" w:rsidRPr="005D4221">
              <w:rPr>
                <w:rFonts w:cs="Arial"/>
                <w:sz w:val="22"/>
                <w:szCs w:val="22"/>
                <w:lang w:val="en-US"/>
              </w:rPr>
              <w:t>d</w:t>
            </w:r>
            <w:r w:rsidR="00D20185">
              <w:rPr>
                <w:rFonts w:cs="Arial"/>
                <w:sz w:val="22"/>
                <w:szCs w:val="22"/>
                <w:lang w:val="en-US"/>
              </w:rPr>
              <w:t>i</w:t>
            </w:r>
            <w:r w:rsidR="00E91D2D" w:rsidRPr="005D4221">
              <w:rPr>
                <w:rFonts w:cs="Arial"/>
                <w:sz w:val="22"/>
                <w:szCs w:val="22"/>
                <w:lang w:val="en-US"/>
              </w:rPr>
              <w:t>s</w:t>
            </w:r>
            <w:r>
              <w:rPr>
                <w:rFonts w:cs="Arial"/>
                <w:sz w:val="22"/>
                <w:szCs w:val="22"/>
                <w:lang w:val="en-US"/>
              </w:rPr>
              <w:t>komfort</w:t>
            </w:r>
            <w:proofErr w:type="spellEnd"/>
            <w:r w:rsidR="00E91D2D" w:rsidRPr="005D4221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91D2D" w:rsidRPr="005D4221">
              <w:rPr>
                <w:rFonts w:cs="Arial"/>
                <w:sz w:val="22"/>
                <w:szCs w:val="22"/>
                <w:lang w:val="en-US"/>
              </w:rPr>
              <w:t>flatulenc</w:t>
            </w:r>
            <w:r>
              <w:rPr>
                <w:rFonts w:cs="Arial"/>
                <w:sz w:val="22"/>
                <w:szCs w:val="22"/>
                <w:lang w:val="en-US"/>
              </w:rPr>
              <w:t>ia</w:t>
            </w:r>
            <w:proofErr w:type="spellEnd"/>
            <w:r w:rsidR="00E91D2D" w:rsidRPr="005D4221">
              <w:rPr>
                <w:rFonts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únik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stolice</w:t>
            </w:r>
            <w:proofErr w:type="spellEnd"/>
          </w:p>
        </w:tc>
        <w:tc>
          <w:tcPr>
            <w:tcW w:w="1156" w:type="pct"/>
            <w:shd w:val="clear" w:color="auto" w:fill="auto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E91D2D" w:rsidRPr="005D4221" w:rsidTr="00A82B8A">
        <w:trPr>
          <w:jc w:val="center"/>
        </w:trPr>
        <w:tc>
          <w:tcPr>
            <w:tcW w:w="1474" w:type="pct"/>
            <w:shd w:val="clear" w:color="auto" w:fill="auto"/>
            <w:vAlign w:val="center"/>
          </w:tcPr>
          <w:p w:rsidR="00E91D2D" w:rsidRPr="005D4221" w:rsidRDefault="000F0769" w:rsidP="000F0769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pečene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žlčových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ciest</w:t>
            </w:r>
            <w:proofErr w:type="spellEnd"/>
          </w:p>
        </w:tc>
        <w:tc>
          <w:tcPr>
            <w:tcW w:w="955" w:type="pct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415" w:type="pct"/>
            <w:shd w:val="clear" w:color="auto" w:fill="auto"/>
            <w:vAlign w:val="center"/>
          </w:tcPr>
          <w:p w:rsidR="00E91D2D" w:rsidRPr="005D4221" w:rsidRDefault="000F0769" w:rsidP="000F0769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rFonts w:cs="Arial"/>
                <w:sz w:val="22"/>
                <w:szCs w:val="22"/>
              </w:rPr>
              <w:t>h</w:t>
            </w:r>
            <w:r w:rsidR="00E91D2D" w:rsidRPr="005D4221">
              <w:rPr>
                <w:rFonts w:cs="Arial"/>
                <w:sz w:val="22"/>
                <w:szCs w:val="22"/>
              </w:rPr>
              <w:t>epatit</w:t>
            </w:r>
            <w:r>
              <w:rPr>
                <w:rFonts w:cs="Arial"/>
                <w:sz w:val="22"/>
                <w:szCs w:val="22"/>
              </w:rPr>
              <w:t>ída</w:t>
            </w:r>
          </w:p>
        </w:tc>
      </w:tr>
      <w:tr w:rsidR="00E91D2D" w:rsidRPr="005D4221" w:rsidTr="00A82B8A">
        <w:trPr>
          <w:jc w:val="center"/>
        </w:trPr>
        <w:tc>
          <w:tcPr>
            <w:tcW w:w="1474" w:type="pct"/>
            <w:shd w:val="clear" w:color="auto" w:fill="auto"/>
            <w:vAlign w:val="center"/>
          </w:tcPr>
          <w:p w:rsidR="00E91D2D" w:rsidRPr="005D4221" w:rsidRDefault="000F0769" w:rsidP="000F0769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kože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podkožného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tkaniva</w:t>
            </w:r>
            <w:proofErr w:type="spellEnd"/>
          </w:p>
        </w:tc>
        <w:tc>
          <w:tcPr>
            <w:tcW w:w="955" w:type="pct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E91D2D" w:rsidRPr="005D4221" w:rsidRDefault="000F0769" w:rsidP="000F0769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vyrážka, p</w:t>
            </w:r>
            <w:r w:rsidR="00E91D2D" w:rsidRPr="005D4221">
              <w:rPr>
                <w:sz w:val="22"/>
                <w:szCs w:val="22"/>
                <w:lang w:val="sv-SE"/>
              </w:rPr>
              <w:t>ruritus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E91D2D" w:rsidRPr="005D4221" w:rsidRDefault="000F0769" w:rsidP="000F0769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iCs/>
                <w:sz w:val="22"/>
                <w:szCs w:val="22"/>
                <w:lang w:val="en-US"/>
              </w:rPr>
              <w:t>fotosenzitívna</w:t>
            </w:r>
            <w:proofErr w:type="spellEnd"/>
            <w:r>
              <w:rPr>
                <w:rFonts w:cs="Arial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Cs/>
                <w:sz w:val="22"/>
                <w:szCs w:val="22"/>
                <w:lang w:val="en-US"/>
              </w:rPr>
              <w:t>reakcia</w:t>
            </w:r>
            <w:proofErr w:type="spellEnd"/>
            <w:r>
              <w:rPr>
                <w:rFonts w:cs="Arial"/>
                <w:iCs/>
                <w:sz w:val="22"/>
                <w:szCs w:val="22"/>
                <w:lang w:val="en-US"/>
              </w:rPr>
              <w:t>,</w:t>
            </w:r>
            <w:r w:rsidR="00E91D2D" w:rsidRPr="005D4221">
              <w:rPr>
                <w:rFonts w:cs="Arial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91D2D" w:rsidRPr="005D4221">
              <w:rPr>
                <w:rFonts w:cs="Arial"/>
                <w:iCs/>
                <w:sz w:val="22"/>
                <w:szCs w:val="22"/>
                <w:lang w:val="en-US"/>
              </w:rPr>
              <w:t>Stevens</w:t>
            </w:r>
            <w:r>
              <w:rPr>
                <w:rFonts w:cs="Arial"/>
                <w:iCs/>
                <w:sz w:val="22"/>
                <w:szCs w:val="22"/>
                <w:lang w:val="en-US"/>
              </w:rPr>
              <w:t>ov</w:t>
            </w:r>
            <w:r w:rsidR="00E91D2D" w:rsidRPr="005D4221">
              <w:rPr>
                <w:rFonts w:cs="Arial"/>
                <w:iCs/>
                <w:sz w:val="22"/>
                <w:szCs w:val="22"/>
                <w:lang w:val="en-US"/>
              </w:rPr>
              <w:t>-Johnson</w:t>
            </w:r>
            <w:r>
              <w:rPr>
                <w:rFonts w:cs="Arial"/>
                <w:iCs/>
                <w:sz w:val="22"/>
                <w:szCs w:val="22"/>
                <w:lang w:val="en-US"/>
              </w:rPr>
              <w:t>ov</w:t>
            </w:r>
            <w:proofErr w:type="spellEnd"/>
            <w:r w:rsidR="00E91D2D" w:rsidRPr="005D4221">
              <w:rPr>
                <w:rFonts w:cs="Arial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91D2D" w:rsidRPr="005D4221">
              <w:rPr>
                <w:rFonts w:cs="Arial"/>
                <w:iCs/>
                <w:sz w:val="22"/>
                <w:szCs w:val="22"/>
                <w:lang w:val="en-US"/>
              </w:rPr>
              <w:t>syndr</w:t>
            </w:r>
            <w:r>
              <w:rPr>
                <w:rFonts w:cs="Arial"/>
                <w:iCs/>
                <w:sz w:val="22"/>
                <w:szCs w:val="22"/>
                <w:lang w:val="en-US"/>
              </w:rPr>
              <w:t>ó</w:t>
            </w:r>
            <w:r w:rsidR="00E91D2D" w:rsidRPr="005D4221">
              <w:rPr>
                <w:rFonts w:cs="Arial"/>
                <w:iCs/>
                <w:sz w:val="22"/>
                <w:szCs w:val="22"/>
                <w:lang w:val="en-US"/>
              </w:rPr>
              <w:t>m</w:t>
            </w:r>
            <w:proofErr w:type="spellEnd"/>
          </w:p>
        </w:tc>
      </w:tr>
      <w:tr w:rsidR="00E91D2D" w:rsidRPr="005D4221" w:rsidTr="00A82B8A">
        <w:trPr>
          <w:jc w:val="center"/>
        </w:trPr>
        <w:tc>
          <w:tcPr>
            <w:tcW w:w="1474" w:type="pct"/>
            <w:shd w:val="clear" w:color="auto" w:fill="auto"/>
            <w:vAlign w:val="center"/>
          </w:tcPr>
          <w:p w:rsidR="00E91D2D" w:rsidRPr="005D4221" w:rsidRDefault="000F0769" w:rsidP="000F0769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Poruchy kostrovej a svalovej sústavy a spojivového tkaniva</w:t>
            </w:r>
          </w:p>
        </w:tc>
        <w:tc>
          <w:tcPr>
            <w:tcW w:w="955" w:type="pct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E91D2D" w:rsidRPr="005D4221" w:rsidRDefault="000F0769" w:rsidP="000F0769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proofErr w:type="spellStart"/>
            <w:r>
              <w:rPr>
                <w:rFonts w:cs="Arial"/>
                <w:iCs/>
                <w:sz w:val="22"/>
                <w:szCs w:val="22"/>
              </w:rPr>
              <w:t>a</w:t>
            </w:r>
            <w:r w:rsidR="00E91D2D" w:rsidRPr="005D4221">
              <w:rPr>
                <w:rFonts w:cs="Arial"/>
                <w:iCs/>
                <w:sz w:val="22"/>
                <w:szCs w:val="22"/>
              </w:rPr>
              <w:t>rtralgia</w:t>
            </w:r>
            <w:proofErr w:type="spellEnd"/>
          </w:p>
        </w:tc>
        <w:tc>
          <w:tcPr>
            <w:tcW w:w="1415" w:type="pct"/>
            <w:shd w:val="clear" w:color="auto" w:fill="auto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E91D2D" w:rsidRPr="005D4221" w:rsidTr="00A82B8A">
        <w:trPr>
          <w:jc w:val="center"/>
        </w:trPr>
        <w:tc>
          <w:tcPr>
            <w:tcW w:w="1474" w:type="pct"/>
            <w:shd w:val="clear" w:color="auto" w:fill="auto"/>
            <w:vAlign w:val="center"/>
          </w:tcPr>
          <w:p w:rsidR="00E91D2D" w:rsidRPr="005D4221" w:rsidRDefault="000F0769" w:rsidP="000F0769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highlight w:val="yellow"/>
                <w:lang w:val="sv-SE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lastRenderedPageBreak/>
              <w:t>Celkové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poruchy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reakcie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v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mieste</w:t>
            </w:r>
            <w:proofErr w:type="spellEnd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podania</w:t>
            </w:r>
            <w:proofErr w:type="spellEnd"/>
          </w:p>
        </w:tc>
        <w:tc>
          <w:tcPr>
            <w:tcW w:w="955" w:type="pct"/>
            <w:vAlign w:val="center"/>
          </w:tcPr>
          <w:p w:rsidR="00E91D2D" w:rsidRPr="005D4221" w:rsidRDefault="00E91D2D" w:rsidP="00E91D2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E91D2D" w:rsidRPr="005D4221" w:rsidRDefault="000F0769" w:rsidP="000F0769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únava</w:t>
            </w:r>
          </w:p>
        </w:tc>
        <w:tc>
          <w:tcPr>
            <w:tcW w:w="1415" w:type="pct"/>
            <w:shd w:val="clear" w:color="auto" w:fill="auto"/>
            <w:vAlign w:val="center"/>
          </w:tcPr>
          <w:p w:rsidR="00E91D2D" w:rsidRPr="005D4221" w:rsidRDefault="000F0769" w:rsidP="000F0769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v-SE"/>
              </w:rPr>
            </w:pPr>
            <w:r>
              <w:rPr>
                <w:rFonts w:cs="Arial"/>
                <w:iCs/>
                <w:sz w:val="22"/>
                <w:szCs w:val="22"/>
              </w:rPr>
              <w:t>malátnosť, asténia</w:t>
            </w:r>
          </w:p>
        </w:tc>
      </w:tr>
    </w:tbl>
    <w:p w:rsidR="00E91D2D" w:rsidRPr="005D4221" w:rsidRDefault="00E91D2D" w:rsidP="00E91D2D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</w:p>
    <w:p w:rsidR="00EB01E0" w:rsidRDefault="00EB01E0" w:rsidP="00724E13">
      <w:pPr>
        <w:tabs>
          <w:tab w:val="left" w:pos="567"/>
        </w:tabs>
        <w:rPr>
          <w:sz w:val="22"/>
          <w:szCs w:val="22"/>
        </w:rPr>
      </w:pPr>
      <w:r w:rsidRPr="005D4221">
        <w:rPr>
          <w:sz w:val="22"/>
          <w:szCs w:val="22"/>
          <w:u w:val="single"/>
        </w:rPr>
        <w:t>Hlásenie podozrení na nežiaduce reakcie</w:t>
      </w:r>
    </w:p>
    <w:p w:rsidR="00B62877" w:rsidRDefault="007B4F0D" w:rsidP="00A13222">
      <w:pPr>
        <w:rPr>
          <w:szCs w:val="22"/>
        </w:rPr>
      </w:pPr>
      <w:r w:rsidRPr="005D4221">
        <w:rPr>
          <w:sz w:val="22"/>
          <w:szCs w:val="22"/>
        </w:rPr>
        <w:t>Hlásenie podozrení na nežiaduce reakcie po registrácii lieku je dôležité. Umožňuje priebežné monitorovanie pomeru prínosu</w:t>
      </w:r>
      <w:r w:rsidRPr="005D4221">
        <w:rPr>
          <w:sz w:val="22"/>
        </w:rPr>
        <w:t xml:space="preserve"> a</w:t>
      </w:r>
      <w:r w:rsidRPr="005D4221">
        <w:rPr>
          <w:sz w:val="22"/>
          <w:szCs w:val="22"/>
        </w:rPr>
        <w:t xml:space="preserve"> rizika lieku. Od zdravotníckych pracovníkov sa vyžaduje, aby hlásili akékoľvek podozrenia na nežiaduce reakcie </w:t>
      </w:r>
      <w:r w:rsidR="00A15EA2">
        <w:rPr>
          <w:sz w:val="22"/>
          <w:szCs w:val="22"/>
        </w:rPr>
        <w:t>na</w:t>
      </w:r>
      <w:r w:rsidR="008147F0">
        <w:rPr>
          <w:sz w:val="22"/>
          <w:szCs w:val="22"/>
        </w:rPr>
        <w:t xml:space="preserve"> </w:t>
      </w:r>
      <w:r w:rsidRPr="0090761A">
        <w:rPr>
          <w:sz w:val="22"/>
          <w:szCs w:val="22"/>
          <w:highlight w:val="lightGray"/>
        </w:rPr>
        <w:t>národné</w:t>
      </w:r>
      <w:r w:rsidR="00A15EA2" w:rsidRPr="0090761A">
        <w:rPr>
          <w:sz w:val="22"/>
          <w:szCs w:val="22"/>
          <w:highlight w:val="lightGray"/>
        </w:rPr>
        <w:t xml:space="preserve"> centrum</w:t>
      </w:r>
      <w:r w:rsidRPr="0090761A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5D4221">
          <w:rPr>
            <w:rStyle w:val="Hypertextovprepojenie"/>
            <w:sz w:val="22"/>
            <w:szCs w:val="22"/>
          </w:rPr>
          <w:t>P</w:t>
        </w:r>
        <w:r w:rsidRPr="005D4221">
          <w:rPr>
            <w:rStyle w:val="Hypertextovprepojenie"/>
            <w:sz w:val="22"/>
          </w:rPr>
          <w:t xml:space="preserve">rílohe </w:t>
        </w:r>
        <w:r w:rsidRPr="005D4221">
          <w:rPr>
            <w:rStyle w:val="Hypertextovprepojenie"/>
            <w:sz w:val="22"/>
            <w:szCs w:val="22"/>
          </w:rPr>
          <w:t>V</w:t>
        </w:r>
      </w:hyperlink>
      <w:r w:rsidRPr="005D4221">
        <w:rPr>
          <w:szCs w:val="22"/>
        </w:rPr>
        <w:t>.</w:t>
      </w:r>
    </w:p>
    <w:p w:rsidR="00EB01E0" w:rsidRPr="003D2C5A" w:rsidRDefault="00EB01E0" w:rsidP="00A13222">
      <w:pPr>
        <w:rPr>
          <w:sz w:val="22"/>
          <w:szCs w:val="22"/>
        </w:rPr>
      </w:pPr>
    </w:p>
    <w:p w:rsidR="00A13222" w:rsidRPr="003D2C5A" w:rsidRDefault="00A13222" w:rsidP="00724E13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4.9</w:t>
      </w:r>
      <w:r w:rsidR="00724E13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Predávkovanie </w:t>
      </w:r>
    </w:p>
    <w:p w:rsidR="00BD09D9" w:rsidRDefault="00BD09D9" w:rsidP="00A13222">
      <w:pPr>
        <w:rPr>
          <w:sz w:val="22"/>
          <w:szCs w:val="22"/>
        </w:rPr>
      </w:pPr>
    </w:p>
    <w:p w:rsidR="00B95EE3" w:rsidRPr="003D2C5A" w:rsidRDefault="00BD09D9" w:rsidP="00BD09D9">
      <w:pPr>
        <w:pStyle w:val="MGGTextLeft"/>
        <w:ind w:left="0" w:firstLine="0"/>
        <w:rPr>
          <w:szCs w:val="22"/>
        </w:rPr>
      </w:pPr>
      <w:r w:rsidRPr="00C563CB">
        <w:t>Nežiaduce účinky, ktoré sa vyskytli pri vyšších než odporúčaných dávkach, boli podobné ako nežiaduce účinky pri normálnom dávkovaní</w:t>
      </w:r>
      <w:r w:rsidRPr="0069263E">
        <w:t xml:space="preserve">. </w:t>
      </w:r>
      <w:r>
        <w:t>Typické príznaky p</w:t>
      </w:r>
      <w:r w:rsidR="00BD7C41">
        <w:rPr>
          <w:szCs w:val="22"/>
        </w:rPr>
        <w:t xml:space="preserve">redávkovanie </w:t>
      </w:r>
      <w:proofErr w:type="spellStart"/>
      <w:r w:rsidR="00BD7C41">
        <w:rPr>
          <w:szCs w:val="22"/>
        </w:rPr>
        <w:t>makrolid</w:t>
      </w:r>
      <w:r>
        <w:rPr>
          <w:szCs w:val="22"/>
        </w:rPr>
        <w:t>ovými</w:t>
      </w:r>
      <w:proofErr w:type="spellEnd"/>
      <w:r>
        <w:rPr>
          <w:szCs w:val="22"/>
        </w:rPr>
        <w:t xml:space="preserve"> antibiotikami zahŕňajú </w:t>
      </w:r>
      <w:r w:rsidR="00C83329">
        <w:rPr>
          <w:szCs w:val="22"/>
        </w:rPr>
        <w:t>reverzibilnú stratu sluchu, ťažkú nauzeu, vracanie a hnačku</w:t>
      </w:r>
      <w:r w:rsidR="00060716" w:rsidRPr="003D2C5A">
        <w:rPr>
          <w:szCs w:val="22"/>
        </w:rPr>
        <w:t xml:space="preserve">. </w:t>
      </w:r>
      <w:r w:rsidR="00A13222" w:rsidRPr="003D2C5A">
        <w:rPr>
          <w:szCs w:val="22"/>
        </w:rPr>
        <w:t xml:space="preserve">V prípade predávkovania </w:t>
      </w:r>
      <w:r w:rsidR="00C83329">
        <w:rPr>
          <w:szCs w:val="22"/>
        </w:rPr>
        <w:t xml:space="preserve">sa má podať živočíšne uhlie a </w:t>
      </w:r>
      <w:r w:rsidR="00B95EE3" w:rsidRPr="003D2C5A">
        <w:rPr>
          <w:szCs w:val="22"/>
        </w:rPr>
        <w:t>v prípade potreby</w:t>
      </w:r>
      <w:r w:rsidR="00A13222" w:rsidRPr="003D2C5A">
        <w:rPr>
          <w:szCs w:val="22"/>
        </w:rPr>
        <w:t xml:space="preserve"> </w:t>
      </w:r>
      <w:r w:rsidR="00FB7F57">
        <w:rPr>
          <w:szCs w:val="22"/>
        </w:rPr>
        <w:t xml:space="preserve">začať </w:t>
      </w:r>
      <w:r w:rsidR="00A13222" w:rsidRPr="003D2C5A">
        <w:rPr>
          <w:szCs w:val="22"/>
        </w:rPr>
        <w:t>symptomatick</w:t>
      </w:r>
      <w:r w:rsidR="001D20B5">
        <w:rPr>
          <w:szCs w:val="22"/>
        </w:rPr>
        <w:t>á</w:t>
      </w:r>
      <w:r w:rsidR="00A13222" w:rsidRPr="003D2C5A">
        <w:rPr>
          <w:szCs w:val="22"/>
        </w:rPr>
        <w:t xml:space="preserve"> liečb</w:t>
      </w:r>
      <w:r w:rsidR="00B64936">
        <w:rPr>
          <w:szCs w:val="22"/>
        </w:rPr>
        <w:t>a</w:t>
      </w:r>
      <w:r w:rsidR="00A13222" w:rsidRPr="003D2C5A">
        <w:rPr>
          <w:szCs w:val="22"/>
        </w:rPr>
        <w:t xml:space="preserve">. </w:t>
      </w:r>
    </w:p>
    <w:p w:rsidR="00243FF5" w:rsidRDefault="00243FF5" w:rsidP="00A13222">
      <w:pPr>
        <w:rPr>
          <w:sz w:val="22"/>
          <w:szCs w:val="22"/>
        </w:rPr>
      </w:pPr>
    </w:p>
    <w:p w:rsidR="0014441F" w:rsidRDefault="0014441F" w:rsidP="00A13222">
      <w:pPr>
        <w:rPr>
          <w:sz w:val="22"/>
          <w:szCs w:val="22"/>
        </w:rPr>
      </w:pPr>
    </w:p>
    <w:p w:rsidR="00A13222" w:rsidRPr="003D2C5A" w:rsidRDefault="00A13222" w:rsidP="00C83329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5.</w:t>
      </w:r>
      <w:r w:rsidR="00C83329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FARMAKOLOGICKÉ VLASTNOSTI </w:t>
      </w:r>
    </w:p>
    <w:p w:rsidR="00D47294" w:rsidRPr="003D2C5A" w:rsidRDefault="00D47294" w:rsidP="00A13222">
      <w:pPr>
        <w:rPr>
          <w:b/>
          <w:sz w:val="22"/>
          <w:szCs w:val="22"/>
        </w:rPr>
      </w:pPr>
    </w:p>
    <w:p w:rsidR="00A13222" w:rsidRPr="003D2C5A" w:rsidRDefault="00A13222" w:rsidP="00C83329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5.1</w:t>
      </w:r>
      <w:r w:rsidR="00C83329">
        <w:rPr>
          <w:b/>
          <w:sz w:val="22"/>
          <w:szCs w:val="22"/>
        </w:rPr>
        <w:tab/>
      </w:r>
      <w:proofErr w:type="spellStart"/>
      <w:r w:rsidRPr="003D2C5A">
        <w:rPr>
          <w:b/>
          <w:sz w:val="22"/>
          <w:szCs w:val="22"/>
        </w:rPr>
        <w:t>Farmakodynamické</w:t>
      </w:r>
      <w:proofErr w:type="spellEnd"/>
      <w:r w:rsidRPr="003D2C5A">
        <w:rPr>
          <w:b/>
          <w:sz w:val="22"/>
          <w:szCs w:val="22"/>
        </w:rPr>
        <w:t xml:space="preserve"> vlastnosti </w:t>
      </w:r>
    </w:p>
    <w:p w:rsidR="00D47294" w:rsidRPr="003D2C5A" w:rsidRDefault="00D47294" w:rsidP="00A13222">
      <w:pPr>
        <w:rPr>
          <w:b/>
          <w:sz w:val="22"/>
          <w:szCs w:val="22"/>
        </w:rPr>
      </w:pPr>
    </w:p>
    <w:p w:rsidR="00A13222" w:rsidRPr="003D2C5A" w:rsidRDefault="00A13222" w:rsidP="00A13222">
      <w:pPr>
        <w:rPr>
          <w:sz w:val="22"/>
          <w:szCs w:val="22"/>
        </w:rPr>
      </w:pPr>
      <w:proofErr w:type="spellStart"/>
      <w:r w:rsidRPr="003D2C5A">
        <w:rPr>
          <w:sz w:val="22"/>
          <w:szCs w:val="22"/>
        </w:rPr>
        <w:t>Farmakoterapeutická</w:t>
      </w:r>
      <w:proofErr w:type="spellEnd"/>
      <w:r w:rsidRPr="003D2C5A">
        <w:rPr>
          <w:sz w:val="22"/>
          <w:szCs w:val="22"/>
        </w:rPr>
        <w:t xml:space="preserve"> sk</w:t>
      </w:r>
      <w:r w:rsidR="00D47294" w:rsidRPr="003D2C5A">
        <w:rPr>
          <w:sz w:val="22"/>
          <w:szCs w:val="22"/>
        </w:rPr>
        <w:t xml:space="preserve">upina: </w:t>
      </w:r>
      <w:r w:rsidR="000F0769">
        <w:rPr>
          <w:sz w:val="22"/>
          <w:szCs w:val="22"/>
        </w:rPr>
        <w:t>antib</w:t>
      </w:r>
      <w:r w:rsidR="007B4F0D">
        <w:rPr>
          <w:sz w:val="22"/>
          <w:szCs w:val="22"/>
        </w:rPr>
        <w:t>iotiká</w:t>
      </w:r>
      <w:r w:rsidR="000F0769">
        <w:rPr>
          <w:sz w:val="22"/>
          <w:szCs w:val="22"/>
        </w:rPr>
        <w:t xml:space="preserve"> na systémové použitie, </w:t>
      </w:r>
      <w:proofErr w:type="spellStart"/>
      <w:r w:rsidR="000F0769">
        <w:rPr>
          <w:sz w:val="22"/>
          <w:szCs w:val="22"/>
        </w:rPr>
        <w:t>makrolidy</w:t>
      </w:r>
      <w:proofErr w:type="spellEnd"/>
      <w:r w:rsidR="00243FF5">
        <w:rPr>
          <w:sz w:val="22"/>
          <w:szCs w:val="22"/>
        </w:rPr>
        <w:t xml:space="preserve">, </w:t>
      </w:r>
      <w:r w:rsidRPr="003D2C5A">
        <w:rPr>
          <w:sz w:val="22"/>
          <w:szCs w:val="22"/>
        </w:rPr>
        <w:t xml:space="preserve">ATC kód: J01FA10 </w:t>
      </w:r>
    </w:p>
    <w:p w:rsidR="00C83329" w:rsidRDefault="00C83329" w:rsidP="00A13222">
      <w:pPr>
        <w:rPr>
          <w:sz w:val="22"/>
          <w:szCs w:val="22"/>
        </w:rPr>
      </w:pPr>
    </w:p>
    <w:p w:rsidR="00C83329" w:rsidRDefault="00A13222" w:rsidP="00A13222">
      <w:pPr>
        <w:rPr>
          <w:sz w:val="22"/>
          <w:szCs w:val="22"/>
        </w:rPr>
      </w:pPr>
      <w:proofErr w:type="spellStart"/>
      <w:r w:rsidRPr="003D2C5A">
        <w:rPr>
          <w:sz w:val="22"/>
          <w:szCs w:val="22"/>
        </w:rPr>
        <w:t>Azitromycín</w:t>
      </w:r>
      <w:proofErr w:type="spellEnd"/>
      <w:r w:rsidRPr="003D2C5A">
        <w:rPr>
          <w:sz w:val="22"/>
          <w:szCs w:val="22"/>
        </w:rPr>
        <w:t xml:space="preserve"> je </w:t>
      </w:r>
      <w:proofErr w:type="spellStart"/>
      <w:r w:rsidRPr="003D2C5A">
        <w:rPr>
          <w:sz w:val="22"/>
          <w:szCs w:val="22"/>
        </w:rPr>
        <w:t>makrolidové</w:t>
      </w:r>
      <w:proofErr w:type="spellEnd"/>
      <w:r w:rsidRPr="003D2C5A">
        <w:rPr>
          <w:sz w:val="22"/>
          <w:szCs w:val="22"/>
        </w:rPr>
        <w:t xml:space="preserve"> antibiotikum, patriace do skupiny </w:t>
      </w:r>
      <w:proofErr w:type="spellStart"/>
      <w:r w:rsidRPr="003D2C5A">
        <w:rPr>
          <w:sz w:val="22"/>
          <w:szCs w:val="22"/>
        </w:rPr>
        <w:t>azalidov</w:t>
      </w:r>
      <w:proofErr w:type="spellEnd"/>
      <w:r w:rsidRPr="003D2C5A">
        <w:rPr>
          <w:sz w:val="22"/>
          <w:szCs w:val="22"/>
        </w:rPr>
        <w:t xml:space="preserve">. </w:t>
      </w:r>
      <w:r w:rsidR="00C83329">
        <w:rPr>
          <w:sz w:val="22"/>
          <w:szCs w:val="22"/>
        </w:rPr>
        <w:t xml:space="preserve">Molekula vzniká pridaním atómu dusíka do </w:t>
      </w:r>
      <w:proofErr w:type="spellStart"/>
      <w:r w:rsidR="00C83329">
        <w:rPr>
          <w:sz w:val="22"/>
          <w:szCs w:val="22"/>
        </w:rPr>
        <w:t>laktónového</w:t>
      </w:r>
      <w:proofErr w:type="spellEnd"/>
      <w:r w:rsidR="00C83329">
        <w:rPr>
          <w:sz w:val="22"/>
          <w:szCs w:val="22"/>
        </w:rPr>
        <w:t xml:space="preserve"> kruhu </w:t>
      </w:r>
      <w:proofErr w:type="spellStart"/>
      <w:r w:rsidR="00C83329">
        <w:rPr>
          <w:sz w:val="22"/>
          <w:szCs w:val="22"/>
        </w:rPr>
        <w:t>erytromycínu</w:t>
      </w:r>
      <w:proofErr w:type="spellEnd"/>
      <w:r w:rsidR="00C83329">
        <w:rPr>
          <w:sz w:val="22"/>
          <w:szCs w:val="22"/>
        </w:rPr>
        <w:t xml:space="preserve"> A. </w:t>
      </w:r>
    </w:p>
    <w:p w:rsidR="00C83329" w:rsidRDefault="00C83329" w:rsidP="00C83329">
      <w:pPr>
        <w:rPr>
          <w:sz w:val="22"/>
          <w:szCs w:val="22"/>
        </w:rPr>
      </w:pPr>
    </w:p>
    <w:p w:rsidR="00C83329" w:rsidRPr="00243FF5" w:rsidRDefault="00984489" w:rsidP="00C8332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Mechanizmus </w:t>
      </w:r>
      <w:r w:rsidR="00C83329" w:rsidRPr="00243FF5">
        <w:rPr>
          <w:sz w:val="22"/>
          <w:szCs w:val="22"/>
          <w:u w:val="single"/>
        </w:rPr>
        <w:t>účinku</w:t>
      </w:r>
    </w:p>
    <w:p w:rsidR="00C83329" w:rsidRDefault="00A13222" w:rsidP="00A13222">
      <w:pPr>
        <w:rPr>
          <w:sz w:val="22"/>
          <w:szCs w:val="22"/>
        </w:rPr>
      </w:pPr>
      <w:r w:rsidRPr="003D2C5A">
        <w:rPr>
          <w:sz w:val="22"/>
          <w:szCs w:val="22"/>
        </w:rPr>
        <w:t xml:space="preserve">Antibiotikum potláča syntézu proteínov v bakteriálnej bunke väzbou na </w:t>
      </w:r>
      <w:proofErr w:type="spellStart"/>
      <w:r w:rsidRPr="003D2C5A">
        <w:rPr>
          <w:sz w:val="22"/>
          <w:szCs w:val="22"/>
        </w:rPr>
        <w:t>ribozomálnu</w:t>
      </w:r>
      <w:proofErr w:type="spellEnd"/>
      <w:r w:rsidRPr="003D2C5A">
        <w:rPr>
          <w:sz w:val="22"/>
          <w:szCs w:val="22"/>
        </w:rPr>
        <w:t xml:space="preserve"> </w:t>
      </w:r>
      <w:proofErr w:type="spellStart"/>
      <w:r w:rsidRPr="003D2C5A">
        <w:rPr>
          <w:sz w:val="22"/>
          <w:szCs w:val="22"/>
        </w:rPr>
        <w:t>podjednotku</w:t>
      </w:r>
      <w:proofErr w:type="spellEnd"/>
      <w:r w:rsidRPr="003D2C5A">
        <w:rPr>
          <w:sz w:val="22"/>
          <w:szCs w:val="22"/>
        </w:rPr>
        <w:t xml:space="preserve"> 50S, </w:t>
      </w:r>
      <w:r w:rsidR="00C83329">
        <w:rPr>
          <w:sz w:val="22"/>
          <w:szCs w:val="22"/>
        </w:rPr>
        <w:t xml:space="preserve">čím dochádza k inhibícii </w:t>
      </w:r>
      <w:proofErr w:type="spellStart"/>
      <w:r w:rsidR="00C83329">
        <w:rPr>
          <w:sz w:val="22"/>
          <w:szCs w:val="22"/>
        </w:rPr>
        <w:t>translokácie</w:t>
      </w:r>
      <w:proofErr w:type="spellEnd"/>
      <w:r w:rsidR="00C83329">
        <w:rPr>
          <w:sz w:val="22"/>
          <w:szCs w:val="22"/>
        </w:rPr>
        <w:t xml:space="preserve"> </w:t>
      </w:r>
      <w:proofErr w:type="spellStart"/>
      <w:r w:rsidR="00C83329">
        <w:rPr>
          <w:sz w:val="22"/>
          <w:szCs w:val="22"/>
        </w:rPr>
        <w:t>peptidov</w:t>
      </w:r>
      <w:proofErr w:type="spellEnd"/>
      <w:r w:rsidR="00C83329">
        <w:rPr>
          <w:sz w:val="22"/>
          <w:szCs w:val="22"/>
        </w:rPr>
        <w:t>.</w:t>
      </w:r>
    </w:p>
    <w:p w:rsidR="00C83329" w:rsidRDefault="00C83329" w:rsidP="00A13222">
      <w:pPr>
        <w:rPr>
          <w:sz w:val="22"/>
          <w:szCs w:val="22"/>
        </w:rPr>
      </w:pPr>
    </w:p>
    <w:p w:rsidR="00C83329" w:rsidRPr="00243FF5" w:rsidRDefault="00C83329" w:rsidP="00A13222">
      <w:pPr>
        <w:rPr>
          <w:sz w:val="22"/>
          <w:szCs w:val="22"/>
          <w:u w:val="single"/>
        </w:rPr>
      </w:pPr>
      <w:r w:rsidRPr="00243FF5">
        <w:rPr>
          <w:sz w:val="22"/>
          <w:szCs w:val="22"/>
          <w:u w:val="single"/>
        </w:rPr>
        <w:t>Mechanizmus rezistencie</w:t>
      </w:r>
    </w:p>
    <w:p w:rsidR="000121FC" w:rsidRDefault="00C83329" w:rsidP="00A13222">
      <w:pPr>
        <w:rPr>
          <w:sz w:val="22"/>
          <w:szCs w:val="22"/>
        </w:rPr>
      </w:pPr>
      <w:r>
        <w:rPr>
          <w:sz w:val="22"/>
          <w:szCs w:val="22"/>
        </w:rPr>
        <w:t>Celkovo boli zaznamenané tri základné</w:t>
      </w:r>
      <w:r w:rsidR="000121FC">
        <w:rPr>
          <w:sz w:val="22"/>
          <w:szCs w:val="22"/>
        </w:rPr>
        <w:t xml:space="preserve"> mechanizmy vzniku rezistencie baktérií: zmena cieľového miesta, ovplyvnenie transportu antibiotika a modifikácia antibiotika. Medzi </w:t>
      </w:r>
      <w:proofErr w:type="spellStart"/>
      <w:r w:rsidR="000121FC">
        <w:rPr>
          <w:sz w:val="22"/>
          <w:szCs w:val="22"/>
        </w:rPr>
        <w:t>erytromycínom</w:t>
      </w:r>
      <w:proofErr w:type="spellEnd"/>
      <w:r w:rsidR="000121FC">
        <w:rPr>
          <w:sz w:val="22"/>
          <w:szCs w:val="22"/>
        </w:rPr>
        <w:t xml:space="preserve">, </w:t>
      </w:r>
      <w:proofErr w:type="spellStart"/>
      <w:r w:rsidR="000121FC">
        <w:rPr>
          <w:sz w:val="22"/>
          <w:szCs w:val="22"/>
        </w:rPr>
        <w:t>azitromycínom</w:t>
      </w:r>
      <w:proofErr w:type="spellEnd"/>
      <w:r w:rsidR="000121FC">
        <w:rPr>
          <w:sz w:val="22"/>
          <w:szCs w:val="22"/>
        </w:rPr>
        <w:t xml:space="preserve">, inými </w:t>
      </w:r>
      <w:proofErr w:type="spellStart"/>
      <w:r w:rsidR="000121FC">
        <w:rPr>
          <w:sz w:val="22"/>
          <w:szCs w:val="22"/>
        </w:rPr>
        <w:t>makrolidmi</w:t>
      </w:r>
      <w:proofErr w:type="spellEnd"/>
      <w:r w:rsidR="000121FC">
        <w:rPr>
          <w:sz w:val="22"/>
          <w:szCs w:val="22"/>
        </w:rPr>
        <w:t xml:space="preserve"> a </w:t>
      </w:r>
      <w:proofErr w:type="spellStart"/>
      <w:r w:rsidR="000121FC">
        <w:rPr>
          <w:sz w:val="22"/>
          <w:szCs w:val="22"/>
        </w:rPr>
        <w:t>linkozamidmi</w:t>
      </w:r>
      <w:proofErr w:type="spellEnd"/>
      <w:r w:rsidR="000121FC">
        <w:rPr>
          <w:sz w:val="22"/>
          <w:szCs w:val="22"/>
        </w:rPr>
        <w:t xml:space="preserve"> existuje úplná skrížená rezistencia pre </w:t>
      </w:r>
      <w:proofErr w:type="spellStart"/>
      <w:r w:rsidR="000121FC" w:rsidRPr="000121FC">
        <w:rPr>
          <w:i/>
          <w:sz w:val="22"/>
          <w:szCs w:val="22"/>
        </w:rPr>
        <w:t>Streprococcus</w:t>
      </w:r>
      <w:proofErr w:type="spellEnd"/>
      <w:r w:rsidR="000121FC" w:rsidRPr="000121FC">
        <w:rPr>
          <w:i/>
          <w:sz w:val="22"/>
          <w:szCs w:val="22"/>
        </w:rPr>
        <w:t xml:space="preserve"> </w:t>
      </w:r>
      <w:proofErr w:type="spellStart"/>
      <w:r w:rsidR="000121FC" w:rsidRPr="000121FC">
        <w:rPr>
          <w:i/>
          <w:sz w:val="22"/>
          <w:szCs w:val="22"/>
        </w:rPr>
        <w:t>pneumoniae</w:t>
      </w:r>
      <w:proofErr w:type="spellEnd"/>
      <w:r w:rsidR="000121FC">
        <w:rPr>
          <w:sz w:val="22"/>
          <w:szCs w:val="22"/>
        </w:rPr>
        <w:t xml:space="preserve">, </w:t>
      </w:r>
      <w:proofErr w:type="spellStart"/>
      <w:r w:rsidR="000121FC">
        <w:rPr>
          <w:sz w:val="22"/>
          <w:szCs w:val="22"/>
        </w:rPr>
        <w:t>betahemolytický</w:t>
      </w:r>
      <w:proofErr w:type="spellEnd"/>
      <w:r w:rsidR="000121FC">
        <w:rPr>
          <w:sz w:val="22"/>
          <w:szCs w:val="22"/>
        </w:rPr>
        <w:t xml:space="preserve"> </w:t>
      </w:r>
      <w:proofErr w:type="spellStart"/>
      <w:r w:rsidR="000121FC">
        <w:rPr>
          <w:sz w:val="22"/>
          <w:szCs w:val="22"/>
        </w:rPr>
        <w:t>streptokokus</w:t>
      </w:r>
      <w:proofErr w:type="spellEnd"/>
      <w:r w:rsidR="000121FC">
        <w:rPr>
          <w:sz w:val="22"/>
          <w:szCs w:val="22"/>
        </w:rPr>
        <w:t xml:space="preserve"> skupiny A, </w:t>
      </w:r>
      <w:proofErr w:type="spellStart"/>
      <w:r w:rsidR="000121FC" w:rsidRPr="000121FC">
        <w:rPr>
          <w:i/>
          <w:sz w:val="22"/>
          <w:szCs w:val="22"/>
        </w:rPr>
        <w:t>Enterococcus</w:t>
      </w:r>
      <w:proofErr w:type="spellEnd"/>
      <w:r w:rsidR="000121FC" w:rsidRPr="000121FC">
        <w:rPr>
          <w:i/>
          <w:sz w:val="22"/>
          <w:szCs w:val="22"/>
        </w:rPr>
        <w:t xml:space="preserve"> </w:t>
      </w:r>
      <w:proofErr w:type="spellStart"/>
      <w:r w:rsidR="000121FC" w:rsidRPr="000121FC">
        <w:rPr>
          <w:i/>
          <w:sz w:val="22"/>
          <w:szCs w:val="22"/>
        </w:rPr>
        <w:t>faecalis</w:t>
      </w:r>
      <w:proofErr w:type="spellEnd"/>
      <w:r w:rsidR="000121FC">
        <w:rPr>
          <w:sz w:val="22"/>
          <w:szCs w:val="22"/>
        </w:rPr>
        <w:t xml:space="preserve"> a </w:t>
      </w:r>
      <w:proofErr w:type="spellStart"/>
      <w:r w:rsidR="000121FC" w:rsidRPr="000121FC">
        <w:rPr>
          <w:i/>
          <w:sz w:val="22"/>
          <w:szCs w:val="22"/>
        </w:rPr>
        <w:t>Staphylococcus</w:t>
      </w:r>
      <w:proofErr w:type="spellEnd"/>
      <w:r w:rsidR="000121FC" w:rsidRPr="000121FC">
        <w:rPr>
          <w:i/>
          <w:sz w:val="22"/>
          <w:szCs w:val="22"/>
        </w:rPr>
        <w:t xml:space="preserve"> </w:t>
      </w:r>
      <w:proofErr w:type="spellStart"/>
      <w:r w:rsidR="000121FC" w:rsidRPr="000121FC">
        <w:rPr>
          <w:i/>
          <w:sz w:val="22"/>
          <w:szCs w:val="22"/>
        </w:rPr>
        <w:t>aureus</w:t>
      </w:r>
      <w:proofErr w:type="spellEnd"/>
      <w:r w:rsidR="000121FC">
        <w:rPr>
          <w:sz w:val="22"/>
          <w:szCs w:val="22"/>
        </w:rPr>
        <w:t xml:space="preserve"> vrátane </w:t>
      </w:r>
      <w:r w:rsidR="000121FC" w:rsidRPr="000121FC">
        <w:rPr>
          <w:i/>
          <w:sz w:val="22"/>
          <w:szCs w:val="22"/>
        </w:rPr>
        <w:t xml:space="preserve">S. </w:t>
      </w:r>
      <w:proofErr w:type="spellStart"/>
      <w:r w:rsidR="000121FC" w:rsidRPr="000121FC">
        <w:rPr>
          <w:i/>
          <w:sz w:val="22"/>
          <w:szCs w:val="22"/>
        </w:rPr>
        <w:t>aureus</w:t>
      </w:r>
      <w:proofErr w:type="spellEnd"/>
      <w:r w:rsidR="000121FC">
        <w:rPr>
          <w:sz w:val="22"/>
          <w:szCs w:val="22"/>
        </w:rPr>
        <w:t xml:space="preserve"> rezistentného na </w:t>
      </w:r>
      <w:proofErr w:type="spellStart"/>
      <w:r w:rsidR="000121FC">
        <w:rPr>
          <w:sz w:val="22"/>
          <w:szCs w:val="22"/>
        </w:rPr>
        <w:t>meticilín</w:t>
      </w:r>
      <w:proofErr w:type="spellEnd"/>
      <w:r w:rsidR="000121FC">
        <w:rPr>
          <w:sz w:val="22"/>
          <w:szCs w:val="22"/>
        </w:rPr>
        <w:t xml:space="preserve">. </w:t>
      </w:r>
    </w:p>
    <w:p w:rsidR="00243FF5" w:rsidRDefault="00243FF5" w:rsidP="00A13222">
      <w:pPr>
        <w:rPr>
          <w:i/>
          <w:sz w:val="22"/>
          <w:szCs w:val="22"/>
        </w:rPr>
      </w:pPr>
    </w:p>
    <w:p w:rsidR="000121FC" w:rsidRPr="00243FF5" w:rsidRDefault="000121FC" w:rsidP="00A13222">
      <w:pPr>
        <w:rPr>
          <w:sz w:val="22"/>
          <w:szCs w:val="22"/>
          <w:u w:val="single"/>
        </w:rPr>
      </w:pPr>
      <w:r w:rsidRPr="00243FF5">
        <w:rPr>
          <w:sz w:val="22"/>
          <w:szCs w:val="22"/>
          <w:u w:val="single"/>
        </w:rPr>
        <w:t>Hraničné hodnoty</w:t>
      </w:r>
    </w:p>
    <w:p w:rsidR="000121FC" w:rsidRDefault="000121FC" w:rsidP="00A13222">
      <w:pPr>
        <w:rPr>
          <w:sz w:val="22"/>
          <w:szCs w:val="22"/>
        </w:rPr>
      </w:pPr>
      <w:r>
        <w:rPr>
          <w:sz w:val="22"/>
          <w:szCs w:val="22"/>
        </w:rPr>
        <w:t xml:space="preserve">Hraničné hodnoty citlivosti typických bakteriálnych patogénov voči </w:t>
      </w:r>
      <w:proofErr w:type="spellStart"/>
      <w:r>
        <w:rPr>
          <w:sz w:val="22"/>
          <w:szCs w:val="22"/>
        </w:rPr>
        <w:t>azitromycínu</w:t>
      </w:r>
      <w:proofErr w:type="spellEnd"/>
      <w:r w:rsidR="00B85D42">
        <w:rPr>
          <w:sz w:val="22"/>
          <w:szCs w:val="22"/>
        </w:rPr>
        <w:t xml:space="preserve"> (NCCLS)</w:t>
      </w:r>
      <w:r>
        <w:rPr>
          <w:sz w:val="22"/>
          <w:szCs w:val="22"/>
        </w:rPr>
        <w:t>:</w:t>
      </w:r>
    </w:p>
    <w:p w:rsidR="000121FC" w:rsidRDefault="000121FC" w:rsidP="00A13222">
      <w:pPr>
        <w:rPr>
          <w:sz w:val="22"/>
          <w:szCs w:val="22"/>
        </w:rPr>
      </w:pPr>
    </w:p>
    <w:p w:rsidR="00B85D42" w:rsidRPr="00C563CB" w:rsidRDefault="00B85D42" w:rsidP="00B85D42">
      <w:pPr>
        <w:pStyle w:val="MGGTextLeft"/>
        <w:numPr>
          <w:ilvl w:val="0"/>
          <w:numId w:val="23"/>
        </w:numPr>
        <w:tabs>
          <w:tab w:val="clear" w:pos="0"/>
          <w:tab w:val="num" w:pos="360"/>
        </w:tabs>
        <w:ind w:left="360"/>
        <w:rPr>
          <w:color w:val="000000"/>
        </w:rPr>
      </w:pPr>
      <w:r w:rsidRPr="00C563CB">
        <w:rPr>
          <w:color w:val="000000"/>
        </w:rPr>
        <w:t>citlivý ≤ </w:t>
      </w:r>
      <w:r>
        <w:rPr>
          <w:color w:val="000000"/>
        </w:rPr>
        <w:t>2</w:t>
      </w:r>
      <w:r w:rsidRPr="00C563CB">
        <w:rPr>
          <w:color w:val="000000"/>
        </w:rPr>
        <w:t> mg/l</w:t>
      </w:r>
      <w:r>
        <w:rPr>
          <w:color w:val="000000"/>
        </w:rPr>
        <w:t>,</w:t>
      </w:r>
      <w:r w:rsidRPr="00C563CB">
        <w:rPr>
          <w:color w:val="000000"/>
        </w:rPr>
        <w:t xml:space="preserve"> rezistentný </w:t>
      </w:r>
      <w:r>
        <w:rPr>
          <w:color w:val="000000"/>
        </w:rPr>
        <w:t>≥ 8</w:t>
      </w:r>
      <w:r w:rsidRPr="00C563CB">
        <w:rPr>
          <w:color w:val="000000"/>
        </w:rPr>
        <w:t> mg/l;</w:t>
      </w:r>
    </w:p>
    <w:p w:rsidR="00B85D42" w:rsidRPr="00C563CB" w:rsidRDefault="00B85D42" w:rsidP="00B85D42">
      <w:pPr>
        <w:pStyle w:val="MGGTextLeft"/>
        <w:numPr>
          <w:ilvl w:val="0"/>
          <w:numId w:val="23"/>
        </w:numPr>
        <w:tabs>
          <w:tab w:val="clear" w:pos="0"/>
          <w:tab w:val="num" w:pos="360"/>
        </w:tabs>
        <w:ind w:left="360"/>
      </w:pPr>
      <w:proofErr w:type="spellStart"/>
      <w:r w:rsidRPr="00C563CB">
        <w:rPr>
          <w:i/>
        </w:rPr>
        <w:t>Haemophilus</w:t>
      </w:r>
      <w:proofErr w:type="spellEnd"/>
      <w:r w:rsidRPr="00C563CB">
        <w:t xml:space="preserve"> </w:t>
      </w:r>
      <w:proofErr w:type="spellStart"/>
      <w:r w:rsidRPr="00C563CB">
        <w:t>spp</w:t>
      </w:r>
      <w:proofErr w:type="spellEnd"/>
      <w:r w:rsidRPr="00C563CB">
        <w:t xml:space="preserve">.: citlivý ≤ </w:t>
      </w:r>
      <w:r>
        <w:t xml:space="preserve">4 </w:t>
      </w:r>
      <w:r w:rsidRPr="00C563CB">
        <w:rPr>
          <w:color w:val="000000"/>
        </w:rPr>
        <w:t>mg/l</w:t>
      </w:r>
    </w:p>
    <w:p w:rsidR="00B85D42" w:rsidRPr="00C563CB" w:rsidRDefault="00B85D42" w:rsidP="00B85D42">
      <w:pPr>
        <w:pStyle w:val="MGGTextLeft"/>
        <w:numPr>
          <w:ilvl w:val="0"/>
          <w:numId w:val="23"/>
        </w:numPr>
        <w:tabs>
          <w:tab w:val="clear" w:pos="0"/>
          <w:tab w:val="num" w:pos="360"/>
        </w:tabs>
        <w:ind w:left="360"/>
      </w:pPr>
      <w:proofErr w:type="spellStart"/>
      <w:r w:rsidRPr="00C563CB">
        <w:rPr>
          <w:i/>
          <w:color w:val="000000"/>
        </w:rPr>
        <w:t>Streptococcus</w:t>
      </w:r>
      <w:proofErr w:type="spellEnd"/>
      <w:r w:rsidRPr="00C563CB">
        <w:rPr>
          <w:i/>
        </w:rPr>
        <w:t xml:space="preserve"> </w:t>
      </w:r>
      <w:proofErr w:type="spellStart"/>
      <w:r w:rsidRPr="00C563CB">
        <w:rPr>
          <w:i/>
        </w:rPr>
        <w:t>pneumoniae</w:t>
      </w:r>
      <w:proofErr w:type="spellEnd"/>
      <w:r w:rsidRPr="00C563CB">
        <w:rPr>
          <w:i/>
        </w:rPr>
        <w:t xml:space="preserve"> </w:t>
      </w:r>
      <w:r>
        <w:rPr>
          <w:i/>
        </w:rPr>
        <w:t xml:space="preserve">a </w:t>
      </w:r>
      <w:proofErr w:type="spellStart"/>
      <w:r w:rsidRPr="00C563CB">
        <w:rPr>
          <w:i/>
        </w:rPr>
        <w:t>Streptococcus</w:t>
      </w:r>
      <w:proofErr w:type="spellEnd"/>
      <w:r w:rsidRPr="00C563CB">
        <w:rPr>
          <w:color w:val="000000"/>
        </w:rPr>
        <w:t xml:space="preserve"> A, B, C, G a</w:t>
      </w:r>
      <w:r w:rsidRPr="00C563CB">
        <w:t xml:space="preserve">: citlivý ≤ </w:t>
      </w:r>
      <w:r>
        <w:t xml:space="preserve">0,5 </w:t>
      </w:r>
      <w:r w:rsidRPr="00C563CB">
        <w:t>mg/l</w:t>
      </w:r>
      <w:r>
        <w:t>,</w:t>
      </w:r>
      <w:r w:rsidRPr="00C563CB">
        <w:t xml:space="preserve"> rezistentný </w:t>
      </w:r>
      <w:r w:rsidRPr="0017389C">
        <w:rPr>
          <w:szCs w:val="22"/>
        </w:rPr>
        <w:t>≥</w:t>
      </w:r>
      <w:r w:rsidRPr="00C563CB">
        <w:rPr>
          <w:color w:val="000000"/>
        </w:rPr>
        <w:t> </w:t>
      </w:r>
      <w:r>
        <w:rPr>
          <w:color w:val="000000"/>
        </w:rPr>
        <w:t xml:space="preserve">2 </w:t>
      </w:r>
      <w:r w:rsidRPr="00C563CB">
        <w:t>mg/l.</w:t>
      </w:r>
    </w:p>
    <w:p w:rsidR="000F0769" w:rsidRPr="00C563CB" w:rsidRDefault="000F0769" w:rsidP="00B85D42">
      <w:pPr>
        <w:pStyle w:val="MGGTextLeft"/>
        <w:ind w:left="0" w:firstLine="0"/>
      </w:pPr>
    </w:p>
    <w:p w:rsidR="000F0769" w:rsidRPr="005D4221" w:rsidRDefault="000F0769" w:rsidP="000F0769">
      <w:pPr>
        <w:rPr>
          <w:sz w:val="22"/>
          <w:szCs w:val="22"/>
          <w:u w:val="single"/>
        </w:rPr>
      </w:pPr>
      <w:r w:rsidRPr="005D4221">
        <w:rPr>
          <w:sz w:val="22"/>
          <w:szCs w:val="22"/>
          <w:u w:val="single"/>
        </w:rPr>
        <w:t>Citlivosť</w:t>
      </w:r>
    </w:p>
    <w:p w:rsidR="000F0769" w:rsidRPr="005D4221" w:rsidRDefault="000F0769" w:rsidP="005D4221">
      <w:pPr>
        <w:rPr>
          <w:sz w:val="22"/>
          <w:szCs w:val="22"/>
        </w:rPr>
      </w:pPr>
      <w:r w:rsidRPr="005D4221">
        <w:rPr>
          <w:sz w:val="22"/>
          <w:szCs w:val="22"/>
        </w:rPr>
        <w:t>Prevalencia získanej rezistencie pre vybrané druhy sa môže líšiť geograficky a časom a je potrebná miestna informácia o rezistencii, predovšetkým pri liečbe závažných infekcií. Pokiaľ je potrebné, má sa vyžiadať rada odborníka, či je lokálna prevalencia rezistencie taká, že prospešnosť liečby je najmenej pri niektorých typoch infekcií neistá.</w:t>
      </w:r>
    </w:p>
    <w:p w:rsidR="00E3765C" w:rsidRPr="00E3765C" w:rsidRDefault="00E3765C" w:rsidP="00E3765C">
      <w:pPr>
        <w:ind w:left="426"/>
        <w:jc w:val="both"/>
        <w:rPr>
          <w:sz w:val="22"/>
          <w:szCs w:val="22"/>
          <w:lang w:val="en-US"/>
        </w:rPr>
      </w:pPr>
    </w:p>
    <w:p w:rsidR="00E3765C" w:rsidRDefault="00E3765C" w:rsidP="00243FF5">
      <w:pPr>
        <w:rPr>
          <w:sz w:val="22"/>
          <w:szCs w:val="22"/>
          <w:lang w:val="en-US"/>
        </w:rPr>
      </w:pPr>
      <w:proofErr w:type="spellStart"/>
      <w:r w:rsidRPr="00E3765C">
        <w:rPr>
          <w:sz w:val="22"/>
          <w:szCs w:val="22"/>
          <w:lang w:val="en-US"/>
        </w:rPr>
        <w:t>Tab</w:t>
      </w:r>
      <w:r>
        <w:rPr>
          <w:sz w:val="22"/>
          <w:szCs w:val="22"/>
          <w:lang w:val="en-US"/>
        </w:rPr>
        <w:t>uľka</w:t>
      </w:r>
      <w:proofErr w:type="spellEnd"/>
      <w:r w:rsidRPr="00E3765C">
        <w:rPr>
          <w:sz w:val="22"/>
          <w:szCs w:val="22"/>
          <w:lang w:val="en-US"/>
        </w:rPr>
        <w:t xml:space="preserve">: </w:t>
      </w:r>
      <w:proofErr w:type="spellStart"/>
      <w:r w:rsidRPr="00E3765C">
        <w:rPr>
          <w:sz w:val="22"/>
          <w:szCs w:val="22"/>
          <w:lang w:val="en-US"/>
        </w:rPr>
        <w:t>Antiba</w:t>
      </w:r>
      <w:r>
        <w:rPr>
          <w:sz w:val="22"/>
          <w:szCs w:val="22"/>
          <w:lang w:val="en-US"/>
        </w:rPr>
        <w:t>k</w:t>
      </w:r>
      <w:r w:rsidRPr="00E3765C">
        <w:rPr>
          <w:sz w:val="22"/>
          <w:szCs w:val="22"/>
          <w:lang w:val="en-US"/>
        </w:rPr>
        <w:t>teri</w:t>
      </w:r>
      <w:r>
        <w:rPr>
          <w:sz w:val="22"/>
          <w:szCs w:val="22"/>
          <w:lang w:val="en-US"/>
        </w:rPr>
        <w:t>álne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 w:rsidRPr="00E3765C">
        <w:rPr>
          <w:sz w:val="22"/>
          <w:szCs w:val="22"/>
          <w:lang w:val="en-US"/>
        </w:rPr>
        <w:t>spe</w:t>
      </w:r>
      <w:r>
        <w:rPr>
          <w:sz w:val="22"/>
          <w:szCs w:val="22"/>
          <w:lang w:val="en-US"/>
        </w:rPr>
        <w:t>k</w:t>
      </w:r>
      <w:r w:rsidRPr="00E3765C">
        <w:rPr>
          <w:sz w:val="22"/>
          <w:szCs w:val="22"/>
          <w:lang w:val="en-US"/>
        </w:rPr>
        <w:t>trum</w:t>
      </w:r>
      <w:proofErr w:type="spellEnd"/>
      <w:r w:rsidRPr="00E3765C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</w:t>
      </w:r>
      <w:r w:rsidRPr="00E3765C">
        <w:rPr>
          <w:sz w:val="22"/>
          <w:szCs w:val="22"/>
          <w:lang w:val="en-US"/>
        </w:rPr>
        <w:t>zitromyc</w:t>
      </w:r>
      <w:r>
        <w:rPr>
          <w:sz w:val="22"/>
          <w:szCs w:val="22"/>
          <w:lang w:val="en-US"/>
        </w:rPr>
        <w:t>ínu</w:t>
      </w:r>
      <w:proofErr w:type="spellEnd"/>
    </w:p>
    <w:p w:rsidR="00333B3B" w:rsidRDefault="00333B3B" w:rsidP="00243FF5">
      <w:pPr>
        <w:rPr>
          <w:sz w:val="22"/>
          <w:szCs w:val="22"/>
          <w:lang w:val="en-US"/>
        </w:rPr>
      </w:pPr>
      <w:bookmarkStart w:id="0" w:name="_GoBack"/>
      <w:bookmarkEnd w:id="0"/>
    </w:p>
    <w:p w:rsidR="00E3765C" w:rsidRPr="00E3765C" w:rsidRDefault="00E3765C" w:rsidP="00E3765C">
      <w:pPr>
        <w:ind w:left="426"/>
        <w:rPr>
          <w:sz w:val="22"/>
          <w:szCs w:val="22"/>
          <w:lang w:val="en-US"/>
        </w:rPr>
      </w:pPr>
      <w:r w:rsidRPr="00E3765C">
        <w:rPr>
          <w:sz w:val="22"/>
          <w:szCs w:val="22"/>
          <w:lang w:val="en-US"/>
        </w:rPr>
        <w:t xml:space="preserve"> </w:t>
      </w:r>
    </w:p>
    <w:tbl>
      <w:tblPr>
        <w:tblW w:w="456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422"/>
      </w:tblGrid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Bežne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citlivé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druhy</w:t>
            </w:r>
            <w:proofErr w:type="spellEnd"/>
            <w:r w:rsidRPr="00E376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Aer</w:t>
            </w:r>
            <w:r>
              <w:rPr>
                <w:b/>
                <w:bCs/>
                <w:sz w:val="22"/>
                <w:szCs w:val="22"/>
                <w:lang w:val="en-US"/>
              </w:rPr>
              <w:t>óbne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g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rampo</w:t>
            </w:r>
            <w:r>
              <w:rPr>
                <w:b/>
                <w:bCs/>
                <w:sz w:val="22"/>
                <w:szCs w:val="22"/>
                <w:lang w:val="en-US"/>
              </w:rPr>
              <w:t>zitívne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mi</w:t>
            </w:r>
            <w:r>
              <w:rPr>
                <w:b/>
                <w:bCs/>
                <w:sz w:val="22"/>
                <w:szCs w:val="22"/>
                <w:lang w:val="en-US"/>
              </w:rPr>
              <w:t>kroo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rgani</w:t>
            </w:r>
            <w:r>
              <w:rPr>
                <w:b/>
                <w:bCs/>
                <w:sz w:val="22"/>
                <w:szCs w:val="22"/>
                <w:lang w:val="en-US"/>
              </w:rPr>
              <w:t>zmy</w:t>
            </w:r>
            <w:proofErr w:type="spellEnd"/>
            <w:r w:rsidRPr="00E376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Staphylococcus aureus </w:t>
            </w:r>
          </w:p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citlivý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</w:t>
            </w:r>
            <w:r w:rsidRPr="00E3765C">
              <w:rPr>
                <w:sz w:val="22"/>
                <w:szCs w:val="22"/>
                <w:lang w:val="en-US"/>
              </w:rPr>
              <w:t>etycil</w:t>
            </w:r>
            <w:r>
              <w:rPr>
                <w:sz w:val="22"/>
                <w:szCs w:val="22"/>
                <w:lang w:val="en-US"/>
              </w:rPr>
              <w:t>ín</w:t>
            </w:r>
            <w:proofErr w:type="spellEnd"/>
            <w:r w:rsidRPr="00E3765C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Streptococcus pneumoniae </w:t>
            </w:r>
          </w:p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citlivý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</w:t>
            </w:r>
            <w:r w:rsidRPr="00E3765C">
              <w:rPr>
                <w:sz w:val="22"/>
                <w:szCs w:val="22"/>
                <w:lang w:val="en-US"/>
              </w:rPr>
              <w:t>enicil</w:t>
            </w:r>
            <w:r>
              <w:rPr>
                <w:sz w:val="22"/>
                <w:szCs w:val="22"/>
                <w:lang w:val="en-US"/>
              </w:rPr>
              <w:t>ín</w:t>
            </w:r>
            <w:proofErr w:type="spellEnd"/>
            <w:r w:rsidRPr="00E3765C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r w:rsidRPr="00E3765C">
              <w:rPr>
                <w:i/>
                <w:iCs/>
                <w:sz w:val="22"/>
                <w:szCs w:val="22"/>
                <w:lang w:val="en-US"/>
              </w:rPr>
              <w:t>Streptococcus pyo</w:t>
            </w:r>
            <w:r w:rsidRPr="00243FF5">
              <w:rPr>
                <w:i/>
                <w:iCs/>
                <w:sz w:val="22"/>
                <w:szCs w:val="22"/>
                <w:lang w:val="en-US"/>
              </w:rPr>
              <w:t xml:space="preserve">genes </w:t>
            </w:r>
            <w:r w:rsidRPr="00243FF5"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243FF5">
              <w:rPr>
                <w:bCs/>
                <w:sz w:val="22"/>
                <w:szCs w:val="22"/>
                <w:lang w:val="en-US"/>
              </w:rPr>
              <w:t>skupina</w:t>
            </w:r>
            <w:proofErr w:type="spellEnd"/>
            <w:r w:rsidRPr="00243FF5">
              <w:rPr>
                <w:bCs/>
                <w:sz w:val="22"/>
                <w:szCs w:val="22"/>
                <w:lang w:val="en-US"/>
              </w:rPr>
              <w:t xml:space="preserve"> A)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Aer</w:t>
            </w:r>
            <w:r>
              <w:rPr>
                <w:b/>
                <w:bCs/>
                <w:sz w:val="22"/>
                <w:szCs w:val="22"/>
                <w:lang w:val="en-US"/>
              </w:rPr>
              <w:t>óbne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g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ramnegat</w:t>
            </w:r>
            <w:r>
              <w:rPr>
                <w:b/>
                <w:bCs/>
                <w:sz w:val="22"/>
                <w:szCs w:val="22"/>
                <w:lang w:val="en-US"/>
              </w:rPr>
              <w:t>ívne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mi</w:t>
            </w:r>
            <w:r>
              <w:rPr>
                <w:b/>
                <w:bCs/>
                <w:sz w:val="22"/>
                <w:szCs w:val="22"/>
                <w:lang w:val="en-US"/>
              </w:rPr>
              <w:t>k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roorgani</w:t>
            </w:r>
            <w:r>
              <w:rPr>
                <w:b/>
                <w:bCs/>
                <w:sz w:val="22"/>
                <w:szCs w:val="22"/>
                <w:lang w:val="en-US"/>
              </w:rPr>
              <w:t>zmy</w:t>
            </w:r>
            <w:proofErr w:type="spellEnd"/>
            <w:r w:rsidRPr="00E376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E3765C">
              <w:rPr>
                <w:i/>
                <w:iCs/>
                <w:sz w:val="22"/>
                <w:szCs w:val="22"/>
                <w:lang w:val="en-US"/>
              </w:rPr>
              <w:t>Haemophilus</w:t>
            </w:r>
            <w:proofErr w:type="spellEnd"/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65C">
              <w:rPr>
                <w:i/>
                <w:iCs/>
                <w:sz w:val="22"/>
                <w:szCs w:val="22"/>
                <w:lang w:val="en-US"/>
              </w:rPr>
              <w:t>influenzae</w:t>
            </w:r>
            <w:proofErr w:type="spellEnd"/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E3765C">
              <w:rPr>
                <w:i/>
                <w:iCs/>
                <w:sz w:val="22"/>
                <w:szCs w:val="22"/>
                <w:lang w:val="en-US"/>
              </w:rPr>
              <w:t>Haemophilus</w:t>
            </w:r>
            <w:proofErr w:type="spellEnd"/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65C">
              <w:rPr>
                <w:i/>
                <w:iCs/>
                <w:sz w:val="22"/>
                <w:szCs w:val="22"/>
                <w:lang w:val="en-US"/>
              </w:rPr>
              <w:t>parainfluenzae</w:t>
            </w:r>
            <w:proofErr w:type="spellEnd"/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Legionella pneumophila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Moraxella catarrhalis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E3765C">
              <w:rPr>
                <w:i/>
                <w:iCs/>
                <w:sz w:val="22"/>
                <w:szCs w:val="22"/>
                <w:lang w:val="en-US"/>
              </w:rPr>
              <w:t>Pasteurella</w:t>
            </w:r>
            <w:proofErr w:type="spellEnd"/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65C">
              <w:rPr>
                <w:i/>
                <w:iCs/>
                <w:sz w:val="22"/>
                <w:szCs w:val="22"/>
                <w:lang w:val="en-US"/>
              </w:rPr>
              <w:t>multocida</w:t>
            </w:r>
            <w:proofErr w:type="spellEnd"/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Anaer</w:t>
            </w:r>
            <w:r>
              <w:rPr>
                <w:b/>
                <w:bCs/>
                <w:sz w:val="22"/>
                <w:szCs w:val="22"/>
                <w:lang w:val="en-US"/>
              </w:rPr>
              <w:t>óbne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mi</w:t>
            </w:r>
            <w:r>
              <w:rPr>
                <w:b/>
                <w:bCs/>
                <w:sz w:val="22"/>
                <w:szCs w:val="22"/>
                <w:lang w:val="en-US"/>
              </w:rPr>
              <w:t>k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roorgani</w:t>
            </w:r>
            <w:r>
              <w:rPr>
                <w:b/>
                <w:bCs/>
                <w:sz w:val="22"/>
                <w:szCs w:val="22"/>
                <w:lang w:val="en-US"/>
              </w:rPr>
              <w:t>zmy</w:t>
            </w:r>
            <w:proofErr w:type="spellEnd"/>
            <w:r w:rsidRPr="00E376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Clostridium perfringens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Fusobacterium spp.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E3765C">
              <w:rPr>
                <w:i/>
                <w:iCs/>
                <w:sz w:val="22"/>
                <w:szCs w:val="22"/>
                <w:lang w:val="en-US"/>
              </w:rPr>
              <w:t>Prevotella</w:t>
            </w:r>
            <w:proofErr w:type="spellEnd"/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 spp.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E3765C">
              <w:rPr>
                <w:i/>
                <w:iCs/>
                <w:sz w:val="22"/>
                <w:szCs w:val="22"/>
                <w:lang w:val="en-US"/>
              </w:rPr>
              <w:t>Porphyromonas</w:t>
            </w:r>
            <w:proofErr w:type="spellEnd"/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 spp.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Iné</w:t>
            </w:r>
            <w:proofErr w:type="spellEnd"/>
            <w:r w:rsidRPr="00E376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mi</w:t>
            </w:r>
            <w:r>
              <w:rPr>
                <w:b/>
                <w:bCs/>
                <w:sz w:val="22"/>
                <w:szCs w:val="22"/>
                <w:lang w:val="en-US"/>
              </w:rPr>
              <w:t>k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roorgani</w:t>
            </w:r>
            <w:r>
              <w:rPr>
                <w:b/>
                <w:bCs/>
                <w:sz w:val="22"/>
                <w:szCs w:val="22"/>
                <w:lang w:val="en-US"/>
              </w:rPr>
              <w:t>zmy</w:t>
            </w:r>
            <w:proofErr w:type="spellEnd"/>
            <w:r w:rsidRPr="00E376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Chlamydia trachomatis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Druhy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pri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ktorých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môže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byť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problémom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získaná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rezistencia</w:t>
            </w:r>
            <w:proofErr w:type="spellEnd"/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Aer</w:t>
            </w:r>
            <w:r>
              <w:rPr>
                <w:b/>
                <w:bCs/>
                <w:sz w:val="22"/>
                <w:szCs w:val="22"/>
                <w:lang w:val="en-US"/>
              </w:rPr>
              <w:t>óbne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g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rampo</w:t>
            </w:r>
            <w:r>
              <w:rPr>
                <w:b/>
                <w:bCs/>
                <w:sz w:val="22"/>
                <w:szCs w:val="22"/>
                <w:lang w:val="en-US"/>
              </w:rPr>
              <w:t>z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it</w:t>
            </w:r>
            <w:r>
              <w:rPr>
                <w:b/>
                <w:bCs/>
                <w:sz w:val="22"/>
                <w:szCs w:val="22"/>
                <w:lang w:val="en-US"/>
              </w:rPr>
              <w:t>ívne</w:t>
            </w:r>
            <w:proofErr w:type="spellEnd"/>
            <w:r w:rsidRPr="00E376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mi</w:t>
            </w:r>
            <w:r>
              <w:rPr>
                <w:b/>
                <w:bCs/>
                <w:sz w:val="22"/>
                <w:szCs w:val="22"/>
                <w:lang w:val="en-US"/>
              </w:rPr>
              <w:t>k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roorgani</w:t>
            </w:r>
            <w:r>
              <w:rPr>
                <w:b/>
                <w:bCs/>
                <w:sz w:val="22"/>
                <w:szCs w:val="22"/>
                <w:lang w:val="en-US"/>
              </w:rPr>
              <w:t>zmy</w:t>
            </w:r>
            <w:proofErr w:type="spellEnd"/>
            <w:r w:rsidRPr="00E376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Streptococcus pneumoniae </w:t>
            </w:r>
          </w:p>
          <w:p w:rsidR="008E41E8" w:rsidRDefault="008E41E8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stredne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citlivý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penicil</w:t>
            </w:r>
            <w:r w:rsidR="00A82B8A">
              <w:rPr>
                <w:sz w:val="22"/>
                <w:szCs w:val="22"/>
                <w:lang w:val="en-US"/>
              </w:rPr>
              <w:t>í</w:t>
            </w:r>
            <w:r>
              <w:rPr>
                <w:sz w:val="22"/>
                <w:szCs w:val="22"/>
                <w:lang w:val="en-US"/>
              </w:rPr>
              <w:t>n</w:t>
            </w:r>
            <w:proofErr w:type="spellEnd"/>
          </w:p>
          <w:p w:rsidR="00E3765C" w:rsidRPr="00E3765C" w:rsidRDefault="008E41E8" w:rsidP="008E41E8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rezistentný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penicilín</w:t>
            </w:r>
            <w:proofErr w:type="spellEnd"/>
            <w:r w:rsidR="00E3765C" w:rsidRPr="00E3765C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8E41E8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Inherent</w:t>
            </w:r>
            <w:r w:rsidR="008E41E8">
              <w:rPr>
                <w:b/>
                <w:bCs/>
                <w:sz w:val="22"/>
                <w:szCs w:val="22"/>
                <w:lang w:val="en-US"/>
              </w:rPr>
              <w:t>ne</w:t>
            </w:r>
            <w:proofErr w:type="spellEnd"/>
            <w:r w:rsidR="008E41E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41E8">
              <w:rPr>
                <w:b/>
                <w:bCs/>
                <w:sz w:val="22"/>
                <w:szCs w:val="22"/>
                <w:lang w:val="en-US"/>
              </w:rPr>
              <w:t>rezistentné</w:t>
            </w:r>
            <w:proofErr w:type="spellEnd"/>
            <w:r w:rsidR="008E41E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41E8">
              <w:rPr>
                <w:b/>
                <w:bCs/>
                <w:sz w:val="22"/>
                <w:szCs w:val="22"/>
                <w:lang w:val="en-US"/>
              </w:rPr>
              <w:t>mikro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organi</w:t>
            </w:r>
            <w:r w:rsidR="008E41E8">
              <w:rPr>
                <w:b/>
                <w:bCs/>
                <w:sz w:val="22"/>
                <w:szCs w:val="22"/>
                <w:lang w:val="en-US"/>
              </w:rPr>
              <w:t>zmy</w:t>
            </w:r>
            <w:proofErr w:type="spellEnd"/>
            <w:r w:rsidRPr="00E376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8E41E8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Aer</w:t>
            </w:r>
            <w:r w:rsidR="008E41E8">
              <w:rPr>
                <w:b/>
                <w:bCs/>
                <w:sz w:val="22"/>
                <w:szCs w:val="22"/>
                <w:lang w:val="en-US"/>
              </w:rPr>
              <w:t>óbne</w:t>
            </w:r>
            <w:proofErr w:type="spellEnd"/>
            <w:r w:rsidR="008E41E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41E8">
              <w:rPr>
                <w:b/>
                <w:bCs/>
                <w:sz w:val="22"/>
                <w:szCs w:val="22"/>
                <w:lang w:val="en-US"/>
              </w:rPr>
              <w:t>g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rampo</w:t>
            </w:r>
            <w:r w:rsidR="008E41E8">
              <w:rPr>
                <w:b/>
                <w:bCs/>
                <w:sz w:val="22"/>
                <w:szCs w:val="22"/>
                <w:lang w:val="en-US"/>
              </w:rPr>
              <w:t>zitívne</w:t>
            </w:r>
            <w:proofErr w:type="spellEnd"/>
            <w:r w:rsidR="008E41E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mi</w:t>
            </w:r>
            <w:r w:rsidR="008E41E8">
              <w:rPr>
                <w:b/>
                <w:bCs/>
                <w:sz w:val="22"/>
                <w:szCs w:val="22"/>
                <w:lang w:val="en-US"/>
              </w:rPr>
              <w:t>k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roorgani</w:t>
            </w:r>
            <w:r w:rsidR="008E41E8">
              <w:rPr>
                <w:b/>
                <w:bCs/>
                <w:sz w:val="22"/>
                <w:szCs w:val="22"/>
                <w:lang w:val="en-US"/>
              </w:rPr>
              <w:t>zmy</w:t>
            </w:r>
            <w:proofErr w:type="spellEnd"/>
            <w:r w:rsidRPr="00E376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r w:rsidRPr="00E3765C">
              <w:rPr>
                <w:i/>
                <w:iCs/>
                <w:sz w:val="22"/>
                <w:szCs w:val="22"/>
                <w:lang w:val="en-US"/>
              </w:rPr>
              <w:t xml:space="preserve">Enterococcus faecalis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E3765C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r w:rsidRPr="008E41E8">
              <w:rPr>
                <w:i/>
                <w:sz w:val="22"/>
                <w:szCs w:val="22"/>
                <w:lang w:val="en-US"/>
              </w:rPr>
              <w:t xml:space="preserve">Staphylococci 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MRSA, MRSE</w:t>
            </w:r>
            <w:r w:rsidRPr="00E3765C">
              <w:rPr>
                <w:sz w:val="22"/>
                <w:szCs w:val="22"/>
                <w:lang w:val="en-US"/>
              </w:rPr>
              <w:t xml:space="preserve"> *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8E41E8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Anaer</w:t>
            </w:r>
            <w:r w:rsidR="008E41E8">
              <w:rPr>
                <w:b/>
                <w:bCs/>
                <w:sz w:val="22"/>
                <w:szCs w:val="22"/>
                <w:lang w:val="en-US"/>
              </w:rPr>
              <w:t>óbne</w:t>
            </w:r>
            <w:proofErr w:type="spellEnd"/>
            <w:r w:rsidR="008E41E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65C">
              <w:rPr>
                <w:b/>
                <w:bCs/>
                <w:sz w:val="22"/>
                <w:szCs w:val="22"/>
                <w:lang w:val="en-US"/>
              </w:rPr>
              <w:t>mi</w:t>
            </w:r>
            <w:r w:rsidR="008E41E8">
              <w:rPr>
                <w:b/>
                <w:bCs/>
                <w:sz w:val="22"/>
                <w:szCs w:val="22"/>
                <w:lang w:val="en-US"/>
              </w:rPr>
              <w:t>k</w:t>
            </w:r>
            <w:r w:rsidRPr="00E3765C">
              <w:rPr>
                <w:b/>
                <w:bCs/>
                <w:sz w:val="22"/>
                <w:szCs w:val="22"/>
                <w:lang w:val="en-US"/>
              </w:rPr>
              <w:t>roorgani</w:t>
            </w:r>
            <w:r w:rsidR="008E41E8">
              <w:rPr>
                <w:b/>
                <w:bCs/>
                <w:sz w:val="22"/>
                <w:szCs w:val="22"/>
                <w:lang w:val="en-US"/>
              </w:rPr>
              <w:t>zmy</w:t>
            </w:r>
            <w:proofErr w:type="spellEnd"/>
            <w:r w:rsidRPr="00E376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E3765C" w:rsidRPr="00E3765C" w:rsidTr="00243FF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765C" w:rsidRPr="00E3765C" w:rsidRDefault="00E3765C" w:rsidP="008E41E8">
            <w:pPr>
              <w:spacing w:before="100" w:beforeAutospacing="1" w:after="100" w:afterAutospacing="1"/>
              <w:ind w:left="426"/>
              <w:rPr>
                <w:sz w:val="22"/>
                <w:szCs w:val="22"/>
                <w:lang w:val="en-US"/>
              </w:rPr>
            </w:pPr>
            <w:proofErr w:type="spellStart"/>
            <w:r w:rsidRPr="008E41E8">
              <w:rPr>
                <w:i/>
                <w:sz w:val="22"/>
                <w:szCs w:val="22"/>
                <w:lang w:val="en-US"/>
              </w:rPr>
              <w:t>Bacteroides</w:t>
            </w:r>
            <w:proofErr w:type="spellEnd"/>
            <w:r w:rsidRPr="008E41E8">
              <w:rPr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41E8">
              <w:rPr>
                <w:i/>
                <w:sz w:val="22"/>
                <w:szCs w:val="22"/>
                <w:lang w:val="en-US"/>
              </w:rPr>
              <w:t>fragilis</w:t>
            </w:r>
            <w:proofErr w:type="spellEnd"/>
            <w:r w:rsidRPr="00E3765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8E41E8">
              <w:rPr>
                <w:sz w:val="22"/>
                <w:szCs w:val="22"/>
                <w:lang w:val="en-US"/>
              </w:rPr>
              <w:t>skupina</w:t>
            </w:r>
            <w:proofErr w:type="spellEnd"/>
            <w:r w:rsidRPr="00E3765C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A13222" w:rsidRPr="005D1FE2" w:rsidRDefault="00E3765C" w:rsidP="008E41E8">
      <w:pPr>
        <w:ind w:left="426"/>
        <w:rPr>
          <w:i/>
          <w:sz w:val="22"/>
          <w:szCs w:val="22"/>
        </w:rPr>
      </w:pPr>
      <w:r w:rsidRPr="00E3765C">
        <w:rPr>
          <w:sz w:val="22"/>
          <w:szCs w:val="22"/>
          <w:lang w:val="en-US"/>
        </w:rPr>
        <w:t xml:space="preserve">* </w:t>
      </w:r>
      <w:proofErr w:type="spellStart"/>
      <w:r w:rsidR="008E41E8">
        <w:rPr>
          <w:sz w:val="22"/>
          <w:szCs w:val="22"/>
          <w:lang w:val="en-US"/>
        </w:rPr>
        <w:t>Stafylokoky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rezistentné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na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m</w:t>
      </w:r>
      <w:r w:rsidRPr="00E3765C">
        <w:rPr>
          <w:sz w:val="22"/>
          <w:szCs w:val="22"/>
          <w:lang w:val="en-US"/>
        </w:rPr>
        <w:t>et</w:t>
      </w:r>
      <w:r w:rsidR="00A82B8A">
        <w:rPr>
          <w:sz w:val="22"/>
          <w:szCs w:val="22"/>
          <w:lang w:val="en-US"/>
        </w:rPr>
        <w:t>i</w:t>
      </w:r>
      <w:r w:rsidRPr="00E3765C">
        <w:rPr>
          <w:sz w:val="22"/>
          <w:szCs w:val="22"/>
          <w:lang w:val="en-US"/>
        </w:rPr>
        <w:t>cil</w:t>
      </w:r>
      <w:r w:rsidR="008E41E8">
        <w:rPr>
          <w:sz w:val="22"/>
          <w:szCs w:val="22"/>
          <w:lang w:val="en-US"/>
        </w:rPr>
        <w:t>ín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majú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vysokú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prevalenciu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získanej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rezistencie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na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makrolidy</w:t>
      </w:r>
      <w:proofErr w:type="spellEnd"/>
      <w:r w:rsidR="008E41E8">
        <w:rPr>
          <w:sz w:val="22"/>
          <w:szCs w:val="22"/>
          <w:lang w:val="en-US"/>
        </w:rPr>
        <w:t xml:space="preserve">, </w:t>
      </w:r>
      <w:proofErr w:type="spellStart"/>
      <w:r w:rsidR="008E41E8">
        <w:rPr>
          <w:sz w:val="22"/>
          <w:szCs w:val="22"/>
          <w:lang w:val="en-US"/>
        </w:rPr>
        <w:t>sú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však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uvedené</w:t>
      </w:r>
      <w:proofErr w:type="spellEnd"/>
      <w:r w:rsidR="008E41E8">
        <w:rPr>
          <w:sz w:val="22"/>
          <w:szCs w:val="22"/>
          <w:lang w:val="en-US"/>
        </w:rPr>
        <w:t xml:space="preserve"> v </w:t>
      </w:r>
      <w:proofErr w:type="spellStart"/>
      <w:r w:rsidR="008E41E8">
        <w:rPr>
          <w:sz w:val="22"/>
          <w:szCs w:val="22"/>
          <w:lang w:val="en-US"/>
        </w:rPr>
        <w:t>tejto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časti</w:t>
      </w:r>
      <w:proofErr w:type="spellEnd"/>
      <w:r w:rsidR="008E41E8">
        <w:rPr>
          <w:sz w:val="22"/>
          <w:szCs w:val="22"/>
          <w:lang w:val="en-US"/>
        </w:rPr>
        <w:t xml:space="preserve">, </w:t>
      </w:r>
      <w:proofErr w:type="spellStart"/>
      <w:r w:rsidR="008E41E8">
        <w:rPr>
          <w:sz w:val="22"/>
          <w:szCs w:val="22"/>
          <w:lang w:val="en-US"/>
        </w:rPr>
        <w:t>pretože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sú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zriedkavo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citlivé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na</w:t>
      </w:r>
      <w:proofErr w:type="spellEnd"/>
      <w:r w:rsidR="008E41E8">
        <w:rPr>
          <w:sz w:val="22"/>
          <w:szCs w:val="22"/>
          <w:lang w:val="en-US"/>
        </w:rPr>
        <w:t xml:space="preserve"> </w:t>
      </w:r>
      <w:proofErr w:type="spellStart"/>
      <w:r w:rsidR="008E41E8">
        <w:rPr>
          <w:sz w:val="22"/>
          <w:szCs w:val="22"/>
          <w:lang w:val="en-US"/>
        </w:rPr>
        <w:t>azitromycín</w:t>
      </w:r>
      <w:proofErr w:type="spellEnd"/>
      <w:r w:rsidR="008E41E8">
        <w:rPr>
          <w:sz w:val="22"/>
          <w:szCs w:val="22"/>
          <w:lang w:val="en-US"/>
        </w:rPr>
        <w:t>.</w:t>
      </w:r>
    </w:p>
    <w:p w:rsidR="00A13222" w:rsidRDefault="00A13222" w:rsidP="00A13222">
      <w:pPr>
        <w:rPr>
          <w:sz w:val="22"/>
          <w:szCs w:val="22"/>
        </w:rPr>
      </w:pPr>
    </w:p>
    <w:p w:rsidR="00B728CE" w:rsidRPr="00BB6B51" w:rsidRDefault="00B728CE" w:rsidP="00B728CE">
      <w:pPr>
        <w:rPr>
          <w:rFonts w:eastAsia="Arial Unicode MS"/>
          <w:sz w:val="22"/>
          <w:szCs w:val="22"/>
        </w:rPr>
      </w:pPr>
      <w:r w:rsidRPr="00BB6B51">
        <w:rPr>
          <w:rFonts w:eastAsia="Arial Unicode MS"/>
          <w:sz w:val="22"/>
          <w:szCs w:val="22"/>
        </w:rPr>
        <w:lastRenderedPageBreak/>
        <w:t xml:space="preserve">Po vyhodnotení štúdií vykonaných na deťoch sa použitie </w:t>
      </w:r>
      <w:proofErr w:type="spellStart"/>
      <w:r w:rsidRPr="00BB6B51">
        <w:rPr>
          <w:rFonts w:eastAsia="Arial Unicode MS"/>
          <w:sz w:val="22"/>
          <w:szCs w:val="22"/>
        </w:rPr>
        <w:t>azitromycínu</w:t>
      </w:r>
      <w:proofErr w:type="spellEnd"/>
      <w:r w:rsidRPr="00BB6B51">
        <w:rPr>
          <w:rFonts w:eastAsia="Arial Unicode MS"/>
          <w:sz w:val="22"/>
          <w:szCs w:val="22"/>
        </w:rPr>
        <w:t xml:space="preserve"> </w:t>
      </w:r>
      <w:r w:rsidR="0083618A" w:rsidRPr="00BB6B51">
        <w:rPr>
          <w:rFonts w:eastAsia="Arial Unicode MS"/>
          <w:sz w:val="22"/>
          <w:szCs w:val="22"/>
        </w:rPr>
        <w:t xml:space="preserve">neodporúča </w:t>
      </w:r>
      <w:r w:rsidRPr="00BB6B51">
        <w:rPr>
          <w:rFonts w:eastAsia="Arial Unicode MS"/>
          <w:sz w:val="22"/>
          <w:szCs w:val="22"/>
        </w:rPr>
        <w:t xml:space="preserve">na liečbu malárie </w:t>
      </w:r>
      <w:r w:rsidR="0083618A">
        <w:rPr>
          <w:rFonts w:eastAsia="Arial Unicode MS"/>
          <w:sz w:val="22"/>
          <w:szCs w:val="22"/>
        </w:rPr>
        <w:t>ani v</w:t>
      </w:r>
      <w:r w:rsidR="00736A36">
        <w:rPr>
          <w:rFonts w:eastAsia="Arial Unicode MS"/>
          <w:sz w:val="22"/>
          <w:szCs w:val="22"/>
        </w:rPr>
        <w:t> </w:t>
      </w:r>
      <w:proofErr w:type="spellStart"/>
      <w:r w:rsidR="0083618A">
        <w:rPr>
          <w:rFonts w:eastAsia="Arial Unicode MS"/>
          <w:sz w:val="22"/>
          <w:szCs w:val="22"/>
        </w:rPr>
        <w:t>monoterapii</w:t>
      </w:r>
      <w:proofErr w:type="spellEnd"/>
      <w:r w:rsidR="00736A36">
        <w:rPr>
          <w:rFonts w:eastAsia="Arial Unicode MS"/>
          <w:sz w:val="22"/>
          <w:szCs w:val="22"/>
        </w:rPr>
        <w:t>,</w:t>
      </w:r>
      <w:r w:rsidRPr="00BB6B51">
        <w:rPr>
          <w:rFonts w:eastAsia="Arial Unicode MS"/>
          <w:sz w:val="22"/>
          <w:szCs w:val="22"/>
        </w:rPr>
        <w:t xml:space="preserve"> </w:t>
      </w:r>
      <w:r w:rsidR="0035595C">
        <w:rPr>
          <w:rFonts w:eastAsia="Arial Unicode MS"/>
          <w:sz w:val="22"/>
          <w:szCs w:val="22"/>
        </w:rPr>
        <w:t>ani</w:t>
      </w:r>
      <w:r w:rsidRPr="00BB6B51">
        <w:rPr>
          <w:rFonts w:eastAsia="Arial Unicode MS"/>
          <w:sz w:val="22"/>
          <w:szCs w:val="22"/>
        </w:rPr>
        <w:t xml:space="preserve"> v kombinácii s liekmi obsahujúcimi </w:t>
      </w:r>
      <w:proofErr w:type="spellStart"/>
      <w:r w:rsidRPr="00BB6B51">
        <w:rPr>
          <w:rFonts w:eastAsia="Arial Unicode MS"/>
          <w:sz w:val="22"/>
          <w:szCs w:val="22"/>
        </w:rPr>
        <w:t>chlorochín</w:t>
      </w:r>
      <w:proofErr w:type="spellEnd"/>
      <w:r w:rsidRPr="00BB6B51">
        <w:rPr>
          <w:rFonts w:eastAsia="Arial Unicode MS"/>
          <w:sz w:val="22"/>
          <w:szCs w:val="22"/>
        </w:rPr>
        <w:t xml:space="preserve"> alebo </w:t>
      </w:r>
      <w:proofErr w:type="spellStart"/>
      <w:r w:rsidRPr="004C45F1">
        <w:rPr>
          <w:rFonts w:eastAsia="Arial Unicode MS"/>
          <w:sz w:val="22"/>
          <w:szCs w:val="22"/>
        </w:rPr>
        <w:t>artemis</w:t>
      </w:r>
      <w:r w:rsidR="00CC2309">
        <w:rPr>
          <w:rFonts w:eastAsia="Arial Unicode MS"/>
          <w:sz w:val="22"/>
          <w:szCs w:val="22"/>
        </w:rPr>
        <w:t>in</w:t>
      </w:r>
      <w:r w:rsidRPr="004C45F1">
        <w:rPr>
          <w:rFonts w:eastAsia="Arial Unicode MS"/>
          <w:sz w:val="22"/>
          <w:szCs w:val="22"/>
        </w:rPr>
        <w:t>ín</w:t>
      </w:r>
      <w:proofErr w:type="spellEnd"/>
      <w:r w:rsidRPr="00BB6B51">
        <w:rPr>
          <w:rFonts w:eastAsia="Arial Unicode MS"/>
          <w:sz w:val="22"/>
          <w:szCs w:val="22"/>
        </w:rPr>
        <w:t xml:space="preserve">, </w:t>
      </w:r>
      <w:r w:rsidR="0035595C">
        <w:rPr>
          <w:rFonts w:eastAsia="Arial Unicode MS"/>
          <w:sz w:val="22"/>
          <w:szCs w:val="22"/>
        </w:rPr>
        <w:t>keďže</w:t>
      </w:r>
      <w:r w:rsidRPr="00BB6B51">
        <w:rPr>
          <w:rFonts w:eastAsia="Arial Unicode MS"/>
          <w:sz w:val="22"/>
          <w:szCs w:val="22"/>
        </w:rPr>
        <w:t xml:space="preserve"> nebola dokázaná </w:t>
      </w:r>
      <w:proofErr w:type="spellStart"/>
      <w:r w:rsidRPr="00BB6B51">
        <w:rPr>
          <w:rFonts w:eastAsia="Arial Unicode MS"/>
          <w:sz w:val="22"/>
          <w:szCs w:val="22"/>
        </w:rPr>
        <w:t>non-inferiorita</w:t>
      </w:r>
      <w:proofErr w:type="spellEnd"/>
      <w:r w:rsidRPr="00BB6B51">
        <w:rPr>
          <w:rFonts w:eastAsia="Arial Unicode MS"/>
          <w:sz w:val="22"/>
          <w:szCs w:val="22"/>
        </w:rPr>
        <w:t xml:space="preserve"> </w:t>
      </w:r>
      <w:r w:rsidR="003266F7">
        <w:rPr>
          <w:rFonts w:eastAsia="Arial Unicode MS"/>
          <w:sz w:val="22"/>
          <w:szCs w:val="22"/>
        </w:rPr>
        <w:t xml:space="preserve">v porovnaní s </w:t>
      </w:r>
      <w:r w:rsidRPr="00BB6B51">
        <w:rPr>
          <w:rFonts w:eastAsia="Arial Unicode MS"/>
          <w:sz w:val="22"/>
          <w:szCs w:val="22"/>
        </w:rPr>
        <w:t> </w:t>
      </w:r>
      <w:proofErr w:type="spellStart"/>
      <w:r w:rsidRPr="00BB6B51">
        <w:rPr>
          <w:rFonts w:eastAsia="Arial Unicode MS"/>
          <w:sz w:val="22"/>
          <w:szCs w:val="22"/>
        </w:rPr>
        <w:t>antimalarikami</w:t>
      </w:r>
      <w:proofErr w:type="spellEnd"/>
      <w:r w:rsidRPr="00BB6B51">
        <w:rPr>
          <w:rFonts w:eastAsia="Arial Unicode MS"/>
          <w:sz w:val="22"/>
          <w:szCs w:val="22"/>
        </w:rPr>
        <w:t xml:space="preserve"> odporúčanými na liečbu nekomplikovanej malárie. </w:t>
      </w:r>
    </w:p>
    <w:p w:rsidR="00B728CE" w:rsidRPr="003D2C5A" w:rsidRDefault="00B728CE" w:rsidP="00A13222">
      <w:pPr>
        <w:rPr>
          <w:sz w:val="22"/>
          <w:szCs w:val="22"/>
        </w:rPr>
      </w:pPr>
    </w:p>
    <w:p w:rsidR="00A13222" w:rsidRPr="003D2C5A" w:rsidRDefault="00A13222" w:rsidP="008E41E8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5.2</w:t>
      </w:r>
      <w:r w:rsidR="008E41E8">
        <w:rPr>
          <w:b/>
          <w:sz w:val="22"/>
          <w:szCs w:val="22"/>
        </w:rPr>
        <w:tab/>
      </w:r>
      <w:proofErr w:type="spellStart"/>
      <w:r w:rsidRPr="003D2C5A">
        <w:rPr>
          <w:b/>
          <w:sz w:val="22"/>
          <w:szCs w:val="22"/>
        </w:rPr>
        <w:t>Farmakokinetické</w:t>
      </w:r>
      <w:proofErr w:type="spellEnd"/>
      <w:r w:rsidRPr="003D2C5A">
        <w:rPr>
          <w:b/>
          <w:sz w:val="22"/>
          <w:szCs w:val="22"/>
        </w:rPr>
        <w:t xml:space="preserve"> vlastnosti </w:t>
      </w:r>
    </w:p>
    <w:p w:rsidR="00D47294" w:rsidRPr="003D2C5A" w:rsidRDefault="00D47294" w:rsidP="00A13222">
      <w:pPr>
        <w:rPr>
          <w:b/>
          <w:sz w:val="22"/>
          <w:szCs w:val="22"/>
        </w:rPr>
      </w:pPr>
    </w:p>
    <w:p w:rsidR="008E41E8" w:rsidRPr="00243FF5" w:rsidRDefault="008E41E8" w:rsidP="00A13222">
      <w:pPr>
        <w:rPr>
          <w:sz w:val="22"/>
          <w:szCs w:val="22"/>
          <w:u w:val="single"/>
        </w:rPr>
      </w:pPr>
      <w:r w:rsidRPr="00243FF5">
        <w:rPr>
          <w:sz w:val="22"/>
          <w:szCs w:val="22"/>
          <w:u w:val="single"/>
        </w:rPr>
        <w:t>Absorpcia</w:t>
      </w:r>
    </w:p>
    <w:p w:rsidR="00A13222" w:rsidRPr="00BE4BA4" w:rsidRDefault="008E41E8" w:rsidP="00A13222">
      <w:pPr>
        <w:rPr>
          <w:sz w:val="22"/>
          <w:szCs w:val="22"/>
        </w:rPr>
      </w:pPr>
      <w:r>
        <w:rPr>
          <w:sz w:val="22"/>
          <w:szCs w:val="22"/>
        </w:rPr>
        <w:t xml:space="preserve">Po perorálnom podaní je biologická dostupnosť </w:t>
      </w:r>
      <w:proofErr w:type="spellStart"/>
      <w:r>
        <w:rPr>
          <w:sz w:val="22"/>
          <w:szCs w:val="22"/>
        </w:rPr>
        <w:t>azitromycínu</w:t>
      </w:r>
      <w:proofErr w:type="spellEnd"/>
      <w:r>
        <w:rPr>
          <w:sz w:val="22"/>
          <w:szCs w:val="22"/>
        </w:rPr>
        <w:t xml:space="preserve"> približne 37 </w:t>
      </w:r>
      <w:r w:rsidRPr="00BE4BA4">
        <w:rPr>
          <w:sz w:val="22"/>
          <w:szCs w:val="22"/>
        </w:rPr>
        <w:t xml:space="preserve">%. </w:t>
      </w:r>
      <w:r w:rsidR="00A13222" w:rsidRPr="00BE4BA4">
        <w:rPr>
          <w:sz w:val="22"/>
          <w:szCs w:val="22"/>
        </w:rPr>
        <w:t xml:space="preserve">Maximálna </w:t>
      </w:r>
      <w:r w:rsidR="00BE4BA4">
        <w:rPr>
          <w:sz w:val="22"/>
          <w:szCs w:val="22"/>
        </w:rPr>
        <w:t xml:space="preserve">plazmatická </w:t>
      </w:r>
      <w:r w:rsidR="00A13222" w:rsidRPr="00BE4BA4">
        <w:rPr>
          <w:sz w:val="22"/>
          <w:szCs w:val="22"/>
        </w:rPr>
        <w:t xml:space="preserve">koncentrácia sa dosahuje </w:t>
      </w:r>
      <w:r w:rsidR="00BE4BA4">
        <w:rPr>
          <w:sz w:val="22"/>
          <w:szCs w:val="22"/>
        </w:rPr>
        <w:t xml:space="preserve">do </w:t>
      </w:r>
      <w:r w:rsidR="00A13222" w:rsidRPr="00BE4BA4">
        <w:rPr>
          <w:sz w:val="22"/>
          <w:szCs w:val="22"/>
        </w:rPr>
        <w:t>2-3 hodín</w:t>
      </w:r>
      <w:r w:rsidR="00BE4BA4">
        <w:rPr>
          <w:sz w:val="22"/>
          <w:szCs w:val="22"/>
        </w:rPr>
        <w:t xml:space="preserve"> po užití lieku</w:t>
      </w:r>
      <w:r w:rsidR="00A13222" w:rsidRPr="00BE4BA4">
        <w:rPr>
          <w:sz w:val="22"/>
          <w:szCs w:val="22"/>
        </w:rPr>
        <w:t xml:space="preserve">. </w:t>
      </w:r>
    </w:p>
    <w:p w:rsidR="00F33AD9" w:rsidRPr="00BE4BA4" w:rsidRDefault="00F33AD9" w:rsidP="00A13222">
      <w:pPr>
        <w:rPr>
          <w:sz w:val="22"/>
          <w:szCs w:val="22"/>
        </w:rPr>
      </w:pPr>
    </w:p>
    <w:p w:rsidR="00BE4BA4" w:rsidRPr="00243FF5" w:rsidRDefault="00F33AD9" w:rsidP="00A13222">
      <w:pPr>
        <w:rPr>
          <w:sz w:val="22"/>
          <w:szCs w:val="22"/>
          <w:u w:val="single"/>
        </w:rPr>
      </w:pPr>
      <w:r w:rsidRPr="00243FF5">
        <w:rPr>
          <w:sz w:val="22"/>
          <w:szCs w:val="22"/>
          <w:u w:val="single"/>
        </w:rPr>
        <w:t xml:space="preserve">Distribúcia </w:t>
      </w:r>
    </w:p>
    <w:p w:rsidR="00BE4BA4" w:rsidRDefault="00BE4BA4" w:rsidP="00A13222">
      <w:pPr>
        <w:rPr>
          <w:sz w:val="22"/>
          <w:szCs w:val="22"/>
        </w:rPr>
      </w:pPr>
      <w:r>
        <w:rPr>
          <w:sz w:val="22"/>
          <w:szCs w:val="22"/>
        </w:rPr>
        <w:t xml:space="preserve">Po perorálnom podaní sa </w:t>
      </w:r>
      <w:proofErr w:type="spellStart"/>
      <w:r>
        <w:rPr>
          <w:sz w:val="22"/>
          <w:szCs w:val="22"/>
        </w:rPr>
        <w:t>azitromycín</w:t>
      </w:r>
      <w:proofErr w:type="spellEnd"/>
      <w:r>
        <w:rPr>
          <w:sz w:val="22"/>
          <w:szCs w:val="22"/>
        </w:rPr>
        <w:t xml:space="preserve"> distribuuje do celého tela.</w:t>
      </w:r>
    </w:p>
    <w:p w:rsidR="00BE4BA4" w:rsidRDefault="00BE4BA4" w:rsidP="00A1322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Farmakokinetické</w:t>
      </w:r>
      <w:proofErr w:type="spellEnd"/>
      <w:r>
        <w:rPr>
          <w:sz w:val="22"/>
          <w:szCs w:val="22"/>
        </w:rPr>
        <w:t xml:space="preserve"> štúdie preukázali zreteľne </w:t>
      </w:r>
      <w:r w:rsidR="00A13222" w:rsidRPr="003D2C5A">
        <w:rPr>
          <w:sz w:val="22"/>
          <w:szCs w:val="22"/>
        </w:rPr>
        <w:t>vyššiu koncentráciu v tkanivách v porovnaní s</w:t>
      </w:r>
      <w:r>
        <w:rPr>
          <w:sz w:val="22"/>
          <w:szCs w:val="22"/>
        </w:rPr>
        <w:t> </w:t>
      </w:r>
      <w:r w:rsidR="00A13222" w:rsidRPr="003D2C5A">
        <w:rPr>
          <w:sz w:val="22"/>
          <w:szCs w:val="22"/>
        </w:rPr>
        <w:t>plazmatickou koncentráciou (až do 50 násobku)</w:t>
      </w:r>
      <w:r>
        <w:rPr>
          <w:sz w:val="22"/>
          <w:szCs w:val="22"/>
        </w:rPr>
        <w:t xml:space="preserve">, čo dokazuje, že sa silne viaže na tkanivá. </w:t>
      </w:r>
      <w:r w:rsidR="00A13222" w:rsidRPr="003D2C5A">
        <w:rPr>
          <w:sz w:val="22"/>
          <w:szCs w:val="22"/>
        </w:rPr>
        <w:t xml:space="preserve"> </w:t>
      </w:r>
    </w:p>
    <w:p w:rsidR="00A13222" w:rsidRPr="00BE4BA4" w:rsidRDefault="00A13222" w:rsidP="00A13222">
      <w:pPr>
        <w:rPr>
          <w:sz w:val="22"/>
          <w:szCs w:val="22"/>
        </w:rPr>
      </w:pPr>
      <w:r w:rsidRPr="00BE4BA4">
        <w:rPr>
          <w:sz w:val="22"/>
          <w:szCs w:val="22"/>
        </w:rPr>
        <w:t xml:space="preserve">Väzba na plazmatické proteíny sa mení, ale obvykle je </w:t>
      </w:r>
      <w:r w:rsidR="00BE4BA4">
        <w:rPr>
          <w:sz w:val="22"/>
          <w:szCs w:val="22"/>
        </w:rPr>
        <w:t xml:space="preserve">v rozmedzí od 12 % pri 0,5 </w:t>
      </w:r>
      <w:r w:rsidR="00BE4BA4">
        <w:rPr>
          <w:sz w:val="22"/>
          <w:szCs w:val="22"/>
        </w:rPr>
        <w:sym w:font="Symbol" w:char="F06D"/>
      </w:r>
      <w:r w:rsidR="00BE4BA4">
        <w:rPr>
          <w:sz w:val="22"/>
          <w:szCs w:val="22"/>
        </w:rPr>
        <w:t xml:space="preserve">g/ml až 52 % pri 0,05 </w:t>
      </w:r>
      <w:r w:rsidR="00BE4BA4">
        <w:rPr>
          <w:sz w:val="22"/>
          <w:szCs w:val="22"/>
        </w:rPr>
        <w:sym w:font="Symbol" w:char="F06D"/>
      </w:r>
      <w:r w:rsidR="00BE4BA4">
        <w:rPr>
          <w:sz w:val="22"/>
          <w:szCs w:val="22"/>
        </w:rPr>
        <w:t xml:space="preserve">g </w:t>
      </w:r>
      <w:proofErr w:type="spellStart"/>
      <w:r w:rsidR="00BE4BA4">
        <w:rPr>
          <w:sz w:val="22"/>
          <w:szCs w:val="22"/>
        </w:rPr>
        <w:t>azitromycínu</w:t>
      </w:r>
      <w:proofErr w:type="spellEnd"/>
      <w:r w:rsidR="00BE4BA4">
        <w:rPr>
          <w:sz w:val="22"/>
          <w:szCs w:val="22"/>
        </w:rPr>
        <w:t xml:space="preserve"> /ml séra. Dist</w:t>
      </w:r>
      <w:r w:rsidR="003F6841">
        <w:rPr>
          <w:sz w:val="22"/>
          <w:szCs w:val="22"/>
        </w:rPr>
        <w:t>r</w:t>
      </w:r>
      <w:r w:rsidR="00BE4BA4">
        <w:rPr>
          <w:sz w:val="22"/>
          <w:szCs w:val="22"/>
        </w:rPr>
        <w:t xml:space="preserve">ibučný objem v rovnovážnom stave </w:t>
      </w:r>
      <w:r w:rsidR="003F6841">
        <w:rPr>
          <w:sz w:val="22"/>
          <w:szCs w:val="22"/>
        </w:rPr>
        <w:t xml:space="preserve">je </w:t>
      </w:r>
      <w:r w:rsidR="00BE4BA4">
        <w:rPr>
          <w:sz w:val="22"/>
          <w:szCs w:val="22"/>
        </w:rPr>
        <w:t>31,1 l/kg.</w:t>
      </w:r>
      <w:r w:rsidRPr="00BE4BA4">
        <w:rPr>
          <w:sz w:val="22"/>
          <w:szCs w:val="22"/>
        </w:rPr>
        <w:t xml:space="preserve"> </w:t>
      </w:r>
    </w:p>
    <w:p w:rsidR="00BD5C5E" w:rsidRPr="003D2C5A" w:rsidRDefault="00BD5C5E" w:rsidP="00A13222">
      <w:pPr>
        <w:rPr>
          <w:i/>
          <w:sz w:val="22"/>
          <w:szCs w:val="22"/>
        </w:rPr>
      </w:pPr>
    </w:p>
    <w:p w:rsidR="007F0986" w:rsidRPr="003F6841" w:rsidRDefault="003F6841" w:rsidP="00A13222">
      <w:pPr>
        <w:rPr>
          <w:sz w:val="22"/>
          <w:szCs w:val="22"/>
          <w:u w:val="single"/>
        </w:rPr>
      </w:pPr>
      <w:proofErr w:type="spellStart"/>
      <w:r w:rsidRPr="003F6841">
        <w:rPr>
          <w:sz w:val="22"/>
          <w:szCs w:val="22"/>
          <w:u w:val="single"/>
        </w:rPr>
        <w:t>Biotransformácia</w:t>
      </w:r>
      <w:proofErr w:type="spellEnd"/>
      <w:r w:rsidR="00035BEA">
        <w:rPr>
          <w:sz w:val="22"/>
          <w:szCs w:val="22"/>
          <w:u w:val="single"/>
        </w:rPr>
        <w:t xml:space="preserve"> </w:t>
      </w:r>
      <w:r w:rsidRPr="003F6841">
        <w:rPr>
          <w:sz w:val="22"/>
          <w:szCs w:val="22"/>
          <w:u w:val="single"/>
        </w:rPr>
        <w:t>a eliminácia</w:t>
      </w:r>
    </w:p>
    <w:p w:rsidR="007F0986" w:rsidRPr="00C563CB" w:rsidRDefault="003F6841" w:rsidP="007F0986">
      <w:pPr>
        <w:pStyle w:val="MGGTextLeft"/>
        <w:ind w:left="0" w:firstLine="0"/>
      </w:pPr>
      <w:r>
        <w:t xml:space="preserve">Eliminačný </w:t>
      </w:r>
      <w:r w:rsidR="007F0986" w:rsidRPr="00C563CB">
        <w:t xml:space="preserve">plazmatický polčas zodpovedá polčasu </w:t>
      </w:r>
      <w:proofErr w:type="spellStart"/>
      <w:r w:rsidR="007F0986" w:rsidRPr="00C563CB">
        <w:t>deplécie</w:t>
      </w:r>
      <w:proofErr w:type="spellEnd"/>
      <w:r w:rsidR="007F0986" w:rsidRPr="00C563CB">
        <w:t xml:space="preserve"> z tkanív,</w:t>
      </w:r>
      <w:r w:rsidR="007F0986" w:rsidRPr="00C563CB" w:rsidDel="00281937">
        <w:t xml:space="preserve"> </w:t>
      </w:r>
      <w:r w:rsidR="007F0986" w:rsidRPr="00C563CB">
        <w:t>ktorý je v rozmedzí od 2 do 4</w:t>
      </w:r>
      <w:r w:rsidR="009E78A9">
        <w:t> </w:t>
      </w:r>
      <w:r w:rsidR="007F0986" w:rsidRPr="00C563CB">
        <w:t>dní.</w:t>
      </w:r>
    </w:p>
    <w:p w:rsidR="007F0986" w:rsidRPr="00C563CB" w:rsidRDefault="007F0986" w:rsidP="007F0986">
      <w:pPr>
        <w:pStyle w:val="MGGTextLeft"/>
        <w:ind w:left="0" w:firstLine="0"/>
      </w:pPr>
    </w:p>
    <w:p w:rsidR="007F0986" w:rsidRDefault="007F0986" w:rsidP="007F0986">
      <w:pPr>
        <w:pStyle w:val="MGGTextLeft"/>
        <w:ind w:left="0" w:firstLine="0"/>
        <w:rPr>
          <w:szCs w:val="22"/>
        </w:rPr>
      </w:pPr>
      <w:r w:rsidRPr="00C563CB">
        <w:rPr>
          <w:szCs w:val="22"/>
        </w:rPr>
        <w:t xml:space="preserve">Približne 12 % intravenózne podanej dávky </w:t>
      </w:r>
      <w:proofErr w:type="spellStart"/>
      <w:r w:rsidRPr="00C563CB">
        <w:rPr>
          <w:szCs w:val="22"/>
        </w:rPr>
        <w:t>azitromycínu</w:t>
      </w:r>
      <w:proofErr w:type="spellEnd"/>
      <w:r w:rsidRPr="00C563CB">
        <w:rPr>
          <w:szCs w:val="22"/>
        </w:rPr>
        <w:t xml:space="preserve"> sa vylúči v nezmenenej forme močom v priebehu 3</w:t>
      </w:r>
      <w:r>
        <w:rPr>
          <w:szCs w:val="22"/>
        </w:rPr>
        <w:t xml:space="preserve"> dní. Zvlášť vysoká koncentrácia nezmeneného </w:t>
      </w:r>
      <w:proofErr w:type="spellStart"/>
      <w:r>
        <w:rPr>
          <w:szCs w:val="22"/>
        </w:rPr>
        <w:t>azitromycínu</w:t>
      </w:r>
      <w:proofErr w:type="spellEnd"/>
      <w:r>
        <w:rPr>
          <w:szCs w:val="22"/>
        </w:rPr>
        <w:t xml:space="preserve"> sa u ľudí nachádza v žlči.</w:t>
      </w:r>
    </w:p>
    <w:p w:rsidR="00D62571" w:rsidRDefault="007F0986" w:rsidP="007F0986">
      <w:pPr>
        <w:pStyle w:val="MGGTextLeft"/>
        <w:ind w:left="0" w:firstLine="0"/>
      </w:pPr>
      <w:r>
        <w:rPr>
          <w:szCs w:val="22"/>
        </w:rPr>
        <w:t xml:space="preserve">V žlči sa tiež našli metabolity </w:t>
      </w:r>
      <w:r w:rsidRPr="00C563CB">
        <w:t>vytvoren</w:t>
      </w:r>
      <w:r>
        <w:t xml:space="preserve">é </w:t>
      </w:r>
      <w:r w:rsidRPr="00C563CB">
        <w:t>N- a O-</w:t>
      </w:r>
      <w:proofErr w:type="spellStart"/>
      <w:r w:rsidRPr="00C563CB">
        <w:t>demetyláciou</w:t>
      </w:r>
      <w:proofErr w:type="spellEnd"/>
      <w:r w:rsidRPr="00C563CB">
        <w:t xml:space="preserve">, </w:t>
      </w:r>
      <w:proofErr w:type="spellStart"/>
      <w:r w:rsidRPr="00C563CB">
        <w:t>hydroxyláciou</w:t>
      </w:r>
      <w:proofErr w:type="spellEnd"/>
      <w:r w:rsidRPr="00C563CB">
        <w:t xml:space="preserve"> </w:t>
      </w:r>
      <w:proofErr w:type="spellStart"/>
      <w:r w:rsidRPr="00C563CB">
        <w:t>dezozamínového</w:t>
      </w:r>
      <w:proofErr w:type="spellEnd"/>
      <w:r w:rsidRPr="00C563CB">
        <w:t xml:space="preserve"> a</w:t>
      </w:r>
      <w:r w:rsidR="000B6082">
        <w:t> </w:t>
      </w:r>
      <w:proofErr w:type="spellStart"/>
      <w:r w:rsidRPr="00C563CB">
        <w:t>aglykónového</w:t>
      </w:r>
      <w:proofErr w:type="spellEnd"/>
      <w:r w:rsidRPr="00C563CB">
        <w:t xml:space="preserve"> kruhu a štiepením </w:t>
      </w:r>
      <w:proofErr w:type="spellStart"/>
      <w:r w:rsidRPr="00C563CB">
        <w:t>kladinózového</w:t>
      </w:r>
      <w:proofErr w:type="spellEnd"/>
      <w:r w:rsidRPr="00C563CB">
        <w:t xml:space="preserve"> </w:t>
      </w:r>
      <w:proofErr w:type="spellStart"/>
      <w:r w:rsidRPr="00C563CB">
        <w:t>konjugátu</w:t>
      </w:r>
      <w:proofErr w:type="spellEnd"/>
      <w:r w:rsidRPr="00C563CB">
        <w:t>.</w:t>
      </w:r>
      <w:r>
        <w:t xml:space="preserve"> Porovnanie výsledkov kvapalinovej chromatografie a mikrobiologickej analýzy preukázali, že </w:t>
      </w:r>
      <w:proofErr w:type="spellStart"/>
      <w:r>
        <w:t>metabolity</w:t>
      </w:r>
      <w:proofErr w:type="spellEnd"/>
      <w:r>
        <w:t xml:space="preserve"> </w:t>
      </w:r>
      <w:proofErr w:type="spellStart"/>
      <w:r>
        <w:t>azitromycínu</w:t>
      </w:r>
      <w:proofErr w:type="spellEnd"/>
      <w:r>
        <w:t xml:space="preserve"> nie sú mikrobiologicky aktívne.</w:t>
      </w:r>
    </w:p>
    <w:p w:rsidR="003F6841" w:rsidRDefault="003F6841" w:rsidP="007F0986">
      <w:pPr>
        <w:pStyle w:val="MGGTextLeft"/>
        <w:ind w:left="0" w:firstLine="0"/>
      </w:pPr>
    </w:p>
    <w:p w:rsidR="007F0986" w:rsidRPr="00C563CB" w:rsidRDefault="00D62571" w:rsidP="007F0986">
      <w:pPr>
        <w:pStyle w:val="MGGTextLeft"/>
        <w:ind w:left="0" w:firstLine="0"/>
      </w:pPr>
      <w:r>
        <w:t xml:space="preserve">Skúšky na zvieratách preukázali vysokú koncentráciu </w:t>
      </w:r>
      <w:proofErr w:type="spellStart"/>
      <w:r>
        <w:t>azitromycínu</w:t>
      </w:r>
      <w:proofErr w:type="spellEnd"/>
      <w:r>
        <w:t xml:space="preserve"> vo </w:t>
      </w:r>
      <w:proofErr w:type="spellStart"/>
      <w:r>
        <w:t>fagocytoch</w:t>
      </w:r>
      <w:proofErr w:type="spellEnd"/>
      <w:r>
        <w:t xml:space="preserve">. Taktiež sa potvrdilo, že sa počas aktívnej fagocytózy uvoľňujú vyššie koncentrácie </w:t>
      </w:r>
      <w:proofErr w:type="spellStart"/>
      <w:r>
        <w:t>azitromycínu</w:t>
      </w:r>
      <w:proofErr w:type="spellEnd"/>
      <w:r>
        <w:t xml:space="preserve"> z </w:t>
      </w:r>
      <w:proofErr w:type="spellStart"/>
      <w:r>
        <w:t>inaktívnych</w:t>
      </w:r>
      <w:proofErr w:type="spellEnd"/>
      <w:r>
        <w:t xml:space="preserve"> </w:t>
      </w:r>
      <w:proofErr w:type="spellStart"/>
      <w:r>
        <w:t>fagocytov</w:t>
      </w:r>
      <w:proofErr w:type="spellEnd"/>
      <w:r>
        <w:t xml:space="preserve">. Výsledky na zvieracích modeloch poukazujú na to, že sa vysoké koncentrácie </w:t>
      </w:r>
      <w:proofErr w:type="spellStart"/>
      <w:r>
        <w:t>azitromycínu</w:t>
      </w:r>
      <w:proofErr w:type="spellEnd"/>
      <w:r>
        <w:t xml:space="preserve"> transportujú na miesto infekcie.</w:t>
      </w:r>
      <w:r w:rsidR="007F0986" w:rsidRPr="00C563CB">
        <w:t xml:space="preserve"> </w:t>
      </w:r>
    </w:p>
    <w:p w:rsidR="007F0986" w:rsidRDefault="007F0986" w:rsidP="007F0986">
      <w:pPr>
        <w:rPr>
          <w:i/>
          <w:sz w:val="22"/>
          <w:szCs w:val="22"/>
        </w:rPr>
      </w:pPr>
    </w:p>
    <w:p w:rsidR="00A13222" w:rsidRDefault="00A13222" w:rsidP="00D62571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5.3</w:t>
      </w:r>
      <w:r w:rsidR="00D62571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Predklinické údaje o bezpečnosti </w:t>
      </w:r>
    </w:p>
    <w:p w:rsidR="005F1445" w:rsidRDefault="005F1445" w:rsidP="00D62571">
      <w:pPr>
        <w:tabs>
          <w:tab w:val="left" w:pos="567"/>
        </w:tabs>
        <w:rPr>
          <w:b/>
          <w:sz w:val="22"/>
          <w:szCs w:val="22"/>
        </w:rPr>
      </w:pPr>
    </w:p>
    <w:p w:rsidR="005F1445" w:rsidRDefault="005F1445" w:rsidP="00222101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Fosfolipidóza</w:t>
      </w:r>
      <w:proofErr w:type="spellEnd"/>
      <w:r>
        <w:rPr>
          <w:sz w:val="22"/>
          <w:szCs w:val="22"/>
        </w:rPr>
        <w:t xml:space="preserve"> (intracelulárna akumulácia </w:t>
      </w:r>
      <w:proofErr w:type="spellStart"/>
      <w:r>
        <w:rPr>
          <w:sz w:val="22"/>
          <w:szCs w:val="22"/>
        </w:rPr>
        <w:t>fosfolipidov</w:t>
      </w:r>
      <w:proofErr w:type="spellEnd"/>
      <w:r>
        <w:rPr>
          <w:sz w:val="22"/>
          <w:szCs w:val="22"/>
        </w:rPr>
        <w:t xml:space="preserve">) sa pozorovala v niekoľkých tkanivách (napr. oka, miechových nervových uzlín, pečene, žlčníka, obličiek, sleziny a/alebo pankreasu) myší, potkanov a psov, ktorí dostávali opakované dávky </w:t>
      </w:r>
      <w:proofErr w:type="spellStart"/>
      <w:r>
        <w:rPr>
          <w:sz w:val="22"/>
          <w:szCs w:val="22"/>
        </w:rPr>
        <w:t>azitromycínu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Fosfolipidóza</w:t>
      </w:r>
      <w:proofErr w:type="spellEnd"/>
      <w:r>
        <w:rPr>
          <w:sz w:val="22"/>
          <w:szCs w:val="22"/>
        </w:rPr>
        <w:t xml:space="preserve"> sa pozorovala v podobnom rozsahu v tkanivách novonarodených potkanov a psov. Zistilo sa, že tento účinok je reverzibilný po ukončení liečby </w:t>
      </w:r>
      <w:proofErr w:type="spellStart"/>
      <w:r>
        <w:rPr>
          <w:sz w:val="22"/>
          <w:szCs w:val="22"/>
        </w:rPr>
        <w:t>azitromycínom</w:t>
      </w:r>
      <w:proofErr w:type="spellEnd"/>
      <w:r>
        <w:rPr>
          <w:sz w:val="22"/>
          <w:szCs w:val="22"/>
        </w:rPr>
        <w:t>. Význam tohto zistenia pre zvieratá a človeka nie je známy.</w:t>
      </w:r>
      <w:r w:rsidRPr="00222101" w:rsidDel="005F1445">
        <w:rPr>
          <w:sz w:val="22"/>
          <w:szCs w:val="22"/>
        </w:rPr>
        <w:t xml:space="preserve"> </w:t>
      </w:r>
    </w:p>
    <w:p w:rsidR="005F1445" w:rsidRPr="005D4221" w:rsidRDefault="005F1445" w:rsidP="007968CD">
      <w:pPr>
        <w:tabs>
          <w:tab w:val="left" w:pos="567"/>
        </w:tabs>
        <w:rPr>
          <w:sz w:val="22"/>
          <w:szCs w:val="22"/>
        </w:rPr>
      </w:pPr>
    </w:p>
    <w:p w:rsidR="006C27AF" w:rsidRPr="005D4221" w:rsidRDefault="005F1445" w:rsidP="005D4221">
      <w:pPr>
        <w:tabs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Karcin</w:t>
      </w:r>
      <w:r w:rsidR="006C27AF" w:rsidRPr="005D4221">
        <w:rPr>
          <w:i/>
          <w:sz w:val="22"/>
          <w:szCs w:val="22"/>
        </w:rPr>
        <w:t>ogénny potenciál</w:t>
      </w:r>
    </w:p>
    <w:p w:rsidR="006C27AF" w:rsidRPr="005D4221" w:rsidRDefault="006C27AF" w:rsidP="006C27AF">
      <w:pPr>
        <w:rPr>
          <w:sz w:val="22"/>
          <w:szCs w:val="22"/>
        </w:rPr>
      </w:pPr>
      <w:r w:rsidRPr="005D4221">
        <w:rPr>
          <w:sz w:val="22"/>
          <w:szCs w:val="22"/>
        </w:rPr>
        <w:t>Neuskutočnili sa dlhodobé štúdie na zvieratách, ktoré by hodnotili karcinogénny potenciál</w:t>
      </w:r>
      <w:r w:rsidR="00895457">
        <w:rPr>
          <w:sz w:val="22"/>
          <w:szCs w:val="22"/>
        </w:rPr>
        <w:t>, keďže liek je indikovaný len na krátkodobú liečbu</w:t>
      </w:r>
      <w:r w:rsidR="003C215C">
        <w:rPr>
          <w:sz w:val="22"/>
          <w:szCs w:val="22"/>
        </w:rPr>
        <w:t>.</w:t>
      </w:r>
      <w:r w:rsidR="00521AEA">
        <w:rPr>
          <w:sz w:val="22"/>
          <w:szCs w:val="22"/>
        </w:rPr>
        <w:t xml:space="preserve"> </w:t>
      </w:r>
      <w:r w:rsidR="003C215C">
        <w:rPr>
          <w:sz w:val="22"/>
          <w:szCs w:val="22"/>
        </w:rPr>
        <w:t>Nevyskytli sa žiadne znaky charakteristické pre karcinogénnu aktivitu</w:t>
      </w:r>
      <w:r w:rsidR="00895457">
        <w:rPr>
          <w:sz w:val="22"/>
          <w:szCs w:val="22"/>
        </w:rPr>
        <w:t>.</w:t>
      </w:r>
      <w:r w:rsidRPr="005D4221">
        <w:rPr>
          <w:sz w:val="22"/>
          <w:szCs w:val="22"/>
        </w:rPr>
        <w:t xml:space="preserve"> </w:t>
      </w:r>
    </w:p>
    <w:p w:rsidR="006C27AF" w:rsidRPr="005D4221" w:rsidRDefault="006C27AF" w:rsidP="006C27AF">
      <w:pPr>
        <w:rPr>
          <w:sz w:val="22"/>
          <w:szCs w:val="22"/>
        </w:rPr>
      </w:pPr>
    </w:p>
    <w:p w:rsidR="006C27AF" w:rsidRPr="005D4221" w:rsidRDefault="006C27AF" w:rsidP="006C27AF">
      <w:pPr>
        <w:rPr>
          <w:i/>
          <w:sz w:val="22"/>
          <w:szCs w:val="22"/>
        </w:rPr>
      </w:pPr>
      <w:r w:rsidRPr="005D4221">
        <w:rPr>
          <w:i/>
          <w:sz w:val="22"/>
          <w:szCs w:val="22"/>
        </w:rPr>
        <w:t>Mutagénny potenciál</w:t>
      </w:r>
    </w:p>
    <w:p w:rsidR="006C27AF" w:rsidRPr="005D4221" w:rsidRDefault="006C27AF" w:rsidP="006C27AF">
      <w:pPr>
        <w:rPr>
          <w:sz w:val="22"/>
          <w:szCs w:val="22"/>
        </w:rPr>
      </w:pPr>
      <w:r w:rsidRPr="005D4221">
        <w:rPr>
          <w:sz w:val="22"/>
          <w:szCs w:val="22"/>
        </w:rPr>
        <w:t xml:space="preserve">V </w:t>
      </w:r>
      <w:r w:rsidRPr="005D4221">
        <w:rPr>
          <w:i/>
          <w:sz w:val="22"/>
          <w:szCs w:val="22"/>
        </w:rPr>
        <w:t xml:space="preserve">in </w:t>
      </w:r>
      <w:proofErr w:type="spellStart"/>
      <w:r w:rsidRPr="005D4221">
        <w:rPr>
          <w:i/>
          <w:sz w:val="22"/>
          <w:szCs w:val="22"/>
        </w:rPr>
        <w:t>vivo</w:t>
      </w:r>
      <w:proofErr w:type="spellEnd"/>
      <w:r w:rsidRPr="005D4221">
        <w:rPr>
          <w:sz w:val="22"/>
          <w:szCs w:val="22"/>
        </w:rPr>
        <w:t xml:space="preserve"> a </w:t>
      </w:r>
      <w:r w:rsidRPr="005D4221">
        <w:rPr>
          <w:i/>
          <w:sz w:val="22"/>
          <w:szCs w:val="22"/>
        </w:rPr>
        <w:t>in vitro</w:t>
      </w:r>
      <w:r w:rsidRPr="005D4221">
        <w:rPr>
          <w:sz w:val="22"/>
          <w:szCs w:val="22"/>
        </w:rPr>
        <w:t xml:space="preserve"> testovacích modeloch sa nedokázali možné genetické ani chromozómové mutácie.</w:t>
      </w:r>
    </w:p>
    <w:p w:rsidR="006C27AF" w:rsidRPr="005D4221" w:rsidRDefault="006C27AF" w:rsidP="006C27AF">
      <w:pPr>
        <w:rPr>
          <w:sz w:val="22"/>
          <w:szCs w:val="22"/>
        </w:rPr>
      </w:pPr>
    </w:p>
    <w:p w:rsidR="006C27AF" w:rsidRPr="005D4221" w:rsidRDefault="006C27AF" w:rsidP="006C27AF">
      <w:pPr>
        <w:rPr>
          <w:i/>
          <w:sz w:val="22"/>
          <w:szCs w:val="22"/>
        </w:rPr>
      </w:pPr>
      <w:r w:rsidRPr="005D4221">
        <w:rPr>
          <w:i/>
          <w:sz w:val="22"/>
          <w:szCs w:val="22"/>
        </w:rPr>
        <w:t>Reprodukčná toxicita</w:t>
      </w:r>
    </w:p>
    <w:p w:rsidR="006C27AF" w:rsidRPr="005D4221" w:rsidRDefault="006C27AF" w:rsidP="006C27AF">
      <w:pPr>
        <w:rPr>
          <w:sz w:val="22"/>
          <w:szCs w:val="22"/>
        </w:rPr>
      </w:pPr>
      <w:r w:rsidRPr="005D4221">
        <w:rPr>
          <w:sz w:val="22"/>
          <w:szCs w:val="22"/>
        </w:rPr>
        <w:t>Nepozorovali sa žiadne teratogénne účinky v štúdiách reprodukčnej toxicity u</w:t>
      </w:r>
      <w:r w:rsidR="003C215C">
        <w:rPr>
          <w:sz w:val="22"/>
          <w:szCs w:val="22"/>
        </w:rPr>
        <w:t> myší a</w:t>
      </w:r>
      <w:r w:rsidRPr="005D4221">
        <w:rPr>
          <w:sz w:val="22"/>
          <w:szCs w:val="22"/>
        </w:rPr>
        <w:t> potkanov. U</w:t>
      </w:r>
      <w:r w:rsidR="005F1445">
        <w:rPr>
          <w:sz w:val="22"/>
          <w:szCs w:val="22"/>
        </w:rPr>
        <w:t> </w:t>
      </w:r>
      <w:r w:rsidRPr="005D4221">
        <w:rPr>
          <w:sz w:val="22"/>
          <w:szCs w:val="22"/>
        </w:rPr>
        <w:t xml:space="preserve">potkanov viedli dávky </w:t>
      </w:r>
      <w:proofErr w:type="spellStart"/>
      <w:r w:rsidRPr="005D4221">
        <w:rPr>
          <w:sz w:val="22"/>
          <w:szCs w:val="22"/>
        </w:rPr>
        <w:t>azitromycínu</w:t>
      </w:r>
      <w:proofErr w:type="spellEnd"/>
      <w:r w:rsidRPr="005D4221">
        <w:rPr>
          <w:sz w:val="22"/>
          <w:szCs w:val="22"/>
        </w:rPr>
        <w:t xml:space="preserve"> 100 a 200 mg/kg telesnej hmotnosti/deň k miernemu spomaleniu fetálnej osifikácie a k prírastku na hmotnosti matky. </w:t>
      </w:r>
    </w:p>
    <w:p w:rsidR="009E78A9" w:rsidRDefault="009E78A9" w:rsidP="00D67E7F">
      <w:pPr>
        <w:rPr>
          <w:sz w:val="22"/>
          <w:szCs w:val="22"/>
        </w:rPr>
      </w:pPr>
    </w:p>
    <w:p w:rsidR="006C27AF" w:rsidRPr="003D2C5A" w:rsidRDefault="006C27AF" w:rsidP="00D67E7F">
      <w:pPr>
        <w:rPr>
          <w:sz w:val="22"/>
          <w:szCs w:val="22"/>
        </w:rPr>
      </w:pPr>
    </w:p>
    <w:p w:rsidR="00A13222" w:rsidRPr="003D2C5A" w:rsidRDefault="00A13222" w:rsidP="004C2F09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6.</w:t>
      </w:r>
      <w:r w:rsidR="004C2F09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FARMACEUTICKÉ INFORMÁCIE </w:t>
      </w:r>
    </w:p>
    <w:p w:rsidR="00D67E7F" w:rsidRPr="003D2C5A" w:rsidRDefault="00D67E7F" w:rsidP="00A13222">
      <w:pPr>
        <w:rPr>
          <w:b/>
          <w:sz w:val="22"/>
          <w:szCs w:val="22"/>
        </w:rPr>
      </w:pPr>
    </w:p>
    <w:p w:rsidR="00A13222" w:rsidRPr="003D2C5A" w:rsidRDefault="00A13222" w:rsidP="004C2F09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6.1</w:t>
      </w:r>
      <w:r w:rsidR="004C2F09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Zoznam pomocných látok </w:t>
      </w:r>
    </w:p>
    <w:p w:rsidR="00D67E7F" w:rsidRPr="003D2C5A" w:rsidRDefault="00D67E7F" w:rsidP="00A13222">
      <w:pPr>
        <w:rPr>
          <w:b/>
          <w:sz w:val="22"/>
          <w:szCs w:val="22"/>
        </w:rPr>
      </w:pPr>
    </w:p>
    <w:p w:rsidR="00D67E7F" w:rsidRPr="003D2C5A" w:rsidRDefault="005C7C51" w:rsidP="00A13222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2332B1">
        <w:rPr>
          <w:sz w:val="22"/>
          <w:szCs w:val="22"/>
        </w:rPr>
        <w:t xml:space="preserve">aktóza </w:t>
      </w:r>
    </w:p>
    <w:p w:rsidR="00D67E7F" w:rsidRPr="003D2C5A" w:rsidRDefault="009B7BE8" w:rsidP="00A13222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2332B1">
        <w:rPr>
          <w:sz w:val="22"/>
          <w:szCs w:val="22"/>
        </w:rPr>
        <w:t>šeničný škrob</w:t>
      </w:r>
    </w:p>
    <w:p w:rsidR="00D67E7F" w:rsidRPr="003D2C5A" w:rsidRDefault="00EA3419" w:rsidP="00A1322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stearan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</w:p>
    <w:p w:rsidR="00D67E7F" w:rsidRPr="003D2C5A" w:rsidRDefault="00EA3419" w:rsidP="00A1322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laurylsíran</w:t>
      </w:r>
      <w:proofErr w:type="spellEnd"/>
      <w:r>
        <w:rPr>
          <w:sz w:val="22"/>
          <w:szCs w:val="22"/>
        </w:rPr>
        <w:t xml:space="preserve"> sodný</w:t>
      </w:r>
    </w:p>
    <w:p w:rsidR="00222101" w:rsidRDefault="00222101" w:rsidP="00A13222">
      <w:pPr>
        <w:rPr>
          <w:i/>
          <w:sz w:val="22"/>
          <w:szCs w:val="22"/>
        </w:rPr>
      </w:pPr>
    </w:p>
    <w:p w:rsidR="00D67E7F" w:rsidRPr="002332B1" w:rsidRDefault="00D67E7F" w:rsidP="00A13222">
      <w:pPr>
        <w:rPr>
          <w:i/>
          <w:sz w:val="22"/>
          <w:szCs w:val="22"/>
        </w:rPr>
      </w:pPr>
      <w:r w:rsidRPr="002332B1">
        <w:rPr>
          <w:i/>
          <w:sz w:val="22"/>
          <w:szCs w:val="22"/>
        </w:rPr>
        <w:t>Zloženie tvrdej želatínovej kapsuly</w:t>
      </w:r>
    </w:p>
    <w:p w:rsidR="00D67E7F" w:rsidRPr="003D2C5A" w:rsidRDefault="005F1445" w:rsidP="00A1322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</w:t>
      </w:r>
      <w:r w:rsidR="00D67E7F" w:rsidRPr="003D2C5A">
        <w:rPr>
          <w:sz w:val="22"/>
          <w:szCs w:val="22"/>
        </w:rPr>
        <w:t>zorubín</w:t>
      </w:r>
      <w:proofErr w:type="spellEnd"/>
      <w:r>
        <w:rPr>
          <w:sz w:val="22"/>
          <w:szCs w:val="22"/>
        </w:rPr>
        <w:t xml:space="preserve"> (</w:t>
      </w:r>
      <w:r w:rsidR="00D67E7F" w:rsidRPr="003D2C5A">
        <w:rPr>
          <w:sz w:val="22"/>
          <w:szCs w:val="22"/>
        </w:rPr>
        <w:t>E122</w:t>
      </w:r>
      <w:r>
        <w:rPr>
          <w:sz w:val="22"/>
          <w:szCs w:val="22"/>
        </w:rPr>
        <w:t>)</w:t>
      </w:r>
    </w:p>
    <w:p w:rsidR="00D67E7F" w:rsidRPr="003D2C5A" w:rsidRDefault="009B7BE8" w:rsidP="00A13222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D67E7F" w:rsidRPr="003D2C5A">
        <w:rPr>
          <w:sz w:val="22"/>
          <w:szCs w:val="22"/>
        </w:rPr>
        <w:t xml:space="preserve">xid </w:t>
      </w:r>
      <w:proofErr w:type="spellStart"/>
      <w:r w:rsidR="00D67E7F" w:rsidRPr="003D2C5A">
        <w:rPr>
          <w:sz w:val="22"/>
          <w:szCs w:val="22"/>
        </w:rPr>
        <w:t>titaničitý</w:t>
      </w:r>
      <w:proofErr w:type="spellEnd"/>
      <w:r w:rsidR="005F1445">
        <w:rPr>
          <w:sz w:val="22"/>
          <w:szCs w:val="22"/>
        </w:rPr>
        <w:t xml:space="preserve"> (</w:t>
      </w:r>
      <w:r w:rsidR="00D67E7F" w:rsidRPr="003D2C5A">
        <w:rPr>
          <w:sz w:val="22"/>
          <w:szCs w:val="22"/>
        </w:rPr>
        <w:t>E171</w:t>
      </w:r>
      <w:r w:rsidR="005F1445">
        <w:rPr>
          <w:sz w:val="22"/>
          <w:szCs w:val="22"/>
        </w:rPr>
        <w:t>)</w:t>
      </w:r>
    </w:p>
    <w:p w:rsidR="00D67E7F" w:rsidRPr="003D2C5A" w:rsidRDefault="009B7BE8" w:rsidP="00A13222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D67E7F" w:rsidRPr="003D2C5A">
        <w:rPr>
          <w:sz w:val="22"/>
          <w:szCs w:val="22"/>
        </w:rPr>
        <w:t>elatína</w:t>
      </w:r>
    </w:p>
    <w:p w:rsidR="00D67E7F" w:rsidRPr="003D2C5A" w:rsidRDefault="00D67E7F" w:rsidP="00A13222">
      <w:pPr>
        <w:rPr>
          <w:sz w:val="22"/>
          <w:szCs w:val="22"/>
        </w:rPr>
      </w:pPr>
    </w:p>
    <w:p w:rsidR="00A13222" w:rsidRPr="003D2C5A" w:rsidRDefault="00A13222" w:rsidP="004C2F09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6.2</w:t>
      </w:r>
      <w:r w:rsidR="004C2F09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Inkompatibility </w:t>
      </w:r>
    </w:p>
    <w:p w:rsidR="00D67E7F" w:rsidRPr="003D2C5A" w:rsidRDefault="00D67E7F" w:rsidP="00A13222">
      <w:pPr>
        <w:rPr>
          <w:b/>
          <w:sz w:val="22"/>
          <w:szCs w:val="22"/>
        </w:rPr>
      </w:pPr>
    </w:p>
    <w:p w:rsidR="00A13222" w:rsidRPr="003D2C5A" w:rsidRDefault="00A13222" w:rsidP="00A13222">
      <w:pPr>
        <w:rPr>
          <w:sz w:val="22"/>
          <w:szCs w:val="22"/>
        </w:rPr>
      </w:pPr>
      <w:r w:rsidRPr="003D2C5A">
        <w:rPr>
          <w:sz w:val="22"/>
          <w:szCs w:val="22"/>
        </w:rPr>
        <w:t>N</w:t>
      </w:r>
      <w:r w:rsidR="004C2F09">
        <w:rPr>
          <w:sz w:val="22"/>
          <w:szCs w:val="22"/>
        </w:rPr>
        <w:t>eaplikovateľné</w:t>
      </w:r>
      <w:r w:rsidRPr="003D2C5A">
        <w:rPr>
          <w:sz w:val="22"/>
          <w:szCs w:val="22"/>
        </w:rPr>
        <w:t xml:space="preserve">. </w:t>
      </w:r>
    </w:p>
    <w:p w:rsidR="00A13222" w:rsidRPr="003D2C5A" w:rsidRDefault="00A13222" w:rsidP="00A13222">
      <w:pPr>
        <w:rPr>
          <w:sz w:val="22"/>
          <w:szCs w:val="22"/>
        </w:rPr>
      </w:pPr>
    </w:p>
    <w:p w:rsidR="00A13222" w:rsidRPr="003D2C5A" w:rsidRDefault="00A13222" w:rsidP="004C2F09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6.3</w:t>
      </w:r>
      <w:r w:rsidR="004C2F09">
        <w:rPr>
          <w:b/>
          <w:sz w:val="22"/>
          <w:szCs w:val="22"/>
        </w:rPr>
        <w:tab/>
      </w:r>
      <w:r w:rsidRPr="003D2C5A">
        <w:rPr>
          <w:b/>
          <w:sz w:val="22"/>
          <w:szCs w:val="22"/>
        </w:rPr>
        <w:t xml:space="preserve">Čas použiteľnosti </w:t>
      </w:r>
    </w:p>
    <w:p w:rsidR="00D67E7F" w:rsidRPr="003D2C5A" w:rsidRDefault="00D67E7F" w:rsidP="00A13222">
      <w:pPr>
        <w:rPr>
          <w:b/>
          <w:sz w:val="22"/>
          <w:szCs w:val="22"/>
        </w:rPr>
      </w:pPr>
    </w:p>
    <w:p w:rsidR="00A13222" w:rsidRPr="003D2C5A" w:rsidRDefault="005937B6" w:rsidP="00A13222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D67E7F" w:rsidRPr="003D2C5A">
        <w:rPr>
          <w:sz w:val="22"/>
          <w:szCs w:val="22"/>
        </w:rPr>
        <w:t xml:space="preserve"> roky</w:t>
      </w:r>
    </w:p>
    <w:p w:rsidR="00A13222" w:rsidRPr="003D2C5A" w:rsidRDefault="00A13222" w:rsidP="00A13222">
      <w:pPr>
        <w:rPr>
          <w:sz w:val="22"/>
          <w:szCs w:val="22"/>
        </w:rPr>
      </w:pPr>
    </w:p>
    <w:p w:rsidR="00A13222" w:rsidRPr="003D2C5A" w:rsidRDefault="00A13222" w:rsidP="004C2F09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6.4</w:t>
      </w:r>
      <w:r w:rsidR="004C2F09">
        <w:rPr>
          <w:b/>
          <w:sz w:val="22"/>
          <w:szCs w:val="22"/>
        </w:rPr>
        <w:tab/>
      </w:r>
      <w:r w:rsidR="00D67E7F" w:rsidRPr="003D2C5A">
        <w:rPr>
          <w:b/>
          <w:sz w:val="22"/>
          <w:szCs w:val="22"/>
        </w:rPr>
        <w:t>Špeciálna u</w:t>
      </w:r>
      <w:r w:rsidRPr="003D2C5A">
        <w:rPr>
          <w:b/>
          <w:sz w:val="22"/>
          <w:szCs w:val="22"/>
        </w:rPr>
        <w:t xml:space="preserve">pozornenia na </w:t>
      </w:r>
      <w:r w:rsidR="00D67E7F" w:rsidRPr="003D2C5A">
        <w:rPr>
          <w:b/>
          <w:sz w:val="22"/>
          <w:szCs w:val="22"/>
        </w:rPr>
        <w:t>uchovávanie</w:t>
      </w:r>
      <w:r w:rsidRPr="003D2C5A">
        <w:rPr>
          <w:b/>
          <w:sz w:val="22"/>
          <w:szCs w:val="22"/>
        </w:rPr>
        <w:t xml:space="preserve"> </w:t>
      </w:r>
    </w:p>
    <w:p w:rsidR="00D67E7F" w:rsidRPr="003D2C5A" w:rsidRDefault="00D67E7F" w:rsidP="00A13222">
      <w:pPr>
        <w:rPr>
          <w:b/>
          <w:sz w:val="22"/>
          <w:szCs w:val="22"/>
        </w:rPr>
      </w:pPr>
    </w:p>
    <w:p w:rsidR="00A13222" w:rsidRPr="003D2C5A" w:rsidRDefault="00D67E7F" w:rsidP="00A13222">
      <w:pPr>
        <w:rPr>
          <w:sz w:val="22"/>
          <w:szCs w:val="22"/>
        </w:rPr>
      </w:pPr>
      <w:r w:rsidRPr="003D2C5A">
        <w:rPr>
          <w:sz w:val="22"/>
          <w:szCs w:val="22"/>
        </w:rPr>
        <w:t>U</w:t>
      </w:r>
      <w:r w:rsidR="00A13222" w:rsidRPr="003D2C5A">
        <w:rPr>
          <w:sz w:val="22"/>
          <w:szCs w:val="22"/>
        </w:rPr>
        <w:t xml:space="preserve">chovávajte pri teplote do </w:t>
      </w:r>
      <w:r w:rsidRPr="003D2C5A">
        <w:rPr>
          <w:sz w:val="22"/>
          <w:szCs w:val="22"/>
        </w:rPr>
        <w:t>25</w:t>
      </w:r>
      <w:r w:rsidR="00A15EA2">
        <w:rPr>
          <w:sz w:val="22"/>
          <w:szCs w:val="22"/>
        </w:rPr>
        <w:t xml:space="preserve"> </w:t>
      </w:r>
      <w:r w:rsidRPr="003D2C5A">
        <w:rPr>
          <w:sz w:val="22"/>
          <w:szCs w:val="22"/>
        </w:rPr>
        <w:t>°C.</w:t>
      </w:r>
    </w:p>
    <w:p w:rsidR="00A13222" w:rsidRPr="003D2C5A" w:rsidRDefault="00A13222" w:rsidP="00A13222">
      <w:pPr>
        <w:rPr>
          <w:sz w:val="22"/>
          <w:szCs w:val="22"/>
        </w:rPr>
      </w:pPr>
    </w:p>
    <w:p w:rsidR="00A13222" w:rsidRPr="003D2C5A" w:rsidRDefault="00A13222" w:rsidP="004C2F09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6.5</w:t>
      </w:r>
      <w:r w:rsidR="004C2F09">
        <w:rPr>
          <w:b/>
          <w:sz w:val="22"/>
          <w:szCs w:val="22"/>
        </w:rPr>
        <w:tab/>
      </w:r>
      <w:r w:rsidR="00D67E7F" w:rsidRPr="003D2C5A">
        <w:rPr>
          <w:b/>
          <w:sz w:val="22"/>
          <w:szCs w:val="22"/>
        </w:rPr>
        <w:t>Druh obalu a obsah</w:t>
      </w:r>
      <w:r w:rsidRPr="003D2C5A">
        <w:rPr>
          <w:b/>
          <w:sz w:val="22"/>
          <w:szCs w:val="22"/>
        </w:rPr>
        <w:t xml:space="preserve"> balenia </w:t>
      </w:r>
    </w:p>
    <w:p w:rsidR="00D67E7F" w:rsidRPr="003D2C5A" w:rsidRDefault="00D67E7F" w:rsidP="00A13222">
      <w:pPr>
        <w:rPr>
          <w:b/>
          <w:sz w:val="22"/>
          <w:szCs w:val="22"/>
        </w:rPr>
      </w:pPr>
    </w:p>
    <w:p w:rsidR="00A13222" w:rsidRPr="003D2C5A" w:rsidRDefault="00A13222" w:rsidP="00A13222">
      <w:pPr>
        <w:rPr>
          <w:sz w:val="22"/>
          <w:szCs w:val="22"/>
        </w:rPr>
      </w:pPr>
      <w:r w:rsidRPr="003D2C5A">
        <w:rPr>
          <w:sz w:val="22"/>
          <w:szCs w:val="22"/>
        </w:rPr>
        <w:t>PVC/</w:t>
      </w:r>
      <w:proofErr w:type="spellStart"/>
      <w:r w:rsidRPr="003D2C5A">
        <w:rPr>
          <w:sz w:val="22"/>
          <w:szCs w:val="22"/>
        </w:rPr>
        <w:t>Al</w:t>
      </w:r>
      <w:r w:rsidR="003F6841">
        <w:rPr>
          <w:sz w:val="22"/>
          <w:szCs w:val="22"/>
        </w:rPr>
        <w:t>u</w:t>
      </w:r>
      <w:proofErr w:type="spellEnd"/>
      <w:r w:rsidRPr="003D2C5A">
        <w:rPr>
          <w:sz w:val="22"/>
          <w:szCs w:val="22"/>
        </w:rPr>
        <w:t xml:space="preserve"> </w:t>
      </w:r>
      <w:proofErr w:type="spellStart"/>
      <w:r w:rsidRPr="003D2C5A">
        <w:rPr>
          <w:sz w:val="22"/>
          <w:szCs w:val="22"/>
        </w:rPr>
        <w:t>blister</w:t>
      </w:r>
      <w:proofErr w:type="spellEnd"/>
      <w:r w:rsidR="004C2F09">
        <w:rPr>
          <w:sz w:val="22"/>
          <w:szCs w:val="22"/>
        </w:rPr>
        <w:t>.</w:t>
      </w:r>
      <w:r w:rsidR="00D67E7F" w:rsidRPr="003D2C5A">
        <w:rPr>
          <w:sz w:val="22"/>
          <w:szCs w:val="22"/>
        </w:rPr>
        <w:t xml:space="preserve"> </w:t>
      </w:r>
    </w:p>
    <w:p w:rsidR="00A13222" w:rsidRDefault="00A13222" w:rsidP="00A13222">
      <w:pPr>
        <w:rPr>
          <w:sz w:val="22"/>
          <w:szCs w:val="22"/>
        </w:rPr>
      </w:pPr>
      <w:r w:rsidRPr="003D2C5A">
        <w:rPr>
          <w:sz w:val="22"/>
          <w:szCs w:val="22"/>
        </w:rPr>
        <w:t xml:space="preserve">Balenie: 6 alebo 8 kapsúl </w:t>
      </w:r>
    </w:p>
    <w:p w:rsidR="003F6841" w:rsidRDefault="003F6841" w:rsidP="00A13222">
      <w:pPr>
        <w:rPr>
          <w:sz w:val="22"/>
          <w:szCs w:val="22"/>
        </w:rPr>
      </w:pPr>
    </w:p>
    <w:p w:rsidR="003F6841" w:rsidRPr="003D2C5A" w:rsidRDefault="003F6841" w:rsidP="00A13222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984489">
        <w:rPr>
          <w:sz w:val="22"/>
          <w:szCs w:val="22"/>
        </w:rPr>
        <w:t xml:space="preserve">a trh nemusia byť </w:t>
      </w:r>
      <w:r w:rsidR="003C215C">
        <w:rPr>
          <w:sz w:val="22"/>
          <w:szCs w:val="22"/>
        </w:rPr>
        <w:t>uvedené</w:t>
      </w:r>
      <w:r w:rsidR="005F1445">
        <w:rPr>
          <w:sz w:val="22"/>
          <w:szCs w:val="22"/>
        </w:rPr>
        <w:t xml:space="preserve"> </w:t>
      </w:r>
      <w:r>
        <w:rPr>
          <w:sz w:val="22"/>
          <w:szCs w:val="22"/>
        </w:rPr>
        <w:t>všetky veľkosti balenia.</w:t>
      </w:r>
    </w:p>
    <w:p w:rsidR="00DB303B" w:rsidRPr="003D2C5A" w:rsidRDefault="00DB303B" w:rsidP="00A13222">
      <w:pPr>
        <w:rPr>
          <w:sz w:val="22"/>
          <w:szCs w:val="22"/>
        </w:rPr>
      </w:pPr>
    </w:p>
    <w:p w:rsidR="00DB303B" w:rsidRPr="003D2C5A" w:rsidRDefault="00A13222" w:rsidP="005C7C51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6.6</w:t>
      </w:r>
      <w:r w:rsidR="005C7C51">
        <w:rPr>
          <w:b/>
          <w:sz w:val="22"/>
          <w:szCs w:val="22"/>
        </w:rPr>
        <w:tab/>
      </w:r>
      <w:r w:rsidR="00DB303B" w:rsidRPr="003D2C5A">
        <w:rPr>
          <w:b/>
          <w:sz w:val="22"/>
          <w:szCs w:val="22"/>
        </w:rPr>
        <w:t xml:space="preserve">Špeciálne opatrenia na likvidáciu </w:t>
      </w:r>
    </w:p>
    <w:p w:rsidR="00DB303B" w:rsidRPr="003D2C5A" w:rsidRDefault="00DB303B" w:rsidP="00A13222">
      <w:pPr>
        <w:rPr>
          <w:b/>
          <w:sz w:val="22"/>
          <w:szCs w:val="22"/>
        </w:rPr>
      </w:pPr>
    </w:p>
    <w:p w:rsidR="00DB303B" w:rsidRPr="003D2C5A" w:rsidRDefault="00DB303B" w:rsidP="00A13222">
      <w:pPr>
        <w:rPr>
          <w:sz w:val="22"/>
          <w:szCs w:val="22"/>
        </w:rPr>
      </w:pPr>
      <w:r w:rsidRPr="003D2C5A">
        <w:rPr>
          <w:sz w:val="22"/>
          <w:szCs w:val="22"/>
        </w:rPr>
        <w:t>Žiadne zvláštne požiadavky</w:t>
      </w:r>
    </w:p>
    <w:p w:rsidR="00DB303B" w:rsidRDefault="00DB303B" w:rsidP="00A13222">
      <w:pPr>
        <w:rPr>
          <w:b/>
          <w:sz w:val="22"/>
          <w:szCs w:val="22"/>
        </w:rPr>
      </w:pPr>
    </w:p>
    <w:p w:rsidR="000D4BF1" w:rsidRPr="004C2F09" w:rsidRDefault="000D4BF1" w:rsidP="00A13222">
      <w:pPr>
        <w:rPr>
          <w:rFonts w:ascii="Times New Roman Bold" w:hAnsi="Times New Roman Bold"/>
          <w:b/>
          <w:caps/>
          <w:sz w:val="22"/>
          <w:szCs w:val="22"/>
        </w:rPr>
      </w:pPr>
    </w:p>
    <w:p w:rsidR="00A13222" w:rsidRPr="004C2F09" w:rsidRDefault="00A13222" w:rsidP="004C2F09">
      <w:pPr>
        <w:tabs>
          <w:tab w:val="left" w:pos="567"/>
        </w:tabs>
        <w:rPr>
          <w:rFonts w:ascii="Times New Roman Bold" w:hAnsi="Times New Roman Bold"/>
          <w:b/>
          <w:caps/>
          <w:sz w:val="22"/>
          <w:szCs w:val="22"/>
        </w:rPr>
      </w:pPr>
      <w:r w:rsidRPr="004C2F09">
        <w:rPr>
          <w:rFonts w:ascii="Times New Roman Bold" w:hAnsi="Times New Roman Bold"/>
          <w:b/>
          <w:caps/>
          <w:sz w:val="22"/>
          <w:szCs w:val="22"/>
        </w:rPr>
        <w:t>7.</w:t>
      </w:r>
      <w:r w:rsidR="004C2F09" w:rsidRPr="004C2F09">
        <w:rPr>
          <w:rFonts w:ascii="Times New Roman Bold" w:hAnsi="Times New Roman Bold"/>
          <w:b/>
          <w:caps/>
          <w:sz w:val="22"/>
          <w:szCs w:val="22"/>
        </w:rPr>
        <w:tab/>
      </w:r>
      <w:r w:rsidRPr="004C2F09">
        <w:rPr>
          <w:rFonts w:ascii="Times New Roman Bold" w:hAnsi="Times New Roman Bold"/>
          <w:b/>
          <w:caps/>
          <w:sz w:val="22"/>
          <w:szCs w:val="22"/>
        </w:rPr>
        <w:t xml:space="preserve">Držiteľ rozhodnutia o registrácii </w:t>
      </w:r>
    </w:p>
    <w:p w:rsidR="00464D13" w:rsidRDefault="00464D13" w:rsidP="00464D13">
      <w:pPr>
        <w:rPr>
          <w:sz w:val="22"/>
          <w:szCs w:val="22"/>
        </w:rPr>
      </w:pPr>
    </w:p>
    <w:p w:rsidR="003F6841" w:rsidRDefault="00C74613" w:rsidP="00A13222">
      <w:pPr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Alvogen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Pharma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Trading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Europe</w:t>
      </w:r>
      <w:proofErr w:type="spellEnd"/>
      <w:r>
        <w:rPr>
          <w:iCs/>
          <w:sz w:val="22"/>
          <w:szCs w:val="22"/>
        </w:rPr>
        <w:t xml:space="preserve"> EOOD</w:t>
      </w:r>
    </w:p>
    <w:p w:rsidR="00C74613" w:rsidRDefault="00C74613" w:rsidP="00A13222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86 </w:t>
      </w:r>
      <w:proofErr w:type="spellStart"/>
      <w:r>
        <w:rPr>
          <w:iCs/>
          <w:sz w:val="22"/>
          <w:szCs w:val="22"/>
        </w:rPr>
        <w:t>Bulgaria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blvd</w:t>
      </w:r>
      <w:proofErr w:type="spellEnd"/>
      <w:r>
        <w:rPr>
          <w:iCs/>
          <w:sz w:val="22"/>
          <w:szCs w:val="22"/>
        </w:rPr>
        <w:t xml:space="preserve">., </w:t>
      </w:r>
      <w:proofErr w:type="spellStart"/>
      <w:r>
        <w:rPr>
          <w:iCs/>
          <w:sz w:val="22"/>
          <w:szCs w:val="22"/>
        </w:rPr>
        <w:t>floor</w:t>
      </w:r>
      <w:proofErr w:type="spellEnd"/>
      <w:r>
        <w:rPr>
          <w:iCs/>
          <w:sz w:val="22"/>
          <w:szCs w:val="22"/>
        </w:rPr>
        <w:t xml:space="preserve"> 1</w:t>
      </w:r>
    </w:p>
    <w:p w:rsidR="00C74613" w:rsidRDefault="00C74613" w:rsidP="00A13222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1680 Sofia</w:t>
      </w:r>
    </w:p>
    <w:p w:rsidR="00C74613" w:rsidRDefault="00C74613" w:rsidP="00A13222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Bulharsko</w:t>
      </w:r>
    </w:p>
    <w:p w:rsidR="000D4BF1" w:rsidRPr="003D2C5A" w:rsidRDefault="000D4BF1" w:rsidP="00A13222">
      <w:pPr>
        <w:rPr>
          <w:sz w:val="22"/>
          <w:szCs w:val="22"/>
        </w:rPr>
      </w:pPr>
    </w:p>
    <w:p w:rsidR="00A13222" w:rsidRPr="003D2C5A" w:rsidRDefault="00A13222" w:rsidP="004C2F09">
      <w:pPr>
        <w:tabs>
          <w:tab w:val="left" w:pos="567"/>
        </w:tabs>
        <w:rPr>
          <w:b/>
          <w:sz w:val="22"/>
          <w:szCs w:val="22"/>
        </w:rPr>
      </w:pPr>
      <w:r w:rsidRPr="003D2C5A">
        <w:rPr>
          <w:b/>
          <w:sz w:val="22"/>
          <w:szCs w:val="22"/>
        </w:rPr>
        <w:t>8.</w:t>
      </w:r>
      <w:r w:rsidR="004C2F09" w:rsidRPr="004C2F09">
        <w:rPr>
          <w:rFonts w:ascii="Times New Roman Bold" w:hAnsi="Times New Roman Bold"/>
          <w:b/>
          <w:caps/>
          <w:sz w:val="22"/>
          <w:szCs w:val="22"/>
        </w:rPr>
        <w:tab/>
      </w:r>
      <w:r w:rsidRPr="004C2F09">
        <w:rPr>
          <w:rFonts w:ascii="Times New Roman Bold" w:hAnsi="Times New Roman Bold"/>
          <w:b/>
          <w:caps/>
          <w:sz w:val="22"/>
          <w:szCs w:val="22"/>
        </w:rPr>
        <w:t>Registračné číslo</w:t>
      </w:r>
      <w:r w:rsidRPr="003D2C5A">
        <w:rPr>
          <w:b/>
          <w:sz w:val="22"/>
          <w:szCs w:val="22"/>
        </w:rPr>
        <w:t xml:space="preserve"> </w:t>
      </w:r>
    </w:p>
    <w:p w:rsidR="00A13222" w:rsidRDefault="00A13222" w:rsidP="00A13222">
      <w:pPr>
        <w:rPr>
          <w:sz w:val="22"/>
          <w:szCs w:val="22"/>
        </w:rPr>
      </w:pPr>
    </w:p>
    <w:p w:rsidR="000D4BF1" w:rsidRDefault="00B31C8D" w:rsidP="00A13222">
      <w:pPr>
        <w:rPr>
          <w:sz w:val="22"/>
          <w:szCs w:val="22"/>
        </w:rPr>
      </w:pPr>
      <w:r>
        <w:rPr>
          <w:sz w:val="22"/>
          <w:szCs w:val="22"/>
        </w:rPr>
        <w:t>15/0011/03-S</w:t>
      </w:r>
    </w:p>
    <w:p w:rsidR="00B31C8D" w:rsidRDefault="00B31C8D" w:rsidP="00A13222">
      <w:pPr>
        <w:rPr>
          <w:sz w:val="22"/>
          <w:szCs w:val="22"/>
        </w:rPr>
      </w:pPr>
    </w:p>
    <w:p w:rsidR="003F6841" w:rsidRPr="003D2C5A" w:rsidRDefault="003F6841" w:rsidP="00A13222">
      <w:pPr>
        <w:rPr>
          <w:sz w:val="22"/>
          <w:szCs w:val="22"/>
        </w:rPr>
      </w:pPr>
    </w:p>
    <w:p w:rsidR="00A13222" w:rsidRPr="004C2F09" w:rsidRDefault="00A13222" w:rsidP="004C2F09">
      <w:pPr>
        <w:tabs>
          <w:tab w:val="left" w:pos="567"/>
        </w:tabs>
        <w:rPr>
          <w:rFonts w:ascii="Times New Roman Bold" w:hAnsi="Times New Roman Bold"/>
          <w:b/>
          <w:caps/>
          <w:sz w:val="22"/>
          <w:szCs w:val="22"/>
        </w:rPr>
      </w:pPr>
      <w:r w:rsidRPr="003D2C5A">
        <w:rPr>
          <w:b/>
          <w:sz w:val="22"/>
          <w:szCs w:val="22"/>
        </w:rPr>
        <w:t>9.</w:t>
      </w:r>
      <w:r w:rsidR="004C2F09">
        <w:rPr>
          <w:b/>
          <w:sz w:val="22"/>
          <w:szCs w:val="22"/>
        </w:rPr>
        <w:tab/>
      </w:r>
      <w:r w:rsidRPr="004C2F09">
        <w:rPr>
          <w:rFonts w:ascii="Times New Roman Bold" w:hAnsi="Times New Roman Bold"/>
          <w:b/>
          <w:caps/>
          <w:sz w:val="22"/>
          <w:szCs w:val="22"/>
        </w:rPr>
        <w:t>Dátum prvej registrácie/Pred</w:t>
      </w:r>
      <w:r w:rsidR="00DB303B" w:rsidRPr="004C2F09">
        <w:rPr>
          <w:rFonts w:ascii="Times New Roman Bold" w:hAnsi="Times New Roman Bold"/>
          <w:b/>
          <w:caps/>
          <w:sz w:val="22"/>
          <w:szCs w:val="22"/>
        </w:rPr>
        <w:t>ĺženie registrácie</w:t>
      </w:r>
    </w:p>
    <w:p w:rsidR="00A13222" w:rsidRDefault="00A13222" w:rsidP="00A13222">
      <w:pPr>
        <w:rPr>
          <w:sz w:val="22"/>
          <w:szCs w:val="22"/>
        </w:rPr>
      </w:pPr>
    </w:p>
    <w:p w:rsidR="004C2F09" w:rsidRDefault="004C2F09" w:rsidP="00A13222">
      <w:pPr>
        <w:rPr>
          <w:sz w:val="22"/>
          <w:szCs w:val="22"/>
        </w:rPr>
      </w:pPr>
      <w:r>
        <w:rPr>
          <w:sz w:val="22"/>
          <w:szCs w:val="22"/>
        </w:rPr>
        <w:t>Dátum</w:t>
      </w:r>
      <w:r w:rsidR="0093288B">
        <w:rPr>
          <w:sz w:val="22"/>
          <w:szCs w:val="22"/>
        </w:rPr>
        <w:t xml:space="preserve"> prvej</w:t>
      </w:r>
      <w:r>
        <w:rPr>
          <w:sz w:val="22"/>
          <w:szCs w:val="22"/>
        </w:rPr>
        <w:t xml:space="preserve"> registrácie:</w:t>
      </w:r>
      <w:r w:rsidR="000B6082">
        <w:rPr>
          <w:sz w:val="22"/>
          <w:szCs w:val="22"/>
        </w:rPr>
        <w:t xml:space="preserve"> 3. február</w:t>
      </w:r>
      <w:r w:rsidR="00E21C9E">
        <w:rPr>
          <w:sz w:val="22"/>
          <w:szCs w:val="22"/>
        </w:rPr>
        <w:t>a</w:t>
      </w:r>
      <w:r w:rsidR="000B6082">
        <w:rPr>
          <w:sz w:val="22"/>
          <w:szCs w:val="22"/>
        </w:rPr>
        <w:t xml:space="preserve"> 2003</w:t>
      </w:r>
    </w:p>
    <w:p w:rsidR="004C2F09" w:rsidRDefault="0093288B" w:rsidP="00A13222">
      <w:pPr>
        <w:rPr>
          <w:sz w:val="22"/>
          <w:szCs w:val="22"/>
        </w:rPr>
      </w:pPr>
      <w:r>
        <w:rPr>
          <w:sz w:val="22"/>
          <w:szCs w:val="22"/>
        </w:rPr>
        <w:lastRenderedPageBreak/>
        <w:t>Dátum posledného predĺženia</w:t>
      </w:r>
      <w:r w:rsidR="00273FCB">
        <w:rPr>
          <w:sz w:val="22"/>
          <w:szCs w:val="22"/>
        </w:rPr>
        <w:t xml:space="preserve"> registrácie</w:t>
      </w:r>
      <w:r>
        <w:rPr>
          <w:sz w:val="22"/>
          <w:szCs w:val="22"/>
        </w:rPr>
        <w:t>: 19. august</w:t>
      </w:r>
      <w:r w:rsidR="00E21C9E">
        <w:rPr>
          <w:sz w:val="22"/>
          <w:szCs w:val="22"/>
        </w:rPr>
        <w:t>a</w:t>
      </w:r>
      <w:r>
        <w:rPr>
          <w:sz w:val="22"/>
          <w:szCs w:val="22"/>
        </w:rPr>
        <w:t xml:space="preserve"> 2009 </w:t>
      </w:r>
    </w:p>
    <w:p w:rsidR="000D4BF1" w:rsidRDefault="000D4BF1" w:rsidP="00A13222">
      <w:pPr>
        <w:rPr>
          <w:sz w:val="22"/>
          <w:szCs w:val="22"/>
        </w:rPr>
      </w:pPr>
    </w:p>
    <w:p w:rsidR="009E78A9" w:rsidRPr="003D2C5A" w:rsidRDefault="009E78A9" w:rsidP="00A13222">
      <w:pPr>
        <w:rPr>
          <w:sz w:val="22"/>
          <w:szCs w:val="22"/>
        </w:rPr>
      </w:pPr>
    </w:p>
    <w:p w:rsidR="00A13222" w:rsidRPr="004C2F09" w:rsidRDefault="00A13222" w:rsidP="004C2F09">
      <w:pPr>
        <w:tabs>
          <w:tab w:val="left" w:pos="567"/>
        </w:tabs>
        <w:rPr>
          <w:rFonts w:ascii="Times New Roman Bold" w:hAnsi="Times New Roman Bold"/>
          <w:b/>
          <w:caps/>
          <w:sz w:val="22"/>
          <w:szCs w:val="22"/>
        </w:rPr>
      </w:pPr>
      <w:r w:rsidRPr="004C2F09">
        <w:rPr>
          <w:rFonts w:ascii="Times New Roman Bold" w:hAnsi="Times New Roman Bold"/>
          <w:b/>
          <w:caps/>
          <w:sz w:val="22"/>
          <w:szCs w:val="22"/>
        </w:rPr>
        <w:t>10.</w:t>
      </w:r>
      <w:r w:rsidR="004C2F09" w:rsidRPr="004C2F09">
        <w:rPr>
          <w:rFonts w:ascii="Times New Roman Bold" w:hAnsi="Times New Roman Bold"/>
          <w:b/>
          <w:caps/>
          <w:sz w:val="22"/>
          <w:szCs w:val="22"/>
        </w:rPr>
        <w:tab/>
      </w:r>
      <w:r w:rsidRPr="004C2F09">
        <w:rPr>
          <w:rFonts w:ascii="Times New Roman Bold" w:hAnsi="Times New Roman Bold"/>
          <w:b/>
          <w:caps/>
          <w:sz w:val="22"/>
          <w:szCs w:val="22"/>
        </w:rPr>
        <w:t xml:space="preserve">Dátum </w:t>
      </w:r>
      <w:r w:rsidR="00DB303B" w:rsidRPr="004C2F09">
        <w:rPr>
          <w:rFonts w:ascii="Times New Roman Bold" w:hAnsi="Times New Roman Bold"/>
          <w:b/>
          <w:caps/>
          <w:sz w:val="22"/>
          <w:szCs w:val="22"/>
        </w:rPr>
        <w:t>revízie textu</w:t>
      </w:r>
    </w:p>
    <w:p w:rsidR="005D4221" w:rsidRDefault="005D4221" w:rsidP="00A13222">
      <w:pPr>
        <w:rPr>
          <w:sz w:val="22"/>
          <w:szCs w:val="22"/>
        </w:rPr>
      </w:pPr>
    </w:p>
    <w:p w:rsidR="00CE7B80" w:rsidRPr="003D2C5A" w:rsidRDefault="000478F2" w:rsidP="00A13222">
      <w:pPr>
        <w:rPr>
          <w:sz w:val="22"/>
          <w:szCs w:val="22"/>
        </w:rPr>
      </w:pPr>
      <w:r>
        <w:rPr>
          <w:sz w:val="22"/>
          <w:szCs w:val="22"/>
        </w:rPr>
        <w:t>05/2020</w:t>
      </w:r>
    </w:p>
    <w:sectPr w:rsidR="00CE7B80" w:rsidRPr="003D2C5A" w:rsidSect="00FF33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61A" w:rsidRDefault="0090761A">
      <w:r>
        <w:separator/>
      </w:r>
    </w:p>
  </w:endnote>
  <w:endnote w:type="continuationSeparator" w:id="0">
    <w:p w:rsidR="0090761A" w:rsidRDefault="0090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45" w:rsidRPr="00E46F2A" w:rsidRDefault="005F1445" w:rsidP="00E46F2A">
    <w:pPr>
      <w:pStyle w:val="Pta"/>
      <w:jc w:val="center"/>
    </w:pPr>
    <w:r w:rsidRPr="005D4221">
      <w:rPr>
        <w:sz w:val="18"/>
      </w:rPr>
      <w:fldChar w:fldCharType="begin"/>
    </w:r>
    <w:r w:rsidRPr="005D4221">
      <w:rPr>
        <w:sz w:val="18"/>
      </w:rPr>
      <w:instrText>PAGE   \* MERGEFORMAT</w:instrText>
    </w:r>
    <w:r w:rsidRPr="005D4221">
      <w:rPr>
        <w:sz w:val="18"/>
      </w:rPr>
      <w:fldChar w:fldCharType="separate"/>
    </w:r>
    <w:r w:rsidR="00333B3B">
      <w:rPr>
        <w:noProof/>
        <w:sz w:val="18"/>
      </w:rPr>
      <w:t>14</w:t>
    </w:r>
    <w:r w:rsidRPr="005D4221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45" w:rsidRPr="00E46F2A" w:rsidRDefault="005F1445" w:rsidP="00E46F2A">
    <w:pPr>
      <w:pStyle w:val="Pta"/>
      <w:jc w:val="center"/>
    </w:pPr>
    <w:r w:rsidRPr="005D4221">
      <w:rPr>
        <w:sz w:val="18"/>
      </w:rPr>
      <w:fldChar w:fldCharType="begin"/>
    </w:r>
    <w:r w:rsidRPr="005D4221">
      <w:rPr>
        <w:sz w:val="18"/>
      </w:rPr>
      <w:instrText>PAGE   \* MERGEFORMAT</w:instrText>
    </w:r>
    <w:r w:rsidRPr="005D4221">
      <w:rPr>
        <w:sz w:val="18"/>
      </w:rPr>
      <w:fldChar w:fldCharType="separate"/>
    </w:r>
    <w:r w:rsidR="006D78B4">
      <w:rPr>
        <w:noProof/>
        <w:sz w:val="18"/>
      </w:rPr>
      <w:t>1</w:t>
    </w:r>
    <w:r w:rsidRPr="005D422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61A" w:rsidRDefault="0090761A">
      <w:r>
        <w:separator/>
      </w:r>
    </w:p>
  </w:footnote>
  <w:footnote w:type="continuationSeparator" w:id="0">
    <w:p w:rsidR="0090761A" w:rsidRDefault="00907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ED9" w:rsidRPr="000478F2" w:rsidRDefault="000478F2">
    <w:pPr>
      <w:pStyle w:val="Hlavika"/>
      <w:rPr>
        <w:sz w:val="18"/>
        <w:szCs w:val="18"/>
      </w:rPr>
    </w:pPr>
    <w:r w:rsidRPr="000478F2">
      <w:rPr>
        <w:sz w:val="18"/>
        <w:szCs w:val="18"/>
      </w:rPr>
      <w:t xml:space="preserve">Schválený text k rozhodnutiu o prevode, ev. č.: </w:t>
    </w:r>
    <w:r w:rsidRPr="00721029">
      <w:rPr>
        <w:sz w:val="18"/>
        <w:szCs w:val="18"/>
        <w:shd w:val="clear" w:color="auto" w:fill="FFFFFF"/>
      </w:rPr>
      <w:t>2019/06168-TR</w:t>
    </w:r>
    <w:r w:rsidRPr="000478F2">
      <w:rPr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45" w:rsidRDefault="00EF0FB1">
    <w:pPr>
      <w:pStyle w:val="Hlavika"/>
    </w:pPr>
    <w:r>
      <w:rPr>
        <w:sz w:val="18"/>
        <w:szCs w:val="18"/>
      </w:rPr>
      <w:t xml:space="preserve">Príloha </w:t>
    </w:r>
    <w:r w:rsidR="00B67E4C">
      <w:rPr>
        <w:sz w:val="18"/>
        <w:szCs w:val="18"/>
      </w:rPr>
      <w:t xml:space="preserve">č.1 </w:t>
    </w:r>
    <w:r>
      <w:rPr>
        <w:sz w:val="18"/>
        <w:szCs w:val="18"/>
      </w:rPr>
      <w:t>k notifikácii o zmene, ev. č.:</w:t>
    </w:r>
    <w:r w:rsidR="000D0D96">
      <w:rPr>
        <w:sz w:val="18"/>
        <w:szCs w:val="18"/>
      </w:rPr>
      <w:t>2017/06865-Z1B a 2018/02312-Z1B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6487F"/>
    <w:multiLevelType w:val="hybridMultilevel"/>
    <w:tmpl w:val="0472087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722A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010E7A"/>
    <w:multiLevelType w:val="hybridMultilevel"/>
    <w:tmpl w:val="475C16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0AF4C81"/>
    <w:multiLevelType w:val="hybridMultilevel"/>
    <w:tmpl w:val="6584F652"/>
    <w:lvl w:ilvl="0" w:tplc="F3824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7DAA"/>
    <w:multiLevelType w:val="hybridMultilevel"/>
    <w:tmpl w:val="6C3A722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2116"/>
    <w:multiLevelType w:val="multilevel"/>
    <w:tmpl w:val="1644A358"/>
    <w:lvl w:ilvl="0">
      <w:start w:val="5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766873"/>
    <w:multiLevelType w:val="hybridMultilevel"/>
    <w:tmpl w:val="A86236D6"/>
    <w:lvl w:ilvl="0" w:tplc="61EC1CF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664B1"/>
    <w:multiLevelType w:val="hybridMultilevel"/>
    <w:tmpl w:val="49B8A2F0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50D04"/>
    <w:multiLevelType w:val="hybridMultilevel"/>
    <w:tmpl w:val="90E04540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CC22D1"/>
    <w:multiLevelType w:val="hybridMultilevel"/>
    <w:tmpl w:val="CEA87CB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03B13"/>
    <w:multiLevelType w:val="hybridMultilevel"/>
    <w:tmpl w:val="BC2EBE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3506B"/>
    <w:multiLevelType w:val="multilevel"/>
    <w:tmpl w:val="A9F0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10485C"/>
    <w:multiLevelType w:val="multilevel"/>
    <w:tmpl w:val="65DC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F11D4"/>
    <w:multiLevelType w:val="hybridMultilevel"/>
    <w:tmpl w:val="FE06E6B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1B7CA2"/>
    <w:multiLevelType w:val="hybridMultilevel"/>
    <w:tmpl w:val="BBFE8568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40D8E"/>
    <w:multiLevelType w:val="hybridMultilevel"/>
    <w:tmpl w:val="61E65398"/>
    <w:lvl w:ilvl="0" w:tplc="F3824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630F4"/>
    <w:multiLevelType w:val="hybridMultilevel"/>
    <w:tmpl w:val="9E28F9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1204A5"/>
    <w:multiLevelType w:val="hybridMultilevel"/>
    <w:tmpl w:val="D8FCED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numFmt w:val="bullet"/>
      <w:lvlText w:val="-"/>
      <w:lvlJc w:val="left"/>
      <w:pPr>
        <w:tabs>
          <w:tab w:val="num" w:pos="3225"/>
        </w:tabs>
        <w:ind w:left="3225" w:hanging="705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026E87"/>
    <w:multiLevelType w:val="hybridMultilevel"/>
    <w:tmpl w:val="EB8282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A138A"/>
    <w:multiLevelType w:val="hybridMultilevel"/>
    <w:tmpl w:val="284E8306"/>
    <w:lvl w:ilvl="0" w:tplc="F38248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15"/>
  </w:num>
  <w:num w:numId="9">
    <w:abstractNumId w:val="22"/>
  </w:num>
  <w:num w:numId="10">
    <w:abstractNumId w:val="20"/>
  </w:num>
  <w:num w:numId="11">
    <w:abstractNumId w:val="6"/>
  </w:num>
  <w:num w:numId="12">
    <w:abstractNumId w:val="9"/>
  </w:num>
  <w:num w:numId="13">
    <w:abstractNumId w:val="8"/>
  </w:num>
  <w:num w:numId="14">
    <w:abstractNumId w:val="17"/>
  </w:num>
  <w:num w:numId="15">
    <w:abstractNumId w:val="11"/>
  </w:num>
  <w:num w:numId="16">
    <w:abstractNumId w:val="16"/>
  </w:num>
  <w:num w:numId="17">
    <w:abstractNumId w:val="21"/>
  </w:num>
  <w:num w:numId="18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2"/>
  </w:num>
  <w:num w:numId="20">
    <w:abstractNumId w:val="13"/>
  </w:num>
  <w:num w:numId="21">
    <w:abstractNumId w:val="12"/>
  </w:num>
  <w:num w:numId="22">
    <w:abstractNumId w:val="24"/>
  </w:num>
  <w:num w:numId="23">
    <w:abstractNumId w:val="7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222"/>
    <w:rsid w:val="00004606"/>
    <w:rsid w:val="00004F90"/>
    <w:rsid w:val="0000703E"/>
    <w:rsid w:val="00011A30"/>
    <w:rsid w:val="000121FC"/>
    <w:rsid w:val="000274F2"/>
    <w:rsid w:val="00031B62"/>
    <w:rsid w:val="00035BEA"/>
    <w:rsid w:val="00042F4E"/>
    <w:rsid w:val="000478F2"/>
    <w:rsid w:val="00056253"/>
    <w:rsid w:val="00060716"/>
    <w:rsid w:val="00074CDA"/>
    <w:rsid w:val="00086233"/>
    <w:rsid w:val="00092117"/>
    <w:rsid w:val="000962A2"/>
    <w:rsid w:val="00097332"/>
    <w:rsid w:val="000A605F"/>
    <w:rsid w:val="000B1D3B"/>
    <w:rsid w:val="000B6082"/>
    <w:rsid w:val="000C049A"/>
    <w:rsid w:val="000C5C07"/>
    <w:rsid w:val="000C6D20"/>
    <w:rsid w:val="000D0181"/>
    <w:rsid w:val="000D0D96"/>
    <w:rsid w:val="000D4BF1"/>
    <w:rsid w:val="000D67D7"/>
    <w:rsid w:val="000D7510"/>
    <w:rsid w:val="000E055B"/>
    <w:rsid w:val="000E0BED"/>
    <w:rsid w:val="000E1297"/>
    <w:rsid w:val="000E14D4"/>
    <w:rsid w:val="000E1976"/>
    <w:rsid w:val="000E5CE2"/>
    <w:rsid w:val="000F0769"/>
    <w:rsid w:val="000F0B2A"/>
    <w:rsid w:val="000F3060"/>
    <w:rsid w:val="000F7AAB"/>
    <w:rsid w:val="00102862"/>
    <w:rsid w:val="0010440A"/>
    <w:rsid w:val="0011401F"/>
    <w:rsid w:val="001203E5"/>
    <w:rsid w:val="00120786"/>
    <w:rsid w:val="001235BB"/>
    <w:rsid w:val="00126CB0"/>
    <w:rsid w:val="0014441F"/>
    <w:rsid w:val="00146957"/>
    <w:rsid w:val="001726F9"/>
    <w:rsid w:val="00181840"/>
    <w:rsid w:val="001A0182"/>
    <w:rsid w:val="001A13C1"/>
    <w:rsid w:val="001A5E4C"/>
    <w:rsid w:val="001B036D"/>
    <w:rsid w:val="001B0E6E"/>
    <w:rsid w:val="001B439D"/>
    <w:rsid w:val="001B4A1E"/>
    <w:rsid w:val="001B5DFE"/>
    <w:rsid w:val="001C3567"/>
    <w:rsid w:val="001C6DC5"/>
    <w:rsid w:val="001D20B5"/>
    <w:rsid w:val="001D3B74"/>
    <w:rsid w:val="001E222C"/>
    <w:rsid w:val="001E3FF3"/>
    <w:rsid w:val="001E4D7D"/>
    <w:rsid w:val="001E6652"/>
    <w:rsid w:val="001E74E2"/>
    <w:rsid w:val="001F2B8D"/>
    <w:rsid w:val="001F2ED9"/>
    <w:rsid w:val="001F37B7"/>
    <w:rsid w:val="001F3DCC"/>
    <w:rsid w:val="001F54FB"/>
    <w:rsid w:val="0020123A"/>
    <w:rsid w:val="002045AF"/>
    <w:rsid w:val="00205D65"/>
    <w:rsid w:val="002066BF"/>
    <w:rsid w:val="0020750C"/>
    <w:rsid w:val="00210ADE"/>
    <w:rsid w:val="00221CA7"/>
    <w:rsid w:val="00222101"/>
    <w:rsid w:val="002237EF"/>
    <w:rsid w:val="00223DE2"/>
    <w:rsid w:val="002265B9"/>
    <w:rsid w:val="00227ECF"/>
    <w:rsid w:val="002332B1"/>
    <w:rsid w:val="002408F5"/>
    <w:rsid w:val="0024282C"/>
    <w:rsid w:val="00243FF5"/>
    <w:rsid w:val="00244A45"/>
    <w:rsid w:val="002474BE"/>
    <w:rsid w:val="00247E63"/>
    <w:rsid w:val="00251135"/>
    <w:rsid w:val="002653A0"/>
    <w:rsid w:val="0027168C"/>
    <w:rsid w:val="00272C89"/>
    <w:rsid w:val="00273FCB"/>
    <w:rsid w:val="00274242"/>
    <w:rsid w:val="002754AA"/>
    <w:rsid w:val="002A0DAF"/>
    <w:rsid w:val="002A7EF5"/>
    <w:rsid w:val="002C5AE3"/>
    <w:rsid w:val="002D0BC3"/>
    <w:rsid w:val="002D11FE"/>
    <w:rsid w:val="002D4F88"/>
    <w:rsid w:val="002E06FF"/>
    <w:rsid w:val="002F1718"/>
    <w:rsid w:val="00303F9E"/>
    <w:rsid w:val="0032425B"/>
    <w:rsid w:val="003266F7"/>
    <w:rsid w:val="00333B3B"/>
    <w:rsid w:val="00335D45"/>
    <w:rsid w:val="00346DDD"/>
    <w:rsid w:val="003540E9"/>
    <w:rsid w:val="0035595C"/>
    <w:rsid w:val="00357A20"/>
    <w:rsid w:val="00360FFC"/>
    <w:rsid w:val="003731ED"/>
    <w:rsid w:val="00373A3A"/>
    <w:rsid w:val="00374347"/>
    <w:rsid w:val="00375A38"/>
    <w:rsid w:val="00382FF9"/>
    <w:rsid w:val="00394375"/>
    <w:rsid w:val="00394497"/>
    <w:rsid w:val="003A294D"/>
    <w:rsid w:val="003C1A74"/>
    <w:rsid w:val="003C215C"/>
    <w:rsid w:val="003C2334"/>
    <w:rsid w:val="003D0358"/>
    <w:rsid w:val="003D0F23"/>
    <w:rsid w:val="003D2C5A"/>
    <w:rsid w:val="003D31A8"/>
    <w:rsid w:val="003D4BC5"/>
    <w:rsid w:val="003D57C1"/>
    <w:rsid w:val="003E4A82"/>
    <w:rsid w:val="003F109C"/>
    <w:rsid w:val="003F4829"/>
    <w:rsid w:val="003F6841"/>
    <w:rsid w:val="00400328"/>
    <w:rsid w:val="0040543A"/>
    <w:rsid w:val="00407039"/>
    <w:rsid w:val="004244DA"/>
    <w:rsid w:val="004320FE"/>
    <w:rsid w:val="00435786"/>
    <w:rsid w:val="004433B6"/>
    <w:rsid w:val="00444A79"/>
    <w:rsid w:val="00446FD9"/>
    <w:rsid w:val="00451DA9"/>
    <w:rsid w:val="0046429B"/>
    <w:rsid w:val="00464D13"/>
    <w:rsid w:val="00465CEA"/>
    <w:rsid w:val="00470520"/>
    <w:rsid w:val="0047123D"/>
    <w:rsid w:val="00472E4F"/>
    <w:rsid w:val="00474441"/>
    <w:rsid w:val="004A0BB2"/>
    <w:rsid w:val="004A1F18"/>
    <w:rsid w:val="004A73A9"/>
    <w:rsid w:val="004B597E"/>
    <w:rsid w:val="004C2F09"/>
    <w:rsid w:val="004C45F1"/>
    <w:rsid w:val="004C4CAC"/>
    <w:rsid w:val="004D730A"/>
    <w:rsid w:val="004E3C42"/>
    <w:rsid w:val="004F3671"/>
    <w:rsid w:val="005015BC"/>
    <w:rsid w:val="005034FC"/>
    <w:rsid w:val="00506D54"/>
    <w:rsid w:val="005072F1"/>
    <w:rsid w:val="00520CE7"/>
    <w:rsid w:val="00521AEA"/>
    <w:rsid w:val="00523986"/>
    <w:rsid w:val="005317D4"/>
    <w:rsid w:val="00533C81"/>
    <w:rsid w:val="0054033F"/>
    <w:rsid w:val="005472E6"/>
    <w:rsid w:val="00573F66"/>
    <w:rsid w:val="00575B77"/>
    <w:rsid w:val="005937B6"/>
    <w:rsid w:val="005950E8"/>
    <w:rsid w:val="005957AB"/>
    <w:rsid w:val="00595914"/>
    <w:rsid w:val="005962D8"/>
    <w:rsid w:val="005B056F"/>
    <w:rsid w:val="005B3ECF"/>
    <w:rsid w:val="005B68C9"/>
    <w:rsid w:val="005C0161"/>
    <w:rsid w:val="005C7C51"/>
    <w:rsid w:val="005D1FE2"/>
    <w:rsid w:val="005D4221"/>
    <w:rsid w:val="005E1051"/>
    <w:rsid w:val="005F13C7"/>
    <w:rsid w:val="005F1445"/>
    <w:rsid w:val="006017A1"/>
    <w:rsid w:val="00604254"/>
    <w:rsid w:val="00606484"/>
    <w:rsid w:val="00610477"/>
    <w:rsid w:val="00610F76"/>
    <w:rsid w:val="00614B58"/>
    <w:rsid w:val="00626288"/>
    <w:rsid w:val="006340E7"/>
    <w:rsid w:val="00635DD2"/>
    <w:rsid w:val="00647BA8"/>
    <w:rsid w:val="00652DD2"/>
    <w:rsid w:val="00670967"/>
    <w:rsid w:val="0067725E"/>
    <w:rsid w:val="0068234D"/>
    <w:rsid w:val="00682766"/>
    <w:rsid w:val="006831FB"/>
    <w:rsid w:val="00685298"/>
    <w:rsid w:val="006A6C2B"/>
    <w:rsid w:val="006B09FC"/>
    <w:rsid w:val="006B546D"/>
    <w:rsid w:val="006C27AF"/>
    <w:rsid w:val="006C3103"/>
    <w:rsid w:val="006C79BA"/>
    <w:rsid w:val="006C7E09"/>
    <w:rsid w:val="006D3484"/>
    <w:rsid w:val="006D60B2"/>
    <w:rsid w:val="006D78B4"/>
    <w:rsid w:val="006E1902"/>
    <w:rsid w:val="006E53CA"/>
    <w:rsid w:val="006F445A"/>
    <w:rsid w:val="00704DFF"/>
    <w:rsid w:val="00706BA4"/>
    <w:rsid w:val="00707D00"/>
    <w:rsid w:val="007117C6"/>
    <w:rsid w:val="00716220"/>
    <w:rsid w:val="0071758D"/>
    <w:rsid w:val="007175FC"/>
    <w:rsid w:val="00721029"/>
    <w:rsid w:val="007232FE"/>
    <w:rsid w:val="00724E13"/>
    <w:rsid w:val="00736A36"/>
    <w:rsid w:val="00741B9E"/>
    <w:rsid w:val="00742EB8"/>
    <w:rsid w:val="00757CFD"/>
    <w:rsid w:val="0076653D"/>
    <w:rsid w:val="007810EB"/>
    <w:rsid w:val="00783D0B"/>
    <w:rsid w:val="007968CD"/>
    <w:rsid w:val="007A40E8"/>
    <w:rsid w:val="007B4F0D"/>
    <w:rsid w:val="007B6FA9"/>
    <w:rsid w:val="007C525F"/>
    <w:rsid w:val="007D0C3F"/>
    <w:rsid w:val="007D5833"/>
    <w:rsid w:val="007E1E85"/>
    <w:rsid w:val="007E3129"/>
    <w:rsid w:val="007F0986"/>
    <w:rsid w:val="008147F0"/>
    <w:rsid w:val="00817D66"/>
    <w:rsid w:val="00821840"/>
    <w:rsid w:val="00831ACB"/>
    <w:rsid w:val="00833AAD"/>
    <w:rsid w:val="0083618A"/>
    <w:rsid w:val="00843116"/>
    <w:rsid w:val="00852DAE"/>
    <w:rsid w:val="00854A09"/>
    <w:rsid w:val="008701D3"/>
    <w:rsid w:val="00872365"/>
    <w:rsid w:val="008725BB"/>
    <w:rsid w:val="008813E8"/>
    <w:rsid w:val="0089012F"/>
    <w:rsid w:val="00895457"/>
    <w:rsid w:val="008958B4"/>
    <w:rsid w:val="008B47AB"/>
    <w:rsid w:val="008B7ACD"/>
    <w:rsid w:val="008D144D"/>
    <w:rsid w:val="008D1988"/>
    <w:rsid w:val="008D43C7"/>
    <w:rsid w:val="008E41E8"/>
    <w:rsid w:val="008F38EE"/>
    <w:rsid w:val="008F3C8C"/>
    <w:rsid w:val="008F475C"/>
    <w:rsid w:val="0090761A"/>
    <w:rsid w:val="009209C5"/>
    <w:rsid w:val="0093288B"/>
    <w:rsid w:val="00934CDC"/>
    <w:rsid w:val="009525F2"/>
    <w:rsid w:val="00960082"/>
    <w:rsid w:val="009653E9"/>
    <w:rsid w:val="00966A61"/>
    <w:rsid w:val="00974E1C"/>
    <w:rsid w:val="009766CF"/>
    <w:rsid w:val="00977620"/>
    <w:rsid w:val="00981E1D"/>
    <w:rsid w:val="0098263C"/>
    <w:rsid w:val="00982957"/>
    <w:rsid w:val="00984489"/>
    <w:rsid w:val="00992BE5"/>
    <w:rsid w:val="009959E3"/>
    <w:rsid w:val="00996442"/>
    <w:rsid w:val="00997843"/>
    <w:rsid w:val="009A4486"/>
    <w:rsid w:val="009A7339"/>
    <w:rsid w:val="009B19FB"/>
    <w:rsid w:val="009B6F7D"/>
    <w:rsid w:val="009B7BE8"/>
    <w:rsid w:val="009C2864"/>
    <w:rsid w:val="009D048B"/>
    <w:rsid w:val="009D2286"/>
    <w:rsid w:val="009D3899"/>
    <w:rsid w:val="009D5C65"/>
    <w:rsid w:val="009D6A1F"/>
    <w:rsid w:val="009E61F4"/>
    <w:rsid w:val="009E78A9"/>
    <w:rsid w:val="009F1C83"/>
    <w:rsid w:val="009F2C57"/>
    <w:rsid w:val="00A00302"/>
    <w:rsid w:val="00A01047"/>
    <w:rsid w:val="00A05C29"/>
    <w:rsid w:val="00A1025D"/>
    <w:rsid w:val="00A11854"/>
    <w:rsid w:val="00A13222"/>
    <w:rsid w:val="00A151AB"/>
    <w:rsid w:val="00A15EA2"/>
    <w:rsid w:val="00A20161"/>
    <w:rsid w:val="00A210DE"/>
    <w:rsid w:val="00A3323C"/>
    <w:rsid w:val="00A371C9"/>
    <w:rsid w:val="00A72C0A"/>
    <w:rsid w:val="00A75E30"/>
    <w:rsid w:val="00A82B8A"/>
    <w:rsid w:val="00A86389"/>
    <w:rsid w:val="00AA0BE2"/>
    <w:rsid w:val="00AA67CF"/>
    <w:rsid w:val="00AB2E3F"/>
    <w:rsid w:val="00AC224D"/>
    <w:rsid w:val="00AC2FBD"/>
    <w:rsid w:val="00AC607D"/>
    <w:rsid w:val="00AE269D"/>
    <w:rsid w:val="00AE5B66"/>
    <w:rsid w:val="00AE7E51"/>
    <w:rsid w:val="00AF2606"/>
    <w:rsid w:val="00B024A7"/>
    <w:rsid w:val="00B1140C"/>
    <w:rsid w:val="00B217AD"/>
    <w:rsid w:val="00B22497"/>
    <w:rsid w:val="00B2608A"/>
    <w:rsid w:val="00B27958"/>
    <w:rsid w:val="00B31C8D"/>
    <w:rsid w:val="00B33D3B"/>
    <w:rsid w:val="00B3614E"/>
    <w:rsid w:val="00B36930"/>
    <w:rsid w:val="00B62877"/>
    <w:rsid w:val="00B64936"/>
    <w:rsid w:val="00B66A17"/>
    <w:rsid w:val="00B67480"/>
    <w:rsid w:val="00B67E4C"/>
    <w:rsid w:val="00B728CE"/>
    <w:rsid w:val="00B75BFD"/>
    <w:rsid w:val="00B85D42"/>
    <w:rsid w:val="00B93070"/>
    <w:rsid w:val="00B93288"/>
    <w:rsid w:val="00B95EE3"/>
    <w:rsid w:val="00BA10E3"/>
    <w:rsid w:val="00BA75D0"/>
    <w:rsid w:val="00BB19C9"/>
    <w:rsid w:val="00BC09EB"/>
    <w:rsid w:val="00BC1772"/>
    <w:rsid w:val="00BC196F"/>
    <w:rsid w:val="00BC1B31"/>
    <w:rsid w:val="00BD09D9"/>
    <w:rsid w:val="00BD5C5E"/>
    <w:rsid w:val="00BD7C41"/>
    <w:rsid w:val="00BE058A"/>
    <w:rsid w:val="00BE28BB"/>
    <w:rsid w:val="00BE4BA4"/>
    <w:rsid w:val="00BF0853"/>
    <w:rsid w:val="00BF52D4"/>
    <w:rsid w:val="00C06A94"/>
    <w:rsid w:val="00C06D77"/>
    <w:rsid w:val="00C079B3"/>
    <w:rsid w:val="00C13C06"/>
    <w:rsid w:val="00C15A04"/>
    <w:rsid w:val="00C178B3"/>
    <w:rsid w:val="00C225BF"/>
    <w:rsid w:val="00C34954"/>
    <w:rsid w:val="00C35916"/>
    <w:rsid w:val="00C35AEB"/>
    <w:rsid w:val="00C43D39"/>
    <w:rsid w:val="00C4754C"/>
    <w:rsid w:val="00C50F70"/>
    <w:rsid w:val="00C55651"/>
    <w:rsid w:val="00C5583C"/>
    <w:rsid w:val="00C56CD2"/>
    <w:rsid w:val="00C64C0D"/>
    <w:rsid w:val="00C65B27"/>
    <w:rsid w:val="00C70B81"/>
    <w:rsid w:val="00C74613"/>
    <w:rsid w:val="00C76907"/>
    <w:rsid w:val="00C83329"/>
    <w:rsid w:val="00C863BE"/>
    <w:rsid w:val="00C8792B"/>
    <w:rsid w:val="00CA0D80"/>
    <w:rsid w:val="00CA472D"/>
    <w:rsid w:val="00CB2D10"/>
    <w:rsid w:val="00CC2309"/>
    <w:rsid w:val="00CC4562"/>
    <w:rsid w:val="00CD732A"/>
    <w:rsid w:val="00CE19A6"/>
    <w:rsid w:val="00CE7136"/>
    <w:rsid w:val="00CE7B80"/>
    <w:rsid w:val="00CF0DD5"/>
    <w:rsid w:val="00D02418"/>
    <w:rsid w:val="00D17028"/>
    <w:rsid w:val="00D20185"/>
    <w:rsid w:val="00D2307F"/>
    <w:rsid w:val="00D2413D"/>
    <w:rsid w:val="00D24CB7"/>
    <w:rsid w:val="00D33060"/>
    <w:rsid w:val="00D46CB6"/>
    <w:rsid w:val="00D47294"/>
    <w:rsid w:val="00D5402C"/>
    <w:rsid w:val="00D544B6"/>
    <w:rsid w:val="00D56EDD"/>
    <w:rsid w:val="00D62571"/>
    <w:rsid w:val="00D635AC"/>
    <w:rsid w:val="00D64C70"/>
    <w:rsid w:val="00D67E7F"/>
    <w:rsid w:val="00D7056B"/>
    <w:rsid w:val="00D80638"/>
    <w:rsid w:val="00D87021"/>
    <w:rsid w:val="00D91629"/>
    <w:rsid w:val="00D95167"/>
    <w:rsid w:val="00DA7078"/>
    <w:rsid w:val="00DB303B"/>
    <w:rsid w:val="00DB414B"/>
    <w:rsid w:val="00DB6B94"/>
    <w:rsid w:val="00DC4543"/>
    <w:rsid w:val="00DC5320"/>
    <w:rsid w:val="00DD0D98"/>
    <w:rsid w:val="00DD61E8"/>
    <w:rsid w:val="00DD6231"/>
    <w:rsid w:val="00DE5F76"/>
    <w:rsid w:val="00DF2062"/>
    <w:rsid w:val="00DF3A3D"/>
    <w:rsid w:val="00DF415D"/>
    <w:rsid w:val="00E043F2"/>
    <w:rsid w:val="00E06184"/>
    <w:rsid w:val="00E13313"/>
    <w:rsid w:val="00E21C9E"/>
    <w:rsid w:val="00E33D62"/>
    <w:rsid w:val="00E3765C"/>
    <w:rsid w:val="00E41434"/>
    <w:rsid w:val="00E469FC"/>
    <w:rsid w:val="00E46F2A"/>
    <w:rsid w:val="00E4791E"/>
    <w:rsid w:val="00E512B2"/>
    <w:rsid w:val="00E601B7"/>
    <w:rsid w:val="00E72BEA"/>
    <w:rsid w:val="00E75DCC"/>
    <w:rsid w:val="00E91D2D"/>
    <w:rsid w:val="00E9395A"/>
    <w:rsid w:val="00EA1A7E"/>
    <w:rsid w:val="00EA3419"/>
    <w:rsid w:val="00EA4093"/>
    <w:rsid w:val="00EA5446"/>
    <w:rsid w:val="00EB01E0"/>
    <w:rsid w:val="00EB143B"/>
    <w:rsid w:val="00EB2821"/>
    <w:rsid w:val="00EB4B8B"/>
    <w:rsid w:val="00EB5B84"/>
    <w:rsid w:val="00EC3E9C"/>
    <w:rsid w:val="00EC6BDA"/>
    <w:rsid w:val="00ED45D9"/>
    <w:rsid w:val="00ED51F2"/>
    <w:rsid w:val="00ED70AD"/>
    <w:rsid w:val="00EE7AE9"/>
    <w:rsid w:val="00EF0FB1"/>
    <w:rsid w:val="00EF2056"/>
    <w:rsid w:val="00EF2F8F"/>
    <w:rsid w:val="00EF6C4F"/>
    <w:rsid w:val="00F03FC6"/>
    <w:rsid w:val="00F06A0C"/>
    <w:rsid w:val="00F241AB"/>
    <w:rsid w:val="00F275BD"/>
    <w:rsid w:val="00F31E7D"/>
    <w:rsid w:val="00F33AD9"/>
    <w:rsid w:val="00F44022"/>
    <w:rsid w:val="00F56222"/>
    <w:rsid w:val="00F663A4"/>
    <w:rsid w:val="00F66C78"/>
    <w:rsid w:val="00F70192"/>
    <w:rsid w:val="00F71771"/>
    <w:rsid w:val="00F72AB2"/>
    <w:rsid w:val="00F72B80"/>
    <w:rsid w:val="00F772B1"/>
    <w:rsid w:val="00F85E4E"/>
    <w:rsid w:val="00F8698A"/>
    <w:rsid w:val="00F87C2F"/>
    <w:rsid w:val="00F93911"/>
    <w:rsid w:val="00F9409C"/>
    <w:rsid w:val="00F943AD"/>
    <w:rsid w:val="00F95911"/>
    <w:rsid w:val="00F95E87"/>
    <w:rsid w:val="00F96D4E"/>
    <w:rsid w:val="00FA19D9"/>
    <w:rsid w:val="00FA33CF"/>
    <w:rsid w:val="00FA57D8"/>
    <w:rsid w:val="00FB7F57"/>
    <w:rsid w:val="00FC70E5"/>
    <w:rsid w:val="00FD0C7F"/>
    <w:rsid w:val="00FD6D88"/>
    <w:rsid w:val="00FE089F"/>
    <w:rsid w:val="00FE0E11"/>
    <w:rsid w:val="00FE4051"/>
    <w:rsid w:val="00FE783A"/>
    <w:rsid w:val="00FF24BB"/>
    <w:rsid w:val="00FF33F8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2C6B56-0EB3-408B-83B3-8A468543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4A0BB2"/>
    <w:pPr>
      <w:keepNext/>
      <w:outlineLvl w:val="0"/>
    </w:pPr>
    <w:rPr>
      <w:u w:val="single"/>
      <w:lang w:eastAsia="cs-CZ"/>
    </w:rPr>
  </w:style>
  <w:style w:type="paragraph" w:styleId="Nadpis2">
    <w:name w:val="heading 2"/>
    <w:basedOn w:val="Normlny"/>
    <w:next w:val="Normlny"/>
    <w:qFormat/>
    <w:rsid w:val="004A0BB2"/>
    <w:pPr>
      <w:keepNext/>
      <w:outlineLvl w:val="1"/>
    </w:pPr>
    <w:rPr>
      <w:i/>
      <w:iCs/>
      <w:lang w:eastAsia="cs-CZ"/>
    </w:rPr>
  </w:style>
  <w:style w:type="paragraph" w:styleId="Nadpis3">
    <w:name w:val="heading 3"/>
    <w:basedOn w:val="Normlny"/>
    <w:next w:val="Normlny"/>
    <w:qFormat/>
    <w:rsid w:val="004A0BB2"/>
    <w:pPr>
      <w:keepNext/>
      <w:outlineLvl w:val="2"/>
    </w:pPr>
    <w:rPr>
      <w:b/>
      <w:bCs/>
      <w:lang w:eastAsia="cs-CZ"/>
    </w:rPr>
  </w:style>
  <w:style w:type="paragraph" w:styleId="Nadpis4">
    <w:name w:val="heading 4"/>
    <w:basedOn w:val="Normlny"/>
    <w:next w:val="Normlny"/>
    <w:qFormat/>
    <w:rsid w:val="004A0BB2"/>
    <w:pPr>
      <w:keepNext/>
      <w:outlineLvl w:val="3"/>
    </w:pPr>
    <w:rPr>
      <w:b/>
      <w:bCs/>
      <w:sz w:val="28"/>
      <w:lang w:eastAsia="cs-CZ"/>
    </w:rPr>
  </w:style>
  <w:style w:type="paragraph" w:styleId="Nadpis5">
    <w:name w:val="heading 5"/>
    <w:basedOn w:val="Normlny"/>
    <w:next w:val="Normlny"/>
    <w:qFormat/>
    <w:rsid w:val="004A0BB2"/>
    <w:pPr>
      <w:keepNext/>
      <w:jc w:val="center"/>
      <w:outlineLvl w:val="4"/>
    </w:pPr>
    <w:rPr>
      <w:b/>
      <w:bCs/>
      <w:lang w:eastAsia="cs-CZ"/>
    </w:rPr>
  </w:style>
  <w:style w:type="paragraph" w:styleId="Nadpis6">
    <w:name w:val="heading 6"/>
    <w:basedOn w:val="Normlny"/>
    <w:next w:val="Normlny"/>
    <w:qFormat/>
    <w:rsid w:val="004A0BB2"/>
    <w:pPr>
      <w:keepNext/>
      <w:spacing w:line="360" w:lineRule="auto"/>
      <w:outlineLvl w:val="5"/>
    </w:pPr>
    <w:rPr>
      <w:rFonts w:ascii="Arial" w:hAnsi="Arial" w:cs="Arial"/>
      <w:i/>
      <w:iCs/>
      <w:sz w:val="20"/>
      <w:lang w:eastAsia="cs-CZ"/>
    </w:rPr>
  </w:style>
  <w:style w:type="paragraph" w:styleId="Nadpis7">
    <w:name w:val="heading 7"/>
    <w:basedOn w:val="Normlny"/>
    <w:next w:val="Normlny"/>
    <w:qFormat/>
    <w:rsid w:val="004A0BB2"/>
    <w:pPr>
      <w:keepNext/>
      <w:ind w:left="360"/>
      <w:outlineLvl w:val="6"/>
    </w:pPr>
    <w:rPr>
      <w:b/>
      <w:bCs/>
      <w:lang w:eastAsia="cs-CZ"/>
    </w:rPr>
  </w:style>
  <w:style w:type="paragraph" w:styleId="Nadpis8">
    <w:name w:val="heading 8"/>
    <w:basedOn w:val="Normlny"/>
    <w:next w:val="Normlny"/>
    <w:qFormat/>
    <w:rsid w:val="004A0BB2"/>
    <w:pPr>
      <w:keepNext/>
      <w:ind w:left="360"/>
      <w:outlineLvl w:val="7"/>
    </w:pPr>
    <w:rPr>
      <w:u w:val="single"/>
      <w:lang w:eastAsia="cs-CZ"/>
    </w:rPr>
  </w:style>
  <w:style w:type="paragraph" w:styleId="Nadpis9">
    <w:name w:val="heading 9"/>
    <w:basedOn w:val="Normlny"/>
    <w:next w:val="Normlny"/>
    <w:qFormat/>
    <w:rsid w:val="004A0BB2"/>
    <w:pPr>
      <w:keepNext/>
      <w:ind w:left="360"/>
      <w:outlineLvl w:val="8"/>
    </w:pPr>
    <w:rPr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B303B"/>
    <w:rPr>
      <w:color w:val="0000FF"/>
      <w:u w:val="single"/>
    </w:rPr>
  </w:style>
  <w:style w:type="table" w:styleId="Mriekatabuky">
    <w:name w:val="Table Grid"/>
    <w:basedOn w:val="Normlnatabuka"/>
    <w:rsid w:val="00C47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rsid w:val="004A0BB2"/>
    <w:pPr>
      <w:ind w:left="360"/>
    </w:pPr>
    <w:rPr>
      <w:lang w:eastAsia="cs-CZ"/>
    </w:rPr>
  </w:style>
  <w:style w:type="paragraph" w:styleId="Zkladntext">
    <w:name w:val="Body Text"/>
    <w:basedOn w:val="Normlny"/>
    <w:rsid w:val="004A0BB2"/>
    <w:pPr>
      <w:spacing w:line="360" w:lineRule="auto"/>
    </w:pPr>
    <w:rPr>
      <w:rFonts w:ascii="Arial" w:hAnsi="Arial" w:cs="Arial"/>
      <w:sz w:val="20"/>
      <w:lang w:eastAsia="cs-CZ"/>
    </w:rPr>
  </w:style>
  <w:style w:type="paragraph" w:styleId="Hlavika">
    <w:name w:val="header"/>
    <w:basedOn w:val="Normlny"/>
    <w:rsid w:val="004A0BB2"/>
    <w:pPr>
      <w:tabs>
        <w:tab w:val="center" w:pos="4536"/>
        <w:tab w:val="right" w:pos="9072"/>
      </w:tabs>
    </w:pPr>
    <w:rPr>
      <w:lang w:eastAsia="cs-CZ"/>
    </w:rPr>
  </w:style>
  <w:style w:type="paragraph" w:styleId="Pta">
    <w:name w:val="footer"/>
    <w:basedOn w:val="Normlny"/>
    <w:link w:val="PtaChar"/>
    <w:uiPriority w:val="99"/>
    <w:rsid w:val="004A0BB2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BodyTextIndent21">
    <w:name w:val="Body Text Indent 21"/>
    <w:basedOn w:val="Normlny"/>
    <w:rsid w:val="004A0BB2"/>
    <w:pPr>
      <w:spacing w:line="400" w:lineRule="exact"/>
      <w:ind w:firstLine="567"/>
      <w:jc w:val="both"/>
    </w:pPr>
    <w:rPr>
      <w:spacing w:val="10"/>
      <w:sz w:val="26"/>
      <w:szCs w:val="20"/>
      <w:lang w:val="en-US" w:eastAsia="cs-CZ"/>
    </w:rPr>
  </w:style>
  <w:style w:type="paragraph" w:customStyle="1" w:styleId="BodyText1">
    <w:name w:val="Body Text1"/>
    <w:rsid w:val="004A0BB2"/>
    <w:pPr>
      <w:jc w:val="both"/>
    </w:pPr>
    <w:rPr>
      <w:rFonts w:ascii="TimokU" w:hAnsi="TimokU"/>
      <w:color w:val="000000"/>
      <w:lang w:val="en-AU" w:eastAsia="cs-CZ"/>
    </w:rPr>
  </w:style>
  <w:style w:type="paragraph" w:styleId="Zkladntext2">
    <w:name w:val="Body Text 2"/>
    <w:basedOn w:val="Normlny"/>
    <w:rsid w:val="004A0BB2"/>
    <w:rPr>
      <w:rFonts w:ascii="Arial" w:hAnsi="Arial"/>
      <w:sz w:val="22"/>
      <w:lang w:eastAsia="cs-CZ"/>
    </w:rPr>
  </w:style>
  <w:style w:type="paragraph" w:styleId="Textbubliny">
    <w:name w:val="Balloon Text"/>
    <w:basedOn w:val="Normlny"/>
    <w:semiHidden/>
    <w:rsid w:val="004A0BB2"/>
    <w:rPr>
      <w:rFonts w:ascii="Tahoma" w:hAnsi="Tahoma" w:cs="Tahoma"/>
      <w:sz w:val="16"/>
      <w:szCs w:val="16"/>
    </w:rPr>
  </w:style>
  <w:style w:type="paragraph" w:customStyle="1" w:styleId="MGGTextLeft">
    <w:name w:val="MGG Text Left"/>
    <w:basedOn w:val="Zkladntext"/>
    <w:rsid w:val="00AE269D"/>
    <w:pPr>
      <w:keepNext/>
      <w:spacing w:line="240" w:lineRule="auto"/>
      <w:ind w:left="567" w:hanging="567"/>
    </w:pPr>
    <w:rPr>
      <w:rFonts w:ascii="Times New Roman" w:hAnsi="Times New Roman" w:cs="Times New Roman"/>
      <w:sz w:val="22"/>
      <w:lang w:eastAsia="sk-SK"/>
    </w:rPr>
  </w:style>
  <w:style w:type="paragraph" w:customStyle="1" w:styleId="Default">
    <w:name w:val="Default"/>
    <w:rsid w:val="00C15A0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PtaChar">
    <w:name w:val="Päta Char"/>
    <w:link w:val="Pta"/>
    <w:uiPriority w:val="99"/>
    <w:rsid w:val="006A6C2B"/>
    <w:rPr>
      <w:sz w:val="24"/>
      <w:szCs w:val="24"/>
      <w:lang w:eastAsia="cs-CZ"/>
    </w:rPr>
  </w:style>
  <w:style w:type="character" w:styleId="Odkaznakomentr">
    <w:name w:val="annotation reference"/>
    <w:rsid w:val="000E197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E197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E1976"/>
  </w:style>
  <w:style w:type="paragraph" w:styleId="Predmetkomentra">
    <w:name w:val="annotation subject"/>
    <w:basedOn w:val="Textkomentra"/>
    <w:next w:val="Textkomentra"/>
    <w:link w:val="PredmetkomentraChar"/>
    <w:rsid w:val="000E1976"/>
    <w:rPr>
      <w:b/>
      <w:bCs/>
    </w:rPr>
  </w:style>
  <w:style w:type="character" w:customStyle="1" w:styleId="PredmetkomentraChar">
    <w:name w:val="Predmet komentára Char"/>
    <w:link w:val="Predmetkomentra"/>
    <w:rsid w:val="000E1976"/>
    <w:rPr>
      <w:b/>
      <w:bCs/>
    </w:rPr>
  </w:style>
  <w:style w:type="character" w:styleId="PouitHypertextovPrepojenie">
    <w:name w:val="FollowedHyperlink"/>
    <w:rsid w:val="007B4F0D"/>
    <w:rPr>
      <w:color w:val="800080"/>
      <w:u w:val="single"/>
    </w:rPr>
  </w:style>
  <w:style w:type="paragraph" w:styleId="Normlnywebov">
    <w:name w:val="Normal (Web)"/>
    <w:basedOn w:val="Normlny"/>
    <w:uiPriority w:val="99"/>
    <w:rsid w:val="00895457"/>
    <w:pPr>
      <w:spacing w:before="100" w:beforeAutospacing="1" w:after="100" w:afterAutospacing="1"/>
    </w:pPr>
    <w:rPr>
      <w:lang w:val="en-US" w:eastAsia="en-US"/>
    </w:rPr>
  </w:style>
  <w:style w:type="paragraph" w:styleId="Revzia">
    <w:name w:val="Revision"/>
    <w:hidden/>
    <w:uiPriority w:val="99"/>
    <w:semiHidden/>
    <w:rsid w:val="00AC607D"/>
    <w:rPr>
      <w:sz w:val="24"/>
      <w:szCs w:val="24"/>
    </w:rPr>
  </w:style>
  <w:style w:type="character" w:customStyle="1" w:styleId="hps">
    <w:name w:val="hps"/>
    <w:rsid w:val="005F1445"/>
  </w:style>
  <w:style w:type="character" w:customStyle="1" w:styleId="Nevyrieenzmienka1">
    <w:name w:val="Nevyriešená zmienka1"/>
    <w:uiPriority w:val="99"/>
    <w:semiHidden/>
    <w:unhideWhenUsed/>
    <w:rsid w:val="009829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7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303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3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2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117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1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79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37C2A-27E9-441E-B812-E6D19EF5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4252</Words>
  <Characters>24237</Characters>
  <Application>Microsoft Office Word</Application>
  <DocSecurity>0</DocSecurity>
  <Lines>201</Lines>
  <Paragraphs>56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Súhrn charakteristických vlastností lieku</vt:lpstr>
      <vt:lpstr>Súhrn charakteristických vlastností lieku</vt:lpstr>
      <vt:lpstr>Súhrn charakteristických vlastností lieku</vt:lpstr>
    </vt:vector>
  </TitlesOfParts>
  <Company>Actavis</Company>
  <LinksUpToDate>false</LinksUpToDate>
  <CharactersWithSpaces>28433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Katka</dc:creator>
  <cp:lastModifiedBy>Repiščáková, Janka</cp:lastModifiedBy>
  <cp:revision>5</cp:revision>
  <cp:lastPrinted>2019-05-20T07:45:00Z</cp:lastPrinted>
  <dcterms:created xsi:type="dcterms:W3CDTF">2020-03-30T13:18:00Z</dcterms:created>
  <dcterms:modified xsi:type="dcterms:W3CDTF">2020-05-07T07:03:00Z</dcterms:modified>
</cp:coreProperties>
</file>