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6F" w:rsidRPr="0094644C" w:rsidRDefault="00BD0B6F" w:rsidP="00FD5065">
      <w:pPr>
        <w:pStyle w:val="Nadpis5"/>
        <w:ind w:left="709" w:hanging="709"/>
        <w:rPr>
          <w:caps/>
          <w:sz w:val="22"/>
          <w:szCs w:val="22"/>
        </w:rPr>
      </w:pPr>
      <w:r w:rsidRPr="0094644C">
        <w:rPr>
          <w:caps/>
          <w:sz w:val="22"/>
          <w:szCs w:val="22"/>
        </w:rPr>
        <w:t>Súhrn charakteristických vlastností lieku</w:t>
      </w: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</w:p>
    <w:p w:rsidR="00D0777A" w:rsidRPr="0094644C" w:rsidRDefault="00D0777A">
      <w:pPr>
        <w:jc w:val="both"/>
        <w:rPr>
          <w:b/>
          <w:bCs/>
          <w:sz w:val="22"/>
          <w:szCs w:val="22"/>
        </w:rPr>
      </w:pPr>
    </w:p>
    <w:p w:rsidR="00BD0B6F" w:rsidRPr="0094644C" w:rsidRDefault="00BD0B6F" w:rsidP="00D0777A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NÁZOV LIEKU</w:t>
      </w:r>
    </w:p>
    <w:p w:rsidR="00D0777A" w:rsidRPr="0094644C" w:rsidRDefault="00D0777A">
      <w:pPr>
        <w:outlineLvl w:val="0"/>
        <w:rPr>
          <w:bCs/>
          <w:sz w:val="22"/>
          <w:szCs w:val="22"/>
        </w:rPr>
      </w:pPr>
    </w:p>
    <w:p w:rsidR="00B2649B" w:rsidRPr="009930C7" w:rsidRDefault="00D93693">
      <w:pPr>
        <w:outlineLvl w:val="0"/>
        <w:rPr>
          <w:bCs/>
          <w:sz w:val="22"/>
          <w:szCs w:val="22"/>
        </w:rPr>
      </w:pPr>
      <w:r w:rsidRPr="00944C00">
        <w:rPr>
          <w:bCs/>
          <w:sz w:val="22"/>
          <w:szCs w:val="22"/>
        </w:rPr>
        <w:t>Robicold</w:t>
      </w:r>
      <w:r w:rsidR="00B47FA8" w:rsidRPr="009930C7">
        <w:rPr>
          <w:bCs/>
          <w:sz w:val="22"/>
          <w:szCs w:val="22"/>
        </w:rPr>
        <w:t xml:space="preserve"> </w:t>
      </w:r>
    </w:p>
    <w:p w:rsidR="0092331E" w:rsidRPr="0094644C" w:rsidRDefault="0092331E">
      <w:pPr>
        <w:outlineLvl w:val="0"/>
        <w:rPr>
          <w:bCs/>
          <w:sz w:val="22"/>
          <w:szCs w:val="22"/>
        </w:rPr>
      </w:pPr>
      <w:r w:rsidRPr="0094644C">
        <w:rPr>
          <w:bCs/>
          <w:sz w:val="22"/>
          <w:szCs w:val="22"/>
        </w:rPr>
        <w:t>200 mg/30 mg obalené tablety</w:t>
      </w:r>
    </w:p>
    <w:p w:rsidR="00BD0B6F" w:rsidRPr="0094644C" w:rsidRDefault="00BD0B6F" w:rsidP="00D0777A">
      <w:pPr>
        <w:jc w:val="both"/>
        <w:rPr>
          <w:b/>
          <w:bCs/>
          <w:sz w:val="22"/>
          <w:szCs w:val="22"/>
        </w:rPr>
      </w:pPr>
    </w:p>
    <w:p w:rsidR="00D0777A" w:rsidRPr="0094644C" w:rsidRDefault="00D0777A" w:rsidP="00D0777A">
      <w:pPr>
        <w:jc w:val="both"/>
        <w:rPr>
          <w:b/>
          <w:bCs/>
          <w:sz w:val="22"/>
          <w:szCs w:val="22"/>
        </w:rPr>
      </w:pPr>
    </w:p>
    <w:p w:rsidR="00BD0B6F" w:rsidRPr="0094644C" w:rsidRDefault="00D0777A" w:rsidP="00D0777A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2.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KVALITATÍVNE A KVANTITATÍVNE ZLOŽENIE</w:t>
      </w:r>
    </w:p>
    <w:p w:rsidR="00D0777A" w:rsidRPr="0094644C" w:rsidRDefault="00D0777A">
      <w:pPr>
        <w:outlineLvl w:val="0"/>
        <w:rPr>
          <w:sz w:val="22"/>
          <w:szCs w:val="22"/>
        </w:rPr>
      </w:pPr>
    </w:p>
    <w:p w:rsidR="0092331E" w:rsidRPr="00311E26" w:rsidRDefault="0092331E">
      <w:pPr>
        <w:outlineLvl w:val="0"/>
        <w:rPr>
          <w:b/>
          <w:sz w:val="22"/>
          <w:szCs w:val="22"/>
        </w:rPr>
      </w:pPr>
      <w:r w:rsidRPr="00311E26">
        <w:rPr>
          <w:b/>
          <w:sz w:val="22"/>
          <w:szCs w:val="22"/>
        </w:rPr>
        <w:t>Liečivá</w:t>
      </w:r>
      <w:r w:rsidRPr="00311E26">
        <w:rPr>
          <w:b/>
          <w:sz w:val="22"/>
          <w:szCs w:val="22"/>
        </w:rPr>
        <w:tab/>
      </w:r>
      <w:r w:rsidRPr="00311E26">
        <w:rPr>
          <w:b/>
          <w:sz w:val="22"/>
          <w:szCs w:val="22"/>
        </w:rPr>
        <w:tab/>
      </w:r>
      <w:r w:rsidRPr="00311E26">
        <w:rPr>
          <w:b/>
          <w:sz w:val="22"/>
          <w:szCs w:val="22"/>
        </w:rPr>
        <w:tab/>
      </w:r>
      <w:r w:rsidRPr="00311E26">
        <w:rPr>
          <w:b/>
          <w:sz w:val="22"/>
          <w:szCs w:val="22"/>
        </w:rPr>
        <w:tab/>
      </w:r>
      <w:r w:rsidRPr="00311E26">
        <w:rPr>
          <w:b/>
          <w:sz w:val="22"/>
          <w:szCs w:val="22"/>
        </w:rPr>
        <w:tab/>
      </w:r>
      <w:r w:rsidR="006718A6" w:rsidRPr="00311E26">
        <w:rPr>
          <w:b/>
          <w:sz w:val="22"/>
          <w:szCs w:val="22"/>
        </w:rPr>
        <w:t xml:space="preserve">v </w:t>
      </w:r>
      <w:r w:rsidRPr="00311E26">
        <w:rPr>
          <w:b/>
          <w:sz w:val="22"/>
          <w:szCs w:val="22"/>
        </w:rPr>
        <w:t>tablet</w:t>
      </w:r>
      <w:r w:rsidR="006718A6" w:rsidRPr="00311E26">
        <w:rPr>
          <w:b/>
          <w:sz w:val="22"/>
          <w:szCs w:val="22"/>
        </w:rPr>
        <w:t>e</w:t>
      </w:r>
    </w:p>
    <w:p w:rsidR="00BD0B6F" w:rsidRPr="00B61ED1" w:rsidRDefault="00E46823">
      <w:pPr>
        <w:outlineLvl w:val="0"/>
        <w:rPr>
          <w:sz w:val="22"/>
          <w:szCs w:val="22"/>
        </w:rPr>
      </w:pPr>
      <w:r>
        <w:rPr>
          <w:sz w:val="22"/>
          <w:szCs w:val="22"/>
        </w:rPr>
        <w:t>Ibuprofén</w:t>
      </w:r>
      <w:r w:rsidR="00B61ED1" w:rsidRPr="00B61ED1">
        <w:rPr>
          <w:sz w:val="22"/>
          <w:szCs w:val="22"/>
        </w:rPr>
        <w:t xml:space="preserve"> </w:t>
      </w:r>
      <w:r w:rsidR="00311E26">
        <w:rPr>
          <w:sz w:val="22"/>
          <w:szCs w:val="22"/>
        </w:rPr>
        <w:tab/>
      </w:r>
      <w:r w:rsidR="00B61ED1" w:rsidRPr="00B61ED1">
        <w:rPr>
          <w:sz w:val="22"/>
          <w:szCs w:val="22"/>
        </w:rPr>
        <w:t xml:space="preserve"> </w:t>
      </w:r>
      <w:r w:rsidR="0092331E" w:rsidRPr="00B61ED1">
        <w:rPr>
          <w:sz w:val="22"/>
          <w:szCs w:val="22"/>
        </w:rPr>
        <w:t xml:space="preserve">                        </w:t>
      </w:r>
      <w:r w:rsidR="00BD0B6F" w:rsidRPr="00B61ED1">
        <w:rPr>
          <w:sz w:val="22"/>
          <w:szCs w:val="22"/>
        </w:rPr>
        <w:t xml:space="preserve"> </w:t>
      </w:r>
      <w:r w:rsidR="0092331E" w:rsidRPr="00B61ED1">
        <w:rPr>
          <w:sz w:val="22"/>
          <w:szCs w:val="22"/>
        </w:rPr>
        <w:tab/>
      </w:r>
      <w:r w:rsidR="00BD0B6F" w:rsidRPr="00B61ED1">
        <w:rPr>
          <w:sz w:val="22"/>
          <w:szCs w:val="22"/>
        </w:rPr>
        <w:t>200 mg</w:t>
      </w:r>
    </w:p>
    <w:p w:rsidR="00BD0B6F" w:rsidRPr="00B61ED1" w:rsidRDefault="00244D1A">
      <w:pPr>
        <w:outlineLvl w:val="0"/>
        <w:rPr>
          <w:sz w:val="22"/>
          <w:szCs w:val="22"/>
        </w:rPr>
      </w:pPr>
      <w:r w:rsidRPr="00B61ED1">
        <w:rPr>
          <w:sz w:val="22"/>
          <w:szCs w:val="22"/>
        </w:rPr>
        <w:t>Pseudoefedrín</w:t>
      </w:r>
      <w:r w:rsidR="00CC2390" w:rsidRPr="00B61ED1">
        <w:rPr>
          <w:sz w:val="22"/>
          <w:szCs w:val="22"/>
        </w:rPr>
        <w:t>ium</w:t>
      </w:r>
      <w:r w:rsidRPr="00B61ED1">
        <w:rPr>
          <w:sz w:val="22"/>
          <w:szCs w:val="22"/>
        </w:rPr>
        <w:t>chlorid</w:t>
      </w:r>
      <w:r w:rsidR="0092331E" w:rsidRPr="00B61ED1">
        <w:rPr>
          <w:sz w:val="22"/>
          <w:szCs w:val="22"/>
        </w:rPr>
        <w:tab/>
      </w:r>
      <w:r w:rsidRPr="00B61ED1">
        <w:rPr>
          <w:sz w:val="22"/>
          <w:szCs w:val="22"/>
        </w:rPr>
        <w:tab/>
      </w:r>
      <w:r w:rsidR="00BD0B6F" w:rsidRPr="00B61ED1">
        <w:rPr>
          <w:sz w:val="22"/>
          <w:szCs w:val="22"/>
        </w:rPr>
        <w:t>30 mg</w:t>
      </w:r>
    </w:p>
    <w:p w:rsidR="00BD0B6F" w:rsidRPr="00B61ED1" w:rsidRDefault="00BD0B6F">
      <w:pPr>
        <w:outlineLvl w:val="0"/>
        <w:rPr>
          <w:sz w:val="22"/>
          <w:szCs w:val="22"/>
        </w:rPr>
      </w:pPr>
    </w:p>
    <w:p w:rsidR="00B31073" w:rsidRPr="0094644C" w:rsidRDefault="00B31073" w:rsidP="00D0777A">
      <w:pPr>
        <w:rPr>
          <w:bCs/>
          <w:sz w:val="22"/>
          <w:szCs w:val="22"/>
        </w:rPr>
      </w:pPr>
      <w:r w:rsidRPr="00B61ED1">
        <w:rPr>
          <w:bCs/>
          <w:sz w:val="22"/>
          <w:szCs w:val="22"/>
          <w:u w:val="single"/>
        </w:rPr>
        <w:t>Pomocné látky</w:t>
      </w:r>
      <w:r w:rsidR="006718A6" w:rsidRPr="00B61ED1">
        <w:rPr>
          <w:bCs/>
          <w:sz w:val="22"/>
          <w:szCs w:val="22"/>
          <w:u w:val="single"/>
        </w:rPr>
        <w:t xml:space="preserve"> so známym účinkom</w:t>
      </w:r>
      <w:r w:rsidRPr="00B61ED1">
        <w:rPr>
          <w:bCs/>
          <w:sz w:val="22"/>
          <w:szCs w:val="22"/>
          <w:u w:val="single"/>
        </w:rPr>
        <w:t>:</w:t>
      </w:r>
      <w:r w:rsidRPr="0094644C">
        <w:rPr>
          <w:bCs/>
          <w:sz w:val="22"/>
          <w:szCs w:val="22"/>
        </w:rPr>
        <w:t xml:space="preserve"> Každá tableta obsahuje 174,6 mg sacharózy, 0,003 mg </w:t>
      </w:r>
      <w:r w:rsidR="00846311" w:rsidRPr="0094644C">
        <w:rPr>
          <w:sz w:val="22"/>
          <w:szCs w:val="22"/>
        </w:rPr>
        <w:t>metylparahydroxybenzoátu</w:t>
      </w:r>
      <w:r w:rsidR="00846311" w:rsidRPr="0094644C">
        <w:rPr>
          <w:bCs/>
          <w:sz w:val="22"/>
          <w:szCs w:val="22"/>
        </w:rPr>
        <w:t xml:space="preserve"> (E218)</w:t>
      </w:r>
      <w:r w:rsidRPr="0094644C">
        <w:rPr>
          <w:bCs/>
          <w:sz w:val="22"/>
          <w:szCs w:val="22"/>
        </w:rPr>
        <w:t xml:space="preserve"> a 0,002 mg </w:t>
      </w:r>
      <w:r w:rsidR="00846311" w:rsidRPr="0094644C">
        <w:rPr>
          <w:sz w:val="22"/>
          <w:szCs w:val="22"/>
        </w:rPr>
        <w:t xml:space="preserve">propylparahydroxybenzoátu </w:t>
      </w:r>
      <w:r w:rsidRPr="0094644C">
        <w:rPr>
          <w:bCs/>
          <w:sz w:val="22"/>
          <w:szCs w:val="22"/>
        </w:rPr>
        <w:t>(E216).</w:t>
      </w:r>
    </w:p>
    <w:p w:rsidR="00B31073" w:rsidRPr="0094644C" w:rsidRDefault="00B31073" w:rsidP="00D0777A">
      <w:pPr>
        <w:rPr>
          <w:bCs/>
          <w:sz w:val="22"/>
          <w:szCs w:val="22"/>
        </w:rPr>
      </w:pPr>
    </w:p>
    <w:p w:rsidR="00D0777A" w:rsidRPr="0094644C" w:rsidRDefault="00D0777A" w:rsidP="00D0777A">
      <w:pPr>
        <w:rPr>
          <w:bCs/>
          <w:sz w:val="22"/>
          <w:szCs w:val="22"/>
        </w:rPr>
      </w:pPr>
      <w:r w:rsidRPr="0094644C">
        <w:rPr>
          <w:bCs/>
          <w:sz w:val="22"/>
          <w:szCs w:val="22"/>
        </w:rPr>
        <w:t>Úplný zoznam pomocných látok, pozri časť 6.1.</w:t>
      </w:r>
    </w:p>
    <w:p w:rsidR="00D0777A" w:rsidRPr="0094644C" w:rsidRDefault="00D0777A" w:rsidP="00D0777A">
      <w:pPr>
        <w:rPr>
          <w:b/>
          <w:bCs/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</w:p>
    <w:p w:rsidR="00BD0B6F" w:rsidRPr="0094644C" w:rsidRDefault="00D0777A" w:rsidP="00D0777A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3.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LIEKOVÁ FORMA</w:t>
      </w:r>
    </w:p>
    <w:p w:rsidR="00CF6429" w:rsidRPr="0094644C" w:rsidRDefault="00CF6429">
      <w:pPr>
        <w:rPr>
          <w:sz w:val="22"/>
          <w:szCs w:val="22"/>
        </w:rPr>
      </w:pPr>
    </w:p>
    <w:p w:rsidR="00BD0B6F" w:rsidRPr="0094644C" w:rsidRDefault="00B31073">
      <w:pPr>
        <w:rPr>
          <w:sz w:val="22"/>
          <w:szCs w:val="22"/>
        </w:rPr>
      </w:pPr>
      <w:r w:rsidRPr="0094644C">
        <w:rPr>
          <w:sz w:val="22"/>
          <w:szCs w:val="22"/>
        </w:rPr>
        <w:t>Obalené tablety.</w:t>
      </w:r>
    </w:p>
    <w:p w:rsidR="00B31073" w:rsidRPr="0094644C" w:rsidRDefault="005F503E">
      <w:pPr>
        <w:rPr>
          <w:sz w:val="22"/>
          <w:szCs w:val="22"/>
        </w:rPr>
      </w:pPr>
      <w:r w:rsidRPr="0094644C">
        <w:rPr>
          <w:sz w:val="22"/>
          <w:szCs w:val="22"/>
        </w:rPr>
        <w:t>Obalené tablety oválneho tvaru s maslovým zafarbením a čiernym atramentom vyrazeným „200/30“ na jednej strane.</w:t>
      </w:r>
    </w:p>
    <w:p w:rsidR="00BD0B6F" w:rsidRPr="0094644C" w:rsidRDefault="00BD0B6F" w:rsidP="00D0777A">
      <w:pPr>
        <w:jc w:val="both"/>
        <w:rPr>
          <w:sz w:val="22"/>
          <w:szCs w:val="22"/>
        </w:rPr>
      </w:pPr>
    </w:p>
    <w:p w:rsidR="00D0777A" w:rsidRPr="0094644C" w:rsidRDefault="00D0777A" w:rsidP="00D0777A">
      <w:pPr>
        <w:jc w:val="both"/>
        <w:rPr>
          <w:sz w:val="22"/>
          <w:szCs w:val="22"/>
        </w:rPr>
      </w:pPr>
    </w:p>
    <w:p w:rsidR="00BD0B6F" w:rsidRPr="0094644C" w:rsidRDefault="00D0777A" w:rsidP="00D0777A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KLINICKÉ ÚDAJE</w:t>
      </w:r>
    </w:p>
    <w:p w:rsidR="00D0777A" w:rsidRPr="0094644C" w:rsidRDefault="00D0777A" w:rsidP="00D0777A">
      <w:pPr>
        <w:jc w:val="both"/>
        <w:rPr>
          <w:b/>
          <w:bCs/>
          <w:sz w:val="22"/>
          <w:szCs w:val="22"/>
        </w:rPr>
      </w:pPr>
    </w:p>
    <w:p w:rsidR="00BD0B6F" w:rsidRPr="0094644C" w:rsidRDefault="00D0777A" w:rsidP="00D0777A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4.1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Terapeutické indikácie</w:t>
      </w:r>
    </w:p>
    <w:p w:rsidR="00D0777A" w:rsidRPr="0094644C" w:rsidRDefault="00D0777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ED6574" w:rsidRPr="0094644C" w:rsidRDefault="005F503E" w:rsidP="00ED6574">
      <w:pPr>
        <w:rPr>
          <w:sz w:val="22"/>
          <w:szCs w:val="22"/>
        </w:rPr>
      </w:pPr>
      <w:r w:rsidRPr="0094644C">
        <w:rPr>
          <w:sz w:val="22"/>
          <w:szCs w:val="22"/>
        </w:rPr>
        <w:t>Symptomatick</w:t>
      </w:r>
      <w:r w:rsidR="004F4D44" w:rsidRPr="0094644C">
        <w:rPr>
          <w:sz w:val="22"/>
          <w:szCs w:val="22"/>
        </w:rPr>
        <w:t>é</w:t>
      </w:r>
      <w:r w:rsidRPr="0094644C">
        <w:rPr>
          <w:sz w:val="22"/>
          <w:szCs w:val="22"/>
        </w:rPr>
        <w:t xml:space="preserve"> </w:t>
      </w:r>
      <w:r w:rsidR="00ED6574" w:rsidRPr="0094644C">
        <w:rPr>
          <w:sz w:val="22"/>
          <w:szCs w:val="22"/>
        </w:rPr>
        <w:t>zmiernenie</w:t>
      </w:r>
      <w:r w:rsidRPr="0094644C">
        <w:rPr>
          <w:sz w:val="22"/>
          <w:szCs w:val="22"/>
        </w:rPr>
        <w:t xml:space="preserve"> </w:t>
      </w:r>
      <w:r w:rsidR="00ED6574" w:rsidRPr="0094644C">
        <w:rPr>
          <w:sz w:val="22"/>
          <w:szCs w:val="22"/>
        </w:rPr>
        <w:t xml:space="preserve">upchatia nosa a prinosových dutín spojené s bolesťou hlavy, horúčkou a bolesťou súvisiacou s prechladnutím a chrípkou. </w:t>
      </w:r>
      <w:r w:rsidR="006718A6">
        <w:rPr>
          <w:sz w:val="22"/>
          <w:szCs w:val="22"/>
        </w:rPr>
        <w:t xml:space="preserve">Robicold je </w:t>
      </w:r>
      <w:r w:rsidR="006718A6" w:rsidRPr="0094644C">
        <w:rPr>
          <w:sz w:val="22"/>
          <w:szCs w:val="22"/>
        </w:rPr>
        <w:t>u</w:t>
      </w:r>
      <w:r w:rsidR="00ED6574" w:rsidRPr="0094644C">
        <w:rPr>
          <w:sz w:val="22"/>
          <w:szCs w:val="22"/>
        </w:rPr>
        <w:t>rčený pre dospelých a dospievajúcich vo veku od 12 rokov.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4.2</w:t>
      </w:r>
      <w:r w:rsidR="00D0777A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Dávkovanie a spôsob podávania</w:t>
      </w:r>
    </w:p>
    <w:p w:rsidR="00D0777A" w:rsidRPr="0094644C" w:rsidRDefault="00D0777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94644C" w:rsidRDefault="0044657A" w:rsidP="00CC2390">
      <w:pPr>
        <w:rPr>
          <w:sz w:val="22"/>
          <w:szCs w:val="22"/>
        </w:rPr>
      </w:pPr>
      <w:r w:rsidRPr="0094644C">
        <w:rPr>
          <w:sz w:val="22"/>
          <w:szCs w:val="22"/>
        </w:rPr>
        <w:t>N</w:t>
      </w:r>
      <w:r w:rsidR="00CC2390" w:rsidRPr="0094644C">
        <w:rPr>
          <w:sz w:val="22"/>
          <w:szCs w:val="22"/>
        </w:rPr>
        <w:t xml:space="preserve">a perorálne podanie a krátkodobé použitie. 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 xml:space="preserve">Tento kombinovaný liek sa má používať vtedy, keď sa vyžaduje dekongesčné pôsobenie pseudoefedríniumchloridu a analgetické a/alebo protizápalové pôsobenie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644C">
        <w:rPr>
          <w:rFonts w:ascii="Times New Roman" w:hAnsi="Times New Roman" w:cs="Times New Roman"/>
          <w:sz w:val="22"/>
          <w:szCs w:val="22"/>
        </w:rPr>
        <w:t>u. Pokiaľ prevažuje jeden symptóm (buď upchatie nosa alebo bolesť hlavy a/alebo horúčka), uprednostňuje sa jednozložková liečba.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94644C" w:rsidRDefault="00CC2390" w:rsidP="00CC2390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Dospelí, starší ľudia a </w:t>
      </w:r>
      <w:r w:rsidR="009930C7">
        <w:rPr>
          <w:sz w:val="22"/>
          <w:szCs w:val="22"/>
          <w:u w:val="single"/>
        </w:rPr>
        <w:t>dospievajúci</w:t>
      </w:r>
      <w:r w:rsidR="000430BF" w:rsidRPr="0094644C">
        <w:rPr>
          <w:sz w:val="22"/>
          <w:szCs w:val="22"/>
          <w:u w:val="single"/>
        </w:rPr>
        <w:t xml:space="preserve"> nad </w:t>
      </w:r>
      <w:r w:rsidRPr="0094644C">
        <w:rPr>
          <w:sz w:val="22"/>
          <w:szCs w:val="22"/>
          <w:u w:val="single"/>
        </w:rPr>
        <w:t>12 rokov:</w:t>
      </w:r>
    </w:p>
    <w:p w:rsidR="00145467" w:rsidRPr="00B84F96" w:rsidRDefault="00145467" w:rsidP="00145467">
      <w:pPr>
        <w:rPr>
          <w:sz w:val="22"/>
          <w:szCs w:val="22"/>
        </w:rPr>
      </w:pPr>
      <w:r w:rsidRPr="00B84F96">
        <w:rPr>
          <w:sz w:val="22"/>
          <w:szCs w:val="22"/>
        </w:rPr>
        <w:t>Nežiaduce účinky možno minimalizovať podávaním najnižšej účinnej dávky počas najkratš</w:t>
      </w:r>
      <w:r w:rsidR="009930C7">
        <w:rPr>
          <w:sz w:val="22"/>
          <w:szCs w:val="22"/>
        </w:rPr>
        <w:t xml:space="preserve">ej </w:t>
      </w:r>
      <w:r w:rsidRPr="00B84F96">
        <w:rPr>
          <w:sz w:val="22"/>
          <w:szCs w:val="22"/>
        </w:rPr>
        <w:t>potrebn</w:t>
      </w:r>
      <w:r w:rsidR="009930C7">
        <w:rPr>
          <w:sz w:val="22"/>
          <w:szCs w:val="22"/>
        </w:rPr>
        <w:t>ej doby</w:t>
      </w:r>
      <w:r w:rsidRPr="00B84F96">
        <w:rPr>
          <w:sz w:val="22"/>
          <w:szCs w:val="22"/>
        </w:rPr>
        <w:t xml:space="preserve"> na kontrolu príznakov (pozri časť 4.4). </w:t>
      </w:r>
    </w:p>
    <w:p w:rsidR="00CC2390" w:rsidRDefault="00CC2390" w:rsidP="00CC2390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Pacient sa má poradiť s lekárom, ak príznaky pretrvávajú alebo sa zhoršujú alebo ak je liek potrebné podávať dlhšie ako 3 dni. </w:t>
      </w:r>
    </w:p>
    <w:p w:rsidR="009930C7" w:rsidRPr="0094644C" w:rsidRDefault="009930C7" w:rsidP="00CC2390">
      <w:pPr>
        <w:rPr>
          <w:sz w:val="22"/>
          <w:szCs w:val="22"/>
        </w:rPr>
      </w:pPr>
    </w:p>
    <w:p w:rsidR="009930C7" w:rsidRPr="0094644C" w:rsidRDefault="009930C7" w:rsidP="009930C7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94644C">
        <w:rPr>
          <w:rFonts w:ascii="Times New Roman" w:hAnsi="Times New Roman" w:cs="Times New Roman"/>
          <w:sz w:val="22"/>
          <w:szCs w:val="22"/>
          <w:u w:val="single"/>
        </w:rPr>
        <w:t>Dávkovanie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F61023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F61023">
        <w:rPr>
          <w:rFonts w:ascii="Times New Roman" w:hAnsi="Times New Roman" w:cs="Times New Roman"/>
          <w:sz w:val="22"/>
          <w:szCs w:val="22"/>
        </w:rPr>
        <w:t>Dospelí</w:t>
      </w:r>
      <w:r w:rsidR="00435F9A">
        <w:rPr>
          <w:rFonts w:ascii="Times New Roman" w:hAnsi="Times New Roman" w:cs="Times New Roman"/>
          <w:sz w:val="22"/>
          <w:szCs w:val="22"/>
        </w:rPr>
        <w:t xml:space="preserve"> a</w:t>
      </w:r>
      <w:r w:rsidRPr="00F61023">
        <w:rPr>
          <w:rFonts w:ascii="Times New Roman" w:hAnsi="Times New Roman" w:cs="Times New Roman"/>
          <w:sz w:val="22"/>
          <w:szCs w:val="22"/>
        </w:rPr>
        <w:t xml:space="preserve"> starší ľudia 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>Užívajte 1 alebo 2 tablety každé 4</w:t>
      </w:r>
      <w:r w:rsidR="009930C7">
        <w:rPr>
          <w:rFonts w:ascii="Times New Roman" w:hAnsi="Times New Roman" w:cs="Times New Roman"/>
          <w:sz w:val="22"/>
          <w:szCs w:val="22"/>
        </w:rPr>
        <w:t xml:space="preserve"> – </w:t>
      </w:r>
      <w:r w:rsidRPr="0094644C">
        <w:rPr>
          <w:rFonts w:ascii="Times New Roman" w:hAnsi="Times New Roman" w:cs="Times New Roman"/>
          <w:sz w:val="22"/>
          <w:szCs w:val="22"/>
        </w:rPr>
        <w:t>6 hodín až maximálne 6 tabliet v priebehu 24 hodín.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944C00" w:rsidRDefault="00CC2390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944C00">
        <w:rPr>
          <w:rFonts w:ascii="Times New Roman" w:hAnsi="Times New Roman" w:cs="Times New Roman"/>
          <w:sz w:val="22"/>
          <w:szCs w:val="22"/>
          <w:u w:val="single"/>
        </w:rPr>
        <w:t>Pediatrická populácia</w:t>
      </w:r>
    </w:p>
    <w:p w:rsidR="00435F9A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Deti vo veku o</w:t>
      </w:r>
      <w:r w:rsidR="00B73986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 12 rokov:</w:t>
      </w:r>
    </w:p>
    <w:p w:rsidR="00435F9A" w:rsidRPr="0094644C" w:rsidRDefault="00435F9A" w:rsidP="00435F9A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lastRenderedPageBreak/>
        <w:t>Užívajte 1 alebo 2 tablety každé 4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Pr="0094644C">
        <w:rPr>
          <w:rFonts w:ascii="Times New Roman" w:hAnsi="Times New Roman" w:cs="Times New Roman"/>
          <w:sz w:val="22"/>
          <w:szCs w:val="22"/>
        </w:rPr>
        <w:t>6 hodín až maximálne 6 tabliet v priebehu 24 hodín.</w:t>
      </w:r>
    </w:p>
    <w:p w:rsidR="00435F9A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435F9A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Deti vo veku do 12 rokov:</w:t>
      </w:r>
    </w:p>
    <w:p w:rsidR="00CC2390" w:rsidRPr="0094644C" w:rsidRDefault="006718A6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Robicold je kontraindikovaný u detí </w:t>
      </w:r>
      <w:r w:rsidR="00CC2390" w:rsidRPr="0094644C">
        <w:rPr>
          <w:rFonts w:ascii="Times New Roman" w:hAnsi="Times New Roman" w:cs="Times New Roman"/>
          <w:sz w:val="22"/>
          <w:szCs w:val="22"/>
        </w:rPr>
        <w:t>do 12 rokov</w:t>
      </w:r>
      <w:r>
        <w:rPr>
          <w:rFonts w:ascii="Times New Roman" w:hAnsi="Times New Roman" w:cs="Times New Roman"/>
          <w:sz w:val="22"/>
          <w:szCs w:val="22"/>
        </w:rPr>
        <w:t xml:space="preserve"> (pozri časť 4.3)</w:t>
      </w:r>
      <w:r w:rsidR="00CC2390" w:rsidRPr="0094644C">
        <w:rPr>
          <w:rFonts w:ascii="Times New Roman" w:hAnsi="Times New Roman" w:cs="Times New Roman"/>
          <w:sz w:val="22"/>
          <w:szCs w:val="22"/>
        </w:rPr>
        <w:t>.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94644C">
        <w:rPr>
          <w:rFonts w:ascii="Times New Roman" w:hAnsi="Times New Roman" w:cs="Times New Roman"/>
          <w:sz w:val="22"/>
          <w:szCs w:val="22"/>
          <w:u w:val="single"/>
        </w:rPr>
        <w:t>Renálna a</w:t>
      </w:r>
      <w:r w:rsidR="00375D73" w:rsidRPr="0094644C">
        <w:rPr>
          <w:rFonts w:ascii="Times New Roman" w:hAnsi="Times New Roman" w:cs="Times New Roman"/>
          <w:sz w:val="22"/>
          <w:szCs w:val="22"/>
          <w:u w:val="single"/>
        </w:rPr>
        <w:t> </w:t>
      </w:r>
      <w:r w:rsidRPr="0094644C">
        <w:rPr>
          <w:rFonts w:ascii="Times New Roman" w:hAnsi="Times New Roman" w:cs="Times New Roman"/>
          <w:sz w:val="22"/>
          <w:szCs w:val="22"/>
          <w:u w:val="single"/>
        </w:rPr>
        <w:t>hepatická</w:t>
      </w:r>
      <w:r w:rsidR="00375D73" w:rsidRPr="0094644C">
        <w:rPr>
          <w:rFonts w:ascii="Times New Roman" w:hAnsi="Times New Roman" w:cs="Times New Roman"/>
          <w:sz w:val="22"/>
          <w:szCs w:val="22"/>
          <w:u w:val="single"/>
        </w:rPr>
        <w:t xml:space="preserve"> insuficiencia</w:t>
      </w:r>
    </w:p>
    <w:p w:rsidR="00375D73" w:rsidRDefault="00375D73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>U pacientov s miern</w:t>
      </w:r>
      <w:r w:rsidR="00435F9A">
        <w:rPr>
          <w:rFonts w:ascii="Times New Roman" w:hAnsi="Times New Roman" w:cs="Times New Roman"/>
          <w:sz w:val="22"/>
          <w:szCs w:val="22"/>
        </w:rPr>
        <w:t>ou</w:t>
      </w:r>
      <w:r w:rsidRPr="0094644C">
        <w:rPr>
          <w:rFonts w:ascii="Times New Roman" w:hAnsi="Times New Roman" w:cs="Times New Roman"/>
          <w:sz w:val="22"/>
          <w:szCs w:val="22"/>
        </w:rPr>
        <w:t xml:space="preserve"> až stredne </w:t>
      </w:r>
      <w:r w:rsidR="00435F9A">
        <w:rPr>
          <w:rFonts w:ascii="Times New Roman" w:hAnsi="Times New Roman" w:cs="Times New Roman"/>
          <w:sz w:val="22"/>
          <w:szCs w:val="22"/>
        </w:rPr>
        <w:t>závažnou poruchou funkcie</w:t>
      </w:r>
      <w:r w:rsidRPr="0094644C">
        <w:rPr>
          <w:rFonts w:ascii="Times New Roman" w:hAnsi="Times New Roman" w:cs="Times New Roman"/>
          <w:sz w:val="22"/>
          <w:szCs w:val="22"/>
        </w:rPr>
        <w:t xml:space="preserve"> obličiek alebo pečene sa nevyžaduje zníženie dávky (pozri časť 4.4). Má sa použiť najnižšia účinná dávka.</w:t>
      </w:r>
    </w:p>
    <w:p w:rsidR="00435F9A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435F9A" w:rsidRPr="0094644C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Robicold je kontraindikovaný u pacientov so závažnou poruchou funkcie obličiek a pečene.</w:t>
      </w:r>
    </w:p>
    <w:p w:rsidR="00375D73" w:rsidRPr="0094644C" w:rsidRDefault="00375D73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375D73" w:rsidRDefault="00375D73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94644C">
        <w:rPr>
          <w:rFonts w:ascii="Times New Roman" w:hAnsi="Times New Roman" w:cs="Times New Roman"/>
          <w:sz w:val="22"/>
          <w:szCs w:val="22"/>
          <w:u w:val="single"/>
        </w:rPr>
        <w:t>Spôsob podávania</w:t>
      </w:r>
    </w:p>
    <w:p w:rsidR="009930C7" w:rsidRPr="0094644C" w:rsidRDefault="009930C7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</w:p>
    <w:p w:rsidR="00CC2390" w:rsidRPr="0094644C" w:rsidRDefault="00375D73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>Len na perorálne podávanie. Tablety sa majú zapiť pohárom vody.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4.3</w:t>
      </w:r>
      <w:r w:rsidR="00D0777A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Kontraindikácie</w:t>
      </w:r>
    </w:p>
    <w:p w:rsidR="00D0777A" w:rsidRPr="0094644C" w:rsidRDefault="00D0777A">
      <w:pPr>
        <w:jc w:val="both"/>
        <w:rPr>
          <w:sz w:val="22"/>
          <w:szCs w:val="22"/>
        </w:rPr>
      </w:pPr>
    </w:p>
    <w:p w:rsidR="00375D73" w:rsidRPr="0094644C" w:rsidRDefault="00375D73" w:rsidP="00375D73">
      <w:pPr>
        <w:numPr>
          <w:ilvl w:val="0"/>
          <w:numId w:val="19"/>
        </w:num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Použitie u detí do 12 rokov.</w:t>
      </w:r>
    </w:p>
    <w:p w:rsidR="00375D73" w:rsidRPr="0094644C" w:rsidRDefault="00375D73" w:rsidP="00375D73">
      <w:pPr>
        <w:numPr>
          <w:ilvl w:val="0"/>
          <w:numId w:val="19"/>
        </w:num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Precitlivenosť na liečivá alebo na ktorúkoľvek z pomocných látok uvedených v časti 6.1.</w:t>
      </w:r>
    </w:p>
    <w:p w:rsidR="00375D73" w:rsidRPr="0094644C" w:rsidRDefault="00375D73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Pacienti s alergiou na kyselinu acetylsalicylovú alebo na iné nesteroidové antiflogistiká (NSAID) alebo s reakciami precitlivenosti v anamnéze (napr. astma, bronchospazmus, rinitída, angioedém alebo urtikária) pri odpovedi na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, kyselinu acetylsalicylovú alebo NSAID.</w:t>
      </w:r>
    </w:p>
    <w:p w:rsidR="00375D73" w:rsidRPr="0094644C" w:rsidRDefault="00375D73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Gastrointestinálne krvácanie alebo perforácia v anamnéze </w:t>
      </w:r>
      <w:r w:rsidR="00661470" w:rsidRPr="0094644C">
        <w:rPr>
          <w:sz w:val="22"/>
          <w:szCs w:val="22"/>
        </w:rPr>
        <w:t>súvisiaca s</w:t>
      </w:r>
      <w:r w:rsidRPr="0094644C">
        <w:rPr>
          <w:sz w:val="22"/>
          <w:szCs w:val="22"/>
        </w:rPr>
        <w:t> predchádzajúc</w:t>
      </w:r>
      <w:r w:rsidR="00661470" w:rsidRPr="0094644C">
        <w:rPr>
          <w:sz w:val="22"/>
          <w:szCs w:val="22"/>
        </w:rPr>
        <w:t>ou</w:t>
      </w:r>
      <w:r w:rsidRPr="0094644C">
        <w:rPr>
          <w:sz w:val="22"/>
          <w:szCs w:val="22"/>
        </w:rPr>
        <w:t xml:space="preserve"> liečb</w:t>
      </w:r>
      <w:r w:rsidR="00661470" w:rsidRPr="0094644C">
        <w:rPr>
          <w:sz w:val="22"/>
          <w:szCs w:val="22"/>
        </w:rPr>
        <w:t>ou</w:t>
      </w:r>
      <w:r w:rsidRPr="0094644C">
        <w:rPr>
          <w:sz w:val="22"/>
          <w:szCs w:val="22"/>
        </w:rPr>
        <w:t xml:space="preserve"> NSAID.</w:t>
      </w:r>
    </w:p>
    <w:p w:rsidR="00661470" w:rsidRPr="0094644C" w:rsidRDefault="00661470" w:rsidP="00661470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Aktívny alebo rekurentný peptický vred/krvácanie v anamnéze (dva alebo viac prípadov potvrdených vredov alebo krvácaní).</w:t>
      </w:r>
    </w:p>
    <w:p w:rsidR="00661470" w:rsidRPr="0094644C" w:rsidRDefault="00661470" w:rsidP="00661470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s feochromocytómom, glaukóm s úzkym uhlom, diabetom mellitus alebo ochorením štítnej žľazy.</w:t>
      </w:r>
    </w:p>
    <w:p w:rsidR="00375D73" w:rsidRPr="0094644C" w:rsidRDefault="003A28FB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s hemoragickou mŕtvicou v anamnéze.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so srdcovými chorobami, cirkulačnými problémami, hypertrofiou prostaty, hypertenziou, ochorením koronárnych tepien, anginou pectoris, tachykardiou alebo hemoragickou diatézou</w:t>
      </w:r>
      <w:r w:rsidR="00145467">
        <w:rPr>
          <w:sz w:val="22"/>
          <w:szCs w:val="22"/>
        </w:rPr>
        <w:t>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užívajúci ostatné NSAID vrátane selektívnych inhibítorov cyklooxygenázy-2, lieky proti bolesti alebo dekongestanty.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užívajúci tricyklické antidepresíva.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Pacienti, ktorí práve užívajú inhibítory monoamino</w:t>
      </w:r>
      <w:r w:rsidR="008219BD" w:rsidRPr="0094644C">
        <w:rPr>
          <w:sz w:val="22"/>
          <w:szCs w:val="22"/>
        </w:rPr>
        <w:t>o</w:t>
      </w:r>
      <w:r w:rsidRPr="0094644C">
        <w:rPr>
          <w:sz w:val="22"/>
          <w:szCs w:val="22"/>
        </w:rPr>
        <w:t>xidázy alebo ich užívali počas uplynulých dvoch týždňov.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Pacienti so závažným </w:t>
      </w:r>
      <w:r w:rsidR="00145467">
        <w:rPr>
          <w:sz w:val="22"/>
          <w:szCs w:val="22"/>
        </w:rPr>
        <w:t xml:space="preserve">srdcovým </w:t>
      </w:r>
      <w:r w:rsidRPr="0094644C">
        <w:rPr>
          <w:sz w:val="22"/>
          <w:szCs w:val="22"/>
        </w:rPr>
        <w:t xml:space="preserve">zlyhaním </w:t>
      </w:r>
      <w:r w:rsidR="00145467" w:rsidRPr="00B84F96">
        <w:rPr>
          <w:sz w:val="22"/>
          <w:szCs w:val="22"/>
        </w:rPr>
        <w:t>(trieda IV NYHA)</w:t>
      </w:r>
      <w:r w:rsidRPr="0094644C">
        <w:rPr>
          <w:sz w:val="22"/>
          <w:szCs w:val="22"/>
        </w:rPr>
        <w:t>, zlyhaním obličiek alebo zlyhaním pečene (pozri časť 4.4).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Počas gravidity a laktácie (pozri časť 4.6).</w:t>
      </w:r>
    </w:p>
    <w:p w:rsidR="00AF1266" w:rsidRPr="0094644C" w:rsidRDefault="00AF1266" w:rsidP="00797DAA">
      <w:pPr>
        <w:rPr>
          <w:sz w:val="22"/>
          <w:szCs w:val="22"/>
        </w:rPr>
      </w:pPr>
    </w:p>
    <w:p w:rsidR="00BD0B6F" w:rsidRPr="0094644C" w:rsidRDefault="00AF1266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4.4</w:t>
      </w:r>
      <w:r w:rsidR="00F46995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Osobitné</w:t>
      </w:r>
      <w:r w:rsidR="00BD0B6F" w:rsidRPr="0094644C">
        <w:rPr>
          <w:b/>
          <w:bCs/>
          <w:sz w:val="22"/>
          <w:szCs w:val="22"/>
        </w:rPr>
        <w:t xml:space="preserve"> upozornenia</w:t>
      </w:r>
      <w:r w:rsidRPr="0094644C">
        <w:rPr>
          <w:b/>
          <w:bCs/>
          <w:sz w:val="22"/>
          <w:szCs w:val="22"/>
        </w:rPr>
        <w:t xml:space="preserve"> a opatrenia pri používaní</w:t>
      </w:r>
    </w:p>
    <w:p w:rsidR="00F46995" w:rsidRPr="0094644C" w:rsidRDefault="00F46995" w:rsidP="00797DAA">
      <w:pPr>
        <w:jc w:val="both"/>
        <w:rPr>
          <w:bCs/>
          <w:sz w:val="22"/>
          <w:szCs w:val="22"/>
        </w:rPr>
      </w:pPr>
    </w:p>
    <w:p w:rsidR="00F063BA" w:rsidRPr="0094644C" w:rsidRDefault="00F063BA" w:rsidP="00F063BA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bCs/>
          <w:sz w:val="22"/>
          <w:szCs w:val="22"/>
        </w:rPr>
        <w:t xml:space="preserve">Má sa vyhnúť súbežnému používaniu </w:t>
      </w:r>
      <w:r w:rsidR="00D93693">
        <w:rPr>
          <w:bCs/>
          <w:sz w:val="22"/>
          <w:szCs w:val="22"/>
        </w:rPr>
        <w:t>Robicold</w:t>
      </w:r>
      <w:r w:rsidR="00BE773F" w:rsidRPr="0094644C">
        <w:rPr>
          <w:bCs/>
          <w:sz w:val="22"/>
          <w:szCs w:val="22"/>
        </w:rPr>
        <w:t>u</w:t>
      </w:r>
      <w:r w:rsidRPr="0094644C">
        <w:rPr>
          <w:bCs/>
          <w:sz w:val="22"/>
          <w:szCs w:val="22"/>
        </w:rPr>
        <w:t xml:space="preserve"> s NSAID</w:t>
      </w:r>
      <w:r w:rsidRPr="0094644C">
        <w:rPr>
          <w:sz w:val="22"/>
          <w:szCs w:val="22"/>
        </w:rPr>
        <w:t xml:space="preserve"> vrátane selektívnych inhibítorov cyklooxygenázy-2 (pozri časť 4.3 a 4.5).</w:t>
      </w:r>
    </w:p>
    <w:p w:rsidR="00F063BA" w:rsidRPr="0094644C" w:rsidRDefault="00F063BA" w:rsidP="00F063BA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sz w:val="22"/>
          <w:szCs w:val="22"/>
        </w:rPr>
        <w:t>Nežiaduce účinky môžu byť minimalizované používaním najnižšej účinnej dávky počas čo najkratšieho času potrebného na kontrolu príznakov (pozri nižšie gastrointestinálne a kardiovaskulárne riziká).</w:t>
      </w:r>
    </w:p>
    <w:p w:rsidR="00F063BA" w:rsidRPr="0094644C" w:rsidRDefault="00F063BA" w:rsidP="00F063BA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sz w:val="22"/>
          <w:szCs w:val="22"/>
        </w:rPr>
        <w:t>Ak sa príznaky zhoršujú alebo pretrvávajú dlhšie ako 3 dni alebo pacient zaznamená iné príznaky nesúvisiace s pôvodným stavom, liečba má byť prerušená, pokiaľ lekár alebo zdravotnícky personál nerozhodnú ináč.</w:t>
      </w:r>
    </w:p>
    <w:p w:rsidR="00F063BA" w:rsidRPr="00B73986" w:rsidRDefault="00F063BA" w:rsidP="00F063BA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sz w:val="22"/>
          <w:szCs w:val="22"/>
        </w:rPr>
        <w:t xml:space="preserve">Starší ľudia: </w:t>
      </w:r>
      <w:r w:rsidR="00B61ED1">
        <w:rPr>
          <w:sz w:val="22"/>
          <w:szCs w:val="22"/>
        </w:rPr>
        <w:t>s</w:t>
      </w:r>
      <w:r w:rsidRPr="0094644C">
        <w:rPr>
          <w:sz w:val="22"/>
          <w:szCs w:val="22"/>
        </w:rPr>
        <w:t>tarší ľudia majú zvýšenú frekvenciu nežiaducich reakcií na NSAID, osobitne gastrointestinálne krvácanie a perforáciu, ktoré môžu byť fatálne (pozri časť 4.2).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lastRenderedPageBreak/>
        <w:t>Pacienti s astmou, hypertenziou, srdcovým ochorením, diabetom, cirhózou pečene, po</w:t>
      </w:r>
      <w:r w:rsidR="00B73986">
        <w:rPr>
          <w:sz w:val="22"/>
          <w:szCs w:val="22"/>
        </w:rPr>
        <w:t>ruchou funkcie</w:t>
      </w:r>
      <w:r w:rsidRPr="0094644C">
        <w:rPr>
          <w:sz w:val="22"/>
          <w:szCs w:val="22"/>
        </w:rPr>
        <w:t xml:space="preserve"> obličiek a pečene, ochorením štítnej žľazy alebo hypertrofiou prostaty sa majú poradiť so svojím lekárom predtým, ako užijú tento liek (pozri časť 4.3 a 4.8)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U dehydratovaných dospievajúcich alebo u mladších osôb vo veku od 12 do 17 rokov existuje riziko po</w:t>
      </w:r>
      <w:r w:rsidR="00950D0A">
        <w:rPr>
          <w:sz w:val="22"/>
          <w:szCs w:val="22"/>
        </w:rPr>
        <w:t>ruchy funkcie</w:t>
      </w:r>
      <w:r w:rsidRPr="0094644C">
        <w:rPr>
          <w:sz w:val="22"/>
          <w:szCs w:val="22"/>
        </w:rPr>
        <w:t xml:space="preserve"> obličiek.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U pacientov </w:t>
      </w:r>
      <w:r w:rsidR="00950D0A">
        <w:rPr>
          <w:sz w:val="22"/>
          <w:szCs w:val="22"/>
        </w:rPr>
        <w:t xml:space="preserve">s </w:t>
      </w:r>
      <w:r w:rsidRPr="0094644C">
        <w:rPr>
          <w:sz w:val="22"/>
          <w:szCs w:val="22"/>
        </w:rPr>
        <w:t>bronchiálnou astmou, alergickým ochorením alebo s</w:t>
      </w:r>
      <w:r w:rsidR="001A04B3">
        <w:rPr>
          <w:sz w:val="22"/>
          <w:szCs w:val="22"/>
        </w:rPr>
        <w:t> predchádzajúcou anamnézou</w:t>
      </w:r>
      <w:r w:rsidR="001A04B3" w:rsidRPr="0094644C">
        <w:rPr>
          <w:sz w:val="22"/>
          <w:szCs w:val="22"/>
        </w:rPr>
        <w:t xml:space="preserve"> </w:t>
      </w:r>
      <w:r w:rsidRPr="0094644C">
        <w:rPr>
          <w:sz w:val="22"/>
          <w:szCs w:val="22"/>
        </w:rPr>
        <w:t>tý</w:t>
      </w:r>
      <w:r w:rsidR="001A04B3">
        <w:rPr>
          <w:sz w:val="22"/>
          <w:szCs w:val="22"/>
        </w:rPr>
        <w:t>cht</w:t>
      </w:r>
      <w:r w:rsidR="00777A0B">
        <w:rPr>
          <w:sz w:val="22"/>
          <w:szCs w:val="22"/>
        </w:rPr>
        <w:t xml:space="preserve">o </w:t>
      </w:r>
      <w:r w:rsidRPr="0094644C">
        <w:rPr>
          <w:sz w:val="22"/>
          <w:szCs w:val="22"/>
        </w:rPr>
        <w:t>ochoren</w:t>
      </w:r>
      <w:r w:rsidR="00777A0B">
        <w:rPr>
          <w:sz w:val="22"/>
          <w:szCs w:val="22"/>
        </w:rPr>
        <w:t>í</w:t>
      </w:r>
      <w:r w:rsidRPr="0094644C">
        <w:rPr>
          <w:sz w:val="22"/>
          <w:szCs w:val="22"/>
        </w:rPr>
        <w:t xml:space="preserve">, môže dôjsť k vyvolaniu bronchospazmu. 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Používanie NSAID môže poškodiť ženskú plodnosť (pozri časť 4.6). Existujú obmedzené dôkazy o tom, že lieky, ktoré inhibujú cyklooxygenázu/syntézu prostaglandínov ovplyvňujú ovuláciu, a tým môžu spôsobiť poruchu ženskej plodnosti. Poškodenie je reverzibilné a odznie po ukončení liečby.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Pacienti so zriedkavými dedičnými problémami intolerancie fruktózy, glukózo-galaktózovej malabsorpcie alebo deficitu sacharázy a izomaltázy nesmú užívať tento liek.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Počas liečby sa má vyhnúť požívaniu alkoholických nápojov.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Pseudoefedríniumchlorid môže spôsobiť pozitívne výsledky testov vykonaných pri antidopingových kontrolách.</w:t>
      </w:r>
    </w:p>
    <w:p w:rsidR="00435F9A" w:rsidRDefault="00435F9A" w:rsidP="000B61B9">
      <w:pPr>
        <w:ind w:left="284"/>
        <w:rPr>
          <w:sz w:val="22"/>
          <w:szCs w:val="22"/>
        </w:rPr>
      </w:pPr>
    </w:p>
    <w:p w:rsidR="00435F9A" w:rsidRPr="000B61B9" w:rsidRDefault="00435F9A" w:rsidP="000B61B9">
      <w:pPr>
        <w:rPr>
          <w:b/>
          <w:sz w:val="22"/>
          <w:szCs w:val="22"/>
        </w:rPr>
      </w:pPr>
      <w:r>
        <w:rPr>
          <w:b/>
          <w:sz w:val="22"/>
          <w:szCs w:val="22"/>
        </w:rPr>
        <w:t>Gastrointestinálne účinky</w:t>
      </w:r>
    </w:p>
    <w:p w:rsidR="00435F9A" w:rsidRPr="0094644C" w:rsidRDefault="00435F9A" w:rsidP="000B61B9">
      <w:pPr>
        <w:rPr>
          <w:bCs/>
          <w:sz w:val="22"/>
          <w:szCs w:val="22"/>
        </w:rPr>
      </w:pPr>
    </w:p>
    <w:p w:rsidR="00F063BA" w:rsidRPr="0094644C" w:rsidRDefault="00F063BA" w:rsidP="00F063B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Gastrointestinálne krvácanie, ulcerácia a perforácia: Gastrointestinálne krvácanie, ulcerácia a perforácia, ktoré môžu byť smrteľné, sú hlásené u všetkých NSAID kedykoľvek počas liečby, a to s varovnými príznakmi alebo bez nich alebo predchádzajúcej anamnézy závažných gastrointestinálnych príhod.</w:t>
      </w:r>
    </w:p>
    <w:p w:rsidR="00DB5E83" w:rsidRPr="0094644C" w:rsidRDefault="00DB5E83" w:rsidP="00B42F1D">
      <w:pPr>
        <w:pStyle w:val="Zkladntext3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>Riziko gastrointestinálneho krvácania, ulcerácie či perforácie sa zvyšuje so zvyšujúcou sa dávkou NSAID, u pacientov s anamnézou vredovej choroby, najmä ak bola skomplikovaná krvácaním alebo perforáciou (pozri časť 4.3) a u starších ľudí. U takýchto pacientov sa má začať s najnižšou dostupnou dávkou. U týchto pacientov a tiež u pacientov vyžadujúcich súčasnú liečbu nízkymi dávkami kyseliny acetylsalicylovej alebo iných látok zvyšujúcich gastrointestinálne riziko by sa malo zvážiť súčasné podávanie protektívnej liečby (napr. mizoprostol alebo inhibítory protónovej pumpy)</w:t>
      </w:r>
      <w:r w:rsidR="006718A6">
        <w:rPr>
          <w:rFonts w:ascii="Times New Roman" w:hAnsi="Times New Roman" w:cs="Times New Roman"/>
          <w:sz w:val="22"/>
          <w:szCs w:val="22"/>
        </w:rPr>
        <w:t xml:space="preserve"> (pozri nižšie a časť 4.5)</w:t>
      </w:r>
      <w:r w:rsidRPr="0094644C">
        <w:rPr>
          <w:rFonts w:ascii="Times New Roman" w:hAnsi="Times New Roman" w:cs="Times New Roman"/>
          <w:sz w:val="22"/>
          <w:szCs w:val="22"/>
        </w:rPr>
        <w:t>.</w:t>
      </w:r>
    </w:p>
    <w:p w:rsidR="00DB5E83" w:rsidRPr="0094644C" w:rsidRDefault="00DB5E83" w:rsidP="00B42F1D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sz w:val="22"/>
          <w:szCs w:val="22"/>
        </w:rPr>
        <w:t>Pacienti s </w:t>
      </w:r>
      <w:r w:rsidRPr="0094644C">
        <w:rPr>
          <w:bCs/>
          <w:sz w:val="22"/>
          <w:szCs w:val="22"/>
        </w:rPr>
        <w:t>anamnézou gastrointestinálnej toxicity, najmä starší pacienti, majú informovať o akýchkoľvek nezvyčajných abdominálnych príznakoch (najmä gastrointestinálne krvácanie) obzvlášť na začiatku liečby.</w:t>
      </w:r>
    </w:p>
    <w:p w:rsidR="00DB5E83" w:rsidRPr="0094644C" w:rsidRDefault="00DB5E83" w:rsidP="00DB70FF">
      <w:pPr>
        <w:pStyle w:val="Zkladntext3"/>
        <w:numPr>
          <w:ilvl w:val="0"/>
          <w:numId w:val="21"/>
        </w:numPr>
        <w:ind w:left="714" w:hanging="357"/>
        <w:jc w:val="lef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 xml:space="preserve">Opatrnosť je potrebná u pacientov liečených súbežne liekmi, ktoré môžu zvyšovať riziko ulcerácie alebo krvácania, ako sú perorálne kortikosteroidy, antikoagulanciá ako je warfarín, selektívne inhibítory spätného vychytávania </w:t>
      </w:r>
      <w:r w:rsidR="006F3E55" w:rsidRPr="0094644C">
        <w:rPr>
          <w:rFonts w:ascii="Times New Roman" w:hAnsi="Times New Roman" w:cs="Times New Roman"/>
          <w:sz w:val="22"/>
          <w:szCs w:val="22"/>
        </w:rPr>
        <w:t>s</w:t>
      </w:r>
      <w:r w:rsidR="00B61ED1">
        <w:rPr>
          <w:rFonts w:ascii="Times New Roman" w:hAnsi="Times New Roman" w:cs="Times New Roman"/>
          <w:sz w:val="22"/>
          <w:szCs w:val="22"/>
        </w:rPr>
        <w:t>é</w:t>
      </w:r>
      <w:r w:rsidR="006F3E55" w:rsidRPr="0094644C">
        <w:rPr>
          <w:rFonts w:ascii="Times New Roman" w:hAnsi="Times New Roman" w:cs="Times New Roman"/>
          <w:sz w:val="22"/>
          <w:szCs w:val="22"/>
        </w:rPr>
        <w:t>rotonínu</w:t>
      </w:r>
      <w:r w:rsidRPr="0094644C">
        <w:rPr>
          <w:rFonts w:ascii="Times New Roman" w:hAnsi="Times New Roman" w:cs="Times New Roman"/>
          <w:sz w:val="22"/>
          <w:szCs w:val="22"/>
        </w:rPr>
        <w:t xml:space="preserve"> (SSRI) alebo antiagregačné látky ako je kyselina acetylsalicylová (pozri časť 4.5). </w:t>
      </w:r>
    </w:p>
    <w:p w:rsidR="00DB5E83" w:rsidRPr="0094644C" w:rsidRDefault="00DB5E83" w:rsidP="00DB70FF">
      <w:pPr>
        <w:numPr>
          <w:ilvl w:val="0"/>
          <w:numId w:val="21"/>
        </w:numPr>
        <w:ind w:left="714" w:hanging="357"/>
        <w:rPr>
          <w:sz w:val="22"/>
          <w:szCs w:val="22"/>
        </w:rPr>
      </w:pPr>
      <w:r w:rsidRPr="0094644C">
        <w:rPr>
          <w:sz w:val="22"/>
          <w:szCs w:val="22"/>
        </w:rPr>
        <w:t xml:space="preserve">Ak sa u pacienta užívajúceho </w:t>
      </w:r>
      <w:r w:rsidR="00D93693">
        <w:rPr>
          <w:sz w:val="22"/>
          <w:szCs w:val="22"/>
        </w:rPr>
        <w:t>Robicold</w:t>
      </w:r>
      <w:r w:rsidRPr="0094644C">
        <w:rPr>
          <w:sz w:val="22"/>
          <w:szCs w:val="22"/>
        </w:rPr>
        <w:t xml:space="preserve"> objaví gastrointestinálne krvácanie alebo ulcerácia, liečba sa musí vysadiť.</w:t>
      </w:r>
    </w:p>
    <w:p w:rsidR="00DB70FF" w:rsidRDefault="00DB70FF" w:rsidP="00145467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NSAID sa majú podávať s opatrnosťou pacientom s anamnézou gastrointestinálneho ochorenia (napr. ulcerózna kolitída, Crohnova choroba), pretože by mohlo dôjsť k exacerbácii ich stavu (pozri časť 4.8 – nežiaduce účinky)</w:t>
      </w:r>
    </w:p>
    <w:p w:rsidR="009D7A58" w:rsidRPr="00221156" w:rsidRDefault="009D7A58" w:rsidP="009D7A58">
      <w:pPr>
        <w:numPr>
          <w:ilvl w:val="0"/>
          <w:numId w:val="21"/>
        </w:numPr>
        <w:rPr>
          <w:sz w:val="22"/>
          <w:szCs w:val="22"/>
        </w:rPr>
      </w:pPr>
      <w:r w:rsidRPr="00221156">
        <w:rPr>
          <w:sz w:val="22"/>
          <w:szCs w:val="22"/>
        </w:rPr>
        <w:t xml:space="preserve">Ischemická kolitída </w:t>
      </w:r>
    </w:p>
    <w:p w:rsidR="009D7A58" w:rsidRDefault="009D7A58" w:rsidP="00FD5065">
      <w:pPr>
        <w:ind w:firstLine="709"/>
        <w:rPr>
          <w:sz w:val="22"/>
          <w:szCs w:val="22"/>
        </w:rPr>
      </w:pPr>
      <w:r w:rsidRPr="00221156">
        <w:rPr>
          <w:sz w:val="22"/>
          <w:szCs w:val="22"/>
        </w:rPr>
        <w:t xml:space="preserve">V súvislosti s užívaním pseudoefedrínu bolo hlásených niekoľko prípadov ischemickej </w:t>
      </w:r>
    </w:p>
    <w:p w:rsidR="009D7A58" w:rsidRDefault="009D7A58" w:rsidP="00FD5065">
      <w:pPr>
        <w:ind w:firstLine="709"/>
        <w:rPr>
          <w:sz w:val="22"/>
          <w:szCs w:val="22"/>
        </w:rPr>
      </w:pPr>
      <w:r w:rsidRPr="00221156">
        <w:rPr>
          <w:sz w:val="22"/>
          <w:szCs w:val="22"/>
        </w:rPr>
        <w:t xml:space="preserve">kolitídy. Ak sa vyskytnú náhle abdominálne bolesti, rektálne krvácanie alebo iné príznaky </w:t>
      </w:r>
    </w:p>
    <w:p w:rsidR="009D7A58" w:rsidRDefault="009D7A58" w:rsidP="00FD5065">
      <w:pPr>
        <w:ind w:firstLine="709"/>
        <w:rPr>
          <w:sz w:val="22"/>
          <w:szCs w:val="22"/>
        </w:rPr>
      </w:pPr>
      <w:r w:rsidRPr="00221156">
        <w:rPr>
          <w:sz w:val="22"/>
          <w:szCs w:val="22"/>
        </w:rPr>
        <w:t xml:space="preserve">ischemickej kolitídy, užívanie pseudoefedrínu sa má prerušiť a je potrebné vyhľadať lekársku </w:t>
      </w:r>
    </w:p>
    <w:p w:rsidR="009D7A58" w:rsidRPr="00221156" w:rsidRDefault="009D7A58" w:rsidP="00FD5065">
      <w:pPr>
        <w:ind w:firstLine="709"/>
        <w:rPr>
          <w:sz w:val="22"/>
          <w:szCs w:val="22"/>
        </w:rPr>
      </w:pPr>
      <w:r w:rsidRPr="00221156">
        <w:rPr>
          <w:sz w:val="22"/>
          <w:szCs w:val="22"/>
        </w:rPr>
        <w:t xml:space="preserve">pomoc. </w:t>
      </w:r>
    </w:p>
    <w:p w:rsidR="00435F9A" w:rsidRDefault="00435F9A" w:rsidP="000B61B9">
      <w:pPr>
        <w:ind w:left="720"/>
        <w:rPr>
          <w:sz w:val="22"/>
          <w:szCs w:val="22"/>
        </w:rPr>
      </w:pPr>
    </w:p>
    <w:p w:rsidR="00435F9A" w:rsidRPr="000B61B9" w:rsidRDefault="00435F9A" w:rsidP="000B61B9">
      <w:pPr>
        <w:rPr>
          <w:b/>
          <w:sz w:val="22"/>
          <w:szCs w:val="22"/>
        </w:rPr>
      </w:pPr>
      <w:r>
        <w:rPr>
          <w:b/>
          <w:sz w:val="22"/>
          <w:szCs w:val="22"/>
        </w:rPr>
        <w:t>Kardiovaskulárne a cerebrovaskulárne účinky:</w:t>
      </w:r>
    </w:p>
    <w:p w:rsidR="00DB70FF" w:rsidRPr="0094644C" w:rsidRDefault="00DB70FF" w:rsidP="00DB70FF">
      <w:pPr>
        <w:numPr>
          <w:ilvl w:val="0"/>
          <w:numId w:val="21"/>
        </w:numPr>
        <w:ind w:left="714" w:hanging="357"/>
        <w:rPr>
          <w:sz w:val="22"/>
          <w:szCs w:val="22"/>
        </w:rPr>
      </w:pPr>
      <w:r w:rsidRPr="0094644C">
        <w:rPr>
          <w:sz w:val="22"/>
          <w:szCs w:val="22"/>
        </w:rPr>
        <w:t>U pacientov s kardiálnou alebo renálnou dysfunkciou sa vyžaduje opatrnosť, keďže použitie NSAID môže mať za následok zhoršenie renálnej funkcie.</w:t>
      </w:r>
    </w:p>
    <w:p w:rsidR="00145467" w:rsidRPr="00944C00" w:rsidRDefault="00145467" w:rsidP="000B61B9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944C00">
        <w:rPr>
          <w:rFonts w:ascii="Times New Roman" w:hAnsi="Times New Roman" w:cs="Times New Roman"/>
          <w:sz w:val="22"/>
          <w:szCs w:val="22"/>
        </w:rPr>
        <w:t xml:space="preserve">Klinické štúdie naznačili, že používanie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 xml:space="preserve">u, najmä vo vysokých dávkach (2 400 mg denne) môže byť spojené s malým zvýšeným rizikom arteriálnych trombotických udalostí (napríklad infarkt myokardu alebo mozgová príhoda). Epidemiologické štúdie celkovo nenaznačujú, že by nízke dávky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 xml:space="preserve">u (napr. 1 200 mg denne) boli spojené so zvýšeným rizikom arteriálnych trombotických udalostí. </w:t>
      </w:r>
    </w:p>
    <w:p w:rsidR="00145467" w:rsidRDefault="00145467" w:rsidP="00145467">
      <w:pPr>
        <w:pStyle w:val="Default"/>
        <w:ind w:left="709"/>
        <w:rPr>
          <w:rFonts w:ascii="Times New Roman" w:hAnsi="Times New Roman" w:cs="Times New Roman"/>
          <w:sz w:val="22"/>
          <w:szCs w:val="22"/>
        </w:rPr>
      </w:pPr>
    </w:p>
    <w:p w:rsidR="00145467" w:rsidRPr="00944C00" w:rsidRDefault="00145467" w:rsidP="000B61B9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944C00">
        <w:rPr>
          <w:rFonts w:ascii="Times New Roman" w:hAnsi="Times New Roman" w:cs="Times New Roman"/>
          <w:sz w:val="22"/>
          <w:szCs w:val="22"/>
        </w:rPr>
        <w:t>Pacienti s nekontrolovanou hypertenziou, kongestívnym zlyhaním srdca (triedy II – III NYHA), diagnostikovaným ischemickým ochorením srdca, ochorením periférnych artérií a</w:t>
      </w:r>
      <w:r w:rsidR="00F61023">
        <w:rPr>
          <w:rFonts w:ascii="Times New Roman" w:hAnsi="Times New Roman" w:cs="Times New Roman"/>
          <w:sz w:val="22"/>
          <w:szCs w:val="22"/>
        </w:rPr>
        <w:t> </w:t>
      </w:r>
      <w:r w:rsidRPr="00944C00">
        <w:rPr>
          <w:rFonts w:ascii="Times New Roman" w:hAnsi="Times New Roman" w:cs="Times New Roman"/>
          <w:sz w:val="22"/>
          <w:szCs w:val="22"/>
        </w:rPr>
        <w:t xml:space="preserve">cerebrovaskulárnym ochorením majú byť liečení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>om len po dôkladnom zvážení a</w:t>
      </w:r>
      <w:r w:rsidR="00F61023">
        <w:rPr>
          <w:rFonts w:ascii="Times New Roman" w:hAnsi="Times New Roman" w:cs="Times New Roman"/>
          <w:sz w:val="22"/>
          <w:szCs w:val="22"/>
        </w:rPr>
        <w:t> </w:t>
      </w:r>
      <w:r w:rsidRPr="00944C00">
        <w:rPr>
          <w:rFonts w:ascii="Times New Roman" w:hAnsi="Times New Roman" w:cs="Times New Roman"/>
          <w:sz w:val="22"/>
          <w:szCs w:val="22"/>
        </w:rPr>
        <w:t xml:space="preserve">nemajú sa používať vysoké dávky (2 400 mg denne). </w:t>
      </w:r>
    </w:p>
    <w:p w:rsidR="0081092D" w:rsidRDefault="00145467" w:rsidP="00DB70FF">
      <w:pPr>
        <w:numPr>
          <w:ilvl w:val="0"/>
          <w:numId w:val="22"/>
        </w:numPr>
        <w:ind w:left="709" w:hanging="283"/>
        <w:rPr>
          <w:sz w:val="22"/>
          <w:szCs w:val="22"/>
        </w:rPr>
      </w:pPr>
      <w:r w:rsidRPr="00944C00">
        <w:rPr>
          <w:sz w:val="22"/>
          <w:szCs w:val="22"/>
        </w:rPr>
        <w:t>Pred začatím dlhodobej liečby pacientov s rizikovými faktormi pre vznik kardiovaskulárnych udalostí (napr. hypertenzia, hyperlipidémia, diabetes mellitus</w:t>
      </w:r>
      <w:r w:rsidR="00F61023">
        <w:rPr>
          <w:sz w:val="22"/>
          <w:szCs w:val="22"/>
        </w:rPr>
        <w:t xml:space="preserve"> a</w:t>
      </w:r>
      <w:r w:rsidRPr="00944C00">
        <w:rPr>
          <w:sz w:val="22"/>
          <w:szCs w:val="22"/>
        </w:rPr>
        <w:t xml:space="preserve"> fajčenie) je potrebné dôsledné zváženie, najmä v prípade, že sú potrebné vysoké dávky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>u (2</w:t>
      </w:r>
      <w:r w:rsidR="00F61023">
        <w:rPr>
          <w:sz w:val="22"/>
          <w:szCs w:val="22"/>
        </w:rPr>
        <w:t> </w:t>
      </w:r>
      <w:r w:rsidRPr="00944C00">
        <w:rPr>
          <w:sz w:val="22"/>
          <w:szCs w:val="22"/>
        </w:rPr>
        <w:t>400</w:t>
      </w:r>
      <w:r w:rsidR="00F61023">
        <w:rPr>
          <w:sz w:val="22"/>
          <w:szCs w:val="22"/>
        </w:rPr>
        <w:t> </w:t>
      </w:r>
      <w:r w:rsidRPr="00944C00">
        <w:rPr>
          <w:sz w:val="22"/>
          <w:szCs w:val="22"/>
        </w:rPr>
        <w:t>mg/denne).</w:t>
      </w:r>
      <w:r w:rsidR="00F61023">
        <w:rPr>
          <w:sz w:val="22"/>
          <w:szCs w:val="22"/>
        </w:rPr>
        <w:t xml:space="preserve"> </w:t>
      </w:r>
    </w:p>
    <w:p w:rsidR="0081092D" w:rsidRPr="0094644C" w:rsidRDefault="0081092D" w:rsidP="0081092D">
      <w:pPr>
        <w:numPr>
          <w:ilvl w:val="0"/>
          <w:numId w:val="22"/>
        </w:numPr>
        <w:ind w:left="709" w:hanging="283"/>
        <w:rPr>
          <w:sz w:val="22"/>
          <w:szCs w:val="22"/>
        </w:rPr>
      </w:pPr>
      <w:r w:rsidRPr="0094644C">
        <w:rPr>
          <w:sz w:val="22"/>
          <w:szCs w:val="22"/>
        </w:rPr>
        <w:t>Keďže NSAID môžu interferovať s funkciou krvných doštičiek, majú sa používať s opatrnosťou u pacientov s intrakraniálnou hemorágiou a hemoragickou diatézou.</w:t>
      </w:r>
    </w:p>
    <w:p w:rsidR="0081092D" w:rsidRDefault="0081092D" w:rsidP="000B61B9">
      <w:pPr>
        <w:ind w:left="709"/>
        <w:rPr>
          <w:sz w:val="22"/>
          <w:szCs w:val="22"/>
        </w:rPr>
      </w:pPr>
    </w:p>
    <w:p w:rsidR="0081092D" w:rsidRPr="000B61B9" w:rsidRDefault="0081092D" w:rsidP="000B61B9">
      <w:pPr>
        <w:rPr>
          <w:b/>
          <w:sz w:val="22"/>
          <w:szCs w:val="22"/>
        </w:rPr>
      </w:pPr>
      <w:r>
        <w:rPr>
          <w:b/>
          <w:sz w:val="22"/>
          <w:szCs w:val="22"/>
        </w:rPr>
        <w:t>Dermatologické účinky:</w:t>
      </w:r>
    </w:p>
    <w:p w:rsidR="00DB70FF" w:rsidRPr="0094644C" w:rsidRDefault="00DB70FF" w:rsidP="00DB70FF">
      <w:pPr>
        <w:numPr>
          <w:ilvl w:val="0"/>
          <w:numId w:val="22"/>
        </w:numPr>
        <w:ind w:left="709" w:hanging="283"/>
        <w:rPr>
          <w:sz w:val="22"/>
          <w:szCs w:val="22"/>
        </w:rPr>
      </w:pPr>
      <w:r w:rsidRPr="0094644C">
        <w:rPr>
          <w:sz w:val="22"/>
          <w:szCs w:val="22"/>
        </w:rPr>
        <w:t>V súvislosti s liečbou NSAID boli veľmi zriedkavo hlásené závažné kožné reakcie, a to exfoliatívna dermatitída, Stevensov-Johnsonov syndróm a toxická epidermálna nekrolýza, niektoré z nich fatálne</w:t>
      </w:r>
      <w:r w:rsidR="0053161A" w:rsidRPr="0094644C">
        <w:rPr>
          <w:sz w:val="22"/>
          <w:szCs w:val="22"/>
        </w:rPr>
        <w:t xml:space="preserve"> (pozri časť 4.8)</w:t>
      </w:r>
      <w:r w:rsidRPr="0094644C">
        <w:rPr>
          <w:sz w:val="22"/>
          <w:szCs w:val="22"/>
        </w:rPr>
        <w:t xml:space="preserve">. Zdá sa, že najvyššie riziko </w:t>
      </w:r>
      <w:r w:rsidR="0053161A" w:rsidRPr="0094644C">
        <w:rPr>
          <w:sz w:val="22"/>
          <w:szCs w:val="22"/>
        </w:rPr>
        <w:t xml:space="preserve">pre pacientov </w:t>
      </w:r>
      <w:r w:rsidRPr="0094644C">
        <w:rPr>
          <w:sz w:val="22"/>
          <w:szCs w:val="22"/>
        </w:rPr>
        <w:t xml:space="preserve">je na začiatku liečby; </w:t>
      </w:r>
      <w:r w:rsidR="0053161A" w:rsidRPr="0094644C">
        <w:rPr>
          <w:sz w:val="22"/>
          <w:szCs w:val="22"/>
        </w:rPr>
        <w:t xml:space="preserve">nástup reakcie sa </w:t>
      </w:r>
      <w:r w:rsidRPr="0094644C">
        <w:rPr>
          <w:sz w:val="22"/>
          <w:szCs w:val="22"/>
        </w:rPr>
        <w:t>väčšin</w:t>
      </w:r>
      <w:r w:rsidR="0053161A" w:rsidRPr="0094644C">
        <w:rPr>
          <w:sz w:val="22"/>
          <w:szCs w:val="22"/>
        </w:rPr>
        <w:t xml:space="preserve">ou </w:t>
      </w:r>
      <w:r w:rsidRPr="0094644C">
        <w:rPr>
          <w:sz w:val="22"/>
          <w:szCs w:val="22"/>
        </w:rPr>
        <w:t xml:space="preserve">objavil v prvom mesiaci liečby. </w:t>
      </w:r>
      <w:r w:rsidR="00D93693">
        <w:rPr>
          <w:sz w:val="22"/>
          <w:szCs w:val="22"/>
        </w:rPr>
        <w:t>Robicold</w:t>
      </w:r>
      <w:r w:rsidRPr="0094644C">
        <w:rPr>
          <w:sz w:val="22"/>
          <w:szCs w:val="22"/>
        </w:rPr>
        <w:t xml:space="preserve"> </w:t>
      </w:r>
      <w:r w:rsidR="0053161A" w:rsidRPr="0094644C">
        <w:rPr>
          <w:sz w:val="22"/>
          <w:szCs w:val="22"/>
        </w:rPr>
        <w:t>sa musí vysadiť</w:t>
      </w:r>
      <w:r w:rsidRPr="0094644C">
        <w:rPr>
          <w:sz w:val="22"/>
          <w:szCs w:val="22"/>
        </w:rPr>
        <w:t xml:space="preserve"> pri prvom výskyte kožných vyrážok, mukóznych lézií alebo iných prejavov </w:t>
      </w:r>
      <w:r w:rsidR="0053161A" w:rsidRPr="0094644C">
        <w:rPr>
          <w:sz w:val="22"/>
          <w:szCs w:val="22"/>
        </w:rPr>
        <w:t>precitlivenosti</w:t>
      </w:r>
      <w:r w:rsidRPr="0094644C">
        <w:rPr>
          <w:sz w:val="22"/>
          <w:szCs w:val="22"/>
        </w:rPr>
        <w:t>.</w:t>
      </w:r>
    </w:p>
    <w:p w:rsidR="00BD0B6F" w:rsidRPr="009D7A58" w:rsidRDefault="0053161A" w:rsidP="009D7A58">
      <w:pPr>
        <w:numPr>
          <w:ilvl w:val="0"/>
          <w:numId w:val="22"/>
        </w:numPr>
        <w:ind w:left="709" w:hanging="283"/>
        <w:jc w:val="both"/>
        <w:rPr>
          <w:b/>
          <w:bCs/>
          <w:sz w:val="22"/>
          <w:szCs w:val="22"/>
        </w:rPr>
      </w:pPr>
      <w:r w:rsidRPr="009D7A58">
        <w:rPr>
          <w:sz w:val="22"/>
          <w:szCs w:val="22"/>
        </w:rPr>
        <w:t>Systémový lupus erythematosus a zmiešané ochorenie spojivového tkaniva – zvýšené riziko vzniku aseptickej meningitídy (pozri časť 4.8).</w:t>
      </w:r>
    </w:p>
    <w:p w:rsidR="00DE0615" w:rsidRPr="009D7A58" w:rsidRDefault="00DE0615" w:rsidP="000B61B9">
      <w:pPr>
        <w:pStyle w:val="Zarkazkladnhotextu"/>
        <w:numPr>
          <w:ilvl w:val="0"/>
          <w:numId w:val="24"/>
        </w:numPr>
        <w:rPr>
          <w:sz w:val="22"/>
          <w:szCs w:val="22"/>
        </w:rPr>
      </w:pPr>
      <w:r w:rsidRPr="005F5503">
        <w:rPr>
          <w:bCs/>
          <w:sz w:val="22"/>
          <w:szCs w:val="22"/>
        </w:rPr>
        <w:t xml:space="preserve">Pri užívaní liekov s obsahom </w:t>
      </w:r>
      <w:r w:rsidR="00522B12">
        <w:rPr>
          <w:bCs/>
          <w:sz w:val="22"/>
          <w:szCs w:val="22"/>
        </w:rPr>
        <w:t xml:space="preserve">ibuprofénu a </w:t>
      </w:r>
      <w:r w:rsidRPr="005F5503">
        <w:rPr>
          <w:bCs/>
          <w:sz w:val="22"/>
          <w:szCs w:val="22"/>
        </w:rPr>
        <w:t>pseudoefedrínu sa môžu vyskytnúť závažné kožné reakcie , ako je akútna generalizovaná exantematózna pustulóza (AGEP). Táto akútna pustulózna erupcia sa môže vyskytnúť počas prvých 2 d</w:t>
      </w:r>
      <w:r w:rsidR="00FE2D3F">
        <w:rPr>
          <w:bCs/>
          <w:sz w:val="22"/>
          <w:szCs w:val="22"/>
        </w:rPr>
        <w:t>ní</w:t>
      </w:r>
      <w:r w:rsidRPr="005F5503">
        <w:rPr>
          <w:bCs/>
          <w:sz w:val="22"/>
          <w:szCs w:val="22"/>
        </w:rPr>
        <w:t xml:space="preserve"> terapie s horúčkou a veľkým počtom malých , predovšetkým nefolikulárnych pustúl objavujúcich sa na rozšírenom edematóznom erytéme a predovšetkým lokalizovaných na kožných záhyboch, trupe a horných končatinách. Pacient musí byť dôkladne monitorovaný. Ak sa objavia prejavy a príznaky ako sú zvýšená telesná </w:t>
      </w:r>
      <w:r w:rsidRPr="009D7A58">
        <w:rPr>
          <w:bCs/>
          <w:sz w:val="22"/>
          <w:szCs w:val="22"/>
        </w:rPr>
        <w:t>teplota, erytém alebo veľké množstvo malých pustúl, podávanie Robicoldu</w:t>
      </w:r>
      <w:r w:rsidR="00FE2D3F" w:rsidRPr="009D7A58">
        <w:rPr>
          <w:bCs/>
          <w:sz w:val="22"/>
          <w:szCs w:val="22"/>
        </w:rPr>
        <w:t xml:space="preserve"> </w:t>
      </w:r>
      <w:r w:rsidRPr="009D7A58">
        <w:rPr>
          <w:bCs/>
          <w:sz w:val="22"/>
          <w:szCs w:val="22"/>
        </w:rPr>
        <w:t>sa musí ukončiť a musia byť prijaté náležité opatrenia.</w:t>
      </w:r>
    </w:p>
    <w:p w:rsidR="0081092D" w:rsidRPr="009D7A58" w:rsidRDefault="0081092D" w:rsidP="000B61B9">
      <w:pPr>
        <w:numPr>
          <w:ilvl w:val="0"/>
          <w:numId w:val="24"/>
        </w:numPr>
        <w:autoSpaceDE w:val="0"/>
        <w:autoSpaceDN w:val="0"/>
        <w:adjustRightInd w:val="0"/>
        <w:ind w:left="714" w:hanging="357"/>
        <w:rPr>
          <w:color w:val="000000"/>
          <w:sz w:val="22"/>
          <w:szCs w:val="22"/>
        </w:rPr>
      </w:pPr>
      <w:r w:rsidRPr="009D7A58">
        <w:rPr>
          <w:color w:val="000000"/>
          <w:sz w:val="22"/>
          <w:szCs w:val="22"/>
        </w:rPr>
        <w:t>Výnimočne môže byť varicella zdrojom závažných komplikácií infekcií kože a mäkkých tkanív. V súčasnosti nie je možné vylúčiť úlohu NSAID v zhoršení týchto infekcií. Preto sa</w:t>
      </w:r>
      <w:r w:rsidRPr="009D7A58" w:rsidDel="00C8084C">
        <w:rPr>
          <w:color w:val="000000"/>
          <w:sz w:val="22"/>
          <w:szCs w:val="22"/>
        </w:rPr>
        <w:t xml:space="preserve"> </w:t>
      </w:r>
      <w:r w:rsidRPr="009D7A58">
        <w:rPr>
          <w:color w:val="000000"/>
          <w:sz w:val="22"/>
          <w:szCs w:val="22"/>
        </w:rPr>
        <w:t xml:space="preserve">v prípade varicelly odporúča vyhnúť liečbe </w:t>
      </w:r>
      <w:r w:rsidR="004C4F4B" w:rsidRPr="009D7A58">
        <w:rPr>
          <w:color w:val="000000"/>
          <w:sz w:val="22"/>
          <w:szCs w:val="22"/>
        </w:rPr>
        <w:t>Robicoldom.</w:t>
      </w:r>
    </w:p>
    <w:p w:rsidR="00DE0615" w:rsidRPr="0094644C" w:rsidRDefault="00DE0615">
      <w:pPr>
        <w:jc w:val="both"/>
        <w:rPr>
          <w:b/>
          <w:bCs/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4.5</w:t>
      </w:r>
      <w:r w:rsidR="00F46995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Liekové a iné interakcie</w:t>
      </w:r>
    </w:p>
    <w:p w:rsidR="00F46995" w:rsidRPr="0094644C" w:rsidRDefault="00F46995">
      <w:pPr>
        <w:rPr>
          <w:sz w:val="22"/>
          <w:szCs w:val="22"/>
        </w:rPr>
      </w:pPr>
    </w:p>
    <w:p w:rsidR="00D669D1" w:rsidRPr="0094644C" w:rsidRDefault="00D669D1">
      <w:pPr>
        <w:rPr>
          <w:b/>
          <w:sz w:val="22"/>
          <w:szCs w:val="22"/>
        </w:rPr>
      </w:pPr>
      <w:r w:rsidRPr="0094644C">
        <w:rPr>
          <w:b/>
          <w:sz w:val="22"/>
          <w:szCs w:val="22"/>
        </w:rPr>
        <w:t xml:space="preserve">Považuje sa za nebezpečné užívať </w:t>
      </w:r>
      <w:r w:rsidR="00E46823">
        <w:rPr>
          <w:b/>
          <w:sz w:val="22"/>
          <w:szCs w:val="22"/>
        </w:rPr>
        <w:t>ibuprofén</w:t>
      </w:r>
      <w:r w:rsidRPr="0094644C">
        <w:rPr>
          <w:b/>
          <w:sz w:val="22"/>
          <w:szCs w:val="22"/>
        </w:rPr>
        <w:t xml:space="preserve"> v kombinácii s warfarínom alebo heparínom mimo priameho lekárskeho dohľadu.</w:t>
      </w:r>
    </w:p>
    <w:p w:rsidR="00D669D1" w:rsidRPr="0094644C" w:rsidRDefault="00D669D1">
      <w:pPr>
        <w:rPr>
          <w:b/>
          <w:sz w:val="22"/>
          <w:szCs w:val="22"/>
        </w:rPr>
      </w:pPr>
    </w:p>
    <w:p w:rsidR="00D669D1" w:rsidRDefault="00D669D1" w:rsidP="00D669D1">
      <w:pPr>
        <w:rPr>
          <w:b/>
          <w:sz w:val="22"/>
          <w:szCs w:val="22"/>
        </w:rPr>
      </w:pPr>
      <w:r w:rsidRPr="0094644C">
        <w:rPr>
          <w:b/>
          <w:sz w:val="22"/>
          <w:szCs w:val="22"/>
        </w:rPr>
        <w:t>Neodporúčané kombinácie:</w:t>
      </w:r>
    </w:p>
    <w:p w:rsidR="009E5966" w:rsidRDefault="009E5966" w:rsidP="00D669D1">
      <w:pPr>
        <w:rPr>
          <w:b/>
          <w:sz w:val="22"/>
          <w:szCs w:val="22"/>
        </w:rPr>
      </w:pPr>
    </w:p>
    <w:p w:rsidR="009E5966" w:rsidRPr="00F61023" w:rsidRDefault="009E5966" w:rsidP="00D669D1">
      <w:pPr>
        <w:rPr>
          <w:i/>
          <w:sz w:val="22"/>
          <w:szCs w:val="22"/>
          <w:u w:val="single"/>
        </w:rPr>
      </w:pPr>
      <w:r w:rsidRPr="00F61023">
        <w:rPr>
          <w:i/>
          <w:sz w:val="22"/>
          <w:szCs w:val="22"/>
          <w:u w:val="single"/>
        </w:rPr>
        <w:t>Kyselina acetylsalicylová</w:t>
      </w:r>
    </w:p>
    <w:p w:rsidR="009E5966" w:rsidRPr="00944C00" w:rsidRDefault="009E5966" w:rsidP="009E596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44C00">
        <w:rPr>
          <w:rFonts w:ascii="Times New Roman" w:hAnsi="Times New Roman" w:cs="Times New Roman"/>
          <w:sz w:val="22"/>
          <w:szCs w:val="22"/>
        </w:rPr>
        <w:t xml:space="preserve">Súčasné podávanie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 xml:space="preserve">u a kyseliny acetylsalicylovej sa neodporúča z dôvodu možných zvýšených nežiaducich udalostí. </w:t>
      </w:r>
    </w:p>
    <w:p w:rsidR="009E5966" w:rsidRPr="00944C00" w:rsidRDefault="009E5966" w:rsidP="00944C0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44C00">
        <w:rPr>
          <w:rFonts w:ascii="Times New Roman" w:hAnsi="Times New Roman" w:cs="Times New Roman"/>
          <w:sz w:val="22"/>
          <w:szCs w:val="22"/>
        </w:rPr>
        <w:t xml:space="preserve">Experimentálne údaje naznačujú, že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 xml:space="preserve"> môže pri súčasnom dávkovaní kompetitívne inhibovať účinok nízkej dávky kyseliny acetylsalicylovej na agregáciu trombocytov. Hoci existujú nejasnosti s</w:t>
      </w:r>
      <w:r w:rsidR="00F61023">
        <w:rPr>
          <w:rFonts w:ascii="Times New Roman" w:hAnsi="Times New Roman" w:cs="Times New Roman"/>
          <w:sz w:val="22"/>
          <w:szCs w:val="22"/>
        </w:rPr>
        <w:t> </w:t>
      </w:r>
      <w:r w:rsidRPr="00944C00">
        <w:rPr>
          <w:rFonts w:ascii="Times New Roman" w:hAnsi="Times New Roman" w:cs="Times New Roman"/>
          <w:sz w:val="22"/>
          <w:szCs w:val="22"/>
        </w:rPr>
        <w:t xml:space="preserve">ohľadom na extrapoláciu týchto údajov na klinickú situáciu, nedá sa vylúčiť možnosť, že pravidelné, dlhodobé používanie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 xml:space="preserve">u môže znížiť kardioprotektívny účinok nízkej dávky kyseliny acetylsalicylovej. V prípade príležitostného používania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>u sa žiaden klinicky relevantný účinok nepovažuje za pravdepodobný (pozri časť 5.1).</w:t>
      </w:r>
    </w:p>
    <w:p w:rsidR="009E5966" w:rsidRPr="0094644C" w:rsidRDefault="009E5966" w:rsidP="00D669D1">
      <w:pPr>
        <w:rPr>
          <w:b/>
          <w:sz w:val="22"/>
          <w:szCs w:val="22"/>
        </w:rPr>
      </w:pPr>
    </w:p>
    <w:p w:rsidR="00D669D1" w:rsidRPr="0094644C" w:rsidRDefault="00D669D1" w:rsidP="00D669D1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Iné NSAID vrátane selektívnych inhibítorov cyklooxygenázy-2: Je potrebné sa vyhnúť súbežnému užívaniu dvoch alebo viacerých NSAID, pretože to môže zvýšiť riziko nežiaducich účinkov (pozri časť 4.4). </w:t>
      </w:r>
    </w:p>
    <w:p w:rsidR="00145467" w:rsidRPr="0094644C" w:rsidRDefault="00145467" w:rsidP="00145467">
      <w:pPr>
        <w:rPr>
          <w:b/>
          <w:sz w:val="22"/>
          <w:szCs w:val="22"/>
        </w:rPr>
      </w:pPr>
    </w:p>
    <w:p w:rsidR="00733C71" w:rsidRPr="0094644C" w:rsidRDefault="00733C71">
      <w:pPr>
        <w:rPr>
          <w:b/>
          <w:sz w:val="22"/>
          <w:szCs w:val="22"/>
        </w:rPr>
      </w:pPr>
      <w:r w:rsidRPr="0094644C">
        <w:rPr>
          <w:b/>
          <w:sz w:val="22"/>
          <w:szCs w:val="22"/>
        </w:rPr>
        <w:t>Kombinácie vyžadujúce si opatrnosť:</w:t>
      </w:r>
    </w:p>
    <w:p w:rsidR="00733C71" w:rsidRPr="0094644C" w:rsidRDefault="00733C71">
      <w:pPr>
        <w:rPr>
          <w:b/>
          <w:sz w:val="22"/>
          <w:szCs w:val="22"/>
        </w:rPr>
      </w:pPr>
    </w:p>
    <w:p w:rsidR="00733C71" w:rsidRPr="0094644C" w:rsidRDefault="00733C71">
      <w:pPr>
        <w:rPr>
          <w:sz w:val="22"/>
          <w:szCs w:val="22"/>
        </w:rPr>
      </w:pPr>
      <w:r w:rsidRPr="0094644C">
        <w:rPr>
          <w:sz w:val="22"/>
          <w:szCs w:val="22"/>
        </w:rPr>
        <w:t>Opatrnosť je potrebná u pacientov liečených ktorýmkoľvek z </w:t>
      </w:r>
      <w:r w:rsidR="004C0DC2" w:rsidRPr="0094644C">
        <w:rPr>
          <w:sz w:val="22"/>
          <w:szCs w:val="22"/>
        </w:rPr>
        <w:t>nasledovných</w:t>
      </w:r>
      <w:r w:rsidRPr="0094644C">
        <w:rPr>
          <w:sz w:val="22"/>
          <w:szCs w:val="22"/>
        </w:rPr>
        <w:t xml:space="preserve"> liekov, pretože sa hlásili interakcie:</w:t>
      </w:r>
    </w:p>
    <w:p w:rsidR="00733C71" w:rsidRPr="0094644C" w:rsidRDefault="00733C71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536"/>
      </w:tblGrid>
      <w:tr w:rsidR="008219BD" w:rsidRPr="0094644C">
        <w:tc>
          <w:tcPr>
            <w:tcW w:w="4253" w:type="dxa"/>
            <w:shd w:val="clear" w:color="auto" w:fill="auto"/>
          </w:tcPr>
          <w:p w:rsidR="008219BD" w:rsidRPr="0094644C" w:rsidRDefault="008219BD" w:rsidP="003A17EC">
            <w:pPr>
              <w:jc w:val="center"/>
              <w:rPr>
                <w:b/>
                <w:sz w:val="22"/>
                <w:szCs w:val="22"/>
              </w:rPr>
            </w:pPr>
            <w:r w:rsidRPr="0094644C">
              <w:rPr>
                <w:b/>
                <w:sz w:val="22"/>
                <w:szCs w:val="22"/>
              </w:rPr>
              <w:lastRenderedPageBreak/>
              <w:t>Kombinácia pseudoefedrínu s:</w:t>
            </w:r>
          </w:p>
        </w:tc>
        <w:tc>
          <w:tcPr>
            <w:tcW w:w="4536" w:type="dxa"/>
            <w:shd w:val="clear" w:color="auto" w:fill="auto"/>
          </w:tcPr>
          <w:p w:rsidR="008219BD" w:rsidRPr="0094644C" w:rsidRDefault="008219BD" w:rsidP="003A17EC">
            <w:pPr>
              <w:jc w:val="center"/>
              <w:rPr>
                <w:b/>
                <w:sz w:val="22"/>
                <w:szCs w:val="22"/>
              </w:rPr>
            </w:pPr>
            <w:r w:rsidRPr="0094644C">
              <w:rPr>
                <w:b/>
                <w:sz w:val="22"/>
                <w:szCs w:val="22"/>
              </w:rPr>
              <w:t>Možná reakcia</w:t>
            </w:r>
          </w:p>
        </w:tc>
      </w:tr>
      <w:tr w:rsidR="004C0DC2" w:rsidRPr="0094644C">
        <w:tc>
          <w:tcPr>
            <w:tcW w:w="4253" w:type="dxa"/>
            <w:shd w:val="clear" w:color="auto" w:fill="auto"/>
          </w:tcPr>
          <w:p w:rsidR="008219BD" w:rsidRPr="0094644C" w:rsidRDefault="008219BD">
            <w:pPr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Neselektívne IMAO (iproniazid):</w:t>
            </w:r>
          </w:p>
        </w:tc>
        <w:tc>
          <w:tcPr>
            <w:tcW w:w="4536" w:type="dxa"/>
            <w:shd w:val="clear" w:color="auto" w:fill="auto"/>
          </w:tcPr>
          <w:p w:rsidR="008219BD" w:rsidRPr="0094644C" w:rsidRDefault="008219BD" w:rsidP="004C0DC2">
            <w:pPr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Tento liek nemajú užívať pacienti, ktorí práve užívajú alebo v priebehu predchádzajúcich dvoch týždňov užívali inhibítory monoaminooxidázy (IMAO) z dôvodu rizika hypertenznej epizódy, keďže paroxyzmálna hypertenzia</w:t>
            </w:r>
            <w:r w:rsidR="004C0DC2" w:rsidRPr="0094644C">
              <w:rPr>
                <w:sz w:val="22"/>
                <w:szCs w:val="22"/>
              </w:rPr>
              <w:t xml:space="preserve"> a</w:t>
            </w:r>
            <w:r w:rsidRPr="0094644C">
              <w:rPr>
                <w:sz w:val="22"/>
                <w:szCs w:val="22"/>
              </w:rPr>
              <w:t xml:space="preserve"> hypertermia môžu </w:t>
            </w:r>
            <w:r w:rsidR="004C0DC2" w:rsidRPr="0094644C">
              <w:rPr>
                <w:sz w:val="22"/>
                <w:szCs w:val="22"/>
              </w:rPr>
              <w:t>byť fatálne</w:t>
            </w:r>
            <w:r w:rsidRPr="0094644C">
              <w:rPr>
                <w:sz w:val="22"/>
                <w:szCs w:val="22"/>
              </w:rPr>
              <w:t xml:space="preserve"> (pozri časť 4.3).</w:t>
            </w:r>
          </w:p>
        </w:tc>
      </w:tr>
    </w:tbl>
    <w:p w:rsidR="003A17EC" w:rsidRPr="0094644C" w:rsidRDefault="003A17EC" w:rsidP="003A17EC">
      <w:pPr>
        <w:rPr>
          <w:vanish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552"/>
      </w:tblGrid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4C0DC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Iné nepriamo pôsobiace perorálne alebo nazálne podávané sympatomimetiká alebo vazokonstričné liečivá,</w:t>
            </w:r>
            <w:r w:rsidR="00B61ED1">
              <w:rPr>
                <w:sz w:val="22"/>
                <w:szCs w:val="22"/>
              </w:rPr>
              <w:t xml:space="preserve"> </w:t>
            </w:r>
            <w:r w:rsidRPr="0094644C">
              <w:rPr>
                <w:sz w:val="22"/>
                <w:szCs w:val="22"/>
              </w:rPr>
              <w:t>α-sympatomimetiká, fenylpropanolamín, fenylefrín, efedrín, metylfenidát: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4C0DC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Riziko vazokonstrikcie a/alebo hypertenzných kríz.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Reverzibilné inhibítory monoaminooxidázy A (RIMA), linezolid, dopam</w:t>
            </w:r>
            <w:r w:rsidR="00E208D2" w:rsidRPr="0094644C">
              <w:rPr>
                <w:sz w:val="22"/>
                <w:szCs w:val="22"/>
              </w:rPr>
              <w:t>í</w:t>
            </w:r>
            <w:r w:rsidRPr="0094644C">
              <w:rPr>
                <w:sz w:val="22"/>
                <w:szCs w:val="22"/>
              </w:rPr>
              <w:t>nergné ergotamínové alkaloidy, vazokonstrikčné ergotamínové alkaloidy: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4C0DC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Riziko vazokonstrikcie a/alebo hypertenzných kríz.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Prchavé halogénované anestetiká: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BE773F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Perioperatívna akútna hypertenzia. Niekoľko dní pred plánovaným chirurgickým výkonom vysadiť liečbu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om</w:t>
            </w:r>
            <w:r w:rsidRPr="0094644C">
              <w:rPr>
                <w:sz w:val="22"/>
                <w:szCs w:val="22"/>
              </w:rPr>
              <w:t>.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Gvanetidín, rezerpín a metyldopa: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Môže sa znížiť účinok pseudoefedrínu.</w:t>
            </w:r>
            <w:r w:rsidRPr="0094644C">
              <w:rPr>
                <w:sz w:val="22"/>
                <w:szCs w:val="22"/>
              </w:rPr>
              <w:br/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Tricyklické antidepresíva: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Môže sa znížiť alebo zvýšiť účinok pseudoefedrínu.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Digitalis, chinidín alebo tricyklické antidepresíva: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Zvýšená frekvencia arytmie.</w:t>
            </w:r>
          </w:p>
        </w:tc>
      </w:tr>
    </w:tbl>
    <w:p w:rsidR="004C0DC2" w:rsidRPr="0094644C" w:rsidRDefault="004C0DC2" w:rsidP="004C0DC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552"/>
      </w:tblGrid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112416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Kombinácia</w:t>
            </w:r>
            <w:r w:rsidR="004C0DC2" w:rsidRPr="0094644C">
              <w:rPr>
                <w:b/>
                <w:bCs/>
                <w:sz w:val="22"/>
                <w:szCs w:val="22"/>
              </w:rPr>
              <w:t xml:space="preserve"> </w:t>
            </w:r>
            <w:r w:rsidR="00E46823">
              <w:rPr>
                <w:b/>
                <w:bCs/>
                <w:sz w:val="22"/>
                <w:szCs w:val="22"/>
              </w:rPr>
              <w:t>ibuprofén</w:t>
            </w:r>
            <w:r w:rsidR="004C0DC2" w:rsidRPr="0094644C">
              <w:rPr>
                <w:b/>
                <w:bCs/>
                <w:sz w:val="22"/>
                <w:szCs w:val="22"/>
              </w:rPr>
              <w:t>u s: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Možná reakcia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9E5966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Iné NSAID: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Súbežné podávanie viacerých NSAID môže zvýšiť riziko gastrointestinálnych vredov a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 xml:space="preserve">krvácania z dôvodu synergického účinku. Súbežnému užívaniu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 xml:space="preserve">u s inými NSAID sa má preto </w:t>
            </w:r>
            <w:r w:rsidR="00112416" w:rsidRPr="0094644C">
              <w:rPr>
                <w:sz w:val="22"/>
                <w:szCs w:val="22"/>
              </w:rPr>
              <w:t>vyhnúť</w:t>
            </w:r>
            <w:r w:rsidRPr="0094644C">
              <w:rPr>
                <w:sz w:val="22"/>
                <w:szCs w:val="22"/>
              </w:rPr>
              <w:t xml:space="preserve"> (pozri časť </w:t>
            </w:r>
            <w:r w:rsidR="00F61023">
              <w:rPr>
                <w:sz w:val="22"/>
                <w:szCs w:val="22"/>
              </w:rPr>
              <w:t xml:space="preserve">4.3 a </w:t>
            </w:r>
            <w:r w:rsidRPr="0094644C">
              <w:rPr>
                <w:sz w:val="22"/>
                <w:szCs w:val="22"/>
              </w:rPr>
              <w:t>4.4).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Digoxín: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BE773F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Súbežné užívanie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u</w:t>
            </w:r>
            <w:r w:rsidRPr="0094644C">
              <w:rPr>
                <w:sz w:val="22"/>
                <w:szCs w:val="22"/>
              </w:rPr>
              <w:t xml:space="preserve"> s liekmi obsahujúcimi digoxín môže zvýšiť sérové hladiny týchto liekov. Kontrola digoxínu v sére sa pri správnom užívaní spravidla nevyžaduje (maximálne počas 5 dní).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Kortikosteroidy:</w:t>
            </w:r>
            <w:r w:rsidRPr="0094644C">
              <w:rPr>
                <w:sz w:val="22"/>
                <w:szCs w:val="22"/>
              </w:rPr>
              <w:br/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Kortikosteroidy, </w:t>
            </w:r>
            <w:r w:rsidR="00112416" w:rsidRPr="0094644C">
              <w:rPr>
                <w:sz w:val="22"/>
                <w:szCs w:val="22"/>
              </w:rPr>
              <w:t>keď</w:t>
            </w:r>
            <w:r w:rsidRPr="0094644C">
              <w:rPr>
                <w:sz w:val="22"/>
                <w:szCs w:val="22"/>
              </w:rPr>
              <w:t>že môžu zvýšiť riziko nežiaducich reakcií, najmä gastrointestinálneho traktu (gastrointestinálne ulcerácie alebo krvácanie) (pozri časť 4.3).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Antiagregačné látky:</w:t>
            </w:r>
            <w:r w:rsidRPr="0094644C">
              <w:rPr>
                <w:sz w:val="22"/>
                <w:szCs w:val="22"/>
              </w:rPr>
              <w:br/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Zvýšené riziko gastrointestinálneho krvácania (pozri časť 4.4).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930C7" w:rsidRDefault="004C0DC2" w:rsidP="009E5966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E5966">
              <w:rPr>
                <w:sz w:val="22"/>
                <w:szCs w:val="22"/>
              </w:rPr>
              <w:t>Kyselina acetylsalicylová</w:t>
            </w:r>
            <w:r w:rsidRPr="009930C7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5966" w:rsidRPr="002E19F0" w:rsidRDefault="009E5966" w:rsidP="00944C00">
            <w:pPr>
              <w:pStyle w:val="Default"/>
              <w:ind w:left="173"/>
              <w:rPr>
                <w:rFonts w:ascii="Times New Roman" w:hAnsi="Times New Roman" w:cs="Times New Roman"/>
                <w:sz w:val="22"/>
                <w:szCs w:val="22"/>
              </w:rPr>
            </w:pPr>
            <w:r w:rsidRPr="00F61023">
              <w:rPr>
                <w:rFonts w:ascii="Times New Roman" w:hAnsi="Times New Roman" w:cs="Times New Roman"/>
                <w:sz w:val="22"/>
                <w:szCs w:val="22"/>
              </w:rPr>
              <w:t xml:space="preserve">Súčasné podávanie </w:t>
            </w:r>
            <w:r w:rsidR="00E46823">
              <w:rPr>
                <w:rFonts w:ascii="Times New Roman" w:hAnsi="Times New Roman" w:cs="Times New Roman"/>
                <w:sz w:val="22"/>
                <w:szCs w:val="22"/>
              </w:rPr>
              <w:t>ibuprofén</w:t>
            </w:r>
            <w:r w:rsidRPr="00F61023">
              <w:rPr>
                <w:rFonts w:ascii="Times New Roman" w:hAnsi="Times New Roman" w:cs="Times New Roman"/>
                <w:sz w:val="22"/>
                <w:szCs w:val="22"/>
              </w:rPr>
              <w:t>u a kyseliny acetylsalicylovej sa neodporúča z dôvodu možn</w:t>
            </w:r>
            <w:r w:rsidRPr="002E19F0">
              <w:rPr>
                <w:rFonts w:ascii="Times New Roman" w:hAnsi="Times New Roman" w:cs="Times New Roman"/>
                <w:sz w:val="22"/>
                <w:szCs w:val="22"/>
              </w:rPr>
              <w:t xml:space="preserve">ých zvýšených nežiaducich udalostí. </w:t>
            </w:r>
          </w:p>
          <w:p w:rsidR="004C0DC2" w:rsidRPr="00944C00" w:rsidRDefault="009E5966" w:rsidP="00944C00">
            <w:pPr>
              <w:pStyle w:val="Default"/>
              <w:ind w:left="173"/>
              <w:rPr>
                <w:rFonts w:ascii="Times New Roman" w:hAnsi="Times New Roman" w:cs="Times New Roman"/>
                <w:sz w:val="22"/>
                <w:szCs w:val="22"/>
              </w:rPr>
            </w:pPr>
            <w:r w:rsidRPr="0030719A">
              <w:rPr>
                <w:rFonts w:ascii="Times New Roman" w:hAnsi="Times New Roman" w:cs="Times New Roman"/>
                <w:sz w:val="22"/>
                <w:szCs w:val="22"/>
              </w:rPr>
              <w:t xml:space="preserve">Experimentálne údaje naznačujú, že </w:t>
            </w:r>
            <w:r w:rsidR="00E46823">
              <w:rPr>
                <w:rFonts w:ascii="Times New Roman" w:hAnsi="Times New Roman" w:cs="Times New Roman"/>
                <w:sz w:val="22"/>
                <w:szCs w:val="22"/>
              </w:rPr>
              <w:t>ibuprofén</w:t>
            </w:r>
            <w:r w:rsidRPr="0030719A">
              <w:rPr>
                <w:rFonts w:ascii="Times New Roman" w:hAnsi="Times New Roman" w:cs="Times New Roman"/>
                <w:sz w:val="22"/>
                <w:szCs w:val="22"/>
              </w:rPr>
              <w:t xml:space="preserve"> môže pri súčasnom dávkovaní kompetitívne inhibovať účinok nízkej dávky kyseliny acetylsalicylovej na agregáciu trombocytov. Hoci existujú nejasnosti </w:t>
            </w:r>
            <w:r w:rsidRPr="00944C00">
              <w:rPr>
                <w:rFonts w:ascii="Times New Roman" w:hAnsi="Times New Roman" w:cs="Times New Roman"/>
                <w:sz w:val="22"/>
                <w:szCs w:val="22"/>
              </w:rPr>
              <w:t xml:space="preserve">s ohľadom na extrapoláciu týchto údajov na klinickú situáciu, nedá sa vylúčiť možnosť, že pravidelné, </w:t>
            </w:r>
            <w:r w:rsidRPr="00944C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dlhodobé používanie </w:t>
            </w:r>
            <w:r w:rsidR="00E46823">
              <w:rPr>
                <w:rFonts w:ascii="Times New Roman" w:hAnsi="Times New Roman" w:cs="Times New Roman"/>
                <w:sz w:val="22"/>
                <w:szCs w:val="22"/>
              </w:rPr>
              <w:t>ibuprofén</w:t>
            </w:r>
            <w:r w:rsidRPr="00944C00">
              <w:rPr>
                <w:rFonts w:ascii="Times New Roman" w:hAnsi="Times New Roman" w:cs="Times New Roman"/>
                <w:sz w:val="22"/>
                <w:szCs w:val="22"/>
              </w:rPr>
              <w:t xml:space="preserve">u môže znížiť kardioprotektívny účinok nízkej dávky kyseliny acetylsalicylovej. V prípade príležitostného používania </w:t>
            </w:r>
            <w:r w:rsidR="00E46823">
              <w:rPr>
                <w:rFonts w:ascii="Times New Roman" w:hAnsi="Times New Roman" w:cs="Times New Roman"/>
                <w:sz w:val="22"/>
                <w:szCs w:val="22"/>
              </w:rPr>
              <w:t>ibuprofén</w:t>
            </w:r>
            <w:r w:rsidRPr="00944C00">
              <w:rPr>
                <w:rFonts w:ascii="Times New Roman" w:hAnsi="Times New Roman" w:cs="Times New Roman"/>
                <w:sz w:val="22"/>
                <w:szCs w:val="22"/>
              </w:rPr>
              <w:t>u sa žiaden klinicky relevantný účinok nepovažuje za pravdepodobný (pozri časť 5.1).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lastRenderedPageBreak/>
              <w:t>Antikoagulanciá: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br/>
              <w:t>(napr.: warfarín, tiklopidín, klopidogrel, tirofiban, eptifibatid, abciximab, iloprost)</w:t>
            </w:r>
            <w:r w:rsidRPr="0094644C">
              <w:rPr>
                <w:sz w:val="22"/>
                <w:szCs w:val="22"/>
              </w:rPr>
              <w:br/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NSAID, ako je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, môžu zosilniť účinok antikoagulancií (pozri časť 4.4).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Fenytoín: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BE773F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Súbežné</w:t>
            </w:r>
            <w:r w:rsidR="00112416" w:rsidRPr="0094644C">
              <w:rPr>
                <w:sz w:val="22"/>
                <w:szCs w:val="22"/>
              </w:rPr>
              <w:t xml:space="preserve"> po</w:t>
            </w:r>
            <w:r w:rsidRPr="0094644C">
              <w:rPr>
                <w:sz w:val="22"/>
                <w:szCs w:val="22"/>
              </w:rPr>
              <w:t xml:space="preserve">užívanie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 xml:space="preserve">u </w:t>
            </w:r>
            <w:r w:rsidRPr="0094644C">
              <w:rPr>
                <w:sz w:val="22"/>
                <w:szCs w:val="22"/>
              </w:rPr>
              <w:t>s liekmi obsahujúcimi fenytoín môže zvýšiť sérové hladiny týchto liekov. Kontrola sérového fenytoínu sa pri správnom používaní zvyčajne nevyžaduje (maximálne počas 5 dní).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Selektívne inhibítory spätného vychytávania </w:t>
            </w:r>
            <w:r w:rsidR="006F3E55" w:rsidRPr="0094644C">
              <w:rPr>
                <w:sz w:val="22"/>
                <w:szCs w:val="22"/>
              </w:rPr>
              <w:t>s</w:t>
            </w:r>
            <w:r w:rsidR="00B61ED1">
              <w:rPr>
                <w:sz w:val="22"/>
                <w:szCs w:val="22"/>
              </w:rPr>
              <w:t>é</w:t>
            </w:r>
            <w:r w:rsidR="006F3E55" w:rsidRPr="0094644C">
              <w:rPr>
                <w:sz w:val="22"/>
                <w:szCs w:val="22"/>
              </w:rPr>
              <w:t>rotonínu</w:t>
            </w:r>
            <w:r w:rsidRPr="0094644C">
              <w:rPr>
                <w:sz w:val="22"/>
                <w:szCs w:val="22"/>
              </w:rPr>
              <w:t xml:space="preserve"> (SSRI):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Zvýšené riziko gastrointestinálneho krvácania (pozri časť 4.4).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Lítium: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Súbežné </w:t>
            </w:r>
            <w:r w:rsidR="00112416" w:rsidRPr="0094644C">
              <w:rPr>
                <w:sz w:val="22"/>
                <w:szCs w:val="22"/>
              </w:rPr>
              <w:t>po</w:t>
            </w:r>
            <w:r w:rsidRPr="0094644C">
              <w:rPr>
                <w:sz w:val="22"/>
                <w:szCs w:val="22"/>
              </w:rPr>
              <w:t xml:space="preserve">užívanie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u</w:t>
            </w:r>
            <w:r w:rsidRPr="0094644C">
              <w:rPr>
                <w:sz w:val="22"/>
                <w:szCs w:val="22"/>
              </w:rPr>
              <w:t xml:space="preserve"> s liekmi obsahujúcimi lítium môže zvýšiť sérové hladiny týchto liekov. Kontrola sérového lítia sa pri správnom používaní spravidla nevyžaduje (maximálne počas 5 dní).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Probenecid a sulfinpyrazón: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Lieky, ktoré obsahujú probenecid alebo sulfinpyrazón, môžu oneskoriť vylučovanie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u.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BE773F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Diuretiká, inhibítory ACE, betablokátory a antagonisty angiotenzínu II: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NSAID môžu znížiť účinok diuretík a iných antihypertenzných liekov. U niektorých pacientov so zhoršenou funkciou obličiek (napr. dehydratovaní pacienti alebo starší pacienti so zhoršenou funkciou obličiek) môže mať súbežné podávanie inhibítorov ACE, betablokátorov alebo antagonistov angiotenzínu II a látok, ktoré inhibujú cyklooxygenázu, za následok ďalšie zhoršenie funkcie obličiek vrátane možného akútneho zlyhania obličiek, ktoré je zvyčajne reverzibilné. Preto sa má táto kombinácia podávať opatrne, predovšetkým u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starších pacientov. Pacienti majú byť adekvátne hydratovaní a je potrebné zvážiť sledovanie funkcie obličiek po začatí súbežnej liečby a potom pravidelne.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Draslík šetriace diuretiká: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Súbežné </w:t>
            </w:r>
            <w:r w:rsidR="00112416" w:rsidRPr="0094644C">
              <w:rPr>
                <w:sz w:val="22"/>
                <w:szCs w:val="22"/>
              </w:rPr>
              <w:t xml:space="preserve">používanie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u</w:t>
            </w:r>
            <w:r w:rsidR="00112416" w:rsidRPr="0094644C">
              <w:rPr>
                <w:sz w:val="22"/>
                <w:szCs w:val="22"/>
              </w:rPr>
              <w:t xml:space="preserve"> </w:t>
            </w:r>
            <w:r w:rsidRPr="0094644C">
              <w:rPr>
                <w:sz w:val="22"/>
                <w:szCs w:val="22"/>
              </w:rPr>
              <w:t>a draslík šetriacich diuretík môže viesť k hyperkaliémii (odporúča sa kontrola sérového draslíka).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Metotrexát: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Podávanie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u</w:t>
            </w:r>
            <w:r w:rsidR="00112416" w:rsidRPr="0094644C">
              <w:rPr>
                <w:sz w:val="22"/>
                <w:szCs w:val="22"/>
              </w:rPr>
              <w:t xml:space="preserve"> </w:t>
            </w:r>
            <w:r w:rsidRPr="0094644C">
              <w:rPr>
                <w:sz w:val="22"/>
                <w:szCs w:val="22"/>
              </w:rPr>
              <w:t>v priebehu 24 hodín pred alebo po podaní metotrexátu môže viesť ku zvýšeným koncentráciám metotrexátu a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zvýšeniu jeho toxického účinku.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Cyklosporín: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Riziko poškodenia obličiek súvisiace s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 xml:space="preserve">cyklosporínom sa zvyšuje súbežným podávaním niektorých nesteroidových antiflogistík. Tento účinok nemožno vylúčiť ani pri kombinácii cyklosporínu s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om.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Takrolimus: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Ak sa tieto dva lieky podávajú súbežne, je zvýšené riziko nefrotoxicity.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Zidovudín: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U HIV pozitívnych hemofilikov užívajúcich </w:t>
            </w:r>
            <w:r w:rsidRPr="0094644C">
              <w:rPr>
                <w:sz w:val="22"/>
                <w:szCs w:val="22"/>
              </w:rPr>
              <w:lastRenderedPageBreak/>
              <w:t xml:space="preserve">súčasne liečbu zidovudínom a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om existuje zvýšené riziko hemartróz a hematómu.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lastRenderedPageBreak/>
              <w:t>Deriváty sulfonylmočoviny: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Klinické zistenia preukázali interakcie medzi nesteroidovými antiflogistikami a antidiabetikami (derivátmi sulfonylmočoviny). Hoci interakcie medzi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om a derivátmi sulfonylmočoviny neboli doteraz zaznamenané, preventívne sa pri súbežnom užívaní odporúča kontrola hodnôt glukózy v krvi.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Chinolónové antibiotiká: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Údaje získané na zvieratách naznačujú, že NSAID môžu zvyšovať riziko kŕčov v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súvislosti s chinolónovými antibiotikami. Pacienti užívajúci NSAID a chinolóny môžu mať zvýšené riziko rozvoja kŕčov.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Heparíny;</w:t>
            </w:r>
            <w:r w:rsidRPr="0094644C">
              <w:rPr>
                <w:rStyle w:val="apple-converted-space"/>
                <w:i/>
                <w:iCs/>
                <w:sz w:val="22"/>
                <w:szCs w:val="22"/>
              </w:rPr>
              <w:t> </w:t>
            </w:r>
            <w:r w:rsidRPr="0094644C">
              <w:rPr>
                <w:i/>
                <w:iCs/>
                <w:sz w:val="22"/>
                <w:szCs w:val="22"/>
              </w:rPr>
              <w:t>Ginko biloba</w:t>
            </w:r>
            <w:r w:rsidRPr="0094644C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Zvýšené riziko krvácania.</w:t>
            </w:r>
          </w:p>
        </w:tc>
      </w:tr>
      <w:tr w:rsidR="00ED5A99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5A99" w:rsidRPr="0094644C" w:rsidRDefault="00ED5A99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Antacidá: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5A99" w:rsidRPr="0094644C" w:rsidRDefault="00ED5A99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Niektoré antacidá môžu zvýšiť gastrointestinálnu absorpciu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u.</w:t>
            </w:r>
            <w:r w:rsidR="004F4D44" w:rsidRPr="0094644C">
              <w:rPr>
                <w:sz w:val="22"/>
                <w:szCs w:val="22"/>
              </w:rPr>
              <w:t xml:space="preserve"> Toto sa považuje za klinicky r</w:t>
            </w:r>
            <w:r w:rsidRPr="0094644C">
              <w:rPr>
                <w:sz w:val="22"/>
                <w:szCs w:val="22"/>
              </w:rPr>
              <w:t xml:space="preserve">elevantné, najmä počas dlhodobého používania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u.</w:t>
            </w:r>
          </w:p>
        </w:tc>
      </w:tr>
      <w:tr w:rsidR="00ED5A99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5A99" w:rsidRPr="0094644C" w:rsidRDefault="00ED5A99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Aminoglykozidy: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5A99" w:rsidRPr="0094644C" w:rsidRDefault="00A4723C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Zníženie renálnej funkcie i citlivých jedincov </w:t>
            </w:r>
            <w:r w:rsidR="00A37C36" w:rsidRPr="0094644C">
              <w:rPr>
                <w:sz w:val="22"/>
                <w:szCs w:val="22"/>
              </w:rPr>
              <w:t>zmenšuje elimináciu aminoglykozidov a zvyšuje plazmatické koncentrácie.</w:t>
            </w:r>
          </w:p>
        </w:tc>
      </w:tr>
    </w:tbl>
    <w:p w:rsidR="00BD0B6F" w:rsidRPr="0094644C" w:rsidRDefault="004C0DC2" w:rsidP="00A37C36">
      <w:pPr>
        <w:rPr>
          <w:b/>
          <w:bCs/>
          <w:sz w:val="22"/>
          <w:szCs w:val="22"/>
        </w:rPr>
      </w:pPr>
      <w:r w:rsidRPr="0094644C">
        <w:rPr>
          <w:rFonts w:ascii="Arial" w:hAnsi="Arial" w:cs="Arial"/>
          <w:color w:val="333333"/>
          <w:sz w:val="20"/>
          <w:szCs w:val="20"/>
        </w:rPr>
        <w:br/>
      </w:r>
      <w:r w:rsidR="00AF1266" w:rsidRPr="0094644C">
        <w:rPr>
          <w:b/>
          <w:bCs/>
          <w:sz w:val="22"/>
          <w:szCs w:val="22"/>
        </w:rPr>
        <w:t>4.6</w:t>
      </w:r>
      <w:r w:rsidR="00504AD6" w:rsidRPr="0094644C">
        <w:rPr>
          <w:b/>
          <w:bCs/>
          <w:sz w:val="22"/>
          <w:szCs w:val="22"/>
        </w:rPr>
        <w:tab/>
      </w:r>
      <w:r w:rsidR="00A37C36" w:rsidRPr="0094644C">
        <w:rPr>
          <w:b/>
          <w:bCs/>
          <w:sz w:val="22"/>
          <w:szCs w:val="22"/>
        </w:rPr>
        <w:t>Fertilita, g</w:t>
      </w:r>
      <w:r w:rsidR="00AF1266" w:rsidRPr="0094644C">
        <w:rPr>
          <w:b/>
          <w:bCs/>
          <w:sz w:val="22"/>
          <w:szCs w:val="22"/>
        </w:rPr>
        <w:t>ravidita a laktácia</w:t>
      </w:r>
    </w:p>
    <w:p w:rsidR="00504AD6" w:rsidRPr="0094644C" w:rsidRDefault="00504AD6">
      <w:pPr>
        <w:pStyle w:val="Zarkazkladnhotextu"/>
        <w:ind w:left="0"/>
        <w:rPr>
          <w:sz w:val="22"/>
          <w:szCs w:val="22"/>
        </w:rPr>
      </w:pPr>
    </w:p>
    <w:p w:rsidR="00BD0B6F" w:rsidRPr="0094644C" w:rsidRDefault="006718A6">
      <w:pPr>
        <w:pStyle w:val="Zarkazkladnhotextu"/>
        <w:ind w:left="0"/>
        <w:rPr>
          <w:sz w:val="22"/>
          <w:szCs w:val="22"/>
        </w:rPr>
      </w:pPr>
      <w:r>
        <w:rPr>
          <w:sz w:val="22"/>
          <w:szCs w:val="22"/>
        </w:rPr>
        <w:t xml:space="preserve">Robicold </w:t>
      </w:r>
      <w:r w:rsidR="00BD0B6F" w:rsidRPr="0094644C">
        <w:rPr>
          <w:sz w:val="22"/>
          <w:szCs w:val="22"/>
        </w:rPr>
        <w:t xml:space="preserve">je </w:t>
      </w:r>
      <w:r>
        <w:rPr>
          <w:sz w:val="22"/>
          <w:szCs w:val="22"/>
        </w:rPr>
        <w:t xml:space="preserve">kontraindikovaný </w:t>
      </w:r>
      <w:r w:rsidR="00BD0B6F" w:rsidRPr="0094644C">
        <w:rPr>
          <w:sz w:val="22"/>
          <w:szCs w:val="22"/>
        </w:rPr>
        <w:t>v gravidite a počas laktácie</w:t>
      </w:r>
      <w:r>
        <w:rPr>
          <w:sz w:val="22"/>
          <w:szCs w:val="22"/>
        </w:rPr>
        <w:t xml:space="preserve"> (pozri časť 4.3)</w:t>
      </w:r>
      <w:r w:rsidR="00BD0B6F" w:rsidRPr="0094644C">
        <w:rPr>
          <w:sz w:val="22"/>
          <w:szCs w:val="22"/>
        </w:rPr>
        <w:t>.</w:t>
      </w:r>
    </w:p>
    <w:p w:rsidR="00BD0B6F" w:rsidRPr="0094644C" w:rsidRDefault="00BD0B6F">
      <w:pPr>
        <w:pStyle w:val="Zarkazkladnhotextu"/>
        <w:ind w:left="0"/>
        <w:rPr>
          <w:sz w:val="22"/>
          <w:szCs w:val="22"/>
        </w:rPr>
      </w:pPr>
    </w:p>
    <w:p w:rsidR="00BD0B6F" w:rsidRPr="0094644C" w:rsidRDefault="00BD0B6F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Gravidita</w:t>
      </w:r>
    </w:p>
    <w:p w:rsidR="00A37C36" w:rsidRPr="0094644C" w:rsidRDefault="00A37C36">
      <w:pPr>
        <w:rPr>
          <w:sz w:val="22"/>
          <w:szCs w:val="22"/>
          <w:u w:val="single"/>
        </w:rPr>
      </w:pPr>
    </w:p>
    <w:p w:rsidR="00A37C36" w:rsidRPr="0094644C" w:rsidRDefault="00E46823">
      <w:pPr>
        <w:rPr>
          <w:sz w:val="22"/>
          <w:szCs w:val="22"/>
          <w:u w:val="single"/>
        </w:rPr>
      </w:pPr>
      <w:r>
        <w:rPr>
          <w:sz w:val="22"/>
          <w:szCs w:val="22"/>
        </w:rPr>
        <w:t>Ibuprofén</w:t>
      </w:r>
      <w:r w:rsidR="00A37C36" w:rsidRPr="0094644C">
        <w:rPr>
          <w:sz w:val="22"/>
          <w:szCs w:val="22"/>
          <w:u w:val="single"/>
        </w:rPr>
        <w:t>:</w:t>
      </w:r>
    </w:p>
    <w:p w:rsidR="00A37C36" w:rsidRPr="0094644C" w:rsidRDefault="00A37C3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Hoci sa v experimentoch so zvieratami nepreukázal teratogénny účinok, použitiu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u v gravidite sa má vyhnúť.</w:t>
      </w:r>
    </w:p>
    <w:p w:rsidR="00A37C36" w:rsidRPr="0094644C" w:rsidRDefault="00A37C36">
      <w:pPr>
        <w:rPr>
          <w:sz w:val="22"/>
          <w:szCs w:val="22"/>
        </w:rPr>
      </w:pPr>
    </w:p>
    <w:p w:rsidR="00A37C36" w:rsidRPr="0094644C" w:rsidRDefault="00A37C3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Počas tretieho trimestra je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 xml:space="preserve"> </w:t>
      </w:r>
      <w:r w:rsidR="006F3E55" w:rsidRPr="0094644C">
        <w:rPr>
          <w:sz w:val="22"/>
          <w:szCs w:val="22"/>
        </w:rPr>
        <w:t>kontraindikovaný</w:t>
      </w:r>
      <w:r w:rsidRPr="0094644C">
        <w:rPr>
          <w:sz w:val="22"/>
          <w:szCs w:val="22"/>
        </w:rPr>
        <w:t>, pretože existuje riziko predčasného uzáveru ductus arteriosus a pulmonálnej hypertenzie.</w:t>
      </w:r>
    </w:p>
    <w:p w:rsidR="00A37C36" w:rsidRPr="0094644C" w:rsidRDefault="00A37C36">
      <w:pPr>
        <w:rPr>
          <w:sz w:val="22"/>
          <w:szCs w:val="22"/>
        </w:rPr>
      </w:pPr>
    </w:p>
    <w:p w:rsidR="00A37C36" w:rsidRPr="0094644C" w:rsidRDefault="00A37C36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Fertilita</w:t>
      </w:r>
    </w:p>
    <w:p w:rsidR="00A37C36" w:rsidRPr="0094644C" w:rsidRDefault="00A37C36">
      <w:pPr>
        <w:rPr>
          <w:sz w:val="22"/>
          <w:szCs w:val="22"/>
          <w:u w:val="single"/>
        </w:rPr>
      </w:pPr>
    </w:p>
    <w:p w:rsidR="00A37C36" w:rsidRPr="0094644C" w:rsidRDefault="00A37C36" w:rsidP="00A37C36">
      <w:pPr>
        <w:rPr>
          <w:sz w:val="22"/>
          <w:szCs w:val="22"/>
        </w:rPr>
      </w:pPr>
      <w:r w:rsidRPr="0094644C">
        <w:rPr>
          <w:sz w:val="22"/>
          <w:szCs w:val="22"/>
        </w:rPr>
        <w:t>Existujú isté dôkazy, že lieky, ktoré i</w:t>
      </w:r>
      <w:r w:rsidR="00BD0B6F" w:rsidRPr="0094644C">
        <w:rPr>
          <w:sz w:val="22"/>
          <w:szCs w:val="22"/>
        </w:rPr>
        <w:t>nhib</w:t>
      </w:r>
      <w:r w:rsidRPr="0094644C">
        <w:rPr>
          <w:sz w:val="22"/>
          <w:szCs w:val="22"/>
        </w:rPr>
        <w:t>ujú</w:t>
      </w:r>
      <w:r w:rsidR="00BD0B6F" w:rsidRPr="0094644C">
        <w:rPr>
          <w:sz w:val="22"/>
          <w:szCs w:val="22"/>
        </w:rPr>
        <w:t xml:space="preserve"> syntéz</w:t>
      </w:r>
      <w:r w:rsidRPr="0094644C">
        <w:rPr>
          <w:sz w:val="22"/>
          <w:szCs w:val="22"/>
        </w:rPr>
        <w:t>u cyklooxygenázy/prostaglandínov môžu spôsobovať poškodenie ženskej fertility účinkom na ovuláciu. Toto je reverzibilné po vysadení liečby.</w:t>
      </w:r>
    </w:p>
    <w:p w:rsidR="00A37C36" w:rsidRPr="0094644C" w:rsidRDefault="00A37C36" w:rsidP="00A37C36">
      <w:pPr>
        <w:rPr>
          <w:sz w:val="22"/>
          <w:szCs w:val="22"/>
        </w:rPr>
      </w:pPr>
    </w:p>
    <w:p w:rsidR="00A37C36" w:rsidRPr="0094644C" w:rsidRDefault="00A37C36" w:rsidP="00A37C36">
      <w:pPr>
        <w:rPr>
          <w:sz w:val="22"/>
          <w:szCs w:val="22"/>
        </w:rPr>
      </w:pPr>
      <w:r w:rsidRPr="0094644C">
        <w:rPr>
          <w:sz w:val="22"/>
          <w:szCs w:val="22"/>
        </w:rPr>
        <w:t>Použitie NSAID môže poškodzovať ženskú fertilitu a ženám sa neodporúča otehotnieť. U žien, ktoré majú problémy s otehotnením a ktoré sú vyšetrované na neplodnosť, sa má zvážiť vysadenie lieku.</w:t>
      </w:r>
    </w:p>
    <w:p w:rsidR="00A37C36" w:rsidRPr="0094644C" w:rsidRDefault="00A37C36" w:rsidP="00A37C36">
      <w:pPr>
        <w:rPr>
          <w:sz w:val="22"/>
          <w:szCs w:val="22"/>
        </w:rPr>
      </w:pPr>
    </w:p>
    <w:p w:rsidR="002E19F0" w:rsidRPr="0094644C" w:rsidRDefault="002F0468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:rsidR="00A37C36" w:rsidRPr="0094644C" w:rsidRDefault="00A37C36">
      <w:pPr>
        <w:rPr>
          <w:sz w:val="22"/>
          <w:szCs w:val="22"/>
          <w:u w:val="single"/>
        </w:rPr>
      </w:pPr>
    </w:p>
    <w:p w:rsidR="00A37C36" w:rsidRPr="0094644C" w:rsidRDefault="00E46823">
      <w:pPr>
        <w:rPr>
          <w:sz w:val="22"/>
          <w:szCs w:val="22"/>
          <w:u w:val="single"/>
        </w:rPr>
      </w:pPr>
      <w:r>
        <w:rPr>
          <w:sz w:val="22"/>
          <w:szCs w:val="22"/>
        </w:rPr>
        <w:t>Ibuprofén</w:t>
      </w:r>
      <w:r w:rsidR="00A37C36" w:rsidRPr="00944C00">
        <w:rPr>
          <w:sz w:val="22"/>
          <w:szCs w:val="22"/>
        </w:rPr>
        <w:t>:</w:t>
      </w:r>
    </w:p>
    <w:p w:rsidR="00DD2CEE" w:rsidRPr="0094644C" w:rsidRDefault="00DD2CEE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Podľa obmedzených štúdií sa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 xml:space="preserve"> vysk</w:t>
      </w:r>
      <w:r w:rsidR="004F4D44" w:rsidRPr="0094644C">
        <w:rPr>
          <w:sz w:val="22"/>
          <w:szCs w:val="22"/>
        </w:rPr>
        <w:t>y</w:t>
      </w:r>
      <w:r w:rsidRPr="0094644C">
        <w:rPr>
          <w:sz w:val="22"/>
          <w:szCs w:val="22"/>
        </w:rPr>
        <w:t>tuje v materskom lieku ľudí vo veľmi nízkych koncentráciách a nie je pravdepodobné, že by nežiaduco ovplyvňoval doj</w:t>
      </w:r>
      <w:r w:rsidR="004F4D44" w:rsidRPr="0094644C">
        <w:rPr>
          <w:sz w:val="22"/>
          <w:szCs w:val="22"/>
        </w:rPr>
        <w:t>č</w:t>
      </w:r>
      <w:r w:rsidRPr="0094644C">
        <w:rPr>
          <w:sz w:val="22"/>
          <w:szCs w:val="22"/>
        </w:rPr>
        <w:t>a.</w:t>
      </w:r>
    </w:p>
    <w:p w:rsidR="00DD2CEE" w:rsidRPr="0094644C" w:rsidRDefault="00DD2CEE">
      <w:pPr>
        <w:rPr>
          <w:sz w:val="22"/>
          <w:szCs w:val="22"/>
        </w:rPr>
      </w:pPr>
    </w:p>
    <w:p w:rsidR="00DD2CEE" w:rsidRPr="0094644C" w:rsidRDefault="00DD2CEE">
      <w:pPr>
        <w:rPr>
          <w:sz w:val="22"/>
          <w:szCs w:val="22"/>
        </w:rPr>
      </w:pPr>
      <w:r w:rsidRPr="0094644C">
        <w:rPr>
          <w:sz w:val="22"/>
          <w:szCs w:val="22"/>
        </w:rPr>
        <w:t>Pseudoefedrín:</w:t>
      </w:r>
    </w:p>
    <w:p w:rsidR="00DD2CEE" w:rsidRPr="0094644C" w:rsidRDefault="00DD2CEE">
      <w:pPr>
        <w:rPr>
          <w:sz w:val="22"/>
          <w:szCs w:val="22"/>
        </w:rPr>
      </w:pPr>
      <w:r w:rsidRPr="0094644C">
        <w:rPr>
          <w:sz w:val="22"/>
          <w:szCs w:val="22"/>
        </w:rPr>
        <w:t>Pseudoefedrín sa vylučuje do materského mlieka ľudí v malých množstvách, no jeho vplyv na dojčatá nie je známy. Odhaduje sa, že 0,4</w:t>
      </w:r>
      <w:r w:rsidR="007447FA">
        <w:rPr>
          <w:sz w:val="22"/>
          <w:szCs w:val="22"/>
        </w:rPr>
        <w:t> </w:t>
      </w:r>
      <w:r w:rsidRPr="0094644C">
        <w:rPr>
          <w:sz w:val="22"/>
          <w:szCs w:val="22"/>
        </w:rPr>
        <w:t>% až 0,7</w:t>
      </w:r>
      <w:r w:rsidR="007447FA">
        <w:rPr>
          <w:sz w:val="22"/>
          <w:szCs w:val="22"/>
        </w:rPr>
        <w:t> </w:t>
      </w:r>
      <w:r w:rsidRPr="0094644C">
        <w:rPr>
          <w:sz w:val="22"/>
          <w:szCs w:val="22"/>
        </w:rPr>
        <w:t>% jednorazovej dávky pseudoefedrínu požitej matkou sa počas 24 hodín vylúči do materského mlieka.</w:t>
      </w:r>
    </w:p>
    <w:p w:rsidR="00DD2CEE" w:rsidRPr="0094644C" w:rsidRDefault="00DD2CEE">
      <w:pPr>
        <w:rPr>
          <w:sz w:val="22"/>
          <w:szCs w:val="22"/>
        </w:rPr>
      </w:pPr>
    </w:p>
    <w:p w:rsidR="00DD2CEE" w:rsidRPr="0094644C" w:rsidRDefault="00DD2CEE">
      <w:pPr>
        <w:rPr>
          <w:sz w:val="22"/>
          <w:szCs w:val="22"/>
        </w:rPr>
      </w:pPr>
      <w:r w:rsidRPr="0094644C">
        <w:rPr>
          <w:sz w:val="22"/>
          <w:szCs w:val="22"/>
        </w:rPr>
        <w:t>Celkovo je použitie tohto lieku kontraindikované v gravidite a počas laktácie.</w:t>
      </w:r>
    </w:p>
    <w:p w:rsidR="00BD0B6F" w:rsidRPr="0094644C" w:rsidRDefault="00BD0B6F">
      <w:pPr>
        <w:rPr>
          <w:sz w:val="22"/>
          <w:szCs w:val="22"/>
        </w:rPr>
      </w:pPr>
    </w:p>
    <w:p w:rsidR="00BD0B6F" w:rsidRPr="0094644C" w:rsidRDefault="00BD0B6F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lastRenderedPageBreak/>
        <w:t>4.7</w:t>
      </w:r>
      <w:r w:rsidR="0002783B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Ovplyvnenie schopnosti viesť vozidlá a obsluhovať stroje</w:t>
      </w:r>
    </w:p>
    <w:p w:rsidR="0002783B" w:rsidRPr="0094644C" w:rsidRDefault="0002783B">
      <w:pPr>
        <w:pStyle w:val="Zkladntext2"/>
        <w:spacing w:after="0" w:line="240" w:lineRule="auto"/>
        <w:rPr>
          <w:sz w:val="22"/>
          <w:szCs w:val="22"/>
        </w:rPr>
      </w:pPr>
    </w:p>
    <w:p w:rsidR="00DD2CEE" w:rsidRPr="0094644C" w:rsidRDefault="00D93693" w:rsidP="00DD2CEE">
      <w:pPr>
        <w:rPr>
          <w:sz w:val="22"/>
          <w:szCs w:val="22"/>
        </w:rPr>
      </w:pPr>
      <w:r>
        <w:rPr>
          <w:sz w:val="22"/>
          <w:szCs w:val="22"/>
        </w:rPr>
        <w:t>Robicold</w:t>
      </w:r>
      <w:r w:rsidR="00DD2CEE" w:rsidRPr="0094644C">
        <w:rPr>
          <w:sz w:val="22"/>
          <w:szCs w:val="22"/>
        </w:rPr>
        <w:t xml:space="preserve"> pri odporúčaných dávkach a dĺžke liečby nemá žiadny alebo má zanedbateľný vplyv na schopnosť viesť vozidlá a obsluhovať stroje. </w:t>
      </w:r>
    </w:p>
    <w:p w:rsidR="00DD2CEE" w:rsidRPr="0094644C" w:rsidRDefault="00DD2CEE" w:rsidP="00DD2CEE">
      <w:pPr>
        <w:rPr>
          <w:sz w:val="22"/>
          <w:szCs w:val="22"/>
        </w:rPr>
      </w:pPr>
      <w:r w:rsidRPr="0094644C">
        <w:rPr>
          <w:sz w:val="22"/>
          <w:szCs w:val="22"/>
        </w:rPr>
        <w:t>Pacienti, ktorí pocítia závrat, halucinácie, nezvyčajnú bolesť hlavy a poruchy zraku a sluchu nemajú viesť vozidlá a obsluhovať stroje. Jednorazové podanie alebo krátkodobé užívanie tohto lieku si zvyčajne nevyžaduje prijatie akýchkoľvek špeciálnych opatrení.</w:t>
      </w:r>
    </w:p>
    <w:p w:rsidR="00BD0B6F" w:rsidRPr="0094644C" w:rsidRDefault="00BD0B6F">
      <w:pPr>
        <w:rPr>
          <w:sz w:val="22"/>
          <w:szCs w:val="22"/>
        </w:rPr>
      </w:pPr>
    </w:p>
    <w:p w:rsidR="00BD0B6F" w:rsidRPr="0094644C" w:rsidRDefault="00BD0B6F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4.8</w:t>
      </w:r>
      <w:r w:rsidR="0002783B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Nežiaduce účinky</w:t>
      </w:r>
    </w:p>
    <w:p w:rsidR="00797DAA" w:rsidRPr="0094644C" w:rsidRDefault="00797DA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562236" w:rsidRPr="0094644C" w:rsidRDefault="00562236" w:rsidP="00562236">
      <w:pPr>
        <w:rPr>
          <w:sz w:val="22"/>
          <w:szCs w:val="22"/>
        </w:rPr>
      </w:pPr>
      <w:r w:rsidRPr="0094644C">
        <w:rPr>
          <w:sz w:val="22"/>
          <w:szCs w:val="22"/>
        </w:rPr>
        <w:t>Najčastejšie pozorované nežiaduce účinky sú gastrointestinálne. Vyskytnúť sa môže žalúdočný vred, perforácia alebo gastrointestinálne krvácanie, niekedy fatálne u starších ľudí (pozri časť 4.4). Po podaní hlásili nevoľnosť, vracanie, hnačku, plynatosť, zápchu, dyspepsiu, bolesť brucha, distenziu brucha, vredy v ústach, melénu, hemateméz</w:t>
      </w:r>
      <w:r w:rsidR="004F4D44" w:rsidRPr="0094644C">
        <w:rPr>
          <w:sz w:val="22"/>
          <w:szCs w:val="22"/>
        </w:rPr>
        <w:t>u</w:t>
      </w:r>
      <w:r w:rsidRPr="0094644C">
        <w:rPr>
          <w:sz w:val="22"/>
          <w:szCs w:val="22"/>
        </w:rPr>
        <w:t>, ulcerózn</w:t>
      </w:r>
      <w:r w:rsidR="004F4D44" w:rsidRPr="0094644C">
        <w:rPr>
          <w:sz w:val="22"/>
          <w:szCs w:val="22"/>
        </w:rPr>
        <w:t>u</w:t>
      </w:r>
      <w:r w:rsidRPr="0094644C">
        <w:rPr>
          <w:sz w:val="22"/>
          <w:szCs w:val="22"/>
        </w:rPr>
        <w:t xml:space="preserve"> stomatitíd</w:t>
      </w:r>
      <w:r w:rsidR="004F4D44" w:rsidRPr="0094644C">
        <w:rPr>
          <w:sz w:val="22"/>
          <w:szCs w:val="22"/>
        </w:rPr>
        <w:t>u</w:t>
      </w:r>
      <w:r w:rsidRPr="0094644C">
        <w:rPr>
          <w:sz w:val="22"/>
          <w:szCs w:val="22"/>
        </w:rPr>
        <w:t xml:space="preserve"> a exacerbáci</w:t>
      </w:r>
      <w:r w:rsidR="004F4D44" w:rsidRPr="0094644C">
        <w:rPr>
          <w:sz w:val="22"/>
          <w:szCs w:val="22"/>
        </w:rPr>
        <w:t>u</w:t>
      </w:r>
      <w:r w:rsidRPr="0094644C">
        <w:rPr>
          <w:sz w:val="22"/>
          <w:szCs w:val="22"/>
        </w:rPr>
        <w:t xml:space="preserve"> Crohnovej choroby (pozri časť 4.4). Menej často sa pozorovala gastritída.</w:t>
      </w:r>
    </w:p>
    <w:p w:rsidR="00562236" w:rsidRPr="0094644C" w:rsidRDefault="00562236" w:rsidP="00562236">
      <w:pPr>
        <w:rPr>
          <w:sz w:val="22"/>
          <w:szCs w:val="22"/>
          <w:shd w:val="clear" w:color="auto" w:fill="F6F6F6"/>
        </w:rPr>
      </w:pPr>
    </w:p>
    <w:p w:rsidR="004E5586" w:rsidRPr="0094644C" w:rsidRDefault="004E5586" w:rsidP="004E558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Po liečbe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om boli hlásené reakcie precitlivenosti. Môžu pozostávať z: </w:t>
      </w:r>
    </w:p>
    <w:p w:rsidR="00033E2E" w:rsidRPr="0094644C" w:rsidRDefault="004E5586" w:rsidP="004E5586">
      <w:pPr>
        <w:ind w:left="360"/>
        <w:rPr>
          <w:sz w:val="22"/>
          <w:szCs w:val="22"/>
        </w:rPr>
      </w:pPr>
      <w:r w:rsidRPr="0094644C">
        <w:rPr>
          <w:sz w:val="22"/>
          <w:szCs w:val="22"/>
        </w:rPr>
        <w:t>a) nešpecifickej alergickej reakcie a anafylaxie,</w:t>
      </w:r>
    </w:p>
    <w:p w:rsidR="004E5586" w:rsidRPr="0094644C" w:rsidRDefault="004E5586" w:rsidP="004E5586">
      <w:pPr>
        <w:ind w:left="360"/>
        <w:rPr>
          <w:sz w:val="22"/>
          <w:szCs w:val="22"/>
        </w:rPr>
      </w:pPr>
      <w:r w:rsidRPr="0094644C">
        <w:rPr>
          <w:sz w:val="22"/>
          <w:szCs w:val="22"/>
        </w:rPr>
        <w:t>b) Dýchanie: reaktivity dýchacieho traktu zahŕňajúcej astmu, zhoršenie astmy, bronchospazmus alebo dyspnoe,</w:t>
      </w:r>
    </w:p>
    <w:p w:rsidR="004E5586" w:rsidRPr="0094644C" w:rsidRDefault="004E5586" w:rsidP="004E5586">
      <w:pPr>
        <w:ind w:left="360"/>
        <w:rPr>
          <w:sz w:val="22"/>
          <w:szCs w:val="22"/>
        </w:rPr>
      </w:pPr>
      <w:r w:rsidRPr="0094644C">
        <w:rPr>
          <w:sz w:val="22"/>
          <w:szCs w:val="22"/>
        </w:rPr>
        <w:t>Koža: zmiešaných kožných porúch zahŕňajúcich vyrážky rôzneho druhu, svrbenie, žihľavku, purpuru, angioedém a menej často exfoliatívne a bulózne dermatózy (zahŕňajúce epidermálnu nekrolýzu a multiformný erytém).</w:t>
      </w:r>
    </w:p>
    <w:p w:rsidR="004E5586" w:rsidRPr="0094644C" w:rsidRDefault="004E5586" w:rsidP="004E5586">
      <w:pPr>
        <w:ind w:left="360"/>
        <w:rPr>
          <w:sz w:val="22"/>
          <w:szCs w:val="22"/>
        </w:rPr>
      </w:pPr>
      <w:r w:rsidRPr="0094644C">
        <w:rPr>
          <w:sz w:val="22"/>
          <w:szCs w:val="22"/>
        </w:rPr>
        <w:t>c) Veľmi zriedkavo bulózne reakcie vrátane Stevensovho-Johnsonovho syndrómu a toxickej epidermálnej nekrolýzy.</w:t>
      </w:r>
    </w:p>
    <w:p w:rsidR="004E5586" w:rsidRPr="0094644C" w:rsidRDefault="004E5586" w:rsidP="004E5586">
      <w:pPr>
        <w:rPr>
          <w:sz w:val="22"/>
          <w:szCs w:val="22"/>
        </w:rPr>
      </w:pPr>
    </w:p>
    <w:p w:rsidR="004E5586" w:rsidRPr="0094644C" w:rsidRDefault="002F0468" w:rsidP="004E5586">
      <w:pPr>
        <w:rPr>
          <w:sz w:val="22"/>
          <w:szCs w:val="22"/>
        </w:rPr>
      </w:pPr>
      <w:r w:rsidRPr="00944C00">
        <w:rPr>
          <w:sz w:val="22"/>
          <w:szCs w:val="22"/>
        </w:rPr>
        <w:t xml:space="preserve">Klinické štúdie naznačili, že používanie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>u, najmä vo vysokých dávkach (2 400 mg denne) môže byť spojené s malým zvýšeným rizikom arteriálnych trombotických udalostí (napríklad infarkt myokardu alebo mozgová príhoda) (pozri časť 4.4).</w:t>
      </w:r>
      <w:r>
        <w:rPr>
          <w:sz w:val="18"/>
          <w:szCs w:val="18"/>
        </w:rPr>
        <w:t xml:space="preserve"> </w:t>
      </w:r>
      <w:r w:rsidR="004E5586" w:rsidRPr="0094644C">
        <w:rPr>
          <w:sz w:val="22"/>
          <w:szCs w:val="22"/>
        </w:rPr>
        <w:t>V súvislosti s liečbou NSAID sa hlásil edém, hypertenzia, ang</w:t>
      </w:r>
      <w:r w:rsidR="002E19F0">
        <w:rPr>
          <w:sz w:val="22"/>
          <w:szCs w:val="22"/>
        </w:rPr>
        <w:t>ína</w:t>
      </w:r>
      <w:r w:rsidR="004E5586" w:rsidRPr="0094644C">
        <w:rPr>
          <w:sz w:val="22"/>
          <w:szCs w:val="22"/>
        </w:rPr>
        <w:t xml:space="preserve"> pe</w:t>
      </w:r>
      <w:r w:rsidR="002E19F0">
        <w:rPr>
          <w:sz w:val="22"/>
          <w:szCs w:val="22"/>
        </w:rPr>
        <w:t>k</w:t>
      </w:r>
      <w:r w:rsidR="004E5586" w:rsidRPr="0094644C">
        <w:rPr>
          <w:sz w:val="22"/>
          <w:szCs w:val="22"/>
        </w:rPr>
        <w:t>toris a srdcové zlyhanie.</w:t>
      </w:r>
    </w:p>
    <w:p w:rsidR="004E5586" w:rsidRPr="0094644C" w:rsidRDefault="004E5586" w:rsidP="004E5586">
      <w:pPr>
        <w:rPr>
          <w:sz w:val="22"/>
          <w:szCs w:val="22"/>
        </w:rPr>
      </w:pPr>
    </w:p>
    <w:p w:rsidR="004E5586" w:rsidRPr="0094644C" w:rsidRDefault="004E5586" w:rsidP="004E558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Nasledovný zoznam nežiaducich účinkov súvisí so zaznamenanými účinkami pri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e a</w:t>
      </w:r>
      <w:r w:rsidR="002E19F0">
        <w:rPr>
          <w:sz w:val="22"/>
          <w:szCs w:val="22"/>
        </w:rPr>
        <w:t> </w:t>
      </w:r>
      <w:r w:rsidRPr="0094644C">
        <w:rPr>
          <w:sz w:val="22"/>
          <w:szCs w:val="22"/>
        </w:rPr>
        <w:t xml:space="preserve">pseudoefedríniumchloride pri OTC dávkach na krátkodobé použitie. Pri liečbe chronických stavov, pri dlhodobej liečbe, sa môžu vyskytnúť ďalšie nežiaduce účinky. Pacienti majú byť informovaní, že užívanie </w:t>
      </w:r>
      <w:r w:rsidR="00D93693">
        <w:rPr>
          <w:sz w:val="22"/>
          <w:szCs w:val="22"/>
        </w:rPr>
        <w:t>Robicold</w:t>
      </w:r>
      <w:r w:rsidRPr="0094644C">
        <w:rPr>
          <w:sz w:val="22"/>
          <w:szCs w:val="22"/>
        </w:rPr>
        <w:t>u musia okamžite ukončiť a vyhľadať lekára, ak sa u nich vyskytnú závažné nežiaduce reakcie na liek.</w:t>
      </w:r>
    </w:p>
    <w:p w:rsidR="00562236" w:rsidRPr="0094644C" w:rsidRDefault="00562236" w:rsidP="004A2D53">
      <w:pPr>
        <w:ind w:left="284"/>
        <w:rPr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</w:tblGrid>
      <w:tr w:rsidR="00562236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 w:rsidP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Veľmi časté (</w:t>
            </w:r>
            <w:r w:rsidRPr="0094644C">
              <w:rPr>
                <w:sz w:val="22"/>
                <w:szCs w:val="22"/>
                <w:u w:val="single"/>
              </w:rPr>
              <w:t>&gt;</w:t>
            </w:r>
            <w:r w:rsidR="007447FA">
              <w:rPr>
                <w:sz w:val="22"/>
                <w:szCs w:val="22"/>
                <w:u w:val="single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1/10)</w:t>
            </w:r>
          </w:p>
        </w:tc>
      </w:tr>
      <w:tr w:rsidR="00562236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Časté (</w:t>
            </w:r>
            <w:r w:rsidRPr="0094644C">
              <w:rPr>
                <w:sz w:val="22"/>
                <w:szCs w:val="22"/>
                <w:u w:val="single"/>
              </w:rPr>
              <w:t>&gt;</w:t>
            </w:r>
            <w:r w:rsidR="007447FA">
              <w:rPr>
                <w:sz w:val="22"/>
                <w:szCs w:val="22"/>
                <w:u w:val="single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1/100 až &lt; 1/10)</w:t>
            </w:r>
          </w:p>
        </w:tc>
      </w:tr>
      <w:tr w:rsidR="00562236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Menej časté (</w:t>
            </w:r>
            <w:r w:rsidRPr="0094644C">
              <w:rPr>
                <w:sz w:val="22"/>
                <w:szCs w:val="22"/>
                <w:u w:val="single"/>
              </w:rPr>
              <w:t>&gt;</w:t>
            </w:r>
            <w:r w:rsidR="007447FA">
              <w:rPr>
                <w:sz w:val="22"/>
                <w:szCs w:val="22"/>
                <w:u w:val="single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1/1</w:t>
            </w:r>
            <w:r w:rsidR="006718A6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000 až &lt; 1/100)</w:t>
            </w:r>
          </w:p>
        </w:tc>
      </w:tr>
      <w:tr w:rsidR="00803202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Zriedkavé (</w:t>
            </w:r>
            <w:r w:rsidRPr="0094644C">
              <w:rPr>
                <w:sz w:val="22"/>
                <w:szCs w:val="22"/>
                <w:u w:val="single"/>
              </w:rPr>
              <w:t>&gt;</w:t>
            </w:r>
            <w:r w:rsidR="007447FA">
              <w:rPr>
                <w:sz w:val="22"/>
                <w:szCs w:val="22"/>
                <w:u w:val="single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1/10 000 až &lt; 1/1</w:t>
            </w:r>
            <w:r w:rsidR="006718A6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000)</w:t>
            </w:r>
          </w:p>
        </w:tc>
      </w:tr>
      <w:tr w:rsidR="00803202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Veľmi zriedkavé (&lt; 1/10 000)</w:t>
            </w:r>
          </w:p>
        </w:tc>
      </w:tr>
      <w:tr w:rsidR="00803202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Neznáme (z dostupných údajov)</w:t>
            </w:r>
          </w:p>
        </w:tc>
      </w:tr>
    </w:tbl>
    <w:p w:rsidR="00562236" w:rsidRPr="0094644C" w:rsidRDefault="00562236" w:rsidP="00797DAA">
      <w:pPr>
        <w:rPr>
          <w:bCs/>
          <w:sz w:val="22"/>
          <w:szCs w:val="22"/>
        </w:rPr>
      </w:pP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392"/>
        <w:gridCol w:w="1590"/>
        <w:gridCol w:w="3938"/>
      </w:tblGrid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Infekcie a nákazy</w:t>
            </w:r>
            <w:r w:rsidRPr="0094644C">
              <w:rPr>
                <w:sz w:val="22"/>
                <w:szCs w:val="22"/>
              </w:rPr>
              <w:br/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Exacerbácia infekčných zápalov (napr. nekrotizujúcej fasciitídy), aseptická meningitída (stuhnutosť šije, bolesť hlavy, nauzea, vracanie, horúčka alebo dezorientácia u pacientov s</w:t>
            </w:r>
            <w:r w:rsidR="002E19F0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prítomnými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autoimunitnými ochoreniami (SLE, zmiešaným ochorením spojivového tkaniva)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krvi 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lymfatického systému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Poruchy krvotvorby (anémia, leukopénia, trombocytopénia, pancytopénia, agranulocytóza)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 xml:space="preserve">Poruchy imunitného </w:t>
            </w:r>
            <w:r w:rsidRPr="0094644C">
              <w:rPr>
                <w:b/>
                <w:bCs/>
                <w:sz w:val="22"/>
                <w:szCs w:val="22"/>
              </w:rPr>
              <w:lastRenderedPageBreak/>
              <w:t>systému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Reakcie precitlivenosti so žihľavkou, </w:t>
            </w:r>
            <w:r w:rsidRPr="0094644C">
              <w:rPr>
                <w:sz w:val="22"/>
                <w:szCs w:val="22"/>
              </w:rPr>
              <w:lastRenderedPageBreak/>
              <w:t>svrbením a astmatické záchvaty (s</w:t>
            </w:r>
            <w:r w:rsidR="00952B35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poklesom krvného tlaku)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 w:rsidP="00803202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  <w:r w:rsidR="00803202" w:rsidRPr="0094644C">
              <w:rPr>
                <w:sz w:val="22"/>
                <w:szCs w:val="22"/>
              </w:rPr>
              <w:t xml:space="preserve"> a 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Závažné generalizované reakcie precitlivenosti, príznakmi môžu byť opuch tváre, angioedém, dyspnoe, tachykardia, pokles krvného tlaku, anafylaktický šok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Psychické poruchy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Psychotické reakcie, depresia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Agitácia, halucinácie, úzkosť, abnormálne správanie, insomnia</w:t>
            </w:r>
            <w:r w:rsidRPr="0094644C">
              <w:rPr>
                <w:rStyle w:val="apple-converted-space"/>
                <w:sz w:val="22"/>
                <w:szCs w:val="22"/>
              </w:rPr>
              <w:t>, excit</w:t>
            </w:r>
            <w:r w:rsidR="003041F6" w:rsidRPr="0094644C">
              <w:rPr>
                <w:rStyle w:val="apple-converted-space"/>
                <w:sz w:val="22"/>
                <w:szCs w:val="22"/>
              </w:rPr>
              <w:t>ácia</w:t>
            </w:r>
            <w:r w:rsidRPr="0094644C">
              <w:rPr>
                <w:rStyle w:val="apple-converted-space"/>
                <w:sz w:val="22"/>
                <w:szCs w:val="22"/>
              </w:rPr>
              <w:t>, podráždenosť, nervozita, nepokoj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Poruchy centrálneho nervového systému, ako je bolesť hlavy, závrat, nespavosť, agitácia, podráždenosť alebo únava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Hemoragická mozgová príhoda, ischemická mozgová príhoda, kŕče, bolesť hlavy</w:t>
            </w:r>
            <w:r w:rsidR="003041F6" w:rsidRPr="0094644C">
              <w:rPr>
                <w:rStyle w:val="apple-converted-space"/>
                <w:sz w:val="22"/>
                <w:szCs w:val="22"/>
              </w:rPr>
              <w:t>, insomnia, nervozita, anxiozita, agitácia, tras, halucinácie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oka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Poruchy videnia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ucha 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labyrintu</w:t>
            </w:r>
            <w:r w:rsidRPr="0094644C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Tinitus</w:t>
            </w:r>
          </w:p>
        </w:tc>
      </w:tr>
      <w:tr w:rsidR="00705F5A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Vertigo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srdca 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srdcovej činnosti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Palpitácie, srdcové zlyhanie, infarkt myokardu</w:t>
            </w:r>
            <w:r w:rsidR="00705F5A" w:rsidRPr="0094644C">
              <w:rPr>
                <w:sz w:val="22"/>
                <w:szCs w:val="22"/>
              </w:rPr>
              <w:t>, edém, hypertenzia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</w:t>
            </w:r>
            <w:r w:rsidR="00705F5A" w:rsidRPr="0094644C">
              <w:rPr>
                <w:sz w:val="22"/>
                <w:szCs w:val="22"/>
              </w:rPr>
              <w:t>-</w:t>
            </w:r>
            <w:r w:rsidRPr="0094644C">
              <w:rPr>
                <w:sz w:val="22"/>
                <w:szCs w:val="22"/>
              </w:rPr>
              <w:t>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Palpitácie, tachykardia, bolesť na hrudi, arytmia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ciev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Arteriálna hypertenzia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</w:t>
            </w:r>
            <w:r w:rsidR="00705F5A" w:rsidRPr="0094644C">
              <w:rPr>
                <w:sz w:val="22"/>
                <w:szCs w:val="22"/>
              </w:rPr>
              <w:t>-</w:t>
            </w:r>
            <w:r w:rsidRPr="0094644C">
              <w:rPr>
                <w:sz w:val="22"/>
                <w:szCs w:val="22"/>
              </w:rPr>
              <w:t>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Hypertenzia</w:t>
            </w:r>
          </w:p>
        </w:tc>
      </w:tr>
      <w:tr w:rsidR="00705F5A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 w:rsidP="002E19F0">
            <w:pPr>
              <w:spacing w:line="234" w:lineRule="atLeast"/>
              <w:rPr>
                <w:b/>
                <w:sz w:val="22"/>
                <w:szCs w:val="22"/>
              </w:rPr>
            </w:pPr>
            <w:r w:rsidRPr="0094644C">
              <w:rPr>
                <w:b/>
                <w:sz w:val="22"/>
                <w:szCs w:val="22"/>
              </w:rPr>
              <w:t>Poruchy dýchacej sústavy, hrudníka a</w:t>
            </w:r>
            <w:r w:rsidR="002E19F0">
              <w:rPr>
                <w:b/>
                <w:sz w:val="22"/>
                <w:szCs w:val="22"/>
              </w:rPr>
              <w:t> </w:t>
            </w:r>
            <w:r w:rsidRPr="0094644C">
              <w:rPr>
                <w:b/>
                <w:sz w:val="22"/>
                <w:szCs w:val="22"/>
              </w:rPr>
              <w:t>mediastína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Exacerbácia astmy alebo reakcia precitlivenosti s bronchospazmom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gastrointestinálneho traktu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Dyspepsia, abdominálna bolesť, nauzea, vracanie, flatulencia, hnačka, zápcha, slabé krvácanie do gastrointestinálneho traktu, ktoré môže v zriedkavých prípadoch spôsobiť anémiu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Gastrointestinálne vredy s krvácaním a/alebo perforáciou, gastritída, ulcerózna stomatitída, exacerbácia kolitídy a</w:t>
            </w:r>
            <w:r w:rsidR="002E19F0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Crohnovej choroby (pozri časť 4.4)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Ezofagitída, pankreatitída, tvorba membra</w:t>
            </w:r>
            <w:r w:rsidRPr="0094644C">
              <w:rPr>
                <w:sz w:val="22"/>
                <w:szCs w:val="22"/>
              </w:rPr>
              <w:softHyphen/>
              <w:t>nóznych striktúr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</w:t>
            </w:r>
            <w:r w:rsidR="00705F5A" w:rsidRPr="0094644C">
              <w:rPr>
                <w:sz w:val="22"/>
                <w:szCs w:val="22"/>
              </w:rPr>
              <w:t>-</w:t>
            </w:r>
            <w:r w:rsidRPr="0094644C">
              <w:rPr>
                <w:sz w:val="22"/>
                <w:szCs w:val="22"/>
              </w:rPr>
              <w:t>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Sucho v ústach, smäd, nauzea, vracanie</w:t>
            </w:r>
            <w:r w:rsidR="009D7A58">
              <w:rPr>
                <w:color w:val="000000"/>
                <w:sz w:val="22"/>
                <w:szCs w:val="22"/>
              </w:rPr>
              <w:t xml:space="preserve">, </w:t>
            </w:r>
            <w:r w:rsidR="009D7A58" w:rsidRPr="00221156">
              <w:rPr>
                <w:sz w:val="22"/>
                <w:szCs w:val="22"/>
              </w:rPr>
              <w:t>ischemická kolitída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pečene 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žlčových ciest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Dysfunkcia pečene, poškodenie pečene, predovšetkým pri dlhodobej liečbe, zlyhanie pečene, akútna hepatitída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kože 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podkožného tkaniva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Rôzne kožné vyrážky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Bulózny exantém, ako je Stevensov-Johnsonov syndróm a t</w:t>
            </w:r>
            <w:r w:rsidR="00FD63F8">
              <w:rPr>
                <w:sz w:val="22"/>
                <w:szCs w:val="22"/>
              </w:rPr>
              <w:t>oxická epidermálna nekrolýza (L</w:t>
            </w:r>
            <w:r w:rsidRPr="0094644C">
              <w:rPr>
                <w:sz w:val="22"/>
                <w:szCs w:val="22"/>
              </w:rPr>
              <w:t>y</w:t>
            </w:r>
            <w:r w:rsidR="00FD63F8">
              <w:rPr>
                <w:sz w:val="22"/>
                <w:szCs w:val="22"/>
              </w:rPr>
              <w:t>e</w:t>
            </w:r>
            <w:r w:rsidRPr="0094644C">
              <w:rPr>
                <w:sz w:val="22"/>
                <w:szCs w:val="22"/>
              </w:rPr>
              <w:t>llov syndróm), alopécia, závažné kožné infekcie, počas infekcie ovčích kiahní komplikácie v mäkkých tkanivách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</w:tr>
      <w:tr w:rsidR="00DE0615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0615" w:rsidRPr="0094644C" w:rsidRDefault="00DE0615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0615" w:rsidRDefault="00FE2D3F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0615" w:rsidRPr="0094644C" w:rsidRDefault="00FE2D3F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0615" w:rsidRPr="0094644C" w:rsidRDefault="00DE0615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</w:t>
            </w:r>
            <w:r w:rsidRPr="005F5503">
              <w:rPr>
                <w:bCs/>
                <w:sz w:val="22"/>
                <w:szCs w:val="22"/>
              </w:rPr>
              <w:t xml:space="preserve">ieková reakcia s eozinofíliou a </w:t>
            </w:r>
            <w:r w:rsidRPr="005F5503">
              <w:rPr>
                <w:bCs/>
                <w:sz w:val="22"/>
                <w:szCs w:val="22"/>
              </w:rPr>
              <w:lastRenderedPageBreak/>
              <w:t>systémovými príznakmi (syndróm DRESS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</w:t>
            </w:r>
            <w:r w:rsidR="00705F5A" w:rsidRPr="0094644C">
              <w:rPr>
                <w:sz w:val="22"/>
                <w:szCs w:val="22"/>
              </w:rPr>
              <w:t>-</w:t>
            </w:r>
            <w:r w:rsidRPr="0094644C">
              <w:rPr>
                <w:sz w:val="22"/>
                <w:szCs w:val="22"/>
              </w:rPr>
              <w:t>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Vyrážka, žihľavka, svrbenie, hyperhidróza</w:t>
            </w:r>
            <w:r w:rsidR="002D5969">
              <w:rPr>
                <w:sz w:val="22"/>
                <w:szCs w:val="22"/>
              </w:rPr>
              <w:t>.</w:t>
            </w:r>
            <w:r w:rsidR="00DE0615">
              <w:rPr>
                <w:sz w:val="22"/>
                <w:szCs w:val="22"/>
              </w:rPr>
              <w:t xml:space="preserve"> </w:t>
            </w:r>
          </w:p>
        </w:tc>
      </w:tr>
      <w:tr w:rsidR="002D5969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D5969" w:rsidRPr="0094644C" w:rsidRDefault="002D5969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D5969" w:rsidRPr="0094644C" w:rsidRDefault="002D5969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 a p</w:t>
            </w:r>
            <w:r w:rsidRPr="0094644C">
              <w:rPr>
                <w:sz w:val="22"/>
                <w:szCs w:val="22"/>
              </w:rPr>
              <w:t>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D5969" w:rsidRPr="0094644C" w:rsidRDefault="002D5969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D5969" w:rsidRPr="002D5969" w:rsidRDefault="002D5969" w:rsidP="000F7F06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</w:t>
            </w:r>
            <w:r w:rsidRPr="009648B9">
              <w:rPr>
                <w:bCs/>
                <w:sz w:val="22"/>
                <w:szCs w:val="22"/>
              </w:rPr>
              <w:t>ávažné kožné reakcie, vrátane akútnej generalizovanej exantematóznej pustulózy (AGEP)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obličiek 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močových ciest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Poškodenie tkaniva obličiek (papilárna nekróza) a zvýšené koncentrácie kyseliny močovej v krvi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Edém (predovšetkým u pacientov s</w:t>
            </w:r>
            <w:r w:rsidR="002E19F0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arteriálnou hypertenziou alebo renálnou insuficienciou), nefrotický syndróm, intersticiálna nefritída, akútna renálna insuficiencia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</w:t>
            </w:r>
            <w:r w:rsidR="00705F5A" w:rsidRPr="0094644C">
              <w:rPr>
                <w:sz w:val="22"/>
                <w:szCs w:val="22"/>
              </w:rPr>
              <w:t>-nium</w:t>
            </w:r>
            <w:r w:rsidRPr="0094644C">
              <w:rPr>
                <w:sz w:val="22"/>
                <w:szCs w:val="22"/>
              </w:rPr>
              <w:t>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Ťažkosti s močením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  <w:r w:rsidR="00705F5A" w:rsidRPr="0094644C">
              <w:rPr>
                <w:rStyle w:val="apple-converted-space"/>
                <w:sz w:val="22"/>
                <w:szCs w:val="22"/>
              </w:rPr>
              <w:t>(retencia moču u mužov s uretroprostatickou poruchou)</w:t>
            </w:r>
          </w:p>
        </w:tc>
      </w:tr>
      <w:tr w:rsidR="00705F5A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b/>
                <w:sz w:val="22"/>
                <w:szCs w:val="22"/>
              </w:rPr>
            </w:pPr>
            <w:r w:rsidRPr="0094644C">
              <w:rPr>
                <w:b/>
                <w:sz w:val="22"/>
                <w:szCs w:val="22"/>
              </w:rPr>
              <w:t>Laboratórne a funkčné vyšetrenia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Znížený hematokrit a znížený hemoglobín</w:t>
            </w:r>
          </w:p>
        </w:tc>
      </w:tr>
    </w:tbl>
    <w:p w:rsidR="00705F5A" w:rsidRPr="00F65E79" w:rsidRDefault="00705F5A" w:rsidP="00797DAA">
      <w:pPr>
        <w:rPr>
          <w:sz w:val="22"/>
          <w:szCs w:val="22"/>
        </w:rPr>
      </w:pPr>
    </w:p>
    <w:p w:rsidR="001B2B10" w:rsidRDefault="001B2B10" w:rsidP="001B2B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u w:val="single"/>
        </w:rPr>
      </w:pPr>
      <w:r>
        <w:rPr>
          <w:sz w:val="22"/>
          <w:u w:val="single"/>
        </w:rPr>
        <w:t>Hlásenie podozrení na nežiaduce reakcie</w:t>
      </w:r>
    </w:p>
    <w:p w:rsidR="000D172F" w:rsidRDefault="000D172F" w:rsidP="000D17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sz w:val="22"/>
        </w:rPr>
        <w:t>.</w:t>
      </w:r>
    </w:p>
    <w:p w:rsidR="00033E2E" w:rsidRPr="0094644C" w:rsidRDefault="00033E2E" w:rsidP="00033E2E">
      <w:pPr>
        <w:suppressLineNumbers/>
        <w:autoSpaceDE w:val="0"/>
        <w:autoSpaceDN w:val="0"/>
        <w:adjustRightInd w:val="0"/>
        <w:rPr>
          <w:sz w:val="22"/>
          <w:szCs w:val="22"/>
        </w:rPr>
      </w:pPr>
    </w:p>
    <w:p w:rsidR="00BD0B6F" w:rsidRPr="0094644C" w:rsidRDefault="00BD0B6F" w:rsidP="00033E2E">
      <w:pPr>
        <w:suppressLineNumbers/>
        <w:autoSpaceDE w:val="0"/>
        <w:autoSpaceDN w:val="0"/>
        <w:adjustRightInd w:val="0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4.9</w:t>
      </w:r>
      <w:r w:rsidR="0002783B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Predávkovanie</w:t>
      </w:r>
    </w:p>
    <w:p w:rsidR="001E2CDA" w:rsidRPr="0094644C" w:rsidRDefault="001E2CDA" w:rsidP="001E2CDA">
      <w:pPr>
        <w:rPr>
          <w:sz w:val="22"/>
          <w:szCs w:val="22"/>
        </w:rPr>
      </w:pPr>
    </w:p>
    <w:p w:rsidR="001E2CDA" w:rsidRPr="0094644C" w:rsidRDefault="001E2CDA" w:rsidP="001E2CDA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Užitie viac ako 400 mg/kg môže u detí spôsobiť symptómy. U dospelých je reakcia na dávku menej jednoznačná. Polčas pri predávkovaní je 1,5 – 3 hodiny. </w:t>
      </w:r>
    </w:p>
    <w:p w:rsidR="0002783B" w:rsidRPr="0094644C" w:rsidRDefault="0002783B">
      <w:pPr>
        <w:jc w:val="both"/>
        <w:rPr>
          <w:b/>
          <w:bCs/>
          <w:sz w:val="22"/>
          <w:szCs w:val="22"/>
        </w:rPr>
      </w:pPr>
    </w:p>
    <w:p w:rsidR="008E6AF9" w:rsidRPr="0094644C" w:rsidRDefault="00033E2E" w:rsidP="008E6AF9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Príznaky</w:t>
      </w:r>
    </w:p>
    <w:p w:rsidR="00A66A32" w:rsidRPr="0094644C" w:rsidRDefault="008E6AF9" w:rsidP="00A66A32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Predávkovanie môže mať za následok nervozitu, agitáciu, anxiozitu, podráždenosť, nepokoj, závrat, tras, vertigo, insomniu, nauzeu, bolesť brucha, vracanie, epigastrickú bolesť, hnačku, bradykardiu, palpitácie, </w:t>
      </w:r>
      <w:r w:rsidR="00A66A32" w:rsidRPr="0094644C">
        <w:rPr>
          <w:sz w:val="22"/>
          <w:szCs w:val="22"/>
        </w:rPr>
        <w:t>tachykardi</w:t>
      </w:r>
      <w:r w:rsidR="004F4D44" w:rsidRPr="0094644C">
        <w:rPr>
          <w:sz w:val="22"/>
          <w:szCs w:val="22"/>
        </w:rPr>
        <w:t>u</w:t>
      </w:r>
      <w:r w:rsidR="00A66A32" w:rsidRPr="0094644C">
        <w:rPr>
          <w:sz w:val="22"/>
          <w:szCs w:val="22"/>
        </w:rPr>
        <w:t xml:space="preserve">, tinnitus, bolesť hlavy a gastrointestinálne krvácanie. Možné prejavy predávkovania sú tiež hyperkaliémia, metabolická acidóza, hypertenzia alebo hypotenzia. Toxicita sa môže prejavovať ako ospalosť, excitácia, </w:t>
      </w:r>
      <w:r w:rsidR="004F4D44" w:rsidRPr="0094644C">
        <w:rPr>
          <w:sz w:val="22"/>
          <w:szCs w:val="22"/>
        </w:rPr>
        <w:t>dezorientácia</w:t>
      </w:r>
      <w:r w:rsidR="00A66A32" w:rsidRPr="0094644C">
        <w:rPr>
          <w:sz w:val="22"/>
          <w:szCs w:val="22"/>
        </w:rPr>
        <w:t xml:space="preserve"> alebo kóma. U pacienta sa môžu vyvinúť k</w:t>
      </w:r>
      <w:r w:rsidR="0052453E" w:rsidRPr="0094644C">
        <w:rPr>
          <w:sz w:val="22"/>
          <w:szCs w:val="22"/>
        </w:rPr>
        <w:t>ŕčovité záchvaty</w:t>
      </w:r>
      <w:r w:rsidR="00A66A32" w:rsidRPr="0094644C">
        <w:rPr>
          <w:sz w:val="22"/>
          <w:szCs w:val="22"/>
        </w:rPr>
        <w:t xml:space="preserve">. Hepatálna funkcia môže byť abnormálna. </w:t>
      </w:r>
      <w:r w:rsidR="00DE0615" w:rsidRPr="005F5503">
        <w:rPr>
          <w:bCs/>
          <w:sz w:val="22"/>
          <w:szCs w:val="22"/>
        </w:rPr>
        <w:t xml:space="preserve">Pri vážnej otrave sa môže vyskytnúť metabolická acidóza </w:t>
      </w:r>
      <w:r w:rsidR="00A66A32" w:rsidRPr="0094644C">
        <w:rPr>
          <w:sz w:val="22"/>
          <w:szCs w:val="22"/>
        </w:rPr>
        <w:t>a</w:t>
      </w:r>
      <w:r w:rsidR="002E19F0">
        <w:rPr>
          <w:sz w:val="22"/>
          <w:szCs w:val="22"/>
        </w:rPr>
        <w:t> </w:t>
      </w:r>
      <w:r w:rsidR="00A66A32" w:rsidRPr="0094644C">
        <w:rPr>
          <w:sz w:val="22"/>
          <w:szCs w:val="22"/>
        </w:rPr>
        <w:t>predĺženie protrombínového času/zvýšeniu hodnoty INR. Môže dôjsť k akútnemu zlyhaniu obličiek a poškodeniu pečene. U pacientov s astmou môže dôjsť k exacerbácii astmy.</w:t>
      </w:r>
    </w:p>
    <w:p w:rsidR="008E6AF9" w:rsidRPr="0094644C" w:rsidRDefault="008E6AF9" w:rsidP="000B0B17">
      <w:pPr>
        <w:rPr>
          <w:sz w:val="22"/>
          <w:szCs w:val="22"/>
          <w:u w:val="single"/>
        </w:rPr>
      </w:pPr>
    </w:p>
    <w:p w:rsidR="00BD0B6F" w:rsidRPr="0094644C" w:rsidRDefault="00A66A32" w:rsidP="000B0B17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Liečba predávkovania</w:t>
      </w:r>
    </w:p>
    <w:p w:rsidR="00A66A32" w:rsidRPr="0094644C" w:rsidRDefault="00A66A32">
      <w:pPr>
        <w:rPr>
          <w:sz w:val="22"/>
          <w:szCs w:val="22"/>
        </w:rPr>
      </w:pPr>
      <w:r w:rsidRPr="0094644C">
        <w:rPr>
          <w:sz w:val="22"/>
          <w:szCs w:val="22"/>
        </w:rPr>
        <w:t>Vzhľadom na rýchlu absorpciu oboch liečiv z gastrointestinálneho traktu sa kvôli účinnosti musia podať emetiká a začať výplach žalúdka do štyroch hodín od predávkovania. Aktívne uhlie je účinné iba pri podaní do jednej hodiny. Má sa sledovať kardiálny stav a merať elektrolyty v sére.</w:t>
      </w:r>
    </w:p>
    <w:p w:rsidR="00A66A32" w:rsidRPr="0094644C" w:rsidRDefault="00A66A32">
      <w:pPr>
        <w:rPr>
          <w:sz w:val="22"/>
          <w:szCs w:val="22"/>
        </w:rPr>
      </w:pPr>
    </w:p>
    <w:p w:rsidR="00A66A32" w:rsidRPr="0094644C" w:rsidRDefault="00A66A32">
      <w:pPr>
        <w:rPr>
          <w:sz w:val="22"/>
          <w:szCs w:val="22"/>
        </w:rPr>
      </w:pPr>
      <w:r w:rsidRPr="0094644C">
        <w:rPr>
          <w:sz w:val="22"/>
          <w:szCs w:val="22"/>
        </w:rPr>
        <w:t>Ak sú prítomné prejavy kardiálnej toxicity, možno intravenózne podať propan</w:t>
      </w:r>
      <w:smartTag w:uri="urn:schemas-microsoft-com:office:smarttags" w:element="PersonName">
        <w:r w:rsidRPr="0094644C">
          <w:rPr>
            <w:sz w:val="22"/>
            <w:szCs w:val="22"/>
          </w:rPr>
          <w:t>olo</w:t>
        </w:r>
      </w:smartTag>
      <w:r w:rsidRPr="0094644C">
        <w:rPr>
          <w:sz w:val="22"/>
          <w:szCs w:val="22"/>
        </w:rPr>
        <w:t>l.</w:t>
      </w:r>
      <w:r w:rsidR="00BE773F" w:rsidRPr="0094644C">
        <w:rPr>
          <w:sz w:val="22"/>
          <w:szCs w:val="22"/>
        </w:rPr>
        <w:t xml:space="preserve"> </w:t>
      </w:r>
      <w:r w:rsidRPr="0094644C">
        <w:rPr>
          <w:sz w:val="22"/>
          <w:szCs w:val="22"/>
        </w:rPr>
        <w:t xml:space="preserve">V prípade poklesu hladiny draslíka v sére </w:t>
      </w:r>
      <w:r w:rsidR="0052453E" w:rsidRPr="0094644C">
        <w:rPr>
          <w:sz w:val="22"/>
          <w:szCs w:val="22"/>
        </w:rPr>
        <w:t>možno podať pomalou infúziou zriedený roztok chloridu draselného. Napriek hyperkaliémii, nie je pravdepodobné, že by pacient bol ochudobnený o draslík, preto sa má vyhnúť preťaženiu. Niekoľko hodín po podaní soli sa odporúča nepretržité sledovanie draslíka v sére. Pri delíriu alebo kŕčovitých záchvatoch je indikované intravenózne podanie diazepamu.</w:t>
      </w:r>
    </w:p>
    <w:p w:rsidR="00BD0B6F" w:rsidRPr="0094644C" w:rsidRDefault="00BD0B6F">
      <w:pPr>
        <w:rPr>
          <w:sz w:val="22"/>
          <w:szCs w:val="22"/>
        </w:rPr>
      </w:pPr>
    </w:p>
    <w:p w:rsidR="00BD0B6F" w:rsidRPr="0094644C" w:rsidRDefault="00BD0B6F">
      <w:pPr>
        <w:jc w:val="both"/>
        <w:rPr>
          <w:sz w:val="22"/>
          <w:szCs w:val="22"/>
        </w:rPr>
      </w:pPr>
    </w:p>
    <w:p w:rsidR="00BD0B6F" w:rsidRPr="0094644C" w:rsidRDefault="0002783B" w:rsidP="0002783B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5.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FARMAKOLOGICKÉ VLASTNOSTI</w:t>
      </w:r>
    </w:p>
    <w:p w:rsidR="0002783B" w:rsidRPr="0094644C" w:rsidRDefault="0002783B" w:rsidP="0002783B">
      <w:pPr>
        <w:jc w:val="both"/>
        <w:rPr>
          <w:b/>
          <w:bCs/>
          <w:sz w:val="22"/>
          <w:szCs w:val="22"/>
        </w:rPr>
      </w:pPr>
    </w:p>
    <w:p w:rsidR="00BD0B6F" w:rsidRPr="0094644C" w:rsidRDefault="0002783B" w:rsidP="0002783B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5.1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Farmakodynamické vlastnosti</w:t>
      </w:r>
    </w:p>
    <w:p w:rsidR="0002783B" w:rsidRPr="0094644C" w:rsidRDefault="0002783B">
      <w:pPr>
        <w:jc w:val="both"/>
        <w:rPr>
          <w:sz w:val="22"/>
          <w:szCs w:val="22"/>
        </w:rPr>
      </w:pPr>
    </w:p>
    <w:p w:rsidR="0052453E" w:rsidRPr="007447FA" w:rsidRDefault="00E46823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Ibuprofén</w:t>
      </w:r>
    </w:p>
    <w:p w:rsidR="00BD0B6F" w:rsidRPr="0094644C" w:rsidRDefault="00BD0B6F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lastRenderedPageBreak/>
        <w:t xml:space="preserve">Farmakoterapeutická skupina: </w:t>
      </w:r>
      <w:r w:rsidR="0052453E" w:rsidRPr="0094644C">
        <w:rPr>
          <w:sz w:val="22"/>
          <w:szCs w:val="22"/>
        </w:rPr>
        <w:t>Deriváty kyseliny propiónovej</w:t>
      </w:r>
      <w:r w:rsidR="00BD3C60">
        <w:rPr>
          <w:sz w:val="22"/>
          <w:szCs w:val="22"/>
        </w:rPr>
        <w:t xml:space="preserve">, </w:t>
      </w:r>
      <w:r w:rsidRPr="0094644C">
        <w:rPr>
          <w:sz w:val="22"/>
          <w:szCs w:val="22"/>
        </w:rPr>
        <w:t xml:space="preserve">ATC </w:t>
      </w:r>
      <w:r w:rsidR="00BD3C60">
        <w:rPr>
          <w:sz w:val="22"/>
          <w:szCs w:val="22"/>
        </w:rPr>
        <w:t>kód</w:t>
      </w:r>
      <w:r w:rsidRPr="0094644C">
        <w:rPr>
          <w:sz w:val="22"/>
          <w:szCs w:val="22"/>
        </w:rPr>
        <w:t xml:space="preserve">: </w:t>
      </w:r>
      <w:r w:rsidR="0052453E" w:rsidRPr="0094644C">
        <w:rPr>
          <w:sz w:val="22"/>
          <w:szCs w:val="22"/>
        </w:rPr>
        <w:t>M01AE51</w:t>
      </w:r>
    </w:p>
    <w:p w:rsidR="0052453E" w:rsidRPr="0094644C" w:rsidRDefault="0052453E">
      <w:pPr>
        <w:jc w:val="both"/>
        <w:rPr>
          <w:sz w:val="22"/>
          <w:szCs w:val="22"/>
        </w:rPr>
      </w:pPr>
    </w:p>
    <w:p w:rsidR="006F3E55" w:rsidRPr="007447FA" w:rsidRDefault="006F3E55" w:rsidP="0052453E">
      <w:pPr>
        <w:jc w:val="both"/>
        <w:rPr>
          <w:sz w:val="22"/>
          <w:szCs w:val="22"/>
          <w:u w:val="single"/>
        </w:rPr>
      </w:pPr>
      <w:r w:rsidRPr="007447FA">
        <w:rPr>
          <w:sz w:val="22"/>
          <w:szCs w:val="22"/>
          <w:u w:val="single"/>
        </w:rPr>
        <w:t>Pseudoefedríniumchlorid</w:t>
      </w:r>
      <w:r w:rsidRPr="007447FA" w:rsidDel="006F3E55">
        <w:rPr>
          <w:sz w:val="22"/>
          <w:szCs w:val="22"/>
          <w:u w:val="single"/>
        </w:rPr>
        <w:t xml:space="preserve"> </w:t>
      </w:r>
    </w:p>
    <w:p w:rsidR="00BD3C60" w:rsidRDefault="0052453E" w:rsidP="0052453E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Farmakoterapeutická skupina: </w:t>
      </w:r>
      <w:r w:rsidR="00B25112">
        <w:rPr>
          <w:sz w:val="22"/>
          <w:szCs w:val="22"/>
        </w:rPr>
        <w:t>N</w:t>
      </w:r>
      <w:r w:rsidR="00BD3C60">
        <w:rPr>
          <w:sz w:val="22"/>
          <w:szCs w:val="22"/>
        </w:rPr>
        <w:t>osové</w:t>
      </w:r>
      <w:r w:rsidRPr="0094644C">
        <w:rPr>
          <w:sz w:val="22"/>
          <w:szCs w:val="22"/>
        </w:rPr>
        <w:t xml:space="preserve"> dekonges</w:t>
      </w:r>
      <w:r w:rsidR="00BD3C60">
        <w:rPr>
          <w:sz w:val="22"/>
          <w:szCs w:val="22"/>
        </w:rPr>
        <w:t>tíva</w:t>
      </w:r>
      <w:r w:rsidRPr="0094644C">
        <w:rPr>
          <w:sz w:val="22"/>
          <w:szCs w:val="22"/>
        </w:rPr>
        <w:t xml:space="preserve"> na systémové použitie</w:t>
      </w:r>
      <w:r w:rsidR="00BD3C60">
        <w:rPr>
          <w:sz w:val="22"/>
          <w:szCs w:val="22"/>
        </w:rPr>
        <w:t>, sympatomimetiká,</w:t>
      </w:r>
    </w:p>
    <w:p w:rsidR="0052453E" w:rsidRPr="0094644C" w:rsidRDefault="0052453E" w:rsidP="0052453E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ATC </w:t>
      </w:r>
      <w:r w:rsidR="00BD3C60">
        <w:rPr>
          <w:sz w:val="22"/>
          <w:szCs w:val="22"/>
        </w:rPr>
        <w:t>kód</w:t>
      </w:r>
      <w:r w:rsidRPr="0094644C">
        <w:rPr>
          <w:sz w:val="22"/>
          <w:szCs w:val="22"/>
        </w:rPr>
        <w:t>: R01BA52</w:t>
      </w:r>
    </w:p>
    <w:p w:rsidR="00173D89" w:rsidRPr="0094644C" w:rsidRDefault="00173D89">
      <w:pPr>
        <w:jc w:val="both"/>
        <w:rPr>
          <w:sz w:val="22"/>
          <w:szCs w:val="22"/>
        </w:rPr>
      </w:pPr>
    </w:p>
    <w:p w:rsidR="00A24D7F" w:rsidRPr="0094644C" w:rsidRDefault="00E46823" w:rsidP="00A24D7F">
      <w:pPr>
        <w:rPr>
          <w:sz w:val="22"/>
          <w:szCs w:val="22"/>
        </w:rPr>
      </w:pPr>
      <w:r>
        <w:rPr>
          <w:sz w:val="22"/>
          <w:szCs w:val="22"/>
        </w:rPr>
        <w:t>Ibuprofén</w:t>
      </w:r>
      <w:r w:rsidR="00A15FE7" w:rsidRPr="0094644C">
        <w:rPr>
          <w:sz w:val="22"/>
          <w:szCs w:val="22"/>
        </w:rPr>
        <w:t xml:space="preserve"> </w:t>
      </w:r>
      <w:r w:rsidR="00A24D7F" w:rsidRPr="0094644C">
        <w:rPr>
          <w:sz w:val="22"/>
          <w:szCs w:val="22"/>
        </w:rPr>
        <w:t>je nesteroidové protizápalové liečivo patriace do triedy liekov kyseliny propiónovej. Má analgetické, antipyretické a protizápalové vlastnosti.</w:t>
      </w:r>
    </w:p>
    <w:p w:rsidR="00A24D7F" w:rsidRPr="0094644C" w:rsidRDefault="00A24D7F" w:rsidP="00A24D7F">
      <w:pPr>
        <w:rPr>
          <w:sz w:val="22"/>
          <w:szCs w:val="22"/>
        </w:rPr>
      </w:pPr>
      <w:r w:rsidRPr="0094644C">
        <w:rPr>
          <w:sz w:val="22"/>
          <w:szCs w:val="22"/>
        </w:rPr>
        <w:t>Pseudoefedríniumchlorid je sympatomimetikum, ktoré spôsobuje vazokonstrikciu nosovej sliznice, čím znižuje rinoreu a nazálnu kongesciu.</w:t>
      </w:r>
    </w:p>
    <w:p w:rsidR="00A24D7F" w:rsidRPr="0094644C" w:rsidRDefault="00A24D7F" w:rsidP="00A24D7F">
      <w:pPr>
        <w:rPr>
          <w:sz w:val="22"/>
          <w:szCs w:val="22"/>
        </w:rPr>
      </w:pPr>
    </w:p>
    <w:p w:rsidR="002E19F0" w:rsidRPr="0094644C" w:rsidRDefault="002F0468" w:rsidP="002E19F0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944C00">
        <w:rPr>
          <w:sz w:val="22"/>
          <w:szCs w:val="22"/>
        </w:rPr>
        <w:t xml:space="preserve">Experimentálne údaje naznačujú, že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 xml:space="preserve"> môže pri súčasnom dávkovaní kompetitívne inhibovať účinok nízkej dávky kyseliny acetylsalicylovej na agregáciu trombocytov. Niektoré farmakodynamické štúdie preukázali, že pri jednej dávke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>u 400 mg užitého v priebehu 8</w:t>
      </w:r>
      <w:r w:rsidR="002E19F0">
        <w:rPr>
          <w:sz w:val="22"/>
          <w:szCs w:val="22"/>
        </w:rPr>
        <w:t> </w:t>
      </w:r>
      <w:r w:rsidRPr="00944C00">
        <w:rPr>
          <w:sz w:val="22"/>
          <w:szCs w:val="22"/>
        </w:rPr>
        <w:t xml:space="preserve">hodín pred alebo v priebehu 30 minút po užití dávky kyseliny acetylsalicylovej s okamžitým uvoľňovaním (81 mg) došlo k zníženému účinku kyseliny acetylsalicylovej na tvorbu tromboxanu alebo agregáciu trombocytov. Hoci existujú nejasnosti s ohľadom na extrapoláciu týchto údajov na klinickú situáciu, nedá sa vylúčiť možnosť, že pravidelné, dlhodobé používanie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 xml:space="preserve">u môže znížiť kardioprotektívny účinok nízkej dávky kyseliny acetylsalicylovej. V prípade príležitostného používania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>u sa žiaden klinicky relevantný účinok nepovažuje za pravdepodobný (pozri časť 4.5).</w:t>
      </w:r>
    </w:p>
    <w:p w:rsidR="00AF1266" w:rsidRPr="0094644C" w:rsidRDefault="00AF1266">
      <w:pPr>
        <w:jc w:val="both"/>
        <w:rPr>
          <w:sz w:val="22"/>
          <w:szCs w:val="22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5.2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Farmakokinetické vlastnosti</w:t>
      </w:r>
    </w:p>
    <w:p w:rsidR="000B0B17" w:rsidRPr="0094644C" w:rsidRDefault="000B0B17">
      <w:pPr>
        <w:pStyle w:val="Zkladntext2"/>
        <w:spacing w:after="0" w:line="240" w:lineRule="auto"/>
        <w:rPr>
          <w:sz w:val="22"/>
          <w:szCs w:val="22"/>
        </w:rPr>
      </w:pPr>
    </w:p>
    <w:p w:rsidR="00A24D7F" w:rsidRPr="0094644C" w:rsidRDefault="00E46823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Ibuprofén</w:t>
      </w:r>
      <w:r w:rsidR="00BD0B6F" w:rsidRPr="0094644C">
        <w:rPr>
          <w:sz w:val="22"/>
          <w:szCs w:val="22"/>
        </w:rPr>
        <w:t xml:space="preserve"> </w:t>
      </w:r>
      <w:r w:rsidR="00A24D7F" w:rsidRPr="0094644C">
        <w:rPr>
          <w:sz w:val="22"/>
          <w:szCs w:val="22"/>
        </w:rPr>
        <w:t xml:space="preserve">u dospelých </w:t>
      </w:r>
      <w:r w:rsidR="00BD0B6F" w:rsidRPr="0094644C">
        <w:rPr>
          <w:sz w:val="22"/>
          <w:szCs w:val="22"/>
        </w:rPr>
        <w:t xml:space="preserve">sa po perorálnom podaní </w:t>
      </w:r>
      <w:r w:rsidR="00A24D7F" w:rsidRPr="0094644C">
        <w:rPr>
          <w:sz w:val="22"/>
          <w:szCs w:val="22"/>
        </w:rPr>
        <w:t>pevnej liekovej formy absorbuje z gastrointestinálneho traktu a vrch</w:t>
      </w:r>
      <w:smartTag w:uri="urn:schemas-microsoft-com:office:smarttags" w:element="PersonName">
        <w:r w:rsidR="00A24D7F" w:rsidRPr="0094644C">
          <w:rPr>
            <w:sz w:val="22"/>
            <w:szCs w:val="22"/>
          </w:rPr>
          <w:t>olo</w:t>
        </w:r>
      </w:smartTag>
      <w:r w:rsidR="00A24D7F" w:rsidRPr="0094644C">
        <w:rPr>
          <w:sz w:val="22"/>
          <w:szCs w:val="22"/>
        </w:rPr>
        <w:t>vé plazmatické</w:t>
      </w:r>
      <w:r w:rsidR="00BD0B6F" w:rsidRPr="0094644C">
        <w:rPr>
          <w:sz w:val="22"/>
          <w:szCs w:val="22"/>
        </w:rPr>
        <w:t xml:space="preserve"> koncentráci</w:t>
      </w:r>
      <w:r w:rsidR="00A24D7F" w:rsidRPr="0094644C">
        <w:rPr>
          <w:sz w:val="22"/>
          <w:szCs w:val="22"/>
        </w:rPr>
        <w:t>e sa objavujú asi po 1 až 2 hodinách po užití.</w:t>
      </w:r>
      <w:r w:rsidR="00AA726A" w:rsidRPr="0094644C">
        <w:rPr>
          <w:sz w:val="22"/>
          <w:szCs w:val="22"/>
        </w:rPr>
        <w:t xml:space="preserve"> 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 sa primárne metabolizuje v pečeni na 2-hydroxy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 a 2-karboxy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. 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 sa z 90 až 99</w:t>
      </w:r>
      <w:r w:rsidR="002E19F0">
        <w:rPr>
          <w:sz w:val="22"/>
          <w:szCs w:val="22"/>
        </w:rPr>
        <w:t> </w:t>
      </w:r>
      <w:r w:rsidR="00AA726A" w:rsidRPr="0094644C">
        <w:rPr>
          <w:sz w:val="22"/>
          <w:szCs w:val="22"/>
        </w:rPr>
        <w:t>% viaže na plazmatické bielkoviny a má plazmatický polčas asi 2 hodiny. Rýchl</w:t>
      </w:r>
      <w:r w:rsidR="004F4D44" w:rsidRPr="0094644C">
        <w:rPr>
          <w:sz w:val="22"/>
          <w:szCs w:val="22"/>
        </w:rPr>
        <w:t>o</w:t>
      </w:r>
      <w:r w:rsidR="00AA726A" w:rsidRPr="0094644C">
        <w:rPr>
          <w:sz w:val="22"/>
          <w:szCs w:val="22"/>
        </w:rPr>
        <w:t xml:space="preserve"> sa vylučuje do moču predovšetkým ako metabolity a ich konjugáty. Asi 1</w:t>
      </w:r>
      <w:r w:rsidR="007447FA">
        <w:rPr>
          <w:sz w:val="22"/>
          <w:szCs w:val="22"/>
        </w:rPr>
        <w:t> </w:t>
      </w:r>
      <w:r w:rsidR="00AA726A" w:rsidRPr="0094644C">
        <w:rPr>
          <w:sz w:val="22"/>
          <w:szCs w:val="22"/>
        </w:rPr>
        <w:t xml:space="preserve">% sa vylúči do moču ako nezmenený 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 a asi 14</w:t>
      </w:r>
      <w:r w:rsidR="007447FA">
        <w:rPr>
          <w:sz w:val="22"/>
          <w:szCs w:val="22"/>
        </w:rPr>
        <w:t> </w:t>
      </w:r>
      <w:r w:rsidR="00AA726A" w:rsidRPr="0094644C">
        <w:rPr>
          <w:sz w:val="22"/>
          <w:szCs w:val="22"/>
        </w:rPr>
        <w:t xml:space="preserve">% ako konjugovaný 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>.</w:t>
      </w:r>
    </w:p>
    <w:p w:rsidR="00AA726A" w:rsidRPr="0094644C" w:rsidRDefault="00AA726A">
      <w:pPr>
        <w:pStyle w:val="Zkladntext2"/>
        <w:spacing w:after="0" w:line="240" w:lineRule="auto"/>
        <w:rPr>
          <w:sz w:val="22"/>
          <w:szCs w:val="22"/>
        </w:rPr>
      </w:pPr>
    </w:p>
    <w:p w:rsidR="00AA726A" w:rsidRPr="0094644C" w:rsidRDefault="00AA726A">
      <w:pPr>
        <w:pStyle w:val="Zkladntext2"/>
        <w:spacing w:after="0" w:line="240" w:lineRule="auto"/>
        <w:rPr>
          <w:sz w:val="22"/>
          <w:szCs w:val="22"/>
        </w:rPr>
      </w:pPr>
      <w:r w:rsidRPr="0094644C">
        <w:rPr>
          <w:sz w:val="22"/>
          <w:szCs w:val="22"/>
        </w:rPr>
        <w:t xml:space="preserve">V limitovaných štúdiách sa javilo, že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 xml:space="preserve"> sa vyskytuje v ľudskom materskom mlieku vo veľmi nízkych koncentráciách.</w:t>
      </w:r>
    </w:p>
    <w:p w:rsidR="00AA726A" w:rsidRPr="0094644C" w:rsidRDefault="00AA726A">
      <w:pPr>
        <w:pStyle w:val="Zkladntext2"/>
        <w:spacing w:after="0" w:line="240" w:lineRule="auto"/>
        <w:rPr>
          <w:sz w:val="22"/>
          <w:szCs w:val="22"/>
        </w:rPr>
      </w:pPr>
    </w:p>
    <w:p w:rsidR="00AA726A" w:rsidRPr="0094644C" w:rsidRDefault="006F3E55">
      <w:pPr>
        <w:pStyle w:val="Zkladntext2"/>
        <w:spacing w:after="0" w:line="240" w:lineRule="auto"/>
        <w:rPr>
          <w:sz w:val="22"/>
          <w:szCs w:val="22"/>
        </w:rPr>
      </w:pPr>
      <w:r w:rsidRPr="0094644C">
        <w:rPr>
          <w:sz w:val="22"/>
          <w:szCs w:val="22"/>
        </w:rPr>
        <w:t>Pseudoefedríniumchlorid</w:t>
      </w:r>
      <w:r w:rsidRPr="0094644C" w:rsidDel="006F3E55">
        <w:rPr>
          <w:sz w:val="22"/>
          <w:szCs w:val="22"/>
        </w:rPr>
        <w:t xml:space="preserve"> </w:t>
      </w:r>
      <w:r w:rsidR="00AA726A" w:rsidRPr="0094644C">
        <w:rPr>
          <w:sz w:val="22"/>
          <w:szCs w:val="22"/>
        </w:rPr>
        <w:t>sa rýchlo absorbuje z gastrointestinálneho traktu s vrch</w:t>
      </w:r>
      <w:smartTag w:uri="urn:schemas-microsoft-com:office:smarttags" w:element="PersonName">
        <w:r w:rsidR="00AA726A" w:rsidRPr="0094644C">
          <w:rPr>
            <w:sz w:val="22"/>
            <w:szCs w:val="22"/>
          </w:rPr>
          <w:t>olo</w:t>
        </w:r>
      </w:smartTag>
      <w:r w:rsidR="00AA726A" w:rsidRPr="0094644C">
        <w:rPr>
          <w:sz w:val="22"/>
          <w:szCs w:val="22"/>
        </w:rPr>
        <w:t>vými plazmatickými hladinami 1</w:t>
      </w:r>
      <w:r w:rsidR="002E19F0">
        <w:rPr>
          <w:sz w:val="22"/>
          <w:szCs w:val="22"/>
        </w:rPr>
        <w:t xml:space="preserve"> – </w:t>
      </w:r>
      <w:r w:rsidR="00AA726A" w:rsidRPr="0094644C">
        <w:rPr>
          <w:sz w:val="22"/>
          <w:szCs w:val="22"/>
        </w:rPr>
        <w:t>3 hodiny. Sčasti sa metabolizuje v pečeni ako väčšina sympatomimetík, avšak zväčša sa vylučuje v nezmenenej forme do moču.</w:t>
      </w:r>
    </w:p>
    <w:p w:rsidR="00BD0B6F" w:rsidRPr="0094644C" w:rsidRDefault="00BD0B6F">
      <w:pPr>
        <w:rPr>
          <w:sz w:val="22"/>
          <w:szCs w:val="22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5.3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Predklinické údaje o bezpečnosti</w:t>
      </w:r>
    </w:p>
    <w:p w:rsidR="000B0B17" w:rsidRPr="0094644C" w:rsidRDefault="000B0B17">
      <w:pPr>
        <w:rPr>
          <w:sz w:val="22"/>
          <w:szCs w:val="22"/>
        </w:rPr>
      </w:pPr>
    </w:p>
    <w:p w:rsidR="00AA726A" w:rsidRPr="0094644C" w:rsidRDefault="00AA726A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S kombináciou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u a pseudoefedrínu sa nevykonali štúdie toxicity po opakovanom podávaní. Kombinácia nie je mutagénna.</w:t>
      </w:r>
    </w:p>
    <w:p w:rsidR="00AA726A" w:rsidRPr="0094644C" w:rsidRDefault="00AA726A">
      <w:pPr>
        <w:rPr>
          <w:sz w:val="22"/>
          <w:szCs w:val="22"/>
        </w:rPr>
      </w:pPr>
    </w:p>
    <w:p w:rsidR="009108D5" w:rsidRPr="0094644C" w:rsidRDefault="00AA726A" w:rsidP="00AA726A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Štúdie subchronickej a chronickej toxicity sa vykonali </w:t>
      </w:r>
      <w:r w:rsidR="009108D5" w:rsidRPr="0094644C">
        <w:rPr>
          <w:sz w:val="22"/>
          <w:szCs w:val="22"/>
        </w:rPr>
        <w:t xml:space="preserve">na potkanoch </w:t>
      </w:r>
      <w:r w:rsidRPr="0094644C">
        <w:rPr>
          <w:sz w:val="22"/>
          <w:szCs w:val="22"/>
        </w:rPr>
        <w:t>s 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 xml:space="preserve">om samotným </w:t>
      </w:r>
      <w:r w:rsidR="009108D5" w:rsidRPr="0094644C">
        <w:rPr>
          <w:sz w:val="22"/>
          <w:szCs w:val="22"/>
        </w:rPr>
        <w:t xml:space="preserve">so 6-mesačnou NOAEL (No Observed Adverse Effect Level – dávka pri ktorej sa ešte nepozoroval nežiaduci účinok) 60 mg/kg. Toxicita sa prejavila vo forme lézií a ulcerácií v gastrointestinálnom trakte. </w:t>
      </w:r>
      <w:r w:rsidR="00E46823">
        <w:rPr>
          <w:sz w:val="22"/>
          <w:szCs w:val="22"/>
        </w:rPr>
        <w:t>Ibuprofén</w:t>
      </w:r>
      <w:r w:rsidR="009108D5" w:rsidRPr="0094644C">
        <w:rPr>
          <w:sz w:val="22"/>
          <w:szCs w:val="22"/>
        </w:rPr>
        <w:t xml:space="preserve"> nie je mutagénny a </w:t>
      </w:r>
      <w:r w:rsidR="00AB7864" w:rsidRPr="0094644C">
        <w:rPr>
          <w:sz w:val="22"/>
          <w:szCs w:val="22"/>
        </w:rPr>
        <w:t>v dlhodobých bi</w:t>
      </w:r>
      <w:smartTag w:uri="urn:schemas-microsoft-com:office:smarttags" w:element="PersonName">
        <w:r w:rsidR="00AB7864" w:rsidRPr="0094644C">
          <w:rPr>
            <w:sz w:val="22"/>
            <w:szCs w:val="22"/>
          </w:rPr>
          <w:t>olo</w:t>
        </w:r>
      </w:smartTag>
      <w:r w:rsidR="00AB7864" w:rsidRPr="0094644C">
        <w:rPr>
          <w:sz w:val="22"/>
          <w:szCs w:val="22"/>
        </w:rPr>
        <w:t>gických štúdiách na hlodavcoch nebol ani karcinogénny.</w:t>
      </w:r>
    </w:p>
    <w:p w:rsidR="009108D5" w:rsidRPr="0094644C" w:rsidRDefault="009108D5" w:rsidP="00AA726A">
      <w:pPr>
        <w:rPr>
          <w:sz w:val="22"/>
          <w:szCs w:val="22"/>
        </w:rPr>
      </w:pPr>
    </w:p>
    <w:p w:rsidR="00AA726A" w:rsidRPr="0094644C" w:rsidRDefault="00AB7864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Štúdie subchronickej a chronickej toxicity sa nevykonali s pseudoefedrínom samotným. Kombinácia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u a pseudoefedrínu nebola mutagénna. Skríningová štúdia u ľudí s viac ako 3 000 užívateľmi pseudoefedrínu počas 7,5 roka nepreukázala nárast rakoviny.</w:t>
      </w:r>
    </w:p>
    <w:p w:rsidR="00AB7864" w:rsidRPr="0094644C" w:rsidRDefault="00AB7864">
      <w:pPr>
        <w:rPr>
          <w:sz w:val="22"/>
          <w:szCs w:val="22"/>
        </w:rPr>
      </w:pPr>
      <w:r w:rsidRPr="0094644C">
        <w:rPr>
          <w:sz w:val="22"/>
          <w:szCs w:val="22"/>
        </w:rPr>
        <w:t>Reprodukčné štúdie na zvieratách s individuálnymi zložkami naznačujú, že neboli teratogénne, avšak, ak je to možné, má sa vyhnúť použitie lieku v gravidite.</w:t>
      </w:r>
    </w:p>
    <w:p w:rsidR="00AA726A" w:rsidRPr="0094644C" w:rsidRDefault="00AA726A">
      <w:pPr>
        <w:rPr>
          <w:sz w:val="22"/>
          <w:szCs w:val="22"/>
        </w:rPr>
      </w:pPr>
    </w:p>
    <w:p w:rsidR="006D261A" w:rsidRPr="0094644C" w:rsidRDefault="006D261A">
      <w:pPr>
        <w:jc w:val="both"/>
        <w:rPr>
          <w:sz w:val="22"/>
          <w:szCs w:val="22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FARMACEUTICKÉ INFORMÁCIE</w:t>
      </w:r>
    </w:p>
    <w:p w:rsidR="000B0B17" w:rsidRPr="0094644C" w:rsidRDefault="000B0B17" w:rsidP="000B0B17">
      <w:pPr>
        <w:jc w:val="both"/>
        <w:rPr>
          <w:b/>
          <w:bCs/>
          <w:sz w:val="22"/>
          <w:szCs w:val="22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6.1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Zoznam pomocných látok</w:t>
      </w:r>
    </w:p>
    <w:p w:rsidR="00641A1A" w:rsidRPr="0094644C" w:rsidRDefault="00641A1A">
      <w:pPr>
        <w:jc w:val="both"/>
        <w:rPr>
          <w:sz w:val="22"/>
          <w:szCs w:val="22"/>
        </w:rPr>
      </w:pPr>
    </w:p>
    <w:p w:rsidR="00BD0B6F" w:rsidRPr="0094644C" w:rsidRDefault="00AB7864">
      <w:pPr>
        <w:jc w:val="both"/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Jadro tablety:</w:t>
      </w:r>
    </w:p>
    <w:p w:rsidR="00AB7864" w:rsidRPr="0094644C" w:rsidRDefault="002E19F0">
      <w:p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AB7864" w:rsidRPr="0094644C">
        <w:rPr>
          <w:sz w:val="22"/>
          <w:szCs w:val="22"/>
        </w:rPr>
        <w:t>ukuričný škrob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škrob</w:t>
      </w:r>
      <w:r w:rsidR="00193FEF">
        <w:rPr>
          <w:sz w:val="22"/>
          <w:szCs w:val="22"/>
        </w:rPr>
        <w:t>,</w:t>
      </w:r>
      <w:r w:rsidRPr="0094644C">
        <w:rPr>
          <w:sz w:val="22"/>
          <w:szCs w:val="22"/>
        </w:rPr>
        <w:t xml:space="preserve"> </w:t>
      </w:r>
      <w:r w:rsidR="00193FEF" w:rsidRPr="0094644C">
        <w:rPr>
          <w:sz w:val="22"/>
          <w:szCs w:val="22"/>
        </w:rPr>
        <w:t>predželatínov</w:t>
      </w:r>
      <w:r w:rsidR="00DB4B4B">
        <w:rPr>
          <w:sz w:val="22"/>
          <w:szCs w:val="22"/>
        </w:rPr>
        <w:t>an</w:t>
      </w:r>
      <w:r w:rsidR="00193FEF" w:rsidRPr="0094644C">
        <w:rPr>
          <w:sz w:val="22"/>
          <w:szCs w:val="22"/>
        </w:rPr>
        <w:t xml:space="preserve">ý </w:t>
      </w:r>
      <w:r w:rsidRPr="0094644C">
        <w:rPr>
          <w:sz w:val="22"/>
          <w:szCs w:val="22"/>
        </w:rPr>
        <w:t>(kukuričný)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kroskarmelóz</w:t>
      </w:r>
      <w:r w:rsidR="00193FEF">
        <w:rPr>
          <w:sz w:val="22"/>
          <w:szCs w:val="22"/>
        </w:rPr>
        <w:t>a,</w:t>
      </w:r>
      <w:r w:rsidR="00193FEF" w:rsidRPr="00193FEF">
        <w:rPr>
          <w:sz w:val="22"/>
          <w:szCs w:val="22"/>
        </w:rPr>
        <w:t xml:space="preserve"> </w:t>
      </w:r>
      <w:r w:rsidR="00193FEF" w:rsidRPr="0094644C">
        <w:rPr>
          <w:sz w:val="22"/>
          <w:szCs w:val="22"/>
        </w:rPr>
        <w:t>sodná soľ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oxid kremičitý, </w:t>
      </w:r>
      <w:r w:rsidR="00193FEF" w:rsidRPr="0094644C">
        <w:rPr>
          <w:sz w:val="22"/>
          <w:szCs w:val="22"/>
        </w:rPr>
        <w:t>k</w:t>
      </w:r>
      <w:smartTag w:uri="urn:schemas-microsoft-com:office:smarttags" w:element="PersonName">
        <w:r w:rsidR="00193FEF" w:rsidRPr="0094644C">
          <w:rPr>
            <w:sz w:val="22"/>
            <w:szCs w:val="22"/>
          </w:rPr>
          <w:t>olo</w:t>
        </w:r>
      </w:smartTag>
      <w:r w:rsidR="00193FEF" w:rsidRPr="0094644C">
        <w:rPr>
          <w:sz w:val="22"/>
          <w:szCs w:val="22"/>
        </w:rPr>
        <w:t xml:space="preserve">idný </w:t>
      </w:r>
      <w:r w:rsidRPr="0094644C">
        <w:rPr>
          <w:sz w:val="22"/>
          <w:szCs w:val="22"/>
        </w:rPr>
        <w:t>bezvodý</w:t>
      </w:r>
    </w:p>
    <w:p w:rsidR="002D5969" w:rsidRDefault="00193F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laurylsíran sodný 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kyselina ste</w:t>
      </w:r>
      <w:r w:rsidR="00193FEF">
        <w:rPr>
          <w:sz w:val="22"/>
          <w:szCs w:val="22"/>
        </w:rPr>
        <w:t>a</w:t>
      </w:r>
      <w:r w:rsidRPr="0094644C">
        <w:rPr>
          <w:sz w:val="22"/>
          <w:szCs w:val="22"/>
        </w:rPr>
        <w:t>rová</w:t>
      </w:r>
    </w:p>
    <w:p w:rsidR="00AB7864" w:rsidRPr="0094644C" w:rsidRDefault="00AB7864">
      <w:pPr>
        <w:jc w:val="both"/>
        <w:rPr>
          <w:sz w:val="22"/>
          <w:szCs w:val="22"/>
        </w:rPr>
      </w:pPr>
    </w:p>
    <w:p w:rsidR="00AB7864" w:rsidRPr="0094644C" w:rsidRDefault="00AB7864">
      <w:pPr>
        <w:jc w:val="both"/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Obal tablety:</w:t>
      </w:r>
    </w:p>
    <w:p w:rsidR="00AB7864" w:rsidRPr="0094644C" w:rsidRDefault="002E19F0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AB7864" w:rsidRPr="0094644C">
        <w:rPr>
          <w:sz w:val="22"/>
          <w:szCs w:val="22"/>
        </w:rPr>
        <w:t>acharóza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mikrokryštalická celulóza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vosk </w:t>
      </w:r>
      <w:r w:rsidR="00193FEF" w:rsidRPr="0094644C">
        <w:rPr>
          <w:sz w:val="22"/>
          <w:szCs w:val="22"/>
        </w:rPr>
        <w:t>kar</w:t>
      </w:r>
      <w:r w:rsidR="00E04F70">
        <w:rPr>
          <w:sz w:val="22"/>
          <w:szCs w:val="22"/>
        </w:rPr>
        <w:t>n</w:t>
      </w:r>
      <w:r w:rsidR="00193FEF" w:rsidRPr="0094644C">
        <w:rPr>
          <w:sz w:val="22"/>
          <w:szCs w:val="22"/>
        </w:rPr>
        <w:t xml:space="preserve">aubský </w:t>
      </w:r>
      <w:r w:rsidRPr="0094644C">
        <w:rPr>
          <w:sz w:val="22"/>
          <w:szCs w:val="22"/>
        </w:rPr>
        <w:t>(žltý)</w:t>
      </w:r>
    </w:p>
    <w:p w:rsidR="00AB7864" w:rsidRPr="0094644C" w:rsidRDefault="00AB7864">
      <w:pPr>
        <w:jc w:val="both"/>
        <w:rPr>
          <w:i/>
          <w:sz w:val="22"/>
          <w:szCs w:val="22"/>
        </w:rPr>
      </w:pPr>
      <w:r w:rsidRPr="0094644C">
        <w:rPr>
          <w:i/>
          <w:sz w:val="22"/>
          <w:szCs w:val="22"/>
        </w:rPr>
        <w:t xml:space="preserve">Obaľovacia sústava </w:t>
      </w:r>
      <w:r w:rsidR="00033E2E" w:rsidRPr="0094644C">
        <w:rPr>
          <w:i/>
          <w:iCs/>
          <w:sz w:val="22"/>
          <w:szCs w:val="22"/>
        </w:rPr>
        <w:t xml:space="preserve">Opalux </w:t>
      </w:r>
      <w:r w:rsidRPr="0094644C">
        <w:rPr>
          <w:i/>
          <w:sz w:val="22"/>
          <w:szCs w:val="22"/>
        </w:rPr>
        <w:t xml:space="preserve">AS-3739 </w:t>
      </w:r>
      <w:r w:rsidR="009A7465" w:rsidRPr="0094644C">
        <w:rPr>
          <w:i/>
          <w:sz w:val="22"/>
          <w:szCs w:val="22"/>
        </w:rPr>
        <w:t>maslová:</w:t>
      </w:r>
    </w:p>
    <w:p w:rsidR="00AB7864" w:rsidRPr="0094644C" w:rsidRDefault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</w:r>
      <w:r w:rsidR="002E19F0">
        <w:rPr>
          <w:sz w:val="22"/>
          <w:szCs w:val="22"/>
        </w:rPr>
        <w:t>s</w:t>
      </w:r>
      <w:r w:rsidRPr="0094644C">
        <w:rPr>
          <w:sz w:val="22"/>
          <w:szCs w:val="22"/>
        </w:rPr>
        <w:t>acharóza</w:t>
      </w:r>
    </w:p>
    <w:p w:rsidR="009A7465" w:rsidRPr="0094644C" w:rsidRDefault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  <w:t>oxid titaničitý (E171)</w:t>
      </w:r>
    </w:p>
    <w:p w:rsidR="009A7465" w:rsidRPr="0094644C" w:rsidRDefault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  <w:t>žltý oxid železitý (E172)</w:t>
      </w:r>
    </w:p>
    <w:p w:rsidR="009A7465" w:rsidRPr="0094644C" w:rsidRDefault="009A7465" w:rsidP="009A7465">
      <w:pPr>
        <w:ind w:firstLine="708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červený oxid železitý (E172)</w:t>
      </w:r>
    </w:p>
    <w:p w:rsidR="009A7465" w:rsidRPr="0094644C" w:rsidRDefault="009A7465" w:rsidP="009A7465">
      <w:pPr>
        <w:ind w:firstLine="708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povidón</w:t>
      </w:r>
    </w:p>
    <w:p w:rsidR="009A7465" w:rsidRPr="0094644C" w:rsidRDefault="00846311" w:rsidP="009A7465">
      <w:pPr>
        <w:ind w:firstLine="708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metylparahydroxybenzoát</w:t>
      </w:r>
      <w:r w:rsidR="009A7465" w:rsidRPr="0094644C">
        <w:rPr>
          <w:sz w:val="22"/>
          <w:szCs w:val="22"/>
        </w:rPr>
        <w:t xml:space="preserve"> (E218)</w:t>
      </w:r>
    </w:p>
    <w:p w:rsidR="009A7465" w:rsidRPr="0094644C" w:rsidRDefault="00846311" w:rsidP="009A7465">
      <w:pPr>
        <w:ind w:firstLine="708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propylparahydroxybenzoát</w:t>
      </w:r>
      <w:r w:rsidR="009A7465" w:rsidRPr="0094644C">
        <w:rPr>
          <w:sz w:val="22"/>
          <w:szCs w:val="22"/>
        </w:rPr>
        <w:t xml:space="preserve"> (E216)</w:t>
      </w:r>
      <w:r w:rsidR="0023556E">
        <w:rPr>
          <w:sz w:val="22"/>
          <w:szCs w:val="22"/>
        </w:rPr>
        <w:t>.</w:t>
      </w:r>
    </w:p>
    <w:p w:rsidR="009A7465" w:rsidRPr="0094644C" w:rsidRDefault="009A7465" w:rsidP="009A7465">
      <w:pPr>
        <w:jc w:val="both"/>
        <w:rPr>
          <w:i/>
          <w:sz w:val="22"/>
          <w:szCs w:val="22"/>
        </w:rPr>
      </w:pPr>
      <w:r w:rsidRPr="0094644C">
        <w:rPr>
          <w:i/>
          <w:sz w:val="22"/>
          <w:szCs w:val="22"/>
        </w:rPr>
        <w:t>Obaľovacia sústava Opaglos GS-2-0310: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</w:r>
      <w:r w:rsidR="002E19F0">
        <w:rPr>
          <w:sz w:val="22"/>
          <w:szCs w:val="22"/>
        </w:rPr>
        <w:t>e</w:t>
      </w:r>
      <w:r w:rsidRPr="0094644C">
        <w:rPr>
          <w:sz w:val="22"/>
          <w:szCs w:val="22"/>
        </w:rPr>
        <w:t>tanol denaturovaný metan</w:t>
      </w:r>
      <w:smartTag w:uri="urn:schemas-microsoft-com:office:smarttags" w:element="PersonName">
        <w:r w:rsidRPr="0094644C">
          <w:rPr>
            <w:sz w:val="22"/>
            <w:szCs w:val="22"/>
          </w:rPr>
          <w:t>olo</w:t>
        </w:r>
      </w:smartTag>
      <w:r w:rsidRPr="0094644C">
        <w:rPr>
          <w:sz w:val="22"/>
          <w:szCs w:val="22"/>
        </w:rPr>
        <w:t>m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</w:r>
      <w:r w:rsidR="00033E2E" w:rsidRPr="0094644C">
        <w:rPr>
          <w:sz w:val="22"/>
          <w:szCs w:val="22"/>
        </w:rPr>
        <w:t xml:space="preserve">farmaceutický </w:t>
      </w:r>
      <w:r w:rsidRPr="0094644C">
        <w:rPr>
          <w:sz w:val="22"/>
          <w:szCs w:val="22"/>
        </w:rPr>
        <w:t>šelak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  <w:t>povidón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  <w:t>acetomonoacylglycerol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</w:p>
    <w:p w:rsidR="009A7465" w:rsidRPr="0094644C" w:rsidRDefault="00033E2E" w:rsidP="009A7465">
      <w:pPr>
        <w:jc w:val="both"/>
        <w:rPr>
          <w:i/>
          <w:sz w:val="22"/>
          <w:szCs w:val="22"/>
        </w:rPr>
      </w:pPr>
      <w:r w:rsidRPr="0094644C">
        <w:rPr>
          <w:i/>
          <w:iCs/>
          <w:sz w:val="22"/>
          <w:szCs w:val="22"/>
        </w:rPr>
        <w:t xml:space="preserve">Opacode S-1-27794 </w:t>
      </w:r>
      <w:r w:rsidRPr="0094644C">
        <w:rPr>
          <w:i/>
          <w:sz w:val="22"/>
          <w:szCs w:val="22"/>
        </w:rPr>
        <w:t>č</w:t>
      </w:r>
      <w:r w:rsidR="009A7465" w:rsidRPr="0094644C">
        <w:rPr>
          <w:i/>
          <w:sz w:val="22"/>
          <w:szCs w:val="22"/>
        </w:rPr>
        <w:t>ierny atramen</w:t>
      </w:r>
      <w:r w:rsidR="0023556E">
        <w:rPr>
          <w:i/>
          <w:sz w:val="22"/>
          <w:szCs w:val="22"/>
        </w:rPr>
        <w:t>t:</w:t>
      </w:r>
    </w:p>
    <w:p w:rsidR="009A7465" w:rsidRPr="0094644C" w:rsidRDefault="002E19F0" w:rsidP="009A7465">
      <w:pPr>
        <w:jc w:val="both"/>
        <w:rPr>
          <w:sz w:val="22"/>
          <w:szCs w:val="22"/>
        </w:rPr>
      </w:pPr>
      <w:r>
        <w:rPr>
          <w:sz w:val="22"/>
          <w:szCs w:val="22"/>
        </w:rPr>
        <w:t>š</w:t>
      </w:r>
      <w:r w:rsidR="009A7465" w:rsidRPr="0094644C">
        <w:rPr>
          <w:sz w:val="22"/>
          <w:szCs w:val="22"/>
        </w:rPr>
        <w:t>elak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čierny oxid železitý (E172)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propylénglykol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alebo</w:t>
      </w:r>
    </w:p>
    <w:p w:rsidR="009A7465" w:rsidRPr="0094644C" w:rsidRDefault="00033E2E" w:rsidP="009A7465">
      <w:pPr>
        <w:jc w:val="both"/>
        <w:rPr>
          <w:i/>
          <w:sz w:val="22"/>
          <w:szCs w:val="22"/>
        </w:rPr>
      </w:pPr>
      <w:r w:rsidRPr="0094644C">
        <w:rPr>
          <w:i/>
          <w:sz w:val="22"/>
          <w:szCs w:val="22"/>
        </w:rPr>
        <w:t>Opacode S-1-17823 č</w:t>
      </w:r>
      <w:r w:rsidR="009A7465" w:rsidRPr="0094644C">
        <w:rPr>
          <w:i/>
          <w:sz w:val="22"/>
          <w:szCs w:val="22"/>
        </w:rPr>
        <w:t>ierny atrament:</w:t>
      </w:r>
    </w:p>
    <w:p w:rsidR="00AB7864" w:rsidRPr="0094644C" w:rsidRDefault="002E19F0">
      <w:pPr>
        <w:jc w:val="both"/>
        <w:rPr>
          <w:sz w:val="22"/>
          <w:szCs w:val="22"/>
        </w:rPr>
      </w:pPr>
      <w:r>
        <w:rPr>
          <w:sz w:val="22"/>
          <w:szCs w:val="22"/>
        </w:rPr>
        <w:t>š</w:t>
      </w:r>
      <w:r w:rsidR="009A7465" w:rsidRPr="0094644C">
        <w:rPr>
          <w:sz w:val="22"/>
          <w:szCs w:val="22"/>
        </w:rPr>
        <w:t>elak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čierny oxid železitý (E172)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propylénglykol</w:t>
      </w:r>
    </w:p>
    <w:p w:rsidR="00033E2E" w:rsidRPr="0094644C" w:rsidRDefault="00033E2E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hydroxid amónny</w:t>
      </w:r>
    </w:p>
    <w:p w:rsidR="00AB7864" w:rsidRPr="0094644C" w:rsidRDefault="00AB7864">
      <w:pPr>
        <w:jc w:val="both"/>
        <w:rPr>
          <w:sz w:val="22"/>
          <w:szCs w:val="22"/>
          <w:u w:val="single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6.2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Inkompatibility</w:t>
      </w:r>
    </w:p>
    <w:p w:rsidR="000B0B17" w:rsidRPr="0094644C" w:rsidRDefault="000B0B17">
      <w:pPr>
        <w:pStyle w:val="Zarkazkladnhotextu"/>
        <w:ind w:left="0"/>
        <w:jc w:val="both"/>
        <w:rPr>
          <w:sz w:val="22"/>
          <w:szCs w:val="22"/>
        </w:rPr>
      </w:pPr>
    </w:p>
    <w:p w:rsidR="00BD0B6F" w:rsidRPr="0094644C" w:rsidRDefault="006718A6">
      <w:pPr>
        <w:pStyle w:val="Zarkazkladnhotextu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Neaplikovateľné</w:t>
      </w:r>
      <w:r w:rsidR="00BD0B6F" w:rsidRPr="0094644C">
        <w:rPr>
          <w:sz w:val="22"/>
          <w:szCs w:val="22"/>
        </w:rPr>
        <w:t>.</w:t>
      </w:r>
    </w:p>
    <w:p w:rsidR="00BD0B6F" w:rsidRPr="0094644C" w:rsidRDefault="00BD0B6F" w:rsidP="003C0BDC">
      <w:pPr>
        <w:jc w:val="both"/>
        <w:rPr>
          <w:sz w:val="22"/>
          <w:szCs w:val="22"/>
        </w:rPr>
      </w:pPr>
    </w:p>
    <w:p w:rsidR="00BD0B6F" w:rsidRPr="0094644C" w:rsidRDefault="00BD0B6F">
      <w:pPr>
        <w:pStyle w:val="Nadpis7"/>
        <w:ind w:left="0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6.3</w:t>
      </w:r>
      <w:r w:rsidR="000B0B17" w:rsidRPr="0094644C">
        <w:rPr>
          <w:sz w:val="22"/>
          <w:szCs w:val="22"/>
        </w:rPr>
        <w:tab/>
      </w:r>
      <w:r w:rsidRPr="0094644C">
        <w:rPr>
          <w:sz w:val="22"/>
          <w:szCs w:val="22"/>
        </w:rPr>
        <w:t>Čas použiteľnosti</w:t>
      </w:r>
    </w:p>
    <w:p w:rsidR="000B0B17" w:rsidRPr="0094644C" w:rsidRDefault="000B0B17">
      <w:pPr>
        <w:jc w:val="both"/>
        <w:rPr>
          <w:sz w:val="22"/>
          <w:szCs w:val="22"/>
        </w:rPr>
      </w:pPr>
    </w:p>
    <w:p w:rsidR="00BD0B6F" w:rsidRPr="0094644C" w:rsidRDefault="00BD0B6F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3 roky</w:t>
      </w:r>
    </w:p>
    <w:p w:rsidR="00BD0B6F" w:rsidRPr="0094644C" w:rsidRDefault="00BD0B6F" w:rsidP="003C0BDC">
      <w:pPr>
        <w:jc w:val="both"/>
        <w:rPr>
          <w:b/>
          <w:bCs/>
          <w:sz w:val="22"/>
          <w:szCs w:val="22"/>
        </w:rPr>
      </w:pPr>
    </w:p>
    <w:p w:rsidR="000B0B17" w:rsidRPr="0094644C" w:rsidRDefault="00BD0B6F" w:rsidP="000B0B17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6.4</w:t>
      </w:r>
      <w:r w:rsidR="000B0B17" w:rsidRPr="0094644C">
        <w:rPr>
          <w:b/>
          <w:bCs/>
          <w:sz w:val="22"/>
          <w:szCs w:val="22"/>
        </w:rPr>
        <w:tab/>
        <w:t>Špeciálne upozornenia na uchovávanie</w:t>
      </w: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</w:p>
    <w:p w:rsidR="00BD0B6F" w:rsidRPr="0094644C" w:rsidRDefault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Uchovávajte</w:t>
      </w:r>
      <w:r w:rsidR="00BD0B6F" w:rsidRPr="0094644C">
        <w:rPr>
          <w:sz w:val="22"/>
          <w:szCs w:val="22"/>
        </w:rPr>
        <w:t xml:space="preserve"> pri teplote </w:t>
      </w:r>
      <w:r w:rsidRPr="0094644C">
        <w:rPr>
          <w:sz w:val="22"/>
          <w:szCs w:val="22"/>
        </w:rPr>
        <w:t>neprevyšujúcej</w:t>
      </w:r>
      <w:r w:rsidR="00BD0B6F" w:rsidRPr="0094644C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5 ﾰC"/>
        </w:smartTagPr>
        <w:r w:rsidR="00BD0B6F" w:rsidRPr="0094644C">
          <w:rPr>
            <w:sz w:val="22"/>
            <w:szCs w:val="22"/>
          </w:rPr>
          <w:t>25 °C</w:t>
        </w:r>
      </w:smartTag>
      <w:r w:rsidR="00BD0B6F" w:rsidRPr="0094644C">
        <w:rPr>
          <w:sz w:val="22"/>
          <w:szCs w:val="22"/>
        </w:rPr>
        <w:t>.</w:t>
      </w:r>
    </w:p>
    <w:p w:rsidR="00BD0B6F" w:rsidRPr="0094644C" w:rsidRDefault="00BD0B6F">
      <w:pPr>
        <w:ind w:left="360"/>
        <w:jc w:val="both"/>
        <w:rPr>
          <w:b/>
          <w:bCs/>
          <w:sz w:val="22"/>
          <w:szCs w:val="22"/>
        </w:rPr>
      </w:pPr>
    </w:p>
    <w:p w:rsidR="000B0B17" w:rsidRPr="0094644C" w:rsidRDefault="00BD0B6F" w:rsidP="000B0B17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6.5</w:t>
      </w:r>
      <w:r w:rsidR="000B0B17" w:rsidRPr="0094644C">
        <w:rPr>
          <w:b/>
          <w:bCs/>
          <w:sz w:val="22"/>
          <w:szCs w:val="22"/>
        </w:rPr>
        <w:tab/>
      </w:r>
      <w:r w:rsidR="009A7465" w:rsidRPr="0094644C">
        <w:rPr>
          <w:b/>
          <w:bCs/>
          <w:sz w:val="22"/>
          <w:szCs w:val="22"/>
        </w:rPr>
        <w:t>Druh obalu a obsah balenia</w:t>
      </w:r>
    </w:p>
    <w:p w:rsidR="000B0B17" w:rsidRPr="0094644C" w:rsidRDefault="000B0B17">
      <w:pPr>
        <w:rPr>
          <w:sz w:val="22"/>
          <w:szCs w:val="22"/>
        </w:rPr>
      </w:pPr>
    </w:p>
    <w:p w:rsidR="00BD0B6F" w:rsidRPr="0094644C" w:rsidRDefault="00033E2E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uPVC </w:t>
      </w:r>
      <w:r w:rsidR="004D6D4B" w:rsidRPr="0094644C">
        <w:rPr>
          <w:sz w:val="22"/>
          <w:szCs w:val="22"/>
        </w:rPr>
        <w:t>hliníkové blistrové balenia v papierových škatuľkách obsahujúce 2, 4, 10, 12, 20 a 24 tabliet.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BD0B6F" w:rsidRPr="0094644C" w:rsidRDefault="004D6D4B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Na trh nemusia byť uvedené všetky veľkosti balenia.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D327AC" w:rsidRPr="0094644C" w:rsidRDefault="00BD0B6F" w:rsidP="00D327AC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6.6</w:t>
      </w:r>
      <w:r w:rsidR="000B0B17" w:rsidRPr="0094644C">
        <w:rPr>
          <w:b/>
          <w:bCs/>
          <w:sz w:val="22"/>
          <w:szCs w:val="22"/>
        </w:rPr>
        <w:tab/>
      </w:r>
      <w:r w:rsidR="00D327AC" w:rsidRPr="0094644C">
        <w:rPr>
          <w:b/>
          <w:bCs/>
          <w:sz w:val="22"/>
          <w:szCs w:val="22"/>
        </w:rPr>
        <w:t xml:space="preserve">Špeciálne opatrenia na likvidáciu </w:t>
      </w:r>
    </w:p>
    <w:p w:rsidR="00D327AC" w:rsidRPr="0094644C" w:rsidRDefault="00D327AC" w:rsidP="00D327AC">
      <w:pPr>
        <w:jc w:val="both"/>
        <w:rPr>
          <w:b/>
          <w:bCs/>
          <w:sz w:val="22"/>
          <w:szCs w:val="22"/>
        </w:rPr>
      </w:pPr>
    </w:p>
    <w:p w:rsidR="00BD0B6F" w:rsidRPr="0094644C" w:rsidRDefault="006D261A" w:rsidP="00D327AC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Žiadne</w:t>
      </w:r>
      <w:r w:rsidR="00BD0B6F" w:rsidRPr="0094644C">
        <w:rPr>
          <w:sz w:val="22"/>
          <w:szCs w:val="22"/>
        </w:rPr>
        <w:t xml:space="preserve"> zvláš</w:t>
      </w:r>
      <w:r w:rsidRPr="0094644C">
        <w:rPr>
          <w:sz w:val="22"/>
          <w:szCs w:val="22"/>
        </w:rPr>
        <w:t>tne</w:t>
      </w:r>
      <w:r w:rsidR="00BD0B6F" w:rsidRPr="0094644C">
        <w:rPr>
          <w:sz w:val="22"/>
          <w:szCs w:val="22"/>
        </w:rPr>
        <w:t xml:space="preserve"> pož</w:t>
      </w:r>
      <w:r w:rsidRPr="0094644C">
        <w:rPr>
          <w:sz w:val="22"/>
          <w:szCs w:val="22"/>
        </w:rPr>
        <w:t>i</w:t>
      </w:r>
      <w:r w:rsidR="00BD0B6F" w:rsidRPr="0094644C">
        <w:rPr>
          <w:sz w:val="22"/>
          <w:szCs w:val="22"/>
        </w:rPr>
        <w:t>adavky</w:t>
      </w:r>
      <w:r w:rsidR="004D71C5">
        <w:rPr>
          <w:sz w:val="22"/>
          <w:szCs w:val="22"/>
        </w:rPr>
        <w:t>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507B67" w:rsidRPr="0094644C" w:rsidRDefault="00507B67">
      <w:pPr>
        <w:jc w:val="both"/>
        <w:rPr>
          <w:sz w:val="22"/>
          <w:szCs w:val="22"/>
        </w:rPr>
      </w:pPr>
    </w:p>
    <w:p w:rsidR="00507B67" w:rsidRPr="0094644C" w:rsidRDefault="00507B67" w:rsidP="00507B67">
      <w:pPr>
        <w:rPr>
          <w:b/>
          <w:bCs/>
          <w:caps/>
          <w:sz w:val="22"/>
          <w:szCs w:val="22"/>
        </w:rPr>
      </w:pPr>
      <w:r w:rsidRPr="0094644C">
        <w:rPr>
          <w:b/>
          <w:bCs/>
          <w:sz w:val="22"/>
          <w:szCs w:val="22"/>
        </w:rPr>
        <w:t>7.</w:t>
      </w:r>
      <w:r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caps/>
          <w:sz w:val="22"/>
          <w:szCs w:val="22"/>
        </w:rPr>
        <w:t>Držiteľ rozhodnutia o registrácii</w:t>
      </w:r>
    </w:p>
    <w:p w:rsidR="00507B67" w:rsidRPr="0094644C" w:rsidRDefault="00507B67" w:rsidP="00507B67">
      <w:pPr>
        <w:jc w:val="both"/>
        <w:rPr>
          <w:b/>
          <w:bCs/>
          <w:sz w:val="22"/>
          <w:szCs w:val="22"/>
        </w:rPr>
      </w:pPr>
    </w:p>
    <w:p w:rsidR="005477EE" w:rsidRPr="00A05D4F" w:rsidRDefault="005477EE" w:rsidP="005477EE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9124A6">
        <w:rPr>
          <w:color w:val="1D2228"/>
          <w:sz w:val="22"/>
          <w:szCs w:val="22"/>
        </w:rPr>
        <w:t>GlaxoSmithKline Consumer Healthcare Czech Republic s.r.o.</w:t>
      </w:r>
    </w:p>
    <w:p w:rsidR="005477EE" w:rsidRPr="00A05D4F" w:rsidRDefault="005477EE" w:rsidP="005477EE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9124A6">
        <w:rPr>
          <w:color w:val="1D2228"/>
          <w:sz w:val="22"/>
          <w:szCs w:val="22"/>
        </w:rPr>
        <w:t>Hvězdova 1734/2c</w:t>
      </w:r>
    </w:p>
    <w:p w:rsidR="005477EE" w:rsidRPr="00A05D4F" w:rsidRDefault="005477EE" w:rsidP="005477EE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9124A6">
        <w:rPr>
          <w:color w:val="1D2228"/>
          <w:sz w:val="22"/>
          <w:szCs w:val="22"/>
        </w:rPr>
        <w:t>140 00 Praha 4 – Nusle</w:t>
      </w:r>
    </w:p>
    <w:p w:rsidR="005477EE" w:rsidRPr="00A05D4F" w:rsidRDefault="005477EE" w:rsidP="005477EE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9124A6">
        <w:rPr>
          <w:color w:val="1D2228"/>
          <w:sz w:val="22"/>
          <w:szCs w:val="22"/>
        </w:rPr>
        <w:t>Česká republika</w:t>
      </w:r>
    </w:p>
    <w:p w:rsidR="00BD0B6F" w:rsidRPr="0094644C" w:rsidRDefault="00BD0B6F" w:rsidP="00507B67">
      <w:pPr>
        <w:jc w:val="both"/>
        <w:rPr>
          <w:sz w:val="22"/>
          <w:szCs w:val="22"/>
        </w:rPr>
      </w:pPr>
    </w:p>
    <w:p w:rsidR="00507B67" w:rsidRPr="0094644C" w:rsidRDefault="00507B67" w:rsidP="00507B67">
      <w:pPr>
        <w:jc w:val="both"/>
        <w:rPr>
          <w:sz w:val="22"/>
          <w:szCs w:val="22"/>
        </w:rPr>
      </w:pPr>
    </w:p>
    <w:p w:rsidR="00507B67" w:rsidRPr="0094644C" w:rsidRDefault="00507B67" w:rsidP="00507B67">
      <w:pPr>
        <w:rPr>
          <w:b/>
          <w:bCs/>
          <w:caps/>
          <w:sz w:val="22"/>
          <w:szCs w:val="22"/>
        </w:rPr>
      </w:pPr>
      <w:r w:rsidRPr="0094644C">
        <w:rPr>
          <w:b/>
          <w:bCs/>
          <w:sz w:val="22"/>
          <w:szCs w:val="22"/>
        </w:rPr>
        <w:t>8.</w:t>
      </w:r>
      <w:r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caps/>
          <w:sz w:val="22"/>
          <w:szCs w:val="22"/>
        </w:rPr>
        <w:t>Registračné číslo</w:t>
      </w:r>
    </w:p>
    <w:p w:rsidR="00507B67" w:rsidRPr="0094644C" w:rsidRDefault="00507B67">
      <w:pPr>
        <w:jc w:val="both"/>
        <w:rPr>
          <w:b/>
          <w:bCs/>
          <w:sz w:val="22"/>
          <w:szCs w:val="22"/>
        </w:rPr>
      </w:pPr>
    </w:p>
    <w:p w:rsidR="00BD0B6F" w:rsidRPr="0094644C" w:rsidRDefault="003C165C" w:rsidP="00507B67">
      <w:pPr>
        <w:jc w:val="both"/>
        <w:rPr>
          <w:bCs/>
          <w:sz w:val="22"/>
          <w:szCs w:val="22"/>
        </w:rPr>
      </w:pPr>
      <w:r w:rsidRPr="0094644C">
        <w:rPr>
          <w:bCs/>
          <w:sz w:val="22"/>
          <w:szCs w:val="22"/>
        </w:rPr>
        <w:t>07/0264/14-S</w:t>
      </w:r>
    </w:p>
    <w:p w:rsidR="00097266" w:rsidRPr="0094644C" w:rsidRDefault="00097266" w:rsidP="00507B67">
      <w:pPr>
        <w:jc w:val="both"/>
        <w:rPr>
          <w:bCs/>
          <w:sz w:val="22"/>
          <w:szCs w:val="22"/>
        </w:rPr>
      </w:pPr>
    </w:p>
    <w:p w:rsidR="00507B67" w:rsidRPr="0094644C" w:rsidRDefault="00507B67" w:rsidP="00507B67">
      <w:pPr>
        <w:jc w:val="both"/>
        <w:rPr>
          <w:b/>
          <w:bCs/>
          <w:sz w:val="22"/>
          <w:szCs w:val="22"/>
        </w:rPr>
      </w:pPr>
    </w:p>
    <w:p w:rsidR="00507B67" w:rsidRPr="0094644C" w:rsidRDefault="00507B67" w:rsidP="00507B67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9.</w:t>
      </w:r>
      <w:r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caps/>
          <w:sz w:val="22"/>
          <w:szCs w:val="22"/>
        </w:rPr>
        <w:t xml:space="preserve">Dátum prvej registrácie/Predĺženie registrácie </w:t>
      </w:r>
    </w:p>
    <w:p w:rsidR="00507B67" w:rsidRPr="0094644C" w:rsidRDefault="00507B67" w:rsidP="00507B67">
      <w:pPr>
        <w:rPr>
          <w:b/>
          <w:bCs/>
          <w:sz w:val="22"/>
          <w:szCs w:val="22"/>
        </w:rPr>
      </w:pPr>
    </w:p>
    <w:p w:rsidR="00BD0B6F" w:rsidRDefault="004D6D4B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Dátum prvej registrácie:</w:t>
      </w:r>
      <w:r w:rsidR="00D93693">
        <w:rPr>
          <w:sz w:val="22"/>
          <w:szCs w:val="22"/>
        </w:rPr>
        <w:t xml:space="preserve"> 14. augusta 2014</w:t>
      </w:r>
    </w:p>
    <w:p w:rsidR="00BC08F0" w:rsidRPr="0094644C" w:rsidRDefault="00BC08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Dátum posledného predĺženia registrácie: </w:t>
      </w:r>
      <w:r w:rsidR="00BF61E7">
        <w:rPr>
          <w:sz w:val="22"/>
          <w:szCs w:val="22"/>
        </w:rPr>
        <w:t>23. júla 2019</w:t>
      </w: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</w:p>
    <w:p w:rsidR="00507B67" w:rsidRPr="0094644C" w:rsidRDefault="00507B67">
      <w:pPr>
        <w:jc w:val="both"/>
        <w:rPr>
          <w:b/>
          <w:bCs/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caps/>
          <w:sz w:val="22"/>
          <w:szCs w:val="22"/>
        </w:rPr>
      </w:pPr>
      <w:r w:rsidRPr="0094644C">
        <w:rPr>
          <w:b/>
          <w:bCs/>
          <w:caps/>
          <w:sz w:val="22"/>
          <w:szCs w:val="22"/>
        </w:rPr>
        <w:t>10.</w:t>
      </w:r>
      <w:r w:rsidR="00507B67" w:rsidRPr="0094644C">
        <w:rPr>
          <w:b/>
          <w:bCs/>
          <w:caps/>
          <w:sz w:val="22"/>
          <w:szCs w:val="22"/>
        </w:rPr>
        <w:tab/>
      </w:r>
      <w:r w:rsidRPr="0094644C">
        <w:rPr>
          <w:b/>
          <w:bCs/>
          <w:caps/>
          <w:sz w:val="22"/>
          <w:szCs w:val="22"/>
        </w:rPr>
        <w:t xml:space="preserve">Dátum </w:t>
      </w:r>
      <w:r w:rsidR="004D6D4B" w:rsidRPr="0094644C">
        <w:rPr>
          <w:b/>
          <w:bCs/>
          <w:caps/>
          <w:sz w:val="22"/>
          <w:szCs w:val="22"/>
        </w:rPr>
        <w:t>revízie textu</w:t>
      </w:r>
    </w:p>
    <w:p w:rsidR="00BD0B6F" w:rsidRDefault="00BD0B6F">
      <w:pPr>
        <w:jc w:val="both"/>
        <w:rPr>
          <w:sz w:val="22"/>
          <w:szCs w:val="22"/>
        </w:rPr>
      </w:pPr>
    </w:p>
    <w:p w:rsidR="00D93693" w:rsidRPr="0094644C" w:rsidRDefault="00E86680">
      <w:pPr>
        <w:jc w:val="both"/>
        <w:rPr>
          <w:sz w:val="22"/>
          <w:szCs w:val="22"/>
        </w:rPr>
      </w:pPr>
      <w:r>
        <w:rPr>
          <w:sz w:val="22"/>
          <w:szCs w:val="22"/>
        </w:rPr>
        <w:t>0</w:t>
      </w:r>
      <w:r>
        <w:rPr>
          <w:sz w:val="22"/>
          <w:szCs w:val="22"/>
        </w:rPr>
        <w:t>5</w:t>
      </w:r>
      <w:bookmarkStart w:id="0" w:name="_GoBack"/>
      <w:bookmarkEnd w:id="0"/>
      <w:r w:rsidR="00A05D4F">
        <w:rPr>
          <w:sz w:val="22"/>
          <w:szCs w:val="22"/>
        </w:rPr>
        <w:t>/2020</w:t>
      </w:r>
    </w:p>
    <w:sectPr w:rsidR="00D93693" w:rsidRPr="0094644C" w:rsidSect="00E4682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2B4" w:rsidRDefault="001072B4">
      <w:r>
        <w:separator/>
      </w:r>
    </w:p>
  </w:endnote>
  <w:endnote w:type="continuationSeparator" w:id="0">
    <w:p w:rsidR="001072B4" w:rsidRDefault="0010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E4E" w:rsidRPr="00A24D7F" w:rsidRDefault="00EB5E4E" w:rsidP="00FD5065">
    <w:pPr>
      <w:pStyle w:val="Pta"/>
      <w:jc w:val="center"/>
      <w:rPr>
        <w:sz w:val="18"/>
        <w:szCs w:val="18"/>
      </w:rPr>
    </w:pPr>
    <w:r w:rsidRPr="00097266">
      <w:rPr>
        <w:sz w:val="18"/>
        <w:szCs w:val="18"/>
      </w:rPr>
      <w:fldChar w:fldCharType="begin"/>
    </w:r>
    <w:r w:rsidRPr="00097266">
      <w:rPr>
        <w:sz w:val="18"/>
        <w:szCs w:val="18"/>
      </w:rPr>
      <w:instrText>PAGE   \* MERGEFORMAT</w:instrText>
    </w:r>
    <w:r w:rsidRPr="00097266">
      <w:rPr>
        <w:sz w:val="18"/>
        <w:szCs w:val="18"/>
      </w:rPr>
      <w:fldChar w:fldCharType="separate"/>
    </w:r>
    <w:r w:rsidR="00E86680">
      <w:rPr>
        <w:noProof/>
        <w:sz w:val="18"/>
        <w:szCs w:val="18"/>
      </w:rPr>
      <w:t>13</w:t>
    </w:r>
    <w:r w:rsidRPr="00097266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966" w:rsidRPr="009E5966" w:rsidRDefault="009E5966">
    <w:pPr>
      <w:pStyle w:val="Pta"/>
      <w:jc w:val="center"/>
      <w:rPr>
        <w:sz w:val="18"/>
        <w:szCs w:val="18"/>
      </w:rPr>
    </w:pPr>
    <w:r w:rsidRPr="009E5966">
      <w:rPr>
        <w:sz w:val="18"/>
        <w:szCs w:val="18"/>
      </w:rPr>
      <w:fldChar w:fldCharType="begin"/>
    </w:r>
    <w:r w:rsidRPr="009E5966">
      <w:rPr>
        <w:sz w:val="18"/>
        <w:szCs w:val="18"/>
      </w:rPr>
      <w:instrText>PAGE   \* MERGEFORMAT</w:instrText>
    </w:r>
    <w:r w:rsidRPr="009E5966">
      <w:rPr>
        <w:sz w:val="18"/>
        <w:szCs w:val="18"/>
      </w:rPr>
      <w:fldChar w:fldCharType="separate"/>
    </w:r>
    <w:r w:rsidR="00E46823">
      <w:rPr>
        <w:noProof/>
        <w:sz w:val="18"/>
        <w:szCs w:val="18"/>
      </w:rPr>
      <w:t>1</w:t>
    </w:r>
    <w:r w:rsidRPr="009E5966">
      <w:rPr>
        <w:sz w:val="18"/>
        <w:szCs w:val="18"/>
      </w:rPr>
      <w:fldChar w:fldCharType="end"/>
    </w:r>
  </w:p>
  <w:p w:rsidR="009E5966" w:rsidRDefault="009E59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B4" w:rsidRDefault="001072B4">
      <w:r>
        <w:separator/>
      </w:r>
    </w:p>
  </w:footnote>
  <w:footnote w:type="continuationSeparator" w:id="0">
    <w:p w:rsidR="001072B4" w:rsidRDefault="00107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B12" w:rsidRDefault="005477EE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prevode, ev. č.: 2020/0</w:t>
    </w:r>
    <w:r w:rsidR="000D172F">
      <w:rPr>
        <w:sz w:val="18"/>
        <w:szCs w:val="18"/>
      </w:rPr>
      <w:t>1565-TR</w:t>
    </w:r>
  </w:p>
  <w:p w:rsidR="005477EE" w:rsidRPr="000B61B9" w:rsidRDefault="005477EE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28F" w:rsidRPr="00145467" w:rsidRDefault="00145467">
    <w:pPr>
      <w:pStyle w:val="Hlavika"/>
      <w:rPr>
        <w:sz w:val="18"/>
        <w:szCs w:val="18"/>
      </w:rPr>
    </w:pPr>
    <w:r w:rsidRPr="00145467">
      <w:rPr>
        <w:sz w:val="18"/>
        <w:szCs w:val="18"/>
      </w:rPr>
      <w:t>Príloha č. 1 k notifikácii o zmene, ev. č.: 2015/0</w:t>
    </w:r>
    <w:r w:rsidR="009E5966">
      <w:rPr>
        <w:sz w:val="18"/>
        <w:szCs w:val="18"/>
      </w:rPr>
      <w:t>5435-Z1B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5A8"/>
    <w:multiLevelType w:val="hybridMultilevel"/>
    <w:tmpl w:val="5EC2A1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10E7A"/>
    <w:multiLevelType w:val="hybridMultilevel"/>
    <w:tmpl w:val="D0F4B648"/>
    <w:lvl w:ilvl="0" w:tplc="5A98E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44BC5A">
      <w:numFmt w:val="none"/>
      <w:lvlText w:val=""/>
      <w:lvlJc w:val="left"/>
      <w:pPr>
        <w:tabs>
          <w:tab w:val="num" w:pos="360"/>
        </w:tabs>
      </w:pPr>
    </w:lvl>
    <w:lvl w:ilvl="2" w:tplc="7BD869C0">
      <w:numFmt w:val="none"/>
      <w:lvlText w:val=""/>
      <w:lvlJc w:val="left"/>
      <w:pPr>
        <w:tabs>
          <w:tab w:val="num" w:pos="360"/>
        </w:tabs>
      </w:pPr>
    </w:lvl>
    <w:lvl w:ilvl="3" w:tplc="7514DEF2">
      <w:numFmt w:val="none"/>
      <w:lvlText w:val=""/>
      <w:lvlJc w:val="left"/>
      <w:pPr>
        <w:tabs>
          <w:tab w:val="num" w:pos="360"/>
        </w:tabs>
      </w:pPr>
    </w:lvl>
    <w:lvl w:ilvl="4" w:tplc="75E44A5C">
      <w:numFmt w:val="none"/>
      <w:lvlText w:val=""/>
      <w:lvlJc w:val="left"/>
      <w:pPr>
        <w:tabs>
          <w:tab w:val="num" w:pos="360"/>
        </w:tabs>
      </w:pPr>
    </w:lvl>
    <w:lvl w:ilvl="5" w:tplc="415022E8">
      <w:numFmt w:val="none"/>
      <w:lvlText w:val=""/>
      <w:lvlJc w:val="left"/>
      <w:pPr>
        <w:tabs>
          <w:tab w:val="num" w:pos="360"/>
        </w:tabs>
      </w:pPr>
    </w:lvl>
    <w:lvl w:ilvl="6" w:tplc="9D1A5B0E">
      <w:numFmt w:val="none"/>
      <w:lvlText w:val=""/>
      <w:lvlJc w:val="left"/>
      <w:pPr>
        <w:tabs>
          <w:tab w:val="num" w:pos="360"/>
        </w:tabs>
      </w:pPr>
    </w:lvl>
    <w:lvl w:ilvl="7" w:tplc="BA0836A6">
      <w:numFmt w:val="none"/>
      <w:lvlText w:val=""/>
      <w:lvlJc w:val="left"/>
      <w:pPr>
        <w:tabs>
          <w:tab w:val="num" w:pos="360"/>
        </w:tabs>
      </w:pPr>
    </w:lvl>
    <w:lvl w:ilvl="8" w:tplc="E2102FB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C87DAA"/>
    <w:multiLevelType w:val="hybridMultilevel"/>
    <w:tmpl w:val="6C3A7222"/>
    <w:lvl w:ilvl="0" w:tplc="9804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3D75DB"/>
    <w:multiLevelType w:val="hybridMultilevel"/>
    <w:tmpl w:val="0A4206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0664B1"/>
    <w:multiLevelType w:val="hybridMultilevel"/>
    <w:tmpl w:val="49B8A2F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453FD9"/>
    <w:multiLevelType w:val="hybridMultilevel"/>
    <w:tmpl w:val="C49894F0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50D04"/>
    <w:multiLevelType w:val="hybridMultilevel"/>
    <w:tmpl w:val="90E0454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D03B13"/>
    <w:multiLevelType w:val="hybridMultilevel"/>
    <w:tmpl w:val="BC2EB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EE13CA"/>
    <w:multiLevelType w:val="hybridMultilevel"/>
    <w:tmpl w:val="C024AD24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FF11D4"/>
    <w:multiLevelType w:val="hybridMultilevel"/>
    <w:tmpl w:val="FE06E6B2"/>
    <w:lvl w:ilvl="0" w:tplc="25A0E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91B7CA2"/>
    <w:multiLevelType w:val="hybridMultilevel"/>
    <w:tmpl w:val="BBFE8568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8351E1"/>
    <w:multiLevelType w:val="hybridMultilevel"/>
    <w:tmpl w:val="B6045FAA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6466FF"/>
    <w:multiLevelType w:val="hybridMultilevel"/>
    <w:tmpl w:val="269ED9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61204A5"/>
    <w:multiLevelType w:val="hybridMultilevel"/>
    <w:tmpl w:val="1414B7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DF050F1"/>
    <w:multiLevelType w:val="hybridMultilevel"/>
    <w:tmpl w:val="4162BA80"/>
    <w:lvl w:ilvl="0" w:tplc="9B102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F5656C"/>
    <w:multiLevelType w:val="hybridMultilevel"/>
    <w:tmpl w:val="6DB675DA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8678AC"/>
    <w:multiLevelType w:val="hybridMultilevel"/>
    <w:tmpl w:val="206C29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032128"/>
    <w:multiLevelType w:val="hybridMultilevel"/>
    <w:tmpl w:val="79E81946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5D385D"/>
    <w:multiLevelType w:val="hybridMultilevel"/>
    <w:tmpl w:val="252C6B8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1"/>
  </w:num>
  <w:num w:numId="5">
    <w:abstractNumId w:val="18"/>
  </w:num>
  <w:num w:numId="6">
    <w:abstractNumId w:val="16"/>
  </w:num>
  <w:num w:numId="7">
    <w:abstractNumId w:val="4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12"/>
  </w:num>
  <w:num w:numId="13">
    <w:abstractNumId w:val="17"/>
  </w:num>
  <w:num w:numId="14">
    <w:abstractNumId w:val="14"/>
  </w:num>
  <w:num w:numId="15">
    <w:abstractNumId w:val="9"/>
  </w:num>
  <w:num w:numId="16">
    <w:abstractNumId w:val="22"/>
  </w:num>
  <w:num w:numId="17">
    <w:abstractNumId w:val="19"/>
  </w:num>
  <w:num w:numId="18">
    <w:abstractNumId w:val="0"/>
  </w:num>
  <w:num w:numId="19">
    <w:abstractNumId w:val="3"/>
  </w:num>
  <w:num w:numId="20">
    <w:abstractNumId w:val="20"/>
  </w:num>
  <w:num w:numId="21">
    <w:abstractNumId w:val="21"/>
  </w:num>
  <w:num w:numId="22">
    <w:abstractNumId w:val="23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1A"/>
    <w:rsid w:val="0002783B"/>
    <w:rsid w:val="00030659"/>
    <w:rsid w:val="00033E2E"/>
    <w:rsid w:val="000430BF"/>
    <w:rsid w:val="00047DBB"/>
    <w:rsid w:val="000845A8"/>
    <w:rsid w:val="00085A81"/>
    <w:rsid w:val="00086D80"/>
    <w:rsid w:val="000944FB"/>
    <w:rsid w:val="00097266"/>
    <w:rsid w:val="000B043A"/>
    <w:rsid w:val="000B0B17"/>
    <w:rsid w:val="000B61B9"/>
    <w:rsid w:val="000C1BC7"/>
    <w:rsid w:val="000D172F"/>
    <w:rsid w:val="000F7F06"/>
    <w:rsid w:val="001072B4"/>
    <w:rsid w:val="0010766A"/>
    <w:rsid w:val="00112416"/>
    <w:rsid w:val="001256BA"/>
    <w:rsid w:val="00142142"/>
    <w:rsid w:val="00145467"/>
    <w:rsid w:val="00147B8C"/>
    <w:rsid w:val="00173D89"/>
    <w:rsid w:val="0018628F"/>
    <w:rsid w:val="001937D1"/>
    <w:rsid w:val="00193FEF"/>
    <w:rsid w:val="001A04B3"/>
    <w:rsid w:val="001A31B3"/>
    <w:rsid w:val="001B2B10"/>
    <w:rsid w:val="001C70A3"/>
    <w:rsid w:val="001C7694"/>
    <w:rsid w:val="001E2CDA"/>
    <w:rsid w:val="00205CAD"/>
    <w:rsid w:val="00217540"/>
    <w:rsid w:val="00220929"/>
    <w:rsid w:val="0023556E"/>
    <w:rsid w:val="00244D1A"/>
    <w:rsid w:val="00257F8C"/>
    <w:rsid w:val="00276FA2"/>
    <w:rsid w:val="00287C5D"/>
    <w:rsid w:val="002C6D10"/>
    <w:rsid w:val="002D5969"/>
    <w:rsid w:val="002E19F0"/>
    <w:rsid w:val="002E286C"/>
    <w:rsid w:val="002F0468"/>
    <w:rsid w:val="003017A4"/>
    <w:rsid w:val="003041F6"/>
    <w:rsid w:val="0030719A"/>
    <w:rsid w:val="00311E26"/>
    <w:rsid w:val="0031430B"/>
    <w:rsid w:val="00356769"/>
    <w:rsid w:val="00375D73"/>
    <w:rsid w:val="00384064"/>
    <w:rsid w:val="003A17EC"/>
    <w:rsid w:val="003A28FB"/>
    <w:rsid w:val="003C0BDC"/>
    <w:rsid w:val="003C165C"/>
    <w:rsid w:val="003D607E"/>
    <w:rsid w:val="003F0BE8"/>
    <w:rsid w:val="003F469A"/>
    <w:rsid w:val="00417CDB"/>
    <w:rsid w:val="0042736F"/>
    <w:rsid w:val="00435F9A"/>
    <w:rsid w:val="0044657A"/>
    <w:rsid w:val="004504D9"/>
    <w:rsid w:val="00454F5E"/>
    <w:rsid w:val="00463C94"/>
    <w:rsid w:val="004A2D53"/>
    <w:rsid w:val="004B2E1E"/>
    <w:rsid w:val="004C0DC2"/>
    <w:rsid w:val="004C4F4B"/>
    <w:rsid w:val="004C7413"/>
    <w:rsid w:val="004D6D4B"/>
    <w:rsid w:val="004D71C5"/>
    <w:rsid w:val="004E2DB3"/>
    <w:rsid w:val="004E5586"/>
    <w:rsid w:val="004E561D"/>
    <w:rsid w:val="004F4D44"/>
    <w:rsid w:val="004F5E79"/>
    <w:rsid w:val="0050376F"/>
    <w:rsid w:val="00504AD6"/>
    <w:rsid w:val="00507B67"/>
    <w:rsid w:val="00511E9D"/>
    <w:rsid w:val="0051728F"/>
    <w:rsid w:val="00522B12"/>
    <w:rsid w:val="0052453E"/>
    <w:rsid w:val="0053161A"/>
    <w:rsid w:val="005477EE"/>
    <w:rsid w:val="005510F2"/>
    <w:rsid w:val="00562236"/>
    <w:rsid w:val="00567227"/>
    <w:rsid w:val="005A55EC"/>
    <w:rsid w:val="005C5F6D"/>
    <w:rsid w:val="005D2867"/>
    <w:rsid w:val="005E7E4B"/>
    <w:rsid w:val="005F503E"/>
    <w:rsid w:val="00610647"/>
    <w:rsid w:val="00617951"/>
    <w:rsid w:val="00622184"/>
    <w:rsid w:val="0063658E"/>
    <w:rsid w:val="00641A1A"/>
    <w:rsid w:val="00661470"/>
    <w:rsid w:val="006718A6"/>
    <w:rsid w:val="0068393D"/>
    <w:rsid w:val="006D261A"/>
    <w:rsid w:val="006F3E55"/>
    <w:rsid w:val="006F59AA"/>
    <w:rsid w:val="006F5BA1"/>
    <w:rsid w:val="00705F5A"/>
    <w:rsid w:val="00706582"/>
    <w:rsid w:val="00730C6F"/>
    <w:rsid w:val="00733C71"/>
    <w:rsid w:val="00734D95"/>
    <w:rsid w:val="007447FA"/>
    <w:rsid w:val="00747E3B"/>
    <w:rsid w:val="00755CDA"/>
    <w:rsid w:val="00772F19"/>
    <w:rsid w:val="00777A0B"/>
    <w:rsid w:val="00797DAA"/>
    <w:rsid w:val="007A5DEC"/>
    <w:rsid w:val="007C462D"/>
    <w:rsid w:val="007D352F"/>
    <w:rsid w:val="007E1132"/>
    <w:rsid w:val="007F2A38"/>
    <w:rsid w:val="00803202"/>
    <w:rsid w:val="0081092D"/>
    <w:rsid w:val="00820A94"/>
    <w:rsid w:val="008219BD"/>
    <w:rsid w:val="00840C4D"/>
    <w:rsid w:val="00846311"/>
    <w:rsid w:val="00871DF0"/>
    <w:rsid w:val="00876A7D"/>
    <w:rsid w:val="008B7CF7"/>
    <w:rsid w:val="008C104B"/>
    <w:rsid w:val="008E6AF9"/>
    <w:rsid w:val="00907F4A"/>
    <w:rsid w:val="009108D5"/>
    <w:rsid w:val="009124A6"/>
    <w:rsid w:val="00913305"/>
    <w:rsid w:val="0092331E"/>
    <w:rsid w:val="00940DC4"/>
    <w:rsid w:val="00944C00"/>
    <w:rsid w:val="0094644C"/>
    <w:rsid w:val="00950D0A"/>
    <w:rsid w:val="00952B35"/>
    <w:rsid w:val="009648B9"/>
    <w:rsid w:val="009743B2"/>
    <w:rsid w:val="009930C7"/>
    <w:rsid w:val="00994C4F"/>
    <w:rsid w:val="009A26B9"/>
    <w:rsid w:val="009A7465"/>
    <w:rsid w:val="009B2B2E"/>
    <w:rsid w:val="009B57A8"/>
    <w:rsid w:val="009C2D6F"/>
    <w:rsid w:val="009D02F8"/>
    <w:rsid w:val="009D6310"/>
    <w:rsid w:val="009D7A58"/>
    <w:rsid w:val="009E5966"/>
    <w:rsid w:val="009F2406"/>
    <w:rsid w:val="00A00C78"/>
    <w:rsid w:val="00A05D4F"/>
    <w:rsid w:val="00A15FE7"/>
    <w:rsid w:val="00A24D7F"/>
    <w:rsid w:val="00A2717E"/>
    <w:rsid w:val="00A3128A"/>
    <w:rsid w:val="00A37C36"/>
    <w:rsid w:val="00A42B70"/>
    <w:rsid w:val="00A4723C"/>
    <w:rsid w:val="00A6440C"/>
    <w:rsid w:val="00A66A32"/>
    <w:rsid w:val="00AA726A"/>
    <w:rsid w:val="00AB7864"/>
    <w:rsid w:val="00AD7D26"/>
    <w:rsid w:val="00AF1266"/>
    <w:rsid w:val="00B25112"/>
    <w:rsid w:val="00B2649B"/>
    <w:rsid w:val="00B31073"/>
    <w:rsid w:val="00B42F1D"/>
    <w:rsid w:val="00B47FA8"/>
    <w:rsid w:val="00B61ED1"/>
    <w:rsid w:val="00B73986"/>
    <w:rsid w:val="00B82F60"/>
    <w:rsid w:val="00BA63B4"/>
    <w:rsid w:val="00BC08F0"/>
    <w:rsid w:val="00BC4DE9"/>
    <w:rsid w:val="00BC59B7"/>
    <w:rsid w:val="00BD0B6F"/>
    <w:rsid w:val="00BD3C60"/>
    <w:rsid w:val="00BD5998"/>
    <w:rsid w:val="00BE3177"/>
    <w:rsid w:val="00BE773F"/>
    <w:rsid w:val="00BF61E7"/>
    <w:rsid w:val="00C10980"/>
    <w:rsid w:val="00C376C3"/>
    <w:rsid w:val="00C41BB7"/>
    <w:rsid w:val="00C4227E"/>
    <w:rsid w:val="00C92B31"/>
    <w:rsid w:val="00CC2390"/>
    <w:rsid w:val="00CE1F41"/>
    <w:rsid w:val="00CF01A5"/>
    <w:rsid w:val="00CF3ED6"/>
    <w:rsid w:val="00CF6429"/>
    <w:rsid w:val="00D02566"/>
    <w:rsid w:val="00D03391"/>
    <w:rsid w:val="00D0777A"/>
    <w:rsid w:val="00D327AC"/>
    <w:rsid w:val="00D349A5"/>
    <w:rsid w:val="00D357CA"/>
    <w:rsid w:val="00D46046"/>
    <w:rsid w:val="00D5179A"/>
    <w:rsid w:val="00D6471A"/>
    <w:rsid w:val="00D669D1"/>
    <w:rsid w:val="00D93693"/>
    <w:rsid w:val="00DA41D2"/>
    <w:rsid w:val="00DB2A20"/>
    <w:rsid w:val="00DB4B4B"/>
    <w:rsid w:val="00DB5E83"/>
    <w:rsid w:val="00DB70FF"/>
    <w:rsid w:val="00DD2465"/>
    <w:rsid w:val="00DD2CEE"/>
    <w:rsid w:val="00DD5112"/>
    <w:rsid w:val="00DE0615"/>
    <w:rsid w:val="00DE7A93"/>
    <w:rsid w:val="00DE7CC8"/>
    <w:rsid w:val="00E04F70"/>
    <w:rsid w:val="00E1637F"/>
    <w:rsid w:val="00E208D2"/>
    <w:rsid w:val="00E21F8F"/>
    <w:rsid w:val="00E324A9"/>
    <w:rsid w:val="00E46823"/>
    <w:rsid w:val="00E67713"/>
    <w:rsid w:val="00E70A5A"/>
    <w:rsid w:val="00E756F4"/>
    <w:rsid w:val="00E86680"/>
    <w:rsid w:val="00EA1CF1"/>
    <w:rsid w:val="00EA3306"/>
    <w:rsid w:val="00EB5E4E"/>
    <w:rsid w:val="00EC54BB"/>
    <w:rsid w:val="00ED5A99"/>
    <w:rsid w:val="00ED6574"/>
    <w:rsid w:val="00EF7948"/>
    <w:rsid w:val="00F02B6A"/>
    <w:rsid w:val="00F063BA"/>
    <w:rsid w:val="00F1156C"/>
    <w:rsid w:val="00F16E7C"/>
    <w:rsid w:val="00F171D3"/>
    <w:rsid w:val="00F22AA2"/>
    <w:rsid w:val="00F45122"/>
    <w:rsid w:val="00F46995"/>
    <w:rsid w:val="00F61023"/>
    <w:rsid w:val="00F65E79"/>
    <w:rsid w:val="00F70633"/>
    <w:rsid w:val="00F8493F"/>
    <w:rsid w:val="00F97AC7"/>
    <w:rsid w:val="00FD5065"/>
    <w:rsid w:val="00FD63F8"/>
    <w:rsid w:val="00FD7678"/>
    <w:rsid w:val="00FE2D3F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ind w:left="360"/>
      <w:outlineLvl w:val="5"/>
    </w:pPr>
    <w:rPr>
      <w:b/>
      <w:bCs/>
      <w:sz w:val="28"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Zkladntext">
    <w:name w:val="Body Text"/>
    <w:basedOn w:val="Normlny"/>
    <w:rPr>
      <w:rFonts w:ascii="Arial" w:hAnsi="Arial" w:cs="Arial"/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pPr>
      <w:spacing w:after="120" w:line="480" w:lineRule="auto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pPr>
      <w:jc w:val="both"/>
    </w:pPr>
    <w:rPr>
      <w:rFonts w:ascii="Arial" w:hAnsi="Arial" w:cs="Arial"/>
      <w:sz w:val="20"/>
      <w:szCs w:val="20"/>
    </w:rPr>
  </w:style>
  <w:style w:type="character" w:customStyle="1" w:styleId="Zkladntext2Char">
    <w:name w:val="Základný text 2 Char"/>
    <w:link w:val="Zkladntext2"/>
    <w:locked/>
    <w:rsid w:val="00CC2390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821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0DC2"/>
  </w:style>
  <w:style w:type="character" w:styleId="Hypertextovprepojenie">
    <w:name w:val="Hyperlink"/>
    <w:rsid w:val="00033E2E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097266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rsid w:val="00145467"/>
    <w:rPr>
      <w:sz w:val="24"/>
      <w:szCs w:val="24"/>
      <w:lang w:eastAsia="cs-CZ"/>
    </w:rPr>
  </w:style>
  <w:style w:type="paragraph" w:customStyle="1" w:styleId="Default">
    <w:name w:val="Default"/>
    <w:rsid w:val="0014546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F610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2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F6102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2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61023"/>
    <w:rPr>
      <w:b/>
      <w:bCs/>
      <w:lang w:eastAsia="cs-CZ"/>
    </w:rPr>
  </w:style>
  <w:style w:type="character" w:customStyle="1" w:styleId="TextChar1">
    <w:name w:val="Text Char1"/>
    <w:link w:val="Text"/>
    <w:locked/>
    <w:rsid w:val="004504D9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4504D9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10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81092D"/>
    <w:rPr>
      <w:rFonts w:ascii="Courier New" w:hAnsi="Courier New" w:cs="Courier New"/>
    </w:rPr>
  </w:style>
  <w:style w:type="paragraph" w:customStyle="1" w:styleId="yiv7953334852msonormal">
    <w:name w:val="yiv7953334852msonormal"/>
    <w:basedOn w:val="Normlny"/>
    <w:rsid w:val="005477EE"/>
    <w:pPr>
      <w:spacing w:before="100" w:beforeAutospacing="1" w:after="100" w:afterAutospacing="1"/>
    </w:pPr>
    <w:rPr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ind w:left="360"/>
      <w:outlineLvl w:val="5"/>
    </w:pPr>
    <w:rPr>
      <w:b/>
      <w:bCs/>
      <w:sz w:val="28"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Zkladntext">
    <w:name w:val="Body Text"/>
    <w:basedOn w:val="Normlny"/>
    <w:rPr>
      <w:rFonts w:ascii="Arial" w:hAnsi="Arial" w:cs="Arial"/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pPr>
      <w:spacing w:after="120" w:line="480" w:lineRule="auto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pPr>
      <w:jc w:val="both"/>
    </w:pPr>
    <w:rPr>
      <w:rFonts w:ascii="Arial" w:hAnsi="Arial" w:cs="Arial"/>
      <w:sz w:val="20"/>
      <w:szCs w:val="20"/>
    </w:rPr>
  </w:style>
  <w:style w:type="character" w:customStyle="1" w:styleId="Zkladntext2Char">
    <w:name w:val="Základný text 2 Char"/>
    <w:link w:val="Zkladntext2"/>
    <w:locked/>
    <w:rsid w:val="00CC2390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821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0DC2"/>
  </w:style>
  <w:style w:type="character" w:styleId="Hypertextovprepojenie">
    <w:name w:val="Hyperlink"/>
    <w:rsid w:val="00033E2E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097266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rsid w:val="00145467"/>
    <w:rPr>
      <w:sz w:val="24"/>
      <w:szCs w:val="24"/>
      <w:lang w:eastAsia="cs-CZ"/>
    </w:rPr>
  </w:style>
  <w:style w:type="paragraph" w:customStyle="1" w:styleId="Default">
    <w:name w:val="Default"/>
    <w:rsid w:val="0014546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F610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2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F6102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2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61023"/>
    <w:rPr>
      <w:b/>
      <w:bCs/>
      <w:lang w:eastAsia="cs-CZ"/>
    </w:rPr>
  </w:style>
  <w:style w:type="character" w:customStyle="1" w:styleId="TextChar1">
    <w:name w:val="Text Char1"/>
    <w:link w:val="Text"/>
    <w:locked/>
    <w:rsid w:val="004504D9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4504D9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10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81092D"/>
    <w:rPr>
      <w:rFonts w:ascii="Courier New" w:hAnsi="Courier New" w:cs="Courier New"/>
    </w:rPr>
  </w:style>
  <w:style w:type="paragraph" w:customStyle="1" w:styleId="yiv7953334852msonormal">
    <w:name w:val="yiv7953334852msonormal"/>
    <w:basedOn w:val="Normlny"/>
    <w:rsid w:val="005477EE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4818</Words>
  <Characters>27467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SmPC</vt:lpstr>
    </vt:vector>
  </TitlesOfParts>
  <Company>escho</Company>
  <LinksUpToDate>false</LinksUpToDate>
  <CharactersWithSpaces>32221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SmPC</dc:title>
  <dc:creator>BOOTS</dc:creator>
  <cp:lastModifiedBy>Uhnáková Milota</cp:lastModifiedBy>
  <cp:revision>2</cp:revision>
  <cp:lastPrinted>2009-03-24T13:35:00Z</cp:lastPrinted>
  <dcterms:created xsi:type="dcterms:W3CDTF">2020-05-11T09:28:00Z</dcterms:created>
  <dcterms:modified xsi:type="dcterms:W3CDTF">2020-05-11T09:28:00Z</dcterms:modified>
</cp:coreProperties>
</file>