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CE" w:rsidRPr="00450621" w:rsidRDefault="003104CE" w:rsidP="00C35DA7">
      <w:pPr>
        <w:pStyle w:val="Nzov"/>
        <w:jc w:val="left"/>
        <w:rPr>
          <w:sz w:val="22"/>
          <w:szCs w:val="22"/>
        </w:rPr>
      </w:pPr>
      <w:bookmarkStart w:id="0" w:name="_GoBack"/>
      <w:bookmarkEnd w:id="0"/>
    </w:p>
    <w:p w:rsidR="003104CE" w:rsidRPr="00450621" w:rsidRDefault="003104CE" w:rsidP="00C35DA7">
      <w:pPr>
        <w:pStyle w:val="Nzov"/>
        <w:rPr>
          <w:b/>
          <w:bCs/>
          <w:caps/>
          <w:sz w:val="22"/>
          <w:szCs w:val="22"/>
        </w:rPr>
      </w:pPr>
      <w:r w:rsidRPr="00450621">
        <w:rPr>
          <w:b/>
          <w:bCs/>
          <w:caps/>
          <w:sz w:val="22"/>
          <w:szCs w:val="22"/>
        </w:rPr>
        <w:t>Súhrn charakteristických vlastností lieku</w:t>
      </w:r>
    </w:p>
    <w:p w:rsidR="003104CE" w:rsidRPr="00450621" w:rsidRDefault="003104CE" w:rsidP="00C35DA7">
      <w:pPr>
        <w:pStyle w:val="Nzov"/>
        <w:jc w:val="left"/>
        <w:rPr>
          <w:b/>
          <w:bCs/>
          <w:caps/>
          <w:sz w:val="22"/>
          <w:szCs w:val="22"/>
        </w:rPr>
      </w:pPr>
    </w:p>
    <w:p w:rsidR="003104CE" w:rsidRPr="00450621" w:rsidRDefault="003104CE" w:rsidP="00C35DA7">
      <w:pPr>
        <w:pStyle w:val="Nadpis2"/>
        <w:jc w:val="left"/>
        <w:rPr>
          <w:sz w:val="22"/>
          <w:szCs w:val="22"/>
        </w:rPr>
      </w:pPr>
    </w:p>
    <w:p w:rsidR="003104CE" w:rsidRPr="00450621" w:rsidRDefault="003104CE" w:rsidP="00C35DA7">
      <w:pPr>
        <w:rPr>
          <w:b/>
          <w:bCs/>
          <w:caps/>
          <w:sz w:val="22"/>
          <w:szCs w:val="22"/>
        </w:rPr>
      </w:pPr>
      <w:r w:rsidRPr="00450621">
        <w:rPr>
          <w:b/>
          <w:bCs/>
          <w:sz w:val="22"/>
          <w:szCs w:val="22"/>
        </w:rPr>
        <w:t>1.</w:t>
      </w:r>
      <w:r w:rsidRPr="00450621">
        <w:rPr>
          <w:b/>
          <w:bCs/>
          <w:sz w:val="22"/>
          <w:szCs w:val="22"/>
        </w:rPr>
        <w:tab/>
      </w:r>
      <w:r w:rsidRPr="00450621">
        <w:rPr>
          <w:b/>
          <w:bCs/>
          <w:caps/>
          <w:sz w:val="22"/>
          <w:szCs w:val="22"/>
        </w:rPr>
        <w:t>Názov lieku</w:t>
      </w: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Nogrip</w:t>
      </w:r>
      <w:proofErr w:type="spellEnd"/>
      <w:r w:rsidRPr="00450621">
        <w:rPr>
          <w:sz w:val="22"/>
          <w:szCs w:val="22"/>
        </w:rPr>
        <w:t xml:space="preserve"> 500</w:t>
      </w:r>
      <w:r w:rsidR="00C35DA7" w:rsidRPr="00450621">
        <w:rPr>
          <w:sz w:val="22"/>
          <w:szCs w:val="22"/>
        </w:rPr>
        <w:t xml:space="preserve"> </w:t>
      </w:r>
      <w:r w:rsidRPr="00450621">
        <w:rPr>
          <w:sz w:val="22"/>
          <w:szCs w:val="22"/>
        </w:rPr>
        <w:t>mg/200 mg/25 mg</w:t>
      </w: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granulát</w:t>
      </w:r>
      <w:proofErr w:type="spellEnd"/>
      <w:r w:rsidRPr="00450621">
        <w:rPr>
          <w:sz w:val="22"/>
          <w:szCs w:val="22"/>
        </w:rPr>
        <w:t xml:space="preserve"> na perorálny roztok</w:t>
      </w:r>
    </w:p>
    <w:p w:rsidR="003104CE" w:rsidRPr="00450621" w:rsidRDefault="003104CE" w:rsidP="00C35DA7">
      <w:pPr>
        <w:rPr>
          <w:sz w:val="22"/>
          <w:szCs w:val="22"/>
        </w:rPr>
      </w:pPr>
    </w:p>
    <w:p w:rsidR="003104CE" w:rsidRPr="00450621" w:rsidRDefault="003104CE" w:rsidP="00C35DA7">
      <w:pPr>
        <w:rPr>
          <w:sz w:val="22"/>
          <w:szCs w:val="22"/>
        </w:rPr>
      </w:pPr>
    </w:p>
    <w:p w:rsidR="003104CE" w:rsidRPr="00450621" w:rsidRDefault="003104CE" w:rsidP="00C35DA7">
      <w:pPr>
        <w:pStyle w:val="BodyText21"/>
        <w:ind w:left="0"/>
        <w:jc w:val="left"/>
        <w:rPr>
          <w:rFonts w:ascii="Times New Roman" w:hAnsi="Times New Roman"/>
          <w:b/>
          <w:caps/>
          <w:szCs w:val="22"/>
        </w:rPr>
      </w:pPr>
      <w:r w:rsidRPr="00450621">
        <w:rPr>
          <w:rFonts w:ascii="Times New Roman" w:hAnsi="Times New Roman"/>
          <w:b/>
          <w:szCs w:val="22"/>
        </w:rPr>
        <w:t>2.</w:t>
      </w:r>
      <w:r w:rsidRPr="00450621">
        <w:rPr>
          <w:rFonts w:ascii="Times New Roman" w:hAnsi="Times New Roman"/>
          <w:b/>
          <w:szCs w:val="22"/>
        </w:rPr>
        <w:tab/>
      </w:r>
      <w:r w:rsidRPr="00450621">
        <w:rPr>
          <w:rFonts w:ascii="Times New Roman" w:hAnsi="Times New Roman"/>
          <w:b/>
          <w:caps/>
          <w:szCs w:val="22"/>
        </w:rPr>
        <w:t xml:space="preserve">Kvalitatívne a kvantitatívne zloženie </w:t>
      </w:r>
    </w:p>
    <w:p w:rsidR="003104CE" w:rsidRPr="00450621" w:rsidRDefault="003104CE" w:rsidP="00C35DA7">
      <w:pPr>
        <w:rPr>
          <w:sz w:val="22"/>
          <w:szCs w:val="22"/>
        </w:rPr>
      </w:pPr>
    </w:p>
    <w:p w:rsidR="003104CE" w:rsidRPr="00450621" w:rsidRDefault="003104CE" w:rsidP="00C35DA7">
      <w:pPr>
        <w:rPr>
          <w:sz w:val="22"/>
          <w:szCs w:val="22"/>
          <w:u w:val="single"/>
        </w:rPr>
      </w:pPr>
      <w:r w:rsidRPr="00450621">
        <w:rPr>
          <w:sz w:val="22"/>
          <w:szCs w:val="22"/>
        </w:rPr>
        <w:t xml:space="preserve">Každé vrecko obsahuje 500 mg </w:t>
      </w:r>
      <w:proofErr w:type="spellStart"/>
      <w:r w:rsidRPr="00450621">
        <w:rPr>
          <w:sz w:val="22"/>
          <w:szCs w:val="22"/>
        </w:rPr>
        <w:t>paracetamolu</w:t>
      </w:r>
      <w:proofErr w:type="spellEnd"/>
      <w:r w:rsidRPr="00450621">
        <w:rPr>
          <w:sz w:val="22"/>
          <w:szCs w:val="22"/>
        </w:rPr>
        <w:t xml:space="preserve">, 200 mg kyseliny askorbovej, 25 mg </w:t>
      </w:r>
      <w:proofErr w:type="spellStart"/>
      <w:r w:rsidRPr="00450621">
        <w:rPr>
          <w:sz w:val="22"/>
          <w:szCs w:val="22"/>
        </w:rPr>
        <w:t>feniramínium</w:t>
      </w:r>
      <w:r w:rsidR="00A357D1">
        <w:rPr>
          <w:sz w:val="22"/>
          <w:szCs w:val="22"/>
        </w:rPr>
        <w:noBreakHyphen/>
      </w:r>
      <w:r w:rsidR="00213134" w:rsidRPr="00450621">
        <w:rPr>
          <w:sz w:val="22"/>
          <w:szCs w:val="22"/>
        </w:rPr>
        <w:t>hydrog</w:t>
      </w:r>
      <w:r w:rsidR="00213134">
        <w:rPr>
          <w:sz w:val="22"/>
          <w:szCs w:val="22"/>
        </w:rPr>
        <w:t>e</w:t>
      </w:r>
      <w:r w:rsidR="00213134" w:rsidRPr="00450621">
        <w:rPr>
          <w:sz w:val="22"/>
          <w:szCs w:val="22"/>
        </w:rPr>
        <w:t>n</w:t>
      </w:r>
      <w:r w:rsidR="00A357D1">
        <w:rPr>
          <w:sz w:val="22"/>
          <w:szCs w:val="22"/>
        </w:rPr>
        <w:noBreakHyphen/>
      </w:r>
      <w:r w:rsidRPr="00450621">
        <w:rPr>
          <w:sz w:val="22"/>
          <w:szCs w:val="22"/>
        </w:rPr>
        <w:t>maleátu</w:t>
      </w:r>
      <w:proofErr w:type="spellEnd"/>
      <w:r w:rsidR="00E94120">
        <w:rPr>
          <w:sz w:val="22"/>
          <w:szCs w:val="22"/>
        </w:rPr>
        <w:t>.</w:t>
      </w:r>
    </w:p>
    <w:p w:rsidR="003104CE" w:rsidRPr="00450621" w:rsidRDefault="003104CE" w:rsidP="00C35DA7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</w:p>
    <w:p w:rsidR="003104CE" w:rsidRPr="00450621" w:rsidRDefault="003104CE" w:rsidP="00C35DA7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450621">
        <w:rPr>
          <w:sz w:val="22"/>
          <w:szCs w:val="22"/>
          <w:u w:val="single"/>
        </w:rPr>
        <w:t>Pomocné látky so známym účinkom:</w:t>
      </w:r>
      <w:r w:rsidRPr="00450621">
        <w:rPr>
          <w:sz w:val="22"/>
          <w:szCs w:val="22"/>
        </w:rPr>
        <w:t xml:space="preserve"> sacharóza, etanol</w:t>
      </w:r>
    </w:p>
    <w:p w:rsidR="003104CE" w:rsidRPr="00450621" w:rsidRDefault="003104CE" w:rsidP="00C35DA7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450621">
        <w:rPr>
          <w:sz w:val="22"/>
          <w:szCs w:val="22"/>
        </w:rPr>
        <w:t xml:space="preserve">Každé vrecko obsahuje </w:t>
      </w:r>
      <w:smartTag w:uri="urn:schemas-microsoft-com:office:smarttags" w:element="metricconverter">
        <w:smartTagPr>
          <w:attr w:name="ProductID" w:val="11,555 g"/>
        </w:smartTagPr>
        <w:r w:rsidRPr="00450621">
          <w:rPr>
            <w:sz w:val="22"/>
            <w:szCs w:val="22"/>
          </w:rPr>
          <w:t>11,555 g</w:t>
        </w:r>
      </w:smartTag>
      <w:r w:rsidRPr="00450621">
        <w:rPr>
          <w:sz w:val="22"/>
          <w:szCs w:val="22"/>
        </w:rPr>
        <w:t xml:space="preserve"> sacharózy a menej ako 15,2 mg etanolu. </w:t>
      </w:r>
    </w:p>
    <w:p w:rsidR="003104CE" w:rsidRPr="00450621" w:rsidRDefault="003104CE" w:rsidP="00C35DA7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</w:p>
    <w:p w:rsidR="003104CE" w:rsidRPr="00450621" w:rsidRDefault="003104CE" w:rsidP="00C35DA7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450621">
        <w:rPr>
          <w:sz w:val="22"/>
          <w:szCs w:val="22"/>
        </w:rPr>
        <w:t xml:space="preserve">Úplný zoznam pomocných látok, pozri časť 6.1 </w:t>
      </w:r>
    </w:p>
    <w:p w:rsidR="003104CE" w:rsidRPr="00450621" w:rsidRDefault="003104CE" w:rsidP="00C35DA7">
      <w:pPr>
        <w:rPr>
          <w:b/>
          <w:sz w:val="22"/>
          <w:szCs w:val="22"/>
        </w:rPr>
      </w:pPr>
    </w:p>
    <w:p w:rsidR="003104CE" w:rsidRPr="00450621" w:rsidRDefault="003104CE" w:rsidP="00C35DA7">
      <w:pPr>
        <w:rPr>
          <w:b/>
          <w:sz w:val="22"/>
          <w:szCs w:val="22"/>
        </w:rPr>
      </w:pPr>
    </w:p>
    <w:p w:rsidR="003104CE" w:rsidRPr="00450621" w:rsidRDefault="003104CE" w:rsidP="00C35DA7">
      <w:pPr>
        <w:rPr>
          <w:b/>
          <w:caps/>
          <w:sz w:val="22"/>
          <w:szCs w:val="22"/>
        </w:rPr>
      </w:pPr>
      <w:r w:rsidRPr="00450621">
        <w:rPr>
          <w:b/>
          <w:sz w:val="22"/>
          <w:szCs w:val="22"/>
        </w:rPr>
        <w:t>3.</w:t>
      </w:r>
      <w:r w:rsidRPr="00450621">
        <w:rPr>
          <w:b/>
          <w:sz w:val="22"/>
          <w:szCs w:val="22"/>
        </w:rPr>
        <w:tab/>
      </w:r>
      <w:r w:rsidRPr="00450621">
        <w:rPr>
          <w:b/>
          <w:caps/>
          <w:sz w:val="22"/>
          <w:szCs w:val="22"/>
        </w:rPr>
        <w:t>Lieková forma</w:t>
      </w:r>
    </w:p>
    <w:p w:rsidR="003104CE" w:rsidRPr="00450621" w:rsidRDefault="003104CE" w:rsidP="00C35DA7">
      <w:pPr>
        <w:rPr>
          <w:sz w:val="22"/>
          <w:szCs w:val="22"/>
        </w:rPr>
      </w:pPr>
    </w:p>
    <w:p w:rsidR="003104CE" w:rsidRPr="00450621" w:rsidRDefault="003104CE" w:rsidP="00C35DA7">
      <w:pPr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Granulát</w:t>
      </w:r>
      <w:proofErr w:type="spellEnd"/>
      <w:r w:rsidRPr="00450621">
        <w:rPr>
          <w:sz w:val="22"/>
          <w:szCs w:val="22"/>
        </w:rPr>
        <w:t xml:space="preserve"> na perorálny roztok </w:t>
      </w:r>
    </w:p>
    <w:p w:rsidR="003104CE" w:rsidRPr="00450621" w:rsidRDefault="003104CE" w:rsidP="00C35DA7">
      <w:pPr>
        <w:rPr>
          <w:sz w:val="22"/>
          <w:szCs w:val="22"/>
        </w:rPr>
      </w:pPr>
    </w:p>
    <w:p w:rsidR="003104CE" w:rsidRPr="00450621" w:rsidRDefault="003104CE" w:rsidP="00C35DA7">
      <w:pPr>
        <w:rPr>
          <w:sz w:val="22"/>
          <w:szCs w:val="22"/>
        </w:rPr>
      </w:pPr>
      <w:r w:rsidRPr="00450621">
        <w:rPr>
          <w:sz w:val="22"/>
          <w:szCs w:val="22"/>
        </w:rPr>
        <w:t>Biely až svetlo žltý prášok s charakteristickou vôňou citrusových plodov a rumu.</w:t>
      </w:r>
    </w:p>
    <w:p w:rsidR="003104CE" w:rsidRPr="00450621" w:rsidRDefault="003104CE" w:rsidP="00C35DA7">
      <w:pPr>
        <w:rPr>
          <w:sz w:val="22"/>
          <w:szCs w:val="22"/>
        </w:rPr>
      </w:pPr>
    </w:p>
    <w:p w:rsidR="003104CE" w:rsidRPr="00450621" w:rsidRDefault="003104CE" w:rsidP="00C35DA7">
      <w:pPr>
        <w:rPr>
          <w:sz w:val="22"/>
          <w:szCs w:val="22"/>
        </w:rPr>
      </w:pPr>
    </w:p>
    <w:p w:rsidR="003104CE" w:rsidRPr="00450621" w:rsidRDefault="003104CE" w:rsidP="00C35DA7">
      <w:pPr>
        <w:rPr>
          <w:b/>
          <w:bCs/>
          <w:caps/>
          <w:sz w:val="22"/>
          <w:szCs w:val="22"/>
        </w:rPr>
      </w:pPr>
      <w:r w:rsidRPr="00450621">
        <w:rPr>
          <w:b/>
          <w:bCs/>
          <w:sz w:val="22"/>
          <w:szCs w:val="22"/>
        </w:rPr>
        <w:t>4.</w:t>
      </w:r>
      <w:r w:rsidRPr="00450621">
        <w:rPr>
          <w:b/>
          <w:bCs/>
          <w:sz w:val="22"/>
          <w:szCs w:val="22"/>
        </w:rPr>
        <w:tab/>
      </w:r>
      <w:r w:rsidRPr="00450621">
        <w:rPr>
          <w:b/>
          <w:bCs/>
          <w:caps/>
          <w:sz w:val="22"/>
          <w:szCs w:val="22"/>
        </w:rPr>
        <w:t>Klinické údaje</w:t>
      </w:r>
    </w:p>
    <w:p w:rsidR="003104CE" w:rsidRPr="00450621" w:rsidRDefault="003104CE" w:rsidP="00C35DA7">
      <w:pPr>
        <w:rPr>
          <w:b/>
          <w:bCs/>
          <w:caps/>
          <w:sz w:val="22"/>
          <w:szCs w:val="22"/>
        </w:rPr>
      </w:pPr>
    </w:p>
    <w:p w:rsidR="003104CE" w:rsidRPr="00450621" w:rsidRDefault="003104CE" w:rsidP="00C35DA7">
      <w:pPr>
        <w:rPr>
          <w:b/>
          <w:bCs/>
          <w:sz w:val="22"/>
          <w:szCs w:val="22"/>
        </w:rPr>
      </w:pPr>
      <w:r w:rsidRPr="00450621">
        <w:rPr>
          <w:b/>
          <w:bCs/>
          <w:sz w:val="22"/>
          <w:szCs w:val="22"/>
        </w:rPr>
        <w:t>4.1</w:t>
      </w:r>
      <w:r w:rsidRPr="00450621">
        <w:rPr>
          <w:b/>
          <w:bCs/>
          <w:sz w:val="22"/>
          <w:szCs w:val="22"/>
        </w:rPr>
        <w:tab/>
        <w:t>Terapeutické indikácie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rPr>
          <w:sz w:val="22"/>
          <w:szCs w:val="22"/>
        </w:rPr>
      </w:pPr>
      <w:r w:rsidRPr="00450621">
        <w:rPr>
          <w:sz w:val="22"/>
          <w:szCs w:val="22"/>
        </w:rPr>
        <w:t xml:space="preserve">Na zmiernenie príznakov spojených s bežným nachladením, chrípkou a infekciami horných dýchacích ciest. </w:t>
      </w:r>
    </w:p>
    <w:p w:rsidR="003104CE" w:rsidRPr="00450621" w:rsidRDefault="003104CE" w:rsidP="00C35DA7">
      <w:pPr>
        <w:rPr>
          <w:sz w:val="22"/>
          <w:szCs w:val="22"/>
        </w:rPr>
      </w:pPr>
    </w:p>
    <w:p w:rsidR="003104CE" w:rsidRPr="00450621" w:rsidRDefault="003104CE" w:rsidP="00C35DA7">
      <w:pPr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Nogrip</w:t>
      </w:r>
      <w:proofErr w:type="spellEnd"/>
      <w:r w:rsidRPr="00450621">
        <w:rPr>
          <w:sz w:val="22"/>
          <w:szCs w:val="22"/>
        </w:rPr>
        <w:t xml:space="preserve"> je určený pre dospelých a dospievajúcich starších ako 15 rokov.</w:t>
      </w:r>
    </w:p>
    <w:p w:rsidR="003104CE" w:rsidRPr="00450621" w:rsidRDefault="003104CE" w:rsidP="00C35DA7">
      <w:pPr>
        <w:rPr>
          <w:sz w:val="22"/>
          <w:szCs w:val="22"/>
        </w:rPr>
      </w:pPr>
    </w:p>
    <w:p w:rsidR="003104CE" w:rsidRPr="00450621" w:rsidRDefault="003104CE" w:rsidP="00C35DA7">
      <w:pPr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b/>
          <w:bCs/>
          <w:sz w:val="22"/>
          <w:szCs w:val="22"/>
        </w:rPr>
      </w:pPr>
      <w:r w:rsidRPr="00450621">
        <w:rPr>
          <w:b/>
          <w:bCs/>
          <w:sz w:val="22"/>
          <w:szCs w:val="22"/>
        </w:rPr>
        <w:t>4.2</w:t>
      </w:r>
      <w:r w:rsidRPr="00450621">
        <w:rPr>
          <w:b/>
          <w:bCs/>
          <w:sz w:val="22"/>
          <w:szCs w:val="22"/>
        </w:rPr>
        <w:tab/>
        <w:t>Dávkovanie a spôsob podávania</w:t>
      </w: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  <w:u w:val="single"/>
        </w:rPr>
      </w:pPr>
      <w:r w:rsidRPr="00450621">
        <w:rPr>
          <w:sz w:val="22"/>
          <w:szCs w:val="22"/>
          <w:u w:val="single"/>
        </w:rPr>
        <w:t>Dávkovanie</w:t>
      </w:r>
    </w:p>
    <w:p w:rsidR="00E00E85" w:rsidRPr="00450621" w:rsidRDefault="00E00E85" w:rsidP="00C35DA7">
      <w:pPr>
        <w:tabs>
          <w:tab w:val="left" w:pos="851"/>
        </w:tabs>
        <w:rPr>
          <w:sz w:val="22"/>
          <w:szCs w:val="22"/>
          <w:u w:val="single"/>
        </w:rPr>
      </w:pPr>
    </w:p>
    <w:p w:rsidR="003104CE" w:rsidRPr="00450621" w:rsidRDefault="003104CE" w:rsidP="00C35DA7">
      <w:pPr>
        <w:tabs>
          <w:tab w:val="left" w:pos="851"/>
        </w:tabs>
        <w:rPr>
          <w:i/>
          <w:sz w:val="22"/>
          <w:szCs w:val="22"/>
        </w:rPr>
      </w:pPr>
      <w:r w:rsidRPr="00450621">
        <w:rPr>
          <w:i/>
          <w:sz w:val="22"/>
          <w:szCs w:val="22"/>
        </w:rPr>
        <w:t>Dospelí a dospievajúci starší ako 15 rokov</w:t>
      </w: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  <w:r w:rsidRPr="00450621">
        <w:rPr>
          <w:sz w:val="22"/>
          <w:szCs w:val="22"/>
        </w:rPr>
        <w:t>Odporúčaná denná dávka je jedno vrecko 2 alebo 3 krát denne.</w:t>
      </w:r>
    </w:p>
    <w:p w:rsidR="003104CE" w:rsidRPr="00450621" w:rsidRDefault="003104CE" w:rsidP="00C35DA7">
      <w:pPr>
        <w:tabs>
          <w:tab w:val="left" w:pos="851"/>
        </w:tabs>
        <w:rPr>
          <w:i/>
          <w:sz w:val="22"/>
          <w:szCs w:val="22"/>
        </w:rPr>
      </w:pP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  <w:r w:rsidRPr="00450621">
        <w:rPr>
          <w:sz w:val="22"/>
          <w:szCs w:val="22"/>
        </w:rPr>
        <w:t>Medzi jednotlivými dávkami má byť minimálny interval 4 hodiny.</w:t>
      </w: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  <w:r w:rsidRPr="00450621">
        <w:rPr>
          <w:sz w:val="22"/>
          <w:szCs w:val="22"/>
        </w:rPr>
        <w:t xml:space="preserve">Odporúča sa </w:t>
      </w:r>
      <w:proofErr w:type="spellStart"/>
      <w:r w:rsidRPr="00450621">
        <w:rPr>
          <w:sz w:val="22"/>
          <w:szCs w:val="22"/>
        </w:rPr>
        <w:t>Nogrip</w:t>
      </w:r>
      <w:proofErr w:type="spellEnd"/>
      <w:r w:rsidRPr="00450621">
        <w:rPr>
          <w:sz w:val="22"/>
          <w:szCs w:val="22"/>
        </w:rPr>
        <w:t xml:space="preserve"> rozpustiť v pohári horúcej vody a vypiť večer v priebehu trvania príznakov chrípky.</w:t>
      </w: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</w:p>
    <w:p w:rsidR="003104CE" w:rsidRPr="00450621" w:rsidRDefault="003104CE" w:rsidP="00C35DA7">
      <w:pPr>
        <w:rPr>
          <w:sz w:val="22"/>
          <w:szCs w:val="22"/>
        </w:rPr>
      </w:pPr>
      <w:r w:rsidRPr="00450621">
        <w:rPr>
          <w:sz w:val="22"/>
          <w:szCs w:val="22"/>
        </w:rPr>
        <w:t>Maximálna dĺžka liečby je 5 dní bez vyhľadania lekárskej pomoci.</w:t>
      </w: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  <w:proofErr w:type="spellStart"/>
      <w:r w:rsidRPr="00450621">
        <w:rPr>
          <w:sz w:val="22"/>
          <w:szCs w:val="22"/>
          <w:u w:val="single"/>
        </w:rPr>
        <w:t>Renálna</w:t>
      </w:r>
      <w:proofErr w:type="spellEnd"/>
      <w:r w:rsidRPr="00450621">
        <w:rPr>
          <w:sz w:val="22"/>
          <w:szCs w:val="22"/>
          <w:u w:val="single"/>
        </w:rPr>
        <w:t xml:space="preserve"> </w:t>
      </w:r>
      <w:proofErr w:type="spellStart"/>
      <w:r w:rsidRPr="00450621">
        <w:rPr>
          <w:sz w:val="22"/>
          <w:szCs w:val="22"/>
          <w:u w:val="single"/>
        </w:rPr>
        <w:t>insuficiencia</w:t>
      </w:r>
      <w:proofErr w:type="spellEnd"/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  <w:r w:rsidRPr="00450621">
        <w:rPr>
          <w:sz w:val="22"/>
          <w:szCs w:val="22"/>
        </w:rPr>
        <w:t xml:space="preserve">U pacientov so stredne závažnou </w:t>
      </w:r>
      <w:proofErr w:type="spellStart"/>
      <w:r w:rsidRPr="00450621">
        <w:rPr>
          <w:sz w:val="22"/>
          <w:szCs w:val="22"/>
        </w:rPr>
        <w:t>renálnou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insuficienciou</w:t>
      </w:r>
      <w:proofErr w:type="spellEnd"/>
      <w:r w:rsidRPr="00450621">
        <w:rPr>
          <w:sz w:val="22"/>
          <w:szCs w:val="22"/>
        </w:rPr>
        <w:t xml:space="preserve"> (</w:t>
      </w:r>
      <w:proofErr w:type="spellStart"/>
      <w:r w:rsidRPr="00450621">
        <w:rPr>
          <w:sz w:val="22"/>
          <w:szCs w:val="22"/>
        </w:rPr>
        <w:t>klírens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kreatinínu</w:t>
      </w:r>
      <w:proofErr w:type="spellEnd"/>
      <w:r w:rsidRPr="00450621">
        <w:rPr>
          <w:sz w:val="22"/>
          <w:szCs w:val="22"/>
        </w:rPr>
        <w:t xml:space="preserve"> 10 až 50 ml/min) má byť interval medzi dávkami najmenej 6 hodín.</w:t>
      </w: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  <w:r w:rsidRPr="00450621">
        <w:rPr>
          <w:sz w:val="22"/>
          <w:szCs w:val="22"/>
        </w:rPr>
        <w:t xml:space="preserve">U pacientov s ťažkou </w:t>
      </w:r>
      <w:proofErr w:type="spellStart"/>
      <w:r w:rsidRPr="00450621">
        <w:rPr>
          <w:sz w:val="22"/>
          <w:szCs w:val="22"/>
        </w:rPr>
        <w:t>renálnou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insuficienciou</w:t>
      </w:r>
      <w:proofErr w:type="spellEnd"/>
      <w:r w:rsidRPr="00450621">
        <w:rPr>
          <w:sz w:val="22"/>
          <w:szCs w:val="22"/>
        </w:rPr>
        <w:t xml:space="preserve"> (</w:t>
      </w:r>
      <w:proofErr w:type="spellStart"/>
      <w:r w:rsidRPr="00450621">
        <w:rPr>
          <w:sz w:val="22"/>
          <w:szCs w:val="22"/>
        </w:rPr>
        <w:t>klírens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kreatinínu</w:t>
      </w:r>
      <w:proofErr w:type="spellEnd"/>
      <w:r w:rsidRPr="00450621">
        <w:rPr>
          <w:sz w:val="22"/>
          <w:szCs w:val="22"/>
        </w:rPr>
        <w:t xml:space="preserve"> &lt;</w:t>
      </w:r>
      <w:r w:rsidR="00E00E85" w:rsidRPr="00450621">
        <w:rPr>
          <w:sz w:val="22"/>
          <w:szCs w:val="22"/>
        </w:rPr>
        <w:t> </w:t>
      </w:r>
      <w:r w:rsidRPr="00450621">
        <w:rPr>
          <w:sz w:val="22"/>
          <w:szCs w:val="22"/>
        </w:rPr>
        <w:t>10 ml/min) má byť interval medzi dávkami najmenej 8 hodín.</w:t>
      </w: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  <w:u w:val="single"/>
        </w:rPr>
      </w:pPr>
      <w:r w:rsidRPr="00450621">
        <w:rPr>
          <w:sz w:val="22"/>
          <w:szCs w:val="22"/>
          <w:u w:val="single"/>
        </w:rPr>
        <w:t>Spôsob podávania</w:t>
      </w:r>
    </w:p>
    <w:p w:rsidR="00E00E85" w:rsidRPr="00450621" w:rsidRDefault="00E00E85" w:rsidP="00C35DA7">
      <w:pPr>
        <w:tabs>
          <w:tab w:val="left" w:pos="851"/>
        </w:tabs>
        <w:rPr>
          <w:sz w:val="22"/>
          <w:szCs w:val="22"/>
          <w:u w:val="single"/>
        </w:rPr>
      </w:pP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  <w:r w:rsidRPr="00450621">
        <w:rPr>
          <w:sz w:val="22"/>
          <w:szCs w:val="22"/>
        </w:rPr>
        <w:t>Perorálne podanie.</w:t>
      </w: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  <w:r w:rsidRPr="00450621">
        <w:rPr>
          <w:sz w:val="22"/>
          <w:szCs w:val="22"/>
        </w:rPr>
        <w:t>Obsah jedného vrecka sa rozpustí v dostatočnom množstve studenej alebo horúcej vody.</w:t>
      </w:r>
    </w:p>
    <w:p w:rsidR="003104CE" w:rsidRPr="00450621" w:rsidRDefault="003104CE" w:rsidP="00C35DA7">
      <w:pPr>
        <w:tabs>
          <w:tab w:val="left" w:pos="851"/>
        </w:tabs>
        <w:rPr>
          <w:sz w:val="22"/>
          <w:szCs w:val="22"/>
        </w:rPr>
      </w:pPr>
    </w:p>
    <w:p w:rsidR="003104CE" w:rsidRPr="00450621" w:rsidRDefault="003104CE" w:rsidP="00C35DA7">
      <w:pPr>
        <w:pStyle w:val="Nadpis6"/>
        <w:jc w:val="left"/>
        <w:rPr>
          <w:b/>
          <w:bCs/>
          <w:i w:val="0"/>
          <w:iCs w:val="0"/>
          <w:sz w:val="22"/>
          <w:szCs w:val="22"/>
        </w:rPr>
      </w:pPr>
      <w:r w:rsidRPr="00450621">
        <w:rPr>
          <w:b/>
          <w:bCs/>
          <w:i w:val="0"/>
          <w:iCs w:val="0"/>
          <w:sz w:val="22"/>
          <w:szCs w:val="22"/>
        </w:rPr>
        <w:t>4.3</w:t>
      </w:r>
      <w:r w:rsidRPr="00450621">
        <w:rPr>
          <w:b/>
          <w:bCs/>
          <w:i w:val="0"/>
          <w:iCs w:val="0"/>
          <w:sz w:val="22"/>
          <w:szCs w:val="22"/>
        </w:rPr>
        <w:tab/>
        <w:t>Kontraindikácie</w:t>
      </w:r>
    </w:p>
    <w:p w:rsidR="003104CE" w:rsidRPr="00450621" w:rsidRDefault="003104CE" w:rsidP="00C35DA7">
      <w:pPr>
        <w:rPr>
          <w:sz w:val="22"/>
          <w:szCs w:val="22"/>
        </w:rPr>
      </w:pPr>
    </w:p>
    <w:p w:rsidR="003104CE" w:rsidRPr="00450621" w:rsidRDefault="003104CE" w:rsidP="00E00E85">
      <w:pPr>
        <w:ind w:left="567" w:hanging="567"/>
        <w:rPr>
          <w:color w:val="222222"/>
          <w:sz w:val="22"/>
          <w:szCs w:val="22"/>
        </w:rPr>
      </w:pPr>
      <w:r w:rsidRPr="00450621">
        <w:rPr>
          <w:rStyle w:val="hps"/>
          <w:color w:val="222222"/>
          <w:sz w:val="22"/>
          <w:szCs w:val="22"/>
        </w:rPr>
        <w:t>•</w:t>
      </w:r>
      <w:r w:rsidRPr="00450621">
        <w:rPr>
          <w:rStyle w:val="hps"/>
          <w:color w:val="222222"/>
          <w:sz w:val="22"/>
          <w:szCs w:val="22"/>
        </w:rPr>
        <w:tab/>
        <w:t>Precitlivenosť</w:t>
      </w:r>
      <w:r w:rsidRPr="00450621">
        <w:rPr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na</w:t>
      </w:r>
      <w:r w:rsidRPr="00450621">
        <w:rPr>
          <w:color w:val="222222"/>
          <w:sz w:val="22"/>
          <w:szCs w:val="22"/>
        </w:rPr>
        <w:t xml:space="preserve"> </w:t>
      </w:r>
      <w:proofErr w:type="spellStart"/>
      <w:r w:rsidR="00E00E85" w:rsidRPr="00450621">
        <w:rPr>
          <w:color w:val="222222"/>
          <w:sz w:val="22"/>
          <w:szCs w:val="22"/>
        </w:rPr>
        <w:t>paracetamol</w:t>
      </w:r>
      <w:proofErr w:type="spellEnd"/>
      <w:r w:rsidR="00E00E85" w:rsidRPr="00450621">
        <w:rPr>
          <w:color w:val="222222"/>
          <w:sz w:val="22"/>
          <w:szCs w:val="22"/>
        </w:rPr>
        <w:t>/kyselina askorbovú/</w:t>
      </w:r>
      <w:proofErr w:type="spellStart"/>
      <w:r w:rsidR="00E00E85" w:rsidRPr="00450621">
        <w:rPr>
          <w:color w:val="222222"/>
          <w:sz w:val="22"/>
          <w:szCs w:val="22"/>
        </w:rPr>
        <w:t>feniramínium</w:t>
      </w:r>
      <w:r w:rsidR="00E94120">
        <w:rPr>
          <w:color w:val="222222"/>
          <w:sz w:val="22"/>
          <w:szCs w:val="22"/>
        </w:rPr>
        <w:t>-</w:t>
      </w:r>
      <w:r w:rsidR="00E94120" w:rsidRPr="00450621">
        <w:rPr>
          <w:color w:val="222222"/>
          <w:sz w:val="22"/>
          <w:szCs w:val="22"/>
        </w:rPr>
        <w:t>hydrog</w:t>
      </w:r>
      <w:r w:rsidR="00E94120">
        <w:rPr>
          <w:color w:val="222222"/>
          <w:sz w:val="22"/>
          <w:szCs w:val="22"/>
        </w:rPr>
        <w:t>e</w:t>
      </w:r>
      <w:r w:rsidR="00E94120" w:rsidRPr="00450621">
        <w:rPr>
          <w:color w:val="222222"/>
          <w:sz w:val="22"/>
          <w:szCs w:val="22"/>
        </w:rPr>
        <w:t>n</w:t>
      </w:r>
      <w:r w:rsidR="00E94120">
        <w:rPr>
          <w:color w:val="222222"/>
          <w:sz w:val="22"/>
          <w:szCs w:val="22"/>
        </w:rPr>
        <w:t>-male</w:t>
      </w:r>
      <w:r w:rsidR="00E94120" w:rsidRPr="00450621">
        <w:rPr>
          <w:color w:val="222222"/>
          <w:sz w:val="22"/>
          <w:szCs w:val="22"/>
        </w:rPr>
        <w:t>át</w:t>
      </w:r>
      <w:proofErr w:type="spellEnd"/>
      <w:r w:rsidR="00E94120" w:rsidRPr="00450621">
        <w:rPr>
          <w:rStyle w:val="hps"/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alebo</w:t>
      </w:r>
      <w:r w:rsidRPr="00450621">
        <w:rPr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na</w:t>
      </w:r>
      <w:r w:rsidRPr="00450621">
        <w:rPr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ktorúkoľvek z pomocných</w:t>
      </w:r>
      <w:r w:rsidRPr="00450621">
        <w:rPr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látok uvedených v časti</w:t>
      </w:r>
      <w:r w:rsidRPr="00450621">
        <w:rPr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6.1</w:t>
      </w:r>
      <w:r w:rsidRPr="00450621">
        <w:rPr>
          <w:color w:val="222222"/>
          <w:sz w:val="22"/>
          <w:szCs w:val="22"/>
        </w:rPr>
        <w:t>.</w:t>
      </w:r>
    </w:p>
    <w:p w:rsidR="003104CE" w:rsidRPr="00450621" w:rsidRDefault="003104CE" w:rsidP="00C35DA7">
      <w:pPr>
        <w:rPr>
          <w:color w:val="222222"/>
          <w:sz w:val="22"/>
          <w:szCs w:val="22"/>
        </w:rPr>
      </w:pPr>
      <w:r w:rsidRPr="00450621">
        <w:rPr>
          <w:rStyle w:val="hps"/>
          <w:color w:val="222222"/>
          <w:sz w:val="22"/>
          <w:szCs w:val="22"/>
        </w:rPr>
        <w:t>•</w:t>
      </w:r>
      <w:r w:rsidRPr="00450621">
        <w:rPr>
          <w:rStyle w:val="hps"/>
          <w:color w:val="222222"/>
          <w:sz w:val="22"/>
          <w:szCs w:val="22"/>
        </w:rPr>
        <w:tab/>
        <w:t>Pacienti</w:t>
      </w:r>
      <w:r w:rsidRPr="00450621">
        <w:rPr>
          <w:color w:val="222222"/>
          <w:sz w:val="22"/>
          <w:szCs w:val="22"/>
        </w:rPr>
        <w:t xml:space="preserve"> s </w:t>
      </w:r>
      <w:proofErr w:type="spellStart"/>
      <w:r w:rsidRPr="00450621">
        <w:rPr>
          <w:color w:val="222222"/>
          <w:sz w:val="22"/>
          <w:szCs w:val="22"/>
        </w:rPr>
        <w:t>insuficienciou</w:t>
      </w:r>
      <w:proofErr w:type="spellEnd"/>
      <w:r w:rsidRPr="00450621">
        <w:rPr>
          <w:color w:val="222222"/>
          <w:sz w:val="22"/>
          <w:szCs w:val="22"/>
        </w:rPr>
        <w:t xml:space="preserve"> pečene</w:t>
      </w:r>
    </w:p>
    <w:p w:rsidR="003104CE" w:rsidRPr="00450621" w:rsidRDefault="003104CE" w:rsidP="00C35DA7">
      <w:pPr>
        <w:rPr>
          <w:color w:val="222222"/>
          <w:sz w:val="22"/>
          <w:szCs w:val="22"/>
        </w:rPr>
      </w:pPr>
      <w:r w:rsidRPr="00450621">
        <w:rPr>
          <w:rStyle w:val="hps"/>
          <w:color w:val="222222"/>
          <w:sz w:val="22"/>
          <w:szCs w:val="22"/>
        </w:rPr>
        <w:t>•</w:t>
      </w:r>
      <w:r w:rsidRPr="00450621">
        <w:rPr>
          <w:rStyle w:val="hps"/>
          <w:color w:val="222222"/>
          <w:sz w:val="22"/>
          <w:szCs w:val="22"/>
        </w:rPr>
        <w:tab/>
        <w:t>Pacienti</w:t>
      </w:r>
      <w:r w:rsidRPr="00450621">
        <w:rPr>
          <w:color w:val="222222"/>
          <w:sz w:val="22"/>
          <w:szCs w:val="22"/>
        </w:rPr>
        <w:t xml:space="preserve"> s </w:t>
      </w:r>
      <w:proofErr w:type="spellStart"/>
      <w:r w:rsidRPr="00450621">
        <w:rPr>
          <w:color w:val="222222"/>
          <w:sz w:val="22"/>
          <w:szCs w:val="22"/>
        </w:rPr>
        <w:t>g</w:t>
      </w:r>
      <w:r w:rsidRPr="00450621">
        <w:rPr>
          <w:rStyle w:val="hps"/>
          <w:color w:val="222222"/>
          <w:sz w:val="22"/>
          <w:szCs w:val="22"/>
        </w:rPr>
        <w:t>laukómom</w:t>
      </w:r>
      <w:proofErr w:type="spellEnd"/>
      <w:r w:rsidRPr="00450621">
        <w:rPr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s</w:t>
      </w:r>
      <w:r w:rsidRPr="00450621">
        <w:rPr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uzavretým</w:t>
      </w:r>
      <w:r w:rsidRPr="00450621">
        <w:rPr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uhlom</w:t>
      </w:r>
    </w:p>
    <w:p w:rsidR="003104CE" w:rsidRPr="00450621" w:rsidRDefault="003104CE" w:rsidP="00C35DA7">
      <w:pPr>
        <w:rPr>
          <w:color w:val="222222"/>
          <w:sz w:val="22"/>
          <w:szCs w:val="22"/>
        </w:rPr>
      </w:pPr>
      <w:r w:rsidRPr="00450621">
        <w:rPr>
          <w:rStyle w:val="hps"/>
          <w:color w:val="222222"/>
          <w:sz w:val="22"/>
          <w:szCs w:val="22"/>
        </w:rPr>
        <w:t>•</w:t>
      </w:r>
      <w:r w:rsidRPr="00450621">
        <w:rPr>
          <w:color w:val="222222"/>
          <w:sz w:val="22"/>
          <w:szCs w:val="22"/>
        </w:rPr>
        <w:tab/>
        <w:t xml:space="preserve">Pacienti s rizikom </w:t>
      </w:r>
      <w:proofErr w:type="spellStart"/>
      <w:r w:rsidRPr="00450621">
        <w:rPr>
          <w:color w:val="222222"/>
          <w:sz w:val="22"/>
          <w:szCs w:val="22"/>
        </w:rPr>
        <w:t>retencie</w:t>
      </w:r>
      <w:proofErr w:type="spellEnd"/>
      <w:r w:rsidRPr="00450621">
        <w:rPr>
          <w:color w:val="222222"/>
          <w:sz w:val="22"/>
          <w:szCs w:val="22"/>
        </w:rPr>
        <w:t xml:space="preserve"> moču v súvislosti s </w:t>
      </w:r>
      <w:proofErr w:type="spellStart"/>
      <w:r w:rsidRPr="00450621">
        <w:rPr>
          <w:color w:val="222222"/>
          <w:sz w:val="22"/>
          <w:szCs w:val="22"/>
        </w:rPr>
        <w:t>uretrálnou</w:t>
      </w:r>
      <w:proofErr w:type="spellEnd"/>
      <w:r w:rsidRPr="00450621">
        <w:rPr>
          <w:color w:val="222222"/>
          <w:sz w:val="22"/>
          <w:szCs w:val="22"/>
        </w:rPr>
        <w:t xml:space="preserve"> poruchou prostaty </w:t>
      </w:r>
    </w:p>
    <w:p w:rsidR="003104CE" w:rsidRPr="00450621" w:rsidRDefault="003104CE" w:rsidP="00C35DA7">
      <w:pPr>
        <w:ind w:left="567" w:hanging="567"/>
        <w:rPr>
          <w:rStyle w:val="hps"/>
          <w:color w:val="222222"/>
          <w:sz w:val="22"/>
          <w:szCs w:val="22"/>
        </w:rPr>
      </w:pPr>
      <w:r w:rsidRPr="00450621">
        <w:rPr>
          <w:rStyle w:val="hps"/>
          <w:color w:val="222222"/>
          <w:sz w:val="22"/>
          <w:szCs w:val="22"/>
        </w:rPr>
        <w:t>•</w:t>
      </w:r>
      <w:r w:rsidRPr="00450621">
        <w:rPr>
          <w:color w:val="222222"/>
          <w:sz w:val="22"/>
          <w:szCs w:val="22"/>
        </w:rPr>
        <w:tab/>
      </w:r>
      <w:r w:rsidRPr="00450621">
        <w:rPr>
          <w:rStyle w:val="hps"/>
          <w:color w:val="222222"/>
          <w:sz w:val="22"/>
          <w:szCs w:val="22"/>
        </w:rPr>
        <w:t>Pacienti,</w:t>
      </w:r>
      <w:r w:rsidRPr="00450621">
        <w:rPr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ktorí</w:t>
      </w:r>
      <w:r w:rsidRPr="00450621">
        <w:rPr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užívajú</w:t>
      </w:r>
      <w:r w:rsidRPr="00450621">
        <w:rPr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alebo</w:t>
      </w:r>
      <w:r w:rsidRPr="00450621">
        <w:rPr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užívali</w:t>
      </w:r>
      <w:r w:rsidRPr="00450621">
        <w:rPr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inhibítory</w:t>
      </w:r>
      <w:r w:rsidRPr="00450621">
        <w:rPr>
          <w:color w:val="222222"/>
          <w:sz w:val="22"/>
          <w:szCs w:val="22"/>
        </w:rPr>
        <w:t xml:space="preserve"> </w:t>
      </w:r>
      <w:proofErr w:type="spellStart"/>
      <w:r w:rsidRPr="00450621">
        <w:rPr>
          <w:rStyle w:val="hps"/>
          <w:color w:val="222222"/>
          <w:sz w:val="22"/>
          <w:szCs w:val="22"/>
        </w:rPr>
        <w:t>monoaminooxidázy</w:t>
      </w:r>
      <w:proofErr w:type="spellEnd"/>
      <w:r w:rsidRPr="00450621">
        <w:rPr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(</w:t>
      </w:r>
      <w:r w:rsidRPr="00450621">
        <w:rPr>
          <w:color w:val="222222"/>
          <w:sz w:val="22"/>
          <w:szCs w:val="22"/>
        </w:rPr>
        <w:t xml:space="preserve">MAOI) </w:t>
      </w:r>
      <w:r w:rsidRPr="00450621">
        <w:rPr>
          <w:rStyle w:val="hps"/>
          <w:color w:val="222222"/>
          <w:sz w:val="22"/>
          <w:szCs w:val="22"/>
        </w:rPr>
        <w:t>v</w:t>
      </w:r>
      <w:r w:rsidRPr="00450621">
        <w:rPr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posledných</w:t>
      </w:r>
      <w:r w:rsidRPr="00450621">
        <w:rPr>
          <w:color w:val="222222"/>
          <w:sz w:val="22"/>
          <w:szCs w:val="22"/>
        </w:rPr>
        <w:t xml:space="preserve"> </w:t>
      </w:r>
      <w:r w:rsidRPr="00450621">
        <w:rPr>
          <w:rStyle w:val="hps"/>
          <w:color w:val="222222"/>
          <w:sz w:val="22"/>
          <w:szCs w:val="22"/>
        </w:rPr>
        <w:t>2</w:t>
      </w:r>
      <w:r w:rsidR="00E00E85" w:rsidRPr="00450621">
        <w:rPr>
          <w:color w:val="222222"/>
          <w:sz w:val="22"/>
          <w:szCs w:val="22"/>
        </w:rPr>
        <w:t> </w:t>
      </w:r>
      <w:r w:rsidRPr="00450621">
        <w:rPr>
          <w:rStyle w:val="hps"/>
          <w:color w:val="222222"/>
          <w:sz w:val="22"/>
          <w:szCs w:val="22"/>
        </w:rPr>
        <w:t>týždňoch</w:t>
      </w:r>
    </w:p>
    <w:p w:rsidR="003104CE" w:rsidRPr="00450621" w:rsidRDefault="003104CE" w:rsidP="00C35DA7">
      <w:pPr>
        <w:rPr>
          <w:rStyle w:val="hps"/>
          <w:color w:val="222222"/>
          <w:sz w:val="22"/>
          <w:szCs w:val="22"/>
        </w:rPr>
      </w:pPr>
      <w:r w:rsidRPr="00450621">
        <w:rPr>
          <w:rStyle w:val="hps"/>
          <w:color w:val="222222"/>
          <w:sz w:val="22"/>
          <w:szCs w:val="22"/>
        </w:rPr>
        <w:t>•</w:t>
      </w:r>
      <w:r w:rsidRPr="00450621">
        <w:rPr>
          <w:color w:val="222222"/>
          <w:sz w:val="22"/>
          <w:szCs w:val="22"/>
        </w:rPr>
        <w:tab/>
      </w:r>
      <w:r w:rsidRPr="00450621">
        <w:rPr>
          <w:rStyle w:val="hps"/>
          <w:color w:val="222222"/>
          <w:sz w:val="22"/>
          <w:szCs w:val="22"/>
        </w:rPr>
        <w:t>Užívanie u detí mladších ako 15 rokov.</w:t>
      </w:r>
    </w:p>
    <w:p w:rsidR="003104CE" w:rsidRPr="00450621" w:rsidRDefault="003104CE" w:rsidP="00C35DA7">
      <w:pPr>
        <w:rPr>
          <w:b/>
          <w:sz w:val="22"/>
          <w:szCs w:val="22"/>
        </w:rPr>
      </w:pPr>
    </w:p>
    <w:p w:rsidR="003104CE" w:rsidRPr="00450621" w:rsidRDefault="003104CE" w:rsidP="00C35DA7">
      <w:pPr>
        <w:rPr>
          <w:b/>
          <w:noProof/>
          <w:sz w:val="22"/>
          <w:szCs w:val="22"/>
        </w:rPr>
      </w:pPr>
      <w:r w:rsidRPr="00450621">
        <w:rPr>
          <w:b/>
          <w:noProof/>
          <w:sz w:val="22"/>
          <w:szCs w:val="22"/>
        </w:rPr>
        <w:t>4.4</w:t>
      </w:r>
      <w:r w:rsidRPr="00450621">
        <w:rPr>
          <w:b/>
          <w:noProof/>
          <w:sz w:val="22"/>
          <w:szCs w:val="22"/>
        </w:rPr>
        <w:tab/>
        <w:t>Osobitné upozornenia a opatrenia pri používaní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Liečba sa má prehodnotiť v prípade vysokej alebo pretrvávajúcej horúčky, vzniku </w:t>
      </w:r>
      <w:proofErr w:type="spellStart"/>
      <w:r w:rsidRPr="00450621">
        <w:rPr>
          <w:sz w:val="22"/>
          <w:szCs w:val="22"/>
        </w:rPr>
        <w:t>superinfekcie</w:t>
      </w:r>
      <w:proofErr w:type="spellEnd"/>
      <w:r w:rsidRPr="00450621">
        <w:rPr>
          <w:sz w:val="22"/>
          <w:szCs w:val="22"/>
        </w:rPr>
        <w:t xml:space="preserve"> alebo v prípade príznakov pretrvávajúcich dlhšie ako 5 dní.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>Riziko vzniku psychickej závislosti sa vyskytuje len pri vyšších dávkach ako sú odporúčané a pri dlhodobom užívaní.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Tento liek sa nemá kombinovať s inými liekmi, ktoré obsahujú </w:t>
      </w:r>
      <w:proofErr w:type="spellStart"/>
      <w:r w:rsidRPr="00450621">
        <w:rPr>
          <w:sz w:val="22"/>
          <w:szCs w:val="22"/>
        </w:rPr>
        <w:t>paracetamol</w:t>
      </w:r>
      <w:proofErr w:type="spellEnd"/>
      <w:r w:rsidRPr="00450621">
        <w:rPr>
          <w:sz w:val="22"/>
          <w:szCs w:val="22"/>
        </w:rPr>
        <w:t xml:space="preserve"> vzhľadom na riziko predávkovania. Maximálna denná dávka </w:t>
      </w:r>
      <w:proofErr w:type="spellStart"/>
      <w:r w:rsidRPr="00450621">
        <w:rPr>
          <w:sz w:val="22"/>
          <w:szCs w:val="22"/>
        </w:rPr>
        <w:t>paracetamolu</w:t>
      </w:r>
      <w:proofErr w:type="spellEnd"/>
      <w:r w:rsidRPr="00450621">
        <w:rPr>
          <w:sz w:val="22"/>
          <w:szCs w:val="22"/>
        </w:rPr>
        <w:t xml:space="preserve"> je </w:t>
      </w:r>
      <w:smartTag w:uri="urn:schemas-microsoft-com:office:smarttags" w:element="metricconverter">
        <w:smartTagPr>
          <w:attr w:name="ProductID" w:val="4 g"/>
        </w:smartTagPr>
        <w:r w:rsidRPr="00450621">
          <w:rPr>
            <w:sz w:val="22"/>
            <w:szCs w:val="22"/>
          </w:rPr>
          <w:t>4 g</w:t>
        </w:r>
      </w:smartTag>
      <w:r w:rsidRPr="00450621">
        <w:rPr>
          <w:sz w:val="22"/>
          <w:szCs w:val="22"/>
        </w:rPr>
        <w:t xml:space="preserve"> denne pre dospelých nad </w:t>
      </w:r>
      <w:smartTag w:uri="urn:schemas-microsoft-com:office:smarttags" w:element="metricconverter">
        <w:smartTagPr>
          <w:attr w:name="ProductID" w:val="50 kg"/>
        </w:smartTagPr>
        <w:r w:rsidRPr="00450621">
          <w:rPr>
            <w:sz w:val="22"/>
            <w:szCs w:val="22"/>
          </w:rPr>
          <w:t>50 kg</w:t>
        </w:r>
      </w:smartTag>
      <w:r w:rsidRPr="00450621">
        <w:rPr>
          <w:sz w:val="22"/>
          <w:szCs w:val="22"/>
        </w:rPr>
        <w:t xml:space="preserve"> (pozri časť 4.9). Riziko predávkovania je zvýšené u pacientov s ochorením pečene. 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 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Paracetamol</w:t>
      </w:r>
      <w:proofErr w:type="spellEnd"/>
      <w:r w:rsidRPr="00450621">
        <w:rPr>
          <w:sz w:val="22"/>
          <w:szCs w:val="22"/>
        </w:rPr>
        <w:t xml:space="preserve"> sa má podávať s opatrnosťou u pacientov s poruchou funkcie obličiek, s akútnou hepatitídou, s nedostatkom glukóza-6-fosfát </w:t>
      </w:r>
      <w:proofErr w:type="spellStart"/>
      <w:r w:rsidRPr="00450621">
        <w:rPr>
          <w:sz w:val="22"/>
          <w:szCs w:val="22"/>
        </w:rPr>
        <w:t>dehydrogenázy</w:t>
      </w:r>
      <w:proofErr w:type="spellEnd"/>
      <w:r w:rsidRPr="00450621">
        <w:rPr>
          <w:sz w:val="22"/>
          <w:szCs w:val="22"/>
        </w:rPr>
        <w:t xml:space="preserve"> a u pacientov s </w:t>
      </w:r>
      <w:proofErr w:type="spellStart"/>
      <w:r w:rsidRPr="00450621">
        <w:rPr>
          <w:sz w:val="22"/>
          <w:szCs w:val="22"/>
        </w:rPr>
        <w:t>hemolytickou</w:t>
      </w:r>
      <w:proofErr w:type="spellEnd"/>
      <w:r w:rsidRPr="00450621">
        <w:rPr>
          <w:sz w:val="22"/>
          <w:szCs w:val="22"/>
        </w:rPr>
        <w:t xml:space="preserve"> anémiou. Riziko predávkovania je vyššie u pacientov s nealkoholovým, </w:t>
      </w:r>
      <w:proofErr w:type="spellStart"/>
      <w:r w:rsidRPr="00450621">
        <w:rPr>
          <w:sz w:val="22"/>
          <w:szCs w:val="22"/>
        </w:rPr>
        <w:t>necirhotickým</w:t>
      </w:r>
      <w:proofErr w:type="spellEnd"/>
      <w:r w:rsidRPr="00450621">
        <w:rPr>
          <w:sz w:val="22"/>
          <w:szCs w:val="22"/>
        </w:rPr>
        <w:t xml:space="preserve"> ochorením pečene.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Paracetamol</w:t>
      </w:r>
      <w:proofErr w:type="spellEnd"/>
      <w:r w:rsidRPr="00450621">
        <w:rPr>
          <w:sz w:val="22"/>
          <w:szCs w:val="22"/>
        </w:rPr>
        <w:t xml:space="preserve"> môže byť </w:t>
      </w:r>
      <w:proofErr w:type="spellStart"/>
      <w:r w:rsidRPr="00450621">
        <w:rPr>
          <w:sz w:val="22"/>
          <w:szCs w:val="22"/>
        </w:rPr>
        <w:t>hepatotoxický</w:t>
      </w:r>
      <w:proofErr w:type="spellEnd"/>
      <w:r w:rsidRPr="00450621">
        <w:rPr>
          <w:sz w:val="22"/>
          <w:szCs w:val="22"/>
        </w:rPr>
        <w:t xml:space="preserve"> pri denných dávkach nad 6-</w:t>
      </w:r>
      <w:smartTag w:uri="urn:schemas-microsoft-com:office:smarttags" w:element="metricconverter">
        <w:smartTagPr>
          <w:attr w:name="ProductID" w:val="8 gramov"/>
        </w:smartTagPr>
        <w:r w:rsidRPr="00450621">
          <w:rPr>
            <w:sz w:val="22"/>
            <w:szCs w:val="22"/>
          </w:rPr>
          <w:t>8 gramov</w:t>
        </w:r>
      </w:smartTag>
      <w:r w:rsidRPr="00450621">
        <w:rPr>
          <w:sz w:val="22"/>
          <w:szCs w:val="22"/>
        </w:rPr>
        <w:t>. Poškodenie pečene sa môže vyvinúť aj pri oveľa nižších dávkach, ak je užívaný sú</w:t>
      </w:r>
      <w:r w:rsidR="00E00E85" w:rsidRPr="00450621">
        <w:rPr>
          <w:sz w:val="22"/>
          <w:szCs w:val="22"/>
        </w:rPr>
        <w:t>bežne</w:t>
      </w:r>
      <w:r w:rsidRPr="00450621">
        <w:rPr>
          <w:sz w:val="22"/>
          <w:szCs w:val="22"/>
        </w:rPr>
        <w:t xml:space="preserve"> s alkoholom, s inými induktormi pečeňových enzýmov alebo s inými </w:t>
      </w:r>
      <w:proofErr w:type="spellStart"/>
      <w:r w:rsidRPr="00450621">
        <w:rPr>
          <w:sz w:val="22"/>
          <w:szCs w:val="22"/>
        </w:rPr>
        <w:t>hepatotoxickými</w:t>
      </w:r>
      <w:proofErr w:type="spellEnd"/>
      <w:r w:rsidRPr="00450621">
        <w:rPr>
          <w:sz w:val="22"/>
          <w:szCs w:val="22"/>
        </w:rPr>
        <w:t xml:space="preserve"> liekmi, napr. IMAO. Dlhodobá konzumácia alkoholu významne zvyšuje riziko </w:t>
      </w:r>
      <w:proofErr w:type="spellStart"/>
      <w:r w:rsidRPr="00450621">
        <w:rPr>
          <w:sz w:val="22"/>
          <w:szCs w:val="22"/>
        </w:rPr>
        <w:t>hepatotoxicity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paracetamolu</w:t>
      </w:r>
      <w:proofErr w:type="spellEnd"/>
      <w:r w:rsidRPr="00450621">
        <w:rPr>
          <w:sz w:val="22"/>
          <w:szCs w:val="22"/>
        </w:rPr>
        <w:t xml:space="preserve">. </w:t>
      </w:r>
      <w:proofErr w:type="spellStart"/>
      <w:r w:rsidRPr="00450621">
        <w:rPr>
          <w:sz w:val="22"/>
          <w:szCs w:val="22"/>
        </w:rPr>
        <w:t>Paracetamol</w:t>
      </w:r>
      <w:proofErr w:type="spellEnd"/>
      <w:r w:rsidRPr="00450621">
        <w:rPr>
          <w:sz w:val="22"/>
          <w:szCs w:val="22"/>
        </w:rPr>
        <w:t xml:space="preserve"> je kontraindikovaný u</w:t>
      </w:r>
      <w:r w:rsidR="00E00E85" w:rsidRPr="00450621">
        <w:rPr>
          <w:sz w:val="22"/>
          <w:szCs w:val="22"/>
        </w:rPr>
        <w:t> </w:t>
      </w:r>
      <w:r w:rsidRPr="00450621">
        <w:rPr>
          <w:sz w:val="22"/>
          <w:szCs w:val="22"/>
        </w:rPr>
        <w:t>pacientov sú</w:t>
      </w:r>
      <w:r w:rsidR="00E00E85" w:rsidRPr="00450621">
        <w:rPr>
          <w:sz w:val="22"/>
          <w:szCs w:val="22"/>
        </w:rPr>
        <w:t>bežne</w:t>
      </w:r>
      <w:r w:rsidRPr="00450621">
        <w:rPr>
          <w:sz w:val="22"/>
          <w:szCs w:val="22"/>
        </w:rPr>
        <w:t xml:space="preserve"> užívajúcich IMAO alebo ak IMAO užívali v posledných dvoch týždňov kvôli možnému riziku vzniku </w:t>
      </w:r>
      <w:proofErr w:type="spellStart"/>
      <w:r w:rsidRPr="00450621">
        <w:rPr>
          <w:sz w:val="22"/>
          <w:szCs w:val="22"/>
        </w:rPr>
        <w:t>hypertenznej</w:t>
      </w:r>
      <w:proofErr w:type="spellEnd"/>
      <w:r w:rsidRPr="00450621">
        <w:rPr>
          <w:sz w:val="22"/>
          <w:szCs w:val="22"/>
        </w:rPr>
        <w:t xml:space="preserve"> krízy.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V priebehu liečby sa nemá piť alkohol a užívať lieky s obsahom alkoholu. Alkohol zvyšuje sedatívny účinok H1 </w:t>
      </w:r>
      <w:proofErr w:type="spellStart"/>
      <w:r w:rsidRPr="00450621">
        <w:rPr>
          <w:sz w:val="22"/>
          <w:szCs w:val="22"/>
        </w:rPr>
        <w:t>antihistaminík</w:t>
      </w:r>
      <w:proofErr w:type="spellEnd"/>
      <w:r w:rsidRPr="00450621">
        <w:rPr>
          <w:sz w:val="22"/>
          <w:szCs w:val="22"/>
        </w:rPr>
        <w:t>. To môže ovplyvniť schopnosť viesť vozidlá a obsluhovať stroje.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Liek sa má podávať s opatrnosťou u pacientov s astmou alebo chronickou obštrukčnou chorobou pľúc, s kardiovaskulárnym ochorením, s vysokým krvným tlakom, </w:t>
      </w:r>
      <w:proofErr w:type="spellStart"/>
      <w:r w:rsidRPr="00450621">
        <w:rPr>
          <w:sz w:val="22"/>
          <w:szCs w:val="22"/>
        </w:rPr>
        <w:t>hypertyreózou</w:t>
      </w:r>
      <w:proofErr w:type="spellEnd"/>
      <w:r w:rsidRPr="00450621">
        <w:rPr>
          <w:sz w:val="22"/>
          <w:szCs w:val="22"/>
        </w:rPr>
        <w:t xml:space="preserve"> a s </w:t>
      </w:r>
      <w:proofErr w:type="spellStart"/>
      <w:r w:rsidRPr="00450621">
        <w:rPr>
          <w:sz w:val="22"/>
          <w:szCs w:val="22"/>
        </w:rPr>
        <w:t>pyloroduodenálnou</w:t>
      </w:r>
      <w:proofErr w:type="spellEnd"/>
      <w:r w:rsidRPr="00450621">
        <w:rPr>
          <w:sz w:val="22"/>
          <w:szCs w:val="22"/>
        </w:rPr>
        <w:t xml:space="preserve"> obštrukciou.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V priebehu liečby je potrebné sa vyhnúť podávaniu sedatív (najmä barbiturátov), ktoré zosilňujú sedatívny účinok </w:t>
      </w:r>
      <w:proofErr w:type="spellStart"/>
      <w:r w:rsidRPr="00450621">
        <w:rPr>
          <w:sz w:val="22"/>
          <w:szCs w:val="22"/>
        </w:rPr>
        <w:t>antihistaminík</w:t>
      </w:r>
      <w:proofErr w:type="spellEnd"/>
      <w:r w:rsidRPr="00450621">
        <w:rPr>
          <w:sz w:val="22"/>
          <w:szCs w:val="22"/>
        </w:rPr>
        <w:t>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lastRenderedPageBreak/>
        <w:t xml:space="preserve">Jedno vrecko obsahuje </w:t>
      </w:r>
      <w:smartTag w:uri="urn:schemas-microsoft-com:office:smarttags" w:element="metricconverter">
        <w:smartTagPr>
          <w:attr w:name="ProductID" w:val="25 °C"/>
        </w:smartTagPr>
        <w:r w:rsidRPr="00450621">
          <w:rPr>
            <w:sz w:val="22"/>
            <w:szCs w:val="22"/>
          </w:rPr>
          <w:t>11,5 g</w:t>
        </w:r>
      </w:smartTag>
      <w:r w:rsidRPr="00450621">
        <w:rPr>
          <w:sz w:val="22"/>
          <w:szCs w:val="22"/>
        </w:rPr>
        <w:t xml:space="preserve"> sacharózy, čo sa musí vziať do úvahy u pacientov s diabetes </w:t>
      </w:r>
      <w:proofErr w:type="spellStart"/>
      <w:r w:rsidRPr="00450621">
        <w:rPr>
          <w:sz w:val="22"/>
          <w:szCs w:val="22"/>
        </w:rPr>
        <w:t>mellitus</w:t>
      </w:r>
      <w:proofErr w:type="spellEnd"/>
      <w:r w:rsidRPr="00450621">
        <w:rPr>
          <w:sz w:val="22"/>
          <w:szCs w:val="22"/>
        </w:rPr>
        <w:t>, alebo pri diéte s nízkym obsahom cukru v potrave.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>Jedno vrecko obsahuje malé množstvo etanolu (menej ako 15,2 mg), toto množstvo sa nepovažuje za škodlivé.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keepNext/>
        <w:jc w:val="left"/>
        <w:rPr>
          <w:sz w:val="22"/>
          <w:szCs w:val="22"/>
        </w:rPr>
      </w:pPr>
      <w:r w:rsidRPr="00450621">
        <w:rPr>
          <w:b/>
          <w:bCs/>
          <w:sz w:val="22"/>
          <w:szCs w:val="22"/>
        </w:rPr>
        <w:t>4.5</w:t>
      </w:r>
      <w:r w:rsidRPr="00450621">
        <w:rPr>
          <w:b/>
          <w:bCs/>
          <w:sz w:val="22"/>
          <w:szCs w:val="22"/>
        </w:rPr>
        <w:tab/>
        <w:t>Liekové a iné interakcie</w:t>
      </w:r>
    </w:p>
    <w:p w:rsidR="003104CE" w:rsidRPr="00450621" w:rsidRDefault="003104CE" w:rsidP="00C35DA7">
      <w:pPr>
        <w:pStyle w:val="Zkladntext"/>
        <w:keepNext/>
        <w:jc w:val="left"/>
        <w:rPr>
          <w:b/>
          <w:sz w:val="22"/>
          <w:szCs w:val="22"/>
        </w:rPr>
      </w:pPr>
    </w:p>
    <w:p w:rsidR="003104CE" w:rsidRPr="00450621" w:rsidRDefault="003104CE" w:rsidP="00C35DA7">
      <w:pPr>
        <w:pStyle w:val="Zkladntext"/>
        <w:keepNext/>
        <w:jc w:val="left"/>
        <w:rPr>
          <w:b/>
          <w:sz w:val="22"/>
          <w:szCs w:val="22"/>
        </w:rPr>
      </w:pPr>
      <w:proofErr w:type="spellStart"/>
      <w:r w:rsidRPr="00450621">
        <w:rPr>
          <w:b/>
          <w:sz w:val="22"/>
          <w:szCs w:val="22"/>
        </w:rPr>
        <w:t>Paracetamol</w:t>
      </w:r>
      <w:proofErr w:type="spellEnd"/>
    </w:p>
    <w:p w:rsidR="003104CE" w:rsidRPr="00450621" w:rsidRDefault="003104CE" w:rsidP="00C35DA7">
      <w:pPr>
        <w:pStyle w:val="Zkladntext"/>
        <w:jc w:val="left"/>
        <w:rPr>
          <w:b/>
          <w:sz w:val="22"/>
          <w:szCs w:val="22"/>
        </w:rPr>
      </w:pPr>
      <w:r w:rsidRPr="00450621">
        <w:rPr>
          <w:sz w:val="22"/>
          <w:szCs w:val="22"/>
        </w:rPr>
        <w:t xml:space="preserve">Induktory </w:t>
      </w:r>
      <w:proofErr w:type="spellStart"/>
      <w:r w:rsidRPr="00450621">
        <w:rPr>
          <w:sz w:val="22"/>
          <w:szCs w:val="22"/>
        </w:rPr>
        <w:t>hepatálnych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mikrozomálnych</w:t>
      </w:r>
      <w:proofErr w:type="spellEnd"/>
      <w:r w:rsidRPr="00450621">
        <w:rPr>
          <w:sz w:val="22"/>
          <w:szCs w:val="22"/>
        </w:rPr>
        <w:t xml:space="preserve"> enzýmov, ako je alkohol, barbituráty, a </w:t>
      </w:r>
      <w:proofErr w:type="spellStart"/>
      <w:r w:rsidRPr="00450621">
        <w:rPr>
          <w:sz w:val="22"/>
          <w:szCs w:val="22"/>
        </w:rPr>
        <w:t>antikonvulzíva</w:t>
      </w:r>
      <w:proofErr w:type="spellEnd"/>
      <w:r w:rsidRPr="00450621">
        <w:rPr>
          <w:sz w:val="22"/>
          <w:szCs w:val="22"/>
        </w:rPr>
        <w:t xml:space="preserve">, ako je </w:t>
      </w:r>
      <w:proofErr w:type="spellStart"/>
      <w:r w:rsidRPr="00450621">
        <w:rPr>
          <w:sz w:val="22"/>
          <w:szCs w:val="22"/>
        </w:rPr>
        <w:t>fenytoín</w:t>
      </w:r>
      <w:proofErr w:type="spellEnd"/>
      <w:r w:rsidRPr="00450621">
        <w:rPr>
          <w:sz w:val="22"/>
          <w:szCs w:val="22"/>
        </w:rPr>
        <w:t xml:space="preserve">, </w:t>
      </w:r>
      <w:proofErr w:type="spellStart"/>
      <w:r w:rsidRPr="00450621">
        <w:rPr>
          <w:sz w:val="22"/>
          <w:szCs w:val="22"/>
        </w:rPr>
        <w:t>fenobarbital</w:t>
      </w:r>
      <w:proofErr w:type="spellEnd"/>
      <w:r w:rsidRPr="00450621">
        <w:rPr>
          <w:sz w:val="22"/>
          <w:szCs w:val="22"/>
        </w:rPr>
        <w:t xml:space="preserve">, </w:t>
      </w:r>
      <w:proofErr w:type="spellStart"/>
      <w:r w:rsidRPr="00450621">
        <w:rPr>
          <w:sz w:val="22"/>
          <w:szCs w:val="22"/>
        </w:rPr>
        <w:t>metylfenobarbital</w:t>
      </w:r>
      <w:proofErr w:type="spellEnd"/>
      <w:r w:rsidRPr="00450621">
        <w:rPr>
          <w:sz w:val="22"/>
          <w:szCs w:val="22"/>
        </w:rPr>
        <w:t xml:space="preserve">, </w:t>
      </w:r>
      <w:proofErr w:type="spellStart"/>
      <w:r w:rsidRPr="00450621">
        <w:rPr>
          <w:sz w:val="22"/>
          <w:szCs w:val="22"/>
        </w:rPr>
        <w:t>primidón</w:t>
      </w:r>
      <w:proofErr w:type="spellEnd"/>
      <w:r w:rsidRPr="00450621">
        <w:rPr>
          <w:sz w:val="22"/>
          <w:szCs w:val="22"/>
        </w:rPr>
        <w:t xml:space="preserve">, </w:t>
      </w:r>
      <w:proofErr w:type="spellStart"/>
      <w:r w:rsidRPr="00450621">
        <w:rPr>
          <w:sz w:val="22"/>
          <w:szCs w:val="22"/>
        </w:rPr>
        <w:t>rifampicín</w:t>
      </w:r>
      <w:proofErr w:type="spellEnd"/>
      <w:r w:rsidRPr="00450621">
        <w:rPr>
          <w:sz w:val="22"/>
          <w:szCs w:val="22"/>
        </w:rPr>
        <w:t xml:space="preserve">, a inhibítory </w:t>
      </w:r>
      <w:proofErr w:type="spellStart"/>
      <w:r w:rsidRPr="00450621">
        <w:rPr>
          <w:sz w:val="22"/>
          <w:szCs w:val="22"/>
        </w:rPr>
        <w:t>monoaminooxidázy</w:t>
      </w:r>
      <w:proofErr w:type="spellEnd"/>
      <w:r w:rsidRPr="00450621">
        <w:rPr>
          <w:sz w:val="22"/>
          <w:szCs w:val="22"/>
        </w:rPr>
        <w:t xml:space="preserve"> a </w:t>
      </w:r>
      <w:proofErr w:type="spellStart"/>
      <w:r w:rsidRPr="00450621">
        <w:rPr>
          <w:sz w:val="22"/>
          <w:szCs w:val="22"/>
        </w:rPr>
        <w:t>tricyklické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antidepresíva</w:t>
      </w:r>
      <w:proofErr w:type="spellEnd"/>
      <w:r w:rsidRPr="00450621">
        <w:rPr>
          <w:sz w:val="22"/>
          <w:szCs w:val="22"/>
        </w:rPr>
        <w:t xml:space="preserve">, môžu zvýšiť </w:t>
      </w:r>
      <w:proofErr w:type="spellStart"/>
      <w:r w:rsidRPr="00450621">
        <w:rPr>
          <w:sz w:val="22"/>
          <w:szCs w:val="22"/>
        </w:rPr>
        <w:t>hepatotoxicitu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paracetamolu</w:t>
      </w:r>
      <w:proofErr w:type="spellEnd"/>
      <w:r w:rsidRPr="00450621">
        <w:rPr>
          <w:sz w:val="22"/>
          <w:szCs w:val="22"/>
        </w:rPr>
        <w:t>, najmä po predávkovaní.</w:t>
      </w:r>
    </w:p>
    <w:p w:rsidR="003104CE" w:rsidRPr="00450621" w:rsidRDefault="003104CE" w:rsidP="00C35DA7">
      <w:pPr>
        <w:pStyle w:val="Zkladntext"/>
        <w:jc w:val="left"/>
        <w:rPr>
          <w:b/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Rýchlosť absorpcie </w:t>
      </w:r>
      <w:proofErr w:type="spellStart"/>
      <w:r w:rsidRPr="00450621">
        <w:rPr>
          <w:sz w:val="22"/>
          <w:szCs w:val="22"/>
        </w:rPr>
        <w:t>paracetamolu</w:t>
      </w:r>
      <w:proofErr w:type="spellEnd"/>
      <w:r w:rsidRPr="00450621">
        <w:rPr>
          <w:sz w:val="22"/>
          <w:szCs w:val="22"/>
        </w:rPr>
        <w:t xml:space="preserve"> môže byť znížená </w:t>
      </w:r>
      <w:proofErr w:type="spellStart"/>
      <w:r w:rsidRPr="00450621">
        <w:rPr>
          <w:sz w:val="22"/>
          <w:szCs w:val="22"/>
        </w:rPr>
        <w:t>anticholinergickými</w:t>
      </w:r>
      <w:proofErr w:type="spellEnd"/>
      <w:r w:rsidRPr="00450621">
        <w:rPr>
          <w:sz w:val="22"/>
          <w:szCs w:val="22"/>
        </w:rPr>
        <w:t xml:space="preserve"> látkami (napr. </w:t>
      </w:r>
      <w:proofErr w:type="spellStart"/>
      <w:r w:rsidRPr="00450621">
        <w:rPr>
          <w:sz w:val="22"/>
          <w:szCs w:val="22"/>
        </w:rPr>
        <w:t>glykopyron</w:t>
      </w:r>
      <w:proofErr w:type="spellEnd"/>
      <w:r w:rsidRPr="00450621">
        <w:rPr>
          <w:sz w:val="22"/>
          <w:szCs w:val="22"/>
        </w:rPr>
        <w:t xml:space="preserve">, </w:t>
      </w:r>
      <w:proofErr w:type="spellStart"/>
      <w:r w:rsidRPr="00450621">
        <w:rPr>
          <w:sz w:val="22"/>
          <w:szCs w:val="22"/>
        </w:rPr>
        <w:t>propantelín</w:t>
      </w:r>
      <w:proofErr w:type="spellEnd"/>
      <w:r w:rsidRPr="00450621">
        <w:rPr>
          <w:sz w:val="22"/>
          <w:szCs w:val="22"/>
        </w:rPr>
        <w:t xml:space="preserve">), alebo pri súčasnej liečbe </w:t>
      </w:r>
      <w:proofErr w:type="spellStart"/>
      <w:r w:rsidR="00AF3448">
        <w:rPr>
          <w:sz w:val="22"/>
          <w:szCs w:val="22"/>
        </w:rPr>
        <w:t>k</w:t>
      </w:r>
      <w:r w:rsidRPr="00450621">
        <w:rPr>
          <w:sz w:val="22"/>
          <w:szCs w:val="22"/>
        </w:rPr>
        <w:t>olestyramínom</w:t>
      </w:r>
      <w:proofErr w:type="spellEnd"/>
      <w:r w:rsidRPr="00450621">
        <w:rPr>
          <w:sz w:val="22"/>
          <w:szCs w:val="22"/>
        </w:rPr>
        <w:t xml:space="preserve"> a pri súčasnom užívaní </w:t>
      </w:r>
      <w:proofErr w:type="spellStart"/>
      <w:r w:rsidRPr="00450621">
        <w:rPr>
          <w:sz w:val="22"/>
          <w:szCs w:val="22"/>
        </w:rPr>
        <w:t>metoklopramidu</w:t>
      </w:r>
      <w:proofErr w:type="spellEnd"/>
      <w:r w:rsidRPr="00450621">
        <w:rPr>
          <w:sz w:val="22"/>
          <w:szCs w:val="22"/>
        </w:rPr>
        <w:t xml:space="preserve"> alebo </w:t>
      </w:r>
      <w:proofErr w:type="spellStart"/>
      <w:r w:rsidRPr="00450621">
        <w:rPr>
          <w:sz w:val="22"/>
          <w:szCs w:val="22"/>
        </w:rPr>
        <w:t>domperidónu</w:t>
      </w:r>
      <w:proofErr w:type="spellEnd"/>
      <w:r w:rsidRPr="00450621">
        <w:rPr>
          <w:sz w:val="22"/>
          <w:szCs w:val="22"/>
        </w:rPr>
        <w:t>.</w:t>
      </w:r>
    </w:p>
    <w:p w:rsidR="003104CE" w:rsidRPr="00450621" w:rsidRDefault="003104CE" w:rsidP="00C35DA7">
      <w:pPr>
        <w:pStyle w:val="Zkladntext"/>
        <w:jc w:val="left"/>
        <w:rPr>
          <w:b/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Izoniazid</w:t>
      </w:r>
      <w:proofErr w:type="spellEnd"/>
      <w:r w:rsidRPr="00450621">
        <w:rPr>
          <w:sz w:val="22"/>
          <w:szCs w:val="22"/>
        </w:rPr>
        <w:t xml:space="preserve"> znižuje </w:t>
      </w:r>
      <w:proofErr w:type="spellStart"/>
      <w:r w:rsidRPr="00450621">
        <w:rPr>
          <w:sz w:val="22"/>
          <w:szCs w:val="22"/>
        </w:rPr>
        <w:t>klírens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paracetamolu</w:t>
      </w:r>
      <w:proofErr w:type="spellEnd"/>
      <w:r w:rsidRPr="00450621">
        <w:rPr>
          <w:sz w:val="22"/>
          <w:szCs w:val="22"/>
        </w:rPr>
        <w:t xml:space="preserve"> s možným zosilnením účinku a/alebo toxicity, nakoľko </w:t>
      </w:r>
      <w:proofErr w:type="spellStart"/>
      <w:r w:rsidRPr="00450621">
        <w:rPr>
          <w:sz w:val="22"/>
          <w:szCs w:val="22"/>
        </w:rPr>
        <w:t>inhibuje</w:t>
      </w:r>
      <w:proofErr w:type="spellEnd"/>
      <w:r w:rsidRPr="00450621">
        <w:rPr>
          <w:sz w:val="22"/>
          <w:szCs w:val="22"/>
        </w:rPr>
        <w:t xml:space="preserve"> jeho metabolizmus v pečeni. </w:t>
      </w:r>
    </w:p>
    <w:p w:rsidR="003104CE" w:rsidRPr="00450621" w:rsidRDefault="003104CE" w:rsidP="00C35DA7">
      <w:pPr>
        <w:pStyle w:val="Zkladntext"/>
        <w:jc w:val="left"/>
        <w:rPr>
          <w:b/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Dlhodobé pravidelné denné užívanie </w:t>
      </w:r>
      <w:proofErr w:type="spellStart"/>
      <w:r w:rsidRPr="00450621">
        <w:rPr>
          <w:sz w:val="22"/>
          <w:szCs w:val="22"/>
        </w:rPr>
        <w:t>paracetamolu</w:t>
      </w:r>
      <w:proofErr w:type="spellEnd"/>
      <w:r w:rsidRPr="00450621">
        <w:rPr>
          <w:sz w:val="22"/>
          <w:szCs w:val="22"/>
        </w:rPr>
        <w:t xml:space="preserve"> môže zvyšovať </w:t>
      </w:r>
      <w:proofErr w:type="spellStart"/>
      <w:r w:rsidRPr="00450621">
        <w:rPr>
          <w:sz w:val="22"/>
          <w:szCs w:val="22"/>
        </w:rPr>
        <w:t>antikoagulačný</w:t>
      </w:r>
      <w:proofErr w:type="spellEnd"/>
      <w:r w:rsidRPr="00450621">
        <w:rPr>
          <w:sz w:val="22"/>
          <w:szCs w:val="22"/>
        </w:rPr>
        <w:t xml:space="preserve"> účinok </w:t>
      </w:r>
      <w:proofErr w:type="spellStart"/>
      <w:r w:rsidRPr="00450621">
        <w:rPr>
          <w:sz w:val="22"/>
          <w:szCs w:val="22"/>
        </w:rPr>
        <w:t>warfarínu</w:t>
      </w:r>
      <w:proofErr w:type="spellEnd"/>
      <w:r w:rsidRPr="00450621">
        <w:rPr>
          <w:sz w:val="22"/>
          <w:szCs w:val="22"/>
        </w:rPr>
        <w:t xml:space="preserve"> a iných derivátov </w:t>
      </w:r>
      <w:proofErr w:type="spellStart"/>
      <w:r w:rsidRPr="00450621">
        <w:rPr>
          <w:sz w:val="22"/>
          <w:szCs w:val="22"/>
        </w:rPr>
        <w:t>kumarínu</w:t>
      </w:r>
      <w:proofErr w:type="spellEnd"/>
      <w:r w:rsidRPr="00450621">
        <w:rPr>
          <w:b/>
          <w:sz w:val="22"/>
          <w:szCs w:val="22"/>
        </w:rPr>
        <w:t xml:space="preserve">. </w:t>
      </w:r>
      <w:r w:rsidRPr="00450621">
        <w:rPr>
          <w:sz w:val="22"/>
          <w:szCs w:val="22"/>
        </w:rPr>
        <w:t>Môže tak byť zvýšené riziko krvácania</w:t>
      </w:r>
      <w:r w:rsidRPr="00450621">
        <w:rPr>
          <w:b/>
          <w:sz w:val="22"/>
          <w:szCs w:val="22"/>
        </w:rPr>
        <w:t xml:space="preserve">. </w:t>
      </w:r>
      <w:r w:rsidRPr="00450621">
        <w:rPr>
          <w:sz w:val="22"/>
          <w:szCs w:val="22"/>
        </w:rPr>
        <w:t>Občasné dávky nemajú zásadný vplyv.</w:t>
      </w:r>
    </w:p>
    <w:p w:rsidR="003104CE" w:rsidRPr="00450621" w:rsidRDefault="003104CE" w:rsidP="00C35DA7">
      <w:pPr>
        <w:pStyle w:val="Zkladntext"/>
        <w:jc w:val="left"/>
        <w:rPr>
          <w:b/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b/>
          <w:sz w:val="22"/>
          <w:szCs w:val="22"/>
        </w:rPr>
      </w:pPr>
      <w:proofErr w:type="spellStart"/>
      <w:r w:rsidRPr="00450621">
        <w:rPr>
          <w:sz w:val="22"/>
          <w:szCs w:val="22"/>
        </w:rPr>
        <w:t>Probenecid</w:t>
      </w:r>
      <w:proofErr w:type="spellEnd"/>
      <w:r w:rsidRPr="00450621">
        <w:rPr>
          <w:sz w:val="22"/>
          <w:szCs w:val="22"/>
        </w:rPr>
        <w:t xml:space="preserve"> zabraňuje viazaniu </w:t>
      </w:r>
      <w:proofErr w:type="spellStart"/>
      <w:r w:rsidRPr="00450621">
        <w:rPr>
          <w:sz w:val="22"/>
          <w:szCs w:val="22"/>
        </w:rPr>
        <w:t>paracetamolu</w:t>
      </w:r>
      <w:proofErr w:type="spellEnd"/>
      <w:r w:rsidRPr="00450621">
        <w:rPr>
          <w:sz w:val="22"/>
          <w:szCs w:val="22"/>
        </w:rPr>
        <w:t xml:space="preserve"> na kyselinu </w:t>
      </w:r>
      <w:proofErr w:type="spellStart"/>
      <w:r w:rsidRPr="00450621">
        <w:rPr>
          <w:sz w:val="22"/>
          <w:szCs w:val="22"/>
        </w:rPr>
        <w:t>glukurónovú</w:t>
      </w:r>
      <w:proofErr w:type="spellEnd"/>
      <w:r w:rsidRPr="00450621">
        <w:rPr>
          <w:sz w:val="22"/>
          <w:szCs w:val="22"/>
        </w:rPr>
        <w:t xml:space="preserve"> a tak znižuje jeho </w:t>
      </w:r>
      <w:proofErr w:type="spellStart"/>
      <w:r w:rsidRPr="00450621">
        <w:rPr>
          <w:sz w:val="22"/>
          <w:szCs w:val="22"/>
        </w:rPr>
        <w:t>klírens</w:t>
      </w:r>
      <w:proofErr w:type="spellEnd"/>
      <w:r w:rsidRPr="00450621">
        <w:rPr>
          <w:sz w:val="22"/>
          <w:szCs w:val="22"/>
        </w:rPr>
        <w:t>.</w:t>
      </w:r>
    </w:p>
    <w:p w:rsidR="003104CE" w:rsidRPr="00450621" w:rsidRDefault="003104CE" w:rsidP="00C35DA7">
      <w:pPr>
        <w:pStyle w:val="Zkladntext"/>
        <w:jc w:val="left"/>
        <w:rPr>
          <w:b/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Pravidelné užívanie </w:t>
      </w:r>
      <w:proofErr w:type="spellStart"/>
      <w:r w:rsidRPr="00450621">
        <w:rPr>
          <w:sz w:val="22"/>
          <w:szCs w:val="22"/>
        </w:rPr>
        <w:t>paracetamolu</w:t>
      </w:r>
      <w:proofErr w:type="spellEnd"/>
      <w:r w:rsidRPr="00450621">
        <w:rPr>
          <w:sz w:val="22"/>
          <w:szCs w:val="22"/>
        </w:rPr>
        <w:t xml:space="preserve"> môže znížiť metabolizmus </w:t>
      </w:r>
      <w:proofErr w:type="spellStart"/>
      <w:r w:rsidRPr="00450621">
        <w:rPr>
          <w:sz w:val="22"/>
          <w:szCs w:val="22"/>
        </w:rPr>
        <w:t>zidovudínu</w:t>
      </w:r>
      <w:proofErr w:type="spellEnd"/>
      <w:r w:rsidRPr="00450621">
        <w:rPr>
          <w:sz w:val="22"/>
          <w:szCs w:val="22"/>
        </w:rPr>
        <w:t xml:space="preserve"> (zvýšené riziko </w:t>
      </w:r>
      <w:proofErr w:type="spellStart"/>
      <w:r w:rsidRPr="00450621">
        <w:rPr>
          <w:sz w:val="22"/>
          <w:szCs w:val="22"/>
        </w:rPr>
        <w:t>neutropénie</w:t>
      </w:r>
      <w:proofErr w:type="spellEnd"/>
      <w:r w:rsidRPr="00450621">
        <w:rPr>
          <w:sz w:val="22"/>
          <w:szCs w:val="22"/>
        </w:rPr>
        <w:t>).</w:t>
      </w:r>
    </w:p>
    <w:p w:rsidR="003104CE" w:rsidRPr="00450621" w:rsidRDefault="003104CE" w:rsidP="00C35DA7">
      <w:pPr>
        <w:pStyle w:val="Zkladntext"/>
        <w:jc w:val="left"/>
        <w:rPr>
          <w:b/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>Tieto interakcie nie sú klinicky významné, v prípade že sa liek užíva v odporúčanej dávke a v odporúčanej dĺžke liečby.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b/>
          <w:sz w:val="22"/>
          <w:szCs w:val="22"/>
        </w:rPr>
      </w:pPr>
      <w:proofErr w:type="spellStart"/>
      <w:r w:rsidRPr="00450621">
        <w:rPr>
          <w:b/>
          <w:sz w:val="22"/>
          <w:szCs w:val="22"/>
        </w:rPr>
        <w:t>Feniramín</w:t>
      </w:r>
      <w:proofErr w:type="spellEnd"/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>Sú</w:t>
      </w:r>
      <w:r w:rsidR="00E00E85" w:rsidRPr="00450621">
        <w:rPr>
          <w:sz w:val="22"/>
          <w:szCs w:val="22"/>
        </w:rPr>
        <w:t>bežné</w:t>
      </w:r>
      <w:r w:rsidRPr="00450621">
        <w:rPr>
          <w:sz w:val="22"/>
          <w:szCs w:val="22"/>
        </w:rPr>
        <w:t xml:space="preserve"> užívanie derivátov </w:t>
      </w:r>
      <w:proofErr w:type="spellStart"/>
      <w:r w:rsidRPr="00450621">
        <w:rPr>
          <w:sz w:val="22"/>
          <w:szCs w:val="22"/>
        </w:rPr>
        <w:t>morfínu</w:t>
      </w:r>
      <w:proofErr w:type="spellEnd"/>
      <w:r w:rsidRPr="00450621">
        <w:rPr>
          <w:sz w:val="22"/>
          <w:szCs w:val="22"/>
        </w:rPr>
        <w:t xml:space="preserve"> (analgetiká, </w:t>
      </w:r>
      <w:proofErr w:type="spellStart"/>
      <w:r w:rsidRPr="00450621">
        <w:rPr>
          <w:sz w:val="22"/>
          <w:szCs w:val="22"/>
        </w:rPr>
        <w:t>antitusiká</w:t>
      </w:r>
      <w:proofErr w:type="spellEnd"/>
      <w:r w:rsidRPr="00450621">
        <w:rPr>
          <w:sz w:val="22"/>
          <w:szCs w:val="22"/>
        </w:rPr>
        <w:t xml:space="preserve"> a substitučná liečba), </w:t>
      </w:r>
      <w:proofErr w:type="spellStart"/>
      <w:r w:rsidRPr="00450621">
        <w:rPr>
          <w:sz w:val="22"/>
          <w:szCs w:val="22"/>
        </w:rPr>
        <w:t>antipsychotík</w:t>
      </w:r>
      <w:proofErr w:type="spellEnd"/>
      <w:r w:rsidRPr="00450621">
        <w:rPr>
          <w:sz w:val="22"/>
          <w:szCs w:val="22"/>
        </w:rPr>
        <w:t xml:space="preserve">, barbiturátov, </w:t>
      </w:r>
      <w:proofErr w:type="spellStart"/>
      <w:r w:rsidRPr="00450621">
        <w:rPr>
          <w:sz w:val="22"/>
          <w:szCs w:val="22"/>
        </w:rPr>
        <w:t>benzodiazepínov</w:t>
      </w:r>
      <w:proofErr w:type="spellEnd"/>
      <w:r w:rsidRPr="00450621">
        <w:rPr>
          <w:sz w:val="22"/>
          <w:szCs w:val="22"/>
        </w:rPr>
        <w:t xml:space="preserve">, </w:t>
      </w:r>
      <w:proofErr w:type="spellStart"/>
      <w:r w:rsidRPr="00450621">
        <w:rPr>
          <w:sz w:val="22"/>
          <w:szCs w:val="22"/>
        </w:rPr>
        <w:t>anx</w:t>
      </w:r>
      <w:r w:rsidR="00AF3448">
        <w:rPr>
          <w:sz w:val="22"/>
          <w:szCs w:val="22"/>
        </w:rPr>
        <w:t>i</w:t>
      </w:r>
      <w:r w:rsidRPr="00450621">
        <w:rPr>
          <w:sz w:val="22"/>
          <w:szCs w:val="22"/>
        </w:rPr>
        <w:t>ol</w:t>
      </w:r>
      <w:r w:rsidR="00AF3448">
        <w:rPr>
          <w:sz w:val="22"/>
          <w:szCs w:val="22"/>
        </w:rPr>
        <w:t>y</w:t>
      </w:r>
      <w:r w:rsidRPr="00450621">
        <w:rPr>
          <w:sz w:val="22"/>
          <w:szCs w:val="22"/>
        </w:rPr>
        <w:t>tík</w:t>
      </w:r>
      <w:proofErr w:type="spellEnd"/>
      <w:r w:rsidRPr="00450621">
        <w:rPr>
          <w:sz w:val="22"/>
          <w:szCs w:val="22"/>
        </w:rPr>
        <w:t xml:space="preserve"> iných ako </w:t>
      </w:r>
      <w:proofErr w:type="spellStart"/>
      <w:r w:rsidRPr="00450621">
        <w:rPr>
          <w:sz w:val="22"/>
          <w:szCs w:val="22"/>
        </w:rPr>
        <w:t>benzodiazepíny</w:t>
      </w:r>
      <w:proofErr w:type="spellEnd"/>
      <w:r w:rsidRPr="00450621">
        <w:rPr>
          <w:sz w:val="22"/>
          <w:szCs w:val="22"/>
        </w:rPr>
        <w:t xml:space="preserve"> (napr. </w:t>
      </w:r>
      <w:proofErr w:type="spellStart"/>
      <w:r w:rsidRPr="00450621">
        <w:rPr>
          <w:sz w:val="22"/>
          <w:szCs w:val="22"/>
        </w:rPr>
        <w:t>meprobamát</w:t>
      </w:r>
      <w:proofErr w:type="spellEnd"/>
      <w:r w:rsidRPr="00450621">
        <w:rPr>
          <w:sz w:val="22"/>
          <w:szCs w:val="22"/>
        </w:rPr>
        <w:t xml:space="preserve">), hypnotík, sedatívnych </w:t>
      </w:r>
      <w:proofErr w:type="spellStart"/>
      <w:r w:rsidRPr="00450621">
        <w:rPr>
          <w:sz w:val="22"/>
          <w:szCs w:val="22"/>
        </w:rPr>
        <w:t>antidepresív</w:t>
      </w:r>
      <w:proofErr w:type="spellEnd"/>
      <w:r w:rsidRPr="00450621">
        <w:rPr>
          <w:sz w:val="22"/>
          <w:szCs w:val="22"/>
        </w:rPr>
        <w:t xml:space="preserve"> (</w:t>
      </w:r>
      <w:proofErr w:type="spellStart"/>
      <w:r w:rsidRPr="00450621">
        <w:rPr>
          <w:sz w:val="22"/>
          <w:szCs w:val="22"/>
        </w:rPr>
        <w:t>amitriptylín</w:t>
      </w:r>
      <w:proofErr w:type="spellEnd"/>
      <w:r w:rsidRPr="00450621">
        <w:rPr>
          <w:sz w:val="22"/>
          <w:szCs w:val="22"/>
        </w:rPr>
        <w:t xml:space="preserve">, </w:t>
      </w:r>
      <w:proofErr w:type="spellStart"/>
      <w:r w:rsidRPr="00450621">
        <w:rPr>
          <w:sz w:val="22"/>
          <w:szCs w:val="22"/>
        </w:rPr>
        <w:t>doxep</w:t>
      </w:r>
      <w:r w:rsidR="00E00E85" w:rsidRPr="00450621">
        <w:rPr>
          <w:sz w:val="22"/>
          <w:szCs w:val="22"/>
        </w:rPr>
        <w:t>í</w:t>
      </w:r>
      <w:r w:rsidRPr="00450621">
        <w:rPr>
          <w:sz w:val="22"/>
          <w:szCs w:val="22"/>
        </w:rPr>
        <w:t>n</w:t>
      </w:r>
      <w:proofErr w:type="spellEnd"/>
      <w:r w:rsidRPr="00450621">
        <w:rPr>
          <w:sz w:val="22"/>
          <w:szCs w:val="22"/>
        </w:rPr>
        <w:t xml:space="preserve">, </w:t>
      </w:r>
      <w:proofErr w:type="spellStart"/>
      <w:r w:rsidRPr="00450621">
        <w:rPr>
          <w:sz w:val="22"/>
          <w:szCs w:val="22"/>
        </w:rPr>
        <w:t>mianserín</w:t>
      </w:r>
      <w:proofErr w:type="spellEnd"/>
      <w:r w:rsidRPr="00450621">
        <w:rPr>
          <w:sz w:val="22"/>
          <w:szCs w:val="22"/>
        </w:rPr>
        <w:t xml:space="preserve">, </w:t>
      </w:r>
      <w:proofErr w:type="spellStart"/>
      <w:r w:rsidRPr="00450621">
        <w:rPr>
          <w:sz w:val="22"/>
          <w:szCs w:val="22"/>
        </w:rPr>
        <w:t>mirtazapín</w:t>
      </w:r>
      <w:proofErr w:type="spellEnd"/>
      <w:r w:rsidRPr="00450621">
        <w:rPr>
          <w:sz w:val="22"/>
          <w:szCs w:val="22"/>
        </w:rPr>
        <w:t xml:space="preserve">, </w:t>
      </w:r>
      <w:proofErr w:type="spellStart"/>
      <w:r w:rsidRPr="00450621">
        <w:rPr>
          <w:sz w:val="22"/>
          <w:szCs w:val="22"/>
        </w:rPr>
        <w:t>trimipram</w:t>
      </w:r>
      <w:r w:rsidR="00AF3448">
        <w:rPr>
          <w:sz w:val="22"/>
          <w:szCs w:val="22"/>
        </w:rPr>
        <w:t>í</w:t>
      </w:r>
      <w:r w:rsidRPr="00450621">
        <w:rPr>
          <w:sz w:val="22"/>
          <w:szCs w:val="22"/>
        </w:rPr>
        <w:t>n</w:t>
      </w:r>
      <w:proofErr w:type="spellEnd"/>
      <w:r w:rsidRPr="00450621">
        <w:rPr>
          <w:sz w:val="22"/>
          <w:szCs w:val="22"/>
        </w:rPr>
        <w:t xml:space="preserve">), sedatívnych H1 </w:t>
      </w:r>
      <w:proofErr w:type="spellStart"/>
      <w:r w:rsidRPr="00450621">
        <w:rPr>
          <w:sz w:val="22"/>
          <w:szCs w:val="22"/>
        </w:rPr>
        <w:t>antihistaminík</w:t>
      </w:r>
      <w:proofErr w:type="spellEnd"/>
      <w:r w:rsidRPr="00450621">
        <w:rPr>
          <w:sz w:val="22"/>
          <w:szCs w:val="22"/>
        </w:rPr>
        <w:t xml:space="preserve">, centrálnych </w:t>
      </w:r>
      <w:proofErr w:type="spellStart"/>
      <w:r w:rsidRPr="00450621">
        <w:rPr>
          <w:sz w:val="22"/>
          <w:szCs w:val="22"/>
        </w:rPr>
        <w:t>antihypertenzív</w:t>
      </w:r>
      <w:proofErr w:type="spellEnd"/>
      <w:r w:rsidRPr="00450621">
        <w:rPr>
          <w:sz w:val="22"/>
          <w:szCs w:val="22"/>
        </w:rPr>
        <w:t xml:space="preserve">, </w:t>
      </w:r>
      <w:proofErr w:type="spellStart"/>
      <w:r w:rsidRPr="00450621">
        <w:rPr>
          <w:sz w:val="22"/>
          <w:szCs w:val="22"/>
        </w:rPr>
        <w:t>baklofénu</w:t>
      </w:r>
      <w:proofErr w:type="spellEnd"/>
      <w:r w:rsidRPr="00450621">
        <w:rPr>
          <w:sz w:val="22"/>
          <w:szCs w:val="22"/>
        </w:rPr>
        <w:t xml:space="preserve"> a </w:t>
      </w:r>
      <w:proofErr w:type="spellStart"/>
      <w:r w:rsidRPr="00450621">
        <w:rPr>
          <w:sz w:val="22"/>
          <w:szCs w:val="22"/>
        </w:rPr>
        <w:t>talidomidu</w:t>
      </w:r>
      <w:proofErr w:type="spellEnd"/>
      <w:r w:rsidRPr="00450621">
        <w:rPr>
          <w:sz w:val="22"/>
          <w:szCs w:val="22"/>
        </w:rPr>
        <w:t xml:space="preserve"> môže zvýšiť útlm centrálneho nervového systému. Schopnosť riadiť a obsluhovať stroje môže byť znížená.</w:t>
      </w:r>
    </w:p>
    <w:p w:rsidR="003104CE" w:rsidRPr="00450621" w:rsidRDefault="003104CE" w:rsidP="00C35DA7">
      <w:pPr>
        <w:pStyle w:val="Zkladntext"/>
        <w:jc w:val="left"/>
        <w:rPr>
          <w:b/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>Sú</w:t>
      </w:r>
      <w:r w:rsidR="00E00E85" w:rsidRPr="00450621">
        <w:rPr>
          <w:sz w:val="22"/>
          <w:szCs w:val="22"/>
        </w:rPr>
        <w:t>bežné</w:t>
      </w:r>
      <w:r w:rsidRPr="00450621">
        <w:rPr>
          <w:sz w:val="22"/>
          <w:szCs w:val="22"/>
        </w:rPr>
        <w:t xml:space="preserve"> užívanie iných atropínových derivátov ako sú </w:t>
      </w:r>
      <w:proofErr w:type="spellStart"/>
      <w:r w:rsidRPr="00450621">
        <w:rPr>
          <w:sz w:val="22"/>
          <w:szCs w:val="22"/>
        </w:rPr>
        <w:t>tricyklické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antidepresíva</w:t>
      </w:r>
      <w:proofErr w:type="spellEnd"/>
      <w:r w:rsidRPr="00450621">
        <w:rPr>
          <w:sz w:val="22"/>
          <w:szCs w:val="22"/>
        </w:rPr>
        <w:t xml:space="preserve">, väčšina atropínových H1 </w:t>
      </w:r>
      <w:proofErr w:type="spellStart"/>
      <w:r w:rsidRPr="00450621">
        <w:rPr>
          <w:sz w:val="22"/>
          <w:szCs w:val="22"/>
        </w:rPr>
        <w:t>antihistaminík</w:t>
      </w:r>
      <w:proofErr w:type="spellEnd"/>
      <w:r w:rsidRPr="00450621">
        <w:rPr>
          <w:sz w:val="22"/>
          <w:szCs w:val="22"/>
        </w:rPr>
        <w:t xml:space="preserve">, </w:t>
      </w:r>
      <w:proofErr w:type="spellStart"/>
      <w:r w:rsidRPr="00450621">
        <w:rPr>
          <w:sz w:val="22"/>
          <w:szCs w:val="22"/>
        </w:rPr>
        <w:t>anticholinergné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antiparkinsonik</w:t>
      </w:r>
      <w:r w:rsidR="00AF3448">
        <w:rPr>
          <w:sz w:val="22"/>
          <w:szCs w:val="22"/>
        </w:rPr>
        <w:t>á</w:t>
      </w:r>
      <w:proofErr w:type="spellEnd"/>
      <w:r w:rsidRPr="00450621">
        <w:rPr>
          <w:sz w:val="22"/>
          <w:szCs w:val="22"/>
        </w:rPr>
        <w:t xml:space="preserve">, </w:t>
      </w:r>
      <w:proofErr w:type="spellStart"/>
      <w:r w:rsidRPr="00450621">
        <w:rPr>
          <w:sz w:val="22"/>
          <w:szCs w:val="22"/>
        </w:rPr>
        <w:t>antispazmodické</w:t>
      </w:r>
      <w:proofErr w:type="spellEnd"/>
      <w:r w:rsidRPr="00450621">
        <w:rPr>
          <w:sz w:val="22"/>
          <w:szCs w:val="22"/>
        </w:rPr>
        <w:t xml:space="preserve"> atropíny, </w:t>
      </w:r>
      <w:proofErr w:type="spellStart"/>
      <w:r w:rsidRPr="00450621">
        <w:rPr>
          <w:sz w:val="22"/>
          <w:szCs w:val="22"/>
        </w:rPr>
        <w:t>dizopyramid</w:t>
      </w:r>
      <w:proofErr w:type="spellEnd"/>
      <w:r w:rsidRPr="00450621">
        <w:rPr>
          <w:sz w:val="22"/>
          <w:szCs w:val="22"/>
        </w:rPr>
        <w:t xml:space="preserve">, </w:t>
      </w:r>
      <w:proofErr w:type="spellStart"/>
      <w:r w:rsidRPr="00450621">
        <w:rPr>
          <w:sz w:val="22"/>
          <w:szCs w:val="22"/>
        </w:rPr>
        <w:t>fenotiazínové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neuroleptiká</w:t>
      </w:r>
      <w:proofErr w:type="spellEnd"/>
      <w:r w:rsidRPr="00450621">
        <w:rPr>
          <w:sz w:val="22"/>
          <w:szCs w:val="22"/>
        </w:rPr>
        <w:t xml:space="preserve"> rovnako ako aj </w:t>
      </w:r>
      <w:proofErr w:type="spellStart"/>
      <w:r w:rsidRPr="00450621">
        <w:rPr>
          <w:sz w:val="22"/>
          <w:szCs w:val="22"/>
        </w:rPr>
        <w:t>klozapín</w:t>
      </w:r>
      <w:proofErr w:type="spellEnd"/>
      <w:r w:rsidRPr="00450621">
        <w:rPr>
          <w:sz w:val="22"/>
          <w:szCs w:val="22"/>
        </w:rPr>
        <w:t xml:space="preserve"> môžu vyvolať atropínové nežiaduce účinky, ako je zadržiavanie moču, zápcha, sucho v ústach.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rPr>
          <w:noProof/>
          <w:sz w:val="22"/>
          <w:szCs w:val="22"/>
        </w:rPr>
      </w:pPr>
      <w:r w:rsidRPr="00450621">
        <w:rPr>
          <w:b/>
          <w:noProof/>
          <w:sz w:val="22"/>
          <w:szCs w:val="22"/>
        </w:rPr>
        <w:t>4.6</w:t>
      </w:r>
      <w:r w:rsidRPr="00450621">
        <w:rPr>
          <w:b/>
          <w:noProof/>
          <w:sz w:val="22"/>
          <w:szCs w:val="22"/>
        </w:rPr>
        <w:tab/>
        <w:t>Fertilita, gravidita a laktácia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  <w:u w:val="single"/>
        </w:rPr>
      </w:pPr>
      <w:r w:rsidRPr="00450621">
        <w:rPr>
          <w:sz w:val="22"/>
          <w:szCs w:val="22"/>
          <w:u w:val="single"/>
        </w:rPr>
        <w:t>Gravidita a </w:t>
      </w:r>
      <w:proofErr w:type="spellStart"/>
      <w:r w:rsidRPr="00450621">
        <w:rPr>
          <w:sz w:val="22"/>
          <w:szCs w:val="22"/>
          <w:u w:val="single"/>
        </w:rPr>
        <w:t>fertilita</w:t>
      </w:r>
      <w:proofErr w:type="spellEnd"/>
    </w:p>
    <w:p w:rsidR="00A357D1" w:rsidRDefault="00A357D1" w:rsidP="00C35DA7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Veľké množstvo údajov od tehotných žien nepoukazuje na </w:t>
      </w:r>
      <w:proofErr w:type="spellStart"/>
      <w:r>
        <w:rPr>
          <w:sz w:val="22"/>
          <w:szCs w:val="22"/>
        </w:rPr>
        <w:t>malformačnú</w:t>
      </w:r>
      <w:proofErr w:type="spellEnd"/>
      <w:r>
        <w:rPr>
          <w:sz w:val="22"/>
          <w:szCs w:val="22"/>
        </w:rPr>
        <w:t xml:space="preserve"> ani </w:t>
      </w:r>
      <w:proofErr w:type="spellStart"/>
      <w:r>
        <w:rPr>
          <w:sz w:val="22"/>
          <w:szCs w:val="22"/>
        </w:rPr>
        <w:t>feto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neonatálnu</w:t>
      </w:r>
      <w:proofErr w:type="spellEnd"/>
      <w:r>
        <w:rPr>
          <w:sz w:val="22"/>
          <w:szCs w:val="22"/>
        </w:rPr>
        <w:t xml:space="preserve"> toxicitu.</w:t>
      </w:r>
      <w:r w:rsidR="00E94120">
        <w:rPr>
          <w:sz w:val="22"/>
          <w:szCs w:val="22"/>
        </w:rPr>
        <w:t xml:space="preserve"> </w:t>
      </w:r>
      <w:r w:rsidR="00F40254">
        <w:rPr>
          <w:sz w:val="22"/>
          <w:szCs w:val="22"/>
        </w:rPr>
        <w:t xml:space="preserve">Epidemiologické štúdie týkajúce sa vývinu nervovej sústavy u detí vystavených </w:t>
      </w:r>
      <w:proofErr w:type="spellStart"/>
      <w:r w:rsidR="00F40254">
        <w:rPr>
          <w:sz w:val="22"/>
          <w:szCs w:val="22"/>
        </w:rPr>
        <w:t>paracetamolu</w:t>
      </w:r>
      <w:proofErr w:type="spellEnd"/>
      <w:r w:rsidR="00F40254">
        <w:rPr>
          <w:sz w:val="22"/>
          <w:szCs w:val="22"/>
        </w:rPr>
        <w:t xml:space="preserve"> </w:t>
      </w:r>
      <w:r w:rsidR="00F40254" w:rsidRPr="00CE6C07">
        <w:rPr>
          <w:i/>
          <w:iCs/>
          <w:sz w:val="22"/>
          <w:szCs w:val="22"/>
        </w:rPr>
        <w:t xml:space="preserve">in </w:t>
      </w:r>
      <w:proofErr w:type="spellStart"/>
      <w:r w:rsidR="00F40254" w:rsidRPr="00CE6C07">
        <w:rPr>
          <w:i/>
          <w:iCs/>
          <w:sz w:val="22"/>
          <w:szCs w:val="22"/>
        </w:rPr>
        <w:t>utero</w:t>
      </w:r>
      <w:proofErr w:type="spellEnd"/>
      <w:r w:rsidR="00F40254">
        <w:rPr>
          <w:i/>
          <w:iCs/>
          <w:sz w:val="22"/>
          <w:szCs w:val="22"/>
        </w:rPr>
        <w:t xml:space="preserve"> </w:t>
      </w:r>
      <w:r w:rsidR="00F40254">
        <w:rPr>
          <w:sz w:val="22"/>
          <w:szCs w:val="22"/>
        </w:rPr>
        <w:t xml:space="preserve">poskytujú nepresvedčivé výsledky. Ak je to klinicky potrebné, </w:t>
      </w:r>
      <w:proofErr w:type="spellStart"/>
      <w:r w:rsidR="00F40254">
        <w:rPr>
          <w:sz w:val="22"/>
          <w:szCs w:val="22"/>
        </w:rPr>
        <w:t>paracetamol</w:t>
      </w:r>
      <w:proofErr w:type="spellEnd"/>
      <w:r w:rsidR="00F40254">
        <w:rPr>
          <w:sz w:val="22"/>
          <w:szCs w:val="22"/>
        </w:rPr>
        <w:t xml:space="preserve"> je možné používať počas tehotenstva, má sa však používať v najnižšej účinnej dávke počas najkratšej možnej doby a v najnižšej možnej frekvencii dávkovania.</w:t>
      </w:r>
      <w:r w:rsidR="00F40254">
        <w:rPr>
          <w:i/>
          <w:iCs/>
          <w:sz w:val="22"/>
          <w:szCs w:val="22"/>
        </w:rPr>
        <w:t xml:space="preserve"> 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Štúdie na zvieratách </w:t>
      </w:r>
      <w:r w:rsidR="00E94120">
        <w:rPr>
          <w:sz w:val="22"/>
          <w:szCs w:val="22"/>
        </w:rPr>
        <w:t>s </w:t>
      </w:r>
      <w:proofErr w:type="spellStart"/>
      <w:r w:rsidR="00E94120">
        <w:rPr>
          <w:sz w:val="22"/>
          <w:szCs w:val="22"/>
        </w:rPr>
        <w:t>feniramínom</w:t>
      </w:r>
      <w:proofErr w:type="spellEnd"/>
      <w:r w:rsidR="00E94120">
        <w:rPr>
          <w:sz w:val="22"/>
          <w:szCs w:val="22"/>
        </w:rPr>
        <w:t xml:space="preserve"> </w:t>
      </w:r>
      <w:r w:rsidRPr="00450621">
        <w:rPr>
          <w:sz w:val="22"/>
          <w:szCs w:val="22"/>
        </w:rPr>
        <w:t xml:space="preserve">so zameraním na reprodukčnú toxicitu nie sú dostatočné. Užívanie tohto lieku sa počas tehotenstva neodporúča. 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450621" w:rsidP="00C35DA7">
      <w:pPr>
        <w:pStyle w:val="Zkladntext"/>
        <w:jc w:val="left"/>
        <w:rPr>
          <w:sz w:val="22"/>
          <w:szCs w:val="22"/>
          <w:u w:val="single"/>
        </w:rPr>
      </w:pPr>
      <w:r w:rsidRPr="00450621">
        <w:rPr>
          <w:sz w:val="22"/>
          <w:szCs w:val="22"/>
          <w:u w:val="single"/>
        </w:rPr>
        <w:t>Dojčenie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lastRenderedPageBreak/>
        <w:t>Paracetamol</w:t>
      </w:r>
      <w:proofErr w:type="spellEnd"/>
      <w:r w:rsidRPr="00450621">
        <w:rPr>
          <w:sz w:val="22"/>
          <w:szCs w:val="22"/>
        </w:rPr>
        <w:t xml:space="preserve"> je vylučovaný do materského mlieka, ale nie v klinicky významnom množstve. Neboli zaznamenané žiadne negatívne účinky na dojčatá. Nie je známe, či sa </w:t>
      </w:r>
      <w:proofErr w:type="spellStart"/>
      <w:r w:rsidRPr="00450621">
        <w:rPr>
          <w:sz w:val="22"/>
          <w:szCs w:val="22"/>
        </w:rPr>
        <w:t>feniramín</w:t>
      </w:r>
      <w:proofErr w:type="spellEnd"/>
      <w:r w:rsidRPr="00450621">
        <w:rPr>
          <w:sz w:val="22"/>
          <w:szCs w:val="22"/>
        </w:rPr>
        <w:t xml:space="preserve"> a jeho </w:t>
      </w:r>
      <w:proofErr w:type="spellStart"/>
      <w:r w:rsidRPr="00450621">
        <w:rPr>
          <w:sz w:val="22"/>
          <w:szCs w:val="22"/>
        </w:rPr>
        <w:t>metabolity</w:t>
      </w:r>
      <w:proofErr w:type="spellEnd"/>
      <w:r w:rsidRPr="00450621">
        <w:rPr>
          <w:sz w:val="22"/>
          <w:szCs w:val="22"/>
        </w:rPr>
        <w:t xml:space="preserve"> vylučujú do materského mlieka. Užívanie tohto lieku sa neodporúča v období dojčenia. 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keepNext/>
        <w:jc w:val="left"/>
        <w:rPr>
          <w:b/>
          <w:bCs/>
          <w:sz w:val="22"/>
          <w:szCs w:val="22"/>
        </w:rPr>
      </w:pPr>
      <w:r w:rsidRPr="00450621">
        <w:rPr>
          <w:b/>
          <w:bCs/>
          <w:sz w:val="22"/>
          <w:szCs w:val="22"/>
        </w:rPr>
        <w:t>4.7</w:t>
      </w:r>
      <w:r w:rsidRPr="00450621">
        <w:rPr>
          <w:b/>
          <w:bCs/>
          <w:sz w:val="22"/>
          <w:szCs w:val="22"/>
        </w:rPr>
        <w:tab/>
        <w:t>Ovplyvnenie schopnosti viesť vozidlá a obsluhovať stroje</w:t>
      </w:r>
    </w:p>
    <w:p w:rsidR="003104CE" w:rsidRPr="00450621" w:rsidRDefault="003104CE" w:rsidP="00C35DA7">
      <w:pPr>
        <w:pStyle w:val="Zkladntext"/>
        <w:keepNext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>Tento liek má veľký vplyv na schopnosť viesť vozidlá a obsluhovať stroje vzhľadom na možnosť výskytu ospalosti ako vedľajšieho účinku a to najmä na začiatku liečby. Tento účinok môže byť zvýšený konzumáciou alkoholických nápojov, liekov obsahujúcich alkohol a sedatív.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b/>
          <w:bCs/>
          <w:sz w:val="22"/>
          <w:szCs w:val="22"/>
        </w:rPr>
        <w:t>4.8</w:t>
      </w:r>
      <w:r w:rsidRPr="00450621">
        <w:rPr>
          <w:b/>
          <w:bCs/>
          <w:sz w:val="22"/>
          <w:szCs w:val="22"/>
        </w:rPr>
        <w:tab/>
        <w:t>Nežiaduce účinky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>Nežiaduce účinky sú uvedené nižšie podľa frekvencie. Frekvencie sú definované ako: veľmi časté (≥</w:t>
      </w:r>
      <w:r w:rsidR="00E00E85" w:rsidRPr="00450621">
        <w:rPr>
          <w:sz w:val="22"/>
          <w:szCs w:val="22"/>
        </w:rPr>
        <w:t> </w:t>
      </w:r>
      <w:r w:rsidRPr="00450621">
        <w:rPr>
          <w:sz w:val="22"/>
          <w:szCs w:val="22"/>
        </w:rPr>
        <w:t>1/10); časté (≥ 1/100 až &lt;</w:t>
      </w:r>
      <w:r w:rsidR="00E00E85" w:rsidRPr="00450621">
        <w:rPr>
          <w:sz w:val="22"/>
          <w:szCs w:val="22"/>
        </w:rPr>
        <w:t> </w:t>
      </w:r>
      <w:r w:rsidRPr="00450621">
        <w:rPr>
          <w:sz w:val="22"/>
          <w:szCs w:val="22"/>
        </w:rPr>
        <w:t>1/10); menej časté (≥ 1/1 000 až &lt;</w:t>
      </w:r>
      <w:r w:rsidR="00E00E85" w:rsidRPr="00450621">
        <w:rPr>
          <w:sz w:val="22"/>
          <w:szCs w:val="22"/>
        </w:rPr>
        <w:t> </w:t>
      </w:r>
      <w:r w:rsidRPr="00450621">
        <w:rPr>
          <w:sz w:val="22"/>
          <w:szCs w:val="22"/>
        </w:rPr>
        <w:t>1/100); zriedkavé (≥ 1/10 000 až &lt;</w:t>
      </w:r>
      <w:r w:rsidR="00E00E85" w:rsidRPr="00450621">
        <w:rPr>
          <w:sz w:val="22"/>
          <w:szCs w:val="22"/>
        </w:rPr>
        <w:t> </w:t>
      </w:r>
      <w:r w:rsidRPr="00450621">
        <w:rPr>
          <w:sz w:val="22"/>
          <w:szCs w:val="22"/>
        </w:rPr>
        <w:t>1/1</w:t>
      </w:r>
      <w:r w:rsidR="00E00E85" w:rsidRPr="00450621">
        <w:rPr>
          <w:sz w:val="22"/>
          <w:szCs w:val="22"/>
        </w:rPr>
        <w:t> </w:t>
      </w:r>
      <w:r w:rsidRPr="00450621">
        <w:rPr>
          <w:sz w:val="22"/>
          <w:szCs w:val="22"/>
        </w:rPr>
        <w:t>000); veľmi zriedkavé (&lt;</w:t>
      </w:r>
      <w:r w:rsidR="00E00E85" w:rsidRPr="00450621">
        <w:rPr>
          <w:sz w:val="22"/>
          <w:szCs w:val="22"/>
        </w:rPr>
        <w:t> </w:t>
      </w:r>
      <w:r w:rsidRPr="00450621">
        <w:rPr>
          <w:sz w:val="22"/>
          <w:szCs w:val="22"/>
        </w:rPr>
        <w:t>1/10 000), neznáme (z dostupných údajov).</w:t>
      </w:r>
    </w:p>
    <w:p w:rsidR="003104CE" w:rsidRPr="00450621" w:rsidRDefault="003104CE" w:rsidP="00C35DA7">
      <w:pPr>
        <w:pStyle w:val="Zkladntext"/>
        <w:jc w:val="left"/>
        <w:rPr>
          <w:color w:val="222222"/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  <w:u w:val="single"/>
        </w:rPr>
      </w:pPr>
      <w:r w:rsidRPr="00450621">
        <w:rPr>
          <w:sz w:val="22"/>
          <w:szCs w:val="22"/>
          <w:u w:val="single"/>
        </w:rPr>
        <w:t xml:space="preserve">Nežiaduce účinky vzťahujúce sa na </w:t>
      </w:r>
      <w:proofErr w:type="spellStart"/>
      <w:r w:rsidRPr="00450621">
        <w:rPr>
          <w:sz w:val="22"/>
          <w:szCs w:val="22"/>
          <w:u w:val="single"/>
        </w:rPr>
        <w:t>feniramín</w:t>
      </w:r>
      <w:proofErr w:type="spellEnd"/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>Farmakologické vlastnosti liečiva sú príčinou na dávke závislých nežiaducich účinkov (pozri časť 5.1):</w:t>
      </w:r>
    </w:p>
    <w:p w:rsidR="003104CE" w:rsidRPr="00450621" w:rsidRDefault="003104CE" w:rsidP="00C35DA7">
      <w:pPr>
        <w:pStyle w:val="Zkladntext"/>
        <w:numPr>
          <w:ilvl w:val="0"/>
          <w:numId w:val="3"/>
        </w:numPr>
        <w:jc w:val="left"/>
        <w:rPr>
          <w:b/>
          <w:sz w:val="22"/>
          <w:szCs w:val="22"/>
        </w:rPr>
      </w:pPr>
      <w:r w:rsidRPr="00450621">
        <w:rPr>
          <w:b/>
          <w:sz w:val="22"/>
          <w:szCs w:val="22"/>
        </w:rPr>
        <w:t>Poruchy nervového systému</w:t>
      </w:r>
    </w:p>
    <w:p w:rsidR="003104CE" w:rsidRPr="00450621" w:rsidRDefault="003104CE" w:rsidP="00C35DA7">
      <w:pPr>
        <w:pStyle w:val="Zkladntext"/>
        <w:numPr>
          <w:ilvl w:val="0"/>
          <w:numId w:val="4"/>
        </w:numPr>
        <w:jc w:val="left"/>
        <w:rPr>
          <w:sz w:val="22"/>
          <w:szCs w:val="22"/>
        </w:rPr>
      </w:pPr>
      <w:r w:rsidRPr="00450621">
        <w:rPr>
          <w:sz w:val="22"/>
          <w:szCs w:val="22"/>
        </w:rPr>
        <w:t>útlm alebo ospalosť, výraznejšie na začiatku liečby;</w:t>
      </w:r>
    </w:p>
    <w:p w:rsidR="003104CE" w:rsidRPr="00450621" w:rsidRDefault="003104CE" w:rsidP="00C35DA7">
      <w:pPr>
        <w:pStyle w:val="Zkladntext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anticholinergné</w:t>
      </w:r>
      <w:proofErr w:type="spellEnd"/>
      <w:r w:rsidRPr="00450621">
        <w:rPr>
          <w:sz w:val="22"/>
          <w:szCs w:val="22"/>
        </w:rPr>
        <w:t xml:space="preserve"> účinky ako je sucho v ústach, zápcha, rozmazané videnie, </w:t>
      </w:r>
      <w:proofErr w:type="spellStart"/>
      <w:r w:rsidRPr="00450621">
        <w:rPr>
          <w:sz w:val="22"/>
          <w:szCs w:val="22"/>
        </w:rPr>
        <w:t>mydriáza</w:t>
      </w:r>
      <w:proofErr w:type="spellEnd"/>
      <w:r w:rsidRPr="00450621">
        <w:rPr>
          <w:sz w:val="22"/>
          <w:szCs w:val="22"/>
        </w:rPr>
        <w:t xml:space="preserve">, búšenie srdca, riziko </w:t>
      </w:r>
      <w:proofErr w:type="spellStart"/>
      <w:r w:rsidRPr="00450621">
        <w:rPr>
          <w:sz w:val="22"/>
          <w:szCs w:val="22"/>
        </w:rPr>
        <w:t>retencie</w:t>
      </w:r>
      <w:proofErr w:type="spellEnd"/>
      <w:r w:rsidRPr="00450621">
        <w:rPr>
          <w:sz w:val="22"/>
          <w:szCs w:val="22"/>
        </w:rPr>
        <w:t xml:space="preserve"> moču;</w:t>
      </w:r>
    </w:p>
    <w:p w:rsidR="003104CE" w:rsidRPr="00450621" w:rsidRDefault="003104CE" w:rsidP="00C35DA7">
      <w:pPr>
        <w:pStyle w:val="Zkladntext"/>
        <w:numPr>
          <w:ilvl w:val="0"/>
          <w:numId w:val="4"/>
        </w:numPr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ortostatická</w:t>
      </w:r>
      <w:proofErr w:type="spellEnd"/>
      <w:r w:rsidRPr="00450621">
        <w:rPr>
          <w:sz w:val="22"/>
          <w:szCs w:val="22"/>
        </w:rPr>
        <w:t xml:space="preserve"> hypotenzia;</w:t>
      </w:r>
    </w:p>
    <w:p w:rsidR="003104CE" w:rsidRPr="00450621" w:rsidRDefault="003104CE" w:rsidP="00C35DA7">
      <w:pPr>
        <w:pStyle w:val="Zkladntext"/>
        <w:numPr>
          <w:ilvl w:val="0"/>
          <w:numId w:val="4"/>
        </w:numPr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závraty, </w:t>
      </w:r>
      <w:proofErr w:type="spellStart"/>
      <w:r w:rsidRPr="00450621">
        <w:rPr>
          <w:sz w:val="22"/>
          <w:szCs w:val="22"/>
        </w:rPr>
        <w:t>vertigo</w:t>
      </w:r>
      <w:proofErr w:type="spellEnd"/>
      <w:r w:rsidRPr="00450621">
        <w:rPr>
          <w:sz w:val="22"/>
          <w:szCs w:val="22"/>
        </w:rPr>
        <w:t>, poruchy pamäte a koncentrácie, častejšie u starších osôb;</w:t>
      </w:r>
    </w:p>
    <w:p w:rsidR="003104CE" w:rsidRPr="00450621" w:rsidRDefault="003104CE" w:rsidP="00C35DA7">
      <w:pPr>
        <w:pStyle w:val="Zkladntext"/>
        <w:numPr>
          <w:ilvl w:val="0"/>
          <w:numId w:val="4"/>
        </w:numPr>
        <w:jc w:val="left"/>
        <w:rPr>
          <w:sz w:val="22"/>
          <w:szCs w:val="22"/>
        </w:rPr>
      </w:pPr>
      <w:r w:rsidRPr="00450621">
        <w:rPr>
          <w:sz w:val="22"/>
          <w:szCs w:val="22"/>
        </w:rPr>
        <w:t>poruchy motorickej koordinácie, tras;</w:t>
      </w:r>
    </w:p>
    <w:p w:rsidR="003104CE" w:rsidRPr="00450621" w:rsidRDefault="003104CE" w:rsidP="00C35DA7">
      <w:pPr>
        <w:pStyle w:val="Zkladntext"/>
        <w:numPr>
          <w:ilvl w:val="0"/>
          <w:numId w:val="4"/>
        </w:numPr>
        <w:jc w:val="left"/>
        <w:rPr>
          <w:sz w:val="22"/>
          <w:szCs w:val="22"/>
        </w:rPr>
      </w:pPr>
      <w:r w:rsidRPr="00450621">
        <w:rPr>
          <w:sz w:val="22"/>
          <w:szCs w:val="22"/>
        </w:rPr>
        <w:t>zmätenosť, halucinácie;</w:t>
      </w:r>
    </w:p>
    <w:p w:rsidR="003104CE" w:rsidRPr="00450621" w:rsidRDefault="003104CE" w:rsidP="00C35DA7">
      <w:pPr>
        <w:pStyle w:val="Zkladntext"/>
        <w:numPr>
          <w:ilvl w:val="0"/>
          <w:numId w:val="4"/>
        </w:numPr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zriedkavo </w:t>
      </w:r>
      <w:proofErr w:type="spellStart"/>
      <w:r w:rsidRPr="00450621">
        <w:rPr>
          <w:sz w:val="22"/>
          <w:szCs w:val="22"/>
        </w:rPr>
        <w:t>excitačné</w:t>
      </w:r>
      <w:proofErr w:type="spellEnd"/>
      <w:r w:rsidRPr="00450621">
        <w:rPr>
          <w:sz w:val="22"/>
          <w:szCs w:val="22"/>
        </w:rPr>
        <w:t xml:space="preserve"> účinky ako je agitácia, nervozita, nespavosť.</w:t>
      </w:r>
    </w:p>
    <w:p w:rsidR="003104CE" w:rsidRPr="00450621" w:rsidRDefault="003104CE" w:rsidP="00C35DA7">
      <w:pPr>
        <w:pStyle w:val="Zkladntext"/>
        <w:jc w:val="left"/>
        <w:rPr>
          <w:b/>
          <w:sz w:val="22"/>
          <w:szCs w:val="22"/>
        </w:rPr>
      </w:pPr>
    </w:p>
    <w:p w:rsidR="003104CE" w:rsidRPr="00450621" w:rsidRDefault="003104CE" w:rsidP="00C35DA7">
      <w:pPr>
        <w:pStyle w:val="Zkladntext"/>
        <w:numPr>
          <w:ilvl w:val="0"/>
          <w:numId w:val="3"/>
        </w:numPr>
        <w:jc w:val="left"/>
        <w:rPr>
          <w:b/>
          <w:sz w:val="22"/>
          <w:szCs w:val="22"/>
        </w:rPr>
      </w:pPr>
      <w:r w:rsidRPr="00450621">
        <w:rPr>
          <w:b/>
          <w:sz w:val="22"/>
          <w:szCs w:val="22"/>
        </w:rPr>
        <w:t>Poruchy imunitného systému (zriedkavé):</w:t>
      </w:r>
    </w:p>
    <w:p w:rsidR="003104CE" w:rsidRPr="00450621" w:rsidRDefault="003104CE" w:rsidP="00C35DA7">
      <w:pPr>
        <w:pStyle w:val="Zkladntext"/>
        <w:numPr>
          <w:ilvl w:val="1"/>
          <w:numId w:val="5"/>
        </w:numPr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hypersenzitívne</w:t>
      </w:r>
      <w:proofErr w:type="spellEnd"/>
      <w:r w:rsidRPr="00450621">
        <w:rPr>
          <w:sz w:val="22"/>
          <w:szCs w:val="22"/>
        </w:rPr>
        <w:t xml:space="preserve"> reakcie ako začervenanie, svrbenie, ekzém, žihľavka, </w:t>
      </w:r>
      <w:proofErr w:type="spellStart"/>
      <w:r w:rsidRPr="00450621">
        <w:rPr>
          <w:sz w:val="22"/>
          <w:szCs w:val="22"/>
        </w:rPr>
        <w:t>purpura</w:t>
      </w:r>
      <w:proofErr w:type="spellEnd"/>
      <w:r w:rsidRPr="00450621">
        <w:rPr>
          <w:sz w:val="22"/>
          <w:szCs w:val="22"/>
        </w:rPr>
        <w:t>;</w:t>
      </w:r>
    </w:p>
    <w:p w:rsidR="003104CE" w:rsidRPr="00450621" w:rsidRDefault="003104CE" w:rsidP="00C35DA7">
      <w:pPr>
        <w:pStyle w:val="Zkladntext"/>
        <w:numPr>
          <w:ilvl w:val="1"/>
          <w:numId w:val="5"/>
        </w:numPr>
        <w:jc w:val="left"/>
        <w:rPr>
          <w:sz w:val="22"/>
          <w:szCs w:val="22"/>
        </w:rPr>
      </w:pPr>
      <w:r w:rsidRPr="00450621">
        <w:rPr>
          <w:sz w:val="22"/>
          <w:szCs w:val="22"/>
        </w:rPr>
        <w:t>opuch, zriedka angioedém;</w:t>
      </w:r>
    </w:p>
    <w:p w:rsidR="003104CE" w:rsidRPr="00450621" w:rsidRDefault="003104CE" w:rsidP="00C35DA7">
      <w:pPr>
        <w:pStyle w:val="Zkladntext"/>
        <w:numPr>
          <w:ilvl w:val="1"/>
          <w:numId w:val="5"/>
        </w:numPr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anafylaktický</w:t>
      </w:r>
      <w:proofErr w:type="spellEnd"/>
      <w:r w:rsidRPr="00450621">
        <w:rPr>
          <w:sz w:val="22"/>
          <w:szCs w:val="22"/>
        </w:rPr>
        <w:t xml:space="preserve"> šok.</w:t>
      </w:r>
    </w:p>
    <w:p w:rsidR="003104CE" w:rsidRPr="00450621" w:rsidRDefault="003104CE" w:rsidP="00C35DA7">
      <w:pPr>
        <w:pStyle w:val="Zkladntext"/>
        <w:jc w:val="left"/>
        <w:rPr>
          <w:b/>
          <w:sz w:val="22"/>
          <w:szCs w:val="22"/>
        </w:rPr>
      </w:pPr>
    </w:p>
    <w:p w:rsidR="003104CE" w:rsidRPr="00450621" w:rsidRDefault="003104CE" w:rsidP="00C35DA7">
      <w:pPr>
        <w:pStyle w:val="Zkladntext"/>
        <w:numPr>
          <w:ilvl w:val="0"/>
          <w:numId w:val="5"/>
        </w:numPr>
        <w:jc w:val="left"/>
        <w:rPr>
          <w:b/>
          <w:sz w:val="22"/>
          <w:szCs w:val="22"/>
        </w:rPr>
      </w:pPr>
      <w:r w:rsidRPr="00450621">
        <w:rPr>
          <w:b/>
          <w:sz w:val="22"/>
          <w:szCs w:val="22"/>
        </w:rPr>
        <w:t>Poruchy krvi a lymfatického systému:</w:t>
      </w:r>
    </w:p>
    <w:p w:rsidR="003104CE" w:rsidRPr="00450621" w:rsidRDefault="003104CE" w:rsidP="00C35DA7">
      <w:pPr>
        <w:pStyle w:val="Zkladntext"/>
        <w:numPr>
          <w:ilvl w:val="0"/>
          <w:numId w:val="6"/>
        </w:numPr>
        <w:ind w:hanging="11"/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leukopénia</w:t>
      </w:r>
      <w:proofErr w:type="spellEnd"/>
      <w:r w:rsidRPr="00450621">
        <w:rPr>
          <w:sz w:val="22"/>
          <w:szCs w:val="22"/>
        </w:rPr>
        <w:t xml:space="preserve">, </w:t>
      </w:r>
      <w:proofErr w:type="spellStart"/>
      <w:r w:rsidRPr="00450621">
        <w:rPr>
          <w:sz w:val="22"/>
          <w:szCs w:val="22"/>
        </w:rPr>
        <w:t>neutropénia</w:t>
      </w:r>
      <w:proofErr w:type="spellEnd"/>
      <w:r w:rsidRPr="00450621">
        <w:rPr>
          <w:sz w:val="22"/>
          <w:szCs w:val="22"/>
        </w:rPr>
        <w:t>;</w:t>
      </w:r>
    </w:p>
    <w:p w:rsidR="003104CE" w:rsidRPr="00450621" w:rsidRDefault="003104CE" w:rsidP="00C35DA7">
      <w:pPr>
        <w:pStyle w:val="Zkladntext"/>
        <w:numPr>
          <w:ilvl w:val="0"/>
          <w:numId w:val="6"/>
        </w:numPr>
        <w:ind w:hanging="11"/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trombocytopénia</w:t>
      </w:r>
      <w:proofErr w:type="spellEnd"/>
      <w:r w:rsidRPr="00450621">
        <w:rPr>
          <w:sz w:val="22"/>
          <w:szCs w:val="22"/>
        </w:rPr>
        <w:t>;</w:t>
      </w:r>
    </w:p>
    <w:p w:rsidR="003104CE" w:rsidRPr="00450621" w:rsidRDefault="003104CE" w:rsidP="00C35DA7">
      <w:pPr>
        <w:pStyle w:val="Zkladntext"/>
        <w:numPr>
          <w:ilvl w:val="0"/>
          <w:numId w:val="6"/>
        </w:numPr>
        <w:ind w:hanging="11"/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hemolytická</w:t>
      </w:r>
      <w:proofErr w:type="spellEnd"/>
      <w:r w:rsidRPr="00450621">
        <w:rPr>
          <w:sz w:val="22"/>
          <w:szCs w:val="22"/>
        </w:rPr>
        <w:t xml:space="preserve"> anémia.</w:t>
      </w:r>
    </w:p>
    <w:p w:rsidR="003104CE" w:rsidRPr="00450621" w:rsidRDefault="003104CE" w:rsidP="00C35DA7">
      <w:pPr>
        <w:pStyle w:val="Zkladntext"/>
        <w:jc w:val="left"/>
        <w:rPr>
          <w:b/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  <w:u w:val="single"/>
        </w:rPr>
      </w:pPr>
      <w:r w:rsidRPr="00450621">
        <w:rPr>
          <w:sz w:val="22"/>
          <w:szCs w:val="22"/>
          <w:u w:val="single"/>
        </w:rPr>
        <w:t xml:space="preserve">Nežiaduce účinky vzťahujúce sa na </w:t>
      </w:r>
      <w:proofErr w:type="spellStart"/>
      <w:r w:rsidRPr="00450621">
        <w:rPr>
          <w:sz w:val="22"/>
          <w:szCs w:val="22"/>
          <w:u w:val="single"/>
        </w:rPr>
        <w:t>paracetamol</w:t>
      </w:r>
      <w:proofErr w:type="spellEnd"/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Boli hlásené zriedkavé prípady </w:t>
      </w:r>
      <w:proofErr w:type="spellStart"/>
      <w:r w:rsidRPr="00450621">
        <w:rPr>
          <w:sz w:val="22"/>
          <w:szCs w:val="22"/>
        </w:rPr>
        <w:t>hypersenzitívnych</w:t>
      </w:r>
      <w:proofErr w:type="spellEnd"/>
      <w:r w:rsidRPr="00450621">
        <w:rPr>
          <w:sz w:val="22"/>
          <w:szCs w:val="22"/>
        </w:rPr>
        <w:t xml:space="preserve"> reakcií ako anafylaxia, angioedém, vyrážka, žihľavka a kožné vyrážky. V prípade takýchto reakcií má byť užívanie lieku </w:t>
      </w:r>
      <w:proofErr w:type="spellStart"/>
      <w:r w:rsidRPr="00450621">
        <w:rPr>
          <w:sz w:val="22"/>
          <w:szCs w:val="22"/>
        </w:rPr>
        <w:t>Nogrip</w:t>
      </w:r>
      <w:proofErr w:type="spellEnd"/>
      <w:r w:rsidRPr="00450621">
        <w:rPr>
          <w:sz w:val="22"/>
          <w:szCs w:val="22"/>
        </w:rPr>
        <w:t xml:space="preserve"> okamžite prerušené.</w:t>
      </w:r>
    </w:p>
    <w:p w:rsidR="003104CE" w:rsidRPr="00450621" w:rsidRDefault="003104CE" w:rsidP="00C35DA7">
      <w:pPr>
        <w:pStyle w:val="Zkladntext"/>
        <w:jc w:val="left"/>
        <w:rPr>
          <w:b/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Trombocytopénia</w:t>
      </w:r>
      <w:proofErr w:type="spellEnd"/>
      <w:r w:rsidRPr="00450621">
        <w:rPr>
          <w:sz w:val="22"/>
          <w:szCs w:val="22"/>
        </w:rPr>
        <w:t xml:space="preserve">, </w:t>
      </w:r>
      <w:proofErr w:type="spellStart"/>
      <w:r w:rsidRPr="00450621">
        <w:rPr>
          <w:sz w:val="22"/>
          <w:szCs w:val="22"/>
        </w:rPr>
        <w:t>leukopénia</w:t>
      </w:r>
      <w:proofErr w:type="spellEnd"/>
      <w:r w:rsidRPr="00450621">
        <w:rPr>
          <w:sz w:val="22"/>
          <w:szCs w:val="22"/>
        </w:rPr>
        <w:t xml:space="preserve"> a </w:t>
      </w:r>
      <w:proofErr w:type="spellStart"/>
      <w:r w:rsidRPr="00450621">
        <w:rPr>
          <w:sz w:val="22"/>
          <w:szCs w:val="22"/>
        </w:rPr>
        <w:t>neutropénia</w:t>
      </w:r>
      <w:proofErr w:type="spellEnd"/>
      <w:r w:rsidRPr="00450621">
        <w:rPr>
          <w:sz w:val="22"/>
          <w:szCs w:val="22"/>
        </w:rPr>
        <w:t xml:space="preserve"> boli hlásené vo veľmi výnimočných prípadoch.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450621">
        <w:rPr>
          <w:noProof/>
          <w:sz w:val="22"/>
          <w:szCs w:val="22"/>
          <w:u w:val="single"/>
        </w:rPr>
        <w:t>Hlásenie podozrení na nežiaduce reakcie</w:t>
      </w:r>
    </w:p>
    <w:p w:rsidR="003104CE" w:rsidRPr="00450621" w:rsidRDefault="003104CE" w:rsidP="00C35DA7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450621">
        <w:rPr>
          <w:noProof/>
          <w:sz w:val="22"/>
          <w:szCs w:val="22"/>
        </w:rPr>
        <w:t>Hlásenie podozrení na nežiaduce reakcie po registrácii lieku je dôležité.</w:t>
      </w:r>
      <w:r w:rsidRPr="00450621">
        <w:rPr>
          <w:sz w:val="22"/>
          <w:szCs w:val="22"/>
        </w:rPr>
        <w:t xml:space="preserve"> </w:t>
      </w:r>
      <w:r w:rsidRPr="00450621">
        <w:rPr>
          <w:noProof/>
          <w:sz w:val="22"/>
          <w:szCs w:val="22"/>
        </w:rPr>
        <w:t>Umožňuje priebežné monitorovanie pomeru prínosu</w:t>
      </w:r>
      <w:r w:rsidRPr="00450621">
        <w:rPr>
          <w:sz w:val="22"/>
          <w:szCs w:val="22"/>
        </w:rPr>
        <w:t xml:space="preserve"> a</w:t>
      </w:r>
      <w:r w:rsidRPr="00450621">
        <w:rPr>
          <w:noProof/>
          <w:sz w:val="22"/>
          <w:szCs w:val="22"/>
        </w:rPr>
        <w:t> rizika lieku.</w:t>
      </w:r>
      <w:r w:rsidRPr="00450621">
        <w:rPr>
          <w:sz w:val="22"/>
          <w:szCs w:val="22"/>
        </w:rPr>
        <w:t xml:space="preserve"> Od </w:t>
      </w:r>
      <w:r w:rsidRPr="00450621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450621" w:rsidRPr="00450621">
        <w:rPr>
          <w:noProof/>
          <w:sz w:val="22"/>
          <w:szCs w:val="22"/>
        </w:rPr>
        <w:t>na</w:t>
      </w:r>
      <w:r w:rsidRPr="00450621">
        <w:rPr>
          <w:noProof/>
          <w:sz w:val="22"/>
          <w:szCs w:val="22"/>
        </w:rPr>
        <w:t xml:space="preserve"> </w:t>
      </w:r>
      <w:r w:rsidRPr="00450621">
        <w:rPr>
          <w:noProof/>
          <w:sz w:val="22"/>
          <w:szCs w:val="22"/>
          <w:highlight w:val="lightGray"/>
        </w:rPr>
        <w:t xml:space="preserve">národné </w:t>
      </w:r>
      <w:r w:rsidR="00450621" w:rsidRPr="00450621">
        <w:rPr>
          <w:noProof/>
          <w:sz w:val="22"/>
          <w:szCs w:val="22"/>
          <w:highlight w:val="lightGray"/>
        </w:rPr>
        <w:t>centrum</w:t>
      </w:r>
      <w:r w:rsidRPr="00450621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450621">
          <w:rPr>
            <w:rStyle w:val="Hypertextovprepojenie"/>
            <w:noProof/>
            <w:sz w:val="22"/>
            <w:szCs w:val="22"/>
            <w:highlight w:val="lightGray"/>
          </w:rPr>
          <w:t>P</w:t>
        </w:r>
        <w:proofErr w:type="spellStart"/>
        <w:r w:rsidRPr="00450621">
          <w:rPr>
            <w:rStyle w:val="Hypertextovprepojenie"/>
            <w:sz w:val="22"/>
            <w:szCs w:val="22"/>
            <w:highlight w:val="lightGray"/>
          </w:rPr>
          <w:t>rílohe</w:t>
        </w:r>
        <w:proofErr w:type="spellEnd"/>
        <w:r w:rsidRPr="00450621">
          <w:rPr>
            <w:rStyle w:val="Hypertextovprepojenie"/>
            <w:sz w:val="22"/>
            <w:szCs w:val="22"/>
            <w:highlight w:val="lightGray"/>
          </w:rPr>
          <w:t xml:space="preserve"> </w:t>
        </w:r>
        <w:r w:rsidRPr="00450621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450621">
        <w:rPr>
          <w:noProof/>
          <w:sz w:val="22"/>
          <w:szCs w:val="22"/>
        </w:rPr>
        <w:t>.</w:t>
      </w:r>
    </w:p>
    <w:p w:rsidR="003104CE" w:rsidRPr="00450621" w:rsidRDefault="003104CE" w:rsidP="00C35DA7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b/>
          <w:bCs/>
          <w:i/>
          <w:iCs/>
          <w:sz w:val="22"/>
          <w:szCs w:val="22"/>
        </w:rPr>
      </w:pPr>
      <w:r w:rsidRPr="00450621">
        <w:rPr>
          <w:b/>
          <w:bCs/>
          <w:sz w:val="22"/>
          <w:szCs w:val="22"/>
        </w:rPr>
        <w:t>4.9</w:t>
      </w:r>
      <w:r w:rsidRPr="00450621">
        <w:rPr>
          <w:b/>
          <w:bCs/>
          <w:sz w:val="22"/>
          <w:szCs w:val="22"/>
        </w:rPr>
        <w:tab/>
        <w:t>Predávkovanie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  <w:u w:val="single"/>
        </w:rPr>
      </w:pPr>
      <w:r w:rsidRPr="00450621">
        <w:rPr>
          <w:sz w:val="22"/>
          <w:szCs w:val="22"/>
          <w:u w:val="single"/>
        </w:rPr>
        <w:t xml:space="preserve">Predávkovanie vzťahujúce sa na </w:t>
      </w:r>
      <w:proofErr w:type="spellStart"/>
      <w:r w:rsidRPr="00450621">
        <w:rPr>
          <w:sz w:val="22"/>
          <w:szCs w:val="22"/>
          <w:u w:val="single"/>
        </w:rPr>
        <w:t>feniramín</w:t>
      </w:r>
      <w:proofErr w:type="spellEnd"/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>Predávkovanie môže spôsobiť záchvaty (najmä u detí), stratu vedomia a kómu.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  <w:u w:val="single"/>
        </w:rPr>
      </w:pPr>
      <w:r w:rsidRPr="00450621">
        <w:rPr>
          <w:sz w:val="22"/>
          <w:szCs w:val="22"/>
          <w:u w:val="single"/>
        </w:rPr>
        <w:t xml:space="preserve">Predávkovanie vzťahujúce sa na </w:t>
      </w:r>
      <w:proofErr w:type="spellStart"/>
      <w:r w:rsidRPr="00450621">
        <w:rPr>
          <w:sz w:val="22"/>
          <w:szCs w:val="22"/>
          <w:u w:val="single"/>
        </w:rPr>
        <w:t>paracetamol</w:t>
      </w:r>
      <w:proofErr w:type="spellEnd"/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Paracetamol</w:t>
      </w:r>
      <w:proofErr w:type="spellEnd"/>
      <w:r w:rsidRPr="00450621">
        <w:rPr>
          <w:sz w:val="22"/>
          <w:szCs w:val="22"/>
        </w:rPr>
        <w:t xml:space="preserve"> môže viesť k otrave, a to najmä u starších osôb, malých detí, pacientov s ochorením pečene, v prípade chronického alkoholizmu, u pacientov, ktorí trpia chronickou podvýživou a</w:t>
      </w:r>
      <w:r w:rsidR="002470B8" w:rsidRPr="00450621">
        <w:rPr>
          <w:sz w:val="22"/>
          <w:szCs w:val="22"/>
        </w:rPr>
        <w:t> </w:t>
      </w:r>
      <w:r w:rsidRPr="00450621">
        <w:rPr>
          <w:sz w:val="22"/>
          <w:szCs w:val="22"/>
        </w:rPr>
        <w:t xml:space="preserve">pacientov užívajúcich induktory pečeňových enzýmov. V týchto prípadoch môže byť predávkovanie fatálne. 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keepNext/>
        <w:jc w:val="left"/>
        <w:rPr>
          <w:sz w:val="22"/>
          <w:szCs w:val="22"/>
          <w:u w:val="single"/>
        </w:rPr>
      </w:pPr>
      <w:r w:rsidRPr="00450621">
        <w:rPr>
          <w:sz w:val="22"/>
          <w:szCs w:val="22"/>
          <w:u w:val="single"/>
        </w:rPr>
        <w:t>Príznaky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Príznaky predávkovania </w:t>
      </w:r>
      <w:proofErr w:type="spellStart"/>
      <w:r w:rsidRPr="00450621">
        <w:rPr>
          <w:sz w:val="22"/>
          <w:szCs w:val="22"/>
        </w:rPr>
        <w:t>paracetamolom</w:t>
      </w:r>
      <w:proofErr w:type="spellEnd"/>
      <w:r w:rsidRPr="00450621">
        <w:rPr>
          <w:sz w:val="22"/>
          <w:szCs w:val="22"/>
        </w:rPr>
        <w:t xml:space="preserve"> v priebehu prvých 24 hodín sú nevoľnosť, vracanie, nechutenstvo, bledosť a bolesti brucha. Poškodenie pečene sa môže prejaviť po 12 až 48 hodinách po užití. Môžu sa objaviť abnormality metabolizmu glukózy a metabolická </w:t>
      </w:r>
      <w:proofErr w:type="spellStart"/>
      <w:r w:rsidRPr="00450621">
        <w:rPr>
          <w:sz w:val="22"/>
          <w:szCs w:val="22"/>
        </w:rPr>
        <w:t>acidóza</w:t>
      </w:r>
      <w:proofErr w:type="spellEnd"/>
      <w:r w:rsidRPr="00450621">
        <w:rPr>
          <w:sz w:val="22"/>
          <w:szCs w:val="22"/>
        </w:rPr>
        <w:t xml:space="preserve">. Pri ťažkej otrave, môže zlyhanie pečene vyústiť do </w:t>
      </w:r>
      <w:proofErr w:type="spellStart"/>
      <w:r w:rsidRPr="00450621">
        <w:rPr>
          <w:sz w:val="22"/>
          <w:szCs w:val="22"/>
        </w:rPr>
        <w:t>encefalopatie</w:t>
      </w:r>
      <w:proofErr w:type="spellEnd"/>
      <w:r w:rsidRPr="00450621">
        <w:rPr>
          <w:sz w:val="22"/>
          <w:szCs w:val="22"/>
        </w:rPr>
        <w:t xml:space="preserve">, krvácania, </w:t>
      </w:r>
      <w:proofErr w:type="spellStart"/>
      <w:r w:rsidRPr="00450621">
        <w:rPr>
          <w:sz w:val="22"/>
          <w:szCs w:val="22"/>
        </w:rPr>
        <w:t>hypoglykémie</w:t>
      </w:r>
      <w:proofErr w:type="spellEnd"/>
      <w:r w:rsidRPr="00450621">
        <w:rPr>
          <w:sz w:val="22"/>
          <w:szCs w:val="22"/>
        </w:rPr>
        <w:t xml:space="preserve">, edému mozgu a smrti. Akútne </w:t>
      </w:r>
      <w:proofErr w:type="spellStart"/>
      <w:r w:rsidRPr="00450621">
        <w:rPr>
          <w:sz w:val="22"/>
          <w:szCs w:val="22"/>
        </w:rPr>
        <w:t>renálne</w:t>
      </w:r>
      <w:proofErr w:type="spellEnd"/>
      <w:r w:rsidRPr="00450621">
        <w:rPr>
          <w:sz w:val="22"/>
          <w:szCs w:val="22"/>
        </w:rPr>
        <w:t xml:space="preserve"> zlyhanie s akútnou </w:t>
      </w:r>
      <w:proofErr w:type="spellStart"/>
      <w:r w:rsidRPr="00450621">
        <w:rPr>
          <w:sz w:val="22"/>
          <w:szCs w:val="22"/>
        </w:rPr>
        <w:t>tubulárnou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nekrózou</w:t>
      </w:r>
      <w:proofErr w:type="spellEnd"/>
      <w:r w:rsidRPr="00450621">
        <w:rPr>
          <w:sz w:val="22"/>
          <w:szCs w:val="22"/>
        </w:rPr>
        <w:t>, ktoré sa prejavuje bolesťou v </w:t>
      </w:r>
      <w:proofErr w:type="spellStart"/>
      <w:r w:rsidRPr="00450621">
        <w:rPr>
          <w:sz w:val="22"/>
          <w:szCs w:val="22"/>
        </w:rPr>
        <w:t>bedrovo-pánvovej</w:t>
      </w:r>
      <w:proofErr w:type="spellEnd"/>
      <w:r w:rsidRPr="00450621">
        <w:rPr>
          <w:sz w:val="22"/>
          <w:szCs w:val="22"/>
        </w:rPr>
        <w:t xml:space="preserve"> oblasti, </w:t>
      </w:r>
      <w:proofErr w:type="spellStart"/>
      <w:r w:rsidRPr="00450621">
        <w:rPr>
          <w:sz w:val="22"/>
          <w:szCs w:val="22"/>
        </w:rPr>
        <w:t>hematúriou</w:t>
      </w:r>
      <w:proofErr w:type="spellEnd"/>
      <w:r w:rsidRPr="00450621">
        <w:rPr>
          <w:sz w:val="22"/>
          <w:szCs w:val="22"/>
        </w:rPr>
        <w:t xml:space="preserve"> a </w:t>
      </w:r>
      <w:proofErr w:type="spellStart"/>
      <w:r w:rsidRPr="00450621">
        <w:rPr>
          <w:sz w:val="22"/>
          <w:szCs w:val="22"/>
        </w:rPr>
        <w:t>proteinúriou</w:t>
      </w:r>
      <w:proofErr w:type="spellEnd"/>
      <w:r w:rsidRPr="00450621">
        <w:rPr>
          <w:sz w:val="22"/>
          <w:szCs w:val="22"/>
        </w:rPr>
        <w:t xml:space="preserve">, sa môže vyvinúť aj pri absencii ťažkého poškodenia pečene. Boli hlásené srdcové </w:t>
      </w:r>
      <w:proofErr w:type="spellStart"/>
      <w:r w:rsidRPr="00450621">
        <w:rPr>
          <w:sz w:val="22"/>
          <w:szCs w:val="22"/>
        </w:rPr>
        <w:t>arytmie</w:t>
      </w:r>
      <w:proofErr w:type="spellEnd"/>
      <w:r w:rsidRPr="00450621">
        <w:rPr>
          <w:sz w:val="22"/>
          <w:szCs w:val="22"/>
        </w:rPr>
        <w:t xml:space="preserve"> a </w:t>
      </w:r>
      <w:proofErr w:type="spellStart"/>
      <w:r w:rsidRPr="00450621">
        <w:rPr>
          <w:sz w:val="22"/>
          <w:szCs w:val="22"/>
        </w:rPr>
        <w:t>pankreatitída</w:t>
      </w:r>
      <w:proofErr w:type="spellEnd"/>
      <w:r w:rsidRPr="00450621">
        <w:rPr>
          <w:sz w:val="22"/>
          <w:szCs w:val="22"/>
        </w:rPr>
        <w:t>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  <w:u w:val="single"/>
        </w:rPr>
      </w:pPr>
      <w:r w:rsidRPr="00450621">
        <w:rPr>
          <w:sz w:val="22"/>
          <w:szCs w:val="22"/>
          <w:u w:val="single"/>
        </w:rPr>
        <w:t>Liečba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V prípade predávkovania </w:t>
      </w:r>
      <w:proofErr w:type="spellStart"/>
      <w:r w:rsidRPr="00450621">
        <w:rPr>
          <w:sz w:val="22"/>
          <w:szCs w:val="22"/>
        </w:rPr>
        <w:t>paracetamolom</w:t>
      </w:r>
      <w:proofErr w:type="spellEnd"/>
      <w:r w:rsidRPr="00450621">
        <w:rPr>
          <w:sz w:val="22"/>
          <w:szCs w:val="22"/>
        </w:rPr>
        <w:t xml:space="preserve"> je nevyhnutná okamžitá liečba. Napriek neprítomnosti zjavných skorých príznakov, majú byť pacienti prepravení do nemocnice, aby im bola poskytnutá okamžitá lekárska starostlivosť. Príznaky otravy môžu byť iba nevoľnosť alebo vracanie a nemusia odrážať závažnosť predávkovania alebo riziko poškodenia orgánov. Liečba má prebiehať v súlade so zavedenými odporúčaniami pre liečbu predávkovania.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Do 1 hodiny po predávkovaní sa má zvážiť podanie aktívneho uhlia. Plazmatická koncentrácia </w:t>
      </w:r>
      <w:proofErr w:type="spellStart"/>
      <w:r w:rsidRPr="00450621">
        <w:rPr>
          <w:sz w:val="22"/>
          <w:szCs w:val="22"/>
        </w:rPr>
        <w:t>paracetamolu</w:t>
      </w:r>
      <w:proofErr w:type="spellEnd"/>
      <w:r w:rsidRPr="00450621">
        <w:rPr>
          <w:sz w:val="22"/>
          <w:szCs w:val="22"/>
        </w:rPr>
        <w:t xml:space="preserve"> sa má zmerať aspoň 4 hodiny po požití </w:t>
      </w:r>
      <w:proofErr w:type="spellStart"/>
      <w:r w:rsidRPr="00450621">
        <w:rPr>
          <w:sz w:val="22"/>
          <w:szCs w:val="22"/>
        </w:rPr>
        <w:t>paracetamolu</w:t>
      </w:r>
      <w:proofErr w:type="spellEnd"/>
      <w:r w:rsidRPr="00450621">
        <w:rPr>
          <w:sz w:val="22"/>
          <w:szCs w:val="22"/>
        </w:rPr>
        <w:t xml:space="preserve"> (predtým namerané koncentrácie sú nespoľahlivé). Liečbu s použitím </w:t>
      </w:r>
      <w:proofErr w:type="spellStart"/>
      <w:r w:rsidRPr="00450621">
        <w:rPr>
          <w:sz w:val="22"/>
          <w:szCs w:val="22"/>
        </w:rPr>
        <w:t>N-acetylcysteínom</w:t>
      </w:r>
      <w:proofErr w:type="spellEnd"/>
      <w:r w:rsidRPr="00450621">
        <w:rPr>
          <w:sz w:val="22"/>
          <w:szCs w:val="22"/>
        </w:rPr>
        <w:t xml:space="preserve"> je možné využiť až do 24 hodín po predávkovaní, ale najvyšší ochranný efekt sa dosiahne ak sa s ňou začne do 8 hodín od predávkovania. Účinnosť </w:t>
      </w:r>
      <w:proofErr w:type="spellStart"/>
      <w:r w:rsidRPr="00450621">
        <w:rPr>
          <w:sz w:val="22"/>
          <w:szCs w:val="22"/>
        </w:rPr>
        <w:t>antidota</w:t>
      </w:r>
      <w:proofErr w:type="spellEnd"/>
      <w:r w:rsidRPr="00450621">
        <w:rPr>
          <w:sz w:val="22"/>
          <w:szCs w:val="22"/>
        </w:rPr>
        <w:t xml:space="preserve"> po tomto čase prudko klesá. V prípade potreby je možné podať </w:t>
      </w:r>
      <w:proofErr w:type="spellStart"/>
      <w:r w:rsidRPr="00450621">
        <w:rPr>
          <w:sz w:val="22"/>
          <w:szCs w:val="22"/>
        </w:rPr>
        <w:t>N-acetylcysteín</w:t>
      </w:r>
      <w:proofErr w:type="spellEnd"/>
      <w:r w:rsidRPr="00450621">
        <w:rPr>
          <w:sz w:val="22"/>
          <w:szCs w:val="22"/>
        </w:rPr>
        <w:t xml:space="preserve"> intravenózne. Ak stav nekomplikuje vracanie, je podávanie </w:t>
      </w:r>
      <w:proofErr w:type="spellStart"/>
      <w:r w:rsidRPr="00450621">
        <w:rPr>
          <w:sz w:val="22"/>
          <w:szCs w:val="22"/>
        </w:rPr>
        <w:t>N-acetylcysteínu</w:t>
      </w:r>
      <w:proofErr w:type="spellEnd"/>
      <w:r w:rsidRPr="00450621">
        <w:rPr>
          <w:sz w:val="22"/>
          <w:szCs w:val="22"/>
        </w:rPr>
        <w:t xml:space="preserve"> a </w:t>
      </w:r>
      <w:proofErr w:type="spellStart"/>
      <w:r w:rsidRPr="00450621">
        <w:rPr>
          <w:sz w:val="22"/>
          <w:szCs w:val="22"/>
        </w:rPr>
        <w:t>metionínu</w:t>
      </w:r>
      <w:proofErr w:type="spellEnd"/>
      <w:r w:rsidRPr="00450621">
        <w:rPr>
          <w:sz w:val="22"/>
          <w:szCs w:val="22"/>
        </w:rPr>
        <w:t xml:space="preserve"> perorálne vhodnou alternatívou najmä v odľahlých oblastiach mimo nemocnice. Liečba pacientov, ktorí sa dostanú do nemocnice so závažnou poruchou funkcie pečene po 24 hodinách od predávkovania, sa má konzultovať s toxikologickým centrom alebo </w:t>
      </w:r>
      <w:proofErr w:type="spellStart"/>
      <w:r w:rsidRPr="00450621">
        <w:rPr>
          <w:sz w:val="22"/>
          <w:szCs w:val="22"/>
        </w:rPr>
        <w:t>hepatologickou</w:t>
      </w:r>
      <w:proofErr w:type="spellEnd"/>
      <w:r w:rsidRPr="00450621">
        <w:rPr>
          <w:sz w:val="22"/>
          <w:szCs w:val="22"/>
        </w:rPr>
        <w:t xml:space="preserve"> jednotkou. </w:t>
      </w:r>
    </w:p>
    <w:p w:rsidR="003104CE" w:rsidRPr="00450621" w:rsidRDefault="003104CE" w:rsidP="00C35DA7">
      <w:pPr>
        <w:rPr>
          <w:b/>
          <w:bCs/>
          <w:sz w:val="22"/>
          <w:szCs w:val="22"/>
        </w:rPr>
      </w:pPr>
    </w:p>
    <w:p w:rsidR="003104CE" w:rsidRPr="00450621" w:rsidRDefault="003104CE" w:rsidP="00C35DA7">
      <w:pPr>
        <w:rPr>
          <w:b/>
          <w:bCs/>
          <w:sz w:val="22"/>
          <w:szCs w:val="22"/>
        </w:rPr>
      </w:pPr>
    </w:p>
    <w:p w:rsidR="003104CE" w:rsidRPr="00450621" w:rsidRDefault="003104CE" w:rsidP="00C35DA7">
      <w:pPr>
        <w:rPr>
          <w:b/>
          <w:bCs/>
          <w:sz w:val="22"/>
          <w:szCs w:val="22"/>
        </w:rPr>
      </w:pPr>
      <w:r w:rsidRPr="00450621">
        <w:rPr>
          <w:b/>
          <w:bCs/>
          <w:sz w:val="22"/>
          <w:szCs w:val="22"/>
        </w:rPr>
        <w:t>5.</w:t>
      </w:r>
      <w:r w:rsidRPr="00450621">
        <w:rPr>
          <w:b/>
          <w:bCs/>
          <w:sz w:val="22"/>
          <w:szCs w:val="22"/>
        </w:rPr>
        <w:tab/>
      </w:r>
      <w:r w:rsidRPr="00450621">
        <w:rPr>
          <w:b/>
          <w:bCs/>
          <w:caps/>
          <w:sz w:val="22"/>
          <w:szCs w:val="22"/>
        </w:rPr>
        <w:t>Farmakologické vlastnosti</w:t>
      </w:r>
    </w:p>
    <w:p w:rsidR="003104CE" w:rsidRPr="00450621" w:rsidRDefault="003104CE" w:rsidP="00C35DA7">
      <w:pPr>
        <w:pStyle w:val="Zkladntext"/>
        <w:jc w:val="left"/>
        <w:rPr>
          <w:b/>
          <w:bCs/>
          <w:sz w:val="22"/>
          <w:szCs w:val="22"/>
        </w:rPr>
      </w:pPr>
    </w:p>
    <w:p w:rsidR="003104CE" w:rsidRPr="00450621" w:rsidRDefault="003104CE" w:rsidP="00C35DA7">
      <w:pPr>
        <w:pStyle w:val="Zkladntext"/>
        <w:numPr>
          <w:ilvl w:val="1"/>
          <w:numId w:val="1"/>
        </w:numPr>
        <w:jc w:val="left"/>
        <w:rPr>
          <w:b/>
          <w:bCs/>
          <w:sz w:val="22"/>
          <w:szCs w:val="22"/>
        </w:rPr>
      </w:pPr>
      <w:proofErr w:type="spellStart"/>
      <w:r w:rsidRPr="00450621">
        <w:rPr>
          <w:b/>
          <w:bCs/>
          <w:sz w:val="22"/>
          <w:szCs w:val="22"/>
        </w:rPr>
        <w:t>Farmakodynamické</w:t>
      </w:r>
      <w:proofErr w:type="spellEnd"/>
      <w:r w:rsidRPr="00450621">
        <w:rPr>
          <w:b/>
          <w:bCs/>
          <w:sz w:val="22"/>
          <w:szCs w:val="22"/>
        </w:rPr>
        <w:t xml:space="preserve"> vlastnosti</w:t>
      </w:r>
    </w:p>
    <w:p w:rsidR="003104CE" w:rsidRPr="00450621" w:rsidRDefault="003104CE" w:rsidP="00C35DA7">
      <w:pPr>
        <w:pStyle w:val="Zkladntext"/>
        <w:jc w:val="left"/>
        <w:rPr>
          <w:b/>
          <w:bCs/>
          <w:sz w:val="22"/>
          <w:szCs w:val="22"/>
        </w:rPr>
      </w:pPr>
    </w:p>
    <w:p w:rsidR="003104CE" w:rsidRPr="00450621" w:rsidRDefault="003104CE" w:rsidP="00C35DA7">
      <w:pPr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Farmakoterapeutická</w:t>
      </w:r>
      <w:proofErr w:type="spellEnd"/>
      <w:r w:rsidRPr="00450621">
        <w:rPr>
          <w:sz w:val="22"/>
          <w:szCs w:val="22"/>
        </w:rPr>
        <w:t xml:space="preserve"> skupina: </w:t>
      </w:r>
      <w:proofErr w:type="spellStart"/>
      <w:r w:rsidRPr="00450621">
        <w:rPr>
          <w:sz w:val="22"/>
          <w:szCs w:val="22"/>
        </w:rPr>
        <w:t>Paracetamol</w:t>
      </w:r>
      <w:proofErr w:type="spellEnd"/>
      <w:r w:rsidRPr="00450621">
        <w:rPr>
          <w:sz w:val="22"/>
          <w:szCs w:val="22"/>
        </w:rPr>
        <w:t xml:space="preserve">, kombinácie s výnimkou </w:t>
      </w:r>
      <w:proofErr w:type="spellStart"/>
      <w:r w:rsidRPr="00450621">
        <w:rPr>
          <w:sz w:val="22"/>
          <w:szCs w:val="22"/>
        </w:rPr>
        <w:t>psycholeptík</w:t>
      </w:r>
      <w:proofErr w:type="spellEnd"/>
      <w:r w:rsidR="002470B8" w:rsidRPr="00450621">
        <w:rPr>
          <w:sz w:val="22"/>
          <w:szCs w:val="22"/>
        </w:rPr>
        <w:t xml:space="preserve">, </w:t>
      </w:r>
      <w:r w:rsidRPr="00450621">
        <w:rPr>
          <w:sz w:val="22"/>
          <w:szCs w:val="22"/>
        </w:rPr>
        <w:t>ATC kód: N02BE51</w:t>
      </w:r>
    </w:p>
    <w:p w:rsidR="003104CE" w:rsidRPr="00450621" w:rsidRDefault="003104CE" w:rsidP="00C35DA7">
      <w:pPr>
        <w:pStyle w:val="Zkladntext"/>
        <w:jc w:val="left"/>
        <w:rPr>
          <w:b/>
          <w:bCs/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  <w:u w:val="single"/>
        </w:rPr>
      </w:pPr>
      <w:r w:rsidRPr="00450621">
        <w:rPr>
          <w:sz w:val="22"/>
          <w:szCs w:val="22"/>
          <w:u w:val="single"/>
        </w:rPr>
        <w:t xml:space="preserve">Mechanizmus účinku 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>Tento liek má tri farmakologické účinky.</w:t>
      </w:r>
    </w:p>
    <w:p w:rsidR="003104CE" w:rsidRPr="00450621" w:rsidRDefault="003104CE" w:rsidP="00C35DA7">
      <w:pPr>
        <w:pStyle w:val="Zkladntext"/>
        <w:numPr>
          <w:ilvl w:val="0"/>
          <w:numId w:val="7"/>
        </w:numPr>
        <w:ind w:left="567" w:hanging="567"/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Antihistamínový</w:t>
      </w:r>
      <w:proofErr w:type="spellEnd"/>
      <w:r w:rsidRPr="00450621">
        <w:rPr>
          <w:sz w:val="22"/>
          <w:szCs w:val="22"/>
        </w:rPr>
        <w:t xml:space="preserve"> efekt, ktorý znižuje sekréciu z nosa a často spojené slzenie a tiež znižuje nárazové </w:t>
      </w:r>
      <w:proofErr w:type="spellStart"/>
      <w:r w:rsidRPr="00450621">
        <w:rPr>
          <w:sz w:val="22"/>
          <w:szCs w:val="22"/>
        </w:rPr>
        <w:t>spazmodické</w:t>
      </w:r>
      <w:proofErr w:type="spellEnd"/>
      <w:r w:rsidRPr="00450621">
        <w:rPr>
          <w:sz w:val="22"/>
          <w:szCs w:val="22"/>
        </w:rPr>
        <w:t xml:space="preserve"> prejavy ako je záchvat kýchania.</w:t>
      </w:r>
    </w:p>
    <w:p w:rsidR="003104CE" w:rsidRPr="00450621" w:rsidRDefault="003104CE" w:rsidP="00C35DA7">
      <w:pPr>
        <w:pStyle w:val="Zkladntext"/>
        <w:ind w:left="567"/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Feniramín</w:t>
      </w:r>
      <w:proofErr w:type="spellEnd"/>
      <w:r w:rsidRPr="00450621">
        <w:rPr>
          <w:sz w:val="22"/>
          <w:szCs w:val="22"/>
        </w:rPr>
        <w:t xml:space="preserve"> je antagonista H1 receptora a bráni účinku histamínu a to uvoľneniu chemických </w:t>
      </w:r>
      <w:proofErr w:type="spellStart"/>
      <w:r w:rsidRPr="00450621">
        <w:rPr>
          <w:sz w:val="22"/>
          <w:szCs w:val="22"/>
        </w:rPr>
        <w:t>mediátorov</w:t>
      </w:r>
      <w:proofErr w:type="spellEnd"/>
      <w:r w:rsidRPr="00450621">
        <w:rPr>
          <w:sz w:val="22"/>
          <w:szCs w:val="22"/>
        </w:rPr>
        <w:t xml:space="preserve"> a tým výsledným prejavom zápalovej reakcie.</w:t>
      </w:r>
    </w:p>
    <w:p w:rsidR="003104CE" w:rsidRPr="00450621" w:rsidRDefault="003104CE" w:rsidP="00C35DA7">
      <w:pPr>
        <w:pStyle w:val="Zkladntext"/>
        <w:numPr>
          <w:ilvl w:val="0"/>
          <w:numId w:val="7"/>
        </w:numPr>
        <w:ind w:left="567" w:hanging="567"/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Antipyretický</w:t>
      </w:r>
      <w:proofErr w:type="spellEnd"/>
      <w:r w:rsidRPr="00450621">
        <w:rPr>
          <w:sz w:val="22"/>
          <w:szCs w:val="22"/>
        </w:rPr>
        <w:t xml:space="preserve"> a analgetický účinok znižujúci horúčku a bolesť (bolesti hlavy, svalov).</w:t>
      </w:r>
    </w:p>
    <w:p w:rsidR="003104CE" w:rsidRPr="00450621" w:rsidRDefault="003104CE" w:rsidP="00C35DA7">
      <w:pPr>
        <w:pStyle w:val="Zkladntext"/>
        <w:ind w:left="567"/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Paracetamol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inhibuje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cyklooxygenázu</w:t>
      </w:r>
      <w:proofErr w:type="spellEnd"/>
      <w:r w:rsidRPr="00450621">
        <w:rPr>
          <w:sz w:val="22"/>
          <w:szCs w:val="22"/>
        </w:rPr>
        <w:t xml:space="preserve">, enzým, ktorý je dôležitý pre syntézu </w:t>
      </w:r>
      <w:proofErr w:type="spellStart"/>
      <w:r w:rsidRPr="00450621">
        <w:rPr>
          <w:sz w:val="22"/>
          <w:szCs w:val="22"/>
        </w:rPr>
        <w:t>prostaglandínov</w:t>
      </w:r>
      <w:proofErr w:type="spellEnd"/>
      <w:r w:rsidRPr="00450621">
        <w:rPr>
          <w:sz w:val="22"/>
          <w:szCs w:val="22"/>
        </w:rPr>
        <w:t xml:space="preserve">. </w:t>
      </w:r>
      <w:proofErr w:type="spellStart"/>
      <w:r w:rsidRPr="00450621">
        <w:rPr>
          <w:sz w:val="22"/>
          <w:szCs w:val="22"/>
        </w:rPr>
        <w:t>Cyklooxygenáza</w:t>
      </w:r>
      <w:proofErr w:type="spellEnd"/>
      <w:r w:rsidRPr="00450621">
        <w:rPr>
          <w:sz w:val="22"/>
          <w:szCs w:val="22"/>
        </w:rPr>
        <w:t xml:space="preserve"> v centrálnom nervovom systéme je k </w:t>
      </w:r>
      <w:proofErr w:type="spellStart"/>
      <w:r w:rsidRPr="00450621">
        <w:rPr>
          <w:sz w:val="22"/>
          <w:szCs w:val="22"/>
        </w:rPr>
        <w:t>paracetamolu</w:t>
      </w:r>
      <w:proofErr w:type="spellEnd"/>
      <w:r w:rsidRPr="00450621">
        <w:rPr>
          <w:sz w:val="22"/>
          <w:szCs w:val="22"/>
        </w:rPr>
        <w:t xml:space="preserve"> citlivejšia ako periférna </w:t>
      </w:r>
      <w:proofErr w:type="spellStart"/>
      <w:r w:rsidRPr="00450621">
        <w:rPr>
          <w:sz w:val="22"/>
          <w:szCs w:val="22"/>
        </w:rPr>
        <w:t>cyklooxygenáza</w:t>
      </w:r>
      <w:proofErr w:type="spellEnd"/>
      <w:r w:rsidRPr="00450621">
        <w:rPr>
          <w:sz w:val="22"/>
          <w:szCs w:val="22"/>
        </w:rPr>
        <w:t xml:space="preserve"> a preto má </w:t>
      </w:r>
      <w:proofErr w:type="spellStart"/>
      <w:r w:rsidRPr="00450621">
        <w:rPr>
          <w:sz w:val="22"/>
          <w:szCs w:val="22"/>
        </w:rPr>
        <w:t>paracetamol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antipyretický</w:t>
      </w:r>
      <w:proofErr w:type="spellEnd"/>
      <w:r w:rsidRPr="00450621">
        <w:rPr>
          <w:sz w:val="22"/>
          <w:szCs w:val="22"/>
        </w:rPr>
        <w:t xml:space="preserve"> a analgetický účinok bez viditeľnej periférnej protizápalovej aktivity.</w:t>
      </w:r>
    </w:p>
    <w:p w:rsidR="003104CE" w:rsidRPr="00450621" w:rsidRDefault="003104CE" w:rsidP="00C35DA7">
      <w:pPr>
        <w:pStyle w:val="Zkladntext"/>
        <w:numPr>
          <w:ilvl w:val="0"/>
          <w:numId w:val="7"/>
        </w:numPr>
        <w:ind w:left="567" w:hanging="567"/>
        <w:jc w:val="left"/>
        <w:rPr>
          <w:sz w:val="22"/>
          <w:szCs w:val="22"/>
        </w:rPr>
      </w:pPr>
      <w:r w:rsidRPr="00450621">
        <w:rPr>
          <w:sz w:val="22"/>
          <w:szCs w:val="22"/>
        </w:rPr>
        <w:t>Kompenzácia kyseliny askorbovej v ľudskom tele.</w:t>
      </w:r>
    </w:p>
    <w:p w:rsidR="003104CE" w:rsidRPr="00450621" w:rsidRDefault="003104CE" w:rsidP="00C35DA7">
      <w:pPr>
        <w:pStyle w:val="Zkladntext"/>
        <w:ind w:left="567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Kyselina askorbová je vo vode rozpustný vitamín a silný </w:t>
      </w:r>
      <w:proofErr w:type="spellStart"/>
      <w:r w:rsidRPr="00450621">
        <w:rPr>
          <w:sz w:val="22"/>
          <w:szCs w:val="22"/>
        </w:rPr>
        <w:t>antioxidant</w:t>
      </w:r>
      <w:proofErr w:type="spellEnd"/>
      <w:r w:rsidRPr="00450621">
        <w:rPr>
          <w:sz w:val="22"/>
          <w:szCs w:val="22"/>
        </w:rPr>
        <w:t xml:space="preserve">. Je to </w:t>
      </w:r>
      <w:proofErr w:type="spellStart"/>
      <w:r w:rsidRPr="00450621">
        <w:rPr>
          <w:sz w:val="22"/>
          <w:szCs w:val="22"/>
        </w:rPr>
        <w:t>kofaktor</w:t>
      </w:r>
      <w:proofErr w:type="spellEnd"/>
      <w:r w:rsidRPr="00450621">
        <w:rPr>
          <w:sz w:val="22"/>
          <w:szCs w:val="22"/>
        </w:rPr>
        <w:t xml:space="preserve"> v mnohých biologických procesoch, ako je napríklad metabolizmus kyseliny listovej, oxidácia </w:t>
      </w:r>
      <w:r w:rsidRPr="00450621">
        <w:rPr>
          <w:sz w:val="22"/>
          <w:szCs w:val="22"/>
        </w:rPr>
        <w:lastRenderedPageBreak/>
        <w:t xml:space="preserve">aminokyselín a absorpcia a transport železa. Tak isto je potrebná pre tvorbu, údržbu a opravu medzibunkového stavebného materiálu. Kyselina askorbová je dôležitá v obrane proti infekciám, pre normálnu funkciu </w:t>
      </w:r>
      <w:proofErr w:type="spellStart"/>
      <w:r w:rsidRPr="00450621">
        <w:rPr>
          <w:sz w:val="22"/>
          <w:szCs w:val="22"/>
        </w:rPr>
        <w:t>T-lymfocytov</w:t>
      </w:r>
      <w:proofErr w:type="spellEnd"/>
      <w:r w:rsidRPr="00450621">
        <w:rPr>
          <w:sz w:val="22"/>
          <w:szCs w:val="22"/>
        </w:rPr>
        <w:t xml:space="preserve"> a pre účinnú </w:t>
      </w:r>
      <w:proofErr w:type="spellStart"/>
      <w:r w:rsidRPr="00450621">
        <w:rPr>
          <w:sz w:val="22"/>
          <w:szCs w:val="22"/>
        </w:rPr>
        <w:t>fagocytárnu</w:t>
      </w:r>
      <w:proofErr w:type="spellEnd"/>
      <w:r w:rsidRPr="00450621">
        <w:rPr>
          <w:sz w:val="22"/>
          <w:szCs w:val="22"/>
        </w:rPr>
        <w:t xml:space="preserve"> aktivitu leukocytov. Toto tiež chráni bunky pred oxidačným poškodením základných molekúl.</w:t>
      </w:r>
    </w:p>
    <w:p w:rsidR="003104CE" w:rsidRPr="00450621" w:rsidRDefault="003104CE" w:rsidP="00C35DA7">
      <w:pPr>
        <w:pStyle w:val="Zkladntext"/>
        <w:jc w:val="left"/>
        <w:rPr>
          <w:b/>
          <w:bCs/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b/>
          <w:bCs/>
          <w:sz w:val="22"/>
          <w:szCs w:val="22"/>
        </w:rPr>
      </w:pPr>
      <w:r w:rsidRPr="00450621">
        <w:rPr>
          <w:b/>
          <w:bCs/>
          <w:sz w:val="22"/>
          <w:szCs w:val="22"/>
        </w:rPr>
        <w:t>5.2</w:t>
      </w:r>
      <w:r w:rsidRPr="00450621">
        <w:rPr>
          <w:b/>
          <w:bCs/>
          <w:sz w:val="22"/>
          <w:szCs w:val="22"/>
        </w:rPr>
        <w:tab/>
      </w:r>
      <w:proofErr w:type="spellStart"/>
      <w:r w:rsidRPr="00450621">
        <w:rPr>
          <w:b/>
          <w:bCs/>
          <w:sz w:val="22"/>
          <w:szCs w:val="22"/>
        </w:rPr>
        <w:t>Farmakokinetické</w:t>
      </w:r>
      <w:proofErr w:type="spellEnd"/>
      <w:r w:rsidRPr="00450621">
        <w:rPr>
          <w:b/>
          <w:bCs/>
          <w:sz w:val="22"/>
          <w:szCs w:val="22"/>
        </w:rPr>
        <w:t xml:space="preserve"> vlastnosti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b/>
          <w:sz w:val="22"/>
          <w:szCs w:val="22"/>
          <w:u w:val="single"/>
        </w:rPr>
      </w:pPr>
      <w:proofErr w:type="spellStart"/>
      <w:r w:rsidRPr="00450621">
        <w:rPr>
          <w:b/>
          <w:sz w:val="22"/>
          <w:szCs w:val="22"/>
          <w:u w:val="single"/>
        </w:rPr>
        <w:t>Paracetamol</w:t>
      </w:r>
      <w:proofErr w:type="spellEnd"/>
    </w:p>
    <w:p w:rsidR="003104CE" w:rsidRPr="00450621" w:rsidRDefault="003104CE" w:rsidP="00C35DA7">
      <w:pPr>
        <w:pStyle w:val="Zkladntext"/>
        <w:jc w:val="left"/>
        <w:rPr>
          <w:sz w:val="22"/>
          <w:szCs w:val="22"/>
          <w:u w:val="single"/>
        </w:rPr>
      </w:pPr>
      <w:r w:rsidRPr="00450621">
        <w:rPr>
          <w:sz w:val="22"/>
          <w:szCs w:val="22"/>
          <w:u w:val="single"/>
        </w:rPr>
        <w:t>Absorpcia</w:t>
      </w:r>
    </w:p>
    <w:p w:rsidR="003104CE" w:rsidRPr="00450621" w:rsidRDefault="003104CE" w:rsidP="00293E9C">
      <w:pPr>
        <w:pStyle w:val="Zarkazkladnhotextu"/>
        <w:tabs>
          <w:tab w:val="left" w:pos="567"/>
        </w:tabs>
        <w:spacing w:after="0"/>
        <w:ind w:left="0"/>
        <w:rPr>
          <w:sz w:val="22"/>
          <w:szCs w:val="22"/>
        </w:rPr>
      </w:pPr>
      <w:r w:rsidRPr="00450621">
        <w:rPr>
          <w:sz w:val="22"/>
          <w:szCs w:val="22"/>
        </w:rPr>
        <w:t xml:space="preserve">Vstrebávanie </w:t>
      </w:r>
      <w:proofErr w:type="spellStart"/>
      <w:r w:rsidRPr="00450621">
        <w:rPr>
          <w:sz w:val="22"/>
          <w:szCs w:val="22"/>
        </w:rPr>
        <w:t>paracetamolu</w:t>
      </w:r>
      <w:proofErr w:type="spellEnd"/>
      <w:r w:rsidRPr="00450621">
        <w:rPr>
          <w:sz w:val="22"/>
          <w:szCs w:val="22"/>
        </w:rPr>
        <w:t xml:space="preserve"> po perorálnom podaní je rýchle a takmer úplné. Jeho koncentrácia v plazme dosiahne vrchol za 30 minút až 2 hodiny.</w:t>
      </w:r>
    </w:p>
    <w:p w:rsidR="003104CE" w:rsidRPr="00450621" w:rsidRDefault="003104CE" w:rsidP="00293E9C">
      <w:pPr>
        <w:pStyle w:val="Zarkazkladnhotextu"/>
        <w:tabs>
          <w:tab w:val="left" w:pos="567"/>
        </w:tabs>
        <w:spacing w:after="0"/>
        <w:ind w:left="0"/>
        <w:rPr>
          <w:sz w:val="22"/>
          <w:szCs w:val="22"/>
        </w:rPr>
      </w:pPr>
    </w:p>
    <w:p w:rsidR="003104CE" w:rsidRPr="00450621" w:rsidRDefault="003104CE" w:rsidP="00293E9C">
      <w:pPr>
        <w:pStyle w:val="Zkladntext"/>
        <w:jc w:val="left"/>
        <w:rPr>
          <w:sz w:val="22"/>
          <w:szCs w:val="22"/>
          <w:u w:val="single"/>
        </w:rPr>
      </w:pPr>
      <w:r w:rsidRPr="00450621">
        <w:rPr>
          <w:sz w:val="22"/>
          <w:szCs w:val="22"/>
          <w:u w:val="single"/>
        </w:rPr>
        <w:t>Distribúcia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Paracetamol</w:t>
      </w:r>
      <w:proofErr w:type="spellEnd"/>
      <w:r w:rsidRPr="00450621">
        <w:rPr>
          <w:sz w:val="22"/>
          <w:szCs w:val="22"/>
        </w:rPr>
        <w:t xml:space="preserve"> sa distribuuje rýchlo do všetkých tkanív. Koncentrácie v krvi, slinách a plazme sú vzájomne porovnateľné. Pri terapeutických dávkach je väzba na plazmatické bielkoviny zanedbateľná.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  <w:u w:val="single"/>
        </w:rPr>
      </w:pPr>
      <w:proofErr w:type="spellStart"/>
      <w:r w:rsidRPr="00450621">
        <w:rPr>
          <w:sz w:val="22"/>
          <w:szCs w:val="22"/>
          <w:u w:val="single"/>
        </w:rPr>
        <w:t>Biotransformácia</w:t>
      </w:r>
      <w:proofErr w:type="spellEnd"/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Paracetamol</w:t>
      </w:r>
      <w:proofErr w:type="spellEnd"/>
      <w:r w:rsidRPr="00450621">
        <w:rPr>
          <w:sz w:val="22"/>
          <w:szCs w:val="22"/>
        </w:rPr>
        <w:t xml:space="preserve"> sa metabolizuje v pečeni. Dve hlavné metabolické cesty sú </w:t>
      </w:r>
      <w:proofErr w:type="spellStart"/>
      <w:r w:rsidRPr="00450621">
        <w:rPr>
          <w:sz w:val="22"/>
          <w:szCs w:val="22"/>
        </w:rPr>
        <w:t>glukuronidácia</w:t>
      </w:r>
      <w:proofErr w:type="spellEnd"/>
      <w:r w:rsidRPr="00450621">
        <w:rPr>
          <w:sz w:val="22"/>
          <w:szCs w:val="22"/>
        </w:rPr>
        <w:t xml:space="preserve"> a </w:t>
      </w:r>
      <w:proofErr w:type="spellStart"/>
      <w:r w:rsidRPr="00450621">
        <w:rPr>
          <w:sz w:val="22"/>
          <w:szCs w:val="22"/>
        </w:rPr>
        <w:t>sulfatácia</w:t>
      </w:r>
      <w:proofErr w:type="spellEnd"/>
      <w:r w:rsidRPr="00450621">
        <w:rPr>
          <w:sz w:val="22"/>
          <w:szCs w:val="22"/>
        </w:rPr>
        <w:t xml:space="preserve">. Druhá cesta sa pri vyšších než terapeutických dávkach rýchlo nasýti. Minoritná cesta </w:t>
      </w:r>
      <w:proofErr w:type="spellStart"/>
      <w:r w:rsidRPr="00450621">
        <w:rPr>
          <w:sz w:val="22"/>
          <w:szCs w:val="22"/>
        </w:rPr>
        <w:t>katalyzovaná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cytochrómom</w:t>
      </w:r>
      <w:proofErr w:type="spellEnd"/>
      <w:r w:rsidRPr="00450621">
        <w:rPr>
          <w:sz w:val="22"/>
          <w:szCs w:val="22"/>
        </w:rPr>
        <w:t xml:space="preserve"> P450, vedie k tvorbe reaktívneho medziproduktu (</w:t>
      </w:r>
      <w:proofErr w:type="spellStart"/>
      <w:r w:rsidRPr="00450621">
        <w:rPr>
          <w:sz w:val="22"/>
          <w:szCs w:val="22"/>
        </w:rPr>
        <w:t>N-acetyl-</w:t>
      </w:r>
      <w:r w:rsidRPr="00450621">
        <w:rPr>
          <w:i/>
          <w:sz w:val="22"/>
          <w:szCs w:val="22"/>
        </w:rPr>
        <w:t>p</w:t>
      </w:r>
      <w:r w:rsidRPr="00450621">
        <w:rPr>
          <w:sz w:val="22"/>
          <w:szCs w:val="22"/>
        </w:rPr>
        <w:t>-benzochinónimín</w:t>
      </w:r>
      <w:proofErr w:type="spellEnd"/>
      <w:r w:rsidRPr="00450621">
        <w:rPr>
          <w:sz w:val="22"/>
          <w:szCs w:val="22"/>
        </w:rPr>
        <w:t xml:space="preserve">), ktorý sa pri užití štandardných dávok rýchlo </w:t>
      </w:r>
      <w:proofErr w:type="spellStart"/>
      <w:r w:rsidRPr="00450621">
        <w:rPr>
          <w:sz w:val="22"/>
          <w:szCs w:val="22"/>
        </w:rPr>
        <w:t>detoxikuje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glutatiónom</w:t>
      </w:r>
      <w:proofErr w:type="spellEnd"/>
      <w:r w:rsidRPr="00450621">
        <w:rPr>
          <w:sz w:val="22"/>
          <w:szCs w:val="22"/>
        </w:rPr>
        <w:t xml:space="preserve"> a vylučuje sa močom po konjugácii s </w:t>
      </w:r>
      <w:proofErr w:type="spellStart"/>
      <w:r w:rsidRPr="00450621">
        <w:rPr>
          <w:sz w:val="22"/>
          <w:szCs w:val="22"/>
        </w:rPr>
        <w:t>cysteínom</w:t>
      </w:r>
      <w:proofErr w:type="spellEnd"/>
      <w:r w:rsidRPr="00450621">
        <w:rPr>
          <w:sz w:val="22"/>
          <w:szCs w:val="22"/>
        </w:rPr>
        <w:t xml:space="preserve"> a kyselinou </w:t>
      </w:r>
      <w:proofErr w:type="spellStart"/>
      <w:r w:rsidRPr="00450621">
        <w:rPr>
          <w:sz w:val="22"/>
          <w:szCs w:val="22"/>
        </w:rPr>
        <w:t>merkaptopurovou</w:t>
      </w:r>
      <w:proofErr w:type="spellEnd"/>
      <w:r w:rsidRPr="00450621">
        <w:rPr>
          <w:sz w:val="22"/>
          <w:szCs w:val="22"/>
        </w:rPr>
        <w:t>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keepNext/>
        <w:tabs>
          <w:tab w:val="left" w:pos="567"/>
        </w:tabs>
        <w:ind w:right="28"/>
        <w:rPr>
          <w:sz w:val="22"/>
          <w:szCs w:val="22"/>
          <w:u w:val="single"/>
        </w:rPr>
      </w:pPr>
      <w:r w:rsidRPr="00450621">
        <w:rPr>
          <w:sz w:val="22"/>
          <w:szCs w:val="22"/>
          <w:u w:val="single"/>
        </w:rPr>
        <w:t>Eliminácia</w:t>
      </w:r>
    </w:p>
    <w:p w:rsidR="003104CE" w:rsidRPr="00450621" w:rsidRDefault="003104CE" w:rsidP="00C35DA7">
      <w:pPr>
        <w:tabs>
          <w:tab w:val="left" w:pos="567"/>
        </w:tabs>
        <w:ind w:right="28"/>
        <w:rPr>
          <w:sz w:val="22"/>
          <w:szCs w:val="22"/>
        </w:rPr>
      </w:pPr>
      <w:r w:rsidRPr="00450621">
        <w:rPr>
          <w:sz w:val="22"/>
          <w:szCs w:val="22"/>
        </w:rPr>
        <w:t xml:space="preserve">K eliminácii </w:t>
      </w:r>
      <w:proofErr w:type="spellStart"/>
      <w:r w:rsidRPr="00450621">
        <w:rPr>
          <w:sz w:val="22"/>
          <w:szCs w:val="22"/>
        </w:rPr>
        <w:t>paracetamolu</w:t>
      </w:r>
      <w:proofErr w:type="spellEnd"/>
      <w:r w:rsidRPr="00450621">
        <w:rPr>
          <w:sz w:val="22"/>
          <w:szCs w:val="22"/>
        </w:rPr>
        <w:t xml:space="preserve"> dochádza hlavne močom. 90 % požitej dávky sa vylučuje obličkami v priebehu 24 hodín, prevažne ako </w:t>
      </w:r>
      <w:proofErr w:type="spellStart"/>
      <w:r w:rsidRPr="00450621">
        <w:rPr>
          <w:sz w:val="22"/>
          <w:szCs w:val="22"/>
        </w:rPr>
        <w:t>glukuronidové</w:t>
      </w:r>
      <w:proofErr w:type="spellEnd"/>
      <w:r w:rsidRPr="00450621">
        <w:rPr>
          <w:sz w:val="22"/>
          <w:szCs w:val="22"/>
        </w:rPr>
        <w:t xml:space="preserve"> (60-80 %) a sulfátové (20-30 %) </w:t>
      </w:r>
      <w:proofErr w:type="spellStart"/>
      <w:r w:rsidRPr="00450621">
        <w:rPr>
          <w:sz w:val="22"/>
          <w:szCs w:val="22"/>
        </w:rPr>
        <w:t>konjugáty</w:t>
      </w:r>
      <w:proofErr w:type="spellEnd"/>
      <w:r w:rsidRPr="00450621">
        <w:rPr>
          <w:sz w:val="22"/>
          <w:szCs w:val="22"/>
        </w:rPr>
        <w:t xml:space="preserve">. Menej než 5 % sa vylučuje v nezmenenej forme. Eliminačný polčas je asi 2 hodiny. </w:t>
      </w:r>
    </w:p>
    <w:p w:rsidR="003104CE" w:rsidRPr="00450621" w:rsidRDefault="003104CE" w:rsidP="00C35DA7">
      <w:pPr>
        <w:tabs>
          <w:tab w:val="left" w:pos="567"/>
        </w:tabs>
        <w:ind w:right="28"/>
        <w:rPr>
          <w:sz w:val="22"/>
          <w:szCs w:val="22"/>
        </w:rPr>
      </w:pPr>
    </w:p>
    <w:p w:rsidR="003104CE" w:rsidRPr="00450621" w:rsidRDefault="003104CE" w:rsidP="00C35DA7">
      <w:pPr>
        <w:tabs>
          <w:tab w:val="left" w:pos="567"/>
        </w:tabs>
        <w:ind w:right="28"/>
        <w:rPr>
          <w:sz w:val="22"/>
          <w:szCs w:val="22"/>
        </w:rPr>
      </w:pPr>
      <w:r w:rsidRPr="00450621">
        <w:rPr>
          <w:sz w:val="22"/>
          <w:szCs w:val="22"/>
        </w:rPr>
        <w:t xml:space="preserve">V prípade </w:t>
      </w:r>
      <w:proofErr w:type="spellStart"/>
      <w:r w:rsidRPr="00450621">
        <w:rPr>
          <w:sz w:val="22"/>
          <w:szCs w:val="22"/>
        </w:rPr>
        <w:t>renálnej</w:t>
      </w:r>
      <w:proofErr w:type="spellEnd"/>
      <w:r w:rsidRPr="00450621">
        <w:rPr>
          <w:sz w:val="22"/>
          <w:szCs w:val="22"/>
        </w:rPr>
        <w:t xml:space="preserve"> alebo </w:t>
      </w:r>
      <w:proofErr w:type="spellStart"/>
      <w:r w:rsidRPr="00450621">
        <w:rPr>
          <w:sz w:val="22"/>
          <w:szCs w:val="22"/>
        </w:rPr>
        <w:t>hepatálnej</w:t>
      </w:r>
      <w:proofErr w:type="spellEnd"/>
      <w:r w:rsidRPr="00450621">
        <w:rPr>
          <w:sz w:val="22"/>
          <w:szCs w:val="22"/>
        </w:rPr>
        <w:t xml:space="preserve"> </w:t>
      </w:r>
      <w:proofErr w:type="spellStart"/>
      <w:r w:rsidRPr="00450621">
        <w:rPr>
          <w:sz w:val="22"/>
          <w:szCs w:val="22"/>
        </w:rPr>
        <w:t>insuficiencie</w:t>
      </w:r>
      <w:proofErr w:type="spellEnd"/>
      <w:r w:rsidRPr="00450621">
        <w:rPr>
          <w:sz w:val="22"/>
          <w:szCs w:val="22"/>
        </w:rPr>
        <w:t xml:space="preserve">, po predávkovaní a u novorodencov je eliminačný polčas </w:t>
      </w:r>
      <w:proofErr w:type="spellStart"/>
      <w:r w:rsidRPr="00450621">
        <w:rPr>
          <w:sz w:val="22"/>
          <w:szCs w:val="22"/>
        </w:rPr>
        <w:t>paracetamolu</w:t>
      </w:r>
      <w:proofErr w:type="spellEnd"/>
      <w:r w:rsidRPr="00450621">
        <w:rPr>
          <w:sz w:val="22"/>
          <w:szCs w:val="22"/>
        </w:rPr>
        <w:t xml:space="preserve"> predĺžený. Maximálny účinok zodpovedá koncentráciám v plazme. U starších pacientov nie je kapacita tvorby </w:t>
      </w:r>
      <w:proofErr w:type="spellStart"/>
      <w:r w:rsidRPr="00450621">
        <w:rPr>
          <w:sz w:val="22"/>
          <w:szCs w:val="22"/>
        </w:rPr>
        <w:t>konjugátov</w:t>
      </w:r>
      <w:proofErr w:type="spellEnd"/>
      <w:r w:rsidRPr="00450621">
        <w:rPr>
          <w:sz w:val="22"/>
          <w:szCs w:val="22"/>
        </w:rPr>
        <w:t xml:space="preserve"> modifikovaná.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b/>
          <w:sz w:val="22"/>
          <w:szCs w:val="22"/>
          <w:u w:val="single"/>
        </w:rPr>
      </w:pPr>
      <w:proofErr w:type="spellStart"/>
      <w:r w:rsidRPr="00450621">
        <w:rPr>
          <w:b/>
          <w:sz w:val="22"/>
          <w:szCs w:val="22"/>
          <w:u w:val="single"/>
        </w:rPr>
        <w:t>Feniramínium</w:t>
      </w:r>
      <w:r w:rsidR="00B2612F">
        <w:rPr>
          <w:b/>
          <w:sz w:val="22"/>
          <w:szCs w:val="22"/>
          <w:u w:val="single"/>
        </w:rPr>
        <w:t>-</w:t>
      </w:r>
      <w:r w:rsidR="00E94120" w:rsidRPr="00450621">
        <w:rPr>
          <w:b/>
          <w:sz w:val="22"/>
          <w:szCs w:val="22"/>
          <w:u w:val="single"/>
        </w:rPr>
        <w:t>hydrog</w:t>
      </w:r>
      <w:r w:rsidR="00E94120">
        <w:rPr>
          <w:b/>
          <w:sz w:val="22"/>
          <w:szCs w:val="22"/>
          <w:u w:val="single"/>
        </w:rPr>
        <w:t>e</w:t>
      </w:r>
      <w:r w:rsidR="00E94120" w:rsidRPr="00450621">
        <w:rPr>
          <w:b/>
          <w:sz w:val="22"/>
          <w:szCs w:val="22"/>
          <w:u w:val="single"/>
        </w:rPr>
        <w:t>n</w:t>
      </w:r>
      <w:r w:rsidR="00B2612F">
        <w:rPr>
          <w:b/>
          <w:sz w:val="22"/>
          <w:szCs w:val="22"/>
          <w:u w:val="single"/>
        </w:rPr>
        <w:t>-</w:t>
      </w:r>
      <w:r w:rsidRPr="00450621">
        <w:rPr>
          <w:b/>
          <w:sz w:val="22"/>
          <w:szCs w:val="22"/>
          <w:u w:val="single"/>
        </w:rPr>
        <w:t>maleát</w:t>
      </w:r>
      <w:proofErr w:type="spellEnd"/>
      <w:r w:rsidRPr="00450621" w:rsidDel="00F54E6A">
        <w:rPr>
          <w:b/>
          <w:sz w:val="22"/>
          <w:szCs w:val="22"/>
          <w:u w:val="single"/>
        </w:rPr>
        <w:t xml:space="preserve"> 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  <w:u w:val="single"/>
        </w:rPr>
      </w:pPr>
      <w:r w:rsidRPr="00450621">
        <w:rPr>
          <w:sz w:val="22"/>
          <w:szCs w:val="22"/>
          <w:u w:val="single"/>
        </w:rPr>
        <w:t>Absorpcia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proofErr w:type="spellStart"/>
      <w:r w:rsidRPr="00450621">
        <w:rPr>
          <w:sz w:val="22"/>
          <w:szCs w:val="22"/>
        </w:rPr>
        <w:t>Feniramínium</w:t>
      </w:r>
      <w:r w:rsidR="00E94120">
        <w:rPr>
          <w:sz w:val="22"/>
          <w:szCs w:val="22"/>
        </w:rPr>
        <w:t>-</w:t>
      </w:r>
      <w:r w:rsidR="00E94120" w:rsidRPr="00450621">
        <w:rPr>
          <w:sz w:val="22"/>
          <w:szCs w:val="22"/>
        </w:rPr>
        <w:t>hydrog</w:t>
      </w:r>
      <w:r w:rsidR="00E94120">
        <w:rPr>
          <w:sz w:val="22"/>
          <w:szCs w:val="22"/>
        </w:rPr>
        <w:t>e</w:t>
      </w:r>
      <w:r w:rsidR="00E94120" w:rsidRPr="00450621">
        <w:rPr>
          <w:sz w:val="22"/>
          <w:szCs w:val="22"/>
        </w:rPr>
        <w:t>n</w:t>
      </w:r>
      <w:r w:rsidR="00E94120">
        <w:rPr>
          <w:sz w:val="22"/>
          <w:szCs w:val="22"/>
        </w:rPr>
        <w:t>-male</w:t>
      </w:r>
      <w:r w:rsidR="00E94120" w:rsidRPr="00450621">
        <w:rPr>
          <w:sz w:val="22"/>
          <w:szCs w:val="22"/>
        </w:rPr>
        <w:t>át</w:t>
      </w:r>
      <w:proofErr w:type="spellEnd"/>
      <w:r w:rsidR="00E94120" w:rsidRPr="00450621">
        <w:rPr>
          <w:sz w:val="22"/>
          <w:szCs w:val="22"/>
        </w:rPr>
        <w:t xml:space="preserve"> </w:t>
      </w:r>
      <w:r w:rsidRPr="00450621">
        <w:rPr>
          <w:sz w:val="22"/>
          <w:szCs w:val="22"/>
        </w:rPr>
        <w:t xml:space="preserve">je dobre </w:t>
      </w:r>
      <w:proofErr w:type="spellStart"/>
      <w:r w:rsidRPr="00450621">
        <w:rPr>
          <w:sz w:val="22"/>
          <w:szCs w:val="22"/>
        </w:rPr>
        <w:t>vstrebateľný</w:t>
      </w:r>
      <w:proofErr w:type="spellEnd"/>
      <w:r w:rsidRPr="00450621">
        <w:rPr>
          <w:sz w:val="22"/>
          <w:szCs w:val="22"/>
        </w:rPr>
        <w:t xml:space="preserve"> z </w:t>
      </w:r>
      <w:proofErr w:type="spellStart"/>
      <w:r w:rsidRPr="00450621">
        <w:rPr>
          <w:sz w:val="22"/>
          <w:szCs w:val="22"/>
        </w:rPr>
        <w:t>gastrointestinálneho</w:t>
      </w:r>
      <w:proofErr w:type="spellEnd"/>
      <w:r w:rsidRPr="00450621">
        <w:rPr>
          <w:sz w:val="22"/>
          <w:szCs w:val="22"/>
        </w:rPr>
        <w:t xml:space="preserve"> traktu. Jeho plazmatický polčas je 1-1,5 hodiny.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  <w:u w:val="single"/>
        </w:rPr>
      </w:pPr>
      <w:r w:rsidRPr="00450621">
        <w:rPr>
          <w:sz w:val="22"/>
          <w:szCs w:val="22"/>
          <w:u w:val="single"/>
        </w:rPr>
        <w:t>Eliminácia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>Má vysokú afinitu k tkanivám a je vylučovaný predovšetkým obličkami.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2470B8" w:rsidP="00C35DA7">
      <w:pPr>
        <w:pStyle w:val="Zkladntext"/>
        <w:jc w:val="left"/>
        <w:rPr>
          <w:b/>
          <w:sz w:val="22"/>
          <w:szCs w:val="22"/>
          <w:u w:val="single"/>
        </w:rPr>
      </w:pPr>
      <w:r w:rsidRPr="00450621">
        <w:rPr>
          <w:b/>
          <w:sz w:val="22"/>
          <w:szCs w:val="22"/>
          <w:u w:val="single"/>
        </w:rPr>
        <w:t>Kyselina askorbová (vitamín C)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Kyselina askorbová sa rýchlo a úplne absorbuje z </w:t>
      </w:r>
      <w:proofErr w:type="spellStart"/>
      <w:r w:rsidRPr="00450621">
        <w:rPr>
          <w:sz w:val="22"/>
          <w:szCs w:val="22"/>
        </w:rPr>
        <w:t>gastrointestinálneho</w:t>
      </w:r>
      <w:proofErr w:type="spellEnd"/>
      <w:r w:rsidRPr="00450621">
        <w:rPr>
          <w:sz w:val="22"/>
          <w:szCs w:val="22"/>
        </w:rPr>
        <w:t xml:space="preserve"> traktu a je distribuovaná do všetkých telových tkanív. Kyselina askorbová sa reverzibilne oxiduje na kyselinu </w:t>
      </w:r>
      <w:proofErr w:type="spellStart"/>
      <w:r w:rsidRPr="00450621">
        <w:rPr>
          <w:sz w:val="22"/>
          <w:szCs w:val="22"/>
        </w:rPr>
        <w:t>dehydroaskorbovú</w:t>
      </w:r>
      <w:proofErr w:type="spellEnd"/>
      <w:r w:rsidRPr="00450621">
        <w:rPr>
          <w:sz w:val="22"/>
          <w:szCs w:val="22"/>
        </w:rPr>
        <w:t>; časť sa metabolizuje na neaktívny askorbát-2-sulfát a na kyselinu šťaveľovú, ktoré sú vylučované močom.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b/>
          <w:bCs/>
          <w:sz w:val="22"/>
          <w:szCs w:val="22"/>
        </w:rPr>
      </w:pPr>
      <w:r w:rsidRPr="00450621">
        <w:rPr>
          <w:b/>
          <w:bCs/>
          <w:sz w:val="22"/>
          <w:szCs w:val="22"/>
        </w:rPr>
        <w:t>5.3</w:t>
      </w:r>
      <w:r w:rsidRPr="00450621">
        <w:rPr>
          <w:b/>
          <w:bCs/>
          <w:sz w:val="22"/>
          <w:szCs w:val="22"/>
        </w:rPr>
        <w:tab/>
        <w:t>Predklinické údaje o bezpečnosti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B2612F" w:rsidP="00C35DA7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Nie sú k dispozícii konvenčné štúdie, v ktorých sa používajú v súčasnosti akceptované normy pre hodnotenie reprodukčnej a vývinovej toxicity. 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keepNext/>
        <w:jc w:val="left"/>
        <w:rPr>
          <w:b/>
          <w:bCs/>
          <w:caps/>
          <w:sz w:val="22"/>
          <w:szCs w:val="22"/>
        </w:rPr>
      </w:pPr>
      <w:r w:rsidRPr="00450621">
        <w:rPr>
          <w:b/>
          <w:bCs/>
          <w:sz w:val="22"/>
          <w:szCs w:val="22"/>
        </w:rPr>
        <w:lastRenderedPageBreak/>
        <w:t>6.</w:t>
      </w:r>
      <w:r w:rsidRPr="00450621">
        <w:rPr>
          <w:b/>
          <w:bCs/>
          <w:sz w:val="22"/>
          <w:szCs w:val="22"/>
        </w:rPr>
        <w:tab/>
      </w:r>
      <w:r w:rsidRPr="00450621">
        <w:rPr>
          <w:b/>
          <w:bCs/>
          <w:caps/>
          <w:sz w:val="22"/>
          <w:szCs w:val="22"/>
        </w:rPr>
        <w:t>Farmaceutické informácie</w:t>
      </w:r>
    </w:p>
    <w:p w:rsidR="003104CE" w:rsidRPr="00450621" w:rsidRDefault="003104CE" w:rsidP="00C35DA7">
      <w:pPr>
        <w:pStyle w:val="Zkladntext"/>
        <w:keepNext/>
        <w:jc w:val="left"/>
        <w:rPr>
          <w:b/>
          <w:bCs/>
          <w:sz w:val="22"/>
          <w:szCs w:val="22"/>
        </w:rPr>
      </w:pPr>
    </w:p>
    <w:p w:rsidR="003104CE" w:rsidRPr="00450621" w:rsidRDefault="003104CE" w:rsidP="00C35DA7">
      <w:pPr>
        <w:pStyle w:val="Zkladntext"/>
        <w:keepNext/>
        <w:jc w:val="left"/>
        <w:rPr>
          <w:b/>
          <w:bCs/>
          <w:sz w:val="22"/>
          <w:szCs w:val="22"/>
        </w:rPr>
      </w:pPr>
      <w:r w:rsidRPr="00450621">
        <w:rPr>
          <w:b/>
          <w:bCs/>
          <w:sz w:val="22"/>
          <w:szCs w:val="22"/>
        </w:rPr>
        <w:t>6.1</w:t>
      </w:r>
      <w:r w:rsidRPr="00450621">
        <w:rPr>
          <w:b/>
          <w:bCs/>
          <w:sz w:val="22"/>
          <w:szCs w:val="22"/>
        </w:rPr>
        <w:tab/>
        <w:t>Zoznam pomocných látok</w:t>
      </w:r>
    </w:p>
    <w:p w:rsidR="003104CE" w:rsidRPr="00450621" w:rsidRDefault="003104CE" w:rsidP="00C35DA7">
      <w:pPr>
        <w:pStyle w:val="Zkladntext"/>
        <w:keepNext/>
        <w:jc w:val="left"/>
        <w:rPr>
          <w:sz w:val="22"/>
          <w:szCs w:val="22"/>
        </w:rPr>
      </w:pPr>
    </w:p>
    <w:p w:rsidR="003104CE" w:rsidRPr="00450621" w:rsidRDefault="00E94120" w:rsidP="00C35DA7">
      <w:pPr>
        <w:pStyle w:val="Zkladntext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s</w:t>
      </w:r>
      <w:r w:rsidRPr="00450621">
        <w:rPr>
          <w:bCs/>
          <w:sz w:val="22"/>
          <w:szCs w:val="22"/>
        </w:rPr>
        <w:t>acharóza</w:t>
      </w:r>
    </w:p>
    <w:p w:rsidR="003104CE" w:rsidRPr="00450621" w:rsidRDefault="00E94120" w:rsidP="00C35DA7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k</w:t>
      </w:r>
      <w:r w:rsidRPr="00450621">
        <w:rPr>
          <w:sz w:val="22"/>
          <w:szCs w:val="22"/>
        </w:rPr>
        <w:t xml:space="preserve">aribská </w:t>
      </w:r>
      <w:r w:rsidR="003104CE" w:rsidRPr="00450621">
        <w:rPr>
          <w:sz w:val="22"/>
          <w:szCs w:val="22"/>
        </w:rPr>
        <w:t>príchuť</w:t>
      </w:r>
    </w:p>
    <w:p w:rsidR="003104CE" w:rsidRPr="00450621" w:rsidRDefault="00E94120" w:rsidP="00C35DA7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k</w:t>
      </w:r>
      <w:r w:rsidR="003104CE" w:rsidRPr="00450621">
        <w:rPr>
          <w:sz w:val="22"/>
          <w:szCs w:val="22"/>
        </w:rPr>
        <w:t>yselina citrónová</w:t>
      </w:r>
      <w:r w:rsidR="00B2612F">
        <w:rPr>
          <w:sz w:val="22"/>
          <w:szCs w:val="22"/>
        </w:rPr>
        <w:t>, bezvodá</w:t>
      </w:r>
    </w:p>
    <w:p w:rsidR="003104CE" w:rsidRPr="00450621" w:rsidRDefault="00E94120" w:rsidP="00C35DA7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Pr="00450621">
        <w:rPr>
          <w:sz w:val="22"/>
          <w:szCs w:val="22"/>
        </w:rPr>
        <w:t xml:space="preserve">rabská </w:t>
      </w:r>
      <w:r w:rsidR="003104CE" w:rsidRPr="00450621">
        <w:rPr>
          <w:sz w:val="22"/>
          <w:szCs w:val="22"/>
        </w:rPr>
        <w:t xml:space="preserve">guma, sušená </w:t>
      </w:r>
      <w:r w:rsidR="00B2612F">
        <w:rPr>
          <w:sz w:val="22"/>
          <w:szCs w:val="22"/>
        </w:rPr>
        <w:t>disperzia</w:t>
      </w:r>
    </w:p>
    <w:p w:rsidR="003104CE" w:rsidRPr="00450621" w:rsidRDefault="00E94120" w:rsidP="00C35DA7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s</w:t>
      </w:r>
      <w:r w:rsidR="003104CE" w:rsidRPr="00450621">
        <w:rPr>
          <w:sz w:val="22"/>
          <w:szCs w:val="22"/>
        </w:rPr>
        <w:t>acharín</w:t>
      </w:r>
      <w:r w:rsidR="00B2612F">
        <w:rPr>
          <w:sz w:val="22"/>
          <w:szCs w:val="22"/>
        </w:rPr>
        <w:t>,</w:t>
      </w:r>
      <w:r w:rsidR="003104CE" w:rsidRPr="00450621">
        <w:rPr>
          <w:sz w:val="22"/>
          <w:szCs w:val="22"/>
        </w:rPr>
        <w:t xml:space="preserve"> </w:t>
      </w:r>
      <w:r w:rsidR="00B2612F">
        <w:rPr>
          <w:sz w:val="22"/>
          <w:szCs w:val="22"/>
        </w:rPr>
        <w:t>s</w:t>
      </w:r>
      <w:r w:rsidR="00B2612F" w:rsidRPr="00450621">
        <w:rPr>
          <w:sz w:val="22"/>
          <w:szCs w:val="22"/>
        </w:rPr>
        <w:t xml:space="preserve">odná soľ </w:t>
      </w:r>
      <w:r w:rsidR="003104CE" w:rsidRPr="00450621">
        <w:rPr>
          <w:sz w:val="22"/>
          <w:szCs w:val="22"/>
        </w:rPr>
        <w:t>(E954)</w:t>
      </w:r>
    </w:p>
    <w:p w:rsidR="003104CE" w:rsidRPr="00450621" w:rsidRDefault="003104CE" w:rsidP="00C35DA7">
      <w:pPr>
        <w:pStyle w:val="Zkladntext"/>
        <w:jc w:val="left"/>
        <w:rPr>
          <w:b/>
          <w:bCs/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b/>
          <w:bCs/>
          <w:sz w:val="22"/>
          <w:szCs w:val="22"/>
        </w:rPr>
      </w:pPr>
      <w:r w:rsidRPr="00450621">
        <w:rPr>
          <w:b/>
          <w:bCs/>
          <w:sz w:val="22"/>
          <w:szCs w:val="22"/>
        </w:rPr>
        <w:t>6.2</w:t>
      </w:r>
      <w:r w:rsidRPr="00450621">
        <w:rPr>
          <w:b/>
          <w:bCs/>
          <w:sz w:val="22"/>
          <w:szCs w:val="22"/>
        </w:rPr>
        <w:tab/>
        <w:t>Inkompatibility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spacing w:line="240" w:lineRule="atLeas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>Neaplikovateľné.</w:t>
      </w:r>
    </w:p>
    <w:p w:rsidR="003104CE" w:rsidRPr="00450621" w:rsidRDefault="003104CE" w:rsidP="00C35DA7">
      <w:pPr>
        <w:pStyle w:val="Zkladntext"/>
        <w:spacing w:line="240" w:lineRule="atLeast"/>
        <w:jc w:val="left"/>
        <w:rPr>
          <w:b/>
          <w:bCs/>
          <w:sz w:val="22"/>
          <w:szCs w:val="22"/>
        </w:rPr>
      </w:pPr>
    </w:p>
    <w:p w:rsidR="003104CE" w:rsidRPr="00450621" w:rsidRDefault="003104CE" w:rsidP="00C35DA7">
      <w:pPr>
        <w:pStyle w:val="Zkladntext"/>
        <w:spacing w:line="240" w:lineRule="atLeast"/>
        <w:jc w:val="left"/>
        <w:rPr>
          <w:b/>
          <w:bCs/>
          <w:sz w:val="22"/>
          <w:szCs w:val="22"/>
        </w:rPr>
      </w:pPr>
      <w:r w:rsidRPr="00450621">
        <w:rPr>
          <w:b/>
          <w:bCs/>
          <w:sz w:val="22"/>
          <w:szCs w:val="22"/>
        </w:rPr>
        <w:t>6.3</w:t>
      </w:r>
      <w:r w:rsidRPr="00450621">
        <w:rPr>
          <w:b/>
          <w:bCs/>
          <w:sz w:val="22"/>
          <w:szCs w:val="22"/>
        </w:rPr>
        <w:tab/>
        <w:t>Čas použiteľnosti</w:t>
      </w:r>
    </w:p>
    <w:p w:rsidR="003104CE" w:rsidRPr="00450621" w:rsidRDefault="003104CE" w:rsidP="00C35DA7">
      <w:pPr>
        <w:pStyle w:val="Zkladntext"/>
        <w:spacing w:line="240" w:lineRule="atLeast"/>
        <w:jc w:val="left"/>
        <w:rPr>
          <w:sz w:val="22"/>
          <w:szCs w:val="22"/>
        </w:rPr>
      </w:pPr>
    </w:p>
    <w:p w:rsidR="003104CE" w:rsidRPr="00450621" w:rsidRDefault="003104CE" w:rsidP="00C35DA7">
      <w:pPr>
        <w:rPr>
          <w:noProof/>
          <w:sz w:val="22"/>
          <w:szCs w:val="22"/>
        </w:rPr>
      </w:pPr>
      <w:r w:rsidRPr="00450621">
        <w:rPr>
          <w:noProof/>
          <w:sz w:val="22"/>
          <w:szCs w:val="22"/>
        </w:rPr>
        <w:t>21 mesiacov</w:t>
      </w:r>
    </w:p>
    <w:p w:rsidR="003104CE" w:rsidRPr="00450621" w:rsidRDefault="003104CE" w:rsidP="00C35DA7">
      <w:pPr>
        <w:rPr>
          <w:b/>
          <w:noProof/>
          <w:sz w:val="22"/>
          <w:szCs w:val="22"/>
        </w:rPr>
      </w:pPr>
    </w:p>
    <w:p w:rsidR="003104CE" w:rsidRPr="00450621" w:rsidRDefault="003104CE" w:rsidP="00C35DA7">
      <w:pPr>
        <w:rPr>
          <w:noProof/>
          <w:sz w:val="22"/>
          <w:szCs w:val="22"/>
        </w:rPr>
      </w:pPr>
      <w:r w:rsidRPr="00450621">
        <w:rPr>
          <w:b/>
          <w:noProof/>
          <w:sz w:val="22"/>
          <w:szCs w:val="22"/>
        </w:rPr>
        <w:t>6.4</w:t>
      </w:r>
      <w:r w:rsidRPr="00450621">
        <w:rPr>
          <w:b/>
          <w:noProof/>
          <w:sz w:val="22"/>
          <w:szCs w:val="22"/>
        </w:rPr>
        <w:tab/>
        <w:t>Špeciálne upozornenia na uchovávanie</w:t>
      </w:r>
    </w:p>
    <w:p w:rsidR="003104CE" w:rsidRPr="00450621" w:rsidRDefault="003104CE" w:rsidP="00C35DA7">
      <w:pPr>
        <w:rPr>
          <w:noProof/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Uchovávať pri teplote do 25 °C. 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rPr>
          <w:noProof/>
          <w:sz w:val="22"/>
          <w:szCs w:val="22"/>
        </w:rPr>
      </w:pPr>
      <w:r w:rsidRPr="00450621">
        <w:rPr>
          <w:b/>
          <w:noProof/>
          <w:sz w:val="22"/>
          <w:szCs w:val="22"/>
        </w:rPr>
        <w:t>6.5</w:t>
      </w:r>
      <w:r w:rsidRPr="00450621">
        <w:rPr>
          <w:b/>
          <w:noProof/>
          <w:sz w:val="22"/>
          <w:szCs w:val="22"/>
        </w:rPr>
        <w:tab/>
        <w:t>Druh obalu a obsah balenia</w:t>
      </w:r>
      <w:r w:rsidRPr="00450621">
        <w:rPr>
          <w:b/>
          <w:noProof/>
          <w:color w:val="0000FF"/>
          <w:sz w:val="22"/>
          <w:szCs w:val="22"/>
        </w:rPr>
        <w:t xml:space="preserve"> </w:t>
      </w:r>
    </w:p>
    <w:p w:rsidR="003104CE" w:rsidRPr="00450621" w:rsidRDefault="003104CE" w:rsidP="00C35DA7">
      <w:pPr>
        <w:rPr>
          <w:b/>
          <w:noProof/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>Papier/</w:t>
      </w:r>
      <w:proofErr w:type="spellStart"/>
      <w:r w:rsidRPr="00450621">
        <w:rPr>
          <w:sz w:val="22"/>
          <w:szCs w:val="22"/>
        </w:rPr>
        <w:t>Al</w:t>
      </w:r>
      <w:proofErr w:type="spellEnd"/>
      <w:r w:rsidRPr="00450621">
        <w:rPr>
          <w:sz w:val="22"/>
          <w:szCs w:val="22"/>
        </w:rPr>
        <w:t>/PE vrecko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 xml:space="preserve">Veľkosť balenia: 2, 4, 5, 6, 8, 10, 12, 14, 15, 16, 18, 20 vreciek. 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>Na trh nemusia byť uvedené všetky veľkosti balenia.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rPr>
          <w:b/>
          <w:bCs/>
          <w:noProof/>
          <w:sz w:val="22"/>
          <w:szCs w:val="22"/>
        </w:rPr>
      </w:pPr>
      <w:r w:rsidRPr="00450621">
        <w:rPr>
          <w:b/>
          <w:noProof/>
          <w:sz w:val="22"/>
          <w:szCs w:val="22"/>
        </w:rPr>
        <w:t>6.6</w:t>
      </w:r>
      <w:r w:rsidRPr="00450621">
        <w:rPr>
          <w:b/>
          <w:noProof/>
          <w:sz w:val="22"/>
          <w:szCs w:val="22"/>
        </w:rPr>
        <w:tab/>
      </w:r>
      <w:r w:rsidRPr="00450621">
        <w:rPr>
          <w:b/>
          <w:bCs/>
          <w:noProof/>
          <w:sz w:val="22"/>
          <w:szCs w:val="22"/>
        </w:rPr>
        <w:t>Špeciálne opatrenia na likvidáciu a iné zaobchádzanie s liekom</w:t>
      </w:r>
    </w:p>
    <w:p w:rsidR="003104CE" w:rsidRPr="00450621" w:rsidRDefault="003104CE" w:rsidP="00C35DA7">
      <w:pPr>
        <w:pStyle w:val="Zkladntext2"/>
        <w:spacing w:after="0" w:line="240" w:lineRule="auto"/>
        <w:ind w:left="0" w:firstLine="0"/>
        <w:rPr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  <w:r w:rsidRPr="00450621">
        <w:rPr>
          <w:sz w:val="22"/>
          <w:szCs w:val="22"/>
        </w:rPr>
        <w:t>Žiadne zvláštne požiadavky.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rPr>
          <w:noProof/>
          <w:sz w:val="22"/>
          <w:szCs w:val="22"/>
        </w:rPr>
      </w:pPr>
      <w:r w:rsidRPr="00450621">
        <w:rPr>
          <w:b/>
          <w:noProof/>
          <w:sz w:val="22"/>
          <w:szCs w:val="22"/>
        </w:rPr>
        <w:t>7.</w:t>
      </w:r>
      <w:r w:rsidRPr="00450621">
        <w:rPr>
          <w:b/>
          <w:noProof/>
          <w:sz w:val="22"/>
          <w:szCs w:val="22"/>
        </w:rPr>
        <w:tab/>
        <w:t>DRŽITEĽ ROZHODNUTIA O REGISTRÁCII</w:t>
      </w:r>
    </w:p>
    <w:p w:rsidR="003104CE" w:rsidRPr="00450621" w:rsidRDefault="003104CE" w:rsidP="00C35DA7">
      <w:pPr>
        <w:rPr>
          <w:sz w:val="22"/>
          <w:szCs w:val="22"/>
        </w:rPr>
      </w:pPr>
    </w:p>
    <w:p w:rsidR="00FB7076" w:rsidRPr="00450621" w:rsidRDefault="00FB7076" w:rsidP="00FB7076">
      <w:pPr>
        <w:pStyle w:val="Textkomentra"/>
        <w:rPr>
          <w:sz w:val="22"/>
          <w:szCs w:val="22"/>
        </w:rPr>
      </w:pPr>
      <w:r w:rsidRPr="00450621">
        <w:rPr>
          <w:sz w:val="22"/>
          <w:szCs w:val="22"/>
        </w:rPr>
        <w:t>Dr. Max Pharma s.r.o.</w:t>
      </w:r>
    </w:p>
    <w:p w:rsidR="00FB7076" w:rsidRPr="00450621" w:rsidRDefault="00FB7076" w:rsidP="00FB7076">
      <w:pPr>
        <w:pStyle w:val="Textkomentra"/>
        <w:rPr>
          <w:sz w:val="22"/>
          <w:szCs w:val="22"/>
        </w:rPr>
      </w:pPr>
      <w:r w:rsidRPr="00450621">
        <w:rPr>
          <w:sz w:val="22"/>
          <w:szCs w:val="22"/>
        </w:rPr>
        <w:t xml:space="preserve">Na </w:t>
      </w:r>
      <w:proofErr w:type="spellStart"/>
      <w:r w:rsidRPr="00450621">
        <w:rPr>
          <w:sz w:val="22"/>
          <w:szCs w:val="22"/>
        </w:rPr>
        <w:t>Florenci</w:t>
      </w:r>
      <w:proofErr w:type="spellEnd"/>
      <w:r w:rsidRPr="00450621">
        <w:rPr>
          <w:sz w:val="22"/>
          <w:szCs w:val="22"/>
        </w:rPr>
        <w:t xml:space="preserve"> 2116/15</w:t>
      </w:r>
    </w:p>
    <w:p w:rsidR="00FB7076" w:rsidRPr="00450621" w:rsidRDefault="00FB7076" w:rsidP="00FB7076">
      <w:pPr>
        <w:pStyle w:val="Textkomentra"/>
        <w:rPr>
          <w:sz w:val="22"/>
          <w:szCs w:val="22"/>
        </w:rPr>
      </w:pPr>
      <w:r w:rsidRPr="00450621">
        <w:rPr>
          <w:sz w:val="22"/>
          <w:szCs w:val="22"/>
        </w:rPr>
        <w:t xml:space="preserve">Nové </w:t>
      </w:r>
      <w:proofErr w:type="spellStart"/>
      <w:r w:rsidRPr="00450621">
        <w:rPr>
          <w:sz w:val="22"/>
          <w:szCs w:val="22"/>
        </w:rPr>
        <w:t>Město</w:t>
      </w:r>
      <w:proofErr w:type="spellEnd"/>
    </w:p>
    <w:p w:rsidR="00FB7076" w:rsidRPr="00450621" w:rsidRDefault="00FB7076" w:rsidP="00FB7076">
      <w:pPr>
        <w:pStyle w:val="Textkomentra"/>
        <w:rPr>
          <w:sz w:val="22"/>
          <w:szCs w:val="22"/>
        </w:rPr>
      </w:pPr>
      <w:r w:rsidRPr="00450621">
        <w:rPr>
          <w:sz w:val="22"/>
          <w:szCs w:val="22"/>
        </w:rPr>
        <w:t>110 00 Praha 1</w:t>
      </w:r>
    </w:p>
    <w:p w:rsidR="00FB7076" w:rsidRPr="00450621" w:rsidRDefault="00FB7076" w:rsidP="00FB7076">
      <w:pPr>
        <w:pStyle w:val="Textkomentra"/>
        <w:rPr>
          <w:sz w:val="22"/>
          <w:szCs w:val="22"/>
        </w:rPr>
      </w:pPr>
      <w:r w:rsidRPr="00450621">
        <w:rPr>
          <w:sz w:val="22"/>
          <w:szCs w:val="22"/>
        </w:rPr>
        <w:t>Česká republika</w:t>
      </w:r>
    </w:p>
    <w:p w:rsidR="003104CE" w:rsidRPr="00450621" w:rsidRDefault="003104CE" w:rsidP="00C35DA7">
      <w:pPr>
        <w:pStyle w:val="Textkomentra"/>
        <w:rPr>
          <w:sz w:val="22"/>
          <w:szCs w:val="22"/>
        </w:rPr>
      </w:pPr>
    </w:p>
    <w:p w:rsidR="003104CE" w:rsidRPr="00450621" w:rsidRDefault="003104CE" w:rsidP="00C35DA7">
      <w:pPr>
        <w:pStyle w:val="Textkomentra"/>
        <w:rPr>
          <w:sz w:val="22"/>
          <w:szCs w:val="22"/>
        </w:rPr>
      </w:pPr>
    </w:p>
    <w:p w:rsidR="003104CE" w:rsidRPr="00450621" w:rsidRDefault="003104CE" w:rsidP="00C35DA7">
      <w:pPr>
        <w:pStyle w:val="Textkomentra"/>
        <w:rPr>
          <w:sz w:val="22"/>
          <w:szCs w:val="22"/>
        </w:rPr>
      </w:pPr>
      <w:r w:rsidRPr="00450621">
        <w:rPr>
          <w:b/>
          <w:noProof/>
          <w:sz w:val="22"/>
          <w:szCs w:val="22"/>
        </w:rPr>
        <w:t>8.</w:t>
      </w:r>
      <w:r w:rsidRPr="00450621">
        <w:rPr>
          <w:b/>
          <w:noProof/>
          <w:sz w:val="22"/>
          <w:szCs w:val="22"/>
        </w:rPr>
        <w:tab/>
        <w:t>REGISTRAČNÉ ČÍSLO</w:t>
      </w:r>
      <w:r w:rsidRPr="00450621">
        <w:rPr>
          <w:sz w:val="22"/>
          <w:szCs w:val="22"/>
        </w:rPr>
        <w:t xml:space="preserve"> </w:t>
      </w:r>
    </w:p>
    <w:p w:rsidR="003104CE" w:rsidRPr="00450621" w:rsidRDefault="003104CE" w:rsidP="00C35DA7">
      <w:pPr>
        <w:pStyle w:val="Textkomentra"/>
        <w:rPr>
          <w:sz w:val="22"/>
          <w:szCs w:val="22"/>
        </w:rPr>
      </w:pPr>
    </w:p>
    <w:p w:rsidR="003104CE" w:rsidRPr="00450621" w:rsidRDefault="003104CE" w:rsidP="00C35DA7">
      <w:pPr>
        <w:rPr>
          <w:noProof/>
          <w:sz w:val="22"/>
          <w:szCs w:val="22"/>
        </w:rPr>
      </w:pPr>
      <w:r w:rsidRPr="00450621">
        <w:rPr>
          <w:noProof/>
          <w:sz w:val="22"/>
          <w:szCs w:val="22"/>
        </w:rPr>
        <w:t>07/0182/15-S</w:t>
      </w:r>
    </w:p>
    <w:p w:rsidR="003104CE" w:rsidRPr="00450621" w:rsidRDefault="003104CE" w:rsidP="00C35DA7">
      <w:pPr>
        <w:rPr>
          <w:b/>
          <w:noProof/>
          <w:sz w:val="22"/>
          <w:szCs w:val="22"/>
        </w:rPr>
      </w:pPr>
    </w:p>
    <w:p w:rsidR="003104CE" w:rsidRPr="00450621" w:rsidRDefault="003104CE" w:rsidP="00C35DA7">
      <w:pPr>
        <w:rPr>
          <w:b/>
          <w:noProof/>
          <w:sz w:val="22"/>
          <w:szCs w:val="22"/>
        </w:rPr>
      </w:pPr>
    </w:p>
    <w:p w:rsidR="003104CE" w:rsidRPr="00450621" w:rsidRDefault="003104CE" w:rsidP="00C35DA7">
      <w:pPr>
        <w:rPr>
          <w:noProof/>
          <w:sz w:val="22"/>
          <w:szCs w:val="22"/>
        </w:rPr>
      </w:pPr>
      <w:r w:rsidRPr="00450621">
        <w:rPr>
          <w:b/>
          <w:noProof/>
          <w:sz w:val="22"/>
          <w:szCs w:val="22"/>
        </w:rPr>
        <w:t>9.</w:t>
      </w:r>
      <w:r w:rsidRPr="00450621">
        <w:rPr>
          <w:b/>
          <w:noProof/>
          <w:sz w:val="22"/>
          <w:szCs w:val="22"/>
        </w:rPr>
        <w:tab/>
        <w:t>DÁTUM PRVEJ REGISTRÁCIE/PREDĹŽENIA REGISTRÁCIE</w:t>
      </w:r>
    </w:p>
    <w:p w:rsidR="003104CE" w:rsidRPr="00450621" w:rsidRDefault="003104CE" w:rsidP="00C35DA7">
      <w:pPr>
        <w:pStyle w:val="Zkladntext"/>
        <w:jc w:val="left"/>
        <w:rPr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bCs/>
          <w:sz w:val="22"/>
          <w:szCs w:val="22"/>
        </w:rPr>
      </w:pPr>
      <w:r w:rsidRPr="00450621">
        <w:rPr>
          <w:bCs/>
          <w:sz w:val="22"/>
          <w:szCs w:val="22"/>
        </w:rPr>
        <w:t xml:space="preserve">Dátum prvej registrácie: </w:t>
      </w:r>
      <w:r w:rsidR="002470B8" w:rsidRPr="00450621">
        <w:rPr>
          <w:bCs/>
          <w:sz w:val="22"/>
          <w:szCs w:val="22"/>
        </w:rPr>
        <w:t>13. mája 2015</w:t>
      </w:r>
    </w:p>
    <w:p w:rsidR="003104CE" w:rsidRPr="00450621" w:rsidRDefault="003104CE" w:rsidP="00C35DA7">
      <w:pPr>
        <w:pStyle w:val="Zkladntext"/>
        <w:jc w:val="left"/>
        <w:rPr>
          <w:b/>
          <w:bCs/>
          <w:sz w:val="22"/>
          <w:szCs w:val="22"/>
        </w:rPr>
      </w:pPr>
    </w:p>
    <w:p w:rsidR="003104CE" w:rsidRPr="00450621" w:rsidRDefault="003104CE" w:rsidP="00C35DA7">
      <w:pPr>
        <w:pStyle w:val="Zkladntext"/>
        <w:jc w:val="left"/>
        <w:rPr>
          <w:b/>
          <w:bCs/>
          <w:sz w:val="22"/>
          <w:szCs w:val="22"/>
        </w:rPr>
      </w:pPr>
    </w:p>
    <w:p w:rsidR="003104CE" w:rsidRPr="00450621" w:rsidRDefault="003104CE" w:rsidP="00C35DA7">
      <w:pPr>
        <w:rPr>
          <w:b/>
          <w:noProof/>
          <w:sz w:val="22"/>
          <w:szCs w:val="22"/>
        </w:rPr>
      </w:pPr>
      <w:r w:rsidRPr="00450621">
        <w:rPr>
          <w:b/>
          <w:noProof/>
          <w:sz w:val="22"/>
          <w:szCs w:val="22"/>
        </w:rPr>
        <w:t>10.</w:t>
      </w:r>
      <w:r w:rsidRPr="00450621">
        <w:rPr>
          <w:b/>
          <w:noProof/>
          <w:sz w:val="22"/>
          <w:szCs w:val="22"/>
        </w:rPr>
        <w:tab/>
        <w:t>DÁTUM REVÍZIE TEXTU</w:t>
      </w:r>
    </w:p>
    <w:p w:rsidR="003104CE" w:rsidRPr="00450621" w:rsidRDefault="003104CE" w:rsidP="002470B8">
      <w:pPr>
        <w:pStyle w:val="Zkladntext"/>
        <w:jc w:val="left"/>
        <w:rPr>
          <w:sz w:val="22"/>
          <w:szCs w:val="22"/>
        </w:rPr>
      </w:pPr>
    </w:p>
    <w:p w:rsidR="002470B8" w:rsidRPr="00450621" w:rsidRDefault="00E94120" w:rsidP="002470B8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05/2020</w:t>
      </w:r>
    </w:p>
    <w:sectPr w:rsidR="002470B8" w:rsidRPr="0045062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B3" w:rsidRDefault="005636B3">
      <w:r>
        <w:separator/>
      </w:r>
    </w:p>
  </w:endnote>
  <w:endnote w:type="continuationSeparator" w:id="0">
    <w:p w:rsidR="005636B3" w:rsidRDefault="0056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4CE" w:rsidRDefault="003104CE" w:rsidP="00A9101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104CE" w:rsidRDefault="003104C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4CE" w:rsidRPr="00450621" w:rsidRDefault="00213134" w:rsidP="00213134">
    <w:pPr>
      <w:pStyle w:val="Pta"/>
      <w:jc w:val="center"/>
      <w:rPr>
        <w:sz w:val="18"/>
        <w:szCs w:val="18"/>
      </w:rPr>
    </w:pPr>
    <w:r w:rsidRPr="00CE6C07">
      <w:rPr>
        <w:sz w:val="18"/>
        <w:szCs w:val="18"/>
      </w:rPr>
      <w:fldChar w:fldCharType="begin"/>
    </w:r>
    <w:r w:rsidRPr="00CE6C07">
      <w:rPr>
        <w:sz w:val="18"/>
        <w:szCs w:val="18"/>
      </w:rPr>
      <w:instrText>PAGE   \* MERGEFORMAT</w:instrText>
    </w:r>
    <w:r w:rsidRPr="00CE6C07">
      <w:rPr>
        <w:sz w:val="18"/>
        <w:szCs w:val="18"/>
      </w:rPr>
      <w:fldChar w:fldCharType="separate"/>
    </w:r>
    <w:r w:rsidR="00AE5F29">
      <w:rPr>
        <w:noProof/>
        <w:sz w:val="18"/>
        <w:szCs w:val="18"/>
      </w:rPr>
      <w:t>2</w:t>
    </w:r>
    <w:r w:rsidRPr="00CE6C0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4CE" w:rsidRDefault="003104CE" w:rsidP="0090364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450621" w:rsidRPr="00450621">
      <w:rPr>
        <w:noProof/>
        <w:lang w:val="cs-CZ"/>
      </w:rPr>
      <w:t>1</w:t>
    </w:r>
    <w:r>
      <w:fldChar w:fldCharType="end"/>
    </w:r>
    <w:r>
      <w:t>/</w:t>
    </w:r>
    <w:r w:rsidR="00AE5F29">
      <w:fldChar w:fldCharType="begin"/>
    </w:r>
    <w:r w:rsidR="00AE5F29">
      <w:instrText xml:space="preserve"> NUMPAGES   \* MERGEFORMAT </w:instrText>
    </w:r>
    <w:r w:rsidR="00AE5F29">
      <w:fldChar w:fldCharType="separate"/>
    </w:r>
    <w:r w:rsidR="00450621">
      <w:rPr>
        <w:noProof/>
      </w:rPr>
      <w:t>8</w:t>
    </w:r>
    <w:r w:rsidR="00AE5F2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B3" w:rsidRDefault="005636B3">
      <w:r>
        <w:separator/>
      </w:r>
    </w:p>
  </w:footnote>
  <w:footnote w:type="continuationSeparator" w:id="0">
    <w:p w:rsidR="005636B3" w:rsidRDefault="00563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1" w:rsidRPr="00CE6C07" w:rsidRDefault="00B56967">
    <w:pPr>
      <w:pStyle w:val="Hlavika"/>
      <w:rPr>
        <w:sz w:val="18"/>
        <w:szCs w:val="18"/>
      </w:rPr>
    </w:pPr>
    <w:bookmarkStart w:id="1" w:name="_Hlk39153028"/>
    <w:r w:rsidRPr="00213134">
      <w:rPr>
        <w:sz w:val="18"/>
        <w:szCs w:val="18"/>
      </w:rPr>
      <w:t>Príloha č.1 k</w:t>
    </w:r>
    <w:r w:rsidR="00CE06BF" w:rsidRPr="00213134">
      <w:rPr>
        <w:sz w:val="18"/>
        <w:szCs w:val="18"/>
      </w:rPr>
      <w:t> notifikácii o</w:t>
    </w:r>
    <w:r w:rsidR="00CE06BF" w:rsidRPr="00CE6C07">
      <w:rPr>
        <w:sz w:val="18"/>
        <w:szCs w:val="18"/>
      </w:rPr>
      <w:t xml:space="preserve"> </w:t>
    </w:r>
    <w:r w:rsidRPr="00CE6C07">
      <w:rPr>
        <w:sz w:val="18"/>
        <w:szCs w:val="18"/>
      </w:rPr>
      <w:t>zmene</w:t>
    </w:r>
    <w:r w:rsidR="00AE5F29">
      <w:rPr>
        <w:sz w:val="18"/>
        <w:szCs w:val="18"/>
      </w:rPr>
      <w:t>,</w:t>
    </w:r>
    <w:r w:rsidR="00AE5F29" w:rsidRPr="00CE6C07">
      <w:rPr>
        <w:sz w:val="18"/>
        <w:szCs w:val="18"/>
      </w:rPr>
      <w:t xml:space="preserve"> </w:t>
    </w:r>
    <w:r w:rsidRPr="00CE6C07">
      <w:rPr>
        <w:sz w:val="18"/>
        <w:szCs w:val="18"/>
      </w:rPr>
      <w:t>ev.</w:t>
    </w:r>
    <w:r w:rsidR="00E94120" w:rsidRPr="00CE6C07">
      <w:rPr>
        <w:sz w:val="18"/>
        <w:szCs w:val="18"/>
      </w:rPr>
      <w:t xml:space="preserve"> </w:t>
    </w:r>
    <w:r w:rsidRPr="00CE6C07">
      <w:rPr>
        <w:sz w:val="18"/>
        <w:szCs w:val="18"/>
      </w:rPr>
      <w:t>č.</w:t>
    </w:r>
    <w:r w:rsidR="00213134" w:rsidRPr="00CE6C07">
      <w:rPr>
        <w:sz w:val="18"/>
        <w:szCs w:val="18"/>
      </w:rPr>
      <w:t xml:space="preserve">: </w:t>
    </w:r>
    <w:hyperlink r:id="rId1" w:history="1">
      <w:r w:rsidRPr="00CE6C07">
        <w:rPr>
          <w:rStyle w:val="Hypertextovprepojenie"/>
          <w:color w:val="auto"/>
          <w:sz w:val="18"/>
          <w:szCs w:val="18"/>
          <w:u w:val="none"/>
        </w:rPr>
        <w:t>2020/00653-Z1B</w:t>
      </w:r>
    </w:hyperlink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4CE" w:rsidRPr="005048C3" w:rsidRDefault="003104CE" w:rsidP="00BE57FE">
    <w:pPr>
      <w:pStyle w:val="Nzov"/>
      <w:jc w:val="left"/>
      <w:rPr>
        <w:sz w:val="22"/>
        <w:szCs w:val="22"/>
      </w:rPr>
    </w:pPr>
  </w:p>
  <w:p w:rsidR="003104CE" w:rsidRDefault="003104C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2D2"/>
    <w:multiLevelType w:val="hybridMultilevel"/>
    <w:tmpl w:val="4E4AC0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A5F15"/>
    <w:multiLevelType w:val="hybridMultilevel"/>
    <w:tmpl w:val="F86CF130"/>
    <w:lvl w:ilvl="0" w:tplc="AC026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B1E32"/>
    <w:multiLevelType w:val="hybridMultilevel"/>
    <w:tmpl w:val="3B882E6A"/>
    <w:lvl w:ilvl="0" w:tplc="34667D12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F343AE"/>
    <w:multiLevelType w:val="hybridMultilevel"/>
    <w:tmpl w:val="4A9E1D1A"/>
    <w:lvl w:ilvl="0" w:tplc="34667D12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EA72A2D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F35347"/>
    <w:multiLevelType w:val="hybridMultilevel"/>
    <w:tmpl w:val="344EE168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41675454"/>
    <w:multiLevelType w:val="hybridMultilevel"/>
    <w:tmpl w:val="BD306B9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514677"/>
    <w:multiLevelType w:val="hybridMultilevel"/>
    <w:tmpl w:val="2BE8EEF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F242D"/>
    <w:multiLevelType w:val="multilevel"/>
    <w:tmpl w:val="1DCC68E0"/>
    <w:lvl w:ilvl="0">
      <w:start w:val="5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4A"/>
    <w:rsid w:val="00000E4E"/>
    <w:rsid w:val="00003CCE"/>
    <w:rsid w:val="00014E28"/>
    <w:rsid w:val="00026387"/>
    <w:rsid w:val="00027C5D"/>
    <w:rsid w:val="00037D7A"/>
    <w:rsid w:val="0004210C"/>
    <w:rsid w:val="000474C6"/>
    <w:rsid w:val="00051E3C"/>
    <w:rsid w:val="0005221A"/>
    <w:rsid w:val="00062500"/>
    <w:rsid w:val="00087BA7"/>
    <w:rsid w:val="000B09E6"/>
    <w:rsid w:val="000B46EC"/>
    <w:rsid w:val="000C1CB0"/>
    <w:rsid w:val="000C7C9D"/>
    <w:rsid w:val="000D69E8"/>
    <w:rsid w:val="000E1486"/>
    <w:rsid w:val="000E582C"/>
    <w:rsid w:val="000F2E95"/>
    <w:rsid w:val="00100CC6"/>
    <w:rsid w:val="00112E48"/>
    <w:rsid w:val="00121385"/>
    <w:rsid w:val="001248D4"/>
    <w:rsid w:val="00126C7C"/>
    <w:rsid w:val="00132895"/>
    <w:rsid w:val="00134775"/>
    <w:rsid w:val="001555A3"/>
    <w:rsid w:val="0016192A"/>
    <w:rsid w:val="00180DF9"/>
    <w:rsid w:val="001842CD"/>
    <w:rsid w:val="0019449E"/>
    <w:rsid w:val="00194574"/>
    <w:rsid w:val="00196170"/>
    <w:rsid w:val="001A2255"/>
    <w:rsid w:val="001B3A92"/>
    <w:rsid w:val="001B7917"/>
    <w:rsid w:val="001D2482"/>
    <w:rsid w:val="001D4D28"/>
    <w:rsid w:val="001D791F"/>
    <w:rsid w:val="001E0AE0"/>
    <w:rsid w:val="001E5347"/>
    <w:rsid w:val="001E76B2"/>
    <w:rsid w:val="001F7882"/>
    <w:rsid w:val="002010EB"/>
    <w:rsid w:val="00213134"/>
    <w:rsid w:val="002227E7"/>
    <w:rsid w:val="00225DDC"/>
    <w:rsid w:val="00226BA4"/>
    <w:rsid w:val="002276A2"/>
    <w:rsid w:val="0023704C"/>
    <w:rsid w:val="00242367"/>
    <w:rsid w:val="00244B32"/>
    <w:rsid w:val="002453A0"/>
    <w:rsid w:val="002470B8"/>
    <w:rsid w:val="0025084B"/>
    <w:rsid w:val="00262706"/>
    <w:rsid w:val="002721BF"/>
    <w:rsid w:val="00293E9C"/>
    <w:rsid w:val="00297D4E"/>
    <w:rsid w:val="002A0722"/>
    <w:rsid w:val="002A5FBA"/>
    <w:rsid w:val="002B5176"/>
    <w:rsid w:val="002C4B87"/>
    <w:rsid w:val="002D00DC"/>
    <w:rsid w:val="002D06AC"/>
    <w:rsid w:val="002D7DFC"/>
    <w:rsid w:val="002F1AB2"/>
    <w:rsid w:val="002F4CD8"/>
    <w:rsid w:val="002F5CC2"/>
    <w:rsid w:val="0030205F"/>
    <w:rsid w:val="00305119"/>
    <w:rsid w:val="003104CE"/>
    <w:rsid w:val="0033129A"/>
    <w:rsid w:val="003324B8"/>
    <w:rsid w:val="00347F0D"/>
    <w:rsid w:val="00356108"/>
    <w:rsid w:val="003661D3"/>
    <w:rsid w:val="0036687D"/>
    <w:rsid w:val="003705A1"/>
    <w:rsid w:val="003740D0"/>
    <w:rsid w:val="00384147"/>
    <w:rsid w:val="00393546"/>
    <w:rsid w:val="00393DB6"/>
    <w:rsid w:val="003B0A96"/>
    <w:rsid w:val="003C604D"/>
    <w:rsid w:val="003E1B9A"/>
    <w:rsid w:val="003E4FBE"/>
    <w:rsid w:val="00403EEA"/>
    <w:rsid w:val="004452EF"/>
    <w:rsid w:val="00450621"/>
    <w:rsid w:val="00450D5A"/>
    <w:rsid w:val="004539D5"/>
    <w:rsid w:val="00455FF7"/>
    <w:rsid w:val="00460347"/>
    <w:rsid w:val="004674A2"/>
    <w:rsid w:val="00470490"/>
    <w:rsid w:val="00471B0F"/>
    <w:rsid w:val="00473528"/>
    <w:rsid w:val="004850E0"/>
    <w:rsid w:val="00486C42"/>
    <w:rsid w:val="00493BF4"/>
    <w:rsid w:val="00494ABE"/>
    <w:rsid w:val="00495D48"/>
    <w:rsid w:val="00495DF5"/>
    <w:rsid w:val="004A3CC8"/>
    <w:rsid w:val="004A404D"/>
    <w:rsid w:val="004C1652"/>
    <w:rsid w:val="004C6A42"/>
    <w:rsid w:val="004C7531"/>
    <w:rsid w:val="005048C3"/>
    <w:rsid w:val="0051767D"/>
    <w:rsid w:val="00520AFF"/>
    <w:rsid w:val="00522453"/>
    <w:rsid w:val="00526154"/>
    <w:rsid w:val="00535583"/>
    <w:rsid w:val="0053562E"/>
    <w:rsid w:val="00541D1A"/>
    <w:rsid w:val="00544205"/>
    <w:rsid w:val="00544D4F"/>
    <w:rsid w:val="00552CCC"/>
    <w:rsid w:val="00557D4A"/>
    <w:rsid w:val="005636B3"/>
    <w:rsid w:val="005651F2"/>
    <w:rsid w:val="005721ED"/>
    <w:rsid w:val="00574332"/>
    <w:rsid w:val="0058073F"/>
    <w:rsid w:val="00581B4B"/>
    <w:rsid w:val="005879B4"/>
    <w:rsid w:val="00590B8C"/>
    <w:rsid w:val="0059767C"/>
    <w:rsid w:val="005A3587"/>
    <w:rsid w:val="005B081F"/>
    <w:rsid w:val="005B41C7"/>
    <w:rsid w:val="005C1411"/>
    <w:rsid w:val="005D0D9D"/>
    <w:rsid w:val="005D40AB"/>
    <w:rsid w:val="005F7EBC"/>
    <w:rsid w:val="00601742"/>
    <w:rsid w:val="0060274B"/>
    <w:rsid w:val="00606CBE"/>
    <w:rsid w:val="006111E3"/>
    <w:rsid w:val="00637562"/>
    <w:rsid w:val="00637E46"/>
    <w:rsid w:val="00640042"/>
    <w:rsid w:val="00646302"/>
    <w:rsid w:val="006467BA"/>
    <w:rsid w:val="00651C4D"/>
    <w:rsid w:val="0065700C"/>
    <w:rsid w:val="0066515B"/>
    <w:rsid w:val="006670E3"/>
    <w:rsid w:val="0066733E"/>
    <w:rsid w:val="00680C48"/>
    <w:rsid w:val="00680F67"/>
    <w:rsid w:val="00691E00"/>
    <w:rsid w:val="006966F2"/>
    <w:rsid w:val="006A3E9F"/>
    <w:rsid w:val="006B6F8D"/>
    <w:rsid w:val="006D47E4"/>
    <w:rsid w:val="006E4FFD"/>
    <w:rsid w:val="006E6836"/>
    <w:rsid w:val="006F3EDD"/>
    <w:rsid w:val="006F681C"/>
    <w:rsid w:val="00700ACD"/>
    <w:rsid w:val="007018FE"/>
    <w:rsid w:val="00710897"/>
    <w:rsid w:val="00720F7E"/>
    <w:rsid w:val="00721EFA"/>
    <w:rsid w:val="0074209F"/>
    <w:rsid w:val="0074568E"/>
    <w:rsid w:val="00756EA5"/>
    <w:rsid w:val="0076619A"/>
    <w:rsid w:val="0076730D"/>
    <w:rsid w:val="00767626"/>
    <w:rsid w:val="00777097"/>
    <w:rsid w:val="007779AA"/>
    <w:rsid w:val="007857E2"/>
    <w:rsid w:val="007857F8"/>
    <w:rsid w:val="00792EBE"/>
    <w:rsid w:val="007A462E"/>
    <w:rsid w:val="007A695F"/>
    <w:rsid w:val="007B2622"/>
    <w:rsid w:val="007D38BF"/>
    <w:rsid w:val="007E512D"/>
    <w:rsid w:val="007E704A"/>
    <w:rsid w:val="007F20D1"/>
    <w:rsid w:val="007F7806"/>
    <w:rsid w:val="00807F15"/>
    <w:rsid w:val="00810928"/>
    <w:rsid w:val="00811B35"/>
    <w:rsid w:val="008210BF"/>
    <w:rsid w:val="00824C4B"/>
    <w:rsid w:val="00824CD7"/>
    <w:rsid w:val="00840641"/>
    <w:rsid w:val="0085280B"/>
    <w:rsid w:val="0085357C"/>
    <w:rsid w:val="008627B9"/>
    <w:rsid w:val="008643D9"/>
    <w:rsid w:val="0087166C"/>
    <w:rsid w:val="008758E4"/>
    <w:rsid w:val="008947CE"/>
    <w:rsid w:val="00895E8B"/>
    <w:rsid w:val="008A1B5E"/>
    <w:rsid w:val="008A3084"/>
    <w:rsid w:val="008B5CE9"/>
    <w:rsid w:val="008C549D"/>
    <w:rsid w:val="008D4866"/>
    <w:rsid w:val="008E4D6E"/>
    <w:rsid w:val="008F16C8"/>
    <w:rsid w:val="00902536"/>
    <w:rsid w:val="00903648"/>
    <w:rsid w:val="00911F7B"/>
    <w:rsid w:val="00912C23"/>
    <w:rsid w:val="00914823"/>
    <w:rsid w:val="0091631A"/>
    <w:rsid w:val="009476E7"/>
    <w:rsid w:val="0096082B"/>
    <w:rsid w:val="00961589"/>
    <w:rsid w:val="00961C5F"/>
    <w:rsid w:val="0096504C"/>
    <w:rsid w:val="0097160A"/>
    <w:rsid w:val="009737D5"/>
    <w:rsid w:val="00975B41"/>
    <w:rsid w:val="00995297"/>
    <w:rsid w:val="0099759B"/>
    <w:rsid w:val="009B3A4E"/>
    <w:rsid w:val="009D255E"/>
    <w:rsid w:val="009E2615"/>
    <w:rsid w:val="009F591F"/>
    <w:rsid w:val="009F66BF"/>
    <w:rsid w:val="00A0194F"/>
    <w:rsid w:val="00A17C6B"/>
    <w:rsid w:val="00A26F89"/>
    <w:rsid w:val="00A3023F"/>
    <w:rsid w:val="00A357D1"/>
    <w:rsid w:val="00A53F00"/>
    <w:rsid w:val="00A54325"/>
    <w:rsid w:val="00A570BD"/>
    <w:rsid w:val="00A65C6F"/>
    <w:rsid w:val="00A710CF"/>
    <w:rsid w:val="00A7237C"/>
    <w:rsid w:val="00A855A1"/>
    <w:rsid w:val="00A91014"/>
    <w:rsid w:val="00A9662A"/>
    <w:rsid w:val="00AC231A"/>
    <w:rsid w:val="00AC240E"/>
    <w:rsid w:val="00AC441C"/>
    <w:rsid w:val="00AC64FC"/>
    <w:rsid w:val="00AD67B7"/>
    <w:rsid w:val="00AE1230"/>
    <w:rsid w:val="00AE3808"/>
    <w:rsid w:val="00AE5F29"/>
    <w:rsid w:val="00AE6B0B"/>
    <w:rsid w:val="00AF1639"/>
    <w:rsid w:val="00AF3448"/>
    <w:rsid w:val="00AF6365"/>
    <w:rsid w:val="00B057F0"/>
    <w:rsid w:val="00B06E59"/>
    <w:rsid w:val="00B2612F"/>
    <w:rsid w:val="00B26886"/>
    <w:rsid w:val="00B27C17"/>
    <w:rsid w:val="00B40129"/>
    <w:rsid w:val="00B45A04"/>
    <w:rsid w:val="00B56967"/>
    <w:rsid w:val="00B63DA5"/>
    <w:rsid w:val="00B664AC"/>
    <w:rsid w:val="00B801ED"/>
    <w:rsid w:val="00B82CFD"/>
    <w:rsid w:val="00BA13A7"/>
    <w:rsid w:val="00BA208B"/>
    <w:rsid w:val="00BA738E"/>
    <w:rsid w:val="00BB12DE"/>
    <w:rsid w:val="00BB42ED"/>
    <w:rsid w:val="00BB5107"/>
    <w:rsid w:val="00BB6D26"/>
    <w:rsid w:val="00BC7090"/>
    <w:rsid w:val="00BE1A8B"/>
    <w:rsid w:val="00BE57FE"/>
    <w:rsid w:val="00BF24B7"/>
    <w:rsid w:val="00BF58C2"/>
    <w:rsid w:val="00C20CB0"/>
    <w:rsid w:val="00C20D96"/>
    <w:rsid w:val="00C277E6"/>
    <w:rsid w:val="00C35DA7"/>
    <w:rsid w:val="00C36527"/>
    <w:rsid w:val="00C44148"/>
    <w:rsid w:val="00C443BE"/>
    <w:rsid w:val="00C6036A"/>
    <w:rsid w:val="00C67CC8"/>
    <w:rsid w:val="00C7226A"/>
    <w:rsid w:val="00C759AE"/>
    <w:rsid w:val="00C77B75"/>
    <w:rsid w:val="00CA40A8"/>
    <w:rsid w:val="00CB53F1"/>
    <w:rsid w:val="00CC3FDB"/>
    <w:rsid w:val="00CD38AA"/>
    <w:rsid w:val="00CD5596"/>
    <w:rsid w:val="00CD7901"/>
    <w:rsid w:val="00CE06BF"/>
    <w:rsid w:val="00CE0D6C"/>
    <w:rsid w:val="00CE4B60"/>
    <w:rsid w:val="00CE570D"/>
    <w:rsid w:val="00CE6367"/>
    <w:rsid w:val="00CE6C07"/>
    <w:rsid w:val="00CF02CB"/>
    <w:rsid w:val="00D41420"/>
    <w:rsid w:val="00D52664"/>
    <w:rsid w:val="00D64120"/>
    <w:rsid w:val="00D650D9"/>
    <w:rsid w:val="00D665E4"/>
    <w:rsid w:val="00D665E8"/>
    <w:rsid w:val="00D67D2C"/>
    <w:rsid w:val="00D70D4C"/>
    <w:rsid w:val="00D753C8"/>
    <w:rsid w:val="00D76CDF"/>
    <w:rsid w:val="00D82516"/>
    <w:rsid w:val="00D84E21"/>
    <w:rsid w:val="00D92201"/>
    <w:rsid w:val="00D93499"/>
    <w:rsid w:val="00D95ABE"/>
    <w:rsid w:val="00D960D6"/>
    <w:rsid w:val="00DB7247"/>
    <w:rsid w:val="00DE29E9"/>
    <w:rsid w:val="00DE5E16"/>
    <w:rsid w:val="00DE65B9"/>
    <w:rsid w:val="00DF05EF"/>
    <w:rsid w:val="00DF0A21"/>
    <w:rsid w:val="00DF6BFA"/>
    <w:rsid w:val="00DF70AF"/>
    <w:rsid w:val="00E00E85"/>
    <w:rsid w:val="00E10CD0"/>
    <w:rsid w:val="00E11563"/>
    <w:rsid w:val="00E302BB"/>
    <w:rsid w:val="00E35BDC"/>
    <w:rsid w:val="00E40F96"/>
    <w:rsid w:val="00E41BD0"/>
    <w:rsid w:val="00E41D4E"/>
    <w:rsid w:val="00E4217C"/>
    <w:rsid w:val="00E44E5D"/>
    <w:rsid w:val="00E62E44"/>
    <w:rsid w:val="00E647C5"/>
    <w:rsid w:val="00E721B3"/>
    <w:rsid w:val="00E779BB"/>
    <w:rsid w:val="00E77B95"/>
    <w:rsid w:val="00E85B3C"/>
    <w:rsid w:val="00E92715"/>
    <w:rsid w:val="00E94120"/>
    <w:rsid w:val="00EA0381"/>
    <w:rsid w:val="00EA047B"/>
    <w:rsid w:val="00EB26F4"/>
    <w:rsid w:val="00EB772E"/>
    <w:rsid w:val="00EC469E"/>
    <w:rsid w:val="00ED50E8"/>
    <w:rsid w:val="00EE4EAE"/>
    <w:rsid w:val="00EE6EBF"/>
    <w:rsid w:val="00EF49C7"/>
    <w:rsid w:val="00F004A1"/>
    <w:rsid w:val="00F24CFD"/>
    <w:rsid w:val="00F3351A"/>
    <w:rsid w:val="00F35A1D"/>
    <w:rsid w:val="00F40254"/>
    <w:rsid w:val="00F40B98"/>
    <w:rsid w:val="00F51FDD"/>
    <w:rsid w:val="00F54E6A"/>
    <w:rsid w:val="00F554F7"/>
    <w:rsid w:val="00F629D8"/>
    <w:rsid w:val="00F652B7"/>
    <w:rsid w:val="00F86820"/>
    <w:rsid w:val="00F935E2"/>
    <w:rsid w:val="00F93634"/>
    <w:rsid w:val="00F9713B"/>
    <w:rsid w:val="00F97D58"/>
    <w:rsid w:val="00FA11DE"/>
    <w:rsid w:val="00FA4D11"/>
    <w:rsid w:val="00FB0D61"/>
    <w:rsid w:val="00FB333C"/>
    <w:rsid w:val="00FB7076"/>
    <w:rsid w:val="00FC0BA9"/>
    <w:rsid w:val="00FC6528"/>
    <w:rsid w:val="00FD1ADD"/>
    <w:rsid w:val="00FD2678"/>
    <w:rsid w:val="00FD42E8"/>
    <w:rsid w:val="00FE411D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1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248D4"/>
  </w:style>
  <w:style w:type="paragraph" w:styleId="Nadpis1">
    <w:name w:val="heading 1"/>
    <w:basedOn w:val="Normlny"/>
    <w:next w:val="Normlny"/>
    <w:link w:val="Nadpis1Char"/>
    <w:uiPriority w:val="99"/>
    <w:qFormat/>
    <w:rsid w:val="00F9713B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9713B"/>
    <w:pPr>
      <w:keepNext/>
      <w:jc w:val="right"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F9713B"/>
    <w:pPr>
      <w:keepNext/>
      <w:jc w:val="both"/>
      <w:outlineLvl w:val="2"/>
    </w:pPr>
    <w:rPr>
      <w:b/>
      <w:bCs/>
      <w:sz w:val="3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9713B"/>
    <w:pPr>
      <w:keepNext/>
      <w:jc w:val="right"/>
      <w:outlineLvl w:val="3"/>
    </w:pPr>
    <w:rPr>
      <w:b/>
      <w:bCs/>
      <w:i/>
      <w:iCs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9713B"/>
    <w:pPr>
      <w:keepNext/>
      <w:jc w:val="both"/>
      <w:outlineLvl w:val="4"/>
    </w:pPr>
    <w:rPr>
      <w:b/>
      <w:bCs/>
      <w:i/>
      <w:iCs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9713B"/>
    <w:pPr>
      <w:keepNext/>
      <w:jc w:val="both"/>
      <w:outlineLvl w:val="5"/>
    </w:pPr>
    <w:rPr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hAnsi="Calibri Light"/>
      <w:b/>
      <w:kern w:val="32"/>
      <w:sz w:val="32"/>
      <w:lang w:val="sk-SK" w:eastAsia="sk-SK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hAnsi="Calibri Light"/>
      <w:b/>
      <w:i/>
      <w:sz w:val="28"/>
      <w:lang w:val="sk-SK" w:eastAsia="sk-SK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hAnsi="Calibri Light"/>
      <w:b/>
      <w:sz w:val="26"/>
      <w:lang w:val="sk-SK" w:eastAsia="sk-SK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hAnsi="Calibri"/>
      <w:b/>
      <w:sz w:val="28"/>
      <w:lang w:val="sk-SK" w:eastAsia="sk-SK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hAnsi="Calibri"/>
      <w:b/>
      <w:i/>
      <w:sz w:val="26"/>
      <w:lang w:val="sk-SK" w:eastAsia="sk-SK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hAnsi="Calibri"/>
      <w:b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F9713B"/>
    <w:pPr>
      <w:jc w:val="both"/>
    </w:pPr>
    <w:rPr>
      <w:sz w:val="24"/>
    </w:rPr>
  </w:style>
  <w:style w:type="character" w:customStyle="1" w:styleId="ZkladntextChar">
    <w:name w:val="Základný text Char"/>
    <w:link w:val="Zkladntext"/>
    <w:uiPriority w:val="99"/>
    <w:locked/>
    <w:rsid w:val="00B664AC"/>
    <w:rPr>
      <w:sz w:val="24"/>
      <w:lang w:val="sk-SK" w:eastAsia="sk-SK"/>
    </w:rPr>
  </w:style>
  <w:style w:type="paragraph" w:customStyle="1" w:styleId="Nottoc-headings">
    <w:name w:val="Not toc-headings"/>
    <w:basedOn w:val="Normlny"/>
    <w:next w:val="Normlny"/>
    <w:link w:val="Nottoc-headingsChar"/>
    <w:uiPriority w:val="99"/>
    <w:rsid w:val="00347F0D"/>
    <w:pPr>
      <w:keepNext/>
      <w:keepLines/>
      <w:spacing w:before="240" w:after="60"/>
    </w:pPr>
    <w:rPr>
      <w:rFonts w:ascii="Arial" w:eastAsia="MS Gothic" w:hAnsi="Arial"/>
      <w:b/>
      <w:sz w:val="24"/>
      <w:szCs w:val="24"/>
      <w:lang w:eastAsia="zh-CN"/>
    </w:rPr>
  </w:style>
  <w:style w:type="character" w:customStyle="1" w:styleId="Nottoc-headingsChar">
    <w:name w:val="Not toc-headings Char"/>
    <w:link w:val="Nottoc-headings"/>
    <w:uiPriority w:val="99"/>
    <w:locked/>
    <w:rsid w:val="00347F0D"/>
    <w:rPr>
      <w:rFonts w:ascii="Arial" w:eastAsia="MS Gothic" w:hAnsi="Arial"/>
      <w:b/>
      <w:sz w:val="24"/>
      <w:lang w:val="x-none" w:eastAsia="zh-CN"/>
    </w:rPr>
  </w:style>
  <w:style w:type="paragraph" w:styleId="Hlavika">
    <w:name w:val="header"/>
    <w:basedOn w:val="Normlny"/>
    <w:link w:val="HlavikaChar"/>
    <w:uiPriority w:val="99"/>
    <w:rsid w:val="00F971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sz w:val="20"/>
      <w:lang w:val="sk-SK" w:eastAsia="sk-SK"/>
    </w:rPr>
  </w:style>
  <w:style w:type="paragraph" w:styleId="Pta">
    <w:name w:val="footer"/>
    <w:basedOn w:val="Normlny"/>
    <w:link w:val="PtaChar"/>
    <w:uiPriority w:val="99"/>
    <w:rsid w:val="00F9713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A65C6F"/>
    <w:rPr>
      <w:lang w:val="sk-SK" w:eastAsia="sk-SK"/>
    </w:rPr>
  </w:style>
  <w:style w:type="character" w:styleId="slostrany">
    <w:name w:val="page number"/>
    <w:uiPriority w:val="99"/>
    <w:rsid w:val="00F9713B"/>
  </w:style>
  <w:style w:type="character" w:styleId="Hypertextovprepojenie">
    <w:name w:val="Hyperlink"/>
    <w:uiPriority w:val="99"/>
    <w:rsid w:val="00F9713B"/>
    <w:rPr>
      <w:color w:val="0000FF"/>
      <w:u w:val="single"/>
    </w:rPr>
  </w:style>
  <w:style w:type="character" w:styleId="PouitHypertextovPrepojenie">
    <w:name w:val="FollowedHyperlink"/>
    <w:uiPriority w:val="99"/>
    <w:rsid w:val="00F9713B"/>
    <w:rPr>
      <w:color w:val="800080"/>
      <w:u w:val="single"/>
    </w:rPr>
  </w:style>
  <w:style w:type="paragraph" w:customStyle="1" w:styleId="BodyText21">
    <w:name w:val="Body Text 21"/>
    <w:basedOn w:val="Normlny"/>
    <w:uiPriority w:val="99"/>
    <w:rsid w:val="00F9713B"/>
    <w:pPr>
      <w:overflowPunct w:val="0"/>
      <w:autoSpaceDE w:val="0"/>
      <w:autoSpaceDN w:val="0"/>
      <w:adjustRightInd w:val="0"/>
      <w:ind w:left="284"/>
      <w:jc w:val="both"/>
    </w:pPr>
    <w:rPr>
      <w:rFonts w:ascii="Arial" w:hAnsi="Arial"/>
      <w:sz w:val="22"/>
    </w:rPr>
  </w:style>
  <w:style w:type="paragraph" w:styleId="Textkomentra">
    <w:name w:val="annotation text"/>
    <w:basedOn w:val="Normlny"/>
    <w:link w:val="TextkomentraChar"/>
    <w:uiPriority w:val="99"/>
    <w:semiHidden/>
    <w:rsid w:val="00F9713B"/>
  </w:style>
  <w:style w:type="character" w:customStyle="1" w:styleId="TextkomentraChar">
    <w:name w:val="Text komentára Char"/>
    <w:link w:val="Textkomentra"/>
    <w:uiPriority w:val="99"/>
    <w:semiHidden/>
    <w:locked/>
    <w:rPr>
      <w:sz w:val="20"/>
      <w:lang w:val="sk-SK" w:eastAsia="sk-SK"/>
    </w:rPr>
  </w:style>
  <w:style w:type="paragraph" w:styleId="Nzov">
    <w:name w:val="Title"/>
    <w:basedOn w:val="Normlny"/>
    <w:link w:val="NzovChar"/>
    <w:uiPriority w:val="99"/>
    <w:qFormat/>
    <w:rsid w:val="00F9713B"/>
    <w:pPr>
      <w:jc w:val="center"/>
    </w:pPr>
    <w:rPr>
      <w:sz w:val="36"/>
    </w:rPr>
  </w:style>
  <w:style w:type="character" w:customStyle="1" w:styleId="NzovChar">
    <w:name w:val="Názov Char"/>
    <w:link w:val="Nzov"/>
    <w:uiPriority w:val="10"/>
    <w:locked/>
    <w:rPr>
      <w:rFonts w:ascii="Calibri Light" w:hAnsi="Calibri Light"/>
      <w:b/>
      <w:kern w:val="28"/>
      <w:sz w:val="32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91E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/>
      <w:sz w:val="18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76619A"/>
    <w:pPr>
      <w:spacing w:after="120" w:line="480" w:lineRule="auto"/>
      <w:ind w:left="567" w:hanging="567"/>
    </w:pPr>
    <w:rPr>
      <w:sz w:val="22"/>
      <w:szCs w:val="24"/>
    </w:rPr>
  </w:style>
  <w:style w:type="character" w:customStyle="1" w:styleId="Zkladntext2Char">
    <w:name w:val="Základný text 2 Char"/>
    <w:link w:val="Zkladntext2"/>
    <w:uiPriority w:val="99"/>
    <w:semiHidden/>
    <w:locked/>
    <w:rPr>
      <w:sz w:val="20"/>
      <w:lang w:val="sk-SK" w:eastAsia="sk-SK"/>
    </w:rPr>
  </w:style>
  <w:style w:type="character" w:customStyle="1" w:styleId="hps">
    <w:name w:val="hps"/>
    <w:uiPriority w:val="99"/>
    <w:rsid w:val="00C20D96"/>
  </w:style>
  <w:style w:type="character" w:customStyle="1" w:styleId="shorttext">
    <w:name w:val="short_text"/>
    <w:uiPriority w:val="99"/>
    <w:rsid w:val="001248D4"/>
  </w:style>
  <w:style w:type="character" w:customStyle="1" w:styleId="atn">
    <w:name w:val="atn"/>
    <w:uiPriority w:val="99"/>
    <w:rsid w:val="001248D4"/>
  </w:style>
  <w:style w:type="character" w:styleId="Zvraznenie">
    <w:name w:val="Emphasis"/>
    <w:uiPriority w:val="99"/>
    <w:qFormat/>
    <w:rsid w:val="00E647C5"/>
    <w:rPr>
      <w:i/>
    </w:rPr>
  </w:style>
  <w:style w:type="character" w:customStyle="1" w:styleId="TextChar">
    <w:name w:val="Text Char"/>
    <w:link w:val="Text"/>
    <w:uiPriority w:val="99"/>
    <w:locked/>
    <w:rsid w:val="0066515B"/>
    <w:rPr>
      <w:rFonts w:ascii="MS Mincho" w:eastAsia="MS Mincho" w:hAnsi="MS Mincho"/>
      <w:sz w:val="24"/>
      <w:lang w:val="x-none" w:eastAsia="zh-CN"/>
    </w:rPr>
  </w:style>
  <w:style w:type="paragraph" w:customStyle="1" w:styleId="Text">
    <w:name w:val="Text"/>
    <w:aliases w:val="Graphic"/>
    <w:basedOn w:val="Normlny"/>
    <w:link w:val="TextChar"/>
    <w:uiPriority w:val="99"/>
    <w:rsid w:val="0066515B"/>
    <w:pPr>
      <w:keepLines/>
      <w:spacing w:before="120"/>
      <w:jc w:val="both"/>
    </w:pPr>
    <w:rPr>
      <w:rFonts w:ascii="MS Mincho" w:eastAsia="MS Mincho" w:hAnsi="MS Mincho"/>
      <w:sz w:val="24"/>
      <w:lang w:eastAsia="zh-CN"/>
    </w:rPr>
  </w:style>
  <w:style w:type="paragraph" w:customStyle="1" w:styleId="Odstavecseseznamem1">
    <w:name w:val="Odstavec se seznamem1"/>
    <w:basedOn w:val="Normlny"/>
    <w:uiPriority w:val="99"/>
    <w:rsid w:val="00767626"/>
    <w:pPr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styleId="Odkaznakomentr">
    <w:name w:val="annotation reference"/>
    <w:uiPriority w:val="99"/>
    <w:semiHidden/>
    <w:rsid w:val="008E4D6E"/>
    <w:rPr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E4D6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b/>
      <w:sz w:val="20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AD67B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1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248D4"/>
  </w:style>
  <w:style w:type="paragraph" w:styleId="Nadpis1">
    <w:name w:val="heading 1"/>
    <w:basedOn w:val="Normlny"/>
    <w:next w:val="Normlny"/>
    <w:link w:val="Nadpis1Char"/>
    <w:uiPriority w:val="99"/>
    <w:qFormat/>
    <w:rsid w:val="00F9713B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9713B"/>
    <w:pPr>
      <w:keepNext/>
      <w:jc w:val="right"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F9713B"/>
    <w:pPr>
      <w:keepNext/>
      <w:jc w:val="both"/>
      <w:outlineLvl w:val="2"/>
    </w:pPr>
    <w:rPr>
      <w:b/>
      <w:bCs/>
      <w:sz w:val="3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9713B"/>
    <w:pPr>
      <w:keepNext/>
      <w:jc w:val="right"/>
      <w:outlineLvl w:val="3"/>
    </w:pPr>
    <w:rPr>
      <w:b/>
      <w:bCs/>
      <w:i/>
      <w:iCs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9713B"/>
    <w:pPr>
      <w:keepNext/>
      <w:jc w:val="both"/>
      <w:outlineLvl w:val="4"/>
    </w:pPr>
    <w:rPr>
      <w:b/>
      <w:bCs/>
      <w:i/>
      <w:iCs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9713B"/>
    <w:pPr>
      <w:keepNext/>
      <w:jc w:val="both"/>
      <w:outlineLvl w:val="5"/>
    </w:pPr>
    <w:rPr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hAnsi="Calibri Light"/>
      <w:b/>
      <w:kern w:val="32"/>
      <w:sz w:val="32"/>
      <w:lang w:val="sk-SK" w:eastAsia="sk-SK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hAnsi="Calibri Light"/>
      <w:b/>
      <w:i/>
      <w:sz w:val="28"/>
      <w:lang w:val="sk-SK" w:eastAsia="sk-SK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hAnsi="Calibri Light"/>
      <w:b/>
      <w:sz w:val="26"/>
      <w:lang w:val="sk-SK" w:eastAsia="sk-SK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hAnsi="Calibri"/>
      <w:b/>
      <w:sz w:val="28"/>
      <w:lang w:val="sk-SK" w:eastAsia="sk-SK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hAnsi="Calibri"/>
      <w:b/>
      <w:i/>
      <w:sz w:val="26"/>
      <w:lang w:val="sk-SK" w:eastAsia="sk-SK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hAnsi="Calibri"/>
      <w:b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F9713B"/>
    <w:pPr>
      <w:jc w:val="both"/>
    </w:pPr>
    <w:rPr>
      <w:sz w:val="24"/>
    </w:rPr>
  </w:style>
  <w:style w:type="character" w:customStyle="1" w:styleId="ZkladntextChar">
    <w:name w:val="Základný text Char"/>
    <w:link w:val="Zkladntext"/>
    <w:uiPriority w:val="99"/>
    <w:locked/>
    <w:rsid w:val="00B664AC"/>
    <w:rPr>
      <w:sz w:val="24"/>
      <w:lang w:val="sk-SK" w:eastAsia="sk-SK"/>
    </w:rPr>
  </w:style>
  <w:style w:type="paragraph" w:customStyle="1" w:styleId="Nottoc-headings">
    <w:name w:val="Not toc-headings"/>
    <w:basedOn w:val="Normlny"/>
    <w:next w:val="Normlny"/>
    <w:link w:val="Nottoc-headingsChar"/>
    <w:uiPriority w:val="99"/>
    <w:rsid w:val="00347F0D"/>
    <w:pPr>
      <w:keepNext/>
      <w:keepLines/>
      <w:spacing w:before="240" w:after="60"/>
    </w:pPr>
    <w:rPr>
      <w:rFonts w:ascii="Arial" w:eastAsia="MS Gothic" w:hAnsi="Arial"/>
      <w:b/>
      <w:sz w:val="24"/>
      <w:szCs w:val="24"/>
      <w:lang w:eastAsia="zh-CN"/>
    </w:rPr>
  </w:style>
  <w:style w:type="character" w:customStyle="1" w:styleId="Nottoc-headingsChar">
    <w:name w:val="Not toc-headings Char"/>
    <w:link w:val="Nottoc-headings"/>
    <w:uiPriority w:val="99"/>
    <w:locked/>
    <w:rsid w:val="00347F0D"/>
    <w:rPr>
      <w:rFonts w:ascii="Arial" w:eastAsia="MS Gothic" w:hAnsi="Arial"/>
      <w:b/>
      <w:sz w:val="24"/>
      <w:lang w:val="x-none" w:eastAsia="zh-CN"/>
    </w:rPr>
  </w:style>
  <w:style w:type="paragraph" w:styleId="Hlavika">
    <w:name w:val="header"/>
    <w:basedOn w:val="Normlny"/>
    <w:link w:val="HlavikaChar"/>
    <w:uiPriority w:val="99"/>
    <w:rsid w:val="00F971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sz w:val="20"/>
      <w:lang w:val="sk-SK" w:eastAsia="sk-SK"/>
    </w:rPr>
  </w:style>
  <w:style w:type="paragraph" w:styleId="Pta">
    <w:name w:val="footer"/>
    <w:basedOn w:val="Normlny"/>
    <w:link w:val="PtaChar"/>
    <w:uiPriority w:val="99"/>
    <w:rsid w:val="00F9713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A65C6F"/>
    <w:rPr>
      <w:lang w:val="sk-SK" w:eastAsia="sk-SK"/>
    </w:rPr>
  </w:style>
  <w:style w:type="character" w:styleId="slostrany">
    <w:name w:val="page number"/>
    <w:uiPriority w:val="99"/>
    <w:rsid w:val="00F9713B"/>
  </w:style>
  <w:style w:type="character" w:styleId="Hypertextovprepojenie">
    <w:name w:val="Hyperlink"/>
    <w:uiPriority w:val="99"/>
    <w:rsid w:val="00F9713B"/>
    <w:rPr>
      <w:color w:val="0000FF"/>
      <w:u w:val="single"/>
    </w:rPr>
  </w:style>
  <w:style w:type="character" w:styleId="PouitHypertextovPrepojenie">
    <w:name w:val="FollowedHyperlink"/>
    <w:uiPriority w:val="99"/>
    <w:rsid w:val="00F9713B"/>
    <w:rPr>
      <w:color w:val="800080"/>
      <w:u w:val="single"/>
    </w:rPr>
  </w:style>
  <w:style w:type="paragraph" w:customStyle="1" w:styleId="BodyText21">
    <w:name w:val="Body Text 21"/>
    <w:basedOn w:val="Normlny"/>
    <w:uiPriority w:val="99"/>
    <w:rsid w:val="00F9713B"/>
    <w:pPr>
      <w:overflowPunct w:val="0"/>
      <w:autoSpaceDE w:val="0"/>
      <w:autoSpaceDN w:val="0"/>
      <w:adjustRightInd w:val="0"/>
      <w:ind w:left="284"/>
      <w:jc w:val="both"/>
    </w:pPr>
    <w:rPr>
      <w:rFonts w:ascii="Arial" w:hAnsi="Arial"/>
      <w:sz w:val="22"/>
    </w:rPr>
  </w:style>
  <w:style w:type="paragraph" w:styleId="Textkomentra">
    <w:name w:val="annotation text"/>
    <w:basedOn w:val="Normlny"/>
    <w:link w:val="TextkomentraChar"/>
    <w:uiPriority w:val="99"/>
    <w:semiHidden/>
    <w:rsid w:val="00F9713B"/>
  </w:style>
  <w:style w:type="character" w:customStyle="1" w:styleId="TextkomentraChar">
    <w:name w:val="Text komentára Char"/>
    <w:link w:val="Textkomentra"/>
    <w:uiPriority w:val="99"/>
    <w:semiHidden/>
    <w:locked/>
    <w:rPr>
      <w:sz w:val="20"/>
      <w:lang w:val="sk-SK" w:eastAsia="sk-SK"/>
    </w:rPr>
  </w:style>
  <w:style w:type="paragraph" w:styleId="Nzov">
    <w:name w:val="Title"/>
    <w:basedOn w:val="Normlny"/>
    <w:link w:val="NzovChar"/>
    <w:uiPriority w:val="99"/>
    <w:qFormat/>
    <w:rsid w:val="00F9713B"/>
    <w:pPr>
      <w:jc w:val="center"/>
    </w:pPr>
    <w:rPr>
      <w:sz w:val="36"/>
    </w:rPr>
  </w:style>
  <w:style w:type="character" w:customStyle="1" w:styleId="NzovChar">
    <w:name w:val="Názov Char"/>
    <w:link w:val="Nzov"/>
    <w:uiPriority w:val="10"/>
    <w:locked/>
    <w:rPr>
      <w:rFonts w:ascii="Calibri Light" w:hAnsi="Calibri Light"/>
      <w:b/>
      <w:kern w:val="28"/>
      <w:sz w:val="32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91E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/>
      <w:sz w:val="18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76619A"/>
    <w:pPr>
      <w:spacing w:after="120" w:line="480" w:lineRule="auto"/>
      <w:ind w:left="567" w:hanging="567"/>
    </w:pPr>
    <w:rPr>
      <w:sz w:val="22"/>
      <w:szCs w:val="24"/>
    </w:rPr>
  </w:style>
  <w:style w:type="character" w:customStyle="1" w:styleId="Zkladntext2Char">
    <w:name w:val="Základný text 2 Char"/>
    <w:link w:val="Zkladntext2"/>
    <w:uiPriority w:val="99"/>
    <w:semiHidden/>
    <w:locked/>
    <w:rPr>
      <w:sz w:val="20"/>
      <w:lang w:val="sk-SK" w:eastAsia="sk-SK"/>
    </w:rPr>
  </w:style>
  <w:style w:type="character" w:customStyle="1" w:styleId="hps">
    <w:name w:val="hps"/>
    <w:uiPriority w:val="99"/>
    <w:rsid w:val="00C20D96"/>
  </w:style>
  <w:style w:type="character" w:customStyle="1" w:styleId="shorttext">
    <w:name w:val="short_text"/>
    <w:uiPriority w:val="99"/>
    <w:rsid w:val="001248D4"/>
  </w:style>
  <w:style w:type="character" w:customStyle="1" w:styleId="atn">
    <w:name w:val="atn"/>
    <w:uiPriority w:val="99"/>
    <w:rsid w:val="001248D4"/>
  </w:style>
  <w:style w:type="character" w:styleId="Zvraznenie">
    <w:name w:val="Emphasis"/>
    <w:uiPriority w:val="99"/>
    <w:qFormat/>
    <w:rsid w:val="00E647C5"/>
    <w:rPr>
      <w:i/>
    </w:rPr>
  </w:style>
  <w:style w:type="character" w:customStyle="1" w:styleId="TextChar">
    <w:name w:val="Text Char"/>
    <w:link w:val="Text"/>
    <w:uiPriority w:val="99"/>
    <w:locked/>
    <w:rsid w:val="0066515B"/>
    <w:rPr>
      <w:rFonts w:ascii="MS Mincho" w:eastAsia="MS Mincho" w:hAnsi="MS Mincho"/>
      <w:sz w:val="24"/>
      <w:lang w:val="x-none" w:eastAsia="zh-CN"/>
    </w:rPr>
  </w:style>
  <w:style w:type="paragraph" w:customStyle="1" w:styleId="Text">
    <w:name w:val="Text"/>
    <w:aliases w:val="Graphic"/>
    <w:basedOn w:val="Normlny"/>
    <w:link w:val="TextChar"/>
    <w:uiPriority w:val="99"/>
    <w:rsid w:val="0066515B"/>
    <w:pPr>
      <w:keepLines/>
      <w:spacing w:before="120"/>
      <w:jc w:val="both"/>
    </w:pPr>
    <w:rPr>
      <w:rFonts w:ascii="MS Mincho" w:eastAsia="MS Mincho" w:hAnsi="MS Mincho"/>
      <w:sz w:val="24"/>
      <w:lang w:eastAsia="zh-CN"/>
    </w:rPr>
  </w:style>
  <w:style w:type="paragraph" w:customStyle="1" w:styleId="Odstavecseseznamem1">
    <w:name w:val="Odstavec se seznamem1"/>
    <w:basedOn w:val="Normlny"/>
    <w:uiPriority w:val="99"/>
    <w:rsid w:val="00767626"/>
    <w:pPr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styleId="Odkaznakomentr">
    <w:name w:val="annotation reference"/>
    <w:uiPriority w:val="99"/>
    <w:semiHidden/>
    <w:rsid w:val="008E4D6E"/>
    <w:rPr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E4D6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b/>
      <w:sz w:val="20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AD67B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84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20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20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8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20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0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84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20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0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sukl.sk/evarsym?act=AppLogin&amp;guid=56956f08-bce5-48d5-ba91-f3ffaadac2a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2137</Words>
  <Characters>14073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SmPC</vt:lpstr>
    </vt:vector>
  </TitlesOfParts>
  <Company>privat</Company>
  <LinksUpToDate>false</LinksUpToDate>
  <CharactersWithSpaces>16178</CharactersWithSpaces>
  <SharedDoc>false</SharedDoc>
  <HLinks>
    <vt:vector size="12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https://portal.sukl.sk/evarsym?act=AppLogin&amp;guid=56956f08-bce5-48d5-ba91-f3ffaadac2ae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SmPC</dc:title>
  <dc:creator>Dubovska</dc:creator>
  <cp:lastModifiedBy>Uhnáková Milota</cp:lastModifiedBy>
  <cp:revision>3</cp:revision>
  <cp:lastPrinted>2015-09-03T07:54:00Z</cp:lastPrinted>
  <dcterms:created xsi:type="dcterms:W3CDTF">2020-05-13T06:50:00Z</dcterms:created>
  <dcterms:modified xsi:type="dcterms:W3CDTF">2020-05-13T07:56:00Z</dcterms:modified>
</cp:coreProperties>
</file>