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10" w:rsidRPr="00967F80" w:rsidRDefault="001A2F10" w:rsidP="00967F80">
      <w:pPr>
        <w:pStyle w:val="SPCaPILhlavika"/>
        <w:spacing w:before="0" w:after="0"/>
        <w:rPr>
          <w:szCs w:val="22"/>
          <w:lang w:val="sk-SK"/>
        </w:rPr>
      </w:pPr>
      <w:bookmarkStart w:id="0" w:name="_GoBack"/>
      <w:bookmarkEnd w:id="0"/>
      <w:r w:rsidRPr="00967F80">
        <w:rPr>
          <w:szCs w:val="22"/>
          <w:lang w:val="sk-SK"/>
        </w:rPr>
        <w:t>SÚHRN CHARAKTERISTICKÝCH VLASTNOSTÍ LIEKU</w:t>
      </w:r>
    </w:p>
    <w:p w:rsidR="00225702" w:rsidRPr="00967F80" w:rsidRDefault="00225702">
      <w:pPr>
        <w:pStyle w:val="SPCaPILhlavika"/>
        <w:spacing w:before="0" w:after="0"/>
        <w:rPr>
          <w:szCs w:val="22"/>
          <w:lang w:val="sk-SK"/>
        </w:rPr>
      </w:pPr>
    </w:p>
    <w:p w:rsidR="00225702" w:rsidRPr="00967F80" w:rsidRDefault="00225702">
      <w:pPr>
        <w:pStyle w:val="SPCaPILhlavika"/>
        <w:spacing w:before="0" w:after="0"/>
        <w:rPr>
          <w:szCs w:val="22"/>
          <w:lang w:val="sk-SK"/>
        </w:rPr>
      </w:pPr>
    </w:p>
    <w:p w:rsidR="001A2F10" w:rsidRPr="00967F80" w:rsidRDefault="001A2F10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967F80">
        <w:rPr>
          <w:szCs w:val="22"/>
        </w:rPr>
        <w:t>NÁZOV LIEKU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60 mg</w:t>
      </w:r>
      <w:r w:rsidR="008208D2" w:rsidRPr="00967F80">
        <w:rPr>
          <w:szCs w:val="22"/>
        </w:rPr>
        <w:t xml:space="preserve"> </w:t>
      </w:r>
      <w:r w:rsidRPr="00967F80">
        <w:rPr>
          <w:szCs w:val="22"/>
        </w:rPr>
        <w:t xml:space="preserve">tvrdé </w:t>
      </w:r>
      <w:proofErr w:type="spellStart"/>
      <w:r w:rsidRPr="00967F80">
        <w:rPr>
          <w:szCs w:val="22"/>
        </w:rPr>
        <w:t>gastrorezistentné</w:t>
      </w:r>
      <w:proofErr w:type="spellEnd"/>
      <w:r w:rsidRPr="00967F80">
        <w:rPr>
          <w:szCs w:val="22"/>
        </w:rPr>
        <w:t xml:space="preserve"> kapsuly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967F80">
        <w:rPr>
          <w:szCs w:val="22"/>
        </w:rPr>
        <w:t>KVALITATÍVNE A KVANTITATÍVNE ZLOŽENIE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Jedna kapsula obsahuje 60 mg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(vo forme chloridu).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Pomocn</w:t>
      </w:r>
      <w:r w:rsidR="00052ED6" w:rsidRPr="00967F80">
        <w:rPr>
          <w:szCs w:val="22"/>
        </w:rPr>
        <w:t>á</w:t>
      </w:r>
      <w:r w:rsidRPr="00967F80">
        <w:rPr>
          <w:szCs w:val="22"/>
        </w:rPr>
        <w:t xml:space="preserve"> látk</w:t>
      </w:r>
      <w:r w:rsidR="00052ED6" w:rsidRPr="00967F80">
        <w:rPr>
          <w:szCs w:val="22"/>
        </w:rPr>
        <w:t>a</w:t>
      </w:r>
      <w:r w:rsidRPr="00967F80">
        <w:rPr>
          <w:szCs w:val="22"/>
        </w:rPr>
        <w:t xml:space="preserve"> so známym účinkom: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Jedna kapsula obsahuje 153 mg sacharózy.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Úplný zoznam pomocných látok, pozri časť 6.1.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967F80">
        <w:rPr>
          <w:szCs w:val="22"/>
        </w:rPr>
        <w:t>LIEKOVÁ FORMA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Tvrdá </w:t>
      </w:r>
      <w:proofErr w:type="spellStart"/>
      <w:r w:rsidRPr="00967F80">
        <w:rPr>
          <w:szCs w:val="22"/>
        </w:rPr>
        <w:t>gastrorezistentná</w:t>
      </w:r>
      <w:proofErr w:type="spellEnd"/>
      <w:r w:rsidRPr="00967F80">
        <w:rPr>
          <w:szCs w:val="22"/>
        </w:rPr>
        <w:t xml:space="preserve"> kapsula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E01098" w:rsidRPr="00967F80" w:rsidRDefault="00E01098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Tvrdá želatínová kapsula o veľkosti „0“ a dĺžke približne 21,7 mm so svetlo šedým telom a ružovým viečkom obsahujúca takmer biele </w:t>
      </w:r>
      <w:proofErr w:type="spellStart"/>
      <w:r w:rsidRPr="00967F80">
        <w:rPr>
          <w:szCs w:val="22"/>
        </w:rPr>
        <w:t>pelety</w:t>
      </w:r>
      <w:proofErr w:type="spellEnd"/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 w:rsidP="00E50B63">
      <w:pPr>
        <w:pStyle w:val="Styl1"/>
        <w:numPr>
          <w:ilvl w:val="0"/>
          <w:numId w:val="1"/>
        </w:numPr>
        <w:spacing w:before="0"/>
        <w:ind w:left="357" w:hanging="357"/>
        <w:rPr>
          <w:szCs w:val="22"/>
        </w:rPr>
      </w:pPr>
      <w:r w:rsidRPr="00967F80">
        <w:rPr>
          <w:szCs w:val="22"/>
        </w:rPr>
        <w:t>KLINICKÉ ÚDAJE</w:t>
      </w:r>
    </w:p>
    <w:p w:rsidR="001A2F10" w:rsidRPr="00967F80" w:rsidRDefault="001A2F10" w:rsidP="00E50B63">
      <w:pPr>
        <w:pStyle w:val="Styl2"/>
        <w:numPr>
          <w:ilvl w:val="1"/>
          <w:numId w:val="1"/>
        </w:numPr>
        <w:spacing w:before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Terapeutické indikácie</w:t>
      </w:r>
    </w:p>
    <w:p w:rsidR="00225702" w:rsidRPr="00967F80" w:rsidRDefault="00225702" w:rsidP="00E50B63">
      <w:pPr>
        <w:pStyle w:val="Normlndoblokusodrkami"/>
        <w:numPr>
          <w:ilvl w:val="0"/>
          <w:numId w:val="0"/>
        </w:numPr>
        <w:spacing w:after="0"/>
        <w:ind w:left="720"/>
        <w:rPr>
          <w:szCs w:val="22"/>
        </w:rPr>
      </w:pP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>Liečba veľkej depresívnej poruchy.</w:t>
      </w: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>Liečba diabetickej periférnej neuropatickej bolesti.</w:t>
      </w: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>Liečba generalizovanej úzkostnej poruchy.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je indikovaný </w:t>
      </w:r>
      <w:r w:rsidR="001D4B79" w:rsidRPr="00967F80">
        <w:rPr>
          <w:szCs w:val="22"/>
        </w:rPr>
        <w:t>dospelým</w:t>
      </w:r>
      <w:r w:rsidR="00225702" w:rsidRPr="00967F80">
        <w:rPr>
          <w:szCs w:val="22"/>
        </w:rPr>
        <w:t>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Pre ďalšie informácie pozri časť 5.1.</w:t>
      </w:r>
    </w:p>
    <w:p w:rsidR="001D4B79" w:rsidRPr="00967F80" w:rsidRDefault="001D4B79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Dávkovanie a spôsob podávania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Dávkovanie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Ve</w:t>
      </w:r>
      <w:r w:rsidRPr="00967F80">
        <w:rPr>
          <w:rFonts w:ascii="Times New Roman" w:hAnsi="Times New Roman" w:hint="eastAsia"/>
          <w:szCs w:val="22"/>
        </w:rPr>
        <w:t>ľ</w:t>
      </w:r>
      <w:r w:rsidRPr="00967F80">
        <w:rPr>
          <w:rFonts w:ascii="Times New Roman" w:hAnsi="Times New Roman"/>
          <w:szCs w:val="22"/>
        </w:rPr>
        <w:t>ká depresívna porucha</w:t>
      </w:r>
    </w:p>
    <w:p w:rsidR="001A2F10" w:rsidRPr="00967F80" w:rsidRDefault="00225702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Za</w:t>
      </w:r>
      <w:r w:rsidR="001A2F10" w:rsidRPr="00967F80">
        <w:rPr>
          <w:szCs w:val="22"/>
        </w:rPr>
        <w:t xml:space="preserve">čiatočná a odporúčaná udržiavacia dávka je 60 mg jedenkrát denne s jedlom alebo bez jedla. V klinických štúdiách boli z hľadiska bezpečnosti hodnotené dávky vyššie ako 60 mg jedenkrát denne až po maximálnu dávku 120 mg denne. Klinický dôkaz o tom, že by pacienti nereagujúci na </w:t>
      </w:r>
      <w:r w:rsidR="00B239F8" w:rsidRPr="00967F80">
        <w:rPr>
          <w:szCs w:val="22"/>
        </w:rPr>
        <w:t xml:space="preserve">odporúčanú </w:t>
      </w:r>
      <w:r w:rsidRPr="00967F80">
        <w:rPr>
          <w:szCs w:val="22"/>
        </w:rPr>
        <w:t>za</w:t>
      </w:r>
      <w:r w:rsidR="001A2F10" w:rsidRPr="00967F80">
        <w:rPr>
          <w:szCs w:val="22"/>
        </w:rPr>
        <w:t>čiatočnú dávku mohli profitovať z</w:t>
      </w:r>
      <w:r w:rsidR="00B239F8" w:rsidRPr="00967F80">
        <w:rPr>
          <w:szCs w:val="22"/>
        </w:rPr>
        <w:t xml:space="preserve"> jej zvyšovania </w:t>
      </w:r>
      <w:r w:rsidR="001A2F10" w:rsidRPr="00967F80">
        <w:rPr>
          <w:szCs w:val="22"/>
        </w:rPr>
        <w:t>však neexistuje.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Odpoveď na liečbu sa spravidla objaví po 2 </w:t>
      </w:r>
      <w:r w:rsidR="00B239F8" w:rsidRPr="00967F80">
        <w:rPr>
          <w:szCs w:val="22"/>
        </w:rPr>
        <w:t>–</w:t>
      </w:r>
      <w:r w:rsidRPr="00967F80">
        <w:rPr>
          <w:szCs w:val="22"/>
        </w:rPr>
        <w:t> 4 týždňoch liečby.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Po konsolidácii antidepresívnej odpovede na liečbu sa odporúča v liečbe pokračovať ešte niekoľko mesiacov, aby sa zabránilo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. U pacientov odpovedajúcich na liečbu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 s anamnézou opakujúcich sa veľkých depresívnych epizód </w:t>
      </w:r>
      <w:r w:rsidR="00B239F8" w:rsidRPr="00967F80">
        <w:rPr>
          <w:szCs w:val="22"/>
        </w:rPr>
        <w:t>je možné</w:t>
      </w:r>
      <w:r w:rsidRPr="00967F80">
        <w:rPr>
          <w:szCs w:val="22"/>
        </w:rPr>
        <w:t xml:space="preserve"> zvážiť ďalšiu dlhodobú liečbu</w:t>
      </w:r>
      <w:r w:rsidR="00FB18D9" w:rsidRPr="00967F80">
        <w:rPr>
          <w:szCs w:val="22"/>
        </w:rPr>
        <w:t xml:space="preserve"> </w:t>
      </w:r>
      <w:r w:rsidRPr="00967F80">
        <w:rPr>
          <w:szCs w:val="22"/>
        </w:rPr>
        <w:t>dávkou 60 až 120 mg/deň.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Generalizovaná úzkostná porucha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Odporúčaná </w:t>
      </w:r>
      <w:r w:rsidR="00225702" w:rsidRPr="00967F80">
        <w:rPr>
          <w:szCs w:val="22"/>
        </w:rPr>
        <w:t>za</w:t>
      </w:r>
      <w:r w:rsidRPr="00967F80">
        <w:rPr>
          <w:szCs w:val="22"/>
        </w:rPr>
        <w:t>čiatočná dávka u pacientov s generalizovanou úzkostnou poruchou je 30 mg jedenkrát denne s jedlom alebo bez jedla. U pacientov bez dostatočnej odpovede sa má dávka zvýšiť na 60 mg, čo je zvyčajná udržiavacia dávka u väčšiny pacientov.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U pacientov, ktorí trpia tiež veľkou depresívnou poruchou</w:t>
      </w:r>
      <w:r w:rsidR="00B239F8" w:rsidRPr="00967F80">
        <w:rPr>
          <w:szCs w:val="22"/>
        </w:rPr>
        <w:t>,</w:t>
      </w:r>
      <w:r w:rsidRPr="00967F80">
        <w:rPr>
          <w:szCs w:val="22"/>
        </w:rPr>
        <w:t xml:space="preserve"> </w:t>
      </w:r>
      <w:r w:rsidR="00B239F8" w:rsidRPr="00967F80">
        <w:rPr>
          <w:szCs w:val="22"/>
        </w:rPr>
        <w:t xml:space="preserve">je </w:t>
      </w:r>
      <w:r w:rsidR="00225702" w:rsidRPr="00967F80">
        <w:rPr>
          <w:szCs w:val="22"/>
        </w:rPr>
        <w:t>za</w:t>
      </w:r>
      <w:r w:rsidRPr="00967F80">
        <w:rPr>
          <w:szCs w:val="22"/>
        </w:rPr>
        <w:t>čiatočná a udržiavacia dávka 60 mg jedenkrát denne (pozri tiež vyššie odporúčanie dávkovania).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Preukázalo sa, že dávky až do 120 mg denne sú účinné a v klinických štúdiách boli hodnotené aj z hľadiska bezpečnosti. U pacientov s nedostatočnou odpoveďou na </w:t>
      </w:r>
      <w:r w:rsidR="001B2640" w:rsidRPr="00967F80">
        <w:rPr>
          <w:szCs w:val="22"/>
        </w:rPr>
        <w:t xml:space="preserve">dávku </w:t>
      </w:r>
      <w:r w:rsidRPr="00967F80">
        <w:rPr>
          <w:szCs w:val="22"/>
        </w:rPr>
        <w:t>60 mg sa môže zvážiť zvýšenie dávky až na 90 mg alebo 120 mg. Dávka sa má zvyšovať podľa klinickej odpovede a znášanlivosti.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Po konsolidácii odpovede na liečbu sa odporúča v liečbe pokračovať ešte niekoľko mesiacov, aby sa zabránilo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>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 xml:space="preserve">Diabetická periférna </w:t>
      </w:r>
      <w:proofErr w:type="spellStart"/>
      <w:r w:rsidRPr="00967F80">
        <w:rPr>
          <w:rFonts w:ascii="Times New Roman" w:hAnsi="Times New Roman"/>
          <w:szCs w:val="22"/>
        </w:rPr>
        <w:t>neuropatická</w:t>
      </w:r>
      <w:proofErr w:type="spellEnd"/>
      <w:r w:rsidRPr="00967F80">
        <w:rPr>
          <w:rFonts w:ascii="Times New Roman" w:hAnsi="Times New Roman"/>
          <w:szCs w:val="22"/>
        </w:rPr>
        <w:t xml:space="preserve"> boles</w:t>
      </w:r>
      <w:r w:rsidRPr="00967F80">
        <w:rPr>
          <w:rFonts w:ascii="Times New Roman" w:hAnsi="Times New Roman" w:hint="eastAsia"/>
          <w:szCs w:val="22"/>
        </w:rPr>
        <w:t>ť</w:t>
      </w:r>
    </w:p>
    <w:p w:rsidR="001A2F10" w:rsidRPr="00967F80" w:rsidRDefault="00225702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Za</w:t>
      </w:r>
      <w:r w:rsidR="001A2F10" w:rsidRPr="00967F80">
        <w:rPr>
          <w:szCs w:val="22"/>
        </w:rPr>
        <w:t xml:space="preserve">čiatočná a odporúčaná udržiavacia dávka je 60 mg jedenkrát denne s jedlom alebo bez jedla. V klinických štúdiách boli z hľadiska bezpečnosti hodnotené dávky vyššie ako 60 mg jedenkrát denne až po maximálnu dávku 120 mg denne podané v rovnomerne rozdelených dávkach. Plazmatická koncentrácia </w:t>
      </w:r>
      <w:proofErr w:type="spellStart"/>
      <w:r w:rsidR="001A2F10" w:rsidRPr="00967F80">
        <w:rPr>
          <w:szCs w:val="22"/>
        </w:rPr>
        <w:t>duloxetínu</w:t>
      </w:r>
      <w:proofErr w:type="spellEnd"/>
      <w:r w:rsidR="001A2F10" w:rsidRPr="00967F80">
        <w:rPr>
          <w:szCs w:val="22"/>
        </w:rPr>
        <w:t xml:space="preserve"> preukazuje veľkú </w:t>
      </w:r>
      <w:proofErr w:type="spellStart"/>
      <w:r w:rsidR="001A2F10" w:rsidRPr="00967F80">
        <w:rPr>
          <w:szCs w:val="22"/>
        </w:rPr>
        <w:t>interindividuálnu</w:t>
      </w:r>
      <w:proofErr w:type="spellEnd"/>
      <w:r w:rsidR="001A2F10" w:rsidRPr="00967F80">
        <w:rPr>
          <w:szCs w:val="22"/>
        </w:rPr>
        <w:t xml:space="preserve"> variabilitu (pozri časť 5.2). V dôsledku toho môže niektorým pacientom, ktorí nedostatočne reagujú na dávku 60 mg, vyššia dávka prospieť.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Odpoveď na liečbu sa má vyhodnocovať po dvoch mesiacoch liečby. U pacientov s nedostatočnou </w:t>
      </w:r>
      <w:r w:rsidR="00225702" w:rsidRPr="00967F80">
        <w:rPr>
          <w:szCs w:val="22"/>
        </w:rPr>
        <w:t>za</w:t>
      </w:r>
      <w:r w:rsidRPr="00967F80">
        <w:rPr>
          <w:szCs w:val="22"/>
        </w:rPr>
        <w:t>čiatočnou odpoveďou je dodatočná odpoveď po uplynutí tejto doby nepravdepodobná.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Prínos liečby je potrebné pravidelne </w:t>
      </w:r>
      <w:r w:rsidR="00B239F8" w:rsidRPr="00967F80">
        <w:rPr>
          <w:szCs w:val="22"/>
        </w:rPr>
        <w:t>(minimálne každé tri mesiace)</w:t>
      </w:r>
      <w:r w:rsidRPr="00967F80">
        <w:rPr>
          <w:szCs w:val="22"/>
        </w:rPr>
        <w:t>prehodnocovať (pozri časť 5.1).</w:t>
      </w:r>
    </w:p>
    <w:p w:rsidR="00052ED6" w:rsidRPr="00967F80" w:rsidRDefault="00052ED6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Osobitné skupiny pacientov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045C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Starší pacienti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Vyšší vek sám o sebe nie je dôvodom pre úpravu dávky. Tak ako aj pri iných liekoch je potrebné k liečbe starších pacientov pristupovať opatrne, najmä pri dávke 120 mg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denne pri liečbe veľkej depresívnej poruchy alebo generalizovanej úzkostnej poruchy, kde sú obmedzené údaje (pozri časti 4.4 a 5.2).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Porucha funkcie pe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ene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sa nesmie používať u pacientov, ktorí trpia ochorením pečene</w:t>
      </w:r>
      <w:r w:rsidR="00596C7A" w:rsidRPr="00967F80">
        <w:rPr>
          <w:rFonts w:eastAsia="Times New Roman"/>
          <w:szCs w:val="22"/>
          <w:lang w:eastAsia="ar-SA"/>
        </w:rPr>
        <w:t xml:space="preserve"> </w:t>
      </w:r>
      <w:r w:rsidR="00596C7A" w:rsidRPr="00967F80">
        <w:rPr>
          <w:szCs w:val="22"/>
          <w:lang w:val="el-GR"/>
        </w:rPr>
        <w:t>s následkom poruchy funkcie pečene</w:t>
      </w:r>
      <w:r w:rsidRPr="00967F80">
        <w:rPr>
          <w:szCs w:val="22"/>
        </w:rPr>
        <w:t xml:space="preserve"> (pozri časti 4.3 a 5.2).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Porucha funkcie obli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iek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U pacientov s miernou alebo stredne závažnou poruchou funkcie obličiek (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kreatinínu</w:t>
      </w:r>
      <w:proofErr w:type="spellEnd"/>
      <w:r w:rsidRPr="00967F80">
        <w:rPr>
          <w:szCs w:val="22"/>
        </w:rPr>
        <w:t xml:space="preserve"> 30 až 80 ml/min) nie je nutné upravovať dávku.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nesmú užívať pacienti so závažnou poruchou funkcie obličiek (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kreatinínu</w:t>
      </w:r>
      <w:proofErr w:type="spellEnd"/>
      <w:r w:rsidRPr="00967F80">
        <w:rPr>
          <w:szCs w:val="22"/>
        </w:rPr>
        <w:t xml:space="preserve"> &lt; 30 ml/min, pozri časť 4.3).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  <w:lang w:eastAsia="en-US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  <w:lang w:eastAsia="en-US"/>
        </w:rPr>
      </w:pPr>
      <w:r w:rsidRPr="00967F80">
        <w:rPr>
          <w:rFonts w:ascii="Times New Roman" w:hAnsi="Times New Roman"/>
          <w:szCs w:val="22"/>
          <w:lang w:eastAsia="en-US"/>
        </w:rPr>
        <w:t>Pediatrická populácia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sa neodporúča používať u detí a dospievajúcich vo veku do 18 rokov na liečbu veľkej depresívnej poruchy z dôvodu bezpečnos</w:t>
      </w:r>
      <w:r w:rsidR="009312A3" w:rsidRPr="00967F80">
        <w:rPr>
          <w:szCs w:val="22"/>
        </w:rPr>
        <w:t>ti</w:t>
      </w:r>
      <w:r w:rsidRPr="00967F80">
        <w:rPr>
          <w:szCs w:val="22"/>
        </w:rPr>
        <w:t xml:space="preserve"> a účinnos</w:t>
      </w:r>
      <w:r w:rsidR="009312A3" w:rsidRPr="00967F80">
        <w:rPr>
          <w:szCs w:val="22"/>
        </w:rPr>
        <w:t>ti</w:t>
      </w:r>
      <w:r w:rsidRPr="00967F80">
        <w:rPr>
          <w:szCs w:val="22"/>
        </w:rPr>
        <w:t xml:space="preserve"> (pozri časti 4.4, 4.8 a 5.1).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Bezpečnosť a účinnosť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na liečbu generalizovanej úzkostnej poruchy u pediatrických pacientov vo veku 7</w:t>
      </w:r>
      <w:r w:rsidR="009312A3" w:rsidRPr="00967F80">
        <w:rPr>
          <w:szCs w:val="22"/>
        </w:rPr>
        <w:t> – </w:t>
      </w:r>
      <w:r w:rsidRPr="00967F80">
        <w:rPr>
          <w:szCs w:val="22"/>
        </w:rPr>
        <w:t xml:space="preserve">17 rokov neboli </w:t>
      </w:r>
      <w:r w:rsidR="009312A3" w:rsidRPr="00967F80">
        <w:rPr>
          <w:szCs w:val="22"/>
        </w:rPr>
        <w:t>skúmané</w:t>
      </w:r>
      <w:r w:rsidRPr="00967F80">
        <w:rPr>
          <w:szCs w:val="22"/>
        </w:rPr>
        <w:t>. Aktuálne dostupné údaje sú uvedené v častiach 4.8, 5.1 a 5.2.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Bezpečnosť a účinnosť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na liečbu diabetickej periférnej </w:t>
      </w:r>
      <w:proofErr w:type="spellStart"/>
      <w:r w:rsidRPr="00967F80">
        <w:rPr>
          <w:szCs w:val="22"/>
        </w:rPr>
        <w:t>neuropatickej</w:t>
      </w:r>
      <w:proofErr w:type="spellEnd"/>
      <w:r w:rsidRPr="00967F80">
        <w:rPr>
          <w:szCs w:val="22"/>
        </w:rPr>
        <w:t xml:space="preserve"> bolesti sa neskúmali. Nie sú k dispozícii žiadne údaje.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Ukon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enie lie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by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Je potrebné vyhnúť sa náhlemu vysadeniu</w:t>
      </w:r>
      <w:r w:rsidR="001B2640" w:rsidRPr="00967F80">
        <w:rPr>
          <w:szCs w:val="22"/>
        </w:rPr>
        <w:t xml:space="preserve"> lieku</w:t>
      </w:r>
      <w:r w:rsidRPr="00967F80">
        <w:rPr>
          <w:szCs w:val="22"/>
        </w:rPr>
        <w:t xml:space="preserve">. Pri ukončovaní liečby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OM</w:t>
      </w:r>
      <w:proofErr w:type="spellEnd"/>
      <w:r w:rsidRPr="00967F80">
        <w:rPr>
          <w:szCs w:val="22"/>
        </w:rPr>
        <w:t xml:space="preserve"> sa má dávka znižovať postupne aspoň počas jedného až dvoch týždňov, aby sa znížilo riziko </w:t>
      </w:r>
      <w:r w:rsidR="00596C7A" w:rsidRPr="00967F80">
        <w:rPr>
          <w:szCs w:val="22"/>
        </w:rPr>
        <w:t>reakcií na</w:t>
      </w:r>
      <w:r w:rsidRPr="00967F80">
        <w:rPr>
          <w:szCs w:val="22"/>
        </w:rPr>
        <w:t> </w:t>
      </w:r>
      <w:r w:rsidR="00596C7A" w:rsidRPr="00967F80">
        <w:rPr>
          <w:szCs w:val="22"/>
        </w:rPr>
        <w:t xml:space="preserve">vysadenie lieku </w:t>
      </w:r>
      <w:r w:rsidRPr="00967F80">
        <w:rPr>
          <w:szCs w:val="22"/>
        </w:rPr>
        <w:t xml:space="preserve">(pozri časti </w:t>
      </w:r>
      <w:r w:rsidRPr="00967F80">
        <w:rPr>
          <w:szCs w:val="22"/>
        </w:rPr>
        <w:lastRenderedPageBreak/>
        <w:t xml:space="preserve">4.4 a 4.8). Ak sa po znížení dávky alebo po vysadení liečby objavia neprijateľné príznaky, je potrebné zvážiť podávanie predtým predpísanej dávky. Neskôr môže lekár pokračovať v znižovaní dávky, ale </w:t>
      </w:r>
      <w:r w:rsidR="00596C7A" w:rsidRPr="00967F80">
        <w:rPr>
          <w:szCs w:val="22"/>
        </w:rPr>
        <w:t>pomalším tempom</w:t>
      </w:r>
      <w:r w:rsidRPr="00967F80">
        <w:rPr>
          <w:szCs w:val="22"/>
        </w:rPr>
        <w:t>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Spôsob podávania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Na perorálne použitie.</w:t>
      </w:r>
    </w:p>
    <w:p w:rsidR="00052ED6" w:rsidRPr="00967F80" w:rsidRDefault="00052ED6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Kontraindikácie</w:t>
      </w:r>
    </w:p>
    <w:p w:rsidR="00225702" w:rsidRPr="00967F80" w:rsidRDefault="00225702" w:rsidP="00E50B63">
      <w:pPr>
        <w:pStyle w:val="Normlndoblokusodrkami"/>
        <w:numPr>
          <w:ilvl w:val="0"/>
          <w:numId w:val="0"/>
        </w:numPr>
        <w:spacing w:after="0"/>
        <w:ind w:left="720"/>
        <w:rPr>
          <w:szCs w:val="22"/>
        </w:rPr>
      </w:pP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>Precitlivenosť na liečivo alebo na ktorúkoľvek z pomocných látok uvedených v časti</w:t>
      </w:r>
      <w:r w:rsidR="00B33DBA" w:rsidRPr="00967F80">
        <w:rPr>
          <w:szCs w:val="22"/>
        </w:rPr>
        <w:t xml:space="preserve"> 6.1</w:t>
      </w: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>Súbežné užívanie ONELAR</w:t>
      </w:r>
      <w:r w:rsidR="00A10A9C" w:rsidRPr="00967F80">
        <w:rPr>
          <w:szCs w:val="22"/>
        </w:rPr>
        <w:t>U</w:t>
      </w:r>
      <w:r w:rsidRPr="00967F80">
        <w:rPr>
          <w:szCs w:val="22"/>
        </w:rPr>
        <w:t xml:space="preserve"> s neselektívnymi ireverzibilnými inhibítormi monoaminooxidázy (IMAO) je ko</w:t>
      </w:r>
      <w:r w:rsidR="00B33DBA" w:rsidRPr="00967F80">
        <w:rPr>
          <w:szCs w:val="22"/>
        </w:rPr>
        <w:t>ntraindikované (pozri časť 4.5).</w:t>
      </w: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 xml:space="preserve">Ochorenie pečene s následkom poruchy </w:t>
      </w:r>
      <w:r w:rsidR="00B33DBA" w:rsidRPr="00967F80">
        <w:rPr>
          <w:szCs w:val="22"/>
        </w:rPr>
        <w:t>funkcie pečene (pozri časť 5.2)</w:t>
      </w: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>ONELAR sa nemá používať v kombinácii s fluvoxamínom, ciprofloxacínom alebo enoxacínom (t.j. silnými inhibítormi CYP1A2), pretože táto kombinácia vedie k zvýšenej plazmatickej koncentrácii duloxetínu (pozri časť 4.5).</w:t>
      </w:r>
    </w:p>
    <w:p w:rsidR="001A2F10" w:rsidRPr="00967F80" w:rsidRDefault="001A2F10">
      <w:pPr>
        <w:pStyle w:val="Normlndoblokusodrkami"/>
        <w:spacing w:after="0"/>
        <w:rPr>
          <w:szCs w:val="22"/>
        </w:rPr>
      </w:pPr>
      <w:r w:rsidRPr="00967F80">
        <w:rPr>
          <w:szCs w:val="22"/>
        </w:rPr>
        <w:t>Závažná porucha funkcie obličiek (klírens kreatinínu &lt; 30ml/min) (pozri časť 4.4)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Začatie liečby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OM</w:t>
      </w:r>
      <w:proofErr w:type="spellEnd"/>
      <w:r w:rsidRPr="00967F80">
        <w:rPr>
          <w:szCs w:val="22"/>
        </w:rPr>
        <w:t xml:space="preserve"> je kontraindikované u pacientov s nekontrolovanou hypertenziou, pretože by mohlo vystaviť pacientov potenciálnemu riziku vzniku </w:t>
      </w:r>
      <w:proofErr w:type="spellStart"/>
      <w:r w:rsidRPr="00967F80">
        <w:rPr>
          <w:szCs w:val="22"/>
        </w:rPr>
        <w:t>hypertenznej</w:t>
      </w:r>
      <w:proofErr w:type="spellEnd"/>
      <w:r w:rsidRPr="00967F80">
        <w:rPr>
          <w:szCs w:val="22"/>
        </w:rPr>
        <w:t xml:space="preserve"> krízy (pozri časti 4.4 a 4.8).</w:t>
      </w:r>
    </w:p>
    <w:p w:rsidR="00052ED6" w:rsidRPr="00967F80" w:rsidRDefault="00052ED6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Osobitné upozornenia a opatrenia pri používaní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Mánia a záchvaty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sa má používať s opatrnosťou u pacientov, ktorí majú v anamnéze mániu alebo diagnózu bipolárnej poruchy a/alebo záchvaty.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proofErr w:type="spellStart"/>
      <w:r w:rsidRPr="00967F80">
        <w:rPr>
          <w:szCs w:val="22"/>
        </w:rPr>
        <w:t>Mydriáza</w:t>
      </w:r>
      <w:proofErr w:type="spellEnd"/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Mydriáza</w:t>
      </w:r>
      <w:proofErr w:type="spellEnd"/>
      <w:r w:rsidRPr="00967F80">
        <w:rPr>
          <w:szCs w:val="22"/>
        </w:rPr>
        <w:t xml:space="preserve"> sa udáva v spojitosti s 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, preto je potrebné postupovať opatrne pri predpisovaní lieku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pacientom so zvýšeným </w:t>
      </w:r>
      <w:proofErr w:type="spellStart"/>
      <w:r w:rsidRPr="00967F80">
        <w:rPr>
          <w:szCs w:val="22"/>
        </w:rPr>
        <w:t>vnútroočným</w:t>
      </w:r>
      <w:proofErr w:type="spellEnd"/>
      <w:r w:rsidRPr="00967F80">
        <w:rPr>
          <w:szCs w:val="22"/>
        </w:rPr>
        <w:t xml:space="preserve"> tlakom alebo pacientom, u ktorých je riziko vzniku akútneho </w:t>
      </w:r>
      <w:proofErr w:type="spellStart"/>
      <w:r w:rsidRPr="00967F80">
        <w:rPr>
          <w:szCs w:val="22"/>
        </w:rPr>
        <w:t>glaukómu</w:t>
      </w:r>
      <w:proofErr w:type="spellEnd"/>
      <w:r w:rsidRPr="00967F80">
        <w:rPr>
          <w:szCs w:val="22"/>
        </w:rPr>
        <w:t xml:space="preserve"> s úzkym uhlom.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Tlak krvi a srdcová frekvencia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U niektorých pacientov bolo užívanie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spojené so zvýšeným krvným tlakom a klinicky významnou hypertenziou. Môže to súvisieť s </w:t>
      </w:r>
      <w:proofErr w:type="spellStart"/>
      <w:r w:rsidR="003E2CDB" w:rsidRPr="00967F80">
        <w:rPr>
          <w:szCs w:val="22"/>
        </w:rPr>
        <w:t>noradrenergným</w:t>
      </w:r>
      <w:proofErr w:type="spellEnd"/>
      <w:r w:rsidR="003E2CDB" w:rsidRPr="00967F80">
        <w:rPr>
          <w:szCs w:val="22"/>
        </w:rPr>
        <w:t xml:space="preserve"> </w:t>
      </w:r>
      <w:r w:rsidRPr="00967F80">
        <w:rPr>
          <w:szCs w:val="22"/>
        </w:rPr>
        <w:t xml:space="preserve">pôsobením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>. V súvislosti s 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boli zaznamenané prípady </w:t>
      </w:r>
      <w:proofErr w:type="spellStart"/>
      <w:r w:rsidRPr="00967F80">
        <w:rPr>
          <w:szCs w:val="22"/>
        </w:rPr>
        <w:t>hypertenznej</w:t>
      </w:r>
      <w:proofErr w:type="spellEnd"/>
      <w:r w:rsidRPr="00967F80">
        <w:rPr>
          <w:szCs w:val="22"/>
        </w:rPr>
        <w:t xml:space="preserve"> krízy, hlavne u pacientov s  existujúcou hypertenziou. Preto sa u pacientov so známou hypertenziou a/alebo iným ochorením srdca odporúča monitorovanie krvného tlaku, najmä počas prvého mesiaca liečby. Pacientom, ktorých zdravotný stav by sa mohol zhoršiť zvýšením srdcovej frekvencie alebo zvýšením krvného tlaku, sa má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podávať s opatrnosťou. Opatrnosť je tiež potrebná, keď sa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podáva s liekmi, ktoré môžu narušiť jeho metabolizmus (pozri časť 4.5). U pacientov, u ktorých sa vyskytlo trvalé zvýšenie krvného tlaku počas užívania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, je potrebné zvážiť buď zníženie dávky alebo postupné vysadenie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(pozri časť 4.8). U pacientov s nekontrolovanou hypertenziou sa nemá začať liečba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(pozri časť 4.3).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Porucha funkcie obličiek</w:t>
      </w:r>
    </w:p>
    <w:p w:rsidR="00FB18D9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U pacientov so závažnou poruchou funkcie obličiek na hemodialýze (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kreatinínu</w:t>
      </w:r>
      <w:proofErr w:type="spellEnd"/>
      <w:r w:rsidRPr="00967F80">
        <w:rPr>
          <w:szCs w:val="22"/>
        </w:rPr>
        <w:t xml:space="preserve"> &lt;</w:t>
      </w:r>
      <w:proofErr w:type="spellStart"/>
      <w:r w:rsidRPr="00967F80">
        <w:rPr>
          <w:szCs w:val="22"/>
        </w:rPr>
        <w:t>30ml</w:t>
      </w:r>
      <w:proofErr w:type="spellEnd"/>
      <w:r w:rsidRPr="00967F80">
        <w:rPr>
          <w:szCs w:val="22"/>
        </w:rPr>
        <w:t xml:space="preserve">/min) dochádza k zvýšenej plazmatickej koncentrácii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>. Informácie o pacientoch so závažnou poruchou funkcie obličiek pozri v časti 4.3. Informácie o pacientoch s miernou alebo stredne závažnou poruchou funkcie obličiek pozri v časti 4.2.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proofErr w:type="spellStart"/>
      <w:r w:rsidRPr="00967F80">
        <w:rPr>
          <w:szCs w:val="22"/>
        </w:rPr>
        <w:t>Sérotonínový</w:t>
      </w:r>
      <w:proofErr w:type="spellEnd"/>
      <w:r w:rsidRPr="00967F80">
        <w:rPr>
          <w:szCs w:val="22"/>
        </w:rPr>
        <w:t xml:space="preserve"> syndróm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lastRenderedPageBreak/>
        <w:t xml:space="preserve">Tak ako pri ostatných </w:t>
      </w:r>
      <w:proofErr w:type="spellStart"/>
      <w:r w:rsidR="00AC554F" w:rsidRPr="00967F80">
        <w:rPr>
          <w:szCs w:val="22"/>
        </w:rPr>
        <w:t>sérotonergných</w:t>
      </w:r>
      <w:proofErr w:type="spellEnd"/>
      <w:r w:rsidR="00AC554F" w:rsidRPr="00967F80">
        <w:rPr>
          <w:szCs w:val="22"/>
        </w:rPr>
        <w:t xml:space="preserve"> </w:t>
      </w:r>
      <w:r w:rsidRPr="00967F80">
        <w:rPr>
          <w:szCs w:val="22"/>
        </w:rPr>
        <w:t xml:space="preserve">látkach sa môže pri liečbe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vyskytnúť </w:t>
      </w:r>
      <w:proofErr w:type="spellStart"/>
      <w:r w:rsidRPr="00967F80">
        <w:rPr>
          <w:szCs w:val="22"/>
        </w:rPr>
        <w:t>sérotonínový</w:t>
      </w:r>
      <w:proofErr w:type="spellEnd"/>
      <w:r w:rsidRPr="00967F80">
        <w:rPr>
          <w:szCs w:val="22"/>
        </w:rPr>
        <w:t xml:space="preserve"> syndróm, potenciálne život ohrozujúci stav, najmä pri súbežnom podávaní iných </w:t>
      </w:r>
      <w:proofErr w:type="spellStart"/>
      <w:r w:rsidRPr="00967F80">
        <w:rPr>
          <w:szCs w:val="22"/>
        </w:rPr>
        <w:t>sérotonínových</w:t>
      </w:r>
      <w:proofErr w:type="spellEnd"/>
      <w:r w:rsidRPr="00967F80">
        <w:rPr>
          <w:szCs w:val="22"/>
        </w:rPr>
        <w:t xml:space="preserve"> látok (vrátane SSRI, </w:t>
      </w:r>
      <w:proofErr w:type="spellStart"/>
      <w:r w:rsidRPr="00967F80">
        <w:rPr>
          <w:szCs w:val="22"/>
        </w:rPr>
        <w:t>SNRI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tricyklických</w:t>
      </w:r>
      <w:proofErr w:type="spellEnd"/>
      <w:r w:rsidRPr="00967F80">
        <w:rPr>
          <w:szCs w:val="22"/>
        </w:rPr>
        <w:t xml:space="preserve"> antidepresív alebo </w:t>
      </w:r>
      <w:proofErr w:type="spellStart"/>
      <w:r w:rsidRPr="00967F80">
        <w:rPr>
          <w:szCs w:val="22"/>
        </w:rPr>
        <w:t>triptánov</w:t>
      </w:r>
      <w:proofErr w:type="spellEnd"/>
      <w:r w:rsidRPr="00967F80">
        <w:rPr>
          <w:szCs w:val="22"/>
        </w:rPr>
        <w:t xml:space="preserve">), </w:t>
      </w:r>
      <w:r w:rsidR="003E2CDB" w:rsidRPr="00967F80">
        <w:rPr>
          <w:szCs w:val="22"/>
        </w:rPr>
        <w:t>liekov</w:t>
      </w:r>
      <w:r w:rsidRPr="00967F80">
        <w:rPr>
          <w:szCs w:val="22"/>
        </w:rPr>
        <w:t xml:space="preserve">, ktoré upravujú metabolizmus </w:t>
      </w:r>
      <w:proofErr w:type="spellStart"/>
      <w:r w:rsidRPr="00967F80">
        <w:rPr>
          <w:szCs w:val="22"/>
        </w:rPr>
        <w:t>sérotonínu</w:t>
      </w:r>
      <w:proofErr w:type="spellEnd"/>
      <w:r w:rsidRPr="00967F80">
        <w:rPr>
          <w:szCs w:val="22"/>
        </w:rPr>
        <w:t xml:space="preserve"> ako napr.</w:t>
      </w:r>
      <w:r w:rsidR="00F95F62"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IMAO</w:t>
      </w:r>
      <w:proofErr w:type="spellEnd"/>
      <w:r w:rsidRPr="00967F80">
        <w:rPr>
          <w:szCs w:val="22"/>
        </w:rPr>
        <w:t xml:space="preserve"> alebo </w:t>
      </w:r>
      <w:proofErr w:type="spellStart"/>
      <w:r w:rsidRPr="00967F80">
        <w:rPr>
          <w:szCs w:val="22"/>
        </w:rPr>
        <w:t>antipsychotiká</w:t>
      </w:r>
      <w:proofErr w:type="spellEnd"/>
      <w:r w:rsidRPr="00967F80">
        <w:rPr>
          <w:szCs w:val="22"/>
        </w:rPr>
        <w:t xml:space="preserve"> či ďalšie </w:t>
      </w:r>
      <w:proofErr w:type="spellStart"/>
      <w:r w:rsidRPr="00967F80">
        <w:rPr>
          <w:szCs w:val="22"/>
        </w:rPr>
        <w:t>dopamínové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antagonisty</w:t>
      </w:r>
      <w:proofErr w:type="spellEnd"/>
      <w:r w:rsidRPr="00967F80">
        <w:rPr>
          <w:szCs w:val="22"/>
        </w:rPr>
        <w:t xml:space="preserve">, ktoré môžu mať vplyv na </w:t>
      </w:r>
      <w:proofErr w:type="spellStart"/>
      <w:r w:rsidR="00AC554F" w:rsidRPr="00967F80">
        <w:rPr>
          <w:szCs w:val="22"/>
        </w:rPr>
        <w:t>sérotonergný</w:t>
      </w:r>
      <w:proofErr w:type="spellEnd"/>
      <w:r w:rsidR="00AC554F"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neurotransmiterový</w:t>
      </w:r>
      <w:proofErr w:type="spellEnd"/>
      <w:r w:rsidRPr="00967F80">
        <w:rPr>
          <w:szCs w:val="22"/>
        </w:rPr>
        <w:t xml:space="preserve"> systém (pozri časti 4.3 a 4.5).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Symptómy </w:t>
      </w:r>
      <w:proofErr w:type="spellStart"/>
      <w:r w:rsidRPr="00967F80">
        <w:rPr>
          <w:szCs w:val="22"/>
        </w:rPr>
        <w:t>sérotonínového</w:t>
      </w:r>
      <w:proofErr w:type="spellEnd"/>
      <w:r w:rsidRPr="00967F80">
        <w:rPr>
          <w:szCs w:val="22"/>
        </w:rPr>
        <w:t xml:space="preserve"> syndrómu môžu zahŕňať zmeny psychického stavu (napr. agitáciu, halucinácie, kómu), autonómnu nestabilitu (napr. </w:t>
      </w:r>
      <w:proofErr w:type="spellStart"/>
      <w:r w:rsidRPr="00967F80">
        <w:rPr>
          <w:szCs w:val="22"/>
        </w:rPr>
        <w:t>tachykardiu</w:t>
      </w:r>
      <w:proofErr w:type="spellEnd"/>
      <w:r w:rsidRPr="00967F80">
        <w:rPr>
          <w:szCs w:val="22"/>
        </w:rPr>
        <w:t xml:space="preserve">, labilný krvný tlak, </w:t>
      </w:r>
      <w:proofErr w:type="spellStart"/>
      <w:r w:rsidRPr="00967F80">
        <w:rPr>
          <w:szCs w:val="22"/>
        </w:rPr>
        <w:t>hypertermiu</w:t>
      </w:r>
      <w:proofErr w:type="spellEnd"/>
      <w:r w:rsidRPr="00967F80">
        <w:rPr>
          <w:szCs w:val="22"/>
        </w:rPr>
        <w:t xml:space="preserve">), </w:t>
      </w:r>
      <w:proofErr w:type="spellStart"/>
      <w:r w:rsidRPr="00967F80">
        <w:rPr>
          <w:szCs w:val="22"/>
        </w:rPr>
        <w:t>neuromuskulárne</w:t>
      </w:r>
      <w:proofErr w:type="spellEnd"/>
      <w:r w:rsidRPr="00967F80">
        <w:rPr>
          <w:szCs w:val="22"/>
        </w:rPr>
        <w:t xml:space="preserve"> aberácie (napr. </w:t>
      </w:r>
      <w:proofErr w:type="spellStart"/>
      <w:r w:rsidRPr="00967F80">
        <w:rPr>
          <w:szCs w:val="22"/>
        </w:rPr>
        <w:t>hyperreflexiu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nekoordináciu</w:t>
      </w:r>
      <w:proofErr w:type="spellEnd"/>
      <w:r w:rsidRPr="00967F80">
        <w:rPr>
          <w:szCs w:val="22"/>
        </w:rPr>
        <w:t>) a/alebo gastrointestinálne symptómy (napr. nauzeu, vracanie, hnačku).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Ak je súbežné podávanie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a iných </w:t>
      </w:r>
      <w:proofErr w:type="spellStart"/>
      <w:r w:rsidR="00AC554F" w:rsidRPr="00967F80">
        <w:rPr>
          <w:szCs w:val="22"/>
        </w:rPr>
        <w:t>sérotonergných</w:t>
      </w:r>
      <w:proofErr w:type="spellEnd"/>
      <w:r w:rsidR="00AC554F" w:rsidRPr="00967F80">
        <w:rPr>
          <w:szCs w:val="22"/>
        </w:rPr>
        <w:t xml:space="preserve"> </w:t>
      </w:r>
      <w:r w:rsidRPr="00967F80">
        <w:rPr>
          <w:szCs w:val="22"/>
        </w:rPr>
        <w:t xml:space="preserve">látok, ktoré môžu ovplyvniť </w:t>
      </w:r>
      <w:proofErr w:type="spellStart"/>
      <w:r w:rsidR="00AC554F" w:rsidRPr="00967F80">
        <w:rPr>
          <w:szCs w:val="22"/>
        </w:rPr>
        <w:t>sérotonergné</w:t>
      </w:r>
      <w:proofErr w:type="spellEnd"/>
      <w:r w:rsidR="00AC554F" w:rsidRPr="00967F80">
        <w:rPr>
          <w:szCs w:val="22"/>
        </w:rPr>
        <w:t xml:space="preserve"> </w:t>
      </w:r>
      <w:r w:rsidRPr="00967F80">
        <w:rPr>
          <w:szCs w:val="22"/>
        </w:rPr>
        <w:t xml:space="preserve">a/alebo </w:t>
      </w:r>
      <w:proofErr w:type="spellStart"/>
      <w:r w:rsidR="00AC554F" w:rsidRPr="00967F80">
        <w:rPr>
          <w:szCs w:val="22"/>
        </w:rPr>
        <w:t>dopaminergné</w:t>
      </w:r>
      <w:proofErr w:type="spellEnd"/>
      <w:r w:rsidR="00AC554F"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neurotransmiterové</w:t>
      </w:r>
      <w:proofErr w:type="spellEnd"/>
      <w:r w:rsidRPr="00967F80">
        <w:rPr>
          <w:szCs w:val="22"/>
        </w:rPr>
        <w:t xml:space="preserve"> systémy klinicky opodstatnené, odporúča sa dôkladné sledovanie pacienta, najmä na začiatku liečby a pri zvyšovaní dávok.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Ľubovník bodkovaný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Nežiaduce reakcie sa môžu častejšie vyskytovať v priebehu súbežného užívania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U</w:t>
      </w:r>
      <w:proofErr w:type="spellEnd"/>
      <w:r w:rsidRPr="00967F80">
        <w:rPr>
          <w:szCs w:val="22"/>
        </w:rPr>
        <w:t xml:space="preserve"> a rastlinných prípravkov obsahujúcich ľubovník bodkovaný (</w:t>
      </w:r>
      <w:r w:rsidRPr="00967F80">
        <w:rPr>
          <w:rStyle w:val="Bacil"/>
          <w:szCs w:val="22"/>
        </w:rPr>
        <w:t>Hypericum perforatum</w:t>
      </w:r>
      <w:r w:rsidRPr="00967F80">
        <w:rPr>
          <w:szCs w:val="22"/>
        </w:rPr>
        <w:t>).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Samovražda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Veľká depresívna porucha a generalizovaná úzkostná porucha:</w:t>
      </w:r>
      <w:r w:rsidRPr="00967F80">
        <w:rPr>
          <w:iCs/>
          <w:szCs w:val="22"/>
        </w:rPr>
        <w:t xml:space="preserve"> </w:t>
      </w:r>
      <w:r w:rsidRPr="00967F80">
        <w:rPr>
          <w:szCs w:val="22"/>
        </w:rPr>
        <w:t xml:space="preserve">Depresia je asociovaná s vyšším rizikom </w:t>
      </w:r>
      <w:proofErr w:type="spellStart"/>
      <w:r w:rsidRPr="00967F80">
        <w:rPr>
          <w:szCs w:val="22"/>
        </w:rPr>
        <w:t>suicidálnych</w:t>
      </w:r>
      <w:proofErr w:type="spellEnd"/>
      <w:r w:rsidRPr="00967F80">
        <w:rPr>
          <w:szCs w:val="22"/>
        </w:rPr>
        <w:t xml:space="preserve"> myšlienok, </w:t>
      </w:r>
      <w:proofErr w:type="spellStart"/>
      <w:r w:rsidRPr="00967F80">
        <w:rPr>
          <w:szCs w:val="22"/>
        </w:rPr>
        <w:t>sebapoškodzovania</w:t>
      </w:r>
      <w:proofErr w:type="spellEnd"/>
      <w:r w:rsidRPr="00967F80">
        <w:rPr>
          <w:szCs w:val="22"/>
        </w:rPr>
        <w:t xml:space="preserve"> a samovraždy (udalosti spojené so samovraždou). Toto riziko pretrváva, až kým sa nedostaví signifikantná </w:t>
      </w:r>
      <w:proofErr w:type="spellStart"/>
      <w:r w:rsidRPr="00967F80">
        <w:rPr>
          <w:szCs w:val="22"/>
        </w:rPr>
        <w:t>remisia</w:t>
      </w:r>
      <w:proofErr w:type="spellEnd"/>
      <w:r w:rsidRPr="00967F80">
        <w:rPr>
          <w:szCs w:val="22"/>
        </w:rPr>
        <w:t>. Keďže zlepšenie nemusí nastať v priebehu prvých niekoľkých alebo viacerých týždňov liečby, pacient má byť starostlivo sledovaný, až kým sa toto zlepšenie nedostaví. Je všeobecná klinická skúsenosť, že v skorých fázach zotavovania môže riziko samovraždy vzrásť.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Ostatné psychické poruchy, na liečbu ktorých sa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predpisuje, môžu byť tiež spojené so zvýšeným rizikom udalostí spojených so samovraždou. Navyše tieto poruchy môžu byť </w:t>
      </w:r>
      <w:proofErr w:type="spellStart"/>
      <w:r w:rsidRPr="00967F80">
        <w:rPr>
          <w:szCs w:val="22"/>
        </w:rPr>
        <w:t>komorbídne</w:t>
      </w:r>
      <w:proofErr w:type="spellEnd"/>
      <w:r w:rsidRPr="00967F80">
        <w:rPr>
          <w:szCs w:val="22"/>
        </w:rPr>
        <w:t xml:space="preserve"> s veľkou depresívnou poruchou. Pri liečbe pacientov s ostatnými psychickými poruchami sa majú preto dodržiavať rovnaké opatrenia ako pri liečbe pacientov s veľkou depresívnou poruchou.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Pacienti s anamnézou udalostí spojených so samovraždou alebo t</w:t>
      </w:r>
      <w:r w:rsidR="00FB07F4" w:rsidRPr="00967F80">
        <w:rPr>
          <w:szCs w:val="22"/>
        </w:rPr>
        <w:t>í</w:t>
      </w:r>
      <w:r w:rsidRPr="00967F80">
        <w:rPr>
          <w:szCs w:val="22"/>
        </w:rPr>
        <w:t xml:space="preserve">, ktorí vykazovali významnú mieru </w:t>
      </w:r>
      <w:proofErr w:type="spellStart"/>
      <w:r w:rsidRPr="00967F80">
        <w:rPr>
          <w:szCs w:val="22"/>
        </w:rPr>
        <w:t>suicidálnych</w:t>
      </w:r>
      <w:proofErr w:type="spellEnd"/>
      <w:r w:rsidRPr="00967F80">
        <w:rPr>
          <w:szCs w:val="22"/>
        </w:rPr>
        <w:t xml:space="preserve"> myšlienok pred začatím liečby majú vyššie riziko výskytu </w:t>
      </w:r>
      <w:proofErr w:type="spellStart"/>
      <w:r w:rsidRPr="00967F80">
        <w:rPr>
          <w:szCs w:val="22"/>
        </w:rPr>
        <w:t>suicidálnych</w:t>
      </w:r>
      <w:proofErr w:type="spellEnd"/>
      <w:r w:rsidRPr="00967F80">
        <w:rPr>
          <w:szCs w:val="22"/>
        </w:rPr>
        <w:t xml:space="preserve"> myšlienok alebo </w:t>
      </w:r>
      <w:proofErr w:type="spellStart"/>
      <w:r w:rsidRPr="00967F80">
        <w:rPr>
          <w:szCs w:val="22"/>
        </w:rPr>
        <w:t>suicidálneho</w:t>
      </w:r>
      <w:proofErr w:type="spellEnd"/>
      <w:r w:rsidRPr="00967F80">
        <w:rPr>
          <w:szCs w:val="22"/>
        </w:rPr>
        <w:t xml:space="preserve"> správania a majú byť počas liečby starostlivo sledovaní. </w:t>
      </w:r>
      <w:proofErr w:type="spellStart"/>
      <w:r w:rsidRPr="00967F80">
        <w:rPr>
          <w:szCs w:val="22"/>
        </w:rPr>
        <w:t>Metaanalýza</w:t>
      </w:r>
      <w:proofErr w:type="spellEnd"/>
      <w:r w:rsidRPr="00967F80">
        <w:rPr>
          <w:szCs w:val="22"/>
        </w:rPr>
        <w:t xml:space="preserve"> placebom kontrolovaných klinických štúdií s </w:t>
      </w:r>
      <w:proofErr w:type="spellStart"/>
      <w:r w:rsidRPr="00967F80">
        <w:rPr>
          <w:szCs w:val="22"/>
        </w:rPr>
        <w:t>antidepresívami</w:t>
      </w:r>
      <w:proofErr w:type="spellEnd"/>
      <w:r w:rsidRPr="00967F80">
        <w:rPr>
          <w:szCs w:val="22"/>
        </w:rPr>
        <w:t xml:space="preserve"> u psychiatrických ochorení ukázala zvýšené riziko </w:t>
      </w:r>
      <w:proofErr w:type="spellStart"/>
      <w:r w:rsidRPr="00967F80">
        <w:rPr>
          <w:szCs w:val="22"/>
        </w:rPr>
        <w:t>suicidálneho</w:t>
      </w:r>
      <w:proofErr w:type="spellEnd"/>
      <w:r w:rsidRPr="00967F80">
        <w:rPr>
          <w:szCs w:val="22"/>
        </w:rPr>
        <w:t xml:space="preserve"> správania u antidepresív v porovnaní s placebom u pacientov mladších ako 25 rokov.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 priebehu liečby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alebo krátko po </w:t>
      </w:r>
      <w:r w:rsidR="00FB07F4" w:rsidRPr="00967F80">
        <w:rPr>
          <w:szCs w:val="22"/>
        </w:rPr>
        <w:t xml:space="preserve">jej </w:t>
      </w:r>
      <w:r w:rsidRPr="00967F80">
        <w:rPr>
          <w:szCs w:val="22"/>
        </w:rPr>
        <w:t xml:space="preserve">ukončení boli zaznamenané prípady výskytu </w:t>
      </w:r>
      <w:proofErr w:type="spellStart"/>
      <w:r w:rsidRPr="00967F80">
        <w:rPr>
          <w:szCs w:val="22"/>
        </w:rPr>
        <w:t>suicidálnych</w:t>
      </w:r>
      <w:proofErr w:type="spellEnd"/>
      <w:r w:rsidRPr="00967F80">
        <w:rPr>
          <w:szCs w:val="22"/>
        </w:rPr>
        <w:t xml:space="preserve"> myšlienok a </w:t>
      </w:r>
      <w:proofErr w:type="spellStart"/>
      <w:r w:rsidRPr="00967F80">
        <w:rPr>
          <w:szCs w:val="22"/>
        </w:rPr>
        <w:t>suicidálneho</w:t>
      </w:r>
      <w:proofErr w:type="spellEnd"/>
      <w:r w:rsidRPr="00967F80">
        <w:rPr>
          <w:szCs w:val="22"/>
        </w:rPr>
        <w:t xml:space="preserve"> správania (pozri časť 4.8).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U</w:t>
      </w:r>
      <w:r w:rsidR="00FB07F4" w:rsidRPr="00967F80">
        <w:rPr>
          <w:szCs w:val="22"/>
        </w:rPr>
        <w:t> </w:t>
      </w:r>
      <w:r w:rsidRPr="00967F80">
        <w:rPr>
          <w:szCs w:val="22"/>
        </w:rPr>
        <w:t>pacientov</w:t>
      </w:r>
      <w:r w:rsidR="00FB07F4" w:rsidRPr="00967F80">
        <w:rPr>
          <w:szCs w:val="22"/>
        </w:rPr>
        <w:t>,</w:t>
      </w:r>
      <w:r w:rsidRPr="00967F80">
        <w:rPr>
          <w:szCs w:val="22"/>
        </w:rPr>
        <w:t xml:space="preserve"> a najmä u tých s vysokým rizikom, </w:t>
      </w:r>
      <w:r w:rsidR="003E2CDB" w:rsidRPr="00967F80">
        <w:rPr>
          <w:szCs w:val="22"/>
        </w:rPr>
        <w:t>má</w:t>
      </w:r>
      <w:r w:rsidRPr="00967F80">
        <w:rPr>
          <w:szCs w:val="22"/>
        </w:rPr>
        <w:t xml:space="preserve"> liečbu sprevádzať starostlivý dohľad, hlavne počas </w:t>
      </w:r>
      <w:r w:rsidR="00225702" w:rsidRPr="00967F80">
        <w:rPr>
          <w:szCs w:val="22"/>
        </w:rPr>
        <w:t>za</w:t>
      </w:r>
      <w:r w:rsidRPr="00967F80">
        <w:rPr>
          <w:szCs w:val="22"/>
        </w:rPr>
        <w:t xml:space="preserve">čiatočnej liečby a po zmenách dávky. Pacienti (a opatrovníci pacientov) majú byť upozornení na potrebu sledovať akékoľvek klinické zhoršenie, </w:t>
      </w:r>
      <w:proofErr w:type="spellStart"/>
      <w:r w:rsidRPr="00967F80">
        <w:rPr>
          <w:szCs w:val="22"/>
        </w:rPr>
        <w:t>suicidálne</w:t>
      </w:r>
      <w:proofErr w:type="spellEnd"/>
      <w:r w:rsidRPr="00967F80">
        <w:rPr>
          <w:szCs w:val="22"/>
        </w:rPr>
        <w:t xml:space="preserve"> správanie alebo myšlienky a nezvyčajné zmeny správania a na potrebu okamžitého vyhľadania lekárskej pomoci, ak sú tieto príznaky prítomné.</w:t>
      </w:r>
    </w:p>
    <w:p w:rsidR="00225702" w:rsidRPr="00967F80" w:rsidRDefault="00225702">
      <w:pPr>
        <w:pStyle w:val="Normlndobloku"/>
        <w:spacing w:after="0"/>
        <w:rPr>
          <w:rStyle w:val="Bacil"/>
          <w:i w:val="0"/>
          <w:szCs w:val="22"/>
          <w:u w:val="single"/>
        </w:rPr>
      </w:pPr>
    </w:p>
    <w:p w:rsidR="00225702" w:rsidRPr="00967F80" w:rsidRDefault="001A2F10">
      <w:pPr>
        <w:pStyle w:val="Normlndobloku"/>
        <w:keepNext/>
        <w:spacing w:after="0"/>
        <w:rPr>
          <w:iCs/>
          <w:szCs w:val="22"/>
        </w:rPr>
      </w:pPr>
      <w:r w:rsidRPr="00967F80">
        <w:rPr>
          <w:rStyle w:val="Bacil"/>
          <w:i w:val="0"/>
          <w:szCs w:val="22"/>
          <w:u w:val="single"/>
        </w:rPr>
        <w:t xml:space="preserve">Diabetická periférna </w:t>
      </w:r>
      <w:proofErr w:type="spellStart"/>
      <w:r w:rsidRPr="00967F80">
        <w:rPr>
          <w:rStyle w:val="Bacil"/>
          <w:i w:val="0"/>
          <w:szCs w:val="22"/>
          <w:u w:val="single"/>
        </w:rPr>
        <w:t>neuropatická</w:t>
      </w:r>
      <w:proofErr w:type="spellEnd"/>
      <w:r w:rsidRPr="00967F80">
        <w:rPr>
          <w:rStyle w:val="Bacil"/>
          <w:i w:val="0"/>
          <w:szCs w:val="22"/>
          <w:u w:val="single"/>
        </w:rPr>
        <w:t xml:space="preserve"> bolesť</w:t>
      </w:r>
    </w:p>
    <w:p w:rsidR="001A2F10" w:rsidRPr="00967F80" w:rsidRDefault="001A2F10">
      <w:pPr>
        <w:pStyle w:val="Normlndobloku"/>
        <w:keepNext/>
        <w:spacing w:after="0"/>
        <w:rPr>
          <w:szCs w:val="22"/>
        </w:rPr>
      </w:pPr>
      <w:r w:rsidRPr="00967F80">
        <w:rPr>
          <w:szCs w:val="22"/>
        </w:rPr>
        <w:t>Rovnako ako pri iných liekov s podobným farmakologickým účinkom (</w:t>
      </w:r>
      <w:proofErr w:type="spellStart"/>
      <w:r w:rsidRPr="00967F80">
        <w:rPr>
          <w:szCs w:val="22"/>
        </w:rPr>
        <w:t>antidepresíva</w:t>
      </w:r>
      <w:proofErr w:type="spellEnd"/>
      <w:r w:rsidRPr="00967F80">
        <w:rPr>
          <w:szCs w:val="22"/>
        </w:rPr>
        <w:t xml:space="preserve">) boli v priebehu liečby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alebo krátko po </w:t>
      </w:r>
      <w:r w:rsidR="00FB07F4" w:rsidRPr="00967F80">
        <w:rPr>
          <w:szCs w:val="22"/>
        </w:rPr>
        <w:t>jeho vysadení</w:t>
      </w:r>
      <w:r w:rsidRPr="00967F80">
        <w:rPr>
          <w:szCs w:val="22"/>
        </w:rPr>
        <w:t xml:space="preserve"> zaznamenané ojedinelé prípady výskytu </w:t>
      </w:r>
      <w:proofErr w:type="spellStart"/>
      <w:r w:rsidRPr="00967F80">
        <w:rPr>
          <w:szCs w:val="22"/>
        </w:rPr>
        <w:t>suicidálnych</w:t>
      </w:r>
      <w:proofErr w:type="spellEnd"/>
      <w:r w:rsidRPr="00967F80">
        <w:rPr>
          <w:szCs w:val="22"/>
        </w:rPr>
        <w:t xml:space="preserve"> predstáv a </w:t>
      </w:r>
      <w:proofErr w:type="spellStart"/>
      <w:r w:rsidRPr="00967F80">
        <w:rPr>
          <w:szCs w:val="22"/>
        </w:rPr>
        <w:t>suicidálneho</w:t>
      </w:r>
      <w:proofErr w:type="spellEnd"/>
      <w:r w:rsidRPr="00967F80">
        <w:rPr>
          <w:szCs w:val="22"/>
        </w:rPr>
        <w:t xml:space="preserve"> správania. Čo sa týka rizikových faktorov pre </w:t>
      </w:r>
      <w:proofErr w:type="spellStart"/>
      <w:r w:rsidRPr="00967F80">
        <w:rPr>
          <w:szCs w:val="22"/>
        </w:rPr>
        <w:t>suicidalitu</w:t>
      </w:r>
      <w:proofErr w:type="spellEnd"/>
      <w:r w:rsidRPr="00967F80">
        <w:rPr>
          <w:szCs w:val="22"/>
        </w:rPr>
        <w:t xml:space="preserve"> pri depresii, pozri vyššie. Lekári </w:t>
      </w:r>
      <w:r w:rsidRPr="00967F80">
        <w:rPr>
          <w:szCs w:val="22"/>
        </w:rPr>
        <w:lastRenderedPageBreak/>
        <w:t xml:space="preserve">majú povzbudiť svojich pacientov, aby kedykoľvek hlásili akékoľvek </w:t>
      </w:r>
      <w:r w:rsidR="00FB07F4" w:rsidRPr="00967F80">
        <w:rPr>
          <w:szCs w:val="22"/>
        </w:rPr>
        <w:t>znepokojujúce</w:t>
      </w:r>
      <w:r w:rsidRPr="00967F80">
        <w:rPr>
          <w:szCs w:val="22"/>
        </w:rPr>
        <w:t xml:space="preserve"> myšlienky alebo pocity, ktoré sa u nich vyskytnú.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A10A9C" w:rsidP="00E50B63">
      <w:pPr>
        <w:pStyle w:val="Styl4"/>
        <w:keepNext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Pediatrická populácia</w:t>
      </w:r>
    </w:p>
    <w:p w:rsidR="001A2F10" w:rsidRPr="00967F80" w:rsidRDefault="001A2F10" w:rsidP="00E50B63">
      <w:pPr>
        <w:pStyle w:val="Normlndobloku"/>
        <w:keepNext/>
        <w:spacing w:after="0"/>
        <w:rPr>
          <w:szCs w:val="22"/>
        </w:rPr>
      </w:pP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sa nemá používať na liečbu detí a dospievajúcich mladších ako 18 rokov. V klinických štúdiách bolo u detí a dospievajúcich liečených </w:t>
      </w:r>
      <w:proofErr w:type="spellStart"/>
      <w:r w:rsidRPr="00967F80">
        <w:rPr>
          <w:szCs w:val="22"/>
        </w:rPr>
        <w:t>antidepresívami</w:t>
      </w:r>
      <w:proofErr w:type="spellEnd"/>
      <w:r w:rsidRPr="00967F80">
        <w:rPr>
          <w:szCs w:val="22"/>
        </w:rPr>
        <w:t xml:space="preserve"> častejšie pozorované </w:t>
      </w:r>
      <w:proofErr w:type="spellStart"/>
      <w:r w:rsidRPr="00967F80">
        <w:rPr>
          <w:szCs w:val="22"/>
        </w:rPr>
        <w:t>suicidálne</w:t>
      </w:r>
      <w:proofErr w:type="spellEnd"/>
      <w:r w:rsidRPr="00967F80">
        <w:rPr>
          <w:szCs w:val="22"/>
        </w:rPr>
        <w:t xml:space="preserve"> správanie (</w:t>
      </w:r>
      <w:proofErr w:type="spellStart"/>
      <w:r w:rsidRPr="00967F80">
        <w:rPr>
          <w:szCs w:val="22"/>
        </w:rPr>
        <w:t>suicidálne</w:t>
      </w:r>
      <w:proofErr w:type="spellEnd"/>
      <w:r w:rsidRPr="00967F80">
        <w:rPr>
          <w:szCs w:val="22"/>
        </w:rPr>
        <w:t xml:space="preserve"> pokusy a </w:t>
      </w:r>
      <w:proofErr w:type="spellStart"/>
      <w:r w:rsidRPr="00967F80">
        <w:rPr>
          <w:szCs w:val="22"/>
        </w:rPr>
        <w:t>suicidálne</w:t>
      </w:r>
      <w:proofErr w:type="spellEnd"/>
      <w:r w:rsidRPr="00967F80">
        <w:rPr>
          <w:szCs w:val="22"/>
        </w:rPr>
        <w:t xml:space="preserve"> myšlienky) a </w:t>
      </w:r>
      <w:proofErr w:type="spellStart"/>
      <w:r w:rsidRPr="00967F80">
        <w:rPr>
          <w:szCs w:val="22"/>
        </w:rPr>
        <w:t>hostilita</w:t>
      </w:r>
      <w:proofErr w:type="spellEnd"/>
      <w:r w:rsidRPr="00967F80">
        <w:rPr>
          <w:szCs w:val="22"/>
        </w:rPr>
        <w:t xml:space="preserve"> (prevažne agresia, protichodné správanie a zlosť) v porovnaní s tými, ktorým bolo podávané placebo. Ak sa rozhodnutie o liečbe založené na klinickej potrebe predsa len urobí, musí byť pacient starostlivo sledovaný kvôli výskytu samovražedných symptómov (pozri časť 5.1). Navyše chýbajú údaje o bezpečnosti dlhodobého podávania u detí a dospievajúcich týkajúce sa rastu, dospievania a kognitívneho a </w:t>
      </w:r>
      <w:proofErr w:type="spellStart"/>
      <w:r w:rsidRPr="00967F80">
        <w:rPr>
          <w:szCs w:val="22"/>
        </w:rPr>
        <w:t>behaviorálneho</w:t>
      </w:r>
      <w:proofErr w:type="spellEnd"/>
      <w:r w:rsidRPr="00967F80">
        <w:rPr>
          <w:szCs w:val="22"/>
        </w:rPr>
        <w:t xml:space="preserve"> vývoja (pozri časť 4.8).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Krvácanie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V súvislosti s</w:t>
      </w:r>
      <w:r w:rsidR="003E2CDB" w:rsidRPr="00967F80">
        <w:rPr>
          <w:szCs w:val="22"/>
        </w:rPr>
        <w:t>o</w:t>
      </w:r>
      <w:r w:rsidRPr="00967F80">
        <w:rPr>
          <w:szCs w:val="22"/>
        </w:rPr>
        <w:t> </w:t>
      </w:r>
      <w:r w:rsidR="003E2CDB" w:rsidRPr="00967F80">
        <w:rPr>
          <w:szCs w:val="22"/>
        </w:rPr>
        <w:t xml:space="preserve">selektívnymi </w:t>
      </w:r>
      <w:r w:rsidRPr="00967F80">
        <w:rPr>
          <w:szCs w:val="22"/>
        </w:rPr>
        <w:t xml:space="preserve">inhibítormi spätného vychytávania </w:t>
      </w:r>
      <w:proofErr w:type="spellStart"/>
      <w:r w:rsidRPr="00967F80">
        <w:rPr>
          <w:szCs w:val="22"/>
        </w:rPr>
        <w:t>sérotonínu</w:t>
      </w:r>
      <w:proofErr w:type="spellEnd"/>
      <w:r w:rsidRPr="00967F80">
        <w:rPr>
          <w:szCs w:val="22"/>
        </w:rPr>
        <w:t xml:space="preserve"> (SSRI) a  inhibítormi spätného vychytávania </w:t>
      </w:r>
      <w:proofErr w:type="spellStart"/>
      <w:r w:rsidRPr="00967F80">
        <w:rPr>
          <w:szCs w:val="22"/>
        </w:rPr>
        <w:t>sérotonínu</w:t>
      </w:r>
      <w:proofErr w:type="spellEnd"/>
      <w:r w:rsidRPr="00967F80">
        <w:rPr>
          <w:szCs w:val="22"/>
        </w:rPr>
        <w:t>/</w:t>
      </w:r>
      <w:proofErr w:type="spellStart"/>
      <w:r w:rsidRPr="00967F80">
        <w:rPr>
          <w:szCs w:val="22"/>
        </w:rPr>
        <w:t>noradrenalínu</w:t>
      </w:r>
      <w:proofErr w:type="spellEnd"/>
      <w:r w:rsidRPr="00967F80">
        <w:rPr>
          <w:szCs w:val="22"/>
        </w:rPr>
        <w:t xml:space="preserve"> (</w:t>
      </w:r>
      <w:proofErr w:type="spellStart"/>
      <w:r w:rsidRPr="00967F80">
        <w:rPr>
          <w:szCs w:val="22"/>
        </w:rPr>
        <w:t>SNRI</w:t>
      </w:r>
      <w:proofErr w:type="spellEnd"/>
      <w:r w:rsidRPr="00967F80">
        <w:rPr>
          <w:szCs w:val="22"/>
        </w:rPr>
        <w:t xml:space="preserve">), vrátane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, boli zaznamenané prípady abnormalít spojených s krvácaním, ako sú </w:t>
      </w:r>
      <w:proofErr w:type="spellStart"/>
      <w:r w:rsidRPr="00967F80">
        <w:rPr>
          <w:szCs w:val="22"/>
        </w:rPr>
        <w:t>ekchymóza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purpura</w:t>
      </w:r>
      <w:proofErr w:type="spellEnd"/>
      <w:r w:rsidRPr="00967F80">
        <w:rPr>
          <w:szCs w:val="22"/>
        </w:rPr>
        <w:t xml:space="preserve"> a gastrointestinálne krvácanie.</w:t>
      </w:r>
      <w:r w:rsidR="00FB07F4" w:rsidRPr="00967F80">
        <w:rPr>
          <w:szCs w:val="22"/>
        </w:rPr>
        <w:t xml:space="preserve"> </w:t>
      </w:r>
      <w:r w:rsidRPr="00967F80">
        <w:rPr>
          <w:szCs w:val="22"/>
        </w:rPr>
        <w:t xml:space="preserve">U pacientov užívajúcich </w:t>
      </w:r>
      <w:proofErr w:type="spellStart"/>
      <w:r w:rsidRPr="00967F80">
        <w:rPr>
          <w:szCs w:val="22"/>
        </w:rPr>
        <w:t>antikoagulanciá</w:t>
      </w:r>
      <w:proofErr w:type="spellEnd"/>
      <w:r w:rsidRPr="00967F80">
        <w:rPr>
          <w:szCs w:val="22"/>
        </w:rPr>
        <w:t xml:space="preserve"> a/alebo lieky, o ktorých je známe, že ovplyvňujú funkciu krvných doštičiek (napr. </w:t>
      </w:r>
      <w:proofErr w:type="spellStart"/>
      <w:r w:rsidRPr="00967F80">
        <w:rPr>
          <w:szCs w:val="22"/>
        </w:rPr>
        <w:t>nesteroidné</w:t>
      </w:r>
      <w:proofErr w:type="spellEnd"/>
      <w:r w:rsidRPr="00967F80">
        <w:rPr>
          <w:szCs w:val="22"/>
        </w:rPr>
        <w:t xml:space="preserve"> protizápalové lieky (</w:t>
      </w:r>
      <w:proofErr w:type="spellStart"/>
      <w:r w:rsidRPr="00967F80">
        <w:rPr>
          <w:szCs w:val="22"/>
        </w:rPr>
        <w:t>NSAID</w:t>
      </w:r>
      <w:proofErr w:type="spellEnd"/>
      <w:r w:rsidRPr="00967F80">
        <w:rPr>
          <w:szCs w:val="22"/>
        </w:rPr>
        <w:t>) alebo kyselina acetylsalicylová (</w:t>
      </w:r>
      <w:proofErr w:type="spellStart"/>
      <w:r w:rsidRPr="00967F80">
        <w:rPr>
          <w:szCs w:val="22"/>
        </w:rPr>
        <w:t>ASA</w:t>
      </w:r>
      <w:proofErr w:type="spellEnd"/>
      <w:r w:rsidRPr="00967F80">
        <w:rPr>
          <w:szCs w:val="22"/>
        </w:rPr>
        <w:t>)) a u pacientov náchylných na krvácanie sa odporúča opatrnosť.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proofErr w:type="spellStart"/>
      <w:r w:rsidRPr="00967F80">
        <w:rPr>
          <w:szCs w:val="22"/>
        </w:rPr>
        <w:t>Hyponatrémia</w:t>
      </w:r>
      <w:proofErr w:type="spellEnd"/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Pri podávaní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bola hlásená </w:t>
      </w:r>
      <w:proofErr w:type="spellStart"/>
      <w:r w:rsidRPr="00967F80">
        <w:rPr>
          <w:szCs w:val="22"/>
        </w:rPr>
        <w:t>hyponatrémia</w:t>
      </w:r>
      <w:proofErr w:type="spellEnd"/>
      <w:r w:rsidRPr="00967F80">
        <w:rPr>
          <w:szCs w:val="22"/>
        </w:rPr>
        <w:t xml:space="preserve">, vrátane prípadov, kedy sérová koncentrácia sodíka bola nižšia ako 110 mmol/l. </w:t>
      </w:r>
      <w:proofErr w:type="spellStart"/>
      <w:r w:rsidRPr="00967F80">
        <w:rPr>
          <w:szCs w:val="22"/>
        </w:rPr>
        <w:t>Hyponatrémia</w:t>
      </w:r>
      <w:proofErr w:type="spellEnd"/>
      <w:r w:rsidRPr="00967F80">
        <w:rPr>
          <w:szCs w:val="22"/>
        </w:rPr>
        <w:t xml:space="preserve"> môže byť spôsobená syndrómom neadekvátnej sekrécie </w:t>
      </w:r>
      <w:proofErr w:type="spellStart"/>
      <w:r w:rsidRPr="00967F80">
        <w:rPr>
          <w:szCs w:val="22"/>
        </w:rPr>
        <w:t>antidiuretického</w:t>
      </w:r>
      <w:proofErr w:type="spellEnd"/>
      <w:r w:rsidRPr="00967F80">
        <w:rPr>
          <w:szCs w:val="22"/>
        </w:rPr>
        <w:t xml:space="preserve"> hormónu (</w:t>
      </w:r>
      <w:proofErr w:type="spellStart"/>
      <w:r w:rsidRPr="00967F80">
        <w:rPr>
          <w:szCs w:val="22"/>
        </w:rPr>
        <w:t>SIADH</w:t>
      </w:r>
      <w:proofErr w:type="spellEnd"/>
      <w:r w:rsidRPr="00967F80">
        <w:rPr>
          <w:szCs w:val="22"/>
        </w:rPr>
        <w:t xml:space="preserve">). Najviac prípadov </w:t>
      </w:r>
      <w:proofErr w:type="spellStart"/>
      <w:r w:rsidRPr="00967F80">
        <w:rPr>
          <w:szCs w:val="22"/>
        </w:rPr>
        <w:t>hyponatrémie</w:t>
      </w:r>
      <w:proofErr w:type="spellEnd"/>
      <w:r w:rsidRPr="00967F80">
        <w:rPr>
          <w:szCs w:val="22"/>
        </w:rPr>
        <w:t xml:space="preserve"> bolo hlásených u starších pacientov, boli spojené </w:t>
      </w:r>
      <w:r w:rsidR="003E2CDB" w:rsidRPr="00967F80">
        <w:rPr>
          <w:szCs w:val="22"/>
        </w:rPr>
        <w:t xml:space="preserve">najmä </w:t>
      </w:r>
      <w:r w:rsidRPr="00967F80">
        <w:rPr>
          <w:szCs w:val="22"/>
        </w:rPr>
        <w:t>s nedávnou anamnézou</w:t>
      </w:r>
      <w:r w:rsidR="00A10A9C" w:rsidRPr="00967F80">
        <w:rPr>
          <w:szCs w:val="22"/>
        </w:rPr>
        <w:t xml:space="preserve"> </w:t>
      </w:r>
      <w:proofErr w:type="spellStart"/>
      <w:r w:rsidR="00A10A9C" w:rsidRPr="00967F80">
        <w:rPr>
          <w:szCs w:val="22"/>
        </w:rPr>
        <w:t>hyponatrémie</w:t>
      </w:r>
      <w:proofErr w:type="spellEnd"/>
      <w:r w:rsidRPr="00967F80">
        <w:rPr>
          <w:szCs w:val="22"/>
        </w:rPr>
        <w:t xml:space="preserve"> alebo so stavmi s predispozíciou k poruche rovnováhy tekutín. Opatrnosť je potrebná u pacientov so zvýšeným rizikom vzniku </w:t>
      </w:r>
      <w:proofErr w:type="spellStart"/>
      <w:r w:rsidRPr="00967F80">
        <w:rPr>
          <w:szCs w:val="22"/>
        </w:rPr>
        <w:t>hyponatrémie</w:t>
      </w:r>
      <w:proofErr w:type="spellEnd"/>
      <w:r w:rsidRPr="00967F80">
        <w:rPr>
          <w:szCs w:val="22"/>
        </w:rPr>
        <w:t xml:space="preserve"> ako sú starší pacienti, pacienti s cirhózou alebo dehydrovaní pacienti alebo pacienti liečení diuretikami.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Ukončenie liečby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Pri prerušení liečby je výskyt symptómov z vysadenia častý, hlavne ak je vysadenie náhle (pozri časť 4.8). V klinických štúdiách sa nežiaduce udalosti pri náhlom vysadení liečby vyskytovali približne u 45 % pacientov liečených s 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OM</w:t>
      </w:r>
      <w:proofErr w:type="spellEnd"/>
      <w:r w:rsidRPr="00967F80">
        <w:rPr>
          <w:szCs w:val="22"/>
        </w:rPr>
        <w:t xml:space="preserve"> a u 23 % pacientov užívajúcich placebo. Riziko príznakov z vysadenia pozorovaných u SSRI a </w:t>
      </w:r>
      <w:proofErr w:type="spellStart"/>
      <w:r w:rsidRPr="00967F80">
        <w:rPr>
          <w:szCs w:val="22"/>
        </w:rPr>
        <w:t>SRNI</w:t>
      </w:r>
      <w:proofErr w:type="spellEnd"/>
      <w:r w:rsidRPr="00967F80">
        <w:rPr>
          <w:szCs w:val="22"/>
        </w:rPr>
        <w:t xml:space="preserve"> môže závisieť od niekoľkých faktorov, vrátane dĺžky liečby, dávky a rýchlosti znižovania dávky. Najčastejšie hlásené reakcie sú uvedené v časti 4.8. Zvyčajne sú symptómy mierne až stredne závažné, avšak u niektorých pacientov môžu mať závažnejší charakter. Obyčajne sa objavia v priebehu prvých </w:t>
      </w:r>
      <w:r w:rsidR="00A10A9C" w:rsidRPr="00967F80">
        <w:rPr>
          <w:szCs w:val="22"/>
        </w:rPr>
        <w:t>niekoľko</w:t>
      </w:r>
      <w:r w:rsidR="001E0938" w:rsidRPr="00967F80">
        <w:rPr>
          <w:szCs w:val="22"/>
        </w:rPr>
        <w:t xml:space="preserve"> </w:t>
      </w:r>
      <w:r w:rsidRPr="00967F80">
        <w:rPr>
          <w:szCs w:val="22"/>
        </w:rPr>
        <w:t xml:space="preserve">dní vysadzovania liečby, ale zriedkavo boli hlásené takéto príznaky u pacientov, ktorí nedopatrením vynechali dávku. Zvyčajne tieto príznaky samy vymiznú, obyčajne v priebehu 2 týždňov, hoci u niektorých osôb to môže trvať dlhšie (2 – 3 mesiace alebo viac). Preto sa pri vysadzovaní liečby odporúča postupné znižovanie dávky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počas minimálne 2</w:t>
      </w:r>
      <w:r w:rsidR="003A3F1D" w:rsidRPr="00967F80">
        <w:rPr>
          <w:szCs w:val="22"/>
        </w:rPr>
        <w:t> </w:t>
      </w:r>
      <w:r w:rsidRPr="00967F80">
        <w:rPr>
          <w:szCs w:val="22"/>
        </w:rPr>
        <w:t>týždňov, podľa potreby pacienta (pozri časť 4.2).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Starší pacienti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Údaje o použití </w:t>
      </w:r>
      <w:proofErr w:type="spellStart"/>
      <w:r w:rsidR="00F1784B" w:rsidRPr="00967F80">
        <w:rPr>
          <w:szCs w:val="22"/>
        </w:rPr>
        <w:t>duloxetínu</w:t>
      </w:r>
      <w:proofErr w:type="spellEnd"/>
      <w:r w:rsidR="00F1784B" w:rsidRPr="00967F80">
        <w:rPr>
          <w:szCs w:val="22"/>
        </w:rPr>
        <w:t xml:space="preserve"> </w:t>
      </w:r>
      <w:r w:rsidR="003A3F1D" w:rsidRPr="00967F80">
        <w:rPr>
          <w:szCs w:val="22"/>
        </w:rPr>
        <w:t xml:space="preserve">v dávke </w:t>
      </w:r>
      <w:r w:rsidRPr="00967F80">
        <w:rPr>
          <w:szCs w:val="22"/>
        </w:rPr>
        <w:t>120 mg u starších pacientov s veľkou depresívnou poruchou a generalizovanou úzkostnou poruchou sú obmedzené. Preto je pri liečbe starších pacientov s maximálnou dávkou potrebná zvýšená opatrnosť (pozri časti 4.2 a 5.2).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proofErr w:type="spellStart"/>
      <w:r w:rsidRPr="00967F80">
        <w:rPr>
          <w:szCs w:val="22"/>
        </w:rPr>
        <w:t>Akatízia</w:t>
      </w:r>
      <w:proofErr w:type="spellEnd"/>
      <w:r w:rsidRPr="00967F80">
        <w:rPr>
          <w:szCs w:val="22"/>
        </w:rPr>
        <w:t>/psychomotorický nepokoj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Užívanie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je spájané so vznikom </w:t>
      </w:r>
      <w:proofErr w:type="spellStart"/>
      <w:r w:rsidRPr="00967F80">
        <w:rPr>
          <w:szCs w:val="22"/>
        </w:rPr>
        <w:t>akatízie</w:t>
      </w:r>
      <w:proofErr w:type="spellEnd"/>
      <w:r w:rsidRPr="00967F80">
        <w:rPr>
          <w:szCs w:val="22"/>
        </w:rPr>
        <w:t>, ktorá sa prejavuje subjektívne nepríjemným alebo trýznivým nepokojom a potrebou pohybovať sa, často sprevádzané neschopnosťou pokojne sedieť alebo stáť. Najväčšia pravdepodobnosť jej výskytu je v priebehu prvých týždňov liečby. U pacientov, u ktorých sa vyskytnú tieto príznaky, môže byť zvýšenie dávky škodlivé.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225290" w:rsidRPr="00967F80" w:rsidRDefault="00225290">
      <w:pPr>
        <w:pStyle w:val="Styl3"/>
        <w:spacing w:after="0"/>
        <w:rPr>
          <w:szCs w:val="22"/>
        </w:rPr>
      </w:pPr>
      <w:r w:rsidRPr="00967F80">
        <w:rPr>
          <w:szCs w:val="22"/>
        </w:rPr>
        <w:t>Sexuálna dysfunkcia</w:t>
      </w:r>
    </w:p>
    <w:p w:rsidR="00225290" w:rsidRPr="00967F80" w:rsidRDefault="00225290">
      <w:pPr>
        <w:pStyle w:val="Styl3"/>
        <w:spacing w:after="0"/>
        <w:rPr>
          <w:szCs w:val="22"/>
          <w:u w:val="none"/>
        </w:rPr>
      </w:pPr>
      <w:r w:rsidRPr="00967F80">
        <w:rPr>
          <w:szCs w:val="22"/>
          <w:u w:val="none"/>
        </w:rPr>
        <w:t xml:space="preserve">Selektívne inhibítory spätného vychytávania </w:t>
      </w:r>
      <w:proofErr w:type="spellStart"/>
      <w:r w:rsidRPr="00967F80">
        <w:rPr>
          <w:szCs w:val="22"/>
          <w:u w:val="none"/>
        </w:rPr>
        <w:t>sérotonínu</w:t>
      </w:r>
      <w:proofErr w:type="spellEnd"/>
      <w:r w:rsidRPr="00967F80">
        <w:rPr>
          <w:szCs w:val="22"/>
          <w:u w:val="none"/>
        </w:rPr>
        <w:t xml:space="preserve"> (</w:t>
      </w:r>
      <w:proofErr w:type="spellStart"/>
      <w:r w:rsidRPr="00967F80">
        <w:rPr>
          <w:szCs w:val="22"/>
          <w:u w:val="none"/>
        </w:rPr>
        <w:t>selective</w:t>
      </w:r>
      <w:proofErr w:type="spellEnd"/>
      <w:r w:rsidRPr="00967F80">
        <w:rPr>
          <w:szCs w:val="22"/>
          <w:u w:val="none"/>
        </w:rPr>
        <w:t xml:space="preserve"> </w:t>
      </w:r>
      <w:proofErr w:type="spellStart"/>
      <w:r w:rsidRPr="00967F80">
        <w:rPr>
          <w:szCs w:val="22"/>
          <w:u w:val="none"/>
        </w:rPr>
        <w:t>serotonin</w:t>
      </w:r>
      <w:proofErr w:type="spellEnd"/>
      <w:r w:rsidRPr="00967F80">
        <w:rPr>
          <w:szCs w:val="22"/>
          <w:u w:val="none"/>
        </w:rPr>
        <w:t xml:space="preserve"> </w:t>
      </w:r>
      <w:proofErr w:type="spellStart"/>
      <w:r w:rsidRPr="00967F80">
        <w:rPr>
          <w:szCs w:val="22"/>
          <w:u w:val="none"/>
        </w:rPr>
        <w:t>reuptake</w:t>
      </w:r>
      <w:proofErr w:type="spellEnd"/>
      <w:r w:rsidRPr="00967F80">
        <w:rPr>
          <w:szCs w:val="22"/>
          <w:u w:val="none"/>
        </w:rPr>
        <w:t xml:space="preserve"> </w:t>
      </w:r>
      <w:proofErr w:type="spellStart"/>
      <w:r w:rsidRPr="00967F80">
        <w:rPr>
          <w:szCs w:val="22"/>
          <w:u w:val="none"/>
        </w:rPr>
        <w:t>inhibitors</w:t>
      </w:r>
      <w:proofErr w:type="spellEnd"/>
      <w:r w:rsidRPr="00967F80">
        <w:rPr>
          <w:szCs w:val="22"/>
          <w:u w:val="none"/>
        </w:rPr>
        <w:t xml:space="preserve">, SSRI)/inhibítory spätného vychytávania </w:t>
      </w:r>
      <w:proofErr w:type="spellStart"/>
      <w:r w:rsidRPr="00967F80">
        <w:rPr>
          <w:szCs w:val="22"/>
          <w:u w:val="none"/>
        </w:rPr>
        <w:t>sérotonínu</w:t>
      </w:r>
      <w:proofErr w:type="spellEnd"/>
      <w:r w:rsidRPr="00967F80">
        <w:rPr>
          <w:szCs w:val="22"/>
          <w:u w:val="none"/>
        </w:rPr>
        <w:t xml:space="preserve"> a </w:t>
      </w:r>
      <w:proofErr w:type="spellStart"/>
      <w:r w:rsidRPr="00967F80">
        <w:rPr>
          <w:szCs w:val="22"/>
          <w:u w:val="none"/>
        </w:rPr>
        <w:t>noradrenalínu</w:t>
      </w:r>
      <w:proofErr w:type="spellEnd"/>
      <w:r w:rsidRPr="00967F80">
        <w:rPr>
          <w:szCs w:val="22"/>
          <w:u w:val="none"/>
        </w:rPr>
        <w:t xml:space="preserve"> (</w:t>
      </w:r>
      <w:proofErr w:type="spellStart"/>
      <w:r w:rsidRPr="00967F80">
        <w:rPr>
          <w:szCs w:val="22"/>
          <w:u w:val="none"/>
        </w:rPr>
        <w:t>serotonin</w:t>
      </w:r>
      <w:proofErr w:type="spellEnd"/>
      <w:r w:rsidRPr="00967F80">
        <w:rPr>
          <w:szCs w:val="22"/>
          <w:u w:val="none"/>
        </w:rPr>
        <w:t xml:space="preserve"> </w:t>
      </w:r>
      <w:proofErr w:type="spellStart"/>
      <w:r w:rsidRPr="00967F80">
        <w:rPr>
          <w:szCs w:val="22"/>
          <w:u w:val="none"/>
        </w:rPr>
        <w:t>norepinephrine</w:t>
      </w:r>
      <w:proofErr w:type="spellEnd"/>
      <w:r w:rsidRPr="00967F80">
        <w:rPr>
          <w:szCs w:val="22"/>
          <w:u w:val="none"/>
        </w:rPr>
        <w:t xml:space="preserve"> </w:t>
      </w:r>
      <w:proofErr w:type="spellStart"/>
      <w:r w:rsidRPr="00967F80">
        <w:rPr>
          <w:szCs w:val="22"/>
          <w:u w:val="none"/>
        </w:rPr>
        <w:t>reuptake</w:t>
      </w:r>
      <w:proofErr w:type="spellEnd"/>
      <w:r w:rsidRPr="00967F80">
        <w:rPr>
          <w:szCs w:val="22"/>
          <w:u w:val="none"/>
        </w:rPr>
        <w:t xml:space="preserve"> </w:t>
      </w:r>
      <w:proofErr w:type="spellStart"/>
      <w:r w:rsidRPr="00967F80">
        <w:rPr>
          <w:szCs w:val="22"/>
          <w:u w:val="none"/>
        </w:rPr>
        <w:t>inhibitors</w:t>
      </w:r>
      <w:proofErr w:type="spellEnd"/>
      <w:r w:rsidRPr="00967F80">
        <w:rPr>
          <w:szCs w:val="22"/>
          <w:u w:val="none"/>
        </w:rPr>
        <w:t xml:space="preserve">, </w:t>
      </w:r>
      <w:proofErr w:type="spellStart"/>
      <w:r w:rsidRPr="00967F80">
        <w:rPr>
          <w:szCs w:val="22"/>
          <w:u w:val="none"/>
        </w:rPr>
        <w:t>SNRI</w:t>
      </w:r>
      <w:proofErr w:type="spellEnd"/>
      <w:r w:rsidRPr="00967F80">
        <w:rPr>
          <w:szCs w:val="22"/>
          <w:u w:val="none"/>
        </w:rPr>
        <w:t>) môžu vyvolať príznaky sexuálnej dysfunkcie (pozri časť 4.8). Boli prijaté hlásenia o dlhodobej sexuálnej dysfunkcii, pričom príznaky pokračovali aj napriek ukončeniu liečby SSRI/</w:t>
      </w:r>
      <w:proofErr w:type="spellStart"/>
      <w:r w:rsidRPr="00967F80">
        <w:rPr>
          <w:szCs w:val="22"/>
          <w:u w:val="none"/>
        </w:rPr>
        <w:t>SNRI</w:t>
      </w:r>
      <w:proofErr w:type="spellEnd"/>
      <w:r w:rsidRPr="00967F80">
        <w:rPr>
          <w:szCs w:val="22"/>
          <w:u w:val="none"/>
        </w:rPr>
        <w:t>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 xml:space="preserve">Lieky obsahujúce </w:t>
      </w:r>
      <w:proofErr w:type="spellStart"/>
      <w:r w:rsidRPr="00967F80">
        <w:rPr>
          <w:szCs w:val="22"/>
        </w:rPr>
        <w:t>duloxetín</w:t>
      </w:r>
      <w:proofErr w:type="spellEnd"/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rStyle w:val="NormlndoblokuChar"/>
          <w:szCs w:val="22"/>
        </w:rPr>
        <w:t>Duloxetín</w:t>
      </w:r>
      <w:proofErr w:type="spellEnd"/>
      <w:r w:rsidRPr="00967F80">
        <w:rPr>
          <w:rStyle w:val="NormlndoblokuChar"/>
          <w:szCs w:val="22"/>
        </w:rPr>
        <w:t xml:space="preserve"> sa používa pod rôznymi obchodnými názvami vo viacerých indikáciách (liečba diabetickej </w:t>
      </w:r>
      <w:proofErr w:type="spellStart"/>
      <w:r w:rsidRPr="00967F80">
        <w:rPr>
          <w:rStyle w:val="NormlndoblokuChar"/>
          <w:szCs w:val="22"/>
        </w:rPr>
        <w:t>neuropatickej</w:t>
      </w:r>
      <w:proofErr w:type="spellEnd"/>
      <w:r w:rsidRPr="00967F80">
        <w:rPr>
          <w:rStyle w:val="NormlndoblokuChar"/>
          <w:szCs w:val="22"/>
        </w:rPr>
        <w:t xml:space="preserve"> bolesti, veľkej depresívnej poruchy, generalizovanej úzkostnej poruchy a stresovej inkontinencie moču). Je nutné vyvarovať sa súbežnému používaniu viac ako jedného z týchto liekov</w:t>
      </w:r>
      <w:r w:rsidRPr="00967F80">
        <w:rPr>
          <w:szCs w:val="22"/>
        </w:rPr>
        <w:t>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 xml:space="preserve">Hepatitída/zvýšené hodnoty </w:t>
      </w:r>
      <w:proofErr w:type="spellStart"/>
      <w:r w:rsidRPr="00967F80">
        <w:rPr>
          <w:szCs w:val="22"/>
        </w:rPr>
        <w:t>hepatálnych</w:t>
      </w:r>
      <w:proofErr w:type="spellEnd"/>
      <w:r w:rsidRPr="00967F80">
        <w:rPr>
          <w:szCs w:val="22"/>
        </w:rPr>
        <w:t xml:space="preserve"> enzýmov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Pri podávaní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boli hlásené prípady poškodenia pečene, vrátane závažných nárastov hladín </w:t>
      </w:r>
      <w:proofErr w:type="spellStart"/>
      <w:r w:rsidRPr="00967F80">
        <w:rPr>
          <w:szCs w:val="22"/>
        </w:rPr>
        <w:t>hepatálnych</w:t>
      </w:r>
      <w:proofErr w:type="spellEnd"/>
      <w:r w:rsidRPr="00967F80">
        <w:rPr>
          <w:szCs w:val="22"/>
        </w:rPr>
        <w:t xml:space="preserve"> enzýmov (&gt;10 násobok hornej hranice normy), hepatitídy a žltačky (pozri časť 4.8). Väčšina z nich sa objavila počas prvých mesiacov liečby. Charakter poškodenia pečene bol prevažne </w:t>
      </w:r>
      <w:proofErr w:type="spellStart"/>
      <w:r w:rsidRPr="00967F80">
        <w:rPr>
          <w:szCs w:val="22"/>
        </w:rPr>
        <w:t>hepatocelulárny</w:t>
      </w:r>
      <w:proofErr w:type="spellEnd"/>
      <w:r w:rsidRPr="00967F80">
        <w:rPr>
          <w:szCs w:val="22"/>
        </w:rPr>
        <w:t xml:space="preserve">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sa má užívať s opatrnosťou u pacientov liečených inými liekmi, ktoré sú spájané s poškodením pečene.</w:t>
      </w:r>
    </w:p>
    <w:p w:rsidR="00225702" w:rsidRPr="00967F80" w:rsidRDefault="00225702">
      <w:pPr>
        <w:pStyle w:val="Styl3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Sacharóza</w:t>
      </w:r>
    </w:p>
    <w:p w:rsidR="00E05B3B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obsahuj</w:t>
      </w:r>
      <w:r w:rsidR="003A3F1D" w:rsidRPr="00967F80">
        <w:rPr>
          <w:szCs w:val="22"/>
        </w:rPr>
        <w:t>e</w:t>
      </w:r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sacharózu</w:t>
      </w:r>
      <w:r w:rsidR="00E05B3B" w:rsidRPr="00967F80">
        <w:rPr>
          <w:szCs w:val="22"/>
        </w:rPr>
        <w:t>Pacienti</w:t>
      </w:r>
      <w:proofErr w:type="spellEnd"/>
      <w:r w:rsidR="00E05B3B" w:rsidRPr="00967F80">
        <w:rPr>
          <w:szCs w:val="22"/>
        </w:rPr>
        <w:t xml:space="preserve"> so zriedkavými </w:t>
      </w:r>
      <w:r w:rsidR="0037087A" w:rsidRPr="00967F80">
        <w:rPr>
          <w:szCs w:val="22"/>
        </w:rPr>
        <w:t>dedičnými</w:t>
      </w:r>
      <w:r w:rsidR="00E05B3B" w:rsidRPr="00967F80">
        <w:rPr>
          <w:szCs w:val="22"/>
        </w:rPr>
        <w:t xml:space="preserve"> problémami intolerancie fruktózy, </w:t>
      </w:r>
      <w:proofErr w:type="spellStart"/>
      <w:r w:rsidR="00E05B3B" w:rsidRPr="00967F80">
        <w:rPr>
          <w:szCs w:val="22"/>
        </w:rPr>
        <w:t>glukózo</w:t>
      </w:r>
      <w:r w:rsidR="0037087A" w:rsidRPr="00967F80">
        <w:rPr>
          <w:szCs w:val="22"/>
        </w:rPr>
        <w:t>-</w:t>
      </w:r>
      <w:r w:rsidR="00E05B3B" w:rsidRPr="00967F80">
        <w:rPr>
          <w:szCs w:val="22"/>
        </w:rPr>
        <w:t>galaktózovej</w:t>
      </w:r>
      <w:proofErr w:type="spellEnd"/>
      <w:r w:rsidR="00E05B3B" w:rsidRPr="00967F80">
        <w:rPr>
          <w:szCs w:val="22"/>
        </w:rPr>
        <w:t xml:space="preserve"> </w:t>
      </w:r>
      <w:proofErr w:type="spellStart"/>
      <w:r w:rsidR="00E05B3B" w:rsidRPr="00967F80">
        <w:rPr>
          <w:szCs w:val="22"/>
        </w:rPr>
        <w:t>malabsorpcie</w:t>
      </w:r>
      <w:proofErr w:type="spellEnd"/>
      <w:r w:rsidR="00E05B3B" w:rsidRPr="00967F80">
        <w:rPr>
          <w:szCs w:val="22"/>
        </w:rPr>
        <w:t xml:space="preserve"> alebo deficitu </w:t>
      </w:r>
      <w:proofErr w:type="spellStart"/>
      <w:r w:rsidR="00E05B3B" w:rsidRPr="00967F80">
        <w:rPr>
          <w:szCs w:val="22"/>
        </w:rPr>
        <w:t>sacharázy</w:t>
      </w:r>
      <w:proofErr w:type="spellEnd"/>
      <w:r w:rsidR="00E05B3B" w:rsidRPr="00967F80">
        <w:rPr>
          <w:szCs w:val="22"/>
        </w:rPr>
        <w:t xml:space="preserve"> a </w:t>
      </w:r>
      <w:proofErr w:type="spellStart"/>
      <w:r w:rsidR="00E05B3B" w:rsidRPr="00967F80">
        <w:rPr>
          <w:szCs w:val="22"/>
        </w:rPr>
        <w:t>izomaltázy</w:t>
      </w:r>
      <w:proofErr w:type="spellEnd"/>
      <w:r w:rsidR="00E05B3B" w:rsidRPr="00967F80">
        <w:rPr>
          <w:szCs w:val="22"/>
        </w:rPr>
        <w:t xml:space="preserve"> nesmú užívať tento liek.</w:t>
      </w:r>
    </w:p>
    <w:p w:rsidR="00BF140B" w:rsidRPr="00967F80" w:rsidRDefault="00BF140B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Liekové a iné interakcie</w:t>
      </w:r>
    </w:p>
    <w:p w:rsidR="00225702" w:rsidRPr="00967F80" w:rsidRDefault="00225702">
      <w:pPr>
        <w:pStyle w:val="Normlndobloku"/>
        <w:spacing w:after="0"/>
        <w:rPr>
          <w:rStyle w:val="Bacil"/>
          <w:b/>
          <w:bCs/>
          <w:szCs w:val="22"/>
          <w:lang w:val="el-GR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Inhibítory </w:t>
      </w:r>
      <w:proofErr w:type="spellStart"/>
      <w:r w:rsidRPr="00967F80">
        <w:rPr>
          <w:rStyle w:val="Bacil"/>
          <w:szCs w:val="22"/>
        </w:rPr>
        <w:t>monoaminooxidázy</w:t>
      </w:r>
      <w:proofErr w:type="spellEnd"/>
      <w:r w:rsidRPr="00967F80">
        <w:rPr>
          <w:rStyle w:val="Bacil"/>
          <w:szCs w:val="22"/>
        </w:rPr>
        <w:t xml:space="preserve"> (</w:t>
      </w:r>
      <w:proofErr w:type="spellStart"/>
      <w:r w:rsidRPr="00967F80">
        <w:rPr>
          <w:rStyle w:val="Bacil"/>
          <w:szCs w:val="22"/>
        </w:rPr>
        <w:t>IMAO</w:t>
      </w:r>
      <w:proofErr w:type="spellEnd"/>
      <w:r w:rsidRPr="00967F80">
        <w:rPr>
          <w:rStyle w:val="Bacil"/>
          <w:szCs w:val="22"/>
        </w:rPr>
        <w:t>):</w:t>
      </w:r>
      <w:r w:rsidRPr="00967F80">
        <w:rPr>
          <w:szCs w:val="22"/>
        </w:rPr>
        <w:t xml:space="preserve"> Z dôvodu rizika vzniku </w:t>
      </w:r>
      <w:proofErr w:type="spellStart"/>
      <w:r w:rsidRPr="00967F80">
        <w:rPr>
          <w:szCs w:val="22"/>
        </w:rPr>
        <w:t>sérotonínového</w:t>
      </w:r>
      <w:proofErr w:type="spellEnd"/>
      <w:r w:rsidRPr="00967F80">
        <w:rPr>
          <w:szCs w:val="22"/>
        </w:rPr>
        <w:t xml:space="preserve"> syndrómu sa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nemá používať v kombinácii s neselektívnymi ireverzibilnými inhibítormi </w:t>
      </w:r>
      <w:proofErr w:type="spellStart"/>
      <w:r w:rsidRPr="00967F80">
        <w:rPr>
          <w:szCs w:val="22"/>
        </w:rPr>
        <w:t>monoaminooxidázy</w:t>
      </w:r>
      <w:proofErr w:type="spellEnd"/>
      <w:r w:rsidRPr="00967F80">
        <w:rPr>
          <w:szCs w:val="22"/>
        </w:rPr>
        <w:t xml:space="preserve"> (</w:t>
      </w:r>
      <w:proofErr w:type="spellStart"/>
      <w:r w:rsidRPr="00967F80">
        <w:rPr>
          <w:szCs w:val="22"/>
        </w:rPr>
        <w:t>IMAO</w:t>
      </w:r>
      <w:proofErr w:type="spellEnd"/>
      <w:r w:rsidRPr="00967F80">
        <w:rPr>
          <w:szCs w:val="22"/>
        </w:rPr>
        <w:t xml:space="preserve">) alebo minimálne 14 dní od ukončenia liečby </w:t>
      </w:r>
      <w:proofErr w:type="spellStart"/>
      <w:r w:rsidRPr="00967F80">
        <w:rPr>
          <w:szCs w:val="22"/>
        </w:rPr>
        <w:t>IMAO</w:t>
      </w:r>
      <w:proofErr w:type="spellEnd"/>
      <w:r w:rsidRPr="00967F80">
        <w:rPr>
          <w:szCs w:val="22"/>
        </w:rPr>
        <w:t xml:space="preserve">. Vychádzajúc z biologického polčasu </w:t>
      </w:r>
      <w:proofErr w:type="spellStart"/>
      <w:r w:rsidRPr="00967F80">
        <w:rPr>
          <w:szCs w:val="22"/>
        </w:rPr>
        <w:t>duloxetínu</w:t>
      </w:r>
      <w:proofErr w:type="spellEnd"/>
      <w:r w:rsidR="00907490" w:rsidRPr="00967F80">
        <w:rPr>
          <w:szCs w:val="22"/>
        </w:rPr>
        <w:t xml:space="preserve"> je</w:t>
      </w:r>
      <w:r w:rsidRPr="00967F80">
        <w:rPr>
          <w:szCs w:val="22"/>
        </w:rPr>
        <w:t xml:space="preserve"> liečbu </w:t>
      </w:r>
      <w:proofErr w:type="spellStart"/>
      <w:r w:rsidRPr="00967F80">
        <w:rPr>
          <w:szCs w:val="22"/>
        </w:rPr>
        <w:t>IMAO</w:t>
      </w:r>
      <w:proofErr w:type="spellEnd"/>
      <w:r w:rsidRPr="00967F80">
        <w:rPr>
          <w:szCs w:val="22"/>
        </w:rPr>
        <w:t xml:space="preserve"> možné začať najskôr 5 dní po vysadení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U</w:t>
      </w:r>
      <w:proofErr w:type="spellEnd"/>
      <w:r w:rsidRPr="00967F80">
        <w:rPr>
          <w:szCs w:val="22"/>
        </w:rPr>
        <w:t xml:space="preserve"> (pozri časť 4.3).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Súbežné užívanie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U</w:t>
      </w:r>
      <w:proofErr w:type="spellEnd"/>
      <w:r w:rsidRPr="00967F80">
        <w:rPr>
          <w:szCs w:val="22"/>
        </w:rPr>
        <w:t xml:space="preserve"> so selektívnymi reverzibilnými </w:t>
      </w:r>
      <w:proofErr w:type="spellStart"/>
      <w:r w:rsidRPr="00967F80">
        <w:rPr>
          <w:szCs w:val="22"/>
        </w:rPr>
        <w:t>IMAO</w:t>
      </w:r>
      <w:proofErr w:type="spellEnd"/>
      <w:r w:rsidRPr="00967F80">
        <w:rPr>
          <w:szCs w:val="22"/>
        </w:rPr>
        <w:t xml:space="preserve"> ako je </w:t>
      </w:r>
      <w:proofErr w:type="spellStart"/>
      <w:r w:rsidRPr="00967F80">
        <w:rPr>
          <w:szCs w:val="22"/>
        </w:rPr>
        <w:t>moklobemid</w:t>
      </w:r>
      <w:proofErr w:type="spellEnd"/>
      <w:r w:rsidRPr="00967F80">
        <w:rPr>
          <w:szCs w:val="22"/>
        </w:rPr>
        <w:t xml:space="preserve"> sa neodporúča (pozri časť 4.4). Antibiotikum </w:t>
      </w:r>
      <w:proofErr w:type="spellStart"/>
      <w:r w:rsidRPr="00967F80">
        <w:rPr>
          <w:szCs w:val="22"/>
        </w:rPr>
        <w:t>linezolid</w:t>
      </w:r>
      <w:proofErr w:type="spellEnd"/>
      <w:r w:rsidRPr="00967F80">
        <w:rPr>
          <w:szCs w:val="22"/>
        </w:rPr>
        <w:t xml:space="preserve"> je reverzibilný neselektívny </w:t>
      </w:r>
      <w:proofErr w:type="spellStart"/>
      <w:r w:rsidRPr="00967F80">
        <w:rPr>
          <w:szCs w:val="22"/>
        </w:rPr>
        <w:t>IMAO</w:t>
      </w:r>
      <w:proofErr w:type="spellEnd"/>
      <w:r w:rsidRPr="00967F80">
        <w:rPr>
          <w:szCs w:val="22"/>
        </w:rPr>
        <w:t xml:space="preserve"> a nemá sa podávať pacientom užívajúcim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(pozri časť 4.4).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Inhibítory </w:t>
      </w:r>
      <w:proofErr w:type="spellStart"/>
      <w:r w:rsidRPr="00967F80">
        <w:rPr>
          <w:rStyle w:val="Bacil"/>
          <w:szCs w:val="22"/>
        </w:rPr>
        <w:t>CYP1A2</w:t>
      </w:r>
      <w:proofErr w:type="spellEnd"/>
      <w:r w:rsidRPr="00967F80">
        <w:rPr>
          <w:rStyle w:val="Bacil"/>
          <w:szCs w:val="22"/>
        </w:rPr>
        <w:t>:</w:t>
      </w:r>
      <w:r w:rsidRPr="00967F80">
        <w:rPr>
          <w:szCs w:val="22"/>
        </w:rPr>
        <w:t xml:space="preserve"> Keďže </w:t>
      </w:r>
      <w:proofErr w:type="spellStart"/>
      <w:r w:rsidRPr="00967F80">
        <w:rPr>
          <w:szCs w:val="22"/>
        </w:rPr>
        <w:t>CYP1A2</w:t>
      </w:r>
      <w:proofErr w:type="spellEnd"/>
      <w:r w:rsidRPr="00967F80">
        <w:rPr>
          <w:szCs w:val="22"/>
        </w:rPr>
        <w:t xml:space="preserve"> sa zúčastňuje na metabolizme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, súbežné užívanie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spolu so silnými inhibítormi </w:t>
      </w:r>
      <w:proofErr w:type="spellStart"/>
      <w:r w:rsidRPr="00967F80">
        <w:rPr>
          <w:szCs w:val="22"/>
        </w:rPr>
        <w:t>CYP1A2</w:t>
      </w:r>
      <w:proofErr w:type="spellEnd"/>
      <w:r w:rsidRPr="00967F80">
        <w:rPr>
          <w:szCs w:val="22"/>
        </w:rPr>
        <w:t xml:space="preserve"> pravdepodobne vedie k zvýšenej koncentrácii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. Fluvoxamín (100 mg jedenkrát denne) ako silný inhibítor </w:t>
      </w:r>
      <w:proofErr w:type="spellStart"/>
      <w:r w:rsidRPr="00967F80">
        <w:rPr>
          <w:szCs w:val="22"/>
        </w:rPr>
        <w:t>CYP1A2</w:t>
      </w:r>
      <w:proofErr w:type="spellEnd"/>
      <w:r w:rsidRPr="00967F80">
        <w:rPr>
          <w:szCs w:val="22"/>
        </w:rPr>
        <w:t xml:space="preserve">, znížil zdanlivý plazmatický 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o približne 77 %, pričom 6-násobne vzrástla </w:t>
      </w:r>
      <w:proofErr w:type="spellStart"/>
      <w:r w:rsidRPr="00967F80">
        <w:rPr>
          <w:szCs w:val="22"/>
        </w:rPr>
        <w:t>AUCo</w:t>
      </w:r>
      <w:proofErr w:type="spellEnd"/>
      <w:r w:rsidRPr="00967F80">
        <w:rPr>
          <w:szCs w:val="22"/>
        </w:rPr>
        <w:t xml:space="preserve">-t .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sa preto nemá podávať v kombinácii so silnými inhibítormi </w:t>
      </w:r>
      <w:proofErr w:type="spellStart"/>
      <w:r w:rsidRPr="00967F80">
        <w:rPr>
          <w:szCs w:val="22"/>
        </w:rPr>
        <w:t>CYP1A2</w:t>
      </w:r>
      <w:proofErr w:type="spellEnd"/>
      <w:r w:rsidRPr="00967F80">
        <w:rPr>
          <w:szCs w:val="22"/>
        </w:rPr>
        <w:t xml:space="preserve"> ako je fluvoxamín (pozri časť 4.3).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Lieky s vplyvom na </w:t>
      </w:r>
      <w:proofErr w:type="spellStart"/>
      <w:r w:rsidRPr="00967F80">
        <w:rPr>
          <w:rStyle w:val="Bacil"/>
          <w:szCs w:val="22"/>
        </w:rPr>
        <w:t>CNS</w:t>
      </w:r>
      <w:proofErr w:type="spellEnd"/>
      <w:r w:rsidRPr="00967F80">
        <w:rPr>
          <w:rStyle w:val="Bacil"/>
          <w:szCs w:val="22"/>
        </w:rPr>
        <w:t>:</w:t>
      </w:r>
      <w:r w:rsidRPr="00967F80">
        <w:rPr>
          <w:szCs w:val="22"/>
        </w:rPr>
        <w:t xml:space="preserve"> Riziko užívania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v kombinácii s inými liekmi s vplyvom na </w:t>
      </w:r>
      <w:proofErr w:type="spellStart"/>
      <w:r w:rsidRPr="00967F80">
        <w:rPr>
          <w:szCs w:val="22"/>
        </w:rPr>
        <w:t>CNS</w:t>
      </w:r>
      <w:proofErr w:type="spellEnd"/>
      <w:r w:rsidRPr="00967F80">
        <w:rPr>
          <w:szCs w:val="22"/>
        </w:rPr>
        <w:t xml:space="preserve"> nebolo systematicky hodnotené okrem prípadov opísaných v tejto časti. V dôsledku toho sa pri užívaní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U</w:t>
      </w:r>
      <w:proofErr w:type="spellEnd"/>
      <w:r w:rsidRPr="00967F80">
        <w:rPr>
          <w:szCs w:val="22"/>
        </w:rPr>
        <w:t xml:space="preserve"> v kombinácii s inými centrálne pôsobiacimi liekmi alebo látkami vrátane alkoholu a liekov so sedatívnym účinkom (napr. </w:t>
      </w:r>
      <w:proofErr w:type="spellStart"/>
      <w:r w:rsidRPr="00967F80">
        <w:rPr>
          <w:szCs w:val="22"/>
        </w:rPr>
        <w:t>benzodiazepíny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morfínomimetiká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antipsychotiká</w:t>
      </w:r>
      <w:proofErr w:type="spellEnd"/>
      <w:r w:rsidRPr="00967F80">
        <w:rPr>
          <w:szCs w:val="22"/>
        </w:rPr>
        <w:t xml:space="preserve">, fenobarbital, sedatívne </w:t>
      </w:r>
      <w:proofErr w:type="spellStart"/>
      <w:r w:rsidRPr="00967F80">
        <w:rPr>
          <w:szCs w:val="22"/>
        </w:rPr>
        <w:t>antihistaminiká</w:t>
      </w:r>
      <w:proofErr w:type="spellEnd"/>
      <w:r w:rsidRPr="00967F80">
        <w:rPr>
          <w:szCs w:val="22"/>
        </w:rPr>
        <w:t>) odporúča postupovať s opatrnosťou.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rStyle w:val="Bacil"/>
          <w:szCs w:val="22"/>
        </w:rPr>
        <w:t>Sérotonínové</w:t>
      </w:r>
      <w:proofErr w:type="spellEnd"/>
      <w:r w:rsidRPr="00967F80">
        <w:rPr>
          <w:rStyle w:val="Bacil"/>
          <w:szCs w:val="22"/>
        </w:rPr>
        <w:t xml:space="preserve"> látky:</w:t>
      </w:r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Sérotonínový</w:t>
      </w:r>
      <w:proofErr w:type="spellEnd"/>
      <w:r w:rsidRPr="00967F80">
        <w:rPr>
          <w:szCs w:val="22"/>
        </w:rPr>
        <w:t xml:space="preserve"> syndróm bol v zriedkavých prípadoch zaznamenaný u pacientov, ktorí užívali selektívne inhibítory spätného vychytávania </w:t>
      </w:r>
      <w:proofErr w:type="spellStart"/>
      <w:r w:rsidRPr="00967F80">
        <w:rPr>
          <w:szCs w:val="22"/>
        </w:rPr>
        <w:t>sérotonínu</w:t>
      </w:r>
      <w:proofErr w:type="spellEnd"/>
      <w:r w:rsidRPr="00967F80">
        <w:rPr>
          <w:szCs w:val="22"/>
        </w:rPr>
        <w:t xml:space="preserve"> </w:t>
      </w:r>
      <w:r w:rsidR="00BF1830" w:rsidRPr="00967F80">
        <w:rPr>
          <w:szCs w:val="22"/>
        </w:rPr>
        <w:t>a</w:t>
      </w:r>
      <w:r w:rsidR="009217E3" w:rsidRPr="00967F80">
        <w:rPr>
          <w:szCs w:val="22"/>
        </w:rPr>
        <w:t xml:space="preserve"> inhibítory spätného vychytávania </w:t>
      </w:r>
      <w:proofErr w:type="spellStart"/>
      <w:r w:rsidR="009217E3" w:rsidRPr="00967F80">
        <w:rPr>
          <w:szCs w:val="22"/>
        </w:rPr>
        <w:t>s</w:t>
      </w:r>
      <w:r w:rsidR="00E05B3B" w:rsidRPr="00967F80">
        <w:rPr>
          <w:szCs w:val="22"/>
        </w:rPr>
        <w:t>é</w:t>
      </w:r>
      <w:r w:rsidR="009217E3" w:rsidRPr="00967F80">
        <w:rPr>
          <w:szCs w:val="22"/>
        </w:rPr>
        <w:t>rotonínu</w:t>
      </w:r>
      <w:proofErr w:type="spellEnd"/>
      <w:r w:rsidR="009217E3" w:rsidRPr="00967F80">
        <w:rPr>
          <w:szCs w:val="22"/>
        </w:rPr>
        <w:t xml:space="preserve"> a </w:t>
      </w:r>
      <w:proofErr w:type="spellStart"/>
      <w:r w:rsidR="00BF1830" w:rsidRPr="00967F80">
        <w:rPr>
          <w:szCs w:val="22"/>
        </w:rPr>
        <w:t>noradrenalínu</w:t>
      </w:r>
      <w:proofErr w:type="spellEnd"/>
      <w:r w:rsidR="00BF1830" w:rsidRPr="00967F80">
        <w:rPr>
          <w:szCs w:val="22"/>
        </w:rPr>
        <w:t xml:space="preserve"> </w:t>
      </w:r>
      <w:r w:rsidRPr="00967F80">
        <w:rPr>
          <w:szCs w:val="22"/>
        </w:rPr>
        <w:t>(SSRI/</w:t>
      </w:r>
      <w:proofErr w:type="spellStart"/>
      <w:r w:rsidRPr="00967F80">
        <w:rPr>
          <w:szCs w:val="22"/>
        </w:rPr>
        <w:t>SNRI</w:t>
      </w:r>
      <w:proofErr w:type="spellEnd"/>
      <w:r w:rsidRPr="00967F80">
        <w:rPr>
          <w:szCs w:val="22"/>
        </w:rPr>
        <w:t xml:space="preserve">) spolu s látkami, ktoré majú </w:t>
      </w:r>
      <w:proofErr w:type="spellStart"/>
      <w:r w:rsidR="00BF1830" w:rsidRPr="00967F80">
        <w:rPr>
          <w:szCs w:val="22"/>
        </w:rPr>
        <w:t>sérotonergné</w:t>
      </w:r>
      <w:proofErr w:type="spellEnd"/>
      <w:r w:rsidR="00BF1830" w:rsidRPr="00967F80">
        <w:rPr>
          <w:szCs w:val="22"/>
        </w:rPr>
        <w:t xml:space="preserve"> </w:t>
      </w:r>
      <w:r w:rsidRPr="00967F80">
        <w:rPr>
          <w:szCs w:val="22"/>
        </w:rPr>
        <w:t xml:space="preserve">účinky. Odporúča sa opatrnosť v prípade, ak sa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užíva súbežne so </w:t>
      </w:r>
      <w:proofErr w:type="spellStart"/>
      <w:r w:rsidR="00BF1830" w:rsidRPr="00967F80">
        <w:rPr>
          <w:szCs w:val="22"/>
        </w:rPr>
        <w:t>sérotonergnými</w:t>
      </w:r>
      <w:proofErr w:type="spellEnd"/>
      <w:r w:rsidR="00BF1830" w:rsidRPr="00967F80">
        <w:rPr>
          <w:szCs w:val="22"/>
        </w:rPr>
        <w:t xml:space="preserve"> </w:t>
      </w:r>
      <w:r w:rsidRPr="00967F80">
        <w:rPr>
          <w:szCs w:val="22"/>
        </w:rPr>
        <w:t xml:space="preserve">látkami akými sú SSRI, </w:t>
      </w:r>
      <w:proofErr w:type="spellStart"/>
      <w:r w:rsidRPr="00967F80">
        <w:rPr>
          <w:szCs w:val="22"/>
        </w:rPr>
        <w:t>SNRI</w:t>
      </w:r>
      <w:proofErr w:type="spellEnd"/>
      <w:r w:rsidRPr="00967F80">
        <w:rPr>
          <w:szCs w:val="22"/>
        </w:rPr>
        <w:t xml:space="preserve"> a </w:t>
      </w:r>
      <w:proofErr w:type="spellStart"/>
      <w:r w:rsidRPr="00967F80">
        <w:rPr>
          <w:szCs w:val="22"/>
        </w:rPr>
        <w:t>tricyklické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antidepresíva</w:t>
      </w:r>
      <w:proofErr w:type="spellEnd"/>
      <w:r w:rsidRPr="00967F80">
        <w:rPr>
          <w:szCs w:val="22"/>
        </w:rPr>
        <w:t xml:space="preserve"> ako </w:t>
      </w:r>
      <w:proofErr w:type="spellStart"/>
      <w:r w:rsidRPr="00967F80">
        <w:rPr>
          <w:szCs w:val="22"/>
        </w:rPr>
        <w:t>klomipramín</w:t>
      </w:r>
      <w:proofErr w:type="spellEnd"/>
      <w:r w:rsidRPr="00967F80">
        <w:rPr>
          <w:szCs w:val="22"/>
        </w:rPr>
        <w:t xml:space="preserve"> alebo </w:t>
      </w:r>
      <w:proofErr w:type="spellStart"/>
      <w:r w:rsidRPr="00967F80">
        <w:rPr>
          <w:szCs w:val="22"/>
        </w:rPr>
        <w:t>amitriptylín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IMAO</w:t>
      </w:r>
      <w:proofErr w:type="spellEnd"/>
      <w:r w:rsidRPr="00967F80">
        <w:rPr>
          <w:szCs w:val="22"/>
        </w:rPr>
        <w:t xml:space="preserve">, akými sú </w:t>
      </w:r>
      <w:proofErr w:type="spellStart"/>
      <w:r w:rsidRPr="00967F80">
        <w:rPr>
          <w:szCs w:val="22"/>
        </w:rPr>
        <w:t>moklobemid</w:t>
      </w:r>
      <w:proofErr w:type="spellEnd"/>
      <w:r w:rsidRPr="00967F80">
        <w:rPr>
          <w:szCs w:val="22"/>
        </w:rPr>
        <w:t xml:space="preserve"> alebo </w:t>
      </w:r>
      <w:proofErr w:type="spellStart"/>
      <w:r w:rsidRPr="00967F80">
        <w:rPr>
          <w:szCs w:val="22"/>
        </w:rPr>
        <w:lastRenderedPageBreak/>
        <w:t>linezolid</w:t>
      </w:r>
      <w:proofErr w:type="spellEnd"/>
      <w:r w:rsidRPr="00967F80">
        <w:rPr>
          <w:szCs w:val="22"/>
        </w:rPr>
        <w:t>, ľubovníkom bodkovaným (</w:t>
      </w:r>
      <w:r w:rsidRPr="00967F80">
        <w:rPr>
          <w:i/>
          <w:szCs w:val="22"/>
        </w:rPr>
        <w:t>Hypericum perforatum</w:t>
      </w:r>
      <w:r w:rsidRPr="00967F80">
        <w:rPr>
          <w:szCs w:val="22"/>
        </w:rPr>
        <w:t xml:space="preserve">) alebo </w:t>
      </w:r>
      <w:proofErr w:type="spellStart"/>
      <w:r w:rsidRPr="00967F80">
        <w:rPr>
          <w:szCs w:val="22"/>
        </w:rPr>
        <w:t>triptánmi</w:t>
      </w:r>
      <w:proofErr w:type="spellEnd"/>
      <w:r w:rsidRPr="00967F80">
        <w:rPr>
          <w:szCs w:val="22"/>
        </w:rPr>
        <w:t xml:space="preserve">, tramadolom, </w:t>
      </w:r>
      <w:proofErr w:type="spellStart"/>
      <w:r w:rsidRPr="00967F80">
        <w:rPr>
          <w:szCs w:val="22"/>
        </w:rPr>
        <w:t>petidínom</w:t>
      </w:r>
      <w:proofErr w:type="spellEnd"/>
      <w:r w:rsidRPr="00967F80">
        <w:rPr>
          <w:szCs w:val="22"/>
        </w:rPr>
        <w:t xml:space="preserve"> a </w:t>
      </w:r>
      <w:proofErr w:type="spellStart"/>
      <w:r w:rsidRPr="00967F80">
        <w:rPr>
          <w:szCs w:val="22"/>
        </w:rPr>
        <w:t>tryptofánom</w:t>
      </w:r>
      <w:proofErr w:type="spellEnd"/>
      <w:r w:rsidRPr="00967F80">
        <w:rPr>
          <w:szCs w:val="22"/>
        </w:rPr>
        <w:t xml:space="preserve"> (pozri časť 4.4).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-2"/>
        <w:spacing w:before="0" w:after="0"/>
        <w:rPr>
          <w:szCs w:val="22"/>
        </w:rPr>
      </w:pPr>
      <w:r w:rsidRPr="00967F80">
        <w:rPr>
          <w:szCs w:val="22"/>
        </w:rPr>
        <w:t xml:space="preserve">Účinok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na iné lieky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Lieky metabolizované </w:t>
      </w:r>
      <w:proofErr w:type="spellStart"/>
      <w:r w:rsidRPr="00967F80">
        <w:rPr>
          <w:rStyle w:val="Bacil"/>
          <w:szCs w:val="22"/>
        </w:rPr>
        <w:t>CYP1A2</w:t>
      </w:r>
      <w:proofErr w:type="spellEnd"/>
      <w:r w:rsidRPr="00967F80">
        <w:rPr>
          <w:rStyle w:val="Bacil"/>
          <w:szCs w:val="22"/>
        </w:rPr>
        <w:t>:</w:t>
      </w:r>
      <w:r w:rsidRPr="00967F80">
        <w:rPr>
          <w:szCs w:val="22"/>
        </w:rPr>
        <w:t xml:space="preserve"> Súbežné podávanie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(60 mg dvakrát denne) nemalo významný vplyv na </w:t>
      </w:r>
      <w:proofErr w:type="spellStart"/>
      <w:r w:rsidRPr="00967F80">
        <w:rPr>
          <w:szCs w:val="22"/>
        </w:rPr>
        <w:t>farmakokinetiku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teofylínu</w:t>
      </w:r>
      <w:proofErr w:type="spellEnd"/>
      <w:r w:rsidRPr="00967F80">
        <w:rPr>
          <w:szCs w:val="22"/>
        </w:rPr>
        <w:t xml:space="preserve">, ktorý je substrátom </w:t>
      </w:r>
      <w:proofErr w:type="spellStart"/>
      <w:r w:rsidRPr="00967F80">
        <w:rPr>
          <w:szCs w:val="22"/>
        </w:rPr>
        <w:t>CYP1A2</w:t>
      </w:r>
      <w:proofErr w:type="spellEnd"/>
      <w:r w:rsidRPr="00967F80">
        <w:rPr>
          <w:szCs w:val="22"/>
        </w:rPr>
        <w:t>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Lieky metabolizované </w:t>
      </w:r>
      <w:proofErr w:type="spellStart"/>
      <w:r w:rsidRPr="00967F80">
        <w:rPr>
          <w:rStyle w:val="Bacil"/>
          <w:szCs w:val="22"/>
        </w:rPr>
        <w:t>CYP2D6</w:t>
      </w:r>
      <w:proofErr w:type="spellEnd"/>
      <w:r w:rsidRPr="00967F80">
        <w:rPr>
          <w:rStyle w:val="Bacil"/>
          <w:szCs w:val="22"/>
        </w:rPr>
        <w:t>:</w:t>
      </w:r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je mierny inhibítor </w:t>
      </w:r>
      <w:proofErr w:type="spellStart"/>
      <w:r w:rsidRPr="00967F80">
        <w:rPr>
          <w:szCs w:val="22"/>
        </w:rPr>
        <w:t>CYP2D6</w:t>
      </w:r>
      <w:proofErr w:type="spellEnd"/>
      <w:r w:rsidRPr="00967F80">
        <w:rPr>
          <w:szCs w:val="22"/>
        </w:rPr>
        <w:t xml:space="preserve">. Keď sa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podal v dávke 60 mg dvakrát denne spolu s jednorazovou dávkou </w:t>
      </w:r>
      <w:proofErr w:type="spellStart"/>
      <w:r w:rsidRPr="00967F80">
        <w:rPr>
          <w:szCs w:val="22"/>
        </w:rPr>
        <w:t>dezipramínu</w:t>
      </w:r>
      <w:proofErr w:type="spellEnd"/>
      <w:r w:rsidRPr="00967F80">
        <w:rPr>
          <w:szCs w:val="22"/>
        </w:rPr>
        <w:t xml:space="preserve"> (substrát </w:t>
      </w:r>
      <w:proofErr w:type="spellStart"/>
      <w:r w:rsidRPr="00967F80">
        <w:rPr>
          <w:szCs w:val="22"/>
        </w:rPr>
        <w:t>CYP2D6</w:t>
      </w:r>
      <w:proofErr w:type="spellEnd"/>
      <w:r w:rsidRPr="00967F80">
        <w:rPr>
          <w:szCs w:val="22"/>
        </w:rPr>
        <w:t xml:space="preserve">), 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dezipramínu</w:t>
      </w:r>
      <w:proofErr w:type="spellEnd"/>
      <w:r w:rsidRPr="00967F80">
        <w:rPr>
          <w:szCs w:val="22"/>
        </w:rPr>
        <w:t xml:space="preserve"> sa trojnásobne zvýšila. Súbežné podávanie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(40 mg dvakrát denne) zvyšuje 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tolterodínu</w:t>
      </w:r>
      <w:proofErr w:type="spellEnd"/>
      <w:r w:rsidRPr="00967F80">
        <w:rPr>
          <w:szCs w:val="22"/>
        </w:rPr>
        <w:t xml:space="preserve"> (2 mg dvakrát denne) v rovnovážnom stave o 71 %, nijak</w:t>
      </w:r>
      <w:r w:rsidR="00D10685" w:rsidRPr="00967F80">
        <w:rPr>
          <w:szCs w:val="22"/>
        </w:rPr>
        <w:t>o</w:t>
      </w:r>
      <w:r w:rsidRPr="00967F80">
        <w:rPr>
          <w:szCs w:val="22"/>
        </w:rPr>
        <w:t xml:space="preserve"> však neovplyvnilo </w:t>
      </w:r>
      <w:proofErr w:type="spellStart"/>
      <w:r w:rsidRPr="00967F80">
        <w:rPr>
          <w:szCs w:val="22"/>
        </w:rPr>
        <w:t>farmakokinetiku</w:t>
      </w:r>
      <w:proofErr w:type="spellEnd"/>
      <w:r w:rsidRPr="00967F80">
        <w:rPr>
          <w:szCs w:val="22"/>
        </w:rPr>
        <w:t xml:space="preserve"> jeho aktívneho 5-</w:t>
      </w:r>
      <w:proofErr w:type="spellStart"/>
      <w:r w:rsidRPr="00967F80">
        <w:rPr>
          <w:szCs w:val="22"/>
        </w:rPr>
        <w:t>hydroxyl</w:t>
      </w:r>
      <w:proofErr w:type="spellEnd"/>
      <w:r w:rsidRPr="00967F80">
        <w:rPr>
          <w:szCs w:val="22"/>
        </w:rPr>
        <w:t xml:space="preserve"> metabolitu a úprava dávkovania </w:t>
      </w:r>
      <w:r w:rsidR="009217E3" w:rsidRPr="00967F80">
        <w:rPr>
          <w:szCs w:val="22"/>
        </w:rPr>
        <w:t>nie je potrebná</w:t>
      </w:r>
      <w:r w:rsidRPr="00967F80">
        <w:rPr>
          <w:szCs w:val="22"/>
        </w:rPr>
        <w:t xml:space="preserve">. Opatrnosť sa však odporúča v prípade, že sa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podáva súbežne s liekmi, ktoré sú metabolizované prevažne </w:t>
      </w:r>
      <w:proofErr w:type="spellStart"/>
      <w:r w:rsidRPr="00967F80">
        <w:rPr>
          <w:szCs w:val="22"/>
        </w:rPr>
        <w:t>izoenzýmom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CYP2D6</w:t>
      </w:r>
      <w:proofErr w:type="spellEnd"/>
      <w:r w:rsidRPr="00967F80">
        <w:rPr>
          <w:szCs w:val="22"/>
        </w:rPr>
        <w:t xml:space="preserve"> (</w:t>
      </w:r>
      <w:proofErr w:type="spellStart"/>
      <w:r w:rsidRPr="00967F80">
        <w:rPr>
          <w:szCs w:val="22"/>
        </w:rPr>
        <w:t>risperidón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tricyklické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antidepresíva</w:t>
      </w:r>
      <w:proofErr w:type="spellEnd"/>
      <w:r w:rsidRPr="00967F80">
        <w:rPr>
          <w:szCs w:val="22"/>
        </w:rPr>
        <w:t xml:space="preserve"> [</w:t>
      </w:r>
      <w:proofErr w:type="spellStart"/>
      <w:r w:rsidRPr="00967F80">
        <w:rPr>
          <w:szCs w:val="22"/>
        </w:rPr>
        <w:t>TCAs</w:t>
      </w:r>
      <w:proofErr w:type="spellEnd"/>
      <w:r w:rsidRPr="00967F80">
        <w:rPr>
          <w:szCs w:val="22"/>
        </w:rPr>
        <w:t xml:space="preserve">] ako sú </w:t>
      </w:r>
      <w:proofErr w:type="spellStart"/>
      <w:r w:rsidRPr="00967F80">
        <w:rPr>
          <w:szCs w:val="22"/>
        </w:rPr>
        <w:t>nortriptylín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amitriptylín</w:t>
      </w:r>
      <w:proofErr w:type="spellEnd"/>
      <w:r w:rsidRPr="00967F80">
        <w:rPr>
          <w:szCs w:val="22"/>
        </w:rPr>
        <w:t xml:space="preserve"> a </w:t>
      </w:r>
      <w:proofErr w:type="spellStart"/>
      <w:r w:rsidRPr="00967F80">
        <w:rPr>
          <w:szCs w:val="22"/>
        </w:rPr>
        <w:t>imipramín</w:t>
      </w:r>
      <w:proofErr w:type="spellEnd"/>
      <w:r w:rsidRPr="00967F80">
        <w:rPr>
          <w:szCs w:val="22"/>
        </w:rPr>
        <w:t xml:space="preserve">), najmä ak majú úzky terapeutický index (ako </w:t>
      </w:r>
      <w:proofErr w:type="spellStart"/>
      <w:r w:rsidRPr="00967F80">
        <w:rPr>
          <w:szCs w:val="22"/>
        </w:rPr>
        <w:t>flekainid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propafenón</w:t>
      </w:r>
      <w:proofErr w:type="spellEnd"/>
      <w:r w:rsidRPr="00967F80">
        <w:rPr>
          <w:szCs w:val="22"/>
        </w:rPr>
        <w:t xml:space="preserve"> a</w:t>
      </w:r>
      <w:r w:rsidR="00305D11" w:rsidRPr="00967F80">
        <w:rPr>
          <w:szCs w:val="22"/>
        </w:rPr>
        <w:t> </w:t>
      </w:r>
      <w:r w:rsidRPr="00967F80">
        <w:rPr>
          <w:szCs w:val="22"/>
        </w:rPr>
        <w:t>metoprolol).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Perorálne </w:t>
      </w:r>
      <w:proofErr w:type="spellStart"/>
      <w:r w:rsidRPr="00967F80">
        <w:rPr>
          <w:rStyle w:val="Bacil"/>
          <w:szCs w:val="22"/>
        </w:rPr>
        <w:t>kontraceptíva</w:t>
      </w:r>
      <w:proofErr w:type="spellEnd"/>
      <w:r w:rsidRPr="00967F80">
        <w:rPr>
          <w:rStyle w:val="Bacil"/>
          <w:szCs w:val="22"/>
        </w:rPr>
        <w:t xml:space="preserve"> a iné </w:t>
      </w:r>
      <w:proofErr w:type="spellStart"/>
      <w:r w:rsidRPr="00967F80">
        <w:rPr>
          <w:rStyle w:val="Bacil"/>
          <w:szCs w:val="22"/>
        </w:rPr>
        <w:t>steroidové</w:t>
      </w:r>
      <w:proofErr w:type="spellEnd"/>
      <w:r w:rsidRPr="00967F80">
        <w:rPr>
          <w:rStyle w:val="Bacil"/>
          <w:szCs w:val="22"/>
        </w:rPr>
        <w:t xml:space="preserve"> látky:</w:t>
      </w:r>
      <w:r w:rsidRPr="00967F80">
        <w:rPr>
          <w:szCs w:val="22"/>
        </w:rPr>
        <w:t xml:space="preserve"> výsledky štúdií </w:t>
      </w:r>
      <w:r w:rsidRPr="00967F80">
        <w:rPr>
          <w:rStyle w:val="Bacil"/>
          <w:szCs w:val="22"/>
        </w:rPr>
        <w:t>in vitro</w:t>
      </w:r>
      <w:r w:rsidRPr="00967F80">
        <w:rPr>
          <w:i/>
          <w:iCs/>
          <w:szCs w:val="22"/>
        </w:rPr>
        <w:t xml:space="preserve"> </w:t>
      </w:r>
      <w:r w:rsidRPr="00967F80">
        <w:rPr>
          <w:szCs w:val="22"/>
        </w:rPr>
        <w:t xml:space="preserve">preukázali, že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neindukuje katalytickú aktivitu </w:t>
      </w:r>
      <w:proofErr w:type="spellStart"/>
      <w:r w:rsidRPr="00967F80">
        <w:rPr>
          <w:szCs w:val="22"/>
        </w:rPr>
        <w:t>izoenzýmov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CYP3A</w:t>
      </w:r>
      <w:proofErr w:type="spellEnd"/>
      <w:r w:rsidRPr="00967F80">
        <w:rPr>
          <w:szCs w:val="22"/>
        </w:rPr>
        <w:t xml:space="preserve">. Špecifické </w:t>
      </w:r>
      <w:r w:rsidRPr="00967F80">
        <w:rPr>
          <w:rStyle w:val="Bacil"/>
          <w:szCs w:val="22"/>
        </w:rPr>
        <w:t xml:space="preserve">in </w:t>
      </w:r>
      <w:proofErr w:type="spellStart"/>
      <w:r w:rsidRPr="00967F80">
        <w:rPr>
          <w:rStyle w:val="Bacil"/>
          <w:szCs w:val="22"/>
        </w:rPr>
        <w:t>vivo</w:t>
      </w:r>
      <w:proofErr w:type="spellEnd"/>
      <w:r w:rsidRPr="00967F80">
        <w:rPr>
          <w:i/>
          <w:iCs/>
          <w:szCs w:val="22"/>
        </w:rPr>
        <w:t xml:space="preserve"> </w:t>
      </w:r>
      <w:r w:rsidRPr="00967F80">
        <w:rPr>
          <w:szCs w:val="22"/>
        </w:rPr>
        <w:t>liekové interakčné štúdie sa neuskutočnili.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rStyle w:val="Bacil"/>
          <w:szCs w:val="22"/>
        </w:rPr>
        <w:t>Antikoagulanciá</w:t>
      </w:r>
      <w:proofErr w:type="spellEnd"/>
      <w:r w:rsidRPr="00967F80">
        <w:rPr>
          <w:rStyle w:val="Bacil"/>
          <w:szCs w:val="22"/>
        </w:rPr>
        <w:t xml:space="preserve"> a </w:t>
      </w:r>
      <w:proofErr w:type="spellStart"/>
      <w:r w:rsidRPr="00967F80">
        <w:rPr>
          <w:rStyle w:val="Bacil"/>
          <w:szCs w:val="22"/>
        </w:rPr>
        <w:t>antiagreganciá</w:t>
      </w:r>
      <w:proofErr w:type="spellEnd"/>
      <w:r w:rsidRPr="00967F80">
        <w:rPr>
          <w:rStyle w:val="Bacil"/>
          <w:szCs w:val="22"/>
        </w:rPr>
        <w:t>:</w:t>
      </w:r>
      <w:r w:rsidRPr="00967F80">
        <w:rPr>
          <w:i/>
          <w:iCs/>
          <w:szCs w:val="22"/>
        </w:rPr>
        <w:t xml:space="preserve"> </w:t>
      </w:r>
      <w:r w:rsidRPr="00967F80">
        <w:rPr>
          <w:szCs w:val="22"/>
        </w:rPr>
        <w:t xml:space="preserve">Opatrnosť je potrebná, keď sa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kombinuje s perorálnymi </w:t>
      </w:r>
      <w:proofErr w:type="spellStart"/>
      <w:r w:rsidRPr="00967F80">
        <w:rPr>
          <w:szCs w:val="22"/>
        </w:rPr>
        <w:t>antikoagulanciami</w:t>
      </w:r>
      <w:proofErr w:type="spellEnd"/>
      <w:r w:rsidRPr="00967F80">
        <w:rPr>
          <w:szCs w:val="22"/>
        </w:rPr>
        <w:t xml:space="preserve"> alebo </w:t>
      </w:r>
      <w:proofErr w:type="spellStart"/>
      <w:r w:rsidRPr="00967F80">
        <w:rPr>
          <w:szCs w:val="22"/>
        </w:rPr>
        <w:t>antiagreganciami</w:t>
      </w:r>
      <w:proofErr w:type="spellEnd"/>
      <w:r w:rsidRPr="00967F80">
        <w:rPr>
          <w:szCs w:val="22"/>
        </w:rPr>
        <w:t xml:space="preserve"> kvôli možnému zvýšeniu rizika krvácania, ktoré sa pripisuje </w:t>
      </w:r>
      <w:proofErr w:type="spellStart"/>
      <w:r w:rsidRPr="00967F80">
        <w:rPr>
          <w:szCs w:val="22"/>
        </w:rPr>
        <w:t>farmakodynamickej</w:t>
      </w:r>
      <w:proofErr w:type="spellEnd"/>
      <w:r w:rsidRPr="00967F80">
        <w:rPr>
          <w:szCs w:val="22"/>
        </w:rPr>
        <w:t xml:space="preserve"> interakcii. Okrem toho sa zaznamenali zvýšené hodnoty </w:t>
      </w:r>
      <w:proofErr w:type="spellStart"/>
      <w:r w:rsidRPr="00967F80">
        <w:rPr>
          <w:szCs w:val="22"/>
        </w:rPr>
        <w:t>INR</w:t>
      </w:r>
      <w:proofErr w:type="spellEnd"/>
      <w:r w:rsidRPr="00967F80">
        <w:rPr>
          <w:szCs w:val="22"/>
        </w:rPr>
        <w:t xml:space="preserve"> u pacientov liečených </w:t>
      </w:r>
      <w:proofErr w:type="spellStart"/>
      <w:r w:rsidRPr="00967F80">
        <w:rPr>
          <w:szCs w:val="22"/>
        </w:rPr>
        <w:t>warfarínom</w:t>
      </w:r>
      <w:proofErr w:type="spellEnd"/>
      <w:r w:rsidRPr="00967F80">
        <w:rPr>
          <w:szCs w:val="22"/>
        </w:rPr>
        <w:t xml:space="preserve">, ktorým sa súbežne podával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. Avšak súbežné podávanie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 </w:t>
      </w:r>
      <w:proofErr w:type="spellStart"/>
      <w:r w:rsidRPr="00967F80">
        <w:rPr>
          <w:szCs w:val="22"/>
        </w:rPr>
        <w:t>warfarínom</w:t>
      </w:r>
      <w:proofErr w:type="spellEnd"/>
      <w:r w:rsidRPr="00967F80">
        <w:rPr>
          <w:szCs w:val="22"/>
        </w:rPr>
        <w:t xml:space="preserve"> zdravým dobrovoľníkom v ustálenom stave v rámci farmakologického klinického skúšania nemalo za následok klinicky významné zmeny </w:t>
      </w:r>
      <w:proofErr w:type="spellStart"/>
      <w:r w:rsidRPr="00967F80">
        <w:rPr>
          <w:szCs w:val="22"/>
        </w:rPr>
        <w:t>INR</w:t>
      </w:r>
      <w:proofErr w:type="spellEnd"/>
      <w:r w:rsidRPr="00967F80">
        <w:rPr>
          <w:szCs w:val="22"/>
        </w:rPr>
        <w:t xml:space="preserve"> oproti </w:t>
      </w:r>
      <w:r w:rsidR="00225702" w:rsidRPr="00967F80">
        <w:rPr>
          <w:szCs w:val="22"/>
        </w:rPr>
        <w:t>za</w:t>
      </w:r>
      <w:r w:rsidRPr="00967F80">
        <w:rPr>
          <w:szCs w:val="22"/>
        </w:rPr>
        <w:t xml:space="preserve">čiatočným hodnotám ani zmeny </w:t>
      </w:r>
      <w:proofErr w:type="spellStart"/>
      <w:r w:rsidRPr="00967F80">
        <w:rPr>
          <w:szCs w:val="22"/>
        </w:rPr>
        <w:t>farmakokinetiky</w:t>
      </w:r>
      <w:proofErr w:type="spellEnd"/>
      <w:r w:rsidRPr="00967F80">
        <w:rPr>
          <w:szCs w:val="22"/>
        </w:rPr>
        <w:t xml:space="preserve"> R-alebo S- </w:t>
      </w:r>
      <w:proofErr w:type="spellStart"/>
      <w:r w:rsidRPr="00967F80">
        <w:rPr>
          <w:szCs w:val="22"/>
        </w:rPr>
        <w:t>warfarínu</w:t>
      </w:r>
      <w:proofErr w:type="spellEnd"/>
      <w:r w:rsidRPr="00967F80">
        <w:rPr>
          <w:szCs w:val="22"/>
        </w:rPr>
        <w:t>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-2"/>
        <w:spacing w:before="0" w:after="0"/>
        <w:rPr>
          <w:szCs w:val="22"/>
        </w:rPr>
      </w:pPr>
      <w:r w:rsidRPr="00967F80">
        <w:rPr>
          <w:szCs w:val="22"/>
        </w:rPr>
        <w:t xml:space="preserve">Účinok iných liekov na </w:t>
      </w:r>
      <w:proofErr w:type="spellStart"/>
      <w:r w:rsidRPr="00967F80">
        <w:rPr>
          <w:szCs w:val="22"/>
        </w:rPr>
        <w:t>duloxetín</w:t>
      </w:r>
      <w:proofErr w:type="spellEnd"/>
    </w:p>
    <w:p w:rsidR="00225702" w:rsidRPr="00E50B63" w:rsidRDefault="00225702">
      <w:pPr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rStyle w:val="Bacil"/>
          <w:szCs w:val="22"/>
        </w:rPr>
        <w:t>Antacidá</w:t>
      </w:r>
      <w:proofErr w:type="spellEnd"/>
      <w:r w:rsidRPr="00967F80">
        <w:rPr>
          <w:rStyle w:val="Bacil"/>
          <w:szCs w:val="22"/>
        </w:rPr>
        <w:t xml:space="preserve"> a </w:t>
      </w:r>
      <w:proofErr w:type="spellStart"/>
      <w:r w:rsidRPr="00967F80">
        <w:rPr>
          <w:rStyle w:val="Bacil"/>
          <w:szCs w:val="22"/>
        </w:rPr>
        <w:t>antagonisty</w:t>
      </w:r>
      <w:proofErr w:type="spellEnd"/>
      <w:r w:rsidRPr="00967F80">
        <w:rPr>
          <w:rStyle w:val="Bacil"/>
          <w:szCs w:val="22"/>
        </w:rPr>
        <w:t xml:space="preserve"> </w:t>
      </w:r>
      <w:proofErr w:type="spellStart"/>
      <w:r w:rsidRPr="00967F80">
        <w:rPr>
          <w:rStyle w:val="Bacil"/>
          <w:szCs w:val="22"/>
        </w:rPr>
        <w:t>H2</w:t>
      </w:r>
      <w:proofErr w:type="spellEnd"/>
      <w:r w:rsidRPr="00967F80">
        <w:rPr>
          <w:rStyle w:val="Bacil"/>
          <w:szCs w:val="22"/>
        </w:rPr>
        <w:t xml:space="preserve"> receptorov:</w:t>
      </w:r>
      <w:r w:rsidRPr="00967F80">
        <w:rPr>
          <w:szCs w:val="22"/>
        </w:rPr>
        <w:t xml:space="preserve"> Súbežné podávanie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a </w:t>
      </w:r>
      <w:proofErr w:type="spellStart"/>
      <w:r w:rsidRPr="00967F80">
        <w:rPr>
          <w:szCs w:val="22"/>
        </w:rPr>
        <w:t>antacíd</w:t>
      </w:r>
      <w:proofErr w:type="spellEnd"/>
      <w:r w:rsidRPr="00967F80">
        <w:rPr>
          <w:szCs w:val="22"/>
        </w:rPr>
        <w:t xml:space="preserve"> obsahujúcich hliník a horčík alebo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 </w:t>
      </w:r>
      <w:proofErr w:type="spellStart"/>
      <w:r w:rsidRPr="00967F80">
        <w:rPr>
          <w:szCs w:val="22"/>
        </w:rPr>
        <w:t>famotidínom</w:t>
      </w:r>
      <w:proofErr w:type="spellEnd"/>
      <w:r w:rsidRPr="00967F80">
        <w:rPr>
          <w:szCs w:val="22"/>
        </w:rPr>
        <w:t xml:space="preserve"> nijako významne neovplyvnilo rýchlosť či rozsah absorpcie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po podaní dávky 40</w:t>
      </w:r>
      <w:r w:rsidR="00644C29" w:rsidRPr="00967F80">
        <w:rPr>
          <w:szCs w:val="22"/>
        </w:rPr>
        <w:t xml:space="preserve"> </w:t>
      </w:r>
      <w:r w:rsidRPr="00967F80">
        <w:rPr>
          <w:szCs w:val="22"/>
        </w:rPr>
        <w:t>mg perorálne.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Induktory </w:t>
      </w:r>
      <w:proofErr w:type="spellStart"/>
      <w:r w:rsidRPr="00967F80">
        <w:rPr>
          <w:rStyle w:val="Bacil"/>
          <w:szCs w:val="22"/>
        </w:rPr>
        <w:t>CYP1A2</w:t>
      </w:r>
      <w:proofErr w:type="spellEnd"/>
      <w:r w:rsidRPr="00967F80">
        <w:rPr>
          <w:rStyle w:val="Bacil"/>
          <w:szCs w:val="22"/>
        </w:rPr>
        <w:t>:</w:t>
      </w:r>
      <w:r w:rsidRPr="00967F80">
        <w:rPr>
          <w:i/>
          <w:iCs/>
          <w:szCs w:val="22"/>
        </w:rPr>
        <w:t xml:space="preserve"> </w:t>
      </w:r>
      <w:r w:rsidRPr="00967F80">
        <w:rPr>
          <w:szCs w:val="22"/>
        </w:rPr>
        <w:t xml:space="preserve">Populačné </w:t>
      </w:r>
      <w:proofErr w:type="spellStart"/>
      <w:r w:rsidRPr="00967F80">
        <w:rPr>
          <w:szCs w:val="22"/>
        </w:rPr>
        <w:t>farmakokinetické</w:t>
      </w:r>
      <w:proofErr w:type="spellEnd"/>
      <w:r w:rsidRPr="00967F80">
        <w:rPr>
          <w:szCs w:val="22"/>
        </w:rPr>
        <w:t xml:space="preserve"> analýzy preukázali, že fajčiari majú takmer o 50 % nižšie plazmatické koncentrácie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než nefajčiari.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Fertilita, gravidita a laktácia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FB18D9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Fertilita</w:t>
      </w:r>
    </w:p>
    <w:p w:rsidR="001A2F1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nemal vplyv na mužskú </w:t>
      </w:r>
      <w:proofErr w:type="spellStart"/>
      <w:r w:rsidRPr="00967F80">
        <w:rPr>
          <w:szCs w:val="22"/>
        </w:rPr>
        <w:t>fertilitu</w:t>
      </w:r>
      <w:proofErr w:type="spellEnd"/>
      <w:r w:rsidRPr="00967F80">
        <w:rPr>
          <w:szCs w:val="22"/>
        </w:rPr>
        <w:t xml:space="preserve"> a u žien bol vplyv evidentný iba pri dávkach </w:t>
      </w:r>
      <w:r w:rsidR="00284025" w:rsidRPr="00967F80">
        <w:rPr>
          <w:szCs w:val="22"/>
        </w:rPr>
        <w:t>toxických pre matku.</w:t>
      </w:r>
    </w:p>
    <w:p w:rsidR="00967F80" w:rsidRPr="00967F80" w:rsidRDefault="00967F80">
      <w:pPr>
        <w:pStyle w:val="Normlndobloku"/>
        <w:spacing w:after="0"/>
        <w:rPr>
          <w:iCs/>
          <w:szCs w:val="22"/>
          <w:u w:val="single"/>
        </w:rPr>
      </w:pPr>
    </w:p>
    <w:p w:rsidR="00FB18D9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Gravidita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Nie sú k dispozícii dostatočné údaje o použití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u gravidných žien. Štúdie na zvieratách preukázali reprodukčnú toxicitu pri hladinách systémovej expozície (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)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nižších než je maximálna klinická expozícia (pozri časť 5.3).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Nie je známe potenciálne riziko u ľudí.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Epidemiologické údaje naznačujú, že používanie SSRI počas tehotenstva, zvlášť v pokročilom štádiu tehotenstva, môže zvýšiť riziko </w:t>
      </w:r>
      <w:proofErr w:type="spellStart"/>
      <w:r w:rsidRPr="00967F80">
        <w:rPr>
          <w:szCs w:val="22"/>
        </w:rPr>
        <w:t>perzistentnej</w:t>
      </w:r>
      <w:proofErr w:type="spellEnd"/>
      <w:r w:rsidRPr="00967F80">
        <w:rPr>
          <w:szCs w:val="22"/>
        </w:rPr>
        <w:t xml:space="preserve"> pľúcnej hypertenzie u novorodencov (</w:t>
      </w:r>
      <w:proofErr w:type="spellStart"/>
      <w:r w:rsidRPr="00967F80">
        <w:rPr>
          <w:szCs w:val="22"/>
        </w:rPr>
        <w:t>PPHN</w:t>
      </w:r>
      <w:proofErr w:type="spellEnd"/>
      <w:r w:rsidRPr="00967F80">
        <w:rPr>
          <w:szCs w:val="22"/>
        </w:rPr>
        <w:t xml:space="preserve">). Hoci žiadna </w:t>
      </w:r>
      <w:r w:rsidRPr="00967F80">
        <w:rPr>
          <w:szCs w:val="22"/>
        </w:rPr>
        <w:lastRenderedPageBreak/>
        <w:t xml:space="preserve">štúdia nesledovala súvislosť medzi </w:t>
      </w:r>
      <w:proofErr w:type="spellStart"/>
      <w:r w:rsidRPr="00967F80">
        <w:rPr>
          <w:szCs w:val="22"/>
        </w:rPr>
        <w:t>PPHN</w:t>
      </w:r>
      <w:proofErr w:type="spellEnd"/>
      <w:r w:rsidRPr="00967F80">
        <w:rPr>
          <w:szCs w:val="22"/>
        </w:rPr>
        <w:t xml:space="preserve"> a liečbou </w:t>
      </w:r>
      <w:proofErr w:type="spellStart"/>
      <w:r w:rsidRPr="00967F80">
        <w:rPr>
          <w:szCs w:val="22"/>
        </w:rPr>
        <w:t>SNRI</w:t>
      </w:r>
      <w:proofErr w:type="spellEnd"/>
      <w:r w:rsidRPr="00967F80">
        <w:rPr>
          <w:szCs w:val="22"/>
        </w:rPr>
        <w:t xml:space="preserve">, toto potenciálne riziko sa nedá vylúčiť pri 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, berúc do úvahy podobný mechanizmus účinku (inhibícia spätného vychytávania </w:t>
      </w:r>
      <w:proofErr w:type="spellStart"/>
      <w:r w:rsidRPr="00967F80">
        <w:rPr>
          <w:szCs w:val="22"/>
        </w:rPr>
        <w:t>sérotonínu</w:t>
      </w:r>
      <w:proofErr w:type="spellEnd"/>
      <w:r w:rsidRPr="00967F80">
        <w:rPr>
          <w:szCs w:val="22"/>
        </w:rPr>
        <w:t>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Ako aj u iných </w:t>
      </w:r>
      <w:proofErr w:type="spellStart"/>
      <w:r w:rsidR="00C27210" w:rsidRPr="00967F80">
        <w:rPr>
          <w:szCs w:val="22"/>
        </w:rPr>
        <w:t>sérotonergných</w:t>
      </w:r>
      <w:proofErr w:type="spellEnd"/>
      <w:r w:rsidR="00C27210" w:rsidRPr="00967F80">
        <w:rPr>
          <w:szCs w:val="22"/>
        </w:rPr>
        <w:t xml:space="preserve"> </w:t>
      </w:r>
      <w:r w:rsidRPr="00967F80">
        <w:rPr>
          <w:szCs w:val="22"/>
        </w:rPr>
        <w:t xml:space="preserve">liekov, ak matka užívala krátko pred pôrodom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, u novorodenca sa môžu vyskytnúť príznaky z vysadenia. Symptómy z vysadenia pozorované pri 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 môžu zahŕňať hypotóniu, tras, nervozitu, problémy s príjmom potravy, ťažkosti s dýchaním a kŕče. Väčšina prípadov sa vyskytla buď pri pôrode alebo niekoľko dní po pôrode.</w:t>
      </w:r>
    </w:p>
    <w:p w:rsidR="00052ED6" w:rsidRPr="00967F80" w:rsidRDefault="00052ED6">
      <w:pPr>
        <w:widowControl w:val="0"/>
        <w:autoSpaceDE w:val="0"/>
        <w:autoSpaceDN w:val="0"/>
        <w:adjustRightInd w:val="0"/>
        <w:rPr>
          <w:szCs w:val="22"/>
          <w:lang w:eastAsia="en-GB"/>
        </w:rPr>
      </w:pPr>
    </w:p>
    <w:p w:rsidR="00225702" w:rsidRPr="00E50B63" w:rsidRDefault="00225702" w:rsidP="00E50B63">
      <w:pPr>
        <w:pStyle w:val="Normlndobloku"/>
        <w:spacing w:after="0"/>
        <w:rPr>
          <w:szCs w:val="22"/>
        </w:rPr>
      </w:pPr>
      <w:r w:rsidRPr="00E50B63">
        <w:rPr>
          <w:szCs w:val="22"/>
        </w:rPr>
        <w:t xml:space="preserve">Údaje z </w:t>
      </w:r>
      <w:proofErr w:type="spellStart"/>
      <w:r w:rsidRPr="00E50B63">
        <w:rPr>
          <w:szCs w:val="22"/>
        </w:rPr>
        <w:t>observačných</w:t>
      </w:r>
      <w:proofErr w:type="spellEnd"/>
      <w:r w:rsidRPr="00E50B63">
        <w:rPr>
          <w:szCs w:val="22"/>
        </w:rPr>
        <w:t xml:space="preserve"> štúdií poskytli dôkazy o zvýšenom riziku (menej ako 2-násobné) popôrodného krvácania po expozícii </w:t>
      </w:r>
      <w:proofErr w:type="spellStart"/>
      <w:r w:rsidRPr="00E50B63">
        <w:rPr>
          <w:szCs w:val="22"/>
        </w:rPr>
        <w:t>duloxetínu</w:t>
      </w:r>
      <w:proofErr w:type="spellEnd"/>
      <w:r w:rsidRPr="00E50B63">
        <w:rPr>
          <w:szCs w:val="22"/>
        </w:rPr>
        <w:t xml:space="preserve"> počas posledného mesiaca pred pôrodom.</w:t>
      </w:r>
    </w:p>
    <w:p w:rsidR="00052ED6" w:rsidRPr="00967F80" w:rsidRDefault="00052ED6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sa má užívať v priebehu gravidity len vtedy, ak potenciálny prínos prevýši možné riziko pre plod. Ženy, ktoré otehotnejú alebo </w:t>
      </w:r>
      <w:r w:rsidR="00225702" w:rsidRPr="00967F80">
        <w:rPr>
          <w:szCs w:val="22"/>
        </w:rPr>
        <w:t>plánujú</w:t>
      </w:r>
      <w:r w:rsidRPr="00967F80">
        <w:rPr>
          <w:szCs w:val="22"/>
        </w:rPr>
        <w:t xml:space="preserve"> otehotnieť v priebehu liečby, je potrebné informovať, aby na to upozornili svojho lekára.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Doj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enie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je veľmi málo vylučovaný do ľudského materského mlieka vychádzajúc zo štúdie so 6</w:t>
      </w:r>
      <w:r w:rsidR="0098213E" w:rsidRPr="00967F80">
        <w:rPr>
          <w:szCs w:val="22"/>
        </w:rPr>
        <w:t> </w:t>
      </w:r>
      <w:r w:rsidRPr="00967F80">
        <w:rPr>
          <w:szCs w:val="22"/>
        </w:rPr>
        <w:t>pacientkami</w:t>
      </w:r>
      <w:r w:rsidR="00284025" w:rsidRPr="00967F80">
        <w:rPr>
          <w:szCs w:val="22"/>
        </w:rPr>
        <w:t xml:space="preserve"> počas laktácie</w:t>
      </w:r>
      <w:r w:rsidRPr="00967F80">
        <w:rPr>
          <w:szCs w:val="22"/>
        </w:rPr>
        <w:t xml:space="preserve">, ktoré nedojčili svoje deti. Odhadovaná denná dávka u dojčaťa v mg/kg je približne 0,14 % dávky podanej matke (pozri časť 5.2). Keďže nie je známa bezpečnosť podávania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u dojčiat, užívanie </w:t>
      </w:r>
      <w:proofErr w:type="spellStart"/>
      <w:r w:rsidRPr="00967F80">
        <w:rPr>
          <w:szCs w:val="22"/>
        </w:rPr>
        <w:t>ONELAR</w:t>
      </w:r>
      <w:r w:rsidR="00A10A9C" w:rsidRPr="00967F80">
        <w:rPr>
          <w:szCs w:val="22"/>
        </w:rPr>
        <w:t>U</w:t>
      </w:r>
      <w:proofErr w:type="spellEnd"/>
      <w:r w:rsidRPr="00967F80">
        <w:rPr>
          <w:szCs w:val="22"/>
        </w:rPr>
        <w:t xml:space="preserve"> sa počas dojčenia neodporúča.</w:t>
      </w:r>
    </w:p>
    <w:p w:rsidR="00052ED6" w:rsidRPr="00967F80" w:rsidRDefault="00052ED6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Ovplyvnenie schopnosti viesť vozidlá a obsluhovať stroje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Neuskutočnili sa žiadne štúdie o účinkoch na schopnosť viesť vozidlá a obsluhovať stroje. Užívanie lieku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môže súvisieť s výskytom útlmu a závratu. Pacienti majú byť poučení, že v prípade, ak sa u nich objaví útlm alebo závrat, majú sa vyvarovať potenciálne nebezpečných činností, akými sú vedenie vozidiel alebo obsluha strojov.</w:t>
      </w:r>
    </w:p>
    <w:p w:rsidR="00052ED6" w:rsidRPr="00967F80" w:rsidRDefault="00052ED6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Nežiaduce účinky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a. Súhrn bezpe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nostného profilu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Najčastejšie uvádzané nežiaduce reakcie u pacientov liečených liekom </w:t>
      </w:r>
      <w:proofErr w:type="spellStart"/>
      <w:r w:rsidRPr="00967F80">
        <w:rPr>
          <w:szCs w:val="22"/>
        </w:rPr>
        <w:t>ONELAR</w:t>
      </w:r>
      <w:proofErr w:type="spellEnd"/>
      <w:r w:rsidRPr="00967F80">
        <w:rPr>
          <w:szCs w:val="22"/>
        </w:rPr>
        <w:t xml:space="preserve"> boli nauzea, bolesť hlavy, sucho v ústach, </w:t>
      </w:r>
      <w:proofErr w:type="spellStart"/>
      <w:r w:rsidRPr="00967F80">
        <w:rPr>
          <w:szCs w:val="22"/>
        </w:rPr>
        <w:t>somnolencia</w:t>
      </w:r>
      <w:proofErr w:type="spellEnd"/>
      <w:r w:rsidRPr="00967F80">
        <w:rPr>
          <w:szCs w:val="22"/>
        </w:rPr>
        <w:t xml:space="preserve"> a závrat. Väčšinou však boli tieto časté nežiaduce reakcie len mierne či stredne závažné, objavili sa krátko po začiatku terapie a väčšinou mali tendenciu odznieť aj keď liečba pokračovala.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b. Tabu</w:t>
      </w:r>
      <w:r w:rsidRPr="00967F80">
        <w:rPr>
          <w:rFonts w:ascii="Times New Roman" w:hAnsi="Times New Roman" w:hint="eastAsia"/>
          <w:szCs w:val="22"/>
        </w:rPr>
        <w:t>ľ</w:t>
      </w:r>
      <w:r w:rsidRPr="00967F80">
        <w:rPr>
          <w:rFonts w:ascii="Times New Roman" w:hAnsi="Times New Roman"/>
          <w:szCs w:val="22"/>
        </w:rPr>
        <w:t xml:space="preserve">kový súhrn nežiaducich </w:t>
      </w:r>
      <w:r w:rsidRPr="00967F80">
        <w:rPr>
          <w:rFonts w:ascii="Times New Roman" w:hAnsi="Times New Roman" w:hint="eastAsia"/>
          <w:szCs w:val="22"/>
        </w:rPr>
        <w:t>úč</w:t>
      </w:r>
      <w:r w:rsidRPr="00967F80">
        <w:rPr>
          <w:rFonts w:ascii="Times New Roman" w:hAnsi="Times New Roman"/>
          <w:szCs w:val="22"/>
        </w:rPr>
        <w:t>inkov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Tabuľka 1 uvádza výskyt nežiaducich reakcií zaznamenaný zo spontánnych hlásení a v placebom kontrolovaných klinických štúdiách (celkovo 9 454 pacientov, 5 703 na 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 a 3 751 na placebe) s diagnózou depresie, generalizovanej úzkostnej poruchy a diabetickej </w:t>
      </w:r>
      <w:proofErr w:type="spellStart"/>
      <w:r w:rsidRPr="00967F80">
        <w:rPr>
          <w:szCs w:val="22"/>
        </w:rPr>
        <w:t>neuropatickej</w:t>
      </w:r>
      <w:proofErr w:type="spellEnd"/>
      <w:r w:rsidRPr="00967F80">
        <w:rPr>
          <w:szCs w:val="22"/>
        </w:rPr>
        <w:t xml:space="preserve"> bolesti.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FB18D9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Tabu</w:t>
      </w:r>
      <w:r w:rsidRPr="00967F80">
        <w:rPr>
          <w:rFonts w:ascii="Times New Roman" w:hAnsi="Times New Roman" w:hint="eastAsia"/>
          <w:szCs w:val="22"/>
        </w:rPr>
        <w:t>ľ</w:t>
      </w:r>
      <w:r w:rsidRPr="00967F80">
        <w:rPr>
          <w:rFonts w:ascii="Times New Roman" w:hAnsi="Times New Roman"/>
          <w:szCs w:val="22"/>
        </w:rPr>
        <w:t>ka 1: Nežiaduce reakcie</w:t>
      </w:r>
    </w:p>
    <w:p w:rsidR="00FB18D9" w:rsidRPr="00967F80" w:rsidRDefault="001A2F10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967F80">
        <w:rPr>
          <w:szCs w:val="22"/>
          <w:lang w:val="sk-SK"/>
        </w:rPr>
        <w:t>Frekvencia je definovaná nasledovne: veľmi časté (≥1/10), časté (≥1/100 až &lt;1/10), menej časté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(≥1/1 000 až &lt;1/100), zriedkavé (≥ 1/10 000 až &lt; 1/1 000), veľmi zriedkavé (&lt;1/10 000).</w:t>
      </w:r>
    </w:p>
    <w:p w:rsidR="001A2F10" w:rsidRPr="00967F80" w:rsidRDefault="001A2F10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967F80">
        <w:rPr>
          <w:szCs w:val="22"/>
          <w:lang w:val="sk-SK"/>
        </w:rPr>
        <w:t>V</w:t>
      </w:r>
      <w:r w:rsidR="0098213E" w:rsidRPr="00967F80">
        <w:rPr>
          <w:szCs w:val="22"/>
          <w:lang w:val="sk-SK"/>
        </w:rPr>
        <w:t xml:space="preserve"> každej </w:t>
      </w:r>
      <w:r w:rsidRPr="00967F80">
        <w:rPr>
          <w:szCs w:val="22"/>
          <w:lang w:val="sk-SK"/>
        </w:rPr>
        <w:t>skup</w:t>
      </w:r>
      <w:r w:rsidR="0098213E" w:rsidRPr="00967F80">
        <w:rPr>
          <w:szCs w:val="22"/>
          <w:lang w:val="sk-SK"/>
        </w:rPr>
        <w:t xml:space="preserve">ine </w:t>
      </w:r>
      <w:r w:rsidRPr="00967F80">
        <w:rPr>
          <w:szCs w:val="22"/>
          <w:lang w:val="sk-SK"/>
        </w:rPr>
        <w:t>frekvencií sú nežiaduce reakcie uvedené v poradí klesajúcej závažnosti.</w:t>
      </w:r>
    </w:p>
    <w:p w:rsidR="001A2F10" w:rsidRPr="00967F80" w:rsidRDefault="001A2F10">
      <w:pPr>
        <w:autoSpaceDE w:val="0"/>
        <w:autoSpaceDN w:val="0"/>
        <w:adjustRightInd w:val="0"/>
        <w:jc w:val="both"/>
        <w:rPr>
          <w:szCs w:val="22"/>
          <w:lang w:val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783"/>
        <w:gridCol w:w="2037"/>
        <w:gridCol w:w="1988"/>
        <w:gridCol w:w="1760"/>
      </w:tblGrid>
      <w:tr w:rsidR="001A2F10" w:rsidRPr="00967F80" w:rsidTr="00455EED">
        <w:trPr>
          <w:tblHeader/>
        </w:trPr>
        <w:tc>
          <w:tcPr>
            <w:tcW w:w="1871" w:type="dxa"/>
          </w:tcPr>
          <w:p w:rsidR="001A2F10" w:rsidRPr="00967F80" w:rsidRDefault="001A2F10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Ve</w:t>
            </w:r>
            <w:r w:rsidRPr="00967F80">
              <w:rPr>
                <w:rFonts w:ascii="Times New Roman" w:hAnsi="Times New Roman" w:hint="eastAsia"/>
                <w:szCs w:val="22"/>
              </w:rPr>
              <w:t>ľ</w:t>
            </w:r>
            <w:r w:rsidRPr="00967F80">
              <w:rPr>
                <w:rFonts w:ascii="Times New Roman" w:hAnsi="Times New Roman"/>
                <w:szCs w:val="22"/>
              </w:rPr>
              <w:t xml:space="preserve">mi 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asté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 xml:space="preserve">asté 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Menej 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asté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Zriedkavé </w:t>
            </w:r>
          </w:p>
        </w:tc>
        <w:tc>
          <w:tcPr>
            <w:tcW w:w="1872" w:type="dxa"/>
          </w:tcPr>
          <w:p w:rsidR="001A2F10" w:rsidRPr="00967F80" w:rsidRDefault="001A2F10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Ve</w:t>
            </w:r>
            <w:r w:rsidRPr="00967F80">
              <w:rPr>
                <w:rFonts w:ascii="Times New Roman" w:hAnsi="Times New Roman" w:hint="eastAsia"/>
                <w:szCs w:val="22"/>
              </w:rPr>
              <w:t>ľ</w:t>
            </w:r>
            <w:r w:rsidRPr="00967F80">
              <w:rPr>
                <w:rFonts w:ascii="Times New Roman" w:hAnsi="Times New Roman"/>
                <w:szCs w:val="22"/>
              </w:rPr>
              <w:t>mi zriedkavé</w:t>
            </w:r>
          </w:p>
        </w:tc>
      </w:tr>
      <w:tr w:rsidR="001A2F10" w:rsidRPr="00967F80" w:rsidTr="00455EED">
        <w:trPr>
          <w:trHeight w:val="341"/>
        </w:trPr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Infekcie a nákazy</w:t>
            </w:r>
          </w:p>
        </w:tc>
      </w:tr>
      <w:tr w:rsidR="001A2F10" w:rsidRPr="00967F80" w:rsidTr="00455EED">
        <w:trPr>
          <w:trHeight w:val="341"/>
        </w:trPr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Laryngitída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rPr>
          <w:trHeight w:val="341"/>
        </w:trPr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imunitného systému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Anafylaktická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reakcia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Hypersenzitivita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endokrinného systému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Hypotyreóza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metabolizmu a výživy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Znížená chu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  <w:r w:rsidRPr="00967F80">
              <w:rPr>
                <w:rFonts w:ascii="Times New Roman" w:hAnsi="Times New Roman"/>
                <w:szCs w:val="22"/>
              </w:rPr>
              <w:t xml:space="preserve"> do jedla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Hyperglykémia (hlásená hlavne u diabetických pacientov)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Dehydratácia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Hyponatriémia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SIADH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Psychické poruchy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Nespavos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Agitácia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Pokles libida</w:t>
            </w:r>
          </w:p>
          <w:p w:rsidR="00FB18D9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Úzkos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Abnormálny orgazmus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Abnormálne sny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Suicidálne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myšlienky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5,7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spánku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Bruxizmus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Dezorientácia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Apatia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Suicidálne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správanie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5,7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Mánia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Halucinácie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Agresia a 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hnev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4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nervového systému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Boles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  <w:r w:rsidRPr="00967F80">
              <w:rPr>
                <w:rFonts w:ascii="Times New Roman" w:hAnsi="Times New Roman"/>
                <w:szCs w:val="22"/>
              </w:rPr>
              <w:t xml:space="preserve"> hlavy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Somnolencia</w:t>
            </w:r>
            <w:proofErr w:type="spellEnd"/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Závrat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Letargia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Tras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Parestézia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Myoklónia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Akatízia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7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Nervozita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Porucha pozornosti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Porucha chuti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Dyskinéza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Syndróm nepokojných nôh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Znížená kvalita spánku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Sérotonínový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syndróm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K</w:t>
            </w:r>
            <w:r w:rsidRPr="00967F80">
              <w:rPr>
                <w:rFonts w:ascii="Times New Roman" w:hAnsi="Times New Roman" w:hint="eastAsia"/>
                <w:szCs w:val="22"/>
              </w:rPr>
              <w:t>ŕč</w:t>
            </w:r>
            <w:r w:rsidRPr="00967F80">
              <w:rPr>
                <w:rFonts w:ascii="Times New Roman" w:hAnsi="Times New Roman"/>
                <w:szCs w:val="22"/>
              </w:rPr>
              <w:t>e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1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Psychomotorický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nepokoj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Extrapyramídové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symptómy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oka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Rozmazané videnie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Mydriáza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Zhoršenie zraku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Glaukóm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ucha a labyrintu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Tinitus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1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Vertigo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Boles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  <w:r w:rsidRPr="00967F80">
              <w:rPr>
                <w:rFonts w:ascii="Times New Roman" w:hAnsi="Times New Roman"/>
                <w:szCs w:val="22"/>
              </w:rPr>
              <w:t xml:space="preserve"> ucha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Poruchy srdca a srdcovej 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innosti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Palpi</w:t>
            </w:r>
            <w:r w:rsidR="00BF6C9C" w:rsidRPr="00967F80">
              <w:rPr>
                <w:rFonts w:ascii="Times New Roman" w:hAnsi="Times New Roman"/>
                <w:szCs w:val="22"/>
              </w:rPr>
              <w:t>t</w:t>
            </w:r>
            <w:r w:rsidRPr="00967F80">
              <w:rPr>
                <w:rFonts w:ascii="Times New Roman" w:hAnsi="Times New Roman"/>
                <w:szCs w:val="22"/>
              </w:rPr>
              <w:t>ácie</w:t>
            </w:r>
            <w:proofErr w:type="spellEnd"/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Tachykardia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Supraventrikulárna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arytmia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, hlavne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atriálna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fibrilácia</w:t>
            </w:r>
            <w:proofErr w:type="spellEnd"/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ciev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Zvýšenie krvného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tlaku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3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 xml:space="preserve">ervenanie 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Synkopa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2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Hypertenzia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3,7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Ortostatická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hypotenzia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2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Chlad periférnej 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asti kon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atín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Hypertenzná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kríza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3,6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Poruchy dýchacej sústavy, hrudníka a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mediastína</w:t>
            </w:r>
            <w:proofErr w:type="spellEnd"/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Zívanie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Zvieranie hrdla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Epistaxa</w:t>
            </w:r>
            <w:proofErr w:type="spellEnd"/>
          </w:p>
        </w:tc>
        <w:tc>
          <w:tcPr>
            <w:tcW w:w="1871" w:type="dxa"/>
          </w:tcPr>
          <w:p w:rsidR="001A2F10" w:rsidRPr="00967F80" w:rsidRDefault="00AE01A3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vertAlign w:val="superscript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I</w:t>
            </w:r>
            <w:r w:rsidR="00135FE9" w:rsidRPr="00967F80">
              <w:rPr>
                <w:rFonts w:ascii="Times New Roman" w:hAnsi="Times New Roman"/>
                <w:szCs w:val="22"/>
              </w:rPr>
              <w:t>ntersticiálna</w:t>
            </w:r>
            <w:proofErr w:type="spellEnd"/>
            <w:r w:rsidR="00135FE9" w:rsidRPr="00967F80">
              <w:rPr>
                <w:rFonts w:ascii="Times New Roman" w:hAnsi="Times New Roman"/>
                <w:szCs w:val="22"/>
              </w:rPr>
              <w:t xml:space="preserve"> choroba </w:t>
            </w:r>
            <w:proofErr w:type="spellStart"/>
            <w:r w:rsidR="00135FE9" w:rsidRPr="00967F80">
              <w:rPr>
                <w:rFonts w:ascii="Times New Roman" w:hAnsi="Times New Roman"/>
                <w:szCs w:val="22"/>
              </w:rPr>
              <w:t>p</w:t>
            </w:r>
            <w:r w:rsidR="00135FE9" w:rsidRPr="00967F80">
              <w:rPr>
                <w:rFonts w:ascii="Times New Roman" w:hAnsi="Times New Roman" w:hint="eastAsia"/>
                <w:szCs w:val="22"/>
              </w:rPr>
              <w:t>ľú</w:t>
            </w:r>
            <w:r w:rsidR="00135FE9" w:rsidRPr="00967F80">
              <w:rPr>
                <w:rFonts w:ascii="Times New Roman" w:hAnsi="Times New Roman"/>
                <w:szCs w:val="22"/>
              </w:rPr>
              <w:t>c</w:t>
            </w:r>
            <w:r w:rsidR="00052ED6" w:rsidRPr="00967F80">
              <w:rPr>
                <w:rFonts w:ascii="Times New Roman" w:hAnsi="Times New Roman"/>
                <w:szCs w:val="22"/>
                <w:vertAlign w:val="superscript"/>
              </w:rPr>
              <w:t>10</w:t>
            </w:r>
            <w:proofErr w:type="spellEnd"/>
          </w:p>
          <w:p w:rsidR="00AE01A3" w:rsidRPr="00967F80" w:rsidRDefault="00AE01A3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Eozinofilná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pneumónia</w:t>
            </w:r>
            <w:r w:rsidR="007F40DE"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gastrointestinálneho traktu</w:t>
            </w:r>
          </w:p>
        </w:tc>
      </w:tr>
      <w:tr w:rsidR="001A2F10" w:rsidRPr="00967F80" w:rsidTr="00455EED">
        <w:tc>
          <w:tcPr>
            <w:tcW w:w="1871" w:type="dxa"/>
          </w:tcPr>
          <w:p w:rsidR="00FB18D9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Nauzea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Sucho v ústach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Zápcha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Hna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ka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Boles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  <w:r w:rsidRPr="00967F80">
              <w:rPr>
                <w:rFonts w:ascii="Times New Roman" w:hAnsi="Times New Roman"/>
                <w:szCs w:val="22"/>
              </w:rPr>
              <w:t xml:space="preserve"> brucha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Vracanie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Dyspepsia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Flatulencia</w:t>
            </w:r>
            <w:proofErr w:type="spellEnd"/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Gastrointestinálne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krvácanie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7</w:t>
            </w:r>
            <w:proofErr w:type="spellEnd"/>
          </w:p>
          <w:p w:rsidR="00FB18D9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Gastroenteritída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Grganie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Gastritída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Dysfágia</w:t>
            </w:r>
            <w:proofErr w:type="spellEnd"/>
          </w:p>
        </w:tc>
        <w:tc>
          <w:tcPr>
            <w:tcW w:w="1871" w:type="dxa"/>
          </w:tcPr>
          <w:p w:rsidR="00455EED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Somatitída</w:t>
            </w:r>
            <w:proofErr w:type="spellEnd"/>
          </w:p>
          <w:p w:rsidR="00455EED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Hematochézia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Zápach z</w:t>
            </w:r>
            <w:r w:rsidR="001B7103" w:rsidRPr="00967F80">
              <w:rPr>
                <w:rFonts w:ascii="Times New Roman" w:hAnsi="Times New Roman"/>
                <w:szCs w:val="22"/>
              </w:rPr>
              <w:t> </w:t>
            </w:r>
            <w:r w:rsidRPr="00967F80">
              <w:rPr>
                <w:rFonts w:ascii="Times New Roman" w:hAnsi="Times New Roman"/>
                <w:szCs w:val="22"/>
              </w:rPr>
              <w:t>úst</w:t>
            </w:r>
          </w:p>
          <w:p w:rsidR="001B7103" w:rsidRPr="00967F80" w:rsidRDefault="001B7103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Mikroskopická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kolitída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pe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ene a žl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ových ciest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Hepatitída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3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Zvýšené hladiny pe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e</w:t>
            </w:r>
            <w:r w:rsidRPr="00967F80">
              <w:rPr>
                <w:rFonts w:ascii="Times New Roman" w:hAnsi="Times New Roman" w:hint="eastAsia"/>
                <w:szCs w:val="22"/>
              </w:rPr>
              <w:t>ň</w:t>
            </w:r>
            <w:r w:rsidRPr="00967F80">
              <w:rPr>
                <w:rFonts w:ascii="Times New Roman" w:hAnsi="Times New Roman"/>
                <w:szCs w:val="22"/>
              </w:rPr>
              <w:t xml:space="preserve">ových enzýmov (ALT,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AST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, alkalická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fosfatáza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>)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Akútne poškodenie pe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ene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Zlyhanie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pe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ene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Žlta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ka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kože a podkožného tkaniva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Zvýšené potenie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Vyrážka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No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né potenie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Urtikária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Kontaktná dermatitída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Studený pot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Fotosenzitívne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reakcie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Zvýšený sklon k tvorbe modrín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Stevensov-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Johnsonov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syndróm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Angioneurotický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edém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967F80" w:rsidRDefault="001B7103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Kožná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vaskulitída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kostrovej a svalovej sústavy a spojivového tkaniva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Boles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  <w:r w:rsidRPr="00967F80">
              <w:rPr>
                <w:rFonts w:ascii="Times New Roman" w:hAnsi="Times New Roman"/>
                <w:szCs w:val="22"/>
              </w:rPr>
              <w:t xml:space="preserve"> svalov a kostí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Svalový k</w:t>
            </w:r>
            <w:r w:rsidRPr="00967F80">
              <w:rPr>
                <w:rFonts w:ascii="Times New Roman" w:hAnsi="Times New Roman" w:hint="eastAsia"/>
                <w:szCs w:val="22"/>
              </w:rPr>
              <w:t>ŕč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Napätie svalov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Zášklby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svalov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Trizmus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obli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iek a mo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ových ciest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Dyzúria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Polakizúria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Retencia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mo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u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Oneskorené mo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enie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Noktúria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Polyúria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Slabý prúd mo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u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Abnormálny zápach mo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u</w:t>
            </w:r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reproduk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ného systému a prsníkov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Erektilná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dysfunkcia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Porucha ejakulácie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Oneskorená ejakulácia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Gynekologické krvácanie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menštruácie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Sexuálna dysfunkcia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Testikulárna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boles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</w:p>
        </w:tc>
        <w:tc>
          <w:tcPr>
            <w:tcW w:w="1871" w:type="dxa"/>
          </w:tcPr>
          <w:p w:rsidR="00FB18D9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Menopauzálne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symptómy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Galaktorea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Hyperprolaktinémia</w:t>
            </w:r>
            <w:proofErr w:type="spellEnd"/>
          </w:p>
          <w:p w:rsidR="001B7103" w:rsidRPr="00967F80" w:rsidRDefault="001B7103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vertAlign w:val="superscript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Popôrodné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krvácanie</w:t>
            </w:r>
            <w:r w:rsidR="00225702" w:rsidRPr="00967F80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lastRenderedPageBreak/>
              <w:t>Celkové poruchy a reakcie v mieste podania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967F80">
              <w:rPr>
                <w:rFonts w:ascii="Times New Roman" w:hAnsi="Times New Roman"/>
                <w:szCs w:val="22"/>
              </w:rPr>
              <w:t>Pády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8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Únava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Boles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  <w:r w:rsidRPr="00967F80">
              <w:rPr>
                <w:rFonts w:ascii="Times New Roman" w:hAnsi="Times New Roman"/>
                <w:szCs w:val="22"/>
              </w:rPr>
              <w:t xml:space="preserve"> v 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hrudi</w:t>
            </w:r>
            <w:r w:rsidRPr="00967F80">
              <w:rPr>
                <w:rFonts w:ascii="Times New Roman" w:hAnsi="Times New Roman"/>
                <w:szCs w:val="22"/>
                <w:vertAlign w:val="superscript"/>
              </w:rPr>
              <w:t>7</w:t>
            </w:r>
            <w:proofErr w:type="spellEnd"/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Neobvyklé pocity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Pocit chladu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Smäd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Zimnica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Malátnos</w:t>
            </w:r>
            <w:r w:rsidRPr="00967F80">
              <w:rPr>
                <w:rFonts w:ascii="Times New Roman" w:hAnsi="Times New Roman" w:hint="eastAsia"/>
                <w:szCs w:val="22"/>
              </w:rPr>
              <w:t>ť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Pocit tepla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Poruchy chôdze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967F80" w:rsidTr="00455EED">
        <w:tc>
          <w:tcPr>
            <w:tcW w:w="9356" w:type="dxa"/>
            <w:gridSpan w:val="5"/>
          </w:tcPr>
          <w:p w:rsidR="001A2F10" w:rsidRPr="00967F80" w:rsidRDefault="001A2F10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Laboratórne a funk</w:t>
            </w:r>
            <w:r w:rsidRPr="00967F80">
              <w:rPr>
                <w:rFonts w:ascii="Times New Roman" w:hAnsi="Times New Roman" w:hint="eastAsia"/>
                <w:szCs w:val="22"/>
              </w:rPr>
              <w:t>č</w:t>
            </w:r>
            <w:r w:rsidRPr="00967F80">
              <w:rPr>
                <w:rFonts w:ascii="Times New Roman" w:hAnsi="Times New Roman"/>
                <w:szCs w:val="22"/>
              </w:rPr>
              <w:t>né vyšetrenia</w:t>
            </w:r>
          </w:p>
        </w:tc>
      </w:tr>
      <w:tr w:rsidR="001A2F10" w:rsidRPr="00967F80" w:rsidTr="00455EED"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Pokles hmotnosti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Nárast hmotnosti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 xml:space="preserve">Zvýšená hladina </w:t>
            </w:r>
            <w:proofErr w:type="spellStart"/>
            <w:r w:rsidRPr="00967F80">
              <w:rPr>
                <w:rFonts w:ascii="Times New Roman" w:hAnsi="Times New Roman"/>
                <w:szCs w:val="22"/>
              </w:rPr>
              <w:t>kreatinínfosfokiná</w:t>
            </w:r>
            <w:r w:rsidR="00455EED" w:rsidRPr="00967F80">
              <w:rPr>
                <w:rFonts w:ascii="Times New Roman" w:hAnsi="Times New Roman"/>
                <w:szCs w:val="22"/>
              </w:rPr>
              <w:t>zy</w:t>
            </w:r>
            <w:proofErr w:type="spellEnd"/>
            <w:r w:rsidRPr="00967F80">
              <w:rPr>
                <w:rFonts w:ascii="Times New Roman" w:hAnsi="Times New Roman"/>
                <w:szCs w:val="22"/>
              </w:rPr>
              <w:t xml:space="preserve"> v krvi</w:t>
            </w:r>
          </w:p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Zvýšená hladina draslíka v krvi</w:t>
            </w:r>
          </w:p>
        </w:tc>
        <w:tc>
          <w:tcPr>
            <w:tcW w:w="1871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967F80">
              <w:rPr>
                <w:rFonts w:ascii="Times New Roman" w:hAnsi="Times New Roman"/>
                <w:szCs w:val="22"/>
              </w:rPr>
              <w:t>Zvýšená hladina cholesterolu v krvi</w:t>
            </w:r>
          </w:p>
        </w:tc>
        <w:tc>
          <w:tcPr>
            <w:tcW w:w="1872" w:type="dxa"/>
          </w:tcPr>
          <w:p w:rsidR="001A2F10" w:rsidRPr="00967F80" w:rsidRDefault="001A2F10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</w:tbl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1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>Boli hlásené tiež prípady kŕčov a </w:t>
      </w:r>
      <w:proofErr w:type="spellStart"/>
      <w:r w:rsidRPr="00E50B63">
        <w:rPr>
          <w:sz w:val="20"/>
          <w:szCs w:val="20"/>
        </w:rPr>
        <w:t>tinitu</w:t>
      </w:r>
      <w:proofErr w:type="spellEnd"/>
      <w:r w:rsidRPr="00E50B63">
        <w:rPr>
          <w:sz w:val="20"/>
          <w:szCs w:val="20"/>
        </w:rPr>
        <w:t xml:space="preserve"> po skončení liečby.</w:t>
      </w:r>
    </w:p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2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 xml:space="preserve">Boli hlásené prípady </w:t>
      </w:r>
      <w:proofErr w:type="spellStart"/>
      <w:r w:rsidRPr="00E50B63">
        <w:rPr>
          <w:sz w:val="20"/>
          <w:szCs w:val="20"/>
        </w:rPr>
        <w:t>ortostatickej</w:t>
      </w:r>
      <w:proofErr w:type="spellEnd"/>
      <w:r w:rsidRPr="00E50B63">
        <w:rPr>
          <w:sz w:val="20"/>
          <w:szCs w:val="20"/>
        </w:rPr>
        <w:t xml:space="preserve"> hypotenzie a synkopy hlavne na začiatku liečby.</w:t>
      </w:r>
    </w:p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3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>Pozri časť 4.4.</w:t>
      </w:r>
    </w:p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4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>Boli hlásené prípady agresie a hnevu hlavne na začiatku liečby alebo po skončení liečby.</w:t>
      </w:r>
    </w:p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5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 xml:space="preserve">Boli hlásené prípady samovražedných myšlienok a samovražedného správania počas liečby </w:t>
      </w:r>
      <w:proofErr w:type="spellStart"/>
      <w:r w:rsidRPr="00E50B63">
        <w:rPr>
          <w:sz w:val="20"/>
          <w:szCs w:val="20"/>
        </w:rPr>
        <w:t>duloxetínom</w:t>
      </w:r>
      <w:proofErr w:type="spellEnd"/>
      <w:r w:rsidRPr="00E50B63">
        <w:rPr>
          <w:sz w:val="20"/>
          <w:szCs w:val="20"/>
        </w:rPr>
        <w:t xml:space="preserve"> alebo v krátkom čase po skončení liečby (pozri časť 4.4).</w:t>
      </w:r>
    </w:p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6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>Odhadovaná frekvencia na základe post-marketingového sledovania nežiaducich reakcií; nepozorované v placebom kontrolovaných klinických skúšaniach.</w:t>
      </w:r>
    </w:p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7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>Nie je štatisticky významný rozdiel oproti placebu.</w:t>
      </w:r>
    </w:p>
    <w:p w:rsidR="001A2F10" w:rsidRPr="00E50B63" w:rsidRDefault="001A2F10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>8</w:t>
      </w:r>
      <w:r w:rsidR="00455EED" w:rsidRPr="00E50B63">
        <w:rPr>
          <w:sz w:val="20"/>
          <w:szCs w:val="20"/>
        </w:rPr>
        <w:t xml:space="preserve"> </w:t>
      </w:r>
      <w:r w:rsidRPr="00E50B63">
        <w:rPr>
          <w:sz w:val="20"/>
          <w:szCs w:val="20"/>
        </w:rPr>
        <w:t>Pády boli častejšie u starších pacientov (≥65 rokov)</w:t>
      </w:r>
    </w:p>
    <w:p w:rsidR="001B7103" w:rsidRPr="00E50B63" w:rsidRDefault="001B7103">
      <w:pPr>
        <w:pStyle w:val="Normlndobloku"/>
        <w:spacing w:after="0"/>
        <w:rPr>
          <w:sz w:val="20"/>
          <w:szCs w:val="20"/>
        </w:rPr>
      </w:pPr>
      <w:r w:rsidRPr="00E50B63">
        <w:rPr>
          <w:sz w:val="20"/>
          <w:szCs w:val="20"/>
          <w:vertAlign w:val="superscript"/>
        </w:rPr>
        <w:t xml:space="preserve">9 </w:t>
      </w:r>
      <w:r w:rsidRPr="00E50B63">
        <w:rPr>
          <w:sz w:val="20"/>
          <w:szCs w:val="20"/>
        </w:rPr>
        <w:t>Odhadovaná frekvencia na základe údajov z klinických skúšaní</w:t>
      </w:r>
    </w:p>
    <w:p w:rsidR="00AE01A3" w:rsidRPr="00E50B63" w:rsidRDefault="001B7103">
      <w:pPr>
        <w:pStyle w:val="Normlndobloku"/>
        <w:spacing w:after="0"/>
        <w:rPr>
          <w:sz w:val="20"/>
          <w:szCs w:val="20"/>
        </w:rPr>
      </w:pPr>
      <w:proofErr w:type="spellStart"/>
      <w:r w:rsidRPr="00E50B63">
        <w:rPr>
          <w:sz w:val="20"/>
          <w:szCs w:val="20"/>
          <w:vertAlign w:val="superscript"/>
        </w:rPr>
        <w:t>10</w:t>
      </w:r>
      <w:r w:rsidR="00AE01A3" w:rsidRPr="00E50B63">
        <w:rPr>
          <w:sz w:val="20"/>
          <w:szCs w:val="20"/>
        </w:rPr>
        <w:t>Odhadovaná</w:t>
      </w:r>
      <w:proofErr w:type="spellEnd"/>
      <w:r w:rsidR="00AE01A3" w:rsidRPr="00E50B63">
        <w:rPr>
          <w:sz w:val="20"/>
          <w:szCs w:val="20"/>
        </w:rPr>
        <w:t xml:space="preserve"> frekvencia na základe klinických skúšaní kontrolovaných placebom.</w:t>
      </w:r>
    </w:p>
    <w:p w:rsidR="001B7103" w:rsidRPr="00967F80" w:rsidRDefault="001B7103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 xml:space="preserve">c) </w:t>
      </w:r>
      <w:r w:rsidR="001A2F10" w:rsidRPr="00967F80">
        <w:rPr>
          <w:rFonts w:ascii="Times New Roman" w:hAnsi="Times New Roman"/>
          <w:szCs w:val="22"/>
        </w:rPr>
        <w:t>Opis vybraných nežiaducich reakcií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Vysadenie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(hlavne náhle) vedie často k vzniku príznakov z vysadenia. Najčastejšie sú hlásené tieto príznaky: </w:t>
      </w:r>
      <w:r w:rsidR="005336C6" w:rsidRPr="00967F80">
        <w:rPr>
          <w:szCs w:val="22"/>
        </w:rPr>
        <w:t>závrat</w:t>
      </w:r>
      <w:r w:rsidRPr="00967F80">
        <w:rPr>
          <w:szCs w:val="22"/>
        </w:rPr>
        <w:t xml:space="preserve">, senzorické poruchy (vrátane </w:t>
      </w:r>
      <w:proofErr w:type="spellStart"/>
      <w:r w:rsidRPr="00967F80">
        <w:rPr>
          <w:szCs w:val="22"/>
        </w:rPr>
        <w:t>parestézie</w:t>
      </w:r>
      <w:proofErr w:type="spellEnd"/>
      <w:r w:rsidRPr="00967F80">
        <w:rPr>
          <w:szCs w:val="22"/>
        </w:rPr>
        <w:t xml:space="preserve"> alebo vnemov ako pri elektrickom šoku, najmä v hlave), poruchy spánku (vrátane </w:t>
      </w:r>
      <w:proofErr w:type="spellStart"/>
      <w:r w:rsidRPr="00967F80">
        <w:rPr>
          <w:szCs w:val="22"/>
        </w:rPr>
        <w:t>insomnie</w:t>
      </w:r>
      <w:proofErr w:type="spellEnd"/>
      <w:r w:rsidRPr="00967F80">
        <w:rPr>
          <w:szCs w:val="22"/>
        </w:rPr>
        <w:t xml:space="preserve"> a intenzívnych snov), únava, </w:t>
      </w:r>
      <w:proofErr w:type="spellStart"/>
      <w:r w:rsidRPr="00967F80">
        <w:rPr>
          <w:szCs w:val="22"/>
        </w:rPr>
        <w:t>somnolencia</w:t>
      </w:r>
      <w:proofErr w:type="spellEnd"/>
      <w:r w:rsidRPr="00967F80">
        <w:rPr>
          <w:szCs w:val="22"/>
        </w:rPr>
        <w:t xml:space="preserve">, </w:t>
      </w:r>
      <w:r w:rsidR="005336C6" w:rsidRPr="00967F80">
        <w:rPr>
          <w:szCs w:val="22"/>
        </w:rPr>
        <w:t xml:space="preserve">agitácia </w:t>
      </w:r>
      <w:r w:rsidRPr="00967F80">
        <w:rPr>
          <w:szCs w:val="22"/>
        </w:rPr>
        <w:t xml:space="preserve">alebo úzkosť, nauzea a/alebo vracanie, tras, bolesť hlavy, </w:t>
      </w:r>
      <w:proofErr w:type="spellStart"/>
      <w:r w:rsidRPr="00967F80">
        <w:rPr>
          <w:szCs w:val="22"/>
        </w:rPr>
        <w:t>myalgia</w:t>
      </w:r>
      <w:proofErr w:type="spellEnd"/>
      <w:r w:rsidRPr="00967F80">
        <w:rPr>
          <w:szCs w:val="22"/>
        </w:rPr>
        <w:t>, podráždenosť, hnačka, zvýšené potenie a </w:t>
      </w:r>
      <w:proofErr w:type="spellStart"/>
      <w:r w:rsidR="005336C6" w:rsidRPr="00967F80">
        <w:rPr>
          <w:szCs w:val="22"/>
        </w:rPr>
        <w:t>vertigo</w:t>
      </w:r>
      <w:proofErr w:type="spellEnd"/>
      <w:r w:rsidRPr="00967F80">
        <w:rPr>
          <w:szCs w:val="22"/>
        </w:rPr>
        <w:t>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Zvyčajne sú tieto reakcie, v prípade SSRI a </w:t>
      </w:r>
      <w:proofErr w:type="spellStart"/>
      <w:r w:rsidRPr="00967F80">
        <w:rPr>
          <w:szCs w:val="22"/>
        </w:rPr>
        <w:t>SNRI</w:t>
      </w:r>
      <w:proofErr w:type="spellEnd"/>
      <w:r w:rsidRPr="00967F80">
        <w:rPr>
          <w:szCs w:val="22"/>
        </w:rPr>
        <w:t xml:space="preserve">, mierne až </w:t>
      </w:r>
      <w:r w:rsidR="005336C6" w:rsidRPr="00967F80">
        <w:rPr>
          <w:szCs w:val="22"/>
        </w:rPr>
        <w:t xml:space="preserve">stredne závažné </w:t>
      </w:r>
      <w:r w:rsidRPr="00967F80">
        <w:rPr>
          <w:szCs w:val="22"/>
        </w:rPr>
        <w:t xml:space="preserve">a samé odznejú, avšak u niektorých pacientov môžu byť vážne a/alebo dlhšieho trvania. Preto sa odporúča, ak nie je liečba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ďalej potrebná, postupné vysadenie liečby znižovaním dávky (pozri časti 4.2 a 4.4).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V 12-týždňovej akútnej fáze troch klinických štúdií s 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u pacientov trpiacich diabetickou </w:t>
      </w:r>
      <w:proofErr w:type="spellStart"/>
      <w:r w:rsidRPr="00967F80">
        <w:rPr>
          <w:szCs w:val="22"/>
        </w:rPr>
        <w:t>neuropatickou</w:t>
      </w:r>
      <w:proofErr w:type="spellEnd"/>
      <w:r w:rsidRPr="00967F80">
        <w:rPr>
          <w:szCs w:val="22"/>
        </w:rPr>
        <w:t xml:space="preserve"> bolesťou došlo u 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k miernemu, avšak štatisticky významnému zvýšeniu hladiny glukózy v krvi nalačno. Hodnoty </w:t>
      </w:r>
      <w:proofErr w:type="spellStart"/>
      <w:r w:rsidRPr="00967F80">
        <w:rPr>
          <w:szCs w:val="22"/>
        </w:rPr>
        <w:t>HbA1c</w:t>
      </w:r>
      <w:proofErr w:type="spellEnd"/>
      <w:r w:rsidRPr="00967F80">
        <w:rPr>
          <w:szCs w:val="22"/>
        </w:rPr>
        <w:t xml:space="preserve"> boli stabilné aj u 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aj u pacientov s placebom. V následnej fáze týchto štúdií, ktorá trvala až 52</w:t>
      </w:r>
      <w:r w:rsidR="00D40F20" w:rsidRPr="00967F80">
        <w:rPr>
          <w:szCs w:val="22"/>
        </w:rPr>
        <w:t> t</w:t>
      </w:r>
      <w:r w:rsidRPr="00967F80">
        <w:rPr>
          <w:szCs w:val="22"/>
        </w:rPr>
        <w:t xml:space="preserve">ýždňov, sa objavilo v oboch skupinách pacientov zvýšenie hodnoty </w:t>
      </w:r>
      <w:proofErr w:type="spellStart"/>
      <w:r w:rsidRPr="00967F80">
        <w:rPr>
          <w:szCs w:val="22"/>
        </w:rPr>
        <w:t>HbA1c</w:t>
      </w:r>
      <w:proofErr w:type="spellEnd"/>
      <w:r w:rsidRPr="00967F80">
        <w:rPr>
          <w:szCs w:val="22"/>
        </w:rPr>
        <w:t xml:space="preserve">, pričom priemerné zvýšenie bolo o 0,3 % vyššie v skupine 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. Zaznamenalo sa tiež mierne zvýšenie glukózy v krvi nalačno a celkového cholesterolu u 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>, pričom tieto laboratórne testy v kontrolnej skupine ukázali mierny pokles.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QT</w:t>
      </w:r>
      <w:proofErr w:type="spellEnd"/>
      <w:r w:rsidRPr="00967F80">
        <w:rPr>
          <w:szCs w:val="22"/>
        </w:rPr>
        <w:t xml:space="preserve"> interval korigovaný podľa srdcovej frekvencie sa u 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nelíšil od </w:t>
      </w:r>
      <w:proofErr w:type="spellStart"/>
      <w:r w:rsidR="00D40F20" w:rsidRPr="00967F80">
        <w:rPr>
          <w:szCs w:val="22"/>
        </w:rPr>
        <w:t>QT</w:t>
      </w:r>
      <w:proofErr w:type="spellEnd"/>
      <w:r w:rsidR="00D40F20" w:rsidRPr="00967F80">
        <w:rPr>
          <w:szCs w:val="22"/>
        </w:rPr>
        <w:t xml:space="preserve"> interval </w:t>
      </w:r>
      <w:r w:rsidRPr="00967F80">
        <w:rPr>
          <w:szCs w:val="22"/>
        </w:rPr>
        <w:t xml:space="preserve">zisteného u pacientov užívajúcich placebo. V rámci porovnania 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 pacientov užívajúcich placebo pri meraniach </w:t>
      </w:r>
      <w:proofErr w:type="spellStart"/>
      <w:r w:rsidRPr="00967F80">
        <w:rPr>
          <w:szCs w:val="22"/>
        </w:rPr>
        <w:t>QT</w:t>
      </w:r>
      <w:proofErr w:type="spellEnd"/>
      <w:r w:rsidRPr="00967F80">
        <w:rPr>
          <w:szCs w:val="22"/>
        </w:rPr>
        <w:t xml:space="preserve">, PR, </w:t>
      </w:r>
      <w:proofErr w:type="spellStart"/>
      <w:r w:rsidRPr="00967F80">
        <w:rPr>
          <w:szCs w:val="22"/>
        </w:rPr>
        <w:t>QRS</w:t>
      </w:r>
      <w:proofErr w:type="spellEnd"/>
      <w:r w:rsidRPr="00967F80">
        <w:rPr>
          <w:szCs w:val="22"/>
        </w:rPr>
        <w:t xml:space="preserve"> alebo </w:t>
      </w:r>
      <w:proofErr w:type="spellStart"/>
      <w:r w:rsidRPr="00967F80">
        <w:rPr>
          <w:szCs w:val="22"/>
        </w:rPr>
        <w:t>QTcB</w:t>
      </w:r>
      <w:proofErr w:type="spellEnd"/>
      <w:r w:rsidRPr="00967F80">
        <w:rPr>
          <w:szCs w:val="22"/>
        </w:rPr>
        <w:t xml:space="preserve"> neboli zistené žiadne klinicky významné rozdiely.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d. Pediatrická populácia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klinických štúdiách bolo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liečených celkovo 509 pediatrických pacientov s veľkou depresívnou poruchou vo veku 7 až 17 rokov a 241 pediatrických pacientov s generalizovanou úzkostnou poruchou vo veku 7 až 17 rokov. Vo všeobecnosti bol profil nežiaducich reakcií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u detí a dospievajúcich podobný tomu u dospelých.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Celkom </w:t>
      </w:r>
      <w:r w:rsidR="00D40F20" w:rsidRPr="00967F80">
        <w:rPr>
          <w:szCs w:val="22"/>
        </w:rPr>
        <w:t xml:space="preserve">u </w:t>
      </w:r>
      <w:r w:rsidRPr="00967F80">
        <w:rPr>
          <w:szCs w:val="22"/>
        </w:rPr>
        <w:t xml:space="preserve">467 pediatrických pacientov pôvodne randomizovaných na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v klinických štúdiách došlo k zníženiu hmotnosti v priemere o 0,1 kg počas 10 týždňov v porovnaní s nárastom v priemere o 0,9</w:t>
      </w:r>
      <w:r w:rsidR="00D40F20" w:rsidRPr="00967F80">
        <w:rPr>
          <w:szCs w:val="22"/>
        </w:rPr>
        <w:t> </w:t>
      </w:r>
      <w:r w:rsidRPr="00967F80">
        <w:rPr>
          <w:szCs w:val="22"/>
        </w:rPr>
        <w:t xml:space="preserve">kg u 353 pacientov užívajúcich placebo. Následne počas 4- až 6-mesačnej predĺženej fázy mali pacienti v priemere tendenciu k návratu k svojmu pôvodnému </w:t>
      </w:r>
      <w:proofErr w:type="spellStart"/>
      <w:r w:rsidRPr="00967F80">
        <w:rPr>
          <w:szCs w:val="22"/>
        </w:rPr>
        <w:t>percentilu</w:t>
      </w:r>
      <w:proofErr w:type="spellEnd"/>
      <w:r w:rsidRPr="00967F80">
        <w:rPr>
          <w:szCs w:val="22"/>
        </w:rPr>
        <w:t xml:space="preserve"> hmotnosti očakávanému na základe populačných údajov o veku a pohlaví rovesníkov (pozri časť 4.4).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klinických štúdiách v trvaní najviac 9 mesiacov bol u pediatrických 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 </w:t>
      </w:r>
      <w:proofErr w:type="spellStart"/>
      <w:r w:rsidRPr="00967F80">
        <w:rPr>
          <w:szCs w:val="22"/>
        </w:rPr>
        <w:t>percentilovom</w:t>
      </w:r>
      <w:proofErr w:type="spellEnd"/>
      <w:r w:rsidRPr="00967F80">
        <w:rPr>
          <w:szCs w:val="22"/>
        </w:rPr>
        <w:t xml:space="preserve"> grafe telesnej výšky pozorovaný celkový priemerný pokles o 1 % (pokles o 2 % u detí (7 </w:t>
      </w:r>
      <w:r w:rsidR="00D40F20" w:rsidRPr="00967F80">
        <w:rPr>
          <w:szCs w:val="22"/>
        </w:rPr>
        <w:t>–</w:t>
      </w:r>
      <w:r w:rsidRPr="00967F80">
        <w:rPr>
          <w:szCs w:val="22"/>
        </w:rPr>
        <w:t> 11 rokov) a nárast o 0,3 % u dospievajúcich (12 </w:t>
      </w:r>
      <w:r w:rsidR="00D40F20" w:rsidRPr="00967F80">
        <w:rPr>
          <w:szCs w:val="22"/>
        </w:rPr>
        <w:t>–</w:t>
      </w:r>
      <w:r w:rsidRPr="00967F80">
        <w:rPr>
          <w:szCs w:val="22"/>
        </w:rPr>
        <w:t> 17 rokov)) (pozri časť 4.4).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>Hlásenie podozrení na nežiaduce reakcie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233D2" w:rsidRPr="00967F80">
        <w:rPr>
          <w:szCs w:val="22"/>
        </w:rPr>
        <w:t>na</w:t>
      </w:r>
      <w:r w:rsidR="003233D2" w:rsidRPr="00967F80">
        <w:rPr>
          <w:szCs w:val="22"/>
          <w:highlight w:val="lightGray"/>
        </w:rPr>
        <w:t xml:space="preserve"> národné centrum</w:t>
      </w:r>
      <w:r w:rsidR="003233D2" w:rsidRPr="00967F80">
        <w:rPr>
          <w:szCs w:val="22"/>
        </w:rPr>
        <w:t xml:space="preserve"> </w:t>
      </w:r>
      <w:r w:rsidRPr="00967F80">
        <w:rPr>
          <w:szCs w:val="22"/>
          <w:highlight w:val="lightGray"/>
        </w:rPr>
        <w:t>hlásenia uvedené v </w:t>
      </w:r>
      <w:hyperlink r:id="rId8" w:history="1">
        <w:r w:rsidRPr="00967F80">
          <w:rPr>
            <w:szCs w:val="22"/>
            <w:highlight w:val="lightGray"/>
          </w:rPr>
          <w:t>Prílohe V</w:t>
        </w:r>
      </w:hyperlink>
      <w:r w:rsidRPr="00967F80">
        <w:rPr>
          <w:szCs w:val="22"/>
        </w:rPr>
        <w:t>.</w:t>
      </w:r>
    </w:p>
    <w:p w:rsidR="001B7103" w:rsidRPr="00967F80" w:rsidRDefault="001B7103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Predávkovanie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Zaznamenali sa prípady predávkovania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samotným alebo v kombinácii s inými liekmi, v dávke 5400 mg. Vyskytlo sa i niekoľko prípadov úmrtia, najmä pri predávkovaní kombináciou liekov, ale aj pri predávkovaní samotným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 dávke približne 1000 mg. Príznaky a symptómy predávkovania (samotným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alebo v kombinácii s inými liekmi) zahŕňajú </w:t>
      </w:r>
      <w:proofErr w:type="spellStart"/>
      <w:r w:rsidRPr="00967F80">
        <w:rPr>
          <w:szCs w:val="22"/>
        </w:rPr>
        <w:t>somnolenciu</w:t>
      </w:r>
      <w:proofErr w:type="spellEnd"/>
      <w:r w:rsidRPr="00967F80">
        <w:rPr>
          <w:szCs w:val="22"/>
        </w:rPr>
        <w:t xml:space="preserve">, kómu, </w:t>
      </w:r>
      <w:proofErr w:type="spellStart"/>
      <w:r w:rsidRPr="00967F80">
        <w:rPr>
          <w:szCs w:val="22"/>
        </w:rPr>
        <w:t>sérotonínový</w:t>
      </w:r>
      <w:proofErr w:type="spellEnd"/>
      <w:r w:rsidRPr="00967F80">
        <w:rPr>
          <w:szCs w:val="22"/>
        </w:rPr>
        <w:t xml:space="preserve"> syndróm, záchvaty, vracanie a </w:t>
      </w:r>
      <w:proofErr w:type="spellStart"/>
      <w:r w:rsidRPr="00967F80">
        <w:rPr>
          <w:szCs w:val="22"/>
        </w:rPr>
        <w:t>tachykardiu</w:t>
      </w:r>
      <w:proofErr w:type="spellEnd"/>
      <w:r w:rsidRPr="00967F80">
        <w:rPr>
          <w:szCs w:val="22"/>
        </w:rPr>
        <w:t>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Nie je známe žiadne špecifické </w:t>
      </w:r>
      <w:proofErr w:type="spellStart"/>
      <w:r w:rsidRPr="00967F80">
        <w:rPr>
          <w:szCs w:val="22"/>
        </w:rPr>
        <w:t>antidotum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, ale ak sa vyskytne </w:t>
      </w:r>
      <w:proofErr w:type="spellStart"/>
      <w:r w:rsidRPr="00967F80">
        <w:rPr>
          <w:szCs w:val="22"/>
        </w:rPr>
        <w:t>sérotonínový</w:t>
      </w:r>
      <w:proofErr w:type="spellEnd"/>
      <w:r w:rsidRPr="00967F80">
        <w:rPr>
          <w:szCs w:val="22"/>
        </w:rPr>
        <w:t xml:space="preserve"> syndróm, má sa zvážiť špecifická liečba (ako je </w:t>
      </w:r>
      <w:proofErr w:type="spellStart"/>
      <w:r w:rsidRPr="00967F80">
        <w:rPr>
          <w:szCs w:val="22"/>
        </w:rPr>
        <w:t>cyproheptadín</w:t>
      </w:r>
      <w:proofErr w:type="spellEnd"/>
      <w:r w:rsidRPr="00967F80">
        <w:rPr>
          <w:szCs w:val="22"/>
        </w:rPr>
        <w:t xml:space="preserve"> a/alebo kontrola teploty). Je potrebné zabezpečiť priechodnosť dýchacích ciest. Zároveň sa odporúča monitorovať funkciu srdca ako aj všetky vitálne funkcie spolu s náležitými symptomatickými a podpornými opatreniami. Výplach žalúdka sa môže indikovať, ak je prevedený ihneď po požití alebo u symptomatických pacientov. Aktívne uhlie môže byť prospešné na obmedzenie absorpcie.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má rozsiahly objem distribúcie a je málo pravdepodobné, že by forsírovaná </w:t>
      </w:r>
      <w:proofErr w:type="spellStart"/>
      <w:r w:rsidRPr="00967F80">
        <w:rPr>
          <w:szCs w:val="22"/>
        </w:rPr>
        <w:t>diuréza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hemoperfúzia</w:t>
      </w:r>
      <w:proofErr w:type="spellEnd"/>
      <w:r w:rsidRPr="00967F80">
        <w:rPr>
          <w:szCs w:val="22"/>
        </w:rPr>
        <w:t xml:space="preserve"> či výmenná </w:t>
      </w:r>
      <w:proofErr w:type="spellStart"/>
      <w:r w:rsidRPr="00967F80">
        <w:rPr>
          <w:szCs w:val="22"/>
        </w:rPr>
        <w:t>perfúzia</w:t>
      </w:r>
      <w:proofErr w:type="spellEnd"/>
      <w:r w:rsidRPr="00967F80">
        <w:rPr>
          <w:szCs w:val="22"/>
        </w:rPr>
        <w:t xml:space="preserve"> mohli byť v tomto prípade prospešné.</w:t>
      </w: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225702" w:rsidRPr="00967F80" w:rsidRDefault="00225702">
      <w:pPr>
        <w:pStyle w:val="Normlndobloku"/>
        <w:spacing w:after="0"/>
        <w:rPr>
          <w:szCs w:val="22"/>
        </w:rPr>
      </w:pPr>
    </w:p>
    <w:p w:rsidR="001A2F10" w:rsidRPr="00967F80" w:rsidRDefault="001A2F10" w:rsidP="00E50B63">
      <w:pPr>
        <w:pStyle w:val="Styl1"/>
        <w:numPr>
          <w:ilvl w:val="0"/>
          <w:numId w:val="1"/>
        </w:numPr>
        <w:spacing w:before="0"/>
        <w:ind w:left="357" w:hanging="357"/>
        <w:rPr>
          <w:szCs w:val="22"/>
        </w:rPr>
      </w:pPr>
      <w:r w:rsidRPr="00967F80">
        <w:rPr>
          <w:szCs w:val="22"/>
        </w:rPr>
        <w:t>FARMAKOLOGICKÉ VLASTNOSTI</w:t>
      </w:r>
    </w:p>
    <w:p w:rsidR="001A2F10" w:rsidRPr="00967F80" w:rsidRDefault="001A2F10" w:rsidP="00E50B63">
      <w:pPr>
        <w:pStyle w:val="Styl2"/>
        <w:numPr>
          <w:ilvl w:val="1"/>
          <w:numId w:val="1"/>
        </w:numPr>
        <w:spacing w:before="0"/>
        <w:ind w:left="357" w:hanging="357"/>
        <w:rPr>
          <w:szCs w:val="22"/>
          <w:lang w:val="sk-SK"/>
        </w:rPr>
      </w:pPr>
      <w:proofErr w:type="spellStart"/>
      <w:r w:rsidRPr="00967F80">
        <w:rPr>
          <w:szCs w:val="22"/>
          <w:lang w:val="sk-SK"/>
        </w:rPr>
        <w:t>Farmakodynamické</w:t>
      </w:r>
      <w:proofErr w:type="spellEnd"/>
      <w:r w:rsidRPr="00967F80">
        <w:rPr>
          <w:szCs w:val="22"/>
          <w:lang w:val="sk-SK"/>
        </w:rPr>
        <w:t xml:space="preserve"> vlastnosti</w:t>
      </w:r>
    </w:p>
    <w:p w:rsidR="001B7103" w:rsidRPr="00967F80" w:rsidRDefault="001B7103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Farmakoterapeutická</w:t>
      </w:r>
      <w:proofErr w:type="spellEnd"/>
      <w:r w:rsidRPr="00967F80">
        <w:rPr>
          <w:szCs w:val="22"/>
        </w:rPr>
        <w:t xml:space="preserve"> skupina: Iné </w:t>
      </w:r>
      <w:proofErr w:type="spellStart"/>
      <w:r w:rsidRPr="00967F80">
        <w:rPr>
          <w:szCs w:val="22"/>
        </w:rPr>
        <w:t>antidepresíva</w:t>
      </w:r>
      <w:proofErr w:type="spellEnd"/>
      <w:r w:rsidR="004B30F7"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ATC</w:t>
      </w:r>
      <w:proofErr w:type="spellEnd"/>
      <w:r w:rsidRPr="00967F80">
        <w:rPr>
          <w:szCs w:val="22"/>
        </w:rPr>
        <w:t xml:space="preserve"> kód </w:t>
      </w:r>
      <w:proofErr w:type="spellStart"/>
      <w:r w:rsidRPr="00967F80">
        <w:rPr>
          <w:szCs w:val="22"/>
        </w:rPr>
        <w:t>N06AX21</w:t>
      </w:r>
      <w:proofErr w:type="spellEnd"/>
    </w:p>
    <w:p w:rsidR="001B7103" w:rsidRPr="00967F80" w:rsidRDefault="001B7103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Mechanizmus ú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inku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je kombinovaný inhibítor spätného vychytávania </w:t>
      </w:r>
      <w:proofErr w:type="spellStart"/>
      <w:r w:rsidRPr="00967F80">
        <w:rPr>
          <w:szCs w:val="22"/>
        </w:rPr>
        <w:t>sérotonínu</w:t>
      </w:r>
      <w:proofErr w:type="spellEnd"/>
      <w:r w:rsidRPr="00967F80">
        <w:rPr>
          <w:szCs w:val="22"/>
        </w:rPr>
        <w:t xml:space="preserve"> (5-</w:t>
      </w:r>
      <w:proofErr w:type="spellStart"/>
      <w:r w:rsidRPr="00967F80">
        <w:rPr>
          <w:szCs w:val="22"/>
        </w:rPr>
        <w:t>HT</w:t>
      </w:r>
      <w:proofErr w:type="spellEnd"/>
      <w:r w:rsidRPr="00967F80">
        <w:rPr>
          <w:szCs w:val="22"/>
        </w:rPr>
        <w:t>) a </w:t>
      </w:r>
      <w:proofErr w:type="spellStart"/>
      <w:r w:rsidRPr="00967F80">
        <w:rPr>
          <w:szCs w:val="22"/>
        </w:rPr>
        <w:t>noradrenalínu</w:t>
      </w:r>
      <w:proofErr w:type="spellEnd"/>
      <w:r w:rsidRPr="00967F80">
        <w:rPr>
          <w:szCs w:val="22"/>
        </w:rPr>
        <w:t xml:space="preserve"> (NA). Slabo </w:t>
      </w:r>
      <w:proofErr w:type="spellStart"/>
      <w:r w:rsidRPr="00967F80">
        <w:rPr>
          <w:szCs w:val="22"/>
        </w:rPr>
        <w:t>inhibuje</w:t>
      </w:r>
      <w:proofErr w:type="spellEnd"/>
      <w:r w:rsidRPr="00967F80">
        <w:rPr>
          <w:szCs w:val="22"/>
        </w:rPr>
        <w:t xml:space="preserve"> spätné vychytávanie </w:t>
      </w:r>
      <w:proofErr w:type="spellStart"/>
      <w:r w:rsidRPr="00967F80">
        <w:rPr>
          <w:szCs w:val="22"/>
        </w:rPr>
        <w:t>dopamínu</w:t>
      </w:r>
      <w:proofErr w:type="spellEnd"/>
      <w:r w:rsidRPr="00967F80">
        <w:rPr>
          <w:szCs w:val="22"/>
        </w:rPr>
        <w:t xml:space="preserve">, bez významnej afinity k histamínovým, </w:t>
      </w:r>
      <w:proofErr w:type="spellStart"/>
      <w:r w:rsidR="003A571C" w:rsidRPr="00967F80">
        <w:rPr>
          <w:szCs w:val="22"/>
        </w:rPr>
        <w:t>dopaminergným</w:t>
      </w:r>
      <w:proofErr w:type="spellEnd"/>
      <w:r w:rsidRPr="00967F80">
        <w:rPr>
          <w:szCs w:val="22"/>
        </w:rPr>
        <w:t xml:space="preserve">, </w:t>
      </w:r>
      <w:proofErr w:type="spellStart"/>
      <w:r w:rsidR="003A571C" w:rsidRPr="00967F80">
        <w:rPr>
          <w:szCs w:val="22"/>
        </w:rPr>
        <w:t>cholinergným</w:t>
      </w:r>
      <w:proofErr w:type="spellEnd"/>
      <w:r w:rsidR="003A571C" w:rsidRPr="00967F80">
        <w:rPr>
          <w:szCs w:val="22"/>
        </w:rPr>
        <w:t xml:space="preserve"> </w:t>
      </w:r>
      <w:r w:rsidRPr="00967F80">
        <w:rPr>
          <w:szCs w:val="22"/>
        </w:rPr>
        <w:t>a </w:t>
      </w:r>
      <w:proofErr w:type="spellStart"/>
      <w:r w:rsidR="003A571C" w:rsidRPr="00967F80">
        <w:rPr>
          <w:szCs w:val="22"/>
        </w:rPr>
        <w:t>adrenergným</w:t>
      </w:r>
      <w:proofErr w:type="spellEnd"/>
      <w:r w:rsidR="003A571C" w:rsidRPr="00967F80">
        <w:rPr>
          <w:szCs w:val="22"/>
        </w:rPr>
        <w:t xml:space="preserve"> </w:t>
      </w:r>
      <w:r w:rsidRPr="00967F80">
        <w:rPr>
          <w:szCs w:val="22"/>
        </w:rPr>
        <w:t xml:space="preserve">receptorom. V závislosti od dávky zvyšuje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extracelulárne</w:t>
      </w:r>
      <w:proofErr w:type="spellEnd"/>
      <w:r w:rsidRPr="00967F80">
        <w:rPr>
          <w:szCs w:val="22"/>
        </w:rPr>
        <w:t xml:space="preserve"> hladiny </w:t>
      </w:r>
      <w:proofErr w:type="spellStart"/>
      <w:r w:rsidRPr="00967F80">
        <w:rPr>
          <w:szCs w:val="22"/>
        </w:rPr>
        <w:t>sérotonínu</w:t>
      </w:r>
      <w:proofErr w:type="spellEnd"/>
      <w:r w:rsidRPr="00967F80">
        <w:rPr>
          <w:szCs w:val="22"/>
        </w:rPr>
        <w:t xml:space="preserve"> a </w:t>
      </w:r>
      <w:proofErr w:type="spellStart"/>
      <w:r w:rsidRPr="00967F80">
        <w:rPr>
          <w:szCs w:val="22"/>
        </w:rPr>
        <w:t>noradrenalínu</w:t>
      </w:r>
      <w:proofErr w:type="spellEnd"/>
      <w:r w:rsidRPr="00967F80">
        <w:rPr>
          <w:szCs w:val="22"/>
        </w:rPr>
        <w:t xml:space="preserve"> v rozličných častiach mozgu zvierat.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>
      <w:pPr>
        <w:pStyle w:val="Styl4"/>
        <w:spacing w:after="0"/>
        <w:rPr>
          <w:rFonts w:ascii="Times New Roman" w:hAnsi="Times New Roman"/>
          <w:szCs w:val="22"/>
        </w:rPr>
      </w:pPr>
      <w:proofErr w:type="spellStart"/>
      <w:r w:rsidRPr="00967F80">
        <w:rPr>
          <w:rFonts w:ascii="Times New Roman" w:hAnsi="Times New Roman"/>
          <w:szCs w:val="22"/>
        </w:rPr>
        <w:t>Farmakodynamické</w:t>
      </w:r>
      <w:proofErr w:type="spellEnd"/>
      <w:r w:rsidRPr="00967F80">
        <w:rPr>
          <w:rFonts w:ascii="Times New Roman" w:hAnsi="Times New Roman"/>
          <w:szCs w:val="22"/>
        </w:rPr>
        <w:t xml:space="preserve"> ú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inky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predklinických modeloch </w:t>
      </w:r>
      <w:proofErr w:type="spellStart"/>
      <w:r w:rsidRPr="00967F80">
        <w:rPr>
          <w:szCs w:val="22"/>
        </w:rPr>
        <w:t>neuropatickej</w:t>
      </w:r>
      <w:proofErr w:type="spellEnd"/>
      <w:r w:rsidRPr="00967F80">
        <w:rPr>
          <w:szCs w:val="22"/>
        </w:rPr>
        <w:t xml:space="preserve"> a zápalovej bolesti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normalizoval prah bolesti a v rámci modelu </w:t>
      </w:r>
      <w:proofErr w:type="spellStart"/>
      <w:r w:rsidRPr="00967F80">
        <w:rPr>
          <w:szCs w:val="22"/>
        </w:rPr>
        <w:t>perzistentnej</w:t>
      </w:r>
      <w:proofErr w:type="spellEnd"/>
      <w:r w:rsidRPr="00967F80">
        <w:rPr>
          <w:szCs w:val="22"/>
        </w:rPr>
        <w:t xml:space="preserve"> bolesti zmierňoval bolestivé reagovanie. Predpokladá sa, že inhibičný účinok </w:t>
      </w:r>
      <w:proofErr w:type="spellStart"/>
      <w:r w:rsidRPr="00967F80">
        <w:rPr>
          <w:szCs w:val="22"/>
        </w:rPr>
        <w:lastRenderedPageBreak/>
        <w:t>duloxetínu</w:t>
      </w:r>
      <w:proofErr w:type="spellEnd"/>
      <w:r w:rsidRPr="00967F80">
        <w:rPr>
          <w:szCs w:val="22"/>
        </w:rPr>
        <w:t xml:space="preserve"> na bolesť je dôsledkom </w:t>
      </w:r>
      <w:proofErr w:type="spellStart"/>
      <w:r w:rsidRPr="00967F80">
        <w:rPr>
          <w:szCs w:val="22"/>
        </w:rPr>
        <w:t>potenciácie</w:t>
      </w:r>
      <w:proofErr w:type="spellEnd"/>
      <w:r w:rsidRPr="00967F80">
        <w:rPr>
          <w:szCs w:val="22"/>
        </w:rPr>
        <w:t xml:space="preserve"> zostupných bolesť </w:t>
      </w:r>
      <w:proofErr w:type="spellStart"/>
      <w:r w:rsidRPr="00967F80">
        <w:rPr>
          <w:szCs w:val="22"/>
        </w:rPr>
        <w:t>inhibujúcich</w:t>
      </w:r>
      <w:proofErr w:type="spellEnd"/>
      <w:r w:rsidRPr="00967F80">
        <w:rPr>
          <w:szCs w:val="22"/>
        </w:rPr>
        <w:t xml:space="preserve"> dráh v centrálnom nervovom systéme.</w:t>
      </w:r>
    </w:p>
    <w:p w:rsidR="00225702" w:rsidRPr="00967F80" w:rsidRDefault="00225702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 w:rsidP="00E50B63">
      <w:pPr>
        <w:pStyle w:val="Styl4"/>
        <w:keepNext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Klinická ú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innos</w:t>
      </w:r>
      <w:r w:rsidRPr="00967F80">
        <w:rPr>
          <w:rFonts w:ascii="Times New Roman" w:hAnsi="Times New Roman" w:hint="eastAsia"/>
          <w:szCs w:val="22"/>
        </w:rPr>
        <w:t>ť</w:t>
      </w:r>
      <w:r w:rsidRPr="00967F80">
        <w:rPr>
          <w:rFonts w:ascii="Times New Roman" w:hAnsi="Times New Roman"/>
          <w:szCs w:val="22"/>
        </w:rPr>
        <w:t xml:space="preserve"> a bezpe</w:t>
      </w:r>
      <w:r w:rsidRPr="00967F80">
        <w:rPr>
          <w:rFonts w:ascii="Times New Roman" w:hAnsi="Times New Roman" w:hint="eastAsia"/>
          <w:szCs w:val="22"/>
        </w:rPr>
        <w:t>č</w:t>
      </w:r>
      <w:r w:rsidRPr="00967F80">
        <w:rPr>
          <w:rFonts w:ascii="Times New Roman" w:hAnsi="Times New Roman"/>
          <w:szCs w:val="22"/>
        </w:rPr>
        <w:t>nos</w:t>
      </w:r>
      <w:r w:rsidRPr="00967F80">
        <w:rPr>
          <w:rFonts w:ascii="Times New Roman" w:hAnsi="Times New Roman" w:hint="eastAsia"/>
          <w:szCs w:val="22"/>
        </w:rPr>
        <w:t>ť</w:t>
      </w:r>
    </w:p>
    <w:p w:rsidR="001A2F10" w:rsidRPr="00967F80" w:rsidRDefault="001A2F10" w:rsidP="00E50B63">
      <w:pPr>
        <w:pStyle w:val="Normlndobloku"/>
        <w:keepNext/>
        <w:spacing w:after="0"/>
        <w:rPr>
          <w:szCs w:val="22"/>
        </w:rPr>
      </w:pPr>
      <w:r w:rsidRPr="00967F80">
        <w:rPr>
          <w:rStyle w:val="Bacil"/>
          <w:szCs w:val="22"/>
        </w:rPr>
        <w:t>Veľká depresívna porucha</w:t>
      </w:r>
      <w:r w:rsidR="004B30F7" w:rsidRPr="00967F80">
        <w:rPr>
          <w:rStyle w:val="Bacil"/>
          <w:szCs w:val="22"/>
        </w:rPr>
        <w:t>:</w:t>
      </w:r>
      <w:r w:rsidR="004B30F7"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bol skúmaný v klinickom programe, do ktorého bolo zaradených 3158 pacientov (1285 </w:t>
      </w:r>
      <w:proofErr w:type="spellStart"/>
      <w:r w:rsidRPr="00967F80">
        <w:rPr>
          <w:szCs w:val="22"/>
        </w:rPr>
        <w:t>pacientorokov</w:t>
      </w:r>
      <w:proofErr w:type="spellEnd"/>
      <w:r w:rsidRPr="00967F80">
        <w:rPr>
          <w:szCs w:val="22"/>
        </w:rPr>
        <w:t xml:space="preserve"> expozície), ktorí spĺňali kritériá </w:t>
      </w:r>
      <w:proofErr w:type="spellStart"/>
      <w:r w:rsidRPr="00967F80">
        <w:rPr>
          <w:szCs w:val="22"/>
        </w:rPr>
        <w:t>DSM</w:t>
      </w:r>
      <w:proofErr w:type="spellEnd"/>
      <w:r w:rsidRPr="00967F80">
        <w:rPr>
          <w:szCs w:val="22"/>
        </w:rPr>
        <w:t xml:space="preserve">-IV pre veľkú depresívnu poruchu. Účinnosť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pri odporúčanej dávke 60 mg jedenkrát denne bola preukázaná v troch z troch randomizovaných, dvojito zaslepených, placebom kontrolovaných akútnych (krátkodobých) štúdiách s fixnou dávkou u dospelých ambulantných pacientov s veľkou depresívnou poruchou. Celkovo sa účinnosť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preukázala pri denných dávkach v rozmedzí od 60 do 120 mg v celkovo piatich zo siedmich randomizovaných, dvojito zaslepených, placebom kontrolovaných akútnych (krátkodobých) štúdiách s fixnou dávkou u dospelých ambulantných pacientov s veľkou depresívnou poruchou.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preukázal štatistickú prevahu nad placebom pri meraní zlepšenia celkového skóre 17-bodovej </w:t>
      </w:r>
      <w:proofErr w:type="spellStart"/>
      <w:r w:rsidRPr="00967F80">
        <w:rPr>
          <w:szCs w:val="22"/>
        </w:rPr>
        <w:t>Hamiltonovej</w:t>
      </w:r>
      <w:proofErr w:type="spellEnd"/>
      <w:r w:rsidRPr="00967F80">
        <w:rPr>
          <w:szCs w:val="22"/>
        </w:rPr>
        <w:t xml:space="preserve"> škály na posudzovanie depresie (HAM-D) (vrátane emočných aj somatických symptómov depresie). Miera odpovede na liečbu a </w:t>
      </w:r>
      <w:proofErr w:type="spellStart"/>
      <w:r w:rsidRPr="00967F80">
        <w:rPr>
          <w:szCs w:val="22"/>
        </w:rPr>
        <w:t>remisie</w:t>
      </w:r>
      <w:proofErr w:type="spellEnd"/>
      <w:r w:rsidRPr="00967F80">
        <w:rPr>
          <w:szCs w:val="22"/>
        </w:rPr>
        <w:t xml:space="preserve"> boli taktiež štatisticky významne vyššie pri 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 ako pri placebe. Iba malá časť pacientov zahrnutých do </w:t>
      </w:r>
      <w:proofErr w:type="spellStart"/>
      <w:r w:rsidRPr="00967F80">
        <w:rPr>
          <w:szCs w:val="22"/>
        </w:rPr>
        <w:t>pivotných</w:t>
      </w:r>
      <w:proofErr w:type="spellEnd"/>
      <w:r w:rsidRPr="00967F80">
        <w:rPr>
          <w:szCs w:val="22"/>
        </w:rPr>
        <w:t xml:space="preserve"> klinických štúdií mala </w:t>
      </w:r>
      <w:r w:rsidR="003631BB" w:rsidRPr="00967F80">
        <w:rPr>
          <w:szCs w:val="22"/>
        </w:rPr>
        <w:t xml:space="preserve">závažnú </w:t>
      </w:r>
      <w:r w:rsidRPr="00967F80">
        <w:rPr>
          <w:szCs w:val="22"/>
        </w:rPr>
        <w:t>depresiu (vstupné skóre HAM-D&gt;25).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štúdii zameranej na prevenciu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 boli pacienti reagujúci na 12-týždňovú otvorenú akútnu liečbu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 dávke 60</w:t>
      </w:r>
      <w:r w:rsidR="001B74E0" w:rsidRPr="00967F80">
        <w:rPr>
          <w:szCs w:val="22"/>
        </w:rPr>
        <w:t> </w:t>
      </w:r>
      <w:r w:rsidRPr="00967F80">
        <w:rPr>
          <w:szCs w:val="22"/>
        </w:rPr>
        <w:t xml:space="preserve">mg jedenkrát denne </w:t>
      </w:r>
      <w:proofErr w:type="spellStart"/>
      <w:r w:rsidRPr="00967F80">
        <w:rPr>
          <w:szCs w:val="22"/>
        </w:rPr>
        <w:t>randomizovaní</w:t>
      </w:r>
      <w:proofErr w:type="spellEnd"/>
      <w:r w:rsidRPr="00967F80">
        <w:rPr>
          <w:szCs w:val="22"/>
        </w:rPr>
        <w:t xml:space="preserve"> na užívanie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60 mg jedenkrát denne alebo na užívanie placeba ďalších 6 mesiacov.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v dávke 60 mg jedenkrát denne preukázal štatisticky signifikantnú prevahu nad placebom (p=0,004) v hodnotení hlavného cieľa štúdie, prevencie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 depresie, hodnoteného časom do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. </w:t>
      </w:r>
      <w:proofErr w:type="spellStart"/>
      <w:r w:rsidRPr="00967F80">
        <w:rPr>
          <w:szCs w:val="22"/>
        </w:rPr>
        <w:t>Incidencia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 počas nasledovného 6-mesačného dvojito zaslepeného obdobia bola 17 % pre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a 29 % pre placebo.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Počas 52</w:t>
      </w:r>
      <w:r w:rsidR="001B74E0" w:rsidRPr="00967F80">
        <w:rPr>
          <w:szCs w:val="22"/>
        </w:rPr>
        <w:t>-</w:t>
      </w:r>
      <w:r w:rsidRPr="00967F80">
        <w:rPr>
          <w:szCs w:val="22"/>
        </w:rPr>
        <w:t>týždennej placebom kontrolovanej dvojito zaslepenej liečby mali pacienti s </w:t>
      </w:r>
      <w:proofErr w:type="spellStart"/>
      <w:r w:rsidRPr="00967F80">
        <w:rPr>
          <w:szCs w:val="22"/>
        </w:rPr>
        <w:t>rekurentnou</w:t>
      </w:r>
      <w:proofErr w:type="spellEnd"/>
      <w:r w:rsidRPr="00967F80">
        <w:rPr>
          <w:szCs w:val="22"/>
        </w:rPr>
        <w:t xml:space="preserve"> veľkou depresívnou poruchou liečení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 porovnaní s pacientmi užívajúcich placebo podstatne dlhšie (p &lt; 0,001) obdobie bez príznakov. Všetci pacienti odpovedali na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počas predošlej otvorenej (</w:t>
      </w:r>
      <w:proofErr w:type="spellStart"/>
      <w:r w:rsidRPr="00967F80">
        <w:rPr>
          <w:szCs w:val="22"/>
        </w:rPr>
        <w:t>open-label</w:t>
      </w:r>
      <w:proofErr w:type="spellEnd"/>
      <w:r w:rsidRPr="00967F80">
        <w:rPr>
          <w:szCs w:val="22"/>
        </w:rPr>
        <w:t>) liečby s dávkou 60 až 120 mg/deň počas 28 až 34 týždňov. V priebehu 52</w:t>
      </w:r>
      <w:r w:rsidR="001B74E0" w:rsidRPr="00967F80">
        <w:rPr>
          <w:szCs w:val="22"/>
        </w:rPr>
        <w:t>-</w:t>
      </w:r>
      <w:r w:rsidRPr="00967F80">
        <w:rPr>
          <w:szCs w:val="22"/>
        </w:rPr>
        <w:t xml:space="preserve">týždennej placebom kontrolovanej dvojito zaslepenej liečby sa vrátili príznaky depresie 14,4 % pacientom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 33,1 % pacientom užívajúcim placebo (p &lt; 0,001).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Účinok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60 mg raz denne u starších depresívnych pacientov (≥65 rokov) bol konkrétne hodnotený v štúdii, ktorá preukázala štatisticky významný rozdiel v redukcii </w:t>
      </w:r>
      <w:proofErr w:type="spellStart"/>
      <w:r w:rsidRPr="00967F80">
        <w:rPr>
          <w:szCs w:val="22"/>
        </w:rPr>
        <w:t>HAMD17</w:t>
      </w:r>
      <w:proofErr w:type="spellEnd"/>
      <w:r w:rsidRPr="00967F80">
        <w:rPr>
          <w:szCs w:val="22"/>
        </w:rPr>
        <w:t xml:space="preserve"> skóre u 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 porovnaní s placebom. </w:t>
      </w:r>
      <w:r w:rsidR="007E0477" w:rsidRPr="00967F80">
        <w:rPr>
          <w:szCs w:val="22"/>
        </w:rPr>
        <w:t>Znášanlivosť</w:t>
      </w:r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60 mg raz denne u starších pacientov bola porovnateľná s tou pozorovanou u mladších pacientov. Avšak, údaje o starších pacientoch vystavených maximálnej dávke (120 mg denne) sú obmedzené a preto sa pri liečbe tejto populácie odporúča opatrnosť.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Generalizovaná úzkostná porucha</w:t>
      </w:r>
      <w:r w:rsidR="001B74E0" w:rsidRPr="00967F80">
        <w:rPr>
          <w:rStyle w:val="Bacil"/>
          <w:szCs w:val="22"/>
        </w:rPr>
        <w:t>:</w:t>
      </w:r>
      <w:r w:rsidR="001B74E0" w:rsidRPr="00967F80">
        <w:rPr>
          <w:szCs w:val="22"/>
        </w:rPr>
        <w:t xml:space="preserve"> </w:t>
      </w:r>
      <w:proofErr w:type="spellStart"/>
      <w:r w:rsidRPr="00967F80">
        <w:rPr>
          <w:iCs/>
          <w:szCs w:val="22"/>
        </w:rPr>
        <w:t>Duloxetín</w:t>
      </w:r>
      <w:proofErr w:type="spellEnd"/>
      <w:r w:rsidRPr="00967F80">
        <w:rPr>
          <w:iCs/>
          <w:szCs w:val="22"/>
        </w:rPr>
        <w:t xml:space="preserve"> </w:t>
      </w:r>
      <w:r w:rsidRPr="00967F80">
        <w:rPr>
          <w:szCs w:val="22"/>
        </w:rPr>
        <w:t>preukázal štatisticky významnú prevahu nad placebom v</w:t>
      </w:r>
      <w:r w:rsidR="001B74E0" w:rsidRPr="00967F80">
        <w:rPr>
          <w:szCs w:val="22"/>
        </w:rPr>
        <w:t>o všetkých</w:t>
      </w:r>
      <w:r w:rsidR="00FB18D9" w:rsidRPr="00967F80">
        <w:rPr>
          <w:szCs w:val="22"/>
        </w:rPr>
        <w:t xml:space="preserve"> </w:t>
      </w:r>
      <w:r w:rsidRPr="00967F80">
        <w:rPr>
          <w:szCs w:val="22"/>
        </w:rPr>
        <w:t>piatich štúdi</w:t>
      </w:r>
      <w:r w:rsidR="001B74E0" w:rsidRPr="00967F80">
        <w:rPr>
          <w:szCs w:val="22"/>
        </w:rPr>
        <w:t>ách</w:t>
      </w:r>
      <w:r w:rsidRPr="00967F80">
        <w:rPr>
          <w:szCs w:val="22"/>
        </w:rPr>
        <w:t xml:space="preserve"> vrátane štyroch randomizovaných, dvojito zaslepených, placebom kontrolovaných akútnych štúdií a štúdie na prevenciu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 u dospelých pacientov s generalizovanou úzkostnou poruchou.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preukázal štatisticky významnú prevahu nad placebom meranú zlepšením celkového skóre na </w:t>
      </w:r>
      <w:proofErr w:type="spellStart"/>
      <w:r w:rsidRPr="00967F80">
        <w:rPr>
          <w:szCs w:val="22"/>
        </w:rPr>
        <w:t>Hamiltonovej</w:t>
      </w:r>
      <w:proofErr w:type="spellEnd"/>
      <w:r w:rsidRPr="00967F80">
        <w:rPr>
          <w:szCs w:val="22"/>
        </w:rPr>
        <w:t xml:space="preserve"> škále na posudzovanie úzkosti (Hamilton </w:t>
      </w:r>
      <w:proofErr w:type="spellStart"/>
      <w:r w:rsidRPr="00967F80">
        <w:rPr>
          <w:szCs w:val="22"/>
        </w:rPr>
        <w:t>Anxiety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Scale</w:t>
      </w:r>
      <w:proofErr w:type="spellEnd"/>
      <w:r w:rsidRPr="00967F80">
        <w:rPr>
          <w:szCs w:val="22"/>
        </w:rPr>
        <w:t xml:space="preserve">, HAM-A) a celkového skóre funkčného poškodenia na </w:t>
      </w:r>
      <w:proofErr w:type="spellStart"/>
      <w:r w:rsidRPr="00967F80">
        <w:rPr>
          <w:szCs w:val="22"/>
        </w:rPr>
        <w:t>Sheehanovej</w:t>
      </w:r>
      <w:proofErr w:type="spellEnd"/>
      <w:r w:rsidRPr="00967F80">
        <w:rPr>
          <w:szCs w:val="22"/>
        </w:rPr>
        <w:t xml:space="preserve"> škále (</w:t>
      </w:r>
      <w:proofErr w:type="spellStart"/>
      <w:r w:rsidRPr="00967F80">
        <w:rPr>
          <w:szCs w:val="22"/>
        </w:rPr>
        <w:t>Sheehan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Disability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Scale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SDS</w:t>
      </w:r>
      <w:proofErr w:type="spellEnd"/>
      <w:r w:rsidRPr="00967F80">
        <w:rPr>
          <w:szCs w:val="22"/>
        </w:rPr>
        <w:t xml:space="preserve">). </w:t>
      </w:r>
      <w:r w:rsidR="007E0477" w:rsidRPr="00967F80">
        <w:rPr>
          <w:szCs w:val="22"/>
        </w:rPr>
        <w:t xml:space="preserve">Pomer </w:t>
      </w:r>
      <w:r w:rsidRPr="00967F80">
        <w:rPr>
          <w:szCs w:val="22"/>
        </w:rPr>
        <w:t>odpovede na liečbu a </w:t>
      </w:r>
      <w:proofErr w:type="spellStart"/>
      <w:r w:rsidRPr="00967F80">
        <w:rPr>
          <w:szCs w:val="22"/>
        </w:rPr>
        <w:t>remisie</w:t>
      </w:r>
      <w:proofErr w:type="spellEnd"/>
      <w:r w:rsidRPr="00967F80">
        <w:rPr>
          <w:szCs w:val="22"/>
        </w:rPr>
        <w:t xml:space="preserve"> bola taktiež vyššia pri 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 ako pri placebe.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preukázal porovnateľnú účinnosť s </w:t>
      </w:r>
      <w:proofErr w:type="spellStart"/>
      <w:r w:rsidRPr="00967F80">
        <w:rPr>
          <w:szCs w:val="22"/>
        </w:rPr>
        <w:t>venlafaxínom</w:t>
      </w:r>
      <w:proofErr w:type="spellEnd"/>
      <w:r w:rsidRPr="00967F80">
        <w:rPr>
          <w:szCs w:val="22"/>
        </w:rPr>
        <w:t>, čo sa týka zlepšení celkového skóre HAM-A.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štúdii zameranej na prevenciu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 boli pacienti s odpoveďou na 6-mesačnú otvorenú akútnu liečbu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randomizovaní</w:t>
      </w:r>
      <w:proofErr w:type="spellEnd"/>
      <w:r w:rsidRPr="00967F80">
        <w:rPr>
          <w:szCs w:val="22"/>
        </w:rPr>
        <w:t xml:space="preserve"> na užívanie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alebo placeba počas ďalších 6 mesiacov.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v dávke 60 mg až 120 mg jedenkrát denne preukázal štatisticky významnú prevahu nad placebom (p&lt;0,001) v prevencii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, ktorá bola hodnotená časom do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. </w:t>
      </w:r>
      <w:proofErr w:type="spellStart"/>
      <w:r w:rsidRPr="00967F80">
        <w:rPr>
          <w:szCs w:val="22"/>
        </w:rPr>
        <w:t>Incidencia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relapsu</w:t>
      </w:r>
      <w:proofErr w:type="spellEnd"/>
      <w:r w:rsidRPr="00967F80">
        <w:rPr>
          <w:szCs w:val="22"/>
        </w:rPr>
        <w:t xml:space="preserve"> počas nasledujúceho 6-mesačného dvojito zaslepeného obdobia bola 14 % pre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a 42 % pre placebo.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klinickom skúšaní sa vyhodnotila účinnosť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30</w:t>
      </w:r>
      <w:r w:rsidR="001B74E0" w:rsidRPr="00967F80">
        <w:rPr>
          <w:szCs w:val="22"/>
        </w:rPr>
        <w:t> – </w:t>
      </w:r>
      <w:r w:rsidRPr="00967F80">
        <w:rPr>
          <w:szCs w:val="22"/>
        </w:rPr>
        <w:t xml:space="preserve">120 mg (vo flexibilnom dávkovaní) raz denne u starších pacientov (&gt;65 rokov) s generalizovanou úzkostnou poruchou a preukázala štatisticky signifikantné zlepšenie celkového HAM-A skóre u 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oproti pacientom </w:t>
      </w:r>
      <w:r w:rsidRPr="00967F80">
        <w:rPr>
          <w:szCs w:val="22"/>
        </w:rPr>
        <w:lastRenderedPageBreak/>
        <w:t xml:space="preserve">liečeným placebom. Účinnosť a bezpečnosť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30 – 120 mg raz denne u starších pacientov s generalizovanou úzkostnou poruchou boli podobné ako v štúdiách s mladšími dospelými pacientmi. Avšak údaje o starších pacientoch vystavených maximálnej dávke (120 mg denne) sú obmedzené, a preto sa odporúča na liečbu starších pacientov touto dávkou pristupovať s opatrnosťou.</w:t>
      </w:r>
    </w:p>
    <w:p w:rsidR="00E826EA" w:rsidRPr="00967F80" w:rsidRDefault="00E826EA">
      <w:pPr>
        <w:pStyle w:val="Normlndobloku"/>
        <w:spacing w:after="0"/>
        <w:rPr>
          <w:rStyle w:val="Bacil"/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 xml:space="preserve">Diabetická periférna </w:t>
      </w:r>
      <w:proofErr w:type="spellStart"/>
      <w:r w:rsidRPr="00967F80">
        <w:rPr>
          <w:rStyle w:val="Bacil"/>
          <w:szCs w:val="22"/>
        </w:rPr>
        <w:t>neuropatická</w:t>
      </w:r>
      <w:proofErr w:type="spellEnd"/>
      <w:r w:rsidRPr="00967F80">
        <w:rPr>
          <w:rStyle w:val="Bacil"/>
          <w:szCs w:val="22"/>
        </w:rPr>
        <w:t xml:space="preserve"> bolesť</w:t>
      </w:r>
      <w:r w:rsidR="001B74E0" w:rsidRPr="00967F80">
        <w:rPr>
          <w:rStyle w:val="Bacil"/>
          <w:szCs w:val="22"/>
        </w:rPr>
        <w:t>:</w:t>
      </w:r>
      <w:r w:rsidR="001B74E0" w:rsidRPr="00967F80">
        <w:rPr>
          <w:szCs w:val="22"/>
        </w:rPr>
        <w:t xml:space="preserve"> </w:t>
      </w:r>
      <w:r w:rsidRPr="00967F80">
        <w:rPr>
          <w:szCs w:val="22"/>
        </w:rPr>
        <w:t xml:space="preserve">Účinnosť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v liečbe diabetickej </w:t>
      </w:r>
      <w:proofErr w:type="spellStart"/>
      <w:r w:rsidRPr="00967F80">
        <w:rPr>
          <w:szCs w:val="22"/>
        </w:rPr>
        <w:t>neuropatickej</w:t>
      </w:r>
      <w:proofErr w:type="spellEnd"/>
      <w:r w:rsidRPr="00967F80">
        <w:rPr>
          <w:szCs w:val="22"/>
        </w:rPr>
        <w:t xml:space="preserve"> bolesti bola preukázaná v dvoch randomizovaných, 12 týždňov trvajúcich, dvojito zaslepených, placebom kontrolovaných štúdiách s fixnou dávkou u dospelých (22 až 88 rokov), ktorí minimálne 6 mesiacov trpia diabetickou </w:t>
      </w:r>
      <w:proofErr w:type="spellStart"/>
      <w:r w:rsidRPr="00967F80">
        <w:rPr>
          <w:szCs w:val="22"/>
        </w:rPr>
        <w:t>neuropatickou</w:t>
      </w:r>
      <w:proofErr w:type="spellEnd"/>
      <w:r w:rsidRPr="00967F80">
        <w:rPr>
          <w:szCs w:val="22"/>
        </w:rPr>
        <w:t xml:space="preserve"> bolesťou. Pacienti, ktorí spĺňali diagnostické kritériá pre veľkú depresívnu poruchu boli z týchto štúdií vylúčení. Primárnym parametrom bola týždenná stredná hodnota 24-hodinovej priemernej bolesti, ktorú pacienti hodnotili na 11 bodovej </w:t>
      </w:r>
      <w:proofErr w:type="spellStart"/>
      <w:r w:rsidRPr="00967F80">
        <w:rPr>
          <w:szCs w:val="22"/>
        </w:rPr>
        <w:t>Likertovej</w:t>
      </w:r>
      <w:proofErr w:type="spellEnd"/>
      <w:r w:rsidRPr="00967F80">
        <w:rPr>
          <w:szCs w:val="22"/>
        </w:rPr>
        <w:t xml:space="preserve"> škále pričom si záznamy zapisovali do denníka.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oboch štúdiách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v dávke 60 mg jedenkrát denne a 60 mg dvakrát denne signifika</w:t>
      </w:r>
      <w:r w:rsidR="00E05B3B" w:rsidRPr="00967F80">
        <w:rPr>
          <w:szCs w:val="22"/>
        </w:rPr>
        <w:t>n</w:t>
      </w:r>
      <w:r w:rsidRPr="00967F80">
        <w:rPr>
          <w:szCs w:val="22"/>
        </w:rPr>
        <w:t xml:space="preserve">tne zmierňoval bolesť v porovnaní s placebom. U niektorých pacientov bol tento účinok zjavný už v priebehu prvého týždňa liečby. Rozdiel priemerného zlepšenia pri porovnaní oboch uvedených aktívnych ramien liečby nebol významný. Redukciu bolesti o minimálne 30 % uviedlo približne 65 % pacientov liečených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 porovnaní so 40 % pacientov užívajúcich placebo. Počty zodpovedajúce aspoň 50 % redukcii bolesti boli 50 % pre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a 26 % pre placebo. Hodnoty klinickej odpovede (zmiernenie bolesti o 50 % a viac) boli analyzované s ohľadom na to, či pacient v priebehu liečby trpel </w:t>
      </w:r>
      <w:proofErr w:type="spellStart"/>
      <w:r w:rsidRPr="00967F80">
        <w:rPr>
          <w:szCs w:val="22"/>
        </w:rPr>
        <w:t>somnolenciou</w:t>
      </w:r>
      <w:proofErr w:type="spellEnd"/>
      <w:r w:rsidRPr="00967F80">
        <w:rPr>
          <w:szCs w:val="22"/>
        </w:rPr>
        <w:t xml:space="preserve"> alebo nie. U pacientov, ktorí netrpeli </w:t>
      </w:r>
      <w:proofErr w:type="spellStart"/>
      <w:r w:rsidRPr="00967F80">
        <w:rPr>
          <w:szCs w:val="22"/>
        </w:rPr>
        <w:t>somnolenciou</w:t>
      </w:r>
      <w:proofErr w:type="spellEnd"/>
      <w:r w:rsidR="001B74E0" w:rsidRPr="00967F80">
        <w:rPr>
          <w:szCs w:val="22"/>
        </w:rPr>
        <w:t>,</w:t>
      </w:r>
      <w:r w:rsidRPr="00967F80">
        <w:rPr>
          <w:szCs w:val="22"/>
        </w:rPr>
        <w:t xml:space="preserve"> bola klinická odpoveď zaznamenaná u 47 % pacientov užívajúcich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a u 27 % pacientov užívajúcich placebo. Podiel klinickej odpovede u pacientov, ktorí zaznamenali problémy so </w:t>
      </w:r>
      <w:proofErr w:type="spellStart"/>
      <w:r w:rsidRPr="00967F80">
        <w:rPr>
          <w:szCs w:val="22"/>
        </w:rPr>
        <w:t>somnolenciou</w:t>
      </w:r>
      <w:proofErr w:type="spellEnd"/>
      <w:r w:rsidRPr="00967F80">
        <w:rPr>
          <w:szCs w:val="22"/>
        </w:rPr>
        <w:t xml:space="preserve"> bol 60 % pri 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 a 30 % pri placebe. U pacientov, ktorí v priebehu 60 dní nezaznamenali zmiernenie bolesti ani o 30 %</w:t>
      </w:r>
      <w:r w:rsidR="00FB514C" w:rsidRPr="00967F80">
        <w:rPr>
          <w:szCs w:val="22"/>
        </w:rPr>
        <w:t>,</w:t>
      </w:r>
      <w:r w:rsidRPr="00967F80">
        <w:rPr>
          <w:szCs w:val="22"/>
        </w:rPr>
        <w:t xml:space="preserve"> bolo takéto zlepšenie v priebehu ďalšej liečby nepravdepodobné.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dlhodobej otvorenej nekontrolovanej štúdii pretrvávalo zmenšenie bolesti u pacientov odpovedajúcich na 8-týždennú liečbu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60 mg jedenkrát denne počas nasledujúcich 6 mesiacov, podľa merania zmeny skóre položky „24-hodinová priemerná bolesť“ na škále </w:t>
      </w:r>
      <w:proofErr w:type="spellStart"/>
      <w:r w:rsidRPr="00967F80">
        <w:rPr>
          <w:szCs w:val="22"/>
        </w:rPr>
        <w:t>Brief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Pain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Inventory</w:t>
      </w:r>
      <w:proofErr w:type="spellEnd"/>
      <w:r w:rsidRPr="00967F80">
        <w:rPr>
          <w:szCs w:val="22"/>
        </w:rPr>
        <w:t xml:space="preserve"> (</w:t>
      </w:r>
      <w:proofErr w:type="spellStart"/>
      <w:r w:rsidRPr="00967F80">
        <w:rPr>
          <w:szCs w:val="22"/>
        </w:rPr>
        <w:t>BPI</w:t>
      </w:r>
      <w:proofErr w:type="spellEnd"/>
      <w:r w:rsidRPr="00967F80">
        <w:rPr>
          <w:szCs w:val="22"/>
        </w:rPr>
        <w:t>).</w:t>
      </w:r>
    </w:p>
    <w:p w:rsidR="00E826EA" w:rsidRPr="00967F80" w:rsidRDefault="00E826EA">
      <w:pPr>
        <w:pStyle w:val="Normlndobloku"/>
        <w:spacing w:after="0"/>
        <w:rPr>
          <w:b/>
          <w:szCs w:val="22"/>
        </w:rPr>
      </w:pPr>
    </w:p>
    <w:p w:rsidR="001A2F10" w:rsidRPr="00967F80" w:rsidRDefault="001A2F10">
      <w:pPr>
        <w:pStyle w:val="Styl4"/>
        <w:keepNext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Pediatrická populácia</w:t>
      </w:r>
    </w:p>
    <w:p w:rsidR="001A2F10" w:rsidRPr="00967F80" w:rsidRDefault="001A2F10">
      <w:pPr>
        <w:pStyle w:val="Normlndobloku"/>
        <w:keepNext/>
        <w:spacing w:after="0"/>
        <w:rPr>
          <w:szCs w:val="22"/>
        </w:rPr>
      </w:pPr>
      <w:r w:rsidRPr="00967F80">
        <w:rPr>
          <w:szCs w:val="22"/>
        </w:rPr>
        <w:t>Neboli vykonané štúdie s 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u pacientov mladších ako 7 rokov.</w:t>
      </w:r>
    </w:p>
    <w:p w:rsidR="00E826EA" w:rsidRPr="00967F80" w:rsidRDefault="00E826EA">
      <w:pPr>
        <w:pStyle w:val="Normlndobloku"/>
        <w:keepNext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Boli vykonané dve </w:t>
      </w:r>
      <w:proofErr w:type="spellStart"/>
      <w:r w:rsidRPr="00967F80">
        <w:rPr>
          <w:szCs w:val="22"/>
        </w:rPr>
        <w:t>randomizované</w:t>
      </w:r>
      <w:proofErr w:type="spellEnd"/>
      <w:r w:rsidRPr="00967F80">
        <w:rPr>
          <w:szCs w:val="22"/>
        </w:rPr>
        <w:t xml:space="preserve"> dvojito zaslepené paralelné klinické štúdie s 800 pediatrickými pacientmi s veľkou depresívnou poruchou vo veku 7 </w:t>
      </w:r>
      <w:r w:rsidR="00FB514C" w:rsidRPr="00967F80">
        <w:rPr>
          <w:szCs w:val="22"/>
        </w:rPr>
        <w:t>až</w:t>
      </w:r>
      <w:r w:rsidRPr="00967F80">
        <w:rPr>
          <w:szCs w:val="22"/>
        </w:rPr>
        <w:t> 17 rokov (pozri časť 4.2). Tieto dve štúdie zahŕňali 10-týždňovú placebom a aktívnou látkou (</w:t>
      </w:r>
      <w:proofErr w:type="spellStart"/>
      <w:r w:rsidRPr="00967F80">
        <w:rPr>
          <w:szCs w:val="22"/>
        </w:rPr>
        <w:t>fluoxetínom</w:t>
      </w:r>
      <w:proofErr w:type="spellEnd"/>
      <w:r w:rsidRPr="00967F80">
        <w:rPr>
          <w:szCs w:val="22"/>
        </w:rPr>
        <w:t xml:space="preserve">) kontrolovanú fázu, po ktorej nasledovala 6-mesačná fáza aktívne kontrolovanej pokračovacej liečby. Ani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(30 – 120 mg) ani aktívne kontrolované rameno (fluoxetín 20 – 40 mg) sa štatisticky neodlíšili od placeba v zmene celkového skóre </w:t>
      </w:r>
      <w:proofErr w:type="spellStart"/>
      <w:r w:rsidRPr="00967F80">
        <w:rPr>
          <w:szCs w:val="22"/>
        </w:rPr>
        <w:t>Children´s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Depression</w:t>
      </w:r>
      <w:proofErr w:type="spellEnd"/>
      <w:r w:rsidRPr="00967F80">
        <w:rPr>
          <w:szCs w:val="22"/>
        </w:rPr>
        <w:t xml:space="preserve"> Rating </w:t>
      </w:r>
      <w:proofErr w:type="spellStart"/>
      <w:r w:rsidRPr="00967F80">
        <w:rPr>
          <w:szCs w:val="22"/>
        </w:rPr>
        <w:t>Scale-Revised</w:t>
      </w:r>
      <w:proofErr w:type="spellEnd"/>
      <w:r w:rsidR="00FB514C" w:rsidRPr="00967F80">
        <w:rPr>
          <w:szCs w:val="22"/>
        </w:rPr>
        <w:t xml:space="preserve"> (</w:t>
      </w:r>
      <w:proofErr w:type="spellStart"/>
      <w:r w:rsidR="00FB514C" w:rsidRPr="00967F80">
        <w:rPr>
          <w:szCs w:val="22"/>
        </w:rPr>
        <w:t>CDRS</w:t>
      </w:r>
      <w:proofErr w:type="spellEnd"/>
      <w:r w:rsidR="00FB514C" w:rsidRPr="00967F80">
        <w:rPr>
          <w:szCs w:val="22"/>
        </w:rPr>
        <w:t>-R)</w:t>
      </w:r>
      <w:r w:rsidRPr="00967F80">
        <w:rPr>
          <w:szCs w:val="22"/>
        </w:rPr>
        <w:t xml:space="preserve"> od začiatku až do konca. Ukončenie skúšania z dôvodu nežiaducich </w:t>
      </w:r>
      <w:r w:rsidR="00042033" w:rsidRPr="00967F80">
        <w:rPr>
          <w:szCs w:val="22"/>
        </w:rPr>
        <w:t>udalostí</w:t>
      </w:r>
      <w:r w:rsidRPr="00967F80">
        <w:rPr>
          <w:szCs w:val="22"/>
        </w:rPr>
        <w:t xml:space="preserve">, najmä kvôli nauzei, bol vyšší u pacientov užívajúcich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ako u tých, čo užívali fluoxetín. Počas 10-týždňovej liečebnej časti akútnej liečby bolo hlásené </w:t>
      </w:r>
      <w:proofErr w:type="spellStart"/>
      <w:r w:rsidRPr="00967F80">
        <w:rPr>
          <w:szCs w:val="22"/>
        </w:rPr>
        <w:t>suicidálne</w:t>
      </w:r>
      <w:proofErr w:type="spellEnd"/>
      <w:r w:rsidRPr="00967F80">
        <w:rPr>
          <w:szCs w:val="22"/>
        </w:rPr>
        <w:t xml:space="preserve"> správanie (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0/333 [0 %], fluoxetín 2/225 [0</w:t>
      </w:r>
      <w:r w:rsidR="00FB514C" w:rsidRPr="00967F80">
        <w:rPr>
          <w:szCs w:val="22"/>
        </w:rPr>
        <w:t>,</w:t>
      </w:r>
      <w:r w:rsidRPr="00967F80">
        <w:rPr>
          <w:szCs w:val="22"/>
        </w:rPr>
        <w:t xml:space="preserve">9 %], placebo 1/220 [0,5 %]). Počas celého 36-týždňového trvania štúdie 6 z 333 pacientov pôvodne randomizovaných na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a 3 z 225 pôvodne randomizovaných na fluoxetín zaznamenali </w:t>
      </w:r>
      <w:proofErr w:type="spellStart"/>
      <w:r w:rsidRPr="00967F80">
        <w:rPr>
          <w:szCs w:val="22"/>
        </w:rPr>
        <w:t>suicidálne</w:t>
      </w:r>
      <w:proofErr w:type="spellEnd"/>
      <w:r w:rsidRPr="00967F80">
        <w:rPr>
          <w:szCs w:val="22"/>
        </w:rPr>
        <w:t xml:space="preserve"> správanie (</w:t>
      </w:r>
      <w:proofErr w:type="spellStart"/>
      <w:r w:rsidRPr="00967F80">
        <w:rPr>
          <w:szCs w:val="22"/>
        </w:rPr>
        <w:t>incidencia</w:t>
      </w:r>
      <w:proofErr w:type="spellEnd"/>
      <w:r w:rsidRPr="00967F80">
        <w:rPr>
          <w:szCs w:val="22"/>
        </w:rPr>
        <w:t xml:space="preserve"> upravená podľa expozície 0,039 udalostí na </w:t>
      </w:r>
      <w:proofErr w:type="spellStart"/>
      <w:r w:rsidRPr="00967F80">
        <w:rPr>
          <w:szCs w:val="22"/>
        </w:rPr>
        <w:t>pacientorok</w:t>
      </w:r>
      <w:proofErr w:type="spellEnd"/>
      <w:r w:rsidRPr="00967F80">
        <w:rPr>
          <w:szCs w:val="22"/>
        </w:rPr>
        <w:t xml:space="preserve"> pri 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 a 0,026 pri </w:t>
      </w:r>
      <w:proofErr w:type="spellStart"/>
      <w:r w:rsidRPr="00967F80">
        <w:rPr>
          <w:szCs w:val="22"/>
        </w:rPr>
        <w:t>fluoxetíne</w:t>
      </w:r>
      <w:proofErr w:type="spellEnd"/>
      <w:r w:rsidRPr="00967F80">
        <w:rPr>
          <w:szCs w:val="22"/>
        </w:rPr>
        <w:t xml:space="preserve">). Navyše u jedného pacienta, ktorý prešiel z placeba na </w:t>
      </w:r>
      <w:proofErr w:type="spellStart"/>
      <w:r w:rsidRPr="00967F80">
        <w:rPr>
          <w:szCs w:val="22"/>
        </w:rPr>
        <w:t>duloxetín</w:t>
      </w:r>
      <w:proofErr w:type="spellEnd"/>
      <w:r w:rsidR="00FB514C" w:rsidRPr="00967F80">
        <w:rPr>
          <w:szCs w:val="22"/>
        </w:rPr>
        <w:t>,</w:t>
      </w:r>
      <w:r w:rsidRPr="00967F80">
        <w:rPr>
          <w:szCs w:val="22"/>
        </w:rPr>
        <w:t xml:space="preserve"> sa vyskytlo </w:t>
      </w:r>
      <w:proofErr w:type="spellStart"/>
      <w:r w:rsidRPr="00967F80">
        <w:rPr>
          <w:szCs w:val="22"/>
        </w:rPr>
        <w:t>suicidálne</w:t>
      </w:r>
      <w:proofErr w:type="spellEnd"/>
      <w:r w:rsidRPr="00967F80">
        <w:rPr>
          <w:szCs w:val="22"/>
        </w:rPr>
        <w:t xml:space="preserve"> správanie v čase, keď užíval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>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Randomizovanej</w:t>
      </w:r>
      <w:proofErr w:type="spellEnd"/>
      <w:r w:rsidRPr="00967F80">
        <w:rPr>
          <w:szCs w:val="22"/>
        </w:rPr>
        <w:t>, dvojito zaslepenej, placebom kontrolovanej klinickej skúšky sa zúčastnilo 272</w:t>
      </w:r>
      <w:r w:rsidR="00FB514C" w:rsidRPr="00967F80">
        <w:rPr>
          <w:szCs w:val="22"/>
        </w:rPr>
        <w:t> </w:t>
      </w:r>
      <w:r w:rsidRPr="00967F80">
        <w:rPr>
          <w:szCs w:val="22"/>
        </w:rPr>
        <w:t>pacientov vo veku 7 </w:t>
      </w:r>
      <w:r w:rsidR="00FB514C" w:rsidRPr="00967F80">
        <w:rPr>
          <w:szCs w:val="22"/>
        </w:rPr>
        <w:t>–</w:t>
      </w:r>
      <w:r w:rsidRPr="00967F80">
        <w:rPr>
          <w:szCs w:val="22"/>
        </w:rPr>
        <w:t> 17 rokov s generalizovanou úzkostnou poruchou (</w:t>
      </w:r>
      <w:proofErr w:type="spellStart"/>
      <w:r w:rsidRPr="00967F80">
        <w:rPr>
          <w:szCs w:val="22"/>
        </w:rPr>
        <w:t>GAD</w:t>
      </w:r>
      <w:proofErr w:type="spellEnd"/>
      <w:r w:rsidRPr="00967F80">
        <w:rPr>
          <w:szCs w:val="22"/>
        </w:rPr>
        <w:t xml:space="preserve">). Klinické skúšanie zahŕňalo 10-týždňovú placebom kontrolovanú akútnu fázu, po ktorej nasledovala 18-týždňová predĺžená fáza. V tomto klinickom skúšaní bol použitý flexibilný dávkovací režim, aby bolo umožnené pomalé zvyšovanie dávky z 30 mg jedenkrát denne na vyššie dávky (najviac 120 mg jedenkrát denne). Liečba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ukázala po 10 týždňoch liečby štatisticky výrazne vyššie zlepšenie príznakov </w:t>
      </w:r>
      <w:proofErr w:type="spellStart"/>
      <w:r w:rsidRPr="00967F80">
        <w:rPr>
          <w:szCs w:val="22"/>
        </w:rPr>
        <w:t>GAD</w:t>
      </w:r>
      <w:proofErr w:type="spellEnd"/>
      <w:r w:rsidRPr="00967F80">
        <w:rPr>
          <w:szCs w:val="22"/>
        </w:rPr>
        <w:t xml:space="preserve">, pri meraní pomocou skóre </w:t>
      </w:r>
      <w:r w:rsidRPr="00967F80">
        <w:rPr>
          <w:szCs w:val="22"/>
        </w:rPr>
        <w:lastRenderedPageBreak/>
        <w:t xml:space="preserve">závažnosti </w:t>
      </w:r>
      <w:proofErr w:type="spellStart"/>
      <w:r w:rsidRPr="00967F80">
        <w:rPr>
          <w:szCs w:val="22"/>
        </w:rPr>
        <w:t>PARS</w:t>
      </w:r>
      <w:proofErr w:type="spellEnd"/>
      <w:r w:rsidRPr="00967F80">
        <w:rPr>
          <w:szCs w:val="22"/>
        </w:rPr>
        <w:t xml:space="preserve"> pre </w:t>
      </w:r>
      <w:proofErr w:type="spellStart"/>
      <w:r w:rsidRPr="00967F80">
        <w:rPr>
          <w:szCs w:val="22"/>
        </w:rPr>
        <w:t>GAD</w:t>
      </w:r>
      <w:proofErr w:type="spellEnd"/>
      <w:r w:rsidRPr="00967F80">
        <w:rPr>
          <w:szCs w:val="22"/>
        </w:rPr>
        <w:t xml:space="preserve"> (priemerný rozdiel medzi 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 placebom bol 2,7 bodov [95 % CI 1,3 </w:t>
      </w:r>
      <w:r w:rsidR="00FB514C" w:rsidRPr="00967F80">
        <w:rPr>
          <w:szCs w:val="22"/>
        </w:rPr>
        <w:t>–</w:t>
      </w:r>
      <w:r w:rsidRPr="00967F80">
        <w:rPr>
          <w:szCs w:val="22"/>
        </w:rPr>
        <w:t xml:space="preserve"> 4,0]) po 10 týždňoch liečby. Pretrvanie účinku nebolo hodnotené. Počas 10-týždňovej fázy akútnej liečby sa neukázal žiaden štatisticky významný rozdiel v prerušení liečby z dôvodu nežiaducich </w:t>
      </w:r>
      <w:r w:rsidR="00042033" w:rsidRPr="00967F80">
        <w:rPr>
          <w:szCs w:val="22"/>
        </w:rPr>
        <w:t xml:space="preserve">udalostí </w:t>
      </w:r>
      <w:r w:rsidRPr="00967F80">
        <w:rPr>
          <w:szCs w:val="22"/>
        </w:rPr>
        <w:t>medzi skupinami s 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a placebom. U dvoch pacientov, ktorí prešli z placeba na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po akútnej liečbe, sa počas užívania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v predĺženej fáze vyskytlo samovražedné správanie. Závery vzhľadom na celkový pomer prínosu a rizika neboli pre túto vekovú skupinu stanovené (pozri tiež časti 4.2 a 4.8).</w:t>
      </w:r>
    </w:p>
    <w:p w:rsidR="001B7103" w:rsidRPr="00967F80" w:rsidRDefault="001B7103">
      <w:pPr>
        <w:widowControl w:val="0"/>
        <w:autoSpaceDE w:val="0"/>
        <w:autoSpaceDN w:val="0"/>
        <w:adjustRightInd w:val="0"/>
        <w:rPr>
          <w:szCs w:val="22"/>
          <w:lang w:eastAsia="en-GB"/>
        </w:rPr>
      </w:pPr>
    </w:p>
    <w:p w:rsidR="001B7103" w:rsidRPr="00967F80" w:rsidRDefault="00E826EA" w:rsidP="00E50B63">
      <w:pPr>
        <w:pStyle w:val="Normlndobloku"/>
        <w:spacing w:after="0"/>
        <w:rPr>
          <w:szCs w:val="22"/>
        </w:rPr>
      </w:pPr>
      <w:r w:rsidRPr="00E50B63">
        <w:rPr>
          <w:szCs w:val="22"/>
        </w:rPr>
        <w:t xml:space="preserve">U pediatrických pacientov s juvenilným primárnym </w:t>
      </w:r>
      <w:proofErr w:type="spellStart"/>
      <w:r w:rsidRPr="00E50B63">
        <w:rPr>
          <w:szCs w:val="22"/>
        </w:rPr>
        <w:t>fibromyalgickým</w:t>
      </w:r>
      <w:proofErr w:type="spellEnd"/>
      <w:r w:rsidRPr="00E50B63">
        <w:rPr>
          <w:szCs w:val="22"/>
        </w:rPr>
        <w:t xml:space="preserve"> syndrómom (</w:t>
      </w:r>
      <w:proofErr w:type="spellStart"/>
      <w:r w:rsidRPr="00E50B63">
        <w:rPr>
          <w:szCs w:val="22"/>
        </w:rPr>
        <w:t>juvenile</w:t>
      </w:r>
      <w:proofErr w:type="spellEnd"/>
      <w:r w:rsidRPr="00E50B63">
        <w:rPr>
          <w:szCs w:val="22"/>
        </w:rPr>
        <w:t xml:space="preserve"> </w:t>
      </w:r>
      <w:proofErr w:type="spellStart"/>
      <w:r w:rsidRPr="00E50B63">
        <w:rPr>
          <w:szCs w:val="22"/>
        </w:rPr>
        <w:t>primary</w:t>
      </w:r>
      <w:proofErr w:type="spellEnd"/>
      <w:r w:rsidRPr="00E50B63">
        <w:rPr>
          <w:szCs w:val="22"/>
        </w:rPr>
        <w:t xml:space="preserve"> </w:t>
      </w:r>
      <w:proofErr w:type="spellStart"/>
      <w:r w:rsidRPr="00E50B63">
        <w:rPr>
          <w:szCs w:val="22"/>
        </w:rPr>
        <w:t>fibromyalgia</w:t>
      </w:r>
      <w:proofErr w:type="spellEnd"/>
      <w:r w:rsidRPr="00E50B63">
        <w:rPr>
          <w:szCs w:val="22"/>
        </w:rPr>
        <w:t xml:space="preserve"> </w:t>
      </w:r>
      <w:proofErr w:type="spellStart"/>
      <w:r w:rsidRPr="00E50B63">
        <w:rPr>
          <w:szCs w:val="22"/>
        </w:rPr>
        <w:t>syndrome</w:t>
      </w:r>
      <w:proofErr w:type="spellEnd"/>
      <w:r w:rsidRPr="00E50B63">
        <w:rPr>
          <w:szCs w:val="22"/>
        </w:rPr>
        <w:t xml:space="preserve">, </w:t>
      </w:r>
      <w:proofErr w:type="spellStart"/>
      <w:r w:rsidRPr="00E50B63">
        <w:rPr>
          <w:szCs w:val="22"/>
        </w:rPr>
        <w:t>JPFS</w:t>
      </w:r>
      <w:proofErr w:type="spellEnd"/>
      <w:r w:rsidRPr="00E50B63">
        <w:rPr>
          <w:szCs w:val="22"/>
        </w:rPr>
        <w:t xml:space="preserve">) sa uskutočnila jediná štúdia, v ktorej sa skupina liečená </w:t>
      </w:r>
      <w:proofErr w:type="spellStart"/>
      <w:r w:rsidRPr="00E50B63">
        <w:rPr>
          <w:szCs w:val="22"/>
        </w:rPr>
        <w:t>duloxetínom</w:t>
      </w:r>
      <w:proofErr w:type="spellEnd"/>
      <w:r w:rsidRPr="00E50B63">
        <w:rPr>
          <w:szCs w:val="22"/>
        </w:rPr>
        <w:t xml:space="preserve"> neodseparovala od </w:t>
      </w:r>
      <w:proofErr w:type="spellStart"/>
      <w:r w:rsidRPr="00E50B63">
        <w:rPr>
          <w:szCs w:val="22"/>
        </w:rPr>
        <w:t>placebovej</w:t>
      </w:r>
      <w:proofErr w:type="spellEnd"/>
      <w:r w:rsidRPr="00E50B63">
        <w:rPr>
          <w:szCs w:val="22"/>
        </w:rPr>
        <w:t xml:space="preserve"> skupiny pri primárnom meraní účinnosti. Z tohto dôvodu nie sú dôkazy o účinnosti u tejto populácie pediatrických pacientov. </w:t>
      </w:r>
      <w:proofErr w:type="spellStart"/>
      <w:r w:rsidRPr="00E50B63">
        <w:rPr>
          <w:szCs w:val="22"/>
        </w:rPr>
        <w:t>Randomizovaná</w:t>
      </w:r>
      <w:proofErr w:type="spellEnd"/>
      <w:r w:rsidRPr="00E50B63">
        <w:rPr>
          <w:szCs w:val="22"/>
        </w:rPr>
        <w:t xml:space="preserve">, dvojito zaslepená, placebom kontrolovaná, paralelná štúdia </w:t>
      </w:r>
      <w:proofErr w:type="spellStart"/>
      <w:r w:rsidRPr="00E50B63">
        <w:rPr>
          <w:szCs w:val="22"/>
        </w:rPr>
        <w:t>duloxetínu</w:t>
      </w:r>
      <w:proofErr w:type="spellEnd"/>
      <w:r w:rsidRPr="00E50B63">
        <w:rPr>
          <w:szCs w:val="22"/>
        </w:rPr>
        <w:t xml:space="preserve"> bola vykonaná u 184 adolescentov vo veku 13 až 18 rokov (priemerný vek 15,53 rokov) s </w:t>
      </w:r>
      <w:proofErr w:type="spellStart"/>
      <w:r w:rsidRPr="00E50B63">
        <w:rPr>
          <w:szCs w:val="22"/>
        </w:rPr>
        <w:t>JPFS</w:t>
      </w:r>
      <w:proofErr w:type="spellEnd"/>
      <w:r w:rsidRPr="00E50B63">
        <w:rPr>
          <w:szCs w:val="22"/>
        </w:rPr>
        <w:t xml:space="preserve">. Štúdia zahŕňala 13-týždňové dvojito zaslepené obdobie, v ktorom boli pacienti </w:t>
      </w:r>
      <w:proofErr w:type="spellStart"/>
      <w:r w:rsidRPr="00E50B63">
        <w:rPr>
          <w:szCs w:val="22"/>
        </w:rPr>
        <w:t>randomizovaní</w:t>
      </w:r>
      <w:proofErr w:type="spellEnd"/>
      <w:r w:rsidRPr="00E50B63">
        <w:rPr>
          <w:szCs w:val="22"/>
        </w:rPr>
        <w:t xml:space="preserve"> na </w:t>
      </w:r>
      <w:proofErr w:type="spellStart"/>
      <w:r w:rsidRPr="00E50B63">
        <w:rPr>
          <w:szCs w:val="22"/>
        </w:rPr>
        <w:t>duloxetín</w:t>
      </w:r>
      <w:proofErr w:type="spellEnd"/>
      <w:r w:rsidRPr="00E50B63">
        <w:rPr>
          <w:szCs w:val="22"/>
        </w:rPr>
        <w:t xml:space="preserve"> 30 mg/60 mg denne alebo placebo. </w:t>
      </w:r>
      <w:proofErr w:type="spellStart"/>
      <w:r w:rsidRPr="00E50B63">
        <w:rPr>
          <w:szCs w:val="22"/>
        </w:rPr>
        <w:t>Duloxetín</w:t>
      </w:r>
      <w:proofErr w:type="spellEnd"/>
      <w:r w:rsidRPr="00E50B63">
        <w:rPr>
          <w:szCs w:val="22"/>
        </w:rPr>
        <w:t xml:space="preserve"> nepreukázal účinnosť pri znižovaní bolesti, meranej na základe primárneho výsledku priemerného koncového ukazovateľa skóre </w:t>
      </w:r>
      <w:proofErr w:type="spellStart"/>
      <w:r w:rsidRPr="00E50B63">
        <w:rPr>
          <w:szCs w:val="22"/>
        </w:rPr>
        <w:t>BPI</w:t>
      </w:r>
      <w:proofErr w:type="spellEnd"/>
      <w:r w:rsidRPr="00E50B63">
        <w:rPr>
          <w:szCs w:val="22"/>
        </w:rPr>
        <w:t xml:space="preserve"> (</w:t>
      </w:r>
      <w:proofErr w:type="spellStart"/>
      <w:r w:rsidRPr="00E50B63">
        <w:rPr>
          <w:szCs w:val="22"/>
        </w:rPr>
        <w:t>Brief</w:t>
      </w:r>
      <w:proofErr w:type="spellEnd"/>
      <w:r w:rsidRPr="00E50B63">
        <w:rPr>
          <w:szCs w:val="22"/>
        </w:rPr>
        <w:t xml:space="preserve"> </w:t>
      </w:r>
      <w:proofErr w:type="spellStart"/>
      <w:r w:rsidRPr="00E50B63">
        <w:rPr>
          <w:szCs w:val="22"/>
        </w:rPr>
        <w:t>Pain</w:t>
      </w:r>
      <w:proofErr w:type="spellEnd"/>
      <w:r w:rsidRPr="00E50B63">
        <w:rPr>
          <w:szCs w:val="22"/>
        </w:rPr>
        <w:t xml:space="preserve"> </w:t>
      </w:r>
      <w:proofErr w:type="spellStart"/>
      <w:r w:rsidRPr="00E50B63">
        <w:rPr>
          <w:szCs w:val="22"/>
        </w:rPr>
        <w:t>Inventory</w:t>
      </w:r>
      <w:proofErr w:type="spellEnd"/>
      <w:r w:rsidRPr="00E50B63">
        <w:rPr>
          <w:szCs w:val="22"/>
        </w:rPr>
        <w:t>): priemerná zmena najmenších štvorcov (</w:t>
      </w:r>
      <w:proofErr w:type="spellStart"/>
      <w:r w:rsidRPr="00E50B63">
        <w:rPr>
          <w:szCs w:val="22"/>
        </w:rPr>
        <w:t>LS</w:t>
      </w:r>
      <w:proofErr w:type="spellEnd"/>
      <w:r w:rsidRPr="00E50B63">
        <w:rPr>
          <w:szCs w:val="22"/>
        </w:rPr>
        <w:t xml:space="preserve">) v priemernom skóre </w:t>
      </w:r>
      <w:proofErr w:type="spellStart"/>
      <w:r w:rsidRPr="00E50B63">
        <w:rPr>
          <w:szCs w:val="22"/>
        </w:rPr>
        <w:t>BPI</w:t>
      </w:r>
      <w:proofErr w:type="spellEnd"/>
      <w:r w:rsidRPr="00E50B63">
        <w:rPr>
          <w:szCs w:val="22"/>
        </w:rPr>
        <w:t xml:space="preserve"> po 13 týždňoch v porovnaní s východiskovým stavom v </w:t>
      </w:r>
      <w:proofErr w:type="spellStart"/>
      <w:r w:rsidRPr="00E50B63">
        <w:rPr>
          <w:szCs w:val="22"/>
        </w:rPr>
        <w:t>BPI</w:t>
      </w:r>
      <w:proofErr w:type="spellEnd"/>
      <w:r w:rsidRPr="00E50B63">
        <w:rPr>
          <w:szCs w:val="22"/>
        </w:rPr>
        <w:t xml:space="preserve"> bola -0,97 v skupine s placebom, v porovnaní s -1,62 v skupine s </w:t>
      </w:r>
      <w:proofErr w:type="spellStart"/>
      <w:r w:rsidRPr="00E50B63">
        <w:rPr>
          <w:szCs w:val="22"/>
        </w:rPr>
        <w:t>duloxetínom</w:t>
      </w:r>
      <w:proofErr w:type="spellEnd"/>
      <w:r w:rsidRPr="00E50B63">
        <w:rPr>
          <w:szCs w:val="22"/>
        </w:rPr>
        <w:t xml:space="preserve"> 30/60 mg (p = 0,052). Výsledky bezpečnosti z tejto štúdie boli v súlade so známym bezpečnostným profilom </w:t>
      </w:r>
      <w:proofErr w:type="spellStart"/>
      <w:r w:rsidRPr="00E50B63">
        <w:rPr>
          <w:szCs w:val="22"/>
        </w:rPr>
        <w:t>duloxetínu</w:t>
      </w:r>
      <w:proofErr w:type="spellEnd"/>
      <w:r w:rsidRPr="00E50B63">
        <w:rPr>
          <w:szCs w:val="22"/>
        </w:rPr>
        <w:t>.</w:t>
      </w:r>
    </w:p>
    <w:p w:rsidR="001B7103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Európska agentúra pre lieky udelila výnimku z povinnosti predložiť výsledky štúdií s </w:t>
      </w:r>
      <w:proofErr w:type="spellStart"/>
      <w:r w:rsidRPr="00967F80">
        <w:rPr>
          <w:szCs w:val="22"/>
        </w:rPr>
        <w:t>duloxetínom</w:t>
      </w:r>
      <w:proofErr w:type="spellEnd"/>
      <w:r w:rsidRPr="00967F80">
        <w:rPr>
          <w:szCs w:val="22"/>
        </w:rPr>
        <w:t xml:space="preserve"> vo všetkých podskupinách pediatrickej populácie v liečbe veľkej depresívnej poruchy, diabetickej </w:t>
      </w:r>
      <w:proofErr w:type="spellStart"/>
      <w:r w:rsidRPr="00967F80">
        <w:rPr>
          <w:szCs w:val="22"/>
        </w:rPr>
        <w:t>neuropatickej</w:t>
      </w:r>
      <w:proofErr w:type="spellEnd"/>
      <w:r w:rsidRPr="00967F80">
        <w:rPr>
          <w:szCs w:val="22"/>
        </w:rPr>
        <w:t xml:space="preserve"> bolesti a generalizovanej úzkostnej poruchy</w:t>
      </w:r>
      <w:r w:rsidR="003A571C" w:rsidRPr="00967F80">
        <w:rPr>
          <w:szCs w:val="22"/>
        </w:rPr>
        <w:t xml:space="preserve"> </w:t>
      </w:r>
      <w:r w:rsidR="003A571C" w:rsidRPr="00967F80">
        <w:rPr>
          <w:szCs w:val="22"/>
          <w:lang w:val="el-GR"/>
        </w:rPr>
        <w:t>(informácie o použití v pediatrickej populácii, pozri časť 4.2)</w:t>
      </w:r>
    </w:p>
    <w:p w:rsidR="001A2F10" w:rsidRPr="00967F80" w:rsidRDefault="001A2F10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proofErr w:type="spellStart"/>
      <w:r w:rsidRPr="00967F80">
        <w:rPr>
          <w:szCs w:val="22"/>
          <w:lang w:val="sk-SK"/>
        </w:rPr>
        <w:t>Farmakokinetické</w:t>
      </w:r>
      <w:proofErr w:type="spellEnd"/>
      <w:r w:rsidRPr="00967F80">
        <w:rPr>
          <w:szCs w:val="22"/>
          <w:lang w:val="sk-SK"/>
        </w:rPr>
        <w:t xml:space="preserve"> vlastnosti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sa podáva ako samostatný </w:t>
      </w:r>
      <w:proofErr w:type="spellStart"/>
      <w:r w:rsidRPr="00967F80">
        <w:rPr>
          <w:szCs w:val="22"/>
        </w:rPr>
        <w:t>enantiomér</w:t>
      </w:r>
      <w:proofErr w:type="spellEnd"/>
      <w:r w:rsidRPr="00967F80">
        <w:rPr>
          <w:szCs w:val="22"/>
        </w:rPr>
        <w:t xml:space="preserve">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sa extenzívne metabolizuje prostredníctvom oxidatívnych enzýmov (</w:t>
      </w:r>
      <w:proofErr w:type="spellStart"/>
      <w:r w:rsidRPr="00967F80">
        <w:rPr>
          <w:szCs w:val="22"/>
        </w:rPr>
        <w:t>CYP1A2</w:t>
      </w:r>
      <w:proofErr w:type="spellEnd"/>
      <w:r w:rsidRPr="00967F80">
        <w:rPr>
          <w:szCs w:val="22"/>
        </w:rPr>
        <w:t xml:space="preserve"> a polymorfný </w:t>
      </w:r>
      <w:proofErr w:type="spellStart"/>
      <w:r w:rsidRPr="00967F80">
        <w:rPr>
          <w:szCs w:val="22"/>
        </w:rPr>
        <w:t>CYP2D6</w:t>
      </w:r>
      <w:proofErr w:type="spellEnd"/>
      <w:r w:rsidRPr="00967F80">
        <w:rPr>
          <w:szCs w:val="22"/>
        </w:rPr>
        <w:t xml:space="preserve">) s následnou konjugáciou. </w:t>
      </w:r>
      <w:proofErr w:type="spellStart"/>
      <w:r w:rsidRPr="00967F80">
        <w:rPr>
          <w:szCs w:val="22"/>
        </w:rPr>
        <w:t>Farmakokinetika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preukazuje veľkú </w:t>
      </w:r>
      <w:proofErr w:type="spellStart"/>
      <w:r w:rsidRPr="00967F80">
        <w:rPr>
          <w:szCs w:val="22"/>
        </w:rPr>
        <w:t>interindividuálnu</w:t>
      </w:r>
      <w:proofErr w:type="spellEnd"/>
      <w:r w:rsidRPr="00967F80">
        <w:rPr>
          <w:szCs w:val="22"/>
        </w:rPr>
        <w:t xml:space="preserve"> variabilitu (všeobecne 50 – 60 %), čiastočne v súvislosti s pohlavím, vekom, fajčiarskymi návykmi a </w:t>
      </w:r>
      <w:r w:rsidR="003A571C" w:rsidRPr="00967F80">
        <w:rPr>
          <w:szCs w:val="22"/>
        </w:rPr>
        <w:t xml:space="preserve">typom </w:t>
      </w:r>
      <w:proofErr w:type="spellStart"/>
      <w:r w:rsidRPr="00967F80">
        <w:rPr>
          <w:szCs w:val="22"/>
        </w:rPr>
        <w:t>metabolizéra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CYP2D6</w:t>
      </w:r>
      <w:proofErr w:type="spellEnd"/>
      <w:r w:rsidRPr="00967F80">
        <w:rPr>
          <w:szCs w:val="22"/>
        </w:rPr>
        <w:t>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Absorpcia</w:t>
      </w:r>
      <w:r w:rsidR="008D45B6" w:rsidRPr="00967F80">
        <w:rPr>
          <w:rStyle w:val="Bacil"/>
          <w:szCs w:val="22"/>
        </w:rPr>
        <w:t>:</w:t>
      </w:r>
      <w:r w:rsidR="008D45B6"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sa po perorálnom podaní dobre vstrebáva</w:t>
      </w:r>
      <w:r w:rsidR="008D45B6" w:rsidRPr="00967F80">
        <w:rPr>
          <w:szCs w:val="22"/>
        </w:rPr>
        <w:t xml:space="preserve"> s </w:t>
      </w:r>
      <w:proofErr w:type="spellStart"/>
      <w:r w:rsidRPr="00967F80">
        <w:rPr>
          <w:szCs w:val="22"/>
        </w:rPr>
        <w:t>Cmax</w:t>
      </w:r>
      <w:proofErr w:type="spellEnd"/>
      <w:r w:rsidRPr="00967F80">
        <w:rPr>
          <w:szCs w:val="22"/>
        </w:rPr>
        <w:t xml:space="preserve"> 6 hodín po podaní dávky. Absolútna perorálna biologická dostupnosť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je 32 % až 80 % (priemer 50 %). Potrava predlžuje čas potrebný na dosiahnutie najvyššej koncentrácie zo 6 na 10 hodín a okrajovo zmenšuje rozsah absorpcie (približne 11 %). Tieto zmeny nemajú klinický význam.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Distribúcia</w:t>
      </w:r>
      <w:r w:rsidR="008D45B6" w:rsidRPr="00967F80">
        <w:rPr>
          <w:rStyle w:val="Bacil"/>
          <w:szCs w:val="22"/>
        </w:rPr>
        <w:t>:</w:t>
      </w:r>
      <w:r w:rsidR="008D45B6" w:rsidRPr="00967F80">
        <w:rPr>
          <w:szCs w:val="22"/>
        </w:rPr>
        <w:t xml:space="preserve"> </w:t>
      </w:r>
      <w:r w:rsidRPr="00967F80">
        <w:rPr>
          <w:szCs w:val="22"/>
        </w:rPr>
        <w:t xml:space="preserve">Približne 96 %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sa viaže na ľudské plazmatické proteíny.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sa viaže tak na albumín ako aj na alfa-1</w:t>
      </w:r>
      <w:r w:rsidR="00AE53B1" w:rsidRPr="00967F80">
        <w:rPr>
          <w:szCs w:val="22"/>
        </w:rPr>
        <w:t xml:space="preserve"> </w:t>
      </w:r>
      <w:r w:rsidRPr="00967F80">
        <w:rPr>
          <w:szCs w:val="22"/>
        </w:rPr>
        <w:t xml:space="preserve">kyslý </w:t>
      </w:r>
      <w:proofErr w:type="spellStart"/>
      <w:r w:rsidRPr="00967F80">
        <w:rPr>
          <w:szCs w:val="22"/>
        </w:rPr>
        <w:t>glykoproteín</w:t>
      </w:r>
      <w:proofErr w:type="spellEnd"/>
      <w:r w:rsidRPr="00967F80">
        <w:rPr>
          <w:szCs w:val="22"/>
        </w:rPr>
        <w:t>. Väzba na proteíny nie je ovplyvnená poruchou funkcie obličiek či pečene.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rStyle w:val="Bacil"/>
          <w:szCs w:val="22"/>
        </w:rPr>
        <w:t>Biotransformácia</w:t>
      </w:r>
      <w:proofErr w:type="spellEnd"/>
      <w:r w:rsidR="008D45B6" w:rsidRPr="00967F80">
        <w:rPr>
          <w:rStyle w:val="Bacil"/>
          <w:szCs w:val="22"/>
        </w:rPr>
        <w:t>:</w:t>
      </w:r>
      <w:r w:rsidR="008D45B6"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sa extenzívne metabolizuje a jeho </w:t>
      </w:r>
      <w:proofErr w:type="spellStart"/>
      <w:r w:rsidRPr="00967F80">
        <w:rPr>
          <w:szCs w:val="22"/>
        </w:rPr>
        <w:t>metabolity</w:t>
      </w:r>
      <w:proofErr w:type="spellEnd"/>
      <w:r w:rsidRPr="00967F80">
        <w:rPr>
          <w:szCs w:val="22"/>
        </w:rPr>
        <w:t xml:space="preserve"> sa vylučujú predovšetkým močom. Obidva </w:t>
      </w:r>
      <w:proofErr w:type="spellStart"/>
      <w:r w:rsidRPr="00967F80">
        <w:rPr>
          <w:szCs w:val="22"/>
        </w:rPr>
        <w:t>cytochrómy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P450</w:t>
      </w:r>
      <w:r w:rsidR="008D45B6" w:rsidRPr="00967F80">
        <w:rPr>
          <w:szCs w:val="22"/>
        </w:rPr>
        <w:t>-</w:t>
      </w:r>
      <w:r w:rsidRPr="00967F80">
        <w:rPr>
          <w:szCs w:val="22"/>
        </w:rPr>
        <w:t>2D6</w:t>
      </w:r>
      <w:proofErr w:type="spellEnd"/>
      <w:r w:rsidRPr="00967F80">
        <w:rPr>
          <w:szCs w:val="22"/>
        </w:rPr>
        <w:t xml:space="preserve"> ako aj </w:t>
      </w:r>
      <w:proofErr w:type="spellStart"/>
      <w:r w:rsidRPr="00967F80">
        <w:rPr>
          <w:szCs w:val="22"/>
        </w:rPr>
        <w:t>1A2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katalyzujú</w:t>
      </w:r>
      <w:proofErr w:type="spellEnd"/>
      <w:r w:rsidRPr="00967F80">
        <w:rPr>
          <w:szCs w:val="22"/>
        </w:rPr>
        <w:t xml:space="preserve"> tvorbu dvoch hlavných </w:t>
      </w:r>
      <w:proofErr w:type="spellStart"/>
      <w:r w:rsidRPr="00967F80">
        <w:rPr>
          <w:szCs w:val="22"/>
        </w:rPr>
        <w:t>metabolitov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glukuronidového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konjugátu</w:t>
      </w:r>
      <w:proofErr w:type="spellEnd"/>
      <w:r w:rsidRPr="00967F80">
        <w:rPr>
          <w:szCs w:val="22"/>
        </w:rPr>
        <w:t xml:space="preserve"> 4-</w:t>
      </w:r>
      <w:proofErr w:type="spellStart"/>
      <w:r w:rsidRPr="00967F80">
        <w:rPr>
          <w:szCs w:val="22"/>
        </w:rPr>
        <w:t>hydroxyduloxetínu</w:t>
      </w:r>
      <w:proofErr w:type="spellEnd"/>
      <w:r w:rsidRPr="00967F80">
        <w:rPr>
          <w:szCs w:val="22"/>
        </w:rPr>
        <w:t xml:space="preserve"> a sulfátového </w:t>
      </w:r>
      <w:proofErr w:type="spellStart"/>
      <w:r w:rsidRPr="00967F80">
        <w:rPr>
          <w:szCs w:val="22"/>
        </w:rPr>
        <w:t>konjugátu</w:t>
      </w:r>
      <w:proofErr w:type="spellEnd"/>
      <w:r w:rsidRPr="00967F80">
        <w:rPr>
          <w:szCs w:val="22"/>
        </w:rPr>
        <w:t xml:space="preserve"> 5-hydroxy 6-</w:t>
      </w:r>
      <w:proofErr w:type="spellStart"/>
      <w:r w:rsidRPr="00967F80">
        <w:rPr>
          <w:szCs w:val="22"/>
        </w:rPr>
        <w:t>metoxyduloxetínu</w:t>
      </w:r>
      <w:proofErr w:type="spellEnd"/>
      <w:r w:rsidRPr="00967F80">
        <w:rPr>
          <w:szCs w:val="22"/>
        </w:rPr>
        <w:t xml:space="preserve">. Vychádzajúc zo štúdií </w:t>
      </w:r>
      <w:r w:rsidRPr="00967F80">
        <w:rPr>
          <w:rStyle w:val="Bacil"/>
          <w:szCs w:val="22"/>
        </w:rPr>
        <w:t>in vitro</w:t>
      </w:r>
      <w:r w:rsidRPr="00967F80">
        <w:rPr>
          <w:szCs w:val="22"/>
        </w:rPr>
        <w:t xml:space="preserve">, cirkulujúce </w:t>
      </w:r>
      <w:proofErr w:type="spellStart"/>
      <w:r w:rsidRPr="00967F80">
        <w:rPr>
          <w:szCs w:val="22"/>
        </w:rPr>
        <w:t>metabolity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sú považované za farmakologicky neaktívne. </w:t>
      </w:r>
      <w:proofErr w:type="spellStart"/>
      <w:r w:rsidRPr="00967F80">
        <w:rPr>
          <w:szCs w:val="22"/>
        </w:rPr>
        <w:t>Farmakokinetika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u pacientov, ktorí sú slabými </w:t>
      </w:r>
      <w:proofErr w:type="spellStart"/>
      <w:r w:rsidRPr="00967F80">
        <w:rPr>
          <w:szCs w:val="22"/>
        </w:rPr>
        <w:t>metabolizérmi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CYP2D6</w:t>
      </w:r>
      <w:proofErr w:type="spellEnd"/>
      <w:r w:rsidRPr="00967F80">
        <w:rPr>
          <w:szCs w:val="22"/>
        </w:rPr>
        <w:t xml:space="preserve">, nebola špecificky sledovaná. Obmedzené údaje naznačujú, že plazmatické hladiny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sú u týchto pacientov vyššie.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Eliminácia</w:t>
      </w:r>
      <w:r w:rsidR="008D45B6" w:rsidRPr="00967F80">
        <w:rPr>
          <w:rStyle w:val="Bacil"/>
          <w:szCs w:val="22"/>
        </w:rPr>
        <w:t>:</w:t>
      </w:r>
      <w:r w:rsidR="008D45B6" w:rsidRPr="00967F80">
        <w:rPr>
          <w:szCs w:val="22"/>
        </w:rPr>
        <w:t xml:space="preserve"> </w:t>
      </w:r>
      <w:r w:rsidRPr="00967F80">
        <w:rPr>
          <w:szCs w:val="22"/>
        </w:rPr>
        <w:t xml:space="preserve">Polčas eliminácie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sa pohybuje v rozmedzí od 8 do 17 hodín (priemerne 12 hodín). Plazmatický 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po intravenóznej aplikácii dávky sa pohybuje v rozpätí 22 l/h až 46 l/h (priemerne 36 </w:t>
      </w:r>
      <w:r w:rsidRPr="00967F80">
        <w:rPr>
          <w:szCs w:val="22"/>
        </w:rPr>
        <w:lastRenderedPageBreak/>
        <w:t xml:space="preserve">l/h). Zdanlivý plazmatický 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po perorálnom podaní sa pohybuje od 33 to 261 l/h (priemer 101 l/h).</w:t>
      </w:r>
    </w:p>
    <w:p w:rsidR="001B7103" w:rsidRPr="00967F80" w:rsidRDefault="001B7103">
      <w:pPr>
        <w:pStyle w:val="Styl4"/>
        <w:spacing w:after="0"/>
        <w:rPr>
          <w:rFonts w:ascii="Times New Roman" w:hAnsi="Times New Roman"/>
          <w:szCs w:val="22"/>
        </w:rPr>
      </w:pPr>
    </w:p>
    <w:p w:rsidR="001A2F10" w:rsidRPr="00967F80" w:rsidRDefault="001A2F10" w:rsidP="00E50B63">
      <w:pPr>
        <w:pStyle w:val="Styl4"/>
        <w:keepNext/>
        <w:spacing w:after="0"/>
        <w:rPr>
          <w:rFonts w:ascii="Times New Roman" w:hAnsi="Times New Roman"/>
          <w:szCs w:val="22"/>
        </w:rPr>
      </w:pPr>
      <w:r w:rsidRPr="00967F80">
        <w:rPr>
          <w:rFonts w:ascii="Times New Roman" w:hAnsi="Times New Roman"/>
          <w:szCs w:val="22"/>
        </w:rPr>
        <w:t>Osobitné skupiny pacientov</w:t>
      </w:r>
    </w:p>
    <w:p w:rsidR="00E826EA" w:rsidRPr="00967F80" w:rsidRDefault="00E826EA" w:rsidP="00E50B63">
      <w:pPr>
        <w:pStyle w:val="Styl4"/>
        <w:keepNext/>
        <w:spacing w:after="0"/>
        <w:rPr>
          <w:rFonts w:ascii="Times New Roman" w:hAnsi="Times New Roman"/>
          <w:szCs w:val="22"/>
        </w:rPr>
      </w:pPr>
    </w:p>
    <w:p w:rsidR="001A2F10" w:rsidRPr="00967F80" w:rsidRDefault="001A2F10" w:rsidP="00E50B63">
      <w:pPr>
        <w:pStyle w:val="Normlndobloku"/>
        <w:keepNext/>
        <w:spacing w:after="0"/>
        <w:rPr>
          <w:szCs w:val="22"/>
        </w:rPr>
      </w:pPr>
      <w:r w:rsidRPr="00967F80">
        <w:rPr>
          <w:rStyle w:val="Bacil"/>
          <w:szCs w:val="22"/>
        </w:rPr>
        <w:t>Pohlavie:</w:t>
      </w:r>
      <w:r w:rsidRPr="00967F80">
        <w:rPr>
          <w:i/>
          <w:iCs/>
          <w:szCs w:val="22"/>
        </w:rPr>
        <w:t xml:space="preserve"> </w:t>
      </w:r>
      <w:r w:rsidRPr="00967F80">
        <w:rPr>
          <w:szCs w:val="22"/>
        </w:rPr>
        <w:t xml:space="preserve">Medzi mužmi a ženami boli zistené </w:t>
      </w:r>
      <w:proofErr w:type="spellStart"/>
      <w:r w:rsidRPr="00967F80">
        <w:rPr>
          <w:szCs w:val="22"/>
        </w:rPr>
        <w:t>farmakokinetické</w:t>
      </w:r>
      <w:proofErr w:type="spellEnd"/>
      <w:r w:rsidRPr="00967F80">
        <w:rPr>
          <w:szCs w:val="22"/>
        </w:rPr>
        <w:t xml:space="preserve"> rozdiely (zdanlivý plazmatický 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je u žien asi o 50 % nižší). Vychádzajúc z prekrývania sa rozmedzia </w:t>
      </w:r>
      <w:proofErr w:type="spellStart"/>
      <w:r w:rsidRPr="00967F80">
        <w:rPr>
          <w:szCs w:val="22"/>
        </w:rPr>
        <w:t>klírensu</w:t>
      </w:r>
      <w:proofErr w:type="spellEnd"/>
      <w:r w:rsidRPr="00967F80">
        <w:rPr>
          <w:szCs w:val="22"/>
        </w:rPr>
        <w:t xml:space="preserve">, </w:t>
      </w:r>
      <w:proofErr w:type="spellStart"/>
      <w:r w:rsidRPr="00967F80">
        <w:rPr>
          <w:szCs w:val="22"/>
        </w:rPr>
        <w:t>farmakokinetické</w:t>
      </w:r>
      <w:proofErr w:type="spellEnd"/>
      <w:r w:rsidRPr="00967F80">
        <w:rPr>
          <w:szCs w:val="22"/>
        </w:rPr>
        <w:t xml:space="preserve"> rozdiely na základe pohlavia </w:t>
      </w:r>
      <w:r w:rsidR="00041A47" w:rsidRPr="00967F80">
        <w:rPr>
          <w:szCs w:val="22"/>
        </w:rPr>
        <w:t>neopodstatňujú</w:t>
      </w:r>
      <w:r w:rsidRPr="00967F80">
        <w:rPr>
          <w:szCs w:val="22"/>
        </w:rPr>
        <w:t> </w:t>
      </w:r>
      <w:r w:rsidR="00041A47" w:rsidRPr="00967F80">
        <w:rPr>
          <w:szCs w:val="22"/>
        </w:rPr>
        <w:t xml:space="preserve">odporúčanie </w:t>
      </w:r>
      <w:r w:rsidR="00D741FB" w:rsidRPr="00967F80">
        <w:rPr>
          <w:szCs w:val="22"/>
        </w:rPr>
        <w:t>užívať</w:t>
      </w:r>
      <w:r w:rsidR="00041A47" w:rsidRPr="00967F80">
        <w:rPr>
          <w:szCs w:val="22"/>
        </w:rPr>
        <w:t xml:space="preserve"> </w:t>
      </w:r>
      <w:r w:rsidR="00D741FB" w:rsidRPr="00967F80">
        <w:rPr>
          <w:szCs w:val="22"/>
        </w:rPr>
        <w:t>nižšie</w:t>
      </w:r>
      <w:r w:rsidR="00041A47" w:rsidRPr="00967F80">
        <w:rPr>
          <w:szCs w:val="22"/>
        </w:rPr>
        <w:t xml:space="preserve"> dávky </w:t>
      </w:r>
      <w:r w:rsidRPr="00967F80">
        <w:rPr>
          <w:szCs w:val="22"/>
        </w:rPr>
        <w:t>u </w:t>
      </w:r>
      <w:proofErr w:type="spellStart"/>
      <w:r w:rsidRPr="00967F80">
        <w:rPr>
          <w:szCs w:val="22"/>
        </w:rPr>
        <w:t>pacientok</w:t>
      </w:r>
      <w:proofErr w:type="spellEnd"/>
      <w:r w:rsidRPr="00967F80">
        <w:rPr>
          <w:szCs w:val="22"/>
        </w:rPr>
        <w:t>.</w:t>
      </w:r>
    </w:p>
    <w:p w:rsidR="00E826EA" w:rsidRPr="00E50B63" w:rsidRDefault="00E826EA">
      <w:pPr>
        <w:pStyle w:val="Normlndobloku"/>
        <w:spacing w:after="0"/>
        <w:rPr>
          <w:rStyle w:val="Bacil"/>
          <w:szCs w:val="22"/>
          <w:u w:val="single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Vek:</w:t>
      </w:r>
      <w:r w:rsidRPr="00967F80">
        <w:rPr>
          <w:szCs w:val="22"/>
        </w:rPr>
        <w:t xml:space="preserve"> </w:t>
      </w:r>
      <w:r w:rsidR="000F75EF" w:rsidRPr="00967F80">
        <w:rPr>
          <w:szCs w:val="22"/>
        </w:rPr>
        <w:t xml:space="preserve">Medzi mladšími a staršími ženami (≥ 65 rokov) boli zistené </w:t>
      </w:r>
      <w:proofErr w:type="spellStart"/>
      <w:r w:rsidR="000F75EF" w:rsidRPr="00967F80">
        <w:rPr>
          <w:szCs w:val="22"/>
        </w:rPr>
        <w:t>f</w:t>
      </w:r>
      <w:r w:rsidRPr="00967F80">
        <w:rPr>
          <w:szCs w:val="22"/>
        </w:rPr>
        <w:t>armakokinetické</w:t>
      </w:r>
      <w:proofErr w:type="spellEnd"/>
      <w:r w:rsidRPr="00967F80">
        <w:rPr>
          <w:szCs w:val="22"/>
        </w:rPr>
        <w:t xml:space="preserve"> rozdiely (u starších </w:t>
      </w:r>
      <w:proofErr w:type="spellStart"/>
      <w:r w:rsidRPr="00967F80">
        <w:rPr>
          <w:szCs w:val="22"/>
        </w:rPr>
        <w:t>pacientok</w:t>
      </w:r>
      <w:proofErr w:type="spellEnd"/>
      <w:r w:rsidRPr="00967F80">
        <w:rPr>
          <w:szCs w:val="22"/>
        </w:rPr>
        <w:t xml:space="preserve"> sa zvyšuje 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 asi o 25 % a polčas vylučovania je asi o 25 % dlhší), </w:t>
      </w:r>
      <w:proofErr w:type="spellStart"/>
      <w:r w:rsidRPr="00967F80">
        <w:rPr>
          <w:szCs w:val="22"/>
        </w:rPr>
        <w:t>magnitúda</w:t>
      </w:r>
      <w:proofErr w:type="spellEnd"/>
      <w:r w:rsidRPr="00967F80">
        <w:rPr>
          <w:szCs w:val="22"/>
        </w:rPr>
        <w:t xml:space="preserve"> týchto zmien však nie je dostatočná na to, aby </w:t>
      </w:r>
      <w:r w:rsidR="00041A47" w:rsidRPr="00967F80">
        <w:rPr>
          <w:szCs w:val="22"/>
        </w:rPr>
        <w:t xml:space="preserve">opodstatňovala </w:t>
      </w:r>
      <w:r w:rsidRPr="00967F80">
        <w:rPr>
          <w:szCs w:val="22"/>
        </w:rPr>
        <w:t>úpravu dávkovania. Všeobecne sa odporúča opatrnosť pri liečbe starších pacientov (pozri časti 4.2 a 4.4).</w:t>
      </w:r>
    </w:p>
    <w:p w:rsidR="00E826EA" w:rsidRPr="00967F80" w:rsidRDefault="00E826EA">
      <w:pPr>
        <w:pStyle w:val="Normlndobloku"/>
        <w:spacing w:after="0"/>
        <w:rPr>
          <w:rStyle w:val="Bacil"/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Porucha funkcie obličiek:</w:t>
      </w:r>
      <w:r w:rsidRPr="00967F80">
        <w:rPr>
          <w:szCs w:val="22"/>
        </w:rPr>
        <w:t xml:space="preserve"> Pacienti s obličkovým ochorením v konečnej fáze (End </w:t>
      </w:r>
      <w:proofErr w:type="spellStart"/>
      <w:r w:rsidRPr="00967F80">
        <w:rPr>
          <w:szCs w:val="22"/>
        </w:rPr>
        <w:t>Stage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Renal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Disease</w:t>
      </w:r>
      <w:proofErr w:type="spellEnd"/>
      <w:r w:rsidRPr="00967F80">
        <w:rPr>
          <w:szCs w:val="22"/>
        </w:rPr>
        <w:t xml:space="preserve"> - </w:t>
      </w:r>
      <w:proofErr w:type="spellStart"/>
      <w:r w:rsidRPr="00967F80">
        <w:rPr>
          <w:szCs w:val="22"/>
        </w:rPr>
        <w:t>ESRD</w:t>
      </w:r>
      <w:proofErr w:type="spellEnd"/>
      <w:r w:rsidRPr="00967F80">
        <w:rPr>
          <w:szCs w:val="22"/>
        </w:rPr>
        <w:t xml:space="preserve">) podrobujúci sa dialýze mali oproti zdravým jedincom dvakrát vyššie hodnoty </w:t>
      </w:r>
      <w:proofErr w:type="spellStart"/>
      <w:r w:rsidRPr="00967F80">
        <w:rPr>
          <w:szCs w:val="22"/>
        </w:rPr>
        <w:t>Cmax</w:t>
      </w:r>
      <w:proofErr w:type="spellEnd"/>
      <w:r w:rsidRPr="00967F80">
        <w:rPr>
          <w:szCs w:val="22"/>
        </w:rPr>
        <w:t xml:space="preserve"> a 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. </w:t>
      </w:r>
      <w:proofErr w:type="spellStart"/>
      <w:r w:rsidRPr="00967F80">
        <w:rPr>
          <w:szCs w:val="22"/>
        </w:rPr>
        <w:t>Farmakokinetické</w:t>
      </w:r>
      <w:proofErr w:type="spellEnd"/>
      <w:r w:rsidRPr="00967F80">
        <w:rPr>
          <w:szCs w:val="22"/>
        </w:rPr>
        <w:t xml:space="preserve"> údaje o </w:t>
      </w:r>
      <w:proofErr w:type="spellStart"/>
      <w:r w:rsidRPr="00967F80">
        <w:rPr>
          <w:szCs w:val="22"/>
        </w:rPr>
        <w:t>duloxetíne</w:t>
      </w:r>
      <w:proofErr w:type="spellEnd"/>
      <w:r w:rsidRPr="00967F80">
        <w:rPr>
          <w:szCs w:val="22"/>
        </w:rPr>
        <w:t xml:space="preserve"> u pacientov s miernou alebo stredne závažnou poruchou funkcie obličiek sú obmedzené.</w:t>
      </w:r>
    </w:p>
    <w:p w:rsidR="00E826EA" w:rsidRPr="00967F80" w:rsidRDefault="00E826EA">
      <w:pPr>
        <w:pStyle w:val="Normlndobloku"/>
        <w:spacing w:after="0"/>
        <w:rPr>
          <w:rStyle w:val="Bacil"/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Porucha funkcie pečene:</w:t>
      </w:r>
      <w:r w:rsidRPr="00967F80">
        <w:rPr>
          <w:szCs w:val="22"/>
        </w:rPr>
        <w:t xml:space="preserve"> Stredne závažné ochorenie pečene (</w:t>
      </w:r>
      <w:proofErr w:type="spellStart"/>
      <w:r w:rsidRPr="00967F80">
        <w:rPr>
          <w:szCs w:val="22"/>
        </w:rPr>
        <w:t>Child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Pugh</w:t>
      </w:r>
      <w:proofErr w:type="spellEnd"/>
      <w:r w:rsidRPr="00967F80">
        <w:rPr>
          <w:szCs w:val="22"/>
        </w:rPr>
        <w:t xml:space="preserve"> trieda B) malo vplyv na </w:t>
      </w:r>
      <w:proofErr w:type="spellStart"/>
      <w:r w:rsidRPr="00967F80">
        <w:rPr>
          <w:szCs w:val="22"/>
        </w:rPr>
        <w:t>farmakokinetiku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. V porovnaní so zdravými jedincami, u pacientov so stredne závažným ochorením pečene bol zdanlivý plazmatický </w:t>
      </w:r>
      <w:proofErr w:type="spellStart"/>
      <w:r w:rsidRPr="00967F80">
        <w:rPr>
          <w:szCs w:val="22"/>
        </w:rPr>
        <w:t>klírens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o 79 % nižší, zdanlivý terminálny polčas 2,3-krát dlhší a 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 3,7-krát vyššie. </w:t>
      </w:r>
      <w:proofErr w:type="spellStart"/>
      <w:r w:rsidRPr="00967F80">
        <w:rPr>
          <w:szCs w:val="22"/>
        </w:rPr>
        <w:t>Farmakokinetika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a jeho </w:t>
      </w:r>
      <w:proofErr w:type="spellStart"/>
      <w:r w:rsidRPr="00967F80">
        <w:rPr>
          <w:szCs w:val="22"/>
        </w:rPr>
        <w:t>metabolitov</w:t>
      </w:r>
      <w:proofErr w:type="spellEnd"/>
      <w:r w:rsidRPr="00967F80">
        <w:rPr>
          <w:szCs w:val="22"/>
        </w:rPr>
        <w:t xml:space="preserve"> u pacientov s miernou alebo závažnou nedostatočnosťou pečene nebola sledovaná.</w:t>
      </w:r>
    </w:p>
    <w:p w:rsidR="00E826EA" w:rsidRPr="00967F80" w:rsidRDefault="00E826EA">
      <w:pPr>
        <w:pStyle w:val="Normlndobloku"/>
        <w:spacing w:after="0"/>
        <w:rPr>
          <w:rStyle w:val="Bacil"/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Dojčiace ženy:</w:t>
      </w:r>
      <w:r w:rsidRPr="00967F80">
        <w:rPr>
          <w:i/>
          <w:iCs/>
          <w:szCs w:val="22"/>
        </w:rPr>
        <w:t xml:space="preserve"> </w:t>
      </w:r>
      <w:r w:rsidRPr="00967F80">
        <w:rPr>
          <w:szCs w:val="22"/>
        </w:rPr>
        <w:t xml:space="preserve">Dispozícia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bola skúmaná u 6 dojčiacich žien, ktoré boli minimálne 12 týždňov po pôrode.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je detekovateľný v materskom mlieku a rovnovážne koncentrácie v materskom mlieku tvoria asi jednu štvrtinu plazmatickej koncentrácie. Množstvo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v materskom mlieku je približne 7 </w:t>
      </w:r>
      <w:proofErr w:type="spellStart"/>
      <w:r w:rsidRPr="00967F80">
        <w:rPr>
          <w:szCs w:val="22"/>
        </w:rPr>
        <w:t>μg</w:t>
      </w:r>
      <w:proofErr w:type="spellEnd"/>
      <w:r w:rsidRPr="00967F80">
        <w:rPr>
          <w:szCs w:val="22"/>
        </w:rPr>
        <w:t xml:space="preserve">/deň pri dávkovaní 40 mg dvakrát denne. Laktácia neovplyvňovala </w:t>
      </w:r>
      <w:proofErr w:type="spellStart"/>
      <w:r w:rsidRPr="00967F80">
        <w:rPr>
          <w:szCs w:val="22"/>
        </w:rPr>
        <w:t>farmakokinetiku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>.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rStyle w:val="Bacil"/>
          <w:szCs w:val="22"/>
        </w:rPr>
        <w:t>Pediatrická populácia:</w:t>
      </w:r>
      <w:r w:rsidRPr="00967F80">
        <w:rPr>
          <w:i/>
          <w:iCs/>
          <w:szCs w:val="22"/>
        </w:rPr>
        <w:t xml:space="preserve"> </w:t>
      </w:r>
      <w:proofErr w:type="spellStart"/>
      <w:r w:rsidRPr="00967F80">
        <w:rPr>
          <w:szCs w:val="22"/>
        </w:rPr>
        <w:t>Farmakokinetika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u pediatrických pacientov vo veku 7 až 17 rokov s veľkou depresívnou poruchou po perorálnom podaní dávok 20 až 120 mg raz denne bola charakterizovaná pomocou analýz modelovania populácie založených na údajoch z 3 štúdií. Model naznačujúci ustálenú plazmatickú koncentráciu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u pediatrických pacientov sa pohyboval v rozmedzí koncentrácie pozorovanom u dospelých pacientov.</w:t>
      </w:r>
    </w:p>
    <w:p w:rsidR="001B7103" w:rsidRPr="00967F80" w:rsidRDefault="001B7103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Predklinické údaje o bezpečnosti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 štandardnej sérii testov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nebol </w:t>
      </w:r>
      <w:proofErr w:type="spellStart"/>
      <w:r w:rsidRPr="00967F80">
        <w:rPr>
          <w:szCs w:val="22"/>
        </w:rPr>
        <w:t>genotoxický</w:t>
      </w:r>
      <w:proofErr w:type="spellEnd"/>
      <w:r w:rsidRPr="00967F80">
        <w:rPr>
          <w:szCs w:val="22"/>
        </w:rPr>
        <w:t xml:space="preserve"> a u potkanov nebol karcinogénny.</w:t>
      </w:r>
      <w:r w:rsidR="000F75EF" w:rsidRPr="00967F80">
        <w:rPr>
          <w:szCs w:val="22"/>
        </w:rPr>
        <w:t xml:space="preserve"> </w:t>
      </w:r>
      <w:r w:rsidRPr="00967F80">
        <w:rPr>
          <w:szCs w:val="22"/>
        </w:rPr>
        <w:t xml:space="preserve">V štúdii karcinogenity na potkanoch boli v pečeni spozorované </w:t>
      </w:r>
      <w:proofErr w:type="spellStart"/>
      <w:r w:rsidRPr="00967F80">
        <w:rPr>
          <w:szCs w:val="22"/>
        </w:rPr>
        <w:t>multijadrové</w:t>
      </w:r>
      <w:proofErr w:type="spellEnd"/>
      <w:r w:rsidRPr="00967F80">
        <w:rPr>
          <w:szCs w:val="22"/>
        </w:rPr>
        <w:t xml:space="preserve"> bunky bez prítomnosti iných </w:t>
      </w:r>
      <w:proofErr w:type="spellStart"/>
      <w:r w:rsidRPr="00967F80">
        <w:rPr>
          <w:szCs w:val="22"/>
        </w:rPr>
        <w:t>histopatologických</w:t>
      </w:r>
      <w:proofErr w:type="spellEnd"/>
      <w:r w:rsidRPr="00967F80">
        <w:rPr>
          <w:szCs w:val="22"/>
        </w:rPr>
        <w:t xml:space="preserve"> zmien. Mechanizmus, ktorý to spôsobuje, ani klinická závažnosť nie sú známe. U</w:t>
      </w:r>
      <w:r w:rsidR="00D16243" w:rsidRPr="00967F80">
        <w:rPr>
          <w:szCs w:val="22"/>
        </w:rPr>
        <w:t> </w:t>
      </w:r>
      <w:r w:rsidRPr="00967F80">
        <w:rPr>
          <w:szCs w:val="22"/>
        </w:rPr>
        <w:t>sam</w:t>
      </w:r>
      <w:r w:rsidR="00D16243" w:rsidRPr="00967F80">
        <w:rPr>
          <w:szCs w:val="22"/>
        </w:rPr>
        <w:t xml:space="preserve">íc </w:t>
      </w:r>
      <w:r w:rsidRPr="00967F80">
        <w:rPr>
          <w:szCs w:val="22"/>
        </w:rPr>
        <w:t xml:space="preserve">myší, ktoré dostávali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počas 2 rokov, bola iba pri vysokej dávke (144 mg/kg/deň) zvýšená </w:t>
      </w:r>
      <w:proofErr w:type="spellStart"/>
      <w:r w:rsidRPr="00967F80">
        <w:rPr>
          <w:szCs w:val="22"/>
        </w:rPr>
        <w:t>incidencia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hepatocelulárnych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adenómov</w:t>
      </w:r>
      <w:proofErr w:type="spellEnd"/>
      <w:r w:rsidRPr="00967F80">
        <w:rPr>
          <w:szCs w:val="22"/>
        </w:rPr>
        <w:t xml:space="preserve"> a karcinómov, tieto však boli považované za sekundárne </w:t>
      </w:r>
      <w:r w:rsidR="00FB18D9" w:rsidRPr="00967F80">
        <w:rPr>
          <w:szCs w:val="22"/>
        </w:rPr>
        <w:t>k</w:t>
      </w:r>
      <w:r w:rsidRPr="00967F80">
        <w:rPr>
          <w:szCs w:val="22"/>
        </w:rPr>
        <w:t xml:space="preserve"> indukci</w:t>
      </w:r>
      <w:r w:rsidR="00FB18D9" w:rsidRPr="00967F80">
        <w:rPr>
          <w:szCs w:val="22"/>
        </w:rPr>
        <w:t>i</w:t>
      </w:r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mikrozomálnych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hepatálnych</w:t>
      </w:r>
      <w:proofErr w:type="spellEnd"/>
      <w:r w:rsidRPr="00967F80">
        <w:rPr>
          <w:szCs w:val="22"/>
        </w:rPr>
        <w:t xml:space="preserve"> enzýmov. Nie je známe, či sú tieto údaje získané pozorovaním myší, relevantné pre ľudí. Samičky potkanov, ktoré dostávali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(45 mg/kg/deň) pred a počas párenia a na </w:t>
      </w:r>
      <w:r w:rsidR="00225702" w:rsidRPr="00967F80">
        <w:rPr>
          <w:szCs w:val="22"/>
        </w:rPr>
        <w:t>za</w:t>
      </w:r>
      <w:r w:rsidRPr="00967F80">
        <w:rPr>
          <w:szCs w:val="22"/>
        </w:rPr>
        <w:t xml:space="preserve">čiatku gravidity, mali pokles príjmu materskej potravy a telesnej hmotnosti, poruchy </w:t>
      </w:r>
      <w:proofErr w:type="spellStart"/>
      <w:r w:rsidRPr="00967F80">
        <w:rPr>
          <w:szCs w:val="22"/>
        </w:rPr>
        <w:t>estrálneho</w:t>
      </w:r>
      <w:proofErr w:type="spellEnd"/>
      <w:r w:rsidRPr="00967F80">
        <w:rPr>
          <w:szCs w:val="22"/>
        </w:rPr>
        <w:t xml:space="preserve"> cyklu, pokles indexu živonarodeného a žijúceho potomstva a retardáciu rastu potomstva pri úrovniach systémovej expozície, ktoré podľa odhadu dosahovali väčšinou úroveň maximálnej klinickej expozície (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). V štúdii </w:t>
      </w:r>
      <w:proofErr w:type="spellStart"/>
      <w:r w:rsidRPr="00967F80">
        <w:rPr>
          <w:szCs w:val="22"/>
        </w:rPr>
        <w:t>embryotoxicity</w:t>
      </w:r>
      <w:proofErr w:type="spellEnd"/>
      <w:r w:rsidRPr="00967F80">
        <w:rPr>
          <w:szCs w:val="22"/>
        </w:rPr>
        <w:t xml:space="preserve"> u králikov bola pri úrovniach systémovej expozície pod maximálnou klinickou expozíciou (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 xml:space="preserve">) pozorovaná vyššia </w:t>
      </w:r>
      <w:proofErr w:type="spellStart"/>
      <w:r w:rsidRPr="00967F80">
        <w:rPr>
          <w:szCs w:val="22"/>
        </w:rPr>
        <w:t>incidencia</w:t>
      </w:r>
      <w:proofErr w:type="spellEnd"/>
      <w:r w:rsidRPr="00967F80">
        <w:rPr>
          <w:szCs w:val="22"/>
        </w:rPr>
        <w:t xml:space="preserve"> kardiovaskulárnych a </w:t>
      </w:r>
      <w:proofErr w:type="spellStart"/>
      <w:r w:rsidRPr="00967F80">
        <w:rPr>
          <w:szCs w:val="22"/>
        </w:rPr>
        <w:t>skeletálnych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malformácií</w:t>
      </w:r>
      <w:proofErr w:type="spellEnd"/>
      <w:r w:rsidRPr="00967F80">
        <w:rPr>
          <w:szCs w:val="22"/>
        </w:rPr>
        <w:t xml:space="preserve">. V inej štúdii, ktorá skúmala vyššiu dávku inej soli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, žiadne </w:t>
      </w:r>
      <w:proofErr w:type="spellStart"/>
      <w:r w:rsidRPr="00967F80">
        <w:rPr>
          <w:szCs w:val="22"/>
        </w:rPr>
        <w:t>malformácie</w:t>
      </w:r>
      <w:proofErr w:type="spellEnd"/>
      <w:r w:rsidRPr="00967F80">
        <w:rPr>
          <w:szCs w:val="22"/>
        </w:rPr>
        <w:t xml:space="preserve"> pozorované neboli. V rámci štúdií </w:t>
      </w:r>
      <w:r w:rsidRPr="00967F80">
        <w:rPr>
          <w:szCs w:val="22"/>
        </w:rPr>
        <w:lastRenderedPageBreak/>
        <w:t>prenatálnej/</w:t>
      </w:r>
      <w:proofErr w:type="spellStart"/>
      <w:r w:rsidRPr="00967F80">
        <w:rPr>
          <w:szCs w:val="22"/>
        </w:rPr>
        <w:t>postnatálnej</w:t>
      </w:r>
      <w:proofErr w:type="spellEnd"/>
      <w:r w:rsidRPr="00967F80">
        <w:rPr>
          <w:szCs w:val="22"/>
        </w:rPr>
        <w:t xml:space="preserve"> toxicity na potkanoch </w:t>
      </w:r>
      <w:proofErr w:type="spellStart"/>
      <w:r w:rsidRPr="00967F80">
        <w:rPr>
          <w:szCs w:val="22"/>
        </w:rPr>
        <w:t>duloxetín</w:t>
      </w:r>
      <w:proofErr w:type="spellEnd"/>
      <w:r w:rsidRPr="00967F80">
        <w:rPr>
          <w:szCs w:val="22"/>
        </w:rPr>
        <w:t xml:space="preserve"> indukoval nežiaduce účinky v správaní mláďat pri expozíciách nižších ako je maximálna klinická expozícia (</w:t>
      </w:r>
      <w:proofErr w:type="spellStart"/>
      <w:r w:rsidRPr="00967F80">
        <w:rPr>
          <w:szCs w:val="22"/>
        </w:rPr>
        <w:t>AUC</w:t>
      </w:r>
      <w:proofErr w:type="spellEnd"/>
      <w:r w:rsidRPr="00967F80">
        <w:rPr>
          <w:szCs w:val="22"/>
        </w:rPr>
        <w:t>).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Štúdie s </w:t>
      </w:r>
      <w:r w:rsidR="00D16243" w:rsidRPr="00967F80">
        <w:rPr>
          <w:szCs w:val="22"/>
        </w:rPr>
        <w:t>nedospelými</w:t>
      </w:r>
      <w:r w:rsidRPr="00967F80">
        <w:rPr>
          <w:szCs w:val="22"/>
        </w:rPr>
        <w:t xml:space="preserve"> potkan</w:t>
      </w:r>
      <w:r w:rsidR="00D16243" w:rsidRPr="00967F80">
        <w:rPr>
          <w:szCs w:val="22"/>
        </w:rPr>
        <w:t>mi</w:t>
      </w:r>
      <w:r w:rsidRPr="00967F80">
        <w:rPr>
          <w:szCs w:val="22"/>
        </w:rPr>
        <w:t xml:space="preserve"> ukázali prechodné účinky v </w:t>
      </w:r>
      <w:proofErr w:type="spellStart"/>
      <w:r w:rsidRPr="00967F80">
        <w:rPr>
          <w:szCs w:val="22"/>
        </w:rPr>
        <w:t>neurobehaviorálnej</w:t>
      </w:r>
      <w:proofErr w:type="spellEnd"/>
      <w:r w:rsidRPr="00967F80">
        <w:rPr>
          <w:szCs w:val="22"/>
        </w:rPr>
        <w:t xml:space="preserve"> oblasti, taktiež signifikantné zníženie telesnej hmotnosti a príjmu potravy,</w:t>
      </w:r>
      <w:r w:rsidR="00D16243" w:rsidRPr="00967F80">
        <w:rPr>
          <w:szCs w:val="22"/>
        </w:rPr>
        <w:t xml:space="preserve"> </w:t>
      </w:r>
      <w:r w:rsidRPr="00967F80">
        <w:rPr>
          <w:szCs w:val="22"/>
        </w:rPr>
        <w:t xml:space="preserve">indukciu </w:t>
      </w:r>
      <w:proofErr w:type="spellStart"/>
      <w:r w:rsidRPr="00967F80">
        <w:rPr>
          <w:szCs w:val="22"/>
        </w:rPr>
        <w:t>hepatálnych</w:t>
      </w:r>
      <w:proofErr w:type="spellEnd"/>
      <w:r w:rsidRPr="00967F80">
        <w:rPr>
          <w:szCs w:val="22"/>
        </w:rPr>
        <w:t xml:space="preserve"> enzýmov a </w:t>
      </w:r>
      <w:proofErr w:type="spellStart"/>
      <w:r w:rsidRPr="00967F80">
        <w:rPr>
          <w:szCs w:val="22"/>
        </w:rPr>
        <w:t>hepatocelulárnu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vakuolizáciu</w:t>
      </w:r>
      <w:proofErr w:type="spellEnd"/>
      <w:r w:rsidRPr="00967F80">
        <w:rPr>
          <w:szCs w:val="22"/>
        </w:rPr>
        <w:t xml:space="preserve"> pri dávkach 45 mg/kg/deň. Všeobecný profil toxicity </w:t>
      </w:r>
      <w:proofErr w:type="spellStart"/>
      <w:r w:rsidRPr="00967F80">
        <w:rPr>
          <w:szCs w:val="22"/>
        </w:rPr>
        <w:t>duloxetínu</w:t>
      </w:r>
      <w:proofErr w:type="spellEnd"/>
      <w:r w:rsidRPr="00967F80">
        <w:rPr>
          <w:szCs w:val="22"/>
        </w:rPr>
        <w:t xml:space="preserve"> u </w:t>
      </w:r>
      <w:r w:rsidR="00D16243" w:rsidRPr="00967F80">
        <w:rPr>
          <w:szCs w:val="22"/>
        </w:rPr>
        <w:t>nedospelých</w:t>
      </w:r>
      <w:r w:rsidRPr="00967F80">
        <w:rPr>
          <w:szCs w:val="22"/>
        </w:rPr>
        <w:t xml:space="preserve"> potkanov bol podobný s tým u dospelých potkanov. Výška dávky, ktorá nevyvoláva nežiaduce účinky, bola stanovená na 20 mg/kg/deň.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B7103" w:rsidRPr="00967F80" w:rsidRDefault="001B7103">
      <w:pPr>
        <w:pStyle w:val="Normlndobloku"/>
        <w:spacing w:after="0"/>
        <w:rPr>
          <w:szCs w:val="22"/>
        </w:rPr>
      </w:pPr>
    </w:p>
    <w:p w:rsidR="001A2F10" w:rsidRPr="00967F80" w:rsidRDefault="001A2F10" w:rsidP="00E50B63">
      <w:pPr>
        <w:pStyle w:val="Styl1"/>
        <w:numPr>
          <w:ilvl w:val="0"/>
          <w:numId w:val="1"/>
        </w:numPr>
        <w:spacing w:before="0"/>
        <w:ind w:left="357" w:hanging="357"/>
        <w:rPr>
          <w:szCs w:val="22"/>
        </w:rPr>
      </w:pPr>
      <w:r w:rsidRPr="00967F80">
        <w:rPr>
          <w:szCs w:val="22"/>
        </w:rPr>
        <w:t>FARMACEUTICKÉ INFORMÁCIE</w:t>
      </w:r>
    </w:p>
    <w:p w:rsidR="001A2F10" w:rsidRPr="00967F80" w:rsidRDefault="001A2F10" w:rsidP="00E50B63">
      <w:pPr>
        <w:pStyle w:val="Styl2"/>
        <w:numPr>
          <w:ilvl w:val="1"/>
          <w:numId w:val="1"/>
        </w:numPr>
        <w:spacing w:before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Zoznam pomocných látok</w:t>
      </w:r>
    </w:p>
    <w:p w:rsidR="001B7103" w:rsidRPr="00967F80" w:rsidRDefault="001B7103">
      <w:pPr>
        <w:pStyle w:val="Styl3"/>
        <w:spacing w:after="0"/>
        <w:rPr>
          <w:szCs w:val="22"/>
        </w:rPr>
      </w:pPr>
    </w:p>
    <w:p w:rsidR="00833B61" w:rsidRPr="00967F80" w:rsidRDefault="00D16243">
      <w:pPr>
        <w:pStyle w:val="Styl3"/>
        <w:spacing w:after="0"/>
        <w:rPr>
          <w:szCs w:val="22"/>
        </w:rPr>
      </w:pPr>
      <w:r w:rsidRPr="00967F80">
        <w:rPr>
          <w:szCs w:val="22"/>
        </w:rPr>
        <w:t>Jadro</w:t>
      </w:r>
      <w:r w:rsidR="001A2F10" w:rsidRPr="00967F80">
        <w:rPr>
          <w:szCs w:val="22"/>
        </w:rPr>
        <w:t xml:space="preserve"> </w:t>
      </w:r>
      <w:proofErr w:type="spellStart"/>
      <w:r w:rsidR="001A2F10" w:rsidRPr="00967F80">
        <w:rPr>
          <w:szCs w:val="22"/>
        </w:rPr>
        <w:t>pelety</w:t>
      </w:r>
      <w:proofErr w:type="spellEnd"/>
      <w:r w:rsidR="00833B61" w:rsidRPr="00967F80">
        <w:rPr>
          <w:szCs w:val="22"/>
        </w:rPr>
        <w:t>: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Mikrogranuly</w:t>
      </w:r>
      <w:proofErr w:type="spellEnd"/>
      <w:r w:rsidRPr="00967F80">
        <w:rPr>
          <w:szCs w:val="22"/>
        </w:rPr>
        <w:t xml:space="preserve"> cukru (sacharóza, kukuričný škrob)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833B61" w:rsidRPr="00967F80" w:rsidRDefault="001A2F10">
      <w:pPr>
        <w:pStyle w:val="Styl3"/>
        <w:spacing w:after="0"/>
        <w:rPr>
          <w:szCs w:val="22"/>
        </w:rPr>
      </w:pPr>
      <w:r w:rsidRPr="00967F80">
        <w:rPr>
          <w:szCs w:val="22"/>
        </w:rPr>
        <w:t xml:space="preserve">Poťah </w:t>
      </w:r>
      <w:proofErr w:type="spellStart"/>
      <w:r w:rsidRPr="00967F80">
        <w:rPr>
          <w:szCs w:val="22"/>
        </w:rPr>
        <w:t>pelety</w:t>
      </w:r>
      <w:proofErr w:type="spellEnd"/>
      <w:r w:rsidR="00833B61" w:rsidRPr="00967F80">
        <w:rPr>
          <w:szCs w:val="22"/>
        </w:rPr>
        <w:t>:</w:t>
      </w:r>
    </w:p>
    <w:p w:rsidR="00833B61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Hypromelóza 2910/5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K</w:t>
      </w:r>
      <w:r w:rsidR="001A2F10" w:rsidRPr="00967F80">
        <w:rPr>
          <w:szCs w:val="22"/>
        </w:rPr>
        <w:t>rospovidón</w:t>
      </w:r>
      <w:proofErr w:type="spellEnd"/>
      <w:r w:rsidR="001A2F10" w:rsidRPr="00967F80">
        <w:rPr>
          <w:szCs w:val="22"/>
        </w:rPr>
        <w:t xml:space="preserve"> typ A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S</w:t>
      </w:r>
      <w:r w:rsidR="001A2F10" w:rsidRPr="00967F80">
        <w:rPr>
          <w:szCs w:val="22"/>
        </w:rPr>
        <w:t>acharóza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A</w:t>
      </w:r>
      <w:r w:rsidR="001A2F10" w:rsidRPr="00967F80">
        <w:rPr>
          <w:szCs w:val="22"/>
        </w:rPr>
        <w:t>cetosukcinát</w:t>
      </w:r>
      <w:proofErr w:type="spellEnd"/>
      <w:r w:rsidR="001A2F10" w:rsidRPr="00967F80">
        <w:rPr>
          <w:szCs w:val="22"/>
        </w:rPr>
        <w:t xml:space="preserve"> </w:t>
      </w:r>
      <w:proofErr w:type="spellStart"/>
      <w:r w:rsidR="001A2F10" w:rsidRPr="00967F80">
        <w:rPr>
          <w:szCs w:val="22"/>
        </w:rPr>
        <w:t>hypromelózy</w:t>
      </w:r>
      <w:proofErr w:type="spellEnd"/>
    </w:p>
    <w:p w:rsidR="00833B61" w:rsidRPr="00967F80" w:rsidRDefault="00833B61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T</w:t>
      </w:r>
      <w:r w:rsidR="001A2F10" w:rsidRPr="00967F80">
        <w:rPr>
          <w:szCs w:val="22"/>
        </w:rPr>
        <w:t>rietylcitrát</w:t>
      </w:r>
      <w:proofErr w:type="spellEnd"/>
      <w:r w:rsidR="001A2F10" w:rsidRPr="00967F80">
        <w:rPr>
          <w:szCs w:val="22"/>
        </w:rPr>
        <w:t xml:space="preserve"> (E 1505)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M</w:t>
      </w:r>
      <w:r w:rsidR="001A2F10" w:rsidRPr="00967F80">
        <w:rPr>
          <w:szCs w:val="22"/>
        </w:rPr>
        <w:t>astenec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M</w:t>
      </w:r>
      <w:r w:rsidR="001A2F10" w:rsidRPr="00967F80">
        <w:rPr>
          <w:szCs w:val="22"/>
        </w:rPr>
        <w:t>akrogol 8000</w:t>
      </w:r>
    </w:p>
    <w:p w:rsidR="001A2F10" w:rsidRPr="00967F80" w:rsidRDefault="00833B61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O</w:t>
      </w:r>
      <w:r w:rsidR="001A2F10" w:rsidRPr="00967F80">
        <w:rPr>
          <w:szCs w:val="22"/>
        </w:rPr>
        <w:t>xid titaničitý (E 171)</w:t>
      </w:r>
    </w:p>
    <w:p w:rsidR="00BF140B" w:rsidRPr="00967F80" w:rsidRDefault="00BF140B">
      <w:pPr>
        <w:pStyle w:val="Styl3"/>
        <w:spacing w:after="0"/>
        <w:rPr>
          <w:szCs w:val="22"/>
          <w:highlight w:val="lightGray"/>
        </w:rPr>
      </w:pPr>
    </w:p>
    <w:p w:rsidR="00833B61" w:rsidRPr="00967F80" w:rsidRDefault="001A2F10">
      <w:pPr>
        <w:pStyle w:val="Styl3"/>
        <w:keepNext/>
        <w:spacing w:after="0"/>
        <w:rPr>
          <w:szCs w:val="22"/>
        </w:rPr>
      </w:pPr>
      <w:r w:rsidRPr="00967F80">
        <w:rPr>
          <w:szCs w:val="22"/>
        </w:rPr>
        <w:t>Obal kapsuly</w:t>
      </w:r>
      <w:r w:rsidR="00F44F23" w:rsidRPr="00967F80">
        <w:rPr>
          <w:szCs w:val="22"/>
        </w:rPr>
        <w:t xml:space="preserve"> (</w:t>
      </w:r>
      <w:proofErr w:type="spellStart"/>
      <w:r w:rsidR="00F44F23" w:rsidRPr="00967F80">
        <w:rPr>
          <w:szCs w:val="22"/>
        </w:rPr>
        <w:t>ONELAR</w:t>
      </w:r>
      <w:proofErr w:type="spellEnd"/>
      <w:r w:rsidR="00F44F23" w:rsidRPr="00967F80">
        <w:rPr>
          <w:szCs w:val="22"/>
        </w:rPr>
        <w:t xml:space="preserve"> 60 mg)</w:t>
      </w:r>
      <w:r w:rsidR="00833B61" w:rsidRPr="00967F80">
        <w:rPr>
          <w:szCs w:val="22"/>
        </w:rPr>
        <w:t>:</w:t>
      </w:r>
    </w:p>
    <w:p w:rsidR="00833B61" w:rsidRPr="00967F80" w:rsidRDefault="001A2F10">
      <w:pPr>
        <w:pStyle w:val="Normlndobloku"/>
        <w:keepNext/>
        <w:spacing w:after="0"/>
        <w:rPr>
          <w:szCs w:val="22"/>
        </w:rPr>
      </w:pPr>
      <w:r w:rsidRPr="00967F80">
        <w:rPr>
          <w:szCs w:val="22"/>
        </w:rPr>
        <w:t>Oxid titaničitý (E 171)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Ž</w:t>
      </w:r>
      <w:r w:rsidR="001A2F10" w:rsidRPr="00967F80">
        <w:rPr>
          <w:szCs w:val="22"/>
        </w:rPr>
        <w:t>elatína</w:t>
      </w:r>
    </w:p>
    <w:p w:rsidR="00833B61" w:rsidRPr="00967F80" w:rsidRDefault="001B7103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L</w:t>
      </w:r>
      <w:r w:rsidR="00F66B16" w:rsidRPr="00967F80">
        <w:rPr>
          <w:szCs w:val="22"/>
        </w:rPr>
        <w:t>aurylsulfát</w:t>
      </w:r>
      <w:proofErr w:type="spellEnd"/>
      <w:r w:rsidR="00F66B16" w:rsidRPr="00967F80">
        <w:rPr>
          <w:szCs w:val="22"/>
        </w:rPr>
        <w:t xml:space="preserve"> </w:t>
      </w:r>
      <w:r w:rsidRPr="00967F80">
        <w:rPr>
          <w:szCs w:val="22"/>
        </w:rPr>
        <w:t>sodný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E</w:t>
      </w:r>
      <w:r w:rsidR="001A2F10" w:rsidRPr="00967F80">
        <w:rPr>
          <w:szCs w:val="22"/>
        </w:rPr>
        <w:t>rytrozín</w:t>
      </w:r>
      <w:proofErr w:type="spellEnd"/>
      <w:r w:rsidR="001A2F10" w:rsidRPr="00967F80">
        <w:rPr>
          <w:szCs w:val="22"/>
        </w:rPr>
        <w:t xml:space="preserve"> (E 127)</w:t>
      </w:r>
    </w:p>
    <w:p w:rsidR="00833B61" w:rsidRPr="00967F80" w:rsidRDefault="00833B61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Č</w:t>
      </w:r>
      <w:r w:rsidR="001A2F10" w:rsidRPr="00967F80">
        <w:rPr>
          <w:szCs w:val="22"/>
        </w:rPr>
        <w:t>ervený oxid železitý (E 172)</w:t>
      </w:r>
    </w:p>
    <w:p w:rsidR="001A2F10" w:rsidRPr="00967F80" w:rsidRDefault="00833B61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Č</w:t>
      </w:r>
      <w:r w:rsidR="001A2F10" w:rsidRPr="00967F80">
        <w:rPr>
          <w:szCs w:val="22"/>
        </w:rPr>
        <w:t>ierny oxid železitý (E 172)</w:t>
      </w:r>
    </w:p>
    <w:p w:rsidR="0028679A" w:rsidRPr="00967F80" w:rsidRDefault="0028679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Inkompatibility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Neaplikovateľné.</w:t>
      </w:r>
    </w:p>
    <w:p w:rsidR="0028679A" w:rsidRPr="00967F80" w:rsidRDefault="0028679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Čas použiteľnosti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PVC/PE/</w:t>
      </w:r>
      <w:proofErr w:type="spellStart"/>
      <w:r w:rsidRPr="00967F80">
        <w:rPr>
          <w:szCs w:val="22"/>
        </w:rPr>
        <w:t>PVDC</w:t>
      </w:r>
      <w:proofErr w:type="spellEnd"/>
      <w:r w:rsidRPr="00967F80">
        <w:rPr>
          <w:szCs w:val="22"/>
        </w:rPr>
        <w:t>-Al</w:t>
      </w:r>
      <w:r w:rsidR="00F44F23" w:rsidRPr="00967F80">
        <w:rPr>
          <w:szCs w:val="22"/>
        </w:rPr>
        <w:t>u</w:t>
      </w:r>
      <w:r w:rsidRPr="00967F80">
        <w:rPr>
          <w:szCs w:val="22"/>
        </w:rPr>
        <w:t xml:space="preserve"> priehľadné </w:t>
      </w:r>
      <w:proofErr w:type="spellStart"/>
      <w:r w:rsidRPr="00967F80">
        <w:rPr>
          <w:szCs w:val="22"/>
        </w:rPr>
        <w:t>blistre</w:t>
      </w:r>
      <w:proofErr w:type="spellEnd"/>
      <w:r w:rsidRPr="00967F80">
        <w:rPr>
          <w:szCs w:val="22"/>
        </w:rPr>
        <w:t xml:space="preserve">: </w:t>
      </w:r>
      <w:r w:rsidR="00C53278" w:rsidRPr="00967F80">
        <w:rPr>
          <w:szCs w:val="22"/>
        </w:rPr>
        <w:t>2</w:t>
      </w:r>
      <w:r w:rsidR="00F44F23" w:rsidRPr="00967F80">
        <w:rPr>
          <w:szCs w:val="22"/>
        </w:rPr>
        <w:t xml:space="preserve"> rok</w:t>
      </w:r>
      <w:r w:rsidR="00C53278" w:rsidRPr="00967F80">
        <w:rPr>
          <w:szCs w:val="22"/>
        </w:rPr>
        <w:t>y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PA/Al</w:t>
      </w:r>
      <w:r w:rsidR="0077198E" w:rsidRPr="00967F80">
        <w:rPr>
          <w:szCs w:val="22"/>
        </w:rPr>
        <w:t>u</w:t>
      </w:r>
      <w:r w:rsidRPr="00967F80">
        <w:rPr>
          <w:szCs w:val="22"/>
        </w:rPr>
        <w:t>/PVC-Al</w:t>
      </w:r>
      <w:r w:rsidR="00F44F23" w:rsidRPr="00967F80">
        <w:rPr>
          <w:szCs w:val="22"/>
        </w:rPr>
        <w:t>u</w:t>
      </w:r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blistre</w:t>
      </w:r>
      <w:proofErr w:type="spellEnd"/>
      <w:r w:rsidRPr="00967F80">
        <w:rPr>
          <w:szCs w:val="22"/>
        </w:rPr>
        <w:t>: 2</w:t>
      </w:r>
      <w:r w:rsidR="00F44F23" w:rsidRPr="00967F80">
        <w:rPr>
          <w:szCs w:val="22"/>
        </w:rPr>
        <w:t xml:space="preserve"> roky</w:t>
      </w:r>
    </w:p>
    <w:p w:rsidR="0028679A" w:rsidRPr="00967F80" w:rsidRDefault="0028679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Špeciálne upozornenia na uchovávanie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F44F23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Uchovávajte pri teplote do 30 °C </w:t>
      </w:r>
      <w:r w:rsidR="001A2F10" w:rsidRPr="00967F80">
        <w:rPr>
          <w:szCs w:val="22"/>
        </w:rPr>
        <w:t>v pôvodnom obale na ochranu pred vlhkosťou.</w:t>
      </w:r>
    </w:p>
    <w:p w:rsidR="0028679A" w:rsidRPr="00967F80" w:rsidRDefault="0028679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Druh obalu a obsah balenia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PA/Al</w:t>
      </w:r>
      <w:r w:rsidR="00084DAB" w:rsidRPr="00967F80">
        <w:rPr>
          <w:szCs w:val="22"/>
        </w:rPr>
        <w:t>u</w:t>
      </w:r>
      <w:r w:rsidRPr="00967F80">
        <w:rPr>
          <w:szCs w:val="22"/>
        </w:rPr>
        <w:t>/PVC-Al</w:t>
      </w:r>
      <w:r w:rsidR="00F44F23" w:rsidRPr="00967F80">
        <w:rPr>
          <w:szCs w:val="22"/>
        </w:rPr>
        <w:t>u</w:t>
      </w:r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blister</w:t>
      </w:r>
      <w:proofErr w:type="spellEnd"/>
      <w:r w:rsidRPr="00967F80">
        <w:rPr>
          <w:szCs w:val="22"/>
        </w:rPr>
        <w:t xml:space="preserve"> a PVC/PE/</w:t>
      </w:r>
      <w:proofErr w:type="spellStart"/>
      <w:r w:rsidRPr="00967F80">
        <w:rPr>
          <w:szCs w:val="22"/>
        </w:rPr>
        <w:t>PVDC</w:t>
      </w:r>
      <w:proofErr w:type="spellEnd"/>
      <w:r w:rsidRPr="00967F80">
        <w:rPr>
          <w:szCs w:val="22"/>
        </w:rPr>
        <w:t xml:space="preserve">-Alu priehľadný </w:t>
      </w:r>
      <w:proofErr w:type="spellStart"/>
      <w:r w:rsidRPr="00967F80">
        <w:rPr>
          <w:szCs w:val="22"/>
        </w:rPr>
        <w:t>blister</w:t>
      </w:r>
      <w:proofErr w:type="spellEnd"/>
      <w:r w:rsidR="00E826EA" w:rsidRPr="00967F80">
        <w:rPr>
          <w:szCs w:val="22"/>
        </w:rPr>
        <w:t>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Veľkosť balenia: </w:t>
      </w:r>
      <w:proofErr w:type="spellStart"/>
      <w:r w:rsidRPr="00967F80">
        <w:rPr>
          <w:szCs w:val="22"/>
        </w:rPr>
        <w:t>blistre</w:t>
      </w:r>
      <w:proofErr w:type="spellEnd"/>
      <w:r w:rsidRPr="00967F80">
        <w:rPr>
          <w:szCs w:val="22"/>
        </w:rPr>
        <w:t xml:space="preserve"> po 7, 28, 30, 56, 84,</w:t>
      </w:r>
      <w:r w:rsidR="00F44F23" w:rsidRPr="00967F80">
        <w:rPr>
          <w:szCs w:val="22"/>
        </w:rPr>
        <w:t xml:space="preserve"> 98, 100, 140, 196 a 500 kapsulách</w:t>
      </w:r>
      <w:r w:rsidR="00E826EA" w:rsidRPr="00967F80">
        <w:rPr>
          <w:szCs w:val="22"/>
        </w:rPr>
        <w:t>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Na trh nemusia byť uvedené všetky veľkosti balenia.</w:t>
      </w:r>
    </w:p>
    <w:p w:rsidR="0028679A" w:rsidRPr="00967F80" w:rsidRDefault="0028679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967F80">
        <w:rPr>
          <w:szCs w:val="22"/>
          <w:lang w:val="sk-SK"/>
        </w:rPr>
        <w:t>Špeciálne opatrenia na likvidáciu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Žiadne zvláštne požiadavky na likvidáciu.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967F80">
        <w:rPr>
          <w:szCs w:val="22"/>
        </w:rPr>
        <w:t>DRŽITEĽ ROZHODNUTIA O REGISTRÁCII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F44F23">
      <w:pPr>
        <w:pStyle w:val="Normlndobloku"/>
        <w:spacing w:after="0"/>
        <w:rPr>
          <w:szCs w:val="22"/>
        </w:rPr>
      </w:pPr>
      <w:proofErr w:type="spellStart"/>
      <w:r w:rsidRPr="00967F80">
        <w:rPr>
          <w:szCs w:val="22"/>
        </w:rPr>
        <w:t>MEDOCHEMIE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Ltd</w:t>
      </w:r>
      <w:proofErr w:type="spellEnd"/>
      <w:r w:rsidRPr="00967F80">
        <w:rPr>
          <w:szCs w:val="22"/>
        </w:rPr>
        <w:t xml:space="preserve">., 1-10 </w:t>
      </w:r>
      <w:proofErr w:type="spellStart"/>
      <w:r w:rsidRPr="00967F80">
        <w:rPr>
          <w:szCs w:val="22"/>
        </w:rPr>
        <w:t>Constantinoupoleos</w:t>
      </w:r>
      <w:proofErr w:type="spellEnd"/>
      <w:r w:rsidRPr="00967F80">
        <w:rPr>
          <w:szCs w:val="22"/>
        </w:rPr>
        <w:t xml:space="preserve"> </w:t>
      </w:r>
      <w:proofErr w:type="spellStart"/>
      <w:r w:rsidRPr="00967F80">
        <w:rPr>
          <w:szCs w:val="22"/>
        </w:rPr>
        <w:t>Street</w:t>
      </w:r>
      <w:proofErr w:type="spellEnd"/>
      <w:r w:rsidRPr="00967F80">
        <w:rPr>
          <w:szCs w:val="22"/>
        </w:rPr>
        <w:t xml:space="preserve">, 3011 </w:t>
      </w:r>
      <w:proofErr w:type="spellStart"/>
      <w:r w:rsidRPr="00967F80">
        <w:rPr>
          <w:szCs w:val="22"/>
        </w:rPr>
        <w:t>Limassol</w:t>
      </w:r>
      <w:proofErr w:type="spellEnd"/>
      <w:r w:rsidRPr="00967F80">
        <w:rPr>
          <w:szCs w:val="22"/>
        </w:rPr>
        <w:t>,</w:t>
      </w:r>
      <w:r w:rsidR="001A2F10" w:rsidRPr="00967F80">
        <w:rPr>
          <w:szCs w:val="22"/>
        </w:rPr>
        <w:t xml:space="preserve"> Cyprus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F44F23" w:rsidRPr="00967F80" w:rsidRDefault="001A2F10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967F80">
        <w:rPr>
          <w:szCs w:val="22"/>
        </w:rPr>
        <w:t>REGISTRAČNÉ ČÍSLO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F44F23" w:rsidRPr="00967F80" w:rsidRDefault="00D741FB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 xml:space="preserve"> 30/0158/16-S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967F80">
        <w:rPr>
          <w:szCs w:val="22"/>
        </w:rPr>
        <w:t>DÁTUM PRVEJ REGISTRÁCIE</w:t>
      </w:r>
      <w:r w:rsidR="00E826EA" w:rsidRPr="00E50B63">
        <w:rPr>
          <w:szCs w:val="22"/>
        </w:rPr>
        <w:t>/PREDĹŽENIA REGISTRÁCIE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FB18D9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Dátum prvej registrácie:</w:t>
      </w:r>
      <w:r w:rsidR="003233D2" w:rsidRPr="00967F80">
        <w:rPr>
          <w:szCs w:val="22"/>
        </w:rPr>
        <w:t xml:space="preserve"> 21. marca 2016</w:t>
      </w:r>
    </w:p>
    <w:p w:rsidR="001A2F10" w:rsidRPr="00967F80" w:rsidRDefault="001A2F10">
      <w:pPr>
        <w:pStyle w:val="Normlndobloku"/>
        <w:spacing w:after="0"/>
        <w:rPr>
          <w:szCs w:val="22"/>
        </w:rPr>
      </w:pPr>
      <w:r w:rsidRPr="00967F80">
        <w:rPr>
          <w:szCs w:val="22"/>
        </w:rPr>
        <w:t>Dátum posledného predĺženia registrácie:</w:t>
      </w: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E826EA" w:rsidRPr="00967F80" w:rsidRDefault="00E826EA">
      <w:pPr>
        <w:pStyle w:val="Normlndobloku"/>
        <w:spacing w:after="0"/>
        <w:rPr>
          <w:szCs w:val="22"/>
        </w:rPr>
      </w:pPr>
    </w:p>
    <w:p w:rsidR="001A2F10" w:rsidRPr="00967F80" w:rsidRDefault="001A2F10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967F80">
        <w:rPr>
          <w:szCs w:val="22"/>
        </w:rPr>
        <w:t>DÁTUM REVÍZIE TEXTU</w:t>
      </w:r>
    </w:p>
    <w:p w:rsidR="00E826EA" w:rsidRPr="00967F80" w:rsidRDefault="00E826EA">
      <w:pPr>
        <w:rPr>
          <w:szCs w:val="22"/>
          <w:lang w:val="sk-SK"/>
        </w:rPr>
      </w:pPr>
    </w:p>
    <w:p w:rsidR="008208D2" w:rsidRPr="00967F80" w:rsidRDefault="001B7103">
      <w:pPr>
        <w:rPr>
          <w:szCs w:val="22"/>
          <w:lang w:val="sk-SK"/>
        </w:rPr>
      </w:pPr>
      <w:r w:rsidRPr="00967F80">
        <w:rPr>
          <w:szCs w:val="22"/>
          <w:lang w:val="sk-SK"/>
        </w:rPr>
        <w:t>05/2020</w:t>
      </w:r>
    </w:p>
    <w:sectPr w:rsidR="008208D2" w:rsidRPr="00967F80" w:rsidSect="00967F8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75C" w:rsidRDefault="0020075C">
      <w:r>
        <w:separator/>
      </w:r>
    </w:p>
  </w:endnote>
  <w:endnote w:type="continuationSeparator" w:id="0">
    <w:p w:rsidR="0020075C" w:rsidRDefault="002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7F" w:rsidRDefault="004B747F" w:rsidP="008208D2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B747F" w:rsidRDefault="004B747F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7F" w:rsidRPr="004B747F" w:rsidRDefault="004B747F" w:rsidP="008208D2">
    <w:pPr>
      <w:pStyle w:val="Pta"/>
      <w:jc w:val="center"/>
      <w:rPr>
        <w:sz w:val="18"/>
        <w:szCs w:val="18"/>
      </w:rPr>
    </w:pPr>
    <w:r w:rsidRPr="004B747F">
      <w:rPr>
        <w:sz w:val="18"/>
        <w:szCs w:val="18"/>
      </w:rPr>
      <w:fldChar w:fldCharType="begin"/>
    </w:r>
    <w:r w:rsidRPr="004B747F">
      <w:rPr>
        <w:sz w:val="18"/>
        <w:szCs w:val="18"/>
      </w:rPr>
      <w:instrText>PAGE</w:instrText>
    </w:r>
    <w:r w:rsidRPr="004B747F">
      <w:rPr>
        <w:sz w:val="18"/>
        <w:szCs w:val="18"/>
      </w:rPr>
      <w:fldChar w:fldCharType="separate"/>
    </w:r>
    <w:r w:rsidR="00FB530B">
      <w:rPr>
        <w:noProof/>
        <w:sz w:val="18"/>
        <w:szCs w:val="18"/>
      </w:rPr>
      <w:t>2</w:t>
    </w:r>
    <w:r w:rsidRPr="004B747F">
      <w:rPr>
        <w:sz w:val="18"/>
        <w:szCs w:val="18"/>
      </w:rPr>
      <w:fldChar w:fldCharType="end"/>
    </w:r>
    <w:r w:rsidRPr="004B747F">
      <w:rPr>
        <w:sz w:val="18"/>
        <w:szCs w:val="18"/>
      </w:rPr>
      <w:t>/</w:t>
    </w:r>
    <w:r w:rsidRPr="004B747F">
      <w:rPr>
        <w:sz w:val="18"/>
        <w:szCs w:val="18"/>
      </w:rPr>
      <w:fldChar w:fldCharType="begin"/>
    </w:r>
    <w:r w:rsidRPr="004B747F">
      <w:rPr>
        <w:sz w:val="18"/>
        <w:szCs w:val="18"/>
      </w:rPr>
      <w:instrText>NUMPAGES</w:instrText>
    </w:r>
    <w:r w:rsidRPr="004B747F">
      <w:rPr>
        <w:sz w:val="18"/>
        <w:szCs w:val="18"/>
      </w:rPr>
      <w:fldChar w:fldCharType="separate"/>
    </w:r>
    <w:r w:rsidR="00FB530B">
      <w:rPr>
        <w:noProof/>
        <w:sz w:val="18"/>
        <w:szCs w:val="18"/>
      </w:rPr>
      <w:t>18</w:t>
    </w:r>
    <w:r w:rsidRPr="004B747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7F" w:rsidRPr="00BA12C4" w:rsidRDefault="004B747F" w:rsidP="008208D2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>
      <w:rPr>
        <w:noProof/>
        <w:szCs w:val="22"/>
      </w:rPr>
      <w:t>19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75C" w:rsidRDefault="0020075C">
      <w:r>
        <w:separator/>
      </w:r>
    </w:p>
  </w:footnote>
  <w:footnote w:type="continuationSeparator" w:id="0">
    <w:p w:rsidR="0020075C" w:rsidRDefault="0020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7F" w:rsidRDefault="004B747F" w:rsidP="00225702">
    <w:pPr>
      <w:outlineLvl w:val="0"/>
      <w:rPr>
        <w:sz w:val="18"/>
        <w:szCs w:val="18"/>
        <w:lang w:val="sk-SK"/>
      </w:rPr>
    </w:pPr>
    <w:r>
      <w:rPr>
        <w:noProof/>
        <w:sz w:val="18"/>
        <w:szCs w:val="18"/>
        <w:lang w:val="sk-SK" w:eastAsia="en-GB"/>
      </w:rPr>
      <w:t xml:space="preserve">Príloha č. 1 k notifikácii o zmene, ev. č.: </w:t>
    </w:r>
    <w:r>
      <w:rPr>
        <w:sz w:val="18"/>
        <w:szCs w:val="18"/>
        <w:lang w:val="sk-SK"/>
      </w:rPr>
      <w:t>2018/07820-</w:t>
    </w:r>
    <w:proofErr w:type="spellStart"/>
    <w:r>
      <w:rPr>
        <w:sz w:val="18"/>
        <w:szCs w:val="18"/>
        <w:lang w:val="sk-SK"/>
      </w:rPr>
      <w:t>ZIB</w:t>
    </w:r>
    <w:proofErr w:type="spellEnd"/>
  </w:p>
  <w:p w:rsidR="004B747F" w:rsidRDefault="004B747F" w:rsidP="00225702">
    <w:pPr>
      <w:outlineLvl w:val="0"/>
      <w:rPr>
        <w:sz w:val="18"/>
        <w:szCs w:val="18"/>
        <w:lang w:val="sk-SK"/>
      </w:rPr>
    </w:pPr>
    <w:r>
      <w:rPr>
        <w:noProof/>
        <w:sz w:val="18"/>
        <w:szCs w:val="18"/>
        <w:lang w:val="sk-SK" w:eastAsia="en-GB"/>
      </w:rPr>
      <w:t>Príloha č. 1 k notifikácii o zmene, ev. č.:</w:t>
    </w:r>
    <w:r>
      <w:rPr>
        <w:sz w:val="18"/>
        <w:szCs w:val="18"/>
        <w:lang w:val="sk-SK"/>
      </w:rPr>
      <w:t>,2019/04737-</w:t>
    </w:r>
    <w:proofErr w:type="spellStart"/>
    <w:r>
      <w:rPr>
        <w:sz w:val="18"/>
        <w:szCs w:val="18"/>
        <w:lang w:val="sk-SK"/>
      </w:rPr>
      <w:t>ZIA</w:t>
    </w:r>
    <w:proofErr w:type="spellEnd"/>
  </w:p>
  <w:p w:rsidR="004B747F" w:rsidRDefault="004B747F" w:rsidP="00E50B63">
    <w:pPr>
      <w:outlineLvl w:val="0"/>
      <w:rPr>
        <w:noProof/>
        <w:sz w:val="18"/>
        <w:szCs w:val="18"/>
        <w:lang w:val="sk-SK" w:eastAsia="en-GB"/>
      </w:rPr>
    </w:pPr>
    <w:r>
      <w:rPr>
        <w:noProof/>
        <w:sz w:val="18"/>
        <w:szCs w:val="18"/>
        <w:lang w:val="sk-SK" w:eastAsia="en-GB"/>
      </w:rPr>
      <w:t xml:space="preserve">Príloha č. 1 k notifikácii o zmene, ev. </w:t>
    </w:r>
    <w:r>
      <w:rPr>
        <w:noProof/>
        <w:sz w:val="18"/>
        <w:szCs w:val="18"/>
        <w:lang w:val="sk-SK" w:eastAsia="en-GB"/>
      </w:rPr>
      <w:t>č.: 2019/07292-ZIB</w:t>
    </w:r>
  </w:p>
  <w:p w:rsidR="00FB530B" w:rsidRDefault="00FB530B" w:rsidP="00E50B63">
    <w:pPr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7F" w:rsidRPr="0017401B" w:rsidRDefault="004B747F" w:rsidP="008208D2">
    <w:pPr>
      <w:outlineLvl w:val="0"/>
      <w:rPr>
        <w:sz w:val="18"/>
        <w:szCs w:val="18"/>
        <w:lang w:val="sk-SK"/>
      </w:rPr>
    </w:pPr>
    <w:r>
      <w:rPr>
        <w:noProof/>
        <w:sz w:val="18"/>
        <w:szCs w:val="18"/>
        <w:lang w:val="sk-SK" w:eastAsia="en-GB"/>
      </w:rPr>
      <w:t xml:space="preserve">Príloha č. 1 k notifikácii o zmene, ev. č.: </w:t>
    </w:r>
    <w:r>
      <w:rPr>
        <w:sz w:val="18"/>
        <w:szCs w:val="18"/>
        <w:lang w:val="sk-SK"/>
      </w:rPr>
      <w:t>2016/04447-</w:t>
    </w:r>
    <w:proofErr w:type="spellStart"/>
    <w:r>
      <w:rPr>
        <w:sz w:val="18"/>
        <w:szCs w:val="18"/>
        <w:lang w:val="sk-SK"/>
      </w:rPr>
      <w:t>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86226"/>
    <w:multiLevelType w:val="hybridMultilevel"/>
    <w:tmpl w:val="C2F02C7A"/>
    <w:lvl w:ilvl="0" w:tplc="9288F2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6E"/>
    <w:rsid w:val="00007B94"/>
    <w:rsid w:val="00041A47"/>
    <w:rsid w:val="00042033"/>
    <w:rsid w:val="00052ED6"/>
    <w:rsid w:val="000746B8"/>
    <w:rsid w:val="00084DAB"/>
    <w:rsid w:val="000F0673"/>
    <w:rsid w:val="000F75EF"/>
    <w:rsid w:val="00131535"/>
    <w:rsid w:val="00135FE9"/>
    <w:rsid w:val="001A045C"/>
    <w:rsid w:val="001A2F10"/>
    <w:rsid w:val="001B2640"/>
    <w:rsid w:val="001B7103"/>
    <w:rsid w:val="001B74E0"/>
    <w:rsid w:val="001D4B79"/>
    <w:rsid w:val="001E0938"/>
    <w:rsid w:val="0020075C"/>
    <w:rsid w:val="00225290"/>
    <w:rsid w:val="00225702"/>
    <w:rsid w:val="00251F80"/>
    <w:rsid w:val="00284025"/>
    <w:rsid w:val="0028679A"/>
    <w:rsid w:val="00293F53"/>
    <w:rsid w:val="002B40DA"/>
    <w:rsid w:val="002C1D0B"/>
    <w:rsid w:val="002D4210"/>
    <w:rsid w:val="00305D11"/>
    <w:rsid w:val="003223DF"/>
    <w:rsid w:val="003233D2"/>
    <w:rsid w:val="003354DC"/>
    <w:rsid w:val="00337C92"/>
    <w:rsid w:val="00342111"/>
    <w:rsid w:val="00347F08"/>
    <w:rsid w:val="00350C8C"/>
    <w:rsid w:val="003631BB"/>
    <w:rsid w:val="0037087A"/>
    <w:rsid w:val="003A299B"/>
    <w:rsid w:val="003A3F1D"/>
    <w:rsid w:val="003A571C"/>
    <w:rsid w:val="003E2CDB"/>
    <w:rsid w:val="003E74B4"/>
    <w:rsid w:val="004324C6"/>
    <w:rsid w:val="004474BF"/>
    <w:rsid w:val="00455EED"/>
    <w:rsid w:val="00496240"/>
    <w:rsid w:val="004A59FB"/>
    <w:rsid w:val="004B30F7"/>
    <w:rsid w:val="004B747F"/>
    <w:rsid w:val="004E5975"/>
    <w:rsid w:val="004F2308"/>
    <w:rsid w:val="00504C56"/>
    <w:rsid w:val="00511F2D"/>
    <w:rsid w:val="005336C6"/>
    <w:rsid w:val="0053570C"/>
    <w:rsid w:val="00591BE4"/>
    <w:rsid w:val="00596C7A"/>
    <w:rsid w:val="005B6100"/>
    <w:rsid w:val="005C18A6"/>
    <w:rsid w:val="005D676E"/>
    <w:rsid w:val="00600699"/>
    <w:rsid w:val="00603B5E"/>
    <w:rsid w:val="00614C77"/>
    <w:rsid w:val="00644C29"/>
    <w:rsid w:val="006D1281"/>
    <w:rsid w:val="006F1380"/>
    <w:rsid w:val="00715C47"/>
    <w:rsid w:val="00716A75"/>
    <w:rsid w:val="0077198E"/>
    <w:rsid w:val="007B7057"/>
    <w:rsid w:val="007E0477"/>
    <w:rsid w:val="007F40DE"/>
    <w:rsid w:val="008208D2"/>
    <w:rsid w:val="00832BFB"/>
    <w:rsid w:val="00833B61"/>
    <w:rsid w:val="008403D3"/>
    <w:rsid w:val="0085604A"/>
    <w:rsid w:val="0088458C"/>
    <w:rsid w:val="00893F50"/>
    <w:rsid w:val="008D45B6"/>
    <w:rsid w:val="00907490"/>
    <w:rsid w:val="00911598"/>
    <w:rsid w:val="009217E3"/>
    <w:rsid w:val="009312A3"/>
    <w:rsid w:val="0094106C"/>
    <w:rsid w:val="00947885"/>
    <w:rsid w:val="00967F80"/>
    <w:rsid w:val="00973C41"/>
    <w:rsid w:val="0098213E"/>
    <w:rsid w:val="009B15E3"/>
    <w:rsid w:val="00A05B49"/>
    <w:rsid w:val="00A10A9C"/>
    <w:rsid w:val="00A505FB"/>
    <w:rsid w:val="00AA575E"/>
    <w:rsid w:val="00AA6E0E"/>
    <w:rsid w:val="00AC554F"/>
    <w:rsid w:val="00AE01A3"/>
    <w:rsid w:val="00AE53B1"/>
    <w:rsid w:val="00B108B6"/>
    <w:rsid w:val="00B239F8"/>
    <w:rsid w:val="00B33DBA"/>
    <w:rsid w:val="00B44F2F"/>
    <w:rsid w:val="00B4724A"/>
    <w:rsid w:val="00B546F5"/>
    <w:rsid w:val="00B8388F"/>
    <w:rsid w:val="00BB5667"/>
    <w:rsid w:val="00BF140B"/>
    <w:rsid w:val="00BF1830"/>
    <w:rsid w:val="00BF6C9C"/>
    <w:rsid w:val="00C27210"/>
    <w:rsid w:val="00C53278"/>
    <w:rsid w:val="00C53D1D"/>
    <w:rsid w:val="00D10685"/>
    <w:rsid w:val="00D16243"/>
    <w:rsid w:val="00D20320"/>
    <w:rsid w:val="00D3272D"/>
    <w:rsid w:val="00D40F20"/>
    <w:rsid w:val="00D46143"/>
    <w:rsid w:val="00D6362D"/>
    <w:rsid w:val="00D741FB"/>
    <w:rsid w:val="00D9454B"/>
    <w:rsid w:val="00DA4EE4"/>
    <w:rsid w:val="00DB72EA"/>
    <w:rsid w:val="00DE356A"/>
    <w:rsid w:val="00E01098"/>
    <w:rsid w:val="00E05B3B"/>
    <w:rsid w:val="00E22CF1"/>
    <w:rsid w:val="00E50B63"/>
    <w:rsid w:val="00E54B45"/>
    <w:rsid w:val="00E826EA"/>
    <w:rsid w:val="00EA47A8"/>
    <w:rsid w:val="00F10BA4"/>
    <w:rsid w:val="00F1784B"/>
    <w:rsid w:val="00F44F23"/>
    <w:rsid w:val="00F66B16"/>
    <w:rsid w:val="00F73D2C"/>
    <w:rsid w:val="00F95F62"/>
    <w:rsid w:val="00FB07F4"/>
    <w:rsid w:val="00FB18D9"/>
    <w:rsid w:val="00FB514C"/>
    <w:rsid w:val="00FB530B"/>
    <w:rsid w:val="00FD568C"/>
    <w:rsid w:val="00FE0AFF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BA648-CD17-4C9A-8E37-96C9060B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01A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DB72EA"/>
    <w:pPr>
      <w:keepNext/>
      <w:numPr>
        <w:ilvl w:val="1"/>
        <w:numId w:val="2"/>
      </w:numPr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E05B3B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E05B3B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D568C"/>
    <w:pPr>
      <w:numPr>
        <w:numId w:val="3"/>
      </w:numPr>
    </w:pPr>
    <w:rPr>
      <w:noProof/>
    </w:r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4">
    <w:name w:val="Styl4"/>
    <w:basedOn w:val="Normlndobloku"/>
    <w:autoRedefine/>
    <w:qFormat/>
    <w:rsid w:val="00052ED6"/>
    <w:rPr>
      <w:rFonts w:ascii="TimesNewRoman" w:hAnsi="TimesNewRoman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2252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290"/>
    <w:rPr>
      <w:rFonts w:ascii="Times New Roman" w:eastAsia="Times New Roman" w:hAnsi="Times New Roman" w:cs="Times New Roman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36B7-78C1-4D15-80A0-9914BCB8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7685</Words>
  <Characters>43806</Characters>
  <Application>Microsoft Office Word</Application>
  <DocSecurity>0</DocSecurity>
  <Lines>365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51389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Skladaná, Judita</cp:lastModifiedBy>
  <cp:revision>4</cp:revision>
  <cp:lastPrinted>2016-10-10T08:44:00Z</cp:lastPrinted>
  <dcterms:created xsi:type="dcterms:W3CDTF">2020-05-14T06:16:00Z</dcterms:created>
  <dcterms:modified xsi:type="dcterms:W3CDTF">2020-05-14T06:20:00Z</dcterms:modified>
</cp:coreProperties>
</file>