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05BFF" w14:textId="77777777" w:rsidR="00E06EF3" w:rsidRPr="003E7411" w:rsidRDefault="00183095" w:rsidP="00E06EF3">
      <w:pPr>
        <w:pStyle w:val="Nadpis5"/>
        <w:rPr>
          <w:b w:val="0"/>
          <w:bCs w:val="0"/>
          <w:color w:val="000000"/>
          <w:sz w:val="22"/>
          <w:szCs w:val="22"/>
        </w:rPr>
      </w:pPr>
      <w:r w:rsidRPr="003E7411">
        <w:rPr>
          <w:color w:val="000000"/>
          <w:sz w:val="22"/>
          <w:szCs w:val="22"/>
        </w:rPr>
        <w:t>SÚHRN CHARAKTERISTICKÝCH VLASTNOSTÍ LIEKU</w:t>
      </w:r>
    </w:p>
    <w:p w14:paraId="4FD61DE7" w14:textId="77777777" w:rsidR="00E06EF3" w:rsidRPr="005127C7" w:rsidRDefault="00E06EF3" w:rsidP="00E06EF3">
      <w:pPr>
        <w:rPr>
          <w:bCs/>
          <w:color w:val="000000"/>
          <w:szCs w:val="22"/>
        </w:rPr>
      </w:pPr>
    </w:p>
    <w:p w14:paraId="6445FFB5" w14:textId="77777777" w:rsidR="00183095" w:rsidRPr="005127C7" w:rsidRDefault="00183095" w:rsidP="00E06EF3">
      <w:pPr>
        <w:rPr>
          <w:bCs/>
          <w:color w:val="000000"/>
          <w:szCs w:val="22"/>
        </w:rPr>
      </w:pPr>
    </w:p>
    <w:p w14:paraId="6C6FA5F5" w14:textId="56A15962" w:rsidR="00E06EF3" w:rsidRPr="003E7411" w:rsidRDefault="00342B94" w:rsidP="00342B94">
      <w:pPr>
        <w:ind w:left="0" w:firstLine="0"/>
        <w:jc w:val="both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1.</w:t>
      </w:r>
      <w:r>
        <w:rPr>
          <w:b/>
          <w:bCs/>
          <w:color w:val="000000"/>
          <w:szCs w:val="22"/>
        </w:rPr>
        <w:tab/>
      </w:r>
      <w:r w:rsidR="00E06EF3" w:rsidRPr="003E7411">
        <w:rPr>
          <w:b/>
          <w:bCs/>
          <w:color w:val="000000"/>
          <w:szCs w:val="22"/>
        </w:rPr>
        <w:t>NÁZOV LIEKU</w:t>
      </w:r>
    </w:p>
    <w:p w14:paraId="123E94BA" w14:textId="77777777" w:rsidR="00C44FFF" w:rsidRPr="005127C7" w:rsidRDefault="00C44FFF" w:rsidP="00CB69C5">
      <w:pPr>
        <w:ind w:left="0" w:firstLine="0"/>
        <w:jc w:val="both"/>
        <w:rPr>
          <w:bCs/>
          <w:color w:val="000000"/>
          <w:szCs w:val="22"/>
        </w:rPr>
      </w:pPr>
    </w:p>
    <w:p w14:paraId="05DC6CA1" w14:textId="77777777" w:rsidR="00545125" w:rsidRDefault="00CA462B" w:rsidP="00E06EF3">
      <w:pPr>
        <w:rPr>
          <w:color w:val="000000"/>
          <w:szCs w:val="22"/>
        </w:rPr>
      </w:pPr>
      <w:r>
        <w:rPr>
          <w:color w:val="000000"/>
          <w:szCs w:val="22"/>
        </w:rPr>
        <w:t xml:space="preserve">Sumamigren </w:t>
      </w:r>
      <w:r w:rsidR="007717C3">
        <w:rPr>
          <w:color w:val="000000"/>
          <w:szCs w:val="22"/>
        </w:rPr>
        <w:t>10</w:t>
      </w:r>
      <w:r>
        <w:rPr>
          <w:color w:val="000000"/>
          <w:szCs w:val="22"/>
        </w:rPr>
        <w:t>0</w:t>
      </w:r>
      <w:r w:rsidR="0011178D">
        <w:rPr>
          <w:color w:val="000000"/>
          <w:szCs w:val="22"/>
        </w:rPr>
        <w:t xml:space="preserve"> mg </w:t>
      </w:r>
    </w:p>
    <w:p w14:paraId="744013C8" w14:textId="77777777" w:rsidR="00411471" w:rsidRDefault="00411471" w:rsidP="00E06EF3">
      <w:pPr>
        <w:rPr>
          <w:color w:val="000000"/>
          <w:szCs w:val="22"/>
        </w:rPr>
      </w:pPr>
    </w:p>
    <w:p w14:paraId="5943E1CE" w14:textId="77777777" w:rsidR="00873F60" w:rsidRPr="003E7411" w:rsidRDefault="00873F60" w:rsidP="00E06EF3">
      <w:pPr>
        <w:rPr>
          <w:color w:val="000000"/>
          <w:szCs w:val="22"/>
        </w:rPr>
      </w:pPr>
      <w:r>
        <w:rPr>
          <w:color w:val="000000"/>
          <w:szCs w:val="22"/>
        </w:rPr>
        <w:t>filmom obalené tablety</w:t>
      </w:r>
    </w:p>
    <w:p w14:paraId="1C3A894F" w14:textId="77777777" w:rsidR="00E06EF3" w:rsidRPr="005127C7" w:rsidRDefault="00E06EF3" w:rsidP="00CB69C5">
      <w:pPr>
        <w:ind w:left="0" w:firstLine="0"/>
        <w:rPr>
          <w:bCs/>
          <w:color w:val="000000"/>
          <w:szCs w:val="22"/>
        </w:rPr>
      </w:pPr>
    </w:p>
    <w:p w14:paraId="0CB25DA4" w14:textId="77777777" w:rsidR="00342B94" w:rsidRPr="005127C7" w:rsidRDefault="00342B94" w:rsidP="00CB69C5">
      <w:pPr>
        <w:ind w:left="0" w:firstLine="0"/>
        <w:rPr>
          <w:bCs/>
          <w:color w:val="000000"/>
          <w:szCs w:val="22"/>
        </w:rPr>
      </w:pPr>
    </w:p>
    <w:p w14:paraId="31BF0A10" w14:textId="04A7673D" w:rsidR="00E06EF3" w:rsidRPr="003E7411" w:rsidRDefault="00342B94" w:rsidP="00342B94">
      <w:pPr>
        <w:ind w:left="0" w:firstLine="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2.</w:t>
      </w:r>
      <w:r>
        <w:rPr>
          <w:b/>
          <w:bCs/>
          <w:color w:val="000000"/>
          <w:szCs w:val="22"/>
        </w:rPr>
        <w:tab/>
      </w:r>
      <w:r w:rsidR="00E06EF3" w:rsidRPr="003E7411">
        <w:rPr>
          <w:b/>
          <w:bCs/>
          <w:color w:val="000000"/>
          <w:szCs w:val="22"/>
        </w:rPr>
        <w:t>KVALITATÍVNE A KVANTITATÍVNE ZLOŽENIE</w:t>
      </w:r>
    </w:p>
    <w:p w14:paraId="08F1C51C" w14:textId="77777777" w:rsidR="00C44FFF" w:rsidRPr="005127C7" w:rsidRDefault="00C44FFF" w:rsidP="00CB69C5">
      <w:pPr>
        <w:ind w:left="0" w:firstLine="0"/>
        <w:rPr>
          <w:bCs/>
          <w:color w:val="000000"/>
          <w:szCs w:val="22"/>
        </w:rPr>
      </w:pPr>
    </w:p>
    <w:p w14:paraId="3E23669D" w14:textId="25305538" w:rsidR="00E06EF3" w:rsidRDefault="00CA462B" w:rsidP="00E06EF3">
      <w:pPr>
        <w:rPr>
          <w:color w:val="000000"/>
          <w:szCs w:val="22"/>
        </w:rPr>
      </w:pPr>
      <w:r>
        <w:rPr>
          <w:color w:val="000000"/>
          <w:szCs w:val="22"/>
        </w:rPr>
        <w:t xml:space="preserve">Každá tableta obsahuje </w:t>
      </w:r>
      <w:r w:rsidR="007717C3">
        <w:rPr>
          <w:color w:val="000000"/>
          <w:szCs w:val="22"/>
        </w:rPr>
        <w:t>10</w:t>
      </w:r>
      <w:r>
        <w:rPr>
          <w:color w:val="000000"/>
          <w:szCs w:val="22"/>
        </w:rPr>
        <w:t>0 mg sumatript</w:t>
      </w:r>
      <w:r w:rsidR="00342B94">
        <w:rPr>
          <w:color w:val="000000"/>
          <w:szCs w:val="22"/>
        </w:rPr>
        <w:t>á</w:t>
      </w:r>
      <w:r>
        <w:rPr>
          <w:color w:val="000000"/>
          <w:szCs w:val="22"/>
        </w:rPr>
        <w:t xml:space="preserve">nu (ako </w:t>
      </w:r>
      <w:r w:rsidR="007717C3">
        <w:rPr>
          <w:color w:val="000000"/>
          <w:szCs w:val="22"/>
        </w:rPr>
        <w:t>14</w:t>
      </w:r>
      <w:r w:rsidR="007302FD">
        <w:rPr>
          <w:color w:val="000000"/>
          <w:szCs w:val="22"/>
        </w:rPr>
        <w:t xml:space="preserve">0 mg </w:t>
      </w:r>
      <w:proofErr w:type="spellStart"/>
      <w:r w:rsidR="007302FD">
        <w:rPr>
          <w:color w:val="000000"/>
          <w:szCs w:val="22"/>
        </w:rPr>
        <w:t>sumatript</w:t>
      </w:r>
      <w:r w:rsidR="00342B94">
        <w:rPr>
          <w:color w:val="000000"/>
          <w:szCs w:val="22"/>
        </w:rPr>
        <w:t>á</w:t>
      </w:r>
      <w:r w:rsidR="007302FD">
        <w:rPr>
          <w:color w:val="000000"/>
          <w:szCs w:val="22"/>
        </w:rPr>
        <w:t>n</w:t>
      </w:r>
      <w:r w:rsidR="00267EE0">
        <w:rPr>
          <w:color w:val="000000"/>
          <w:szCs w:val="22"/>
        </w:rPr>
        <w:t>ium</w:t>
      </w:r>
      <w:r w:rsidR="00054EB8">
        <w:rPr>
          <w:color w:val="000000"/>
          <w:szCs w:val="22"/>
        </w:rPr>
        <w:t>-</w:t>
      </w:r>
      <w:r>
        <w:rPr>
          <w:color w:val="000000"/>
          <w:szCs w:val="22"/>
        </w:rPr>
        <w:t>sukcinát</w:t>
      </w:r>
      <w:r w:rsidR="007302FD">
        <w:rPr>
          <w:color w:val="000000"/>
          <w:szCs w:val="22"/>
        </w:rPr>
        <w:t>u</w:t>
      </w:r>
      <w:proofErr w:type="spellEnd"/>
      <w:r>
        <w:rPr>
          <w:color w:val="000000"/>
          <w:szCs w:val="22"/>
        </w:rPr>
        <w:t>).</w:t>
      </w:r>
    </w:p>
    <w:p w14:paraId="6F246BA6" w14:textId="77777777" w:rsidR="00411471" w:rsidRDefault="00411471" w:rsidP="0011178D">
      <w:pPr>
        <w:rPr>
          <w:color w:val="000000"/>
          <w:szCs w:val="22"/>
          <w:u w:val="single"/>
        </w:rPr>
      </w:pPr>
    </w:p>
    <w:p w14:paraId="6342BE9B" w14:textId="06749313" w:rsidR="0011178D" w:rsidRDefault="007302FD" w:rsidP="0011178D">
      <w:pPr>
        <w:rPr>
          <w:color w:val="000000"/>
          <w:szCs w:val="22"/>
        </w:rPr>
      </w:pPr>
      <w:r w:rsidRPr="005127C7">
        <w:rPr>
          <w:color w:val="000000"/>
          <w:szCs w:val="22"/>
          <w:u w:val="single"/>
        </w:rPr>
        <w:t>Pomocné látky</w:t>
      </w:r>
      <w:r w:rsidR="00976555" w:rsidRPr="005127C7">
        <w:rPr>
          <w:u w:val="single"/>
        </w:rPr>
        <w:t xml:space="preserve"> </w:t>
      </w:r>
      <w:r w:rsidR="00976555" w:rsidRPr="005127C7">
        <w:rPr>
          <w:color w:val="000000"/>
          <w:szCs w:val="22"/>
          <w:u w:val="single"/>
        </w:rPr>
        <w:t>so známym účinkom</w:t>
      </w:r>
      <w:r>
        <w:rPr>
          <w:color w:val="000000"/>
          <w:szCs w:val="22"/>
        </w:rPr>
        <w:t xml:space="preserve">: </w:t>
      </w:r>
      <w:r w:rsidR="00CA462B">
        <w:rPr>
          <w:color w:val="000000"/>
          <w:szCs w:val="22"/>
        </w:rPr>
        <w:t>monohydrát laktózy</w:t>
      </w:r>
      <w:r w:rsidR="00B9043C">
        <w:rPr>
          <w:color w:val="000000"/>
          <w:szCs w:val="22"/>
        </w:rPr>
        <w:t xml:space="preserve"> (</w:t>
      </w:r>
      <w:r w:rsidR="007717C3">
        <w:rPr>
          <w:color w:val="000000"/>
          <w:szCs w:val="22"/>
        </w:rPr>
        <w:t>247</w:t>
      </w:r>
      <w:r>
        <w:rPr>
          <w:color w:val="000000"/>
          <w:szCs w:val="22"/>
        </w:rPr>
        <w:t xml:space="preserve"> mg)</w:t>
      </w:r>
      <w:r w:rsidR="00CA462B">
        <w:rPr>
          <w:color w:val="000000"/>
          <w:szCs w:val="22"/>
        </w:rPr>
        <w:t>.</w:t>
      </w:r>
    </w:p>
    <w:p w14:paraId="22F13099" w14:textId="0CD42AB5" w:rsidR="007F17A2" w:rsidRPr="003E7411" w:rsidRDefault="00F50DAA" w:rsidP="007F17A2">
      <w:pPr>
        <w:outlineLvl w:val="0"/>
        <w:rPr>
          <w:noProof/>
          <w:color w:val="000000"/>
          <w:szCs w:val="22"/>
        </w:rPr>
      </w:pPr>
      <w:r w:rsidRPr="00F50DAA">
        <w:rPr>
          <w:noProof/>
          <w:color w:val="000000"/>
          <w:szCs w:val="22"/>
        </w:rPr>
        <w:t>Úplný</w:t>
      </w:r>
      <w:r w:rsidR="007F17A2" w:rsidRPr="003E7411">
        <w:rPr>
          <w:noProof/>
          <w:color w:val="000000"/>
          <w:szCs w:val="22"/>
        </w:rPr>
        <w:t xml:space="preserve"> zoznam pomocných látok, pozri časť 6.1.</w:t>
      </w:r>
    </w:p>
    <w:p w14:paraId="19E22D9C" w14:textId="77777777" w:rsidR="00545125" w:rsidRPr="003E7411" w:rsidRDefault="00545125" w:rsidP="007F17A2">
      <w:pPr>
        <w:outlineLvl w:val="0"/>
        <w:rPr>
          <w:noProof/>
          <w:color w:val="000000"/>
          <w:szCs w:val="22"/>
        </w:rPr>
      </w:pPr>
    </w:p>
    <w:p w14:paraId="14FC6CDA" w14:textId="77777777" w:rsidR="00E06EF3" w:rsidRPr="005127C7" w:rsidRDefault="00E06EF3" w:rsidP="00E06EF3">
      <w:pPr>
        <w:rPr>
          <w:bCs/>
          <w:color w:val="000000"/>
          <w:szCs w:val="22"/>
        </w:rPr>
      </w:pPr>
    </w:p>
    <w:p w14:paraId="32E89CFF" w14:textId="42772078" w:rsidR="00E06EF3" w:rsidRPr="003E7411" w:rsidRDefault="00342B94" w:rsidP="00342B94">
      <w:pPr>
        <w:ind w:left="0" w:firstLine="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3.</w:t>
      </w:r>
      <w:r>
        <w:rPr>
          <w:b/>
          <w:bCs/>
          <w:color w:val="000000"/>
          <w:szCs w:val="22"/>
        </w:rPr>
        <w:tab/>
      </w:r>
      <w:r w:rsidR="00E06EF3" w:rsidRPr="003E7411">
        <w:rPr>
          <w:b/>
          <w:bCs/>
          <w:color w:val="000000"/>
          <w:szCs w:val="22"/>
        </w:rPr>
        <w:t>LIEKOVÁ FORMA</w:t>
      </w:r>
    </w:p>
    <w:p w14:paraId="20DBA626" w14:textId="77777777" w:rsidR="00C44FFF" w:rsidRPr="005127C7" w:rsidRDefault="00C44FFF" w:rsidP="007446E7">
      <w:pPr>
        <w:ind w:left="0" w:firstLine="0"/>
        <w:rPr>
          <w:bCs/>
          <w:color w:val="000000"/>
          <w:szCs w:val="22"/>
        </w:rPr>
      </w:pPr>
    </w:p>
    <w:p w14:paraId="2581CC88" w14:textId="0B47D2CD" w:rsidR="00E06EF3" w:rsidRPr="003E7411" w:rsidRDefault="00CA462B" w:rsidP="00E06EF3">
      <w:pPr>
        <w:rPr>
          <w:color w:val="000000"/>
          <w:szCs w:val="22"/>
        </w:rPr>
      </w:pPr>
      <w:r>
        <w:rPr>
          <w:color w:val="000000"/>
          <w:szCs w:val="22"/>
        </w:rPr>
        <w:t>Filmom obalen</w:t>
      </w:r>
      <w:r w:rsidR="00940152">
        <w:rPr>
          <w:color w:val="000000"/>
          <w:szCs w:val="22"/>
        </w:rPr>
        <w:t>á</w:t>
      </w:r>
      <w:r>
        <w:rPr>
          <w:color w:val="000000"/>
          <w:szCs w:val="22"/>
        </w:rPr>
        <w:t xml:space="preserve"> t</w:t>
      </w:r>
      <w:r w:rsidR="0011178D">
        <w:rPr>
          <w:color w:val="000000"/>
          <w:szCs w:val="22"/>
        </w:rPr>
        <w:t>ablet</w:t>
      </w:r>
      <w:r w:rsidR="00940152">
        <w:rPr>
          <w:color w:val="000000"/>
          <w:szCs w:val="22"/>
        </w:rPr>
        <w:t>a</w:t>
      </w:r>
      <w:r>
        <w:rPr>
          <w:color w:val="000000"/>
          <w:szCs w:val="22"/>
        </w:rPr>
        <w:t>.</w:t>
      </w:r>
    </w:p>
    <w:p w14:paraId="7F90573E" w14:textId="77777777" w:rsidR="00E06EF3" w:rsidRPr="003E7411" w:rsidRDefault="00E06EF3" w:rsidP="00E06EF3">
      <w:pPr>
        <w:rPr>
          <w:color w:val="000000"/>
          <w:szCs w:val="22"/>
        </w:rPr>
      </w:pPr>
    </w:p>
    <w:p w14:paraId="5F6FDD8F" w14:textId="77777777" w:rsidR="00CA462B" w:rsidRDefault="00CA462B" w:rsidP="007717C3">
      <w:pPr>
        <w:rPr>
          <w:color w:val="000000"/>
          <w:szCs w:val="22"/>
        </w:rPr>
      </w:pPr>
      <w:r>
        <w:rPr>
          <w:color w:val="000000"/>
          <w:szCs w:val="22"/>
        </w:rPr>
        <w:t xml:space="preserve">Sumamigren </w:t>
      </w:r>
      <w:r w:rsidR="007717C3">
        <w:rPr>
          <w:color w:val="000000"/>
          <w:szCs w:val="22"/>
        </w:rPr>
        <w:t>10</w:t>
      </w:r>
      <w:r>
        <w:rPr>
          <w:color w:val="000000"/>
          <w:szCs w:val="22"/>
        </w:rPr>
        <w:t xml:space="preserve">0 mg tablety sú </w:t>
      </w:r>
      <w:r w:rsidR="007717C3">
        <w:rPr>
          <w:color w:val="000000"/>
          <w:szCs w:val="22"/>
        </w:rPr>
        <w:t>biele</w:t>
      </w:r>
      <w:r>
        <w:rPr>
          <w:color w:val="000000"/>
          <w:szCs w:val="22"/>
        </w:rPr>
        <w:t>, filmom obalené</w:t>
      </w:r>
      <w:r w:rsidR="007302FD">
        <w:rPr>
          <w:color w:val="000000"/>
          <w:szCs w:val="22"/>
        </w:rPr>
        <w:t>,</w:t>
      </w:r>
      <w:r>
        <w:rPr>
          <w:color w:val="000000"/>
          <w:szCs w:val="22"/>
        </w:rPr>
        <w:t xml:space="preserve"> ováln</w:t>
      </w:r>
      <w:r w:rsidR="00C53268">
        <w:rPr>
          <w:color w:val="000000"/>
          <w:szCs w:val="22"/>
        </w:rPr>
        <w:t>e</w:t>
      </w:r>
      <w:r w:rsidR="007302FD">
        <w:rPr>
          <w:color w:val="000000"/>
          <w:szCs w:val="22"/>
        </w:rPr>
        <w:t>,</w:t>
      </w:r>
      <w:r w:rsidR="00C53268">
        <w:rPr>
          <w:color w:val="000000"/>
          <w:szCs w:val="22"/>
        </w:rPr>
        <w:t xml:space="preserve"> bikonvexné tablety</w:t>
      </w:r>
      <w:r w:rsidR="007717C3">
        <w:rPr>
          <w:color w:val="000000"/>
          <w:szCs w:val="22"/>
        </w:rPr>
        <w:t>.</w:t>
      </w:r>
      <w:r w:rsidR="00C53268">
        <w:rPr>
          <w:color w:val="000000"/>
          <w:szCs w:val="22"/>
        </w:rPr>
        <w:t xml:space="preserve"> </w:t>
      </w:r>
    </w:p>
    <w:p w14:paraId="6193907D" w14:textId="77777777" w:rsidR="00221177" w:rsidRDefault="00221177" w:rsidP="00CE3249">
      <w:pPr>
        <w:rPr>
          <w:color w:val="000000"/>
          <w:szCs w:val="22"/>
        </w:rPr>
      </w:pPr>
    </w:p>
    <w:p w14:paraId="751AE792" w14:textId="77777777" w:rsidR="007F17A2" w:rsidRPr="003E7411" w:rsidRDefault="007F17A2" w:rsidP="0011178D">
      <w:pPr>
        <w:ind w:left="0" w:firstLine="0"/>
        <w:rPr>
          <w:color w:val="000000"/>
          <w:szCs w:val="22"/>
        </w:rPr>
      </w:pPr>
    </w:p>
    <w:p w14:paraId="2432B5EA" w14:textId="77777777" w:rsidR="00CE3249" w:rsidRPr="003E7411" w:rsidRDefault="00CE3249" w:rsidP="00CE3249">
      <w:pPr>
        <w:rPr>
          <w:caps/>
          <w:color w:val="000000"/>
          <w:szCs w:val="22"/>
        </w:rPr>
      </w:pPr>
      <w:r w:rsidRPr="003E7411">
        <w:rPr>
          <w:b/>
          <w:caps/>
          <w:color w:val="000000"/>
          <w:szCs w:val="22"/>
        </w:rPr>
        <w:t>4.</w:t>
      </w:r>
      <w:r w:rsidRPr="003E7411">
        <w:rPr>
          <w:b/>
          <w:caps/>
          <w:color w:val="000000"/>
          <w:szCs w:val="22"/>
        </w:rPr>
        <w:tab/>
        <w:t>KLINICKÉ ÚDAJE</w:t>
      </w:r>
    </w:p>
    <w:p w14:paraId="48799ECF" w14:textId="77777777" w:rsidR="00CE3249" w:rsidRPr="003E7411" w:rsidRDefault="00CE3249" w:rsidP="00CE3249">
      <w:pPr>
        <w:rPr>
          <w:color w:val="000000"/>
          <w:szCs w:val="22"/>
        </w:rPr>
      </w:pPr>
    </w:p>
    <w:p w14:paraId="7CCE4C01" w14:textId="77777777" w:rsidR="00CE3249" w:rsidRPr="003E7411" w:rsidRDefault="00CE3249" w:rsidP="00CE3249">
      <w:pPr>
        <w:rPr>
          <w:color w:val="000000"/>
          <w:szCs w:val="22"/>
        </w:rPr>
      </w:pPr>
      <w:r w:rsidRPr="003E7411">
        <w:rPr>
          <w:b/>
          <w:color w:val="000000"/>
          <w:szCs w:val="22"/>
        </w:rPr>
        <w:t>4.1</w:t>
      </w:r>
      <w:r w:rsidRPr="003E7411">
        <w:rPr>
          <w:b/>
          <w:color w:val="000000"/>
          <w:szCs w:val="22"/>
        </w:rPr>
        <w:tab/>
        <w:t>Terapeutické indikácie</w:t>
      </w:r>
    </w:p>
    <w:p w14:paraId="1146B648" w14:textId="77777777" w:rsidR="00CE3249" w:rsidRDefault="00CE3249" w:rsidP="00CE3249">
      <w:pPr>
        <w:rPr>
          <w:color w:val="000000"/>
          <w:szCs w:val="22"/>
        </w:rPr>
      </w:pPr>
    </w:p>
    <w:p w14:paraId="60CB9BA1" w14:textId="77777777" w:rsidR="00CE3249" w:rsidRDefault="00C53268" w:rsidP="00CE3249">
      <w:pPr>
        <w:rPr>
          <w:color w:val="000000"/>
          <w:szCs w:val="22"/>
        </w:rPr>
      </w:pPr>
      <w:r>
        <w:rPr>
          <w:color w:val="000000"/>
          <w:szCs w:val="22"/>
        </w:rPr>
        <w:t xml:space="preserve">Sumamigren </w:t>
      </w:r>
      <w:r w:rsidR="007717C3">
        <w:rPr>
          <w:color w:val="000000"/>
          <w:szCs w:val="22"/>
        </w:rPr>
        <w:t>10</w:t>
      </w:r>
      <w:r w:rsidR="00B36A1F">
        <w:rPr>
          <w:color w:val="000000"/>
          <w:szCs w:val="22"/>
        </w:rPr>
        <w:t xml:space="preserve">0 mg </w:t>
      </w:r>
      <w:r>
        <w:rPr>
          <w:color w:val="000000"/>
          <w:szCs w:val="22"/>
        </w:rPr>
        <w:t>tablety sa indikujú na akútnu liečbu záchvatov migrény, s aurou alebo bez nej.</w:t>
      </w:r>
    </w:p>
    <w:p w14:paraId="7E1E6785" w14:textId="77777777" w:rsidR="00E83DD0" w:rsidRPr="003E7411" w:rsidRDefault="00E83DD0" w:rsidP="00E83DD0">
      <w:pPr>
        <w:ind w:left="0" w:firstLine="0"/>
        <w:rPr>
          <w:color w:val="000000"/>
          <w:szCs w:val="22"/>
        </w:rPr>
      </w:pPr>
    </w:p>
    <w:p w14:paraId="6F765911" w14:textId="77777777" w:rsidR="00CE3249" w:rsidRPr="003E7411" w:rsidRDefault="00CE3249" w:rsidP="00CE3249">
      <w:pPr>
        <w:rPr>
          <w:color w:val="000000"/>
          <w:szCs w:val="22"/>
        </w:rPr>
      </w:pPr>
      <w:r w:rsidRPr="003E7411">
        <w:rPr>
          <w:b/>
          <w:color w:val="000000"/>
          <w:szCs w:val="22"/>
        </w:rPr>
        <w:t>4.2</w:t>
      </w:r>
      <w:r w:rsidRPr="003E7411">
        <w:rPr>
          <w:b/>
          <w:color w:val="000000"/>
          <w:szCs w:val="22"/>
        </w:rPr>
        <w:tab/>
        <w:t>Dávkovanie a spôsob podávania</w:t>
      </w:r>
    </w:p>
    <w:p w14:paraId="2A43D5D7" w14:textId="77777777" w:rsidR="00CE3249" w:rsidRPr="003E7411" w:rsidRDefault="00CE3249" w:rsidP="00CE3249">
      <w:pPr>
        <w:rPr>
          <w:color w:val="000000"/>
          <w:szCs w:val="22"/>
        </w:rPr>
      </w:pPr>
    </w:p>
    <w:p w14:paraId="076F6BE8" w14:textId="77777777" w:rsidR="00483AA4" w:rsidRDefault="00483AA4" w:rsidP="00D129B6">
      <w:pPr>
        <w:autoSpaceDE w:val="0"/>
        <w:autoSpaceDN w:val="0"/>
        <w:adjustRightInd w:val="0"/>
        <w:ind w:left="0" w:firstLine="0"/>
        <w:rPr>
          <w:rFonts w:eastAsia="SimSun"/>
          <w:szCs w:val="22"/>
          <w:lang w:eastAsia="zh-CN"/>
        </w:rPr>
      </w:pPr>
      <w:r w:rsidRPr="00483AA4">
        <w:rPr>
          <w:rFonts w:eastAsia="SimSun"/>
          <w:szCs w:val="22"/>
          <w:u w:val="single"/>
          <w:lang w:eastAsia="zh-CN"/>
        </w:rPr>
        <w:t>Dávkovanie</w:t>
      </w:r>
    </w:p>
    <w:p w14:paraId="588B4BBE" w14:textId="77777777" w:rsidR="00D129B6" w:rsidRPr="00573814" w:rsidRDefault="00D129B6" w:rsidP="00D129B6">
      <w:pPr>
        <w:autoSpaceDE w:val="0"/>
        <w:autoSpaceDN w:val="0"/>
        <w:adjustRightInd w:val="0"/>
        <w:ind w:left="0" w:firstLine="0"/>
        <w:rPr>
          <w:rFonts w:eastAsia="SimSun"/>
          <w:szCs w:val="22"/>
          <w:lang w:eastAsia="zh-CN"/>
        </w:rPr>
      </w:pPr>
      <w:r>
        <w:rPr>
          <w:rFonts w:eastAsia="SimSun"/>
          <w:szCs w:val="22"/>
          <w:lang w:eastAsia="zh-CN"/>
        </w:rPr>
        <w:t>Sumatript</w:t>
      </w:r>
      <w:r w:rsidR="00B36A1F">
        <w:rPr>
          <w:rFonts w:eastAsia="SimSun"/>
          <w:szCs w:val="22"/>
          <w:lang w:eastAsia="zh-CN"/>
        </w:rPr>
        <w:t>á</w:t>
      </w:r>
      <w:r>
        <w:rPr>
          <w:rFonts w:eastAsia="SimSun"/>
          <w:szCs w:val="22"/>
          <w:lang w:eastAsia="zh-CN"/>
        </w:rPr>
        <w:t xml:space="preserve">n </w:t>
      </w:r>
      <w:r w:rsidRPr="00573814">
        <w:rPr>
          <w:rFonts w:eastAsia="SimSun"/>
          <w:szCs w:val="22"/>
          <w:lang w:eastAsia="zh-CN"/>
        </w:rPr>
        <w:t>sa ne</w:t>
      </w:r>
      <w:r w:rsidR="00B36A1F">
        <w:rPr>
          <w:rFonts w:eastAsia="SimSun"/>
          <w:szCs w:val="22"/>
          <w:lang w:eastAsia="zh-CN"/>
        </w:rPr>
        <w:t>s</w:t>
      </w:r>
      <w:r w:rsidRPr="00573814">
        <w:rPr>
          <w:rFonts w:eastAsia="SimSun"/>
          <w:szCs w:val="22"/>
          <w:lang w:eastAsia="zh-CN"/>
        </w:rPr>
        <w:t>m</w:t>
      </w:r>
      <w:r w:rsidR="00B36A1F">
        <w:rPr>
          <w:rFonts w:eastAsia="SimSun"/>
          <w:szCs w:val="22"/>
          <w:lang w:eastAsia="zh-CN"/>
        </w:rPr>
        <w:t>ie</w:t>
      </w:r>
      <w:r w:rsidRPr="00573814">
        <w:rPr>
          <w:rFonts w:eastAsia="SimSun"/>
          <w:szCs w:val="22"/>
          <w:lang w:eastAsia="zh-CN"/>
        </w:rPr>
        <w:t xml:space="preserve"> používať profylakticky.</w:t>
      </w:r>
    </w:p>
    <w:p w14:paraId="72E59528" w14:textId="77777777" w:rsidR="00C53268" w:rsidRDefault="00C53268" w:rsidP="00545125">
      <w:pPr>
        <w:ind w:left="0" w:firstLine="0"/>
        <w:rPr>
          <w:color w:val="000000"/>
          <w:szCs w:val="22"/>
        </w:rPr>
      </w:pPr>
    </w:p>
    <w:p w14:paraId="21C16FBC" w14:textId="5D6EBC3E" w:rsidR="00B90D71" w:rsidRDefault="00D129B6" w:rsidP="008B0485">
      <w:pPr>
        <w:ind w:left="0" w:firstLine="0"/>
        <w:rPr>
          <w:color w:val="000000"/>
          <w:szCs w:val="22"/>
        </w:rPr>
      </w:pPr>
      <w:r>
        <w:rPr>
          <w:color w:val="000000"/>
          <w:szCs w:val="22"/>
        </w:rPr>
        <w:t>Sumatript</w:t>
      </w:r>
      <w:r w:rsidR="00B36A1F">
        <w:rPr>
          <w:color w:val="000000"/>
          <w:szCs w:val="22"/>
        </w:rPr>
        <w:t>á</w:t>
      </w:r>
      <w:r>
        <w:rPr>
          <w:color w:val="000000"/>
          <w:szCs w:val="22"/>
        </w:rPr>
        <w:t>n</w:t>
      </w:r>
      <w:r w:rsidR="00C53268">
        <w:rPr>
          <w:color w:val="000000"/>
          <w:szCs w:val="22"/>
        </w:rPr>
        <w:t xml:space="preserve"> sa odporúča ako monoterapia na akútnu liečbu </w:t>
      </w:r>
      <w:r>
        <w:rPr>
          <w:color w:val="000000"/>
          <w:szCs w:val="22"/>
        </w:rPr>
        <w:t xml:space="preserve">záchvatov </w:t>
      </w:r>
      <w:r w:rsidR="00C53268">
        <w:rPr>
          <w:color w:val="000000"/>
          <w:szCs w:val="22"/>
        </w:rPr>
        <w:t>migrény a ne</w:t>
      </w:r>
      <w:r w:rsidR="00B36A1F">
        <w:rPr>
          <w:color w:val="000000"/>
          <w:szCs w:val="22"/>
        </w:rPr>
        <w:t>s</w:t>
      </w:r>
      <w:r w:rsidR="00C53268">
        <w:rPr>
          <w:color w:val="000000"/>
          <w:szCs w:val="22"/>
        </w:rPr>
        <w:t>m</w:t>
      </w:r>
      <w:r w:rsidR="00B36A1F">
        <w:rPr>
          <w:color w:val="000000"/>
          <w:szCs w:val="22"/>
        </w:rPr>
        <w:t>ie</w:t>
      </w:r>
      <w:r w:rsidR="00C53268">
        <w:rPr>
          <w:color w:val="000000"/>
          <w:szCs w:val="22"/>
        </w:rPr>
        <w:t xml:space="preserve"> sa podávať súbežne s </w:t>
      </w:r>
      <w:proofErr w:type="spellStart"/>
      <w:r w:rsidR="00B90D71">
        <w:rPr>
          <w:szCs w:val="22"/>
        </w:rPr>
        <w:t>ergotamínom</w:t>
      </w:r>
      <w:proofErr w:type="spellEnd"/>
      <w:r w:rsidR="00B90D71">
        <w:rPr>
          <w:szCs w:val="22"/>
        </w:rPr>
        <w:t xml:space="preserve"> alebo derivátmi ergotamínu (vrátane metysergidu) (pozri časť 4.3)</w:t>
      </w:r>
      <w:r w:rsidR="00C53268">
        <w:rPr>
          <w:color w:val="000000"/>
          <w:szCs w:val="22"/>
        </w:rPr>
        <w:t xml:space="preserve">. </w:t>
      </w:r>
    </w:p>
    <w:p w14:paraId="14E845A8" w14:textId="77777777" w:rsidR="00E83DD0" w:rsidRPr="00573814" w:rsidRDefault="00E83DD0" w:rsidP="00E83DD0">
      <w:pPr>
        <w:autoSpaceDE w:val="0"/>
        <w:autoSpaceDN w:val="0"/>
        <w:adjustRightInd w:val="0"/>
        <w:ind w:left="0" w:firstLine="0"/>
        <w:rPr>
          <w:rFonts w:eastAsia="SimSun"/>
          <w:szCs w:val="22"/>
          <w:lang w:eastAsia="zh-CN"/>
        </w:rPr>
      </w:pPr>
    </w:p>
    <w:p w14:paraId="2DC50703" w14:textId="77777777" w:rsidR="00E83DD0" w:rsidRPr="00573814" w:rsidRDefault="00B90D71" w:rsidP="00E83DD0">
      <w:pPr>
        <w:autoSpaceDE w:val="0"/>
        <w:autoSpaceDN w:val="0"/>
        <w:adjustRightInd w:val="0"/>
        <w:ind w:left="0" w:firstLine="0"/>
        <w:rPr>
          <w:rFonts w:eastAsia="SimSun"/>
          <w:szCs w:val="22"/>
          <w:lang w:eastAsia="zh-CN"/>
        </w:rPr>
      </w:pPr>
      <w:r>
        <w:rPr>
          <w:rFonts w:eastAsia="SimSun"/>
          <w:szCs w:val="22"/>
          <w:lang w:eastAsia="zh-CN"/>
        </w:rPr>
        <w:t>Sumatript</w:t>
      </w:r>
      <w:r w:rsidR="00B36A1F">
        <w:rPr>
          <w:rFonts w:eastAsia="SimSun"/>
          <w:szCs w:val="22"/>
          <w:lang w:eastAsia="zh-CN"/>
        </w:rPr>
        <w:t>á</w:t>
      </w:r>
      <w:r>
        <w:rPr>
          <w:rFonts w:eastAsia="SimSun"/>
          <w:szCs w:val="22"/>
          <w:lang w:eastAsia="zh-CN"/>
        </w:rPr>
        <w:t>n</w:t>
      </w:r>
      <w:r w:rsidR="00E83DD0" w:rsidRPr="00573814">
        <w:rPr>
          <w:rFonts w:eastAsia="SimSun"/>
          <w:szCs w:val="22"/>
          <w:lang w:eastAsia="zh-CN"/>
        </w:rPr>
        <w:t xml:space="preserve"> sa odporúča podať čo najskôr na začiatku migrén</w:t>
      </w:r>
      <w:r>
        <w:rPr>
          <w:rFonts w:eastAsia="SimSun"/>
          <w:szCs w:val="22"/>
          <w:lang w:eastAsia="zh-CN"/>
        </w:rPr>
        <w:t>o</w:t>
      </w:r>
      <w:r w:rsidR="00B36A1F">
        <w:rPr>
          <w:rFonts w:eastAsia="SimSun"/>
          <w:szCs w:val="22"/>
          <w:lang w:eastAsia="zh-CN"/>
        </w:rPr>
        <w:t>zn</w:t>
      </w:r>
      <w:r>
        <w:rPr>
          <w:rFonts w:eastAsia="SimSun"/>
          <w:szCs w:val="22"/>
          <w:lang w:eastAsia="zh-CN"/>
        </w:rPr>
        <w:t>ej bolesti hlavy, ale</w:t>
      </w:r>
      <w:r w:rsidR="00E83DD0" w:rsidRPr="00573814">
        <w:rPr>
          <w:rFonts w:eastAsia="SimSun"/>
          <w:szCs w:val="22"/>
          <w:lang w:eastAsia="zh-CN"/>
        </w:rPr>
        <w:t xml:space="preserve"> </w:t>
      </w:r>
      <w:r>
        <w:rPr>
          <w:rFonts w:eastAsia="SimSun"/>
          <w:szCs w:val="22"/>
          <w:lang w:eastAsia="zh-CN"/>
        </w:rPr>
        <w:t>j</w:t>
      </w:r>
      <w:r w:rsidR="00E83DD0" w:rsidRPr="00573814">
        <w:rPr>
          <w:rFonts w:eastAsia="SimSun"/>
          <w:szCs w:val="22"/>
          <w:lang w:eastAsia="zh-CN"/>
        </w:rPr>
        <w:t xml:space="preserve">e rovnako účinný, </w:t>
      </w:r>
      <w:r w:rsidR="00B36A1F">
        <w:rPr>
          <w:rFonts w:eastAsia="SimSun"/>
          <w:szCs w:val="22"/>
          <w:lang w:eastAsia="zh-CN"/>
        </w:rPr>
        <w:t>ak</w:t>
      </w:r>
      <w:r w:rsidR="00E83DD0" w:rsidRPr="00573814">
        <w:rPr>
          <w:rFonts w:eastAsia="SimSun"/>
          <w:szCs w:val="22"/>
          <w:lang w:eastAsia="zh-CN"/>
        </w:rPr>
        <w:t xml:space="preserve"> sa podáv</w:t>
      </w:r>
      <w:r>
        <w:rPr>
          <w:rFonts w:eastAsia="SimSun"/>
          <w:szCs w:val="22"/>
          <w:lang w:eastAsia="zh-CN"/>
        </w:rPr>
        <w:t>a v</w:t>
      </w:r>
      <w:r w:rsidR="00E83DD0" w:rsidRPr="00573814">
        <w:rPr>
          <w:rFonts w:eastAsia="SimSun"/>
          <w:szCs w:val="22"/>
          <w:lang w:eastAsia="zh-CN"/>
        </w:rPr>
        <w:t xml:space="preserve"> ktoromkoľvek štádiu záchvatu. </w:t>
      </w:r>
    </w:p>
    <w:p w14:paraId="7AAAD4C7" w14:textId="77777777" w:rsidR="00E83DD0" w:rsidRPr="00573814" w:rsidRDefault="00E83DD0" w:rsidP="00E83DD0">
      <w:pPr>
        <w:autoSpaceDE w:val="0"/>
        <w:autoSpaceDN w:val="0"/>
        <w:adjustRightInd w:val="0"/>
        <w:ind w:left="0" w:firstLine="0"/>
        <w:rPr>
          <w:rFonts w:eastAsia="SimSun"/>
          <w:szCs w:val="22"/>
          <w:lang w:eastAsia="zh-CN"/>
        </w:rPr>
      </w:pPr>
    </w:p>
    <w:p w14:paraId="06B1DC91" w14:textId="77777777" w:rsidR="00AD4820" w:rsidRPr="00AD4820" w:rsidRDefault="00483AA4" w:rsidP="00483AA4">
      <w:pPr>
        <w:autoSpaceDE w:val="0"/>
        <w:autoSpaceDN w:val="0"/>
        <w:adjustRightInd w:val="0"/>
        <w:rPr>
          <w:rFonts w:eastAsia="SimSun"/>
          <w:b/>
          <w:szCs w:val="22"/>
          <w:lang w:eastAsia="zh-CN"/>
        </w:rPr>
      </w:pPr>
      <w:r>
        <w:rPr>
          <w:rFonts w:eastAsia="SimSun"/>
          <w:b/>
          <w:szCs w:val="22"/>
          <w:lang w:eastAsia="zh-CN"/>
        </w:rPr>
        <w:t>D</w:t>
      </w:r>
      <w:r w:rsidR="00E83DD0" w:rsidRPr="00AD4820">
        <w:rPr>
          <w:rFonts w:eastAsia="SimSun"/>
          <w:b/>
          <w:szCs w:val="22"/>
          <w:lang w:eastAsia="zh-CN"/>
        </w:rPr>
        <w:t xml:space="preserve">ospelí </w:t>
      </w:r>
    </w:p>
    <w:p w14:paraId="70676D55" w14:textId="77777777" w:rsidR="00E83DD0" w:rsidRPr="00573814" w:rsidRDefault="00E83DD0" w:rsidP="00E83DD0">
      <w:pPr>
        <w:autoSpaceDE w:val="0"/>
        <w:autoSpaceDN w:val="0"/>
        <w:adjustRightInd w:val="0"/>
        <w:ind w:left="0" w:firstLine="0"/>
        <w:rPr>
          <w:rFonts w:eastAsia="SimSun"/>
          <w:szCs w:val="22"/>
          <w:lang w:eastAsia="zh-CN"/>
        </w:rPr>
      </w:pPr>
      <w:r w:rsidRPr="00573814">
        <w:rPr>
          <w:rFonts w:eastAsia="SimSun"/>
          <w:szCs w:val="22"/>
          <w:lang w:eastAsia="zh-CN"/>
        </w:rPr>
        <w:t>Odporúčaná perorálna dávka sumatript</w:t>
      </w:r>
      <w:r w:rsidR="00B36A1F">
        <w:rPr>
          <w:rFonts w:eastAsia="SimSun"/>
          <w:szCs w:val="22"/>
          <w:lang w:eastAsia="zh-CN"/>
        </w:rPr>
        <w:t>á</w:t>
      </w:r>
      <w:r w:rsidRPr="00573814">
        <w:rPr>
          <w:rFonts w:eastAsia="SimSun"/>
          <w:szCs w:val="22"/>
          <w:lang w:eastAsia="zh-CN"/>
        </w:rPr>
        <w:t>nu je jedna 50 mg tableta. Niektorí pacienti môžu potrebovať 100 mg dávku.</w:t>
      </w:r>
    </w:p>
    <w:p w14:paraId="4ADA3ABB" w14:textId="77777777" w:rsidR="00E83DD0" w:rsidRPr="00573814" w:rsidRDefault="00E83DD0" w:rsidP="00E83DD0">
      <w:pPr>
        <w:autoSpaceDE w:val="0"/>
        <w:autoSpaceDN w:val="0"/>
        <w:adjustRightInd w:val="0"/>
        <w:ind w:left="0" w:firstLine="0"/>
        <w:rPr>
          <w:rFonts w:eastAsia="SimSun"/>
          <w:szCs w:val="22"/>
          <w:lang w:eastAsia="zh-CN"/>
        </w:rPr>
      </w:pPr>
    </w:p>
    <w:p w14:paraId="351B6A03" w14:textId="7C387215" w:rsidR="00E83DD0" w:rsidRPr="00573814" w:rsidRDefault="00E83DD0" w:rsidP="00E83DD0">
      <w:pPr>
        <w:autoSpaceDE w:val="0"/>
        <w:autoSpaceDN w:val="0"/>
        <w:adjustRightInd w:val="0"/>
        <w:ind w:left="0" w:firstLine="0"/>
        <w:rPr>
          <w:rFonts w:eastAsia="SimSun"/>
          <w:szCs w:val="22"/>
          <w:lang w:eastAsia="zh-CN"/>
        </w:rPr>
      </w:pPr>
      <w:r w:rsidRPr="00573814">
        <w:rPr>
          <w:rFonts w:eastAsia="SimSun"/>
          <w:szCs w:val="22"/>
          <w:lang w:eastAsia="zh-CN"/>
        </w:rPr>
        <w:t xml:space="preserve">Ak pacient nereaguje na prvú dávku </w:t>
      </w:r>
      <w:r w:rsidR="00AD4820">
        <w:rPr>
          <w:rFonts w:eastAsia="SimSun"/>
          <w:szCs w:val="22"/>
          <w:lang w:eastAsia="zh-CN"/>
        </w:rPr>
        <w:t>sumatript</w:t>
      </w:r>
      <w:r w:rsidR="00B36A1F">
        <w:rPr>
          <w:rFonts w:eastAsia="SimSun"/>
          <w:szCs w:val="22"/>
          <w:lang w:eastAsia="zh-CN"/>
        </w:rPr>
        <w:t>á</w:t>
      </w:r>
      <w:r w:rsidR="00AD4820">
        <w:rPr>
          <w:rFonts w:eastAsia="SimSun"/>
          <w:szCs w:val="22"/>
          <w:lang w:eastAsia="zh-CN"/>
        </w:rPr>
        <w:t>nu</w:t>
      </w:r>
      <w:r w:rsidRPr="00573814">
        <w:rPr>
          <w:rFonts w:eastAsia="SimSun"/>
          <w:szCs w:val="22"/>
          <w:lang w:eastAsia="zh-CN"/>
        </w:rPr>
        <w:t>, druhú dávku počas toho istého</w:t>
      </w:r>
      <w:r w:rsidR="00183095">
        <w:rPr>
          <w:rFonts w:eastAsia="SimSun"/>
          <w:szCs w:val="22"/>
          <w:lang w:eastAsia="zh-CN"/>
        </w:rPr>
        <w:t xml:space="preserve"> </w:t>
      </w:r>
      <w:r w:rsidRPr="00573814">
        <w:rPr>
          <w:rFonts w:eastAsia="SimSun"/>
          <w:szCs w:val="22"/>
          <w:lang w:eastAsia="zh-CN"/>
        </w:rPr>
        <w:t>záchvatu ne</w:t>
      </w:r>
      <w:r w:rsidR="00B36A1F">
        <w:rPr>
          <w:rFonts w:eastAsia="SimSun"/>
          <w:szCs w:val="22"/>
          <w:lang w:eastAsia="zh-CN"/>
        </w:rPr>
        <w:t>s</w:t>
      </w:r>
      <w:r w:rsidRPr="00573814">
        <w:rPr>
          <w:rFonts w:eastAsia="SimSun"/>
          <w:szCs w:val="22"/>
          <w:lang w:eastAsia="zh-CN"/>
        </w:rPr>
        <w:t>m</w:t>
      </w:r>
      <w:r w:rsidR="00B36A1F">
        <w:rPr>
          <w:rFonts w:eastAsia="SimSun"/>
          <w:szCs w:val="22"/>
          <w:lang w:eastAsia="zh-CN"/>
        </w:rPr>
        <w:t>ie</w:t>
      </w:r>
      <w:r w:rsidRPr="00573814">
        <w:rPr>
          <w:rFonts w:eastAsia="SimSun"/>
          <w:szCs w:val="22"/>
          <w:lang w:eastAsia="zh-CN"/>
        </w:rPr>
        <w:t xml:space="preserve"> užiť.</w:t>
      </w:r>
      <w:r w:rsidR="00B36A1F">
        <w:rPr>
          <w:rFonts w:eastAsia="SimSun"/>
          <w:szCs w:val="22"/>
          <w:lang w:eastAsia="zh-CN"/>
        </w:rPr>
        <w:t xml:space="preserve"> </w:t>
      </w:r>
      <w:r w:rsidR="001E0E06">
        <w:rPr>
          <w:rFonts w:eastAsia="SimSun"/>
          <w:szCs w:val="22"/>
          <w:lang w:eastAsia="zh-CN"/>
        </w:rPr>
        <w:t xml:space="preserve">V týchto prípadoch sa záchvat môže liečiť paracetamolom, kyselinou acetylsalicylovou alebo nesteroidovými antiflogistikami. </w:t>
      </w:r>
      <w:r w:rsidRPr="00573814">
        <w:rPr>
          <w:rFonts w:eastAsia="SimSun"/>
          <w:szCs w:val="22"/>
          <w:lang w:eastAsia="zh-CN"/>
        </w:rPr>
        <w:t xml:space="preserve">Sumamigren </w:t>
      </w:r>
      <w:r w:rsidR="007717C3">
        <w:rPr>
          <w:rFonts w:eastAsia="SimSun"/>
          <w:szCs w:val="22"/>
          <w:lang w:eastAsia="zh-CN"/>
        </w:rPr>
        <w:t>10</w:t>
      </w:r>
      <w:r w:rsidR="00B36A1F">
        <w:rPr>
          <w:rFonts w:eastAsia="SimSun"/>
          <w:szCs w:val="22"/>
          <w:lang w:eastAsia="zh-CN"/>
        </w:rPr>
        <w:t xml:space="preserve">0 mg tablety </w:t>
      </w:r>
      <w:r w:rsidRPr="00573814">
        <w:rPr>
          <w:rFonts w:eastAsia="SimSun"/>
          <w:szCs w:val="22"/>
          <w:lang w:eastAsia="zh-CN"/>
        </w:rPr>
        <w:t>sa môž</w:t>
      </w:r>
      <w:r w:rsidR="00AD4820">
        <w:rPr>
          <w:rFonts w:eastAsia="SimSun"/>
          <w:szCs w:val="22"/>
          <w:lang w:eastAsia="zh-CN"/>
        </w:rPr>
        <w:t>u</w:t>
      </w:r>
      <w:r w:rsidRPr="00573814">
        <w:rPr>
          <w:rFonts w:eastAsia="SimSun"/>
          <w:szCs w:val="22"/>
          <w:lang w:eastAsia="zh-CN"/>
        </w:rPr>
        <w:t xml:space="preserve"> užiť pri nasledujúcom záchvate.</w:t>
      </w:r>
    </w:p>
    <w:p w14:paraId="77BECBC7" w14:textId="77777777" w:rsidR="00E83DD0" w:rsidRPr="00573814" w:rsidRDefault="00E83DD0" w:rsidP="00E83DD0">
      <w:pPr>
        <w:autoSpaceDE w:val="0"/>
        <w:autoSpaceDN w:val="0"/>
        <w:adjustRightInd w:val="0"/>
        <w:ind w:left="0" w:firstLine="0"/>
        <w:rPr>
          <w:rFonts w:eastAsia="SimSun"/>
          <w:szCs w:val="22"/>
          <w:lang w:eastAsia="zh-CN"/>
        </w:rPr>
      </w:pPr>
    </w:p>
    <w:p w14:paraId="6D9C9790" w14:textId="77777777" w:rsidR="005A4532" w:rsidRDefault="005A4532" w:rsidP="005A4532">
      <w:pPr>
        <w:ind w:left="0" w:firstLine="0"/>
        <w:rPr>
          <w:szCs w:val="22"/>
        </w:rPr>
      </w:pPr>
      <w:r>
        <w:rPr>
          <w:szCs w:val="22"/>
        </w:rPr>
        <w:t xml:space="preserve">Ak pacient odpovedal na prvú dávku, ale príznaky sa opäť vrátili, môže počas nasledujúcich 24 hodín užiť 1 alebo 2 ďalšie dávky s podmienkou, že </w:t>
      </w:r>
      <w:r w:rsidR="001E0E06">
        <w:rPr>
          <w:szCs w:val="22"/>
        </w:rPr>
        <w:t>medzi dávkami uplynie interval najmenej 2 hodín. P</w:t>
      </w:r>
      <w:r>
        <w:rPr>
          <w:szCs w:val="22"/>
        </w:rPr>
        <w:t xml:space="preserve">očas tohto obdobia </w:t>
      </w:r>
      <w:r w:rsidR="001E0E06">
        <w:rPr>
          <w:szCs w:val="22"/>
        </w:rPr>
        <w:t xml:space="preserve">sa nesmie užiť </w:t>
      </w:r>
      <w:r>
        <w:rPr>
          <w:szCs w:val="22"/>
        </w:rPr>
        <w:t>viac ako 300 mg sumatript</w:t>
      </w:r>
      <w:r w:rsidR="00B36A1F">
        <w:rPr>
          <w:szCs w:val="22"/>
        </w:rPr>
        <w:t>á</w:t>
      </w:r>
      <w:r>
        <w:rPr>
          <w:szCs w:val="22"/>
        </w:rPr>
        <w:t xml:space="preserve">nu. </w:t>
      </w:r>
    </w:p>
    <w:p w14:paraId="2B6F5C56" w14:textId="77777777" w:rsidR="00E83DD0" w:rsidRDefault="00E83DD0" w:rsidP="00E83DD0">
      <w:pPr>
        <w:autoSpaceDE w:val="0"/>
        <w:autoSpaceDN w:val="0"/>
        <w:adjustRightInd w:val="0"/>
        <w:ind w:left="0" w:firstLine="0"/>
        <w:rPr>
          <w:rFonts w:ascii="ArialMT" w:eastAsia="SimSun" w:hAnsi="ArialMT" w:cs="ArialMT"/>
          <w:sz w:val="20"/>
          <w:szCs w:val="20"/>
          <w:lang w:eastAsia="zh-CN"/>
        </w:rPr>
      </w:pPr>
    </w:p>
    <w:p w14:paraId="6A360DCE" w14:textId="77777777" w:rsidR="00303674" w:rsidRPr="005127C7" w:rsidRDefault="00483AA4" w:rsidP="005127C7">
      <w:pPr>
        <w:keepNext/>
        <w:ind w:left="0" w:firstLine="0"/>
        <w:rPr>
          <w:b/>
          <w:color w:val="000000"/>
          <w:szCs w:val="22"/>
        </w:rPr>
      </w:pPr>
      <w:r w:rsidRPr="005127C7">
        <w:rPr>
          <w:b/>
          <w:color w:val="000000"/>
          <w:szCs w:val="22"/>
        </w:rPr>
        <w:t>Pediatrická</w:t>
      </w:r>
      <w:r w:rsidR="001E0E06" w:rsidRPr="005127C7">
        <w:rPr>
          <w:b/>
          <w:color w:val="000000"/>
          <w:szCs w:val="22"/>
        </w:rPr>
        <w:t xml:space="preserve"> p</w:t>
      </w:r>
      <w:r w:rsidRPr="005127C7">
        <w:rPr>
          <w:b/>
          <w:color w:val="000000"/>
          <w:szCs w:val="22"/>
        </w:rPr>
        <w:t>opulácia</w:t>
      </w:r>
    </w:p>
    <w:p w14:paraId="36BC8B60" w14:textId="77777777" w:rsidR="00303674" w:rsidRDefault="001E0E06" w:rsidP="005127C7">
      <w:pPr>
        <w:keepNext/>
        <w:ind w:left="0" w:firstLine="0"/>
        <w:rPr>
          <w:color w:val="000000"/>
          <w:szCs w:val="22"/>
        </w:rPr>
      </w:pPr>
      <w:r>
        <w:rPr>
          <w:color w:val="000000"/>
          <w:szCs w:val="22"/>
        </w:rPr>
        <w:t xml:space="preserve">Bezpečnosť a účinnosť sumatriptánu </w:t>
      </w:r>
      <w:r w:rsidR="00192181">
        <w:rPr>
          <w:color w:val="000000"/>
          <w:szCs w:val="22"/>
        </w:rPr>
        <w:t xml:space="preserve">filmom obalených tabliet </w:t>
      </w:r>
      <w:r>
        <w:rPr>
          <w:color w:val="000000"/>
          <w:szCs w:val="22"/>
        </w:rPr>
        <w:t>sa u detí mladších ako 10 rokov nestanovila. Nie sú dostupné žiadne klinické údaje u tejto vekovej skupiny.</w:t>
      </w:r>
    </w:p>
    <w:p w14:paraId="7A3BBF28" w14:textId="77777777" w:rsidR="001E0E06" w:rsidRDefault="001E0E06" w:rsidP="00545125">
      <w:pPr>
        <w:ind w:left="0" w:firstLine="0"/>
        <w:rPr>
          <w:color w:val="000000"/>
          <w:szCs w:val="22"/>
        </w:rPr>
      </w:pPr>
    </w:p>
    <w:p w14:paraId="478A4780" w14:textId="17CFF275" w:rsidR="00303674" w:rsidRDefault="00532892" w:rsidP="00545125">
      <w:pPr>
        <w:ind w:left="0" w:firstLine="0"/>
        <w:rPr>
          <w:color w:val="000000"/>
          <w:szCs w:val="22"/>
        </w:rPr>
      </w:pPr>
      <w:r>
        <w:rPr>
          <w:color w:val="000000"/>
          <w:szCs w:val="22"/>
        </w:rPr>
        <w:t>Bezpečn</w:t>
      </w:r>
      <w:r w:rsidR="001E0E06">
        <w:rPr>
          <w:color w:val="000000"/>
          <w:szCs w:val="22"/>
        </w:rPr>
        <w:t>o</w:t>
      </w:r>
      <w:r>
        <w:rPr>
          <w:color w:val="000000"/>
          <w:szCs w:val="22"/>
        </w:rPr>
        <w:t>s</w:t>
      </w:r>
      <w:r w:rsidR="001E0E06">
        <w:rPr>
          <w:color w:val="000000"/>
          <w:szCs w:val="22"/>
        </w:rPr>
        <w:t xml:space="preserve">ť a účinnosť sumatriptánu </w:t>
      </w:r>
      <w:r w:rsidR="00192181">
        <w:rPr>
          <w:color w:val="000000"/>
          <w:szCs w:val="22"/>
        </w:rPr>
        <w:t xml:space="preserve">filmom obalených tabliet </w:t>
      </w:r>
      <w:r w:rsidR="001E0E06">
        <w:rPr>
          <w:color w:val="000000"/>
          <w:szCs w:val="22"/>
        </w:rPr>
        <w:t>u detí vo veku 10 až 17 rokov sa neskúmala v klinických štúdiách. Preto použitie sumatriptánu u detí vo veku 10 až 17 rokov sa neodporúča (pozri časť 5.1).</w:t>
      </w:r>
    </w:p>
    <w:p w14:paraId="1EE5E314" w14:textId="77777777" w:rsidR="00303674" w:rsidRPr="005127C7" w:rsidRDefault="00303674" w:rsidP="00294D2A">
      <w:pPr>
        <w:pStyle w:val="OmniPage271"/>
        <w:tabs>
          <w:tab w:val="clear" w:pos="4550"/>
        </w:tabs>
        <w:ind w:left="0" w:right="0"/>
        <w:rPr>
          <w:rFonts w:ascii="Times New Roman" w:hAnsi="Times New Roman"/>
          <w:noProof w:val="0"/>
          <w:sz w:val="22"/>
          <w:szCs w:val="22"/>
          <w:lang w:val="sk-SK"/>
        </w:rPr>
      </w:pPr>
      <w:r w:rsidRPr="005127C7">
        <w:rPr>
          <w:rFonts w:ascii="Times New Roman" w:hAnsi="Times New Roman"/>
          <w:b/>
          <w:sz w:val="22"/>
          <w:szCs w:val="22"/>
          <w:lang w:val="sk-SK"/>
        </w:rPr>
        <w:t>Starší pacienti (viac ako 65 rokov)</w:t>
      </w:r>
    </w:p>
    <w:p w14:paraId="7445271E" w14:textId="77777777" w:rsidR="00303674" w:rsidRDefault="00303674" w:rsidP="00303674">
      <w:pPr>
        <w:pStyle w:val="OmniPage263"/>
        <w:ind w:left="0" w:right="0"/>
        <w:rPr>
          <w:rFonts w:ascii="Times New Roman" w:hAnsi="Times New Roman"/>
          <w:noProof w:val="0"/>
          <w:sz w:val="22"/>
          <w:szCs w:val="22"/>
          <w:lang w:val="sk-SK"/>
        </w:rPr>
      </w:pPr>
      <w:r w:rsidRPr="00255B83">
        <w:rPr>
          <w:rFonts w:ascii="Times New Roman" w:hAnsi="Times New Roman"/>
          <w:sz w:val="22"/>
          <w:szCs w:val="22"/>
          <w:lang w:val="sk-SK"/>
        </w:rPr>
        <w:t xml:space="preserve">Skúsenosti s použitím </w:t>
      </w:r>
      <w:r w:rsidR="00EE7402">
        <w:rPr>
          <w:rFonts w:ascii="Times New Roman" w:hAnsi="Times New Roman"/>
          <w:sz w:val="22"/>
          <w:szCs w:val="22"/>
          <w:lang w:val="sk-SK"/>
        </w:rPr>
        <w:t xml:space="preserve">tabliet </w:t>
      </w:r>
      <w:r>
        <w:rPr>
          <w:rFonts w:ascii="Times New Roman" w:hAnsi="Times New Roman"/>
          <w:sz w:val="22"/>
          <w:szCs w:val="22"/>
          <w:lang w:val="sk-SK"/>
        </w:rPr>
        <w:t>sumatript</w:t>
      </w:r>
      <w:r w:rsidR="008F6185">
        <w:rPr>
          <w:rFonts w:ascii="Times New Roman" w:hAnsi="Times New Roman"/>
          <w:sz w:val="22"/>
          <w:szCs w:val="22"/>
          <w:lang w:val="sk-SK"/>
        </w:rPr>
        <w:t>á</w:t>
      </w:r>
      <w:r>
        <w:rPr>
          <w:rFonts w:ascii="Times New Roman" w:hAnsi="Times New Roman"/>
          <w:sz w:val="22"/>
          <w:szCs w:val="22"/>
          <w:lang w:val="sk-SK"/>
        </w:rPr>
        <w:t>n</w:t>
      </w:r>
      <w:r w:rsidRPr="00255B83">
        <w:rPr>
          <w:rFonts w:ascii="Times New Roman" w:hAnsi="Times New Roman"/>
          <w:sz w:val="22"/>
          <w:szCs w:val="22"/>
          <w:lang w:val="sk-SK"/>
        </w:rPr>
        <w:t>u</w:t>
      </w:r>
      <w:r w:rsidR="006858D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55B83">
        <w:rPr>
          <w:rFonts w:ascii="Times New Roman" w:hAnsi="Times New Roman"/>
          <w:sz w:val="22"/>
          <w:szCs w:val="22"/>
          <w:lang w:val="sk-SK"/>
        </w:rPr>
        <w:t>u pacientov starších ako 65 rokov sú obmedzené.</w:t>
      </w:r>
      <w:r w:rsidRPr="00255B83">
        <w:rPr>
          <w:rFonts w:ascii="Times New Roman" w:hAnsi="Times New Roman"/>
          <w:noProof w:val="0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noProof w:val="0"/>
          <w:sz w:val="22"/>
          <w:szCs w:val="22"/>
          <w:lang w:val="sk-SK"/>
        </w:rPr>
        <w:t>Farmakokinetika nie je významne rozdielna v porovnaní s mladšou populácio</w:t>
      </w:r>
      <w:r w:rsidR="00C9631E">
        <w:rPr>
          <w:rFonts w:ascii="Times New Roman" w:hAnsi="Times New Roman"/>
          <w:noProof w:val="0"/>
          <w:sz w:val="22"/>
          <w:szCs w:val="22"/>
          <w:lang w:val="sk-SK"/>
        </w:rPr>
        <w:t xml:space="preserve">u, ale pokým nebude dostupných </w:t>
      </w:r>
      <w:r>
        <w:rPr>
          <w:rFonts w:ascii="Times New Roman" w:hAnsi="Times New Roman"/>
          <w:noProof w:val="0"/>
          <w:sz w:val="22"/>
          <w:szCs w:val="22"/>
          <w:lang w:val="sk-SK"/>
        </w:rPr>
        <w:t>viac klinick</w:t>
      </w:r>
      <w:r w:rsidR="00517F58">
        <w:rPr>
          <w:rFonts w:ascii="Times New Roman" w:hAnsi="Times New Roman"/>
          <w:noProof w:val="0"/>
          <w:sz w:val="22"/>
          <w:szCs w:val="22"/>
          <w:lang w:val="sk-SK"/>
        </w:rPr>
        <w:t>ých údajov, použitie sumatript</w:t>
      </w:r>
      <w:r w:rsidR="008F6185">
        <w:rPr>
          <w:rFonts w:ascii="Times New Roman" w:hAnsi="Times New Roman"/>
          <w:noProof w:val="0"/>
          <w:sz w:val="22"/>
          <w:szCs w:val="22"/>
          <w:lang w:val="sk-SK"/>
        </w:rPr>
        <w:t>á</w:t>
      </w:r>
      <w:r w:rsidR="00517F58">
        <w:rPr>
          <w:rFonts w:ascii="Times New Roman" w:hAnsi="Times New Roman"/>
          <w:noProof w:val="0"/>
          <w:sz w:val="22"/>
          <w:szCs w:val="22"/>
          <w:lang w:val="sk-SK"/>
        </w:rPr>
        <w:t>n</w:t>
      </w:r>
      <w:r w:rsidR="00396DBB">
        <w:rPr>
          <w:rFonts w:ascii="Times New Roman" w:hAnsi="Times New Roman"/>
          <w:noProof w:val="0"/>
          <w:sz w:val="22"/>
          <w:szCs w:val="22"/>
          <w:lang w:val="sk-SK"/>
        </w:rPr>
        <w:t>u</w:t>
      </w:r>
      <w:r>
        <w:rPr>
          <w:rFonts w:ascii="Times New Roman" w:hAnsi="Times New Roman"/>
          <w:noProof w:val="0"/>
          <w:sz w:val="22"/>
          <w:szCs w:val="22"/>
          <w:lang w:val="sk-SK"/>
        </w:rPr>
        <w:t xml:space="preserve"> u pacientov nad 65 rokov sa neodporúča.</w:t>
      </w:r>
    </w:p>
    <w:p w14:paraId="1BFA9439" w14:textId="77777777" w:rsidR="00303674" w:rsidRDefault="00303674" w:rsidP="00545125">
      <w:pPr>
        <w:ind w:left="0" w:firstLine="0"/>
        <w:rPr>
          <w:color w:val="000000"/>
          <w:szCs w:val="22"/>
        </w:rPr>
      </w:pPr>
    </w:p>
    <w:p w14:paraId="77151EF4" w14:textId="38773900" w:rsidR="00517F58" w:rsidRPr="005127C7" w:rsidRDefault="003F7630" w:rsidP="00294D2A">
      <w:pPr>
        <w:ind w:left="0" w:firstLine="0"/>
        <w:rPr>
          <w:b/>
          <w:color w:val="000000"/>
          <w:szCs w:val="22"/>
        </w:rPr>
      </w:pPr>
      <w:r>
        <w:rPr>
          <w:b/>
          <w:color w:val="000000"/>
          <w:szCs w:val="22"/>
        </w:rPr>
        <w:t>P</w:t>
      </w:r>
      <w:r w:rsidR="00483AA4" w:rsidRPr="005127C7">
        <w:rPr>
          <w:b/>
          <w:color w:val="000000"/>
          <w:szCs w:val="22"/>
        </w:rPr>
        <w:t>orucha</w:t>
      </w:r>
      <w:r>
        <w:rPr>
          <w:b/>
          <w:color w:val="000000"/>
          <w:szCs w:val="22"/>
        </w:rPr>
        <w:t xml:space="preserve"> funkcie pečene</w:t>
      </w:r>
    </w:p>
    <w:p w14:paraId="00516517" w14:textId="3A70AC40" w:rsidR="00517F58" w:rsidRDefault="00517F58" w:rsidP="00545125">
      <w:pPr>
        <w:ind w:left="0" w:firstLine="0"/>
        <w:rPr>
          <w:color w:val="000000"/>
          <w:szCs w:val="22"/>
        </w:rPr>
      </w:pPr>
      <w:r>
        <w:rPr>
          <w:color w:val="000000"/>
          <w:szCs w:val="22"/>
        </w:rPr>
        <w:t>Pacienti s miernou až stredne závažnou pečeňovou insuficienciou: nižšie dávky 25 – 50 mg sa ma</w:t>
      </w:r>
      <w:r w:rsidR="003F7630">
        <w:rPr>
          <w:color w:val="000000"/>
          <w:szCs w:val="22"/>
        </w:rPr>
        <w:t>jú</w:t>
      </w:r>
      <w:r>
        <w:rPr>
          <w:color w:val="000000"/>
          <w:szCs w:val="22"/>
        </w:rPr>
        <w:t xml:space="preserve"> podávať u pacientov s miern</w:t>
      </w:r>
      <w:r w:rsidR="00396DBB">
        <w:rPr>
          <w:color w:val="000000"/>
          <w:szCs w:val="22"/>
        </w:rPr>
        <w:t>ym</w:t>
      </w:r>
      <w:r>
        <w:rPr>
          <w:color w:val="000000"/>
          <w:szCs w:val="22"/>
        </w:rPr>
        <w:t xml:space="preserve"> až stredne závažn</w:t>
      </w:r>
      <w:r w:rsidR="00396DBB">
        <w:rPr>
          <w:color w:val="000000"/>
          <w:szCs w:val="22"/>
        </w:rPr>
        <w:t>ým poškodením</w:t>
      </w:r>
      <w:r>
        <w:rPr>
          <w:color w:val="000000"/>
          <w:szCs w:val="22"/>
        </w:rPr>
        <w:t xml:space="preserve"> peče</w:t>
      </w:r>
      <w:r w:rsidR="00396DBB">
        <w:rPr>
          <w:color w:val="000000"/>
          <w:szCs w:val="22"/>
        </w:rPr>
        <w:t>ne</w:t>
      </w:r>
      <w:r>
        <w:rPr>
          <w:color w:val="000000"/>
          <w:szCs w:val="22"/>
        </w:rPr>
        <w:t>.</w:t>
      </w:r>
    </w:p>
    <w:p w14:paraId="4D9FCCF1" w14:textId="77777777" w:rsidR="00976555" w:rsidRDefault="00976555" w:rsidP="00976555">
      <w:pPr>
        <w:rPr>
          <w:szCs w:val="22"/>
          <w:u w:val="single"/>
        </w:rPr>
      </w:pPr>
    </w:p>
    <w:p w14:paraId="06860C21" w14:textId="77777777" w:rsidR="00483AA4" w:rsidRPr="005127C7" w:rsidRDefault="00483AA4" w:rsidP="00483AA4">
      <w:pPr>
        <w:rPr>
          <w:szCs w:val="22"/>
        </w:rPr>
      </w:pPr>
      <w:r w:rsidRPr="005127C7">
        <w:rPr>
          <w:b/>
          <w:color w:val="000000"/>
          <w:szCs w:val="22"/>
        </w:rPr>
        <w:t>Renálna insuficiencia</w:t>
      </w:r>
    </w:p>
    <w:p w14:paraId="5F8BEFEE" w14:textId="77777777" w:rsidR="00483AA4" w:rsidRPr="00B45652" w:rsidRDefault="00483AA4" w:rsidP="00483AA4">
      <w:pPr>
        <w:rPr>
          <w:szCs w:val="22"/>
        </w:rPr>
      </w:pPr>
      <w:r w:rsidRPr="00B45652">
        <w:rPr>
          <w:szCs w:val="22"/>
        </w:rPr>
        <w:t>Pozri časť 4.4.</w:t>
      </w:r>
    </w:p>
    <w:p w14:paraId="1680622B" w14:textId="77777777" w:rsidR="00483AA4" w:rsidRDefault="00483AA4" w:rsidP="00976555">
      <w:pPr>
        <w:rPr>
          <w:szCs w:val="22"/>
          <w:u w:val="single"/>
        </w:rPr>
      </w:pPr>
    </w:p>
    <w:p w14:paraId="5642C3E4" w14:textId="77777777" w:rsidR="00976555" w:rsidRPr="003021DE" w:rsidRDefault="00976555" w:rsidP="00976555">
      <w:pPr>
        <w:rPr>
          <w:szCs w:val="22"/>
          <w:u w:val="single"/>
        </w:rPr>
      </w:pPr>
      <w:r w:rsidRPr="003021DE">
        <w:rPr>
          <w:szCs w:val="22"/>
          <w:u w:val="single"/>
        </w:rPr>
        <w:t>Spôsob</w:t>
      </w:r>
      <w:r w:rsidRPr="003021DE">
        <w:rPr>
          <w:noProof/>
          <w:szCs w:val="22"/>
          <w:u w:val="single"/>
        </w:rPr>
        <w:t xml:space="preserve"> podávania</w:t>
      </w:r>
    </w:p>
    <w:p w14:paraId="5A61EB7A" w14:textId="77777777" w:rsidR="00976555" w:rsidRDefault="00976555" w:rsidP="00976555">
      <w:pPr>
        <w:ind w:left="0" w:firstLine="0"/>
        <w:rPr>
          <w:color w:val="000000"/>
          <w:szCs w:val="22"/>
        </w:rPr>
      </w:pPr>
      <w:r w:rsidRPr="00C53268">
        <w:rPr>
          <w:color w:val="000000"/>
          <w:szCs w:val="22"/>
        </w:rPr>
        <w:t xml:space="preserve">Tablety sa </w:t>
      </w:r>
      <w:r>
        <w:rPr>
          <w:color w:val="000000"/>
          <w:szCs w:val="22"/>
        </w:rPr>
        <w:t>prehĺtajú celé a zapíjajú sa vodou.</w:t>
      </w:r>
    </w:p>
    <w:p w14:paraId="79938581" w14:textId="77777777" w:rsidR="00D129B6" w:rsidRPr="00517F58" w:rsidRDefault="00D129B6" w:rsidP="00545125">
      <w:pPr>
        <w:ind w:left="0" w:firstLine="0"/>
        <w:rPr>
          <w:color w:val="000000"/>
          <w:szCs w:val="22"/>
        </w:rPr>
      </w:pPr>
    </w:p>
    <w:p w14:paraId="2B758C11" w14:textId="77777777" w:rsidR="00CE3249" w:rsidRPr="003E7411" w:rsidRDefault="00CE3249" w:rsidP="00CE3249">
      <w:pPr>
        <w:rPr>
          <w:color w:val="000000"/>
          <w:szCs w:val="22"/>
        </w:rPr>
      </w:pPr>
      <w:r w:rsidRPr="003E7411">
        <w:rPr>
          <w:b/>
          <w:color w:val="000000"/>
          <w:szCs w:val="22"/>
        </w:rPr>
        <w:t>4.3</w:t>
      </w:r>
      <w:r w:rsidRPr="003E7411">
        <w:rPr>
          <w:b/>
          <w:color w:val="000000"/>
          <w:szCs w:val="22"/>
        </w:rPr>
        <w:tab/>
        <w:t xml:space="preserve">Kontraindikácie </w:t>
      </w:r>
    </w:p>
    <w:p w14:paraId="578B38B9" w14:textId="77777777" w:rsidR="00CE3249" w:rsidRPr="003E7411" w:rsidRDefault="00CE3249" w:rsidP="00CE3249">
      <w:pPr>
        <w:rPr>
          <w:color w:val="000000"/>
          <w:szCs w:val="22"/>
        </w:rPr>
      </w:pPr>
    </w:p>
    <w:p w14:paraId="130BF52A" w14:textId="0F8CE42D" w:rsidR="00CA5B0B" w:rsidRPr="000005D4" w:rsidRDefault="00976555" w:rsidP="00CA5B0B">
      <w:pPr>
        <w:pStyle w:val="OmniPage514"/>
        <w:ind w:left="0" w:right="0"/>
        <w:rPr>
          <w:rFonts w:ascii="Times New Roman" w:hAnsi="Times New Roman"/>
          <w:noProof w:val="0"/>
          <w:sz w:val="22"/>
          <w:szCs w:val="22"/>
          <w:lang w:val="sk-SK"/>
        </w:rPr>
      </w:pPr>
      <w:r w:rsidRPr="005127C7">
        <w:rPr>
          <w:rFonts w:ascii="Times New Roman" w:hAnsi="Times New Roman"/>
          <w:sz w:val="22"/>
          <w:szCs w:val="22"/>
          <w:lang w:val="sk-SK"/>
        </w:rPr>
        <w:t>Precitlivenosť na sumatript</w:t>
      </w:r>
      <w:r w:rsidR="00683080">
        <w:rPr>
          <w:rFonts w:ascii="Times New Roman" w:hAnsi="Times New Roman"/>
          <w:sz w:val="22"/>
          <w:szCs w:val="22"/>
          <w:lang w:val="sk-SK"/>
        </w:rPr>
        <w:t>á</w:t>
      </w:r>
      <w:r w:rsidRPr="005127C7">
        <w:rPr>
          <w:rFonts w:ascii="Times New Roman" w:hAnsi="Times New Roman"/>
          <w:sz w:val="22"/>
          <w:szCs w:val="22"/>
          <w:lang w:val="sk-SK"/>
        </w:rPr>
        <w:t xml:space="preserve">n alebo na ktorúkoľvek z pomocných látok uvedených v časti 6.1. </w:t>
      </w:r>
    </w:p>
    <w:p w14:paraId="4CC90B92" w14:textId="77777777" w:rsidR="00294D2A" w:rsidRDefault="00294D2A" w:rsidP="00CA5B0B">
      <w:pPr>
        <w:pStyle w:val="OmniPage514"/>
        <w:ind w:left="0" w:right="0"/>
        <w:rPr>
          <w:rFonts w:ascii="Times New Roman" w:hAnsi="Times New Roman"/>
          <w:noProof w:val="0"/>
          <w:sz w:val="22"/>
          <w:szCs w:val="22"/>
          <w:lang w:val="sk-SK"/>
        </w:rPr>
      </w:pPr>
    </w:p>
    <w:p w14:paraId="57CDCC89" w14:textId="77777777" w:rsidR="007E279B" w:rsidRDefault="003655B5" w:rsidP="00CA5B0B">
      <w:pPr>
        <w:pStyle w:val="OmniPage514"/>
        <w:ind w:left="0" w:right="0"/>
        <w:rPr>
          <w:rFonts w:ascii="Times New Roman" w:hAnsi="Times New Roman"/>
          <w:noProof w:val="0"/>
          <w:sz w:val="22"/>
          <w:szCs w:val="22"/>
          <w:lang w:val="sk-SK"/>
        </w:rPr>
      </w:pPr>
      <w:r>
        <w:rPr>
          <w:rFonts w:ascii="Times New Roman" w:hAnsi="Times New Roman"/>
          <w:noProof w:val="0"/>
          <w:sz w:val="22"/>
          <w:szCs w:val="22"/>
          <w:lang w:val="sk-SK"/>
        </w:rPr>
        <w:t>Suma</w:t>
      </w:r>
      <w:r w:rsidR="001A3EB6">
        <w:rPr>
          <w:rFonts w:ascii="Times New Roman" w:hAnsi="Times New Roman"/>
          <w:noProof w:val="0"/>
          <w:sz w:val="22"/>
          <w:szCs w:val="22"/>
          <w:lang w:val="sk-SK"/>
        </w:rPr>
        <w:t>triptán</w:t>
      </w:r>
      <w:r w:rsidR="00CA5B0B" w:rsidRPr="00255B83">
        <w:rPr>
          <w:rFonts w:ascii="Times New Roman" w:hAnsi="Times New Roman"/>
          <w:noProof w:val="0"/>
          <w:sz w:val="22"/>
          <w:szCs w:val="22"/>
          <w:lang w:val="sk-SK"/>
        </w:rPr>
        <w:t xml:space="preserve"> sa </w:t>
      </w:r>
      <w:r w:rsidR="00EE568B">
        <w:rPr>
          <w:rFonts w:ascii="Times New Roman" w:hAnsi="Times New Roman"/>
          <w:noProof w:val="0"/>
          <w:sz w:val="22"/>
          <w:szCs w:val="22"/>
          <w:lang w:val="sk-SK"/>
        </w:rPr>
        <w:t>ne</w:t>
      </w:r>
      <w:r w:rsidR="001A3EB6">
        <w:rPr>
          <w:rFonts w:ascii="Times New Roman" w:hAnsi="Times New Roman"/>
          <w:noProof w:val="0"/>
          <w:sz w:val="22"/>
          <w:szCs w:val="22"/>
          <w:lang w:val="sk-SK"/>
        </w:rPr>
        <w:t>s</w:t>
      </w:r>
      <w:r w:rsidR="00EE568B">
        <w:rPr>
          <w:rFonts w:ascii="Times New Roman" w:hAnsi="Times New Roman"/>
          <w:noProof w:val="0"/>
          <w:sz w:val="22"/>
          <w:szCs w:val="22"/>
          <w:lang w:val="sk-SK"/>
        </w:rPr>
        <w:t>m</w:t>
      </w:r>
      <w:r w:rsidR="001A3EB6">
        <w:rPr>
          <w:rFonts w:ascii="Times New Roman" w:hAnsi="Times New Roman"/>
          <w:noProof w:val="0"/>
          <w:sz w:val="22"/>
          <w:szCs w:val="22"/>
          <w:lang w:val="sk-SK"/>
        </w:rPr>
        <w:t>ie</w:t>
      </w:r>
      <w:r w:rsidR="00CA5B0B" w:rsidRPr="00255B83">
        <w:rPr>
          <w:rFonts w:ascii="Times New Roman" w:hAnsi="Times New Roman"/>
          <w:noProof w:val="0"/>
          <w:sz w:val="22"/>
          <w:szCs w:val="22"/>
          <w:lang w:val="sk-SK"/>
        </w:rPr>
        <w:t xml:space="preserve"> podávať pacientom</w:t>
      </w:r>
      <w:r w:rsidR="00CA5B0B">
        <w:rPr>
          <w:rFonts w:ascii="Times New Roman" w:hAnsi="Times New Roman"/>
          <w:noProof w:val="0"/>
          <w:sz w:val="22"/>
          <w:szCs w:val="22"/>
          <w:lang w:val="sk-SK"/>
        </w:rPr>
        <w:t>, ktor</w:t>
      </w:r>
      <w:r w:rsidR="001A3EB6">
        <w:rPr>
          <w:rFonts w:ascii="Times New Roman" w:hAnsi="Times New Roman"/>
          <w:noProof w:val="0"/>
          <w:sz w:val="22"/>
          <w:szCs w:val="22"/>
          <w:lang w:val="sk-SK"/>
        </w:rPr>
        <w:t>í</w:t>
      </w:r>
      <w:r w:rsidR="00CA5B0B">
        <w:rPr>
          <w:rFonts w:ascii="Times New Roman" w:hAnsi="Times New Roman"/>
          <w:noProof w:val="0"/>
          <w:sz w:val="22"/>
          <w:szCs w:val="22"/>
          <w:lang w:val="sk-SK"/>
        </w:rPr>
        <w:t xml:space="preserve"> mali infarkt myokardu </w:t>
      </w:r>
      <w:r w:rsidR="007E279B">
        <w:rPr>
          <w:rFonts w:ascii="Times New Roman" w:hAnsi="Times New Roman"/>
          <w:noProof w:val="0"/>
          <w:sz w:val="22"/>
          <w:szCs w:val="22"/>
          <w:lang w:val="sk-SK"/>
        </w:rPr>
        <w:t>alebo ischemické ochorenie srdca, koronárny vazospazmus (Prinzmetalova angina), periférne cievne ochorenie alebo symptómy alebo znaky pretrvávajúcej ischemickej choroby srdca.</w:t>
      </w:r>
    </w:p>
    <w:p w14:paraId="0D2C7E36" w14:textId="77777777" w:rsidR="007E279B" w:rsidRDefault="007E279B" w:rsidP="00CA5B0B">
      <w:pPr>
        <w:pStyle w:val="OmniPage514"/>
        <w:ind w:left="0" w:right="0"/>
        <w:rPr>
          <w:rFonts w:ascii="Times New Roman" w:hAnsi="Times New Roman"/>
          <w:noProof w:val="0"/>
          <w:sz w:val="22"/>
          <w:szCs w:val="22"/>
          <w:lang w:val="sk-SK"/>
        </w:rPr>
      </w:pPr>
    </w:p>
    <w:p w14:paraId="7EF29A4E" w14:textId="6AE0ABB4" w:rsidR="00CA5B0B" w:rsidRDefault="00EE568B" w:rsidP="00CA5B0B">
      <w:pPr>
        <w:pStyle w:val="OmniPage514"/>
        <w:ind w:left="0" w:right="0"/>
        <w:rPr>
          <w:rFonts w:ascii="Times New Roman" w:hAnsi="Times New Roman"/>
          <w:noProof w:val="0"/>
          <w:sz w:val="22"/>
          <w:szCs w:val="22"/>
          <w:lang w:val="sk-SK"/>
        </w:rPr>
      </w:pPr>
      <w:r>
        <w:rPr>
          <w:rFonts w:ascii="Times New Roman" w:hAnsi="Times New Roman"/>
          <w:noProof w:val="0"/>
          <w:sz w:val="22"/>
          <w:szCs w:val="22"/>
          <w:lang w:val="sk-SK"/>
        </w:rPr>
        <w:t>Sumatript</w:t>
      </w:r>
      <w:r w:rsidR="001A3EB6">
        <w:rPr>
          <w:rFonts w:ascii="Times New Roman" w:hAnsi="Times New Roman"/>
          <w:noProof w:val="0"/>
          <w:sz w:val="22"/>
          <w:szCs w:val="22"/>
          <w:lang w:val="sk-SK"/>
        </w:rPr>
        <w:t>á</w:t>
      </w:r>
      <w:r>
        <w:rPr>
          <w:rFonts w:ascii="Times New Roman" w:hAnsi="Times New Roman"/>
          <w:noProof w:val="0"/>
          <w:sz w:val="22"/>
          <w:szCs w:val="22"/>
          <w:lang w:val="sk-SK"/>
        </w:rPr>
        <w:t>n</w:t>
      </w:r>
      <w:r w:rsidR="007E279B">
        <w:rPr>
          <w:rFonts w:ascii="Times New Roman" w:hAnsi="Times New Roman"/>
          <w:noProof w:val="0"/>
          <w:sz w:val="22"/>
          <w:szCs w:val="22"/>
          <w:lang w:val="sk-SK"/>
        </w:rPr>
        <w:t xml:space="preserve"> sa </w:t>
      </w:r>
      <w:r>
        <w:rPr>
          <w:rFonts w:ascii="Times New Roman" w:hAnsi="Times New Roman"/>
          <w:noProof w:val="0"/>
          <w:sz w:val="22"/>
          <w:szCs w:val="22"/>
          <w:lang w:val="sk-SK"/>
        </w:rPr>
        <w:t>ne</w:t>
      </w:r>
      <w:r w:rsidR="001A3EB6">
        <w:rPr>
          <w:rFonts w:ascii="Times New Roman" w:hAnsi="Times New Roman"/>
          <w:noProof w:val="0"/>
          <w:sz w:val="22"/>
          <w:szCs w:val="22"/>
          <w:lang w:val="sk-SK"/>
        </w:rPr>
        <w:t>s</w:t>
      </w:r>
      <w:r>
        <w:rPr>
          <w:rFonts w:ascii="Times New Roman" w:hAnsi="Times New Roman"/>
          <w:noProof w:val="0"/>
          <w:sz w:val="22"/>
          <w:szCs w:val="22"/>
          <w:lang w:val="sk-SK"/>
        </w:rPr>
        <w:t>m</w:t>
      </w:r>
      <w:r w:rsidR="001A3EB6">
        <w:rPr>
          <w:rFonts w:ascii="Times New Roman" w:hAnsi="Times New Roman"/>
          <w:noProof w:val="0"/>
          <w:sz w:val="22"/>
          <w:szCs w:val="22"/>
          <w:lang w:val="sk-SK"/>
        </w:rPr>
        <w:t>ie</w:t>
      </w:r>
      <w:r w:rsidR="007E279B">
        <w:rPr>
          <w:rFonts w:ascii="Times New Roman" w:hAnsi="Times New Roman"/>
          <w:noProof w:val="0"/>
          <w:sz w:val="22"/>
          <w:szCs w:val="22"/>
          <w:lang w:val="sk-SK"/>
        </w:rPr>
        <w:t xml:space="preserve"> podávať pacientom</w:t>
      </w:r>
      <w:r w:rsidR="00CA5B0B" w:rsidRPr="00255B83">
        <w:rPr>
          <w:rFonts w:ascii="Times New Roman" w:hAnsi="Times New Roman"/>
          <w:noProof w:val="0"/>
          <w:sz w:val="22"/>
          <w:szCs w:val="22"/>
          <w:lang w:val="sk-SK"/>
        </w:rPr>
        <w:t xml:space="preserve"> s</w:t>
      </w:r>
      <w:r w:rsidR="00CA5B0B" w:rsidRPr="00255B83">
        <w:rPr>
          <w:rFonts w:ascii="Times New Roman" w:hAnsi="Times New Roman"/>
          <w:sz w:val="22"/>
          <w:szCs w:val="22"/>
          <w:lang w:val="sk-SK"/>
        </w:rPr>
        <w:t> cerebrovaskulárnou príhodou (</w:t>
      </w:r>
      <w:r w:rsidR="003F7630" w:rsidRPr="005127C7">
        <w:rPr>
          <w:rFonts w:ascii="Times New Roman" w:hAnsi="Times New Roman"/>
          <w:noProof w:val="0"/>
          <w:sz w:val="22"/>
          <w:szCs w:val="22"/>
          <w:lang w:val="sk-SK"/>
        </w:rPr>
        <w:t xml:space="preserve">cerebrovascular accident, </w:t>
      </w:r>
      <w:r w:rsidR="00CA5B0B" w:rsidRPr="00255B83">
        <w:rPr>
          <w:rFonts w:ascii="Times New Roman" w:hAnsi="Times New Roman"/>
          <w:noProof w:val="0"/>
          <w:sz w:val="22"/>
          <w:szCs w:val="22"/>
          <w:lang w:val="sk-SK"/>
        </w:rPr>
        <w:t>CVA</w:t>
      </w:r>
      <w:r w:rsidR="00CA5B0B" w:rsidRPr="00255B83">
        <w:rPr>
          <w:rFonts w:ascii="Times New Roman" w:hAnsi="Times New Roman"/>
          <w:sz w:val="22"/>
          <w:szCs w:val="22"/>
          <w:lang w:val="sk-SK"/>
        </w:rPr>
        <w:t xml:space="preserve">) alebo </w:t>
      </w:r>
      <w:r w:rsidR="00CA5B0B" w:rsidRPr="003B6A4E">
        <w:rPr>
          <w:rFonts w:ascii="Times New Roman" w:hAnsi="Times New Roman"/>
          <w:sz w:val="22"/>
          <w:szCs w:val="22"/>
          <w:lang w:val="sk-SK"/>
        </w:rPr>
        <w:t>tranzitórnym</w:t>
      </w:r>
      <w:r w:rsidR="00CA5B0B" w:rsidRPr="00255B83">
        <w:rPr>
          <w:rFonts w:ascii="Times New Roman" w:hAnsi="Times New Roman"/>
          <w:sz w:val="22"/>
          <w:szCs w:val="22"/>
          <w:lang w:val="sk-SK"/>
        </w:rPr>
        <w:t xml:space="preserve"> ischemickým atakom (</w:t>
      </w:r>
      <w:r w:rsidR="003F7630" w:rsidRPr="005127C7">
        <w:rPr>
          <w:rFonts w:ascii="Times New Roman" w:hAnsi="Times New Roman"/>
          <w:sz w:val="22"/>
          <w:szCs w:val="22"/>
          <w:lang w:val="sk-SK"/>
        </w:rPr>
        <w:t xml:space="preserve">transient ischemic attack, </w:t>
      </w:r>
      <w:r w:rsidR="00CA5B0B" w:rsidRPr="00255B83">
        <w:rPr>
          <w:rFonts w:ascii="Times New Roman" w:hAnsi="Times New Roman"/>
          <w:sz w:val="22"/>
          <w:szCs w:val="22"/>
          <w:lang w:val="sk-SK"/>
        </w:rPr>
        <w:t>TIA) v anamnéze</w:t>
      </w:r>
      <w:r w:rsidR="00CA5B0B" w:rsidRPr="00255B83">
        <w:rPr>
          <w:rFonts w:ascii="Times New Roman" w:hAnsi="Times New Roman"/>
          <w:noProof w:val="0"/>
          <w:sz w:val="22"/>
          <w:szCs w:val="22"/>
          <w:lang w:val="sk-SK"/>
        </w:rPr>
        <w:t>.</w:t>
      </w:r>
    </w:p>
    <w:p w14:paraId="3C16A77C" w14:textId="77777777" w:rsidR="007E279B" w:rsidRPr="00255B83" w:rsidRDefault="007E279B" w:rsidP="00CA5B0B">
      <w:pPr>
        <w:pStyle w:val="OmniPage514"/>
        <w:ind w:left="0" w:right="0"/>
        <w:rPr>
          <w:rFonts w:ascii="Times New Roman" w:hAnsi="Times New Roman"/>
          <w:noProof w:val="0"/>
          <w:sz w:val="22"/>
          <w:szCs w:val="22"/>
          <w:lang w:val="sk-SK"/>
        </w:rPr>
      </w:pPr>
    </w:p>
    <w:p w14:paraId="4C241158" w14:textId="77777777" w:rsidR="00CA5B0B" w:rsidRPr="005127C7" w:rsidRDefault="00EE568B" w:rsidP="00CA5B0B">
      <w:pPr>
        <w:pStyle w:val="OmniPage516"/>
        <w:tabs>
          <w:tab w:val="clear" w:pos="9247"/>
        </w:tabs>
        <w:ind w:left="0" w:right="0"/>
        <w:rPr>
          <w:rFonts w:ascii="Times New Roman" w:hAnsi="Times New Roman"/>
          <w:noProof w:val="0"/>
          <w:sz w:val="22"/>
          <w:szCs w:val="22"/>
          <w:lang w:val="sk-SK"/>
        </w:rPr>
      </w:pPr>
      <w:r w:rsidRPr="005127C7">
        <w:rPr>
          <w:rFonts w:ascii="Times New Roman" w:hAnsi="Times New Roman"/>
          <w:noProof w:val="0"/>
          <w:sz w:val="22"/>
          <w:szCs w:val="22"/>
          <w:lang w:val="sk-SK"/>
        </w:rPr>
        <w:t>Sumatript</w:t>
      </w:r>
      <w:r w:rsidR="001A3EB6" w:rsidRPr="005127C7">
        <w:rPr>
          <w:rFonts w:ascii="Times New Roman" w:hAnsi="Times New Roman"/>
          <w:noProof w:val="0"/>
          <w:sz w:val="22"/>
          <w:szCs w:val="22"/>
          <w:lang w:val="sk-SK"/>
        </w:rPr>
        <w:t>á</w:t>
      </w:r>
      <w:r w:rsidRPr="005127C7">
        <w:rPr>
          <w:rFonts w:ascii="Times New Roman" w:hAnsi="Times New Roman"/>
          <w:noProof w:val="0"/>
          <w:sz w:val="22"/>
          <w:szCs w:val="22"/>
          <w:lang w:val="sk-SK"/>
        </w:rPr>
        <w:t>n</w:t>
      </w:r>
      <w:r w:rsidR="00CA5B0B" w:rsidRPr="005127C7">
        <w:rPr>
          <w:rFonts w:ascii="Times New Roman" w:hAnsi="Times New Roman"/>
          <w:noProof w:val="0"/>
          <w:sz w:val="22"/>
          <w:szCs w:val="22"/>
          <w:lang w:val="sk-SK"/>
        </w:rPr>
        <w:t xml:space="preserve"> sa </w:t>
      </w:r>
      <w:r w:rsidRPr="005127C7">
        <w:rPr>
          <w:rFonts w:ascii="Times New Roman" w:hAnsi="Times New Roman"/>
          <w:noProof w:val="0"/>
          <w:sz w:val="22"/>
          <w:szCs w:val="22"/>
          <w:lang w:val="sk-SK"/>
        </w:rPr>
        <w:t>ne</w:t>
      </w:r>
      <w:r w:rsidR="001A3EB6" w:rsidRPr="005127C7">
        <w:rPr>
          <w:rFonts w:ascii="Times New Roman" w:hAnsi="Times New Roman"/>
          <w:noProof w:val="0"/>
          <w:sz w:val="22"/>
          <w:szCs w:val="22"/>
          <w:lang w:val="sk-SK"/>
        </w:rPr>
        <w:t>s</w:t>
      </w:r>
      <w:r w:rsidRPr="005127C7">
        <w:rPr>
          <w:rFonts w:ascii="Times New Roman" w:hAnsi="Times New Roman"/>
          <w:noProof w:val="0"/>
          <w:sz w:val="22"/>
          <w:szCs w:val="22"/>
          <w:lang w:val="sk-SK"/>
        </w:rPr>
        <w:t>m</w:t>
      </w:r>
      <w:r w:rsidR="001A3EB6" w:rsidRPr="005127C7">
        <w:rPr>
          <w:rFonts w:ascii="Times New Roman" w:hAnsi="Times New Roman"/>
          <w:noProof w:val="0"/>
          <w:sz w:val="22"/>
          <w:szCs w:val="22"/>
          <w:lang w:val="sk-SK"/>
        </w:rPr>
        <w:t>ie</w:t>
      </w:r>
      <w:r w:rsidR="00CA5B0B" w:rsidRPr="005127C7">
        <w:rPr>
          <w:rFonts w:ascii="Times New Roman" w:hAnsi="Times New Roman"/>
          <w:noProof w:val="0"/>
          <w:sz w:val="22"/>
          <w:szCs w:val="22"/>
          <w:lang w:val="sk-SK"/>
        </w:rPr>
        <w:t xml:space="preserve"> podávať pacientom s ťažk</w:t>
      </w:r>
      <w:r w:rsidR="00031C2E" w:rsidRPr="005127C7">
        <w:rPr>
          <w:rFonts w:ascii="Times New Roman" w:hAnsi="Times New Roman"/>
          <w:noProof w:val="0"/>
          <w:sz w:val="22"/>
          <w:szCs w:val="22"/>
          <w:lang w:val="sk-SK"/>
        </w:rPr>
        <w:t>ým poškodením</w:t>
      </w:r>
      <w:r w:rsidR="00CA5B0B" w:rsidRPr="005127C7">
        <w:rPr>
          <w:rFonts w:ascii="Times New Roman" w:hAnsi="Times New Roman"/>
          <w:noProof w:val="0"/>
          <w:sz w:val="22"/>
          <w:szCs w:val="22"/>
          <w:lang w:val="sk-SK"/>
        </w:rPr>
        <w:t xml:space="preserve"> pečene.</w:t>
      </w:r>
    </w:p>
    <w:p w14:paraId="1EBA39E2" w14:textId="77777777" w:rsidR="00CA5B0B" w:rsidRPr="005127C7" w:rsidRDefault="00CA5B0B" w:rsidP="00CA5B0B">
      <w:pPr>
        <w:pStyle w:val="OmniPage514"/>
        <w:ind w:left="0" w:right="0"/>
        <w:rPr>
          <w:rFonts w:ascii="Times New Roman" w:hAnsi="Times New Roman"/>
          <w:noProof w:val="0"/>
          <w:sz w:val="22"/>
          <w:szCs w:val="22"/>
          <w:lang w:val="sk-SK"/>
        </w:rPr>
      </w:pPr>
    </w:p>
    <w:p w14:paraId="694B4F91" w14:textId="77777777" w:rsidR="007E279B" w:rsidRPr="00CA5B0B" w:rsidRDefault="007E279B" w:rsidP="007E279B">
      <w:pPr>
        <w:pStyle w:val="OmniPage516"/>
        <w:tabs>
          <w:tab w:val="clear" w:pos="9247"/>
        </w:tabs>
        <w:ind w:left="0" w:right="0"/>
        <w:rPr>
          <w:rFonts w:ascii="Times New Roman" w:hAnsi="Times New Roman"/>
          <w:noProof w:val="0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Použitie sumatript</w:t>
      </w:r>
      <w:r w:rsidR="001A3EB6">
        <w:rPr>
          <w:rFonts w:ascii="Times New Roman" w:hAnsi="Times New Roman"/>
          <w:sz w:val="22"/>
          <w:szCs w:val="22"/>
          <w:lang w:val="sk-SK"/>
        </w:rPr>
        <w:t>á</w:t>
      </w:r>
      <w:r w:rsidRPr="00CA5B0B">
        <w:rPr>
          <w:rFonts w:ascii="Times New Roman" w:hAnsi="Times New Roman"/>
          <w:sz w:val="22"/>
          <w:szCs w:val="22"/>
          <w:lang w:val="sk-SK"/>
        </w:rPr>
        <w:t>nu u p</w:t>
      </w:r>
      <w:r>
        <w:rPr>
          <w:rFonts w:ascii="Times New Roman" w:hAnsi="Times New Roman"/>
          <w:sz w:val="22"/>
          <w:szCs w:val="22"/>
          <w:lang w:val="sk-SK"/>
        </w:rPr>
        <w:t>acientov so stredne ťažkou a</w:t>
      </w:r>
      <w:r w:rsidRPr="00CA5B0B">
        <w:rPr>
          <w:rFonts w:ascii="Times New Roman" w:hAnsi="Times New Roman"/>
          <w:sz w:val="22"/>
          <w:szCs w:val="22"/>
          <w:lang w:val="sk-SK"/>
        </w:rPr>
        <w:t xml:space="preserve"> ťažkou hypertenziou alebo miernou nekontrolovanou hypertenziou je kontraindikované.</w:t>
      </w:r>
    </w:p>
    <w:p w14:paraId="09385DEC" w14:textId="77777777" w:rsidR="007E279B" w:rsidRPr="007E279B" w:rsidRDefault="007E279B" w:rsidP="00CA5B0B">
      <w:pPr>
        <w:pStyle w:val="OmniPage514"/>
        <w:ind w:left="0" w:right="0"/>
        <w:rPr>
          <w:rFonts w:ascii="Times New Roman" w:hAnsi="Times New Roman"/>
          <w:noProof w:val="0"/>
          <w:sz w:val="22"/>
          <w:szCs w:val="22"/>
          <w:lang w:val="sk-SK"/>
        </w:rPr>
      </w:pPr>
    </w:p>
    <w:p w14:paraId="5277DDF5" w14:textId="77777777" w:rsidR="00CA5B0B" w:rsidRPr="005127C7" w:rsidRDefault="00CA5B0B" w:rsidP="00CA5B0B">
      <w:pPr>
        <w:pStyle w:val="OmniPage514"/>
        <w:ind w:left="0" w:right="0"/>
        <w:rPr>
          <w:rFonts w:ascii="Times New Roman" w:hAnsi="Times New Roman"/>
          <w:noProof w:val="0"/>
          <w:sz w:val="22"/>
          <w:szCs w:val="22"/>
          <w:lang w:val="sk-SK"/>
        </w:rPr>
      </w:pPr>
      <w:r w:rsidRPr="005127C7">
        <w:rPr>
          <w:rFonts w:ascii="Times New Roman" w:hAnsi="Times New Roman"/>
          <w:noProof w:val="0"/>
          <w:sz w:val="22"/>
          <w:szCs w:val="22"/>
          <w:lang w:val="sk-SK"/>
        </w:rPr>
        <w:t>Súbežné podávanie ergotamínu alebo derivátov ergotamínu (vrátane metysergidu)</w:t>
      </w:r>
      <w:r w:rsidR="00EE568B" w:rsidRPr="005127C7">
        <w:rPr>
          <w:rFonts w:ascii="Times New Roman" w:hAnsi="Times New Roman"/>
          <w:noProof w:val="0"/>
          <w:sz w:val="22"/>
          <w:szCs w:val="22"/>
          <w:lang w:val="sk-SK"/>
        </w:rPr>
        <w:t>,</w:t>
      </w:r>
      <w:r w:rsidRPr="005127C7">
        <w:rPr>
          <w:rFonts w:ascii="Times New Roman" w:hAnsi="Times New Roman"/>
          <w:noProof w:val="0"/>
          <w:sz w:val="22"/>
          <w:szCs w:val="22"/>
          <w:lang w:val="sk-SK"/>
        </w:rPr>
        <w:t xml:space="preserve"> </w:t>
      </w:r>
      <w:r w:rsidR="003655B5" w:rsidRPr="005127C7">
        <w:rPr>
          <w:rFonts w:ascii="Times New Roman" w:hAnsi="Times New Roman"/>
          <w:noProof w:val="0"/>
          <w:sz w:val="22"/>
          <w:szCs w:val="22"/>
          <w:lang w:val="sk-SK"/>
        </w:rPr>
        <w:t>alebo iných triptánov/agonistov receptoru 5-hydroxytryptaminel (5-HT</w:t>
      </w:r>
      <w:r w:rsidR="003655B5" w:rsidRPr="005127C7">
        <w:rPr>
          <w:rFonts w:ascii="Times New Roman" w:hAnsi="Times New Roman"/>
          <w:noProof w:val="0"/>
          <w:sz w:val="22"/>
          <w:szCs w:val="22"/>
          <w:vertAlign w:val="subscript"/>
          <w:lang w:val="sk-SK"/>
        </w:rPr>
        <w:t>1</w:t>
      </w:r>
      <w:r w:rsidR="003655B5" w:rsidRPr="005127C7">
        <w:rPr>
          <w:rFonts w:ascii="Times New Roman" w:hAnsi="Times New Roman"/>
          <w:noProof w:val="0"/>
          <w:sz w:val="22"/>
          <w:szCs w:val="22"/>
          <w:lang w:val="sk-SK"/>
        </w:rPr>
        <w:t>)</w:t>
      </w:r>
      <w:r w:rsidR="00483AA4" w:rsidRPr="005127C7">
        <w:rPr>
          <w:rFonts w:ascii="Times New Roman" w:hAnsi="Times New Roman"/>
          <w:noProof w:val="0"/>
          <w:sz w:val="22"/>
          <w:szCs w:val="22"/>
          <w:lang w:val="sk-SK"/>
        </w:rPr>
        <w:t xml:space="preserve"> so sumatriptánom</w:t>
      </w:r>
      <w:r w:rsidR="003655B5" w:rsidRPr="005127C7">
        <w:rPr>
          <w:rFonts w:ascii="Times New Roman" w:hAnsi="Times New Roman"/>
          <w:noProof w:val="0"/>
          <w:sz w:val="22"/>
          <w:szCs w:val="22"/>
          <w:lang w:val="sk-SK"/>
        </w:rPr>
        <w:t xml:space="preserve"> </w:t>
      </w:r>
      <w:r w:rsidRPr="005127C7">
        <w:rPr>
          <w:rFonts w:ascii="Times New Roman" w:hAnsi="Times New Roman"/>
          <w:sz w:val="22"/>
          <w:szCs w:val="22"/>
          <w:lang w:val="sk-SK"/>
        </w:rPr>
        <w:t>je kontraindikované</w:t>
      </w:r>
      <w:r w:rsidRPr="005127C7">
        <w:rPr>
          <w:rFonts w:ascii="Times New Roman" w:hAnsi="Times New Roman"/>
          <w:noProof w:val="0"/>
          <w:sz w:val="22"/>
          <w:szCs w:val="22"/>
          <w:lang w:val="sk-SK"/>
        </w:rPr>
        <w:t xml:space="preserve"> (pozri časť 4.5).</w:t>
      </w:r>
    </w:p>
    <w:p w14:paraId="5B8AD4D2" w14:textId="77777777" w:rsidR="007E279B" w:rsidRPr="005127C7" w:rsidRDefault="007E279B" w:rsidP="00CA5B0B">
      <w:pPr>
        <w:pStyle w:val="OmniPage514"/>
        <w:ind w:left="0" w:right="0"/>
        <w:rPr>
          <w:rFonts w:ascii="Times New Roman" w:hAnsi="Times New Roman"/>
          <w:noProof w:val="0"/>
          <w:sz w:val="22"/>
          <w:szCs w:val="22"/>
          <w:lang w:val="sk-SK"/>
        </w:rPr>
      </w:pPr>
    </w:p>
    <w:p w14:paraId="78136DCD" w14:textId="67B5FB57" w:rsidR="00CA5B0B" w:rsidRPr="00E54DC6" w:rsidRDefault="00CA5B0B" w:rsidP="00CA5B0B">
      <w:pPr>
        <w:pStyle w:val="OmniPage514"/>
        <w:ind w:left="0" w:right="0"/>
        <w:rPr>
          <w:rFonts w:ascii="Times New Roman" w:hAnsi="Times New Roman"/>
          <w:noProof w:val="0"/>
          <w:sz w:val="22"/>
          <w:szCs w:val="22"/>
          <w:lang w:val="sk-SK"/>
        </w:rPr>
      </w:pPr>
      <w:r w:rsidRPr="005127C7">
        <w:rPr>
          <w:rFonts w:ascii="Times New Roman" w:hAnsi="Times New Roman"/>
          <w:noProof w:val="0"/>
          <w:sz w:val="22"/>
          <w:szCs w:val="22"/>
          <w:lang w:val="sk-SK"/>
        </w:rPr>
        <w:t xml:space="preserve">Súbežné podávanie </w:t>
      </w:r>
      <w:r w:rsidR="0069759E" w:rsidRPr="005127C7">
        <w:rPr>
          <w:rFonts w:ascii="Times New Roman" w:hAnsi="Times New Roman"/>
          <w:noProof w:val="0"/>
          <w:sz w:val="22"/>
          <w:szCs w:val="22"/>
          <w:lang w:val="sk-SK"/>
        </w:rPr>
        <w:t xml:space="preserve">inhibítorov monoaminooxidázy </w:t>
      </w:r>
      <w:r w:rsidR="00EE568B" w:rsidRPr="005127C7">
        <w:rPr>
          <w:rFonts w:ascii="Times New Roman" w:hAnsi="Times New Roman"/>
          <w:noProof w:val="0"/>
          <w:sz w:val="22"/>
          <w:szCs w:val="22"/>
          <w:lang w:val="sk-SK"/>
        </w:rPr>
        <w:t>(</w:t>
      </w:r>
      <w:r w:rsidR="003F7630" w:rsidRPr="005127C7">
        <w:rPr>
          <w:rFonts w:ascii="Times New Roman" w:hAnsi="Times New Roman"/>
          <w:sz w:val="22"/>
          <w:szCs w:val="22"/>
          <w:lang w:val="sk-SK"/>
        </w:rPr>
        <w:t xml:space="preserve">monoamine oxidase inhibitors, </w:t>
      </w:r>
      <w:r w:rsidR="00EE568B" w:rsidRPr="005127C7">
        <w:rPr>
          <w:rFonts w:ascii="Times New Roman" w:hAnsi="Times New Roman"/>
          <w:noProof w:val="0"/>
          <w:sz w:val="22"/>
          <w:szCs w:val="22"/>
          <w:lang w:val="sk-SK"/>
        </w:rPr>
        <w:t xml:space="preserve">MAOIs) </w:t>
      </w:r>
      <w:r w:rsidR="0069759E" w:rsidRPr="005127C7">
        <w:rPr>
          <w:rFonts w:ascii="Times New Roman" w:hAnsi="Times New Roman"/>
          <w:noProof w:val="0"/>
          <w:sz w:val="22"/>
          <w:szCs w:val="22"/>
          <w:lang w:val="sk-SK"/>
        </w:rPr>
        <w:t xml:space="preserve">a </w:t>
      </w:r>
      <w:r w:rsidR="0069759E" w:rsidRPr="005127C7">
        <w:rPr>
          <w:rFonts w:ascii="Times New Roman" w:hAnsi="Times New Roman"/>
          <w:sz w:val="22"/>
          <w:szCs w:val="22"/>
          <w:lang w:val="sk-SK"/>
        </w:rPr>
        <w:t>sumatript</w:t>
      </w:r>
      <w:r w:rsidR="00A55CDF" w:rsidRPr="005127C7">
        <w:rPr>
          <w:rFonts w:ascii="Times New Roman" w:hAnsi="Times New Roman"/>
          <w:sz w:val="22"/>
          <w:szCs w:val="22"/>
          <w:lang w:val="sk-SK"/>
        </w:rPr>
        <w:t>á</w:t>
      </w:r>
      <w:r w:rsidRPr="005127C7">
        <w:rPr>
          <w:rFonts w:ascii="Times New Roman" w:hAnsi="Times New Roman"/>
          <w:sz w:val="22"/>
          <w:szCs w:val="22"/>
          <w:lang w:val="sk-SK"/>
        </w:rPr>
        <w:t>n</w:t>
      </w:r>
      <w:r w:rsidR="0069759E" w:rsidRPr="005127C7">
        <w:rPr>
          <w:rFonts w:ascii="Times New Roman" w:hAnsi="Times New Roman"/>
          <w:sz w:val="22"/>
          <w:szCs w:val="22"/>
          <w:lang w:val="sk-SK"/>
        </w:rPr>
        <w:t>u</w:t>
      </w:r>
      <w:r w:rsidRPr="00E54DC6">
        <w:rPr>
          <w:rFonts w:ascii="Times New Roman" w:hAnsi="Times New Roman"/>
          <w:noProof w:val="0"/>
          <w:sz w:val="22"/>
          <w:szCs w:val="22"/>
          <w:lang w:val="sk-SK"/>
        </w:rPr>
        <w:t xml:space="preserve"> je kontraindikované.</w:t>
      </w:r>
    </w:p>
    <w:p w14:paraId="1C6858CC" w14:textId="77777777" w:rsidR="00EE568B" w:rsidRDefault="00EE568B" w:rsidP="00CA5B0B">
      <w:pPr>
        <w:pStyle w:val="OmniPage514"/>
        <w:ind w:left="0" w:right="0"/>
        <w:rPr>
          <w:rFonts w:ascii="Times New Roman" w:hAnsi="Times New Roman"/>
          <w:noProof w:val="0"/>
          <w:sz w:val="22"/>
          <w:szCs w:val="22"/>
          <w:lang w:val="sk-SK"/>
        </w:rPr>
      </w:pPr>
    </w:p>
    <w:p w14:paraId="6A233F62" w14:textId="77777777" w:rsidR="00CA5B0B" w:rsidRPr="00E54DC6" w:rsidRDefault="00EE568B" w:rsidP="00CA5B0B">
      <w:pPr>
        <w:pStyle w:val="OmniPage514"/>
        <w:ind w:left="0" w:right="0"/>
        <w:rPr>
          <w:rFonts w:ascii="Times New Roman" w:hAnsi="Times New Roman"/>
          <w:noProof w:val="0"/>
          <w:sz w:val="22"/>
          <w:szCs w:val="22"/>
          <w:lang w:val="sk-SK"/>
        </w:rPr>
      </w:pPr>
      <w:r>
        <w:rPr>
          <w:rFonts w:ascii="Times New Roman" w:hAnsi="Times New Roman"/>
          <w:noProof w:val="0"/>
          <w:sz w:val="22"/>
          <w:szCs w:val="22"/>
          <w:lang w:val="sk-SK"/>
        </w:rPr>
        <w:t>Sumatript</w:t>
      </w:r>
      <w:r w:rsidR="00A55CDF">
        <w:rPr>
          <w:rFonts w:ascii="Times New Roman" w:hAnsi="Times New Roman"/>
          <w:noProof w:val="0"/>
          <w:sz w:val="22"/>
          <w:szCs w:val="22"/>
          <w:lang w:val="sk-SK"/>
        </w:rPr>
        <w:t>á</w:t>
      </w:r>
      <w:r>
        <w:rPr>
          <w:rFonts w:ascii="Times New Roman" w:hAnsi="Times New Roman"/>
          <w:noProof w:val="0"/>
          <w:sz w:val="22"/>
          <w:szCs w:val="22"/>
          <w:lang w:val="sk-SK"/>
        </w:rPr>
        <w:t>n</w:t>
      </w:r>
      <w:r w:rsidR="003655B5">
        <w:rPr>
          <w:rFonts w:ascii="Times New Roman" w:hAnsi="Times New Roman"/>
          <w:noProof w:val="0"/>
          <w:sz w:val="22"/>
          <w:szCs w:val="22"/>
          <w:lang w:val="sk-SK"/>
        </w:rPr>
        <w:t xml:space="preserve"> sa </w:t>
      </w:r>
      <w:r w:rsidR="00CA5B0B" w:rsidRPr="00E54DC6">
        <w:rPr>
          <w:rFonts w:ascii="Times New Roman" w:hAnsi="Times New Roman"/>
          <w:noProof w:val="0"/>
          <w:sz w:val="22"/>
          <w:szCs w:val="22"/>
          <w:lang w:val="sk-SK"/>
        </w:rPr>
        <w:t>nesmie použ</w:t>
      </w:r>
      <w:r w:rsidR="00CA5B0B">
        <w:rPr>
          <w:rFonts w:ascii="Times New Roman" w:hAnsi="Times New Roman"/>
          <w:noProof w:val="0"/>
          <w:sz w:val="22"/>
          <w:szCs w:val="22"/>
          <w:lang w:val="sk-SK"/>
        </w:rPr>
        <w:t>i</w:t>
      </w:r>
      <w:r w:rsidR="00CA5B0B" w:rsidRPr="00E54DC6">
        <w:rPr>
          <w:rFonts w:ascii="Times New Roman" w:hAnsi="Times New Roman"/>
          <w:noProof w:val="0"/>
          <w:sz w:val="22"/>
          <w:szCs w:val="22"/>
          <w:lang w:val="sk-SK"/>
        </w:rPr>
        <w:t>ť skôr ako po uplynutí dvoch týždňov od ukončenia liečby inhibítormi monoaminooxidázy</w:t>
      </w:r>
      <w:r>
        <w:rPr>
          <w:rFonts w:ascii="Times New Roman" w:hAnsi="Times New Roman"/>
          <w:noProof w:val="0"/>
          <w:sz w:val="22"/>
          <w:szCs w:val="22"/>
          <w:lang w:val="sk-SK"/>
        </w:rPr>
        <w:t xml:space="preserve"> (MAOIs)</w:t>
      </w:r>
      <w:r w:rsidR="00CA5B0B" w:rsidRPr="00E54DC6">
        <w:rPr>
          <w:rFonts w:ascii="Times New Roman" w:hAnsi="Times New Roman"/>
          <w:noProof w:val="0"/>
          <w:sz w:val="22"/>
          <w:szCs w:val="22"/>
          <w:lang w:val="sk-SK"/>
        </w:rPr>
        <w:t>.</w:t>
      </w:r>
    </w:p>
    <w:p w14:paraId="6543720F" w14:textId="77777777" w:rsidR="00303674" w:rsidRPr="003E7411" w:rsidRDefault="00303674" w:rsidP="00C7664A">
      <w:pPr>
        <w:ind w:left="0" w:firstLine="0"/>
        <w:rPr>
          <w:color w:val="000000"/>
          <w:szCs w:val="22"/>
        </w:rPr>
      </w:pPr>
    </w:p>
    <w:p w14:paraId="677B9305" w14:textId="77777777" w:rsidR="00CE3249" w:rsidRPr="003E7411" w:rsidRDefault="00CE3249" w:rsidP="00CE3249">
      <w:pPr>
        <w:rPr>
          <w:color w:val="000000"/>
          <w:szCs w:val="22"/>
        </w:rPr>
      </w:pPr>
      <w:r w:rsidRPr="003E7411">
        <w:rPr>
          <w:b/>
          <w:color w:val="000000"/>
          <w:szCs w:val="22"/>
        </w:rPr>
        <w:lastRenderedPageBreak/>
        <w:t>4.4</w:t>
      </w:r>
      <w:r w:rsidRPr="003E7411">
        <w:rPr>
          <w:b/>
          <w:color w:val="000000"/>
          <w:szCs w:val="22"/>
        </w:rPr>
        <w:tab/>
        <w:t>Osobitné upozornenia a opatrenia pri používaní</w:t>
      </w:r>
    </w:p>
    <w:p w14:paraId="0AC42466" w14:textId="77777777" w:rsidR="00CE3249" w:rsidRDefault="00CE3249" w:rsidP="00CE3249">
      <w:pPr>
        <w:rPr>
          <w:color w:val="000000"/>
          <w:szCs w:val="22"/>
        </w:rPr>
      </w:pPr>
    </w:p>
    <w:p w14:paraId="21B52104" w14:textId="77777777" w:rsidR="00E11AFC" w:rsidRPr="00E54DC6" w:rsidRDefault="00E11AFC" w:rsidP="00E11AFC">
      <w:pPr>
        <w:pStyle w:val="OmniPage522"/>
        <w:tabs>
          <w:tab w:val="clear" w:pos="8246"/>
        </w:tabs>
        <w:ind w:left="0" w:right="0"/>
        <w:rPr>
          <w:rFonts w:ascii="Times New Roman" w:hAnsi="Times New Roman"/>
          <w:noProof w:val="0"/>
          <w:sz w:val="22"/>
          <w:szCs w:val="22"/>
          <w:lang w:val="sk-SK"/>
        </w:rPr>
      </w:pPr>
      <w:r w:rsidRPr="00E54DC6">
        <w:rPr>
          <w:rFonts w:ascii="Times New Roman" w:hAnsi="Times New Roman"/>
          <w:noProof w:val="0"/>
          <w:sz w:val="22"/>
          <w:szCs w:val="22"/>
          <w:lang w:val="sk-SK"/>
        </w:rPr>
        <w:t>Sumatript</w:t>
      </w:r>
      <w:r w:rsidR="00A55CDF">
        <w:rPr>
          <w:rFonts w:ascii="Times New Roman" w:hAnsi="Times New Roman"/>
          <w:noProof w:val="0"/>
          <w:sz w:val="22"/>
          <w:szCs w:val="22"/>
          <w:lang w:val="sk-SK"/>
        </w:rPr>
        <w:t>á</w:t>
      </w:r>
      <w:r w:rsidRPr="00E54DC6">
        <w:rPr>
          <w:rFonts w:ascii="Times New Roman" w:hAnsi="Times New Roman"/>
          <w:noProof w:val="0"/>
          <w:sz w:val="22"/>
          <w:szCs w:val="22"/>
          <w:lang w:val="sk-SK"/>
        </w:rPr>
        <w:t>n sa má používať len v prípadoch s jasnou diagnózou migrény.</w:t>
      </w:r>
    </w:p>
    <w:p w14:paraId="3CC066A0" w14:textId="77777777" w:rsidR="00E11AFC" w:rsidRDefault="00E11AFC" w:rsidP="00E11AFC">
      <w:pPr>
        <w:pStyle w:val="OmniPage523"/>
        <w:tabs>
          <w:tab w:val="clear" w:pos="8780"/>
        </w:tabs>
        <w:ind w:left="0" w:right="0"/>
        <w:rPr>
          <w:rFonts w:ascii="Times New Roman" w:hAnsi="Times New Roman"/>
          <w:noProof w:val="0"/>
          <w:sz w:val="22"/>
          <w:szCs w:val="22"/>
          <w:lang w:val="sk-SK"/>
        </w:rPr>
      </w:pPr>
    </w:p>
    <w:p w14:paraId="3C2DEF9A" w14:textId="77777777" w:rsidR="00E11AFC" w:rsidRPr="00FB41C5" w:rsidRDefault="00E11AFC" w:rsidP="00E11AFC">
      <w:pPr>
        <w:pStyle w:val="OmniPage523"/>
        <w:tabs>
          <w:tab w:val="clear" w:pos="8780"/>
        </w:tabs>
        <w:ind w:left="0" w:right="0"/>
        <w:rPr>
          <w:rFonts w:ascii="Times New Roman" w:hAnsi="Times New Roman"/>
          <w:noProof w:val="0"/>
          <w:sz w:val="22"/>
          <w:szCs w:val="22"/>
          <w:lang w:val="sk-SK"/>
        </w:rPr>
      </w:pPr>
      <w:r>
        <w:rPr>
          <w:rFonts w:ascii="Times New Roman" w:hAnsi="Times New Roman"/>
          <w:noProof w:val="0"/>
          <w:sz w:val="22"/>
          <w:szCs w:val="22"/>
          <w:lang w:val="sk-SK"/>
        </w:rPr>
        <w:t>Sumatript</w:t>
      </w:r>
      <w:r w:rsidR="00A55CDF">
        <w:rPr>
          <w:rFonts w:ascii="Times New Roman" w:hAnsi="Times New Roman"/>
          <w:noProof w:val="0"/>
          <w:sz w:val="22"/>
          <w:szCs w:val="22"/>
          <w:lang w:val="sk-SK"/>
        </w:rPr>
        <w:t>á</w:t>
      </w:r>
      <w:r>
        <w:rPr>
          <w:rFonts w:ascii="Times New Roman" w:hAnsi="Times New Roman"/>
          <w:noProof w:val="0"/>
          <w:sz w:val="22"/>
          <w:szCs w:val="22"/>
          <w:lang w:val="sk-SK"/>
        </w:rPr>
        <w:t>n</w:t>
      </w:r>
      <w:r w:rsidRPr="00FB41C5">
        <w:rPr>
          <w:rFonts w:ascii="Times New Roman" w:hAnsi="Times New Roman"/>
          <w:noProof w:val="0"/>
          <w:sz w:val="22"/>
          <w:szCs w:val="22"/>
          <w:lang w:val="sk-SK"/>
        </w:rPr>
        <w:t xml:space="preserve"> </w:t>
      </w:r>
      <w:r w:rsidRPr="00FB41C5">
        <w:rPr>
          <w:rFonts w:ascii="Times New Roman" w:hAnsi="Times New Roman"/>
          <w:sz w:val="22"/>
          <w:szCs w:val="22"/>
          <w:lang w:val="sk-SK"/>
        </w:rPr>
        <w:t xml:space="preserve">nie je určený na použitie pri </w:t>
      </w:r>
      <w:r>
        <w:rPr>
          <w:rFonts w:ascii="Times New Roman" w:hAnsi="Times New Roman"/>
          <w:sz w:val="22"/>
          <w:szCs w:val="22"/>
          <w:lang w:val="sk-SK"/>
        </w:rPr>
        <w:t xml:space="preserve">liečbe </w:t>
      </w:r>
      <w:r w:rsidRPr="00FB41C5">
        <w:rPr>
          <w:rFonts w:ascii="Times New Roman" w:hAnsi="Times New Roman"/>
          <w:sz w:val="22"/>
          <w:szCs w:val="22"/>
          <w:lang w:val="sk-SK"/>
        </w:rPr>
        <w:t>hemiplegickej, bazilárne</w:t>
      </w:r>
      <w:r>
        <w:rPr>
          <w:rFonts w:ascii="Times New Roman" w:hAnsi="Times New Roman"/>
          <w:sz w:val="22"/>
          <w:szCs w:val="22"/>
          <w:lang w:val="sk-SK"/>
        </w:rPr>
        <w:t>j alebo oftalmoplegickej migrény</w:t>
      </w:r>
      <w:r w:rsidRPr="00FB41C5">
        <w:rPr>
          <w:rFonts w:ascii="Times New Roman" w:hAnsi="Times New Roman"/>
          <w:noProof w:val="0"/>
          <w:sz w:val="22"/>
          <w:szCs w:val="22"/>
          <w:lang w:val="sk-SK"/>
        </w:rPr>
        <w:t>.</w:t>
      </w:r>
    </w:p>
    <w:p w14:paraId="494DBADD" w14:textId="77777777" w:rsidR="00E11AFC" w:rsidRDefault="00E11AFC" w:rsidP="00E11AFC">
      <w:pPr>
        <w:pStyle w:val="OmniPage514"/>
        <w:ind w:left="0" w:right="0"/>
        <w:rPr>
          <w:rFonts w:ascii="Times New Roman" w:hAnsi="Times New Roman"/>
          <w:noProof w:val="0"/>
          <w:sz w:val="22"/>
          <w:szCs w:val="22"/>
          <w:lang w:val="sk-SK"/>
        </w:rPr>
      </w:pPr>
    </w:p>
    <w:p w14:paraId="46069AE8" w14:textId="77777777" w:rsidR="00E11AFC" w:rsidRDefault="00E11AFC" w:rsidP="00E11AFC">
      <w:pPr>
        <w:pStyle w:val="OmniPage514"/>
        <w:ind w:left="0" w:right="0"/>
        <w:rPr>
          <w:rFonts w:ascii="Times New Roman" w:hAnsi="Times New Roman"/>
          <w:noProof w:val="0"/>
          <w:sz w:val="22"/>
          <w:szCs w:val="22"/>
          <w:lang w:val="sk-SK"/>
        </w:rPr>
      </w:pPr>
      <w:r w:rsidRPr="00FB41C5">
        <w:rPr>
          <w:rFonts w:ascii="Times New Roman" w:hAnsi="Times New Roman"/>
          <w:noProof w:val="0"/>
          <w:sz w:val="22"/>
          <w:szCs w:val="22"/>
          <w:lang w:val="sk-SK"/>
        </w:rPr>
        <w:t xml:space="preserve">Tak ako pri každej akútnej liečbe migrény, </w:t>
      </w:r>
      <w:r w:rsidR="00A55CDF">
        <w:rPr>
          <w:rFonts w:ascii="Times New Roman" w:hAnsi="Times New Roman"/>
          <w:noProof w:val="0"/>
          <w:sz w:val="22"/>
          <w:szCs w:val="22"/>
          <w:lang w:val="sk-SK"/>
        </w:rPr>
        <w:t xml:space="preserve">ako </w:t>
      </w:r>
      <w:r w:rsidRPr="00FB41C5">
        <w:rPr>
          <w:rFonts w:ascii="Times New Roman" w:hAnsi="Times New Roman"/>
          <w:noProof w:val="0"/>
          <w:sz w:val="22"/>
          <w:szCs w:val="22"/>
          <w:lang w:val="sk-SK"/>
        </w:rPr>
        <w:t xml:space="preserve">u pacientov, ktorí v minulosti neboli diagnostikovaní ako migrenici, </w:t>
      </w:r>
      <w:r w:rsidR="00A55CDF">
        <w:rPr>
          <w:rFonts w:ascii="Times New Roman" w:hAnsi="Times New Roman"/>
          <w:noProof w:val="0"/>
          <w:sz w:val="22"/>
          <w:szCs w:val="22"/>
          <w:lang w:val="sk-SK"/>
        </w:rPr>
        <w:t>tak aj</w:t>
      </w:r>
      <w:r w:rsidRPr="00FB41C5">
        <w:rPr>
          <w:rFonts w:ascii="Times New Roman" w:hAnsi="Times New Roman"/>
          <w:noProof w:val="0"/>
          <w:sz w:val="22"/>
          <w:szCs w:val="22"/>
          <w:lang w:val="sk-SK"/>
        </w:rPr>
        <w:t xml:space="preserve"> u pacientov, u ktorých sa prejavujú atypické príznaky, </w:t>
      </w:r>
      <w:r>
        <w:rPr>
          <w:rFonts w:ascii="Times New Roman" w:hAnsi="Times New Roman"/>
          <w:noProof w:val="0"/>
          <w:sz w:val="22"/>
          <w:szCs w:val="22"/>
          <w:lang w:val="sk-SK"/>
        </w:rPr>
        <w:t xml:space="preserve">sa musia vylúčiť iné potenciálne závažné neurologické ochorenia </w:t>
      </w:r>
      <w:r w:rsidRPr="00FB41C5">
        <w:rPr>
          <w:rFonts w:ascii="Times New Roman" w:hAnsi="Times New Roman"/>
          <w:noProof w:val="0"/>
          <w:sz w:val="22"/>
          <w:szCs w:val="22"/>
          <w:lang w:val="sk-SK"/>
        </w:rPr>
        <w:t>skôr</w:t>
      </w:r>
      <w:r>
        <w:rPr>
          <w:rFonts w:ascii="Times New Roman" w:hAnsi="Times New Roman"/>
          <w:noProof w:val="0"/>
          <w:sz w:val="22"/>
          <w:szCs w:val="22"/>
          <w:lang w:val="sk-SK"/>
        </w:rPr>
        <w:t>,</w:t>
      </w:r>
      <w:r w:rsidRPr="00FB41C5">
        <w:rPr>
          <w:rFonts w:ascii="Times New Roman" w:hAnsi="Times New Roman"/>
          <w:noProof w:val="0"/>
          <w:sz w:val="22"/>
          <w:szCs w:val="22"/>
          <w:lang w:val="sk-SK"/>
        </w:rPr>
        <w:t xml:space="preserve"> ako sa začne s liečbou bolesti hlavy</w:t>
      </w:r>
      <w:r>
        <w:rPr>
          <w:rFonts w:ascii="Times New Roman" w:hAnsi="Times New Roman"/>
          <w:noProof w:val="0"/>
          <w:sz w:val="22"/>
          <w:szCs w:val="22"/>
          <w:lang w:val="sk-SK"/>
        </w:rPr>
        <w:t>.</w:t>
      </w:r>
    </w:p>
    <w:p w14:paraId="0671A255" w14:textId="77777777" w:rsidR="00EF4651" w:rsidRDefault="00EF4651" w:rsidP="00E11AFC">
      <w:pPr>
        <w:pStyle w:val="OmniPage525"/>
        <w:tabs>
          <w:tab w:val="clear" w:pos="9106"/>
        </w:tabs>
        <w:ind w:left="0" w:right="0"/>
        <w:rPr>
          <w:rFonts w:ascii="Times New Roman" w:hAnsi="Times New Roman"/>
          <w:noProof w:val="0"/>
          <w:sz w:val="22"/>
          <w:szCs w:val="22"/>
          <w:lang w:val="sk-SK"/>
        </w:rPr>
      </w:pPr>
    </w:p>
    <w:p w14:paraId="506D4782" w14:textId="77777777" w:rsidR="00E11AFC" w:rsidRPr="00E91B9B" w:rsidRDefault="00E11AFC" w:rsidP="00E11AFC">
      <w:pPr>
        <w:pStyle w:val="OmniPage525"/>
        <w:tabs>
          <w:tab w:val="clear" w:pos="9106"/>
        </w:tabs>
        <w:ind w:left="0" w:right="0"/>
        <w:rPr>
          <w:rFonts w:ascii="Times New Roman" w:hAnsi="Times New Roman"/>
          <w:noProof w:val="0"/>
          <w:sz w:val="22"/>
          <w:szCs w:val="22"/>
          <w:lang w:val="sk-SK"/>
        </w:rPr>
      </w:pPr>
      <w:r w:rsidRPr="00E91B9B">
        <w:rPr>
          <w:rFonts w:ascii="Times New Roman" w:hAnsi="Times New Roman"/>
          <w:noProof w:val="0"/>
          <w:sz w:val="22"/>
          <w:szCs w:val="22"/>
          <w:lang w:val="sk-SK"/>
        </w:rPr>
        <w:t>Musí sa vziať do úvahy, že migrenici môžu byť vystavení zvýšenému riziku vzniku niekt</w:t>
      </w:r>
      <w:r w:rsidR="00BD1EE4">
        <w:rPr>
          <w:rFonts w:ascii="Times New Roman" w:hAnsi="Times New Roman"/>
          <w:noProof w:val="0"/>
          <w:sz w:val="22"/>
          <w:szCs w:val="22"/>
          <w:lang w:val="sk-SK"/>
        </w:rPr>
        <w:t>orých cerebrovaskulárnych príhod</w:t>
      </w:r>
      <w:r w:rsidRPr="00E91B9B">
        <w:rPr>
          <w:rFonts w:ascii="Times New Roman" w:hAnsi="Times New Roman"/>
          <w:noProof w:val="0"/>
          <w:sz w:val="22"/>
          <w:szCs w:val="22"/>
          <w:lang w:val="sk-SK"/>
        </w:rPr>
        <w:t xml:space="preserve"> (napr.</w:t>
      </w:r>
      <w:r w:rsidR="00BD1EE4">
        <w:rPr>
          <w:rFonts w:ascii="Times New Roman" w:hAnsi="Times New Roman"/>
          <w:noProof w:val="0"/>
          <w:sz w:val="22"/>
          <w:szCs w:val="22"/>
          <w:lang w:val="sk-SK"/>
        </w:rPr>
        <w:t xml:space="preserve"> </w:t>
      </w:r>
      <w:r w:rsidR="00D708BB">
        <w:rPr>
          <w:rFonts w:ascii="Times New Roman" w:hAnsi="Times New Roman"/>
          <w:noProof w:val="0"/>
          <w:sz w:val="22"/>
          <w:szCs w:val="22"/>
          <w:lang w:val="sk-SK"/>
        </w:rPr>
        <w:t>CVA, TIA</w:t>
      </w:r>
      <w:r w:rsidRPr="00E91B9B">
        <w:rPr>
          <w:rFonts w:ascii="Times New Roman" w:hAnsi="Times New Roman"/>
          <w:noProof w:val="0"/>
          <w:sz w:val="22"/>
          <w:szCs w:val="22"/>
          <w:lang w:val="sk-SK"/>
        </w:rPr>
        <w:t>).</w:t>
      </w:r>
    </w:p>
    <w:p w14:paraId="0B5D1BA6" w14:textId="77777777" w:rsidR="00E11AFC" w:rsidRPr="00E91B9B" w:rsidRDefault="00E11AFC" w:rsidP="00E11AFC">
      <w:pPr>
        <w:pStyle w:val="OmniPage514"/>
        <w:ind w:left="0" w:right="0"/>
        <w:rPr>
          <w:rFonts w:ascii="Times New Roman" w:hAnsi="Times New Roman"/>
          <w:noProof w:val="0"/>
          <w:sz w:val="22"/>
          <w:szCs w:val="22"/>
          <w:lang w:val="sk-SK"/>
        </w:rPr>
      </w:pPr>
    </w:p>
    <w:p w14:paraId="0DFA657B" w14:textId="77777777" w:rsidR="00E11AFC" w:rsidRPr="00307A77" w:rsidRDefault="00E11AFC" w:rsidP="00E11AFC">
      <w:pPr>
        <w:pStyle w:val="OmniPage514"/>
        <w:ind w:left="0" w:right="0"/>
        <w:rPr>
          <w:rFonts w:ascii="Times New Roman" w:hAnsi="Times New Roman"/>
          <w:noProof w:val="0"/>
          <w:sz w:val="22"/>
          <w:szCs w:val="22"/>
          <w:lang w:val="sk-SK"/>
        </w:rPr>
      </w:pPr>
      <w:r w:rsidRPr="005A6770">
        <w:rPr>
          <w:rFonts w:ascii="Times New Roman" w:hAnsi="Times New Roman"/>
          <w:noProof w:val="0"/>
          <w:sz w:val="22"/>
          <w:szCs w:val="22"/>
          <w:lang w:val="sk-SK"/>
        </w:rPr>
        <w:t xml:space="preserve">Po podaní </w:t>
      </w:r>
      <w:r w:rsidR="00BD1EE4">
        <w:rPr>
          <w:rFonts w:ascii="Times New Roman" w:hAnsi="Times New Roman"/>
          <w:noProof w:val="0"/>
          <w:sz w:val="22"/>
          <w:szCs w:val="22"/>
          <w:lang w:val="sk-SK"/>
        </w:rPr>
        <w:t>sumatript</w:t>
      </w:r>
      <w:r w:rsidR="00A55CDF">
        <w:rPr>
          <w:rFonts w:ascii="Times New Roman" w:hAnsi="Times New Roman"/>
          <w:noProof w:val="0"/>
          <w:sz w:val="22"/>
          <w:szCs w:val="22"/>
          <w:lang w:val="sk-SK"/>
        </w:rPr>
        <w:t>á</w:t>
      </w:r>
      <w:r>
        <w:rPr>
          <w:rFonts w:ascii="Times New Roman" w:hAnsi="Times New Roman"/>
          <w:noProof w:val="0"/>
          <w:sz w:val="22"/>
          <w:szCs w:val="22"/>
          <w:lang w:val="sk-SK"/>
        </w:rPr>
        <w:t>n</w:t>
      </w:r>
      <w:r w:rsidRPr="005A6770">
        <w:rPr>
          <w:rFonts w:ascii="Times New Roman" w:hAnsi="Times New Roman"/>
          <w:noProof w:val="0"/>
          <w:sz w:val="22"/>
          <w:szCs w:val="22"/>
          <w:lang w:val="sk-SK"/>
        </w:rPr>
        <w:t>u sa môžu vyskytnúť prechodné príznaky ako je bolesť na hrudníku a pocity zovretia, ktoré môžu byť intenzívne a môžu byť pociťované aj v oblasti hrdla</w:t>
      </w:r>
      <w:r>
        <w:rPr>
          <w:rFonts w:ascii="Times New Roman" w:hAnsi="Times New Roman"/>
          <w:noProof w:val="0"/>
          <w:sz w:val="22"/>
          <w:szCs w:val="22"/>
          <w:lang w:val="sk-SK"/>
        </w:rPr>
        <w:t xml:space="preserve"> </w:t>
      </w:r>
      <w:r w:rsidRPr="005A6770">
        <w:rPr>
          <w:rFonts w:ascii="Times New Roman" w:hAnsi="Times New Roman"/>
          <w:noProof w:val="0"/>
          <w:sz w:val="22"/>
          <w:szCs w:val="22"/>
          <w:lang w:val="sk-SK"/>
        </w:rPr>
        <w:t>(</w:t>
      </w:r>
      <w:r>
        <w:rPr>
          <w:rFonts w:ascii="Times New Roman" w:hAnsi="Times New Roman"/>
          <w:noProof w:val="0"/>
          <w:sz w:val="22"/>
          <w:szCs w:val="22"/>
          <w:lang w:val="sk-SK"/>
        </w:rPr>
        <w:t>pozri časť</w:t>
      </w:r>
      <w:r w:rsidRPr="005A6770">
        <w:rPr>
          <w:rFonts w:ascii="Times New Roman" w:hAnsi="Times New Roman"/>
          <w:noProof w:val="0"/>
          <w:sz w:val="22"/>
          <w:szCs w:val="22"/>
          <w:lang w:val="sk-SK"/>
        </w:rPr>
        <w:t xml:space="preserve"> 4.8).</w:t>
      </w:r>
      <w:r w:rsidRPr="005127C7">
        <w:rPr>
          <w:rFonts w:ascii="Times New Roman" w:hAnsi="Times New Roman"/>
          <w:noProof w:val="0"/>
          <w:sz w:val="22"/>
          <w:szCs w:val="22"/>
          <w:lang w:val="sk-SK"/>
        </w:rPr>
        <w:t xml:space="preserve"> </w:t>
      </w:r>
      <w:r w:rsidRPr="00307A77">
        <w:rPr>
          <w:rFonts w:ascii="Times New Roman" w:hAnsi="Times New Roman"/>
          <w:noProof w:val="0"/>
          <w:sz w:val="22"/>
          <w:szCs w:val="22"/>
          <w:lang w:val="sk-SK"/>
        </w:rPr>
        <w:t>V</w:t>
      </w:r>
      <w:r>
        <w:rPr>
          <w:rFonts w:ascii="Times New Roman" w:hAnsi="Times New Roman"/>
          <w:noProof w:val="0"/>
          <w:sz w:val="22"/>
          <w:szCs w:val="22"/>
          <w:lang w:val="sk-SK"/>
        </w:rPr>
        <w:t> </w:t>
      </w:r>
      <w:r w:rsidRPr="00307A77">
        <w:rPr>
          <w:rFonts w:ascii="Times New Roman" w:hAnsi="Times New Roman"/>
          <w:noProof w:val="0"/>
          <w:sz w:val="22"/>
          <w:szCs w:val="22"/>
          <w:lang w:val="sk-SK"/>
        </w:rPr>
        <w:t xml:space="preserve">prípadoch, v ktorých sa takéto príznaky považujú za prejavy ischemickej choroby srdca, sa nesmú podať žiadne ďalšie dávky </w:t>
      </w:r>
      <w:r w:rsidR="00BD1EE4">
        <w:rPr>
          <w:rFonts w:ascii="Times New Roman" w:hAnsi="Times New Roman"/>
          <w:noProof w:val="0"/>
          <w:sz w:val="22"/>
          <w:szCs w:val="22"/>
          <w:lang w:val="sk-SK"/>
        </w:rPr>
        <w:t>sumatript</w:t>
      </w:r>
      <w:r w:rsidR="00A55CDF">
        <w:rPr>
          <w:rFonts w:ascii="Times New Roman" w:hAnsi="Times New Roman"/>
          <w:noProof w:val="0"/>
          <w:sz w:val="22"/>
          <w:szCs w:val="22"/>
          <w:lang w:val="sk-SK"/>
        </w:rPr>
        <w:t>á</w:t>
      </w:r>
      <w:r>
        <w:rPr>
          <w:rFonts w:ascii="Times New Roman" w:hAnsi="Times New Roman"/>
          <w:noProof w:val="0"/>
          <w:sz w:val="22"/>
          <w:szCs w:val="22"/>
          <w:lang w:val="sk-SK"/>
        </w:rPr>
        <w:t>n</w:t>
      </w:r>
      <w:r w:rsidRPr="00307A77">
        <w:rPr>
          <w:rFonts w:ascii="Times New Roman" w:hAnsi="Times New Roman"/>
          <w:noProof w:val="0"/>
          <w:sz w:val="22"/>
          <w:szCs w:val="22"/>
          <w:lang w:val="sk-SK"/>
        </w:rPr>
        <w:t>u a mus</w:t>
      </w:r>
      <w:r>
        <w:rPr>
          <w:rFonts w:ascii="Times New Roman" w:hAnsi="Times New Roman"/>
          <w:noProof w:val="0"/>
          <w:sz w:val="22"/>
          <w:szCs w:val="22"/>
          <w:lang w:val="sk-SK"/>
        </w:rPr>
        <w:t>í</w:t>
      </w:r>
      <w:r w:rsidRPr="00307A77">
        <w:rPr>
          <w:rFonts w:ascii="Times New Roman" w:hAnsi="Times New Roman"/>
          <w:noProof w:val="0"/>
          <w:sz w:val="22"/>
          <w:szCs w:val="22"/>
          <w:lang w:val="sk-SK"/>
        </w:rPr>
        <w:t xml:space="preserve"> sa </w:t>
      </w:r>
      <w:r>
        <w:rPr>
          <w:rFonts w:ascii="Times New Roman" w:hAnsi="Times New Roman"/>
          <w:noProof w:val="0"/>
          <w:sz w:val="22"/>
          <w:szCs w:val="22"/>
          <w:lang w:val="sk-SK"/>
        </w:rPr>
        <w:t>vykonať</w:t>
      </w:r>
      <w:r w:rsidRPr="00307A77">
        <w:rPr>
          <w:rFonts w:ascii="Times New Roman" w:hAnsi="Times New Roman"/>
          <w:noProof w:val="0"/>
          <w:sz w:val="22"/>
          <w:szCs w:val="22"/>
          <w:lang w:val="sk-SK"/>
        </w:rPr>
        <w:t xml:space="preserve"> náležité vyšetreni</w:t>
      </w:r>
      <w:r>
        <w:rPr>
          <w:rFonts w:ascii="Times New Roman" w:hAnsi="Times New Roman"/>
          <w:noProof w:val="0"/>
          <w:sz w:val="22"/>
          <w:szCs w:val="22"/>
          <w:lang w:val="sk-SK"/>
        </w:rPr>
        <w:t>e</w:t>
      </w:r>
      <w:r w:rsidRPr="00307A77">
        <w:rPr>
          <w:rFonts w:ascii="Times New Roman" w:hAnsi="Times New Roman"/>
          <w:noProof w:val="0"/>
          <w:sz w:val="22"/>
          <w:szCs w:val="22"/>
          <w:lang w:val="sk-SK"/>
        </w:rPr>
        <w:t>.</w:t>
      </w:r>
    </w:p>
    <w:p w14:paraId="5A13DFAC" w14:textId="77777777" w:rsidR="00E11AFC" w:rsidRDefault="00E11AFC" w:rsidP="00E11AFC">
      <w:pPr>
        <w:pStyle w:val="OmniPage514"/>
        <w:ind w:left="0" w:right="0"/>
        <w:rPr>
          <w:rFonts w:ascii="Times New Roman" w:hAnsi="Times New Roman"/>
          <w:noProof w:val="0"/>
          <w:sz w:val="22"/>
          <w:szCs w:val="22"/>
          <w:lang w:val="sk-SK"/>
        </w:rPr>
      </w:pPr>
    </w:p>
    <w:p w14:paraId="4778A7F8" w14:textId="77777777" w:rsidR="00CA0D8E" w:rsidRDefault="00CA0D8E" w:rsidP="00E11AFC">
      <w:pPr>
        <w:pStyle w:val="OmniPage514"/>
        <w:ind w:left="0" w:right="0"/>
        <w:rPr>
          <w:rFonts w:ascii="Times New Roman" w:hAnsi="Times New Roman"/>
          <w:noProof w:val="0"/>
          <w:sz w:val="22"/>
          <w:szCs w:val="22"/>
          <w:lang w:val="sk-SK"/>
        </w:rPr>
      </w:pPr>
      <w:r>
        <w:rPr>
          <w:rFonts w:ascii="Times New Roman" w:hAnsi="Times New Roman"/>
          <w:noProof w:val="0"/>
          <w:sz w:val="22"/>
          <w:szCs w:val="22"/>
          <w:lang w:val="sk-SK"/>
        </w:rPr>
        <w:t>Sumatriptán sa musí podávať s opatrnosťou u pacientov s miernou kontrolovanou hypertenziou, keďže prechodné zvýšenie krvného tlaku a periférna vaskulárna rezistencia sa pozorovali u malého počtu pacientov (pozri časť 4.3).</w:t>
      </w:r>
    </w:p>
    <w:p w14:paraId="7AD0B0CD" w14:textId="77777777" w:rsidR="00CA0D8E" w:rsidRPr="00307A77" w:rsidRDefault="00CA0D8E" w:rsidP="00E11AFC">
      <w:pPr>
        <w:pStyle w:val="OmniPage514"/>
        <w:ind w:left="0" w:right="0"/>
        <w:rPr>
          <w:rFonts w:ascii="Times New Roman" w:hAnsi="Times New Roman"/>
          <w:noProof w:val="0"/>
          <w:sz w:val="22"/>
          <w:szCs w:val="22"/>
          <w:lang w:val="sk-SK"/>
        </w:rPr>
      </w:pPr>
    </w:p>
    <w:p w14:paraId="331BB544" w14:textId="0DD5ECB0" w:rsidR="00EF4651" w:rsidRDefault="00EF4651" w:rsidP="00E11AFC">
      <w:pPr>
        <w:pStyle w:val="OmniPage770"/>
        <w:ind w:left="0" w:right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Zaznamenali sa postmarketingové hlásenia popisujúce pacientov so s</w:t>
      </w:r>
      <w:r w:rsidR="00871AF3">
        <w:rPr>
          <w:rFonts w:ascii="Times New Roman" w:hAnsi="Times New Roman"/>
          <w:sz w:val="22"/>
          <w:szCs w:val="22"/>
          <w:lang w:val="sk-SK"/>
        </w:rPr>
        <w:t>é</w:t>
      </w:r>
      <w:r>
        <w:rPr>
          <w:rFonts w:ascii="Times New Roman" w:hAnsi="Times New Roman"/>
          <w:sz w:val="22"/>
          <w:szCs w:val="22"/>
          <w:lang w:val="sk-SK"/>
        </w:rPr>
        <w:t>rotonínovým syndr</w:t>
      </w:r>
      <w:r w:rsidR="003B303F">
        <w:rPr>
          <w:rFonts w:ascii="Times New Roman" w:hAnsi="Times New Roman"/>
          <w:sz w:val="22"/>
          <w:szCs w:val="22"/>
          <w:lang w:val="sk-SK"/>
        </w:rPr>
        <w:t>ómom (vrátane zmeneného</w:t>
      </w:r>
      <w:r w:rsidR="006B1292">
        <w:rPr>
          <w:rFonts w:ascii="Times New Roman" w:hAnsi="Times New Roman"/>
          <w:sz w:val="22"/>
          <w:szCs w:val="22"/>
          <w:lang w:val="sk-SK"/>
        </w:rPr>
        <w:t xml:space="preserve"> mentálneho stavu, auto</w:t>
      </w:r>
      <w:r>
        <w:rPr>
          <w:rFonts w:ascii="Times New Roman" w:hAnsi="Times New Roman"/>
          <w:sz w:val="22"/>
          <w:szCs w:val="22"/>
          <w:lang w:val="sk-SK"/>
        </w:rPr>
        <w:t xml:space="preserve">nómnej nestability a neuromentálnych abnormalít) </w:t>
      </w:r>
      <w:r w:rsidR="00E11AFC" w:rsidRPr="00C10445">
        <w:rPr>
          <w:rFonts w:ascii="Times New Roman" w:hAnsi="Times New Roman"/>
          <w:sz w:val="22"/>
          <w:szCs w:val="22"/>
          <w:lang w:val="sk-SK"/>
        </w:rPr>
        <w:t>po použití selektívneho inhibítora spätného vychytávania s</w:t>
      </w:r>
      <w:r w:rsidR="00E11AFC">
        <w:rPr>
          <w:rFonts w:ascii="Times New Roman" w:hAnsi="Times New Roman"/>
          <w:sz w:val="22"/>
          <w:szCs w:val="22"/>
          <w:lang w:val="sk-SK"/>
        </w:rPr>
        <w:t>e</w:t>
      </w:r>
      <w:r w:rsidR="00E11AFC" w:rsidRPr="00C10445">
        <w:rPr>
          <w:rFonts w:ascii="Times New Roman" w:hAnsi="Times New Roman"/>
          <w:sz w:val="22"/>
          <w:szCs w:val="22"/>
          <w:lang w:val="sk-SK"/>
        </w:rPr>
        <w:t>rotonínu (</w:t>
      </w:r>
      <w:r w:rsidR="003F7630" w:rsidRPr="005127C7">
        <w:rPr>
          <w:rFonts w:ascii="Times New Roman" w:hAnsi="Times New Roman"/>
          <w:sz w:val="22"/>
          <w:szCs w:val="22"/>
          <w:lang w:val="sk-SK"/>
        </w:rPr>
        <w:t xml:space="preserve">selective serotonin reuptake inhibitor, </w:t>
      </w:r>
      <w:r w:rsidR="00E11AFC" w:rsidRPr="00C10445">
        <w:rPr>
          <w:rFonts w:ascii="Times New Roman" w:hAnsi="Times New Roman"/>
          <w:sz w:val="22"/>
          <w:szCs w:val="22"/>
          <w:lang w:val="sk-SK"/>
        </w:rPr>
        <w:t>SSRI) 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="00E11AFC">
        <w:rPr>
          <w:rFonts w:ascii="Times New Roman" w:hAnsi="Times New Roman"/>
          <w:sz w:val="22"/>
          <w:szCs w:val="22"/>
          <w:lang w:val="sk-SK"/>
        </w:rPr>
        <w:t>sumatrip</w:t>
      </w:r>
      <w:r w:rsidR="00C9631E">
        <w:rPr>
          <w:rFonts w:ascii="Times New Roman" w:hAnsi="Times New Roman"/>
          <w:sz w:val="22"/>
          <w:szCs w:val="22"/>
          <w:lang w:val="sk-SK"/>
        </w:rPr>
        <w:t>t</w:t>
      </w:r>
      <w:r w:rsidR="00871AF3">
        <w:rPr>
          <w:rFonts w:ascii="Times New Roman" w:hAnsi="Times New Roman"/>
          <w:sz w:val="22"/>
          <w:szCs w:val="22"/>
          <w:lang w:val="sk-SK"/>
        </w:rPr>
        <w:t>á</w:t>
      </w:r>
      <w:r w:rsidR="00E11AFC">
        <w:rPr>
          <w:rFonts w:ascii="Times New Roman" w:hAnsi="Times New Roman"/>
          <w:sz w:val="22"/>
          <w:szCs w:val="22"/>
          <w:lang w:val="sk-SK"/>
        </w:rPr>
        <w:t>n</w:t>
      </w:r>
      <w:r w:rsidR="00E11AFC" w:rsidRPr="00C10445">
        <w:rPr>
          <w:rFonts w:ascii="Times New Roman" w:hAnsi="Times New Roman"/>
          <w:sz w:val="22"/>
          <w:szCs w:val="22"/>
          <w:lang w:val="sk-SK"/>
        </w:rPr>
        <w:t>u</w:t>
      </w:r>
      <w:r>
        <w:rPr>
          <w:rFonts w:ascii="Times New Roman" w:hAnsi="Times New Roman"/>
          <w:sz w:val="22"/>
          <w:szCs w:val="22"/>
          <w:lang w:val="sk-SK"/>
        </w:rPr>
        <w:t>. S</w:t>
      </w:r>
      <w:r w:rsidR="00871AF3">
        <w:rPr>
          <w:rFonts w:ascii="Times New Roman" w:hAnsi="Times New Roman"/>
          <w:sz w:val="22"/>
          <w:szCs w:val="22"/>
          <w:lang w:val="sk-SK"/>
        </w:rPr>
        <w:t>é</w:t>
      </w:r>
      <w:r>
        <w:rPr>
          <w:rFonts w:ascii="Times New Roman" w:hAnsi="Times New Roman"/>
          <w:sz w:val="22"/>
          <w:szCs w:val="22"/>
          <w:lang w:val="sk-SK"/>
        </w:rPr>
        <w:t>rotonínový syndróm sa zaznamenal po podaní liečby triptánmi a </w:t>
      </w:r>
      <w:r w:rsidR="003B303F">
        <w:rPr>
          <w:rFonts w:ascii="Times New Roman" w:hAnsi="Times New Roman"/>
          <w:sz w:val="22"/>
          <w:szCs w:val="22"/>
          <w:lang w:val="sk-SK"/>
        </w:rPr>
        <w:t>inhibítorov</w:t>
      </w:r>
      <w:r>
        <w:rPr>
          <w:rFonts w:ascii="Times New Roman" w:hAnsi="Times New Roman"/>
          <w:sz w:val="22"/>
          <w:szCs w:val="22"/>
          <w:lang w:val="sk-SK"/>
        </w:rPr>
        <w:t xml:space="preserve"> späteného vychytávania noradrenalínu (</w:t>
      </w:r>
      <w:r w:rsidR="003F7630" w:rsidRPr="005127C7">
        <w:rPr>
          <w:rFonts w:ascii="Times New Roman" w:hAnsi="Times New Roman"/>
          <w:sz w:val="22"/>
          <w:szCs w:val="22"/>
          <w:lang w:val="sk-SK"/>
        </w:rPr>
        <w:t xml:space="preserve">serotonin noradrenaline reuptake inhibitors, </w:t>
      </w:r>
      <w:r>
        <w:rPr>
          <w:rFonts w:ascii="Times New Roman" w:hAnsi="Times New Roman"/>
          <w:sz w:val="22"/>
          <w:szCs w:val="22"/>
          <w:lang w:val="sk-SK"/>
        </w:rPr>
        <w:t>SN</w:t>
      </w:r>
      <w:r w:rsidR="003B303F">
        <w:rPr>
          <w:rFonts w:ascii="Times New Roman" w:hAnsi="Times New Roman"/>
          <w:sz w:val="22"/>
          <w:szCs w:val="22"/>
          <w:lang w:val="sk-SK"/>
        </w:rPr>
        <w:t>RIs).</w:t>
      </w:r>
    </w:p>
    <w:p w14:paraId="4905B0DE" w14:textId="77777777" w:rsidR="00EF4651" w:rsidRDefault="00EF4651" w:rsidP="00E11AFC">
      <w:pPr>
        <w:pStyle w:val="OmniPage770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7A5F1334" w14:textId="77777777" w:rsidR="00E11AFC" w:rsidRPr="00C10445" w:rsidRDefault="00BD1EE4" w:rsidP="00E11AFC">
      <w:pPr>
        <w:pStyle w:val="OmniPage770"/>
        <w:ind w:left="0" w:right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Ak je súbežná liečba</w:t>
      </w:r>
      <w:r w:rsidR="00E11AFC" w:rsidRPr="00C10445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sumatript</w:t>
      </w:r>
      <w:r w:rsidR="00871AF3">
        <w:rPr>
          <w:rFonts w:ascii="Times New Roman" w:hAnsi="Times New Roman"/>
          <w:sz w:val="22"/>
          <w:szCs w:val="22"/>
          <w:lang w:val="sk-SK"/>
        </w:rPr>
        <w:t>á</w:t>
      </w:r>
      <w:r w:rsidR="00E11AFC">
        <w:rPr>
          <w:rFonts w:ascii="Times New Roman" w:hAnsi="Times New Roman"/>
          <w:sz w:val="22"/>
          <w:szCs w:val="22"/>
          <w:lang w:val="sk-SK"/>
        </w:rPr>
        <w:t>n</w:t>
      </w:r>
      <w:r>
        <w:rPr>
          <w:rFonts w:ascii="Times New Roman" w:hAnsi="Times New Roman"/>
          <w:sz w:val="22"/>
          <w:szCs w:val="22"/>
          <w:lang w:val="sk-SK"/>
        </w:rPr>
        <w:t>om a</w:t>
      </w:r>
      <w:r w:rsidR="003B303F"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t>SSRI</w:t>
      </w:r>
      <w:r w:rsidR="003B303F">
        <w:rPr>
          <w:rFonts w:ascii="Times New Roman" w:hAnsi="Times New Roman"/>
          <w:sz w:val="22"/>
          <w:szCs w:val="22"/>
          <w:lang w:val="sk-SK"/>
        </w:rPr>
        <w:t>/SNRI</w:t>
      </w:r>
      <w:r>
        <w:rPr>
          <w:rFonts w:ascii="Times New Roman" w:hAnsi="Times New Roman"/>
          <w:sz w:val="22"/>
          <w:szCs w:val="22"/>
          <w:lang w:val="sk-SK"/>
        </w:rPr>
        <w:t xml:space="preserve"> klinicky opodstatnená</w:t>
      </w:r>
      <w:r w:rsidR="00E11AFC" w:rsidRPr="00C10445">
        <w:rPr>
          <w:rFonts w:ascii="Times New Roman" w:hAnsi="Times New Roman"/>
          <w:sz w:val="22"/>
          <w:szCs w:val="22"/>
          <w:lang w:val="sk-SK"/>
        </w:rPr>
        <w:t>, odporúča sa náležité sled</w:t>
      </w:r>
      <w:r>
        <w:rPr>
          <w:rFonts w:ascii="Times New Roman" w:hAnsi="Times New Roman"/>
          <w:sz w:val="22"/>
          <w:szCs w:val="22"/>
          <w:lang w:val="sk-SK"/>
        </w:rPr>
        <w:t>ovanie pacienta</w:t>
      </w:r>
      <w:r w:rsidR="003B303F">
        <w:rPr>
          <w:rFonts w:ascii="Times New Roman" w:hAnsi="Times New Roman"/>
          <w:sz w:val="22"/>
          <w:szCs w:val="22"/>
          <w:lang w:val="sk-SK"/>
        </w:rPr>
        <w:t xml:space="preserve"> (pozri časť 4.5</w:t>
      </w:r>
      <w:r w:rsidR="006B1292">
        <w:rPr>
          <w:rFonts w:ascii="Times New Roman" w:hAnsi="Times New Roman"/>
          <w:sz w:val="22"/>
          <w:szCs w:val="22"/>
          <w:lang w:val="sk-SK"/>
        </w:rPr>
        <w:t>)</w:t>
      </w:r>
      <w:r w:rsidR="00E11AFC" w:rsidRPr="00C10445">
        <w:rPr>
          <w:rFonts w:ascii="Times New Roman" w:hAnsi="Times New Roman"/>
          <w:sz w:val="22"/>
          <w:szCs w:val="22"/>
          <w:lang w:val="sk-SK"/>
        </w:rPr>
        <w:t>.</w:t>
      </w:r>
    </w:p>
    <w:p w14:paraId="2C70BAF0" w14:textId="77777777" w:rsidR="00E11AFC" w:rsidRDefault="00E11AFC" w:rsidP="003B303F">
      <w:pPr>
        <w:ind w:left="0" w:firstLine="0"/>
        <w:rPr>
          <w:szCs w:val="22"/>
        </w:rPr>
      </w:pPr>
    </w:p>
    <w:p w14:paraId="7BC04534" w14:textId="77777777" w:rsidR="00153C09" w:rsidRDefault="00153C09" w:rsidP="00153C09">
      <w:pPr>
        <w:ind w:left="0" w:firstLine="0"/>
        <w:rPr>
          <w:szCs w:val="22"/>
        </w:rPr>
      </w:pPr>
      <w:r>
        <w:rPr>
          <w:szCs w:val="22"/>
        </w:rPr>
        <w:t>Sumatript</w:t>
      </w:r>
      <w:r w:rsidR="00791E22">
        <w:rPr>
          <w:szCs w:val="22"/>
        </w:rPr>
        <w:t>á</w:t>
      </w:r>
      <w:r>
        <w:rPr>
          <w:szCs w:val="22"/>
        </w:rPr>
        <w:t>n sa m</w:t>
      </w:r>
      <w:r w:rsidR="00791E22">
        <w:rPr>
          <w:szCs w:val="22"/>
        </w:rPr>
        <w:t>usí</w:t>
      </w:r>
      <w:r>
        <w:rPr>
          <w:szCs w:val="22"/>
        </w:rPr>
        <w:t xml:space="preserve"> podávať s opatrnosťou u pacientov s ochoreniami, ktoré môžu signifikantne ovplyvňovať absorpciu, metabolizmus alebo vylučovanie liekov, napr. porucha funkcie pečene a obličiek.</w:t>
      </w:r>
    </w:p>
    <w:p w14:paraId="1A2BC8B0" w14:textId="77777777" w:rsidR="00153C09" w:rsidRDefault="00153C09" w:rsidP="00153C09">
      <w:pPr>
        <w:ind w:left="0" w:firstLine="0"/>
        <w:rPr>
          <w:szCs w:val="22"/>
        </w:rPr>
      </w:pPr>
    </w:p>
    <w:p w14:paraId="1CBED7E3" w14:textId="77777777" w:rsidR="00153C09" w:rsidRDefault="003D1AA3" w:rsidP="00153C09">
      <w:pPr>
        <w:ind w:left="0" w:firstLine="0"/>
        <w:rPr>
          <w:szCs w:val="22"/>
        </w:rPr>
      </w:pPr>
      <w:r>
        <w:rPr>
          <w:szCs w:val="22"/>
        </w:rPr>
        <w:t>Sumatript</w:t>
      </w:r>
      <w:r w:rsidR="00791E22">
        <w:rPr>
          <w:szCs w:val="22"/>
        </w:rPr>
        <w:t>á</w:t>
      </w:r>
      <w:r>
        <w:rPr>
          <w:szCs w:val="22"/>
        </w:rPr>
        <w:t>n</w:t>
      </w:r>
      <w:r w:rsidR="00153C09">
        <w:rPr>
          <w:szCs w:val="22"/>
        </w:rPr>
        <w:t xml:space="preserve"> sa m</w:t>
      </w:r>
      <w:r w:rsidR="00791E22">
        <w:rPr>
          <w:szCs w:val="22"/>
        </w:rPr>
        <w:t>usí</w:t>
      </w:r>
      <w:r w:rsidR="00153C09">
        <w:rPr>
          <w:szCs w:val="22"/>
        </w:rPr>
        <w:t xml:space="preserve"> </w:t>
      </w:r>
      <w:r w:rsidR="00791E22">
        <w:rPr>
          <w:szCs w:val="22"/>
        </w:rPr>
        <w:t xml:space="preserve">užívať </w:t>
      </w:r>
      <w:r w:rsidR="00153C09">
        <w:rPr>
          <w:szCs w:val="22"/>
        </w:rPr>
        <w:t xml:space="preserve">s opatrnosťou </w:t>
      </w:r>
      <w:r>
        <w:rPr>
          <w:szCs w:val="22"/>
        </w:rPr>
        <w:t>u</w:t>
      </w:r>
      <w:r w:rsidR="00153C09">
        <w:rPr>
          <w:szCs w:val="22"/>
        </w:rPr>
        <w:t xml:space="preserve"> paciento</w:t>
      </w:r>
      <w:r>
        <w:rPr>
          <w:szCs w:val="22"/>
        </w:rPr>
        <w:t>v</w:t>
      </w:r>
      <w:r w:rsidR="00153C09">
        <w:rPr>
          <w:szCs w:val="22"/>
        </w:rPr>
        <w:t>, ktorý majú v anamnéze záchvaty</w:t>
      </w:r>
      <w:r>
        <w:rPr>
          <w:szCs w:val="22"/>
        </w:rPr>
        <w:t xml:space="preserve"> </w:t>
      </w:r>
      <w:r w:rsidR="00153C09">
        <w:rPr>
          <w:szCs w:val="22"/>
        </w:rPr>
        <w:t>alebo iné rizikové faktory, ktoré znižujú prah epileptických záchvatov, nakoľko v súvislosti so sumatript</w:t>
      </w:r>
      <w:r w:rsidR="00791E22">
        <w:rPr>
          <w:szCs w:val="22"/>
        </w:rPr>
        <w:t>á</w:t>
      </w:r>
      <w:r w:rsidR="00153C09">
        <w:rPr>
          <w:szCs w:val="22"/>
        </w:rPr>
        <w:t>nom sa zaznamenali záchvaty (pozri časť 4.8).</w:t>
      </w:r>
    </w:p>
    <w:p w14:paraId="606CF209" w14:textId="77777777" w:rsidR="00153C09" w:rsidRDefault="00153C09" w:rsidP="00507AB0">
      <w:pPr>
        <w:pStyle w:val="OmniPage773"/>
        <w:ind w:left="0" w:right="0"/>
        <w:rPr>
          <w:rFonts w:ascii="Times New Roman" w:hAnsi="Times New Roman"/>
          <w:noProof w:val="0"/>
          <w:sz w:val="22"/>
          <w:szCs w:val="22"/>
          <w:lang w:val="sk-SK"/>
        </w:rPr>
      </w:pPr>
    </w:p>
    <w:p w14:paraId="4E8E238D" w14:textId="77777777" w:rsidR="00507AB0" w:rsidRPr="00E11AFC" w:rsidRDefault="00507AB0" w:rsidP="00507AB0">
      <w:pPr>
        <w:pStyle w:val="OmniPage773"/>
        <w:ind w:left="0" w:right="0"/>
        <w:rPr>
          <w:rFonts w:ascii="Times New Roman" w:hAnsi="Times New Roman"/>
          <w:noProof w:val="0"/>
          <w:sz w:val="22"/>
          <w:szCs w:val="22"/>
          <w:lang w:val="sk-SK"/>
        </w:rPr>
      </w:pPr>
      <w:r w:rsidRPr="00C10445">
        <w:rPr>
          <w:rFonts w:ascii="Times New Roman" w:hAnsi="Times New Roman"/>
          <w:noProof w:val="0"/>
          <w:sz w:val="22"/>
          <w:szCs w:val="22"/>
          <w:lang w:val="sk-SK"/>
        </w:rPr>
        <w:t xml:space="preserve">U pacientov so známou precitlivenosťou na sulfónamidy môže po podaní </w:t>
      </w:r>
      <w:r>
        <w:rPr>
          <w:rFonts w:ascii="Times New Roman" w:hAnsi="Times New Roman"/>
          <w:noProof w:val="0"/>
          <w:sz w:val="22"/>
          <w:szCs w:val="22"/>
          <w:lang w:val="sk-SK"/>
        </w:rPr>
        <w:t>sumatript</w:t>
      </w:r>
      <w:r w:rsidR="00791E22">
        <w:rPr>
          <w:rFonts w:ascii="Times New Roman" w:hAnsi="Times New Roman"/>
          <w:noProof w:val="0"/>
          <w:sz w:val="22"/>
          <w:szCs w:val="22"/>
          <w:lang w:val="sk-SK"/>
        </w:rPr>
        <w:t>á</w:t>
      </w:r>
      <w:r>
        <w:rPr>
          <w:rFonts w:ascii="Times New Roman" w:hAnsi="Times New Roman"/>
          <w:noProof w:val="0"/>
          <w:sz w:val="22"/>
          <w:szCs w:val="22"/>
          <w:lang w:val="sk-SK"/>
        </w:rPr>
        <w:t>n</w:t>
      </w:r>
      <w:r w:rsidRPr="00C10445">
        <w:rPr>
          <w:rFonts w:ascii="Times New Roman" w:hAnsi="Times New Roman"/>
          <w:noProof w:val="0"/>
          <w:sz w:val="22"/>
          <w:szCs w:val="22"/>
          <w:lang w:val="sk-SK"/>
        </w:rPr>
        <w:t>u dôjsť k</w:t>
      </w:r>
      <w:r>
        <w:rPr>
          <w:rFonts w:ascii="Times New Roman" w:hAnsi="Times New Roman"/>
          <w:noProof w:val="0"/>
          <w:sz w:val="22"/>
          <w:szCs w:val="22"/>
          <w:lang w:val="sk-SK"/>
        </w:rPr>
        <w:t> </w:t>
      </w:r>
      <w:r w:rsidRPr="00C10445">
        <w:rPr>
          <w:rFonts w:ascii="Times New Roman" w:hAnsi="Times New Roman"/>
          <w:noProof w:val="0"/>
          <w:sz w:val="22"/>
          <w:szCs w:val="22"/>
          <w:lang w:val="sk-SK"/>
        </w:rPr>
        <w:t xml:space="preserve">alergickej reakcii. </w:t>
      </w:r>
      <w:r>
        <w:rPr>
          <w:rFonts w:ascii="Times New Roman" w:hAnsi="Times New Roman"/>
          <w:noProof w:val="0"/>
          <w:sz w:val="22"/>
          <w:szCs w:val="22"/>
          <w:lang w:val="sk-SK"/>
        </w:rPr>
        <w:t>Intenzita reakcie sa pohybuje od kožnej precitlivenosti po anafylaxiu</w:t>
      </w:r>
      <w:r w:rsidRPr="00E11AFC">
        <w:rPr>
          <w:rFonts w:ascii="Times New Roman" w:hAnsi="Times New Roman"/>
          <w:noProof w:val="0"/>
          <w:sz w:val="22"/>
          <w:szCs w:val="22"/>
          <w:lang w:val="sk-SK"/>
        </w:rPr>
        <w:t xml:space="preserve">. </w:t>
      </w:r>
    </w:p>
    <w:p w14:paraId="3DF6C1B9" w14:textId="77777777" w:rsidR="00507AB0" w:rsidRPr="005127C7" w:rsidRDefault="00507AB0" w:rsidP="00507AB0">
      <w:pPr>
        <w:pStyle w:val="OmniPage773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5127C7">
        <w:rPr>
          <w:rFonts w:ascii="Times New Roman" w:hAnsi="Times New Roman"/>
          <w:sz w:val="22"/>
          <w:szCs w:val="22"/>
          <w:lang w:val="sk-SK"/>
        </w:rPr>
        <w:t>Dôkazy o</w:t>
      </w:r>
      <w:r w:rsidR="003B303F" w:rsidRPr="005127C7">
        <w:rPr>
          <w:rFonts w:ascii="Times New Roman" w:hAnsi="Times New Roman"/>
          <w:sz w:val="22"/>
          <w:szCs w:val="22"/>
          <w:lang w:val="sk-SK"/>
        </w:rPr>
        <w:t xml:space="preserve"> skríženej alergii sú obmedzené</w:t>
      </w:r>
      <w:r w:rsidR="003D1AA3" w:rsidRPr="005127C7">
        <w:rPr>
          <w:rFonts w:ascii="Times New Roman" w:hAnsi="Times New Roman"/>
          <w:sz w:val="22"/>
          <w:szCs w:val="22"/>
          <w:lang w:val="sk-SK"/>
        </w:rPr>
        <w:t>,</w:t>
      </w:r>
      <w:r w:rsidR="003B303F" w:rsidRPr="005127C7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3D1AA3" w:rsidRPr="005127C7">
        <w:rPr>
          <w:rFonts w:ascii="Times New Roman" w:hAnsi="Times New Roman"/>
          <w:sz w:val="22"/>
          <w:szCs w:val="22"/>
          <w:lang w:val="sk-SK"/>
        </w:rPr>
        <w:t>n</w:t>
      </w:r>
      <w:r w:rsidRPr="005127C7">
        <w:rPr>
          <w:rFonts w:ascii="Times New Roman" w:hAnsi="Times New Roman"/>
          <w:sz w:val="22"/>
          <w:szCs w:val="22"/>
          <w:lang w:val="sk-SK"/>
        </w:rPr>
        <w:t xml:space="preserve">apriek tomu sa takýmto pacientom </w:t>
      </w:r>
      <w:r w:rsidR="00791E22" w:rsidRPr="005127C7">
        <w:rPr>
          <w:rFonts w:ascii="Times New Roman" w:hAnsi="Times New Roman"/>
          <w:sz w:val="22"/>
          <w:szCs w:val="22"/>
          <w:lang w:val="sk-SK"/>
        </w:rPr>
        <w:t xml:space="preserve">musí </w:t>
      </w:r>
      <w:r w:rsidRPr="005127C7">
        <w:rPr>
          <w:rFonts w:ascii="Times New Roman" w:hAnsi="Times New Roman"/>
          <w:sz w:val="22"/>
          <w:szCs w:val="22"/>
          <w:lang w:val="sk-SK"/>
        </w:rPr>
        <w:t>sumatript</w:t>
      </w:r>
      <w:r w:rsidR="00791E22" w:rsidRPr="005127C7">
        <w:rPr>
          <w:rFonts w:ascii="Times New Roman" w:hAnsi="Times New Roman"/>
          <w:sz w:val="22"/>
          <w:szCs w:val="22"/>
          <w:lang w:val="sk-SK"/>
        </w:rPr>
        <w:t>á</w:t>
      </w:r>
      <w:r w:rsidRPr="005127C7">
        <w:rPr>
          <w:rFonts w:ascii="Times New Roman" w:hAnsi="Times New Roman"/>
          <w:sz w:val="22"/>
          <w:szCs w:val="22"/>
          <w:lang w:val="sk-SK"/>
        </w:rPr>
        <w:t>n podávať opatrne.</w:t>
      </w:r>
    </w:p>
    <w:p w14:paraId="3E72A675" w14:textId="77777777" w:rsidR="00E11AFC" w:rsidRPr="005770CD" w:rsidRDefault="00E11AFC" w:rsidP="00507AB0">
      <w:pPr>
        <w:ind w:left="0" w:firstLine="0"/>
        <w:rPr>
          <w:szCs w:val="22"/>
        </w:rPr>
      </w:pPr>
    </w:p>
    <w:p w14:paraId="4F689E96" w14:textId="2B1A4C6B" w:rsidR="003D1AA3" w:rsidRDefault="003D1AA3" w:rsidP="003D1AA3">
      <w:pPr>
        <w:ind w:left="0" w:firstLine="0"/>
        <w:rPr>
          <w:szCs w:val="22"/>
        </w:rPr>
      </w:pPr>
      <w:r>
        <w:rPr>
          <w:szCs w:val="22"/>
        </w:rPr>
        <w:t xml:space="preserve">Pri súbežnom užívaní triptánov a rastlinných prípravkov s obsahom </w:t>
      </w:r>
      <w:r w:rsidR="003F7630">
        <w:rPr>
          <w:szCs w:val="22"/>
        </w:rPr>
        <w:t>ľ</w:t>
      </w:r>
      <w:r>
        <w:rPr>
          <w:szCs w:val="22"/>
        </w:rPr>
        <w:t>ubovníka bodkovaného (</w:t>
      </w:r>
      <w:proofErr w:type="spellStart"/>
      <w:r>
        <w:rPr>
          <w:i/>
          <w:szCs w:val="22"/>
        </w:rPr>
        <w:t>Hypericum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perforatum</w:t>
      </w:r>
      <w:proofErr w:type="spellEnd"/>
      <w:r>
        <w:rPr>
          <w:szCs w:val="22"/>
        </w:rPr>
        <w:t>) môžu byť nežiaduce účinky častejšie.</w:t>
      </w:r>
    </w:p>
    <w:p w14:paraId="7B98B04A" w14:textId="77777777" w:rsidR="003D1AA3" w:rsidRDefault="003D1AA3" w:rsidP="003D1AA3">
      <w:pPr>
        <w:ind w:left="0" w:firstLine="0"/>
        <w:rPr>
          <w:szCs w:val="22"/>
        </w:rPr>
      </w:pPr>
    </w:p>
    <w:p w14:paraId="2BAFF1E2" w14:textId="13C73CBB" w:rsidR="003D1AA3" w:rsidRDefault="003D1AA3" w:rsidP="003D1AA3">
      <w:pPr>
        <w:ind w:left="0" w:firstLine="0"/>
        <w:rPr>
          <w:szCs w:val="22"/>
        </w:rPr>
      </w:pPr>
      <w:r>
        <w:rPr>
          <w:szCs w:val="22"/>
        </w:rPr>
        <w:t>Dlhodobé užívanie akýchkoľvek liekov proti bolesti hlavy môže bolesť hlavy zhoršiť. Ak k takejto situácii dôjde alebo je podozrenie pre jej výskyt, je potrebné vyhľadať lekársku pomoc a liečbu ukončiť. Na diagnózu nadmerného užívania liekov proti bolesti hlavy (</w:t>
      </w:r>
      <w:r w:rsidR="003F7630" w:rsidRPr="00EA1126">
        <w:rPr>
          <w:szCs w:val="22"/>
        </w:rPr>
        <w:t>medication overuse headache</w:t>
      </w:r>
      <w:r w:rsidR="003F7630">
        <w:rPr>
          <w:szCs w:val="22"/>
        </w:rPr>
        <w:t>,</w:t>
      </w:r>
      <w:r w:rsidR="003F7630" w:rsidRPr="00EA1126">
        <w:rPr>
          <w:szCs w:val="22"/>
        </w:rPr>
        <w:t xml:space="preserve"> </w:t>
      </w:r>
      <w:r>
        <w:rPr>
          <w:szCs w:val="22"/>
        </w:rPr>
        <w:t>MOH) je potrebné myslieť u pacientov, ktorí majú časté alebo každodenné bolesti hlavy napriek (alebo kvôli) pravidelnému užívaniu liekov proti bolesti.</w:t>
      </w:r>
    </w:p>
    <w:p w14:paraId="17DF2D44" w14:textId="77777777" w:rsidR="003D1AA3" w:rsidRDefault="003D1AA3" w:rsidP="003D1AA3">
      <w:pPr>
        <w:ind w:left="0" w:firstLine="0"/>
        <w:rPr>
          <w:szCs w:val="22"/>
        </w:rPr>
      </w:pPr>
    </w:p>
    <w:p w14:paraId="67D84C16" w14:textId="77777777" w:rsidR="003D1AA3" w:rsidRDefault="003D1AA3" w:rsidP="003D1AA3">
      <w:pPr>
        <w:ind w:left="0" w:firstLine="0"/>
        <w:rPr>
          <w:szCs w:val="22"/>
        </w:rPr>
      </w:pPr>
      <w:r>
        <w:rPr>
          <w:szCs w:val="22"/>
        </w:rPr>
        <w:lastRenderedPageBreak/>
        <w:t>Odporúčané dávkovanie sa ne</w:t>
      </w:r>
      <w:r w:rsidR="00DC5124">
        <w:rPr>
          <w:szCs w:val="22"/>
        </w:rPr>
        <w:t>s</w:t>
      </w:r>
      <w:r>
        <w:rPr>
          <w:szCs w:val="22"/>
        </w:rPr>
        <w:t>m</w:t>
      </w:r>
      <w:r w:rsidR="00DC5124">
        <w:rPr>
          <w:szCs w:val="22"/>
        </w:rPr>
        <w:t>ie</w:t>
      </w:r>
      <w:r>
        <w:rPr>
          <w:szCs w:val="22"/>
        </w:rPr>
        <w:t xml:space="preserve"> prekročiť.</w:t>
      </w:r>
    </w:p>
    <w:p w14:paraId="6FEBE5A5" w14:textId="77777777" w:rsidR="003D1AA3" w:rsidRDefault="003D1AA3" w:rsidP="00E11AFC">
      <w:pPr>
        <w:rPr>
          <w:szCs w:val="22"/>
        </w:rPr>
      </w:pPr>
    </w:p>
    <w:p w14:paraId="47D5DC3C" w14:textId="77777777" w:rsidR="005A4D8B" w:rsidRDefault="005A4D8B" w:rsidP="005A4D8B">
      <w:pPr>
        <w:pStyle w:val="OmniPage514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307A77">
        <w:rPr>
          <w:rFonts w:ascii="Times New Roman" w:hAnsi="Times New Roman"/>
          <w:sz w:val="22"/>
          <w:szCs w:val="22"/>
          <w:lang w:val="sk-SK"/>
        </w:rPr>
        <w:t xml:space="preserve">Bez predošlého kardiovaskulárneho vyšetrenia sa </w:t>
      </w:r>
      <w:r>
        <w:rPr>
          <w:rFonts w:ascii="Times New Roman" w:hAnsi="Times New Roman"/>
          <w:sz w:val="22"/>
          <w:szCs w:val="22"/>
          <w:lang w:val="sk-SK"/>
        </w:rPr>
        <w:t>sumatriptan</w:t>
      </w:r>
      <w:r w:rsidRPr="00307A77">
        <w:rPr>
          <w:rFonts w:ascii="Times New Roman" w:hAnsi="Times New Roman"/>
          <w:sz w:val="22"/>
          <w:szCs w:val="22"/>
          <w:lang w:val="sk-SK"/>
        </w:rPr>
        <w:t xml:space="preserve"> nemá predpisovať pacientom s rizikovými faktormi pre ischemickú chorobu srdca</w:t>
      </w:r>
      <w:r>
        <w:rPr>
          <w:rFonts w:ascii="Times New Roman" w:hAnsi="Times New Roman"/>
          <w:sz w:val="22"/>
          <w:szCs w:val="22"/>
          <w:lang w:val="sk-SK"/>
        </w:rPr>
        <w:t>, vrátane p</w:t>
      </w:r>
      <w:r w:rsidR="007C2602">
        <w:rPr>
          <w:rFonts w:ascii="Times New Roman" w:hAnsi="Times New Roman"/>
          <w:sz w:val="22"/>
          <w:szCs w:val="22"/>
          <w:lang w:val="sk-SK"/>
        </w:rPr>
        <w:t>acientov, ktorí sú silní fajčiari alebo dostávajú nikotín</w:t>
      </w:r>
      <w:r>
        <w:rPr>
          <w:rFonts w:ascii="Times New Roman" w:hAnsi="Times New Roman"/>
          <w:sz w:val="22"/>
          <w:szCs w:val="22"/>
          <w:lang w:val="sk-SK"/>
        </w:rPr>
        <w:t xml:space="preserve">ovú substitučnú liečbu (pozri časť 4.3). </w:t>
      </w:r>
    </w:p>
    <w:p w14:paraId="726EB5D9" w14:textId="77777777" w:rsidR="005A4D8B" w:rsidRPr="002E6D24" w:rsidRDefault="005A4D8B" w:rsidP="005A4D8B">
      <w:pPr>
        <w:pStyle w:val="OmniPage514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307A77">
        <w:rPr>
          <w:rFonts w:ascii="Times New Roman" w:hAnsi="Times New Roman"/>
          <w:sz w:val="22"/>
          <w:szCs w:val="22"/>
          <w:lang w:val="sk-SK"/>
        </w:rPr>
        <w:t>Osobitná pozornosť sa musí venovať ženám po menopauze a mužom starším ako 40 rokov</w:t>
      </w:r>
      <w:r>
        <w:rPr>
          <w:rFonts w:ascii="Times New Roman" w:hAnsi="Times New Roman"/>
          <w:sz w:val="22"/>
          <w:szCs w:val="22"/>
          <w:lang w:val="sk-SK"/>
        </w:rPr>
        <w:t>, u ktorých sa tieto rizikové faktory vyskytujú</w:t>
      </w:r>
      <w:r w:rsidRPr="00307A77">
        <w:rPr>
          <w:rFonts w:ascii="Times New Roman" w:hAnsi="Times New Roman"/>
          <w:sz w:val="22"/>
          <w:szCs w:val="22"/>
          <w:lang w:val="sk-SK"/>
        </w:rPr>
        <w:t>. Je však možné, že t</w:t>
      </w:r>
      <w:r>
        <w:rPr>
          <w:rFonts w:ascii="Times New Roman" w:hAnsi="Times New Roman"/>
          <w:sz w:val="22"/>
          <w:szCs w:val="22"/>
          <w:lang w:val="sk-SK"/>
        </w:rPr>
        <w:t>akéto</w:t>
      </w:r>
      <w:r w:rsidRPr="00307A77">
        <w:rPr>
          <w:rFonts w:ascii="Times New Roman" w:hAnsi="Times New Roman"/>
          <w:sz w:val="22"/>
          <w:szCs w:val="22"/>
          <w:lang w:val="sk-SK"/>
        </w:rPr>
        <w:t xml:space="preserve"> vyšetreni</w:t>
      </w:r>
      <w:r>
        <w:rPr>
          <w:rFonts w:ascii="Times New Roman" w:hAnsi="Times New Roman"/>
          <w:sz w:val="22"/>
          <w:szCs w:val="22"/>
          <w:lang w:val="sk-SK"/>
        </w:rPr>
        <w:t>e</w:t>
      </w:r>
      <w:r w:rsidRPr="00307A77">
        <w:rPr>
          <w:rFonts w:ascii="Times New Roman" w:hAnsi="Times New Roman"/>
          <w:sz w:val="22"/>
          <w:szCs w:val="22"/>
          <w:lang w:val="sk-SK"/>
        </w:rPr>
        <w:t xml:space="preserve"> neidentifikuj</w:t>
      </w:r>
      <w:r>
        <w:rPr>
          <w:rFonts w:ascii="Times New Roman" w:hAnsi="Times New Roman"/>
          <w:sz w:val="22"/>
          <w:szCs w:val="22"/>
          <w:lang w:val="sk-SK"/>
        </w:rPr>
        <w:t>e</w:t>
      </w:r>
      <w:r w:rsidRPr="00307A77">
        <w:rPr>
          <w:rFonts w:ascii="Times New Roman" w:hAnsi="Times New Roman"/>
          <w:sz w:val="22"/>
          <w:szCs w:val="22"/>
          <w:lang w:val="sk-SK"/>
        </w:rPr>
        <w:t xml:space="preserve"> každého pacienta, ktorý má ochorenie srdca a vo veľmi zriedkavých </w:t>
      </w:r>
      <w:r w:rsidRPr="002E6D24">
        <w:rPr>
          <w:rFonts w:ascii="Times New Roman" w:hAnsi="Times New Roman"/>
          <w:sz w:val="22"/>
          <w:szCs w:val="22"/>
          <w:lang w:val="sk-SK"/>
        </w:rPr>
        <w:t>prípadoch sa vyskytli závažné srdcové príhody aj u pacientov bez základného kardiovaskulárneho ochorenia.</w:t>
      </w:r>
    </w:p>
    <w:p w14:paraId="1C432DAF" w14:textId="77777777" w:rsidR="003D1AA3" w:rsidRDefault="003D1AA3" w:rsidP="00E11AFC">
      <w:pPr>
        <w:rPr>
          <w:szCs w:val="22"/>
        </w:rPr>
      </w:pPr>
    </w:p>
    <w:p w14:paraId="583C631F" w14:textId="77777777" w:rsidR="000005D4" w:rsidRDefault="000005D4" w:rsidP="009A030C">
      <w:pPr>
        <w:ind w:left="0" w:firstLine="0"/>
        <w:rPr>
          <w:szCs w:val="22"/>
          <w:lang w:eastAsia="en-GB"/>
        </w:rPr>
      </w:pPr>
      <w:r w:rsidRPr="000005D4">
        <w:rPr>
          <w:szCs w:val="22"/>
          <w:lang w:eastAsia="en-GB"/>
        </w:rPr>
        <w:t>Pa</w:t>
      </w:r>
      <w:r>
        <w:rPr>
          <w:szCs w:val="22"/>
          <w:lang w:eastAsia="en-GB"/>
        </w:rPr>
        <w:t xml:space="preserve">cienti so zriedkavými dedičnými </w:t>
      </w:r>
      <w:r w:rsidRPr="000005D4">
        <w:rPr>
          <w:szCs w:val="22"/>
          <w:lang w:eastAsia="en-GB"/>
        </w:rPr>
        <w:t>problémami galaktózovej intolerancie, celkovým</w:t>
      </w:r>
      <w:r>
        <w:rPr>
          <w:szCs w:val="22"/>
          <w:lang w:eastAsia="en-GB"/>
        </w:rPr>
        <w:t xml:space="preserve"> </w:t>
      </w:r>
      <w:r w:rsidRPr="000005D4">
        <w:rPr>
          <w:szCs w:val="22"/>
          <w:lang w:eastAsia="en-GB"/>
        </w:rPr>
        <w:t>deficitom laktázy alebo glukózo-galaktózovou</w:t>
      </w:r>
      <w:r>
        <w:rPr>
          <w:szCs w:val="22"/>
          <w:lang w:eastAsia="en-GB"/>
        </w:rPr>
        <w:t xml:space="preserve"> </w:t>
      </w:r>
      <w:r w:rsidRPr="000005D4">
        <w:rPr>
          <w:szCs w:val="22"/>
          <w:lang w:eastAsia="en-GB"/>
        </w:rPr>
        <w:t>malabs</w:t>
      </w:r>
      <w:r w:rsidR="00CB0A16">
        <w:rPr>
          <w:szCs w:val="22"/>
          <w:lang w:eastAsia="en-GB"/>
        </w:rPr>
        <w:t xml:space="preserve">orpciou nesmú užívať tento liek, </w:t>
      </w:r>
      <w:r w:rsidR="00CB0A16">
        <w:rPr>
          <w:spacing w:val="-3"/>
          <w:szCs w:val="22"/>
        </w:rPr>
        <w:t>lebo obsahuje laktózu</w:t>
      </w:r>
      <w:r w:rsidR="00CB0A16" w:rsidRPr="005770CD">
        <w:rPr>
          <w:szCs w:val="22"/>
        </w:rPr>
        <w:t>.</w:t>
      </w:r>
    </w:p>
    <w:p w14:paraId="1FB38038" w14:textId="77777777" w:rsidR="000005D4" w:rsidRDefault="000005D4" w:rsidP="009A030C">
      <w:pPr>
        <w:ind w:left="0" w:firstLine="0"/>
        <w:rPr>
          <w:szCs w:val="22"/>
          <w:lang w:eastAsia="en-GB"/>
        </w:rPr>
      </w:pPr>
    </w:p>
    <w:p w14:paraId="759F257A" w14:textId="1EF2EA4A" w:rsidR="00E06EF3" w:rsidRDefault="000005D4" w:rsidP="000005D4">
      <w:pPr>
        <w:ind w:left="0" w:firstLine="0"/>
        <w:rPr>
          <w:color w:val="000000"/>
          <w:szCs w:val="22"/>
        </w:rPr>
      </w:pPr>
      <w:r w:rsidRPr="000005D4">
        <w:rPr>
          <w:szCs w:val="22"/>
          <w:lang w:eastAsia="en-GB"/>
        </w:rPr>
        <w:t>Tento liek obsahuje menej ako 1 mmol sodíka</w:t>
      </w:r>
      <w:r>
        <w:rPr>
          <w:szCs w:val="22"/>
          <w:lang w:eastAsia="en-GB"/>
        </w:rPr>
        <w:t xml:space="preserve"> </w:t>
      </w:r>
      <w:r w:rsidRPr="000005D4">
        <w:rPr>
          <w:szCs w:val="22"/>
          <w:lang w:eastAsia="en-GB"/>
        </w:rPr>
        <w:t xml:space="preserve">(23 mg) </w:t>
      </w:r>
      <w:r w:rsidR="008B0485" w:rsidRPr="008B0485">
        <w:rPr>
          <w:szCs w:val="22"/>
          <w:lang w:eastAsia="en-GB"/>
        </w:rPr>
        <w:t>v tablete</w:t>
      </w:r>
      <w:r w:rsidR="008B0485" w:rsidRPr="008B0485" w:rsidDel="008B0485">
        <w:rPr>
          <w:szCs w:val="22"/>
          <w:lang w:eastAsia="en-GB"/>
        </w:rPr>
        <w:t xml:space="preserve"> </w:t>
      </w:r>
      <w:r w:rsidRPr="000005D4">
        <w:rPr>
          <w:szCs w:val="22"/>
          <w:lang w:eastAsia="en-GB"/>
        </w:rPr>
        <w:t>, t.j. v podstate zanedbateľné množstvo</w:t>
      </w:r>
      <w:r>
        <w:rPr>
          <w:szCs w:val="22"/>
          <w:lang w:eastAsia="en-GB"/>
        </w:rPr>
        <w:t xml:space="preserve"> </w:t>
      </w:r>
      <w:r w:rsidRPr="000005D4">
        <w:rPr>
          <w:szCs w:val="22"/>
          <w:lang w:eastAsia="en-GB"/>
        </w:rPr>
        <w:t>sodíka.</w:t>
      </w:r>
    </w:p>
    <w:p w14:paraId="756DC2D0" w14:textId="77777777" w:rsidR="00483AA4" w:rsidRPr="003E7411" w:rsidRDefault="00483AA4" w:rsidP="009A030C">
      <w:pPr>
        <w:ind w:left="0" w:firstLine="0"/>
        <w:rPr>
          <w:color w:val="000000"/>
          <w:szCs w:val="22"/>
        </w:rPr>
      </w:pPr>
    </w:p>
    <w:p w14:paraId="0ED78B65" w14:textId="77777777" w:rsidR="006B1292" w:rsidRDefault="00CE3249" w:rsidP="006B1292">
      <w:pPr>
        <w:numPr>
          <w:ilvl w:val="1"/>
          <w:numId w:val="6"/>
        </w:numPr>
        <w:rPr>
          <w:b/>
          <w:color w:val="000000"/>
        </w:rPr>
      </w:pPr>
      <w:r w:rsidRPr="003E7411">
        <w:rPr>
          <w:b/>
          <w:color w:val="000000"/>
        </w:rPr>
        <w:t>Liekové a iné interakcie</w:t>
      </w:r>
    </w:p>
    <w:p w14:paraId="7E0B4F78" w14:textId="77777777" w:rsidR="006B1292" w:rsidRDefault="006B1292" w:rsidP="006B1292">
      <w:pPr>
        <w:ind w:left="0" w:firstLine="0"/>
        <w:rPr>
          <w:b/>
          <w:color w:val="000000"/>
        </w:rPr>
      </w:pPr>
    </w:p>
    <w:p w14:paraId="12F4AE20" w14:textId="77777777" w:rsidR="00FE297C" w:rsidRDefault="006B1292" w:rsidP="006B1292">
      <w:pPr>
        <w:ind w:left="0" w:firstLine="0"/>
      </w:pPr>
      <w:r>
        <w:t>Nie sú známe interakcie</w:t>
      </w:r>
      <w:r w:rsidR="00FE297C">
        <w:t xml:space="preserve"> s </w:t>
      </w:r>
      <w:r w:rsidR="00FE297C" w:rsidRPr="005770CD">
        <w:t>propranololom</w:t>
      </w:r>
      <w:r w:rsidR="00FE297C">
        <w:t>,</w:t>
      </w:r>
      <w:r w:rsidR="00FE297C" w:rsidRPr="005770CD">
        <w:t xml:space="preserve"> pizotif</w:t>
      </w:r>
      <w:r w:rsidR="00FE297C">
        <w:t>é</w:t>
      </w:r>
      <w:r w:rsidR="00FE297C" w:rsidRPr="005770CD">
        <w:t>nom alebo alkoholom.</w:t>
      </w:r>
    </w:p>
    <w:p w14:paraId="4FC8BB18" w14:textId="77777777" w:rsidR="00822A0A" w:rsidRDefault="00822A0A" w:rsidP="006B1292">
      <w:pPr>
        <w:ind w:left="0" w:firstLine="0"/>
      </w:pPr>
    </w:p>
    <w:p w14:paraId="62BE6DC5" w14:textId="6812C9CF" w:rsidR="00822A0A" w:rsidRDefault="00822A0A" w:rsidP="006B1292">
      <w:pPr>
        <w:ind w:left="0" w:firstLine="0"/>
      </w:pPr>
      <w:r>
        <w:t xml:space="preserve">Existujú obmedzené údaje o interakcii s prípravkami obsahujúcimi ergotamín alebo ostatných </w:t>
      </w:r>
      <w:proofErr w:type="spellStart"/>
      <w:r>
        <w:t>agonistov</w:t>
      </w:r>
      <w:proofErr w:type="spellEnd"/>
      <w:r>
        <w:t xml:space="preserve"> </w:t>
      </w:r>
      <w:proofErr w:type="spellStart"/>
      <w:r>
        <w:t>triptán</w:t>
      </w:r>
      <w:proofErr w:type="spellEnd"/>
      <w:r>
        <w:t>/5-HT</w:t>
      </w:r>
      <w:r w:rsidRPr="00F22D5E">
        <w:rPr>
          <w:vertAlign w:val="subscript"/>
        </w:rPr>
        <w:t>1</w:t>
      </w:r>
      <w:r>
        <w:t xml:space="preserve"> receptoru. Je teoreticky možné zvýšené riziko koronárneho vazospazmu a súbežné použitie je kontraindikované (pozri časť 4.3).</w:t>
      </w:r>
    </w:p>
    <w:p w14:paraId="3E86078B" w14:textId="77777777" w:rsidR="00556C59" w:rsidRDefault="00556C59" w:rsidP="006B1292">
      <w:pPr>
        <w:ind w:left="0" w:firstLine="0"/>
      </w:pPr>
    </w:p>
    <w:p w14:paraId="36DC2555" w14:textId="20098F43" w:rsidR="00822A0A" w:rsidRDefault="00822A0A" w:rsidP="006B1292">
      <w:pPr>
        <w:ind w:left="0" w:firstLine="0"/>
      </w:pPr>
      <w:r>
        <w:t xml:space="preserve">Časový odstup, ktorý </w:t>
      </w:r>
      <w:r w:rsidR="008F70C0">
        <w:t>má</w:t>
      </w:r>
      <w:r>
        <w:t xml:space="preserve"> uplynúť medzi použitím sumatript</w:t>
      </w:r>
      <w:r w:rsidR="00753034">
        <w:t>á</w:t>
      </w:r>
      <w:r>
        <w:t xml:space="preserve">nu a prípravkov obsahujúcich ergotamín alebo iných </w:t>
      </w:r>
      <w:proofErr w:type="spellStart"/>
      <w:r>
        <w:t>agonistov</w:t>
      </w:r>
      <w:proofErr w:type="spellEnd"/>
      <w:r>
        <w:t xml:space="preserve"> </w:t>
      </w:r>
      <w:proofErr w:type="spellStart"/>
      <w:r>
        <w:t>triptán</w:t>
      </w:r>
      <w:proofErr w:type="spellEnd"/>
      <w:r>
        <w:t>/5-HT</w:t>
      </w:r>
      <w:r w:rsidRPr="00F22D5E">
        <w:rPr>
          <w:vertAlign w:val="subscript"/>
        </w:rPr>
        <w:t>1</w:t>
      </w:r>
      <w:r>
        <w:t xml:space="preserve"> receptoru, nie je známy. Závisí to tiež od dávok a druhu použitých liekov. Účinky môžu byť aditívne. </w:t>
      </w:r>
      <w:r w:rsidR="009953CC">
        <w:t xml:space="preserve">Odporúča sa počkať najmenej 24 hodín po užití prípravkov obsahujúcich ergotamín alebo iných </w:t>
      </w:r>
      <w:proofErr w:type="spellStart"/>
      <w:r w:rsidR="009953CC">
        <w:t>agonistov</w:t>
      </w:r>
      <w:proofErr w:type="spellEnd"/>
      <w:r w:rsidR="009953CC">
        <w:t xml:space="preserve"> </w:t>
      </w:r>
      <w:proofErr w:type="spellStart"/>
      <w:r w:rsidR="009953CC">
        <w:t>triptán</w:t>
      </w:r>
      <w:proofErr w:type="spellEnd"/>
      <w:r w:rsidR="009953CC">
        <w:t>/5-HT</w:t>
      </w:r>
      <w:r w:rsidR="009953CC" w:rsidRPr="00F22D5E">
        <w:rPr>
          <w:vertAlign w:val="subscript"/>
        </w:rPr>
        <w:t>1</w:t>
      </w:r>
      <w:r w:rsidR="009953CC">
        <w:t xml:space="preserve"> receptoru pred podaním sumatript</w:t>
      </w:r>
      <w:r w:rsidR="00753034">
        <w:t>á</w:t>
      </w:r>
      <w:r w:rsidR="009953CC">
        <w:t>nu. Naopak, odporúča sa počkať najmenej šesť hodín po užití sumatript</w:t>
      </w:r>
      <w:r w:rsidR="00753034">
        <w:t>á</w:t>
      </w:r>
      <w:r w:rsidR="009953CC">
        <w:t xml:space="preserve">nu </w:t>
      </w:r>
      <w:r w:rsidR="00765A4C">
        <w:t xml:space="preserve">pred podaním prípravkov obsahujúcich ergotamín a najmenej 24 hodín pred podaním iných </w:t>
      </w:r>
      <w:proofErr w:type="spellStart"/>
      <w:r w:rsidR="00765A4C">
        <w:t>agonistov</w:t>
      </w:r>
      <w:proofErr w:type="spellEnd"/>
      <w:r w:rsidR="00765A4C">
        <w:t xml:space="preserve"> </w:t>
      </w:r>
      <w:proofErr w:type="spellStart"/>
      <w:r w:rsidR="00765A4C">
        <w:t>triptán</w:t>
      </w:r>
      <w:proofErr w:type="spellEnd"/>
      <w:r w:rsidR="00765A4C">
        <w:t>/5-HT</w:t>
      </w:r>
      <w:r w:rsidR="00765A4C" w:rsidRPr="00F22D5E">
        <w:rPr>
          <w:vertAlign w:val="subscript"/>
        </w:rPr>
        <w:t>1</w:t>
      </w:r>
      <w:r w:rsidR="00765A4C">
        <w:t xml:space="preserve"> receptoru.</w:t>
      </w:r>
    </w:p>
    <w:p w14:paraId="3690EC72" w14:textId="77777777" w:rsidR="00765A4C" w:rsidRDefault="00765A4C" w:rsidP="006B1292">
      <w:pPr>
        <w:ind w:left="0" w:firstLine="0"/>
        <w:rPr>
          <w:color w:val="000000"/>
          <w:szCs w:val="22"/>
        </w:rPr>
      </w:pPr>
    </w:p>
    <w:p w14:paraId="70CB9E96" w14:textId="77777777" w:rsidR="000E7D99" w:rsidRPr="00BA0A35" w:rsidRDefault="00556C59" w:rsidP="00793D0C">
      <w:pPr>
        <w:pStyle w:val="OmniPage770"/>
        <w:ind w:left="0" w:right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M</w:t>
      </w:r>
      <w:r w:rsidR="000E7D99" w:rsidRPr="00BA0A35">
        <w:rPr>
          <w:rFonts w:ascii="Times New Roman" w:hAnsi="Times New Roman"/>
          <w:sz w:val="22"/>
          <w:szCs w:val="22"/>
          <w:lang w:val="sk-SK"/>
        </w:rPr>
        <w:t xml:space="preserve">ôže </w:t>
      </w:r>
      <w:r>
        <w:rPr>
          <w:rFonts w:ascii="Times New Roman" w:hAnsi="Times New Roman"/>
          <w:sz w:val="22"/>
          <w:szCs w:val="22"/>
          <w:lang w:val="sk-SK"/>
        </w:rPr>
        <w:t xml:space="preserve">sa </w:t>
      </w:r>
      <w:r w:rsidR="000E7D99" w:rsidRPr="00BA0A35">
        <w:rPr>
          <w:rFonts w:ascii="Times New Roman" w:hAnsi="Times New Roman"/>
          <w:sz w:val="22"/>
          <w:szCs w:val="22"/>
          <w:lang w:val="sk-SK"/>
        </w:rPr>
        <w:t>objaviť interakci</w:t>
      </w:r>
      <w:r>
        <w:rPr>
          <w:rFonts w:ascii="Times New Roman" w:hAnsi="Times New Roman"/>
          <w:sz w:val="22"/>
          <w:szCs w:val="22"/>
          <w:lang w:val="sk-SK"/>
        </w:rPr>
        <w:t>a</w:t>
      </w:r>
      <w:r w:rsidR="000E7D99" w:rsidRPr="00BA0A35">
        <w:rPr>
          <w:rFonts w:ascii="Times New Roman" w:hAnsi="Times New Roman"/>
          <w:sz w:val="22"/>
          <w:szCs w:val="22"/>
          <w:lang w:val="sk-SK"/>
        </w:rPr>
        <w:t xml:space="preserve"> medzi sumatript</w:t>
      </w:r>
      <w:r w:rsidR="00753034">
        <w:rPr>
          <w:rFonts w:ascii="Times New Roman" w:hAnsi="Times New Roman"/>
          <w:sz w:val="22"/>
          <w:szCs w:val="22"/>
          <w:lang w:val="sk-SK"/>
        </w:rPr>
        <w:t>á</w:t>
      </w:r>
      <w:r w:rsidR="000E7D99" w:rsidRPr="00BA0A35">
        <w:rPr>
          <w:rFonts w:ascii="Times New Roman" w:hAnsi="Times New Roman"/>
          <w:sz w:val="22"/>
          <w:szCs w:val="22"/>
          <w:lang w:val="sk-SK"/>
        </w:rPr>
        <w:t>nom a inhibítormi monoaminooxidáz</w:t>
      </w:r>
      <w:r>
        <w:rPr>
          <w:rFonts w:ascii="Times New Roman" w:hAnsi="Times New Roman"/>
          <w:sz w:val="22"/>
          <w:szCs w:val="22"/>
          <w:lang w:val="sk-SK"/>
        </w:rPr>
        <w:t xml:space="preserve"> a</w:t>
      </w:r>
      <w:r w:rsidR="000E7D99" w:rsidRPr="00BA0A35">
        <w:rPr>
          <w:rFonts w:ascii="Times New Roman" w:hAnsi="Times New Roman"/>
          <w:sz w:val="22"/>
          <w:szCs w:val="22"/>
          <w:lang w:val="sk-SK"/>
        </w:rPr>
        <w:t xml:space="preserve"> súbežné podávanie je kontraindikované (pozri časť 4.3). </w:t>
      </w:r>
    </w:p>
    <w:p w14:paraId="4E8FE424" w14:textId="77777777" w:rsidR="00793D0C" w:rsidRPr="006B1292" w:rsidRDefault="00793D0C" w:rsidP="006B1292">
      <w:pPr>
        <w:ind w:left="0" w:firstLine="0"/>
        <w:rPr>
          <w:color w:val="000000"/>
          <w:szCs w:val="22"/>
        </w:rPr>
      </w:pPr>
    </w:p>
    <w:p w14:paraId="01301877" w14:textId="77777777" w:rsidR="002563E1" w:rsidRDefault="002563E1" w:rsidP="002563E1">
      <w:pPr>
        <w:pStyle w:val="OmniPage770"/>
        <w:ind w:left="0" w:right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Zaznamenali sa postmarketingové hlásenia popisujúce pacientov so s</w:t>
      </w:r>
      <w:r w:rsidR="00753034">
        <w:rPr>
          <w:rFonts w:ascii="Times New Roman" w:hAnsi="Times New Roman"/>
          <w:sz w:val="22"/>
          <w:szCs w:val="22"/>
          <w:lang w:val="sk-SK"/>
        </w:rPr>
        <w:t>é</w:t>
      </w:r>
      <w:r>
        <w:rPr>
          <w:rFonts w:ascii="Times New Roman" w:hAnsi="Times New Roman"/>
          <w:sz w:val="22"/>
          <w:szCs w:val="22"/>
          <w:lang w:val="sk-SK"/>
        </w:rPr>
        <w:t>rotonínovým syndrómom (vrátane zmeneného mentálneho stavu, autonómnej nestability a neuromentálnych abnormalít) po použití SSRIs</w:t>
      </w:r>
      <w:r w:rsidRPr="00C10445">
        <w:rPr>
          <w:rFonts w:ascii="Times New Roman" w:hAnsi="Times New Roman"/>
          <w:sz w:val="22"/>
          <w:szCs w:val="22"/>
          <w:lang w:val="sk-SK"/>
        </w:rPr>
        <w:t xml:space="preserve"> a</w:t>
      </w:r>
      <w:r>
        <w:rPr>
          <w:rFonts w:ascii="Times New Roman" w:hAnsi="Times New Roman"/>
          <w:sz w:val="22"/>
          <w:szCs w:val="22"/>
          <w:lang w:val="sk-SK"/>
        </w:rPr>
        <w:t> sumatript</w:t>
      </w:r>
      <w:r w:rsidR="00753034">
        <w:rPr>
          <w:rFonts w:ascii="Times New Roman" w:hAnsi="Times New Roman"/>
          <w:sz w:val="22"/>
          <w:szCs w:val="22"/>
          <w:lang w:val="sk-SK"/>
        </w:rPr>
        <w:t>á</w:t>
      </w:r>
      <w:r>
        <w:rPr>
          <w:rFonts w:ascii="Times New Roman" w:hAnsi="Times New Roman"/>
          <w:sz w:val="22"/>
          <w:szCs w:val="22"/>
          <w:lang w:val="sk-SK"/>
        </w:rPr>
        <w:t>n</w:t>
      </w:r>
      <w:r w:rsidRPr="00C10445">
        <w:rPr>
          <w:rFonts w:ascii="Times New Roman" w:hAnsi="Times New Roman"/>
          <w:sz w:val="22"/>
          <w:szCs w:val="22"/>
          <w:lang w:val="sk-SK"/>
        </w:rPr>
        <w:t>u</w:t>
      </w:r>
      <w:r>
        <w:rPr>
          <w:rFonts w:ascii="Times New Roman" w:hAnsi="Times New Roman"/>
          <w:sz w:val="22"/>
          <w:szCs w:val="22"/>
          <w:lang w:val="sk-SK"/>
        </w:rPr>
        <w:t>. S</w:t>
      </w:r>
      <w:r w:rsidR="00753034">
        <w:rPr>
          <w:rFonts w:ascii="Times New Roman" w:hAnsi="Times New Roman"/>
          <w:sz w:val="22"/>
          <w:szCs w:val="22"/>
          <w:lang w:val="sk-SK"/>
        </w:rPr>
        <w:t>é</w:t>
      </w:r>
      <w:r>
        <w:rPr>
          <w:rFonts w:ascii="Times New Roman" w:hAnsi="Times New Roman"/>
          <w:sz w:val="22"/>
          <w:szCs w:val="22"/>
          <w:lang w:val="sk-SK"/>
        </w:rPr>
        <w:t>rotonínový syndróm sa tiež zaznamenal po podaní SNRIs (pozri časť 4.4).</w:t>
      </w:r>
    </w:p>
    <w:p w14:paraId="2D274979" w14:textId="77777777" w:rsidR="00FE297C" w:rsidRDefault="00FE297C" w:rsidP="00FE297C">
      <w:pPr>
        <w:pStyle w:val="OmniPage771"/>
        <w:keepNext/>
        <w:ind w:left="0" w:right="0"/>
        <w:rPr>
          <w:rFonts w:ascii="Times New Roman" w:hAnsi="Times New Roman"/>
          <w:noProof w:val="0"/>
          <w:sz w:val="22"/>
          <w:szCs w:val="22"/>
          <w:lang w:val="sk-SK"/>
        </w:rPr>
      </w:pPr>
    </w:p>
    <w:p w14:paraId="573A824B" w14:textId="77777777" w:rsidR="006B1292" w:rsidRDefault="002563E1" w:rsidP="00FE297C">
      <w:pPr>
        <w:pStyle w:val="OmniPage771"/>
        <w:keepNext/>
        <w:ind w:left="0" w:right="0"/>
        <w:rPr>
          <w:rFonts w:ascii="Times New Roman" w:hAnsi="Times New Roman"/>
          <w:noProof w:val="0"/>
          <w:sz w:val="22"/>
          <w:szCs w:val="22"/>
          <w:lang w:val="sk-SK"/>
        </w:rPr>
      </w:pPr>
      <w:r>
        <w:rPr>
          <w:rFonts w:ascii="Times New Roman" w:hAnsi="Times New Roman"/>
          <w:noProof w:val="0"/>
          <w:sz w:val="22"/>
          <w:szCs w:val="22"/>
          <w:lang w:val="sk-SK"/>
        </w:rPr>
        <w:t>Existuje tiež riziko s</w:t>
      </w:r>
      <w:r w:rsidR="00753034">
        <w:rPr>
          <w:rFonts w:ascii="Times New Roman" w:hAnsi="Times New Roman"/>
          <w:noProof w:val="0"/>
          <w:sz w:val="22"/>
          <w:szCs w:val="22"/>
          <w:lang w:val="sk-SK"/>
        </w:rPr>
        <w:t>é</w:t>
      </w:r>
      <w:r>
        <w:rPr>
          <w:rFonts w:ascii="Times New Roman" w:hAnsi="Times New Roman"/>
          <w:noProof w:val="0"/>
          <w:sz w:val="22"/>
          <w:szCs w:val="22"/>
          <w:lang w:val="sk-SK"/>
        </w:rPr>
        <w:t>rotonínového syndrómu, ak sa sumatript</w:t>
      </w:r>
      <w:r w:rsidR="00753034">
        <w:rPr>
          <w:rFonts w:ascii="Times New Roman" w:hAnsi="Times New Roman"/>
          <w:noProof w:val="0"/>
          <w:sz w:val="22"/>
          <w:szCs w:val="22"/>
          <w:lang w:val="sk-SK"/>
        </w:rPr>
        <w:t>á</w:t>
      </w:r>
      <w:r>
        <w:rPr>
          <w:rFonts w:ascii="Times New Roman" w:hAnsi="Times New Roman"/>
          <w:noProof w:val="0"/>
          <w:sz w:val="22"/>
          <w:szCs w:val="22"/>
          <w:lang w:val="sk-SK"/>
        </w:rPr>
        <w:t>n užíva súbežne s lítiom.</w:t>
      </w:r>
    </w:p>
    <w:p w14:paraId="7AA56CB1" w14:textId="77777777" w:rsidR="00B6006A" w:rsidRPr="003E7411" w:rsidRDefault="00B6006A" w:rsidP="00B83641">
      <w:pPr>
        <w:ind w:left="0" w:firstLine="0"/>
        <w:rPr>
          <w:color w:val="000000"/>
          <w:szCs w:val="22"/>
        </w:rPr>
      </w:pPr>
    </w:p>
    <w:p w14:paraId="3747CAF9" w14:textId="77777777" w:rsidR="00CE3249" w:rsidRPr="003E7411" w:rsidRDefault="00CE3249" w:rsidP="00CE3249">
      <w:pPr>
        <w:rPr>
          <w:color w:val="000000"/>
          <w:szCs w:val="22"/>
        </w:rPr>
      </w:pPr>
      <w:r w:rsidRPr="003E7411">
        <w:rPr>
          <w:b/>
          <w:color w:val="000000"/>
          <w:szCs w:val="22"/>
        </w:rPr>
        <w:t>4.6</w:t>
      </w:r>
      <w:r w:rsidRPr="003E7411">
        <w:rPr>
          <w:b/>
          <w:color w:val="000000"/>
          <w:szCs w:val="22"/>
        </w:rPr>
        <w:tab/>
      </w:r>
      <w:r w:rsidR="00F918CC">
        <w:rPr>
          <w:b/>
          <w:color w:val="000000"/>
          <w:szCs w:val="22"/>
        </w:rPr>
        <w:t>Fertilita, g</w:t>
      </w:r>
      <w:r w:rsidRPr="003E7411">
        <w:rPr>
          <w:b/>
          <w:color w:val="000000"/>
          <w:szCs w:val="22"/>
        </w:rPr>
        <w:t>ravidita a laktácia</w:t>
      </w:r>
    </w:p>
    <w:p w14:paraId="584271EC" w14:textId="77777777" w:rsidR="00CE3249" w:rsidRDefault="00CE3249" w:rsidP="00CE3249">
      <w:pPr>
        <w:rPr>
          <w:color w:val="000000"/>
          <w:szCs w:val="22"/>
        </w:rPr>
      </w:pPr>
    </w:p>
    <w:p w14:paraId="08193ECF" w14:textId="77777777" w:rsidR="0091211F" w:rsidRPr="0091211F" w:rsidRDefault="0091211F" w:rsidP="00564EDF">
      <w:pPr>
        <w:pStyle w:val="OmniPage780"/>
        <w:ind w:left="0" w:right="0"/>
        <w:rPr>
          <w:rFonts w:ascii="Times New Roman" w:hAnsi="Times New Roman"/>
          <w:sz w:val="22"/>
          <w:u w:val="single"/>
          <w:lang w:val="sk-SK"/>
        </w:rPr>
      </w:pPr>
      <w:r>
        <w:rPr>
          <w:rFonts w:ascii="Times New Roman" w:hAnsi="Times New Roman"/>
          <w:sz w:val="22"/>
          <w:u w:val="single"/>
          <w:lang w:val="sk-SK"/>
        </w:rPr>
        <w:t>Gravidita</w:t>
      </w:r>
    </w:p>
    <w:p w14:paraId="4B8B3708" w14:textId="29C9D35C" w:rsidR="00564EDF" w:rsidRDefault="00564EDF" w:rsidP="00564EDF">
      <w:pPr>
        <w:pStyle w:val="OmniPage780"/>
        <w:ind w:left="0" w:right="0"/>
        <w:rPr>
          <w:rFonts w:ascii="Times New Roman" w:hAnsi="Times New Roman"/>
          <w:sz w:val="22"/>
          <w:lang w:val="sk-SK"/>
        </w:rPr>
      </w:pPr>
      <w:r w:rsidRPr="007B4D63">
        <w:rPr>
          <w:rFonts w:ascii="Times New Roman" w:hAnsi="Times New Roman"/>
          <w:sz w:val="22"/>
          <w:lang w:val="sk-SK"/>
        </w:rPr>
        <w:t xml:space="preserve">K dispozícii sú postmarketingové údaje o používaní </w:t>
      </w:r>
      <w:r>
        <w:rPr>
          <w:rFonts w:ascii="Times New Roman" w:hAnsi="Times New Roman"/>
          <w:sz w:val="22"/>
          <w:lang w:val="sk-SK"/>
        </w:rPr>
        <w:t>sumatript</w:t>
      </w:r>
      <w:r w:rsidR="00753034">
        <w:rPr>
          <w:rFonts w:ascii="Times New Roman" w:hAnsi="Times New Roman"/>
          <w:sz w:val="22"/>
          <w:lang w:val="sk-SK"/>
        </w:rPr>
        <w:t>á</w:t>
      </w:r>
      <w:r>
        <w:rPr>
          <w:rFonts w:ascii="Times New Roman" w:hAnsi="Times New Roman"/>
          <w:sz w:val="22"/>
          <w:lang w:val="sk-SK"/>
        </w:rPr>
        <w:t>n</w:t>
      </w:r>
      <w:r w:rsidRPr="007B4D63">
        <w:rPr>
          <w:rFonts w:ascii="Times New Roman" w:hAnsi="Times New Roman"/>
          <w:sz w:val="22"/>
          <w:lang w:val="sk-SK"/>
        </w:rPr>
        <w:t xml:space="preserve">u počas prvého trimestra </w:t>
      </w:r>
      <w:r w:rsidR="007A3DF1">
        <w:rPr>
          <w:rFonts w:ascii="Times New Roman" w:hAnsi="Times New Roman"/>
          <w:sz w:val="22"/>
          <w:lang w:val="sk-SK"/>
        </w:rPr>
        <w:t xml:space="preserve">gravidity </w:t>
      </w:r>
      <w:r w:rsidRPr="007B4D63">
        <w:rPr>
          <w:rFonts w:ascii="Times New Roman" w:hAnsi="Times New Roman"/>
          <w:sz w:val="22"/>
          <w:lang w:val="sk-SK"/>
        </w:rPr>
        <w:t>u</w:t>
      </w:r>
      <w:r w:rsidR="007446E7">
        <w:rPr>
          <w:rFonts w:ascii="Times New Roman" w:hAnsi="Times New Roman"/>
          <w:sz w:val="22"/>
          <w:lang w:val="sk-SK"/>
        </w:rPr>
        <w:t> </w:t>
      </w:r>
      <w:r w:rsidRPr="007B4D63">
        <w:rPr>
          <w:rFonts w:ascii="Times New Roman" w:hAnsi="Times New Roman"/>
          <w:sz w:val="22"/>
          <w:lang w:val="sk-SK"/>
        </w:rPr>
        <w:t>viac ako 1000 žien. Aj keď tieto údaje obsahuj</w:t>
      </w:r>
      <w:r>
        <w:rPr>
          <w:rFonts w:ascii="Times New Roman" w:hAnsi="Times New Roman"/>
          <w:sz w:val="22"/>
          <w:lang w:val="sk-SK"/>
        </w:rPr>
        <w:t>ú</w:t>
      </w:r>
      <w:r w:rsidRPr="007B4D63">
        <w:rPr>
          <w:rFonts w:ascii="Times New Roman" w:hAnsi="Times New Roman"/>
          <w:sz w:val="22"/>
          <w:lang w:val="sk-SK"/>
        </w:rPr>
        <w:t xml:space="preserve"> informácie, ktoré nie sú dostatočné na vyvodenie definitívnych záverov, nepoukazujú na zvýšené riziko vrodených chýb. Skúsenosti s používaním </w:t>
      </w:r>
      <w:r>
        <w:rPr>
          <w:rFonts w:ascii="Times New Roman" w:hAnsi="Times New Roman"/>
          <w:sz w:val="22"/>
          <w:lang w:val="sk-SK"/>
        </w:rPr>
        <w:t>sumatript</w:t>
      </w:r>
      <w:r w:rsidR="00753034">
        <w:rPr>
          <w:rFonts w:ascii="Times New Roman" w:hAnsi="Times New Roman"/>
          <w:sz w:val="22"/>
          <w:lang w:val="sk-SK"/>
        </w:rPr>
        <w:t>á</w:t>
      </w:r>
      <w:r>
        <w:rPr>
          <w:rFonts w:ascii="Times New Roman" w:hAnsi="Times New Roman"/>
          <w:sz w:val="22"/>
          <w:lang w:val="sk-SK"/>
        </w:rPr>
        <w:t>n</w:t>
      </w:r>
      <w:r w:rsidRPr="007B4D63">
        <w:rPr>
          <w:rFonts w:ascii="Times New Roman" w:hAnsi="Times New Roman"/>
          <w:sz w:val="22"/>
          <w:lang w:val="sk-SK"/>
        </w:rPr>
        <w:t>u v druhom a treťom trimestri sú obmedzené.</w:t>
      </w:r>
    </w:p>
    <w:p w14:paraId="36CB11B6" w14:textId="77777777" w:rsidR="007A3DF1" w:rsidRPr="007B4D63" w:rsidRDefault="007A3DF1" w:rsidP="00564EDF">
      <w:pPr>
        <w:pStyle w:val="OmniPage780"/>
        <w:ind w:left="0" w:right="0"/>
        <w:rPr>
          <w:rFonts w:ascii="Times New Roman" w:hAnsi="Times New Roman"/>
          <w:sz w:val="22"/>
          <w:lang w:val="sk-SK"/>
        </w:rPr>
      </w:pPr>
    </w:p>
    <w:p w14:paraId="27734ADC" w14:textId="77777777" w:rsidR="00564EDF" w:rsidRPr="007B4D63" w:rsidRDefault="00564EDF" w:rsidP="00564EDF">
      <w:pPr>
        <w:pStyle w:val="OmniPage780"/>
        <w:ind w:left="0" w:right="0"/>
        <w:rPr>
          <w:rFonts w:ascii="Times New Roman" w:hAnsi="Times New Roman"/>
          <w:noProof w:val="0"/>
          <w:sz w:val="22"/>
          <w:szCs w:val="22"/>
          <w:lang w:val="sk-SK"/>
        </w:rPr>
      </w:pPr>
      <w:r w:rsidRPr="007B4D63">
        <w:rPr>
          <w:rFonts w:ascii="Times New Roman" w:hAnsi="Times New Roman"/>
          <w:sz w:val="22"/>
          <w:lang w:val="sk-SK"/>
        </w:rPr>
        <w:lastRenderedPageBreak/>
        <w:t xml:space="preserve">Hodnotenie štúdií na experimentálnych zvieratách nepreukazuje priame teratogénne účinky alebo škodlivé účinky na perinatálny a postnatálny vývoj. </w:t>
      </w:r>
      <w:r w:rsidR="007A3DF1">
        <w:rPr>
          <w:rFonts w:ascii="Times New Roman" w:hAnsi="Times New Roman"/>
          <w:sz w:val="22"/>
          <w:lang w:val="sk-SK"/>
        </w:rPr>
        <w:t>M</w:t>
      </w:r>
      <w:r w:rsidRPr="007B4D63">
        <w:rPr>
          <w:rFonts w:ascii="Times New Roman" w:hAnsi="Times New Roman"/>
          <w:sz w:val="22"/>
          <w:lang w:val="sk-SK"/>
        </w:rPr>
        <w:t xml:space="preserve">ôže byť </w:t>
      </w:r>
      <w:r w:rsidR="007A3DF1">
        <w:rPr>
          <w:rFonts w:ascii="Times New Roman" w:hAnsi="Times New Roman"/>
          <w:sz w:val="22"/>
          <w:lang w:val="sk-SK"/>
        </w:rPr>
        <w:t xml:space="preserve">však </w:t>
      </w:r>
      <w:r w:rsidRPr="007B4D63">
        <w:rPr>
          <w:rFonts w:ascii="Times New Roman" w:hAnsi="Times New Roman"/>
          <w:sz w:val="22"/>
          <w:lang w:val="sk-SK"/>
        </w:rPr>
        <w:t xml:space="preserve">ovplyvnená embryofetálna životaschopnosť </w:t>
      </w:r>
      <w:r w:rsidR="007A3DF1">
        <w:rPr>
          <w:rFonts w:ascii="Times New Roman" w:hAnsi="Times New Roman"/>
          <w:sz w:val="22"/>
          <w:lang w:val="sk-SK"/>
        </w:rPr>
        <w:t xml:space="preserve">u králikov </w:t>
      </w:r>
      <w:r w:rsidRPr="007B4D63">
        <w:rPr>
          <w:rFonts w:ascii="Times New Roman" w:hAnsi="Times New Roman"/>
          <w:sz w:val="22"/>
          <w:lang w:val="sk-SK"/>
        </w:rPr>
        <w:t>(pozri časť 5.3).</w:t>
      </w:r>
    </w:p>
    <w:p w14:paraId="0D0BA84D" w14:textId="77777777" w:rsidR="00564EDF" w:rsidRPr="007B4D63" w:rsidRDefault="0091211F" w:rsidP="00564EDF">
      <w:pPr>
        <w:pStyle w:val="OmniPage1026"/>
        <w:ind w:left="0" w:right="0"/>
        <w:rPr>
          <w:rFonts w:ascii="Times New Roman" w:hAnsi="Times New Roman"/>
          <w:noProof w:val="0"/>
          <w:sz w:val="22"/>
          <w:szCs w:val="22"/>
          <w:lang w:val="sk-SK"/>
        </w:rPr>
      </w:pPr>
      <w:r>
        <w:rPr>
          <w:rFonts w:ascii="Times New Roman" w:hAnsi="Times New Roman"/>
          <w:noProof w:val="0"/>
          <w:sz w:val="22"/>
          <w:szCs w:val="22"/>
          <w:lang w:val="sk-SK"/>
        </w:rPr>
        <w:t xml:space="preserve">O podávaní </w:t>
      </w:r>
      <w:r w:rsidR="007A3DF1">
        <w:rPr>
          <w:rFonts w:ascii="Times New Roman" w:hAnsi="Times New Roman"/>
          <w:noProof w:val="0"/>
          <w:sz w:val="22"/>
          <w:szCs w:val="22"/>
          <w:lang w:val="sk-SK"/>
        </w:rPr>
        <w:t>sumatript</w:t>
      </w:r>
      <w:r w:rsidR="00753034">
        <w:rPr>
          <w:rFonts w:ascii="Times New Roman" w:hAnsi="Times New Roman"/>
          <w:noProof w:val="0"/>
          <w:sz w:val="22"/>
          <w:szCs w:val="22"/>
          <w:lang w:val="sk-SK"/>
        </w:rPr>
        <w:t>á</w:t>
      </w:r>
      <w:r w:rsidR="007A3DF1">
        <w:rPr>
          <w:rFonts w:ascii="Times New Roman" w:hAnsi="Times New Roman"/>
          <w:noProof w:val="0"/>
          <w:sz w:val="22"/>
          <w:szCs w:val="22"/>
          <w:lang w:val="sk-SK"/>
        </w:rPr>
        <w:t xml:space="preserve">nu </w:t>
      </w:r>
      <w:r w:rsidR="00564EDF">
        <w:rPr>
          <w:rFonts w:ascii="Times New Roman" w:hAnsi="Times New Roman"/>
          <w:noProof w:val="0"/>
          <w:sz w:val="22"/>
          <w:szCs w:val="22"/>
          <w:lang w:val="sk-SK"/>
        </w:rPr>
        <w:t>sa má uvažovať len vtedy, ak sú očakávané prínosy pre matku väčšie ako akékoľvek možné riziká pre plod.</w:t>
      </w:r>
    </w:p>
    <w:p w14:paraId="1344454D" w14:textId="77777777" w:rsidR="00564EDF" w:rsidRPr="00C07DBB" w:rsidRDefault="00564EDF" w:rsidP="00564EDF">
      <w:pPr>
        <w:rPr>
          <w:i/>
          <w:szCs w:val="22"/>
        </w:rPr>
      </w:pPr>
    </w:p>
    <w:p w14:paraId="3D235EB5" w14:textId="3EBE37FB" w:rsidR="0091211F" w:rsidRPr="0091211F" w:rsidRDefault="00F50DAA" w:rsidP="00564EDF">
      <w:pPr>
        <w:pStyle w:val="OmniPage1026"/>
        <w:ind w:left="0" w:right="0"/>
        <w:rPr>
          <w:rFonts w:ascii="Times New Roman" w:hAnsi="Times New Roman"/>
          <w:noProof w:val="0"/>
          <w:sz w:val="22"/>
          <w:szCs w:val="22"/>
          <w:u w:val="single"/>
          <w:lang w:val="sk-SK"/>
        </w:rPr>
      </w:pPr>
      <w:r w:rsidRPr="00F50DAA">
        <w:rPr>
          <w:rFonts w:ascii="Times New Roman" w:hAnsi="Times New Roman"/>
          <w:noProof w:val="0"/>
          <w:sz w:val="22"/>
          <w:szCs w:val="22"/>
          <w:u w:val="single"/>
          <w:lang w:val="sk-SK"/>
        </w:rPr>
        <w:t>Dojčenie</w:t>
      </w:r>
    </w:p>
    <w:p w14:paraId="10F52763" w14:textId="77777777" w:rsidR="007A3DF1" w:rsidRDefault="007A3DF1" w:rsidP="007A3DF1">
      <w:pPr>
        <w:ind w:left="0" w:firstLine="0"/>
        <w:rPr>
          <w:szCs w:val="22"/>
        </w:rPr>
      </w:pPr>
      <w:r w:rsidRPr="007A3DF1">
        <w:rPr>
          <w:szCs w:val="22"/>
        </w:rPr>
        <w:t>Preukázalo sa, že po subkutánnom podaní sa sumatript</w:t>
      </w:r>
      <w:r w:rsidR="00753034">
        <w:rPr>
          <w:szCs w:val="22"/>
        </w:rPr>
        <w:t>á</w:t>
      </w:r>
      <w:r w:rsidRPr="007A3DF1">
        <w:rPr>
          <w:szCs w:val="22"/>
        </w:rPr>
        <w:t xml:space="preserve">n </w:t>
      </w:r>
      <w:r w:rsidR="00564EDF" w:rsidRPr="00C07DBB">
        <w:rPr>
          <w:szCs w:val="22"/>
        </w:rPr>
        <w:t xml:space="preserve">vylučuje do materského mlieka. Expozíciu dieťaťa je možné minimalizovať </w:t>
      </w:r>
      <w:r>
        <w:rPr>
          <w:szCs w:val="22"/>
        </w:rPr>
        <w:t>prerušením</w:t>
      </w:r>
      <w:r w:rsidR="00753034">
        <w:rPr>
          <w:szCs w:val="22"/>
        </w:rPr>
        <w:t xml:space="preserve"> </w:t>
      </w:r>
      <w:r w:rsidR="00564EDF">
        <w:rPr>
          <w:szCs w:val="22"/>
        </w:rPr>
        <w:t>dojčeni</w:t>
      </w:r>
      <w:r>
        <w:rPr>
          <w:szCs w:val="22"/>
        </w:rPr>
        <w:t>a</w:t>
      </w:r>
      <w:r w:rsidR="00564EDF">
        <w:rPr>
          <w:szCs w:val="22"/>
        </w:rPr>
        <w:t xml:space="preserve"> </w:t>
      </w:r>
      <w:r>
        <w:rPr>
          <w:szCs w:val="22"/>
        </w:rPr>
        <w:t xml:space="preserve">na </w:t>
      </w:r>
      <w:r w:rsidR="0091211F">
        <w:rPr>
          <w:szCs w:val="22"/>
        </w:rPr>
        <w:t xml:space="preserve">12 hodín po </w:t>
      </w:r>
      <w:r>
        <w:rPr>
          <w:szCs w:val="22"/>
        </w:rPr>
        <w:t>liečbe, počas ktorých sa m</w:t>
      </w:r>
      <w:r w:rsidR="00753034">
        <w:rPr>
          <w:szCs w:val="22"/>
        </w:rPr>
        <w:t>usí</w:t>
      </w:r>
      <w:r>
        <w:rPr>
          <w:szCs w:val="22"/>
        </w:rPr>
        <w:t xml:space="preserve"> celé odsaté množstvo materského mlieka zlikvidovať.</w:t>
      </w:r>
    </w:p>
    <w:p w14:paraId="27F4CE71" w14:textId="77777777" w:rsidR="00564EDF" w:rsidRDefault="00564EDF" w:rsidP="00564EDF">
      <w:pPr>
        <w:pStyle w:val="OmniPage1026"/>
        <w:ind w:left="0" w:right="0"/>
        <w:rPr>
          <w:rFonts w:ascii="Times New Roman" w:hAnsi="Times New Roman"/>
          <w:noProof w:val="0"/>
          <w:sz w:val="22"/>
          <w:szCs w:val="22"/>
          <w:lang w:val="sk-SK"/>
        </w:rPr>
      </w:pPr>
    </w:p>
    <w:p w14:paraId="75A097D8" w14:textId="77777777" w:rsidR="00CE3249" w:rsidRPr="003E7411" w:rsidRDefault="00CE3249" w:rsidP="005127C7">
      <w:pPr>
        <w:keepNext/>
        <w:ind w:left="0" w:firstLine="0"/>
        <w:rPr>
          <w:color w:val="000000"/>
          <w:szCs w:val="22"/>
        </w:rPr>
      </w:pPr>
      <w:r w:rsidRPr="003E7411">
        <w:rPr>
          <w:b/>
          <w:color w:val="000000"/>
          <w:szCs w:val="22"/>
        </w:rPr>
        <w:t>4.7</w:t>
      </w:r>
      <w:r w:rsidRPr="003E7411">
        <w:rPr>
          <w:b/>
          <w:color w:val="000000"/>
          <w:szCs w:val="22"/>
        </w:rPr>
        <w:tab/>
        <w:t>Ovplyvnenie schopnosti viesť vozidlá a obsluhovať stroje</w:t>
      </w:r>
    </w:p>
    <w:p w14:paraId="2CEE2EA8" w14:textId="77777777" w:rsidR="00CE3249" w:rsidRDefault="00CE3249" w:rsidP="00CE3249">
      <w:pPr>
        <w:rPr>
          <w:color w:val="000000"/>
          <w:szCs w:val="22"/>
        </w:rPr>
      </w:pPr>
    </w:p>
    <w:p w14:paraId="4880C02B" w14:textId="22765D92" w:rsidR="00BC4CA0" w:rsidRDefault="00BC4CA0" w:rsidP="00BC4CA0">
      <w:pPr>
        <w:ind w:left="0" w:firstLine="0"/>
        <w:rPr>
          <w:szCs w:val="22"/>
        </w:rPr>
      </w:pPr>
      <w:r w:rsidRPr="00BC4CA0">
        <w:rPr>
          <w:noProof/>
          <w:szCs w:val="22"/>
        </w:rPr>
        <w:t xml:space="preserve">Neuskutočnili sa žiadne štúdie o účinkoch na schopnosť viesť vozidlá a obsluhovať stroje. </w:t>
      </w:r>
      <w:r w:rsidR="00564EDF" w:rsidRPr="00C07DBB">
        <w:rPr>
          <w:szCs w:val="22"/>
        </w:rPr>
        <w:t>Môže sa</w:t>
      </w:r>
      <w:r w:rsidR="007446E7">
        <w:rPr>
          <w:szCs w:val="22"/>
        </w:rPr>
        <w:t> </w:t>
      </w:r>
      <w:r w:rsidR="00564EDF" w:rsidRPr="00C07DBB">
        <w:rPr>
          <w:szCs w:val="22"/>
        </w:rPr>
        <w:t xml:space="preserve">vyskytnúť ospalosť ako dôsledok migrény alebo jej liečby </w:t>
      </w:r>
      <w:r w:rsidR="0091211F">
        <w:rPr>
          <w:szCs w:val="22"/>
        </w:rPr>
        <w:t>sumatript</w:t>
      </w:r>
      <w:r w:rsidR="000C4F9E">
        <w:rPr>
          <w:szCs w:val="22"/>
        </w:rPr>
        <w:t>á</w:t>
      </w:r>
      <w:r w:rsidR="0091211F">
        <w:rPr>
          <w:szCs w:val="22"/>
        </w:rPr>
        <w:t>nom</w:t>
      </w:r>
      <w:r w:rsidR="00564EDF" w:rsidRPr="00C07DBB">
        <w:rPr>
          <w:szCs w:val="22"/>
        </w:rPr>
        <w:t xml:space="preserve">. </w:t>
      </w:r>
      <w:r>
        <w:rPr>
          <w:szCs w:val="22"/>
        </w:rPr>
        <w:t>Toto môže ovplyvniť schopnosť viesť vozidl</w:t>
      </w:r>
      <w:r w:rsidR="000C4F9E">
        <w:rPr>
          <w:szCs w:val="22"/>
        </w:rPr>
        <w:t>á</w:t>
      </w:r>
      <w:r>
        <w:rPr>
          <w:szCs w:val="22"/>
        </w:rPr>
        <w:t xml:space="preserve"> alebo obsluhovať stroje.</w:t>
      </w:r>
    </w:p>
    <w:p w14:paraId="0E5902FF" w14:textId="77777777" w:rsidR="00564EDF" w:rsidRPr="00C07DBB" w:rsidRDefault="00564EDF" w:rsidP="00564EDF">
      <w:pPr>
        <w:pStyle w:val="OmniPage780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07D4AE28" w14:textId="77777777" w:rsidR="00CE3249" w:rsidRPr="003E7411" w:rsidRDefault="00CE3249" w:rsidP="000C4F9E">
      <w:pPr>
        <w:ind w:left="0" w:firstLine="0"/>
        <w:rPr>
          <w:b/>
          <w:color w:val="000000"/>
          <w:szCs w:val="22"/>
        </w:rPr>
      </w:pPr>
      <w:r w:rsidRPr="003E7411">
        <w:rPr>
          <w:b/>
          <w:color w:val="000000"/>
          <w:szCs w:val="22"/>
        </w:rPr>
        <w:t>4.8</w:t>
      </w:r>
      <w:r w:rsidRPr="003E7411">
        <w:rPr>
          <w:b/>
          <w:color w:val="000000"/>
          <w:szCs w:val="22"/>
        </w:rPr>
        <w:tab/>
        <w:t>Nežiaduce účinky</w:t>
      </w:r>
    </w:p>
    <w:p w14:paraId="0529ECE2" w14:textId="77777777" w:rsidR="00CE3249" w:rsidRDefault="00CE3249" w:rsidP="00CE3249">
      <w:pPr>
        <w:rPr>
          <w:i/>
          <w:color w:val="000000"/>
          <w:szCs w:val="22"/>
        </w:rPr>
      </w:pPr>
    </w:p>
    <w:p w14:paraId="34713DFE" w14:textId="31F06529" w:rsidR="0091211F" w:rsidRDefault="001346FA" w:rsidP="00082D8E">
      <w:pPr>
        <w:ind w:left="0" w:firstLine="0"/>
        <w:rPr>
          <w:szCs w:val="22"/>
        </w:rPr>
      </w:pPr>
      <w:r>
        <w:rPr>
          <w:szCs w:val="22"/>
        </w:rPr>
        <w:t xml:space="preserve">Nežiaduce </w:t>
      </w:r>
      <w:r w:rsidR="008242D5">
        <w:rPr>
          <w:szCs w:val="22"/>
        </w:rPr>
        <w:t>účinky</w:t>
      </w:r>
      <w:r w:rsidRPr="00C07DBB">
        <w:rPr>
          <w:szCs w:val="22"/>
        </w:rPr>
        <w:t xml:space="preserve"> sú nižšie uvedené podľa tried orgánových systémov a frekvencie. Frekvencie sú definované ako: </w:t>
      </w:r>
    </w:p>
    <w:p w14:paraId="77641356" w14:textId="77777777" w:rsidR="0091211F" w:rsidRDefault="001346FA" w:rsidP="001346FA">
      <w:pPr>
        <w:rPr>
          <w:szCs w:val="22"/>
        </w:rPr>
      </w:pPr>
      <w:r w:rsidRPr="00C07DBB">
        <w:rPr>
          <w:szCs w:val="22"/>
        </w:rPr>
        <w:t>veľmi časté</w:t>
      </w:r>
      <w:r w:rsidR="0091211F">
        <w:rPr>
          <w:szCs w:val="22"/>
        </w:rPr>
        <w:t xml:space="preserve">: </w:t>
      </w:r>
      <w:r w:rsidR="00976555">
        <w:rPr>
          <w:szCs w:val="22"/>
        </w:rPr>
        <w:t>(</w:t>
      </w:r>
      <w:r w:rsidR="008242D5">
        <w:rPr>
          <w:szCs w:val="22"/>
        </w:rPr>
        <w:t>≥</w:t>
      </w:r>
      <w:r w:rsidR="0091211F">
        <w:rPr>
          <w:szCs w:val="22"/>
        </w:rPr>
        <w:t>1/10)</w:t>
      </w:r>
      <w:r w:rsidRPr="00C07DBB">
        <w:rPr>
          <w:szCs w:val="22"/>
        </w:rPr>
        <w:t xml:space="preserve"> </w:t>
      </w:r>
    </w:p>
    <w:p w14:paraId="5546B0D1" w14:textId="6E65956E" w:rsidR="0091211F" w:rsidRDefault="001346FA" w:rsidP="001346FA">
      <w:pPr>
        <w:rPr>
          <w:szCs w:val="22"/>
        </w:rPr>
      </w:pPr>
      <w:r w:rsidRPr="00C07DBB">
        <w:rPr>
          <w:szCs w:val="22"/>
        </w:rPr>
        <w:t>časté</w:t>
      </w:r>
      <w:r w:rsidR="0091211F">
        <w:rPr>
          <w:szCs w:val="22"/>
        </w:rPr>
        <w:t>:</w:t>
      </w:r>
      <w:r w:rsidRPr="00C07DBB">
        <w:rPr>
          <w:szCs w:val="22"/>
        </w:rPr>
        <w:t xml:space="preserve"> </w:t>
      </w:r>
      <w:r w:rsidR="00976555">
        <w:rPr>
          <w:szCs w:val="22"/>
        </w:rPr>
        <w:t>(</w:t>
      </w:r>
      <w:r w:rsidR="008242D5">
        <w:rPr>
          <w:szCs w:val="22"/>
        </w:rPr>
        <w:t>≥</w:t>
      </w:r>
      <w:r w:rsidR="0091211F">
        <w:rPr>
          <w:szCs w:val="22"/>
        </w:rPr>
        <w:t>1/100</w:t>
      </w:r>
      <w:r w:rsidR="003855FF">
        <w:rPr>
          <w:szCs w:val="22"/>
        </w:rPr>
        <w:t xml:space="preserve"> </w:t>
      </w:r>
      <w:r w:rsidR="003855FF" w:rsidRPr="003855FF">
        <w:rPr>
          <w:szCs w:val="22"/>
        </w:rPr>
        <w:t>až</w:t>
      </w:r>
      <w:r w:rsidR="0091211F">
        <w:rPr>
          <w:szCs w:val="22"/>
        </w:rPr>
        <w:t xml:space="preserve"> &lt;1/10</w:t>
      </w:r>
      <w:r w:rsidR="00976555">
        <w:rPr>
          <w:szCs w:val="22"/>
        </w:rPr>
        <w:t>)</w:t>
      </w:r>
      <w:r w:rsidRPr="00C07DBB">
        <w:rPr>
          <w:szCs w:val="22"/>
        </w:rPr>
        <w:t xml:space="preserve"> </w:t>
      </w:r>
    </w:p>
    <w:p w14:paraId="13FA3565" w14:textId="4A229E5D" w:rsidR="0091211F" w:rsidRDefault="001346FA" w:rsidP="001346FA">
      <w:pPr>
        <w:rPr>
          <w:szCs w:val="22"/>
        </w:rPr>
      </w:pPr>
      <w:r w:rsidRPr="00C07DBB">
        <w:rPr>
          <w:szCs w:val="22"/>
        </w:rPr>
        <w:t>menej časté</w:t>
      </w:r>
      <w:r w:rsidR="0091211F">
        <w:rPr>
          <w:szCs w:val="22"/>
        </w:rPr>
        <w:t xml:space="preserve">: </w:t>
      </w:r>
      <w:r w:rsidR="00976555">
        <w:rPr>
          <w:szCs w:val="22"/>
        </w:rPr>
        <w:t>(</w:t>
      </w:r>
      <w:r w:rsidR="008242D5">
        <w:rPr>
          <w:szCs w:val="22"/>
        </w:rPr>
        <w:t>≥</w:t>
      </w:r>
      <w:r w:rsidR="0091211F">
        <w:rPr>
          <w:szCs w:val="22"/>
        </w:rPr>
        <w:t>1/1000</w:t>
      </w:r>
      <w:r w:rsidR="003855FF">
        <w:rPr>
          <w:szCs w:val="22"/>
        </w:rPr>
        <w:t xml:space="preserve"> </w:t>
      </w:r>
      <w:r w:rsidR="003855FF" w:rsidRPr="003855FF">
        <w:rPr>
          <w:szCs w:val="22"/>
        </w:rPr>
        <w:t>až</w:t>
      </w:r>
      <w:r w:rsidR="0091211F">
        <w:rPr>
          <w:szCs w:val="22"/>
        </w:rPr>
        <w:t xml:space="preserve"> &lt;1/100</w:t>
      </w:r>
      <w:r w:rsidR="00976555">
        <w:rPr>
          <w:szCs w:val="22"/>
        </w:rPr>
        <w:t>)</w:t>
      </w:r>
      <w:r w:rsidRPr="00C07DBB">
        <w:rPr>
          <w:szCs w:val="22"/>
        </w:rPr>
        <w:t xml:space="preserve"> </w:t>
      </w:r>
    </w:p>
    <w:p w14:paraId="00DF13A6" w14:textId="2D2223F0" w:rsidR="0091211F" w:rsidRDefault="001346FA" w:rsidP="0091211F">
      <w:pPr>
        <w:rPr>
          <w:szCs w:val="22"/>
        </w:rPr>
      </w:pPr>
      <w:r w:rsidRPr="00C07DBB">
        <w:rPr>
          <w:szCs w:val="22"/>
        </w:rPr>
        <w:t>zriedkavé</w:t>
      </w:r>
      <w:r w:rsidR="0091211F">
        <w:rPr>
          <w:szCs w:val="22"/>
        </w:rPr>
        <w:t>:</w:t>
      </w:r>
      <w:r w:rsidRPr="00C07DBB">
        <w:rPr>
          <w:szCs w:val="22"/>
        </w:rPr>
        <w:t xml:space="preserve"> </w:t>
      </w:r>
      <w:r w:rsidR="00976555">
        <w:rPr>
          <w:szCs w:val="22"/>
        </w:rPr>
        <w:t>(</w:t>
      </w:r>
      <w:r w:rsidR="008242D5">
        <w:rPr>
          <w:szCs w:val="22"/>
        </w:rPr>
        <w:t>≥</w:t>
      </w:r>
      <w:r w:rsidR="0091211F">
        <w:rPr>
          <w:szCs w:val="22"/>
        </w:rPr>
        <w:t>1/10 000</w:t>
      </w:r>
      <w:r w:rsidR="003855FF">
        <w:rPr>
          <w:szCs w:val="22"/>
        </w:rPr>
        <w:t xml:space="preserve"> </w:t>
      </w:r>
      <w:r w:rsidR="003855FF" w:rsidRPr="003855FF">
        <w:rPr>
          <w:szCs w:val="22"/>
        </w:rPr>
        <w:t>až</w:t>
      </w:r>
      <w:r w:rsidR="0091211F">
        <w:rPr>
          <w:szCs w:val="22"/>
        </w:rPr>
        <w:t xml:space="preserve"> &lt;1/1000</w:t>
      </w:r>
      <w:r w:rsidR="00976555">
        <w:rPr>
          <w:szCs w:val="22"/>
        </w:rPr>
        <w:t>)</w:t>
      </w:r>
      <w:r w:rsidRPr="00C07DBB">
        <w:rPr>
          <w:szCs w:val="22"/>
        </w:rPr>
        <w:t xml:space="preserve"> </w:t>
      </w:r>
    </w:p>
    <w:p w14:paraId="09018460" w14:textId="77777777" w:rsidR="001346FA" w:rsidRDefault="0091211F" w:rsidP="0091211F">
      <w:pPr>
        <w:rPr>
          <w:szCs w:val="22"/>
        </w:rPr>
      </w:pPr>
      <w:r>
        <w:rPr>
          <w:szCs w:val="22"/>
        </w:rPr>
        <w:t xml:space="preserve">veľmi zriedkavé: </w:t>
      </w:r>
      <w:r w:rsidR="00976555">
        <w:rPr>
          <w:szCs w:val="22"/>
        </w:rPr>
        <w:t>(</w:t>
      </w:r>
      <w:r>
        <w:rPr>
          <w:szCs w:val="22"/>
        </w:rPr>
        <w:t>&lt;1/10 000</w:t>
      </w:r>
      <w:r w:rsidR="00976555">
        <w:rPr>
          <w:szCs w:val="22"/>
        </w:rPr>
        <w:t>)</w:t>
      </w:r>
    </w:p>
    <w:p w14:paraId="1A400BC7" w14:textId="77777777" w:rsidR="008242D5" w:rsidRDefault="008242D5" w:rsidP="0091211F">
      <w:pPr>
        <w:rPr>
          <w:szCs w:val="22"/>
        </w:rPr>
      </w:pPr>
      <w:r>
        <w:rPr>
          <w:szCs w:val="22"/>
        </w:rPr>
        <w:t xml:space="preserve">neznáme: </w:t>
      </w:r>
      <w:r w:rsidR="00976555">
        <w:rPr>
          <w:szCs w:val="22"/>
        </w:rPr>
        <w:t>(</w:t>
      </w:r>
      <w:r>
        <w:rPr>
          <w:szCs w:val="22"/>
        </w:rPr>
        <w:t>nemožno odhadnúť z dostupných údajov</w:t>
      </w:r>
      <w:r w:rsidR="00976555">
        <w:rPr>
          <w:szCs w:val="22"/>
        </w:rPr>
        <w:t>)</w:t>
      </w:r>
    </w:p>
    <w:p w14:paraId="2610996A" w14:textId="77777777" w:rsidR="008242D5" w:rsidRDefault="008242D5" w:rsidP="0091211F">
      <w:pPr>
        <w:rPr>
          <w:szCs w:val="22"/>
        </w:rPr>
      </w:pPr>
    </w:p>
    <w:p w14:paraId="65DA379B" w14:textId="77777777" w:rsidR="008242D5" w:rsidRDefault="008242D5" w:rsidP="008242D5">
      <w:pPr>
        <w:ind w:left="0" w:firstLine="0"/>
        <w:rPr>
          <w:szCs w:val="22"/>
        </w:rPr>
      </w:pPr>
      <w:r>
        <w:rPr>
          <w:szCs w:val="22"/>
        </w:rPr>
        <w:t>Niektoré z príznakov hlásených ako nežiaduce účinky môžu byť spojené so symptómami migrény.</w:t>
      </w:r>
    </w:p>
    <w:p w14:paraId="7F94316C" w14:textId="77777777" w:rsidR="008242D5" w:rsidRPr="008242D5" w:rsidRDefault="008242D5" w:rsidP="000C4F9E">
      <w:pPr>
        <w:pStyle w:val="Nadpis1"/>
        <w:ind w:left="0" w:firstLine="0"/>
        <w:rPr>
          <w:rFonts w:ascii="Times New Roman" w:hAnsi="Times New Roman"/>
          <w:bCs w:val="0"/>
          <w:iCs/>
          <w:sz w:val="22"/>
          <w:szCs w:val="22"/>
        </w:rPr>
      </w:pPr>
      <w:r w:rsidRPr="008242D5">
        <w:rPr>
          <w:rFonts w:ascii="Times New Roman" w:hAnsi="Times New Roman"/>
          <w:bCs w:val="0"/>
          <w:iCs/>
          <w:sz w:val="22"/>
          <w:szCs w:val="22"/>
        </w:rPr>
        <w:t>Poruchy imunitného systému</w:t>
      </w:r>
    </w:p>
    <w:p w14:paraId="73390B58" w14:textId="77777777" w:rsidR="008242D5" w:rsidRDefault="008242D5" w:rsidP="008242D5">
      <w:pPr>
        <w:ind w:left="2124" w:hanging="2124"/>
        <w:rPr>
          <w:iCs/>
          <w:szCs w:val="22"/>
        </w:rPr>
      </w:pPr>
      <w:r>
        <w:rPr>
          <w:iCs/>
          <w:szCs w:val="22"/>
        </w:rPr>
        <w:t>Neznáme:</w:t>
      </w:r>
      <w:r>
        <w:rPr>
          <w:iCs/>
          <w:szCs w:val="22"/>
        </w:rPr>
        <w:tab/>
        <w:t>Reakcie z precitlivenosti v rozsahu od kožnej precitlivenosti (ako je urtikária) po anafylaxiu.</w:t>
      </w:r>
    </w:p>
    <w:p w14:paraId="6E752CC5" w14:textId="77777777" w:rsidR="008242D5" w:rsidRDefault="008242D5" w:rsidP="001346FA">
      <w:pPr>
        <w:rPr>
          <w:b/>
          <w:bCs/>
          <w:szCs w:val="22"/>
        </w:rPr>
      </w:pPr>
    </w:p>
    <w:p w14:paraId="204380DF" w14:textId="77777777" w:rsidR="00976555" w:rsidRPr="001F5B0A" w:rsidRDefault="00976555" w:rsidP="00976555">
      <w:pPr>
        <w:ind w:left="0" w:firstLine="0"/>
        <w:rPr>
          <w:b/>
          <w:iCs/>
          <w:szCs w:val="22"/>
        </w:rPr>
      </w:pPr>
      <w:r w:rsidRPr="001F5B0A">
        <w:rPr>
          <w:b/>
          <w:iCs/>
          <w:szCs w:val="22"/>
        </w:rPr>
        <w:t>Psychické poruchy</w:t>
      </w:r>
    </w:p>
    <w:p w14:paraId="58B3B5DD" w14:textId="77777777" w:rsidR="00976555" w:rsidRDefault="00976555" w:rsidP="00976555">
      <w:pPr>
        <w:ind w:left="0" w:firstLine="0"/>
        <w:rPr>
          <w:iCs/>
          <w:szCs w:val="22"/>
        </w:rPr>
      </w:pPr>
      <w:r>
        <w:rPr>
          <w:iCs/>
          <w:szCs w:val="22"/>
        </w:rPr>
        <w:t>Neznáme:</w:t>
      </w:r>
      <w:r>
        <w:rPr>
          <w:iCs/>
          <w:szCs w:val="22"/>
        </w:rPr>
        <w:tab/>
      </w:r>
      <w:r>
        <w:rPr>
          <w:iCs/>
          <w:szCs w:val="22"/>
        </w:rPr>
        <w:tab/>
        <w:t>Úzkosť</w:t>
      </w:r>
    </w:p>
    <w:p w14:paraId="0154CABD" w14:textId="77777777" w:rsidR="00976555" w:rsidRDefault="00976555" w:rsidP="00976555">
      <w:pPr>
        <w:ind w:left="0" w:firstLine="0"/>
        <w:rPr>
          <w:iCs/>
          <w:szCs w:val="22"/>
        </w:rPr>
      </w:pPr>
    </w:p>
    <w:p w14:paraId="2CF253E8" w14:textId="77777777" w:rsidR="001346FA" w:rsidRPr="0091211F" w:rsidRDefault="001346FA" w:rsidP="001346FA">
      <w:pPr>
        <w:rPr>
          <w:b/>
          <w:szCs w:val="22"/>
        </w:rPr>
      </w:pPr>
      <w:r w:rsidRPr="0091211F">
        <w:rPr>
          <w:b/>
          <w:bCs/>
          <w:szCs w:val="22"/>
        </w:rPr>
        <w:t>Poruchy nervového systému</w:t>
      </w:r>
    </w:p>
    <w:p w14:paraId="6789BB4E" w14:textId="77777777" w:rsidR="001346FA" w:rsidRDefault="001346FA" w:rsidP="001346FA">
      <w:pPr>
        <w:rPr>
          <w:szCs w:val="22"/>
        </w:rPr>
      </w:pPr>
      <w:r w:rsidRPr="00412215">
        <w:rPr>
          <w:iCs/>
          <w:szCs w:val="22"/>
        </w:rPr>
        <w:t>Časté</w:t>
      </w:r>
      <w:r w:rsidRPr="00412215">
        <w:rPr>
          <w:szCs w:val="22"/>
        </w:rPr>
        <w:t>:</w:t>
      </w:r>
      <w:r w:rsidRPr="00C07DBB">
        <w:rPr>
          <w:szCs w:val="22"/>
        </w:rPr>
        <w:t xml:space="preserve"> </w:t>
      </w:r>
      <w:r w:rsidR="00412215">
        <w:rPr>
          <w:szCs w:val="22"/>
        </w:rPr>
        <w:tab/>
      </w:r>
      <w:r w:rsidR="000C4F9E">
        <w:rPr>
          <w:szCs w:val="22"/>
        </w:rPr>
        <w:tab/>
      </w:r>
      <w:r w:rsidR="000C4F9E">
        <w:rPr>
          <w:szCs w:val="22"/>
        </w:rPr>
        <w:tab/>
        <w:t>Z</w:t>
      </w:r>
      <w:r w:rsidRPr="00C07DBB">
        <w:rPr>
          <w:szCs w:val="22"/>
        </w:rPr>
        <w:t>ávrat</w:t>
      </w:r>
      <w:r w:rsidR="00412215">
        <w:rPr>
          <w:szCs w:val="22"/>
        </w:rPr>
        <w:t>y</w:t>
      </w:r>
      <w:r w:rsidRPr="00C07DBB">
        <w:rPr>
          <w:szCs w:val="22"/>
        </w:rPr>
        <w:t>, ospalosť</w:t>
      </w:r>
      <w:r w:rsidR="00412215">
        <w:rPr>
          <w:szCs w:val="22"/>
        </w:rPr>
        <w:t xml:space="preserve">, </w:t>
      </w:r>
      <w:r w:rsidR="00412215">
        <w:rPr>
          <w:iCs/>
          <w:szCs w:val="22"/>
        </w:rPr>
        <w:t>zmyslové poruchy vrátane parestézie a hypoestézie.</w:t>
      </w:r>
      <w:r w:rsidRPr="00C07DBB">
        <w:rPr>
          <w:szCs w:val="22"/>
        </w:rPr>
        <w:t xml:space="preserve"> </w:t>
      </w:r>
    </w:p>
    <w:p w14:paraId="29E38461" w14:textId="77777777" w:rsidR="00412215" w:rsidRPr="00412215" w:rsidRDefault="00412215" w:rsidP="00412215">
      <w:pPr>
        <w:rPr>
          <w:szCs w:val="22"/>
        </w:rPr>
      </w:pPr>
      <w:r>
        <w:rPr>
          <w:iCs/>
          <w:szCs w:val="22"/>
        </w:rPr>
        <w:t>Neznáme:</w:t>
      </w:r>
      <w:r>
        <w:rPr>
          <w:iCs/>
          <w:szCs w:val="22"/>
        </w:rPr>
        <w:tab/>
      </w:r>
      <w:r>
        <w:rPr>
          <w:i/>
          <w:szCs w:val="22"/>
        </w:rPr>
        <w:tab/>
      </w:r>
      <w:r w:rsidRPr="00412215">
        <w:rPr>
          <w:iCs/>
          <w:szCs w:val="22"/>
        </w:rPr>
        <w:t>Z</w:t>
      </w:r>
      <w:r w:rsidRPr="00412215">
        <w:rPr>
          <w:szCs w:val="22"/>
        </w:rPr>
        <w:t>áchvaty. Aj keď sa niekoľko prípadov vyskytlo u pacientov so záchvatmi</w:t>
      </w:r>
    </w:p>
    <w:p w14:paraId="185A41BA" w14:textId="77777777" w:rsidR="00412215" w:rsidRPr="00412215" w:rsidRDefault="00412215" w:rsidP="000C4F9E">
      <w:pPr>
        <w:ind w:left="2124" w:firstLine="0"/>
      </w:pPr>
      <w:r w:rsidRPr="00412215">
        <w:rPr>
          <w:szCs w:val="22"/>
        </w:rPr>
        <w:t>v anamnéze alebo u pacientov so súčasne sa vyskytujúcimi ochoreniami s predispozíciou k záchvatom. Hlásili sa tiež u pacientov, u ktorých tieto predisponujúce faktory neboli zjavné.</w:t>
      </w:r>
      <w:r>
        <w:rPr>
          <w:szCs w:val="22"/>
        </w:rPr>
        <w:t xml:space="preserve"> Tremor, </w:t>
      </w:r>
      <w:r w:rsidRPr="00412215">
        <w:t>dystónia</w:t>
      </w:r>
      <w:r>
        <w:t>, nystagmus, skotóm.</w:t>
      </w:r>
    </w:p>
    <w:p w14:paraId="599830CB" w14:textId="77777777" w:rsidR="000C4F9E" w:rsidRPr="000C4F9E" w:rsidRDefault="000C4F9E" w:rsidP="000C4F9E">
      <w:pPr>
        <w:ind w:left="0"/>
      </w:pPr>
    </w:p>
    <w:p w14:paraId="3E94CCBD" w14:textId="77777777" w:rsidR="003F0514" w:rsidRPr="003F0514" w:rsidRDefault="003F0514" w:rsidP="000C4F9E">
      <w:pPr>
        <w:pStyle w:val="Nadpis2"/>
        <w:spacing w:before="0" w:after="0"/>
        <w:ind w:left="0" w:firstLine="0"/>
        <w:rPr>
          <w:rFonts w:ascii="Times New Roman" w:hAnsi="Times New Roman"/>
          <w:i w:val="0"/>
          <w:sz w:val="22"/>
          <w:szCs w:val="22"/>
        </w:rPr>
      </w:pPr>
      <w:r w:rsidRPr="003F0514">
        <w:rPr>
          <w:rFonts w:ascii="Times New Roman" w:hAnsi="Times New Roman"/>
          <w:i w:val="0"/>
          <w:sz w:val="22"/>
          <w:szCs w:val="22"/>
        </w:rPr>
        <w:t>Poruchy oka</w:t>
      </w:r>
    </w:p>
    <w:p w14:paraId="6D7F4533" w14:textId="11C972FA" w:rsidR="003F0514" w:rsidRPr="003F0514" w:rsidRDefault="003F0514" w:rsidP="003F0514">
      <w:pPr>
        <w:pStyle w:val="Zkladntextodsazen"/>
        <w:ind w:left="2124" w:hanging="2153"/>
        <w:rPr>
          <w:szCs w:val="22"/>
        </w:rPr>
      </w:pPr>
      <w:r w:rsidRPr="003F0514">
        <w:rPr>
          <w:iCs/>
          <w:szCs w:val="22"/>
        </w:rPr>
        <w:t>Neznáme</w:t>
      </w:r>
      <w:r w:rsidRPr="003F0514">
        <w:rPr>
          <w:szCs w:val="22"/>
        </w:rPr>
        <w:t>:</w:t>
      </w:r>
      <w:r w:rsidRPr="003F0514">
        <w:rPr>
          <w:szCs w:val="22"/>
        </w:rPr>
        <w:tab/>
        <w:t>Chvenie, dvojité videnie, zhoršené videnie. Strata zraku vrátane hlásení trvalého poškodenia. Poruchy videnia sa však môžu vyskytnúť aj po samotnom záchvate migrény.</w:t>
      </w:r>
    </w:p>
    <w:p w14:paraId="468EADDD" w14:textId="77777777" w:rsidR="003F0514" w:rsidRPr="003F0514" w:rsidRDefault="003F0514" w:rsidP="003F0514">
      <w:pPr>
        <w:ind w:left="3600" w:hanging="3600"/>
        <w:rPr>
          <w:i/>
          <w:szCs w:val="22"/>
        </w:rPr>
      </w:pPr>
    </w:p>
    <w:p w14:paraId="6AB0C655" w14:textId="77777777" w:rsidR="003F0514" w:rsidRPr="003F0514" w:rsidRDefault="003F0514" w:rsidP="003F0514">
      <w:pPr>
        <w:pStyle w:val="Zkladntext"/>
        <w:rPr>
          <w:rFonts w:ascii="Times New Roman" w:hAnsi="Times New Roman" w:cs="Times New Roman"/>
          <w:b/>
          <w:sz w:val="22"/>
          <w:szCs w:val="22"/>
        </w:rPr>
      </w:pPr>
      <w:r w:rsidRPr="003F0514">
        <w:rPr>
          <w:rFonts w:ascii="Times New Roman" w:hAnsi="Times New Roman" w:cs="Times New Roman"/>
          <w:b/>
          <w:sz w:val="22"/>
          <w:szCs w:val="22"/>
        </w:rPr>
        <w:t>Poruchy srdca a srdcovej činnosti</w:t>
      </w:r>
    </w:p>
    <w:p w14:paraId="1AB59CEC" w14:textId="77777777" w:rsidR="003F0514" w:rsidRPr="003F0514" w:rsidRDefault="003F0514" w:rsidP="003F0514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3F0514">
        <w:rPr>
          <w:rFonts w:ascii="Times New Roman" w:hAnsi="Times New Roman" w:cs="Times New Roman"/>
          <w:iCs/>
          <w:sz w:val="22"/>
          <w:szCs w:val="22"/>
        </w:rPr>
        <w:t>Neznáme</w:t>
      </w:r>
      <w:r w:rsidRPr="003F0514">
        <w:rPr>
          <w:rFonts w:ascii="Times New Roman" w:hAnsi="Times New Roman" w:cs="Times New Roman"/>
          <w:sz w:val="22"/>
          <w:szCs w:val="22"/>
        </w:rPr>
        <w:t>:</w:t>
      </w:r>
      <w:r w:rsidRPr="003F0514">
        <w:rPr>
          <w:rFonts w:ascii="Times New Roman" w:hAnsi="Times New Roman" w:cs="Times New Roman"/>
          <w:sz w:val="22"/>
          <w:szCs w:val="22"/>
        </w:rPr>
        <w:tab/>
      </w:r>
      <w:r w:rsidRPr="003F0514">
        <w:rPr>
          <w:rFonts w:ascii="Times New Roman" w:hAnsi="Times New Roman" w:cs="Times New Roman"/>
          <w:sz w:val="22"/>
          <w:szCs w:val="22"/>
        </w:rPr>
        <w:tab/>
        <w:t xml:space="preserve">Bradykardia, tachykardia, palpitácie, srdcové arytmie, prechodné ischemické </w:t>
      </w:r>
    </w:p>
    <w:p w14:paraId="4451CEBE" w14:textId="784C8A8D" w:rsidR="003F0514" w:rsidRPr="003F0514" w:rsidRDefault="003F0514" w:rsidP="000C4F9E">
      <w:pPr>
        <w:pStyle w:val="Zkladntext"/>
        <w:ind w:left="2124"/>
        <w:rPr>
          <w:rFonts w:ascii="Times New Roman" w:hAnsi="Times New Roman" w:cs="Times New Roman"/>
          <w:iCs/>
          <w:sz w:val="22"/>
          <w:szCs w:val="22"/>
        </w:rPr>
      </w:pPr>
      <w:r w:rsidRPr="003F0514">
        <w:rPr>
          <w:rFonts w:ascii="Times New Roman" w:hAnsi="Times New Roman" w:cs="Times New Roman"/>
          <w:sz w:val="22"/>
          <w:szCs w:val="22"/>
        </w:rPr>
        <w:t xml:space="preserve">zmeny EKG, koronárne arteriálne </w:t>
      </w:r>
      <w:proofErr w:type="spellStart"/>
      <w:r w:rsidRPr="003F0514">
        <w:rPr>
          <w:rFonts w:ascii="Times New Roman" w:hAnsi="Times New Roman" w:cs="Times New Roman"/>
          <w:sz w:val="22"/>
          <w:szCs w:val="22"/>
        </w:rPr>
        <w:t>vazospazmy</w:t>
      </w:r>
      <w:proofErr w:type="spellEnd"/>
      <w:r w:rsidRPr="003F0514">
        <w:rPr>
          <w:rFonts w:ascii="Times New Roman" w:hAnsi="Times New Roman" w:cs="Times New Roman"/>
          <w:sz w:val="22"/>
          <w:szCs w:val="22"/>
        </w:rPr>
        <w:t>, </w:t>
      </w:r>
      <w:proofErr w:type="spellStart"/>
      <w:r w:rsidR="001F5B0A">
        <w:rPr>
          <w:rFonts w:ascii="Times New Roman" w:hAnsi="Times New Roman" w:cs="Times New Roman"/>
          <w:sz w:val="22"/>
          <w:szCs w:val="22"/>
        </w:rPr>
        <w:t>angina</w:t>
      </w:r>
      <w:proofErr w:type="spellEnd"/>
      <w:r w:rsidR="001F5B0A">
        <w:rPr>
          <w:rFonts w:ascii="Times New Roman" w:hAnsi="Times New Roman" w:cs="Times New Roman"/>
          <w:sz w:val="22"/>
          <w:szCs w:val="22"/>
        </w:rPr>
        <w:t xml:space="preserve">, </w:t>
      </w:r>
      <w:r w:rsidRPr="003F0514">
        <w:rPr>
          <w:rFonts w:ascii="Times New Roman" w:hAnsi="Times New Roman" w:cs="Times New Roman"/>
          <w:sz w:val="22"/>
          <w:szCs w:val="22"/>
        </w:rPr>
        <w:t>infarkt myokardu</w:t>
      </w:r>
      <w:r w:rsidR="000C4F9E">
        <w:rPr>
          <w:rFonts w:ascii="Times New Roman" w:hAnsi="Times New Roman" w:cs="Times New Roman"/>
          <w:sz w:val="22"/>
          <w:szCs w:val="22"/>
        </w:rPr>
        <w:t xml:space="preserve"> </w:t>
      </w:r>
      <w:r w:rsidRPr="003F0514">
        <w:rPr>
          <w:rFonts w:ascii="Times New Roman" w:hAnsi="Times New Roman" w:cs="Times New Roman"/>
          <w:sz w:val="22"/>
          <w:szCs w:val="22"/>
        </w:rPr>
        <w:t>(pozri časti 4.3 a 4.4).</w:t>
      </w:r>
    </w:p>
    <w:p w14:paraId="11753408" w14:textId="77777777" w:rsidR="003F0514" w:rsidRPr="003F0514" w:rsidRDefault="003F0514" w:rsidP="003F0514">
      <w:pPr>
        <w:pStyle w:val="Zkladntext"/>
        <w:rPr>
          <w:rFonts w:ascii="Times New Roman" w:hAnsi="Times New Roman" w:cs="Times New Roman"/>
          <w:iCs/>
          <w:sz w:val="22"/>
          <w:szCs w:val="22"/>
        </w:rPr>
      </w:pPr>
    </w:p>
    <w:p w14:paraId="5859C4B0" w14:textId="77777777" w:rsidR="003F0514" w:rsidRPr="003F0514" w:rsidRDefault="003F0514" w:rsidP="003F0514">
      <w:pPr>
        <w:pStyle w:val="Zkladntext"/>
        <w:rPr>
          <w:rFonts w:ascii="Times New Roman" w:hAnsi="Times New Roman" w:cs="Times New Roman"/>
          <w:b/>
          <w:iCs/>
          <w:sz w:val="22"/>
          <w:szCs w:val="22"/>
        </w:rPr>
      </w:pPr>
      <w:r w:rsidRPr="003F0514">
        <w:rPr>
          <w:rFonts w:ascii="Times New Roman" w:hAnsi="Times New Roman" w:cs="Times New Roman"/>
          <w:b/>
          <w:iCs/>
          <w:sz w:val="22"/>
          <w:szCs w:val="22"/>
        </w:rPr>
        <w:lastRenderedPageBreak/>
        <w:t>Poruchy ciev</w:t>
      </w:r>
    </w:p>
    <w:p w14:paraId="06DB6D1B" w14:textId="77777777" w:rsidR="003F0514" w:rsidRPr="003F0514" w:rsidRDefault="003F0514" w:rsidP="003F0514">
      <w:pPr>
        <w:pStyle w:val="Zkladntext"/>
        <w:ind w:left="2124" w:hanging="2124"/>
        <w:rPr>
          <w:rFonts w:ascii="Times New Roman" w:hAnsi="Times New Roman" w:cs="Times New Roman"/>
          <w:iCs/>
          <w:sz w:val="22"/>
          <w:szCs w:val="22"/>
        </w:rPr>
      </w:pPr>
      <w:r w:rsidRPr="003F0514">
        <w:rPr>
          <w:rFonts w:ascii="Times New Roman" w:hAnsi="Times New Roman" w:cs="Times New Roman"/>
          <w:iCs/>
          <w:sz w:val="22"/>
          <w:szCs w:val="22"/>
        </w:rPr>
        <w:t>Časté:</w:t>
      </w:r>
      <w:r w:rsidRPr="003F0514">
        <w:rPr>
          <w:rFonts w:ascii="Times New Roman" w:hAnsi="Times New Roman" w:cs="Times New Roman"/>
          <w:iCs/>
          <w:sz w:val="22"/>
          <w:szCs w:val="22"/>
        </w:rPr>
        <w:tab/>
        <w:t>Prechodné zvýšenia krvného tlaku, ktoré sa objavili čoskoro po liečbe, návaly horúčavy</w:t>
      </w:r>
      <w:r w:rsidR="000C4F9E">
        <w:rPr>
          <w:rFonts w:ascii="Times New Roman" w:hAnsi="Times New Roman" w:cs="Times New Roman"/>
          <w:iCs/>
          <w:sz w:val="22"/>
          <w:szCs w:val="22"/>
        </w:rPr>
        <w:t>.</w:t>
      </w:r>
      <w:r w:rsidRPr="003F0514">
        <w:rPr>
          <w:rFonts w:ascii="Times New Roman" w:hAnsi="Times New Roman" w:cs="Times New Roman"/>
          <w:iCs/>
          <w:sz w:val="22"/>
          <w:szCs w:val="22"/>
        </w:rPr>
        <w:t xml:space="preserve"> </w:t>
      </w:r>
    </w:p>
    <w:p w14:paraId="2AF55E21" w14:textId="77777777" w:rsidR="003F0514" w:rsidRPr="003F0514" w:rsidRDefault="001F5B0A" w:rsidP="003F0514">
      <w:pPr>
        <w:pStyle w:val="Zkladntext"/>
        <w:rPr>
          <w:rFonts w:ascii="Times New Roman" w:hAnsi="Times New Roman" w:cs="Times New Roman"/>
          <w:iCs/>
          <w:sz w:val="22"/>
          <w:szCs w:val="22"/>
        </w:rPr>
      </w:pPr>
      <w:r w:rsidRPr="003F0514">
        <w:rPr>
          <w:rFonts w:ascii="Times New Roman" w:hAnsi="Times New Roman" w:cs="Times New Roman"/>
          <w:iCs/>
          <w:sz w:val="22"/>
          <w:szCs w:val="22"/>
        </w:rPr>
        <w:t>Neznáme:</w:t>
      </w:r>
      <w:r w:rsidR="003F0514" w:rsidRPr="003F0514">
        <w:rPr>
          <w:rFonts w:ascii="Times New Roman" w:hAnsi="Times New Roman" w:cs="Times New Roman"/>
          <w:iCs/>
          <w:sz w:val="22"/>
          <w:szCs w:val="22"/>
        </w:rPr>
        <w:tab/>
      </w:r>
      <w:r w:rsidR="003F0514" w:rsidRPr="003F0514">
        <w:rPr>
          <w:rFonts w:ascii="Times New Roman" w:hAnsi="Times New Roman" w:cs="Times New Roman"/>
          <w:iCs/>
          <w:sz w:val="22"/>
          <w:szCs w:val="22"/>
        </w:rPr>
        <w:tab/>
        <w:t>Hypotenzia, Raynaudov jav.</w:t>
      </w:r>
    </w:p>
    <w:p w14:paraId="2228F01B" w14:textId="77777777" w:rsidR="003F0514" w:rsidRDefault="003F0514" w:rsidP="001346FA">
      <w:pPr>
        <w:rPr>
          <w:szCs w:val="22"/>
        </w:rPr>
      </w:pPr>
    </w:p>
    <w:p w14:paraId="179006AA" w14:textId="77777777" w:rsidR="001F5B0A" w:rsidRPr="001F5B0A" w:rsidRDefault="001F5B0A" w:rsidP="001F5B0A">
      <w:pPr>
        <w:pStyle w:val="Zkladntext"/>
        <w:rPr>
          <w:rFonts w:ascii="Times New Roman" w:hAnsi="Times New Roman" w:cs="Times New Roman"/>
          <w:b/>
          <w:iCs/>
          <w:sz w:val="22"/>
          <w:szCs w:val="22"/>
        </w:rPr>
      </w:pPr>
      <w:r w:rsidRPr="001F5B0A">
        <w:rPr>
          <w:rFonts w:ascii="Times New Roman" w:hAnsi="Times New Roman" w:cs="Times New Roman"/>
          <w:b/>
          <w:iCs/>
          <w:sz w:val="22"/>
          <w:szCs w:val="22"/>
        </w:rPr>
        <w:t>Poruchy dýchacej sústavy, hrudníka mediastína</w:t>
      </w:r>
    </w:p>
    <w:p w14:paraId="0B5C6CD8" w14:textId="77777777" w:rsidR="001F5B0A" w:rsidRPr="001F5B0A" w:rsidRDefault="001F5B0A" w:rsidP="001F5B0A">
      <w:pPr>
        <w:pStyle w:val="Zkladntext"/>
        <w:rPr>
          <w:rFonts w:ascii="Times New Roman" w:hAnsi="Times New Roman" w:cs="Times New Roman"/>
          <w:iCs/>
          <w:sz w:val="22"/>
          <w:szCs w:val="22"/>
        </w:rPr>
      </w:pPr>
      <w:r w:rsidRPr="001F5B0A">
        <w:rPr>
          <w:rFonts w:ascii="Times New Roman" w:hAnsi="Times New Roman" w:cs="Times New Roman"/>
          <w:iCs/>
          <w:sz w:val="22"/>
          <w:szCs w:val="22"/>
        </w:rPr>
        <w:t>Časté:</w:t>
      </w:r>
      <w:r w:rsidRPr="001F5B0A">
        <w:rPr>
          <w:rFonts w:ascii="Times New Roman" w:hAnsi="Times New Roman" w:cs="Times New Roman"/>
          <w:iCs/>
          <w:sz w:val="22"/>
          <w:szCs w:val="22"/>
        </w:rPr>
        <w:tab/>
      </w:r>
      <w:r w:rsidRPr="001F5B0A">
        <w:rPr>
          <w:rFonts w:ascii="Times New Roman" w:hAnsi="Times New Roman" w:cs="Times New Roman"/>
          <w:iCs/>
          <w:sz w:val="22"/>
          <w:szCs w:val="22"/>
        </w:rPr>
        <w:tab/>
      </w:r>
      <w:r w:rsidRPr="001F5B0A">
        <w:rPr>
          <w:rFonts w:ascii="Times New Roman" w:hAnsi="Times New Roman" w:cs="Times New Roman"/>
          <w:iCs/>
          <w:sz w:val="22"/>
          <w:szCs w:val="22"/>
        </w:rPr>
        <w:tab/>
        <w:t>Dyspnoe</w:t>
      </w:r>
    </w:p>
    <w:p w14:paraId="73C86013" w14:textId="77777777" w:rsidR="001F5B0A" w:rsidRPr="001F5B0A" w:rsidRDefault="001F5B0A" w:rsidP="001F5B0A">
      <w:pPr>
        <w:pStyle w:val="Zkladntext"/>
        <w:rPr>
          <w:rFonts w:ascii="Times New Roman" w:hAnsi="Times New Roman" w:cs="Times New Roman"/>
          <w:iCs/>
          <w:sz w:val="22"/>
          <w:szCs w:val="22"/>
        </w:rPr>
      </w:pPr>
    </w:p>
    <w:p w14:paraId="691AAF49" w14:textId="77777777" w:rsidR="001F5B0A" w:rsidRPr="001F5B0A" w:rsidRDefault="001F5B0A" w:rsidP="001F5B0A">
      <w:pPr>
        <w:pStyle w:val="Zkladntext"/>
        <w:rPr>
          <w:rFonts w:ascii="Times New Roman" w:hAnsi="Times New Roman" w:cs="Times New Roman"/>
          <w:b/>
          <w:iCs/>
          <w:sz w:val="22"/>
          <w:szCs w:val="22"/>
        </w:rPr>
      </w:pPr>
      <w:r w:rsidRPr="001F5B0A">
        <w:rPr>
          <w:rFonts w:ascii="Times New Roman" w:hAnsi="Times New Roman" w:cs="Times New Roman"/>
          <w:b/>
          <w:iCs/>
          <w:sz w:val="22"/>
          <w:szCs w:val="22"/>
        </w:rPr>
        <w:t>Poruchy gastrointestinálneho traktu</w:t>
      </w:r>
    </w:p>
    <w:p w14:paraId="3FC3836C" w14:textId="77777777" w:rsidR="001F5B0A" w:rsidRPr="001F5B0A" w:rsidRDefault="001F5B0A" w:rsidP="001F5B0A">
      <w:pPr>
        <w:pStyle w:val="Zkladntext"/>
        <w:ind w:left="2124" w:hanging="2124"/>
        <w:rPr>
          <w:rFonts w:ascii="Times New Roman" w:hAnsi="Times New Roman" w:cs="Times New Roman"/>
          <w:iCs/>
          <w:sz w:val="22"/>
          <w:szCs w:val="22"/>
        </w:rPr>
      </w:pPr>
      <w:r w:rsidRPr="001F5B0A">
        <w:rPr>
          <w:rFonts w:ascii="Times New Roman" w:hAnsi="Times New Roman" w:cs="Times New Roman"/>
          <w:iCs/>
          <w:sz w:val="22"/>
          <w:szCs w:val="22"/>
        </w:rPr>
        <w:t>Časté:</w:t>
      </w:r>
      <w:r w:rsidRPr="001F5B0A">
        <w:rPr>
          <w:rFonts w:ascii="Times New Roman" w:hAnsi="Times New Roman" w:cs="Times New Roman"/>
          <w:iCs/>
          <w:sz w:val="22"/>
          <w:szCs w:val="22"/>
        </w:rPr>
        <w:tab/>
        <w:t>Nauzea a vracanie sa objavili u niektorých pacientov, avšak nie je jasné, či to súvisí so sumatript</w:t>
      </w:r>
      <w:r w:rsidR="000C4F9E">
        <w:rPr>
          <w:rFonts w:ascii="Times New Roman" w:hAnsi="Times New Roman" w:cs="Times New Roman"/>
          <w:iCs/>
          <w:sz w:val="22"/>
          <w:szCs w:val="22"/>
        </w:rPr>
        <w:t>á</w:t>
      </w:r>
      <w:r w:rsidRPr="001F5B0A">
        <w:rPr>
          <w:rFonts w:ascii="Times New Roman" w:hAnsi="Times New Roman" w:cs="Times New Roman"/>
          <w:iCs/>
          <w:sz w:val="22"/>
          <w:szCs w:val="22"/>
        </w:rPr>
        <w:t>nom alebo základným ochorením.</w:t>
      </w:r>
    </w:p>
    <w:p w14:paraId="4A95A265" w14:textId="77777777" w:rsidR="001F5B0A" w:rsidRPr="001F5B0A" w:rsidRDefault="001F5B0A" w:rsidP="000C4F9E">
      <w:pPr>
        <w:pStyle w:val="Zkladntext"/>
        <w:rPr>
          <w:rFonts w:ascii="Times New Roman" w:hAnsi="Times New Roman" w:cs="Times New Roman"/>
          <w:iCs/>
          <w:sz w:val="22"/>
          <w:szCs w:val="22"/>
        </w:rPr>
      </w:pPr>
      <w:r w:rsidRPr="001F5B0A">
        <w:rPr>
          <w:rFonts w:ascii="Times New Roman" w:hAnsi="Times New Roman" w:cs="Times New Roman"/>
          <w:iCs/>
          <w:sz w:val="22"/>
          <w:szCs w:val="22"/>
        </w:rPr>
        <w:t>Neznáme:</w:t>
      </w:r>
      <w:r w:rsidRPr="001F5B0A">
        <w:rPr>
          <w:rFonts w:ascii="Times New Roman" w:hAnsi="Times New Roman" w:cs="Times New Roman"/>
          <w:iCs/>
          <w:sz w:val="22"/>
          <w:szCs w:val="22"/>
        </w:rPr>
        <w:tab/>
      </w:r>
      <w:r w:rsidRPr="001F5B0A">
        <w:rPr>
          <w:rFonts w:ascii="Times New Roman" w:hAnsi="Times New Roman" w:cs="Times New Roman"/>
          <w:iCs/>
          <w:sz w:val="22"/>
          <w:szCs w:val="22"/>
        </w:rPr>
        <w:tab/>
        <w:t>Ischemická kolitída, hnačka.</w:t>
      </w:r>
    </w:p>
    <w:p w14:paraId="6983E690" w14:textId="77777777" w:rsidR="001F5B0A" w:rsidRPr="001F5B0A" w:rsidRDefault="001F5B0A" w:rsidP="000C4F9E">
      <w:pPr>
        <w:pStyle w:val="Zkladntext"/>
        <w:rPr>
          <w:rFonts w:ascii="Times New Roman" w:hAnsi="Times New Roman" w:cs="Times New Roman"/>
          <w:iCs/>
          <w:sz w:val="22"/>
          <w:szCs w:val="22"/>
        </w:rPr>
      </w:pPr>
    </w:p>
    <w:p w14:paraId="04311568" w14:textId="77777777" w:rsidR="00483AA4" w:rsidRPr="00483AA4" w:rsidRDefault="00483AA4" w:rsidP="00483AA4">
      <w:pPr>
        <w:pStyle w:val="Nadpis1"/>
        <w:spacing w:before="0" w:after="0"/>
        <w:ind w:left="0" w:firstLine="0"/>
        <w:rPr>
          <w:rFonts w:ascii="Times New Roman" w:hAnsi="Times New Roman"/>
          <w:bCs w:val="0"/>
          <w:sz w:val="22"/>
          <w:szCs w:val="22"/>
        </w:rPr>
      </w:pPr>
      <w:r w:rsidRPr="00483AA4">
        <w:rPr>
          <w:rFonts w:ascii="Times New Roman" w:hAnsi="Times New Roman"/>
          <w:bCs w:val="0"/>
          <w:sz w:val="22"/>
          <w:szCs w:val="22"/>
        </w:rPr>
        <w:t>Poruchy kože a podkožného tkaniva</w:t>
      </w:r>
    </w:p>
    <w:p w14:paraId="6A0EEA41" w14:textId="77777777" w:rsidR="00483AA4" w:rsidRPr="00483AA4" w:rsidRDefault="00483AA4" w:rsidP="00483AA4">
      <w:pPr>
        <w:pStyle w:val="Nadpis1"/>
        <w:spacing w:before="0" w:after="0"/>
        <w:ind w:left="0" w:firstLine="0"/>
        <w:rPr>
          <w:rFonts w:ascii="Times New Roman" w:hAnsi="Times New Roman"/>
          <w:b w:val="0"/>
          <w:bCs w:val="0"/>
          <w:sz w:val="22"/>
          <w:szCs w:val="22"/>
        </w:rPr>
      </w:pPr>
      <w:r w:rsidRPr="00483AA4">
        <w:rPr>
          <w:rFonts w:ascii="Times New Roman" w:hAnsi="Times New Roman"/>
          <w:b w:val="0"/>
          <w:sz w:val="22"/>
          <w:szCs w:val="22"/>
        </w:rPr>
        <w:t>Neznáme:</w:t>
      </w:r>
      <w:r w:rsidRPr="00483AA4">
        <w:rPr>
          <w:rFonts w:ascii="Times New Roman" w:hAnsi="Times New Roman"/>
          <w:b w:val="0"/>
          <w:sz w:val="22"/>
          <w:szCs w:val="22"/>
        </w:rPr>
        <w:tab/>
      </w:r>
      <w:r w:rsidRPr="00483AA4">
        <w:rPr>
          <w:rFonts w:ascii="Times New Roman" w:hAnsi="Times New Roman"/>
          <w:b w:val="0"/>
          <w:sz w:val="22"/>
          <w:szCs w:val="22"/>
        </w:rPr>
        <w:tab/>
      </w:r>
      <w:proofErr w:type="spellStart"/>
      <w:r w:rsidRPr="00483AA4">
        <w:rPr>
          <w:rFonts w:ascii="Times New Roman" w:hAnsi="Times New Roman"/>
          <w:b w:val="0"/>
          <w:sz w:val="22"/>
          <w:szCs w:val="22"/>
        </w:rPr>
        <w:t>Hyperhidróza</w:t>
      </w:r>
      <w:proofErr w:type="spellEnd"/>
    </w:p>
    <w:p w14:paraId="593DB7A6" w14:textId="77777777" w:rsidR="00483AA4" w:rsidRPr="00483AA4" w:rsidRDefault="00483AA4" w:rsidP="00483AA4"/>
    <w:p w14:paraId="2FBB34B2" w14:textId="77777777" w:rsidR="001F5B0A" w:rsidRPr="001F5B0A" w:rsidRDefault="001F5B0A" w:rsidP="000C4F9E">
      <w:pPr>
        <w:pStyle w:val="Nadpis1"/>
        <w:spacing w:before="0" w:after="0"/>
        <w:ind w:left="0" w:firstLine="0"/>
        <w:rPr>
          <w:rFonts w:ascii="Times New Roman" w:hAnsi="Times New Roman"/>
          <w:bCs w:val="0"/>
          <w:sz w:val="22"/>
          <w:szCs w:val="22"/>
        </w:rPr>
      </w:pPr>
      <w:r w:rsidRPr="001F5B0A">
        <w:rPr>
          <w:rFonts w:ascii="Times New Roman" w:hAnsi="Times New Roman"/>
          <w:bCs w:val="0"/>
          <w:sz w:val="22"/>
          <w:szCs w:val="22"/>
        </w:rPr>
        <w:t>Poruchy kostrovej a svalovej sústavy a spojivového tkaniva</w:t>
      </w:r>
    </w:p>
    <w:p w14:paraId="3BE15EE4" w14:textId="77777777" w:rsidR="001F5B0A" w:rsidRPr="001F5B0A" w:rsidRDefault="001F5B0A" w:rsidP="001F5B0A">
      <w:pPr>
        <w:ind w:left="2130" w:hanging="2130"/>
        <w:rPr>
          <w:iCs/>
          <w:szCs w:val="22"/>
        </w:rPr>
      </w:pPr>
      <w:r w:rsidRPr="001F5B0A">
        <w:rPr>
          <w:iCs/>
          <w:szCs w:val="22"/>
        </w:rPr>
        <w:t>Časté:</w:t>
      </w:r>
      <w:r w:rsidRPr="001F5B0A">
        <w:rPr>
          <w:iCs/>
          <w:szCs w:val="22"/>
        </w:rPr>
        <w:tab/>
        <w:t>Pocit ťažoby (zvyčajne prechodný a môže byť intenzívny a môže ovplyvniť akúkoľvek časť tela vrátane hrudníka a hrdla)</w:t>
      </w:r>
      <w:r>
        <w:rPr>
          <w:iCs/>
          <w:szCs w:val="22"/>
        </w:rPr>
        <w:t>.</w:t>
      </w:r>
      <w:r w:rsidRPr="001F5B0A">
        <w:rPr>
          <w:iCs/>
          <w:szCs w:val="22"/>
        </w:rPr>
        <w:t xml:space="preserve"> </w:t>
      </w:r>
      <w:r>
        <w:rPr>
          <w:iCs/>
          <w:szCs w:val="22"/>
        </w:rPr>
        <w:t>M</w:t>
      </w:r>
      <w:r w:rsidRPr="001F5B0A">
        <w:rPr>
          <w:iCs/>
          <w:szCs w:val="22"/>
        </w:rPr>
        <w:t xml:space="preserve">yalgia. </w:t>
      </w:r>
    </w:p>
    <w:p w14:paraId="50021C94" w14:textId="77777777" w:rsidR="001F5B0A" w:rsidRPr="001F5B0A" w:rsidRDefault="001F5B0A" w:rsidP="001F5B0A">
      <w:pPr>
        <w:ind w:left="0" w:firstLine="0"/>
        <w:rPr>
          <w:szCs w:val="22"/>
        </w:rPr>
      </w:pPr>
      <w:r w:rsidRPr="001F5B0A">
        <w:rPr>
          <w:iCs/>
          <w:szCs w:val="22"/>
        </w:rPr>
        <w:t>Neznáme:</w:t>
      </w:r>
      <w:r w:rsidRPr="001F5B0A">
        <w:rPr>
          <w:szCs w:val="22"/>
        </w:rPr>
        <w:tab/>
      </w:r>
      <w:r w:rsidRPr="001F5B0A">
        <w:rPr>
          <w:szCs w:val="22"/>
        </w:rPr>
        <w:tab/>
        <w:t>Strnutie šije, artralgia.</w:t>
      </w:r>
    </w:p>
    <w:p w14:paraId="7C0F4C1A" w14:textId="77777777" w:rsidR="001346FA" w:rsidRDefault="001346FA" w:rsidP="001346FA">
      <w:pPr>
        <w:rPr>
          <w:b/>
          <w:bCs/>
          <w:szCs w:val="22"/>
        </w:rPr>
      </w:pPr>
    </w:p>
    <w:p w14:paraId="71E788B0" w14:textId="77777777" w:rsidR="001F5B0A" w:rsidRPr="001F5B0A" w:rsidRDefault="001F5B0A" w:rsidP="001F5B0A">
      <w:pPr>
        <w:ind w:left="0" w:firstLine="0"/>
        <w:rPr>
          <w:b/>
          <w:szCs w:val="22"/>
        </w:rPr>
      </w:pPr>
      <w:r w:rsidRPr="001F5B0A">
        <w:rPr>
          <w:b/>
          <w:szCs w:val="22"/>
        </w:rPr>
        <w:t>Celkové poruchy a reakcie v mieste podania</w:t>
      </w:r>
    </w:p>
    <w:p w14:paraId="5A73C2E5" w14:textId="77777777" w:rsidR="001F5B0A" w:rsidRDefault="001F5B0A" w:rsidP="001F5B0A">
      <w:pPr>
        <w:ind w:left="2124" w:hanging="2124"/>
        <w:rPr>
          <w:iCs/>
        </w:rPr>
      </w:pPr>
      <w:r>
        <w:rPr>
          <w:iCs/>
        </w:rPr>
        <w:t>Časté:</w:t>
      </w:r>
      <w:r>
        <w:rPr>
          <w:iCs/>
        </w:rPr>
        <w:tab/>
        <w:t>Bolesť, pocit tepla alebo chladu, tlak alebo tieseň (tieto udalosti sú zvyčajne prechodné a môžu byť intenzívne a môže ovplyvniť akúkoľvek časť tela vrátane hrudníka a hrdla), pocit slabosti, únava (obidve udalosti sú prevažne miernej alebo stredne závažnej intenzity a prechodné).</w:t>
      </w:r>
    </w:p>
    <w:p w14:paraId="2608A7E1" w14:textId="77777777" w:rsidR="001F5B0A" w:rsidRDefault="001F5B0A" w:rsidP="001F5B0A">
      <w:pPr>
        <w:ind w:left="0" w:firstLine="0"/>
        <w:rPr>
          <w:iCs/>
        </w:rPr>
      </w:pPr>
    </w:p>
    <w:p w14:paraId="351D30AA" w14:textId="77777777" w:rsidR="001F5B0A" w:rsidRPr="001F5B0A" w:rsidRDefault="001F5B0A" w:rsidP="001F5B0A">
      <w:pPr>
        <w:ind w:left="0" w:firstLine="0"/>
        <w:rPr>
          <w:b/>
          <w:iCs/>
        </w:rPr>
      </w:pPr>
      <w:r w:rsidRPr="001F5B0A">
        <w:rPr>
          <w:b/>
          <w:iCs/>
        </w:rPr>
        <w:t>Laboratórne a funkčné vyšetrenia</w:t>
      </w:r>
    </w:p>
    <w:p w14:paraId="3BE0C000" w14:textId="77777777" w:rsidR="001F5B0A" w:rsidRDefault="001F5B0A" w:rsidP="001F5B0A">
      <w:pPr>
        <w:ind w:left="0" w:firstLine="0"/>
        <w:rPr>
          <w:iCs/>
          <w:szCs w:val="22"/>
        </w:rPr>
      </w:pPr>
      <w:r>
        <w:rPr>
          <w:iCs/>
          <w:szCs w:val="22"/>
        </w:rPr>
        <w:t>Veľmi zriedkavé:</w:t>
      </w:r>
      <w:r>
        <w:rPr>
          <w:iCs/>
          <w:szCs w:val="22"/>
        </w:rPr>
        <w:tab/>
        <w:t>Občas sa pozorovali mierne odchýlky funkčných pečeňových testov.</w:t>
      </w:r>
    </w:p>
    <w:p w14:paraId="38329C76" w14:textId="77777777" w:rsidR="001F5B0A" w:rsidRDefault="001F5B0A" w:rsidP="001F5B0A">
      <w:pPr>
        <w:ind w:left="0" w:firstLine="0"/>
        <w:rPr>
          <w:iCs/>
          <w:szCs w:val="22"/>
        </w:rPr>
      </w:pPr>
    </w:p>
    <w:p w14:paraId="5F2C8BDB" w14:textId="77777777" w:rsidR="00483AA4" w:rsidRPr="005127C7" w:rsidRDefault="00483AA4" w:rsidP="00483AA4">
      <w:pPr>
        <w:pStyle w:val="Normlnweb"/>
        <w:spacing w:before="0"/>
        <w:rPr>
          <w:bCs/>
          <w:sz w:val="22"/>
          <w:szCs w:val="22"/>
        </w:rPr>
      </w:pPr>
      <w:r w:rsidRPr="005127C7">
        <w:rPr>
          <w:bCs/>
          <w:sz w:val="22"/>
          <w:szCs w:val="22"/>
          <w:u w:val="single"/>
        </w:rPr>
        <w:t>Hlásenie podozrení na nežiaduce reakcie</w:t>
      </w:r>
    </w:p>
    <w:p w14:paraId="1A4B6AC7" w14:textId="746352C2" w:rsidR="000005D4" w:rsidRDefault="00483AA4" w:rsidP="007446E7">
      <w:pPr>
        <w:ind w:left="0" w:firstLine="0"/>
        <w:rPr>
          <w:noProof/>
          <w:szCs w:val="22"/>
        </w:rPr>
      </w:pPr>
      <w:r w:rsidRPr="005E6218">
        <w:rPr>
          <w:szCs w:val="22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="000005D4" w:rsidRPr="000005D4">
        <w:rPr>
          <w:noProof/>
          <w:szCs w:val="22"/>
        </w:rPr>
        <w:t xml:space="preserve">na </w:t>
      </w:r>
      <w:r w:rsidR="000005D4" w:rsidRPr="000005D4">
        <w:rPr>
          <w:noProof/>
          <w:szCs w:val="22"/>
          <w:highlight w:val="lightGray"/>
        </w:rPr>
        <w:t>národné centrum hlásenia uvedené v </w:t>
      </w:r>
      <w:hyperlink r:id="rId7" w:history="1">
        <w:r w:rsidR="000005D4" w:rsidRPr="000005D4">
          <w:rPr>
            <w:noProof/>
            <w:color w:val="0000FF"/>
            <w:szCs w:val="22"/>
            <w:highlight w:val="lightGray"/>
            <w:u w:val="single"/>
          </w:rPr>
          <w:t>Prílohe V</w:t>
        </w:r>
      </w:hyperlink>
      <w:r w:rsidR="000005D4" w:rsidRPr="000005D4">
        <w:rPr>
          <w:noProof/>
          <w:szCs w:val="22"/>
        </w:rPr>
        <w:t>.</w:t>
      </w:r>
    </w:p>
    <w:p w14:paraId="577391FD" w14:textId="77777777" w:rsidR="00CA0D8E" w:rsidRPr="00CA0D8E" w:rsidRDefault="00CA0D8E" w:rsidP="000005D4">
      <w:pPr>
        <w:rPr>
          <w:bCs/>
          <w:szCs w:val="22"/>
        </w:rPr>
      </w:pPr>
    </w:p>
    <w:p w14:paraId="07B474CD" w14:textId="77777777" w:rsidR="00CE3249" w:rsidRPr="003E7411" w:rsidRDefault="00CE3249" w:rsidP="001D52CA">
      <w:pPr>
        <w:ind w:left="0" w:firstLine="0"/>
        <w:rPr>
          <w:color w:val="000000"/>
          <w:szCs w:val="22"/>
        </w:rPr>
      </w:pPr>
      <w:r w:rsidRPr="003E7411">
        <w:rPr>
          <w:b/>
          <w:color w:val="000000"/>
          <w:szCs w:val="22"/>
        </w:rPr>
        <w:t>4.9</w:t>
      </w:r>
      <w:r w:rsidRPr="003E7411">
        <w:rPr>
          <w:b/>
          <w:color w:val="000000"/>
          <w:szCs w:val="22"/>
        </w:rPr>
        <w:tab/>
        <w:t>Predávkovanie</w:t>
      </w:r>
    </w:p>
    <w:p w14:paraId="30F18071" w14:textId="77777777" w:rsidR="00CE3249" w:rsidRDefault="00CE3249" w:rsidP="00CE3249">
      <w:pPr>
        <w:rPr>
          <w:color w:val="000000"/>
          <w:szCs w:val="22"/>
        </w:rPr>
      </w:pPr>
    </w:p>
    <w:p w14:paraId="3BD929B8" w14:textId="6DB62140" w:rsidR="007314AD" w:rsidRPr="007314AD" w:rsidRDefault="008F70C0" w:rsidP="007314AD">
      <w:pPr>
        <w:rPr>
          <w:b/>
          <w:szCs w:val="22"/>
        </w:rPr>
      </w:pPr>
      <w:r>
        <w:rPr>
          <w:b/>
          <w:szCs w:val="22"/>
        </w:rPr>
        <w:t>P</w:t>
      </w:r>
      <w:r w:rsidR="007314AD" w:rsidRPr="007314AD">
        <w:rPr>
          <w:b/>
          <w:szCs w:val="22"/>
        </w:rPr>
        <w:t>ríznaky</w:t>
      </w:r>
      <w:r>
        <w:rPr>
          <w:b/>
          <w:szCs w:val="22"/>
        </w:rPr>
        <w:t xml:space="preserve"> a prejavy</w:t>
      </w:r>
    </w:p>
    <w:p w14:paraId="15225A4D" w14:textId="77777777" w:rsidR="007314AD" w:rsidRDefault="007314AD" w:rsidP="007314AD">
      <w:pPr>
        <w:ind w:left="0" w:firstLine="0"/>
      </w:pPr>
      <w:r>
        <w:t>Po podaní dávok prevyšujúcich 400 mg perorálne a 16 mg subkutánne sa nezistili žiadne iné nežiaduce účinky okrem tých, ktoré sú uvedené v príslušnej časti. Pacienti dostali až 12 mg sumatript</w:t>
      </w:r>
      <w:r w:rsidR="001D52CA">
        <w:t>á</w:t>
      </w:r>
      <w:r>
        <w:t>nu ako jednorazovú subkutánnu injekciu bez významných nežiaducich účinkov.</w:t>
      </w:r>
    </w:p>
    <w:p w14:paraId="61EF095F" w14:textId="77777777" w:rsidR="007314AD" w:rsidRDefault="007314AD" w:rsidP="00A14931">
      <w:pPr>
        <w:autoSpaceDE w:val="0"/>
        <w:autoSpaceDN w:val="0"/>
        <w:adjustRightInd w:val="0"/>
        <w:ind w:left="0" w:firstLine="0"/>
        <w:rPr>
          <w:rFonts w:eastAsia="SimSun"/>
          <w:szCs w:val="22"/>
          <w:lang w:eastAsia="zh-CN"/>
        </w:rPr>
      </w:pPr>
    </w:p>
    <w:p w14:paraId="2A4773B4" w14:textId="77777777" w:rsidR="007314AD" w:rsidRPr="007314AD" w:rsidRDefault="007314AD" w:rsidP="00A14931">
      <w:pPr>
        <w:autoSpaceDE w:val="0"/>
        <w:autoSpaceDN w:val="0"/>
        <w:adjustRightInd w:val="0"/>
        <w:ind w:left="0" w:firstLine="0"/>
        <w:rPr>
          <w:rFonts w:eastAsia="SimSun"/>
          <w:b/>
          <w:szCs w:val="22"/>
          <w:lang w:eastAsia="zh-CN"/>
        </w:rPr>
      </w:pPr>
      <w:r w:rsidRPr="007314AD">
        <w:rPr>
          <w:rFonts w:eastAsia="SimSun"/>
          <w:b/>
          <w:szCs w:val="22"/>
          <w:lang w:eastAsia="zh-CN"/>
        </w:rPr>
        <w:t>Liečba</w:t>
      </w:r>
    </w:p>
    <w:p w14:paraId="122E9357" w14:textId="77777777" w:rsidR="00A14931" w:rsidRDefault="00A14931" w:rsidP="00A14931">
      <w:pPr>
        <w:autoSpaceDE w:val="0"/>
        <w:autoSpaceDN w:val="0"/>
        <w:adjustRightInd w:val="0"/>
        <w:ind w:left="0" w:firstLine="0"/>
        <w:rPr>
          <w:rFonts w:eastAsia="SimSun"/>
          <w:szCs w:val="22"/>
          <w:lang w:eastAsia="zh-CN"/>
        </w:rPr>
      </w:pPr>
      <w:r w:rsidRPr="00A14931">
        <w:rPr>
          <w:rFonts w:eastAsia="SimSun"/>
          <w:szCs w:val="22"/>
          <w:lang w:eastAsia="zh-CN"/>
        </w:rPr>
        <w:t>V prí</w:t>
      </w:r>
      <w:r>
        <w:rPr>
          <w:rFonts w:eastAsia="SimSun"/>
          <w:szCs w:val="22"/>
          <w:lang w:eastAsia="zh-CN"/>
        </w:rPr>
        <w:t>pade predávkovania</w:t>
      </w:r>
      <w:r w:rsidRPr="00A14931">
        <w:rPr>
          <w:rFonts w:eastAsia="SimSun"/>
          <w:szCs w:val="22"/>
          <w:lang w:eastAsia="zh-CN"/>
        </w:rPr>
        <w:t xml:space="preserve"> musí byť pacient monitorovaný aspoň 10 hodín a</w:t>
      </w:r>
      <w:r>
        <w:rPr>
          <w:rFonts w:eastAsia="SimSun"/>
          <w:szCs w:val="22"/>
          <w:lang w:eastAsia="zh-CN"/>
        </w:rPr>
        <w:t xml:space="preserve"> </w:t>
      </w:r>
      <w:r w:rsidRPr="00A14931">
        <w:rPr>
          <w:rFonts w:eastAsia="SimSun"/>
          <w:szCs w:val="22"/>
          <w:lang w:eastAsia="zh-CN"/>
        </w:rPr>
        <w:t>podľa potreby sa musí začať štandardná podporná liečba.</w:t>
      </w:r>
    </w:p>
    <w:p w14:paraId="1FD72701" w14:textId="77777777" w:rsidR="003510B7" w:rsidRPr="003544C6" w:rsidRDefault="003510B7" w:rsidP="00A14931">
      <w:pPr>
        <w:ind w:left="0" w:firstLine="0"/>
        <w:rPr>
          <w:szCs w:val="22"/>
        </w:rPr>
      </w:pPr>
    </w:p>
    <w:p w14:paraId="4CC88419" w14:textId="7F267C06" w:rsidR="003510B7" w:rsidRPr="003544C6" w:rsidRDefault="003510B7" w:rsidP="007446E7">
      <w:pPr>
        <w:ind w:left="0" w:firstLine="0"/>
        <w:rPr>
          <w:szCs w:val="22"/>
        </w:rPr>
      </w:pPr>
      <w:r w:rsidRPr="003544C6">
        <w:lastRenderedPageBreak/>
        <w:t xml:space="preserve">Nie sú žiadne informácie o vplyve hemodialýzy alebo peritoneálnej dialýzy na plazmatické koncentrácie </w:t>
      </w:r>
      <w:proofErr w:type="spellStart"/>
      <w:r>
        <w:t>sumatript</w:t>
      </w:r>
      <w:r w:rsidR="001D52CA">
        <w:t>á</w:t>
      </w:r>
      <w:r>
        <w:t>n</w:t>
      </w:r>
      <w:r w:rsidRPr="003544C6">
        <w:t>u</w:t>
      </w:r>
      <w:proofErr w:type="spellEnd"/>
      <w:r w:rsidRPr="003544C6">
        <w:rPr>
          <w:szCs w:val="22"/>
        </w:rPr>
        <w:t>.</w:t>
      </w:r>
    </w:p>
    <w:p w14:paraId="43808FEB" w14:textId="77777777" w:rsidR="00690E2F" w:rsidRPr="003E7411" w:rsidRDefault="00690E2F" w:rsidP="00CE3249">
      <w:pPr>
        <w:rPr>
          <w:color w:val="000000"/>
          <w:szCs w:val="22"/>
        </w:rPr>
      </w:pPr>
    </w:p>
    <w:p w14:paraId="361E063C" w14:textId="77777777" w:rsidR="00545125" w:rsidRPr="003E7411" w:rsidRDefault="00545125" w:rsidP="00571FEB">
      <w:pPr>
        <w:ind w:left="0" w:firstLine="0"/>
        <w:rPr>
          <w:color w:val="000000"/>
          <w:szCs w:val="22"/>
        </w:rPr>
      </w:pPr>
    </w:p>
    <w:p w14:paraId="38E1F9CC" w14:textId="77777777" w:rsidR="00CE3249" w:rsidRPr="003E7411" w:rsidRDefault="00CE3249" w:rsidP="00CE3249">
      <w:pPr>
        <w:rPr>
          <w:b/>
          <w:color w:val="000000"/>
          <w:szCs w:val="22"/>
        </w:rPr>
      </w:pPr>
      <w:r w:rsidRPr="003E7411">
        <w:rPr>
          <w:b/>
          <w:color w:val="000000"/>
          <w:szCs w:val="22"/>
        </w:rPr>
        <w:t>5.</w:t>
      </w:r>
      <w:r w:rsidRPr="003E7411">
        <w:rPr>
          <w:b/>
          <w:color w:val="000000"/>
          <w:szCs w:val="22"/>
        </w:rPr>
        <w:tab/>
        <w:t>FARMAKOLOGICKÉ VLASTNOSTI</w:t>
      </w:r>
    </w:p>
    <w:p w14:paraId="5038E452" w14:textId="77777777" w:rsidR="001D52CA" w:rsidRDefault="001D52CA" w:rsidP="00C7664A">
      <w:pPr>
        <w:rPr>
          <w:b/>
          <w:color w:val="000000"/>
          <w:szCs w:val="22"/>
        </w:rPr>
      </w:pPr>
    </w:p>
    <w:p w14:paraId="319BF621" w14:textId="77777777" w:rsidR="00C7664A" w:rsidRPr="003E7411" w:rsidRDefault="00C7664A" w:rsidP="00C7664A">
      <w:pPr>
        <w:rPr>
          <w:color w:val="000000"/>
          <w:szCs w:val="22"/>
        </w:rPr>
      </w:pPr>
      <w:r w:rsidRPr="003E7411">
        <w:rPr>
          <w:b/>
          <w:color w:val="000000"/>
          <w:szCs w:val="22"/>
        </w:rPr>
        <w:t>5.1</w:t>
      </w:r>
      <w:r w:rsidRPr="003E7411">
        <w:rPr>
          <w:b/>
          <w:color w:val="000000"/>
          <w:szCs w:val="22"/>
        </w:rPr>
        <w:tab/>
        <w:t>Farmakodynamické vlastnosti</w:t>
      </w:r>
    </w:p>
    <w:p w14:paraId="473E2FBF" w14:textId="77777777" w:rsidR="00545125" w:rsidRPr="003E7411" w:rsidRDefault="00545125" w:rsidP="00CE3249">
      <w:pPr>
        <w:rPr>
          <w:color w:val="000000"/>
          <w:szCs w:val="22"/>
        </w:rPr>
      </w:pPr>
    </w:p>
    <w:p w14:paraId="37BA9179" w14:textId="77777777" w:rsidR="003510B7" w:rsidRPr="00123D62" w:rsidRDefault="00571FEB" w:rsidP="003510B7">
      <w:pPr>
        <w:rPr>
          <w:szCs w:val="22"/>
        </w:rPr>
      </w:pPr>
      <w:r w:rsidRPr="003E7411">
        <w:rPr>
          <w:color w:val="000000"/>
          <w:szCs w:val="22"/>
        </w:rPr>
        <w:t>Farmakoterapeutická skupina</w:t>
      </w:r>
      <w:r w:rsidR="00064BAD">
        <w:rPr>
          <w:color w:val="000000"/>
          <w:szCs w:val="22"/>
        </w:rPr>
        <w:t>:</w:t>
      </w:r>
      <w:r w:rsidR="003510B7">
        <w:rPr>
          <w:color w:val="000000"/>
          <w:szCs w:val="22"/>
        </w:rPr>
        <w:t xml:space="preserve"> </w:t>
      </w:r>
      <w:r w:rsidR="003510B7" w:rsidRPr="003544C6">
        <w:rPr>
          <w:szCs w:val="22"/>
        </w:rPr>
        <w:t xml:space="preserve">Analgetiká: </w:t>
      </w:r>
      <w:r w:rsidR="003510B7" w:rsidRPr="00123D62">
        <w:rPr>
          <w:szCs w:val="22"/>
        </w:rPr>
        <w:t>selektívn</w:t>
      </w:r>
      <w:r w:rsidR="003510B7">
        <w:rPr>
          <w:szCs w:val="22"/>
        </w:rPr>
        <w:t>i</w:t>
      </w:r>
      <w:r w:rsidR="003510B7" w:rsidRPr="00123D62">
        <w:rPr>
          <w:szCs w:val="22"/>
        </w:rPr>
        <w:t xml:space="preserve"> </w:t>
      </w:r>
      <w:r w:rsidR="00483AA4">
        <w:rPr>
          <w:szCs w:val="22"/>
        </w:rPr>
        <w:t xml:space="preserve">serotonínoví </w:t>
      </w:r>
      <w:r w:rsidR="003510B7" w:rsidRPr="00123D62">
        <w:rPr>
          <w:szCs w:val="22"/>
        </w:rPr>
        <w:t>agonist</w:t>
      </w:r>
      <w:r w:rsidR="003510B7">
        <w:rPr>
          <w:szCs w:val="22"/>
        </w:rPr>
        <w:t>i</w:t>
      </w:r>
      <w:r w:rsidR="003510B7" w:rsidRPr="00123D62">
        <w:rPr>
          <w:szCs w:val="22"/>
        </w:rPr>
        <w:t xml:space="preserve"> (5-HT</w:t>
      </w:r>
      <w:r w:rsidR="003510B7" w:rsidRPr="00123D62">
        <w:rPr>
          <w:szCs w:val="22"/>
          <w:vertAlign w:val="subscript"/>
        </w:rPr>
        <w:t>1</w:t>
      </w:r>
      <w:r w:rsidR="003510B7" w:rsidRPr="00123D62">
        <w:rPr>
          <w:szCs w:val="22"/>
        </w:rPr>
        <w:t>) receptorov</w:t>
      </w:r>
    </w:p>
    <w:p w14:paraId="0B6B95B1" w14:textId="77777777" w:rsidR="003510B7" w:rsidRPr="00123D62" w:rsidRDefault="003510B7" w:rsidP="003510B7">
      <w:pPr>
        <w:rPr>
          <w:szCs w:val="22"/>
        </w:rPr>
      </w:pPr>
      <w:r w:rsidRPr="00123D62">
        <w:rPr>
          <w:szCs w:val="22"/>
        </w:rPr>
        <w:t>ATC kód: N02CC01</w:t>
      </w:r>
    </w:p>
    <w:p w14:paraId="395A6CC3" w14:textId="0270E20D" w:rsidR="0011178D" w:rsidRDefault="0011178D" w:rsidP="00571FEB">
      <w:pPr>
        <w:rPr>
          <w:color w:val="000000"/>
          <w:szCs w:val="22"/>
        </w:rPr>
      </w:pPr>
    </w:p>
    <w:p w14:paraId="5D0B36ED" w14:textId="77777777" w:rsidR="00483AA4" w:rsidRPr="00E4014F" w:rsidRDefault="00483AA4" w:rsidP="00483AA4">
      <w:pPr>
        <w:pStyle w:val="OmniPage1542"/>
        <w:ind w:left="0" w:right="0"/>
        <w:rPr>
          <w:rFonts w:ascii="Times New Roman" w:hAnsi="Times New Roman"/>
          <w:noProof w:val="0"/>
          <w:sz w:val="22"/>
          <w:szCs w:val="22"/>
          <w:u w:val="single"/>
          <w:lang w:val="sk-SK"/>
        </w:rPr>
      </w:pPr>
      <w:r w:rsidRPr="00E4014F">
        <w:rPr>
          <w:rFonts w:ascii="Times New Roman" w:hAnsi="Times New Roman"/>
          <w:noProof w:val="0"/>
          <w:sz w:val="22"/>
          <w:szCs w:val="22"/>
          <w:u w:val="single"/>
          <w:lang w:val="sk-SK"/>
        </w:rPr>
        <w:t>Mechanizmus účinku</w:t>
      </w:r>
    </w:p>
    <w:p w14:paraId="124703E2" w14:textId="77777777" w:rsidR="00A14931" w:rsidRDefault="00715919" w:rsidP="005E442E">
      <w:pPr>
        <w:pStyle w:val="OmniPage1542"/>
        <w:ind w:left="0" w:right="0"/>
        <w:rPr>
          <w:rFonts w:ascii="Times New Roman" w:hAnsi="Times New Roman"/>
          <w:noProof w:val="0"/>
          <w:sz w:val="22"/>
          <w:szCs w:val="22"/>
          <w:lang w:val="sk-SK"/>
        </w:rPr>
      </w:pPr>
      <w:r>
        <w:rPr>
          <w:rFonts w:ascii="Times New Roman" w:hAnsi="Times New Roman"/>
          <w:noProof w:val="0"/>
          <w:sz w:val="22"/>
          <w:szCs w:val="22"/>
          <w:lang w:val="sk-SK"/>
        </w:rPr>
        <w:t>Sumatript</w:t>
      </w:r>
      <w:r w:rsidR="001D52CA">
        <w:rPr>
          <w:rFonts w:ascii="Times New Roman" w:hAnsi="Times New Roman"/>
          <w:noProof w:val="0"/>
          <w:sz w:val="22"/>
          <w:szCs w:val="22"/>
          <w:lang w:val="sk-SK"/>
        </w:rPr>
        <w:t>á</w:t>
      </w:r>
      <w:r w:rsidR="005E442E">
        <w:rPr>
          <w:rFonts w:ascii="Times New Roman" w:hAnsi="Times New Roman"/>
          <w:noProof w:val="0"/>
          <w:sz w:val="22"/>
          <w:szCs w:val="22"/>
          <w:lang w:val="sk-SK"/>
        </w:rPr>
        <w:t>n</w:t>
      </w:r>
      <w:r w:rsidR="005E442E" w:rsidRPr="00123D62">
        <w:rPr>
          <w:rFonts w:ascii="Times New Roman" w:hAnsi="Times New Roman"/>
          <w:noProof w:val="0"/>
          <w:sz w:val="22"/>
          <w:szCs w:val="22"/>
          <w:lang w:val="sk-SK"/>
        </w:rPr>
        <w:t xml:space="preserve"> </w:t>
      </w:r>
      <w:r w:rsidR="005E442E">
        <w:rPr>
          <w:rFonts w:ascii="Times New Roman" w:hAnsi="Times New Roman"/>
          <w:noProof w:val="0"/>
          <w:sz w:val="22"/>
          <w:szCs w:val="22"/>
          <w:lang w:val="sk-SK"/>
        </w:rPr>
        <w:t>sa dokázal ako</w:t>
      </w:r>
      <w:r w:rsidR="005E442E" w:rsidRPr="00123D62">
        <w:rPr>
          <w:rFonts w:ascii="Times New Roman" w:hAnsi="Times New Roman"/>
          <w:noProof w:val="0"/>
          <w:sz w:val="22"/>
          <w:szCs w:val="22"/>
          <w:lang w:val="sk-SK"/>
        </w:rPr>
        <w:t xml:space="preserve"> špecifický a</w:t>
      </w:r>
      <w:r w:rsidR="005E442E" w:rsidRPr="00B60139">
        <w:rPr>
          <w:rFonts w:ascii="Times New Roman" w:hAnsi="Times New Roman"/>
          <w:noProof w:val="0"/>
          <w:sz w:val="22"/>
          <w:szCs w:val="22"/>
          <w:lang w:val="sk-SK"/>
        </w:rPr>
        <w:t xml:space="preserve"> selektívny agonista </w:t>
      </w:r>
      <w:r w:rsidR="005E442E" w:rsidRPr="00B60139">
        <w:rPr>
          <w:rFonts w:ascii="Times New Roman" w:hAnsi="Times New Roman"/>
          <w:sz w:val="22"/>
          <w:lang w:val="sk-SK"/>
        </w:rPr>
        <w:t>receptora 5-hydroxytryptamínu</w:t>
      </w:r>
      <w:r w:rsidR="005E442E" w:rsidRPr="00B60139">
        <w:rPr>
          <w:rFonts w:ascii="Times New Roman" w:hAnsi="Times New Roman"/>
          <w:sz w:val="22"/>
          <w:vertAlign w:val="subscript"/>
          <w:lang w:val="sk-SK"/>
        </w:rPr>
        <w:t>1</w:t>
      </w:r>
      <w:r w:rsidR="005E442E" w:rsidRPr="00B60139">
        <w:rPr>
          <w:rFonts w:ascii="Times New Roman" w:hAnsi="Times New Roman"/>
          <w:sz w:val="22"/>
          <w:lang w:val="sk-SK"/>
        </w:rPr>
        <w:t xml:space="preserve"> (5HT</w:t>
      </w:r>
      <w:r w:rsidR="00FD09C4" w:rsidRPr="00F22D5E">
        <w:rPr>
          <w:rFonts w:ascii="Times New Roman" w:hAnsi="Times New Roman"/>
          <w:sz w:val="22"/>
          <w:szCs w:val="22"/>
          <w:vertAlign w:val="subscript"/>
          <w:lang w:val="sk-SK"/>
        </w:rPr>
        <w:t>1D</w:t>
      </w:r>
      <w:r w:rsidR="005E442E" w:rsidRPr="00B60139">
        <w:rPr>
          <w:rFonts w:ascii="Times New Roman" w:hAnsi="Times New Roman"/>
          <w:sz w:val="22"/>
          <w:lang w:val="sk-SK"/>
        </w:rPr>
        <w:t>), pričom nemá žiaden účinok na iné 5</w:t>
      </w:r>
      <w:r w:rsidR="005E442E" w:rsidRPr="00B60139">
        <w:rPr>
          <w:rFonts w:ascii="Times New Roman" w:hAnsi="Times New Roman"/>
          <w:sz w:val="22"/>
          <w:lang w:val="sk-SK"/>
        </w:rPr>
        <w:noBreakHyphen/>
        <w:t xml:space="preserve">HT subtypy </w:t>
      </w:r>
      <w:r w:rsidR="00A14931">
        <w:rPr>
          <w:rFonts w:ascii="Times New Roman" w:hAnsi="Times New Roman"/>
          <w:sz w:val="22"/>
          <w:lang w:val="sk-SK"/>
        </w:rPr>
        <w:t>(5-HT</w:t>
      </w:r>
      <w:r w:rsidR="00A14931" w:rsidRPr="00F22D5E">
        <w:rPr>
          <w:rFonts w:ascii="Times New Roman" w:hAnsi="Times New Roman"/>
          <w:sz w:val="22"/>
          <w:vertAlign w:val="subscript"/>
          <w:lang w:val="sk-SK"/>
        </w:rPr>
        <w:t>2</w:t>
      </w:r>
      <w:r w:rsidR="00A14931">
        <w:rPr>
          <w:rFonts w:ascii="Times New Roman" w:hAnsi="Times New Roman"/>
          <w:sz w:val="22"/>
          <w:lang w:val="sk-SK"/>
        </w:rPr>
        <w:t>-5-HT</w:t>
      </w:r>
      <w:r w:rsidR="00A14931" w:rsidRPr="00F22D5E">
        <w:rPr>
          <w:rFonts w:ascii="Times New Roman" w:hAnsi="Times New Roman"/>
          <w:sz w:val="22"/>
          <w:vertAlign w:val="subscript"/>
          <w:lang w:val="sk-SK"/>
        </w:rPr>
        <w:t>7</w:t>
      </w:r>
      <w:r w:rsidR="00A14931">
        <w:rPr>
          <w:rFonts w:ascii="Times New Roman" w:hAnsi="Times New Roman"/>
          <w:sz w:val="22"/>
          <w:lang w:val="sk-SK"/>
        </w:rPr>
        <w:t xml:space="preserve">) </w:t>
      </w:r>
      <w:r w:rsidR="005E442E" w:rsidRPr="00B60139">
        <w:rPr>
          <w:rFonts w:ascii="Times New Roman" w:hAnsi="Times New Roman"/>
          <w:sz w:val="22"/>
          <w:lang w:val="sk-SK"/>
        </w:rPr>
        <w:t>receptorov.</w:t>
      </w:r>
      <w:r w:rsidR="005E442E" w:rsidRPr="00B60139">
        <w:rPr>
          <w:rFonts w:ascii="Times New Roman" w:hAnsi="Times New Roman"/>
          <w:noProof w:val="0"/>
          <w:sz w:val="22"/>
          <w:szCs w:val="22"/>
          <w:lang w:val="sk-SK"/>
        </w:rPr>
        <w:t xml:space="preserve"> </w:t>
      </w:r>
    </w:p>
    <w:p w14:paraId="496CAA27" w14:textId="77777777" w:rsidR="00A14931" w:rsidRDefault="00FD09C4" w:rsidP="005E442E">
      <w:pPr>
        <w:pStyle w:val="OmniPage1542"/>
        <w:ind w:left="0" w:right="0"/>
        <w:rPr>
          <w:rFonts w:ascii="Times New Roman" w:hAnsi="Times New Roman"/>
          <w:noProof w:val="0"/>
          <w:sz w:val="22"/>
          <w:szCs w:val="22"/>
          <w:lang w:val="sk-SK"/>
        </w:rPr>
      </w:pPr>
      <w:r>
        <w:rPr>
          <w:rFonts w:ascii="Times New Roman" w:hAnsi="Times New Roman"/>
          <w:noProof w:val="0"/>
          <w:sz w:val="22"/>
          <w:szCs w:val="22"/>
          <w:lang w:val="sk-SK"/>
        </w:rPr>
        <w:t>Cievny 5-HT</w:t>
      </w:r>
      <w:r w:rsidRPr="00F22D5E">
        <w:rPr>
          <w:rFonts w:ascii="Times New Roman" w:hAnsi="Times New Roman"/>
          <w:noProof w:val="0"/>
          <w:sz w:val="22"/>
          <w:szCs w:val="22"/>
          <w:vertAlign w:val="subscript"/>
          <w:lang w:val="sk-SK"/>
        </w:rPr>
        <w:t>1D</w:t>
      </w:r>
      <w:r>
        <w:rPr>
          <w:rFonts w:ascii="Times New Roman" w:hAnsi="Times New Roman"/>
          <w:noProof w:val="0"/>
          <w:sz w:val="22"/>
          <w:szCs w:val="22"/>
          <w:lang w:val="sk-SK"/>
        </w:rPr>
        <w:t xml:space="preserve"> receptor sa nachádza</w:t>
      </w:r>
      <w:r w:rsidR="005E442E" w:rsidRPr="00B60139">
        <w:rPr>
          <w:rFonts w:ascii="Times New Roman" w:hAnsi="Times New Roman"/>
          <w:noProof w:val="0"/>
          <w:sz w:val="22"/>
          <w:szCs w:val="22"/>
          <w:lang w:val="sk-SK"/>
        </w:rPr>
        <w:t xml:space="preserve"> hlavne v krvných cievach hlavy</w:t>
      </w:r>
      <w:r>
        <w:rPr>
          <w:rFonts w:ascii="Times New Roman" w:hAnsi="Times New Roman"/>
          <w:noProof w:val="0"/>
          <w:sz w:val="22"/>
          <w:szCs w:val="22"/>
          <w:lang w:val="sk-SK"/>
        </w:rPr>
        <w:t xml:space="preserve"> a navodzuje vazokonstrikciu</w:t>
      </w:r>
      <w:r w:rsidR="005E442E" w:rsidRPr="00B60139">
        <w:rPr>
          <w:rFonts w:ascii="Times New Roman" w:hAnsi="Times New Roman"/>
          <w:noProof w:val="0"/>
          <w:sz w:val="22"/>
          <w:szCs w:val="22"/>
          <w:lang w:val="sk-SK"/>
        </w:rPr>
        <w:t xml:space="preserve">. </w:t>
      </w:r>
    </w:p>
    <w:p w14:paraId="68C864B8" w14:textId="77777777" w:rsidR="00210E6F" w:rsidRDefault="005E442E" w:rsidP="005E442E">
      <w:pPr>
        <w:pStyle w:val="OmniPage1542"/>
        <w:ind w:left="0" w:right="0"/>
        <w:rPr>
          <w:rFonts w:ascii="Times New Roman" w:hAnsi="Times New Roman"/>
          <w:noProof w:val="0"/>
          <w:sz w:val="22"/>
          <w:szCs w:val="22"/>
          <w:lang w:val="sk-SK"/>
        </w:rPr>
      </w:pPr>
      <w:r w:rsidRPr="00B60139">
        <w:rPr>
          <w:rFonts w:ascii="Times New Roman" w:hAnsi="Times New Roman"/>
          <w:noProof w:val="0"/>
          <w:sz w:val="22"/>
          <w:szCs w:val="22"/>
          <w:lang w:val="sk-SK"/>
        </w:rPr>
        <w:t xml:space="preserve">U zvierat </w:t>
      </w:r>
      <w:r w:rsidR="00210E6F">
        <w:rPr>
          <w:rFonts w:ascii="Times New Roman" w:hAnsi="Times New Roman"/>
          <w:noProof w:val="0"/>
          <w:sz w:val="22"/>
          <w:szCs w:val="22"/>
          <w:lang w:val="sk-SK"/>
        </w:rPr>
        <w:t>sumatript</w:t>
      </w:r>
      <w:r w:rsidR="001D52CA">
        <w:rPr>
          <w:rFonts w:ascii="Times New Roman" w:hAnsi="Times New Roman"/>
          <w:noProof w:val="0"/>
          <w:sz w:val="22"/>
          <w:szCs w:val="22"/>
          <w:lang w:val="sk-SK"/>
        </w:rPr>
        <w:t>á</w:t>
      </w:r>
      <w:r>
        <w:rPr>
          <w:rFonts w:ascii="Times New Roman" w:hAnsi="Times New Roman"/>
          <w:noProof w:val="0"/>
          <w:sz w:val="22"/>
          <w:szCs w:val="22"/>
          <w:lang w:val="sk-SK"/>
        </w:rPr>
        <w:t>n</w:t>
      </w:r>
      <w:r w:rsidRPr="00B60139">
        <w:rPr>
          <w:rFonts w:ascii="Times New Roman" w:hAnsi="Times New Roman"/>
          <w:noProof w:val="0"/>
          <w:sz w:val="22"/>
          <w:szCs w:val="22"/>
          <w:lang w:val="sk-SK"/>
        </w:rPr>
        <w:t xml:space="preserve"> </w:t>
      </w:r>
      <w:r w:rsidR="00210E6F">
        <w:rPr>
          <w:rFonts w:ascii="Times New Roman" w:hAnsi="Times New Roman"/>
          <w:noProof w:val="0"/>
          <w:sz w:val="22"/>
          <w:szCs w:val="22"/>
          <w:lang w:val="sk-SK"/>
        </w:rPr>
        <w:t xml:space="preserve">spôsobuje selektívnu </w:t>
      </w:r>
      <w:r w:rsidRPr="00B60139">
        <w:rPr>
          <w:rFonts w:ascii="Times New Roman" w:hAnsi="Times New Roman"/>
          <w:noProof w:val="0"/>
          <w:sz w:val="22"/>
          <w:szCs w:val="22"/>
          <w:lang w:val="sk-SK"/>
        </w:rPr>
        <w:t xml:space="preserve">konstrikciu v karotickom cievnom riečisku, </w:t>
      </w:r>
      <w:r w:rsidR="00210E6F">
        <w:rPr>
          <w:rFonts w:ascii="Times New Roman" w:hAnsi="Times New Roman"/>
          <w:noProof w:val="0"/>
          <w:sz w:val="22"/>
          <w:szCs w:val="22"/>
          <w:lang w:val="sk-SK"/>
        </w:rPr>
        <w:t>ale neovplyvňuje cerebrálny prietok. Karotické cievne riečište</w:t>
      </w:r>
      <w:r w:rsidRPr="00B60139">
        <w:rPr>
          <w:rFonts w:ascii="Times New Roman" w:hAnsi="Times New Roman"/>
          <w:noProof w:val="0"/>
          <w:sz w:val="22"/>
          <w:szCs w:val="22"/>
          <w:lang w:val="sk-SK"/>
        </w:rPr>
        <w:t xml:space="preserve"> zásobuje krvou extrakraniálne a intrak</w:t>
      </w:r>
      <w:r w:rsidR="00210E6F">
        <w:rPr>
          <w:rFonts w:ascii="Times New Roman" w:hAnsi="Times New Roman"/>
          <w:noProof w:val="0"/>
          <w:sz w:val="22"/>
          <w:szCs w:val="22"/>
          <w:lang w:val="sk-SK"/>
        </w:rPr>
        <w:t>raniálne tkanivá ako sú meningy a</w:t>
      </w:r>
      <w:r w:rsidRPr="00B60139">
        <w:rPr>
          <w:rFonts w:ascii="Times New Roman" w:hAnsi="Times New Roman"/>
          <w:noProof w:val="0"/>
          <w:sz w:val="22"/>
          <w:szCs w:val="22"/>
          <w:lang w:val="sk-SK"/>
        </w:rPr>
        <w:t xml:space="preserve"> </w:t>
      </w:r>
      <w:r w:rsidR="00210E6F">
        <w:rPr>
          <w:rFonts w:ascii="Times New Roman" w:hAnsi="Times New Roman"/>
          <w:noProof w:val="0"/>
          <w:sz w:val="22"/>
          <w:szCs w:val="22"/>
          <w:lang w:val="sk-SK"/>
        </w:rPr>
        <w:t>p</w:t>
      </w:r>
      <w:r>
        <w:rPr>
          <w:rFonts w:ascii="Times New Roman" w:hAnsi="Times New Roman"/>
          <w:noProof w:val="0"/>
          <w:sz w:val="22"/>
          <w:szCs w:val="22"/>
          <w:lang w:val="sk-SK"/>
        </w:rPr>
        <w:t>redpokladá sa, že d</w:t>
      </w:r>
      <w:r w:rsidRPr="00B60139">
        <w:rPr>
          <w:rFonts w:ascii="Times New Roman" w:hAnsi="Times New Roman"/>
          <w:noProof w:val="0"/>
          <w:sz w:val="22"/>
          <w:szCs w:val="22"/>
          <w:lang w:val="sk-SK"/>
        </w:rPr>
        <w:t>ilatácia týchto ciev</w:t>
      </w:r>
      <w:r>
        <w:rPr>
          <w:rFonts w:ascii="Times New Roman" w:hAnsi="Times New Roman"/>
          <w:noProof w:val="0"/>
          <w:sz w:val="22"/>
          <w:szCs w:val="22"/>
          <w:lang w:val="sk-SK"/>
        </w:rPr>
        <w:t xml:space="preserve"> predstavuje</w:t>
      </w:r>
      <w:r w:rsidRPr="00B60139">
        <w:rPr>
          <w:rFonts w:ascii="Times New Roman" w:hAnsi="Times New Roman"/>
          <w:noProof w:val="0"/>
          <w:sz w:val="22"/>
          <w:szCs w:val="22"/>
          <w:lang w:val="sk-SK"/>
        </w:rPr>
        <w:t xml:space="preserve"> základný mechanizmus migrény u ľudí. </w:t>
      </w:r>
    </w:p>
    <w:p w14:paraId="6ACCDCC7" w14:textId="77777777" w:rsidR="00210E6F" w:rsidRDefault="00210E6F" w:rsidP="005E442E">
      <w:pPr>
        <w:pStyle w:val="OmniPage1542"/>
        <w:ind w:left="0" w:right="0"/>
        <w:rPr>
          <w:rFonts w:ascii="Times New Roman" w:hAnsi="Times New Roman"/>
          <w:noProof w:val="0"/>
          <w:sz w:val="22"/>
          <w:szCs w:val="22"/>
          <w:lang w:val="sk-SK"/>
        </w:rPr>
      </w:pPr>
    </w:p>
    <w:p w14:paraId="503EBAC0" w14:textId="77777777" w:rsidR="005E442E" w:rsidRPr="00B60139" w:rsidRDefault="00210E6F" w:rsidP="005E442E">
      <w:pPr>
        <w:pStyle w:val="OmniPage1542"/>
        <w:ind w:left="0" w:right="0"/>
        <w:rPr>
          <w:rFonts w:ascii="Times New Roman" w:hAnsi="Times New Roman"/>
          <w:i/>
          <w:noProof w:val="0"/>
          <w:sz w:val="22"/>
          <w:szCs w:val="22"/>
          <w:lang w:val="sk-SK"/>
        </w:rPr>
      </w:pPr>
      <w:r>
        <w:rPr>
          <w:rFonts w:ascii="Times New Roman" w:hAnsi="Times New Roman"/>
          <w:noProof w:val="0"/>
          <w:sz w:val="22"/>
          <w:szCs w:val="22"/>
          <w:lang w:val="sk-SK"/>
        </w:rPr>
        <w:t>Okrem toho v</w:t>
      </w:r>
      <w:r w:rsidR="005E442E" w:rsidRPr="00B60139">
        <w:rPr>
          <w:rFonts w:ascii="Times New Roman" w:hAnsi="Times New Roman"/>
          <w:noProof w:val="0"/>
          <w:sz w:val="22"/>
          <w:szCs w:val="22"/>
          <w:lang w:val="sk-SK"/>
        </w:rPr>
        <w:t xml:space="preserve">ýsledky štúdií na zvieratách svedčia o tom, že </w:t>
      </w:r>
      <w:r>
        <w:rPr>
          <w:rFonts w:ascii="Times New Roman" w:hAnsi="Times New Roman"/>
          <w:noProof w:val="0"/>
          <w:sz w:val="22"/>
          <w:szCs w:val="22"/>
          <w:lang w:val="sk-SK"/>
        </w:rPr>
        <w:t>sumatript</w:t>
      </w:r>
      <w:r w:rsidR="001D52CA">
        <w:rPr>
          <w:rFonts w:ascii="Times New Roman" w:hAnsi="Times New Roman"/>
          <w:noProof w:val="0"/>
          <w:sz w:val="22"/>
          <w:szCs w:val="22"/>
          <w:lang w:val="sk-SK"/>
        </w:rPr>
        <w:t>á</w:t>
      </w:r>
      <w:r w:rsidR="005E442E">
        <w:rPr>
          <w:rFonts w:ascii="Times New Roman" w:hAnsi="Times New Roman"/>
          <w:noProof w:val="0"/>
          <w:sz w:val="22"/>
          <w:szCs w:val="22"/>
          <w:lang w:val="sk-SK"/>
        </w:rPr>
        <w:t>n</w:t>
      </w:r>
      <w:r>
        <w:rPr>
          <w:rFonts w:ascii="Times New Roman" w:hAnsi="Times New Roman"/>
          <w:noProof w:val="0"/>
          <w:sz w:val="22"/>
          <w:szCs w:val="22"/>
          <w:lang w:val="sk-SK"/>
        </w:rPr>
        <w:t xml:space="preserve"> </w:t>
      </w:r>
      <w:r w:rsidR="005E442E" w:rsidRPr="00B60139">
        <w:rPr>
          <w:rFonts w:ascii="Times New Roman" w:hAnsi="Times New Roman"/>
          <w:noProof w:val="0"/>
          <w:sz w:val="22"/>
          <w:szCs w:val="22"/>
          <w:lang w:val="sk-SK"/>
        </w:rPr>
        <w:t xml:space="preserve">tiež inhibuje </w:t>
      </w:r>
      <w:r>
        <w:rPr>
          <w:rFonts w:ascii="Times New Roman" w:hAnsi="Times New Roman"/>
          <w:sz w:val="22"/>
          <w:lang w:val="sk-SK"/>
        </w:rPr>
        <w:t>aktivitu trigeminálneho nervu</w:t>
      </w:r>
      <w:r w:rsidR="005E442E" w:rsidRPr="00B60139">
        <w:rPr>
          <w:rFonts w:ascii="Times New Roman" w:hAnsi="Times New Roman"/>
          <w:noProof w:val="0"/>
          <w:sz w:val="22"/>
          <w:szCs w:val="22"/>
          <w:lang w:val="sk-SK"/>
        </w:rPr>
        <w:t xml:space="preserve">. Oba </w:t>
      </w:r>
      <w:r>
        <w:rPr>
          <w:rFonts w:ascii="Times New Roman" w:hAnsi="Times New Roman"/>
          <w:noProof w:val="0"/>
          <w:sz w:val="22"/>
          <w:szCs w:val="22"/>
          <w:lang w:val="sk-SK"/>
        </w:rPr>
        <w:t xml:space="preserve">tieto </w:t>
      </w:r>
      <w:r w:rsidR="005E442E" w:rsidRPr="00B60139">
        <w:rPr>
          <w:rFonts w:ascii="Times New Roman" w:hAnsi="Times New Roman"/>
          <w:noProof w:val="0"/>
          <w:sz w:val="22"/>
          <w:szCs w:val="22"/>
          <w:lang w:val="sk-SK"/>
        </w:rPr>
        <w:t xml:space="preserve">účinky </w:t>
      </w:r>
      <w:r w:rsidR="005E442E" w:rsidRPr="00B60139">
        <w:rPr>
          <w:rFonts w:ascii="Times New Roman" w:hAnsi="Times New Roman"/>
          <w:sz w:val="22"/>
          <w:lang w:val="sk-SK"/>
        </w:rPr>
        <w:t>(kraniálna vazokonstri</w:t>
      </w:r>
      <w:r>
        <w:rPr>
          <w:rFonts w:ascii="Times New Roman" w:hAnsi="Times New Roman"/>
          <w:sz w:val="22"/>
          <w:lang w:val="sk-SK"/>
        </w:rPr>
        <w:t>kcia a inhibícia aktivity trigeminálneho nervu) môžu prispievať k</w:t>
      </w:r>
      <w:r w:rsidR="005E442E" w:rsidRPr="00B60139">
        <w:rPr>
          <w:rFonts w:ascii="Times New Roman" w:hAnsi="Times New Roman"/>
          <w:sz w:val="22"/>
          <w:lang w:val="sk-SK"/>
        </w:rPr>
        <w:t xml:space="preserve"> antimig</w:t>
      </w:r>
      <w:r>
        <w:rPr>
          <w:rFonts w:ascii="Times New Roman" w:hAnsi="Times New Roman"/>
          <w:sz w:val="22"/>
          <w:lang w:val="sk-SK"/>
        </w:rPr>
        <w:t>renóznemu účin</w:t>
      </w:r>
      <w:r w:rsidR="005E442E" w:rsidRPr="00B60139">
        <w:rPr>
          <w:rFonts w:ascii="Times New Roman" w:hAnsi="Times New Roman"/>
          <w:sz w:val="22"/>
          <w:lang w:val="sk-SK"/>
        </w:rPr>
        <w:t>k</w:t>
      </w:r>
      <w:r>
        <w:rPr>
          <w:rFonts w:ascii="Times New Roman" w:hAnsi="Times New Roman"/>
          <w:sz w:val="22"/>
          <w:lang w:val="sk-SK"/>
        </w:rPr>
        <w:t>u</w:t>
      </w:r>
      <w:r w:rsidR="005E442E" w:rsidRPr="00B60139">
        <w:rPr>
          <w:rFonts w:ascii="Times New Roman" w:hAnsi="Times New Roman"/>
          <w:sz w:val="22"/>
          <w:lang w:val="sk-SK"/>
        </w:rPr>
        <w:t xml:space="preserve"> </w:t>
      </w:r>
      <w:r>
        <w:rPr>
          <w:rFonts w:ascii="Times New Roman" w:hAnsi="Times New Roman"/>
          <w:noProof w:val="0"/>
          <w:sz w:val="22"/>
          <w:szCs w:val="22"/>
          <w:lang w:val="sk-SK"/>
        </w:rPr>
        <w:t>sumatript</w:t>
      </w:r>
      <w:r w:rsidR="001D52CA">
        <w:rPr>
          <w:rFonts w:ascii="Times New Roman" w:hAnsi="Times New Roman"/>
          <w:noProof w:val="0"/>
          <w:sz w:val="22"/>
          <w:szCs w:val="22"/>
          <w:lang w:val="sk-SK"/>
        </w:rPr>
        <w:t>á</w:t>
      </w:r>
      <w:r w:rsidR="005E442E">
        <w:rPr>
          <w:rFonts w:ascii="Times New Roman" w:hAnsi="Times New Roman"/>
          <w:noProof w:val="0"/>
          <w:sz w:val="22"/>
          <w:szCs w:val="22"/>
          <w:lang w:val="sk-SK"/>
        </w:rPr>
        <w:t>n</w:t>
      </w:r>
      <w:r w:rsidR="005E442E" w:rsidRPr="00B60139">
        <w:rPr>
          <w:rFonts w:ascii="Times New Roman" w:hAnsi="Times New Roman"/>
          <w:noProof w:val="0"/>
          <w:sz w:val="22"/>
          <w:szCs w:val="22"/>
          <w:lang w:val="sk-SK"/>
        </w:rPr>
        <w:t>u u ľudí.</w:t>
      </w:r>
    </w:p>
    <w:p w14:paraId="118F265A" w14:textId="77777777" w:rsidR="005E442E" w:rsidRPr="00B60139" w:rsidRDefault="005E442E" w:rsidP="005E442E">
      <w:pPr>
        <w:rPr>
          <w:szCs w:val="22"/>
        </w:rPr>
      </w:pPr>
    </w:p>
    <w:p w14:paraId="3BBF12ED" w14:textId="77777777" w:rsidR="00483AA4" w:rsidRPr="00E4014F" w:rsidRDefault="00483AA4" w:rsidP="00483AA4">
      <w:pPr>
        <w:rPr>
          <w:szCs w:val="22"/>
          <w:u w:val="single"/>
        </w:rPr>
      </w:pPr>
      <w:r w:rsidRPr="00E4014F">
        <w:rPr>
          <w:szCs w:val="22"/>
          <w:u w:val="single"/>
        </w:rPr>
        <w:t>Klinická účinnosť a bezpečnosť</w:t>
      </w:r>
    </w:p>
    <w:p w14:paraId="2C45EBD6" w14:textId="77777777" w:rsidR="005E442E" w:rsidRPr="00B60139" w:rsidRDefault="005E442E" w:rsidP="005E442E">
      <w:pPr>
        <w:rPr>
          <w:szCs w:val="22"/>
        </w:rPr>
      </w:pPr>
      <w:r w:rsidRPr="00B60139">
        <w:rPr>
          <w:szCs w:val="22"/>
        </w:rPr>
        <w:t>Klinická odpoveď nastupuje približne po 30 minútach po perorálnom podaní 100 mg dávky.</w:t>
      </w:r>
    </w:p>
    <w:p w14:paraId="11752D23" w14:textId="77777777" w:rsidR="005E442E" w:rsidRDefault="00B029F4" w:rsidP="00B029F4">
      <w:pPr>
        <w:pStyle w:val="OmniPage266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B029F4">
        <w:rPr>
          <w:rFonts w:ascii="Times New Roman" w:hAnsi="Times New Roman"/>
          <w:sz w:val="22"/>
          <w:szCs w:val="22"/>
          <w:lang w:val="sk-SK"/>
        </w:rPr>
        <w:t>Aj keď odporúčaná perorálna dávka sumatript</w:t>
      </w:r>
      <w:r w:rsidR="001D52CA">
        <w:rPr>
          <w:rFonts w:ascii="Times New Roman" w:hAnsi="Times New Roman"/>
          <w:sz w:val="22"/>
          <w:szCs w:val="22"/>
          <w:lang w:val="sk-SK"/>
        </w:rPr>
        <w:t>á</w:t>
      </w:r>
      <w:r w:rsidRPr="00B029F4">
        <w:rPr>
          <w:rFonts w:ascii="Times New Roman" w:hAnsi="Times New Roman"/>
          <w:sz w:val="22"/>
          <w:szCs w:val="22"/>
          <w:lang w:val="sk-SK"/>
        </w:rPr>
        <w:t xml:space="preserve">nu je 50 mg, závažnosť záchvatov migrény sa u jedného pacienta aj medzi rôznymi pacientmi líši. </w:t>
      </w:r>
      <w:r>
        <w:rPr>
          <w:rFonts w:ascii="Times New Roman" w:hAnsi="Times New Roman"/>
          <w:sz w:val="22"/>
          <w:szCs w:val="22"/>
          <w:lang w:val="sk-SK"/>
        </w:rPr>
        <w:t>V klinických štúdiách sa d</w:t>
      </w:r>
      <w:r w:rsidR="005E442E" w:rsidRPr="00B029F4">
        <w:rPr>
          <w:rFonts w:ascii="Times New Roman" w:hAnsi="Times New Roman"/>
          <w:sz w:val="22"/>
          <w:szCs w:val="22"/>
          <w:lang w:val="sk-SK"/>
        </w:rPr>
        <w:t xml:space="preserve">okázalo, že </w:t>
      </w:r>
      <w:r>
        <w:rPr>
          <w:rFonts w:ascii="Times New Roman" w:hAnsi="Times New Roman"/>
          <w:sz w:val="22"/>
          <w:szCs w:val="22"/>
          <w:lang w:val="sk-SK"/>
        </w:rPr>
        <w:t xml:space="preserve">dávky </w:t>
      </w:r>
      <w:r w:rsidR="005E442E" w:rsidRPr="00B029F4">
        <w:rPr>
          <w:rFonts w:ascii="Times New Roman" w:hAnsi="Times New Roman"/>
          <w:sz w:val="22"/>
          <w:szCs w:val="22"/>
          <w:lang w:val="sk-SK"/>
        </w:rPr>
        <w:t>25 mg </w:t>
      </w:r>
      <w:r w:rsidR="005E442E" w:rsidRPr="00B029F4">
        <w:rPr>
          <w:rFonts w:ascii="Times New Roman" w:hAnsi="Times New Roman"/>
          <w:sz w:val="22"/>
          <w:szCs w:val="22"/>
          <w:lang w:val="sk-SK"/>
        </w:rPr>
        <w:noBreakHyphen/>
        <w:t> </w:t>
      </w:r>
      <w:r>
        <w:rPr>
          <w:rFonts w:ascii="Times New Roman" w:hAnsi="Times New Roman"/>
          <w:sz w:val="22"/>
          <w:szCs w:val="22"/>
          <w:lang w:val="sk-SK"/>
        </w:rPr>
        <w:t>100 mg</w:t>
      </w:r>
      <w:r w:rsidR="005E442E" w:rsidRPr="00B029F4">
        <w:rPr>
          <w:rFonts w:ascii="Times New Roman" w:hAnsi="Times New Roman"/>
          <w:sz w:val="22"/>
          <w:szCs w:val="22"/>
          <w:lang w:val="sk-SK"/>
        </w:rPr>
        <w:t xml:space="preserve"> sú účinnejšie ako placebo, ale 25 mg je štatisticky významne menej účinných ako 50 mg a 100 mg.</w:t>
      </w:r>
    </w:p>
    <w:p w14:paraId="57515AA0" w14:textId="77777777" w:rsidR="00CE3249" w:rsidRDefault="00CE3249" w:rsidP="004D7CFB">
      <w:pPr>
        <w:ind w:left="0" w:firstLine="0"/>
        <w:rPr>
          <w:color w:val="000000"/>
          <w:szCs w:val="22"/>
        </w:rPr>
      </w:pPr>
    </w:p>
    <w:p w14:paraId="670E8DD4" w14:textId="77777777" w:rsidR="00483AA4" w:rsidRPr="00E4014F" w:rsidRDefault="00483AA4" w:rsidP="00483AA4">
      <w:pPr>
        <w:pStyle w:val="OmniPage1542"/>
        <w:ind w:left="0" w:right="0"/>
        <w:rPr>
          <w:rFonts w:ascii="Times New Roman" w:hAnsi="Times New Roman"/>
          <w:bCs/>
          <w:iCs/>
          <w:color w:val="000000"/>
          <w:sz w:val="22"/>
          <w:szCs w:val="22"/>
          <w:u w:val="single"/>
          <w:lang w:val="sk-SK"/>
        </w:rPr>
      </w:pPr>
      <w:r w:rsidRPr="00E4014F">
        <w:rPr>
          <w:rFonts w:ascii="Times New Roman" w:hAnsi="Times New Roman"/>
          <w:bCs/>
          <w:iCs/>
          <w:color w:val="000000"/>
          <w:sz w:val="22"/>
          <w:szCs w:val="22"/>
          <w:u w:val="single"/>
          <w:lang w:val="sk-SK"/>
        </w:rPr>
        <w:t>Pediatrická populácia</w:t>
      </w:r>
    </w:p>
    <w:p w14:paraId="3463F8D3" w14:textId="1DCEBC35" w:rsidR="00516093" w:rsidRPr="00A17281" w:rsidRDefault="00516093" w:rsidP="00516093">
      <w:pPr>
        <w:pStyle w:val="OmniPage1542"/>
        <w:ind w:left="0" w:right="0"/>
        <w:rPr>
          <w:rFonts w:ascii="Times New Roman" w:hAnsi="Times New Roman"/>
          <w:noProof w:val="0"/>
          <w:sz w:val="22"/>
          <w:szCs w:val="22"/>
          <w:lang w:val="sk-SK"/>
        </w:rPr>
      </w:pPr>
      <w:r w:rsidRPr="00B60139">
        <w:rPr>
          <w:rFonts w:ascii="Times New Roman" w:hAnsi="Times New Roman"/>
          <w:bCs/>
          <w:iCs/>
          <w:color w:val="000000"/>
          <w:sz w:val="22"/>
          <w:szCs w:val="22"/>
          <w:lang w:val="sk-SK"/>
        </w:rPr>
        <w:t xml:space="preserve">V niekoľkých placebom kontrolovaných klinických štúdiách sa hodnotila bezpečnosť a účinnosť perorálneho </w:t>
      </w:r>
      <w:r>
        <w:rPr>
          <w:rFonts w:ascii="Times New Roman" w:hAnsi="Times New Roman"/>
          <w:bCs/>
          <w:iCs/>
          <w:color w:val="000000"/>
          <w:sz w:val="22"/>
          <w:szCs w:val="22"/>
          <w:lang w:val="sk-SK"/>
        </w:rPr>
        <w:t>sumatript</w:t>
      </w:r>
      <w:r w:rsidR="001D52CA">
        <w:rPr>
          <w:rFonts w:ascii="Times New Roman" w:hAnsi="Times New Roman"/>
          <w:bCs/>
          <w:iCs/>
          <w:color w:val="000000"/>
          <w:sz w:val="22"/>
          <w:szCs w:val="22"/>
          <w:lang w:val="sk-SK"/>
        </w:rPr>
        <w:t>á</w:t>
      </w:r>
      <w:r>
        <w:rPr>
          <w:rFonts w:ascii="Times New Roman" w:hAnsi="Times New Roman"/>
          <w:bCs/>
          <w:iCs/>
          <w:color w:val="000000"/>
          <w:sz w:val="22"/>
          <w:szCs w:val="22"/>
          <w:lang w:val="sk-SK"/>
        </w:rPr>
        <w:t>n</w:t>
      </w:r>
      <w:r w:rsidRPr="00B60139">
        <w:rPr>
          <w:rFonts w:ascii="Times New Roman" w:hAnsi="Times New Roman"/>
          <w:bCs/>
          <w:iCs/>
          <w:color w:val="000000"/>
          <w:sz w:val="22"/>
          <w:szCs w:val="22"/>
          <w:lang w:val="sk-SK"/>
        </w:rPr>
        <w:t>u u</w:t>
      </w:r>
      <w:r w:rsidR="00CA0D8E">
        <w:rPr>
          <w:rFonts w:ascii="Times New Roman" w:hAnsi="Times New Roman"/>
          <w:bCs/>
          <w:iCs/>
          <w:color w:val="000000"/>
          <w:sz w:val="22"/>
          <w:szCs w:val="22"/>
          <w:lang w:val="sk-SK"/>
        </w:rPr>
        <w:t> približne 8</w:t>
      </w:r>
      <w:r w:rsidRPr="00B60139">
        <w:rPr>
          <w:rFonts w:ascii="Times New Roman" w:hAnsi="Times New Roman"/>
          <w:bCs/>
          <w:iCs/>
          <w:color w:val="000000"/>
          <w:sz w:val="22"/>
          <w:szCs w:val="22"/>
          <w:lang w:val="sk-SK"/>
        </w:rPr>
        <w:t>00 mladistvých migrenikov vo veku 1</w:t>
      </w:r>
      <w:r w:rsidR="00CA0D8E">
        <w:rPr>
          <w:rFonts w:ascii="Times New Roman" w:hAnsi="Times New Roman"/>
          <w:bCs/>
          <w:iCs/>
          <w:color w:val="000000"/>
          <w:sz w:val="22"/>
          <w:szCs w:val="22"/>
          <w:lang w:val="sk-SK"/>
        </w:rPr>
        <w:t>0</w:t>
      </w:r>
      <w:r w:rsidRPr="00B60139">
        <w:rPr>
          <w:rFonts w:ascii="Times New Roman" w:hAnsi="Times New Roman"/>
          <w:bCs/>
          <w:iCs/>
          <w:color w:val="000000"/>
          <w:sz w:val="22"/>
          <w:szCs w:val="22"/>
          <w:lang w:val="sk-SK"/>
        </w:rPr>
        <w:t xml:space="preserve"> až 17 rokov. V týchto štúdiách sa medzi placebom a akoukoľvek dávkou </w:t>
      </w:r>
      <w:r>
        <w:rPr>
          <w:rFonts w:ascii="Times New Roman" w:hAnsi="Times New Roman"/>
          <w:bCs/>
          <w:iCs/>
          <w:color w:val="000000"/>
          <w:sz w:val="22"/>
          <w:szCs w:val="22"/>
          <w:lang w:val="sk-SK"/>
        </w:rPr>
        <w:t>sumatriptán</w:t>
      </w:r>
      <w:r w:rsidRPr="00B60139">
        <w:rPr>
          <w:rFonts w:ascii="Times New Roman" w:hAnsi="Times New Roman"/>
          <w:bCs/>
          <w:iCs/>
          <w:color w:val="000000"/>
          <w:sz w:val="22"/>
          <w:szCs w:val="22"/>
          <w:lang w:val="sk-SK"/>
        </w:rPr>
        <w:t>u nepreukázali významné rozdiely v</w:t>
      </w:r>
      <w:r w:rsidR="007446E7">
        <w:rPr>
          <w:rFonts w:ascii="Times New Roman" w:hAnsi="Times New Roman"/>
          <w:bCs/>
          <w:iCs/>
          <w:color w:val="000000"/>
          <w:sz w:val="22"/>
          <w:szCs w:val="22"/>
          <w:lang w:val="sk-SK"/>
        </w:rPr>
        <w:t> </w:t>
      </w:r>
      <w:r w:rsidRPr="00B60139">
        <w:rPr>
          <w:rFonts w:ascii="Times New Roman" w:hAnsi="Times New Roman"/>
          <w:bCs/>
          <w:iCs/>
          <w:color w:val="000000"/>
          <w:sz w:val="22"/>
          <w:szCs w:val="22"/>
          <w:lang w:val="sk-SK"/>
        </w:rPr>
        <w:t xml:space="preserve">zmiernení bolesti </w:t>
      </w:r>
      <w:r w:rsidRPr="000C3372">
        <w:rPr>
          <w:rFonts w:ascii="Times New Roman" w:hAnsi="Times New Roman"/>
          <w:bCs/>
          <w:iCs/>
          <w:color w:val="000000"/>
          <w:sz w:val="22"/>
          <w:szCs w:val="22"/>
          <w:lang w:val="sk-SK"/>
        </w:rPr>
        <w:t xml:space="preserve">hlavy po 2 hodinách. </w:t>
      </w:r>
      <w:r w:rsidRPr="00A17281">
        <w:rPr>
          <w:rFonts w:ascii="Times New Roman" w:hAnsi="Times New Roman"/>
          <w:bCs/>
          <w:iCs/>
          <w:color w:val="000000"/>
          <w:sz w:val="22"/>
          <w:szCs w:val="22"/>
          <w:lang w:val="sk-SK"/>
        </w:rPr>
        <w:t xml:space="preserve">Profil nežiaducich účinkov perorálneho </w:t>
      </w:r>
      <w:r>
        <w:rPr>
          <w:rFonts w:ascii="Times New Roman" w:hAnsi="Times New Roman"/>
          <w:bCs/>
          <w:iCs/>
          <w:color w:val="000000"/>
          <w:sz w:val="22"/>
          <w:szCs w:val="22"/>
          <w:lang w:val="sk-SK"/>
        </w:rPr>
        <w:t>sumatript</w:t>
      </w:r>
      <w:r w:rsidR="001D52CA">
        <w:rPr>
          <w:rFonts w:ascii="Times New Roman" w:hAnsi="Times New Roman"/>
          <w:bCs/>
          <w:iCs/>
          <w:color w:val="000000"/>
          <w:sz w:val="22"/>
          <w:szCs w:val="22"/>
          <w:lang w:val="sk-SK"/>
        </w:rPr>
        <w:t>á</w:t>
      </w:r>
      <w:r>
        <w:rPr>
          <w:rFonts w:ascii="Times New Roman" w:hAnsi="Times New Roman"/>
          <w:bCs/>
          <w:iCs/>
          <w:color w:val="000000"/>
          <w:sz w:val="22"/>
          <w:szCs w:val="22"/>
          <w:lang w:val="sk-SK"/>
        </w:rPr>
        <w:t>n</w:t>
      </w:r>
      <w:r w:rsidRPr="00A17281">
        <w:rPr>
          <w:rFonts w:ascii="Times New Roman" w:hAnsi="Times New Roman"/>
          <w:bCs/>
          <w:iCs/>
          <w:color w:val="000000"/>
          <w:sz w:val="22"/>
          <w:szCs w:val="22"/>
          <w:lang w:val="sk-SK"/>
        </w:rPr>
        <w:t>u u</w:t>
      </w:r>
      <w:r w:rsidR="007446E7">
        <w:rPr>
          <w:rFonts w:ascii="Times New Roman" w:hAnsi="Times New Roman"/>
          <w:bCs/>
          <w:iCs/>
          <w:color w:val="000000"/>
          <w:sz w:val="22"/>
          <w:szCs w:val="22"/>
          <w:lang w:val="sk-SK"/>
        </w:rPr>
        <w:t> </w:t>
      </w:r>
      <w:r w:rsidRPr="00A17281">
        <w:rPr>
          <w:rFonts w:ascii="Times New Roman" w:hAnsi="Times New Roman"/>
          <w:bCs/>
          <w:iCs/>
          <w:color w:val="000000"/>
          <w:sz w:val="22"/>
          <w:szCs w:val="22"/>
          <w:lang w:val="sk-SK"/>
        </w:rPr>
        <w:t>mladistvých vo veku 1</w:t>
      </w:r>
      <w:r w:rsidR="00CA0D8E">
        <w:rPr>
          <w:rFonts w:ascii="Times New Roman" w:hAnsi="Times New Roman"/>
          <w:bCs/>
          <w:iCs/>
          <w:color w:val="000000"/>
          <w:sz w:val="22"/>
          <w:szCs w:val="22"/>
          <w:lang w:val="sk-SK"/>
        </w:rPr>
        <w:t>0</w:t>
      </w:r>
      <w:r w:rsidRPr="00A17281">
        <w:rPr>
          <w:rFonts w:ascii="Times New Roman" w:hAnsi="Times New Roman"/>
          <w:bCs/>
          <w:iCs/>
          <w:color w:val="000000"/>
          <w:sz w:val="22"/>
          <w:szCs w:val="22"/>
          <w:lang w:val="sk-SK"/>
        </w:rPr>
        <w:noBreakHyphen/>
        <w:t>17 rokov bol podobný ako profil nežiaducich účinkov hlásený zo štúdií u</w:t>
      </w:r>
      <w:r w:rsidR="007446E7">
        <w:rPr>
          <w:rFonts w:ascii="Times New Roman" w:hAnsi="Times New Roman"/>
          <w:bCs/>
          <w:iCs/>
          <w:color w:val="000000"/>
          <w:sz w:val="22"/>
          <w:szCs w:val="22"/>
          <w:lang w:val="sk-SK"/>
        </w:rPr>
        <w:t> </w:t>
      </w:r>
      <w:r w:rsidRPr="00A17281">
        <w:rPr>
          <w:rFonts w:ascii="Times New Roman" w:hAnsi="Times New Roman"/>
          <w:bCs/>
          <w:iCs/>
          <w:color w:val="000000"/>
          <w:sz w:val="22"/>
          <w:szCs w:val="22"/>
          <w:lang w:val="sk-SK"/>
        </w:rPr>
        <w:t xml:space="preserve">dospelej populácie. </w:t>
      </w:r>
    </w:p>
    <w:p w14:paraId="7A4D8553" w14:textId="77777777" w:rsidR="00281E53" w:rsidRPr="003E7411" w:rsidRDefault="00281E53" w:rsidP="004D7CFB">
      <w:pPr>
        <w:ind w:left="0" w:firstLine="0"/>
        <w:rPr>
          <w:color w:val="000000"/>
          <w:szCs w:val="22"/>
        </w:rPr>
      </w:pPr>
    </w:p>
    <w:p w14:paraId="0B00B6B8" w14:textId="77777777" w:rsidR="00CE3249" w:rsidRPr="003E7411" w:rsidRDefault="00CE3249" w:rsidP="00CE3249">
      <w:pPr>
        <w:rPr>
          <w:color w:val="000000"/>
          <w:szCs w:val="22"/>
        </w:rPr>
      </w:pPr>
      <w:r w:rsidRPr="003E7411">
        <w:rPr>
          <w:b/>
          <w:color w:val="000000"/>
          <w:szCs w:val="22"/>
        </w:rPr>
        <w:t>5.2</w:t>
      </w:r>
      <w:r w:rsidRPr="003E7411">
        <w:rPr>
          <w:b/>
          <w:color w:val="000000"/>
          <w:szCs w:val="22"/>
        </w:rPr>
        <w:tab/>
        <w:t>Farmakokinetické vlastnosti</w:t>
      </w:r>
    </w:p>
    <w:p w14:paraId="356E642C" w14:textId="77777777" w:rsidR="00CE3249" w:rsidRDefault="00CE3249" w:rsidP="00CE3249">
      <w:pPr>
        <w:rPr>
          <w:color w:val="000000"/>
          <w:szCs w:val="22"/>
        </w:rPr>
      </w:pPr>
    </w:p>
    <w:p w14:paraId="6705AFB8" w14:textId="77777777" w:rsidR="00483AA4" w:rsidRPr="00E4014F" w:rsidRDefault="00483AA4" w:rsidP="00483AA4">
      <w:pPr>
        <w:pStyle w:val="OmniPage1542"/>
        <w:ind w:left="0" w:right="0"/>
        <w:rPr>
          <w:rFonts w:ascii="Times New Roman" w:hAnsi="Times New Roman"/>
          <w:sz w:val="22"/>
          <w:szCs w:val="22"/>
          <w:u w:val="single"/>
          <w:lang w:val="sk-SK"/>
        </w:rPr>
      </w:pPr>
      <w:r w:rsidRPr="00E4014F">
        <w:rPr>
          <w:rFonts w:ascii="Times New Roman" w:hAnsi="Times New Roman"/>
          <w:sz w:val="22"/>
          <w:szCs w:val="22"/>
          <w:u w:val="single"/>
          <w:lang w:val="sk-SK"/>
        </w:rPr>
        <w:t>Absorpcia</w:t>
      </w:r>
    </w:p>
    <w:p w14:paraId="60330779" w14:textId="5436B30D" w:rsidR="003336D7" w:rsidRPr="00A17281" w:rsidRDefault="003336D7" w:rsidP="003336D7">
      <w:pPr>
        <w:pStyle w:val="OmniPage1542"/>
        <w:ind w:left="0" w:right="0"/>
        <w:rPr>
          <w:rFonts w:ascii="Times New Roman" w:hAnsi="Times New Roman"/>
          <w:noProof w:val="0"/>
          <w:sz w:val="22"/>
          <w:szCs w:val="22"/>
          <w:lang w:val="sk-SK"/>
        </w:rPr>
      </w:pPr>
      <w:r w:rsidRPr="00A17281">
        <w:rPr>
          <w:rFonts w:ascii="Times New Roman" w:hAnsi="Times New Roman"/>
          <w:sz w:val="22"/>
          <w:szCs w:val="22"/>
          <w:lang w:val="sk-SK"/>
        </w:rPr>
        <w:t xml:space="preserve">Po perorálnom podaní sa </w:t>
      </w:r>
      <w:r w:rsidR="00516093">
        <w:rPr>
          <w:rFonts w:ascii="Times New Roman" w:hAnsi="Times New Roman"/>
          <w:sz w:val="22"/>
          <w:szCs w:val="22"/>
          <w:lang w:val="sk-SK"/>
        </w:rPr>
        <w:t>sumatript</w:t>
      </w:r>
      <w:r w:rsidR="001D52CA">
        <w:rPr>
          <w:rFonts w:ascii="Times New Roman" w:hAnsi="Times New Roman"/>
          <w:sz w:val="22"/>
          <w:szCs w:val="22"/>
          <w:lang w:val="sk-SK"/>
        </w:rPr>
        <w:t>á</w:t>
      </w:r>
      <w:r>
        <w:rPr>
          <w:rFonts w:ascii="Times New Roman" w:hAnsi="Times New Roman"/>
          <w:sz w:val="22"/>
          <w:szCs w:val="22"/>
          <w:lang w:val="sk-SK"/>
        </w:rPr>
        <w:t>n</w:t>
      </w:r>
      <w:r w:rsidRPr="00A17281">
        <w:rPr>
          <w:rFonts w:ascii="Times New Roman" w:hAnsi="Times New Roman"/>
          <w:sz w:val="22"/>
          <w:szCs w:val="22"/>
          <w:lang w:val="sk-SK"/>
        </w:rPr>
        <w:t xml:space="preserve"> rýchlo vstrebáva, 70</w:t>
      </w:r>
      <w:r w:rsidR="008F70C0">
        <w:rPr>
          <w:rFonts w:ascii="Times New Roman" w:hAnsi="Times New Roman"/>
          <w:sz w:val="22"/>
          <w:szCs w:val="22"/>
          <w:lang w:val="sk-SK"/>
        </w:rPr>
        <w:t> </w:t>
      </w:r>
      <w:r w:rsidRPr="00A17281">
        <w:rPr>
          <w:rFonts w:ascii="Times New Roman" w:hAnsi="Times New Roman"/>
          <w:sz w:val="22"/>
          <w:szCs w:val="22"/>
          <w:lang w:val="sk-SK"/>
        </w:rPr>
        <w:t>% maximálnej koncentrácie sa dosiahne po 45 minútach.</w:t>
      </w:r>
      <w:r w:rsidRPr="00A17281">
        <w:rPr>
          <w:rFonts w:ascii="Times New Roman" w:hAnsi="Times New Roman"/>
          <w:noProof w:val="0"/>
          <w:sz w:val="22"/>
          <w:szCs w:val="22"/>
          <w:lang w:val="sk-SK"/>
        </w:rPr>
        <w:t xml:space="preserve"> Po podaní 100 mg dávky je priemerná maximálna </w:t>
      </w:r>
      <w:r>
        <w:rPr>
          <w:rFonts w:ascii="Times New Roman" w:hAnsi="Times New Roman"/>
          <w:noProof w:val="0"/>
          <w:sz w:val="22"/>
          <w:szCs w:val="22"/>
          <w:lang w:val="sk-SK"/>
        </w:rPr>
        <w:t>plazmatická koncentrácia</w:t>
      </w:r>
      <w:r w:rsidRPr="00A17281">
        <w:rPr>
          <w:rFonts w:ascii="Times New Roman" w:hAnsi="Times New Roman"/>
          <w:noProof w:val="0"/>
          <w:sz w:val="22"/>
          <w:szCs w:val="22"/>
          <w:lang w:val="sk-SK"/>
        </w:rPr>
        <w:t xml:space="preserve"> 54 ng/ml. Po perorálnom podaní je priemerná absolútna perorálna biologická dostupnosť 14</w:t>
      </w:r>
      <w:r w:rsidR="008F70C0">
        <w:rPr>
          <w:rFonts w:ascii="Times New Roman" w:hAnsi="Times New Roman"/>
          <w:noProof w:val="0"/>
          <w:sz w:val="22"/>
          <w:szCs w:val="22"/>
          <w:lang w:val="sk-SK"/>
        </w:rPr>
        <w:t> </w:t>
      </w:r>
      <w:r w:rsidRPr="00A17281">
        <w:rPr>
          <w:rFonts w:ascii="Times New Roman" w:hAnsi="Times New Roman"/>
          <w:noProof w:val="0"/>
          <w:sz w:val="22"/>
          <w:szCs w:val="22"/>
          <w:lang w:val="sk-SK"/>
        </w:rPr>
        <w:t xml:space="preserve">%, </w:t>
      </w:r>
      <w:r w:rsidRPr="00A17281">
        <w:rPr>
          <w:rFonts w:ascii="Times New Roman" w:hAnsi="Times New Roman"/>
          <w:sz w:val="22"/>
          <w:szCs w:val="22"/>
          <w:lang w:val="sk-SK"/>
        </w:rPr>
        <w:t xml:space="preserve">čiastočne v dôsledku presystémového metabolizmu a čiastočne v dôsledku neúplnej absorpcie. </w:t>
      </w:r>
    </w:p>
    <w:p w14:paraId="20B2A0CC" w14:textId="77777777" w:rsidR="00483AA4" w:rsidRDefault="00483AA4" w:rsidP="003336D7">
      <w:pPr>
        <w:pStyle w:val="OmniPage154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7FCF84E7" w14:textId="77777777" w:rsidR="00483AA4" w:rsidRPr="00E4014F" w:rsidRDefault="00483AA4" w:rsidP="00483AA4">
      <w:pPr>
        <w:pStyle w:val="OmniPage1542"/>
        <w:ind w:left="0" w:right="0"/>
        <w:rPr>
          <w:rFonts w:ascii="Times New Roman" w:hAnsi="Times New Roman"/>
          <w:sz w:val="22"/>
          <w:szCs w:val="22"/>
          <w:u w:val="single"/>
          <w:lang w:val="sk-SK"/>
        </w:rPr>
      </w:pPr>
      <w:r w:rsidRPr="00E4014F">
        <w:rPr>
          <w:rFonts w:ascii="Times New Roman" w:hAnsi="Times New Roman"/>
          <w:sz w:val="22"/>
          <w:szCs w:val="22"/>
          <w:u w:val="single"/>
          <w:lang w:val="sk-SK"/>
        </w:rPr>
        <w:t>Distribúcia</w:t>
      </w:r>
    </w:p>
    <w:p w14:paraId="572A871B" w14:textId="517FCC11" w:rsidR="00483AA4" w:rsidRDefault="003336D7" w:rsidP="003336D7">
      <w:pPr>
        <w:pStyle w:val="OmniPage154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A17281">
        <w:rPr>
          <w:rFonts w:ascii="Times New Roman" w:hAnsi="Times New Roman"/>
          <w:sz w:val="22"/>
          <w:szCs w:val="22"/>
          <w:lang w:val="sk-SK"/>
        </w:rPr>
        <w:t xml:space="preserve">Väzba na plazmatické </w:t>
      </w:r>
      <w:r>
        <w:rPr>
          <w:rFonts w:ascii="Times New Roman" w:hAnsi="Times New Roman"/>
          <w:sz w:val="22"/>
          <w:szCs w:val="22"/>
          <w:lang w:val="sk-SK"/>
        </w:rPr>
        <w:t>bielkoviny je nízka (14 </w:t>
      </w:r>
      <w:r w:rsidR="008F70C0">
        <w:rPr>
          <w:rFonts w:ascii="Times New Roman" w:hAnsi="Times New Roman"/>
          <w:sz w:val="22"/>
          <w:szCs w:val="22"/>
          <w:lang w:val="sk-SK"/>
        </w:rPr>
        <w:t>–</w:t>
      </w:r>
      <w:r>
        <w:rPr>
          <w:rFonts w:ascii="Times New Roman" w:hAnsi="Times New Roman"/>
          <w:sz w:val="22"/>
          <w:szCs w:val="22"/>
          <w:lang w:val="sk-SK"/>
        </w:rPr>
        <w:t> 21</w:t>
      </w:r>
      <w:r w:rsidR="008F70C0"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t>%),</w:t>
      </w:r>
      <w:r w:rsidRPr="00A17281">
        <w:rPr>
          <w:rFonts w:ascii="Times New Roman" w:hAnsi="Times New Roman"/>
          <w:sz w:val="22"/>
          <w:szCs w:val="22"/>
          <w:lang w:val="sk-SK"/>
        </w:rPr>
        <w:t xml:space="preserve"> priemerný distribučný objem je </w:t>
      </w:r>
      <w:smartTag w:uri="urn:schemas-microsoft-com:office:smarttags" w:element="metricconverter">
        <w:smartTagPr>
          <w:attr w:name="ProductID" w:val="170 litrov"/>
        </w:smartTagPr>
        <w:r w:rsidRPr="00A17281">
          <w:rPr>
            <w:rFonts w:ascii="Times New Roman" w:hAnsi="Times New Roman"/>
            <w:sz w:val="22"/>
            <w:szCs w:val="22"/>
            <w:lang w:val="sk-SK"/>
          </w:rPr>
          <w:t>170 litrov</w:t>
        </w:r>
      </w:smartTag>
      <w:r>
        <w:rPr>
          <w:rFonts w:ascii="Times New Roman" w:hAnsi="Times New Roman"/>
          <w:sz w:val="22"/>
          <w:szCs w:val="22"/>
          <w:lang w:val="sk-SK"/>
        </w:rPr>
        <w:t>.</w:t>
      </w:r>
      <w:r w:rsidRPr="00A17281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158DF3F3" w14:textId="77777777" w:rsidR="00483AA4" w:rsidRDefault="00483AA4" w:rsidP="003336D7">
      <w:pPr>
        <w:pStyle w:val="OmniPage154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01D45C4A" w14:textId="77777777" w:rsidR="00483AA4" w:rsidRDefault="00483AA4" w:rsidP="00483AA4">
      <w:pPr>
        <w:pStyle w:val="OmniPage1542"/>
        <w:ind w:left="0" w:right="0"/>
        <w:rPr>
          <w:rFonts w:ascii="Times New Roman" w:hAnsi="Times New Roman"/>
          <w:sz w:val="22"/>
          <w:szCs w:val="22"/>
          <w:u w:val="single"/>
          <w:lang w:val="sk-SK"/>
        </w:rPr>
      </w:pPr>
      <w:r w:rsidRPr="00E4014F">
        <w:rPr>
          <w:rFonts w:ascii="Times New Roman" w:hAnsi="Times New Roman"/>
          <w:sz w:val="22"/>
          <w:szCs w:val="22"/>
          <w:u w:val="single"/>
          <w:lang w:val="sk-SK"/>
        </w:rPr>
        <w:t>Biotransformácia a</w:t>
      </w:r>
      <w:r w:rsidR="00873F60">
        <w:rPr>
          <w:rFonts w:ascii="Times New Roman" w:hAnsi="Times New Roman"/>
          <w:sz w:val="22"/>
          <w:szCs w:val="22"/>
          <w:u w:val="single"/>
          <w:lang w:val="sk-SK"/>
        </w:rPr>
        <w:t> </w:t>
      </w:r>
      <w:r w:rsidRPr="00E4014F">
        <w:rPr>
          <w:rFonts w:ascii="Times New Roman" w:hAnsi="Times New Roman"/>
          <w:sz w:val="22"/>
          <w:szCs w:val="22"/>
          <w:u w:val="single"/>
          <w:lang w:val="sk-SK"/>
        </w:rPr>
        <w:t>eliminácia</w:t>
      </w:r>
    </w:p>
    <w:p w14:paraId="4AE54066" w14:textId="77777777" w:rsidR="00873F60" w:rsidRPr="00E4014F" w:rsidRDefault="00194A53" w:rsidP="00483AA4">
      <w:pPr>
        <w:pStyle w:val="OmniPage1542"/>
        <w:ind w:left="0" w:right="0"/>
        <w:rPr>
          <w:rFonts w:ascii="Times New Roman" w:hAnsi="Times New Roman"/>
          <w:sz w:val="22"/>
          <w:szCs w:val="22"/>
          <w:u w:val="single"/>
          <w:lang w:val="sk-SK"/>
        </w:rPr>
      </w:pPr>
      <w:r w:rsidRPr="00C33D42">
        <w:rPr>
          <w:rFonts w:ascii="Times New Roman" w:hAnsi="Times New Roman"/>
          <w:sz w:val="22"/>
          <w:szCs w:val="22"/>
          <w:lang w:val="sk-SK"/>
        </w:rPr>
        <w:t>Eliminačný polčas je približne 2 hodiny, aj keď existuje náznak dlhšej eliminačnej fázy.</w:t>
      </w:r>
    </w:p>
    <w:p w14:paraId="57E467C4" w14:textId="6CB20CCC" w:rsidR="00516093" w:rsidRDefault="003336D7" w:rsidP="003336D7">
      <w:pPr>
        <w:pStyle w:val="OmniPage154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A17281">
        <w:rPr>
          <w:rFonts w:ascii="Times New Roman" w:hAnsi="Times New Roman"/>
          <w:sz w:val="22"/>
          <w:szCs w:val="22"/>
          <w:lang w:val="sk-SK"/>
        </w:rPr>
        <w:t>Priemerný celkový klírens je približne</w:t>
      </w:r>
      <w:r w:rsidRPr="002B6B8E">
        <w:rPr>
          <w:rFonts w:ascii="Times New Roman" w:hAnsi="Times New Roman"/>
          <w:sz w:val="22"/>
          <w:szCs w:val="22"/>
          <w:lang w:val="sk-SK"/>
        </w:rPr>
        <w:t xml:space="preserve"> 1160 ml/min a priemerný renálny </w:t>
      </w:r>
      <w:r>
        <w:rPr>
          <w:rFonts w:ascii="Times New Roman" w:hAnsi="Times New Roman"/>
          <w:sz w:val="22"/>
          <w:szCs w:val="22"/>
          <w:lang w:val="sk-SK"/>
        </w:rPr>
        <w:t xml:space="preserve">plazmatický </w:t>
      </w:r>
      <w:r w:rsidRPr="002B6B8E">
        <w:rPr>
          <w:rFonts w:ascii="Times New Roman" w:hAnsi="Times New Roman"/>
          <w:sz w:val="22"/>
          <w:szCs w:val="22"/>
          <w:lang w:val="sk-SK"/>
        </w:rPr>
        <w:t>klírens je približne 260 ml/min</w:t>
      </w:r>
      <w:r w:rsidRPr="002B6B8E">
        <w:rPr>
          <w:rFonts w:ascii="Times New Roman" w:hAnsi="Times New Roman"/>
          <w:noProof w:val="0"/>
          <w:sz w:val="22"/>
          <w:szCs w:val="22"/>
          <w:lang w:val="sk-SK"/>
        </w:rPr>
        <w:t xml:space="preserve">. </w:t>
      </w:r>
      <w:r>
        <w:rPr>
          <w:rFonts w:ascii="Times New Roman" w:hAnsi="Times New Roman"/>
          <w:sz w:val="22"/>
          <w:szCs w:val="22"/>
          <w:lang w:val="sk-SK"/>
        </w:rPr>
        <w:t>Non-</w:t>
      </w:r>
      <w:r w:rsidRPr="002B6B8E">
        <w:rPr>
          <w:rFonts w:ascii="Times New Roman" w:hAnsi="Times New Roman"/>
          <w:sz w:val="22"/>
          <w:szCs w:val="22"/>
          <w:lang w:val="sk-SK"/>
        </w:rPr>
        <w:t>renálny klírens zodpovedá približne 80</w:t>
      </w:r>
      <w:r w:rsidR="008F70C0">
        <w:rPr>
          <w:rFonts w:ascii="Times New Roman" w:hAnsi="Times New Roman"/>
          <w:sz w:val="22"/>
          <w:szCs w:val="22"/>
          <w:lang w:val="sk-SK"/>
        </w:rPr>
        <w:t> </w:t>
      </w:r>
      <w:r w:rsidRPr="002B6B8E">
        <w:rPr>
          <w:rFonts w:ascii="Times New Roman" w:hAnsi="Times New Roman"/>
          <w:sz w:val="22"/>
          <w:szCs w:val="22"/>
          <w:lang w:val="sk-SK"/>
        </w:rPr>
        <w:t>% celkového klírensu</w:t>
      </w:r>
      <w:r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14:paraId="706DAB75" w14:textId="77777777" w:rsidR="00516093" w:rsidRDefault="00516093" w:rsidP="003336D7">
      <w:pPr>
        <w:pStyle w:val="OmniPage1542"/>
        <w:ind w:left="0" w:right="0"/>
        <w:rPr>
          <w:rFonts w:ascii="Times New Roman" w:hAnsi="Times New Roman"/>
          <w:noProof w:val="0"/>
          <w:sz w:val="22"/>
          <w:szCs w:val="22"/>
          <w:lang w:val="sk-SK"/>
        </w:rPr>
      </w:pPr>
    </w:p>
    <w:p w14:paraId="3A579EDE" w14:textId="77777777" w:rsidR="00516093" w:rsidRDefault="003336D7" w:rsidP="003336D7">
      <w:pPr>
        <w:pStyle w:val="OmniPage1542"/>
        <w:ind w:left="0" w:right="0"/>
        <w:rPr>
          <w:rFonts w:ascii="Times New Roman" w:hAnsi="Times New Roman"/>
          <w:noProof w:val="0"/>
          <w:sz w:val="22"/>
          <w:szCs w:val="22"/>
          <w:lang w:val="sk-SK"/>
        </w:rPr>
      </w:pPr>
      <w:r>
        <w:rPr>
          <w:rFonts w:ascii="Times New Roman" w:hAnsi="Times New Roman"/>
          <w:noProof w:val="0"/>
          <w:sz w:val="22"/>
          <w:szCs w:val="22"/>
          <w:lang w:val="sk-SK"/>
        </w:rPr>
        <w:t>Sumatript</w:t>
      </w:r>
      <w:r w:rsidR="001D52CA">
        <w:rPr>
          <w:rFonts w:ascii="Times New Roman" w:hAnsi="Times New Roman"/>
          <w:noProof w:val="0"/>
          <w:sz w:val="22"/>
          <w:szCs w:val="22"/>
          <w:lang w:val="sk-SK"/>
        </w:rPr>
        <w:t>á</w:t>
      </w:r>
      <w:r>
        <w:rPr>
          <w:rFonts w:ascii="Times New Roman" w:hAnsi="Times New Roman"/>
          <w:noProof w:val="0"/>
          <w:sz w:val="22"/>
          <w:szCs w:val="22"/>
          <w:lang w:val="sk-SK"/>
        </w:rPr>
        <w:t>n</w:t>
      </w:r>
      <w:r w:rsidRPr="002B6B8E">
        <w:rPr>
          <w:rFonts w:ascii="Times New Roman" w:hAnsi="Times New Roman"/>
          <w:noProof w:val="0"/>
          <w:sz w:val="22"/>
          <w:szCs w:val="22"/>
          <w:lang w:val="sk-SK"/>
        </w:rPr>
        <w:t xml:space="preserve"> s</w:t>
      </w:r>
      <w:r>
        <w:rPr>
          <w:rFonts w:ascii="Times New Roman" w:hAnsi="Times New Roman"/>
          <w:noProof w:val="0"/>
          <w:sz w:val="22"/>
          <w:szCs w:val="22"/>
          <w:lang w:val="sk-SK"/>
        </w:rPr>
        <w:t>a eliminuje</w:t>
      </w:r>
      <w:r w:rsidRPr="002B6B8E">
        <w:rPr>
          <w:rFonts w:ascii="Times New Roman" w:hAnsi="Times New Roman"/>
          <w:noProof w:val="0"/>
          <w:sz w:val="22"/>
          <w:szCs w:val="22"/>
          <w:lang w:val="sk-SK"/>
        </w:rPr>
        <w:t xml:space="preserve"> predovšetkým </w:t>
      </w:r>
      <w:r>
        <w:rPr>
          <w:rFonts w:ascii="Times New Roman" w:hAnsi="Times New Roman"/>
          <w:noProof w:val="0"/>
          <w:sz w:val="22"/>
          <w:szCs w:val="22"/>
          <w:lang w:val="sk-SK"/>
        </w:rPr>
        <w:t xml:space="preserve">oxidatívnym </w:t>
      </w:r>
      <w:r w:rsidRPr="002B6B8E">
        <w:rPr>
          <w:rFonts w:ascii="Times New Roman" w:hAnsi="Times New Roman"/>
          <w:noProof w:val="0"/>
          <w:sz w:val="22"/>
          <w:szCs w:val="22"/>
          <w:lang w:val="sk-SK"/>
        </w:rPr>
        <w:t>metabolizmom</w:t>
      </w:r>
      <w:r>
        <w:rPr>
          <w:rFonts w:ascii="Times New Roman" w:hAnsi="Times New Roman"/>
          <w:noProof w:val="0"/>
          <w:sz w:val="22"/>
          <w:szCs w:val="22"/>
          <w:lang w:val="sk-SK"/>
        </w:rPr>
        <w:t xml:space="preserve"> sprostredkovaným monoaminooxidázou A</w:t>
      </w:r>
      <w:r w:rsidRPr="002B6B8E">
        <w:rPr>
          <w:rFonts w:ascii="Times New Roman" w:hAnsi="Times New Roman"/>
          <w:noProof w:val="0"/>
          <w:sz w:val="22"/>
          <w:szCs w:val="22"/>
          <w:lang w:val="sk-SK"/>
        </w:rPr>
        <w:t>.</w:t>
      </w:r>
      <w:r w:rsidRPr="002B6B8E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F540C5">
        <w:rPr>
          <w:rFonts w:ascii="Times New Roman" w:hAnsi="Times New Roman"/>
          <w:noProof w:val="0"/>
          <w:sz w:val="22"/>
          <w:szCs w:val="22"/>
          <w:lang w:val="sk-SK"/>
        </w:rPr>
        <w:t>Hlavný metabolit</w:t>
      </w:r>
      <w:r>
        <w:rPr>
          <w:rFonts w:ascii="Times New Roman" w:hAnsi="Times New Roman"/>
          <w:noProof w:val="0"/>
          <w:sz w:val="22"/>
          <w:szCs w:val="22"/>
          <w:lang w:val="sk-SK"/>
        </w:rPr>
        <w:t xml:space="preserve">, </w:t>
      </w:r>
      <w:r w:rsidRPr="002D18B6">
        <w:rPr>
          <w:rFonts w:ascii="Times New Roman" w:hAnsi="Times New Roman"/>
          <w:sz w:val="22"/>
          <w:szCs w:val="22"/>
          <w:lang w:val="sk-SK"/>
        </w:rPr>
        <w:t>indol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D18B6">
        <w:rPr>
          <w:rFonts w:ascii="Times New Roman" w:hAnsi="Times New Roman"/>
          <w:sz w:val="22"/>
          <w:szCs w:val="22"/>
          <w:lang w:val="sk-SK"/>
        </w:rPr>
        <w:t>octový analóg sumatript</w:t>
      </w:r>
      <w:r w:rsidR="001D52CA">
        <w:rPr>
          <w:rFonts w:ascii="Times New Roman" w:hAnsi="Times New Roman"/>
          <w:sz w:val="22"/>
          <w:szCs w:val="22"/>
          <w:lang w:val="sk-SK"/>
        </w:rPr>
        <w:t>á</w:t>
      </w:r>
      <w:r w:rsidRPr="002D18B6">
        <w:rPr>
          <w:rFonts w:ascii="Times New Roman" w:hAnsi="Times New Roman"/>
          <w:sz w:val="22"/>
          <w:szCs w:val="22"/>
          <w:lang w:val="sk-SK"/>
        </w:rPr>
        <w:t>nu</w:t>
      </w:r>
      <w:r>
        <w:rPr>
          <w:rFonts w:ascii="Times New Roman" w:hAnsi="Times New Roman"/>
          <w:sz w:val="22"/>
          <w:szCs w:val="22"/>
          <w:lang w:val="sk-SK"/>
        </w:rPr>
        <w:t>, sa vylučuje prevažne</w:t>
      </w:r>
      <w:r w:rsidRPr="00F540C5">
        <w:rPr>
          <w:rFonts w:ascii="Times New Roman" w:hAnsi="Times New Roman"/>
          <w:sz w:val="22"/>
          <w:szCs w:val="22"/>
          <w:lang w:val="sk-SK"/>
        </w:rPr>
        <w:t xml:space="preserve"> močom</w:t>
      </w:r>
      <w:r>
        <w:rPr>
          <w:rFonts w:ascii="Times New Roman" w:hAnsi="Times New Roman"/>
          <w:sz w:val="22"/>
          <w:szCs w:val="22"/>
          <w:lang w:val="sk-SK"/>
        </w:rPr>
        <w:t>, kde je prítomný ako voľná kyselina a glukuronidovaný konjugát</w:t>
      </w:r>
      <w:r w:rsidRPr="00F540C5">
        <w:rPr>
          <w:rFonts w:ascii="Times New Roman" w:hAnsi="Times New Roman"/>
          <w:noProof w:val="0"/>
          <w:sz w:val="22"/>
          <w:szCs w:val="22"/>
          <w:lang w:val="sk-SK"/>
        </w:rPr>
        <w:t>. Nevykazuje žiadny známy účinok na 5-HT</w:t>
      </w:r>
      <w:r w:rsidRPr="00F22D5E">
        <w:rPr>
          <w:rFonts w:ascii="Times New Roman" w:hAnsi="Times New Roman"/>
          <w:noProof w:val="0"/>
          <w:sz w:val="22"/>
          <w:szCs w:val="22"/>
          <w:vertAlign w:val="subscript"/>
          <w:lang w:val="sk-SK"/>
        </w:rPr>
        <w:t>1</w:t>
      </w:r>
      <w:r w:rsidRPr="00F540C5">
        <w:rPr>
          <w:rFonts w:ascii="Times New Roman" w:hAnsi="Times New Roman"/>
          <w:noProof w:val="0"/>
          <w:sz w:val="22"/>
          <w:szCs w:val="22"/>
          <w:lang w:val="sk-SK"/>
        </w:rPr>
        <w:t xml:space="preserve"> alebo 5-HT</w:t>
      </w:r>
      <w:r w:rsidRPr="00F22D5E">
        <w:rPr>
          <w:rFonts w:ascii="Times New Roman" w:hAnsi="Times New Roman"/>
          <w:noProof w:val="0"/>
          <w:sz w:val="22"/>
          <w:szCs w:val="22"/>
          <w:vertAlign w:val="subscript"/>
          <w:lang w:val="sk-SK"/>
        </w:rPr>
        <w:t>2</w:t>
      </w:r>
      <w:r w:rsidRPr="00F540C5">
        <w:rPr>
          <w:rFonts w:ascii="Times New Roman" w:hAnsi="Times New Roman"/>
          <w:noProof w:val="0"/>
          <w:sz w:val="22"/>
          <w:szCs w:val="22"/>
          <w:lang w:val="sk-SK"/>
        </w:rPr>
        <w:t xml:space="preserve">. </w:t>
      </w:r>
      <w:r w:rsidRPr="00F540C5">
        <w:rPr>
          <w:rFonts w:ascii="Times New Roman" w:hAnsi="Times New Roman"/>
          <w:sz w:val="22"/>
          <w:szCs w:val="22"/>
          <w:lang w:val="sk-SK"/>
        </w:rPr>
        <w:t>Vedľajšie metabolity sa nezistili</w:t>
      </w:r>
      <w:r w:rsidRPr="00F540C5">
        <w:rPr>
          <w:rFonts w:ascii="Times New Roman" w:hAnsi="Times New Roman"/>
          <w:noProof w:val="0"/>
          <w:sz w:val="22"/>
          <w:szCs w:val="22"/>
          <w:lang w:val="sk-SK"/>
        </w:rPr>
        <w:t xml:space="preserve">. </w:t>
      </w:r>
    </w:p>
    <w:p w14:paraId="4E766BC3" w14:textId="77777777" w:rsidR="00516093" w:rsidRDefault="00516093" w:rsidP="003336D7">
      <w:pPr>
        <w:pStyle w:val="OmniPage1542"/>
        <w:ind w:left="0" w:right="0"/>
        <w:rPr>
          <w:rFonts w:ascii="Times New Roman" w:hAnsi="Times New Roman"/>
          <w:noProof w:val="0"/>
          <w:sz w:val="22"/>
          <w:szCs w:val="22"/>
          <w:lang w:val="sk-SK"/>
        </w:rPr>
      </w:pPr>
    </w:p>
    <w:p w14:paraId="3010EBC3" w14:textId="77777777" w:rsidR="003336D7" w:rsidRDefault="003F743D" w:rsidP="003336D7">
      <w:pPr>
        <w:pStyle w:val="OmniPage1542"/>
        <w:ind w:left="0" w:right="0"/>
        <w:rPr>
          <w:rFonts w:ascii="Times New Roman" w:hAnsi="Times New Roman"/>
          <w:noProof w:val="0"/>
          <w:sz w:val="22"/>
          <w:szCs w:val="22"/>
          <w:lang w:val="sk-SK"/>
        </w:rPr>
      </w:pPr>
      <w:r>
        <w:rPr>
          <w:rFonts w:ascii="Times New Roman" w:hAnsi="Times New Roman"/>
          <w:noProof w:val="0"/>
          <w:sz w:val="22"/>
          <w:szCs w:val="22"/>
          <w:lang w:val="sk-SK"/>
        </w:rPr>
        <w:t>Zdá sa, že m</w:t>
      </w:r>
      <w:r w:rsidR="003336D7" w:rsidRPr="00F540C5">
        <w:rPr>
          <w:rFonts w:ascii="Times New Roman" w:hAnsi="Times New Roman"/>
          <w:noProof w:val="0"/>
          <w:sz w:val="22"/>
          <w:szCs w:val="22"/>
          <w:lang w:val="sk-SK"/>
        </w:rPr>
        <w:t>igrenózn</w:t>
      </w:r>
      <w:r>
        <w:rPr>
          <w:rFonts w:ascii="Times New Roman" w:hAnsi="Times New Roman"/>
          <w:noProof w:val="0"/>
          <w:sz w:val="22"/>
          <w:szCs w:val="22"/>
          <w:lang w:val="sk-SK"/>
        </w:rPr>
        <w:t xml:space="preserve">e záchvaty </w:t>
      </w:r>
      <w:r w:rsidR="003336D7" w:rsidRPr="00F540C5">
        <w:rPr>
          <w:rFonts w:ascii="Times New Roman" w:hAnsi="Times New Roman"/>
          <w:noProof w:val="0"/>
          <w:sz w:val="22"/>
          <w:szCs w:val="22"/>
          <w:lang w:val="sk-SK"/>
        </w:rPr>
        <w:t xml:space="preserve">nemajú významný vplyv na farmakokinetiku perorálne podaného </w:t>
      </w:r>
      <w:r>
        <w:rPr>
          <w:rFonts w:ascii="Times New Roman" w:hAnsi="Times New Roman"/>
          <w:noProof w:val="0"/>
          <w:sz w:val="22"/>
          <w:szCs w:val="22"/>
          <w:lang w:val="sk-SK"/>
        </w:rPr>
        <w:t>sumatript</w:t>
      </w:r>
      <w:r w:rsidR="001D52CA">
        <w:rPr>
          <w:rFonts w:ascii="Times New Roman" w:hAnsi="Times New Roman"/>
          <w:noProof w:val="0"/>
          <w:sz w:val="22"/>
          <w:szCs w:val="22"/>
          <w:lang w:val="sk-SK"/>
        </w:rPr>
        <w:t>á</w:t>
      </w:r>
      <w:r w:rsidR="003336D7">
        <w:rPr>
          <w:rFonts w:ascii="Times New Roman" w:hAnsi="Times New Roman"/>
          <w:noProof w:val="0"/>
          <w:sz w:val="22"/>
          <w:szCs w:val="22"/>
          <w:lang w:val="sk-SK"/>
        </w:rPr>
        <w:t>n</w:t>
      </w:r>
      <w:r w:rsidR="003336D7" w:rsidRPr="00F540C5">
        <w:rPr>
          <w:rFonts w:ascii="Times New Roman" w:hAnsi="Times New Roman"/>
          <w:noProof w:val="0"/>
          <w:sz w:val="22"/>
          <w:szCs w:val="22"/>
          <w:lang w:val="sk-SK"/>
        </w:rPr>
        <w:t>u.</w:t>
      </w:r>
    </w:p>
    <w:p w14:paraId="14315C1A" w14:textId="77777777" w:rsidR="00516093" w:rsidRDefault="00516093" w:rsidP="003336D7">
      <w:pPr>
        <w:pStyle w:val="OmniPage1542"/>
        <w:ind w:left="0" w:right="0"/>
        <w:rPr>
          <w:rFonts w:ascii="Times New Roman" w:hAnsi="Times New Roman"/>
          <w:noProof w:val="0"/>
          <w:sz w:val="22"/>
          <w:szCs w:val="22"/>
          <w:lang w:val="sk-SK"/>
        </w:rPr>
      </w:pPr>
    </w:p>
    <w:p w14:paraId="44A71721" w14:textId="77777777" w:rsidR="00516093" w:rsidRDefault="00516093" w:rsidP="003336D7">
      <w:pPr>
        <w:pStyle w:val="OmniPage1542"/>
        <w:ind w:left="0" w:right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V pilotnej štúdii sa nezistili významné rozdiely vo farmakokinetických parametroch medzi staršími a mladšími zdravými dobrovoľníkmi.</w:t>
      </w:r>
    </w:p>
    <w:p w14:paraId="592F23FB" w14:textId="77777777" w:rsidR="005336AE" w:rsidRDefault="005336AE" w:rsidP="00E75615">
      <w:pPr>
        <w:ind w:left="0" w:firstLine="0"/>
        <w:rPr>
          <w:color w:val="000000"/>
          <w:szCs w:val="22"/>
        </w:rPr>
      </w:pPr>
    </w:p>
    <w:p w14:paraId="693CD57B" w14:textId="77777777" w:rsidR="00CE3249" w:rsidRPr="003E7411" w:rsidRDefault="00CE3249" w:rsidP="00CE3249">
      <w:pPr>
        <w:rPr>
          <w:color w:val="000000"/>
          <w:szCs w:val="22"/>
        </w:rPr>
      </w:pPr>
      <w:r w:rsidRPr="003E7411">
        <w:rPr>
          <w:b/>
          <w:color w:val="000000"/>
          <w:szCs w:val="22"/>
        </w:rPr>
        <w:t>5.3</w:t>
      </w:r>
      <w:r w:rsidRPr="003E7411">
        <w:rPr>
          <w:b/>
          <w:color w:val="000000"/>
          <w:szCs w:val="22"/>
        </w:rPr>
        <w:tab/>
        <w:t>Predklinické údaje o bezpečnosti</w:t>
      </w:r>
    </w:p>
    <w:p w14:paraId="5DD6B609" w14:textId="77777777" w:rsidR="00CE3249" w:rsidRDefault="00CE3249" w:rsidP="00CE3249">
      <w:pPr>
        <w:rPr>
          <w:color w:val="000000"/>
          <w:szCs w:val="22"/>
        </w:rPr>
      </w:pPr>
    </w:p>
    <w:p w14:paraId="11126139" w14:textId="77777777" w:rsidR="00EB205A" w:rsidRPr="00F540C5" w:rsidRDefault="00EB205A" w:rsidP="00EB205A">
      <w:pPr>
        <w:pStyle w:val="OmniPage1794"/>
        <w:ind w:left="0" w:right="0"/>
        <w:rPr>
          <w:rFonts w:ascii="Times New Roman" w:hAnsi="Times New Roman"/>
          <w:noProof w:val="0"/>
          <w:sz w:val="22"/>
          <w:szCs w:val="22"/>
          <w:lang w:val="sk-SK"/>
        </w:rPr>
      </w:pPr>
      <w:r w:rsidRPr="00F540C5">
        <w:rPr>
          <w:rFonts w:ascii="Times New Roman" w:hAnsi="Times New Roman"/>
          <w:noProof w:val="0"/>
          <w:sz w:val="22"/>
          <w:szCs w:val="22"/>
          <w:lang w:val="sk-SK"/>
        </w:rPr>
        <w:t xml:space="preserve">V štúdii fertility u potkanov </w:t>
      </w:r>
      <w:r>
        <w:rPr>
          <w:rFonts w:ascii="Times New Roman" w:hAnsi="Times New Roman"/>
          <w:noProof w:val="0"/>
          <w:sz w:val="22"/>
          <w:szCs w:val="22"/>
          <w:lang w:val="sk-SK"/>
        </w:rPr>
        <w:t>perorálne dávky sumatript</w:t>
      </w:r>
      <w:r w:rsidR="001D52CA">
        <w:rPr>
          <w:rFonts w:ascii="Times New Roman" w:hAnsi="Times New Roman"/>
          <w:noProof w:val="0"/>
          <w:sz w:val="22"/>
          <w:szCs w:val="22"/>
          <w:lang w:val="sk-SK"/>
        </w:rPr>
        <w:t>á</w:t>
      </w:r>
      <w:r>
        <w:rPr>
          <w:rFonts w:ascii="Times New Roman" w:hAnsi="Times New Roman"/>
          <w:noProof w:val="0"/>
          <w:sz w:val="22"/>
          <w:szCs w:val="22"/>
          <w:lang w:val="sk-SK"/>
        </w:rPr>
        <w:t>nu, ktoré predstavovali plazmatick</w:t>
      </w:r>
      <w:r w:rsidR="00E00A76">
        <w:rPr>
          <w:rFonts w:ascii="Times New Roman" w:hAnsi="Times New Roman"/>
          <w:noProof w:val="0"/>
          <w:sz w:val="22"/>
          <w:szCs w:val="22"/>
          <w:lang w:val="sk-SK"/>
        </w:rPr>
        <w:t xml:space="preserve">é hladiny </w:t>
      </w:r>
      <w:r>
        <w:rPr>
          <w:rFonts w:ascii="Times New Roman" w:hAnsi="Times New Roman"/>
          <w:noProof w:val="0"/>
          <w:sz w:val="22"/>
          <w:szCs w:val="22"/>
          <w:lang w:val="sk-SK"/>
        </w:rPr>
        <w:t>vyššie ako tie, ktoré sa pozorovali u</w:t>
      </w:r>
      <w:r w:rsidR="00E00A76">
        <w:rPr>
          <w:rFonts w:ascii="Times New Roman" w:hAnsi="Times New Roman"/>
          <w:noProof w:val="0"/>
          <w:sz w:val="22"/>
          <w:szCs w:val="22"/>
          <w:lang w:val="sk-SK"/>
        </w:rPr>
        <w:t> ľudí</w:t>
      </w:r>
      <w:r>
        <w:rPr>
          <w:rFonts w:ascii="Times New Roman" w:hAnsi="Times New Roman"/>
          <w:noProof w:val="0"/>
          <w:sz w:val="22"/>
          <w:szCs w:val="22"/>
          <w:lang w:val="sk-SK"/>
        </w:rPr>
        <w:t>, mali za následok zníženú</w:t>
      </w:r>
      <w:r w:rsidRPr="00F540C5">
        <w:rPr>
          <w:rFonts w:ascii="Times New Roman" w:hAnsi="Times New Roman"/>
          <w:noProof w:val="0"/>
          <w:sz w:val="22"/>
          <w:szCs w:val="22"/>
          <w:lang w:val="sk-SK"/>
        </w:rPr>
        <w:t xml:space="preserve"> úspešnosť inseminácie. </w:t>
      </w:r>
    </w:p>
    <w:p w14:paraId="0928750B" w14:textId="77777777" w:rsidR="00E00A76" w:rsidRDefault="00EB205A" w:rsidP="00EB205A">
      <w:pPr>
        <w:pStyle w:val="OmniPage1794"/>
        <w:ind w:left="0" w:right="0"/>
        <w:rPr>
          <w:rFonts w:ascii="Times New Roman" w:hAnsi="Times New Roman"/>
          <w:noProof w:val="0"/>
          <w:sz w:val="22"/>
          <w:szCs w:val="22"/>
          <w:lang w:val="sk-SK"/>
        </w:rPr>
      </w:pPr>
      <w:r w:rsidRPr="00F540C5">
        <w:rPr>
          <w:rFonts w:ascii="Times New Roman" w:hAnsi="Times New Roman"/>
          <w:noProof w:val="0"/>
          <w:sz w:val="22"/>
          <w:szCs w:val="22"/>
          <w:lang w:val="sk-SK"/>
        </w:rPr>
        <w:t>U králikov sa pozorovala embryoletalita be</w:t>
      </w:r>
      <w:r w:rsidR="00E00A76">
        <w:rPr>
          <w:rFonts w:ascii="Times New Roman" w:hAnsi="Times New Roman"/>
          <w:noProof w:val="0"/>
          <w:sz w:val="22"/>
          <w:szCs w:val="22"/>
          <w:lang w:val="sk-SK"/>
        </w:rPr>
        <w:t xml:space="preserve">z výrazných </w:t>
      </w:r>
      <w:r w:rsidRPr="00F540C5">
        <w:rPr>
          <w:rFonts w:ascii="Times New Roman" w:hAnsi="Times New Roman"/>
          <w:noProof w:val="0"/>
          <w:sz w:val="22"/>
          <w:szCs w:val="22"/>
          <w:lang w:val="sk-SK"/>
        </w:rPr>
        <w:t xml:space="preserve">teratogénnych účinkov. </w:t>
      </w:r>
    </w:p>
    <w:p w14:paraId="701ED659" w14:textId="2EC499EB" w:rsidR="00E00A76" w:rsidRPr="00F540C5" w:rsidRDefault="00E00A76" w:rsidP="00E00A76">
      <w:pPr>
        <w:pStyle w:val="OmniPage1794"/>
        <w:ind w:left="0" w:right="0"/>
        <w:rPr>
          <w:rFonts w:ascii="Times New Roman" w:hAnsi="Times New Roman"/>
          <w:noProof w:val="0"/>
          <w:sz w:val="22"/>
          <w:szCs w:val="22"/>
          <w:lang w:val="sk-SK"/>
        </w:rPr>
      </w:pPr>
      <w:r>
        <w:rPr>
          <w:rFonts w:ascii="Times New Roman" w:hAnsi="Times New Roman"/>
          <w:noProof w:val="0"/>
          <w:sz w:val="22"/>
          <w:szCs w:val="22"/>
          <w:lang w:val="sk-SK"/>
        </w:rPr>
        <w:t>Sumatript</w:t>
      </w:r>
      <w:r w:rsidR="001D52CA">
        <w:rPr>
          <w:rFonts w:ascii="Times New Roman" w:hAnsi="Times New Roman"/>
          <w:noProof w:val="0"/>
          <w:sz w:val="22"/>
          <w:szCs w:val="22"/>
          <w:lang w:val="sk-SK"/>
        </w:rPr>
        <w:t>á</w:t>
      </w:r>
      <w:r>
        <w:rPr>
          <w:rFonts w:ascii="Times New Roman" w:hAnsi="Times New Roman"/>
          <w:noProof w:val="0"/>
          <w:sz w:val="22"/>
          <w:szCs w:val="22"/>
          <w:lang w:val="sk-SK"/>
        </w:rPr>
        <w:t>n</w:t>
      </w:r>
      <w:r w:rsidRPr="00F540C5">
        <w:rPr>
          <w:rFonts w:ascii="Times New Roman" w:hAnsi="Times New Roman"/>
          <w:noProof w:val="0"/>
          <w:sz w:val="22"/>
          <w:szCs w:val="22"/>
          <w:lang w:val="sk-SK"/>
        </w:rPr>
        <w:t xml:space="preserve"> nevykazoval genotoxický ani karcinogénny účinok v systémoch </w:t>
      </w:r>
      <w:r w:rsidRPr="00F540C5">
        <w:rPr>
          <w:rFonts w:ascii="Times New Roman" w:hAnsi="Times New Roman"/>
          <w:i/>
          <w:noProof w:val="0"/>
          <w:sz w:val="22"/>
          <w:szCs w:val="22"/>
          <w:lang w:val="sk-SK"/>
        </w:rPr>
        <w:t>in vitro</w:t>
      </w:r>
      <w:r w:rsidRPr="00F540C5">
        <w:rPr>
          <w:rFonts w:ascii="Times New Roman" w:hAnsi="Times New Roman"/>
          <w:noProof w:val="0"/>
          <w:sz w:val="22"/>
          <w:szCs w:val="22"/>
          <w:lang w:val="sk-SK"/>
        </w:rPr>
        <w:t xml:space="preserve"> </w:t>
      </w:r>
      <w:r w:rsidRPr="00F540C5">
        <w:rPr>
          <w:rFonts w:ascii="Times New Roman" w:hAnsi="Times New Roman"/>
          <w:sz w:val="22"/>
          <w:szCs w:val="22"/>
          <w:lang w:val="sk-SK"/>
        </w:rPr>
        <w:t>a v štúdiách na</w:t>
      </w:r>
      <w:r w:rsidR="007446E7">
        <w:rPr>
          <w:rFonts w:ascii="Times New Roman" w:hAnsi="Times New Roman"/>
          <w:sz w:val="22"/>
          <w:szCs w:val="22"/>
          <w:lang w:val="sk-SK"/>
        </w:rPr>
        <w:t> </w:t>
      </w:r>
      <w:r w:rsidRPr="00F540C5">
        <w:rPr>
          <w:rFonts w:ascii="Times New Roman" w:hAnsi="Times New Roman"/>
          <w:sz w:val="22"/>
          <w:szCs w:val="22"/>
          <w:lang w:val="sk-SK"/>
        </w:rPr>
        <w:t>zvieratách</w:t>
      </w:r>
      <w:r w:rsidRPr="00F540C5">
        <w:rPr>
          <w:rFonts w:ascii="Times New Roman" w:hAnsi="Times New Roman"/>
          <w:noProof w:val="0"/>
          <w:sz w:val="22"/>
          <w:szCs w:val="22"/>
          <w:lang w:val="sk-SK"/>
        </w:rPr>
        <w:t>.</w:t>
      </w:r>
    </w:p>
    <w:p w14:paraId="6A120CBD" w14:textId="77777777" w:rsidR="00545125" w:rsidRDefault="00545125" w:rsidP="00EB205A">
      <w:pPr>
        <w:pStyle w:val="OmniPage1549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517FAAF7" w14:textId="77777777" w:rsidR="00096BE4" w:rsidRPr="00EB205A" w:rsidRDefault="00096BE4" w:rsidP="00EB205A">
      <w:pPr>
        <w:pStyle w:val="OmniPage1549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29CEACAF" w14:textId="77777777" w:rsidR="00CE3249" w:rsidRPr="003E7411" w:rsidRDefault="00CE3249" w:rsidP="00CE3249">
      <w:pPr>
        <w:rPr>
          <w:b/>
          <w:color w:val="000000"/>
          <w:szCs w:val="22"/>
        </w:rPr>
      </w:pPr>
      <w:r w:rsidRPr="003E7411">
        <w:rPr>
          <w:b/>
          <w:color w:val="000000"/>
          <w:szCs w:val="22"/>
        </w:rPr>
        <w:t>6.</w:t>
      </w:r>
      <w:r w:rsidRPr="003E7411">
        <w:rPr>
          <w:b/>
          <w:color w:val="000000"/>
          <w:szCs w:val="22"/>
        </w:rPr>
        <w:tab/>
        <w:t>FARMACEUTICKÉ INFORMÁCIE</w:t>
      </w:r>
    </w:p>
    <w:p w14:paraId="78C37F13" w14:textId="77777777" w:rsidR="00CE3249" w:rsidRPr="003E7411" w:rsidRDefault="00CE3249" w:rsidP="00CE3249">
      <w:pPr>
        <w:rPr>
          <w:color w:val="000000"/>
          <w:szCs w:val="22"/>
        </w:rPr>
      </w:pPr>
    </w:p>
    <w:p w14:paraId="7EEF035F" w14:textId="77777777" w:rsidR="00CE3249" w:rsidRPr="003E7411" w:rsidRDefault="00CE3249" w:rsidP="00CE3249">
      <w:pPr>
        <w:rPr>
          <w:color w:val="000000"/>
          <w:szCs w:val="22"/>
        </w:rPr>
      </w:pPr>
      <w:r w:rsidRPr="003E7411">
        <w:rPr>
          <w:b/>
          <w:color w:val="000000"/>
          <w:szCs w:val="22"/>
        </w:rPr>
        <w:t>6.1</w:t>
      </w:r>
      <w:r w:rsidRPr="003E7411">
        <w:rPr>
          <w:b/>
          <w:color w:val="000000"/>
          <w:szCs w:val="22"/>
        </w:rPr>
        <w:tab/>
        <w:t>Zoznam pomocných látok</w:t>
      </w:r>
    </w:p>
    <w:p w14:paraId="32613CF0" w14:textId="77777777" w:rsidR="00C7664A" w:rsidRDefault="00C7664A" w:rsidP="00C7664A">
      <w:pPr>
        <w:pStyle w:val="Default"/>
        <w:rPr>
          <w:sz w:val="22"/>
          <w:szCs w:val="22"/>
        </w:rPr>
      </w:pPr>
    </w:p>
    <w:p w14:paraId="576B8C8B" w14:textId="77777777" w:rsidR="00CE3249" w:rsidRDefault="00E00A76" w:rsidP="00CE3249">
      <w:pPr>
        <w:rPr>
          <w:color w:val="000000"/>
          <w:szCs w:val="22"/>
          <w:u w:val="single"/>
        </w:rPr>
      </w:pPr>
      <w:r>
        <w:rPr>
          <w:color w:val="000000"/>
          <w:szCs w:val="22"/>
          <w:u w:val="single"/>
        </w:rPr>
        <w:t>Jadro tablety</w:t>
      </w:r>
      <w:r w:rsidR="00EB205A">
        <w:rPr>
          <w:color w:val="000000"/>
          <w:szCs w:val="22"/>
          <w:u w:val="single"/>
        </w:rPr>
        <w:t>:</w:t>
      </w:r>
    </w:p>
    <w:p w14:paraId="53FB83AA" w14:textId="20D58923" w:rsidR="00976555" w:rsidRDefault="00033AAA" w:rsidP="00CE3249">
      <w:pPr>
        <w:rPr>
          <w:color w:val="000000"/>
          <w:szCs w:val="22"/>
        </w:rPr>
      </w:pPr>
      <w:r>
        <w:rPr>
          <w:color w:val="000000"/>
          <w:szCs w:val="22"/>
        </w:rPr>
        <w:t>l</w:t>
      </w:r>
      <w:r w:rsidRPr="00033AAA">
        <w:rPr>
          <w:color w:val="000000"/>
          <w:szCs w:val="22"/>
        </w:rPr>
        <w:t>aktóza, monohydrát</w:t>
      </w:r>
    </w:p>
    <w:p w14:paraId="72F7026C" w14:textId="12E8A1DE" w:rsidR="00976555" w:rsidRDefault="00033AAA" w:rsidP="00CE3249">
      <w:pPr>
        <w:rPr>
          <w:color w:val="000000"/>
          <w:szCs w:val="22"/>
        </w:rPr>
      </w:pPr>
      <w:r>
        <w:rPr>
          <w:color w:val="000000"/>
          <w:szCs w:val="22"/>
        </w:rPr>
        <w:t>c</w:t>
      </w:r>
      <w:r w:rsidRPr="00033AAA">
        <w:rPr>
          <w:color w:val="000000"/>
          <w:szCs w:val="22"/>
        </w:rPr>
        <w:t>elulóza, mikrokryštalická</w:t>
      </w:r>
    </w:p>
    <w:p w14:paraId="0924D822" w14:textId="5D5407C8" w:rsidR="00976555" w:rsidRDefault="003910CD" w:rsidP="00CE3249">
      <w:pPr>
        <w:rPr>
          <w:color w:val="000000"/>
          <w:szCs w:val="22"/>
        </w:rPr>
      </w:pPr>
      <w:proofErr w:type="spellStart"/>
      <w:r>
        <w:rPr>
          <w:color w:val="000000"/>
          <w:szCs w:val="22"/>
        </w:rPr>
        <w:t>kroskarmelóza</w:t>
      </w:r>
      <w:proofErr w:type="spellEnd"/>
      <w:r>
        <w:rPr>
          <w:color w:val="000000"/>
          <w:szCs w:val="22"/>
        </w:rPr>
        <w:t xml:space="preserve">, </w:t>
      </w:r>
      <w:r w:rsidRPr="003910CD">
        <w:rPr>
          <w:color w:val="000000"/>
          <w:szCs w:val="22"/>
        </w:rPr>
        <w:t>sodná soľ</w:t>
      </w:r>
    </w:p>
    <w:p w14:paraId="65843D3B" w14:textId="44FA7D11" w:rsidR="00EB205A" w:rsidRDefault="003910CD" w:rsidP="00CE3249">
      <w:pPr>
        <w:rPr>
          <w:color w:val="000000"/>
          <w:szCs w:val="22"/>
        </w:rPr>
      </w:pPr>
      <w:proofErr w:type="spellStart"/>
      <w:r>
        <w:rPr>
          <w:color w:val="000000"/>
          <w:szCs w:val="22"/>
        </w:rPr>
        <w:t>s</w:t>
      </w:r>
      <w:r w:rsidRPr="003910CD">
        <w:rPr>
          <w:color w:val="000000"/>
          <w:szCs w:val="22"/>
        </w:rPr>
        <w:t>tearát</w:t>
      </w:r>
      <w:proofErr w:type="spellEnd"/>
      <w:r w:rsidRPr="003910CD">
        <w:rPr>
          <w:color w:val="000000"/>
          <w:szCs w:val="22"/>
        </w:rPr>
        <w:t xml:space="preserve"> </w:t>
      </w:r>
      <w:proofErr w:type="spellStart"/>
      <w:r w:rsidRPr="003910CD">
        <w:rPr>
          <w:color w:val="000000"/>
          <w:szCs w:val="22"/>
        </w:rPr>
        <w:t>horečnatý</w:t>
      </w:r>
      <w:proofErr w:type="spellEnd"/>
    </w:p>
    <w:p w14:paraId="1D2DF912" w14:textId="589CD828" w:rsidR="00976555" w:rsidRDefault="00033AAA" w:rsidP="00CE3249">
      <w:pPr>
        <w:rPr>
          <w:color w:val="000000"/>
          <w:szCs w:val="22"/>
        </w:rPr>
      </w:pPr>
      <w:r>
        <w:rPr>
          <w:color w:val="000000"/>
          <w:szCs w:val="22"/>
        </w:rPr>
        <w:t>mastenec</w:t>
      </w:r>
    </w:p>
    <w:p w14:paraId="07B8EBF4" w14:textId="7ACA8FFA" w:rsidR="00EB205A" w:rsidRDefault="0012020D" w:rsidP="00CE3249">
      <w:pPr>
        <w:rPr>
          <w:color w:val="000000"/>
          <w:szCs w:val="22"/>
        </w:rPr>
      </w:pPr>
      <w:r>
        <w:rPr>
          <w:color w:val="000000"/>
          <w:szCs w:val="22"/>
        </w:rPr>
        <w:t>o</w:t>
      </w:r>
      <w:r w:rsidRPr="0012020D">
        <w:rPr>
          <w:color w:val="000000"/>
          <w:szCs w:val="22"/>
        </w:rPr>
        <w:t>xid kremičitý, koloidný, bezvodý</w:t>
      </w:r>
    </w:p>
    <w:p w14:paraId="5C409CE5" w14:textId="77777777" w:rsidR="00C05E6C" w:rsidRDefault="00C05E6C" w:rsidP="00E00A76">
      <w:pPr>
        <w:ind w:left="0" w:firstLine="0"/>
        <w:rPr>
          <w:color w:val="000000"/>
          <w:szCs w:val="22"/>
        </w:rPr>
      </w:pPr>
    </w:p>
    <w:p w14:paraId="35CFF24E" w14:textId="77777777" w:rsidR="00EB205A" w:rsidRDefault="00EB205A" w:rsidP="00CE3249">
      <w:pPr>
        <w:rPr>
          <w:color w:val="000000"/>
          <w:szCs w:val="22"/>
          <w:u w:val="single"/>
        </w:rPr>
      </w:pPr>
      <w:r>
        <w:rPr>
          <w:color w:val="000000"/>
          <w:szCs w:val="22"/>
          <w:u w:val="single"/>
        </w:rPr>
        <w:t>Filmový obal:</w:t>
      </w:r>
    </w:p>
    <w:p w14:paraId="058F7082" w14:textId="2050F26E" w:rsidR="00976555" w:rsidRDefault="00033AAA" w:rsidP="007717C3">
      <w:pPr>
        <w:rPr>
          <w:color w:val="000000"/>
          <w:szCs w:val="22"/>
        </w:rPr>
      </w:pPr>
      <w:proofErr w:type="spellStart"/>
      <w:r>
        <w:rPr>
          <w:color w:val="000000"/>
          <w:szCs w:val="22"/>
        </w:rPr>
        <w:t>hypromelóza</w:t>
      </w:r>
      <w:proofErr w:type="spellEnd"/>
    </w:p>
    <w:p w14:paraId="6ADBDA5B" w14:textId="3A726334" w:rsidR="00976555" w:rsidRDefault="00033AAA" w:rsidP="007717C3">
      <w:pPr>
        <w:rPr>
          <w:color w:val="000000"/>
          <w:szCs w:val="22"/>
        </w:rPr>
      </w:pPr>
      <w:r>
        <w:rPr>
          <w:color w:val="000000"/>
          <w:szCs w:val="22"/>
        </w:rPr>
        <w:t xml:space="preserve">makrogol </w:t>
      </w:r>
      <w:r w:rsidR="00F752AB">
        <w:rPr>
          <w:color w:val="000000"/>
          <w:szCs w:val="22"/>
        </w:rPr>
        <w:t>6000</w:t>
      </w:r>
    </w:p>
    <w:p w14:paraId="0F54B891" w14:textId="3271CE70" w:rsidR="00976555" w:rsidRDefault="00033AAA" w:rsidP="007717C3">
      <w:pPr>
        <w:rPr>
          <w:color w:val="000000"/>
          <w:szCs w:val="22"/>
        </w:rPr>
      </w:pPr>
      <w:r>
        <w:rPr>
          <w:color w:val="000000"/>
          <w:szCs w:val="22"/>
        </w:rPr>
        <w:t>mastenec</w:t>
      </w:r>
    </w:p>
    <w:p w14:paraId="40394E8B" w14:textId="2DCEDFCD" w:rsidR="00976555" w:rsidRDefault="00033AAA" w:rsidP="007717C3">
      <w:pPr>
        <w:rPr>
          <w:color w:val="000000"/>
          <w:szCs w:val="22"/>
        </w:rPr>
      </w:pPr>
      <w:r>
        <w:rPr>
          <w:color w:val="000000"/>
          <w:szCs w:val="22"/>
        </w:rPr>
        <w:t xml:space="preserve">oxid </w:t>
      </w:r>
      <w:r w:rsidR="00E00A76">
        <w:rPr>
          <w:color w:val="000000"/>
          <w:szCs w:val="22"/>
        </w:rPr>
        <w:t>titaničitý (E 171</w:t>
      </w:r>
      <w:r w:rsidR="00976555">
        <w:rPr>
          <w:color w:val="000000"/>
          <w:szCs w:val="22"/>
        </w:rPr>
        <w:t>)</w:t>
      </w:r>
    </w:p>
    <w:p w14:paraId="7187095A" w14:textId="32CDFE16" w:rsidR="00EB205A" w:rsidRPr="00EB205A" w:rsidRDefault="00267EE0" w:rsidP="007717C3">
      <w:pPr>
        <w:rPr>
          <w:color w:val="000000"/>
          <w:szCs w:val="22"/>
        </w:rPr>
      </w:pPr>
      <w:proofErr w:type="spellStart"/>
      <w:r>
        <w:rPr>
          <w:color w:val="000000"/>
          <w:szCs w:val="22"/>
        </w:rPr>
        <w:t>t</w:t>
      </w:r>
      <w:r w:rsidRPr="00267EE0">
        <w:rPr>
          <w:color w:val="000000"/>
          <w:szCs w:val="22"/>
        </w:rPr>
        <w:t>rietyl-citrát</w:t>
      </w:r>
      <w:proofErr w:type="spellEnd"/>
    </w:p>
    <w:p w14:paraId="647EC03F" w14:textId="77777777" w:rsidR="005336AE" w:rsidRPr="003E7411" w:rsidRDefault="005336AE" w:rsidP="00E75615">
      <w:pPr>
        <w:ind w:left="0" w:firstLine="0"/>
        <w:rPr>
          <w:color w:val="000000"/>
          <w:szCs w:val="22"/>
        </w:rPr>
      </w:pPr>
    </w:p>
    <w:p w14:paraId="6DA22925" w14:textId="77777777" w:rsidR="00CE3249" w:rsidRPr="003E7411" w:rsidRDefault="00CE3249" w:rsidP="00CE3249">
      <w:pPr>
        <w:rPr>
          <w:color w:val="000000"/>
          <w:szCs w:val="22"/>
        </w:rPr>
      </w:pPr>
      <w:r w:rsidRPr="003E7411">
        <w:rPr>
          <w:b/>
          <w:color w:val="000000"/>
          <w:szCs w:val="22"/>
        </w:rPr>
        <w:t>6.2</w:t>
      </w:r>
      <w:r w:rsidRPr="003E7411">
        <w:rPr>
          <w:b/>
          <w:color w:val="000000"/>
          <w:szCs w:val="22"/>
        </w:rPr>
        <w:tab/>
        <w:t>Inkompatibility</w:t>
      </w:r>
    </w:p>
    <w:p w14:paraId="01115EBD" w14:textId="77777777" w:rsidR="00CE3249" w:rsidRPr="003E7411" w:rsidRDefault="00CE3249" w:rsidP="00CE3249">
      <w:pPr>
        <w:rPr>
          <w:color w:val="000000"/>
          <w:szCs w:val="22"/>
        </w:rPr>
      </w:pPr>
    </w:p>
    <w:p w14:paraId="126C3A86" w14:textId="77777777" w:rsidR="00CE3249" w:rsidRPr="003E7411" w:rsidRDefault="00CE3249" w:rsidP="00CE3249">
      <w:pPr>
        <w:rPr>
          <w:color w:val="000000"/>
          <w:szCs w:val="22"/>
        </w:rPr>
      </w:pPr>
      <w:r w:rsidRPr="003E7411">
        <w:rPr>
          <w:color w:val="000000"/>
          <w:szCs w:val="22"/>
        </w:rPr>
        <w:t>Neaplikovateľné</w:t>
      </w:r>
      <w:r w:rsidR="005336AE" w:rsidRPr="003E7411">
        <w:rPr>
          <w:color w:val="000000"/>
          <w:szCs w:val="22"/>
        </w:rPr>
        <w:t>.</w:t>
      </w:r>
    </w:p>
    <w:p w14:paraId="5D0DF38E" w14:textId="77777777" w:rsidR="00CE3249" w:rsidRPr="003E7411" w:rsidRDefault="00CE3249" w:rsidP="00CE3249">
      <w:pPr>
        <w:rPr>
          <w:color w:val="000000"/>
          <w:szCs w:val="22"/>
        </w:rPr>
      </w:pPr>
    </w:p>
    <w:p w14:paraId="7B4581DC" w14:textId="77777777" w:rsidR="00CE3249" w:rsidRPr="003E7411" w:rsidRDefault="00CE3249" w:rsidP="00CE3249">
      <w:pPr>
        <w:rPr>
          <w:color w:val="000000"/>
          <w:szCs w:val="22"/>
        </w:rPr>
      </w:pPr>
      <w:r w:rsidRPr="003E7411">
        <w:rPr>
          <w:b/>
          <w:color w:val="000000"/>
          <w:szCs w:val="22"/>
        </w:rPr>
        <w:t>6.3</w:t>
      </w:r>
      <w:r w:rsidRPr="003E7411">
        <w:rPr>
          <w:b/>
          <w:color w:val="000000"/>
          <w:szCs w:val="22"/>
        </w:rPr>
        <w:tab/>
        <w:t>Čas použiteľnosti</w:t>
      </w:r>
    </w:p>
    <w:p w14:paraId="3493D367" w14:textId="77777777" w:rsidR="00CE3249" w:rsidRPr="003E7411" w:rsidRDefault="00CE3249" w:rsidP="00CE3249">
      <w:pPr>
        <w:rPr>
          <w:color w:val="000000"/>
          <w:szCs w:val="22"/>
        </w:rPr>
      </w:pPr>
    </w:p>
    <w:p w14:paraId="2621E146" w14:textId="77777777" w:rsidR="00CE3249" w:rsidRDefault="00A22F1D" w:rsidP="00CE3249">
      <w:pPr>
        <w:rPr>
          <w:color w:val="000000"/>
          <w:szCs w:val="22"/>
        </w:rPr>
      </w:pPr>
      <w:r>
        <w:rPr>
          <w:color w:val="000000"/>
          <w:szCs w:val="22"/>
        </w:rPr>
        <w:t>5 rokov</w:t>
      </w:r>
    </w:p>
    <w:p w14:paraId="7CCBFF83" w14:textId="77777777" w:rsidR="00030455" w:rsidRPr="003E7411" w:rsidRDefault="00030455" w:rsidP="00CE3249">
      <w:pPr>
        <w:rPr>
          <w:color w:val="000000"/>
          <w:szCs w:val="22"/>
        </w:rPr>
      </w:pPr>
    </w:p>
    <w:p w14:paraId="39163090" w14:textId="77777777" w:rsidR="00CE3249" w:rsidRPr="003E7411" w:rsidRDefault="00CE3249" w:rsidP="00CE3249">
      <w:pPr>
        <w:rPr>
          <w:color w:val="000000"/>
          <w:szCs w:val="22"/>
        </w:rPr>
      </w:pPr>
      <w:r w:rsidRPr="003E7411">
        <w:rPr>
          <w:b/>
          <w:color w:val="000000"/>
          <w:szCs w:val="22"/>
        </w:rPr>
        <w:t>6.4</w:t>
      </w:r>
      <w:r w:rsidRPr="003E7411">
        <w:rPr>
          <w:b/>
          <w:color w:val="000000"/>
          <w:szCs w:val="22"/>
        </w:rPr>
        <w:tab/>
        <w:t>Špeciálne upozornenia na uchovávanie</w:t>
      </w:r>
    </w:p>
    <w:p w14:paraId="2351D46A" w14:textId="77777777" w:rsidR="00CE3249" w:rsidRPr="003E7411" w:rsidRDefault="00CE3249" w:rsidP="00CE3249">
      <w:pPr>
        <w:rPr>
          <w:i/>
          <w:color w:val="000000"/>
          <w:szCs w:val="22"/>
        </w:rPr>
      </w:pPr>
    </w:p>
    <w:p w14:paraId="154EA0A8" w14:textId="77777777" w:rsidR="005336AE" w:rsidRPr="003E7411" w:rsidRDefault="000E7D99" w:rsidP="005336AE">
      <w:pPr>
        <w:rPr>
          <w:color w:val="000000"/>
          <w:szCs w:val="22"/>
        </w:rPr>
      </w:pPr>
      <w:r>
        <w:rPr>
          <w:color w:val="000000"/>
          <w:szCs w:val="22"/>
        </w:rPr>
        <w:t>Tento liek nevyžaduje ž</w:t>
      </w:r>
      <w:r w:rsidR="00E00A76">
        <w:rPr>
          <w:color w:val="000000"/>
          <w:szCs w:val="22"/>
        </w:rPr>
        <w:t xml:space="preserve">iadne zvláštne </w:t>
      </w:r>
      <w:r>
        <w:rPr>
          <w:color w:val="000000"/>
          <w:szCs w:val="22"/>
        </w:rPr>
        <w:t>podmienky na uchovávanie.</w:t>
      </w:r>
    </w:p>
    <w:p w14:paraId="0475FEB6" w14:textId="77777777" w:rsidR="005336AE" w:rsidRPr="003E7411" w:rsidRDefault="005336AE" w:rsidP="00877F66">
      <w:pPr>
        <w:ind w:left="0" w:firstLine="0"/>
        <w:rPr>
          <w:color w:val="000000"/>
          <w:szCs w:val="22"/>
        </w:rPr>
      </w:pPr>
    </w:p>
    <w:p w14:paraId="3DB95001" w14:textId="77777777" w:rsidR="00CE3249" w:rsidRPr="003E7411" w:rsidRDefault="00CE3249" w:rsidP="00CE3249">
      <w:pPr>
        <w:rPr>
          <w:color w:val="000000"/>
          <w:szCs w:val="22"/>
        </w:rPr>
      </w:pPr>
      <w:r w:rsidRPr="003E7411">
        <w:rPr>
          <w:b/>
          <w:color w:val="000000"/>
          <w:szCs w:val="22"/>
        </w:rPr>
        <w:t>6.5</w:t>
      </w:r>
      <w:r w:rsidRPr="003E7411">
        <w:rPr>
          <w:b/>
          <w:color w:val="000000"/>
          <w:szCs w:val="22"/>
        </w:rPr>
        <w:tab/>
        <w:t xml:space="preserve">Druh obalu a obsah balenia </w:t>
      </w:r>
    </w:p>
    <w:p w14:paraId="093EFF92" w14:textId="77777777" w:rsidR="00CE3249" w:rsidRPr="003E7411" w:rsidRDefault="00CE3249" w:rsidP="00CE3249">
      <w:pPr>
        <w:rPr>
          <w:color w:val="000000"/>
          <w:szCs w:val="22"/>
        </w:rPr>
      </w:pPr>
    </w:p>
    <w:p w14:paraId="50DF4946" w14:textId="77777777" w:rsidR="00C05E6C" w:rsidRDefault="00C05E6C" w:rsidP="00030455">
      <w:pPr>
        <w:rPr>
          <w:color w:val="000000"/>
          <w:szCs w:val="22"/>
        </w:rPr>
      </w:pPr>
      <w:r>
        <w:rPr>
          <w:color w:val="000000"/>
          <w:szCs w:val="22"/>
        </w:rPr>
        <w:lastRenderedPageBreak/>
        <w:t>Polyamid/Al/PVC/</w:t>
      </w:r>
      <w:r w:rsidR="00030455">
        <w:rPr>
          <w:color w:val="000000"/>
          <w:szCs w:val="22"/>
        </w:rPr>
        <w:t>Al</w:t>
      </w:r>
      <w:r>
        <w:rPr>
          <w:color w:val="000000"/>
          <w:szCs w:val="22"/>
        </w:rPr>
        <w:t xml:space="preserve"> blist</w:t>
      </w:r>
      <w:r w:rsidR="00E00A76">
        <w:rPr>
          <w:color w:val="000000"/>
          <w:szCs w:val="22"/>
        </w:rPr>
        <w:t>er.</w:t>
      </w:r>
    </w:p>
    <w:p w14:paraId="210AD5FA" w14:textId="77777777" w:rsidR="00C05E6C" w:rsidRDefault="00E00A76" w:rsidP="00030455">
      <w:pPr>
        <w:rPr>
          <w:color w:val="000000"/>
          <w:szCs w:val="22"/>
        </w:rPr>
      </w:pPr>
      <w:r>
        <w:rPr>
          <w:color w:val="000000"/>
          <w:szCs w:val="22"/>
        </w:rPr>
        <w:t>Baleni</w:t>
      </w:r>
      <w:r w:rsidR="006A1B3B">
        <w:rPr>
          <w:color w:val="000000"/>
          <w:szCs w:val="22"/>
        </w:rPr>
        <w:t>a</w:t>
      </w:r>
      <w:r>
        <w:rPr>
          <w:color w:val="000000"/>
          <w:szCs w:val="22"/>
        </w:rPr>
        <w:t>:</w:t>
      </w:r>
      <w:r w:rsidR="00C05E6C">
        <w:rPr>
          <w:color w:val="000000"/>
          <w:szCs w:val="22"/>
        </w:rPr>
        <w:t xml:space="preserve"> 1, 2, </w:t>
      </w:r>
      <w:r w:rsidR="00C76D28">
        <w:rPr>
          <w:color w:val="000000"/>
          <w:szCs w:val="22"/>
        </w:rPr>
        <w:t xml:space="preserve">3, </w:t>
      </w:r>
      <w:r w:rsidR="00C05E6C">
        <w:rPr>
          <w:color w:val="000000"/>
          <w:szCs w:val="22"/>
        </w:rPr>
        <w:t>4, 6, 12</w:t>
      </w:r>
      <w:r w:rsidR="00C76D28">
        <w:rPr>
          <w:color w:val="000000"/>
          <w:szCs w:val="22"/>
        </w:rPr>
        <w:t>, 18</w:t>
      </w:r>
      <w:r w:rsidR="00C05E6C">
        <w:rPr>
          <w:color w:val="000000"/>
          <w:szCs w:val="22"/>
        </w:rPr>
        <w:t xml:space="preserve"> alebo </w:t>
      </w:r>
      <w:r w:rsidR="00C76D28">
        <w:rPr>
          <w:color w:val="000000"/>
          <w:szCs w:val="22"/>
        </w:rPr>
        <w:t>20</w:t>
      </w:r>
      <w:r w:rsidR="00C05E6C">
        <w:rPr>
          <w:color w:val="000000"/>
          <w:szCs w:val="22"/>
        </w:rPr>
        <w:t xml:space="preserve"> tabliet.</w:t>
      </w:r>
    </w:p>
    <w:p w14:paraId="37BF9F9A" w14:textId="77777777" w:rsidR="005336AE" w:rsidRPr="003E7411" w:rsidRDefault="005336AE" w:rsidP="00CE3249">
      <w:pPr>
        <w:rPr>
          <w:color w:val="000000"/>
          <w:szCs w:val="22"/>
        </w:rPr>
      </w:pPr>
    </w:p>
    <w:p w14:paraId="4D5AB13C" w14:textId="77777777" w:rsidR="00CE3249" w:rsidRPr="003E7411" w:rsidRDefault="00096BE4" w:rsidP="00CE3249">
      <w:pPr>
        <w:rPr>
          <w:color w:val="000000"/>
          <w:szCs w:val="22"/>
        </w:rPr>
      </w:pPr>
      <w:r>
        <w:rPr>
          <w:color w:val="000000"/>
          <w:szCs w:val="22"/>
        </w:rPr>
        <w:t xml:space="preserve">Na trh nemusia byť uvedené </w:t>
      </w:r>
      <w:r w:rsidR="00CE3249" w:rsidRPr="003E7411">
        <w:rPr>
          <w:color w:val="000000"/>
          <w:szCs w:val="22"/>
        </w:rPr>
        <w:t>všetky veľkosti bale</w:t>
      </w:r>
      <w:r w:rsidR="005336AE" w:rsidRPr="003E7411">
        <w:rPr>
          <w:color w:val="000000"/>
          <w:szCs w:val="22"/>
        </w:rPr>
        <w:t>nia.</w:t>
      </w:r>
    </w:p>
    <w:p w14:paraId="2B4E1FEB" w14:textId="77777777" w:rsidR="00CE3249" w:rsidRPr="003E7411" w:rsidRDefault="00CE3249" w:rsidP="00CE3249">
      <w:pPr>
        <w:rPr>
          <w:color w:val="000000"/>
          <w:szCs w:val="22"/>
        </w:rPr>
      </w:pPr>
    </w:p>
    <w:p w14:paraId="6F2B3B08" w14:textId="77777777" w:rsidR="00877F66" w:rsidRPr="003E7411" w:rsidRDefault="00877F66" w:rsidP="00877F66">
      <w:pPr>
        <w:rPr>
          <w:b/>
          <w:bCs/>
          <w:noProof/>
          <w:color w:val="000000"/>
          <w:lang w:val="pl-PL"/>
        </w:rPr>
      </w:pPr>
      <w:r w:rsidRPr="003E7411">
        <w:rPr>
          <w:b/>
          <w:noProof/>
          <w:color w:val="000000"/>
          <w:szCs w:val="22"/>
        </w:rPr>
        <w:t>6.6</w:t>
      </w:r>
      <w:r w:rsidRPr="003E7411">
        <w:rPr>
          <w:b/>
          <w:noProof/>
          <w:color w:val="000000"/>
          <w:szCs w:val="22"/>
        </w:rPr>
        <w:tab/>
      </w:r>
      <w:r w:rsidRPr="003E7411">
        <w:rPr>
          <w:b/>
          <w:bCs/>
          <w:noProof/>
          <w:color w:val="000000"/>
          <w:lang w:val="pl-PL"/>
        </w:rPr>
        <w:t>Špeciálne opatrenia na likvidáciu a iné zaobchádzanie s liekom</w:t>
      </w:r>
    </w:p>
    <w:p w14:paraId="688498BE" w14:textId="77777777" w:rsidR="00CE3249" w:rsidRPr="003E7411" w:rsidRDefault="00CE3249" w:rsidP="00CE3249">
      <w:pPr>
        <w:rPr>
          <w:color w:val="000000"/>
          <w:szCs w:val="22"/>
          <w:lang w:val="pl-PL"/>
        </w:rPr>
      </w:pPr>
    </w:p>
    <w:p w14:paraId="41E48E29" w14:textId="77777777" w:rsidR="00CE3249" w:rsidRPr="003E7411" w:rsidRDefault="005336AE" w:rsidP="00CE3249">
      <w:pPr>
        <w:rPr>
          <w:color w:val="000000"/>
          <w:szCs w:val="22"/>
        </w:rPr>
      </w:pPr>
      <w:r w:rsidRPr="003E7411">
        <w:rPr>
          <w:color w:val="000000"/>
          <w:szCs w:val="22"/>
        </w:rPr>
        <w:t>Žiadne zvláštne požiadavky.</w:t>
      </w:r>
    </w:p>
    <w:p w14:paraId="782E8C43" w14:textId="77777777" w:rsidR="00CE3249" w:rsidRPr="003E7411" w:rsidRDefault="00CE3249" w:rsidP="00CE3249">
      <w:pPr>
        <w:rPr>
          <w:color w:val="000000"/>
          <w:szCs w:val="22"/>
        </w:rPr>
      </w:pPr>
    </w:p>
    <w:p w14:paraId="2CC7F096" w14:textId="77777777" w:rsidR="00CE3249" w:rsidRPr="003E7411" w:rsidRDefault="00CE3249" w:rsidP="00CE3249">
      <w:pPr>
        <w:rPr>
          <w:color w:val="000000"/>
          <w:szCs w:val="22"/>
        </w:rPr>
      </w:pPr>
    </w:p>
    <w:p w14:paraId="0D6562EB" w14:textId="77777777" w:rsidR="00CE3249" w:rsidRPr="003E7411" w:rsidRDefault="00CE3249" w:rsidP="00CE3249">
      <w:pPr>
        <w:rPr>
          <w:color w:val="000000"/>
          <w:szCs w:val="22"/>
        </w:rPr>
      </w:pPr>
      <w:r w:rsidRPr="003E7411">
        <w:rPr>
          <w:b/>
          <w:color w:val="000000"/>
          <w:szCs w:val="22"/>
        </w:rPr>
        <w:t>7.</w:t>
      </w:r>
      <w:r w:rsidRPr="003E7411">
        <w:rPr>
          <w:b/>
          <w:color w:val="000000"/>
          <w:szCs w:val="22"/>
        </w:rPr>
        <w:tab/>
        <w:t>DRŽITEĽ ROZHODNUTIA O REGISTRÁCII</w:t>
      </w:r>
    </w:p>
    <w:p w14:paraId="05907C3C" w14:textId="77777777" w:rsidR="00CE3249" w:rsidRPr="003E7411" w:rsidRDefault="00CE3249" w:rsidP="00CE3249">
      <w:pPr>
        <w:rPr>
          <w:color w:val="000000"/>
          <w:szCs w:val="22"/>
        </w:rPr>
      </w:pPr>
    </w:p>
    <w:p w14:paraId="12FAB961" w14:textId="77777777" w:rsidR="00545125" w:rsidRDefault="00C05E6C" w:rsidP="005336AE">
      <w:pPr>
        <w:ind w:left="0" w:firstLine="0"/>
        <w:rPr>
          <w:color w:val="000000"/>
          <w:szCs w:val="22"/>
        </w:rPr>
      </w:pPr>
      <w:r>
        <w:rPr>
          <w:color w:val="000000"/>
          <w:szCs w:val="22"/>
        </w:rPr>
        <w:t>Z.F. Polpharma SA</w:t>
      </w:r>
    </w:p>
    <w:p w14:paraId="37A67ED4" w14:textId="77777777" w:rsidR="00C05E6C" w:rsidRDefault="00C05E6C" w:rsidP="005336AE">
      <w:pPr>
        <w:ind w:left="0" w:firstLine="0"/>
        <w:rPr>
          <w:color w:val="000000"/>
          <w:szCs w:val="22"/>
        </w:rPr>
      </w:pPr>
      <w:r>
        <w:rPr>
          <w:color w:val="000000"/>
          <w:szCs w:val="22"/>
        </w:rPr>
        <w:t>ul. Pelplinska 19</w:t>
      </w:r>
    </w:p>
    <w:p w14:paraId="095C5486" w14:textId="77777777" w:rsidR="00C05E6C" w:rsidRDefault="00C05E6C" w:rsidP="005336AE">
      <w:pPr>
        <w:ind w:left="0" w:firstLine="0"/>
        <w:rPr>
          <w:color w:val="000000"/>
          <w:szCs w:val="22"/>
        </w:rPr>
      </w:pPr>
      <w:r>
        <w:rPr>
          <w:color w:val="000000"/>
          <w:szCs w:val="22"/>
        </w:rPr>
        <w:t>83-200 Starogard Gdanski</w:t>
      </w:r>
    </w:p>
    <w:p w14:paraId="3623536D" w14:textId="77777777" w:rsidR="00C05E6C" w:rsidRDefault="00C05E6C" w:rsidP="005336AE">
      <w:pPr>
        <w:ind w:left="0" w:firstLine="0"/>
        <w:rPr>
          <w:color w:val="000000"/>
          <w:szCs w:val="22"/>
        </w:rPr>
      </w:pPr>
      <w:r>
        <w:rPr>
          <w:color w:val="000000"/>
          <w:szCs w:val="22"/>
        </w:rPr>
        <w:t>Poľsko</w:t>
      </w:r>
    </w:p>
    <w:p w14:paraId="04443FAA" w14:textId="77777777" w:rsidR="00C05E6C" w:rsidRDefault="00C05E6C" w:rsidP="005336AE">
      <w:pPr>
        <w:ind w:left="0" w:firstLine="0"/>
        <w:rPr>
          <w:color w:val="000000"/>
          <w:szCs w:val="22"/>
        </w:rPr>
      </w:pPr>
    </w:p>
    <w:p w14:paraId="494AFFAD" w14:textId="77777777" w:rsidR="00096BE4" w:rsidRPr="003E7411" w:rsidRDefault="00096BE4" w:rsidP="005336AE">
      <w:pPr>
        <w:ind w:left="0" w:firstLine="0"/>
        <w:rPr>
          <w:color w:val="000000"/>
          <w:szCs w:val="22"/>
        </w:rPr>
      </w:pPr>
    </w:p>
    <w:p w14:paraId="5D3F5C0C" w14:textId="77777777" w:rsidR="00CE3249" w:rsidRPr="003E7411" w:rsidRDefault="00322FF0" w:rsidP="005127C7">
      <w:pPr>
        <w:keepNext/>
        <w:rPr>
          <w:b/>
          <w:color w:val="000000"/>
          <w:szCs w:val="22"/>
        </w:rPr>
      </w:pPr>
      <w:r>
        <w:rPr>
          <w:b/>
          <w:color w:val="000000"/>
          <w:szCs w:val="22"/>
        </w:rPr>
        <w:t>8.</w:t>
      </w:r>
      <w:r>
        <w:rPr>
          <w:b/>
          <w:color w:val="000000"/>
          <w:szCs w:val="22"/>
        </w:rPr>
        <w:tab/>
        <w:t>REGISTRAČNÉ ČÍSLO</w:t>
      </w:r>
    </w:p>
    <w:p w14:paraId="62BB2E25" w14:textId="77777777" w:rsidR="00096BE4" w:rsidRDefault="00096BE4" w:rsidP="005127C7">
      <w:pPr>
        <w:keepNext/>
        <w:rPr>
          <w:color w:val="000000"/>
          <w:szCs w:val="22"/>
        </w:rPr>
      </w:pPr>
    </w:p>
    <w:p w14:paraId="41E62FF6" w14:textId="77777777" w:rsidR="00545125" w:rsidRPr="00C806EC" w:rsidRDefault="00096BE4" w:rsidP="00CE3249">
      <w:pPr>
        <w:rPr>
          <w:color w:val="000000"/>
          <w:szCs w:val="22"/>
        </w:rPr>
      </w:pPr>
      <w:r>
        <w:rPr>
          <w:color w:val="000000"/>
          <w:szCs w:val="22"/>
        </w:rPr>
        <w:t xml:space="preserve">Reg. č.: </w:t>
      </w:r>
      <w:r w:rsidR="00C806EC">
        <w:rPr>
          <w:color w:val="000000"/>
          <w:szCs w:val="22"/>
        </w:rPr>
        <w:t>33/040</w:t>
      </w:r>
      <w:r w:rsidR="007717C3">
        <w:rPr>
          <w:color w:val="000000"/>
          <w:szCs w:val="22"/>
        </w:rPr>
        <w:t>4</w:t>
      </w:r>
      <w:r w:rsidR="00C806EC">
        <w:rPr>
          <w:color w:val="000000"/>
          <w:szCs w:val="22"/>
        </w:rPr>
        <w:t>/07-S</w:t>
      </w:r>
    </w:p>
    <w:p w14:paraId="36CAC723" w14:textId="77777777" w:rsidR="00545125" w:rsidRDefault="00545125" w:rsidP="00322FF0">
      <w:pPr>
        <w:ind w:left="0" w:firstLine="0"/>
        <w:rPr>
          <w:color w:val="000000"/>
          <w:szCs w:val="22"/>
        </w:rPr>
      </w:pPr>
    </w:p>
    <w:p w14:paraId="1C464A3B" w14:textId="77777777" w:rsidR="00096BE4" w:rsidRPr="003E7411" w:rsidRDefault="00096BE4" w:rsidP="00322FF0">
      <w:pPr>
        <w:ind w:left="0" w:firstLine="0"/>
        <w:rPr>
          <w:color w:val="000000"/>
          <w:szCs w:val="22"/>
        </w:rPr>
      </w:pPr>
    </w:p>
    <w:p w14:paraId="4F9A7BF8" w14:textId="77777777" w:rsidR="00CE3249" w:rsidRPr="003E7411" w:rsidRDefault="00CE3249" w:rsidP="00CE3249">
      <w:pPr>
        <w:rPr>
          <w:color w:val="000000"/>
          <w:szCs w:val="22"/>
        </w:rPr>
      </w:pPr>
      <w:r w:rsidRPr="003E7411">
        <w:rPr>
          <w:b/>
          <w:color w:val="000000"/>
          <w:szCs w:val="22"/>
        </w:rPr>
        <w:t>9.</w:t>
      </w:r>
      <w:r w:rsidRPr="003E7411">
        <w:rPr>
          <w:b/>
          <w:color w:val="000000"/>
          <w:szCs w:val="22"/>
        </w:rPr>
        <w:tab/>
        <w:t>DÁTUM PRVEJ REGISTRÁCIE/ PREDĹŽENIA REGISTRÁCIE</w:t>
      </w:r>
    </w:p>
    <w:p w14:paraId="7492BE52" w14:textId="77777777" w:rsidR="00CE3249" w:rsidRPr="003E7411" w:rsidRDefault="00CE3249" w:rsidP="00CE3249">
      <w:pPr>
        <w:rPr>
          <w:color w:val="000000"/>
          <w:szCs w:val="22"/>
        </w:rPr>
      </w:pPr>
    </w:p>
    <w:p w14:paraId="3C9C38D7" w14:textId="23995C2C" w:rsidR="00976555" w:rsidRDefault="00976555" w:rsidP="00976555">
      <w:pPr>
        <w:rPr>
          <w:color w:val="000000"/>
          <w:szCs w:val="22"/>
        </w:rPr>
      </w:pPr>
      <w:r w:rsidRPr="00B13F68">
        <w:rPr>
          <w:noProof/>
        </w:rPr>
        <w:t>Dátum prvej registrácie:</w:t>
      </w:r>
      <w:r>
        <w:rPr>
          <w:noProof/>
        </w:rPr>
        <w:t xml:space="preserve"> </w:t>
      </w:r>
      <w:r>
        <w:rPr>
          <w:color w:val="000000"/>
          <w:szCs w:val="22"/>
        </w:rPr>
        <w:t>31.</w:t>
      </w:r>
      <w:r w:rsidR="00C040EE">
        <w:rPr>
          <w:color w:val="000000"/>
          <w:szCs w:val="22"/>
        </w:rPr>
        <w:t xml:space="preserve"> októbra </w:t>
      </w:r>
      <w:r>
        <w:rPr>
          <w:color w:val="000000"/>
          <w:szCs w:val="22"/>
        </w:rPr>
        <w:t>2007</w:t>
      </w:r>
    </w:p>
    <w:p w14:paraId="503D5D0E" w14:textId="4D71D714" w:rsidR="00976555" w:rsidRDefault="00976555" w:rsidP="00976555">
      <w:pPr>
        <w:rPr>
          <w:noProof/>
        </w:rPr>
      </w:pPr>
      <w:r w:rsidRPr="00B13F68">
        <w:rPr>
          <w:noProof/>
        </w:rPr>
        <w:t>Dátum posledného predĺženia registr</w:t>
      </w:r>
      <w:r w:rsidRPr="003021DE">
        <w:rPr>
          <w:noProof/>
        </w:rPr>
        <w:t>ácie</w:t>
      </w:r>
      <w:r w:rsidRPr="00B13F68">
        <w:rPr>
          <w:noProof/>
        </w:rPr>
        <w:t>:</w:t>
      </w:r>
      <w:r w:rsidR="001809AD">
        <w:rPr>
          <w:noProof/>
        </w:rPr>
        <w:t xml:space="preserve"> 30.</w:t>
      </w:r>
      <w:r w:rsidR="00C040EE">
        <w:rPr>
          <w:noProof/>
        </w:rPr>
        <w:t xml:space="preserve"> mája </w:t>
      </w:r>
      <w:r w:rsidR="001809AD">
        <w:rPr>
          <w:noProof/>
        </w:rPr>
        <w:t>2013</w:t>
      </w:r>
    </w:p>
    <w:p w14:paraId="5D27D0D4" w14:textId="77777777" w:rsidR="00096BE4" w:rsidRDefault="00096BE4" w:rsidP="00CE3249">
      <w:pPr>
        <w:rPr>
          <w:color w:val="000000"/>
          <w:szCs w:val="22"/>
        </w:rPr>
      </w:pPr>
    </w:p>
    <w:p w14:paraId="5B8340B0" w14:textId="77777777" w:rsidR="00096BE4" w:rsidRPr="003E7411" w:rsidRDefault="00096BE4" w:rsidP="00CE3249">
      <w:pPr>
        <w:rPr>
          <w:color w:val="000000"/>
          <w:szCs w:val="22"/>
        </w:rPr>
      </w:pPr>
    </w:p>
    <w:p w14:paraId="55557A73" w14:textId="77777777" w:rsidR="00CE3249" w:rsidRPr="003E7411" w:rsidRDefault="00CE3249" w:rsidP="00CE3249">
      <w:pPr>
        <w:rPr>
          <w:b/>
          <w:color w:val="000000"/>
          <w:szCs w:val="22"/>
        </w:rPr>
      </w:pPr>
      <w:r w:rsidRPr="003E7411">
        <w:rPr>
          <w:b/>
          <w:color w:val="000000"/>
          <w:szCs w:val="22"/>
        </w:rPr>
        <w:t>10.</w:t>
      </w:r>
      <w:r w:rsidRPr="003E7411">
        <w:rPr>
          <w:b/>
          <w:color w:val="000000"/>
          <w:szCs w:val="22"/>
        </w:rPr>
        <w:tab/>
        <w:t>DÁTUM REVÍZIE TEXTU</w:t>
      </w:r>
    </w:p>
    <w:p w14:paraId="4B4777CD" w14:textId="77777777" w:rsidR="00545125" w:rsidRPr="003E7411" w:rsidRDefault="00545125" w:rsidP="00EC1B8B">
      <w:pPr>
        <w:ind w:left="0" w:firstLine="0"/>
        <w:outlineLvl w:val="0"/>
        <w:rPr>
          <w:color w:val="000000"/>
          <w:szCs w:val="22"/>
        </w:rPr>
      </w:pPr>
    </w:p>
    <w:p w14:paraId="0FCBCE24" w14:textId="235504F7" w:rsidR="00817C5C" w:rsidRPr="003E7411" w:rsidRDefault="00C040EE" w:rsidP="006A1B3B">
      <w:pPr>
        <w:ind w:left="0" w:firstLine="0"/>
        <w:outlineLvl w:val="0"/>
        <w:rPr>
          <w:color w:val="000000"/>
          <w:szCs w:val="22"/>
        </w:rPr>
      </w:pPr>
      <w:r>
        <w:rPr>
          <w:color w:val="000000"/>
          <w:szCs w:val="22"/>
        </w:rPr>
        <w:t>05/2020</w:t>
      </w:r>
    </w:p>
    <w:sectPr w:rsidR="00817C5C" w:rsidRPr="003E7411" w:rsidSect="006A2BA6">
      <w:headerReference w:type="default" r:id="rId8"/>
      <w:footerReference w:type="even" r:id="rId9"/>
      <w:footerReference w:type="defaul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6EBC7" w14:textId="77777777" w:rsidR="00FD016A" w:rsidRDefault="00FD016A">
      <w:r>
        <w:separator/>
      </w:r>
    </w:p>
  </w:endnote>
  <w:endnote w:type="continuationSeparator" w:id="0">
    <w:p w14:paraId="376372E9" w14:textId="77777777" w:rsidR="00FD016A" w:rsidRDefault="00FD0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A3CAF" w14:textId="77777777" w:rsidR="00412215" w:rsidRDefault="00412215" w:rsidP="00EC1B8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CC6F059" w14:textId="77777777" w:rsidR="00412215" w:rsidRDefault="004122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D9442" w14:textId="77777777" w:rsidR="00412215" w:rsidRPr="005127C7" w:rsidRDefault="00412215" w:rsidP="00EC1B8B">
    <w:pPr>
      <w:pStyle w:val="Zpat"/>
      <w:framePr w:wrap="around" w:vAnchor="text" w:hAnchor="margin" w:xAlign="center" w:y="1"/>
      <w:rPr>
        <w:rStyle w:val="slostrnky"/>
        <w:sz w:val="18"/>
        <w:szCs w:val="18"/>
      </w:rPr>
    </w:pPr>
    <w:r w:rsidRPr="005127C7">
      <w:rPr>
        <w:rStyle w:val="slostrnky"/>
        <w:sz w:val="18"/>
        <w:szCs w:val="18"/>
      </w:rPr>
      <w:fldChar w:fldCharType="begin"/>
    </w:r>
    <w:r w:rsidRPr="005127C7">
      <w:rPr>
        <w:rStyle w:val="slostrnky"/>
        <w:sz w:val="18"/>
        <w:szCs w:val="18"/>
      </w:rPr>
      <w:instrText xml:space="preserve">PAGE  </w:instrText>
    </w:r>
    <w:r w:rsidRPr="005127C7">
      <w:rPr>
        <w:rStyle w:val="slostrnky"/>
        <w:sz w:val="18"/>
        <w:szCs w:val="18"/>
      </w:rPr>
      <w:fldChar w:fldCharType="separate"/>
    </w:r>
    <w:r w:rsidR="00CB69C5" w:rsidRPr="005127C7">
      <w:rPr>
        <w:rStyle w:val="slostrnky"/>
        <w:noProof/>
        <w:sz w:val="18"/>
        <w:szCs w:val="18"/>
      </w:rPr>
      <w:t>2</w:t>
    </w:r>
    <w:r w:rsidRPr="005127C7">
      <w:rPr>
        <w:rStyle w:val="slostrnky"/>
        <w:sz w:val="18"/>
        <w:szCs w:val="18"/>
      </w:rPr>
      <w:fldChar w:fldCharType="end"/>
    </w:r>
  </w:p>
  <w:p w14:paraId="589DA063" w14:textId="77777777" w:rsidR="00412215" w:rsidRDefault="004122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3B347" w14:textId="77777777" w:rsidR="00FD016A" w:rsidRDefault="00FD016A">
      <w:r>
        <w:separator/>
      </w:r>
    </w:p>
  </w:footnote>
  <w:footnote w:type="continuationSeparator" w:id="0">
    <w:p w14:paraId="19F7F3C1" w14:textId="77777777" w:rsidR="00FD016A" w:rsidRDefault="00FD0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275D0" w14:textId="77777777" w:rsidR="00411471" w:rsidRPr="005127C7" w:rsidRDefault="00411471">
    <w:pPr>
      <w:pStyle w:val="Zhlav"/>
      <w:rPr>
        <w:sz w:val="18"/>
        <w:szCs w:val="18"/>
      </w:rPr>
    </w:pPr>
    <w:r w:rsidRPr="005127C7">
      <w:rPr>
        <w:sz w:val="18"/>
        <w:szCs w:val="18"/>
      </w:rPr>
      <w:t>Príloha č. 1 k notifikácii o zmene, ev. č.: 2019/05994-ZIB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5AE6D5E"/>
    <w:multiLevelType w:val="multilevel"/>
    <w:tmpl w:val="0290B568"/>
    <w:lvl w:ilvl="0">
      <w:start w:val="4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B0963DC"/>
    <w:multiLevelType w:val="hybridMultilevel"/>
    <w:tmpl w:val="68277B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C063CBE"/>
    <w:multiLevelType w:val="hybridMultilevel"/>
    <w:tmpl w:val="F112E3A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FF13B2"/>
    <w:multiLevelType w:val="hybridMultilevel"/>
    <w:tmpl w:val="D9D67110"/>
    <w:lvl w:ilvl="0" w:tplc="FBF0D0A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4C06AD"/>
    <w:multiLevelType w:val="hybridMultilevel"/>
    <w:tmpl w:val="AAA4C1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trackRevision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308"/>
    <w:rsid w:val="000005D4"/>
    <w:rsid w:val="000035AA"/>
    <w:rsid w:val="00022A7D"/>
    <w:rsid w:val="00023661"/>
    <w:rsid w:val="00030118"/>
    <w:rsid w:val="00030455"/>
    <w:rsid w:val="00031C2E"/>
    <w:rsid w:val="00033AAA"/>
    <w:rsid w:val="00044938"/>
    <w:rsid w:val="00046B4D"/>
    <w:rsid w:val="000527CF"/>
    <w:rsid w:val="00053CCB"/>
    <w:rsid w:val="00054EB8"/>
    <w:rsid w:val="00064BAD"/>
    <w:rsid w:val="0006647C"/>
    <w:rsid w:val="00081BA1"/>
    <w:rsid w:val="00082D8E"/>
    <w:rsid w:val="00096BE4"/>
    <w:rsid w:val="000A0C6A"/>
    <w:rsid w:val="000B77AF"/>
    <w:rsid w:val="000C069E"/>
    <w:rsid w:val="000C1DAC"/>
    <w:rsid w:val="000C4F9E"/>
    <w:rsid w:val="000E2CEA"/>
    <w:rsid w:val="000E7D99"/>
    <w:rsid w:val="000F28B6"/>
    <w:rsid w:val="000F7E52"/>
    <w:rsid w:val="001012FD"/>
    <w:rsid w:val="00102F55"/>
    <w:rsid w:val="0011178D"/>
    <w:rsid w:val="001123E2"/>
    <w:rsid w:val="0011323C"/>
    <w:rsid w:val="0012020D"/>
    <w:rsid w:val="001215F9"/>
    <w:rsid w:val="001346FA"/>
    <w:rsid w:val="00140287"/>
    <w:rsid w:val="00153C09"/>
    <w:rsid w:val="00170FBC"/>
    <w:rsid w:val="0017776D"/>
    <w:rsid w:val="001809AD"/>
    <w:rsid w:val="00183095"/>
    <w:rsid w:val="00192181"/>
    <w:rsid w:val="00194A53"/>
    <w:rsid w:val="001A1AE5"/>
    <w:rsid w:val="001A3EB6"/>
    <w:rsid w:val="001D52CA"/>
    <w:rsid w:val="001E0E06"/>
    <w:rsid w:val="001F5B0A"/>
    <w:rsid w:val="00210E6F"/>
    <w:rsid w:val="002144BC"/>
    <w:rsid w:val="00221177"/>
    <w:rsid w:val="00221670"/>
    <w:rsid w:val="00231F69"/>
    <w:rsid w:val="00247AC3"/>
    <w:rsid w:val="0025187D"/>
    <w:rsid w:val="00251E12"/>
    <w:rsid w:val="002563E1"/>
    <w:rsid w:val="00262574"/>
    <w:rsid w:val="00267EE0"/>
    <w:rsid w:val="00281E53"/>
    <w:rsid w:val="002833FD"/>
    <w:rsid w:val="002845FC"/>
    <w:rsid w:val="00284998"/>
    <w:rsid w:val="0029236D"/>
    <w:rsid w:val="00293BAE"/>
    <w:rsid w:val="00294675"/>
    <w:rsid w:val="00294D2A"/>
    <w:rsid w:val="002B0590"/>
    <w:rsid w:val="002B4377"/>
    <w:rsid w:val="002B63DB"/>
    <w:rsid w:val="002D678A"/>
    <w:rsid w:val="002F7CD2"/>
    <w:rsid w:val="00303674"/>
    <w:rsid w:val="00310AFA"/>
    <w:rsid w:val="00313AB4"/>
    <w:rsid w:val="003213E5"/>
    <w:rsid w:val="00322FF0"/>
    <w:rsid w:val="00326338"/>
    <w:rsid w:val="003336D7"/>
    <w:rsid w:val="00334348"/>
    <w:rsid w:val="00335009"/>
    <w:rsid w:val="00341667"/>
    <w:rsid w:val="00342B94"/>
    <w:rsid w:val="003510B7"/>
    <w:rsid w:val="003607AF"/>
    <w:rsid w:val="003655B5"/>
    <w:rsid w:val="0037110C"/>
    <w:rsid w:val="003750DB"/>
    <w:rsid w:val="00376434"/>
    <w:rsid w:val="00377D83"/>
    <w:rsid w:val="00383CBC"/>
    <w:rsid w:val="003855FF"/>
    <w:rsid w:val="003910CD"/>
    <w:rsid w:val="00396DBB"/>
    <w:rsid w:val="00397364"/>
    <w:rsid w:val="003B303F"/>
    <w:rsid w:val="003B6A4E"/>
    <w:rsid w:val="003B73C1"/>
    <w:rsid w:val="003D1754"/>
    <w:rsid w:val="003D1AA3"/>
    <w:rsid w:val="003E7411"/>
    <w:rsid w:val="003F0514"/>
    <w:rsid w:val="003F579A"/>
    <w:rsid w:val="003F743D"/>
    <w:rsid w:val="003F7630"/>
    <w:rsid w:val="00411471"/>
    <w:rsid w:val="00412215"/>
    <w:rsid w:val="0041692E"/>
    <w:rsid w:val="00422FDF"/>
    <w:rsid w:val="00433E3F"/>
    <w:rsid w:val="00447396"/>
    <w:rsid w:val="00483AA4"/>
    <w:rsid w:val="00486A2A"/>
    <w:rsid w:val="00486E36"/>
    <w:rsid w:val="00492A5C"/>
    <w:rsid w:val="004A4362"/>
    <w:rsid w:val="004B5505"/>
    <w:rsid w:val="004B66AA"/>
    <w:rsid w:val="004B6BCC"/>
    <w:rsid w:val="004D7CFB"/>
    <w:rsid w:val="004E58A2"/>
    <w:rsid w:val="004F0546"/>
    <w:rsid w:val="004F5B3B"/>
    <w:rsid w:val="00500037"/>
    <w:rsid w:val="0050518F"/>
    <w:rsid w:val="00507AB0"/>
    <w:rsid w:val="005127C7"/>
    <w:rsid w:val="00516093"/>
    <w:rsid w:val="00517F58"/>
    <w:rsid w:val="00532892"/>
    <w:rsid w:val="00533187"/>
    <w:rsid w:val="005336AE"/>
    <w:rsid w:val="00545125"/>
    <w:rsid w:val="00556C59"/>
    <w:rsid w:val="0056410B"/>
    <w:rsid w:val="00564C89"/>
    <w:rsid w:val="00564EDF"/>
    <w:rsid w:val="00571FEB"/>
    <w:rsid w:val="00573814"/>
    <w:rsid w:val="00583702"/>
    <w:rsid w:val="005A4532"/>
    <w:rsid w:val="005A4D8B"/>
    <w:rsid w:val="005C24D3"/>
    <w:rsid w:val="005C468F"/>
    <w:rsid w:val="005D47F0"/>
    <w:rsid w:val="005E442E"/>
    <w:rsid w:val="005F32BB"/>
    <w:rsid w:val="005F45C8"/>
    <w:rsid w:val="00607D96"/>
    <w:rsid w:val="00617B32"/>
    <w:rsid w:val="00634FA4"/>
    <w:rsid w:val="0063693C"/>
    <w:rsid w:val="00640F51"/>
    <w:rsid w:val="00655CE5"/>
    <w:rsid w:val="00665B68"/>
    <w:rsid w:val="00675536"/>
    <w:rsid w:val="00683080"/>
    <w:rsid w:val="006858D9"/>
    <w:rsid w:val="00690E2F"/>
    <w:rsid w:val="00694577"/>
    <w:rsid w:val="0069759E"/>
    <w:rsid w:val="006A1648"/>
    <w:rsid w:val="006A1B3B"/>
    <w:rsid w:val="006A1B63"/>
    <w:rsid w:val="006A2BA6"/>
    <w:rsid w:val="006B1292"/>
    <w:rsid w:val="006C6BBF"/>
    <w:rsid w:val="006D560A"/>
    <w:rsid w:val="006E595C"/>
    <w:rsid w:val="006F4615"/>
    <w:rsid w:val="00714866"/>
    <w:rsid w:val="00715919"/>
    <w:rsid w:val="007302FD"/>
    <w:rsid w:val="007314AD"/>
    <w:rsid w:val="00733311"/>
    <w:rsid w:val="007446E7"/>
    <w:rsid w:val="00753034"/>
    <w:rsid w:val="00756171"/>
    <w:rsid w:val="0076430E"/>
    <w:rsid w:val="00765A4C"/>
    <w:rsid w:val="007712C3"/>
    <w:rsid w:val="007717C3"/>
    <w:rsid w:val="007723A0"/>
    <w:rsid w:val="00782EEE"/>
    <w:rsid w:val="00784D78"/>
    <w:rsid w:val="00791E22"/>
    <w:rsid w:val="00793D0C"/>
    <w:rsid w:val="007944C8"/>
    <w:rsid w:val="007A3DF1"/>
    <w:rsid w:val="007B21F9"/>
    <w:rsid w:val="007B55D4"/>
    <w:rsid w:val="007C1D47"/>
    <w:rsid w:val="007C2602"/>
    <w:rsid w:val="007D4AAB"/>
    <w:rsid w:val="007E279B"/>
    <w:rsid w:val="007F04A0"/>
    <w:rsid w:val="007F17A2"/>
    <w:rsid w:val="007F6259"/>
    <w:rsid w:val="00817775"/>
    <w:rsid w:val="00817C5C"/>
    <w:rsid w:val="00821E76"/>
    <w:rsid w:val="00822A0A"/>
    <w:rsid w:val="008242D5"/>
    <w:rsid w:val="00824417"/>
    <w:rsid w:val="00832308"/>
    <w:rsid w:val="00842FC3"/>
    <w:rsid w:val="00862DCA"/>
    <w:rsid w:val="0086396A"/>
    <w:rsid w:val="00871AF3"/>
    <w:rsid w:val="00873F60"/>
    <w:rsid w:val="00877F66"/>
    <w:rsid w:val="008A7995"/>
    <w:rsid w:val="008B0485"/>
    <w:rsid w:val="008C168B"/>
    <w:rsid w:val="008C3A7D"/>
    <w:rsid w:val="008C6356"/>
    <w:rsid w:val="008D435D"/>
    <w:rsid w:val="008F0382"/>
    <w:rsid w:val="008F302E"/>
    <w:rsid w:val="008F4D10"/>
    <w:rsid w:val="008F6185"/>
    <w:rsid w:val="008F70C0"/>
    <w:rsid w:val="0091211F"/>
    <w:rsid w:val="00923829"/>
    <w:rsid w:val="009340A2"/>
    <w:rsid w:val="00940152"/>
    <w:rsid w:val="009545E6"/>
    <w:rsid w:val="00956C54"/>
    <w:rsid w:val="009619FB"/>
    <w:rsid w:val="009733FC"/>
    <w:rsid w:val="00976555"/>
    <w:rsid w:val="009772AD"/>
    <w:rsid w:val="00993C69"/>
    <w:rsid w:val="009953CC"/>
    <w:rsid w:val="0099765A"/>
    <w:rsid w:val="009A030C"/>
    <w:rsid w:val="009B2AF0"/>
    <w:rsid w:val="009C47CE"/>
    <w:rsid w:val="009C49EF"/>
    <w:rsid w:val="009E3380"/>
    <w:rsid w:val="009E3E89"/>
    <w:rsid w:val="009E6258"/>
    <w:rsid w:val="009F1456"/>
    <w:rsid w:val="00A14931"/>
    <w:rsid w:val="00A15688"/>
    <w:rsid w:val="00A17668"/>
    <w:rsid w:val="00A226B3"/>
    <w:rsid w:val="00A22F1D"/>
    <w:rsid w:val="00A36167"/>
    <w:rsid w:val="00A40A1E"/>
    <w:rsid w:val="00A4429A"/>
    <w:rsid w:val="00A53A8A"/>
    <w:rsid w:val="00A55CDF"/>
    <w:rsid w:val="00A85CF9"/>
    <w:rsid w:val="00AA68FE"/>
    <w:rsid w:val="00AB5D3E"/>
    <w:rsid w:val="00AB7E19"/>
    <w:rsid w:val="00AD1430"/>
    <w:rsid w:val="00AD4820"/>
    <w:rsid w:val="00AF72B0"/>
    <w:rsid w:val="00AF7B99"/>
    <w:rsid w:val="00B029F4"/>
    <w:rsid w:val="00B10EEC"/>
    <w:rsid w:val="00B15B88"/>
    <w:rsid w:val="00B25825"/>
    <w:rsid w:val="00B26D10"/>
    <w:rsid w:val="00B35681"/>
    <w:rsid w:val="00B35CF8"/>
    <w:rsid w:val="00B36A1F"/>
    <w:rsid w:val="00B6006A"/>
    <w:rsid w:val="00B77BCA"/>
    <w:rsid w:val="00B83641"/>
    <w:rsid w:val="00B9043C"/>
    <w:rsid w:val="00B90D71"/>
    <w:rsid w:val="00B9504D"/>
    <w:rsid w:val="00BA0A35"/>
    <w:rsid w:val="00BC4CA0"/>
    <w:rsid w:val="00BC546D"/>
    <w:rsid w:val="00BD1EE4"/>
    <w:rsid w:val="00BD276C"/>
    <w:rsid w:val="00BE031B"/>
    <w:rsid w:val="00BE5CF7"/>
    <w:rsid w:val="00BE6C66"/>
    <w:rsid w:val="00C040EE"/>
    <w:rsid w:val="00C05E6C"/>
    <w:rsid w:val="00C314CD"/>
    <w:rsid w:val="00C33D42"/>
    <w:rsid w:val="00C44FFF"/>
    <w:rsid w:val="00C52F53"/>
    <w:rsid w:val="00C53268"/>
    <w:rsid w:val="00C60CF2"/>
    <w:rsid w:val="00C6390D"/>
    <w:rsid w:val="00C63CA9"/>
    <w:rsid w:val="00C7664A"/>
    <w:rsid w:val="00C76D28"/>
    <w:rsid w:val="00C806EC"/>
    <w:rsid w:val="00C81767"/>
    <w:rsid w:val="00C87E2F"/>
    <w:rsid w:val="00C9631E"/>
    <w:rsid w:val="00CA0D8E"/>
    <w:rsid w:val="00CA462B"/>
    <w:rsid w:val="00CA5B0B"/>
    <w:rsid w:val="00CB0A16"/>
    <w:rsid w:val="00CB1C2B"/>
    <w:rsid w:val="00CB69C5"/>
    <w:rsid w:val="00CB7BAC"/>
    <w:rsid w:val="00CD38DB"/>
    <w:rsid w:val="00CD6BC4"/>
    <w:rsid w:val="00CE3249"/>
    <w:rsid w:val="00CE7949"/>
    <w:rsid w:val="00CF27A9"/>
    <w:rsid w:val="00CF4E4C"/>
    <w:rsid w:val="00D111E4"/>
    <w:rsid w:val="00D129B6"/>
    <w:rsid w:val="00D16C2D"/>
    <w:rsid w:val="00D2356D"/>
    <w:rsid w:val="00D4056A"/>
    <w:rsid w:val="00D437F8"/>
    <w:rsid w:val="00D53E81"/>
    <w:rsid w:val="00D6401C"/>
    <w:rsid w:val="00D708BB"/>
    <w:rsid w:val="00D746E3"/>
    <w:rsid w:val="00D76799"/>
    <w:rsid w:val="00D771B8"/>
    <w:rsid w:val="00D833ED"/>
    <w:rsid w:val="00D8679B"/>
    <w:rsid w:val="00D86C77"/>
    <w:rsid w:val="00DC5124"/>
    <w:rsid w:val="00DF1DCE"/>
    <w:rsid w:val="00DF6190"/>
    <w:rsid w:val="00DF61E4"/>
    <w:rsid w:val="00E00A76"/>
    <w:rsid w:val="00E04EAA"/>
    <w:rsid w:val="00E06EF3"/>
    <w:rsid w:val="00E11AFC"/>
    <w:rsid w:val="00E13437"/>
    <w:rsid w:val="00E3592F"/>
    <w:rsid w:val="00E36995"/>
    <w:rsid w:val="00E522B3"/>
    <w:rsid w:val="00E63F45"/>
    <w:rsid w:val="00E75615"/>
    <w:rsid w:val="00E8037A"/>
    <w:rsid w:val="00E83DD0"/>
    <w:rsid w:val="00E86012"/>
    <w:rsid w:val="00E92F77"/>
    <w:rsid w:val="00E954B4"/>
    <w:rsid w:val="00EB205A"/>
    <w:rsid w:val="00EC1B8B"/>
    <w:rsid w:val="00EE568B"/>
    <w:rsid w:val="00EE7402"/>
    <w:rsid w:val="00EF4417"/>
    <w:rsid w:val="00EF4651"/>
    <w:rsid w:val="00EF4CE3"/>
    <w:rsid w:val="00F017CB"/>
    <w:rsid w:val="00F1657E"/>
    <w:rsid w:val="00F2090B"/>
    <w:rsid w:val="00F22D5E"/>
    <w:rsid w:val="00F24668"/>
    <w:rsid w:val="00F247EA"/>
    <w:rsid w:val="00F47A3F"/>
    <w:rsid w:val="00F50187"/>
    <w:rsid w:val="00F50DAA"/>
    <w:rsid w:val="00F713D8"/>
    <w:rsid w:val="00F752AB"/>
    <w:rsid w:val="00F87C34"/>
    <w:rsid w:val="00F918CC"/>
    <w:rsid w:val="00F92247"/>
    <w:rsid w:val="00F97851"/>
    <w:rsid w:val="00FA4681"/>
    <w:rsid w:val="00FA746A"/>
    <w:rsid w:val="00FD016A"/>
    <w:rsid w:val="00FD09C4"/>
    <w:rsid w:val="00FD50A0"/>
    <w:rsid w:val="00FE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69F015"/>
  <w15:chartTrackingRefBased/>
  <w15:docId w15:val="{D5F36D89-3619-494A-AB88-36F9CAA8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E3249"/>
    <w:pPr>
      <w:ind w:left="567" w:hanging="567"/>
    </w:pPr>
    <w:rPr>
      <w:sz w:val="22"/>
      <w:szCs w:val="24"/>
      <w:lang w:val="sk-SK" w:eastAsia="sk-SK"/>
    </w:rPr>
  </w:style>
  <w:style w:type="paragraph" w:styleId="Nadpis1">
    <w:name w:val="heading 1"/>
    <w:basedOn w:val="Normln"/>
    <w:next w:val="Normln"/>
    <w:link w:val="Nadpis1Char"/>
    <w:qFormat/>
    <w:rsid w:val="008242D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3F05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qFormat/>
    <w:rsid w:val="00E06EF3"/>
    <w:pPr>
      <w:keepNext/>
      <w:ind w:left="0" w:firstLine="0"/>
      <w:jc w:val="center"/>
      <w:outlineLvl w:val="4"/>
    </w:pPr>
    <w:rPr>
      <w:b/>
      <w:bCs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06EF3"/>
    <w:pPr>
      <w:ind w:left="0" w:firstLine="0"/>
    </w:pPr>
    <w:rPr>
      <w:rFonts w:ascii="Arial" w:hAnsi="Arial" w:cs="Arial"/>
      <w:sz w:val="20"/>
      <w:lang w:eastAsia="cs-CZ"/>
    </w:rPr>
  </w:style>
  <w:style w:type="paragraph" w:styleId="Zpat">
    <w:name w:val="footer"/>
    <w:basedOn w:val="Normln"/>
    <w:rsid w:val="00EC1B8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C1B8B"/>
  </w:style>
  <w:style w:type="paragraph" w:styleId="Rozloendokumentu">
    <w:name w:val="Document Map"/>
    <w:basedOn w:val="Normln"/>
    <w:semiHidden/>
    <w:rsid w:val="00C44FF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C44FF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6401C"/>
    <w:rPr>
      <w:sz w:val="16"/>
      <w:szCs w:val="16"/>
    </w:rPr>
  </w:style>
  <w:style w:type="paragraph" w:styleId="Textkomente">
    <w:name w:val="annotation text"/>
    <w:basedOn w:val="Normln"/>
    <w:semiHidden/>
    <w:rsid w:val="00D6401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6401C"/>
    <w:rPr>
      <w:b/>
      <w:bCs/>
    </w:rPr>
  </w:style>
  <w:style w:type="paragraph" w:customStyle="1" w:styleId="Default">
    <w:name w:val="Default"/>
    <w:rsid w:val="00C7664A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sk-SK" w:eastAsia="zh-CN"/>
    </w:rPr>
  </w:style>
  <w:style w:type="paragraph" w:customStyle="1" w:styleId="OmniPage263">
    <w:name w:val="OmniPage #263"/>
    <w:basedOn w:val="Normln"/>
    <w:rsid w:val="009C47CE"/>
    <w:pPr>
      <w:ind w:left="2074" w:right="1705" w:firstLine="0"/>
    </w:pPr>
    <w:rPr>
      <w:rFonts w:ascii="Arial" w:hAnsi="Arial"/>
      <w:noProof/>
      <w:sz w:val="20"/>
      <w:szCs w:val="20"/>
      <w:lang w:val="en-GB" w:eastAsia="fr-FR"/>
    </w:rPr>
  </w:style>
  <w:style w:type="paragraph" w:customStyle="1" w:styleId="OmniPage266">
    <w:name w:val="OmniPage #266"/>
    <w:basedOn w:val="Normln"/>
    <w:rsid w:val="009C47CE"/>
    <w:pPr>
      <w:ind w:left="2076" w:right="2387" w:firstLine="0"/>
    </w:pPr>
    <w:rPr>
      <w:rFonts w:ascii="Arial" w:hAnsi="Arial"/>
      <w:noProof/>
      <w:sz w:val="20"/>
      <w:szCs w:val="20"/>
      <w:lang w:val="en-GB" w:eastAsia="fr-FR"/>
    </w:rPr>
  </w:style>
  <w:style w:type="paragraph" w:customStyle="1" w:styleId="OmniPage271">
    <w:name w:val="OmniPage #271"/>
    <w:basedOn w:val="Normln"/>
    <w:rsid w:val="00303674"/>
    <w:pPr>
      <w:tabs>
        <w:tab w:val="right" w:pos="4550"/>
      </w:tabs>
      <w:ind w:left="2084" w:right="6570" w:firstLine="0"/>
    </w:pPr>
    <w:rPr>
      <w:rFonts w:ascii="Arial" w:hAnsi="Arial"/>
      <w:noProof/>
      <w:sz w:val="20"/>
      <w:szCs w:val="20"/>
      <w:lang w:val="en-GB" w:eastAsia="fr-FR"/>
    </w:rPr>
  </w:style>
  <w:style w:type="paragraph" w:customStyle="1" w:styleId="OmniPage514">
    <w:name w:val="OmniPage #514"/>
    <w:basedOn w:val="Normln"/>
    <w:rsid w:val="00CA5B0B"/>
    <w:pPr>
      <w:ind w:left="2054" w:right="1710" w:firstLine="0"/>
    </w:pPr>
    <w:rPr>
      <w:rFonts w:ascii="Arial" w:hAnsi="Arial"/>
      <w:noProof/>
      <w:sz w:val="20"/>
      <w:szCs w:val="20"/>
      <w:lang w:val="en-GB" w:eastAsia="fr-FR"/>
    </w:rPr>
  </w:style>
  <w:style w:type="paragraph" w:customStyle="1" w:styleId="OmniPage516">
    <w:name w:val="OmniPage #516"/>
    <w:basedOn w:val="Normln"/>
    <w:rsid w:val="00CA5B0B"/>
    <w:pPr>
      <w:tabs>
        <w:tab w:val="right" w:pos="9247"/>
      </w:tabs>
      <w:ind w:left="2068" w:right="1854" w:firstLine="0"/>
    </w:pPr>
    <w:rPr>
      <w:rFonts w:ascii="Arial" w:hAnsi="Arial"/>
      <w:noProof/>
      <w:sz w:val="20"/>
      <w:szCs w:val="20"/>
      <w:lang w:val="en-GB" w:eastAsia="fr-FR"/>
    </w:rPr>
  </w:style>
  <w:style w:type="paragraph" w:customStyle="1" w:styleId="OmniPage771">
    <w:name w:val="OmniPage #771"/>
    <w:basedOn w:val="Normln"/>
    <w:rsid w:val="00E11AFC"/>
    <w:pPr>
      <w:tabs>
        <w:tab w:val="right" w:pos="7951"/>
      </w:tabs>
      <w:ind w:left="2161" w:right="1146" w:firstLine="0"/>
    </w:pPr>
    <w:rPr>
      <w:rFonts w:ascii="Arial" w:hAnsi="Arial"/>
      <w:noProof/>
      <w:sz w:val="20"/>
      <w:szCs w:val="20"/>
      <w:lang w:val="en-US" w:eastAsia="nl-NL"/>
    </w:rPr>
  </w:style>
  <w:style w:type="paragraph" w:customStyle="1" w:styleId="OmniPage770">
    <w:name w:val="OmniPage #770"/>
    <w:basedOn w:val="Normln"/>
    <w:rsid w:val="00E11AFC"/>
    <w:pPr>
      <w:ind w:left="2148" w:right="311" w:firstLine="0"/>
    </w:pPr>
    <w:rPr>
      <w:rFonts w:ascii="Arial" w:hAnsi="Arial"/>
      <w:noProof/>
      <w:sz w:val="20"/>
      <w:szCs w:val="20"/>
      <w:lang w:val="en-US" w:eastAsia="nl-NL"/>
    </w:rPr>
  </w:style>
  <w:style w:type="paragraph" w:customStyle="1" w:styleId="OmniPage773">
    <w:name w:val="OmniPage #773"/>
    <w:basedOn w:val="Normln"/>
    <w:rsid w:val="00E11AFC"/>
    <w:pPr>
      <w:tabs>
        <w:tab w:val="left" w:pos="786"/>
        <w:tab w:val="right" w:pos="8997"/>
      </w:tabs>
      <w:ind w:left="1735" w:right="100" w:firstLine="0"/>
    </w:pPr>
    <w:rPr>
      <w:rFonts w:ascii="Arial" w:hAnsi="Arial"/>
      <w:noProof/>
      <w:sz w:val="20"/>
      <w:szCs w:val="20"/>
      <w:lang w:val="en-US" w:eastAsia="nl-NL"/>
    </w:rPr>
  </w:style>
  <w:style w:type="paragraph" w:customStyle="1" w:styleId="OmniPage522">
    <w:name w:val="OmniPage #522"/>
    <w:basedOn w:val="Normln"/>
    <w:rsid w:val="00E11AFC"/>
    <w:pPr>
      <w:tabs>
        <w:tab w:val="right" w:pos="8246"/>
      </w:tabs>
      <w:ind w:left="2066" w:right="2855" w:firstLine="0"/>
    </w:pPr>
    <w:rPr>
      <w:rFonts w:ascii="Arial" w:hAnsi="Arial"/>
      <w:noProof/>
      <w:sz w:val="20"/>
      <w:szCs w:val="20"/>
      <w:lang w:val="en-GB" w:eastAsia="fr-FR"/>
    </w:rPr>
  </w:style>
  <w:style w:type="paragraph" w:customStyle="1" w:styleId="OmniPage523">
    <w:name w:val="OmniPage #523"/>
    <w:basedOn w:val="Normln"/>
    <w:rsid w:val="00E11AFC"/>
    <w:pPr>
      <w:tabs>
        <w:tab w:val="right" w:pos="8780"/>
      </w:tabs>
      <w:ind w:left="2070" w:right="2321" w:firstLine="0"/>
    </w:pPr>
    <w:rPr>
      <w:rFonts w:ascii="Arial" w:hAnsi="Arial"/>
      <w:noProof/>
      <w:sz w:val="20"/>
      <w:szCs w:val="20"/>
      <w:lang w:val="en-GB" w:eastAsia="fr-FR"/>
    </w:rPr>
  </w:style>
  <w:style w:type="paragraph" w:customStyle="1" w:styleId="OmniPage525">
    <w:name w:val="OmniPage #525"/>
    <w:basedOn w:val="Normln"/>
    <w:rsid w:val="00E11AFC"/>
    <w:pPr>
      <w:tabs>
        <w:tab w:val="right" w:pos="9106"/>
      </w:tabs>
      <w:ind w:left="2079" w:right="1995" w:firstLine="0"/>
    </w:pPr>
    <w:rPr>
      <w:rFonts w:ascii="Arial" w:hAnsi="Arial"/>
      <w:noProof/>
      <w:sz w:val="20"/>
      <w:szCs w:val="20"/>
      <w:lang w:val="en-GB" w:eastAsia="fr-FR"/>
    </w:rPr>
  </w:style>
  <w:style w:type="paragraph" w:customStyle="1" w:styleId="OmniPage774">
    <w:name w:val="OmniPage #774"/>
    <w:basedOn w:val="Normln"/>
    <w:rsid w:val="00E11AFC"/>
    <w:pPr>
      <w:tabs>
        <w:tab w:val="right" w:pos="8888"/>
      </w:tabs>
      <w:ind w:left="2059" w:right="2240" w:firstLine="0"/>
    </w:pPr>
    <w:rPr>
      <w:rFonts w:ascii="Arial" w:hAnsi="Arial"/>
      <w:noProof/>
      <w:sz w:val="20"/>
      <w:szCs w:val="20"/>
      <w:lang w:val="en-GB" w:eastAsia="fr-FR"/>
    </w:rPr>
  </w:style>
  <w:style w:type="paragraph" w:customStyle="1" w:styleId="OmniPage776">
    <w:name w:val="OmniPage #776"/>
    <w:basedOn w:val="Normln"/>
    <w:rsid w:val="00FE297C"/>
    <w:pPr>
      <w:tabs>
        <w:tab w:val="left" w:pos="1602"/>
        <w:tab w:val="left" w:pos="9013"/>
        <w:tab w:val="right" w:pos="9682"/>
      </w:tabs>
      <w:ind w:left="2063" w:right="1446" w:firstLine="0"/>
    </w:pPr>
    <w:rPr>
      <w:rFonts w:ascii="Arial" w:hAnsi="Arial"/>
      <w:noProof/>
      <w:sz w:val="20"/>
      <w:szCs w:val="20"/>
      <w:lang w:val="en-GB" w:eastAsia="fr-FR"/>
    </w:rPr>
  </w:style>
  <w:style w:type="paragraph" w:customStyle="1" w:styleId="OmniPage778">
    <w:name w:val="OmniPage #778"/>
    <w:basedOn w:val="Normln"/>
    <w:rsid w:val="00FE297C"/>
    <w:pPr>
      <w:ind w:left="2076" w:right="2556" w:firstLine="0"/>
    </w:pPr>
    <w:rPr>
      <w:rFonts w:ascii="Arial" w:hAnsi="Arial"/>
      <w:noProof/>
      <w:sz w:val="20"/>
      <w:szCs w:val="20"/>
      <w:lang w:val="en-GB" w:eastAsia="fr-FR"/>
    </w:rPr>
  </w:style>
  <w:style w:type="paragraph" w:customStyle="1" w:styleId="OmniPage1026">
    <w:name w:val="OmniPage #1026"/>
    <w:basedOn w:val="Normln"/>
    <w:rsid w:val="00564EDF"/>
    <w:pPr>
      <w:ind w:left="2162" w:right="213" w:firstLine="0"/>
    </w:pPr>
    <w:rPr>
      <w:rFonts w:ascii="Arial" w:hAnsi="Arial"/>
      <w:noProof/>
      <w:sz w:val="20"/>
      <w:szCs w:val="20"/>
      <w:lang w:val="en-US" w:eastAsia="nl-NL"/>
    </w:rPr>
  </w:style>
  <w:style w:type="paragraph" w:customStyle="1" w:styleId="OmniPage780">
    <w:name w:val="OmniPage #780"/>
    <w:basedOn w:val="Normln"/>
    <w:rsid w:val="00564EDF"/>
    <w:pPr>
      <w:ind w:left="2080" w:right="1163" w:firstLine="0"/>
    </w:pPr>
    <w:rPr>
      <w:rFonts w:ascii="Arial" w:hAnsi="Arial"/>
      <w:noProof/>
      <w:sz w:val="20"/>
      <w:szCs w:val="20"/>
      <w:lang w:val="en-GB" w:eastAsia="fr-FR"/>
    </w:rPr>
  </w:style>
  <w:style w:type="paragraph" w:styleId="Normlnodsazen">
    <w:name w:val="Normal Indent"/>
    <w:basedOn w:val="Normln"/>
    <w:rsid w:val="003510B7"/>
    <w:pPr>
      <w:ind w:left="720" w:firstLine="0"/>
    </w:pPr>
    <w:rPr>
      <w:sz w:val="24"/>
      <w:szCs w:val="20"/>
      <w:lang w:val="en-GB" w:eastAsia="zh-TW"/>
    </w:rPr>
  </w:style>
  <w:style w:type="paragraph" w:customStyle="1" w:styleId="OmniPage1542">
    <w:name w:val="OmniPage #1542"/>
    <w:basedOn w:val="Normln"/>
    <w:rsid w:val="005E442E"/>
    <w:pPr>
      <w:tabs>
        <w:tab w:val="left" w:pos="799"/>
        <w:tab w:val="right" w:pos="8960"/>
      </w:tabs>
      <w:ind w:left="1722" w:right="142" w:firstLine="0"/>
    </w:pPr>
    <w:rPr>
      <w:rFonts w:ascii="Arial" w:hAnsi="Arial"/>
      <w:noProof/>
      <w:sz w:val="20"/>
      <w:szCs w:val="20"/>
      <w:lang w:val="en-US" w:eastAsia="nl-NL"/>
    </w:rPr>
  </w:style>
  <w:style w:type="paragraph" w:customStyle="1" w:styleId="OmniPage1549">
    <w:name w:val="OmniPage #1549"/>
    <w:basedOn w:val="Normln"/>
    <w:rsid w:val="00EB205A"/>
    <w:pPr>
      <w:ind w:left="2139" w:right="1171" w:firstLine="0"/>
    </w:pPr>
    <w:rPr>
      <w:rFonts w:ascii="Arial" w:hAnsi="Arial"/>
      <w:noProof/>
      <w:sz w:val="20"/>
      <w:szCs w:val="20"/>
      <w:lang w:val="en-GB" w:eastAsia="fr-FR"/>
    </w:rPr>
  </w:style>
  <w:style w:type="paragraph" w:customStyle="1" w:styleId="OmniPage1794">
    <w:name w:val="OmniPage #1794"/>
    <w:basedOn w:val="Normln"/>
    <w:rsid w:val="00EB205A"/>
    <w:pPr>
      <w:ind w:left="2048" w:right="1334" w:firstLine="0"/>
    </w:pPr>
    <w:rPr>
      <w:rFonts w:ascii="Arial" w:hAnsi="Arial"/>
      <w:noProof/>
      <w:sz w:val="20"/>
      <w:szCs w:val="20"/>
      <w:lang w:val="en-GB" w:eastAsia="fr-FR"/>
    </w:rPr>
  </w:style>
  <w:style w:type="paragraph" w:customStyle="1" w:styleId="OmniPage1795">
    <w:name w:val="OmniPage #1795"/>
    <w:basedOn w:val="Normln"/>
    <w:rsid w:val="00EB205A"/>
    <w:pPr>
      <w:ind w:left="2053" w:right="1975" w:firstLine="0"/>
    </w:pPr>
    <w:rPr>
      <w:rFonts w:ascii="Arial" w:hAnsi="Arial"/>
      <w:noProof/>
      <w:sz w:val="20"/>
      <w:szCs w:val="20"/>
      <w:lang w:val="en-GB" w:eastAsia="fr-FR"/>
    </w:rPr>
  </w:style>
  <w:style w:type="character" w:customStyle="1" w:styleId="Nadpis1Char">
    <w:name w:val="Nadpis 1 Char"/>
    <w:link w:val="Nadpis1"/>
    <w:rsid w:val="008242D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3F051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odsazen">
    <w:name w:val="Body Text Indent"/>
    <w:basedOn w:val="Normln"/>
    <w:link w:val="ZkladntextodsazenChar"/>
    <w:rsid w:val="003F0514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3F0514"/>
    <w:rPr>
      <w:sz w:val="22"/>
      <w:szCs w:val="24"/>
    </w:rPr>
  </w:style>
  <w:style w:type="paragraph" w:styleId="Normlnweb">
    <w:name w:val="Normal (Web)"/>
    <w:basedOn w:val="Normln"/>
    <w:uiPriority w:val="99"/>
    <w:unhideWhenUsed/>
    <w:rsid w:val="00294675"/>
    <w:pPr>
      <w:spacing w:before="180"/>
      <w:ind w:left="0" w:firstLine="0"/>
    </w:pPr>
    <w:rPr>
      <w:sz w:val="24"/>
    </w:rPr>
  </w:style>
  <w:style w:type="character" w:styleId="Hypertextovodkaz">
    <w:name w:val="Hyperlink"/>
    <w:unhideWhenUsed/>
    <w:rsid w:val="00483AA4"/>
    <w:rPr>
      <w:color w:val="0000FF"/>
      <w:u w:val="single"/>
    </w:rPr>
  </w:style>
  <w:style w:type="paragraph" w:styleId="Zhlav">
    <w:name w:val="header"/>
    <w:basedOn w:val="Normln"/>
    <w:link w:val="ZhlavChar"/>
    <w:rsid w:val="004114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11471"/>
    <w:rPr>
      <w:sz w:val="22"/>
      <w:szCs w:val="24"/>
      <w:lang w:val="sk-SK" w:eastAsia="sk-SK"/>
    </w:rPr>
  </w:style>
  <w:style w:type="character" w:styleId="Nevyeenzmnka">
    <w:name w:val="Unresolved Mention"/>
    <w:basedOn w:val="Standardnpsmoodstavce"/>
    <w:uiPriority w:val="99"/>
    <w:semiHidden/>
    <w:unhideWhenUsed/>
    <w:rsid w:val="004114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5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2537</Words>
  <Characters>16683</Characters>
  <Application>Microsoft Office Word</Application>
  <DocSecurity>0</DocSecurity>
  <Lines>139</Lines>
  <Paragraphs>38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>[Version 7</vt:lpstr>
      <vt:lpstr>[Version 7</vt:lpstr>
      <vt:lpstr>[Version 7</vt:lpstr>
    </vt:vector>
  </TitlesOfParts>
  <Company>TEVA Pharmaceuticals CR, s.r.o.</Company>
  <LinksUpToDate>false</LinksUpToDate>
  <CharactersWithSpaces>19182</CharactersWithSpaces>
  <SharedDoc>false</SharedDoc>
  <HLinks>
    <vt:vector size="12" baseType="variant">
      <vt:variant>
        <vt:i4>5898285</vt:i4>
      </vt:variant>
      <vt:variant>
        <vt:i4>3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  <vt:variant>
        <vt:i4>5636157</vt:i4>
      </vt:variant>
      <vt:variant>
        <vt:i4>0</vt:i4>
      </vt:variant>
      <vt:variant>
        <vt:i4>0</vt:i4>
      </vt:variant>
      <vt:variant>
        <vt:i4>5</vt:i4>
      </vt:variant>
      <vt:variant>
        <vt:lpwstr>http://www.sukl.sk/sk/bezpecnost-liekov/aktuality?page_id=218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[Version 7</dc:title>
  <dc:subject/>
  <dc:creator>SUKL</dc:creator>
  <cp:keywords/>
  <cp:lastModifiedBy>Miroslava Slahúčková</cp:lastModifiedBy>
  <cp:revision>2</cp:revision>
  <cp:lastPrinted>2013-05-22T15:16:00Z</cp:lastPrinted>
  <dcterms:created xsi:type="dcterms:W3CDTF">2020-05-06T11:37:00Z</dcterms:created>
  <dcterms:modified xsi:type="dcterms:W3CDTF">2020-05-06T11:37:00Z</dcterms:modified>
</cp:coreProperties>
</file>