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71" w:rsidRPr="0085741E" w:rsidRDefault="009B2771" w:rsidP="0085741E">
      <w:pPr>
        <w:ind w:firstLine="708"/>
        <w:jc w:val="center"/>
        <w:rPr>
          <w:rFonts w:ascii="Times New Roman" w:hAnsi="Times New Roman"/>
          <w:b/>
          <w:bCs/>
          <w:sz w:val="22"/>
          <w:szCs w:val="22"/>
        </w:rPr>
      </w:pPr>
      <w:r w:rsidRPr="0085741E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:rsidR="00426997" w:rsidRPr="00B1317A" w:rsidRDefault="00426997">
      <w:pPr>
        <w:rPr>
          <w:rFonts w:ascii="Times New Roman" w:hAnsi="Times New Roman"/>
          <w:bCs/>
          <w:sz w:val="22"/>
          <w:szCs w:val="22"/>
        </w:rPr>
      </w:pPr>
    </w:p>
    <w:p w:rsidR="0085741E" w:rsidRPr="00B1317A" w:rsidRDefault="0085741E">
      <w:pPr>
        <w:rPr>
          <w:rFonts w:ascii="Times New Roman" w:hAnsi="Times New Roman"/>
          <w:bCs/>
          <w:sz w:val="22"/>
          <w:szCs w:val="22"/>
        </w:rPr>
      </w:pPr>
    </w:p>
    <w:p w:rsidR="009B2771" w:rsidRPr="006923E4" w:rsidRDefault="006923E4">
      <w:pPr>
        <w:rPr>
          <w:rFonts w:ascii="Times New Roman" w:hAnsi="Times New Roman"/>
          <w:b/>
          <w:bCs/>
          <w:sz w:val="22"/>
          <w:szCs w:val="22"/>
        </w:rPr>
      </w:pPr>
      <w:r w:rsidRPr="00B1317A">
        <w:rPr>
          <w:rFonts w:ascii="Times New Roman" w:hAnsi="Times New Roman"/>
          <w:b/>
          <w:bCs/>
          <w:sz w:val="22"/>
          <w:szCs w:val="22"/>
        </w:rPr>
        <w:t>1.</w:t>
      </w:r>
      <w:r w:rsidRPr="00B1317A">
        <w:rPr>
          <w:rFonts w:ascii="Times New Roman" w:hAnsi="Times New Roman"/>
          <w:b/>
          <w:bCs/>
          <w:sz w:val="22"/>
          <w:szCs w:val="22"/>
        </w:rPr>
        <w:tab/>
      </w:r>
      <w:r w:rsidR="009B2771" w:rsidRPr="006923E4">
        <w:rPr>
          <w:rFonts w:ascii="Times New Roman" w:hAnsi="Times New Roman"/>
          <w:b/>
          <w:bCs/>
          <w:sz w:val="22"/>
          <w:szCs w:val="22"/>
        </w:rPr>
        <w:t>NÁZOV LIEKU</w:t>
      </w:r>
    </w:p>
    <w:p w:rsidR="00416E7C" w:rsidRDefault="00416E7C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85741E" w:rsidRDefault="009B2771">
      <w:pPr>
        <w:rPr>
          <w:rFonts w:ascii="Times New Roman" w:hAnsi="Times New Roman"/>
          <w:bCs/>
          <w:sz w:val="22"/>
          <w:szCs w:val="22"/>
        </w:rPr>
      </w:pPr>
      <w:r w:rsidRPr="0085741E">
        <w:rPr>
          <w:rFonts w:ascii="Times New Roman" w:hAnsi="Times New Roman"/>
          <w:bCs/>
          <w:sz w:val="22"/>
          <w:szCs w:val="22"/>
        </w:rPr>
        <w:t xml:space="preserve">Piracetam AL </w:t>
      </w:r>
      <w:r w:rsidR="00FA186A">
        <w:rPr>
          <w:rFonts w:ascii="Times New Roman" w:hAnsi="Times New Roman"/>
          <w:bCs/>
          <w:sz w:val="22"/>
          <w:szCs w:val="22"/>
        </w:rPr>
        <w:t>8</w:t>
      </w:r>
      <w:r w:rsidRPr="0085741E">
        <w:rPr>
          <w:rFonts w:ascii="Times New Roman" w:hAnsi="Times New Roman"/>
          <w:bCs/>
          <w:sz w:val="22"/>
          <w:szCs w:val="22"/>
        </w:rPr>
        <w:t>00</w:t>
      </w:r>
    </w:p>
    <w:p w:rsidR="006659A2" w:rsidRDefault="00FA186A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8</w:t>
      </w:r>
      <w:r w:rsidR="0085741E">
        <w:rPr>
          <w:rFonts w:ascii="Times New Roman" w:hAnsi="Times New Roman"/>
          <w:bCs/>
          <w:sz w:val="22"/>
          <w:szCs w:val="22"/>
        </w:rPr>
        <w:t xml:space="preserve">00 mg, </w:t>
      </w:r>
      <w:r w:rsidR="006659A2">
        <w:rPr>
          <w:rFonts w:ascii="Times New Roman" w:hAnsi="Times New Roman"/>
          <w:bCs/>
          <w:sz w:val="22"/>
          <w:szCs w:val="22"/>
        </w:rPr>
        <w:t>filmom obalené</w:t>
      </w:r>
      <w:r w:rsidR="006659A2" w:rsidRPr="00176822">
        <w:rPr>
          <w:rFonts w:ascii="Times New Roman" w:hAnsi="Times New Roman"/>
          <w:bCs/>
          <w:sz w:val="22"/>
          <w:szCs w:val="22"/>
        </w:rPr>
        <w:t xml:space="preserve"> tablet</w:t>
      </w:r>
      <w:r w:rsidR="006659A2">
        <w:rPr>
          <w:rFonts w:ascii="Times New Roman" w:hAnsi="Times New Roman"/>
          <w:bCs/>
          <w:sz w:val="22"/>
          <w:szCs w:val="22"/>
        </w:rPr>
        <w:t>y</w:t>
      </w:r>
    </w:p>
    <w:p w:rsidR="006659A2" w:rsidRPr="006923E4" w:rsidRDefault="006659A2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6923E4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</w:t>
      </w:r>
      <w:r>
        <w:rPr>
          <w:rFonts w:ascii="Times New Roman" w:hAnsi="Times New Roman"/>
          <w:b/>
          <w:bCs/>
          <w:sz w:val="22"/>
          <w:szCs w:val="22"/>
        </w:rPr>
        <w:tab/>
      </w:r>
      <w:r w:rsidR="009B2771" w:rsidRPr="006923E4">
        <w:rPr>
          <w:rFonts w:ascii="Times New Roman" w:hAnsi="Times New Roman"/>
          <w:b/>
          <w:bCs/>
          <w:sz w:val="22"/>
          <w:szCs w:val="22"/>
        </w:rPr>
        <w:t>KVALITATÍVNE A KVANTITATÍVNE ZLOŽENIE</w:t>
      </w:r>
    </w:p>
    <w:p w:rsidR="00416E7C" w:rsidRDefault="00416E7C">
      <w:pPr>
        <w:rPr>
          <w:rFonts w:ascii="Times New Roman" w:hAnsi="Times New Roman"/>
          <w:sz w:val="22"/>
          <w:szCs w:val="22"/>
        </w:rPr>
      </w:pPr>
    </w:p>
    <w:p w:rsidR="00416E7C" w:rsidRDefault="00522FD2" w:rsidP="00416E7C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Jedna</w:t>
      </w:r>
      <w:r w:rsidR="00416E7C">
        <w:rPr>
          <w:rFonts w:ascii="Times New Roman" w:hAnsi="Times New Roman"/>
          <w:sz w:val="22"/>
          <w:szCs w:val="22"/>
        </w:rPr>
        <w:t xml:space="preserve"> filmom obalená tableta obsahuje </w:t>
      </w:r>
      <w:r w:rsidR="00FA186A">
        <w:rPr>
          <w:rFonts w:ascii="Times New Roman" w:hAnsi="Times New Roman"/>
          <w:sz w:val="22"/>
          <w:szCs w:val="22"/>
        </w:rPr>
        <w:t>8</w:t>
      </w:r>
      <w:r w:rsidR="00416E7C">
        <w:rPr>
          <w:rFonts w:ascii="Times New Roman" w:hAnsi="Times New Roman"/>
          <w:sz w:val="22"/>
          <w:szCs w:val="22"/>
        </w:rPr>
        <w:t>00 mg piracetamu.</w:t>
      </w:r>
    </w:p>
    <w:p w:rsidR="00416E7C" w:rsidRDefault="00416E7C" w:rsidP="00416E7C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16E7C" w:rsidRDefault="00416E7C" w:rsidP="00416E7C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Úplný zoznam pomocných látok, pozri časť 6.1.</w:t>
      </w:r>
    </w:p>
    <w:p w:rsidR="009B2771" w:rsidRDefault="009B2771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85741E" w:rsidRPr="006923E4" w:rsidRDefault="008574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9B2771" w:rsidRPr="006923E4" w:rsidRDefault="006923E4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</w:t>
      </w:r>
      <w:r>
        <w:rPr>
          <w:rFonts w:ascii="Times New Roman" w:hAnsi="Times New Roman"/>
          <w:b/>
          <w:bCs/>
          <w:sz w:val="22"/>
          <w:szCs w:val="22"/>
        </w:rPr>
        <w:tab/>
      </w:r>
      <w:r w:rsidR="009B2771" w:rsidRPr="006923E4">
        <w:rPr>
          <w:rFonts w:ascii="Times New Roman" w:hAnsi="Times New Roman"/>
          <w:b/>
          <w:bCs/>
          <w:sz w:val="22"/>
          <w:szCs w:val="22"/>
        </w:rPr>
        <w:t>LIEKOVÁ FORMA</w:t>
      </w:r>
    </w:p>
    <w:p w:rsidR="00416E7C" w:rsidRDefault="00416E7C">
      <w:pPr>
        <w:rPr>
          <w:rFonts w:ascii="Times New Roman" w:hAnsi="Times New Roman"/>
          <w:sz w:val="22"/>
          <w:szCs w:val="22"/>
        </w:rPr>
      </w:pPr>
    </w:p>
    <w:p w:rsidR="009B2771" w:rsidRDefault="00A44BF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</w:t>
      </w:r>
      <w:r w:rsidR="009B2771" w:rsidRPr="006923E4">
        <w:rPr>
          <w:rFonts w:ascii="Times New Roman" w:hAnsi="Times New Roman"/>
          <w:sz w:val="22"/>
          <w:szCs w:val="22"/>
        </w:rPr>
        <w:t>ilmom obalen</w:t>
      </w:r>
      <w:r w:rsidR="00E2235B">
        <w:rPr>
          <w:rFonts w:ascii="Times New Roman" w:hAnsi="Times New Roman"/>
          <w:sz w:val="22"/>
          <w:szCs w:val="22"/>
        </w:rPr>
        <w:t>á</w:t>
      </w:r>
      <w:r w:rsidR="009B2771" w:rsidRPr="006923E4">
        <w:rPr>
          <w:rFonts w:ascii="Times New Roman" w:hAnsi="Times New Roman"/>
          <w:sz w:val="22"/>
          <w:szCs w:val="22"/>
        </w:rPr>
        <w:t xml:space="preserve"> tablet</w:t>
      </w:r>
      <w:r>
        <w:rPr>
          <w:rFonts w:ascii="Times New Roman" w:hAnsi="Times New Roman"/>
          <w:sz w:val="22"/>
          <w:szCs w:val="22"/>
        </w:rPr>
        <w:t>a</w:t>
      </w:r>
    </w:p>
    <w:p w:rsidR="009B2771" w:rsidRDefault="00C633D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Svetložltá oválna filmom obalená tableta s deliacou ryhou, takmer bez zápachu</w:t>
      </w:r>
      <w:r w:rsidR="00486D26">
        <w:rPr>
          <w:rFonts w:ascii="Times New Roman" w:hAnsi="Times New Roman"/>
          <w:sz w:val="22"/>
          <w:szCs w:val="22"/>
        </w:rPr>
        <w:t>.</w:t>
      </w:r>
    </w:p>
    <w:p w:rsidR="00B1317A" w:rsidRPr="006923E4" w:rsidRDefault="00B1317A">
      <w:pPr>
        <w:rPr>
          <w:rFonts w:ascii="Times New Roman" w:hAnsi="Times New Roman"/>
          <w:sz w:val="22"/>
          <w:szCs w:val="22"/>
        </w:rPr>
      </w:pPr>
    </w:p>
    <w:p w:rsidR="009B2771" w:rsidRPr="006923E4" w:rsidRDefault="006923E4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</w:t>
      </w:r>
      <w:r>
        <w:rPr>
          <w:rFonts w:ascii="Times New Roman" w:hAnsi="Times New Roman"/>
          <w:b/>
          <w:bCs/>
          <w:sz w:val="22"/>
          <w:szCs w:val="22"/>
        </w:rPr>
        <w:tab/>
      </w:r>
      <w:r w:rsidR="009B2771" w:rsidRPr="006923E4">
        <w:rPr>
          <w:rFonts w:ascii="Times New Roman" w:hAnsi="Times New Roman"/>
          <w:b/>
          <w:bCs/>
          <w:sz w:val="22"/>
          <w:szCs w:val="22"/>
        </w:rPr>
        <w:t>KLINICKÉ ÚDAJE</w:t>
      </w:r>
    </w:p>
    <w:p w:rsidR="00416E7C" w:rsidRDefault="00416E7C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4.1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Terapeutické indikácie</w:t>
      </w:r>
    </w:p>
    <w:p w:rsidR="0096099D" w:rsidRDefault="0096099D">
      <w:pPr>
        <w:rPr>
          <w:rFonts w:ascii="Times New Roman" w:hAnsi="Times New Roman"/>
          <w:sz w:val="22"/>
          <w:szCs w:val="22"/>
        </w:rPr>
      </w:pP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>Piracetam je indikovaný dospelým na:</w:t>
      </w:r>
    </w:p>
    <w:p w:rsidR="00642C1A" w:rsidRPr="00642C1A" w:rsidRDefault="00642C1A" w:rsidP="00B1317A">
      <w:pPr>
        <w:numPr>
          <w:ilvl w:val="0"/>
          <w:numId w:val="18"/>
        </w:numPr>
        <w:ind w:left="426" w:hanging="426"/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>symptomatickú liečbu organického psychosyndrómu, u ktorého sa liečbou zlepšujú poruchy pamäti, poruchy pozornosti a nedostatok motivácie.</w:t>
      </w:r>
    </w:p>
    <w:p w:rsidR="00642C1A" w:rsidRPr="00642C1A" w:rsidRDefault="00642C1A" w:rsidP="00642C1A">
      <w:p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</w:t>
      </w:r>
      <w:r w:rsidRPr="00642C1A">
        <w:rPr>
          <w:rFonts w:ascii="Times New Roman" w:hAnsi="Times New Roman"/>
          <w:sz w:val="22"/>
          <w:szCs w:val="22"/>
        </w:rPr>
        <w:tab/>
        <w:t>liečbu samotnej kortikálnej myoklónie alebo v kombinácii.</w:t>
      </w:r>
    </w:p>
    <w:p w:rsidR="00642C1A" w:rsidRPr="00642C1A" w:rsidRDefault="00642C1A" w:rsidP="00B1317A">
      <w:p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</w:t>
      </w:r>
      <w:r w:rsidRPr="00642C1A">
        <w:rPr>
          <w:rFonts w:ascii="Times New Roman" w:hAnsi="Times New Roman"/>
          <w:sz w:val="22"/>
          <w:szCs w:val="22"/>
        </w:rPr>
        <w:tab/>
        <w:t>liečbu vertiga a s ním spojených porúch rovnováhy, s výnimkou závratu vazomotorického alebo psychického pôvodu.</w:t>
      </w:r>
    </w:p>
    <w:p w:rsidR="00642C1A" w:rsidRPr="00642C1A" w:rsidRDefault="00642C1A" w:rsidP="00642C1A">
      <w:p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</w:t>
      </w:r>
      <w:r w:rsidRPr="00642C1A">
        <w:rPr>
          <w:rFonts w:ascii="Times New Roman" w:hAnsi="Times New Roman"/>
          <w:sz w:val="22"/>
          <w:szCs w:val="22"/>
        </w:rPr>
        <w:tab/>
        <w:t>profylaxiu a remisiu vazookluzívnych kríz pri kosáčikovitej anémii.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>Piracetam je indikovaný deťom na:</w:t>
      </w:r>
    </w:p>
    <w:p w:rsidR="00642C1A" w:rsidRPr="00642C1A" w:rsidRDefault="00642C1A" w:rsidP="00642C1A">
      <w:p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</w:t>
      </w:r>
      <w:r w:rsidRPr="00642C1A">
        <w:rPr>
          <w:rFonts w:ascii="Times New Roman" w:hAnsi="Times New Roman"/>
          <w:sz w:val="22"/>
          <w:szCs w:val="22"/>
        </w:rPr>
        <w:tab/>
        <w:t>liečbu dyslexie, v kombinácii s príslušnými opatreniami, ako je logopédia.</w:t>
      </w:r>
    </w:p>
    <w:p w:rsidR="00642C1A" w:rsidRPr="00642C1A" w:rsidRDefault="00642C1A" w:rsidP="00642C1A">
      <w:pPr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</w:t>
      </w:r>
      <w:r w:rsidRPr="00642C1A">
        <w:rPr>
          <w:rFonts w:ascii="Times New Roman" w:hAnsi="Times New Roman"/>
          <w:sz w:val="22"/>
          <w:szCs w:val="22"/>
        </w:rPr>
        <w:tab/>
        <w:t>profylaxiu a remisiu vazookluzívnych kríz pri kosáčikovitej anémii.</w:t>
      </w: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4.2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Dávkovanie a spôsob podávania</w:t>
      </w:r>
    </w:p>
    <w:p w:rsidR="00416E7C" w:rsidRDefault="00416E7C">
      <w:pPr>
        <w:rPr>
          <w:rFonts w:ascii="Times New Roman" w:hAnsi="Times New Roman"/>
          <w:sz w:val="22"/>
          <w:szCs w:val="22"/>
        </w:rPr>
      </w:pPr>
    </w:p>
    <w:p w:rsidR="00416E7C" w:rsidRDefault="00416E7C" w:rsidP="00416E7C">
      <w:pPr>
        <w:rPr>
          <w:rFonts w:ascii="Times New Roman" w:hAnsi="Times New Roman"/>
          <w:sz w:val="22"/>
          <w:szCs w:val="22"/>
          <w:u w:val="single"/>
        </w:rPr>
      </w:pPr>
      <w:r w:rsidRPr="007A62CC">
        <w:rPr>
          <w:rFonts w:ascii="Times New Roman" w:hAnsi="Times New Roman"/>
          <w:sz w:val="22"/>
          <w:szCs w:val="22"/>
          <w:u w:val="single"/>
        </w:rPr>
        <w:t>Dávkovanie</w:t>
      </w:r>
    </w:p>
    <w:p w:rsidR="009B2771" w:rsidRDefault="00642C1A" w:rsidP="00B1317A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 xml:space="preserve">Odporučené dávkovanie je uvedené podľa indikácií nasledovne. 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B1317A" w:rsidRDefault="00642C1A" w:rsidP="00642C1A">
      <w:pPr>
        <w:rPr>
          <w:rFonts w:ascii="Times New Roman" w:hAnsi="Times New Roman"/>
          <w:b/>
          <w:i/>
          <w:sz w:val="22"/>
          <w:szCs w:val="22"/>
        </w:rPr>
      </w:pPr>
      <w:r w:rsidRPr="00B1317A">
        <w:rPr>
          <w:rFonts w:ascii="Times New Roman" w:hAnsi="Times New Roman"/>
          <w:b/>
          <w:i/>
          <w:sz w:val="22"/>
          <w:szCs w:val="22"/>
        </w:rPr>
        <w:t>Liečba myoklónie kortikálneho pôvodu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>Denná dávka sa má začať so 7,2 g piracetamu a má sa zvyšovať o 4,8 g každé tri alebo štyri dni až na maximálne 24 g, rozdelená do dvoch alebo troch dávok. Liečba inými liekmi proti myoklónii sa musí udržiavať na rovnakej dávke. V závislosti od dosiahnutého klinického prínosu sa má, ak je to možné, dávka týchto liekov postupne znižovať.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>Ak sa raz začne piracetam podávať, má sa v liečbe pokračovať tak dlho, kým pôvodné mozgové ochorenie pretrváva. U pacientov s akútnou príhodou môže dôjsť počas jej priebehu k spontánnemu vývoju a je potrebné sa pokúsiť každých 6 mesiacov znížiť dávku lieku alebo liečbu vysadiť. Dávka piracetamu sa má znižovať o 1,2 g každé dva dni (v prípade Lanceovho a Adamsovho syndrómu každé tri alebo štyri dni, aby sa zabránilo možnosti náhleho relapsu alebo záchvatov, kŕčov).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B1317A" w:rsidRDefault="00642C1A" w:rsidP="00642C1A">
      <w:pPr>
        <w:rPr>
          <w:rFonts w:ascii="Times New Roman" w:hAnsi="Times New Roman"/>
          <w:b/>
          <w:i/>
          <w:sz w:val="22"/>
          <w:szCs w:val="22"/>
        </w:rPr>
      </w:pPr>
      <w:r w:rsidRPr="00B1317A">
        <w:rPr>
          <w:rFonts w:ascii="Times New Roman" w:hAnsi="Times New Roman"/>
          <w:b/>
          <w:i/>
          <w:sz w:val="22"/>
          <w:szCs w:val="22"/>
        </w:rPr>
        <w:lastRenderedPageBreak/>
        <w:t>Symptomatická liečba organických psychosyndrómov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 xml:space="preserve">Odporúčaná denná dávka sa pohybuje v rozsahu od 2,4 g do 4,8 g rozdelená do dvoch alebo troch dávok. 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B1317A" w:rsidRDefault="00642C1A" w:rsidP="00642C1A">
      <w:pPr>
        <w:rPr>
          <w:rFonts w:ascii="Times New Roman" w:hAnsi="Times New Roman"/>
          <w:b/>
          <w:i/>
          <w:sz w:val="22"/>
          <w:szCs w:val="22"/>
        </w:rPr>
      </w:pPr>
      <w:r w:rsidRPr="00B1317A">
        <w:rPr>
          <w:rFonts w:ascii="Times New Roman" w:hAnsi="Times New Roman"/>
          <w:b/>
          <w:i/>
          <w:sz w:val="22"/>
          <w:szCs w:val="22"/>
        </w:rPr>
        <w:t xml:space="preserve">Liečba vertiga 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 xml:space="preserve">Odporúčaná denná dávka sa pohybuje v rozsahu od 2,4 g do 4,8 g rozdelená do dvoch alebo troch dávok. 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B1317A" w:rsidRDefault="00642C1A" w:rsidP="00642C1A">
      <w:pPr>
        <w:rPr>
          <w:rFonts w:ascii="Times New Roman" w:hAnsi="Times New Roman"/>
          <w:b/>
          <w:i/>
          <w:sz w:val="22"/>
          <w:szCs w:val="22"/>
        </w:rPr>
      </w:pPr>
      <w:r w:rsidRPr="00B1317A">
        <w:rPr>
          <w:rFonts w:ascii="Times New Roman" w:hAnsi="Times New Roman"/>
          <w:b/>
          <w:i/>
          <w:sz w:val="22"/>
          <w:szCs w:val="22"/>
        </w:rPr>
        <w:t xml:space="preserve">Na profylaxiu a remisiu vazookluzívnej krízy pri kosáčikovitej anémii 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 xml:space="preserve">Odporúčaná denná dávka na profylaxiu je 160 mg/kg perorálne, rozdelená do štyroch dávok. </w:t>
      </w: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642C1A" w:rsidRDefault="00642C1A" w:rsidP="00642C1A">
      <w:pPr>
        <w:rPr>
          <w:rFonts w:ascii="Times New Roman" w:hAnsi="Times New Roman"/>
          <w:sz w:val="22"/>
          <w:szCs w:val="22"/>
        </w:rPr>
      </w:pPr>
      <w:r w:rsidRPr="00642C1A">
        <w:rPr>
          <w:rFonts w:ascii="Times New Roman" w:hAnsi="Times New Roman"/>
          <w:sz w:val="22"/>
          <w:szCs w:val="22"/>
        </w:rPr>
        <w:t>Dávka nižšia ako 160 mg/kg/deň alebo nepravidelné užívanie môže viesť k relapsu krízy.</w:t>
      </w:r>
    </w:p>
    <w:p w:rsidR="00642C1A" w:rsidRDefault="00642C1A">
      <w:pPr>
        <w:rPr>
          <w:rFonts w:ascii="Times New Roman" w:hAnsi="Times New Roman"/>
          <w:sz w:val="22"/>
          <w:szCs w:val="22"/>
        </w:rPr>
      </w:pPr>
    </w:p>
    <w:p w:rsidR="00713A5A" w:rsidRDefault="00713A5A">
      <w:pPr>
        <w:rPr>
          <w:rFonts w:ascii="Times New Roman" w:hAnsi="Times New Roman"/>
          <w:sz w:val="22"/>
          <w:szCs w:val="22"/>
          <w:u w:val="single"/>
        </w:rPr>
      </w:pPr>
      <w:r w:rsidRPr="00713A5A">
        <w:rPr>
          <w:rFonts w:ascii="Times New Roman" w:hAnsi="Times New Roman"/>
          <w:sz w:val="22"/>
          <w:szCs w:val="22"/>
          <w:u w:val="single"/>
        </w:rPr>
        <w:t>Osobitné skupiny pacientov</w:t>
      </w:r>
    </w:p>
    <w:p w:rsidR="00E45A1E" w:rsidRPr="00B1317A" w:rsidRDefault="00E45A1E">
      <w:pPr>
        <w:rPr>
          <w:rFonts w:ascii="Times New Roman" w:hAnsi="Times New Roman"/>
          <w:b/>
          <w:i/>
          <w:sz w:val="22"/>
          <w:szCs w:val="22"/>
        </w:rPr>
      </w:pPr>
      <w:r w:rsidRPr="00B1317A">
        <w:rPr>
          <w:rFonts w:ascii="Times New Roman" w:hAnsi="Times New Roman"/>
          <w:b/>
          <w:i/>
          <w:sz w:val="22"/>
          <w:szCs w:val="22"/>
        </w:rPr>
        <w:t>Starší pacienti</w:t>
      </w:r>
    </w:p>
    <w:p w:rsidR="00E45A1E" w:rsidRPr="00E45A1E" w:rsidRDefault="00E45A1E" w:rsidP="00E45A1E">
      <w:pPr>
        <w:rPr>
          <w:rFonts w:ascii="Times New Roman" w:hAnsi="Times New Roman"/>
          <w:sz w:val="22"/>
          <w:szCs w:val="22"/>
        </w:rPr>
      </w:pPr>
      <w:r w:rsidRPr="00E45A1E">
        <w:rPr>
          <w:rFonts w:ascii="Times New Roman" w:hAnsi="Times New Roman"/>
          <w:sz w:val="22"/>
          <w:szCs w:val="22"/>
        </w:rPr>
        <w:t>U starších pacientov s</w:t>
      </w:r>
      <w:r w:rsidR="000041E3">
        <w:rPr>
          <w:rFonts w:ascii="Times New Roman" w:hAnsi="Times New Roman"/>
          <w:sz w:val="22"/>
          <w:szCs w:val="22"/>
        </w:rPr>
        <w:t xml:space="preserve"> poruchou</w:t>
      </w:r>
      <w:r w:rsidRPr="00E45A1E">
        <w:rPr>
          <w:rFonts w:ascii="Times New Roman" w:hAnsi="Times New Roman"/>
          <w:sz w:val="22"/>
          <w:szCs w:val="22"/>
        </w:rPr>
        <w:t xml:space="preserve"> funkci</w:t>
      </w:r>
      <w:r w:rsidR="000041E3">
        <w:rPr>
          <w:rFonts w:ascii="Times New Roman" w:hAnsi="Times New Roman"/>
          <w:sz w:val="22"/>
          <w:szCs w:val="22"/>
        </w:rPr>
        <w:t>e</w:t>
      </w:r>
      <w:r w:rsidRPr="00E45A1E">
        <w:rPr>
          <w:rFonts w:ascii="Times New Roman" w:hAnsi="Times New Roman"/>
          <w:sz w:val="22"/>
          <w:szCs w:val="22"/>
        </w:rPr>
        <w:t xml:space="preserve"> obličiek sa odporúča úprava dávkovania (pozri časť „Pacienti s poruchoufunkcie obličiek</w:t>
      </w:r>
      <w:r>
        <w:rPr>
          <w:rFonts w:ascii="Times New Roman" w:hAnsi="Times New Roman"/>
          <w:sz w:val="22"/>
          <w:szCs w:val="22"/>
        </w:rPr>
        <w:t>“</w:t>
      </w:r>
      <w:r w:rsidRPr="00E45A1E">
        <w:rPr>
          <w:rFonts w:ascii="Times New Roman" w:hAnsi="Times New Roman"/>
          <w:sz w:val="22"/>
          <w:szCs w:val="22"/>
        </w:rPr>
        <w:t>). Pri dlhodobej liečbe starších pacientov sa požaduje pravidelné hodnotenie klírens kreatinínu, aby bolo možné podľa potreby upraviť dávkovanie.</w:t>
      </w:r>
    </w:p>
    <w:p w:rsidR="00E45A1E" w:rsidRDefault="00E45A1E">
      <w:pPr>
        <w:rPr>
          <w:rFonts w:ascii="Times New Roman" w:hAnsi="Times New Roman"/>
          <w:sz w:val="22"/>
          <w:szCs w:val="22"/>
          <w:u w:val="single"/>
        </w:rPr>
      </w:pPr>
    </w:p>
    <w:p w:rsidR="009B2771" w:rsidRPr="00B1317A" w:rsidRDefault="006659A2">
      <w:pPr>
        <w:rPr>
          <w:rFonts w:ascii="Times New Roman" w:hAnsi="Times New Roman"/>
          <w:b/>
          <w:i/>
          <w:sz w:val="22"/>
          <w:szCs w:val="22"/>
        </w:rPr>
      </w:pPr>
      <w:r w:rsidRPr="00B1317A">
        <w:rPr>
          <w:rFonts w:ascii="Times New Roman" w:hAnsi="Times New Roman"/>
          <w:b/>
          <w:i/>
          <w:sz w:val="22"/>
          <w:szCs w:val="22"/>
        </w:rPr>
        <w:t>Pacienti s poruchou funkcie pečene</w:t>
      </w:r>
    </w:p>
    <w:p w:rsidR="00E45A1E" w:rsidRPr="004E637D" w:rsidRDefault="009B2771" w:rsidP="00E45A1E">
      <w:pPr>
        <w:rPr>
          <w:sz w:val="22"/>
          <w:szCs w:val="22"/>
        </w:rPr>
      </w:pPr>
      <w:r w:rsidRPr="006923E4">
        <w:rPr>
          <w:rFonts w:ascii="Times New Roman" w:hAnsi="Times New Roman"/>
          <w:sz w:val="22"/>
          <w:szCs w:val="22"/>
        </w:rPr>
        <w:t xml:space="preserve">Piracetam sa nemetabolizuje v pečeni. Preto u pacientov s poruchou funkcie </w:t>
      </w:r>
      <w:r w:rsidR="0085741E">
        <w:rPr>
          <w:rFonts w:ascii="Times New Roman" w:hAnsi="Times New Roman"/>
          <w:sz w:val="22"/>
          <w:szCs w:val="22"/>
        </w:rPr>
        <w:t xml:space="preserve">pečene </w:t>
      </w:r>
      <w:r w:rsidRPr="006923E4">
        <w:rPr>
          <w:rFonts w:ascii="Times New Roman" w:hAnsi="Times New Roman"/>
          <w:sz w:val="22"/>
          <w:szCs w:val="22"/>
        </w:rPr>
        <w:t>sa dávkovanie nemení.</w:t>
      </w:r>
      <w:r w:rsidR="00E45A1E" w:rsidRPr="00E45A1E">
        <w:rPr>
          <w:rFonts w:ascii="Times New Roman" w:hAnsi="Times New Roman"/>
          <w:sz w:val="22"/>
          <w:szCs w:val="22"/>
        </w:rPr>
        <w:t>U pacientov s </w:t>
      </w:r>
      <w:r w:rsidR="0085741E">
        <w:rPr>
          <w:rFonts w:ascii="Times New Roman" w:hAnsi="Times New Roman"/>
          <w:sz w:val="22"/>
          <w:szCs w:val="22"/>
        </w:rPr>
        <w:t>poruchou</w:t>
      </w:r>
      <w:r w:rsidR="00E45A1E" w:rsidRPr="00E45A1E">
        <w:rPr>
          <w:rFonts w:ascii="Times New Roman" w:hAnsi="Times New Roman"/>
          <w:sz w:val="22"/>
          <w:szCs w:val="22"/>
        </w:rPr>
        <w:t xml:space="preserve"> funkcie pečene a obličiek sa odporúča úprava dávky (pozri časť „Pacienti s poruchoufunkcie obličiek“). </w:t>
      </w:r>
    </w:p>
    <w:p w:rsidR="00416E7C" w:rsidRDefault="00416E7C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6659A2" w:rsidRPr="00B1317A" w:rsidRDefault="006659A2">
      <w:pPr>
        <w:rPr>
          <w:rFonts w:ascii="Times New Roman" w:hAnsi="Times New Roman"/>
          <w:b/>
          <w:i/>
          <w:sz w:val="22"/>
          <w:szCs w:val="22"/>
        </w:rPr>
      </w:pPr>
      <w:r w:rsidRPr="00B1317A">
        <w:rPr>
          <w:rFonts w:ascii="Times New Roman" w:hAnsi="Times New Roman"/>
          <w:b/>
          <w:i/>
          <w:sz w:val="22"/>
          <w:szCs w:val="22"/>
        </w:rPr>
        <w:t>Pacienti s poruchou funkcie obličiek</w:t>
      </w:r>
    </w:p>
    <w:p w:rsidR="00E45A1E" w:rsidRDefault="009B2771" w:rsidP="006229B3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sz w:val="22"/>
          <w:szCs w:val="22"/>
        </w:rPr>
        <w:t xml:space="preserve">Keďže sa piracetam vylučuje prevažne renálne, u pacientov s poruchou funkcie obličiek piracetam dosahuje vyššie plazmatické hladiny. </w:t>
      </w:r>
    </w:p>
    <w:p w:rsidR="00E45A1E" w:rsidRPr="00E45A1E" w:rsidRDefault="00E45A1E" w:rsidP="00E45A1E">
      <w:pPr>
        <w:rPr>
          <w:rFonts w:ascii="Times New Roman" w:hAnsi="Times New Roman"/>
          <w:sz w:val="22"/>
          <w:szCs w:val="22"/>
        </w:rPr>
      </w:pPr>
      <w:r w:rsidRPr="00E45A1E">
        <w:rPr>
          <w:rFonts w:ascii="Times New Roman" w:hAnsi="Times New Roman"/>
          <w:sz w:val="22"/>
          <w:szCs w:val="22"/>
        </w:rPr>
        <w:t>Denná dávka sa musí stanoviť individuálne v závislosti od funkcie obličiek. Zohľadnite nasledovnú tabuľku a upravte dávku, podľa uvedeného. Aby ste mohli použiť túto dávkovaciu tabuľku, je potrebné odhadnúť klírens kreatinínu (CLcr) v ml/min. Hodnotu CL</w:t>
      </w:r>
      <w:r w:rsidRPr="00E45A1E">
        <w:rPr>
          <w:rFonts w:ascii="Times New Roman" w:hAnsi="Times New Roman"/>
          <w:sz w:val="22"/>
          <w:szCs w:val="22"/>
          <w:vertAlign w:val="subscript"/>
        </w:rPr>
        <w:t>cr</w:t>
      </w:r>
      <w:r w:rsidRPr="00E45A1E">
        <w:rPr>
          <w:rFonts w:ascii="Times New Roman" w:hAnsi="Times New Roman"/>
          <w:sz w:val="22"/>
          <w:szCs w:val="22"/>
        </w:rPr>
        <w:t xml:space="preserve"> v ml/min je možné odhadnúť na základe stanovenia sérového kreatinínu (mg/dl) podľa nasledovného vzorca: </w:t>
      </w:r>
    </w:p>
    <w:p w:rsidR="00E45A1E" w:rsidRPr="00E45A1E" w:rsidRDefault="00E45A1E" w:rsidP="00E45A1E">
      <w:pPr>
        <w:ind w:left="284" w:hanging="284"/>
        <w:rPr>
          <w:rFonts w:ascii="Times New Roman" w:hAnsi="Times New Roman"/>
          <w:sz w:val="22"/>
          <w:szCs w:val="22"/>
        </w:rPr>
      </w:pPr>
    </w:p>
    <w:p w:rsidR="00E45A1E" w:rsidRPr="00E45A1E" w:rsidRDefault="00E45A1E" w:rsidP="00E45A1E">
      <w:pPr>
        <w:tabs>
          <w:tab w:val="left" w:pos="993"/>
        </w:tabs>
        <w:ind w:left="284" w:hanging="284"/>
        <w:rPr>
          <w:rFonts w:ascii="Times New Roman" w:hAnsi="Times New Roman"/>
          <w:sz w:val="22"/>
          <w:szCs w:val="22"/>
        </w:rPr>
      </w:pPr>
      <w:r w:rsidRPr="00E45A1E">
        <w:rPr>
          <w:rFonts w:ascii="Times New Roman" w:hAnsi="Times New Roman"/>
          <w:sz w:val="22"/>
          <w:szCs w:val="22"/>
        </w:rPr>
        <w:tab/>
      </w:r>
      <w:r w:rsidRPr="00E45A1E">
        <w:rPr>
          <w:rFonts w:ascii="Times New Roman" w:hAnsi="Times New Roman"/>
          <w:sz w:val="22"/>
          <w:szCs w:val="22"/>
        </w:rPr>
        <w:tab/>
      </w:r>
      <w:r w:rsidRPr="00E45A1E">
        <w:rPr>
          <w:rFonts w:ascii="Times New Roman" w:hAnsi="Times New Roman"/>
          <w:sz w:val="22"/>
          <w:szCs w:val="22"/>
          <w:u w:val="single"/>
        </w:rPr>
        <w:t>[</w:t>
      </w:r>
      <w:r w:rsidRPr="00E45A1E">
        <w:rPr>
          <w:rFonts w:ascii="Times New Roman" w:hAnsi="Times New Roman"/>
          <w:sz w:val="22"/>
          <w:szCs w:val="22"/>
        </w:rPr>
        <w:t>140 – vek (</w:t>
      </w:r>
      <w:r w:rsidRPr="00E45A1E">
        <w:rPr>
          <w:rFonts w:ascii="Times New Roman" w:hAnsi="Times New Roman"/>
          <w:i/>
          <w:sz w:val="22"/>
          <w:szCs w:val="22"/>
        </w:rPr>
        <w:t>roky</w:t>
      </w:r>
      <w:r w:rsidRPr="00E45A1E">
        <w:rPr>
          <w:rFonts w:ascii="Times New Roman" w:hAnsi="Times New Roman"/>
          <w:sz w:val="22"/>
          <w:szCs w:val="22"/>
        </w:rPr>
        <w:t>)] x hmotnosť (</w:t>
      </w:r>
      <w:r w:rsidRPr="00E45A1E">
        <w:rPr>
          <w:rFonts w:ascii="Times New Roman" w:hAnsi="Times New Roman"/>
          <w:i/>
          <w:sz w:val="22"/>
          <w:szCs w:val="22"/>
        </w:rPr>
        <w:t>kg</w:t>
      </w:r>
      <w:r w:rsidRPr="00E45A1E">
        <w:rPr>
          <w:rFonts w:ascii="Times New Roman" w:hAnsi="Times New Roman"/>
          <w:sz w:val="22"/>
          <w:szCs w:val="22"/>
        </w:rPr>
        <w:t xml:space="preserve">) </w:t>
      </w:r>
    </w:p>
    <w:p w:rsidR="00E45A1E" w:rsidRPr="00E45A1E" w:rsidRDefault="00E45A1E" w:rsidP="00E45A1E">
      <w:pPr>
        <w:tabs>
          <w:tab w:val="left" w:pos="3969"/>
        </w:tabs>
        <w:ind w:left="284" w:hanging="284"/>
        <w:rPr>
          <w:rFonts w:ascii="Times New Roman" w:hAnsi="Times New Roman"/>
          <w:sz w:val="22"/>
          <w:szCs w:val="22"/>
        </w:rPr>
      </w:pPr>
      <w:r w:rsidRPr="00E45A1E">
        <w:rPr>
          <w:rFonts w:ascii="Times New Roman" w:hAnsi="Times New Roman"/>
          <w:sz w:val="22"/>
          <w:szCs w:val="22"/>
        </w:rPr>
        <w:tab/>
        <w:t>CL</w:t>
      </w:r>
      <w:r w:rsidRPr="00E45A1E">
        <w:rPr>
          <w:rFonts w:ascii="Times New Roman" w:hAnsi="Times New Roman"/>
          <w:sz w:val="22"/>
          <w:szCs w:val="22"/>
          <w:vertAlign w:val="subscript"/>
        </w:rPr>
        <w:t>cr</w:t>
      </w:r>
      <w:r w:rsidRPr="00E45A1E">
        <w:rPr>
          <w:rFonts w:ascii="Times New Roman" w:hAnsi="Times New Roman"/>
          <w:sz w:val="22"/>
          <w:szCs w:val="22"/>
        </w:rPr>
        <w:t xml:space="preserve"> =-----------------------------------------------</w:t>
      </w:r>
      <w:r w:rsidRPr="00E45A1E">
        <w:rPr>
          <w:rFonts w:ascii="Times New Roman" w:hAnsi="Times New Roman"/>
          <w:sz w:val="22"/>
          <w:szCs w:val="22"/>
        </w:rPr>
        <w:tab/>
        <w:t xml:space="preserve">(x 0,85 u žien) </w:t>
      </w:r>
    </w:p>
    <w:p w:rsidR="00E45A1E" w:rsidRPr="00E45A1E" w:rsidRDefault="00E45A1E" w:rsidP="00E45A1E">
      <w:pPr>
        <w:ind w:left="284" w:firstLine="709"/>
        <w:rPr>
          <w:rFonts w:ascii="Times New Roman" w:hAnsi="Times New Roman"/>
          <w:sz w:val="22"/>
          <w:szCs w:val="22"/>
        </w:rPr>
      </w:pPr>
      <w:r w:rsidRPr="00E45A1E">
        <w:rPr>
          <w:rFonts w:ascii="Times New Roman" w:hAnsi="Times New Roman"/>
          <w:sz w:val="22"/>
          <w:szCs w:val="22"/>
        </w:rPr>
        <w:t>72 x sérový kreatinín (</w:t>
      </w:r>
      <w:r w:rsidRPr="00E45A1E">
        <w:rPr>
          <w:rFonts w:ascii="Times New Roman" w:hAnsi="Times New Roman"/>
          <w:i/>
          <w:sz w:val="22"/>
          <w:szCs w:val="22"/>
        </w:rPr>
        <w:t>mg/dl</w:t>
      </w:r>
      <w:r w:rsidRPr="00E45A1E">
        <w:rPr>
          <w:rFonts w:ascii="Times New Roman" w:hAnsi="Times New Roman"/>
          <w:sz w:val="22"/>
          <w:szCs w:val="22"/>
        </w:rPr>
        <w:t xml:space="preserve">) </w:t>
      </w:r>
    </w:p>
    <w:p w:rsidR="00E45A1E" w:rsidRPr="00E45A1E" w:rsidRDefault="00E45A1E" w:rsidP="00E45A1E">
      <w:pPr>
        <w:ind w:left="284" w:hanging="284"/>
        <w:rPr>
          <w:rFonts w:ascii="Times New Roman" w:hAnsi="Times New Roman"/>
          <w:sz w:val="22"/>
          <w:szCs w:val="22"/>
        </w:rPr>
      </w:pPr>
    </w:p>
    <w:tbl>
      <w:tblPr>
        <w:tblW w:w="8606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2693"/>
        <w:gridCol w:w="1985"/>
        <w:gridCol w:w="3928"/>
      </w:tblGrid>
      <w:tr w:rsidR="00E45A1E" w:rsidRPr="00E45A1E" w:rsidTr="0051791E">
        <w:tc>
          <w:tcPr>
            <w:tcW w:w="2693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>Skupina</w:t>
            </w:r>
          </w:p>
        </w:tc>
        <w:tc>
          <w:tcPr>
            <w:tcW w:w="1985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>Klírens kreatinínu (ml/min)</w:t>
            </w:r>
          </w:p>
        </w:tc>
        <w:tc>
          <w:tcPr>
            <w:tcW w:w="3928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>Dávkovanie a frekvencia</w:t>
            </w:r>
          </w:p>
        </w:tc>
      </w:tr>
      <w:tr w:rsidR="00E45A1E" w:rsidRPr="00E45A1E" w:rsidTr="0051791E">
        <w:tc>
          <w:tcPr>
            <w:tcW w:w="2693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>Normálna funkcia</w:t>
            </w:r>
          </w:p>
        </w:tc>
        <w:tc>
          <w:tcPr>
            <w:tcW w:w="1985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&gt; 80</w:t>
            </w:r>
          </w:p>
        </w:tc>
        <w:tc>
          <w:tcPr>
            <w:tcW w:w="3928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 xml:space="preserve">zvyčajná denná dávka rozdelená do 2 až 4 dávok </w:t>
            </w:r>
          </w:p>
        </w:tc>
      </w:tr>
      <w:tr w:rsidR="00E45A1E" w:rsidRPr="00E45A1E" w:rsidTr="0051791E">
        <w:tc>
          <w:tcPr>
            <w:tcW w:w="2693" w:type="dxa"/>
            <w:shd w:val="clear" w:color="auto" w:fill="auto"/>
          </w:tcPr>
          <w:p w:rsidR="00E45A1E" w:rsidRPr="00E45A1E" w:rsidRDefault="000041E3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Mierna</w:t>
            </w:r>
            <w:r w:rsidR="00E45A1E" w:rsidRPr="00E45A1E">
              <w:rPr>
                <w:rFonts w:ascii="Times New Roman" w:hAnsi="Times New Roman"/>
                <w:b/>
                <w:sz w:val="22"/>
                <w:szCs w:val="22"/>
              </w:rPr>
              <w:t xml:space="preserve"> porucha funkcie</w:t>
            </w:r>
          </w:p>
        </w:tc>
        <w:tc>
          <w:tcPr>
            <w:tcW w:w="1985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50-79</w:t>
            </w:r>
          </w:p>
        </w:tc>
        <w:tc>
          <w:tcPr>
            <w:tcW w:w="3928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2/3 zvyčajnej dennej dávky, rozdelené do 2 alebo 3 dávok</w:t>
            </w:r>
          </w:p>
        </w:tc>
      </w:tr>
      <w:tr w:rsidR="00E45A1E" w:rsidRPr="00E45A1E" w:rsidTr="0051791E">
        <w:tc>
          <w:tcPr>
            <w:tcW w:w="2693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>Stredne</w:t>
            </w:r>
            <w:r w:rsidR="00522FD2">
              <w:rPr>
                <w:rFonts w:ascii="Times New Roman" w:hAnsi="Times New Roman"/>
                <w:b/>
                <w:sz w:val="22"/>
                <w:szCs w:val="22"/>
              </w:rPr>
              <w:t xml:space="preserve"> závažná</w:t>
            </w: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 xml:space="preserve"> porucha funkcie</w:t>
            </w:r>
          </w:p>
        </w:tc>
        <w:tc>
          <w:tcPr>
            <w:tcW w:w="1985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30-49</w:t>
            </w:r>
          </w:p>
        </w:tc>
        <w:tc>
          <w:tcPr>
            <w:tcW w:w="3928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 xml:space="preserve">1/3 zvyčajnej dennej dávky, rozdelených do 2 dávok </w:t>
            </w:r>
          </w:p>
        </w:tc>
      </w:tr>
      <w:tr w:rsidR="00E45A1E" w:rsidRPr="00E45A1E" w:rsidTr="0051791E">
        <w:tc>
          <w:tcPr>
            <w:tcW w:w="2693" w:type="dxa"/>
            <w:shd w:val="clear" w:color="auto" w:fill="auto"/>
          </w:tcPr>
          <w:p w:rsidR="00E45A1E" w:rsidRPr="00E45A1E" w:rsidRDefault="00522FD2" w:rsidP="00B1317A">
            <w:pPr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Závažná</w:t>
            </w:r>
            <w:r w:rsidR="00E45A1E" w:rsidRPr="00E45A1E">
              <w:rPr>
                <w:rFonts w:ascii="Times New Roman" w:hAnsi="Times New Roman"/>
                <w:b/>
                <w:sz w:val="22"/>
                <w:szCs w:val="22"/>
              </w:rPr>
              <w:t xml:space="preserve"> porucha funkcie</w:t>
            </w:r>
          </w:p>
        </w:tc>
        <w:tc>
          <w:tcPr>
            <w:tcW w:w="1985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&lt;30</w:t>
            </w:r>
          </w:p>
        </w:tc>
        <w:tc>
          <w:tcPr>
            <w:tcW w:w="3928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1/6 zvyčajnej dennej dávky, jednorazovo</w:t>
            </w:r>
          </w:p>
        </w:tc>
      </w:tr>
      <w:tr w:rsidR="00E45A1E" w:rsidRPr="00E45A1E" w:rsidTr="0051791E">
        <w:tc>
          <w:tcPr>
            <w:tcW w:w="2693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34"/>
              <w:rPr>
                <w:rFonts w:ascii="Times New Roman" w:hAnsi="Times New Roman"/>
                <w:b/>
                <w:sz w:val="22"/>
                <w:szCs w:val="22"/>
              </w:rPr>
            </w:pP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>Konečné štádi</w:t>
            </w:r>
            <w:r w:rsidR="000041E3">
              <w:rPr>
                <w:rFonts w:ascii="Times New Roman" w:hAnsi="Times New Roman"/>
                <w:b/>
                <w:sz w:val="22"/>
                <w:szCs w:val="22"/>
              </w:rPr>
              <w:t>um</w:t>
            </w:r>
            <w:r w:rsidRPr="00E45A1E">
              <w:rPr>
                <w:rFonts w:ascii="Times New Roman" w:hAnsi="Times New Roman"/>
                <w:b/>
                <w:sz w:val="22"/>
                <w:szCs w:val="22"/>
              </w:rPr>
              <w:t xml:space="preserve"> ochorenia obličiek</w:t>
            </w:r>
          </w:p>
        </w:tc>
        <w:tc>
          <w:tcPr>
            <w:tcW w:w="1985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ind w:left="284" w:hanging="284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3928" w:type="dxa"/>
            <w:shd w:val="clear" w:color="auto" w:fill="auto"/>
          </w:tcPr>
          <w:p w:rsidR="00E45A1E" w:rsidRPr="00E45A1E" w:rsidRDefault="00E45A1E" w:rsidP="0051791E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45A1E">
              <w:rPr>
                <w:rFonts w:ascii="Times New Roman" w:hAnsi="Times New Roman"/>
                <w:sz w:val="22"/>
                <w:szCs w:val="22"/>
              </w:rPr>
              <w:t>kontraindikované</w:t>
            </w:r>
          </w:p>
        </w:tc>
      </w:tr>
    </w:tbl>
    <w:p w:rsidR="00E45A1E" w:rsidRPr="00E45A1E" w:rsidRDefault="00E45A1E" w:rsidP="00E45A1E">
      <w:pPr>
        <w:rPr>
          <w:rFonts w:ascii="Times New Roman" w:hAnsi="Times New Roman"/>
          <w:sz w:val="22"/>
          <w:szCs w:val="22"/>
        </w:rPr>
      </w:pPr>
    </w:p>
    <w:p w:rsidR="00642C1A" w:rsidRPr="00B1317A" w:rsidRDefault="00642C1A" w:rsidP="00642C1A">
      <w:pPr>
        <w:ind w:left="284" w:hanging="284"/>
        <w:rPr>
          <w:rFonts w:ascii="Times New Roman" w:hAnsi="Times New Roman"/>
          <w:i/>
          <w:sz w:val="22"/>
          <w:szCs w:val="22"/>
        </w:rPr>
      </w:pPr>
      <w:r w:rsidRPr="00B1317A">
        <w:rPr>
          <w:rFonts w:ascii="Times New Roman" w:hAnsi="Times New Roman"/>
          <w:i/>
          <w:sz w:val="22"/>
          <w:szCs w:val="22"/>
        </w:rPr>
        <w:t>Pediatrická populácia</w:t>
      </w:r>
    </w:p>
    <w:p w:rsidR="00642C1A" w:rsidRPr="00B1317A" w:rsidRDefault="00642C1A" w:rsidP="00642C1A">
      <w:pPr>
        <w:ind w:left="284" w:hanging="284"/>
        <w:rPr>
          <w:rFonts w:ascii="Times New Roman" w:hAnsi="Times New Roman"/>
          <w:b/>
          <w:i/>
          <w:sz w:val="22"/>
          <w:szCs w:val="22"/>
        </w:rPr>
      </w:pPr>
      <w:r w:rsidRPr="00B1317A">
        <w:rPr>
          <w:rFonts w:ascii="Times New Roman" w:hAnsi="Times New Roman"/>
          <w:b/>
          <w:i/>
          <w:sz w:val="22"/>
          <w:szCs w:val="22"/>
        </w:rPr>
        <w:t xml:space="preserve">Liečba dyslexie v kombinácii s logopédiou </w:t>
      </w:r>
    </w:p>
    <w:p w:rsidR="00642C1A" w:rsidRPr="00B1317A" w:rsidRDefault="00642C1A" w:rsidP="00642C1A">
      <w:pPr>
        <w:rPr>
          <w:rFonts w:ascii="Times New Roman" w:hAnsi="Times New Roman"/>
          <w:sz w:val="22"/>
          <w:szCs w:val="22"/>
        </w:rPr>
      </w:pPr>
      <w:r w:rsidRPr="00B1317A">
        <w:rPr>
          <w:rFonts w:ascii="Times New Roman" w:hAnsi="Times New Roman"/>
          <w:sz w:val="22"/>
          <w:szCs w:val="22"/>
        </w:rPr>
        <w:t xml:space="preserve">U detí od 8 rokov a dospievajúcich je odporúčaná denná dávka do 3,2 g, rozdelená do dvoch čiastkových dávok. </w:t>
      </w:r>
    </w:p>
    <w:p w:rsidR="00642C1A" w:rsidRPr="00B1317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B1317A" w:rsidRDefault="00642C1A" w:rsidP="00642C1A">
      <w:pPr>
        <w:ind w:left="284" w:hanging="284"/>
        <w:rPr>
          <w:rFonts w:ascii="Times New Roman" w:hAnsi="Times New Roman"/>
          <w:sz w:val="22"/>
          <w:szCs w:val="22"/>
        </w:rPr>
      </w:pPr>
      <w:r w:rsidRPr="00B1317A">
        <w:rPr>
          <w:rFonts w:ascii="Times New Roman" w:hAnsi="Times New Roman"/>
          <w:b/>
          <w:i/>
          <w:sz w:val="22"/>
          <w:szCs w:val="22"/>
        </w:rPr>
        <w:t>Na profylaxiu a remisiu vazookluzívnej krízy pri kosáčikovitej anémii</w:t>
      </w:r>
    </w:p>
    <w:p w:rsidR="00642C1A" w:rsidRPr="00B1317A" w:rsidRDefault="00642C1A" w:rsidP="00642C1A">
      <w:pPr>
        <w:rPr>
          <w:rFonts w:ascii="Times New Roman" w:hAnsi="Times New Roman"/>
          <w:sz w:val="22"/>
          <w:szCs w:val="22"/>
        </w:rPr>
      </w:pPr>
      <w:r w:rsidRPr="00B1317A">
        <w:rPr>
          <w:rFonts w:ascii="Times New Roman" w:hAnsi="Times New Roman"/>
          <w:sz w:val="22"/>
          <w:szCs w:val="22"/>
        </w:rPr>
        <w:t>Piracetam sa môže podávať od 3 rokov deťom, ktoré majú kosáčikovitú anémiu v odporúčanej dennej dávke (mg/kg), tzn. 160 mg/kg/deň perorálne na profylaxiu.</w:t>
      </w:r>
    </w:p>
    <w:p w:rsidR="00642C1A" w:rsidRPr="00B1317A" w:rsidRDefault="00642C1A" w:rsidP="00642C1A">
      <w:pPr>
        <w:ind w:left="284" w:hanging="284"/>
        <w:rPr>
          <w:rFonts w:ascii="Times New Roman" w:hAnsi="Times New Roman"/>
          <w:sz w:val="22"/>
          <w:szCs w:val="22"/>
        </w:rPr>
      </w:pPr>
      <w:r w:rsidRPr="00B1317A">
        <w:rPr>
          <w:rFonts w:ascii="Times New Roman" w:hAnsi="Times New Roman"/>
          <w:sz w:val="22"/>
          <w:szCs w:val="22"/>
        </w:rPr>
        <w:lastRenderedPageBreak/>
        <w:t>Dávka nižšia ako 160 mg/kg/deň alebo nepravidelné užívanie môže viesť k relapsu krízy.</w:t>
      </w:r>
    </w:p>
    <w:p w:rsidR="00642C1A" w:rsidRPr="00B1317A" w:rsidRDefault="00642C1A" w:rsidP="00642C1A">
      <w:pPr>
        <w:rPr>
          <w:rFonts w:ascii="Times New Roman" w:hAnsi="Times New Roman"/>
          <w:sz w:val="22"/>
          <w:szCs w:val="22"/>
        </w:rPr>
      </w:pPr>
    </w:p>
    <w:p w:rsidR="00642C1A" w:rsidRPr="00B1317A" w:rsidRDefault="00642C1A" w:rsidP="00642C1A">
      <w:pPr>
        <w:rPr>
          <w:rFonts w:ascii="Times New Roman" w:hAnsi="Times New Roman"/>
          <w:sz w:val="22"/>
          <w:szCs w:val="22"/>
        </w:rPr>
      </w:pPr>
      <w:r w:rsidRPr="00B1317A">
        <w:rPr>
          <w:rFonts w:ascii="Times New Roman" w:hAnsi="Times New Roman"/>
          <w:sz w:val="22"/>
          <w:szCs w:val="22"/>
        </w:rPr>
        <w:t>Piracetam sa podával v obmedzenom počte deťom vo veku 1 až 3 roky.</w:t>
      </w:r>
    </w:p>
    <w:p w:rsidR="0007673B" w:rsidRDefault="0007673B" w:rsidP="006229B3">
      <w:pPr>
        <w:rPr>
          <w:rFonts w:ascii="Times New Roman" w:hAnsi="Times New Roman"/>
          <w:sz w:val="22"/>
          <w:szCs w:val="22"/>
          <w:u w:val="single"/>
        </w:rPr>
      </w:pPr>
    </w:p>
    <w:p w:rsidR="00E45A1E" w:rsidRDefault="00E45A1E" w:rsidP="006229B3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Spôsob podávania</w:t>
      </w:r>
    </w:p>
    <w:p w:rsidR="00E45A1E" w:rsidRPr="00C51999" w:rsidRDefault="00E45A1E" w:rsidP="006229B3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Filmom obalené tablety sa zapíjajú pohárom tekutiny (napr. vody), ideálne je ich užívať spolu s jedlom alebo </w:t>
      </w:r>
      <w:r w:rsidR="00284819">
        <w:rPr>
          <w:rFonts w:ascii="Times New Roman" w:hAnsi="Times New Roman"/>
          <w:sz w:val="22"/>
          <w:szCs w:val="22"/>
        </w:rPr>
        <w:t>bez</w:t>
      </w:r>
      <w:r w:rsidRPr="00C51999">
        <w:rPr>
          <w:rFonts w:ascii="Times New Roman" w:hAnsi="Times New Roman"/>
          <w:sz w:val="22"/>
          <w:szCs w:val="22"/>
        </w:rPr>
        <w:t xml:space="preserve"> jedl</w:t>
      </w:r>
      <w:r w:rsidR="00284819">
        <w:rPr>
          <w:rFonts w:ascii="Times New Roman" w:hAnsi="Times New Roman"/>
          <w:sz w:val="22"/>
          <w:szCs w:val="22"/>
        </w:rPr>
        <w:t>a</w:t>
      </w:r>
      <w:r w:rsidRPr="00C51999">
        <w:rPr>
          <w:rFonts w:ascii="Times New Roman" w:hAnsi="Times New Roman"/>
          <w:sz w:val="22"/>
          <w:szCs w:val="22"/>
        </w:rPr>
        <w:t>.</w:t>
      </w:r>
      <w:r w:rsidR="00780FB9" w:rsidRPr="00780FB9">
        <w:rPr>
          <w:rFonts w:ascii="Times New Roman" w:hAnsi="Times New Roman"/>
          <w:sz w:val="22"/>
          <w:szCs w:val="22"/>
        </w:rPr>
        <w:t>Dennú dávku sa odporúča užívať rozdelenú do dvoch až štyroch čiastkových dávok.</w:t>
      </w:r>
    </w:p>
    <w:p w:rsidR="00E45A1E" w:rsidRDefault="00E45A1E" w:rsidP="006229B3">
      <w:pPr>
        <w:rPr>
          <w:rFonts w:ascii="Times New Roman" w:hAnsi="Times New Roman"/>
          <w:sz w:val="22"/>
          <w:szCs w:val="22"/>
          <w:u w:val="single"/>
        </w:rPr>
      </w:pPr>
    </w:p>
    <w:p w:rsidR="00E45A1E" w:rsidRDefault="00E45A1E" w:rsidP="006229B3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Dĺžka liečby</w:t>
      </w:r>
    </w:p>
    <w:p w:rsidR="00E45A1E" w:rsidRPr="00C51999" w:rsidRDefault="00E45A1E" w:rsidP="006229B3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>Lekár musí individuáln</w:t>
      </w:r>
      <w:r w:rsidR="00284819">
        <w:rPr>
          <w:rFonts w:ascii="Times New Roman" w:hAnsi="Times New Roman"/>
          <w:sz w:val="22"/>
          <w:szCs w:val="22"/>
        </w:rPr>
        <w:t>e</w:t>
      </w:r>
      <w:r w:rsidRPr="00C51999">
        <w:rPr>
          <w:rFonts w:ascii="Times New Roman" w:hAnsi="Times New Roman"/>
          <w:sz w:val="22"/>
          <w:szCs w:val="22"/>
        </w:rPr>
        <w:t xml:space="preserve"> rozhodnúť o dĺžke liečby.</w:t>
      </w:r>
    </w:p>
    <w:p w:rsidR="00E45A1E" w:rsidRDefault="00E45A1E" w:rsidP="006229B3">
      <w:pPr>
        <w:rPr>
          <w:rFonts w:ascii="Times New Roman" w:hAnsi="Times New Roman"/>
          <w:sz w:val="22"/>
          <w:szCs w:val="22"/>
          <w:u w:val="single"/>
        </w:rPr>
      </w:pP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4.3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Kontraindikácie</w:t>
      </w:r>
    </w:p>
    <w:p w:rsidR="006229B3" w:rsidRDefault="006229B3">
      <w:pPr>
        <w:rPr>
          <w:rFonts w:ascii="Times New Roman" w:hAnsi="Times New Roman"/>
          <w:sz w:val="22"/>
          <w:szCs w:val="22"/>
        </w:rPr>
      </w:pPr>
    </w:p>
    <w:p w:rsidR="006229B3" w:rsidRDefault="006229B3" w:rsidP="006229B3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Precitlivenosť na </w:t>
      </w:r>
      <w:r w:rsidR="005F08B7">
        <w:rPr>
          <w:rFonts w:ascii="Times New Roman" w:hAnsi="Times New Roman"/>
          <w:sz w:val="22"/>
          <w:szCs w:val="22"/>
        </w:rPr>
        <w:t>piracetam alebo iné deriváty pyrolidónu</w:t>
      </w:r>
      <w:r>
        <w:rPr>
          <w:rFonts w:ascii="Times New Roman" w:hAnsi="Times New Roman"/>
          <w:sz w:val="22"/>
          <w:szCs w:val="22"/>
        </w:rPr>
        <w:t xml:space="preserve"> alebo na ktorúkoľvek z pomocných látok uvedených v časti 6</w:t>
      </w:r>
      <w:r w:rsidR="0085741E">
        <w:rPr>
          <w:rFonts w:ascii="Times New Roman" w:hAnsi="Times New Roman"/>
          <w:sz w:val="22"/>
          <w:szCs w:val="22"/>
        </w:rPr>
        <w:t>.1</w:t>
      </w:r>
    </w:p>
    <w:p w:rsidR="0007673B" w:rsidRPr="006923E4" w:rsidRDefault="00C51999" w:rsidP="0007673B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Pacienti s krvácaním do mozgu. </w:t>
      </w:r>
    </w:p>
    <w:p w:rsidR="0007673B" w:rsidRPr="006923E4" w:rsidRDefault="00C51999" w:rsidP="0007673B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Pacienti </w:t>
      </w:r>
      <w:r w:rsidR="0085741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konečn</w:t>
      </w:r>
      <w:r w:rsidR="0085741E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m štádi</w:t>
      </w:r>
      <w:r w:rsidR="0085741E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ochorenia obličiek. </w:t>
      </w:r>
    </w:p>
    <w:p w:rsidR="0007673B" w:rsidRPr="006923E4" w:rsidRDefault="00C51999" w:rsidP="0007673B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Pacienti s Huntingtonovou chorobou.</w:t>
      </w:r>
      <w:r w:rsidR="0007673B" w:rsidRPr="006923E4">
        <w:rPr>
          <w:rFonts w:ascii="Times New Roman" w:hAnsi="Times New Roman"/>
          <w:sz w:val="22"/>
          <w:szCs w:val="22"/>
        </w:rPr>
        <w:t>.</w:t>
      </w: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4.4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="006229B3">
        <w:rPr>
          <w:rFonts w:ascii="Times New Roman" w:hAnsi="Times New Roman"/>
          <w:b/>
          <w:bCs/>
          <w:sz w:val="22"/>
          <w:szCs w:val="22"/>
        </w:rPr>
        <w:t>Osobitné</w:t>
      </w:r>
      <w:r w:rsidRPr="006923E4">
        <w:rPr>
          <w:rFonts w:ascii="Times New Roman" w:hAnsi="Times New Roman"/>
          <w:b/>
          <w:bCs/>
          <w:sz w:val="22"/>
          <w:szCs w:val="22"/>
        </w:rPr>
        <w:t xml:space="preserve"> upozornenia</w:t>
      </w:r>
      <w:r w:rsidR="006229B3">
        <w:rPr>
          <w:rFonts w:ascii="Times New Roman" w:hAnsi="Times New Roman"/>
          <w:b/>
          <w:bCs/>
          <w:sz w:val="22"/>
          <w:szCs w:val="22"/>
        </w:rPr>
        <w:t xml:space="preserve"> a opatrenia pri používaní</w:t>
      </w:r>
    </w:p>
    <w:p w:rsidR="0007673B" w:rsidRDefault="0007673B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 xml:space="preserve">Účinky na agregáciu </w:t>
      </w:r>
      <w:r w:rsidR="00E54ACA">
        <w:rPr>
          <w:rFonts w:ascii="Times New Roman" w:hAnsi="Times New Roman"/>
          <w:sz w:val="22"/>
          <w:szCs w:val="22"/>
          <w:u w:val="single"/>
        </w:rPr>
        <w:t xml:space="preserve">krvných </w:t>
      </w:r>
      <w:r w:rsidRPr="00C51999">
        <w:rPr>
          <w:rFonts w:ascii="Times New Roman" w:hAnsi="Times New Roman"/>
          <w:sz w:val="22"/>
          <w:szCs w:val="22"/>
          <w:u w:val="single"/>
        </w:rPr>
        <w:t>doštičiek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>V dôsledku účinku piracetamu na agregáciu doštičiek sa odporúča opatrnosť u pacientov s</w:t>
      </w:r>
      <w:r w:rsidR="00E54ACA">
        <w:rPr>
          <w:rFonts w:ascii="Times New Roman" w:hAnsi="Times New Roman"/>
          <w:sz w:val="22"/>
          <w:szCs w:val="22"/>
        </w:rPr>
        <w:t>o</w:t>
      </w:r>
      <w:r w:rsidRPr="00C51999">
        <w:rPr>
          <w:rFonts w:ascii="Times New Roman" w:hAnsi="Times New Roman"/>
          <w:sz w:val="22"/>
          <w:szCs w:val="22"/>
        </w:rPr>
        <w:t> </w:t>
      </w:r>
      <w:r w:rsidR="00E54ACA">
        <w:rPr>
          <w:rFonts w:ascii="Times New Roman" w:hAnsi="Times New Roman"/>
          <w:sz w:val="22"/>
          <w:szCs w:val="22"/>
        </w:rPr>
        <w:t>závažným</w:t>
      </w:r>
      <w:r w:rsidRPr="00C51999">
        <w:rPr>
          <w:rFonts w:ascii="Times New Roman" w:hAnsi="Times New Roman"/>
          <w:sz w:val="22"/>
          <w:szCs w:val="22"/>
        </w:rPr>
        <w:t xml:space="preserve"> krvácaním, u pacientov s rizikom krvácania, ako sú gastrointestinálne vredy, u pacientov s poruchami krvnej zrážavosti, u pacientov s hemoragickou </w:t>
      </w:r>
      <w:r w:rsidRPr="00C51999">
        <w:rPr>
          <w:rStyle w:val="Zvraznenie"/>
          <w:rFonts w:ascii="Times New Roman" w:hAnsi="Times New Roman"/>
          <w:b w:val="0"/>
          <w:sz w:val="22"/>
          <w:szCs w:val="22"/>
        </w:rPr>
        <w:t>mozgovocievnou príhodou (</w:t>
      </w:r>
      <w:r w:rsidRPr="00C51999">
        <w:rPr>
          <w:rFonts w:ascii="Times New Roman" w:hAnsi="Times New Roman"/>
          <w:sz w:val="22"/>
          <w:szCs w:val="22"/>
        </w:rPr>
        <w:t>CVA) v anamnéze, u pacientov podstupujúcich významný chirurgický výkon vrátane dentálnych chirurgických výkonov a u pacientov, ktorí užívajú antikoagulanciá alebo antiagreganciá, vrátane nízkych dávok kyseliny acetylsalicylovej.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>Renálna insuficiencia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Piracetam sa vylučuje obličkami, a preto je potrebná opatrnosť v prípadoch obličkovej nedostatočnosti (pozri časť 4.2).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>Starší pacienti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>Pri dlhodobom podávaní piracetamu starším pacientom je nevyhnutné pravidelne vyhodnocovať klírens kreatinínu a v prípade potreby upraviť dávkovanie (pozri časť 4.2).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>Prerušenie liečby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U pacientov s myoklóniou je potrebné sa vyhnúť náhlemu prerušeniu liečby, pretože to môže vyvolať náhly relaps alebo záchvaty kŕčov spôsobené vysadením lieku.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E54ACA" w:rsidP="00C51999">
      <w:pPr>
        <w:rPr>
          <w:rFonts w:ascii="Times New Roman" w:hAnsi="Times New Roman"/>
          <w:sz w:val="22"/>
          <w:szCs w:val="22"/>
          <w:u w:val="single"/>
        </w:rPr>
      </w:pPr>
      <w:r w:rsidRPr="00E54ACA">
        <w:rPr>
          <w:rFonts w:ascii="Times New Roman" w:hAnsi="Times New Roman"/>
          <w:sz w:val="22"/>
          <w:szCs w:val="22"/>
          <w:u w:val="single"/>
        </w:rPr>
        <w:t xml:space="preserve">Profylaxia a remisia vazookluzívnej krízy </w:t>
      </w:r>
      <w:r>
        <w:rPr>
          <w:rFonts w:ascii="Times New Roman" w:hAnsi="Times New Roman"/>
          <w:sz w:val="22"/>
          <w:szCs w:val="22"/>
          <w:u w:val="single"/>
        </w:rPr>
        <w:t>k</w:t>
      </w:r>
      <w:r w:rsidR="00C51999" w:rsidRPr="00C51999">
        <w:rPr>
          <w:rFonts w:ascii="Times New Roman" w:hAnsi="Times New Roman"/>
          <w:sz w:val="22"/>
          <w:szCs w:val="22"/>
          <w:u w:val="single"/>
        </w:rPr>
        <w:t>osáčikovit</w:t>
      </w:r>
      <w:r>
        <w:rPr>
          <w:rFonts w:ascii="Times New Roman" w:hAnsi="Times New Roman"/>
          <w:sz w:val="22"/>
          <w:szCs w:val="22"/>
          <w:u w:val="single"/>
        </w:rPr>
        <w:t>ej</w:t>
      </w:r>
      <w:r w:rsidR="00C51999" w:rsidRPr="00C51999">
        <w:rPr>
          <w:rFonts w:ascii="Times New Roman" w:hAnsi="Times New Roman"/>
          <w:sz w:val="22"/>
          <w:szCs w:val="22"/>
          <w:u w:val="single"/>
        </w:rPr>
        <w:t xml:space="preserve"> anémi</w:t>
      </w:r>
      <w:r>
        <w:rPr>
          <w:rFonts w:ascii="Times New Roman" w:hAnsi="Times New Roman"/>
          <w:sz w:val="22"/>
          <w:szCs w:val="22"/>
          <w:u w:val="single"/>
        </w:rPr>
        <w:t>e</w:t>
      </w:r>
    </w:p>
    <w:p w:rsidR="00C51999" w:rsidRPr="00C51999" w:rsidRDefault="00E54ACA" w:rsidP="00C51999">
      <w:pPr>
        <w:rPr>
          <w:rFonts w:ascii="Times New Roman" w:hAnsi="Times New Roman"/>
          <w:sz w:val="22"/>
          <w:szCs w:val="22"/>
        </w:rPr>
      </w:pPr>
      <w:r w:rsidRPr="00E54ACA">
        <w:rPr>
          <w:rFonts w:ascii="Times New Roman" w:hAnsi="Times New Roman"/>
          <w:sz w:val="22"/>
          <w:szCs w:val="22"/>
        </w:rPr>
        <w:t>Pri profylaxii a remisii vazookluzívnej krízy</w:t>
      </w:r>
      <w:r w:rsidR="00C51999" w:rsidRPr="00C51999">
        <w:rPr>
          <w:rFonts w:ascii="Times New Roman" w:hAnsi="Times New Roman"/>
          <w:sz w:val="22"/>
          <w:szCs w:val="22"/>
        </w:rPr>
        <w:t>kosáčikovit</w:t>
      </w:r>
      <w:r w:rsidR="006D1FDA">
        <w:rPr>
          <w:rFonts w:ascii="Times New Roman" w:hAnsi="Times New Roman"/>
          <w:sz w:val="22"/>
          <w:szCs w:val="22"/>
        </w:rPr>
        <w:t>ej</w:t>
      </w:r>
      <w:r w:rsidR="00C51999" w:rsidRPr="00C51999">
        <w:rPr>
          <w:rFonts w:ascii="Times New Roman" w:hAnsi="Times New Roman"/>
          <w:sz w:val="22"/>
          <w:szCs w:val="22"/>
        </w:rPr>
        <w:t xml:space="preserve"> anémi</w:t>
      </w:r>
      <w:r w:rsidR="006D1FDA">
        <w:rPr>
          <w:rFonts w:ascii="Times New Roman" w:hAnsi="Times New Roman"/>
          <w:sz w:val="22"/>
          <w:szCs w:val="22"/>
        </w:rPr>
        <w:t>e</w:t>
      </w:r>
      <w:r w:rsidR="00C51999" w:rsidRPr="00C51999">
        <w:rPr>
          <w:rFonts w:ascii="Times New Roman" w:hAnsi="Times New Roman"/>
          <w:sz w:val="22"/>
          <w:szCs w:val="22"/>
        </w:rPr>
        <w:t xml:space="preserve"> môže viesť podávanie dávky nižšej ako 160 mg/kg/deň alebo nepravidelné podávanie k relapsu kríz</w:t>
      </w:r>
      <w:r>
        <w:rPr>
          <w:rFonts w:ascii="Times New Roman" w:hAnsi="Times New Roman"/>
          <w:sz w:val="22"/>
          <w:szCs w:val="22"/>
        </w:rPr>
        <w:t>y</w:t>
      </w:r>
      <w:r w:rsidR="00C51999" w:rsidRPr="00C51999">
        <w:rPr>
          <w:rFonts w:ascii="Times New Roman" w:hAnsi="Times New Roman"/>
          <w:sz w:val="22"/>
          <w:szCs w:val="22"/>
        </w:rPr>
        <w:t>.</w:t>
      </w:r>
    </w:p>
    <w:p w:rsidR="00E5292F" w:rsidRDefault="00E5292F">
      <w:pPr>
        <w:rPr>
          <w:rFonts w:ascii="Times New Roman" w:hAnsi="Times New Roman"/>
          <w:sz w:val="22"/>
          <w:szCs w:val="22"/>
        </w:rPr>
      </w:pPr>
    </w:p>
    <w:p w:rsidR="00E5292F" w:rsidRDefault="00E5292F" w:rsidP="00E5292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Pomocná látka</w:t>
      </w:r>
    </w:p>
    <w:p w:rsidR="00E5292F" w:rsidRPr="00731F29" w:rsidRDefault="00E5292F" w:rsidP="00E5292F">
      <w:pPr>
        <w:rPr>
          <w:rFonts w:ascii="Times New Roman" w:hAnsi="Times New Roman"/>
          <w:sz w:val="22"/>
          <w:szCs w:val="22"/>
        </w:rPr>
      </w:pPr>
      <w:r w:rsidRPr="00731F29">
        <w:rPr>
          <w:rFonts w:ascii="Times New Roman" w:hAnsi="Times New Roman"/>
          <w:sz w:val="22"/>
          <w:szCs w:val="22"/>
        </w:rPr>
        <w:t xml:space="preserve">Tento liek obsahuje menej ako 1 mmol sodíka (23 mg) v </w:t>
      </w:r>
      <w:r>
        <w:rPr>
          <w:rFonts w:ascii="Times New Roman" w:hAnsi="Times New Roman"/>
          <w:sz w:val="22"/>
          <w:szCs w:val="22"/>
        </w:rPr>
        <w:t>tablete</w:t>
      </w:r>
      <w:r w:rsidRPr="00731F29">
        <w:rPr>
          <w:rFonts w:ascii="Times New Roman" w:hAnsi="Times New Roman"/>
          <w:sz w:val="22"/>
          <w:szCs w:val="22"/>
        </w:rPr>
        <w:t xml:space="preserve">, t.j. v podstate zanedbateľné množstvo </w:t>
      </w:r>
    </w:p>
    <w:p w:rsidR="00E5292F" w:rsidRPr="00731F29" w:rsidRDefault="00E5292F" w:rsidP="00E5292F">
      <w:pPr>
        <w:rPr>
          <w:rFonts w:ascii="Times New Roman" w:hAnsi="Times New Roman"/>
          <w:sz w:val="22"/>
          <w:szCs w:val="22"/>
        </w:rPr>
      </w:pPr>
      <w:r w:rsidRPr="00731F29">
        <w:rPr>
          <w:rFonts w:ascii="Times New Roman" w:hAnsi="Times New Roman"/>
          <w:sz w:val="22"/>
          <w:szCs w:val="22"/>
        </w:rPr>
        <w:t>sodíka.</w:t>
      </w:r>
    </w:p>
    <w:p w:rsidR="006229B3" w:rsidRPr="006923E4" w:rsidRDefault="006229B3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4.5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Liekové a iné interakcie</w:t>
      </w:r>
    </w:p>
    <w:p w:rsidR="006229B3" w:rsidRDefault="006229B3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>Farmakokinetické interakcie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Predpokladá sa, že potenciál interakcie s inými liekmi vedúci k zmenám vo farmakokinetike piracetamu je nízky, pretože približne 90 % dávky piracetamu sa vylučuje do moču v nezmenenej forme.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i/>
          <w:sz w:val="22"/>
          <w:szCs w:val="22"/>
        </w:rPr>
        <w:lastRenderedPageBreak/>
        <w:t>In vitro</w:t>
      </w:r>
      <w:r w:rsidRPr="00C51999">
        <w:rPr>
          <w:rFonts w:ascii="Times New Roman" w:hAnsi="Times New Roman"/>
          <w:sz w:val="22"/>
          <w:szCs w:val="22"/>
        </w:rPr>
        <w:t xml:space="preserve"> piracetam neinhibuje </w:t>
      </w:r>
      <w:bookmarkStart w:id="1" w:name="OLE_LINK6"/>
      <w:bookmarkStart w:id="2" w:name="OLE_LINK7"/>
      <w:r w:rsidRPr="00C51999">
        <w:rPr>
          <w:rFonts w:ascii="Times New Roman" w:hAnsi="Times New Roman"/>
          <w:sz w:val="22"/>
          <w:szCs w:val="22"/>
        </w:rPr>
        <w:t>izoenzýmy</w:t>
      </w:r>
      <w:bookmarkEnd w:id="1"/>
      <w:bookmarkEnd w:id="2"/>
      <w:r w:rsidRPr="00C51999">
        <w:rPr>
          <w:rFonts w:ascii="Times New Roman" w:hAnsi="Times New Roman"/>
          <w:sz w:val="22"/>
          <w:szCs w:val="22"/>
        </w:rPr>
        <w:t xml:space="preserve"> CYP 1A2, 2B6, 2C8, 2C9, 2C19, 2D6, 2E1 a 4A9/11 ľudského pečeňového cytochrómu P450 pri koncentráciách 142, 426 a 1422 µg/ml.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Pri koncentrácii 1422 µg/ml sa pozorovali mierne inhibičné účinky na CYP 2A6 (21 %) a 3A4/5 (11 %). Hodnoty inhibičných konštánt Ki pre inhibíciu týchto dvoch izoenzýmovCYP sú však značne vyššie ako 1422 µg/ml. Metabolická interakcia piracetamu s inými liekmi je preto nepravdepodobná.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>Hormóny štítnej žľazy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>Zmätenosť, podráždenosť a poruchy spánku sa vyskytli po sú</w:t>
      </w:r>
      <w:r w:rsidR="006D1FDA">
        <w:rPr>
          <w:rFonts w:ascii="Times New Roman" w:hAnsi="Times New Roman"/>
          <w:sz w:val="22"/>
          <w:szCs w:val="22"/>
        </w:rPr>
        <w:t>bež</w:t>
      </w:r>
      <w:r w:rsidRPr="00C51999">
        <w:rPr>
          <w:rFonts w:ascii="Times New Roman" w:hAnsi="Times New Roman"/>
          <w:sz w:val="22"/>
          <w:szCs w:val="22"/>
        </w:rPr>
        <w:t xml:space="preserve">nom podávaní piracetamu a extraktu štítnej žľazy (T3 + T4).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>Acenokumarol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>V publikovanej jednoducho zaslepenej štúdii s pacientmi s</w:t>
      </w:r>
      <w:r w:rsidR="00522FD2">
        <w:rPr>
          <w:rFonts w:ascii="Times New Roman" w:hAnsi="Times New Roman"/>
          <w:sz w:val="22"/>
          <w:szCs w:val="22"/>
        </w:rPr>
        <w:t>o závažnou</w:t>
      </w:r>
      <w:r w:rsidRPr="00C51999">
        <w:rPr>
          <w:rFonts w:ascii="Times New Roman" w:hAnsi="Times New Roman"/>
          <w:sz w:val="22"/>
          <w:szCs w:val="22"/>
        </w:rPr>
        <w:t xml:space="preserve"> rekurentnou venóznou trombózou piracetam v dávke 9,6 g denne neovplyvnil výšku dávok acenokumarolu nevyhnutnú na dosiahnutie INR 2,5 až 3,5, no v porovnaní s účinkami samotného acenokumarolu sú</w:t>
      </w:r>
      <w:r w:rsidR="00522FD2">
        <w:rPr>
          <w:rFonts w:ascii="Times New Roman" w:hAnsi="Times New Roman"/>
          <w:sz w:val="22"/>
          <w:szCs w:val="22"/>
        </w:rPr>
        <w:t>bež</w:t>
      </w:r>
      <w:r w:rsidRPr="00C51999">
        <w:rPr>
          <w:rFonts w:ascii="Times New Roman" w:hAnsi="Times New Roman"/>
          <w:sz w:val="22"/>
          <w:szCs w:val="22"/>
        </w:rPr>
        <w:t xml:space="preserve">né podávanie piracetamu v dávke 9,6 g/deň znížilo štatisticky významne agregáciu doštičiek, uvoľňovanie beta-tromboglobulínu aj hladiny fibrinogénu a von Willebrandových faktorov (VIII : C; VIII : vW : Ag; VIII : vW : RCo) ako aj viskozitu krvi a krvnej plazmy.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 xml:space="preserve">Antiepileptiká 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 xml:space="preserve">Podávanie piracetamu v dávke </w:t>
      </w:r>
      <w:smartTag w:uri="urn:schemas-microsoft-com:office:smarttags" w:element="metricconverter">
        <w:smartTagPr>
          <w:attr w:name="ProductID" w:val="20ﾠg"/>
        </w:smartTagPr>
        <w:r w:rsidRPr="00C51999">
          <w:rPr>
            <w:rFonts w:ascii="Times New Roman" w:hAnsi="Times New Roman"/>
            <w:sz w:val="22"/>
            <w:szCs w:val="22"/>
          </w:rPr>
          <w:t>20 g</w:t>
        </w:r>
      </w:smartTag>
      <w:r w:rsidRPr="00C51999">
        <w:rPr>
          <w:rFonts w:ascii="Times New Roman" w:hAnsi="Times New Roman"/>
          <w:sz w:val="22"/>
          <w:szCs w:val="22"/>
        </w:rPr>
        <w:t xml:space="preserve"> denne počas 4 týždňov nezmenilo najvyššiu a najnižšiu hladinu antiepileptík (karbamazepínu, fenytoínu, fenobarbitalu, valproátu) v sére u pacientov s epilepsiou, ktorí dostávali stabilné dávky.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  <w:u w:val="single"/>
        </w:rPr>
      </w:pPr>
      <w:r w:rsidRPr="00C51999">
        <w:rPr>
          <w:rFonts w:ascii="Times New Roman" w:hAnsi="Times New Roman"/>
          <w:sz w:val="22"/>
          <w:szCs w:val="22"/>
          <w:u w:val="single"/>
        </w:rPr>
        <w:t>Alkohol</w:t>
      </w:r>
    </w:p>
    <w:p w:rsidR="00C51999" w:rsidRPr="00C51999" w:rsidRDefault="00C51999" w:rsidP="00C51999">
      <w:pPr>
        <w:rPr>
          <w:rFonts w:ascii="Times New Roman" w:hAnsi="Times New Roman"/>
          <w:sz w:val="22"/>
          <w:szCs w:val="22"/>
        </w:rPr>
      </w:pPr>
      <w:r w:rsidRPr="00C51999">
        <w:rPr>
          <w:rFonts w:ascii="Times New Roman" w:hAnsi="Times New Roman"/>
          <w:sz w:val="22"/>
          <w:szCs w:val="22"/>
        </w:rPr>
        <w:t>Súčasné podávanie alkoholu nemalo žiadny vplyv na hladinu piracetamu v sére a hladina alkoholu sa pri perorálnom podaní 1,6 g piracetamu nezmenila.</w:t>
      </w: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 xml:space="preserve">4.6 </w:t>
      </w:r>
      <w:r w:rsidR="006659A2">
        <w:rPr>
          <w:rFonts w:ascii="Times New Roman" w:hAnsi="Times New Roman"/>
          <w:b/>
          <w:bCs/>
          <w:sz w:val="22"/>
          <w:szCs w:val="22"/>
        </w:rPr>
        <w:tab/>
        <w:t>Fertilita, gravidita, laktácia</w:t>
      </w:r>
    </w:p>
    <w:p w:rsidR="0007673B" w:rsidRDefault="0007673B">
      <w:pPr>
        <w:rPr>
          <w:rFonts w:ascii="Times New Roman" w:hAnsi="Times New Roman"/>
          <w:sz w:val="22"/>
          <w:szCs w:val="22"/>
        </w:rPr>
      </w:pP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  <w:u w:val="single"/>
        </w:rPr>
      </w:pPr>
      <w:r w:rsidRPr="002E6FD6">
        <w:rPr>
          <w:rFonts w:ascii="Times New Roman" w:hAnsi="Times New Roman"/>
          <w:sz w:val="22"/>
          <w:szCs w:val="22"/>
          <w:u w:val="single"/>
        </w:rPr>
        <w:t>Gravidita: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>Nie sú k dispozícii dostatočné údaje o používaní piracetamu u gravidných žien. Štúdie na zvieratách nepreukázali priame alebo nepriame škodlivé účinky na graviditu</w:t>
      </w:r>
      <w:r w:rsidRPr="002E6FD6">
        <w:rPr>
          <w:rFonts w:ascii="Times New Roman" w:hAnsi="Times New Roman"/>
          <w:b/>
          <w:i/>
          <w:sz w:val="22"/>
          <w:szCs w:val="22"/>
        </w:rPr>
        <w:t xml:space="preserve">, </w:t>
      </w:r>
      <w:r w:rsidRPr="002E6FD6">
        <w:rPr>
          <w:rFonts w:ascii="Times New Roman" w:hAnsi="Times New Roman"/>
          <w:sz w:val="22"/>
          <w:szCs w:val="22"/>
        </w:rPr>
        <w:t xml:space="preserve">embryonálny/fetálny vývoj, pôrod alebo postnatálny vývoj (pozri časť 5.3). 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 xml:space="preserve">Piracetam prechádza placentárnou bariérou. Hodnoty liečiva u novorodenca dosahujú približne 70-90 % hodnôt u matky. Piracetam sa nemá používať počas gravidity pokiaľ to nie je jasne nevyhnutné, ak prínos nepresiahne riziká a ak si klinický stav gravidnej ženy nevyžaduje liečbu piracetamom. 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  <w:u w:val="single"/>
        </w:rPr>
      </w:pPr>
      <w:r w:rsidRPr="002E6FD6">
        <w:rPr>
          <w:rFonts w:ascii="Times New Roman" w:hAnsi="Times New Roman"/>
          <w:sz w:val="22"/>
          <w:szCs w:val="22"/>
        </w:rPr>
        <w:br/>
      </w:r>
      <w:r w:rsidR="006D1FDA">
        <w:rPr>
          <w:rFonts w:ascii="Times New Roman" w:hAnsi="Times New Roman"/>
          <w:sz w:val="22"/>
          <w:szCs w:val="22"/>
          <w:u w:val="single"/>
        </w:rPr>
        <w:t>Dojčenie</w:t>
      </w:r>
    </w:p>
    <w:p w:rsid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 xml:space="preserve">Piracetam sa vylučuje do materského mlieka u ľudí. Preto sa piracetam nemá podávať počas dojčenia alebo sa má dojčenie počas liečby piracetamom prerušiť. </w:t>
      </w:r>
      <w:r w:rsidR="006D1FDA">
        <w:rPr>
          <w:rFonts w:ascii="Times New Roman" w:hAnsi="Times New Roman"/>
          <w:sz w:val="22"/>
          <w:szCs w:val="22"/>
        </w:rPr>
        <w:t xml:space="preserve">Je potrebné </w:t>
      </w:r>
      <w:r w:rsidRPr="002E6FD6">
        <w:rPr>
          <w:rFonts w:ascii="Times New Roman" w:hAnsi="Times New Roman"/>
          <w:sz w:val="22"/>
          <w:szCs w:val="22"/>
        </w:rPr>
        <w:t>rozhodn</w:t>
      </w:r>
      <w:r w:rsidR="006D1FDA">
        <w:rPr>
          <w:rFonts w:ascii="Times New Roman" w:hAnsi="Times New Roman"/>
          <w:sz w:val="22"/>
          <w:szCs w:val="22"/>
        </w:rPr>
        <w:t>úť</w:t>
      </w:r>
      <w:r w:rsidRPr="002E6FD6">
        <w:rPr>
          <w:rFonts w:ascii="Times New Roman" w:hAnsi="Times New Roman"/>
          <w:sz w:val="22"/>
          <w:szCs w:val="22"/>
        </w:rPr>
        <w:t xml:space="preserve"> či prerušiť dojčenie alebo liečbu piracetamom po zohľadnení prínosu dojčenia pre dieťa a prínosu liečby pre matku. </w:t>
      </w:r>
    </w:p>
    <w:p w:rsidR="00026BCB" w:rsidRPr="002E6FD6" w:rsidRDefault="00026BCB" w:rsidP="002E6FD6">
      <w:pPr>
        <w:rPr>
          <w:rFonts w:ascii="Times New Roman" w:hAnsi="Times New Roman"/>
          <w:sz w:val="22"/>
          <w:szCs w:val="22"/>
        </w:rPr>
      </w:pPr>
    </w:p>
    <w:p w:rsidR="00780FB9" w:rsidRPr="00026BCB" w:rsidRDefault="00780FB9" w:rsidP="00780FB9">
      <w:pPr>
        <w:rPr>
          <w:rFonts w:ascii="Times New Roman" w:hAnsi="Times New Roman"/>
          <w:sz w:val="22"/>
          <w:szCs w:val="22"/>
          <w:u w:val="single"/>
        </w:rPr>
      </w:pPr>
      <w:r w:rsidRPr="00026BCB">
        <w:rPr>
          <w:rFonts w:ascii="Times New Roman" w:hAnsi="Times New Roman"/>
          <w:sz w:val="22"/>
          <w:szCs w:val="22"/>
          <w:u w:val="single"/>
        </w:rPr>
        <w:t>Fertilita</w:t>
      </w:r>
    </w:p>
    <w:p w:rsidR="00780FB9" w:rsidRPr="00B1317A" w:rsidRDefault="00780FB9" w:rsidP="00780FB9">
      <w:pPr>
        <w:rPr>
          <w:rFonts w:ascii="Times New Roman" w:hAnsi="Times New Roman"/>
          <w:sz w:val="22"/>
          <w:szCs w:val="22"/>
        </w:rPr>
      </w:pPr>
      <w:r w:rsidRPr="00B1317A">
        <w:rPr>
          <w:rFonts w:ascii="Times New Roman" w:hAnsi="Times New Roman"/>
          <w:sz w:val="22"/>
          <w:szCs w:val="22"/>
        </w:rPr>
        <w:t>Nie sú k dispozícii žiadne klinické údaje o účinku piracetamu na fertilitu. Štúdie na zvieratách naznačujú, že piracetam nemá žiadny vplyv na fertilitu samcov a samíc potkanov.</w:t>
      </w: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4.7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Ovplyvnenie schopnosti viesť vozidlá a obsluhovať stroje</w:t>
      </w:r>
    </w:p>
    <w:p w:rsidR="0007673B" w:rsidRDefault="0007673B">
      <w:pPr>
        <w:rPr>
          <w:rFonts w:ascii="Times New Roman" w:hAnsi="Times New Roman"/>
          <w:sz w:val="22"/>
          <w:szCs w:val="22"/>
        </w:rPr>
      </w:pP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>Vzhľadom na nežiaduce účinky, ktoré sa pozorovali po podaní lieku, nemožno vylúčiť možnosť ovplyvnenia schopnosti viesť vozidlá a obsluhovať stroje a túto skutočnosť je potrebné zohľadniť.</w:t>
      </w: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4.8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Nežiaduce účinky</w:t>
      </w:r>
    </w:p>
    <w:p w:rsidR="006229B3" w:rsidRDefault="006229B3">
      <w:pPr>
        <w:rPr>
          <w:rFonts w:ascii="Times New Roman" w:hAnsi="Times New Roman"/>
          <w:sz w:val="22"/>
          <w:szCs w:val="22"/>
        </w:rPr>
      </w:pPr>
    </w:p>
    <w:p w:rsidR="00780FB9" w:rsidRPr="00B1317A" w:rsidRDefault="00780FB9" w:rsidP="00780FB9">
      <w:pPr>
        <w:rPr>
          <w:rFonts w:ascii="Times New Roman" w:hAnsi="Times New Roman"/>
          <w:sz w:val="22"/>
          <w:szCs w:val="22"/>
          <w:u w:val="single"/>
        </w:rPr>
      </w:pPr>
      <w:r w:rsidRPr="00B1317A">
        <w:rPr>
          <w:rFonts w:ascii="Times New Roman" w:hAnsi="Times New Roman"/>
          <w:sz w:val="22"/>
          <w:szCs w:val="22"/>
          <w:u w:val="single"/>
        </w:rPr>
        <w:t>Klinické štúdie</w:t>
      </w:r>
    </w:p>
    <w:p w:rsidR="00780FB9" w:rsidRPr="00B1317A" w:rsidRDefault="00780FB9" w:rsidP="00780FB9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sz w:val="22"/>
          <w:szCs w:val="22"/>
          <w:u w:val="single"/>
        </w:rPr>
        <w:lastRenderedPageBreak/>
        <w:sym w:font="Symbol" w:char="F0B7"/>
      </w:r>
      <w:r w:rsidRPr="00B1317A">
        <w:rPr>
          <w:rFonts w:ascii="Times New Roman" w:hAnsi="Times New Roman"/>
          <w:i/>
          <w:sz w:val="22"/>
          <w:szCs w:val="22"/>
          <w:u w:val="single"/>
        </w:rPr>
        <w:t>Prehľad</w:t>
      </w:r>
    </w:p>
    <w:p w:rsidR="00780FB9" w:rsidRPr="00B1317A" w:rsidRDefault="00780FB9" w:rsidP="00780FB9">
      <w:pPr>
        <w:rPr>
          <w:rFonts w:ascii="Times New Roman" w:hAnsi="Times New Roman"/>
          <w:sz w:val="22"/>
          <w:szCs w:val="22"/>
        </w:rPr>
      </w:pPr>
      <w:r w:rsidRPr="00B1317A">
        <w:rPr>
          <w:rFonts w:ascii="Times New Roman" w:hAnsi="Times New Roman"/>
          <w:sz w:val="22"/>
          <w:szCs w:val="22"/>
        </w:rPr>
        <w:t xml:space="preserve">Dvojito zaslepené placebom kontrolované klinické alebo farmakoklinické skúšania, z ktorých sú dostupné kvantifikované údaje o bezpečnosti (získané z UCB databanky dokumentov v júni 1997), zahŕňajú viac ako 3000 jedincov užívajúcich piracetam bez ohľadu na indikáciu, liekovú formu, dennú dávku alebo populačné charakteristiky. </w:t>
      </w:r>
    </w:p>
    <w:p w:rsidR="00780FB9" w:rsidRPr="00B1317A" w:rsidRDefault="00780FB9" w:rsidP="00780FB9">
      <w:pPr>
        <w:rPr>
          <w:rFonts w:ascii="Times New Roman" w:hAnsi="Times New Roman"/>
          <w:sz w:val="22"/>
          <w:szCs w:val="22"/>
        </w:rPr>
      </w:pPr>
    </w:p>
    <w:p w:rsidR="00780FB9" w:rsidRPr="00FA186A" w:rsidRDefault="00780FB9" w:rsidP="00780FB9">
      <w:pPr>
        <w:pStyle w:val="CM3"/>
        <w:spacing w:line="240" w:lineRule="auto"/>
        <w:rPr>
          <w:sz w:val="22"/>
          <w:szCs w:val="22"/>
          <w:lang w:val="sk-SK"/>
        </w:rPr>
      </w:pPr>
      <w:r w:rsidRPr="00780FB9">
        <w:rPr>
          <w:sz w:val="22"/>
          <w:szCs w:val="22"/>
          <w:lang w:val="sk-SK"/>
        </w:rPr>
        <w:t>Štatisticky vyšší výskyt nežiadu</w:t>
      </w:r>
      <w:r w:rsidRPr="00FE5C4F">
        <w:rPr>
          <w:sz w:val="22"/>
          <w:szCs w:val="22"/>
          <w:lang w:val="sk-SK"/>
        </w:rPr>
        <w:t>cich</w:t>
      </w:r>
      <w:r w:rsidRPr="00FA186A">
        <w:rPr>
          <w:sz w:val="22"/>
          <w:szCs w:val="22"/>
          <w:lang w:val="sk-SK"/>
        </w:rPr>
        <w:t xml:space="preserve"> účinkov zoskupených podľa WHO tried orgánových systémov bol pri liečbe piracetamom zistený v nasledujúcich triedach:</w:t>
      </w:r>
    </w:p>
    <w:p w:rsidR="00780FB9" w:rsidRPr="007D7713" w:rsidRDefault="00780FB9" w:rsidP="00780FB9">
      <w:pPr>
        <w:pStyle w:val="Default"/>
        <w:ind w:firstLine="720"/>
        <w:rPr>
          <w:sz w:val="22"/>
          <w:szCs w:val="22"/>
          <w:lang w:val="sk-SK"/>
        </w:rPr>
      </w:pPr>
      <w:r w:rsidRPr="007D7713">
        <w:rPr>
          <w:sz w:val="22"/>
          <w:szCs w:val="22"/>
          <w:lang w:val="sk-SK"/>
        </w:rPr>
        <w:sym w:font="Symbol" w:char="F0B7"/>
      </w:r>
      <w:r w:rsidRPr="007D7713">
        <w:rPr>
          <w:sz w:val="22"/>
          <w:szCs w:val="22"/>
          <w:lang w:val="sk-SK"/>
        </w:rPr>
        <w:t xml:space="preserve"> psychické poruchy</w:t>
      </w:r>
    </w:p>
    <w:p w:rsidR="00780FB9" w:rsidRPr="007D7713" w:rsidRDefault="00780FB9" w:rsidP="00780FB9">
      <w:pPr>
        <w:pStyle w:val="Default"/>
        <w:ind w:firstLine="720"/>
        <w:rPr>
          <w:sz w:val="22"/>
          <w:szCs w:val="22"/>
          <w:lang w:val="sk-SK"/>
        </w:rPr>
      </w:pPr>
      <w:r w:rsidRPr="007D7713">
        <w:rPr>
          <w:sz w:val="22"/>
          <w:szCs w:val="22"/>
          <w:lang w:val="sk-SK"/>
        </w:rPr>
        <w:sym w:font="Symbol" w:char="F0B7"/>
      </w:r>
      <w:r w:rsidRPr="007D7713">
        <w:rPr>
          <w:sz w:val="22"/>
          <w:szCs w:val="22"/>
          <w:lang w:val="sk-SK"/>
        </w:rPr>
        <w:t xml:space="preserve"> poruchy nervového systému</w:t>
      </w:r>
    </w:p>
    <w:p w:rsidR="00780FB9" w:rsidRPr="00B1317A" w:rsidRDefault="00780FB9" w:rsidP="00780FB9">
      <w:pPr>
        <w:pStyle w:val="Default"/>
        <w:ind w:firstLine="720"/>
        <w:rPr>
          <w:sz w:val="22"/>
          <w:szCs w:val="22"/>
          <w:lang w:val="sk-SK"/>
        </w:rPr>
      </w:pPr>
      <w:r w:rsidRPr="00B1317A">
        <w:rPr>
          <w:sz w:val="22"/>
          <w:szCs w:val="22"/>
          <w:lang w:val="sk-SK"/>
        </w:rPr>
        <w:sym w:font="Symbol" w:char="F0B7"/>
      </w:r>
      <w:r w:rsidRPr="00B1317A">
        <w:rPr>
          <w:sz w:val="22"/>
          <w:szCs w:val="22"/>
          <w:lang w:val="sk-SK"/>
        </w:rPr>
        <w:t xml:space="preserve"> laboratórne a funkčné vyšetrenia</w:t>
      </w:r>
    </w:p>
    <w:p w:rsidR="00780FB9" w:rsidRPr="00B1317A" w:rsidRDefault="00780FB9" w:rsidP="00780FB9">
      <w:pPr>
        <w:pStyle w:val="Default"/>
        <w:ind w:firstLine="720"/>
        <w:rPr>
          <w:sz w:val="22"/>
          <w:szCs w:val="22"/>
          <w:lang w:val="sk-SK"/>
        </w:rPr>
      </w:pPr>
      <w:r w:rsidRPr="00B1317A">
        <w:rPr>
          <w:sz w:val="22"/>
          <w:szCs w:val="22"/>
          <w:lang w:val="sk-SK"/>
        </w:rPr>
        <w:sym w:font="Symbol" w:char="F0B7"/>
      </w:r>
      <w:r w:rsidRPr="00B1317A">
        <w:rPr>
          <w:sz w:val="22"/>
          <w:szCs w:val="22"/>
          <w:lang w:val="sk-SK"/>
        </w:rPr>
        <w:t xml:space="preserve"> celkové poruchy a reakcie v mieste podania</w:t>
      </w:r>
    </w:p>
    <w:p w:rsidR="00780FB9" w:rsidRDefault="00780FB9">
      <w:pPr>
        <w:rPr>
          <w:rFonts w:ascii="Times New Roman" w:hAnsi="Times New Roman"/>
          <w:sz w:val="22"/>
          <w:szCs w:val="22"/>
        </w:rPr>
      </w:pPr>
    </w:p>
    <w:p w:rsidR="00780FB9" w:rsidRPr="00B1317A" w:rsidRDefault="00780FB9" w:rsidP="00B1317A">
      <w:pPr>
        <w:pStyle w:val="CM3"/>
        <w:spacing w:line="240" w:lineRule="auto"/>
        <w:rPr>
          <w:i/>
          <w:sz w:val="22"/>
          <w:szCs w:val="22"/>
          <w:u w:val="single"/>
          <w:lang w:val="sk-SK"/>
        </w:rPr>
      </w:pPr>
      <w:r w:rsidRPr="004F7877">
        <w:rPr>
          <w:i/>
          <w:sz w:val="22"/>
          <w:szCs w:val="22"/>
          <w:u w:val="single"/>
          <w:lang w:val="sk-SK"/>
        </w:rPr>
        <w:t>Zoznam nežiaducich účinkov</w:t>
      </w:r>
    </w:p>
    <w:p w:rsidR="002E6FD6" w:rsidRPr="002E6FD6" w:rsidRDefault="002E6FD6" w:rsidP="002E6FD6">
      <w:pPr>
        <w:spacing w:line="260" w:lineRule="exact"/>
        <w:rPr>
          <w:rFonts w:ascii="Times New Roman" w:eastAsia="MS Mincho" w:hAnsi="Times New Roman"/>
          <w:sz w:val="22"/>
          <w:szCs w:val="22"/>
        </w:rPr>
      </w:pPr>
      <w:r w:rsidRPr="002E6FD6">
        <w:rPr>
          <w:rFonts w:ascii="Times New Roman" w:eastAsia="MS Mincho" w:hAnsi="Times New Roman"/>
          <w:sz w:val="22"/>
          <w:szCs w:val="22"/>
        </w:rPr>
        <w:t>Nežiaduce účinky hlásené v klinických skúšaniach a po uvedení lieku na trh sú uvedené v nasledujúcom prehľade podľa tried orgánových systémov a podľa frekvencie. Frekvenci</w:t>
      </w:r>
      <w:r w:rsidR="0085741E">
        <w:rPr>
          <w:rFonts w:ascii="Times New Roman" w:eastAsia="MS Mincho" w:hAnsi="Times New Roman"/>
          <w:sz w:val="22"/>
          <w:szCs w:val="22"/>
        </w:rPr>
        <w:t>esú</w:t>
      </w:r>
      <w:r w:rsidRPr="002E6FD6">
        <w:rPr>
          <w:rFonts w:ascii="Times New Roman" w:eastAsia="MS Mincho" w:hAnsi="Times New Roman"/>
          <w:sz w:val="22"/>
          <w:szCs w:val="22"/>
        </w:rPr>
        <w:t xml:space="preserve"> definovan</w:t>
      </w:r>
      <w:r w:rsidR="0085741E">
        <w:rPr>
          <w:rFonts w:ascii="Times New Roman" w:eastAsia="MS Mincho" w:hAnsi="Times New Roman"/>
          <w:sz w:val="22"/>
          <w:szCs w:val="22"/>
        </w:rPr>
        <w:t>é</w:t>
      </w:r>
      <w:r w:rsidRPr="002E6FD6">
        <w:rPr>
          <w:rFonts w:ascii="Times New Roman" w:eastAsia="MS Mincho" w:hAnsi="Times New Roman"/>
          <w:sz w:val="22"/>
          <w:szCs w:val="22"/>
        </w:rPr>
        <w:t xml:space="preserve"> nasledovn</w:t>
      </w:r>
      <w:r w:rsidR="0085741E">
        <w:rPr>
          <w:rFonts w:ascii="Times New Roman" w:eastAsia="MS Mincho" w:hAnsi="Times New Roman"/>
          <w:sz w:val="22"/>
          <w:szCs w:val="22"/>
        </w:rPr>
        <w:t>e</w:t>
      </w:r>
      <w:r w:rsidRPr="002E6FD6">
        <w:rPr>
          <w:rFonts w:ascii="Times New Roman" w:eastAsia="MS Mincho" w:hAnsi="Times New Roman"/>
          <w:sz w:val="22"/>
          <w:szCs w:val="22"/>
        </w:rPr>
        <w:t xml:space="preserve">: veľmi časté (≥1/10); časté (≥1/100 až &lt;1/10); menej časté (≥1/1 000 až &lt;1/100); zriedkavé (≥1/10 000 až &lt;1/1 000); veľmi zriedkavé (&lt;1/10 000). </w:t>
      </w:r>
    </w:p>
    <w:p w:rsidR="002E6FD6" w:rsidRDefault="002E6FD6" w:rsidP="002E6FD6">
      <w:pPr>
        <w:spacing w:line="260" w:lineRule="exact"/>
        <w:rPr>
          <w:rFonts w:ascii="Times New Roman" w:eastAsia="MS Mincho" w:hAnsi="Times New Roman"/>
          <w:sz w:val="22"/>
          <w:szCs w:val="22"/>
        </w:rPr>
      </w:pPr>
    </w:p>
    <w:p w:rsidR="002E6FD6" w:rsidRPr="002E6FD6" w:rsidRDefault="002E6FD6" w:rsidP="002E6FD6">
      <w:pPr>
        <w:spacing w:line="260" w:lineRule="exact"/>
        <w:rPr>
          <w:rFonts w:ascii="Times New Roman" w:eastAsia="MS Mincho" w:hAnsi="Times New Roman"/>
          <w:sz w:val="22"/>
          <w:szCs w:val="22"/>
        </w:rPr>
      </w:pPr>
      <w:r w:rsidRPr="002E6FD6">
        <w:rPr>
          <w:rFonts w:ascii="Times New Roman" w:eastAsia="MS Mincho" w:hAnsi="Times New Roman"/>
          <w:sz w:val="22"/>
          <w:szCs w:val="22"/>
        </w:rPr>
        <w:t xml:space="preserve">Údaje po uvedení lieku na trh nie sú dostatočné na podporu odhadu ich výskytu v liečených skupinách pacientov. </w:t>
      </w:r>
    </w:p>
    <w:p w:rsidR="002E6FD6" w:rsidRPr="002E6FD6" w:rsidRDefault="002E6FD6" w:rsidP="002E6FD6">
      <w:pPr>
        <w:pStyle w:val="CM20"/>
        <w:spacing w:after="0"/>
        <w:rPr>
          <w:b/>
          <w:bCs/>
          <w:sz w:val="22"/>
          <w:szCs w:val="22"/>
          <w:lang w:val="sk-SK"/>
        </w:rPr>
      </w:pP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  <w:r w:rsidRPr="002E6FD6">
        <w:rPr>
          <w:b/>
          <w:color w:val="auto"/>
          <w:sz w:val="22"/>
          <w:szCs w:val="22"/>
          <w:lang w:val="sk-SK"/>
        </w:rPr>
        <w:t>Poruchy krvi a lymfatického systému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  <w:r w:rsidRPr="002E6FD6">
        <w:rPr>
          <w:color w:val="auto"/>
          <w:sz w:val="22"/>
          <w:szCs w:val="22"/>
          <w:lang w:val="sk-SK"/>
        </w:rPr>
        <w:t>Neznáme: poruchy krvácania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</w:p>
    <w:p w:rsidR="002E6FD6" w:rsidRPr="002E6FD6" w:rsidRDefault="002E6FD6" w:rsidP="002E6FD6">
      <w:pPr>
        <w:rPr>
          <w:rFonts w:ascii="Times New Roman" w:hAnsi="Times New Roman"/>
          <w:b/>
          <w:sz w:val="22"/>
          <w:szCs w:val="22"/>
        </w:rPr>
      </w:pPr>
      <w:r w:rsidRPr="002E6FD6">
        <w:rPr>
          <w:rFonts w:ascii="Times New Roman" w:hAnsi="Times New Roman"/>
          <w:b/>
          <w:sz w:val="22"/>
          <w:szCs w:val="22"/>
        </w:rPr>
        <w:t>Poruchy imunitného systému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>Neznáme:anafylaktoidná reakcia, precitlivenosť</w:t>
      </w:r>
    </w:p>
    <w:p w:rsidR="002E6FD6" w:rsidRPr="002E6FD6" w:rsidRDefault="002E6FD6" w:rsidP="002E6FD6">
      <w:pPr>
        <w:pStyle w:val="CM20"/>
        <w:spacing w:after="0"/>
        <w:rPr>
          <w:b/>
          <w:bCs/>
          <w:sz w:val="22"/>
          <w:szCs w:val="22"/>
          <w:lang w:val="sk-SK"/>
        </w:rPr>
      </w:pPr>
    </w:p>
    <w:p w:rsidR="002E6FD6" w:rsidRPr="002E6FD6" w:rsidRDefault="002E6FD6" w:rsidP="002E6FD6">
      <w:pPr>
        <w:pStyle w:val="Default"/>
        <w:rPr>
          <w:b/>
          <w:color w:val="auto"/>
          <w:sz w:val="22"/>
          <w:szCs w:val="22"/>
          <w:lang w:val="sk-SK"/>
        </w:rPr>
      </w:pPr>
      <w:r w:rsidRPr="002E6FD6">
        <w:rPr>
          <w:b/>
          <w:color w:val="auto"/>
          <w:sz w:val="22"/>
          <w:szCs w:val="22"/>
          <w:lang w:val="sk-SK"/>
        </w:rPr>
        <w:t xml:space="preserve">Psychické poruchy </w:t>
      </w:r>
    </w:p>
    <w:p w:rsidR="002E6FD6" w:rsidRPr="002E6FD6" w:rsidRDefault="002E6FD6" w:rsidP="002E6FD6">
      <w:pPr>
        <w:autoSpaceDE w:val="0"/>
        <w:autoSpaceDN w:val="0"/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>Časté: nervozita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  <w:r w:rsidRPr="002E6FD6">
        <w:rPr>
          <w:color w:val="auto"/>
          <w:sz w:val="22"/>
          <w:szCs w:val="22"/>
          <w:lang w:val="sk-SK"/>
        </w:rPr>
        <w:t xml:space="preserve">Menej časté: </w:t>
      </w:r>
      <w:r w:rsidR="00AF2922">
        <w:rPr>
          <w:color w:val="auto"/>
          <w:sz w:val="22"/>
          <w:szCs w:val="22"/>
          <w:lang w:val="sk-SK"/>
        </w:rPr>
        <w:t xml:space="preserve">somnolencia, </w:t>
      </w:r>
      <w:r w:rsidRPr="002E6FD6">
        <w:rPr>
          <w:color w:val="auto"/>
          <w:sz w:val="22"/>
          <w:szCs w:val="22"/>
          <w:lang w:val="sk-SK"/>
        </w:rPr>
        <w:t>depresia</w:t>
      </w:r>
    </w:p>
    <w:p w:rsidR="002E6FD6" w:rsidRPr="002E6FD6" w:rsidRDefault="002E6FD6" w:rsidP="002E6FD6">
      <w:pPr>
        <w:pStyle w:val="CM20"/>
        <w:spacing w:after="0"/>
        <w:rPr>
          <w:sz w:val="22"/>
          <w:szCs w:val="22"/>
          <w:lang w:val="sk-SK"/>
        </w:rPr>
      </w:pPr>
      <w:r w:rsidRPr="002E6FD6">
        <w:rPr>
          <w:sz w:val="22"/>
          <w:szCs w:val="22"/>
          <w:lang w:val="sk-SK"/>
        </w:rPr>
        <w:t>Neznáme: agitovanosť, anxieta, zmätenosť, halucinácie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</w:p>
    <w:p w:rsidR="002E6FD6" w:rsidRPr="002E6FD6" w:rsidRDefault="002E6FD6" w:rsidP="002E6FD6">
      <w:pPr>
        <w:pStyle w:val="CM20"/>
        <w:spacing w:after="0"/>
        <w:rPr>
          <w:b/>
          <w:sz w:val="22"/>
          <w:szCs w:val="22"/>
          <w:lang w:val="sk-SK"/>
        </w:rPr>
      </w:pPr>
      <w:r w:rsidRPr="002E6FD6">
        <w:rPr>
          <w:b/>
          <w:sz w:val="22"/>
          <w:szCs w:val="22"/>
          <w:lang w:val="sk-SK"/>
        </w:rPr>
        <w:t xml:space="preserve">Poruchy nervového systému </w:t>
      </w:r>
    </w:p>
    <w:p w:rsidR="002E6FD6" w:rsidRPr="002E6FD6" w:rsidRDefault="002E6FD6" w:rsidP="002E6FD6">
      <w:pPr>
        <w:pStyle w:val="CM20"/>
        <w:spacing w:after="0"/>
        <w:rPr>
          <w:sz w:val="22"/>
          <w:szCs w:val="22"/>
          <w:lang w:val="sk-SK"/>
        </w:rPr>
      </w:pPr>
      <w:r w:rsidRPr="002E6FD6">
        <w:rPr>
          <w:sz w:val="22"/>
          <w:szCs w:val="22"/>
          <w:lang w:val="sk-SK"/>
        </w:rPr>
        <w:t>Časté: hyperkinéza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>Neznáme: ataxia, poruchy rovnováhy, zhoršenie epilepsie, bolesť hlavy, insomnia</w:t>
      </w:r>
    </w:p>
    <w:p w:rsidR="002E6FD6" w:rsidRPr="002E6FD6" w:rsidRDefault="002E6FD6" w:rsidP="002E6FD6">
      <w:pPr>
        <w:pStyle w:val="CM20"/>
        <w:spacing w:after="0"/>
        <w:rPr>
          <w:sz w:val="22"/>
          <w:szCs w:val="22"/>
          <w:lang w:val="sk-SK"/>
        </w:rPr>
      </w:pP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b/>
          <w:sz w:val="22"/>
          <w:szCs w:val="22"/>
        </w:rPr>
        <w:t>Poruchy ucha a labyrintu</w:t>
      </w:r>
    </w:p>
    <w:p w:rsidR="002E6FD6" w:rsidRPr="002E6FD6" w:rsidRDefault="002E6FD6" w:rsidP="002E6FD6">
      <w:pPr>
        <w:pStyle w:val="CM20"/>
        <w:spacing w:after="0"/>
        <w:rPr>
          <w:sz w:val="22"/>
          <w:szCs w:val="22"/>
          <w:lang w:val="sk-SK"/>
        </w:rPr>
      </w:pPr>
      <w:r w:rsidRPr="002E6FD6">
        <w:rPr>
          <w:sz w:val="22"/>
          <w:szCs w:val="22"/>
          <w:lang w:val="sk-SK"/>
        </w:rPr>
        <w:t xml:space="preserve">Neznáme: vertigo 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</w:p>
    <w:p w:rsidR="002E6FD6" w:rsidRPr="002E6FD6" w:rsidRDefault="002E6FD6" w:rsidP="002E6FD6">
      <w:pPr>
        <w:keepNext/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b/>
          <w:sz w:val="22"/>
          <w:szCs w:val="22"/>
        </w:rPr>
        <w:t>Poruchy gastrointestinálneho traktu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 xml:space="preserve">Neznáme: bolesti brucha, bolesti v nadbrušku, hnačka, nauzea, vracanie 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b/>
          <w:sz w:val="22"/>
          <w:szCs w:val="22"/>
        </w:rPr>
        <w:t>Poruchy kože a podkožného tkaniva</w:t>
      </w:r>
    </w:p>
    <w:p w:rsidR="002E6FD6" w:rsidRPr="002E6FD6" w:rsidRDefault="002E6FD6" w:rsidP="002E6FD6">
      <w:pPr>
        <w:pStyle w:val="CM20"/>
        <w:spacing w:after="0"/>
        <w:rPr>
          <w:sz w:val="22"/>
          <w:szCs w:val="22"/>
          <w:lang w:val="sk-SK"/>
        </w:rPr>
      </w:pPr>
      <w:r w:rsidRPr="002E6FD6">
        <w:rPr>
          <w:sz w:val="22"/>
          <w:szCs w:val="22"/>
          <w:lang w:val="sk-SK"/>
        </w:rPr>
        <w:t xml:space="preserve">Neznáme: angioneurotický edém, dermatitída, pruritus, urtikária </w:t>
      </w:r>
    </w:p>
    <w:p w:rsidR="002E6FD6" w:rsidRP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</w:p>
    <w:p w:rsidR="002E6FD6" w:rsidRPr="002E6FD6" w:rsidRDefault="002E6FD6" w:rsidP="002E6FD6">
      <w:pPr>
        <w:pStyle w:val="Default"/>
        <w:rPr>
          <w:b/>
          <w:color w:val="auto"/>
          <w:sz w:val="22"/>
          <w:szCs w:val="22"/>
          <w:lang w:val="sk-SK"/>
        </w:rPr>
      </w:pPr>
      <w:r w:rsidRPr="002E6FD6">
        <w:rPr>
          <w:b/>
          <w:color w:val="auto"/>
          <w:sz w:val="22"/>
          <w:szCs w:val="22"/>
          <w:lang w:val="sk-SK"/>
        </w:rPr>
        <w:t>C</w:t>
      </w:r>
      <w:r w:rsidRPr="002E6FD6">
        <w:rPr>
          <w:b/>
          <w:bCs/>
          <w:color w:val="auto"/>
          <w:sz w:val="22"/>
          <w:szCs w:val="22"/>
          <w:lang w:val="sk-SK"/>
        </w:rPr>
        <w:t>elkové poruchy a reakcie v mieste podania</w:t>
      </w:r>
    </w:p>
    <w:p w:rsidR="002E6FD6" w:rsidRDefault="002E6FD6" w:rsidP="002E6FD6">
      <w:pPr>
        <w:pStyle w:val="Default"/>
        <w:rPr>
          <w:color w:val="auto"/>
          <w:sz w:val="22"/>
          <w:szCs w:val="22"/>
          <w:lang w:val="sk-SK"/>
        </w:rPr>
      </w:pPr>
      <w:r w:rsidRPr="002E6FD6">
        <w:rPr>
          <w:color w:val="auto"/>
          <w:sz w:val="22"/>
          <w:szCs w:val="22"/>
          <w:lang w:val="sk-SK"/>
        </w:rPr>
        <w:t>Menej časté: asténia</w:t>
      </w:r>
    </w:p>
    <w:p w:rsidR="002E6FD6" w:rsidRPr="002E6FD6" w:rsidRDefault="002E6FD6" w:rsidP="002E6FD6">
      <w:pPr>
        <w:pStyle w:val="CM20"/>
        <w:spacing w:after="0"/>
        <w:rPr>
          <w:b/>
          <w:bCs/>
          <w:sz w:val="22"/>
          <w:szCs w:val="22"/>
          <w:lang w:val="sk-SK"/>
        </w:rPr>
      </w:pPr>
    </w:p>
    <w:p w:rsidR="002E6FD6" w:rsidRPr="002E6FD6" w:rsidRDefault="002E6FD6" w:rsidP="002E6FD6">
      <w:pPr>
        <w:pStyle w:val="Default"/>
        <w:rPr>
          <w:b/>
          <w:color w:val="auto"/>
          <w:sz w:val="22"/>
          <w:szCs w:val="22"/>
          <w:lang w:val="sk-SK"/>
        </w:rPr>
      </w:pPr>
      <w:r w:rsidRPr="002E6FD6">
        <w:rPr>
          <w:b/>
          <w:color w:val="auto"/>
          <w:sz w:val="22"/>
          <w:szCs w:val="22"/>
          <w:lang w:val="sk-SK"/>
        </w:rPr>
        <w:t xml:space="preserve">Laboratórne </w:t>
      </w:r>
      <w:r w:rsidR="006D1FDA">
        <w:rPr>
          <w:b/>
          <w:color w:val="auto"/>
          <w:sz w:val="22"/>
          <w:szCs w:val="22"/>
          <w:lang w:val="sk-SK"/>
        </w:rPr>
        <w:t xml:space="preserve">a funkčné </w:t>
      </w:r>
      <w:r w:rsidRPr="002E6FD6">
        <w:rPr>
          <w:b/>
          <w:color w:val="auto"/>
          <w:sz w:val="22"/>
          <w:szCs w:val="22"/>
          <w:lang w:val="sk-SK"/>
        </w:rPr>
        <w:t xml:space="preserve">vyšetrenia </w:t>
      </w:r>
    </w:p>
    <w:p w:rsidR="002E6FD6" w:rsidRPr="00E5292F" w:rsidRDefault="002E6FD6" w:rsidP="002E6FD6">
      <w:pPr>
        <w:autoSpaceDE w:val="0"/>
        <w:autoSpaceDN w:val="0"/>
        <w:rPr>
          <w:rFonts w:ascii="Times New Roman" w:hAnsi="Times New Roman"/>
          <w:sz w:val="22"/>
          <w:szCs w:val="22"/>
        </w:rPr>
      </w:pPr>
      <w:r w:rsidRPr="00E5292F">
        <w:rPr>
          <w:rFonts w:ascii="Times New Roman" w:hAnsi="Times New Roman"/>
          <w:sz w:val="22"/>
          <w:szCs w:val="22"/>
        </w:rPr>
        <w:t xml:space="preserve">Časté: zvýšená </w:t>
      </w:r>
      <w:r w:rsidR="006D1FDA" w:rsidRPr="00E5292F">
        <w:rPr>
          <w:rFonts w:ascii="Times New Roman" w:hAnsi="Times New Roman"/>
          <w:sz w:val="22"/>
          <w:szCs w:val="22"/>
        </w:rPr>
        <w:t xml:space="preserve">telesná </w:t>
      </w:r>
      <w:r w:rsidRPr="00E5292F">
        <w:rPr>
          <w:rFonts w:ascii="Times New Roman" w:hAnsi="Times New Roman"/>
          <w:sz w:val="22"/>
          <w:szCs w:val="22"/>
        </w:rPr>
        <w:t>hmotnosť</w:t>
      </w:r>
    </w:p>
    <w:p w:rsidR="0007673B" w:rsidRPr="00E5292F" w:rsidRDefault="0007673B">
      <w:pPr>
        <w:rPr>
          <w:rFonts w:ascii="Times New Roman" w:hAnsi="Times New Roman"/>
          <w:sz w:val="22"/>
          <w:szCs w:val="22"/>
        </w:rPr>
      </w:pPr>
    </w:p>
    <w:p w:rsidR="00E5292F" w:rsidRPr="00E5292F" w:rsidRDefault="00E5292F" w:rsidP="00E5292F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2"/>
          <w:u w:val="single"/>
        </w:rPr>
      </w:pPr>
      <w:r w:rsidRPr="00E5292F">
        <w:rPr>
          <w:rFonts w:ascii="Times New Roman" w:hAnsi="Times New Roman"/>
          <w:sz w:val="22"/>
          <w:u w:val="single"/>
        </w:rPr>
        <w:lastRenderedPageBreak/>
        <w:t>Hlásenie podozrení na nežiaduce reakcie</w:t>
      </w:r>
    </w:p>
    <w:p w:rsidR="00E5292F" w:rsidRPr="00E5292F" w:rsidRDefault="00E5292F" w:rsidP="00E52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  <w:sz w:val="22"/>
        </w:rPr>
      </w:pPr>
      <w:r w:rsidRPr="00E5292F">
        <w:rPr>
          <w:rFonts w:ascii="Times New Roman" w:hAnsi="Times New Roman"/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E5292F">
        <w:rPr>
          <w:rFonts w:ascii="Times New Roman" w:hAnsi="Times New Roman"/>
          <w:sz w:val="22"/>
          <w:shd w:val="clear" w:color="auto" w:fill="C0C0C0"/>
        </w:rPr>
        <w:t>národné centrum hlásenia uvedené v </w:t>
      </w:r>
      <w:hyperlink r:id="rId7" w:history="1">
        <w:r w:rsidRPr="00E5292F">
          <w:rPr>
            <w:rStyle w:val="Hypertextovprepojenie"/>
            <w:rFonts w:ascii="Times New Roman" w:hAnsi="Times New Roman"/>
            <w:sz w:val="22"/>
            <w:shd w:val="clear" w:color="auto" w:fill="C0C0C0"/>
          </w:rPr>
          <w:t>Prílohe V</w:t>
        </w:r>
      </w:hyperlink>
      <w:r w:rsidRPr="00E5292F">
        <w:rPr>
          <w:rStyle w:val="Hypertextovprepojenie"/>
          <w:rFonts w:ascii="Times New Roman" w:hAnsi="Times New Roman"/>
          <w:sz w:val="22"/>
        </w:rPr>
        <w:t>.</w:t>
      </w:r>
    </w:p>
    <w:p w:rsidR="0007673B" w:rsidRPr="00E5292F" w:rsidRDefault="0007673B">
      <w:pPr>
        <w:rPr>
          <w:rFonts w:ascii="Times New Roman" w:hAnsi="Times New Roman"/>
          <w:sz w:val="22"/>
          <w:szCs w:val="22"/>
        </w:rPr>
      </w:pPr>
    </w:p>
    <w:p w:rsidR="009B2771" w:rsidRPr="00E5292F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E5292F">
        <w:rPr>
          <w:rFonts w:ascii="Times New Roman" w:hAnsi="Times New Roman"/>
          <w:b/>
          <w:bCs/>
          <w:sz w:val="22"/>
          <w:szCs w:val="22"/>
        </w:rPr>
        <w:t>4.9</w:t>
      </w:r>
      <w:r w:rsidR="006659A2" w:rsidRPr="00E5292F">
        <w:rPr>
          <w:rFonts w:ascii="Times New Roman" w:hAnsi="Times New Roman"/>
          <w:b/>
          <w:bCs/>
          <w:sz w:val="22"/>
          <w:szCs w:val="22"/>
        </w:rPr>
        <w:tab/>
      </w:r>
      <w:r w:rsidRPr="00E5292F">
        <w:rPr>
          <w:rFonts w:ascii="Times New Roman" w:hAnsi="Times New Roman"/>
          <w:b/>
          <w:bCs/>
          <w:sz w:val="22"/>
          <w:szCs w:val="22"/>
        </w:rPr>
        <w:t>Predávkovanie</w:t>
      </w:r>
    </w:p>
    <w:p w:rsidR="0007673B" w:rsidRPr="00E5292F" w:rsidRDefault="0007673B">
      <w:pPr>
        <w:rPr>
          <w:rFonts w:ascii="Times New Roman" w:hAnsi="Times New Roman"/>
          <w:i/>
          <w:iCs/>
          <w:sz w:val="22"/>
          <w:szCs w:val="22"/>
        </w:rPr>
      </w:pPr>
    </w:p>
    <w:p w:rsidR="002E6FD6" w:rsidRPr="00E5292F" w:rsidRDefault="002E6FD6" w:rsidP="002E6FD6">
      <w:pPr>
        <w:rPr>
          <w:rFonts w:ascii="Times New Roman" w:hAnsi="Times New Roman"/>
          <w:b/>
          <w:i/>
          <w:sz w:val="22"/>
          <w:szCs w:val="22"/>
        </w:rPr>
      </w:pPr>
      <w:r w:rsidRPr="00E5292F">
        <w:rPr>
          <w:rFonts w:ascii="Times New Roman" w:hAnsi="Times New Roman"/>
          <w:b/>
          <w:i/>
          <w:sz w:val="22"/>
          <w:szCs w:val="22"/>
        </w:rPr>
        <w:t>Symptómy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026BCB">
        <w:rPr>
          <w:rFonts w:ascii="Times New Roman" w:hAnsi="Times New Roman"/>
          <w:sz w:val="22"/>
          <w:szCs w:val="22"/>
        </w:rPr>
        <w:t>Nebol hlásený žiadny iný prípad s piracetamom, ktorý</w:t>
      </w:r>
      <w:r w:rsidRPr="002E6FD6">
        <w:rPr>
          <w:rFonts w:ascii="Times New Roman" w:hAnsi="Times New Roman"/>
          <w:sz w:val="22"/>
          <w:szCs w:val="22"/>
        </w:rPr>
        <w:t xml:space="preserve"> by poukazoval na ďalšie nežiaduce účinky špecificky súvisiace s</w:t>
      </w:r>
      <w:r w:rsidR="00A62847">
        <w:rPr>
          <w:rFonts w:ascii="Times New Roman" w:hAnsi="Times New Roman"/>
          <w:sz w:val="22"/>
          <w:szCs w:val="22"/>
        </w:rPr>
        <w:t> </w:t>
      </w:r>
      <w:r w:rsidRPr="002E6FD6">
        <w:rPr>
          <w:rFonts w:ascii="Times New Roman" w:hAnsi="Times New Roman"/>
          <w:sz w:val="22"/>
          <w:szCs w:val="22"/>
        </w:rPr>
        <w:t>predávkovaním</w:t>
      </w:r>
      <w:r w:rsidR="00A62847">
        <w:rPr>
          <w:rFonts w:ascii="Times New Roman" w:hAnsi="Times New Roman"/>
          <w:sz w:val="22"/>
          <w:szCs w:val="22"/>
        </w:rPr>
        <w:t>, okrem tých, ktoré sú uvedené v časti 4.8</w:t>
      </w:r>
      <w:r w:rsidRPr="002E6FD6">
        <w:rPr>
          <w:rFonts w:ascii="Times New Roman" w:hAnsi="Times New Roman"/>
          <w:sz w:val="22"/>
          <w:szCs w:val="22"/>
        </w:rPr>
        <w:t xml:space="preserve">. 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 xml:space="preserve">Hlásené predávkovanie piracetamom bolo s najvyšším perorálnym požitím </w:t>
      </w:r>
      <w:smartTag w:uri="urn:schemas-microsoft-com:office:smarttags" w:element="metricconverter">
        <w:smartTagPr>
          <w:attr w:name="ProductID" w:val="75ﾠg"/>
        </w:smartTagPr>
        <w:r w:rsidRPr="002E6FD6">
          <w:rPr>
            <w:rFonts w:ascii="Times New Roman" w:hAnsi="Times New Roman"/>
            <w:sz w:val="22"/>
            <w:szCs w:val="22"/>
          </w:rPr>
          <w:t>75 g</w:t>
        </w:r>
      </w:smartTag>
      <w:r w:rsidRPr="002E6FD6">
        <w:rPr>
          <w:rFonts w:ascii="Times New Roman" w:hAnsi="Times New Roman"/>
          <w:sz w:val="22"/>
          <w:szCs w:val="22"/>
        </w:rPr>
        <w:t xml:space="preserve">. </w:t>
      </w:r>
      <w:r w:rsidR="007F3510">
        <w:rPr>
          <w:rFonts w:ascii="Times New Roman" w:hAnsi="Times New Roman"/>
          <w:sz w:val="22"/>
          <w:szCs w:val="22"/>
        </w:rPr>
        <w:t>Jeden prípad k</w:t>
      </w:r>
      <w:r w:rsidRPr="002E6FD6">
        <w:rPr>
          <w:rFonts w:ascii="Times New Roman" w:hAnsi="Times New Roman"/>
          <w:sz w:val="22"/>
          <w:szCs w:val="22"/>
        </w:rPr>
        <w:t>rvav</w:t>
      </w:r>
      <w:r w:rsidR="007F3510">
        <w:rPr>
          <w:rFonts w:ascii="Times New Roman" w:hAnsi="Times New Roman"/>
          <w:sz w:val="22"/>
          <w:szCs w:val="22"/>
        </w:rPr>
        <w:t>ej</w:t>
      </w:r>
      <w:r w:rsidRPr="002E6FD6">
        <w:rPr>
          <w:rFonts w:ascii="Times New Roman" w:hAnsi="Times New Roman"/>
          <w:sz w:val="22"/>
          <w:szCs w:val="22"/>
        </w:rPr>
        <w:t xml:space="preserve"> hnačk</w:t>
      </w:r>
      <w:r w:rsidR="007F3510">
        <w:rPr>
          <w:rFonts w:ascii="Times New Roman" w:hAnsi="Times New Roman"/>
          <w:sz w:val="22"/>
          <w:szCs w:val="22"/>
        </w:rPr>
        <w:t>y</w:t>
      </w:r>
      <w:r w:rsidRPr="002E6FD6">
        <w:rPr>
          <w:rFonts w:ascii="Times New Roman" w:hAnsi="Times New Roman"/>
          <w:sz w:val="22"/>
          <w:szCs w:val="22"/>
        </w:rPr>
        <w:t xml:space="preserve"> s bolesťami brucha mal s najvyššou pravdepodobnosťou súvis s extrémne vysokou dávkou sorbitolu obsiahnutou v použitom lieku. 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</w:p>
    <w:p w:rsidR="002E6FD6" w:rsidRPr="002E6FD6" w:rsidRDefault="002E6FD6" w:rsidP="002E6FD6">
      <w:pPr>
        <w:keepNext/>
        <w:rPr>
          <w:rFonts w:ascii="Times New Roman" w:hAnsi="Times New Roman"/>
          <w:b/>
          <w:i/>
          <w:sz w:val="22"/>
          <w:szCs w:val="22"/>
        </w:rPr>
      </w:pPr>
      <w:r w:rsidRPr="002E6FD6">
        <w:rPr>
          <w:rFonts w:ascii="Times New Roman" w:hAnsi="Times New Roman"/>
          <w:b/>
          <w:i/>
          <w:sz w:val="22"/>
          <w:szCs w:val="22"/>
        </w:rPr>
        <w:t>Liečbapredávkovania</w:t>
      </w:r>
    </w:p>
    <w:p w:rsidR="002E6FD6" w:rsidRPr="002E6FD6" w:rsidRDefault="002E6FD6" w:rsidP="002E6FD6">
      <w:pPr>
        <w:rPr>
          <w:rFonts w:ascii="Times New Roman" w:hAnsi="Times New Roman"/>
          <w:sz w:val="22"/>
          <w:szCs w:val="22"/>
        </w:rPr>
      </w:pPr>
      <w:r w:rsidRPr="002E6FD6">
        <w:rPr>
          <w:rFonts w:ascii="Times New Roman" w:hAnsi="Times New Roman"/>
          <w:sz w:val="22"/>
          <w:szCs w:val="22"/>
        </w:rPr>
        <w:t>Pri akútnom, významnom predávkovaní sa môže vyprázdniť žalúdok výplachom alebo vyvolaním vracania. Neexistuje špecifické antidotum pri predávkovaní piracetamom. Liečba predávkovania bude spočívať v liečbe symptómov a môže zahŕňať hemodialýzu. Účinnosť odstránenia piracetamu dialyzačným prístrojom je 50 až 60 %.</w:t>
      </w:r>
    </w:p>
    <w:p w:rsidR="009B2771" w:rsidRPr="002E6FD6" w:rsidRDefault="009B2771">
      <w:pPr>
        <w:rPr>
          <w:rFonts w:ascii="Times New Roman" w:hAnsi="Times New Roman"/>
          <w:sz w:val="22"/>
          <w:szCs w:val="22"/>
        </w:rPr>
      </w:pPr>
    </w:p>
    <w:p w:rsidR="002947FF" w:rsidRPr="006923E4" w:rsidRDefault="002947FF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5.</w:t>
      </w:r>
      <w:r w:rsidR="006923E4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FARMAKOLOGICKÉ VLASTNOSTI</w:t>
      </w:r>
    </w:p>
    <w:p w:rsidR="002947FF" w:rsidRDefault="002947FF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 xml:space="preserve">5.1 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Farmakodynamické vlastnosti</w:t>
      </w:r>
    </w:p>
    <w:p w:rsidR="006659A2" w:rsidRDefault="006659A2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sz w:val="22"/>
          <w:szCs w:val="22"/>
        </w:rPr>
        <w:t xml:space="preserve">Farmakoterapeutická skupina: </w:t>
      </w:r>
      <w:r w:rsidR="006659A2">
        <w:rPr>
          <w:rFonts w:ascii="Times New Roman" w:hAnsi="Times New Roman"/>
          <w:sz w:val="22"/>
          <w:szCs w:val="22"/>
        </w:rPr>
        <w:t xml:space="preserve">Psychoanaleptiká, </w:t>
      </w:r>
      <w:r w:rsidR="007A084D">
        <w:rPr>
          <w:rFonts w:ascii="Times New Roman" w:hAnsi="Times New Roman"/>
          <w:sz w:val="22"/>
          <w:szCs w:val="22"/>
        </w:rPr>
        <w:t>i</w:t>
      </w:r>
      <w:r w:rsidR="006659A2">
        <w:rPr>
          <w:rFonts w:ascii="Times New Roman" w:hAnsi="Times New Roman"/>
          <w:sz w:val="22"/>
          <w:szCs w:val="22"/>
        </w:rPr>
        <w:t xml:space="preserve">né psychostimulanciá a </w:t>
      </w:r>
      <w:r w:rsidR="006659A2" w:rsidRPr="009A6E6F">
        <w:rPr>
          <w:rFonts w:ascii="Times New Roman" w:hAnsi="Times New Roman"/>
          <w:sz w:val="22"/>
          <w:szCs w:val="22"/>
        </w:rPr>
        <w:t>nootropik</w:t>
      </w:r>
      <w:r w:rsidR="006659A2">
        <w:rPr>
          <w:rFonts w:ascii="Times New Roman" w:hAnsi="Times New Roman"/>
          <w:sz w:val="22"/>
          <w:szCs w:val="22"/>
        </w:rPr>
        <w:t>á</w:t>
      </w:r>
    </w:p>
    <w:p w:rsidR="009B2771" w:rsidRPr="006923E4" w:rsidRDefault="00193A59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sz w:val="22"/>
          <w:szCs w:val="22"/>
        </w:rPr>
        <w:t>ATC kód: N</w:t>
      </w:r>
      <w:r w:rsidR="009B2771" w:rsidRPr="006923E4">
        <w:rPr>
          <w:rFonts w:ascii="Times New Roman" w:hAnsi="Times New Roman"/>
          <w:sz w:val="22"/>
          <w:szCs w:val="22"/>
        </w:rPr>
        <w:t>06</w:t>
      </w:r>
      <w:r w:rsidRPr="006923E4">
        <w:rPr>
          <w:rFonts w:ascii="Times New Roman" w:hAnsi="Times New Roman"/>
          <w:sz w:val="22"/>
          <w:szCs w:val="22"/>
        </w:rPr>
        <w:t>BX</w:t>
      </w:r>
      <w:r w:rsidR="009B2771" w:rsidRPr="006923E4">
        <w:rPr>
          <w:rFonts w:ascii="Times New Roman" w:hAnsi="Times New Roman"/>
          <w:sz w:val="22"/>
          <w:szCs w:val="22"/>
        </w:rPr>
        <w:t>03</w:t>
      </w:r>
    </w:p>
    <w:p w:rsidR="00780FB9" w:rsidRDefault="00780FB9">
      <w:pPr>
        <w:rPr>
          <w:rFonts w:ascii="Times New Roman" w:hAnsi="Times New Roman"/>
          <w:sz w:val="22"/>
          <w:szCs w:val="22"/>
        </w:rPr>
      </w:pPr>
      <w:r w:rsidRPr="00780FB9">
        <w:rPr>
          <w:rFonts w:ascii="Times New Roman" w:hAnsi="Times New Roman"/>
          <w:sz w:val="22"/>
          <w:szCs w:val="22"/>
        </w:rPr>
        <w:t>Liečivo piracetam je pyrolidón (2-oxo-1-pyrolidín-acetamid), cyklický derivát kyseliny gama-amino-maslovej (GABA).</w:t>
      </w:r>
    </w:p>
    <w:p w:rsidR="00780FB9" w:rsidRDefault="00780FB9">
      <w:pPr>
        <w:rPr>
          <w:rFonts w:ascii="Times New Roman" w:hAnsi="Times New Roman"/>
          <w:sz w:val="22"/>
          <w:szCs w:val="22"/>
        </w:rPr>
      </w:pPr>
    </w:p>
    <w:p w:rsidR="00780FB9" w:rsidRPr="00B1317A" w:rsidRDefault="00780FB9" w:rsidP="00780FB9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>Mechanizmus účinku</w:t>
      </w:r>
    </w:p>
    <w:p w:rsidR="00780FB9" w:rsidRPr="00780FB9" w:rsidRDefault="00780FB9" w:rsidP="00780FB9">
      <w:pPr>
        <w:rPr>
          <w:rFonts w:ascii="Times New Roman" w:hAnsi="Times New Roman"/>
          <w:sz w:val="22"/>
          <w:szCs w:val="22"/>
        </w:rPr>
      </w:pPr>
      <w:r w:rsidRPr="00780FB9">
        <w:rPr>
          <w:rFonts w:ascii="Times New Roman" w:hAnsi="Times New Roman"/>
          <w:sz w:val="22"/>
          <w:szCs w:val="22"/>
        </w:rPr>
        <w:t>Dostupné údaje naznačujú, že základný mechanizmus účinku piracetamu nie je špecifický ani pre bunky, ani pre orgány. Piracetam sa fyzikálne viaže v závislosti od dávky k polárnej hlavici membránových fosfolipidov, vyvoláva obnovenie lamelárnej štruktúry membrány charakterizované vytváraním komplexov lieku a fosfolipidu. To pravdepodobne vedie k zlepšeniu stability membrány, takže membránové a transmembránové proteíny si môžu udržať alebo obnoviť trojrozmernú štruktúru, ktorá je nevyhnutná pre ich funkciu. Piracetam pôsobí na neuróny a vaskulárny systém.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>Farmakodynamické účinky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 xml:space="preserve">Vplyv na neuróny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>Na úrovni neurónov pôsobí piracetam na membrány rôznymi spôsobmi. U zvierat piracetam zlepšuje viacero typov neurotransmisie, primárne prostredníctvom postsynaptickej modulácie denzity a aktivity receptora. Tak ako u zvierat, aj u ľudí sa zlepšovali funkcie zapojené do kognitívnych procesov, ako je učenie, pamäť, pozornosť a vedomie, a to ako u normálnych jedincov, tak pri nedostatočnosti, bez toho, aby mal piracetam sedatívny alebo psychostimulačný účinok. Piracetam chráni a obnovuje kognitívne schopnosti u zvierat aj u ľudí po rôznych mozgových poškodeniach, napríklad hypoxiou, intoxikáciou a elektrošokovou terapiou. Podľa hodnotenia výsledkov EEG (elektroencefalografie) a psychometrických hodnotení chráni pred zmenami mozgovej funkcie a výkonu vyvolanými hypoxiou.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 xml:space="preserve">Účinky na vaskulárny systém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>Hemoreologické účinky piracetamu na krvné doštičky, červené krvinky a cievne steny spočívajú v zvyšovaní deformability erytrocytov a znížení agregácie krvných doštičiek, adhézie erytrocytov na cievne steny a kapilárnych vazospazmov.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lastRenderedPageBreak/>
        <w:t>Účinky na červené krvinky: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>U pacientov s kosáčikovitou anémiou zlepšuje piracetam deformabilitu membrány erytrocytov, znižuje viskozitu krvi a zabraňuje tvorbe rouleaux (zhlukov v tvare stĺpcov mincí).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>Účinky na krvné doštičky: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V otvorených štúdiách so zdravými dobrovoľníkmi a s pacientmi s Raynaudovým fenoménom sa zvýšenie dávky piracetamu až na 12 g spájalo so znížením funkcií krvných doštičiek v závislosti od dávky v porovnaní s hodnotami pred liečbou (testy agregácie vyvolané ADP, kolagénom, adrenalínom a uvoľňovaním ßTG) bez významnej zmeny v počte krvných doštičiek. V týchto štúdiách piracetam predlžoval čas krvácania.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>Účinky na krvné cievy: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V štúdiách na zvieratách inhiboval piracetam cievne spazmy a pôsobil proti účinkom rôznych spazmogénnych činidiel. Nemal žiadny vazodilatačný účinok a nevyvolával „steal“ efekt, nízky prietok alebo obnovený prietok krvi a nemal ani hypotenzívne účinky. U zdravých dobrovoľníkov znižoval piracetam adhéziu červených krviniek na vaskulárny endotel a mal tiež priamy stimulačný účinok na syntézu prostacyklínu v zdravom endoteli.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 xml:space="preserve">Účinky na koagulačné faktory: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U zdravých dobrovoľníkov znižoval piracetam podávaný v dávke až 9,6 g hodnoty fibrinogénu a von Willebrandových faktorov (VIII: C; VIII R: AG; VIII R: vW) v plazme oproti hodnotám pred liečbou o 30 až 40 %, a predlžoval čas krvácania. U pacientov s primárnym aj sekundárnym Raynaudovým fenoménom znižoval piracetam podávaný v dávke 8 g denne počas 6 mesiacov hodnoty fibrinogénu a von Willebrandových faktorov (VIII: C; VIII R: AG; VIII R: vW (RCF)) v plazme oproti hodnotám pred liečbou o 30 až 40 %, znižoval viskozitu plazmy a predlžoval čas krvácania.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V inej štúdii so zdravými dobrovoľníkmi sa nezistil štatisticky významný rozdiel medzi piracetamom (do 12 g dvakrát denne) a placebom, pokiaľ ide o účinky na parametre hemostázy a čas krvácania.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b/>
          <w:sz w:val="22"/>
          <w:szCs w:val="22"/>
        </w:rPr>
      </w:pPr>
      <w:r w:rsidRPr="00B1317A">
        <w:rPr>
          <w:rFonts w:ascii="Times New Roman" w:hAnsi="Times New Roman"/>
          <w:b/>
          <w:sz w:val="22"/>
          <w:szCs w:val="22"/>
        </w:rPr>
        <w:t xml:space="preserve">5.2 </w:t>
      </w:r>
      <w:r w:rsidRPr="00B1317A">
        <w:rPr>
          <w:rFonts w:ascii="Times New Roman" w:hAnsi="Times New Roman"/>
          <w:b/>
          <w:sz w:val="22"/>
          <w:szCs w:val="22"/>
        </w:rPr>
        <w:tab/>
        <w:t xml:space="preserve">Farmakokinetické vlastnosti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Farmakokinetický profil piracetamu je lineárny a nezávislý od času, s nízkymi rozdielmi medzi jedincami pri veľkom rozpätí dávok. To zodpovedá vysokej permeabilite, vysokej rozpustnosti a minimálnemu metabolizmu piracetamu. Eliminačný polčas piracetamu v plazme je 5 hodín. Je podobný u dospelých dobrovoľníkov a u pacientov. U starších pacientov (primárne kvôli zhoršenému renálnemu klírensu) a u jedincov so zhoršenou funkciou obličiek je dlhší. Plazmatické koncentrácie v rovnovážnom stave sa dosahujú v priebehu 3 dní podávania.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 xml:space="preserve">Absorpcia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>Po perorálnom podaní sa piracetam rýchlo a extenzívne absorbuje. Pri podaní nalačno sa najvyššia koncentrácia v plazme dosahuje 1 hodinu po podaní. Absolútna biologická dostupnosť perorálnych piracetamových foriem sa blíži k 100 %. Jedlo neovplyvňuje mieru absorpcie piracetamu, ale znižuje hodnotu Cmax o 17 % a zvyšuje hodnotu tmax z 1 na 1,5 hodiny. Maximálna plazmatická koncentrácia po perorálnom podaní obvykle predstavuje 84 µg/ml pri podaní jednorazovej dávky 3,2 g a 115 µg/ml pri opakovanom podávaní dávky 3,2 g trikrát denne.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 xml:space="preserve">Distribúcia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Piracetam sa neviaže na bielkoviny plazmy a jeho distribučný objem sa približne rovná 0,6 l/kg. Piracetam prestupuje hematoencefalickou bariérou a nachádza sa v mozgovomiešnom moku po intravenóznom podaní. V mozgovomiešnom moku sa hodnoty tmax dosiahli asi 5 hodín po podaní a polčas predstavoval asi 8,5 hodiny. U zvierat sa najvyššie koncentrácie piracetamu v mozgu zistili v mozgovej kôre (frontálneho, parietálneho a okcipitálneho laloku), v kôre mozočku a v bazálnych gangliách. Piracetam difunduje do všetkých typov tkanív okrem adipóznych tkanív, prestupuje placentou a preniká membránami izolovaných červených krviniek.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 xml:space="preserve">Biotransformácia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lastRenderedPageBreak/>
        <w:t xml:space="preserve">Nie je známe, že by sa piracetam metabolizoval v ľudskom tele. Tento nedostatočný metabolizmus je podporený dĺžkou eliminačného polčasu v plazme u anurických pacientov s vysokým obsahom látky v moči.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 xml:space="preserve">Eliminácia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Eliminačný polčas piracetamu z plazmy u dospelých je asi 5 hodín po intravenóznom i perorálnom podaní. Zdanlivý klírens je 80-90 ml/min. Hlavná cesta vylučovania je prostredníctvom moču, ktorým sa vylúči 80-100 % dávky. Piracetam sa vylučuje glomerulárnou filtráciou.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 xml:space="preserve">Linearita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Farmakokinetika piracetamu je lineárna pri rozpätí dávok od 0,8 do 12 g.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Farmakokinetické premenné ako polčas a klírens sa nemenia s ohľadom na dávku a trvanie liečby.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sz w:val="22"/>
          <w:szCs w:val="22"/>
          <w:u w:val="single"/>
        </w:rPr>
      </w:pPr>
      <w:r w:rsidRPr="00B1317A">
        <w:rPr>
          <w:rFonts w:ascii="Times New Roman" w:hAnsi="Times New Roman"/>
          <w:sz w:val="22"/>
          <w:szCs w:val="22"/>
          <w:u w:val="single"/>
        </w:rPr>
        <w:t>Osobitné skupiny pacientov</w:t>
      </w: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 xml:space="preserve">Starší pacienti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U starších pacientov sa polčas piracetamu zvyšuje, čo súvisí so zníženou funkciou obličiek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>v tejto skupine pacientov (pozri časť 4.2).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 xml:space="preserve">Porucha funkcie obličiek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>Klírens piracetamu koreluje s klírensom kreatinínu. Preto sa u pacientov s poruchou funkcie obličiek odporúča upraviť dennú dávku piracetamu podľa klírensu kreatinínu (pozri časť 4.2). U anurických jedincov v konečnom štádiu renálneho zlyhania sa eliminačný polčas piracetamu zvyšuje až na 59 hodín. Čiastočné odstránenie piracetamu dosahovalo 50 - 60 % pri obvyklej štvorhodinovej dialýze.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 xml:space="preserve">Porucha funkcie pečene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>Vplyv zhoršenia funkcie pečene na farmakokinetiku piracetamu sa nehodnotil. Pretože sa 80 - 100 % dávky vylučuje močom ako nezmenené liečivo, nepredpokladá sa, že by samotné zhoršenie funkcie pečene malo významný vplyv na elimináciu piracetamu.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 xml:space="preserve">Pohlavie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V jednej bioekvivalenčnej štúdii porovnávajúcej liekové formy pri dávke 2,4 g boli hodnoty Cmax a AUC približne o 30 % vyššie u žien (n = 6) v porovnaní s mužmi (n = 6). Hodnoty klírensu upravené na základe telesnej hmotnosti však boli porovnateľné.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 xml:space="preserve">Rasa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Formálne farmakokinetické štúdie vplyvu rasy nie sú vykonané. Porovnanie medzi štúdiami, ktorých sa zúčastnili jedinci bielej a žltej rasy však ukazujú, že farmakokinetika piracetamu bola u oboch rás porovnateľná.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>Pretože piracetam sa vylučuje primárne prostredníctvom obličiek a nie sú žiadne významné rozdiely medzi rasami, čo sa týka klírensu kreatinínu, rozdiely vo farmakokinetike spôsobené rasou sa nepredpokladajú.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i/>
          <w:sz w:val="22"/>
          <w:szCs w:val="22"/>
          <w:u w:val="single"/>
        </w:rPr>
      </w:pPr>
      <w:r w:rsidRPr="00B1317A">
        <w:rPr>
          <w:rFonts w:ascii="Times New Roman" w:hAnsi="Times New Roman"/>
          <w:i/>
          <w:sz w:val="22"/>
          <w:szCs w:val="22"/>
          <w:u w:val="single"/>
        </w:rPr>
        <w:t>Pediatrická populácia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Neuskutočnila sa žiadna formálna farmakokinetická štúdia zameraná na deti.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B1317A" w:rsidRDefault="00FE5C4F" w:rsidP="00FE5C4F">
      <w:pPr>
        <w:rPr>
          <w:rFonts w:ascii="Times New Roman" w:hAnsi="Times New Roman"/>
          <w:b/>
          <w:sz w:val="22"/>
          <w:szCs w:val="22"/>
        </w:rPr>
      </w:pPr>
      <w:r w:rsidRPr="00B1317A">
        <w:rPr>
          <w:rFonts w:ascii="Times New Roman" w:hAnsi="Times New Roman"/>
          <w:b/>
          <w:sz w:val="22"/>
          <w:szCs w:val="22"/>
        </w:rPr>
        <w:t>5.3</w:t>
      </w:r>
      <w:r w:rsidRPr="00B1317A">
        <w:rPr>
          <w:rFonts w:ascii="Times New Roman" w:hAnsi="Times New Roman"/>
          <w:b/>
          <w:sz w:val="22"/>
          <w:szCs w:val="22"/>
        </w:rPr>
        <w:tab/>
        <w:t xml:space="preserve">Predklinické údaje o bezpečnosti 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>Predklinické údaje naznačujú, že piracetam má nízky potenciál toxicity. Štúdie s jednorazovou dávkou nepreukázali žiadnu nezvratnú toxicitu po perorálnom podaní 10 g/kg u myší, laboratórnych potkanov a psov. Pri štúdiách chronickej toxicity s opakovanými dávkami sa nezistil žiadny cieľový orgán toxicity u myší (až 4,8 g/kg/deň) a laboratórnych potkanov (až 2,4 g/kg/deň). Po perorálnom podávaní piracetamu psom po dobu jedného roku v dávke, ktorá sa zvyšovala z 1 na 10 g/kg/deň, sa pozorovali mierne účinky na gastrointestinálny systém (vracanie, zmena konzistencie stolice, zvýšená spotreba vody). Podobne sa toxické účinky nepozorovali pri intravenóznom podávaní až 1 g/kg/deň počas 4-5 týždňov laboratórnym potkanom a psom.</w:t>
      </w: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</w:p>
    <w:p w:rsidR="00FE5C4F" w:rsidRPr="00FE5C4F" w:rsidRDefault="00FE5C4F" w:rsidP="00FE5C4F">
      <w:pPr>
        <w:rPr>
          <w:rFonts w:ascii="Times New Roman" w:hAnsi="Times New Roman"/>
          <w:sz w:val="22"/>
          <w:szCs w:val="22"/>
        </w:rPr>
      </w:pPr>
      <w:r w:rsidRPr="00FE5C4F">
        <w:rPr>
          <w:rFonts w:ascii="Times New Roman" w:hAnsi="Times New Roman"/>
          <w:sz w:val="22"/>
          <w:szCs w:val="22"/>
        </w:rPr>
        <w:t xml:space="preserve">V štúdiách in vitro a </w:t>
      </w:r>
      <w:r w:rsidRPr="00B1317A">
        <w:rPr>
          <w:rFonts w:ascii="Times New Roman" w:hAnsi="Times New Roman"/>
          <w:i/>
          <w:sz w:val="22"/>
          <w:szCs w:val="22"/>
        </w:rPr>
        <w:t>in vivo</w:t>
      </w:r>
      <w:r w:rsidRPr="00FE5C4F">
        <w:rPr>
          <w:rFonts w:ascii="Times New Roman" w:hAnsi="Times New Roman"/>
          <w:sz w:val="22"/>
          <w:szCs w:val="22"/>
        </w:rPr>
        <w:t xml:space="preserve"> sa nezistil potenciál genotoxicity ani kancerogénny potenciál. </w:t>
      </w:r>
    </w:p>
    <w:p w:rsidR="009B2771" w:rsidRDefault="009B2771">
      <w:pPr>
        <w:rPr>
          <w:rFonts w:ascii="Times New Roman" w:hAnsi="Times New Roman"/>
          <w:sz w:val="22"/>
          <w:szCs w:val="22"/>
        </w:rPr>
      </w:pPr>
    </w:p>
    <w:p w:rsidR="002947FF" w:rsidRPr="006923E4" w:rsidRDefault="002947FF">
      <w:pPr>
        <w:rPr>
          <w:rFonts w:ascii="Times New Roman" w:hAnsi="Times New Roman"/>
          <w:sz w:val="22"/>
          <w:szCs w:val="22"/>
        </w:rPr>
      </w:pPr>
    </w:p>
    <w:p w:rsidR="002947FF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</w:t>
      </w:r>
      <w:r w:rsidR="006923E4">
        <w:rPr>
          <w:rFonts w:ascii="Times New Roman" w:hAnsi="Times New Roman"/>
          <w:b/>
          <w:bCs/>
          <w:sz w:val="22"/>
          <w:szCs w:val="22"/>
        </w:rPr>
        <w:tab/>
      </w:r>
      <w:r w:rsidR="00B1317A">
        <w:rPr>
          <w:rFonts w:ascii="Times New Roman" w:hAnsi="Times New Roman"/>
          <w:b/>
          <w:bCs/>
          <w:sz w:val="22"/>
          <w:szCs w:val="22"/>
        </w:rPr>
        <w:t xml:space="preserve">FARMACEUTICKÉ </w:t>
      </w:r>
      <w:r w:rsidRPr="006923E4">
        <w:rPr>
          <w:rFonts w:ascii="Times New Roman" w:hAnsi="Times New Roman"/>
          <w:b/>
          <w:bCs/>
          <w:sz w:val="22"/>
          <w:szCs w:val="22"/>
        </w:rPr>
        <w:t>INFORMÁCIE</w:t>
      </w:r>
    </w:p>
    <w:p w:rsidR="00804D43" w:rsidRDefault="00804D43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6.1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Zoznam pomocných látok</w:t>
      </w:r>
    </w:p>
    <w:p w:rsidR="004865F8" w:rsidRDefault="004865F8" w:rsidP="004865F8">
      <w:pPr>
        <w:rPr>
          <w:rFonts w:ascii="Times New Roman" w:hAnsi="Times New Roman"/>
          <w:sz w:val="22"/>
          <w:szCs w:val="22"/>
        </w:rPr>
      </w:pPr>
    </w:p>
    <w:p w:rsidR="006659A2" w:rsidRDefault="004D67EB" w:rsidP="004865F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</w:t>
      </w:r>
      <w:r w:rsidR="004865F8" w:rsidRPr="006A1FB4">
        <w:rPr>
          <w:rFonts w:ascii="Times New Roman" w:hAnsi="Times New Roman"/>
          <w:sz w:val="22"/>
          <w:szCs w:val="22"/>
        </w:rPr>
        <w:t xml:space="preserve">vidón </w:t>
      </w:r>
      <w:r>
        <w:rPr>
          <w:rFonts w:ascii="Times New Roman" w:hAnsi="Times New Roman"/>
          <w:sz w:val="22"/>
          <w:szCs w:val="22"/>
        </w:rPr>
        <w:t xml:space="preserve">K </w:t>
      </w:r>
      <w:r w:rsidR="004865F8" w:rsidRPr="006A1FB4">
        <w:rPr>
          <w:rFonts w:ascii="Times New Roman" w:hAnsi="Times New Roman"/>
          <w:sz w:val="22"/>
          <w:szCs w:val="22"/>
        </w:rPr>
        <w:t>25,</w:t>
      </w:r>
    </w:p>
    <w:p w:rsidR="0045521D" w:rsidRDefault="00486D26" w:rsidP="0045521D">
      <w:pPr>
        <w:rPr>
          <w:rFonts w:ascii="Times New Roman" w:hAnsi="Times New Roman"/>
          <w:sz w:val="22"/>
          <w:szCs w:val="22"/>
        </w:rPr>
      </w:pPr>
      <w:r w:rsidRPr="006A1FB4">
        <w:rPr>
          <w:rFonts w:ascii="Times New Roman" w:hAnsi="Times New Roman"/>
          <w:sz w:val="22"/>
          <w:szCs w:val="22"/>
        </w:rPr>
        <w:t>koloidný</w:t>
      </w:r>
      <w:r>
        <w:rPr>
          <w:rFonts w:ascii="Times New Roman" w:hAnsi="Times New Roman"/>
          <w:sz w:val="22"/>
          <w:szCs w:val="22"/>
        </w:rPr>
        <w:t xml:space="preserve"> bezvodý </w:t>
      </w:r>
      <w:r w:rsidR="0045521D">
        <w:rPr>
          <w:rFonts w:ascii="Times New Roman" w:hAnsi="Times New Roman"/>
          <w:sz w:val="22"/>
          <w:szCs w:val="22"/>
        </w:rPr>
        <w:t>oxid kremičitý</w:t>
      </w:r>
      <w:r w:rsidR="007D7713">
        <w:rPr>
          <w:rFonts w:ascii="Times New Roman" w:hAnsi="Times New Roman"/>
          <w:sz w:val="22"/>
          <w:szCs w:val="22"/>
        </w:rPr>
        <w:t>,</w:t>
      </w:r>
      <w:r w:rsidRPr="006A1FB4" w:rsidDel="00486D26">
        <w:rPr>
          <w:rFonts w:ascii="Times New Roman" w:hAnsi="Times New Roman"/>
          <w:sz w:val="22"/>
          <w:szCs w:val="22"/>
        </w:rPr>
        <w:t xml:space="preserve"> </w:t>
      </w:r>
      <w:r w:rsidR="0045521D" w:rsidRPr="006A1FB4">
        <w:rPr>
          <w:rFonts w:ascii="Times New Roman" w:hAnsi="Times New Roman"/>
          <w:sz w:val="22"/>
          <w:szCs w:val="22"/>
        </w:rPr>
        <w:t xml:space="preserve"> </w:t>
      </w:r>
    </w:p>
    <w:p w:rsidR="0045521D" w:rsidRDefault="00522FD2" w:rsidP="0045521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stear</w:t>
      </w:r>
      <w:r w:rsidR="00E5292F">
        <w:rPr>
          <w:rFonts w:ascii="Times New Roman" w:hAnsi="Times New Roman"/>
          <w:sz w:val="22"/>
          <w:szCs w:val="22"/>
        </w:rPr>
        <w:t>át</w:t>
      </w:r>
      <w:r>
        <w:rPr>
          <w:rFonts w:ascii="Times New Roman" w:hAnsi="Times New Roman"/>
          <w:sz w:val="22"/>
          <w:szCs w:val="22"/>
        </w:rPr>
        <w:t xml:space="preserve"> horečnatý</w:t>
      </w:r>
    </w:p>
    <w:p w:rsidR="0045521D" w:rsidRDefault="00486D26" w:rsidP="004865F8">
      <w:pPr>
        <w:rPr>
          <w:rFonts w:ascii="Times New Roman" w:hAnsi="Times New Roman"/>
          <w:sz w:val="22"/>
          <w:szCs w:val="22"/>
        </w:rPr>
      </w:pPr>
      <w:r w:rsidRPr="006A1FB4">
        <w:rPr>
          <w:rFonts w:ascii="Times New Roman" w:hAnsi="Times New Roman"/>
          <w:sz w:val="22"/>
          <w:szCs w:val="22"/>
        </w:rPr>
        <w:t xml:space="preserve">sodná soľ </w:t>
      </w:r>
      <w:r w:rsidR="004865F8" w:rsidRPr="006A1FB4">
        <w:rPr>
          <w:rFonts w:ascii="Times New Roman" w:hAnsi="Times New Roman"/>
          <w:sz w:val="22"/>
          <w:szCs w:val="22"/>
        </w:rPr>
        <w:t>kroskarmelóz</w:t>
      </w:r>
      <w:r>
        <w:rPr>
          <w:rFonts w:ascii="Times New Roman" w:hAnsi="Times New Roman"/>
          <w:sz w:val="22"/>
          <w:szCs w:val="22"/>
        </w:rPr>
        <w:t>y</w:t>
      </w:r>
      <w:r w:rsidR="004865F8" w:rsidRPr="006A1FB4">
        <w:rPr>
          <w:rFonts w:ascii="Times New Roman" w:hAnsi="Times New Roman"/>
          <w:sz w:val="22"/>
          <w:szCs w:val="22"/>
        </w:rPr>
        <w:t>,</w:t>
      </w:r>
    </w:p>
    <w:p w:rsidR="006659A2" w:rsidRDefault="004865F8" w:rsidP="004865F8">
      <w:pPr>
        <w:rPr>
          <w:rFonts w:ascii="Times New Roman" w:hAnsi="Times New Roman"/>
          <w:sz w:val="22"/>
          <w:szCs w:val="22"/>
        </w:rPr>
      </w:pPr>
      <w:r w:rsidRPr="006A1FB4">
        <w:rPr>
          <w:rFonts w:ascii="Times New Roman" w:hAnsi="Times New Roman"/>
          <w:sz w:val="22"/>
          <w:szCs w:val="22"/>
        </w:rPr>
        <w:t>makrog</w:t>
      </w:r>
      <w:r w:rsidR="0045521D">
        <w:rPr>
          <w:rFonts w:ascii="Times New Roman" w:hAnsi="Times New Roman"/>
          <w:sz w:val="22"/>
          <w:szCs w:val="22"/>
        </w:rPr>
        <w:t>o</w:t>
      </w:r>
      <w:r w:rsidRPr="006A1FB4">
        <w:rPr>
          <w:rFonts w:ascii="Times New Roman" w:hAnsi="Times New Roman"/>
          <w:sz w:val="22"/>
          <w:szCs w:val="22"/>
        </w:rPr>
        <w:t xml:space="preserve">l 5000, </w:t>
      </w:r>
    </w:p>
    <w:p w:rsidR="0045521D" w:rsidRDefault="004865F8" w:rsidP="004865F8">
      <w:pPr>
        <w:rPr>
          <w:rFonts w:ascii="Times New Roman" w:hAnsi="Times New Roman"/>
          <w:sz w:val="22"/>
          <w:szCs w:val="22"/>
        </w:rPr>
      </w:pPr>
      <w:r w:rsidRPr="006A1FB4">
        <w:rPr>
          <w:rFonts w:ascii="Times New Roman" w:hAnsi="Times New Roman"/>
          <w:sz w:val="22"/>
          <w:szCs w:val="22"/>
        </w:rPr>
        <w:t xml:space="preserve">mastenec, </w:t>
      </w:r>
    </w:p>
    <w:p w:rsidR="006659A2" w:rsidRDefault="004865F8" w:rsidP="004865F8">
      <w:pPr>
        <w:rPr>
          <w:rFonts w:ascii="Times New Roman" w:hAnsi="Times New Roman"/>
          <w:sz w:val="22"/>
          <w:szCs w:val="22"/>
        </w:rPr>
      </w:pPr>
      <w:r w:rsidRPr="006A1FB4">
        <w:rPr>
          <w:rFonts w:ascii="Times New Roman" w:hAnsi="Times New Roman"/>
          <w:sz w:val="22"/>
          <w:szCs w:val="22"/>
        </w:rPr>
        <w:t xml:space="preserve">oxid titaničitý E 171, </w:t>
      </w:r>
    </w:p>
    <w:p w:rsidR="006659A2" w:rsidRDefault="004865F8" w:rsidP="004865F8">
      <w:pPr>
        <w:rPr>
          <w:rFonts w:ascii="Times New Roman" w:hAnsi="Times New Roman"/>
          <w:sz w:val="22"/>
          <w:szCs w:val="22"/>
        </w:rPr>
      </w:pPr>
      <w:r w:rsidRPr="006A1FB4">
        <w:rPr>
          <w:rFonts w:ascii="Times New Roman" w:hAnsi="Times New Roman"/>
          <w:sz w:val="22"/>
          <w:szCs w:val="22"/>
        </w:rPr>
        <w:t xml:space="preserve">hypromelóza 2910, </w:t>
      </w:r>
    </w:p>
    <w:p w:rsidR="006659A2" w:rsidRDefault="004865F8" w:rsidP="004865F8">
      <w:pPr>
        <w:rPr>
          <w:rFonts w:ascii="Times New Roman" w:hAnsi="Times New Roman"/>
          <w:sz w:val="22"/>
          <w:szCs w:val="22"/>
        </w:rPr>
      </w:pPr>
      <w:r w:rsidRPr="006A1FB4">
        <w:rPr>
          <w:rFonts w:ascii="Times New Roman" w:hAnsi="Times New Roman"/>
          <w:sz w:val="22"/>
          <w:szCs w:val="22"/>
        </w:rPr>
        <w:t xml:space="preserve">žltý oxid železitý E 172, </w:t>
      </w:r>
    </w:p>
    <w:p w:rsidR="006659A2" w:rsidRDefault="004865F8" w:rsidP="004865F8">
      <w:pPr>
        <w:rPr>
          <w:rFonts w:ascii="Times New Roman" w:hAnsi="Times New Roman"/>
          <w:sz w:val="22"/>
          <w:szCs w:val="22"/>
        </w:rPr>
      </w:pPr>
      <w:r w:rsidRPr="006A1FB4">
        <w:rPr>
          <w:rFonts w:ascii="Times New Roman" w:hAnsi="Times New Roman"/>
          <w:sz w:val="22"/>
          <w:szCs w:val="22"/>
        </w:rPr>
        <w:t xml:space="preserve">dimetikónová emulzia </w:t>
      </w:r>
      <w:r>
        <w:rPr>
          <w:rFonts w:ascii="Times New Roman" w:hAnsi="Times New Roman"/>
          <w:sz w:val="22"/>
          <w:szCs w:val="22"/>
        </w:rPr>
        <w:t>SE 2</w:t>
      </w:r>
      <w:r w:rsidRPr="006A1FB4">
        <w:rPr>
          <w:rFonts w:ascii="Times New Roman" w:hAnsi="Times New Roman"/>
          <w:sz w:val="22"/>
          <w:szCs w:val="22"/>
        </w:rPr>
        <w:t xml:space="preserve">, </w:t>
      </w:r>
    </w:p>
    <w:p w:rsidR="004865F8" w:rsidRPr="006A1FB4" w:rsidRDefault="004865F8" w:rsidP="004865F8">
      <w:pPr>
        <w:rPr>
          <w:rFonts w:ascii="Times New Roman" w:hAnsi="Times New Roman"/>
          <w:sz w:val="22"/>
          <w:szCs w:val="22"/>
        </w:rPr>
      </w:pPr>
      <w:r w:rsidRPr="006A1FB4">
        <w:rPr>
          <w:rFonts w:ascii="Times New Roman" w:hAnsi="Times New Roman"/>
          <w:sz w:val="22"/>
          <w:szCs w:val="22"/>
        </w:rPr>
        <w:t>polyakrylátová disperzia 30 %.</w:t>
      </w: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6.2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Inkompatibility</w:t>
      </w:r>
    </w:p>
    <w:p w:rsidR="004865F8" w:rsidRDefault="004865F8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sz w:val="22"/>
          <w:szCs w:val="22"/>
        </w:rPr>
        <w:t>Nie sú známe.</w:t>
      </w: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6.3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Pr="006923E4">
        <w:rPr>
          <w:rFonts w:ascii="Times New Roman" w:hAnsi="Times New Roman"/>
          <w:b/>
          <w:bCs/>
          <w:sz w:val="22"/>
          <w:szCs w:val="22"/>
        </w:rPr>
        <w:t>Čas použiteľnosti</w:t>
      </w:r>
    </w:p>
    <w:p w:rsidR="004865F8" w:rsidRDefault="004865F8">
      <w:pPr>
        <w:rPr>
          <w:rFonts w:ascii="Times New Roman" w:hAnsi="Times New Roman"/>
          <w:sz w:val="22"/>
          <w:szCs w:val="22"/>
        </w:rPr>
      </w:pPr>
    </w:p>
    <w:p w:rsidR="00FE5C4F" w:rsidRPr="006923E4" w:rsidRDefault="007A084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 roky </w:t>
      </w: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6.4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="004865F8">
        <w:rPr>
          <w:rFonts w:ascii="Times New Roman" w:hAnsi="Times New Roman"/>
          <w:b/>
          <w:bCs/>
          <w:sz w:val="22"/>
          <w:szCs w:val="22"/>
        </w:rPr>
        <w:t>Špeciálne upozornenia na uchovávanie</w:t>
      </w:r>
    </w:p>
    <w:p w:rsidR="0096099D" w:rsidRDefault="0096099D">
      <w:pPr>
        <w:rPr>
          <w:rFonts w:ascii="Times New Roman" w:hAnsi="Times New Roman"/>
          <w:sz w:val="22"/>
          <w:szCs w:val="22"/>
        </w:rPr>
      </w:pPr>
    </w:p>
    <w:p w:rsidR="009B2771" w:rsidRPr="006923E4" w:rsidRDefault="0096099D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Uchovávajte p</w:t>
      </w:r>
      <w:r w:rsidR="009B2771" w:rsidRPr="006923E4">
        <w:rPr>
          <w:rFonts w:ascii="Times New Roman" w:hAnsi="Times New Roman"/>
          <w:sz w:val="22"/>
          <w:szCs w:val="22"/>
        </w:rPr>
        <w:t>ri teplote do 25°C.</w:t>
      </w:r>
    </w:p>
    <w:p w:rsidR="00A62847" w:rsidRDefault="00A62847" w:rsidP="004865F8">
      <w:pPr>
        <w:rPr>
          <w:rFonts w:ascii="Times New Roman" w:hAnsi="Times New Roman"/>
          <w:b/>
          <w:bCs/>
          <w:sz w:val="22"/>
          <w:szCs w:val="22"/>
        </w:rPr>
      </w:pPr>
    </w:p>
    <w:p w:rsidR="004865F8" w:rsidRPr="009A6E6F" w:rsidRDefault="009B2771" w:rsidP="004865F8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6.5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="004865F8">
        <w:rPr>
          <w:rFonts w:ascii="Times New Roman" w:hAnsi="Times New Roman"/>
          <w:b/>
          <w:bCs/>
          <w:sz w:val="22"/>
          <w:szCs w:val="22"/>
        </w:rPr>
        <w:t>Druh obalu a obsah balenia</w:t>
      </w: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193A59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sz w:val="22"/>
          <w:szCs w:val="22"/>
        </w:rPr>
        <w:t>A</w:t>
      </w:r>
      <w:r w:rsidR="0085741E">
        <w:rPr>
          <w:rFonts w:ascii="Times New Roman" w:hAnsi="Times New Roman"/>
          <w:sz w:val="22"/>
          <w:szCs w:val="22"/>
        </w:rPr>
        <w:t>LU</w:t>
      </w:r>
      <w:r w:rsidRPr="006923E4">
        <w:rPr>
          <w:rFonts w:ascii="Times New Roman" w:hAnsi="Times New Roman"/>
          <w:sz w:val="22"/>
          <w:szCs w:val="22"/>
        </w:rPr>
        <w:t>/PVC blister, písomná</w:t>
      </w:r>
      <w:r w:rsidR="009B2771" w:rsidRPr="006923E4">
        <w:rPr>
          <w:rFonts w:ascii="Times New Roman" w:hAnsi="Times New Roman"/>
          <w:sz w:val="22"/>
          <w:szCs w:val="22"/>
        </w:rPr>
        <w:t xml:space="preserve"> informácia</w:t>
      </w:r>
      <w:r w:rsidR="008F26A9" w:rsidRPr="006923E4">
        <w:rPr>
          <w:rFonts w:ascii="Times New Roman" w:hAnsi="Times New Roman"/>
          <w:sz w:val="22"/>
          <w:szCs w:val="22"/>
        </w:rPr>
        <w:t xml:space="preserve"> pre používateľ</w:t>
      </w:r>
      <w:r w:rsidR="0096099D">
        <w:rPr>
          <w:rFonts w:ascii="Times New Roman" w:hAnsi="Times New Roman"/>
          <w:sz w:val="22"/>
          <w:szCs w:val="22"/>
        </w:rPr>
        <w:t>a</w:t>
      </w:r>
      <w:r w:rsidR="008F26A9" w:rsidRPr="006923E4">
        <w:rPr>
          <w:rFonts w:ascii="Times New Roman" w:hAnsi="Times New Roman"/>
          <w:sz w:val="22"/>
          <w:szCs w:val="22"/>
        </w:rPr>
        <w:t>, papierová škatuľa</w:t>
      </w:r>
    </w:p>
    <w:p w:rsidR="009B2771" w:rsidRPr="006923E4" w:rsidRDefault="009B2771">
      <w:pPr>
        <w:rPr>
          <w:rFonts w:ascii="Times New Roman" w:hAnsi="Times New Roman"/>
          <w:sz w:val="22"/>
          <w:szCs w:val="22"/>
        </w:rPr>
      </w:pPr>
      <w:r w:rsidRPr="006923E4">
        <w:rPr>
          <w:rFonts w:ascii="Times New Roman" w:hAnsi="Times New Roman"/>
          <w:sz w:val="22"/>
          <w:szCs w:val="22"/>
        </w:rPr>
        <w:t xml:space="preserve">balenie po 30, </w:t>
      </w:r>
      <w:r w:rsidR="007D7713">
        <w:rPr>
          <w:rFonts w:ascii="Times New Roman" w:hAnsi="Times New Roman"/>
          <w:sz w:val="22"/>
          <w:szCs w:val="22"/>
        </w:rPr>
        <w:t>5</w:t>
      </w:r>
      <w:r w:rsidRPr="006923E4">
        <w:rPr>
          <w:rFonts w:ascii="Times New Roman" w:hAnsi="Times New Roman"/>
          <w:sz w:val="22"/>
          <w:szCs w:val="22"/>
        </w:rPr>
        <w:t>0 alebo 1</w:t>
      </w:r>
      <w:r w:rsidR="007D7713">
        <w:rPr>
          <w:rFonts w:ascii="Times New Roman" w:hAnsi="Times New Roman"/>
          <w:sz w:val="22"/>
          <w:szCs w:val="22"/>
        </w:rPr>
        <w:t>0</w:t>
      </w:r>
      <w:r w:rsidRPr="006923E4">
        <w:rPr>
          <w:rFonts w:ascii="Times New Roman" w:hAnsi="Times New Roman"/>
          <w:sz w:val="22"/>
          <w:szCs w:val="22"/>
        </w:rPr>
        <w:t xml:space="preserve">0 filmom obalených tabliet. </w:t>
      </w:r>
    </w:p>
    <w:p w:rsidR="009B2771" w:rsidRDefault="009B2771">
      <w:pPr>
        <w:rPr>
          <w:rFonts w:ascii="Times New Roman" w:hAnsi="Times New Roman"/>
          <w:sz w:val="22"/>
          <w:szCs w:val="22"/>
        </w:rPr>
      </w:pPr>
    </w:p>
    <w:p w:rsidR="004865F8" w:rsidRDefault="004865F8" w:rsidP="004865F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trh nemusia byť uvedené všetky veľkosti balenia.</w:t>
      </w:r>
    </w:p>
    <w:p w:rsidR="004865F8" w:rsidRPr="006923E4" w:rsidRDefault="004865F8">
      <w:pPr>
        <w:rPr>
          <w:rFonts w:ascii="Times New Roman" w:hAnsi="Times New Roman"/>
          <w:sz w:val="22"/>
          <w:szCs w:val="22"/>
        </w:rPr>
      </w:pPr>
    </w:p>
    <w:p w:rsidR="004865F8" w:rsidRPr="009A6E6F" w:rsidRDefault="009B2771" w:rsidP="004865F8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6.6</w:t>
      </w:r>
      <w:r w:rsidR="006659A2">
        <w:rPr>
          <w:rFonts w:ascii="Times New Roman" w:hAnsi="Times New Roman"/>
          <w:b/>
          <w:bCs/>
          <w:sz w:val="22"/>
          <w:szCs w:val="22"/>
        </w:rPr>
        <w:tab/>
      </w:r>
      <w:r w:rsidR="004865F8">
        <w:rPr>
          <w:rFonts w:ascii="Times New Roman" w:hAnsi="Times New Roman"/>
          <w:b/>
          <w:bCs/>
          <w:sz w:val="22"/>
          <w:szCs w:val="22"/>
        </w:rPr>
        <w:t>Špeciálne opatrenia na likvidáciu</w:t>
      </w:r>
    </w:p>
    <w:p w:rsidR="0045521D" w:rsidRDefault="0045521D">
      <w:pPr>
        <w:rPr>
          <w:rFonts w:ascii="Times New Roman" w:hAnsi="Times New Roman"/>
          <w:sz w:val="22"/>
          <w:szCs w:val="22"/>
        </w:rPr>
      </w:pPr>
    </w:p>
    <w:p w:rsidR="009B2771" w:rsidRPr="006923E4" w:rsidRDefault="004865F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Žiadne zvláštne požiadavky.</w:t>
      </w:r>
    </w:p>
    <w:p w:rsidR="0045521D" w:rsidRPr="009A6E6F" w:rsidRDefault="0045521D" w:rsidP="0045521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Nepoužitý liek alebo odpad vzniknutý z lieku treba vrátiť do lekárne.</w:t>
      </w:r>
    </w:p>
    <w:p w:rsidR="009B2771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6659A2" w:rsidRPr="006923E4" w:rsidRDefault="006659A2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7.</w:t>
      </w:r>
      <w:r w:rsidR="006923E4">
        <w:rPr>
          <w:rFonts w:ascii="Times New Roman" w:hAnsi="Times New Roman"/>
          <w:b/>
          <w:bCs/>
          <w:sz w:val="22"/>
          <w:szCs w:val="22"/>
        </w:rPr>
        <w:tab/>
      </w:r>
      <w:r w:rsidR="004865F8" w:rsidRPr="006923E4">
        <w:rPr>
          <w:rFonts w:ascii="Times New Roman" w:hAnsi="Times New Roman"/>
          <w:b/>
          <w:bCs/>
          <w:sz w:val="22"/>
          <w:szCs w:val="22"/>
        </w:rPr>
        <w:t>DRŽITEĽ ROZHODNUTIA O REGISTRÁCII</w:t>
      </w:r>
    </w:p>
    <w:p w:rsidR="006659A2" w:rsidRDefault="006659A2">
      <w:pPr>
        <w:rPr>
          <w:rFonts w:ascii="Times New Roman" w:hAnsi="Times New Roman"/>
          <w:sz w:val="22"/>
          <w:szCs w:val="22"/>
        </w:rPr>
      </w:pPr>
    </w:p>
    <w:p w:rsidR="007A084D" w:rsidRPr="00C24AEA" w:rsidRDefault="007A084D" w:rsidP="007A084D">
      <w:pPr>
        <w:rPr>
          <w:rFonts w:ascii="Times New Roman" w:hAnsi="Times New Roman"/>
          <w:bCs/>
          <w:sz w:val="22"/>
          <w:szCs w:val="22"/>
        </w:rPr>
      </w:pPr>
      <w:r w:rsidRPr="00C24AEA">
        <w:rPr>
          <w:rFonts w:ascii="Times New Roman" w:hAnsi="Times New Roman"/>
          <w:bCs/>
          <w:sz w:val="22"/>
          <w:szCs w:val="22"/>
        </w:rPr>
        <w:t>STADA Arzneimittel AG</w:t>
      </w:r>
    </w:p>
    <w:p w:rsidR="007A084D" w:rsidRPr="00C24AEA" w:rsidRDefault="007A084D" w:rsidP="007A084D">
      <w:pPr>
        <w:rPr>
          <w:rFonts w:ascii="Times New Roman" w:hAnsi="Times New Roman"/>
          <w:bCs/>
          <w:sz w:val="22"/>
          <w:szCs w:val="22"/>
        </w:rPr>
      </w:pPr>
      <w:r w:rsidRPr="00C24AEA">
        <w:rPr>
          <w:rFonts w:ascii="Times New Roman" w:hAnsi="Times New Roman"/>
          <w:bCs/>
          <w:sz w:val="22"/>
          <w:szCs w:val="22"/>
        </w:rPr>
        <w:t>Stadastrasse 2-18</w:t>
      </w:r>
    </w:p>
    <w:p w:rsidR="007A084D" w:rsidRPr="00C24AEA" w:rsidRDefault="007A084D" w:rsidP="007A084D">
      <w:pPr>
        <w:rPr>
          <w:rFonts w:ascii="Times New Roman" w:hAnsi="Times New Roman"/>
          <w:bCs/>
          <w:sz w:val="22"/>
          <w:szCs w:val="22"/>
        </w:rPr>
      </w:pPr>
      <w:r w:rsidRPr="00C24AEA">
        <w:rPr>
          <w:rFonts w:ascii="Times New Roman" w:hAnsi="Times New Roman"/>
          <w:bCs/>
          <w:sz w:val="22"/>
          <w:szCs w:val="22"/>
        </w:rPr>
        <w:t>61118 Bad Vilbel</w:t>
      </w:r>
    </w:p>
    <w:p w:rsidR="007A084D" w:rsidRPr="00C24AEA" w:rsidRDefault="007A084D" w:rsidP="007A084D">
      <w:pPr>
        <w:rPr>
          <w:rFonts w:ascii="Times New Roman" w:hAnsi="Times New Roman"/>
          <w:bCs/>
          <w:sz w:val="22"/>
          <w:szCs w:val="22"/>
        </w:rPr>
      </w:pPr>
      <w:r w:rsidRPr="00C24AEA">
        <w:rPr>
          <w:rFonts w:ascii="Times New Roman" w:hAnsi="Times New Roman"/>
          <w:bCs/>
          <w:sz w:val="22"/>
          <w:szCs w:val="22"/>
        </w:rPr>
        <w:t>Nemecko</w:t>
      </w:r>
    </w:p>
    <w:p w:rsidR="009B2771" w:rsidRPr="007D7713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6659A2" w:rsidRPr="007D7713" w:rsidRDefault="006659A2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7D7713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7D7713">
        <w:rPr>
          <w:rFonts w:ascii="Times New Roman" w:hAnsi="Times New Roman"/>
          <w:b/>
          <w:bCs/>
          <w:sz w:val="22"/>
          <w:szCs w:val="22"/>
        </w:rPr>
        <w:t>8.</w:t>
      </w:r>
      <w:r w:rsidR="004865F8" w:rsidRPr="007D7713">
        <w:rPr>
          <w:rFonts w:ascii="Times New Roman" w:hAnsi="Times New Roman"/>
          <w:b/>
          <w:bCs/>
          <w:sz w:val="22"/>
          <w:szCs w:val="22"/>
        </w:rPr>
        <w:tab/>
        <w:t>REGISTRAČNÉ ČÍSLO</w:t>
      </w:r>
    </w:p>
    <w:p w:rsidR="006659A2" w:rsidRPr="007D7713" w:rsidRDefault="006659A2">
      <w:pPr>
        <w:rPr>
          <w:rFonts w:ascii="Times New Roman" w:hAnsi="Times New Roman"/>
          <w:sz w:val="22"/>
          <w:szCs w:val="22"/>
        </w:rPr>
      </w:pPr>
    </w:p>
    <w:p w:rsidR="009B2771" w:rsidRPr="007D7713" w:rsidRDefault="007D7713">
      <w:pPr>
        <w:rPr>
          <w:rFonts w:ascii="Times New Roman" w:hAnsi="Times New Roman"/>
          <w:color w:val="05121F"/>
          <w:sz w:val="22"/>
          <w:szCs w:val="22"/>
          <w:shd w:val="clear" w:color="auto" w:fill="FFFFFF"/>
        </w:rPr>
      </w:pPr>
      <w:r w:rsidRPr="007D7713">
        <w:rPr>
          <w:rFonts w:ascii="Times New Roman" w:hAnsi="Times New Roman"/>
          <w:color w:val="05121F"/>
          <w:sz w:val="22"/>
          <w:szCs w:val="22"/>
          <w:shd w:val="clear" w:color="auto" w:fill="FFFFFF"/>
        </w:rPr>
        <w:t>06/0678/92-C</w:t>
      </w:r>
    </w:p>
    <w:p w:rsidR="007D7713" w:rsidRPr="007D7713" w:rsidRDefault="007D7713">
      <w:pPr>
        <w:rPr>
          <w:rFonts w:ascii="Times New Roman" w:hAnsi="Times New Roman"/>
          <w:b/>
          <w:bCs/>
          <w:sz w:val="22"/>
          <w:szCs w:val="22"/>
        </w:rPr>
      </w:pPr>
    </w:p>
    <w:p w:rsidR="006659A2" w:rsidRPr="007D7713" w:rsidRDefault="006659A2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7D7713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7D7713">
        <w:rPr>
          <w:rFonts w:ascii="Times New Roman" w:hAnsi="Times New Roman"/>
          <w:b/>
          <w:bCs/>
          <w:sz w:val="22"/>
          <w:szCs w:val="22"/>
        </w:rPr>
        <w:t>9.</w:t>
      </w:r>
      <w:r w:rsidR="004865F8" w:rsidRPr="007D7713">
        <w:rPr>
          <w:rFonts w:ascii="Times New Roman" w:hAnsi="Times New Roman"/>
          <w:b/>
          <w:bCs/>
          <w:sz w:val="22"/>
          <w:szCs w:val="22"/>
        </w:rPr>
        <w:tab/>
        <w:t>DÁTUM PRVEJ REGISTRÁCIE/PREDĹŽENIA REGISTRÁCIE:</w:t>
      </w:r>
    </w:p>
    <w:p w:rsidR="004865F8" w:rsidRPr="007D7713" w:rsidRDefault="004865F8">
      <w:pPr>
        <w:rPr>
          <w:rFonts w:ascii="Times New Roman" w:hAnsi="Times New Roman"/>
          <w:sz w:val="22"/>
          <w:szCs w:val="22"/>
        </w:rPr>
      </w:pPr>
    </w:p>
    <w:p w:rsidR="007D7713" w:rsidRPr="007D7713" w:rsidRDefault="007D7713" w:rsidP="007D7713">
      <w:pPr>
        <w:rPr>
          <w:rFonts w:ascii="Times New Roman" w:hAnsi="Times New Roman"/>
          <w:sz w:val="22"/>
          <w:szCs w:val="22"/>
        </w:rPr>
      </w:pPr>
      <w:r w:rsidRPr="007D7713">
        <w:rPr>
          <w:rFonts w:ascii="Times New Roman" w:hAnsi="Times New Roman"/>
          <w:sz w:val="22"/>
          <w:szCs w:val="22"/>
        </w:rPr>
        <w:t>Dátum prvej registrácie: 23. septembra 1992</w:t>
      </w:r>
    </w:p>
    <w:p w:rsidR="007D7713" w:rsidRPr="009A6E6F" w:rsidRDefault="007D7713" w:rsidP="007D7713">
      <w:pPr>
        <w:rPr>
          <w:rFonts w:ascii="Times New Roman" w:hAnsi="Times New Roman"/>
          <w:sz w:val="22"/>
          <w:szCs w:val="22"/>
        </w:rPr>
      </w:pPr>
      <w:r w:rsidRPr="007D7713">
        <w:rPr>
          <w:rFonts w:ascii="Times New Roman" w:hAnsi="Times New Roman"/>
          <w:sz w:val="22"/>
          <w:szCs w:val="22"/>
        </w:rPr>
        <w:t>Dátum posledného</w:t>
      </w:r>
      <w:r>
        <w:rPr>
          <w:rFonts w:ascii="Times New Roman" w:hAnsi="Times New Roman"/>
          <w:sz w:val="22"/>
          <w:szCs w:val="22"/>
        </w:rPr>
        <w:t xml:space="preserve"> predĺženia registrácie: 27.decembra 2002</w:t>
      </w:r>
    </w:p>
    <w:p w:rsidR="009B2771" w:rsidRDefault="009B2771">
      <w:pPr>
        <w:rPr>
          <w:rFonts w:ascii="Times New Roman" w:hAnsi="Times New Roman"/>
          <w:b/>
          <w:bCs/>
          <w:sz w:val="22"/>
          <w:szCs w:val="22"/>
        </w:rPr>
      </w:pPr>
    </w:p>
    <w:p w:rsidR="006659A2" w:rsidRPr="006923E4" w:rsidRDefault="006659A2">
      <w:pPr>
        <w:rPr>
          <w:rFonts w:ascii="Times New Roman" w:hAnsi="Times New Roman"/>
          <w:b/>
          <w:bCs/>
          <w:sz w:val="22"/>
          <w:szCs w:val="22"/>
        </w:rPr>
      </w:pPr>
    </w:p>
    <w:p w:rsidR="009B2771" w:rsidRPr="006923E4" w:rsidRDefault="009B2771">
      <w:pPr>
        <w:rPr>
          <w:rFonts w:ascii="Times New Roman" w:hAnsi="Times New Roman"/>
          <w:b/>
          <w:bCs/>
          <w:sz w:val="22"/>
          <w:szCs w:val="22"/>
        </w:rPr>
      </w:pPr>
      <w:r w:rsidRPr="006923E4">
        <w:rPr>
          <w:rFonts w:ascii="Times New Roman" w:hAnsi="Times New Roman"/>
          <w:b/>
          <w:bCs/>
          <w:sz w:val="22"/>
          <w:szCs w:val="22"/>
        </w:rPr>
        <w:t>10.</w:t>
      </w:r>
      <w:r w:rsidR="004865F8">
        <w:rPr>
          <w:rFonts w:ascii="Times New Roman" w:hAnsi="Times New Roman"/>
          <w:b/>
          <w:bCs/>
          <w:sz w:val="22"/>
          <w:szCs w:val="22"/>
        </w:rPr>
        <w:tab/>
      </w:r>
      <w:r w:rsidR="004865F8" w:rsidRPr="006923E4">
        <w:rPr>
          <w:rFonts w:ascii="Times New Roman" w:hAnsi="Times New Roman"/>
          <w:b/>
          <w:bCs/>
          <w:sz w:val="22"/>
          <w:szCs w:val="22"/>
        </w:rPr>
        <w:t>DÁTUM REVÍZIE TEXTU</w:t>
      </w:r>
    </w:p>
    <w:p w:rsidR="004865F8" w:rsidRDefault="004865F8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9B2771" w:rsidRPr="006923E4" w:rsidRDefault="00522FD2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05/20</w:t>
      </w:r>
      <w:r w:rsidR="00593130">
        <w:rPr>
          <w:rFonts w:ascii="Times New Roman" w:hAnsi="Times New Roman"/>
          <w:sz w:val="22"/>
          <w:szCs w:val="22"/>
        </w:rPr>
        <w:t>20</w:t>
      </w:r>
    </w:p>
    <w:sectPr w:rsidR="009B2771" w:rsidRPr="006923E4" w:rsidSect="00857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A06" w:rsidRDefault="009F0A06">
      <w:r>
        <w:separator/>
      </w:r>
    </w:p>
  </w:endnote>
  <w:endnote w:type="continuationSeparator" w:id="1">
    <w:p w:rsidR="009F0A06" w:rsidRDefault="009F0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5A6" w:rsidRDefault="006615A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91" w:rsidRPr="00B1317A" w:rsidRDefault="00F545F1">
    <w:pPr>
      <w:pStyle w:val="Pta"/>
      <w:jc w:val="center"/>
      <w:rPr>
        <w:rFonts w:ascii="Times New Roman" w:hAnsi="Times New Roman"/>
        <w:sz w:val="18"/>
        <w:szCs w:val="18"/>
      </w:rPr>
    </w:pPr>
    <w:r w:rsidRPr="00B1317A">
      <w:rPr>
        <w:rFonts w:ascii="Times New Roman" w:hAnsi="Times New Roman"/>
        <w:sz w:val="18"/>
        <w:szCs w:val="18"/>
      </w:rPr>
      <w:fldChar w:fldCharType="begin"/>
    </w:r>
    <w:r w:rsidR="00051491" w:rsidRPr="00B1317A">
      <w:rPr>
        <w:rFonts w:ascii="Times New Roman" w:hAnsi="Times New Roman"/>
        <w:sz w:val="18"/>
        <w:szCs w:val="18"/>
      </w:rPr>
      <w:instrText>PAGE   \* MERGEFORMAT</w:instrText>
    </w:r>
    <w:r w:rsidRPr="00B1317A">
      <w:rPr>
        <w:rFonts w:ascii="Times New Roman" w:hAnsi="Times New Roman"/>
        <w:sz w:val="18"/>
        <w:szCs w:val="18"/>
      </w:rPr>
      <w:fldChar w:fldCharType="separate"/>
    </w:r>
    <w:r w:rsidR="006F5802">
      <w:rPr>
        <w:rFonts w:ascii="Times New Roman" w:hAnsi="Times New Roman"/>
        <w:noProof/>
        <w:sz w:val="18"/>
        <w:szCs w:val="18"/>
      </w:rPr>
      <w:t>9</w:t>
    </w:r>
    <w:r w:rsidRPr="00B1317A">
      <w:rPr>
        <w:rFonts w:ascii="Times New Roman" w:hAnsi="Times New Roman"/>
        <w:sz w:val="18"/>
        <w:szCs w:val="18"/>
      </w:rPr>
      <w:fldChar w:fldCharType="end"/>
    </w:r>
  </w:p>
  <w:p w:rsidR="00F02AFB" w:rsidRPr="00B1317A" w:rsidRDefault="00F02AFB">
    <w:pPr>
      <w:pStyle w:val="Pta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997" w:rsidRPr="00AD55B1" w:rsidRDefault="00F545F1">
    <w:pPr>
      <w:pStyle w:val="Pta"/>
      <w:jc w:val="center"/>
      <w:rPr>
        <w:rFonts w:ascii="Times New Roman" w:hAnsi="Times New Roman"/>
        <w:sz w:val="18"/>
        <w:szCs w:val="18"/>
      </w:rPr>
    </w:pPr>
    <w:r w:rsidRPr="00AD55B1">
      <w:rPr>
        <w:rFonts w:ascii="Times New Roman" w:hAnsi="Times New Roman"/>
        <w:sz w:val="18"/>
        <w:szCs w:val="18"/>
      </w:rPr>
      <w:fldChar w:fldCharType="begin"/>
    </w:r>
    <w:r w:rsidR="00426997" w:rsidRPr="00AD55B1">
      <w:rPr>
        <w:rFonts w:ascii="Times New Roman" w:hAnsi="Times New Roman"/>
        <w:sz w:val="18"/>
        <w:szCs w:val="18"/>
      </w:rPr>
      <w:instrText>PAGE   \* MERGEFORMAT</w:instrText>
    </w:r>
    <w:r w:rsidRPr="00AD55B1">
      <w:rPr>
        <w:rFonts w:ascii="Times New Roman" w:hAnsi="Times New Roman"/>
        <w:sz w:val="18"/>
        <w:szCs w:val="18"/>
      </w:rPr>
      <w:fldChar w:fldCharType="separate"/>
    </w:r>
    <w:r w:rsidR="006F5802">
      <w:rPr>
        <w:rFonts w:ascii="Times New Roman" w:hAnsi="Times New Roman"/>
        <w:noProof/>
        <w:sz w:val="18"/>
        <w:szCs w:val="18"/>
      </w:rPr>
      <w:t>1</w:t>
    </w:r>
    <w:r w:rsidRPr="00AD55B1">
      <w:rPr>
        <w:rFonts w:ascii="Times New Roman" w:hAnsi="Times New Roman"/>
        <w:sz w:val="18"/>
        <w:szCs w:val="18"/>
      </w:rPr>
      <w:fldChar w:fldCharType="end"/>
    </w:r>
  </w:p>
  <w:p w:rsidR="00426997" w:rsidRPr="00426997" w:rsidRDefault="00426997">
    <w:pPr>
      <w:pStyle w:val="Pta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A06" w:rsidRDefault="009F0A06">
      <w:r>
        <w:separator/>
      </w:r>
    </w:p>
  </w:footnote>
  <w:footnote w:type="continuationSeparator" w:id="1">
    <w:p w:rsidR="009F0A06" w:rsidRDefault="009F0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5A6" w:rsidRDefault="006615A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5A6" w:rsidRPr="00E5292F" w:rsidRDefault="006615A6" w:rsidP="006615A6">
    <w:pPr>
      <w:pStyle w:val="Nzov"/>
      <w:jc w:val="left"/>
      <w:rPr>
        <w:b w:val="0"/>
        <w:bCs/>
        <w:sz w:val="18"/>
        <w:szCs w:val="18"/>
      </w:rPr>
    </w:pPr>
    <w:r>
      <w:rPr>
        <w:b w:val="0"/>
        <w:bCs/>
        <w:sz w:val="18"/>
        <w:szCs w:val="18"/>
      </w:rPr>
      <w:t>Príloha č. 1 k notifikácii o zmene, ev. č. 2020/2293-Z1B</w:t>
    </w:r>
  </w:p>
  <w:p w:rsidR="0085741E" w:rsidRDefault="0085741E">
    <w:pPr>
      <w:pStyle w:val="Hlavika"/>
    </w:pPr>
  </w:p>
  <w:p w:rsidR="0085741E" w:rsidRDefault="0085741E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2F" w:rsidRPr="00E5292F" w:rsidRDefault="00E5292F" w:rsidP="00E5292F">
    <w:pPr>
      <w:pStyle w:val="Nzov"/>
      <w:jc w:val="left"/>
      <w:rPr>
        <w:b w:val="0"/>
        <w:bCs/>
        <w:sz w:val="18"/>
        <w:szCs w:val="18"/>
      </w:rPr>
    </w:pPr>
    <w:r>
      <w:rPr>
        <w:b w:val="0"/>
        <w:bCs/>
        <w:sz w:val="18"/>
        <w:szCs w:val="18"/>
      </w:rPr>
      <w:t>Príloha č. 1 k notifikácii o zmene, ev. č. 2020/</w:t>
    </w:r>
    <w:r w:rsidR="00E834E8">
      <w:rPr>
        <w:b w:val="0"/>
        <w:bCs/>
        <w:sz w:val="18"/>
        <w:szCs w:val="18"/>
      </w:rPr>
      <w:t>2293-Z1B</w:t>
    </w:r>
  </w:p>
  <w:p w:rsidR="0085741E" w:rsidRDefault="0085741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0E7A"/>
    <w:multiLevelType w:val="hybridMultilevel"/>
    <w:tmpl w:val="C0AAAC80"/>
    <w:lvl w:ilvl="0" w:tplc="1B9C8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6C1168">
      <w:numFmt w:val="none"/>
      <w:lvlText w:val=""/>
      <w:lvlJc w:val="left"/>
      <w:pPr>
        <w:tabs>
          <w:tab w:val="num" w:pos="360"/>
        </w:tabs>
      </w:pPr>
    </w:lvl>
    <w:lvl w:ilvl="2" w:tplc="3DA41B42">
      <w:numFmt w:val="none"/>
      <w:lvlText w:val=""/>
      <w:lvlJc w:val="left"/>
      <w:pPr>
        <w:tabs>
          <w:tab w:val="num" w:pos="360"/>
        </w:tabs>
      </w:pPr>
    </w:lvl>
    <w:lvl w:ilvl="3" w:tplc="F99675E6">
      <w:numFmt w:val="none"/>
      <w:lvlText w:val=""/>
      <w:lvlJc w:val="left"/>
      <w:pPr>
        <w:tabs>
          <w:tab w:val="num" w:pos="360"/>
        </w:tabs>
      </w:pPr>
    </w:lvl>
    <w:lvl w:ilvl="4" w:tplc="572EE190">
      <w:numFmt w:val="none"/>
      <w:lvlText w:val=""/>
      <w:lvlJc w:val="left"/>
      <w:pPr>
        <w:tabs>
          <w:tab w:val="num" w:pos="360"/>
        </w:tabs>
      </w:pPr>
    </w:lvl>
    <w:lvl w:ilvl="5" w:tplc="F21CD996">
      <w:numFmt w:val="none"/>
      <w:lvlText w:val=""/>
      <w:lvlJc w:val="left"/>
      <w:pPr>
        <w:tabs>
          <w:tab w:val="num" w:pos="360"/>
        </w:tabs>
      </w:pPr>
    </w:lvl>
    <w:lvl w:ilvl="6" w:tplc="CAB8A352">
      <w:numFmt w:val="none"/>
      <w:lvlText w:val=""/>
      <w:lvlJc w:val="left"/>
      <w:pPr>
        <w:tabs>
          <w:tab w:val="num" w:pos="360"/>
        </w:tabs>
      </w:pPr>
    </w:lvl>
    <w:lvl w:ilvl="7" w:tplc="2DB2664C">
      <w:numFmt w:val="none"/>
      <w:lvlText w:val=""/>
      <w:lvlJc w:val="left"/>
      <w:pPr>
        <w:tabs>
          <w:tab w:val="num" w:pos="360"/>
        </w:tabs>
      </w:pPr>
    </w:lvl>
    <w:lvl w:ilvl="8" w:tplc="E6A27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9E5235D"/>
    <w:multiLevelType w:val="hybridMultilevel"/>
    <w:tmpl w:val="ABDA61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CC253B"/>
    <w:multiLevelType w:val="hybridMultilevel"/>
    <w:tmpl w:val="8314094E"/>
    <w:lvl w:ilvl="0" w:tplc="C1D6BF96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4A4B40"/>
    <w:multiLevelType w:val="hybridMultilevel"/>
    <w:tmpl w:val="3C02A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326CEC"/>
    <w:multiLevelType w:val="hybridMultilevel"/>
    <w:tmpl w:val="55982A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61204A5"/>
    <w:multiLevelType w:val="hybridMultilevel"/>
    <w:tmpl w:val="7130B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4A29D5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444A17"/>
    <w:multiLevelType w:val="hybridMultilevel"/>
    <w:tmpl w:val="D5EA004A"/>
    <w:lvl w:ilvl="0" w:tplc="B3DA56A2">
      <w:start w:val="1"/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16"/>
  </w:num>
  <w:num w:numId="6">
    <w:abstractNumId w:val="14"/>
  </w:num>
  <w:num w:numId="7">
    <w:abstractNumId w:val="2"/>
  </w:num>
  <w:num w:numId="8">
    <w:abstractNumId w:val="6"/>
  </w:num>
  <w:num w:numId="9">
    <w:abstractNumId w:val="4"/>
  </w:num>
  <w:num w:numId="10">
    <w:abstractNumId w:val="12"/>
  </w:num>
  <w:num w:numId="11">
    <w:abstractNumId w:val="7"/>
  </w:num>
  <w:num w:numId="12">
    <w:abstractNumId w:val="11"/>
  </w:num>
  <w:num w:numId="13">
    <w:abstractNumId w:val="15"/>
  </w:num>
  <w:num w:numId="14">
    <w:abstractNumId w:val="17"/>
  </w:num>
  <w:num w:numId="15">
    <w:abstractNumId w:val="13"/>
  </w:num>
  <w:num w:numId="16">
    <w:abstractNumId w:val="9"/>
  </w:num>
  <w:num w:numId="17">
    <w:abstractNumId w:val="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42B"/>
    <w:rsid w:val="000041E3"/>
    <w:rsid w:val="00026BCB"/>
    <w:rsid w:val="000435FB"/>
    <w:rsid w:val="00051491"/>
    <w:rsid w:val="0007673B"/>
    <w:rsid w:val="00144480"/>
    <w:rsid w:val="001517BC"/>
    <w:rsid w:val="00184D3D"/>
    <w:rsid w:val="0018742B"/>
    <w:rsid w:val="00190F16"/>
    <w:rsid w:val="00191975"/>
    <w:rsid w:val="00193A59"/>
    <w:rsid w:val="001B1798"/>
    <w:rsid w:val="001D0AD2"/>
    <w:rsid w:val="001F24EF"/>
    <w:rsid w:val="00270E22"/>
    <w:rsid w:val="00271B4D"/>
    <w:rsid w:val="00284819"/>
    <w:rsid w:val="002947FF"/>
    <w:rsid w:val="00295502"/>
    <w:rsid w:val="002960BA"/>
    <w:rsid w:val="002A3868"/>
    <w:rsid w:val="002E6FD6"/>
    <w:rsid w:val="002F2B48"/>
    <w:rsid w:val="00314603"/>
    <w:rsid w:val="003151EF"/>
    <w:rsid w:val="00367293"/>
    <w:rsid w:val="00370F52"/>
    <w:rsid w:val="003B4414"/>
    <w:rsid w:val="003B61E6"/>
    <w:rsid w:val="003E565C"/>
    <w:rsid w:val="00416E7C"/>
    <w:rsid w:val="00426997"/>
    <w:rsid w:val="00452D72"/>
    <w:rsid w:val="0045521D"/>
    <w:rsid w:val="0046736F"/>
    <w:rsid w:val="004865F8"/>
    <w:rsid w:val="00486D26"/>
    <w:rsid w:val="004D67EB"/>
    <w:rsid w:val="004F71D9"/>
    <w:rsid w:val="00513A8E"/>
    <w:rsid w:val="0051791E"/>
    <w:rsid w:val="00522FD2"/>
    <w:rsid w:val="00557F72"/>
    <w:rsid w:val="00593130"/>
    <w:rsid w:val="005E2482"/>
    <w:rsid w:val="005F08B7"/>
    <w:rsid w:val="006229B3"/>
    <w:rsid w:val="00642C1A"/>
    <w:rsid w:val="006615A6"/>
    <w:rsid w:val="006659A2"/>
    <w:rsid w:val="006923E4"/>
    <w:rsid w:val="006A7D30"/>
    <w:rsid w:val="006B5DE9"/>
    <w:rsid w:val="006D1FDA"/>
    <w:rsid w:val="006F5802"/>
    <w:rsid w:val="00713A5A"/>
    <w:rsid w:val="007270DA"/>
    <w:rsid w:val="007363F0"/>
    <w:rsid w:val="00743333"/>
    <w:rsid w:val="00764B39"/>
    <w:rsid w:val="0078071B"/>
    <w:rsid w:val="00780FB9"/>
    <w:rsid w:val="007A084D"/>
    <w:rsid w:val="007C69C5"/>
    <w:rsid w:val="007D7713"/>
    <w:rsid w:val="007F3510"/>
    <w:rsid w:val="00804D43"/>
    <w:rsid w:val="0085741E"/>
    <w:rsid w:val="008876EE"/>
    <w:rsid w:val="008D2368"/>
    <w:rsid w:val="008F1828"/>
    <w:rsid w:val="008F26A9"/>
    <w:rsid w:val="009049E1"/>
    <w:rsid w:val="00944129"/>
    <w:rsid w:val="0096099D"/>
    <w:rsid w:val="009A464C"/>
    <w:rsid w:val="009B2771"/>
    <w:rsid w:val="009F0A06"/>
    <w:rsid w:val="009F7637"/>
    <w:rsid w:val="00A13D81"/>
    <w:rsid w:val="00A44BF0"/>
    <w:rsid w:val="00A62847"/>
    <w:rsid w:val="00A8436D"/>
    <w:rsid w:val="00A87583"/>
    <w:rsid w:val="00AD55B1"/>
    <w:rsid w:val="00AF2295"/>
    <w:rsid w:val="00AF2922"/>
    <w:rsid w:val="00B10992"/>
    <w:rsid w:val="00B1317A"/>
    <w:rsid w:val="00B6506D"/>
    <w:rsid w:val="00B815CF"/>
    <w:rsid w:val="00B97156"/>
    <w:rsid w:val="00BA43D5"/>
    <w:rsid w:val="00BD3531"/>
    <w:rsid w:val="00BE1DF2"/>
    <w:rsid w:val="00C02638"/>
    <w:rsid w:val="00C1372F"/>
    <w:rsid w:val="00C15520"/>
    <w:rsid w:val="00C167B7"/>
    <w:rsid w:val="00C51999"/>
    <w:rsid w:val="00C633DF"/>
    <w:rsid w:val="00C748BB"/>
    <w:rsid w:val="00CB758A"/>
    <w:rsid w:val="00CD2B5C"/>
    <w:rsid w:val="00D37B59"/>
    <w:rsid w:val="00D46216"/>
    <w:rsid w:val="00D701F1"/>
    <w:rsid w:val="00E2235B"/>
    <w:rsid w:val="00E45A1E"/>
    <w:rsid w:val="00E5292F"/>
    <w:rsid w:val="00E54ACA"/>
    <w:rsid w:val="00E81CCC"/>
    <w:rsid w:val="00E834E8"/>
    <w:rsid w:val="00EB0446"/>
    <w:rsid w:val="00EE6B49"/>
    <w:rsid w:val="00F02AFB"/>
    <w:rsid w:val="00F545F1"/>
    <w:rsid w:val="00F56A54"/>
    <w:rsid w:val="00F7158A"/>
    <w:rsid w:val="00F81BB4"/>
    <w:rsid w:val="00F922A9"/>
    <w:rsid w:val="00FA186A"/>
    <w:rsid w:val="00FD23F8"/>
    <w:rsid w:val="00FE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3531"/>
    <w:rPr>
      <w:rFonts w:ascii="Arial" w:hAnsi="Arial"/>
      <w:szCs w:val="24"/>
      <w:lang w:eastAsia="cs-CZ"/>
    </w:rPr>
  </w:style>
  <w:style w:type="paragraph" w:styleId="Nadpis1">
    <w:name w:val="heading 1"/>
    <w:basedOn w:val="Normlny"/>
    <w:next w:val="Normlny"/>
    <w:qFormat/>
    <w:rsid w:val="00BD3531"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BD3531"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rsid w:val="00BD3531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BD3531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rsid w:val="00BD3531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BD3531"/>
    <w:pPr>
      <w:keepNext/>
      <w:outlineLvl w:val="5"/>
    </w:pPr>
    <w:rPr>
      <w:rFonts w:cs="Arial"/>
      <w:i/>
      <w:iCs/>
    </w:rPr>
  </w:style>
  <w:style w:type="paragraph" w:styleId="Nadpis7">
    <w:name w:val="heading 7"/>
    <w:basedOn w:val="Normlny"/>
    <w:next w:val="Normlny"/>
    <w:qFormat/>
    <w:rsid w:val="00BD3531"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BD3531"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3531"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BD3531"/>
    <w:pPr>
      <w:ind w:left="360"/>
    </w:pPr>
  </w:style>
  <w:style w:type="paragraph" w:styleId="Hlavika">
    <w:name w:val="header"/>
    <w:basedOn w:val="Normlny"/>
    <w:link w:val="HlavikaChar"/>
    <w:uiPriority w:val="99"/>
    <w:rsid w:val="00BD3531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D3531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BD3531"/>
    <w:rPr>
      <w:rFonts w:cs="Arial"/>
    </w:rPr>
  </w:style>
  <w:style w:type="paragraph" w:styleId="Nzov">
    <w:name w:val="Title"/>
    <w:basedOn w:val="Normlny"/>
    <w:link w:val="NzovChar"/>
    <w:qFormat/>
    <w:rsid w:val="002960BA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NzovChar">
    <w:name w:val="Názov Char"/>
    <w:link w:val="Nzov"/>
    <w:rsid w:val="002960BA"/>
    <w:rPr>
      <w:b/>
      <w:sz w:val="24"/>
      <w:lang w:eastAsia="cs-CZ"/>
    </w:rPr>
  </w:style>
  <w:style w:type="paragraph" w:styleId="Textbubliny">
    <w:name w:val="Balloon Text"/>
    <w:basedOn w:val="Normlny"/>
    <w:semiHidden/>
    <w:rsid w:val="00271B4D"/>
    <w:rPr>
      <w:rFonts w:ascii="Tahoma" w:hAnsi="Tahoma" w:cs="Tahoma"/>
      <w:sz w:val="16"/>
      <w:szCs w:val="16"/>
    </w:rPr>
  </w:style>
  <w:style w:type="paragraph" w:customStyle="1" w:styleId="MGGTextLeft">
    <w:name w:val="MGG Text Left"/>
    <w:basedOn w:val="Zkladntext"/>
    <w:rsid w:val="002947FF"/>
    <w:rPr>
      <w:rFonts w:ascii="Times New Roman" w:hAnsi="Times New Roman" w:cs="Times New Roman"/>
      <w:sz w:val="22"/>
      <w:lang w:val="en-GB" w:eastAsia="en-US"/>
    </w:rPr>
  </w:style>
  <w:style w:type="character" w:styleId="Hypertextovprepojenie">
    <w:name w:val="Hyperlink"/>
    <w:semiHidden/>
    <w:unhideWhenUsed/>
    <w:rsid w:val="008876EE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8876EE"/>
    <w:pPr>
      <w:spacing w:before="180"/>
    </w:pPr>
    <w:rPr>
      <w:rFonts w:ascii="Times New Roman" w:hAnsi="Times New Roman"/>
      <w:sz w:val="24"/>
      <w:lang w:eastAsia="sk-SK"/>
    </w:rPr>
  </w:style>
  <w:style w:type="character" w:styleId="Odkaznakomentr">
    <w:name w:val="annotation reference"/>
    <w:uiPriority w:val="99"/>
    <w:semiHidden/>
    <w:unhideWhenUsed/>
    <w:rsid w:val="006659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59A2"/>
    <w:rPr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659A2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59A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659A2"/>
    <w:rPr>
      <w:rFonts w:ascii="Arial" w:hAnsi="Arial"/>
      <w:b/>
      <w:bCs/>
      <w:lang w:eastAsia="cs-CZ"/>
    </w:rPr>
  </w:style>
  <w:style w:type="character" w:styleId="Zvraznenie">
    <w:name w:val="Emphasis"/>
    <w:uiPriority w:val="20"/>
    <w:qFormat/>
    <w:rsid w:val="00C51999"/>
    <w:rPr>
      <w:b/>
      <w:bCs/>
      <w:i w:val="0"/>
      <w:iCs w:val="0"/>
    </w:rPr>
  </w:style>
  <w:style w:type="paragraph" w:customStyle="1" w:styleId="Default">
    <w:name w:val="Default"/>
    <w:rsid w:val="002E6FD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20">
    <w:name w:val="CM20"/>
    <w:basedOn w:val="Default"/>
    <w:next w:val="Default"/>
    <w:uiPriority w:val="99"/>
    <w:rsid w:val="002E6FD6"/>
    <w:pPr>
      <w:spacing w:after="280"/>
    </w:pPr>
    <w:rPr>
      <w:color w:val="auto"/>
    </w:rPr>
  </w:style>
  <w:style w:type="character" w:customStyle="1" w:styleId="HlavikaChar">
    <w:name w:val="Hlavička Char"/>
    <w:link w:val="Hlavika"/>
    <w:uiPriority w:val="99"/>
    <w:rsid w:val="0085741E"/>
    <w:rPr>
      <w:rFonts w:ascii="Arial" w:hAnsi="Arial"/>
      <w:szCs w:val="24"/>
      <w:lang w:eastAsia="cs-CZ"/>
    </w:rPr>
  </w:style>
  <w:style w:type="character" w:customStyle="1" w:styleId="PtaChar">
    <w:name w:val="Päta Char"/>
    <w:link w:val="Pta"/>
    <w:uiPriority w:val="99"/>
    <w:rsid w:val="00051491"/>
    <w:rPr>
      <w:rFonts w:ascii="Arial" w:hAnsi="Arial"/>
      <w:szCs w:val="24"/>
      <w:lang w:eastAsia="cs-CZ"/>
    </w:rPr>
  </w:style>
  <w:style w:type="paragraph" w:customStyle="1" w:styleId="CM3">
    <w:name w:val="CM3"/>
    <w:basedOn w:val="Default"/>
    <w:next w:val="Default"/>
    <w:uiPriority w:val="99"/>
    <w:rsid w:val="00780FB9"/>
    <w:pPr>
      <w:spacing w:line="276" w:lineRule="atLeast"/>
    </w:pPr>
    <w:rPr>
      <w:color w:val="auto"/>
    </w:rPr>
  </w:style>
  <w:style w:type="character" w:customStyle="1" w:styleId="TextChar1">
    <w:name w:val="Text Char1"/>
    <w:link w:val="Text"/>
    <w:locked/>
    <w:rsid w:val="00026BCB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026BCB"/>
    <w:pPr>
      <w:spacing w:after="240" w:line="276" w:lineRule="auto"/>
      <w:ind w:left="1134"/>
      <w:jc w:val="both"/>
    </w:pPr>
    <w:rPr>
      <w:rFonts w:ascii="SimSun" w:hAnsi="SimSun"/>
      <w:color w:val="00000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3419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ALIUD</vt:lpstr>
    </vt:vector>
  </TitlesOfParts>
  <Company>escho</Company>
  <LinksUpToDate>false</LinksUpToDate>
  <CharactersWithSpaces>22863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ALIUD</dc:title>
  <dc:creator>RA</dc:creator>
  <cp:lastModifiedBy>Pokemon</cp:lastModifiedBy>
  <cp:revision>8</cp:revision>
  <cp:lastPrinted>2018-04-30T09:31:00Z</cp:lastPrinted>
  <dcterms:created xsi:type="dcterms:W3CDTF">2020-04-23T13:30:00Z</dcterms:created>
  <dcterms:modified xsi:type="dcterms:W3CDTF">2020-05-19T09:15:00Z</dcterms:modified>
</cp:coreProperties>
</file>