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6D654" w14:textId="77777777" w:rsidR="001E2808" w:rsidRDefault="001E2808" w:rsidP="00B65F61">
      <w:pPr>
        <w:rPr>
          <w:rFonts w:ascii="Times New Roman" w:hAnsi="Times New Roman"/>
          <w:b/>
          <w:sz w:val="22"/>
          <w:szCs w:val="22"/>
        </w:rPr>
      </w:pPr>
    </w:p>
    <w:p w14:paraId="6C59377E" w14:textId="77777777" w:rsidR="00716E6C" w:rsidRPr="004A499F" w:rsidRDefault="00716E6C" w:rsidP="00B65F61">
      <w:pPr>
        <w:jc w:val="center"/>
        <w:rPr>
          <w:rFonts w:ascii="Times New Roman" w:hAnsi="Times New Roman"/>
          <w:b/>
          <w:sz w:val="22"/>
          <w:szCs w:val="22"/>
        </w:rPr>
      </w:pPr>
      <w:r w:rsidRPr="004A499F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35B2DAF4" w14:textId="77777777" w:rsidR="001022F3" w:rsidRPr="004A499F" w:rsidRDefault="001022F3" w:rsidP="0085404C">
      <w:pPr>
        <w:rPr>
          <w:rFonts w:ascii="Times New Roman" w:hAnsi="Times New Roman"/>
          <w:b/>
          <w:sz w:val="22"/>
          <w:szCs w:val="22"/>
        </w:rPr>
      </w:pPr>
    </w:p>
    <w:p w14:paraId="298697FC" w14:textId="77777777" w:rsidR="001022F3" w:rsidRPr="004A499F" w:rsidRDefault="001022F3" w:rsidP="0085404C">
      <w:pPr>
        <w:rPr>
          <w:rFonts w:ascii="Times New Roman" w:hAnsi="Times New Roman"/>
          <w:b/>
          <w:sz w:val="22"/>
          <w:szCs w:val="22"/>
        </w:rPr>
      </w:pPr>
    </w:p>
    <w:p w14:paraId="2B81741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1.</w:t>
      </w:r>
      <w:r w:rsidRPr="00B73C6F">
        <w:rPr>
          <w:rFonts w:ascii="Times New Roman" w:hAnsi="Times New Roman"/>
          <w:b/>
          <w:sz w:val="22"/>
          <w:szCs w:val="22"/>
        </w:rPr>
        <w:tab/>
        <w:t>NÁZOV LIEKU</w:t>
      </w:r>
    </w:p>
    <w:p w14:paraId="20506703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78C95D6" w14:textId="77777777" w:rsidR="00A965D4" w:rsidRDefault="001022F3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PARALEN </w:t>
      </w:r>
      <w:r w:rsidR="00E229CB">
        <w:rPr>
          <w:rFonts w:ascii="Times New Roman" w:hAnsi="Times New Roman"/>
          <w:sz w:val="22"/>
          <w:szCs w:val="22"/>
        </w:rPr>
        <w:t xml:space="preserve">RAPID </w:t>
      </w:r>
      <w:r w:rsidR="001F3CCA">
        <w:rPr>
          <w:rFonts w:ascii="Times New Roman" w:hAnsi="Times New Roman"/>
          <w:sz w:val="22"/>
          <w:szCs w:val="22"/>
        </w:rPr>
        <w:t>5</w:t>
      </w:r>
      <w:r w:rsidRPr="00B73C6F">
        <w:rPr>
          <w:rFonts w:ascii="Times New Roman" w:hAnsi="Times New Roman"/>
          <w:sz w:val="22"/>
          <w:szCs w:val="22"/>
        </w:rPr>
        <w:t>00</w:t>
      </w:r>
      <w:r w:rsidR="001F6DAE">
        <w:rPr>
          <w:rFonts w:ascii="Times New Roman" w:hAnsi="Times New Roman"/>
          <w:sz w:val="22"/>
          <w:szCs w:val="22"/>
        </w:rPr>
        <w:t xml:space="preserve"> mg </w:t>
      </w:r>
    </w:p>
    <w:p w14:paraId="775D11F9" w14:textId="77777777" w:rsidR="00716E6C" w:rsidRPr="00B73C6F" w:rsidRDefault="00E229CB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šumivé </w:t>
      </w:r>
      <w:r w:rsidR="001F6DAE">
        <w:rPr>
          <w:rFonts w:ascii="Times New Roman" w:hAnsi="Times New Roman"/>
          <w:sz w:val="22"/>
          <w:szCs w:val="22"/>
        </w:rPr>
        <w:t>tablety</w:t>
      </w:r>
    </w:p>
    <w:p w14:paraId="4887787D" w14:textId="77777777" w:rsidR="009E37B4" w:rsidRPr="00B73C6F" w:rsidRDefault="009E37B4" w:rsidP="0085404C">
      <w:pPr>
        <w:rPr>
          <w:rFonts w:ascii="Times New Roman" w:hAnsi="Times New Roman"/>
          <w:sz w:val="22"/>
          <w:szCs w:val="22"/>
        </w:rPr>
      </w:pPr>
    </w:p>
    <w:p w14:paraId="10263725" w14:textId="77777777" w:rsidR="009E37B4" w:rsidRPr="00B73C6F" w:rsidRDefault="009E37B4" w:rsidP="0085404C">
      <w:pPr>
        <w:rPr>
          <w:rFonts w:ascii="Times New Roman" w:hAnsi="Times New Roman"/>
          <w:sz w:val="22"/>
          <w:szCs w:val="22"/>
        </w:rPr>
      </w:pPr>
    </w:p>
    <w:p w14:paraId="251E30DA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2.</w:t>
      </w:r>
      <w:r w:rsidRPr="00B73C6F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14:paraId="1244EDB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795F789D" w14:textId="77777777" w:rsidR="001022F3" w:rsidRPr="00B73C6F" w:rsidRDefault="00E229CB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 šumivá</w:t>
      </w:r>
      <w:r w:rsidR="001F6DAE">
        <w:rPr>
          <w:rFonts w:ascii="Times New Roman" w:hAnsi="Times New Roman"/>
          <w:sz w:val="22"/>
          <w:szCs w:val="22"/>
        </w:rPr>
        <w:t xml:space="preserve"> </w:t>
      </w:r>
      <w:r w:rsidR="001022F3" w:rsidRPr="00B73C6F">
        <w:rPr>
          <w:rFonts w:ascii="Times New Roman" w:hAnsi="Times New Roman"/>
          <w:sz w:val="22"/>
          <w:szCs w:val="22"/>
        </w:rPr>
        <w:t xml:space="preserve">tableta obsahuje </w:t>
      </w:r>
      <w:r w:rsidR="001F3CCA">
        <w:rPr>
          <w:rFonts w:ascii="Times New Roman" w:hAnsi="Times New Roman"/>
          <w:sz w:val="22"/>
          <w:szCs w:val="22"/>
        </w:rPr>
        <w:t>5</w:t>
      </w:r>
      <w:r w:rsidR="00B73C6F" w:rsidRPr="00B73C6F">
        <w:rPr>
          <w:rFonts w:ascii="Times New Roman" w:hAnsi="Times New Roman"/>
          <w:sz w:val="22"/>
          <w:szCs w:val="22"/>
        </w:rPr>
        <w:t xml:space="preserve">00 mg </w:t>
      </w:r>
      <w:r w:rsidR="001022F3" w:rsidRPr="00B73C6F">
        <w:rPr>
          <w:rFonts w:ascii="Times New Roman" w:hAnsi="Times New Roman"/>
          <w:sz w:val="22"/>
          <w:szCs w:val="22"/>
        </w:rPr>
        <w:t>paracetamolu.</w:t>
      </w:r>
    </w:p>
    <w:p w14:paraId="5EA30CA7" w14:textId="77777777" w:rsidR="001F6DAE" w:rsidRDefault="001F6DAE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</w:p>
    <w:p w14:paraId="48D48B23" w14:textId="58BD6931" w:rsidR="001F2602" w:rsidRPr="00856C71" w:rsidRDefault="0013753E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  <w:r w:rsidRPr="00856C71">
        <w:rPr>
          <w:rFonts w:ascii="Times New Roman" w:hAnsi="Times New Roman"/>
          <w:sz w:val="22"/>
          <w:szCs w:val="22"/>
          <w:u w:val="single"/>
          <w:lang w:eastAsia="en-US"/>
        </w:rPr>
        <w:t>Pomocné</w:t>
      </w:r>
      <w:r w:rsidR="00C12768" w:rsidRPr="00856C71">
        <w:rPr>
          <w:rFonts w:ascii="Times New Roman" w:hAnsi="Times New Roman"/>
          <w:sz w:val="22"/>
          <w:szCs w:val="22"/>
          <w:u w:val="single"/>
          <w:lang w:eastAsia="en-US"/>
        </w:rPr>
        <w:t xml:space="preserve"> </w:t>
      </w:r>
      <w:r w:rsidRPr="00856C71">
        <w:rPr>
          <w:rFonts w:ascii="Times New Roman" w:hAnsi="Times New Roman"/>
          <w:sz w:val="22"/>
          <w:szCs w:val="22"/>
          <w:u w:val="single"/>
          <w:lang w:eastAsia="en-US"/>
        </w:rPr>
        <w:t>látky</w:t>
      </w:r>
      <w:r w:rsidR="00C12768" w:rsidRPr="00856C71">
        <w:rPr>
          <w:rFonts w:ascii="Times New Roman" w:hAnsi="Times New Roman"/>
          <w:sz w:val="22"/>
          <w:szCs w:val="22"/>
          <w:u w:val="single"/>
          <w:lang w:eastAsia="en-US"/>
        </w:rPr>
        <w:t xml:space="preserve"> so známym účinkom:</w:t>
      </w:r>
      <w:r w:rsidR="004A705E" w:rsidRPr="00856C71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14:paraId="302958FB" w14:textId="7BEDC8BC" w:rsidR="004A705E" w:rsidRDefault="008130F8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  <w:r w:rsidRPr="00856C71">
        <w:rPr>
          <w:rFonts w:ascii="Times New Roman" w:hAnsi="Times New Roman"/>
          <w:sz w:val="22"/>
          <w:szCs w:val="22"/>
          <w:lang w:eastAsia="en-US"/>
        </w:rPr>
        <w:t>Jedna šumivá tableta obsahuje oxid siričitý, disiričitan sodný, disiričitan draselný</w:t>
      </w:r>
      <w:r w:rsidR="0013753E" w:rsidRPr="00856C71">
        <w:rPr>
          <w:rFonts w:ascii="Times New Roman" w:hAnsi="Times New Roman"/>
          <w:sz w:val="22"/>
          <w:szCs w:val="22"/>
          <w:lang w:eastAsia="en-US"/>
        </w:rPr>
        <w:t xml:space="preserve"> (zložky pomarančovej </w:t>
      </w:r>
      <w:bookmarkStart w:id="0" w:name="_GoBack"/>
      <w:bookmarkEnd w:id="0"/>
      <w:r w:rsidR="00D22615">
        <w:rPr>
          <w:rFonts w:ascii="Times New Roman" w:hAnsi="Times New Roman"/>
          <w:sz w:val="22"/>
          <w:szCs w:val="22"/>
          <w:lang w:eastAsia="en-US"/>
        </w:rPr>
        <w:t>príchuti</w:t>
      </w:r>
      <w:r w:rsidR="0013753E" w:rsidRPr="00856C71">
        <w:rPr>
          <w:rFonts w:ascii="Times New Roman" w:hAnsi="Times New Roman"/>
          <w:sz w:val="22"/>
          <w:szCs w:val="22"/>
          <w:lang w:eastAsia="en-US"/>
        </w:rPr>
        <w:t>)</w:t>
      </w:r>
      <w:r w:rsidRPr="00856C71">
        <w:rPr>
          <w:rFonts w:ascii="Times New Roman" w:hAnsi="Times New Roman"/>
          <w:sz w:val="22"/>
          <w:szCs w:val="22"/>
          <w:lang w:eastAsia="en-US"/>
        </w:rPr>
        <w:t xml:space="preserve"> a </w:t>
      </w:r>
      <w:r w:rsidR="001F3CCA" w:rsidRPr="00856C71">
        <w:rPr>
          <w:rFonts w:ascii="Times New Roman" w:hAnsi="Times New Roman"/>
          <w:sz w:val="22"/>
          <w:szCs w:val="22"/>
          <w:lang w:eastAsia="en-US"/>
        </w:rPr>
        <w:t>2</w:t>
      </w:r>
      <w:r w:rsidR="00E229CB" w:rsidRPr="00856C71">
        <w:rPr>
          <w:rFonts w:ascii="Times New Roman" w:hAnsi="Times New Roman"/>
          <w:sz w:val="22"/>
          <w:szCs w:val="22"/>
          <w:lang w:eastAsia="en-US"/>
        </w:rPr>
        <w:t>0</w:t>
      </w:r>
      <w:r w:rsidR="001F3CCA" w:rsidRPr="00856C71">
        <w:rPr>
          <w:rFonts w:ascii="Times New Roman" w:hAnsi="Times New Roman"/>
          <w:sz w:val="22"/>
          <w:szCs w:val="22"/>
          <w:lang w:eastAsia="en-US"/>
        </w:rPr>
        <w:t>4</w:t>
      </w:r>
      <w:r w:rsidR="00E229CB" w:rsidRPr="0013753E">
        <w:rPr>
          <w:rFonts w:ascii="Times New Roman" w:hAnsi="Times New Roman"/>
          <w:sz w:val="22"/>
          <w:szCs w:val="22"/>
          <w:lang w:eastAsia="en-US"/>
        </w:rPr>
        <w:t xml:space="preserve"> mg </w:t>
      </w:r>
      <w:r w:rsidR="004A705E" w:rsidRPr="0013753E">
        <w:rPr>
          <w:rFonts w:ascii="Times New Roman" w:hAnsi="Times New Roman"/>
          <w:sz w:val="22"/>
          <w:szCs w:val="22"/>
          <w:lang w:eastAsia="en-US"/>
        </w:rPr>
        <w:t>sodík</w:t>
      </w:r>
      <w:r w:rsidR="00E229CB" w:rsidRPr="0013753E">
        <w:rPr>
          <w:rFonts w:ascii="Times New Roman" w:hAnsi="Times New Roman"/>
          <w:sz w:val="22"/>
          <w:szCs w:val="22"/>
          <w:lang w:eastAsia="en-US"/>
        </w:rPr>
        <w:t>a</w:t>
      </w:r>
      <w:r w:rsidR="004A705E" w:rsidRPr="0013753E">
        <w:rPr>
          <w:rFonts w:ascii="Times New Roman" w:hAnsi="Times New Roman"/>
          <w:sz w:val="22"/>
          <w:szCs w:val="22"/>
          <w:lang w:eastAsia="en-US"/>
        </w:rPr>
        <w:t>.</w:t>
      </w:r>
    </w:p>
    <w:p w14:paraId="3D4767C1" w14:textId="77777777" w:rsidR="00E229CB" w:rsidRDefault="00E229CB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</w:p>
    <w:p w14:paraId="77643765" w14:textId="77777777" w:rsidR="00716E6C" w:rsidRPr="00B73C6F" w:rsidRDefault="00716E6C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  <w:r w:rsidRPr="00B73C6F">
        <w:rPr>
          <w:rFonts w:ascii="Times New Roman" w:hAnsi="Times New Roman"/>
          <w:sz w:val="22"/>
          <w:szCs w:val="22"/>
          <w:lang w:eastAsia="en-US"/>
        </w:rPr>
        <w:t>Úplný zoznam pomocných látok, pozri časť 6.1.</w:t>
      </w:r>
    </w:p>
    <w:p w14:paraId="5AAE0730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6156B30C" w14:textId="77777777" w:rsidR="009E37B4" w:rsidRPr="00B73C6F" w:rsidRDefault="009E37B4" w:rsidP="0085404C">
      <w:pPr>
        <w:rPr>
          <w:rFonts w:ascii="Times New Roman" w:hAnsi="Times New Roman"/>
          <w:sz w:val="22"/>
          <w:szCs w:val="22"/>
        </w:rPr>
      </w:pPr>
    </w:p>
    <w:p w14:paraId="561FC1CD" w14:textId="77777777" w:rsidR="00716E6C" w:rsidRPr="00B73C6F" w:rsidRDefault="00716E6C" w:rsidP="0085404C">
      <w:pPr>
        <w:rPr>
          <w:rFonts w:ascii="Times New Roman" w:hAnsi="Times New Roman"/>
          <w:caps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3.</w:t>
      </w:r>
      <w:r w:rsidRPr="00B73C6F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1B5ACBA3" w14:textId="77777777" w:rsidR="001022F3" w:rsidRPr="00B73C6F" w:rsidRDefault="001022F3" w:rsidP="0085404C">
      <w:pPr>
        <w:rPr>
          <w:rFonts w:ascii="Times New Roman" w:hAnsi="Times New Roman"/>
          <w:sz w:val="22"/>
          <w:szCs w:val="22"/>
        </w:rPr>
      </w:pPr>
    </w:p>
    <w:p w14:paraId="0542F0DA" w14:textId="77777777" w:rsidR="001022F3" w:rsidRPr="00B73C6F" w:rsidRDefault="00E229CB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Šumivá t</w:t>
      </w:r>
      <w:r w:rsidR="001F6DAE">
        <w:rPr>
          <w:rFonts w:ascii="Times New Roman" w:hAnsi="Times New Roman"/>
          <w:sz w:val="22"/>
          <w:szCs w:val="22"/>
        </w:rPr>
        <w:t>ablet</w:t>
      </w:r>
      <w:r w:rsidR="001022F3" w:rsidRPr="00B73C6F">
        <w:rPr>
          <w:rFonts w:ascii="Times New Roman" w:hAnsi="Times New Roman"/>
          <w:sz w:val="22"/>
          <w:szCs w:val="22"/>
        </w:rPr>
        <w:t>a</w:t>
      </w:r>
      <w:r w:rsidR="000F4C32">
        <w:rPr>
          <w:rFonts w:ascii="Times New Roman" w:hAnsi="Times New Roman"/>
          <w:sz w:val="22"/>
          <w:szCs w:val="22"/>
        </w:rPr>
        <w:t>.</w:t>
      </w:r>
    </w:p>
    <w:p w14:paraId="741E9D5B" w14:textId="4E7FE8B6" w:rsidR="00E0315A" w:rsidRPr="00B73C6F" w:rsidRDefault="001022F3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Biel</w:t>
      </w:r>
      <w:r w:rsidR="00E229CB">
        <w:rPr>
          <w:rFonts w:ascii="Times New Roman" w:hAnsi="Times New Roman"/>
          <w:sz w:val="22"/>
          <w:szCs w:val="22"/>
        </w:rPr>
        <w:t>a</w:t>
      </w:r>
      <w:r w:rsidR="003C5239">
        <w:rPr>
          <w:rFonts w:ascii="Times New Roman" w:hAnsi="Times New Roman"/>
          <w:sz w:val="22"/>
          <w:szCs w:val="22"/>
        </w:rPr>
        <w:t>,</w:t>
      </w:r>
      <w:r w:rsidR="00E229CB">
        <w:rPr>
          <w:rFonts w:ascii="Times New Roman" w:hAnsi="Times New Roman"/>
          <w:sz w:val="22"/>
          <w:szCs w:val="22"/>
        </w:rPr>
        <w:t xml:space="preserve"> cylindrická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1340A0">
        <w:rPr>
          <w:rFonts w:ascii="Times New Roman" w:hAnsi="Times New Roman"/>
          <w:sz w:val="22"/>
          <w:szCs w:val="22"/>
        </w:rPr>
        <w:t xml:space="preserve">(valcovitá) </w:t>
      </w:r>
      <w:r w:rsidRPr="00B73C6F">
        <w:rPr>
          <w:rFonts w:ascii="Times New Roman" w:hAnsi="Times New Roman"/>
          <w:sz w:val="22"/>
          <w:szCs w:val="22"/>
        </w:rPr>
        <w:t>tablet</w:t>
      </w:r>
      <w:r w:rsidR="00E229CB">
        <w:rPr>
          <w:rFonts w:ascii="Times New Roman" w:hAnsi="Times New Roman"/>
          <w:sz w:val="22"/>
          <w:szCs w:val="22"/>
        </w:rPr>
        <w:t>a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DC0DAD">
        <w:rPr>
          <w:rFonts w:ascii="Times New Roman" w:hAnsi="Times New Roman"/>
          <w:sz w:val="22"/>
          <w:szCs w:val="22"/>
        </w:rPr>
        <w:t xml:space="preserve">s </w:t>
      </w:r>
      <w:r w:rsidR="00DC0DAD" w:rsidRPr="00DC0DAD">
        <w:rPr>
          <w:rFonts w:ascii="Times New Roman" w:hAnsi="Times New Roman"/>
          <w:sz w:val="22"/>
          <w:szCs w:val="22"/>
        </w:rPr>
        <w:t xml:space="preserve">deliacou ryhou </w:t>
      </w:r>
      <w:r w:rsidRPr="00B73C6F">
        <w:rPr>
          <w:rFonts w:ascii="Times New Roman" w:hAnsi="Times New Roman"/>
          <w:sz w:val="22"/>
          <w:szCs w:val="22"/>
        </w:rPr>
        <w:t xml:space="preserve">na </w:t>
      </w:r>
      <w:r w:rsidR="00265C34">
        <w:rPr>
          <w:rFonts w:ascii="Times New Roman" w:hAnsi="Times New Roman"/>
          <w:sz w:val="22"/>
          <w:szCs w:val="22"/>
        </w:rPr>
        <w:t>jednej</w:t>
      </w:r>
      <w:r w:rsidRPr="00B73C6F">
        <w:rPr>
          <w:rFonts w:ascii="Times New Roman" w:hAnsi="Times New Roman"/>
          <w:sz w:val="22"/>
          <w:szCs w:val="22"/>
        </w:rPr>
        <w:t xml:space="preserve"> strane.</w:t>
      </w:r>
      <w:r w:rsidR="00E0315A">
        <w:rPr>
          <w:rFonts w:ascii="Times New Roman" w:hAnsi="Times New Roman"/>
          <w:sz w:val="22"/>
          <w:szCs w:val="22"/>
        </w:rPr>
        <w:t xml:space="preserve"> </w:t>
      </w:r>
      <w:r w:rsidR="00E0315A" w:rsidRPr="00DC0DAD">
        <w:rPr>
          <w:rFonts w:ascii="Times New Roman" w:hAnsi="Times New Roman"/>
          <w:sz w:val="22"/>
          <w:szCs w:val="22"/>
        </w:rPr>
        <w:t>Deliaca ryha nie je určená na rozlomenie tablety.</w:t>
      </w:r>
    </w:p>
    <w:p w14:paraId="4D64A0A4" w14:textId="77777777" w:rsidR="00716E6C" w:rsidRDefault="00716E6C" w:rsidP="0085404C">
      <w:pPr>
        <w:rPr>
          <w:rFonts w:ascii="Times New Roman" w:hAnsi="Times New Roman"/>
          <w:sz w:val="22"/>
          <w:szCs w:val="22"/>
        </w:rPr>
      </w:pPr>
    </w:p>
    <w:p w14:paraId="28738C72" w14:textId="77777777" w:rsidR="00DC0DAD" w:rsidRPr="00B73C6F" w:rsidRDefault="00DC0DAD" w:rsidP="0085404C">
      <w:pPr>
        <w:rPr>
          <w:rFonts w:ascii="Times New Roman" w:hAnsi="Times New Roman"/>
          <w:sz w:val="22"/>
          <w:szCs w:val="22"/>
        </w:rPr>
      </w:pPr>
    </w:p>
    <w:p w14:paraId="73DFB539" w14:textId="77777777" w:rsidR="00716E6C" w:rsidRPr="00B73C6F" w:rsidRDefault="00716E6C" w:rsidP="0085404C">
      <w:pPr>
        <w:rPr>
          <w:rFonts w:ascii="Times New Roman" w:hAnsi="Times New Roman"/>
          <w:caps/>
          <w:sz w:val="22"/>
          <w:szCs w:val="22"/>
        </w:rPr>
      </w:pPr>
      <w:r w:rsidRPr="00B73C6F">
        <w:rPr>
          <w:rFonts w:ascii="Times New Roman" w:hAnsi="Times New Roman"/>
          <w:b/>
          <w:caps/>
          <w:sz w:val="22"/>
          <w:szCs w:val="22"/>
        </w:rPr>
        <w:t>4.</w:t>
      </w:r>
      <w:r w:rsidRPr="00B73C6F">
        <w:rPr>
          <w:rFonts w:ascii="Times New Roman" w:hAnsi="Times New Roman"/>
          <w:b/>
          <w:caps/>
          <w:sz w:val="22"/>
          <w:szCs w:val="22"/>
        </w:rPr>
        <w:tab/>
        <w:t>KLINICKÉ ÚDAJE</w:t>
      </w:r>
    </w:p>
    <w:p w14:paraId="6838344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F3B840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4.1</w:t>
      </w:r>
      <w:r w:rsidRPr="00B73C6F">
        <w:rPr>
          <w:rFonts w:ascii="Times New Roman" w:hAnsi="Times New Roman"/>
          <w:b/>
          <w:sz w:val="22"/>
          <w:szCs w:val="22"/>
        </w:rPr>
        <w:tab/>
        <w:t>Terapeutické indikácie</w:t>
      </w:r>
    </w:p>
    <w:p w14:paraId="3945E04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8B90F47" w14:textId="77777777" w:rsidR="00DC0DAD" w:rsidRDefault="002838A2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Horúčka</w:t>
      </w:r>
      <w:r w:rsidR="009E37B4" w:rsidRPr="00B73C6F">
        <w:rPr>
          <w:rFonts w:ascii="Times New Roman" w:hAnsi="Times New Roman"/>
          <w:sz w:val="22"/>
          <w:szCs w:val="22"/>
        </w:rPr>
        <w:t>, najmä pri akútnych bakteriálnych a vírusových infekciách</w:t>
      </w:r>
      <w:r w:rsidR="00DC0DAD">
        <w:rPr>
          <w:rFonts w:ascii="Times New Roman" w:hAnsi="Times New Roman"/>
          <w:sz w:val="22"/>
          <w:szCs w:val="22"/>
        </w:rPr>
        <w:t xml:space="preserve">. </w:t>
      </w:r>
    </w:p>
    <w:p w14:paraId="7E8C05AF" w14:textId="77777777" w:rsidR="00716E6C" w:rsidRPr="00B73C6F" w:rsidRDefault="00DC0DAD" w:rsidP="0085404C">
      <w:pPr>
        <w:rPr>
          <w:rFonts w:ascii="Times New Roman" w:hAnsi="Times New Roman"/>
          <w:sz w:val="22"/>
          <w:szCs w:val="22"/>
        </w:rPr>
      </w:pPr>
      <w:r w:rsidRPr="00DC0DAD">
        <w:rPr>
          <w:rFonts w:ascii="Times New Roman" w:hAnsi="Times New Roman"/>
          <w:sz w:val="22"/>
          <w:szCs w:val="22"/>
        </w:rPr>
        <w:t xml:space="preserve">Mierne až stredne silné bolesti, ako </w:t>
      </w:r>
      <w:r>
        <w:rPr>
          <w:rFonts w:ascii="Times New Roman" w:hAnsi="Times New Roman"/>
          <w:sz w:val="22"/>
          <w:szCs w:val="22"/>
        </w:rPr>
        <w:t>sú</w:t>
      </w:r>
      <w:r w:rsidR="009E37B4" w:rsidRPr="00B73C6F">
        <w:rPr>
          <w:rFonts w:ascii="Times New Roman" w:hAnsi="Times New Roman"/>
          <w:sz w:val="22"/>
          <w:szCs w:val="22"/>
        </w:rPr>
        <w:t xml:space="preserve"> bolesti zubov, hlavy, neuralgie, bolesti svalov alebo kĺbov nezápalovej etiológie, bolesti vertebrogénneho pôvodu</w:t>
      </w:r>
      <w:r w:rsidR="002838A2" w:rsidRPr="00B73C6F">
        <w:rPr>
          <w:rFonts w:ascii="Times New Roman" w:hAnsi="Times New Roman"/>
          <w:sz w:val="22"/>
          <w:szCs w:val="22"/>
        </w:rPr>
        <w:t>, bolestivá menštruácia.</w:t>
      </w:r>
    </w:p>
    <w:p w14:paraId="5CC3042E" w14:textId="77777777" w:rsidR="009E37B4" w:rsidRPr="00B73C6F" w:rsidRDefault="009E37B4" w:rsidP="0085404C">
      <w:pPr>
        <w:rPr>
          <w:rFonts w:ascii="Times New Roman" w:hAnsi="Times New Roman"/>
          <w:sz w:val="22"/>
          <w:szCs w:val="22"/>
        </w:rPr>
      </w:pPr>
    </w:p>
    <w:p w14:paraId="4084516C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4.2</w:t>
      </w:r>
      <w:r w:rsidRPr="00B73C6F">
        <w:rPr>
          <w:rFonts w:ascii="Times New Roman" w:hAnsi="Times New Roman"/>
          <w:b/>
          <w:sz w:val="22"/>
          <w:szCs w:val="22"/>
        </w:rPr>
        <w:tab/>
        <w:t>Dávkovanie a spôsob podávania</w:t>
      </w:r>
    </w:p>
    <w:p w14:paraId="2F34679D" w14:textId="77777777" w:rsidR="00716E6C" w:rsidRDefault="00716E6C" w:rsidP="0085404C">
      <w:pPr>
        <w:rPr>
          <w:rFonts w:ascii="Times New Roman" w:hAnsi="Times New Roman"/>
          <w:sz w:val="22"/>
          <w:szCs w:val="22"/>
        </w:rPr>
      </w:pPr>
    </w:p>
    <w:p w14:paraId="0877C18A" w14:textId="77777777" w:rsidR="00B73C6F" w:rsidRDefault="00B73C6F" w:rsidP="0085404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Dávkovanie</w:t>
      </w:r>
    </w:p>
    <w:p w14:paraId="7CC801EA" w14:textId="77777777" w:rsidR="002838A2" w:rsidRPr="00B73C6F" w:rsidRDefault="002838A2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1FFE6CB7" w14:textId="768399F1" w:rsidR="009E37B4" w:rsidRPr="00660AC7" w:rsidRDefault="009E37B4" w:rsidP="0085404C">
      <w:pPr>
        <w:rPr>
          <w:rFonts w:ascii="Times New Roman" w:hAnsi="Times New Roman"/>
          <w:i/>
          <w:sz w:val="22"/>
          <w:szCs w:val="22"/>
        </w:rPr>
      </w:pPr>
      <w:r w:rsidRPr="00660AC7">
        <w:rPr>
          <w:rFonts w:ascii="Times New Roman" w:hAnsi="Times New Roman"/>
          <w:i/>
          <w:sz w:val="22"/>
          <w:szCs w:val="22"/>
        </w:rPr>
        <w:t>Dospelí a</w:t>
      </w:r>
      <w:r w:rsidR="00DC5197" w:rsidRPr="00660AC7">
        <w:rPr>
          <w:rFonts w:ascii="Times New Roman" w:hAnsi="Times New Roman"/>
          <w:i/>
          <w:sz w:val="22"/>
          <w:szCs w:val="22"/>
        </w:rPr>
        <w:t> </w:t>
      </w:r>
      <w:r w:rsidR="00C96DCC" w:rsidRPr="00660AC7">
        <w:rPr>
          <w:rFonts w:ascii="Times New Roman" w:hAnsi="Times New Roman"/>
          <w:i/>
          <w:sz w:val="22"/>
          <w:szCs w:val="22"/>
        </w:rPr>
        <w:t>dospievajúci</w:t>
      </w:r>
      <w:r w:rsidR="00C12768" w:rsidRPr="00660AC7">
        <w:rPr>
          <w:rFonts w:ascii="Times New Roman" w:hAnsi="Times New Roman"/>
          <w:i/>
          <w:sz w:val="22"/>
          <w:szCs w:val="22"/>
        </w:rPr>
        <w:t xml:space="preserve"> starší ako 15 rokov</w:t>
      </w:r>
    </w:p>
    <w:p w14:paraId="7E9D61F2" w14:textId="2EB4B697" w:rsidR="00AE22D0" w:rsidRDefault="00A947D9" w:rsidP="0085404C">
      <w:pPr>
        <w:rPr>
          <w:rFonts w:ascii="Times New Roman" w:hAnsi="Times New Roman"/>
          <w:sz w:val="22"/>
          <w:szCs w:val="22"/>
        </w:rPr>
      </w:pPr>
      <w:r w:rsidRPr="00A947D9">
        <w:rPr>
          <w:rFonts w:ascii="Times New Roman" w:hAnsi="Times New Roman"/>
          <w:sz w:val="22"/>
          <w:szCs w:val="22"/>
        </w:rPr>
        <w:t xml:space="preserve">Dospelí a dospievajúci </w:t>
      </w:r>
      <w:r w:rsidR="001F3EEF" w:rsidRPr="00A947D9">
        <w:rPr>
          <w:rFonts w:ascii="Times New Roman" w:hAnsi="Times New Roman"/>
          <w:sz w:val="22"/>
          <w:szCs w:val="22"/>
        </w:rPr>
        <w:t xml:space="preserve">starší ako 15 rokov </w:t>
      </w:r>
      <w:r w:rsidRPr="00660AC7">
        <w:rPr>
          <w:rFonts w:ascii="Times New Roman" w:hAnsi="Times New Roman"/>
          <w:b/>
          <w:sz w:val="22"/>
          <w:szCs w:val="22"/>
        </w:rPr>
        <w:t>s telesnou hmotnosťou nad 50 kg</w:t>
      </w:r>
      <w:r w:rsidRPr="00A947D9">
        <w:rPr>
          <w:rFonts w:ascii="Times New Roman" w:hAnsi="Times New Roman"/>
          <w:sz w:val="22"/>
          <w:szCs w:val="22"/>
        </w:rPr>
        <w:t xml:space="preserve"> užívajú 1- 2 tablety PARALENU RAPID 500 mg rozpustené v pohári vody</w:t>
      </w:r>
      <w:r w:rsidR="00AE22D0">
        <w:rPr>
          <w:rFonts w:ascii="Times New Roman" w:hAnsi="Times New Roman"/>
          <w:sz w:val="22"/>
          <w:szCs w:val="22"/>
        </w:rPr>
        <w:t xml:space="preserve">. </w:t>
      </w:r>
    </w:p>
    <w:p w14:paraId="76C38D54" w14:textId="16A4ED2C" w:rsidR="00AE22D0" w:rsidRDefault="00A42728" w:rsidP="0085404C">
      <w:pPr>
        <w:rPr>
          <w:rFonts w:ascii="Times New Roman" w:hAnsi="Times New Roman"/>
          <w:sz w:val="22"/>
          <w:szCs w:val="22"/>
        </w:rPr>
      </w:pPr>
      <w:r w:rsidRPr="00A947D9">
        <w:rPr>
          <w:rFonts w:ascii="Times New Roman" w:hAnsi="Times New Roman"/>
          <w:sz w:val="22"/>
          <w:szCs w:val="22"/>
        </w:rPr>
        <w:t xml:space="preserve">Dospelí a dospievajúci starší ako 15 rokov </w:t>
      </w:r>
      <w:r w:rsidRPr="00660AC7">
        <w:rPr>
          <w:rFonts w:ascii="Times New Roman" w:hAnsi="Times New Roman"/>
          <w:b/>
          <w:sz w:val="22"/>
          <w:szCs w:val="22"/>
        </w:rPr>
        <w:t xml:space="preserve">s telesnou hmotnosťou </w:t>
      </w:r>
      <w:r w:rsidR="004656B5" w:rsidRPr="00660AC7">
        <w:rPr>
          <w:rFonts w:ascii="Times New Roman" w:hAnsi="Times New Roman"/>
          <w:b/>
          <w:sz w:val="22"/>
          <w:szCs w:val="22"/>
        </w:rPr>
        <w:t>do</w:t>
      </w:r>
      <w:r w:rsidRPr="00660AC7">
        <w:rPr>
          <w:rFonts w:ascii="Times New Roman" w:hAnsi="Times New Roman"/>
          <w:b/>
          <w:sz w:val="22"/>
          <w:szCs w:val="22"/>
        </w:rPr>
        <w:t xml:space="preserve"> 50 kg</w:t>
      </w:r>
      <w:r>
        <w:rPr>
          <w:rFonts w:ascii="Times New Roman" w:hAnsi="Times New Roman"/>
          <w:sz w:val="22"/>
          <w:szCs w:val="22"/>
        </w:rPr>
        <w:t xml:space="preserve"> užívajú 1 tabletu PARALENU RAPID 500 mg </w:t>
      </w:r>
      <w:r w:rsidRPr="00856C71">
        <w:rPr>
          <w:rFonts w:ascii="Times New Roman" w:hAnsi="Times New Roman"/>
          <w:sz w:val="22"/>
          <w:szCs w:val="22"/>
        </w:rPr>
        <w:t>rozpustenú v pohári vody.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711B8A4" w14:textId="7013CA11" w:rsidR="003D0648" w:rsidRDefault="00AE22D0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Interval medzi jednotlivými dávkami musí byť </w:t>
      </w:r>
      <w:r w:rsidR="003D0648" w:rsidRPr="003D0648">
        <w:rPr>
          <w:rFonts w:ascii="Times New Roman" w:hAnsi="Times New Roman"/>
          <w:sz w:val="22"/>
          <w:szCs w:val="22"/>
        </w:rPr>
        <w:t>najmenej 4 hodiny</w:t>
      </w:r>
      <w:r w:rsidR="003D0648">
        <w:rPr>
          <w:rFonts w:ascii="Times New Roman" w:hAnsi="Times New Roman"/>
          <w:sz w:val="22"/>
          <w:szCs w:val="22"/>
        </w:rPr>
        <w:t>.</w:t>
      </w:r>
    </w:p>
    <w:p w14:paraId="2EBEF5E4" w14:textId="114D85AA" w:rsidR="00AE22D0" w:rsidRDefault="00AE22D0" w:rsidP="0085404C">
      <w:pPr>
        <w:rPr>
          <w:rFonts w:ascii="Times New Roman" w:hAnsi="Times New Roman"/>
          <w:sz w:val="22"/>
          <w:szCs w:val="22"/>
        </w:rPr>
      </w:pPr>
      <w:r w:rsidRPr="00AE22D0">
        <w:rPr>
          <w:rFonts w:ascii="Times New Roman" w:hAnsi="Times New Roman"/>
          <w:sz w:val="22"/>
          <w:szCs w:val="22"/>
        </w:rPr>
        <w:t xml:space="preserve">Maximálna denná dávka je </w:t>
      </w:r>
      <w:r>
        <w:rPr>
          <w:rFonts w:ascii="Times New Roman" w:hAnsi="Times New Roman"/>
          <w:sz w:val="22"/>
          <w:szCs w:val="22"/>
        </w:rPr>
        <w:t>8</w:t>
      </w:r>
      <w:r w:rsidRPr="00AE22D0">
        <w:rPr>
          <w:rFonts w:ascii="Times New Roman" w:hAnsi="Times New Roman"/>
          <w:sz w:val="22"/>
          <w:szCs w:val="22"/>
        </w:rPr>
        <w:t xml:space="preserve"> tabl</w:t>
      </w:r>
      <w:r>
        <w:rPr>
          <w:rFonts w:ascii="Times New Roman" w:hAnsi="Times New Roman"/>
          <w:sz w:val="22"/>
          <w:szCs w:val="22"/>
        </w:rPr>
        <w:t>i</w:t>
      </w:r>
      <w:r w:rsidRPr="00AE22D0">
        <w:rPr>
          <w:rFonts w:ascii="Times New Roman" w:hAnsi="Times New Roman"/>
          <w:sz w:val="22"/>
          <w:szCs w:val="22"/>
        </w:rPr>
        <w:t>et (4 g paracetamolu).</w:t>
      </w:r>
    </w:p>
    <w:p w14:paraId="6EEBF5A1" w14:textId="77777777" w:rsidR="00AC1376" w:rsidRDefault="00AC1376" w:rsidP="0085404C">
      <w:pPr>
        <w:rPr>
          <w:rFonts w:ascii="Times New Roman" w:hAnsi="Times New Roman"/>
          <w:sz w:val="22"/>
          <w:szCs w:val="22"/>
        </w:rPr>
      </w:pPr>
    </w:p>
    <w:p w14:paraId="6D3B1E77" w14:textId="56FB8FC9" w:rsidR="009E37B4" w:rsidRPr="00B73C6F" w:rsidRDefault="00AC1376" w:rsidP="0085404C">
      <w:pPr>
        <w:rPr>
          <w:rFonts w:ascii="Times New Roman" w:hAnsi="Times New Roman"/>
          <w:sz w:val="22"/>
          <w:szCs w:val="22"/>
        </w:rPr>
      </w:pPr>
      <w:r w:rsidRPr="002832EB">
        <w:rPr>
          <w:rFonts w:ascii="Times New Roman" w:hAnsi="Times New Roman"/>
          <w:sz w:val="22"/>
          <w:szCs w:val="22"/>
        </w:rPr>
        <w:t xml:space="preserve">Pri dlhodobej liečbe (viac ako 10 dní) </w:t>
      </w:r>
      <w:r w:rsidR="009E37B4" w:rsidRPr="002832EB">
        <w:rPr>
          <w:rFonts w:ascii="Times New Roman" w:hAnsi="Times New Roman"/>
          <w:sz w:val="22"/>
          <w:szCs w:val="22"/>
        </w:rPr>
        <w:t xml:space="preserve">nemá </w:t>
      </w:r>
      <w:r w:rsidR="00C4582E" w:rsidRPr="002832EB">
        <w:rPr>
          <w:rFonts w:ascii="Times New Roman" w:hAnsi="Times New Roman"/>
          <w:sz w:val="22"/>
          <w:szCs w:val="22"/>
        </w:rPr>
        <w:t xml:space="preserve">maximálna </w:t>
      </w:r>
      <w:r w:rsidR="009E37B4" w:rsidRPr="002832EB">
        <w:rPr>
          <w:rFonts w:ascii="Times New Roman" w:hAnsi="Times New Roman"/>
          <w:sz w:val="22"/>
          <w:szCs w:val="22"/>
        </w:rPr>
        <w:t>denná dávka</w:t>
      </w:r>
      <w:r w:rsidR="009E37B4" w:rsidRPr="00B73C6F">
        <w:rPr>
          <w:rFonts w:ascii="Times New Roman" w:hAnsi="Times New Roman"/>
          <w:sz w:val="22"/>
          <w:szCs w:val="22"/>
        </w:rPr>
        <w:t xml:space="preserve"> prekročiť 2,5 g </w:t>
      </w:r>
      <w:r w:rsidR="00EF138F">
        <w:rPr>
          <w:rFonts w:ascii="Times New Roman" w:hAnsi="Times New Roman"/>
          <w:sz w:val="22"/>
          <w:szCs w:val="22"/>
        </w:rPr>
        <w:t>paracetamolu</w:t>
      </w:r>
      <w:r w:rsidR="00AE22D0">
        <w:rPr>
          <w:rFonts w:ascii="Times New Roman" w:hAnsi="Times New Roman"/>
          <w:sz w:val="22"/>
          <w:szCs w:val="22"/>
        </w:rPr>
        <w:t xml:space="preserve"> (5 tabliet </w:t>
      </w:r>
      <w:r w:rsidR="00AE22D0" w:rsidRPr="00AE22D0">
        <w:rPr>
          <w:rFonts w:ascii="Times New Roman" w:hAnsi="Times New Roman"/>
          <w:sz w:val="22"/>
          <w:szCs w:val="22"/>
        </w:rPr>
        <w:t>PARALENU RAPID 500 mg</w:t>
      </w:r>
      <w:r w:rsidR="00AE22D0">
        <w:rPr>
          <w:rFonts w:ascii="Times New Roman" w:hAnsi="Times New Roman"/>
          <w:sz w:val="22"/>
          <w:szCs w:val="22"/>
        </w:rPr>
        <w:t>)</w:t>
      </w:r>
      <w:r w:rsidR="009E37B4" w:rsidRPr="00B73C6F">
        <w:rPr>
          <w:rFonts w:ascii="Times New Roman" w:hAnsi="Times New Roman"/>
          <w:sz w:val="22"/>
          <w:szCs w:val="22"/>
        </w:rPr>
        <w:t>.</w:t>
      </w:r>
    </w:p>
    <w:p w14:paraId="100CBA89" w14:textId="77777777" w:rsidR="00BA7C5C" w:rsidRDefault="00BA7C5C" w:rsidP="0085404C">
      <w:pPr>
        <w:widowControl w:val="0"/>
        <w:rPr>
          <w:rFonts w:ascii="Times New Roman" w:eastAsia="Times New Roman" w:hAnsi="Times New Roman"/>
          <w:b/>
          <w:sz w:val="22"/>
          <w:szCs w:val="22"/>
          <w:lang w:eastAsia="cs-CZ"/>
        </w:rPr>
      </w:pPr>
    </w:p>
    <w:p w14:paraId="535CE49F" w14:textId="77777777" w:rsidR="00A20645" w:rsidRPr="00660AC7" w:rsidRDefault="00C1276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660AC7">
        <w:rPr>
          <w:rFonts w:ascii="Times New Roman" w:eastAsia="Times New Roman" w:hAnsi="Times New Roman"/>
          <w:i/>
          <w:sz w:val="22"/>
          <w:szCs w:val="22"/>
          <w:lang w:eastAsia="cs-CZ"/>
        </w:rPr>
        <w:lastRenderedPageBreak/>
        <w:t>Pediatrická populácia</w:t>
      </w:r>
    </w:p>
    <w:p w14:paraId="2DBB9336" w14:textId="11DE7445" w:rsidR="00A20645" w:rsidRDefault="00A20645" w:rsidP="0085404C">
      <w:pPr>
        <w:rPr>
          <w:rFonts w:ascii="Times New Roman" w:hAnsi="Times New Roman"/>
          <w:sz w:val="22"/>
          <w:szCs w:val="22"/>
        </w:rPr>
      </w:pPr>
      <w:r w:rsidRPr="0064441B">
        <w:rPr>
          <w:rFonts w:ascii="Times New Roman" w:hAnsi="Times New Roman"/>
          <w:sz w:val="22"/>
          <w:szCs w:val="22"/>
        </w:rPr>
        <w:t>Deti a dospievajúci vo veku od 12 do 15 rokov</w:t>
      </w:r>
      <w:r w:rsidRPr="0064441B">
        <w:rPr>
          <w:b/>
        </w:rPr>
        <w:t xml:space="preserve"> </w:t>
      </w:r>
      <w:r w:rsidRPr="0064441B">
        <w:rPr>
          <w:rFonts w:ascii="Times New Roman" w:hAnsi="Times New Roman"/>
          <w:sz w:val="22"/>
          <w:szCs w:val="22"/>
        </w:rPr>
        <w:t>užívajú 1</w:t>
      </w:r>
      <w:r w:rsidR="00C4582E">
        <w:rPr>
          <w:rFonts w:ascii="Times New Roman" w:hAnsi="Times New Roman"/>
          <w:sz w:val="22"/>
          <w:szCs w:val="22"/>
        </w:rPr>
        <w:t xml:space="preserve"> </w:t>
      </w:r>
      <w:r w:rsidRPr="0064441B">
        <w:rPr>
          <w:rFonts w:ascii="Times New Roman" w:hAnsi="Times New Roman"/>
          <w:sz w:val="22"/>
          <w:szCs w:val="22"/>
        </w:rPr>
        <w:t>tabletu PARALENU RAPID 500 mg rozpustenú</w:t>
      </w:r>
      <w:r>
        <w:rPr>
          <w:rFonts w:ascii="Times New Roman" w:hAnsi="Times New Roman"/>
          <w:sz w:val="22"/>
          <w:szCs w:val="22"/>
        </w:rPr>
        <w:t xml:space="preserve"> v pohári vody, </w:t>
      </w:r>
      <w:r w:rsidRPr="001E4C7D">
        <w:rPr>
          <w:rFonts w:ascii="Times New Roman" w:hAnsi="Times New Roman"/>
          <w:sz w:val="22"/>
          <w:szCs w:val="22"/>
        </w:rPr>
        <w:t xml:space="preserve">podľa potreby </w:t>
      </w:r>
      <w:r>
        <w:rPr>
          <w:rFonts w:ascii="Times New Roman" w:hAnsi="Times New Roman"/>
          <w:sz w:val="22"/>
          <w:szCs w:val="22"/>
        </w:rPr>
        <w:t xml:space="preserve">v 6-hodinových intervaloch. Ak je to nutné, interval medzi jednotlivými dávkami možno skrátiť na 4 hodiny, pričom nesmie byť prekročená </w:t>
      </w:r>
      <w:r w:rsidR="001F3EEF">
        <w:rPr>
          <w:rFonts w:ascii="Times New Roman" w:hAnsi="Times New Roman"/>
          <w:sz w:val="22"/>
          <w:szCs w:val="22"/>
        </w:rPr>
        <w:t xml:space="preserve">maximálna </w:t>
      </w:r>
      <w:r>
        <w:rPr>
          <w:rFonts w:ascii="Times New Roman" w:hAnsi="Times New Roman"/>
          <w:sz w:val="22"/>
          <w:szCs w:val="22"/>
        </w:rPr>
        <w:t>denná dávka</w:t>
      </w:r>
      <w:r w:rsidR="001F3EEF">
        <w:rPr>
          <w:rFonts w:ascii="Times New Roman" w:hAnsi="Times New Roman"/>
          <w:sz w:val="22"/>
          <w:szCs w:val="22"/>
        </w:rPr>
        <w:t xml:space="preserve"> 3 g </w:t>
      </w:r>
      <w:r w:rsidR="0091084D">
        <w:rPr>
          <w:rFonts w:ascii="Times New Roman" w:hAnsi="Times New Roman"/>
          <w:sz w:val="22"/>
          <w:szCs w:val="22"/>
        </w:rPr>
        <w:t xml:space="preserve"> </w:t>
      </w:r>
      <w:r w:rsidR="001F3EEF">
        <w:rPr>
          <w:rFonts w:ascii="Times New Roman" w:hAnsi="Times New Roman"/>
          <w:sz w:val="22"/>
          <w:szCs w:val="22"/>
        </w:rPr>
        <w:t>paracetamolu</w:t>
      </w:r>
      <w:r w:rsidR="0091084D">
        <w:rPr>
          <w:rFonts w:ascii="Times New Roman" w:hAnsi="Times New Roman"/>
          <w:sz w:val="22"/>
          <w:szCs w:val="22"/>
        </w:rPr>
        <w:t xml:space="preserve"> (6 tabliet</w:t>
      </w:r>
      <w:r w:rsidR="00384BD5">
        <w:rPr>
          <w:rFonts w:ascii="Times New Roman" w:hAnsi="Times New Roman"/>
          <w:sz w:val="22"/>
          <w:szCs w:val="22"/>
        </w:rPr>
        <w:t xml:space="preserve"> </w:t>
      </w:r>
      <w:r w:rsidR="00384BD5" w:rsidRPr="00AE22D0">
        <w:rPr>
          <w:rFonts w:ascii="Times New Roman" w:hAnsi="Times New Roman"/>
          <w:sz w:val="22"/>
          <w:szCs w:val="22"/>
        </w:rPr>
        <w:t>PARALENU RAPID 500 mg</w:t>
      </w:r>
      <w:r w:rsidR="0091084D">
        <w:rPr>
          <w:rFonts w:ascii="Times New Roman" w:hAnsi="Times New Roman"/>
          <w:sz w:val="22"/>
          <w:szCs w:val="22"/>
        </w:rPr>
        <w:t>)</w:t>
      </w:r>
      <w:r w:rsidRPr="001E4C7D">
        <w:rPr>
          <w:rFonts w:ascii="Times New Roman" w:hAnsi="Times New Roman"/>
          <w:sz w:val="22"/>
          <w:szCs w:val="22"/>
        </w:rPr>
        <w:t xml:space="preserve">. </w:t>
      </w:r>
    </w:p>
    <w:p w14:paraId="100B443B" w14:textId="7F594941" w:rsidR="00A20645" w:rsidRDefault="006D357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856C71">
        <w:rPr>
          <w:rFonts w:ascii="Times New Roman" w:eastAsia="Times New Roman" w:hAnsi="Times New Roman"/>
          <w:sz w:val="22"/>
          <w:szCs w:val="22"/>
          <w:lang w:eastAsia="cs-CZ"/>
        </w:rPr>
        <w:t>Jednotlivé a m</w:t>
      </w:r>
      <w:r w:rsidR="00A20645" w:rsidRPr="00856C71">
        <w:rPr>
          <w:rFonts w:ascii="Times New Roman" w:eastAsia="Times New Roman" w:hAnsi="Times New Roman"/>
          <w:sz w:val="22"/>
          <w:szCs w:val="22"/>
          <w:lang w:eastAsia="cs-CZ"/>
        </w:rPr>
        <w:t>aximálne denné dávky podľa veku a telesnej hmotnosti sú uvedené v tabuľke.</w:t>
      </w:r>
    </w:p>
    <w:p w14:paraId="2A0F0C6E" w14:textId="77777777" w:rsidR="00350579" w:rsidRDefault="00350579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tbl>
      <w:tblPr>
        <w:tblW w:w="4769" w:type="pc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2"/>
        <w:gridCol w:w="2243"/>
        <w:gridCol w:w="2658"/>
        <w:gridCol w:w="2704"/>
      </w:tblGrid>
      <w:tr w:rsidR="006D357C" w:rsidRPr="00A20645" w14:paraId="145225A5" w14:textId="77777777" w:rsidTr="006D357C">
        <w:tc>
          <w:tcPr>
            <w:tcW w:w="857" w:type="pct"/>
            <w:vAlign w:val="center"/>
          </w:tcPr>
          <w:p w14:paraId="647D4E71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V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ek</w:t>
            </w:r>
          </w:p>
        </w:tc>
        <w:tc>
          <w:tcPr>
            <w:tcW w:w="1222" w:type="pct"/>
            <w:vAlign w:val="center"/>
          </w:tcPr>
          <w:p w14:paraId="36372BDB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H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motnosť</w:t>
            </w:r>
          </w:p>
        </w:tc>
        <w:tc>
          <w:tcPr>
            <w:tcW w:w="1448" w:type="pct"/>
            <w:vAlign w:val="center"/>
          </w:tcPr>
          <w:p w14:paraId="7D9A4320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Jednotlivá dávka</w:t>
            </w:r>
          </w:p>
        </w:tc>
        <w:tc>
          <w:tcPr>
            <w:tcW w:w="1473" w:type="pct"/>
            <w:vAlign w:val="center"/>
          </w:tcPr>
          <w:p w14:paraId="220E2946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Max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imálna</w:t>
            </w: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 xml:space="preserve"> denn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á</w:t>
            </w: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 xml:space="preserve"> dávka</w:t>
            </w:r>
          </w:p>
        </w:tc>
      </w:tr>
      <w:tr w:rsidR="006D357C" w:rsidRPr="00A20645" w14:paraId="25037F37" w14:textId="77777777" w:rsidTr="006D357C">
        <w:trPr>
          <w:trHeight w:val="224"/>
        </w:trPr>
        <w:tc>
          <w:tcPr>
            <w:tcW w:w="857" w:type="pct"/>
            <w:vAlign w:val="center"/>
          </w:tcPr>
          <w:p w14:paraId="2E7ADBCC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12–15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rokov</w:t>
            </w:r>
          </w:p>
        </w:tc>
        <w:tc>
          <w:tcPr>
            <w:tcW w:w="1222" w:type="pct"/>
            <w:vAlign w:val="center"/>
          </w:tcPr>
          <w:p w14:paraId="3A4EE512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40–50 kg</w:t>
            </w:r>
          </w:p>
        </w:tc>
        <w:tc>
          <w:tcPr>
            <w:tcW w:w="1448" w:type="pct"/>
            <w:vAlign w:val="center"/>
          </w:tcPr>
          <w:p w14:paraId="7FB6B3B5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500 mg</w:t>
            </w:r>
          </w:p>
        </w:tc>
        <w:tc>
          <w:tcPr>
            <w:tcW w:w="1473" w:type="pct"/>
            <w:vAlign w:val="center"/>
          </w:tcPr>
          <w:p w14:paraId="1F193498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3 g</w:t>
            </w:r>
          </w:p>
        </w:tc>
      </w:tr>
      <w:tr w:rsidR="006D357C" w:rsidRPr="00A20645" w14:paraId="676484EE" w14:textId="77777777" w:rsidTr="006D357C">
        <w:tc>
          <w:tcPr>
            <w:tcW w:w="857" w:type="pct"/>
            <w:vMerge w:val="restart"/>
            <w:vAlign w:val="center"/>
          </w:tcPr>
          <w:p w14:paraId="12342C36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nad 15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rokov</w:t>
            </w: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222" w:type="pct"/>
            <w:vAlign w:val="center"/>
          </w:tcPr>
          <w:p w14:paraId="7690D52D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do</w:t>
            </w: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A20645">
                <w:rPr>
                  <w:rFonts w:ascii="Times New Roman" w:eastAsia="Times New Roman" w:hAnsi="Times New Roman"/>
                  <w:color w:val="000000"/>
                  <w:sz w:val="22"/>
                  <w:szCs w:val="22"/>
                  <w:lang w:val="cs-CZ" w:eastAsia="cs-CZ"/>
                </w:rPr>
                <w:t>50 kg</w:t>
              </w:r>
            </w:smartTag>
          </w:p>
        </w:tc>
        <w:tc>
          <w:tcPr>
            <w:tcW w:w="1448" w:type="pct"/>
            <w:vAlign w:val="center"/>
          </w:tcPr>
          <w:p w14:paraId="2D4F1D14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500 mg </w:t>
            </w:r>
          </w:p>
        </w:tc>
        <w:tc>
          <w:tcPr>
            <w:tcW w:w="1473" w:type="pct"/>
            <w:vMerge w:val="restart"/>
            <w:vAlign w:val="center"/>
          </w:tcPr>
          <w:p w14:paraId="4F1B5A50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4 g</w:t>
            </w:r>
          </w:p>
        </w:tc>
      </w:tr>
      <w:tr w:rsidR="006D357C" w:rsidRPr="00A20645" w14:paraId="20CE7CD2" w14:textId="77777777" w:rsidTr="006D357C">
        <w:tc>
          <w:tcPr>
            <w:tcW w:w="857" w:type="pct"/>
            <w:vMerge/>
            <w:vAlign w:val="center"/>
          </w:tcPr>
          <w:p w14:paraId="164C7E72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222" w:type="pct"/>
            <w:vAlign w:val="center"/>
          </w:tcPr>
          <w:p w14:paraId="0F9BA90B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nad</w:t>
            </w: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A20645">
                <w:rPr>
                  <w:rFonts w:ascii="Times New Roman" w:eastAsia="Times New Roman" w:hAnsi="Times New Roman"/>
                  <w:color w:val="000000"/>
                  <w:sz w:val="22"/>
                  <w:szCs w:val="22"/>
                  <w:lang w:val="cs-CZ" w:eastAsia="cs-CZ"/>
                </w:rPr>
                <w:t>50 kg</w:t>
              </w:r>
            </w:smartTag>
          </w:p>
        </w:tc>
        <w:tc>
          <w:tcPr>
            <w:tcW w:w="1448" w:type="pct"/>
            <w:vAlign w:val="center"/>
          </w:tcPr>
          <w:p w14:paraId="61B0C55D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500–1 000 mg</w:t>
            </w:r>
          </w:p>
        </w:tc>
        <w:tc>
          <w:tcPr>
            <w:tcW w:w="1473" w:type="pct"/>
            <w:vMerge/>
            <w:vAlign w:val="center"/>
          </w:tcPr>
          <w:p w14:paraId="55906DBB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4C14CC09" w14:textId="77777777" w:rsidR="00467788" w:rsidRDefault="00467788" w:rsidP="0085404C">
      <w:pPr>
        <w:widowControl w:val="0"/>
        <w:rPr>
          <w:rStyle w:val="Odkaznakomentr"/>
        </w:rPr>
      </w:pPr>
    </w:p>
    <w:p w14:paraId="05239C58" w14:textId="0765DAEA" w:rsidR="00BA7C5C" w:rsidRPr="00660AC7" w:rsidRDefault="00C12768" w:rsidP="0085404C">
      <w:pPr>
        <w:widowControl w:val="0"/>
        <w:rPr>
          <w:rFonts w:ascii="Times New Roman" w:eastAsia="Times New Roman" w:hAnsi="Times New Roman"/>
          <w:i/>
          <w:color w:val="000000"/>
          <w:sz w:val="22"/>
          <w:szCs w:val="22"/>
          <w:lang w:eastAsia="cs-CZ"/>
        </w:rPr>
      </w:pPr>
      <w:r w:rsidRPr="00660AC7">
        <w:rPr>
          <w:rFonts w:ascii="Times New Roman" w:eastAsia="Times New Roman" w:hAnsi="Times New Roman"/>
          <w:i/>
          <w:color w:val="000000"/>
          <w:sz w:val="22"/>
          <w:szCs w:val="22"/>
          <w:lang w:eastAsia="cs-CZ"/>
        </w:rPr>
        <w:t>Pacienti s renálnou insuficienciou</w:t>
      </w:r>
    </w:p>
    <w:p w14:paraId="13259095" w14:textId="6C3ACD4E" w:rsidR="001738F7" w:rsidRDefault="00BA7C5C" w:rsidP="0085404C">
      <w:pPr>
        <w:widowControl w:val="0"/>
        <w:rPr>
          <w:rFonts w:ascii="Times New Roman" w:eastAsia="Times New Roman" w:hAnsi="Times New Roman"/>
          <w:color w:val="000000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U pacientov s </w:t>
      </w:r>
      <w:r w:rsidR="00DD0D85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renálnou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nedostatočnosťou sa odporúča predĺžiť interval medzi </w:t>
      </w:r>
      <w:r w:rsidR="00CA2680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jednotlivými 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dávkami: </w:t>
      </w:r>
    </w:p>
    <w:p w14:paraId="423196F0" w14:textId="43132CC7" w:rsidR="00BA7C5C" w:rsidRPr="00BA7C5C" w:rsidRDefault="00BA7C5C" w:rsidP="0085404C">
      <w:pPr>
        <w:widowControl w:val="0"/>
        <w:rPr>
          <w:rFonts w:ascii="Times New Roman" w:eastAsia="Times New Roman" w:hAnsi="Times New Roman"/>
          <w:color w:val="000000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v prípade stredne ťažkej renálnej insuficiencie (klírens kreatinínu 10-50 ml/min) </w:t>
      </w:r>
      <w:r w:rsidR="00CA2680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je možné podať 500 mg paracetamolu (1 tabletu) každých 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6 hodín, v prípade ťažkej renálnej insuficiencie (klírens kreatinínu &lt;</w:t>
      </w:r>
      <w:r w:rsidR="00467788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10 ml/min) </w:t>
      </w:r>
      <w:r w:rsidR="00CA2680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je možné podať 500 mg paracetamolu (1 tabletu) každých 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8 hodín.</w:t>
      </w:r>
    </w:p>
    <w:p w14:paraId="03784D28" w14:textId="74DA7227" w:rsidR="00BA7C5C" w:rsidRDefault="00BA7C5C" w:rsidP="0085404C">
      <w:pPr>
        <w:widowControl w:val="0"/>
        <w:rPr>
          <w:rFonts w:ascii="Times New Roman" w:eastAsia="Times New Roman" w:hAnsi="Times New Roman"/>
          <w:color w:val="000000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Maximálna denná dávka nesmie prekročiť </w:t>
      </w:r>
      <w:r w:rsidR="00B73975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4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tablet</w:t>
      </w:r>
      <w:r w:rsidR="00B73975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y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(</w:t>
      </w:r>
      <w:r w:rsidR="00B73975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2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g paracetamolu).</w:t>
      </w:r>
    </w:p>
    <w:p w14:paraId="3934B473" w14:textId="77777777" w:rsidR="00BA7C5C" w:rsidRPr="00BA7C5C" w:rsidRDefault="00BA7C5C" w:rsidP="0085404C">
      <w:pPr>
        <w:widowControl w:val="0"/>
        <w:rPr>
          <w:rFonts w:ascii="Times New Roman" w:eastAsia="Times New Roman" w:hAnsi="Times New Roman"/>
          <w:color w:val="000000"/>
          <w:sz w:val="22"/>
          <w:szCs w:val="22"/>
          <w:lang w:eastAsia="cs-CZ"/>
        </w:rPr>
      </w:pPr>
    </w:p>
    <w:p w14:paraId="35FB6D1B" w14:textId="7B5A2AFD" w:rsidR="00BA7C5C" w:rsidRPr="00660AC7" w:rsidRDefault="00C1276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660AC7">
        <w:rPr>
          <w:rFonts w:ascii="Times New Roman" w:eastAsia="Times New Roman" w:hAnsi="Times New Roman"/>
          <w:i/>
          <w:sz w:val="22"/>
          <w:szCs w:val="22"/>
          <w:lang w:eastAsia="cs-CZ"/>
        </w:rPr>
        <w:t>Pacienti s hepatálnou insuficienciou</w:t>
      </w:r>
    </w:p>
    <w:p w14:paraId="099569AC" w14:textId="3BCD68F7" w:rsidR="00BA7C5C" w:rsidRPr="00BA7C5C" w:rsidRDefault="00BA7C5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Pri stabilizovanej 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 xml:space="preserve">miernej až stredne ťažkej </w:t>
      </w: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chronickej hepatálnej insuficiencii </w:t>
      </w:r>
      <w:r w:rsidR="00D27B89">
        <w:rPr>
          <w:rFonts w:ascii="Times New Roman" w:eastAsia="Times New Roman" w:hAnsi="Times New Roman"/>
          <w:sz w:val="22"/>
          <w:szCs w:val="22"/>
          <w:lang w:eastAsia="cs-CZ"/>
        </w:rPr>
        <w:t xml:space="preserve">paracetamol </w:t>
      </w:r>
      <w:r w:rsidR="003B4EB6">
        <w:rPr>
          <w:rFonts w:ascii="Times New Roman" w:eastAsia="Times New Roman" w:hAnsi="Times New Roman"/>
          <w:sz w:val="22"/>
          <w:szCs w:val="22"/>
          <w:lang w:eastAsia="cs-CZ"/>
        </w:rPr>
        <w:t>obvykle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nevyvoláva poškodenie pečene, ak 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>max</w:t>
      </w:r>
      <w:r w:rsidR="0079496B">
        <w:rPr>
          <w:rFonts w:ascii="Times New Roman" w:eastAsia="Times New Roman" w:hAnsi="Times New Roman"/>
          <w:sz w:val="22"/>
          <w:szCs w:val="22"/>
          <w:lang w:eastAsia="cs-CZ"/>
        </w:rPr>
        <w:t>imálna denná dávka nepre</w:t>
      </w:r>
      <w:r w:rsidR="00BE46EA">
        <w:rPr>
          <w:rFonts w:ascii="Times New Roman" w:eastAsia="Times New Roman" w:hAnsi="Times New Roman"/>
          <w:sz w:val="22"/>
          <w:szCs w:val="22"/>
          <w:lang w:eastAsia="cs-CZ"/>
        </w:rPr>
        <w:t>kročí</w:t>
      </w:r>
      <w:r w:rsidR="0079496B">
        <w:rPr>
          <w:rFonts w:ascii="Times New Roman" w:eastAsia="Times New Roman" w:hAnsi="Times New Roman"/>
          <w:sz w:val="22"/>
          <w:szCs w:val="22"/>
          <w:lang w:eastAsia="cs-CZ"/>
        </w:rPr>
        <w:t xml:space="preserve"> 6 tabliet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 xml:space="preserve"> (3</w:t>
      </w:r>
      <w:r w:rsidR="00065A87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>g paracetamolu)</w:t>
      </w: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>. Napriek tomu je vhodné u týchto pacientov nepodávať maximálne dávky a dodržiavať interval medzi jednotlivými dávkami minimálne 6 hodín.</w:t>
      </w:r>
    </w:p>
    <w:p w14:paraId="44039C30" w14:textId="77777777" w:rsidR="00BA7C5C" w:rsidRPr="00BA7C5C" w:rsidRDefault="00BA7C5C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u w:val="single"/>
          <w:lang w:eastAsia="cs-CZ"/>
        </w:rPr>
      </w:pPr>
    </w:p>
    <w:p w14:paraId="598BB9D3" w14:textId="66A4F639" w:rsidR="00BA7C5C" w:rsidRPr="00BA7C5C" w:rsidRDefault="00BA7C5C" w:rsidP="0085404C">
      <w:pPr>
        <w:widowControl w:val="0"/>
        <w:rPr>
          <w:rFonts w:ascii="Times New Roman" w:eastAsia="Times New Roman" w:hAnsi="Times New Roman"/>
          <w:sz w:val="22"/>
          <w:szCs w:val="22"/>
          <w:u w:val="single"/>
          <w:lang w:eastAsia="cs-CZ"/>
        </w:rPr>
      </w:pPr>
      <w:r w:rsidRPr="00BA7C5C">
        <w:rPr>
          <w:rFonts w:ascii="Times New Roman" w:eastAsia="Times New Roman" w:hAnsi="Times New Roman"/>
          <w:sz w:val="22"/>
          <w:szCs w:val="22"/>
          <w:u w:val="single"/>
          <w:lang w:eastAsia="cs-CZ"/>
        </w:rPr>
        <w:t>Spôsob podávania</w:t>
      </w:r>
    </w:p>
    <w:p w14:paraId="1129EEE8" w14:textId="26E310AA" w:rsidR="003B4EB6" w:rsidRDefault="00BA7C5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>Lie</w:t>
      </w:r>
      <w:r w:rsidR="00F75C78">
        <w:rPr>
          <w:rFonts w:ascii="Times New Roman" w:eastAsia="Times New Roman" w:hAnsi="Times New Roman"/>
          <w:sz w:val="22"/>
          <w:szCs w:val="22"/>
          <w:lang w:eastAsia="cs-CZ"/>
        </w:rPr>
        <w:t>k je určený na perorálne po</w:t>
      </w:r>
      <w:r w:rsidR="00DD0D85">
        <w:rPr>
          <w:rFonts w:ascii="Times New Roman" w:eastAsia="Times New Roman" w:hAnsi="Times New Roman"/>
          <w:sz w:val="22"/>
          <w:szCs w:val="22"/>
          <w:lang w:eastAsia="cs-CZ"/>
        </w:rPr>
        <w:t>danie</w:t>
      </w: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</w:p>
    <w:p w14:paraId="10BEEEE2" w14:textId="1674C010" w:rsidR="00BA7C5C" w:rsidRPr="00BA7C5C" w:rsidRDefault="003B4EB6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3B4EB6">
        <w:rPr>
          <w:rFonts w:ascii="Times New Roman" w:eastAsia="Times New Roman" w:hAnsi="Times New Roman"/>
          <w:sz w:val="22"/>
          <w:szCs w:val="22"/>
          <w:lang w:eastAsia="cs-CZ"/>
        </w:rPr>
        <w:t>Tablet</w:t>
      </w:r>
      <w:r w:rsidR="001B032E">
        <w:rPr>
          <w:rFonts w:ascii="Times New Roman" w:eastAsia="Times New Roman" w:hAnsi="Times New Roman"/>
          <w:sz w:val="22"/>
          <w:szCs w:val="22"/>
          <w:lang w:eastAsia="cs-CZ"/>
        </w:rPr>
        <w:t>a</w:t>
      </w:r>
      <w:r w:rsidRPr="003B4EB6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1B032E">
        <w:rPr>
          <w:rFonts w:ascii="Times New Roman" w:eastAsia="Times New Roman" w:hAnsi="Times New Roman"/>
          <w:sz w:val="22"/>
          <w:szCs w:val="22"/>
          <w:lang w:eastAsia="cs-CZ"/>
        </w:rPr>
        <w:t xml:space="preserve">sa </w:t>
      </w:r>
      <w:r w:rsidR="00D90CF9">
        <w:rPr>
          <w:rFonts w:ascii="Times New Roman" w:eastAsia="Times New Roman" w:hAnsi="Times New Roman"/>
          <w:sz w:val="22"/>
          <w:szCs w:val="22"/>
          <w:lang w:eastAsia="cs-CZ"/>
        </w:rPr>
        <w:t>nech</w:t>
      </w:r>
      <w:r w:rsidR="001B032E">
        <w:rPr>
          <w:rFonts w:ascii="Times New Roman" w:eastAsia="Times New Roman" w:hAnsi="Times New Roman"/>
          <w:sz w:val="22"/>
          <w:szCs w:val="22"/>
          <w:lang w:eastAsia="cs-CZ"/>
        </w:rPr>
        <w:t>á</w:t>
      </w:r>
      <w:r w:rsidR="00D90CF9">
        <w:rPr>
          <w:rFonts w:ascii="Times New Roman" w:eastAsia="Times New Roman" w:hAnsi="Times New Roman"/>
          <w:sz w:val="22"/>
          <w:szCs w:val="22"/>
          <w:lang w:eastAsia="cs-CZ"/>
        </w:rPr>
        <w:t xml:space="preserve"> úplne rozpustiť v </w:t>
      </w:r>
      <w:r w:rsidR="00D90CF9" w:rsidRPr="00856C71">
        <w:rPr>
          <w:rFonts w:ascii="Times New Roman" w:eastAsia="Times New Roman" w:hAnsi="Times New Roman"/>
          <w:sz w:val="22"/>
          <w:szCs w:val="22"/>
          <w:lang w:eastAsia="cs-CZ"/>
        </w:rPr>
        <w:t>pohári vody a</w:t>
      </w:r>
      <w:r w:rsidR="00F75C78" w:rsidRPr="00856C71">
        <w:rPr>
          <w:rFonts w:ascii="Times New Roman" w:eastAsia="Times New Roman" w:hAnsi="Times New Roman"/>
          <w:sz w:val="22"/>
          <w:szCs w:val="22"/>
          <w:lang w:eastAsia="cs-CZ"/>
        </w:rPr>
        <w:t xml:space="preserve"> roztok</w:t>
      </w:r>
      <w:r w:rsidR="00D90CF9" w:rsidRPr="00856C71">
        <w:rPr>
          <w:rFonts w:ascii="Times New Roman" w:eastAsia="Times New Roman" w:hAnsi="Times New Roman"/>
          <w:sz w:val="22"/>
          <w:szCs w:val="22"/>
          <w:lang w:eastAsia="cs-CZ"/>
        </w:rPr>
        <w:t> </w:t>
      </w:r>
      <w:r w:rsidR="001B032E">
        <w:rPr>
          <w:rFonts w:ascii="Times New Roman" w:eastAsia="Times New Roman" w:hAnsi="Times New Roman"/>
          <w:sz w:val="22"/>
          <w:szCs w:val="22"/>
          <w:lang w:eastAsia="cs-CZ"/>
        </w:rPr>
        <w:t xml:space="preserve">sa </w:t>
      </w:r>
      <w:r w:rsidR="00D90CF9" w:rsidRPr="00856C71">
        <w:rPr>
          <w:rFonts w:ascii="Times New Roman" w:eastAsia="Times New Roman" w:hAnsi="Times New Roman"/>
          <w:sz w:val="22"/>
          <w:szCs w:val="22"/>
          <w:lang w:eastAsia="cs-CZ"/>
        </w:rPr>
        <w:t>ihneď</w:t>
      </w:r>
      <w:r w:rsidR="00D90CF9">
        <w:rPr>
          <w:rFonts w:ascii="Times New Roman" w:eastAsia="Times New Roman" w:hAnsi="Times New Roman"/>
          <w:sz w:val="22"/>
          <w:szCs w:val="22"/>
          <w:lang w:eastAsia="cs-CZ"/>
        </w:rPr>
        <w:t xml:space="preserve"> vypi</w:t>
      </w:r>
      <w:r w:rsidR="001B032E">
        <w:rPr>
          <w:rFonts w:ascii="Times New Roman" w:eastAsia="Times New Roman" w:hAnsi="Times New Roman"/>
          <w:sz w:val="22"/>
          <w:szCs w:val="22"/>
          <w:lang w:eastAsia="cs-CZ"/>
        </w:rPr>
        <w:t>je</w:t>
      </w:r>
      <w:r w:rsidRPr="003B4EB6">
        <w:rPr>
          <w:rFonts w:ascii="Times New Roman" w:eastAsia="Times New Roman" w:hAnsi="Times New Roman"/>
          <w:sz w:val="22"/>
          <w:szCs w:val="22"/>
          <w:lang w:eastAsia="cs-CZ"/>
        </w:rPr>
        <w:t>.</w:t>
      </w:r>
      <w:r w:rsidR="00BA7C5C"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</w:p>
    <w:p w14:paraId="07DF1B36" w14:textId="77777777" w:rsidR="00BA7C5C" w:rsidRPr="00A640D1" w:rsidRDefault="00BA7C5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523A88F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4.3</w:t>
      </w:r>
      <w:r w:rsidRPr="00B73C6F">
        <w:rPr>
          <w:rFonts w:ascii="Times New Roman" w:hAnsi="Times New Roman"/>
          <w:b/>
          <w:sz w:val="22"/>
          <w:szCs w:val="22"/>
        </w:rPr>
        <w:tab/>
        <w:t xml:space="preserve">Kontraindikácie </w:t>
      </w:r>
    </w:p>
    <w:p w14:paraId="1406236F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A8A169E" w14:textId="4D52BA44" w:rsidR="009E37B4" w:rsidRPr="00B73C6F" w:rsidRDefault="009E37B4" w:rsidP="0085404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p</w:t>
      </w:r>
      <w:r w:rsidR="00716E6C" w:rsidRPr="00B73C6F">
        <w:rPr>
          <w:rFonts w:ascii="Times New Roman" w:hAnsi="Times New Roman"/>
          <w:sz w:val="22"/>
          <w:szCs w:val="22"/>
        </w:rPr>
        <w:t xml:space="preserve">recitlivenosť na </w:t>
      </w:r>
      <w:r w:rsidR="00095D29">
        <w:rPr>
          <w:rFonts w:ascii="Times New Roman" w:hAnsi="Times New Roman"/>
          <w:sz w:val="22"/>
          <w:szCs w:val="22"/>
        </w:rPr>
        <w:t>paracetamol</w:t>
      </w:r>
      <w:r w:rsidR="00716E6C" w:rsidRPr="00B73C6F">
        <w:rPr>
          <w:rFonts w:ascii="Times New Roman" w:hAnsi="Times New Roman"/>
          <w:sz w:val="22"/>
          <w:szCs w:val="22"/>
        </w:rPr>
        <w:t xml:space="preserve"> alebo na ktorúkoľvek z pomocných látok</w:t>
      </w:r>
      <w:r w:rsidR="008B57F2" w:rsidRPr="00B73C6F">
        <w:rPr>
          <w:rFonts w:ascii="Times New Roman" w:hAnsi="Times New Roman"/>
          <w:sz w:val="22"/>
          <w:szCs w:val="22"/>
        </w:rPr>
        <w:t xml:space="preserve"> </w:t>
      </w:r>
      <w:r w:rsidR="008B57F2" w:rsidRPr="00B73C6F">
        <w:rPr>
          <w:rFonts w:ascii="Times New Roman" w:hAnsi="Times New Roman"/>
          <w:noProof/>
          <w:sz w:val="22"/>
          <w:szCs w:val="22"/>
        </w:rPr>
        <w:t>uvedených v časti 6.1</w:t>
      </w:r>
      <w:r w:rsidR="001F0C0B">
        <w:rPr>
          <w:rFonts w:ascii="Times New Roman" w:hAnsi="Times New Roman"/>
          <w:noProof/>
          <w:sz w:val="22"/>
          <w:szCs w:val="22"/>
        </w:rPr>
        <w:t>,</w:t>
      </w:r>
    </w:p>
    <w:p w14:paraId="2E927534" w14:textId="162AD78F" w:rsidR="009E37B4" w:rsidRPr="00B73C6F" w:rsidRDefault="00BE46EA" w:rsidP="0085404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závažn</w:t>
      </w:r>
      <w:r w:rsidR="003B4EB6">
        <w:rPr>
          <w:rFonts w:ascii="Times New Roman" w:hAnsi="Times New Roman"/>
          <w:sz w:val="22"/>
          <w:szCs w:val="22"/>
        </w:rPr>
        <w:t>á</w:t>
      </w:r>
      <w:r w:rsidR="009E37B4" w:rsidRPr="00B73C6F">
        <w:rPr>
          <w:rFonts w:ascii="Times New Roman" w:hAnsi="Times New Roman"/>
          <w:sz w:val="22"/>
          <w:szCs w:val="22"/>
        </w:rPr>
        <w:t xml:space="preserve"> </w:t>
      </w:r>
      <w:r w:rsidR="003B4EB6">
        <w:rPr>
          <w:rFonts w:ascii="Times New Roman" w:hAnsi="Times New Roman"/>
          <w:sz w:val="22"/>
          <w:szCs w:val="22"/>
        </w:rPr>
        <w:t>porucha funkcie pečene</w:t>
      </w:r>
      <w:r w:rsidR="008B57F2" w:rsidRPr="00B73C6F">
        <w:rPr>
          <w:rFonts w:ascii="Times New Roman" w:hAnsi="Times New Roman"/>
          <w:sz w:val="22"/>
          <w:szCs w:val="22"/>
        </w:rPr>
        <w:t>,</w:t>
      </w:r>
    </w:p>
    <w:p w14:paraId="43A72282" w14:textId="6186C7B7" w:rsidR="009E37B4" w:rsidRDefault="009E37B4" w:rsidP="0085404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akútna hepatitída</w:t>
      </w:r>
      <w:r w:rsidR="00AC1376">
        <w:rPr>
          <w:rFonts w:ascii="Times New Roman" w:hAnsi="Times New Roman"/>
          <w:sz w:val="22"/>
          <w:szCs w:val="22"/>
        </w:rPr>
        <w:t>,</w:t>
      </w:r>
    </w:p>
    <w:p w14:paraId="229D7267" w14:textId="1406F562" w:rsidR="00AD2DCA" w:rsidRPr="00F75C78" w:rsidRDefault="00B56818" w:rsidP="0085404C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856C71">
        <w:rPr>
          <w:sz w:val="22"/>
          <w:szCs w:val="22"/>
        </w:rPr>
        <w:t>závažná</w:t>
      </w:r>
      <w:r w:rsidR="00AD2DCA" w:rsidRPr="00856C71">
        <w:rPr>
          <w:sz w:val="22"/>
          <w:szCs w:val="22"/>
        </w:rPr>
        <w:t xml:space="preserve"> hemolytická</w:t>
      </w:r>
      <w:r w:rsidR="00AD2DCA" w:rsidRPr="000549E9">
        <w:rPr>
          <w:sz w:val="22"/>
          <w:szCs w:val="22"/>
        </w:rPr>
        <w:t xml:space="preserve"> anémia</w:t>
      </w:r>
      <w:r w:rsidR="009821D0">
        <w:rPr>
          <w:sz w:val="22"/>
          <w:szCs w:val="22"/>
        </w:rPr>
        <w:t>.</w:t>
      </w:r>
    </w:p>
    <w:p w14:paraId="0D3A97B0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1BD9EC3E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4.4</w:t>
      </w:r>
      <w:r w:rsidRPr="00B73C6F">
        <w:rPr>
          <w:rFonts w:ascii="Times New Roman" w:hAnsi="Times New Roman"/>
          <w:b/>
          <w:sz w:val="22"/>
          <w:szCs w:val="22"/>
        </w:rPr>
        <w:tab/>
        <w:t>Osobitné upozornenia a opatrenia pri používaní</w:t>
      </w:r>
    </w:p>
    <w:p w14:paraId="1248CDEF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0E110146" w14:textId="05F9AA39" w:rsidR="00C336B5" w:rsidRPr="00F17251" w:rsidRDefault="00C336B5" w:rsidP="0085404C">
      <w:pPr>
        <w:ind w:right="-192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PARALEN </w:t>
      </w:r>
      <w:r w:rsidR="00D90CF9" w:rsidRPr="00F17251">
        <w:rPr>
          <w:rFonts w:ascii="Times New Roman" w:hAnsi="Times New Roman"/>
          <w:sz w:val="22"/>
          <w:szCs w:val="22"/>
        </w:rPr>
        <w:t xml:space="preserve">RAPID </w:t>
      </w:r>
      <w:r w:rsidR="001454C4" w:rsidRPr="00F17251">
        <w:rPr>
          <w:rFonts w:ascii="Times New Roman" w:hAnsi="Times New Roman"/>
          <w:sz w:val="22"/>
          <w:szCs w:val="22"/>
        </w:rPr>
        <w:t>5</w:t>
      </w:r>
      <w:r w:rsidRPr="00F17251">
        <w:rPr>
          <w:rFonts w:ascii="Times New Roman" w:hAnsi="Times New Roman"/>
          <w:sz w:val="22"/>
          <w:szCs w:val="22"/>
        </w:rPr>
        <w:t>00 mg sa má používať s</w:t>
      </w:r>
      <w:r w:rsidR="00BE46EA" w:rsidRPr="00F17251">
        <w:rPr>
          <w:rFonts w:ascii="Times New Roman" w:hAnsi="Times New Roman"/>
          <w:sz w:val="22"/>
          <w:szCs w:val="22"/>
        </w:rPr>
        <w:t>o zvýšenou</w:t>
      </w:r>
      <w:r w:rsidR="009D35CE" w:rsidRPr="00F17251">
        <w:rPr>
          <w:rFonts w:ascii="Times New Roman" w:hAnsi="Times New Roman"/>
          <w:sz w:val="22"/>
          <w:szCs w:val="22"/>
        </w:rPr>
        <w:t xml:space="preserve"> opatrnosť</w:t>
      </w:r>
      <w:r w:rsidRPr="00F17251">
        <w:rPr>
          <w:rFonts w:ascii="Times New Roman" w:hAnsi="Times New Roman"/>
          <w:sz w:val="22"/>
          <w:szCs w:val="22"/>
        </w:rPr>
        <w:t xml:space="preserve">ou </w:t>
      </w:r>
      <w:r w:rsidR="009D35CE" w:rsidRPr="00F17251">
        <w:rPr>
          <w:rFonts w:ascii="Times New Roman" w:hAnsi="Times New Roman"/>
          <w:sz w:val="22"/>
          <w:szCs w:val="22"/>
        </w:rPr>
        <w:t>u</w:t>
      </w:r>
      <w:r w:rsidR="009821D0" w:rsidRPr="00F17251">
        <w:rPr>
          <w:rFonts w:ascii="Times New Roman" w:hAnsi="Times New Roman"/>
          <w:sz w:val="22"/>
          <w:szCs w:val="22"/>
        </w:rPr>
        <w:t> </w:t>
      </w:r>
      <w:r w:rsidR="009D35CE" w:rsidRPr="00F17251">
        <w:rPr>
          <w:rFonts w:ascii="Times New Roman" w:hAnsi="Times New Roman"/>
          <w:sz w:val="22"/>
          <w:szCs w:val="22"/>
        </w:rPr>
        <w:t>paciento</w:t>
      </w:r>
      <w:r w:rsidRPr="00F17251">
        <w:rPr>
          <w:rFonts w:ascii="Times New Roman" w:hAnsi="Times New Roman"/>
          <w:sz w:val="22"/>
          <w:szCs w:val="22"/>
        </w:rPr>
        <w:t>v</w:t>
      </w:r>
      <w:r w:rsidR="009821D0" w:rsidRPr="00F17251">
        <w:rPr>
          <w:rFonts w:ascii="Times New Roman" w:hAnsi="Times New Roman"/>
          <w:sz w:val="22"/>
          <w:szCs w:val="22"/>
        </w:rPr>
        <w:t>:</w:t>
      </w:r>
      <w:r w:rsidR="009D35CE" w:rsidRPr="00F17251">
        <w:rPr>
          <w:rFonts w:ascii="Times New Roman" w:hAnsi="Times New Roman"/>
          <w:sz w:val="22"/>
          <w:szCs w:val="22"/>
        </w:rPr>
        <w:t xml:space="preserve"> </w:t>
      </w:r>
    </w:p>
    <w:p w14:paraId="3D6A9DCA" w14:textId="17F8D432" w:rsidR="00C336B5" w:rsidRPr="00F17251" w:rsidRDefault="009D35CE" w:rsidP="0085404C">
      <w:pPr>
        <w:numPr>
          <w:ilvl w:val="0"/>
          <w:numId w:val="16"/>
        </w:numPr>
        <w:ind w:right="-192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s deficitom </w:t>
      </w:r>
      <w:r w:rsidR="00DD0D85">
        <w:rPr>
          <w:rFonts w:ascii="Times New Roman" w:hAnsi="Times New Roman"/>
          <w:sz w:val="22"/>
          <w:szCs w:val="22"/>
        </w:rPr>
        <w:t xml:space="preserve">enzýmu </w:t>
      </w:r>
      <w:r w:rsidRPr="00F17251">
        <w:rPr>
          <w:rFonts w:ascii="Times New Roman" w:hAnsi="Times New Roman"/>
          <w:sz w:val="22"/>
          <w:szCs w:val="22"/>
        </w:rPr>
        <w:t>glukóz</w:t>
      </w:r>
      <w:r w:rsidR="00610034">
        <w:rPr>
          <w:rFonts w:ascii="Times New Roman" w:hAnsi="Times New Roman"/>
          <w:sz w:val="22"/>
          <w:szCs w:val="22"/>
        </w:rPr>
        <w:t>o</w:t>
      </w:r>
      <w:r w:rsidRPr="00F17251">
        <w:rPr>
          <w:rFonts w:ascii="Times New Roman" w:hAnsi="Times New Roman"/>
          <w:sz w:val="22"/>
          <w:szCs w:val="22"/>
        </w:rPr>
        <w:t>-6-fosfátdehydrogenázy,</w:t>
      </w:r>
      <w:r w:rsidR="00C12768" w:rsidRPr="00F17251">
        <w:rPr>
          <w:rFonts w:ascii="Times New Roman" w:hAnsi="Times New Roman"/>
          <w:sz w:val="22"/>
          <w:szCs w:val="22"/>
        </w:rPr>
        <w:t xml:space="preserve"> </w:t>
      </w:r>
    </w:p>
    <w:p w14:paraId="3E343389" w14:textId="77777777" w:rsidR="009D35CE" w:rsidRPr="00F17251" w:rsidRDefault="00C12768" w:rsidP="0085404C">
      <w:pPr>
        <w:numPr>
          <w:ilvl w:val="0"/>
          <w:numId w:val="16"/>
        </w:numPr>
        <w:ind w:right="-192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s </w:t>
      </w:r>
      <w:r w:rsidR="00F5742E" w:rsidRPr="00F17251">
        <w:rPr>
          <w:rFonts w:ascii="Times New Roman" w:hAnsi="Times New Roman"/>
          <w:sz w:val="22"/>
          <w:szCs w:val="22"/>
        </w:rPr>
        <w:t>hemolytickou anémiou</w:t>
      </w:r>
      <w:r w:rsidR="009821D0" w:rsidRPr="00F17251">
        <w:rPr>
          <w:rFonts w:ascii="Times New Roman" w:hAnsi="Times New Roman"/>
          <w:sz w:val="22"/>
          <w:szCs w:val="22"/>
        </w:rPr>
        <w:t>,</w:t>
      </w:r>
      <w:r w:rsidR="00F5742E" w:rsidRPr="00F17251">
        <w:rPr>
          <w:rFonts w:ascii="Times New Roman" w:hAnsi="Times New Roman"/>
          <w:sz w:val="22"/>
          <w:szCs w:val="22"/>
        </w:rPr>
        <w:t xml:space="preserve"> </w:t>
      </w:r>
    </w:p>
    <w:p w14:paraId="73A9F0D9" w14:textId="70B8308D" w:rsidR="009D35CE" w:rsidRPr="00F17251" w:rsidRDefault="009D35CE" w:rsidP="0085404C">
      <w:pPr>
        <w:numPr>
          <w:ilvl w:val="0"/>
          <w:numId w:val="16"/>
        </w:numPr>
        <w:ind w:right="-192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pri sú</w:t>
      </w:r>
      <w:r w:rsidR="002A08D6" w:rsidRPr="00F17251">
        <w:rPr>
          <w:rFonts w:ascii="Times New Roman" w:hAnsi="Times New Roman"/>
          <w:sz w:val="22"/>
          <w:szCs w:val="22"/>
        </w:rPr>
        <w:t>bežnom</w:t>
      </w:r>
      <w:r w:rsidR="00C214FE" w:rsidRPr="00F17251">
        <w:rPr>
          <w:rFonts w:ascii="Times New Roman" w:hAnsi="Times New Roman"/>
          <w:sz w:val="22"/>
          <w:szCs w:val="22"/>
        </w:rPr>
        <w:t xml:space="preserve"> </w:t>
      </w:r>
      <w:r w:rsidRPr="00F17251">
        <w:rPr>
          <w:rFonts w:ascii="Times New Roman" w:hAnsi="Times New Roman"/>
          <w:sz w:val="22"/>
          <w:szCs w:val="22"/>
        </w:rPr>
        <w:t>pod</w:t>
      </w:r>
      <w:r w:rsidR="005D4DCB" w:rsidRPr="00F17251">
        <w:rPr>
          <w:rFonts w:ascii="Times New Roman" w:hAnsi="Times New Roman"/>
          <w:sz w:val="22"/>
          <w:szCs w:val="22"/>
        </w:rPr>
        <w:t>áva</w:t>
      </w:r>
      <w:r w:rsidRPr="00F17251">
        <w:rPr>
          <w:rFonts w:ascii="Times New Roman" w:hAnsi="Times New Roman"/>
          <w:sz w:val="22"/>
          <w:szCs w:val="22"/>
        </w:rPr>
        <w:t>ní</w:t>
      </w:r>
      <w:r w:rsidR="005D4DCB" w:rsidRPr="00F17251">
        <w:rPr>
          <w:rFonts w:ascii="Times New Roman" w:hAnsi="Times New Roman"/>
          <w:sz w:val="22"/>
          <w:szCs w:val="22"/>
        </w:rPr>
        <w:t xml:space="preserve"> hepatotoxických</w:t>
      </w:r>
      <w:r w:rsidRPr="00F17251">
        <w:rPr>
          <w:rFonts w:ascii="Times New Roman" w:hAnsi="Times New Roman"/>
          <w:sz w:val="22"/>
          <w:szCs w:val="22"/>
        </w:rPr>
        <w:t xml:space="preserve"> liek</w:t>
      </w:r>
      <w:r w:rsidR="00C214FE" w:rsidRPr="00F17251">
        <w:rPr>
          <w:rFonts w:ascii="Times New Roman" w:hAnsi="Times New Roman"/>
          <w:sz w:val="22"/>
          <w:szCs w:val="22"/>
        </w:rPr>
        <w:t>ov</w:t>
      </w:r>
      <w:r w:rsidR="005D4DCB" w:rsidRPr="00F17251">
        <w:rPr>
          <w:rFonts w:ascii="Times New Roman" w:hAnsi="Times New Roman"/>
          <w:sz w:val="22"/>
          <w:szCs w:val="22"/>
        </w:rPr>
        <w:t>,</w:t>
      </w:r>
    </w:p>
    <w:p w14:paraId="5989AC1E" w14:textId="77777777" w:rsidR="00AD2DCA" w:rsidRPr="00F17251" w:rsidRDefault="00C12768" w:rsidP="0085404C">
      <w:pPr>
        <w:numPr>
          <w:ilvl w:val="0"/>
          <w:numId w:val="16"/>
        </w:numPr>
        <w:rPr>
          <w:rFonts w:ascii="Times New Roman" w:hAnsi="Times New Roman"/>
          <w:bCs/>
          <w:iCs/>
          <w:sz w:val="22"/>
          <w:szCs w:val="22"/>
        </w:rPr>
      </w:pPr>
      <w:r w:rsidRPr="00F17251">
        <w:rPr>
          <w:rFonts w:ascii="Times New Roman" w:hAnsi="Times New Roman"/>
          <w:bCs/>
          <w:iCs/>
          <w:sz w:val="22"/>
          <w:szCs w:val="22"/>
        </w:rPr>
        <w:t xml:space="preserve">u pacientov s poruchou funkcie obličiek a pečene, </w:t>
      </w:r>
    </w:p>
    <w:p w14:paraId="119CDB56" w14:textId="77777777" w:rsidR="00AD2DCA" w:rsidRPr="00F17251" w:rsidRDefault="00C12768" w:rsidP="0085404C">
      <w:pPr>
        <w:numPr>
          <w:ilvl w:val="0"/>
          <w:numId w:val="16"/>
        </w:numPr>
        <w:rPr>
          <w:rFonts w:ascii="Times New Roman" w:hAnsi="Times New Roman"/>
          <w:bCs/>
          <w:iCs/>
          <w:sz w:val="22"/>
          <w:szCs w:val="22"/>
        </w:rPr>
      </w:pPr>
      <w:r w:rsidRPr="00F17251">
        <w:rPr>
          <w:rFonts w:ascii="Times New Roman" w:hAnsi="Times New Roman"/>
          <w:bCs/>
          <w:iCs/>
          <w:sz w:val="22"/>
          <w:szCs w:val="22"/>
        </w:rPr>
        <w:t xml:space="preserve">u pacientov s granulocytopéniou, </w:t>
      </w:r>
    </w:p>
    <w:p w14:paraId="49971CF3" w14:textId="77777777" w:rsidR="00AD2DCA" w:rsidRPr="00F17251" w:rsidRDefault="00C12768" w:rsidP="0085404C">
      <w:pPr>
        <w:numPr>
          <w:ilvl w:val="0"/>
          <w:numId w:val="16"/>
        </w:numPr>
        <w:rPr>
          <w:rFonts w:ascii="Times New Roman" w:hAnsi="Times New Roman"/>
          <w:bCs/>
          <w:iCs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pri alkoholizme.</w:t>
      </w:r>
    </w:p>
    <w:p w14:paraId="453E84A6" w14:textId="77777777" w:rsidR="0032063D" w:rsidRPr="00F17251" w:rsidRDefault="0032063D" w:rsidP="0085404C">
      <w:pPr>
        <w:ind w:left="360" w:right="-192"/>
        <w:rPr>
          <w:rFonts w:ascii="Times New Roman" w:hAnsi="Times New Roman"/>
          <w:sz w:val="22"/>
          <w:szCs w:val="22"/>
        </w:rPr>
      </w:pPr>
    </w:p>
    <w:p w14:paraId="10601079" w14:textId="77777777" w:rsidR="00C214FE" w:rsidRPr="00F17251" w:rsidRDefault="00C214F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Pri </w:t>
      </w:r>
      <w:r w:rsidR="00741003" w:rsidRPr="00F17251">
        <w:rPr>
          <w:rFonts w:ascii="Times New Roman" w:hAnsi="Times New Roman"/>
          <w:sz w:val="22"/>
          <w:szCs w:val="22"/>
        </w:rPr>
        <w:t>renálnej insuficiencii</w:t>
      </w:r>
      <w:r w:rsidRPr="00F17251">
        <w:rPr>
          <w:rFonts w:ascii="Times New Roman" w:hAnsi="Times New Roman"/>
          <w:sz w:val="22"/>
          <w:szCs w:val="22"/>
        </w:rPr>
        <w:t xml:space="preserve"> sa odporúča </w:t>
      </w:r>
      <w:r w:rsidR="00741003" w:rsidRPr="00F17251">
        <w:rPr>
          <w:rFonts w:ascii="Times New Roman" w:hAnsi="Times New Roman"/>
          <w:sz w:val="22"/>
          <w:szCs w:val="22"/>
        </w:rPr>
        <w:t xml:space="preserve">predĺžiť </w:t>
      </w:r>
      <w:r w:rsidRPr="00F17251">
        <w:rPr>
          <w:rFonts w:ascii="Times New Roman" w:hAnsi="Times New Roman"/>
          <w:sz w:val="22"/>
          <w:szCs w:val="22"/>
        </w:rPr>
        <w:t>dávkovací interval (pozri časť 4.2). Pri dlhodobej liečbe nemožno vylúčiť poškodenie obličiek.</w:t>
      </w:r>
    </w:p>
    <w:p w14:paraId="5064B3BE" w14:textId="77777777" w:rsidR="00C214FE" w:rsidRPr="00F17251" w:rsidRDefault="00C214FE" w:rsidP="0085404C">
      <w:pPr>
        <w:ind w:right="-192"/>
        <w:rPr>
          <w:rFonts w:ascii="Times New Roman" w:hAnsi="Times New Roman"/>
          <w:sz w:val="22"/>
          <w:szCs w:val="22"/>
        </w:rPr>
      </w:pPr>
    </w:p>
    <w:p w14:paraId="42506C4C" w14:textId="77777777" w:rsidR="00C214FE" w:rsidRPr="00F17251" w:rsidRDefault="00C214F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U pacientov so zmenami pečeňových funkcií a u pacientov dlhodobo </w:t>
      </w:r>
      <w:r w:rsidR="00AD2DCA" w:rsidRPr="00F17251">
        <w:rPr>
          <w:rFonts w:ascii="Times New Roman" w:hAnsi="Times New Roman"/>
          <w:sz w:val="22"/>
          <w:szCs w:val="22"/>
        </w:rPr>
        <w:t xml:space="preserve">(viac ako 10 dní) </w:t>
      </w:r>
      <w:r w:rsidRPr="00F17251">
        <w:rPr>
          <w:rFonts w:ascii="Times New Roman" w:hAnsi="Times New Roman"/>
          <w:sz w:val="22"/>
          <w:szCs w:val="22"/>
        </w:rPr>
        <w:t>užívajúcich vyššie dávky paracetamolu sa odporúča pravideln</w:t>
      </w:r>
      <w:r w:rsidR="003965C9" w:rsidRPr="00F17251">
        <w:rPr>
          <w:rFonts w:ascii="Times New Roman" w:hAnsi="Times New Roman"/>
          <w:sz w:val="22"/>
          <w:szCs w:val="22"/>
        </w:rPr>
        <w:t>á kontrola</w:t>
      </w:r>
      <w:r w:rsidRPr="00F17251">
        <w:rPr>
          <w:rFonts w:ascii="Times New Roman" w:hAnsi="Times New Roman"/>
          <w:sz w:val="22"/>
          <w:szCs w:val="22"/>
        </w:rPr>
        <w:t xml:space="preserve"> pečeňov</w:t>
      </w:r>
      <w:r w:rsidR="003965C9" w:rsidRPr="00F17251">
        <w:rPr>
          <w:rFonts w:ascii="Times New Roman" w:hAnsi="Times New Roman"/>
          <w:sz w:val="22"/>
          <w:szCs w:val="22"/>
        </w:rPr>
        <w:t>ých</w:t>
      </w:r>
      <w:r w:rsidRPr="00F17251">
        <w:rPr>
          <w:rFonts w:ascii="Times New Roman" w:hAnsi="Times New Roman"/>
          <w:sz w:val="22"/>
          <w:szCs w:val="22"/>
        </w:rPr>
        <w:t xml:space="preserve"> test</w:t>
      </w:r>
      <w:r w:rsidR="003965C9" w:rsidRPr="00F17251">
        <w:rPr>
          <w:rFonts w:ascii="Times New Roman" w:hAnsi="Times New Roman"/>
          <w:sz w:val="22"/>
          <w:szCs w:val="22"/>
        </w:rPr>
        <w:t>ov</w:t>
      </w:r>
      <w:r w:rsidRPr="00F17251">
        <w:rPr>
          <w:rFonts w:ascii="Times New Roman" w:hAnsi="Times New Roman"/>
          <w:sz w:val="22"/>
          <w:szCs w:val="22"/>
        </w:rPr>
        <w:t>.</w:t>
      </w:r>
    </w:p>
    <w:p w14:paraId="22576525" w14:textId="77777777" w:rsidR="00C214FE" w:rsidRPr="00F17251" w:rsidRDefault="00C214FE" w:rsidP="0085404C">
      <w:pPr>
        <w:rPr>
          <w:rFonts w:ascii="Times New Roman" w:hAnsi="Times New Roman"/>
          <w:sz w:val="22"/>
          <w:szCs w:val="22"/>
        </w:rPr>
      </w:pPr>
    </w:p>
    <w:p w14:paraId="0DD00580" w14:textId="77777777" w:rsidR="00C214FE" w:rsidRPr="00F17251" w:rsidRDefault="00C214FE" w:rsidP="0085404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U pacientov s ochorením pečene je vyššie nebezpečenstvo predávkovania. </w:t>
      </w:r>
    </w:p>
    <w:p w14:paraId="006FB6CD" w14:textId="77777777" w:rsidR="00C214FE" w:rsidRPr="00F17251" w:rsidRDefault="00C214FE" w:rsidP="0085404C">
      <w:pPr>
        <w:rPr>
          <w:rFonts w:ascii="Times New Roman" w:hAnsi="Times New Roman"/>
          <w:sz w:val="22"/>
          <w:szCs w:val="22"/>
        </w:rPr>
      </w:pPr>
    </w:p>
    <w:p w14:paraId="58C48BE5" w14:textId="3FF14659" w:rsidR="00AD2DCA" w:rsidRPr="00F17251" w:rsidRDefault="003965C9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Užívanie vyšších ako odporúčaných dávok môže viesť k ri</w:t>
      </w:r>
      <w:r w:rsidR="00741003" w:rsidRPr="00F17251">
        <w:rPr>
          <w:rFonts w:ascii="Times New Roman" w:hAnsi="Times New Roman"/>
          <w:sz w:val="22"/>
          <w:szCs w:val="22"/>
        </w:rPr>
        <w:t xml:space="preserve">ziku </w:t>
      </w:r>
      <w:r w:rsidR="00656C4A">
        <w:rPr>
          <w:rFonts w:ascii="Times New Roman" w:hAnsi="Times New Roman"/>
          <w:sz w:val="22"/>
          <w:szCs w:val="22"/>
        </w:rPr>
        <w:t>závažn</w:t>
      </w:r>
      <w:r w:rsidR="00741003" w:rsidRPr="00F17251">
        <w:rPr>
          <w:rFonts w:ascii="Times New Roman" w:hAnsi="Times New Roman"/>
          <w:sz w:val="22"/>
          <w:szCs w:val="22"/>
        </w:rPr>
        <w:t xml:space="preserve">ého poškodenia pečene. </w:t>
      </w:r>
      <w:r w:rsidR="00AD2DCA" w:rsidRPr="00F17251">
        <w:rPr>
          <w:rFonts w:ascii="Times New Roman" w:hAnsi="Times New Roman"/>
          <w:sz w:val="22"/>
          <w:szCs w:val="22"/>
        </w:rPr>
        <w:t xml:space="preserve">Tento liek sa nesmie bez odporúčania lekára podávať osobám, ktoré </w:t>
      </w:r>
      <w:r w:rsidR="005D4DCB" w:rsidRPr="00F17251">
        <w:rPr>
          <w:rFonts w:ascii="Times New Roman" w:hAnsi="Times New Roman"/>
          <w:sz w:val="22"/>
          <w:szCs w:val="22"/>
        </w:rPr>
        <w:t>majú</w:t>
      </w:r>
      <w:r w:rsidR="00AD2DCA" w:rsidRPr="00F17251">
        <w:rPr>
          <w:rFonts w:ascii="Times New Roman" w:hAnsi="Times New Roman"/>
          <w:sz w:val="22"/>
          <w:szCs w:val="22"/>
        </w:rPr>
        <w:t xml:space="preserve"> ochoren</w:t>
      </w:r>
      <w:r w:rsidR="005D4DCB" w:rsidRPr="00F17251">
        <w:rPr>
          <w:rFonts w:ascii="Times New Roman" w:hAnsi="Times New Roman"/>
          <w:sz w:val="22"/>
          <w:szCs w:val="22"/>
        </w:rPr>
        <w:t>ie</w:t>
      </w:r>
      <w:r w:rsidR="00AD2DCA" w:rsidRPr="00F17251">
        <w:rPr>
          <w:rFonts w:ascii="Times New Roman" w:hAnsi="Times New Roman"/>
          <w:sz w:val="22"/>
          <w:szCs w:val="22"/>
        </w:rPr>
        <w:t xml:space="preserve"> pečene. </w:t>
      </w:r>
    </w:p>
    <w:p w14:paraId="0737BD97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</w:p>
    <w:p w14:paraId="0071104B" w14:textId="69167608" w:rsidR="009821D0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Na základe skúseností</w:t>
      </w:r>
      <w:r w:rsidR="005D4DCB" w:rsidRPr="00F17251">
        <w:rPr>
          <w:rFonts w:ascii="Times New Roman" w:hAnsi="Times New Roman"/>
          <w:sz w:val="22"/>
          <w:szCs w:val="22"/>
        </w:rPr>
        <w:t xml:space="preserve"> po uvedení lie</w:t>
      </w:r>
      <w:r w:rsidR="00F75C78" w:rsidRPr="00F17251">
        <w:rPr>
          <w:rFonts w:ascii="Times New Roman" w:hAnsi="Times New Roman"/>
          <w:sz w:val="22"/>
          <w:szCs w:val="22"/>
        </w:rPr>
        <w:t xml:space="preserve">ku </w:t>
      </w:r>
      <w:r w:rsidR="005D4DCB" w:rsidRPr="00F17251">
        <w:rPr>
          <w:rFonts w:ascii="Times New Roman" w:hAnsi="Times New Roman"/>
          <w:sz w:val="22"/>
          <w:szCs w:val="22"/>
        </w:rPr>
        <w:t>na trh</w:t>
      </w:r>
      <w:r w:rsidR="00F75C78" w:rsidRPr="00F17251">
        <w:rPr>
          <w:rFonts w:ascii="Times New Roman" w:hAnsi="Times New Roman"/>
          <w:sz w:val="22"/>
          <w:szCs w:val="22"/>
        </w:rPr>
        <w:t xml:space="preserve"> </w:t>
      </w:r>
      <w:r w:rsidRPr="00F17251">
        <w:rPr>
          <w:rFonts w:ascii="Times New Roman" w:hAnsi="Times New Roman"/>
          <w:sz w:val="22"/>
          <w:szCs w:val="22"/>
        </w:rPr>
        <w:t xml:space="preserve">bolo zistené, že hepatotoxicita paracetamolu sa môže vyskytnúť aj pri použití terapeutických dávok, najmä pri použití dávky 4 g denne (maximálna </w:t>
      </w:r>
      <w:r w:rsidR="005D4DCB" w:rsidRPr="00F17251">
        <w:rPr>
          <w:rFonts w:ascii="Times New Roman" w:hAnsi="Times New Roman"/>
          <w:sz w:val="22"/>
          <w:szCs w:val="22"/>
        </w:rPr>
        <w:t>denná</w:t>
      </w:r>
      <w:r w:rsidRPr="00F17251">
        <w:rPr>
          <w:rFonts w:ascii="Times New Roman" w:hAnsi="Times New Roman"/>
          <w:sz w:val="22"/>
          <w:szCs w:val="22"/>
        </w:rPr>
        <w:t xml:space="preserve"> dávka) pri krátkodobom použití a </w:t>
      </w:r>
      <w:r w:rsidR="00F75C78" w:rsidRPr="00F17251">
        <w:rPr>
          <w:rFonts w:ascii="Times New Roman" w:hAnsi="Times New Roman"/>
          <w:sz w:val="22"/>
          <w:szCs w:val="22"/>
        </w:rPr>
        <w:t>u pacientov bez predchádzajúce</w:t>
      </w:r>
      <w:r w:rsidR="00DF1F21" w:rsidRPr="00F17251">
        <w:rPr>
          <w:rFonts w:ascii="Times New Roman" w:hAnsi="Times New Roman"/>
          <w:sz w:val="22"/>
          <w:szCs w:val="22"/>
        </w:rPr>
        <w:t>ho</w:t>
      </w:r>
      <w:r w:rsidR="00F75C78" w:rsidRPr="00F17251">
        <w:rPr>
          <w:rFonts w:ascii="Times New Roman" w:hAnsi="Times New Roman"/>
          <w:sz w:val="22"/>
          <w:szCs w:val="22"/>
        </w:rPr>
        <w:t xml:space="preserve"> poškodenia</w:t>
      </w:r>
      <w:r w:rsidRPr="00F17251">
        <w:rPr>
          <w:rFonts w:ascii="Times New Roman" w:hAnsi="Times New Roman"/>
          <w:sz w:val="22"/>
          <w:szCs w:val="22"/>
        </w:rPr>
        <w:t xml:space="preserve"> pečene</w:t>
      </w:r>
      <w:r w:rsidR="009821D0" w:rsidRPr="00F17251">
        <w:rPr>
          <w:rFonts w:ascii="Times New Roman" w:hAnsi="Times New Roman"/>
          <w:sz w:val="22"/>
          <w:szCs w:val="22"/>
        </w:rPr>
        <w:t xml:space="preserve"> </w:t>
      </w:r>
      <w:r w:rsidR="009821D0" w:rsidRPr="00F17251">
        <w:rPr>
          <w:rFonts w:ascii="Times New Roman" w:eastAsia="MS Mincho" w:hAnsi="Times New Roman"/>
          <w:sz w:val="22"/>
          <w:szCs w:val="22"/>
          <w:lang w:eastAsia="fr-FR"/>
        </w:rPr>
        <w:t>(pozri časť 4.8)</w:t>
      </w:r>
      <w:r w:rsidRPr="00F17251">
        <w:rPr>
          <w:rFonts w:ascii="Times New Roman" w:hAnsi="Times New Roman"/>
          <w:sz w:val="22"/>
          <w:szCs w:val="22"/>
        </w:rPr>
        <w:t xml:space="preserve">. </w:t>
      </w:r>
    </w:p>
    <w:p w14:paraId="0C8AB6D6" w14:textId="77777777" w:rsidR="009821D0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Poškodenie pečene sa však môže vyvinúť aj pri nižších dávkach, ak spolupôsobí alkohol, induktory pečeňových enzýmov alebo iné hepatotoxické lieky (pozri časť 4.5). </w:t>
      </w:r>
    </w:p>
    <w:p w14:paraId="4094DBF4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Dlhodobá konzumácia alkoholu významne zvyšuje riziko hepatotoxicity paracetamolu. Najvyššie riziko bolo zaznamenané u chronických alkoholikov, ktorí pred použitím paracetamolu abstinujú krátko (12 h).</w:t>
      </w:r>
    </w:p>
    <w:p w14:paraId="29C6E510" w14:textId="27B21FC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Počas liečby sa nesmú piť alkoholické nápoje.</w:t>
      </w:r>
    </w:p>
    <w:p w14:paraId="4E4E68A2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</w:p>
    <w:p w14:paraId="3110F62E" w14:textId="374F6898" w:rsidR="00AD2DCA" w:rsidRPr="00F17251" w:rsidRDefault="00741003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Pacientov </w:t>
      </w:r>
      <w:r w:rsidR="00F75C78" w:rsidRPr="00F17251">
        <w:rPr>
          <w:rFonts w:ascii="Times New Roman" w:hAnsi="Times New Roman"/>
          <w:sz w:val="22"/>
          <w:szCs w:val="22"/>
        </w:rPr>
        <w:t>je potrebné</w:t>
      </w:r>
      <w:r w:rsidR="009821D0" w:rsidRPr="00F17251">
        <w:rPr>
          <w:rFonts w:ascii="Times New Roman" w:hAnsi="Times New Roman"/>
          <w:sz w:val="22"/>
          <w:szCs w:val="22"/>
        </w:rPr>
        <w:t xml:space="preserve"> </w:t>
      </w:r>
      <w:r w:rsidRPr="00F17251">
        <w:rPr>
          <w:rFonts w:ascii="Times New Roman" w:hAnsi="Times New Roman"/>
          <w:sz w:val="22"/>
          <w:szCs w:val="22"/>
        </w:rPr>
        <w:t>upozorniť, že spolu s týmto liekom nesmú užívať iné lieky obsahujúce paracetamol.</w:t>
      </w:r>
      <w:r w:rsidR="00AD2DCA" w:rsidRPr="00F17251">
        <w:rPr>
          <w:rFonts w:ascii="Times New Roman" w:hAnsi="Times New Roman"/>
          <w:sz w:val="22"/>
          <w:szCs w:val="22"/>
        </w:rPr>
        <w:t xml:space="preserve"> Lekár alebo lekárnik má skontrolovať, </w:t>
      </w:r>
      <w:r w:rsidR="004C1F64" w:rsidRPr="00F17251">
        <w:rPr>
          <w:rFonts w:ascii="Times New Roman" w:hAnsi="Times New Roman"/>
          <w:sz w:val="22"/>
          <w:szCs w:val="22"/>
        </w:rPr>
        <w:t>či</w:t>
      </w:r>
      <w:r w:rsidR="00AD2DCA" w:rsidRPr="00F17251">
        <w:rPr>
          <w:rFonts w:ascii="Times New Roman" w:hAnsi="Times New Roman"/>
          <w:sz w:val="22"/>
          <w:szCs w:val="22"/>
        </w:rPr>
        <w:t xml:space="preserve"> pacient neužíva sú</w:t>
      </w:r>
      <w:r w:rsidR="009821D0" w:rsidRPr="00F17251">
        <w:rPr>
          <w:rFonts w:ascii="Times New Roman" w:hAnsi="Times New Roman"/>
          <w:sz w:val="22"/>
          <w:szCs w:val="22"/>
        </w:rPr>
        <w:t>bež</w:t>
      </w:r>
      <w:r w:rsidR="00AD2DCA" w:rsidRPr="00F17251">
        <w:rPr>
          <w:rFonts w:ascii="Times New Roman" w:hAnsi="Times New Roman"/>
          <w:sz w:val="22"/>
          <w:szCs w:val="22"/>
        </w:rPr>
        <w:t>ne iné lieky obsahujúce paracetamol niekoľkými spôsobmi podania, napr. perorálne a rektálne (čapíky).</w:t>
      </w:r>
    </w:p>
    <w:p w14:paraId="72C108B1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</w:p>
    <w:p w14:paraId="7277612A" w14:textId="57DD2F35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Zvýšená opatrnosť sa odporúča pri chronickej podvýžive vzhľadom </w:t>
      </w:r>
      <w:r w:rsidR="00287AA5" w:rsidRPr="00F17251">
        <w:rPr>
          <w:rFonts w:ascii="Times New Roman" w:hAnsi="Times New Roman"/>
          <w:sz w:val="22"/>
          <w:szCs w:val="22"/>
        </w:rPr>
        <w:t>na</w:t>
      </w:r>
      <w:r w:rsidRPr="00F17251">
        <w:rPr>
          <w:rFonts w:ascii="Times New Roman" w:hAnsi="Times New Roman"/>
          <w:sz w:val="22"/>
          <w:szCs w:val="22"/>
        </w:rPr>
        <w:t xml:space="preserve"> nízk</w:t>
      </w:r>
      <w:r w:rsidR="00287AA5" w:rsidRPr="00F17251">
        <w:rPr>
          <w:rFonts w:ascii="Times New Roman" w:hAnsi="Times New Roman"/>
          <w:sz w:val="22"/>
          <w:szCs w:val="22"/>
        </w:rPr>
        <w:t>u</w:t>
      </w:r>
      <w:r w:rsidRPr="00F17251">
        <w:rPr>
          <w:rFonts w:ascii="Times New Roman" w:hAnsi="Times New Roman"/>
          <w:sz w:val="22"/>
          <w:szCs w:val="22"/>
        </w:rPr>
        <w:t xml:space="preserve"> rezerv</w:t>
      </w:r>
      <w:r w:rsidR="00287AA5" w:rsidRPr="00F17251">
        <w:rPr>
          <w:rFonts w:ascii="Times New Roman" w:hAnsi="Times New Roman"/>
          <w:sz w:val="22"/>
          <w:szCs w:val="22"/>
        </w:rPr>
        <w:t>u</w:t>
      </w:r>
      <w:r w:rsidRPr="00F17251">
        <w:rPr>
          <w:rFonts w:ascii="Times New Roman" w:hAnsi="Times New Roman"/>
          <w:sz w:val="22"/>
          <w:szCs w:val="22"/>
        </w:rPr>
        <w:t xml:space="preserve"> hepatálneho glutatiónu. </w:t>
      </w:r>
    </w:p>
    <w:p w14:paraId="68D773A1" w14:textId="77777777" w:rsidR="00750D86" w:rsidRPr="00F17251" w:rsidRDefault="00750D86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</w:p>
    <w:p w14:paraId="2C7BCC91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U pacientov s diagnostikovanou vírusovou hepatitídou sa odporúča liečbu </w:t>
      </w:r>
      <w:r w:rsidR="00410C40" w:rsidRPr="00F17251">
        <w:rPr>
          <w:rFonts w:ascii="Times New Roman" w:hAnsi="Times New Roman"/>
          <w:sz w:val="22"/>
          <w:szCs w:val="22"/>
        </w:rPr>
        <w:t xml:space="preserve">paracetamolom </w:t>
      </w:r>
      <w:r w:rsidRPr="00F17251">
        <w:rPr>
          <w:rFonts w:ascii="Times New Roman" w:hAnsi="Times New Roman"/>
          <w:sz w:val="22"/>
          <w:szCs w:val="22"/>
        </w:rPr>
        <w:t>ukončiť.</w:t>
      </w:r>
    </w:p>
    <w:p w14:paraId="0FC9C09F" w14:textId="77777777" w:rsidR="00741003" w:rsidRPr="00F17251" w:rsidRDefault="00741003" w:rsidP="0085404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9EF47C3" w14:textId="71D15298" w:rsidR="009D2A3E" w:rsidRPr="00F17251" w:rsidRDefault="009D2A3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</w:t>
      </w:r>
      <w:r w:rsidR="00892081" w:rsidRPr="00F17251">
        <w:rPr>
          <w:rFonts w:ascii="Times New Roman" w:hAnsi="Times New Roman"/>
          <w:sz w:val="22"/>
          <w:szCs w:val="22"/>
        </w:rPr>
        <w:t>ri</w:t>
      </w:r>
      <w:r w:rsidRPr="00F17251">
        <w:rPr>
          <w:rFonts w:ascii="Times New Roman" w:hAnsi="Times New Roman"/>
          <w:sz w:val="22"/>
          <w:szCs w:val="22"/>
        </w:rPr>
        <w:t xml:space="preserve"> </w:t>
      </w:r>
      <w:r w:rsidR="00D24AAC" w:rsidRPr="00F17251">
        <w:rPr>
          <w:rFonts w:ascii="Times New Roman" w:hAnsi="Times New Roman"/>
          <w:sz w:val="22"/>
          <w:szCs w:val="22"/>
        </w:rPr>
        <w:t xml:space="preserve">liečbe </w:t>
      </w:r>
      <w:r w:rsidRPr="00F17251">
        <w:rPr>
          <w:rFonts w:ascii="Times New Roman" w:hAnsi="Times New Roman"/>
          <w:sz w:val="22"/>
          <w:szCs w:val="22"/>
        </w:rPr>
        <w:t>perorálnymi antikoagulanciami a pri sú</w:t>
      </w:r>
      <w:r w:rsidR="00F70D1A" w:rsidRPr="00F17251">
        <w:rPr>
          <w:rFonts w:ascii="Times New Roman" w:hAnsi="Times New Roman"/>
          <w:sz w:val="22"/>
          <w:szCs w:val="22"/>
        </w:rPr>
        <w:t>bežnom</w:t>
      </w:r>
      <w:r w:rsidRPr="00F17251">
        <w:rPr>
          <w:rFonts w:ascii="Times New Roman" w:hAnsi="Times New Roman"/>
          <w:sz w:val="22"/>
          <w:szCs w:val="22"/>
        </w:rPr>
        <w:t xml:space="preserve"> dlhodobom podávaní vyšších dávok paracetamolu, najmä v kombinácii s dextropropoxyfénom </w:t>
      </w:r>
      <w:r w:rsidR="00D24AAC" w:rsidRPr="00F17251">
        <w:rPr>
          <w:rFonts w:ascii="Times New Roman" w:hAnsi="Times New Roman"/>
          <w:sz w:val="22"/>
          <w:szCs w:val="22"/>
        </w:rPr>
        <w:t>alebo</w:t>
      </w:r>
      <w:r w:rsidRPr="00F17251">
        <w:rPr>
          <w:rFonts w:ascii="Times New Roman" w:hAnsi="Times New Roman"/>
          <w:sz w:val="22"/>
          <w:szCs w:val="22"/>
        </w:rPr>
        <w:t xml:space="preserve"> kodeínom, je nutná kontrola protrombínového času.</w:t>
      </w:r>
    </w:p>
    <w:p w14:paraId="7BA0DFEC" w14:textId="77777777" w:rsidR="00E07C24" w:rsidRPr="00F17251" w:rsidRDefault="00E07C24" w:rsidP="0085404C">
      <w:pPr>
        <w:rPr>
          <w:rFonts w:ascii="Times New Roman" w:hAnsi="Times New Roman"/>
          <w:sz w:val="22"/>
          <w:szCs w:val="22"/>
        </w:rPr>
      </w:pPr>
    </w:p>
    <w:p w14:paraId="65BB6A00" w14:textId="77777777" w:rsidR="00E07C24" w:rsidRPr="00F17251" w:rsidRDefault="00E07C24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Opatrnosť sa odporúča u pacientov so zvýšenou citlivosťou na kyselinu acetylsalicylovú a/alebo nesteroidné protizápalové lieky (NSAID).</w:t>
      </w:r>
    </w:p>
    <w:p w14:paraId="61DE7936" w14:textId="77777777" w:rsidR="00E07C24" w:rsidRPr="00F17251" w:rsidRDefault="00E07C24" w:rsidP="0085404C">
      <w:pPr>
        <w:rPr>
          <w:rFonts w:ascii="Times New Roman" w:hAnsi="Times New Roman"/>
          <w:sz w:val="22"/>
          <w:szCs w:val="22"/>
        </w:rPr>
      </w:pPr>
    </w:p>
    <w:p w14:paraId="2EDCE615" w14:textId="7C6C5C18" w:rsidR="009821D0" w:rsidRPr="00F17251" w:rsidRDefault="009821D0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Závažné kožné nežiaduce účinky </w:t>
      </w:r>
    </w:p>
    <w:p w14:paraId="6B7388D2" w14:textId="2624A96A" w:rsidR="00716E6C" w:rsidRPr="00B73C6F" w:rsidRDefault="00E07C24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Pri užívaní liekov s obsahom paracetamolu boli hlásené život ohrozujúce kožné reakcie Stevensov-Johnsonov syndróm (SJS)</w:t>
      </w:r>
      <w:r w:rsidR="008A5A8D" w:rsidRPr="00F17251">
        <w:rPr>
          <w:rFonts w:ascii="Times New Roman" w:hAnsi="Times New Roman"/>
          <w:sz w:val="22"/>
          <w:szCs w:val="22"/>
        </w:rPr>
        <w:t>,</w:t>
      </w:r>
      <w:r w:rsidRPr="00F17251">
        <w:rPr>
          <w:rFonts w:ascii="Times New Roman" w:hAnsi="Times New Roman"/>
          <w:sz w:val="22"/>
          <w:szCs w:val="22"/>
        </w:rPr>
        <w:t xml:space="preserve"> toxická epidermálna nekrolýza (TEN)</w:t>
      </w:r>
      <w:r w:rsidR="00351840" w:rsidRPr="00F17251">
        <w:t xml:space="preserve"> </w:t>
      </w:r>
      <w:r w:rsidR="00351840" w:rsidRPr="00F17251">
        <w:rPr>
          <w:rFonts w:ascii="Times New Roman" w:hAnsi="Times New Roman"/>
          <w:sz w:val="22"/>
          <w:szCs w:val="22"/>
        </w:rPr>
        <w:t>a akútna generalizovaná exantematózna pustulóza (AGEP).</w:t>
      </w:r>
      <w:r w:rsidRPr="00F17251">
        <w:rPr>
          <w:rFonts w:ascii="Times New Roman" w:hAnsi="Times New Roman"/>
          <w:sz w:val="22"/>
          <w:szCs w:val="22"/>
        </w:rPr>
        <w:t xml:space="preserve"> Pacienti ma</w:t>
      </w:r>
      <w:r w:rsidR="008A5A8D" w:rsidRPr="00F17251">
        <w:rPr>
          <w:rFonts w:ascii="Times New Roman" w:hAnsi="Times New Roman"/>
          <w:sz w:val="22"/>
          <w:szCs w:val="22"/>
        </w:rPr>
        <w:t>jú</w:t>
      </w:r>
      <w:r w:rsidRPr="00F17251">
        <w:rPr>
          <w:rFonts w:ascii="Times New Roman" w:hAnsi="Times New Roman"/>
          <w:sz w:val="22"/>
          <w:szCs w:val="22"/>
        </w:rPr>
        <w:t xml:space="preserve"> byť informovaní o</w:t>
      </w:r>
      <w:r w:rsidR="00F70D1A" w:rsidRPr="00F17251">
        <w:rPr>
          <w:rFonts w:ascii="Times New Roman" w:hAnsi="Times New Roman"/>
          <w:sz w:val="22"/>
          <w:szCs w:val="22"/>
        </w:rPr>
        <w:t> </w:t>
      </w:r>
      <w:r w:rsidR="008A5A8D" w:rsidRPr="00F17251">
        <w:rPr>
          <w:rFonts w:ascii="Times New Roman" w:hAnsi="Times New Roman"/>
          <w:sz w:val="22"/>
          <w:szCs w:val="22"/>
        </w:rPr>
        <w:t>prejavoch</w:t>
      </w:r>
      <w:r w:rsidRPr="00F17251">
        <w:rPr>
          <w:rFonts w:ascii="Times New Roman" w:hAnsi="Times New Roman"/>
          <w:sz w:val="22"/>
          <w:szCs w:val="22"/>
        </w:rPr>
        <w:t xml:space="preserve"> a príznakoch a musia byť starostlivo sledovaní či sa u nich nevyskytujú kožné reakcie. Ak sa objavia </w:t>
      </w:r>
      <w:r w:rsidR="008A5A8D" w:rsidRPr="00F17251">
        <w:rPr>
          <w:rFonts w:ascii="Times New Roman" w:hAnsi="Times New Roman"/>
          <w:sz w:val="22"/>
          <w:szCs w:val="22"/>
        </w:rPr>
        <w:t>prejavy</w:t>
      </w:r>
      <w:r w:rsidRPr="00F17251">
        <w:rPr>
          <w:rFonts w:ascii="Times New Roman" w:hAnsi="Times New Roman"/>
          <w:sz w:val="22"/>
          <w:szCs w:val="22"/>
        </w:rPr>
        <w:t xml:space="preserve"> alebo príznaky SJS</w:t>
      </w:r>
      <w:r w:rsidR="00351840" w:rsidRPr="00F17251">
        <w:rPr>
          <w:rFonts w:ascii="Times New Roman" w:hAnsi="Times New Roman"/>
          <w:sz w:val="22"/>
          <w:szCs w:val="22"/>
        </w:rPr>
        <w:t>,</w:t>
      </w:r>
      <w:r w:rsidRPr="00F17251">
        <w:rPr>
          <w:rFonts w:ascii="Times New Roman" w:hAnsi="Times New Roman"/>
          <w:sz w:val="22"/>
          <w:szCs w:val="22"/>
        </w:rPr>
        <w:t xml:space="preserve"> TEN</w:t>
      </w:r>
      <w:r w:rsidR="00351840" w:rsidRPr="00F17251">
        <w:rPr>
          <w:rFonts w:ascii="Times New Roman" w:hAnsi="Times New Roman"/>
          <w:sz w:val="22"/>
          <w:szCs w:val="22"/>
        </w:rPr>
        <w:t xml:space="preserve"> a AGEP</w:t>
      </w:r>
      <w:r w:rsidRPr="00F17251">
        <w:rPr>
          <w:rFonts w:ascii="Times New Roman" w:hAnsi="Times New Roman"/>
          <w:sz w:val="22"/>
          <w:szCs w:val="22"/>
        </w:rPr>
        <w:t xml:space="preserve"> (napr. p</w:t>
      </w:r>
      <w:r w:rsidR="006C2F74">
        <w:rPr>
          <w:rFonts w:ascii="Times New Roman" w:hAnsi="Times New Roman"/>
          <w:sz w:val="22"/>
          <w:szCs w:val="22"/>
        </w:rPr>
        <w:t>ostupujúca</w:t>
      </w:r>
      <w:r w:rsidRPr="00F17251">
        <w:rPr>
          <w:rFonts w:ascii="Times New Roman" w:hAnsi="Times New Roman"/>
          <w:sz w:val="22"/>
          <w:szCs w:val="22"/>
        </w:rPr>
        <w:t xml:space="preserve"> kožná vyrážka, často s pľuzgiermi </w:t>
      </w:r>
      <w:r w:rsidR="00987F45" w:rsidRPr="00F17251">
        <w:rPr>
          <w:rFonts w:ascii="Times New Roman" w:hAnsi="Times New Roman"/>
          <w:sz w:val="22"/>
          <w:szCs w:val="22"/>
        </w:rPr>
        <w:t>ale</w:t>
      </w:r>
      <w:r w:rsidRPr="00F17251">
        <w:rPr>
          <w:rFonts w:ascii="Times New Roman" w:hAnsi="Times New Roman"/>
          <w:sz w:val="22"/>
          <w:szCs w:val="22"/>
        </w:rPr>
        <w:t xml:space="preserve">bo slizničnými léziami), pacienti musia okamžite </w:t>
      </w:r>
      <w:r w:rsidR="006360CC" w:rsidRPr="00F17251">
        <w:rPr>
          <w:rFonts w:ascii="Times New Roman" w:hAnsi="Times New Roman"/>
          <w:sz w:val="22"/>
          <w:szCs w:val="22"/>
        </w:rPr>
        <w:t>ukončiť liečbu</w:t>
      </w:r>
      <w:r w:rsidRPr="00F17251">
        <w:rPr>
          <w:rFonts w:ascii="Times New Roman" w:hAnsi="Times New Roman"/>
          <w:sz w:val="22"/>
          <w:szCs w:val="22"/>
        </w:rPr>
        <w:t xml:space="preserve"> a vyhľadať lekársk</w:t>
      </w:r>
      <w:r w:rsidR="00811433" w:rsidRPr="00F17251">
        <w:rPr>
          <w:rFonts w:ascii="Times New Roman" w:hAnsi="Times New Roman"/>
          <w:sz w:val="22"/>
          <w:szCs w:val="22"/>
        </w:rPr>
        <w:t>u</w:t>
      </w:r>
      <w:r w:rsidRPr="00F17251">
        <w:rPr>
          <w:rFonts w:ascii="Times New Roman" w:hAnsi="Times New Roman"/>
          <w:sz w:val="22"/>
          <w:szCs w:val="22"/>
        </w:rPr>
        <w:t xml:space="preserve"> pomoc.</w:t>
      </w:r>
    </w:p>
    <w:p w14:paraId="23615260" w14:textId="77777777" w:rsidR="00EF132A" w:rsidRPr="00B73C6F" w:rsidRDefault="00EF132A" w:rsidP="0085404C">
      <w:pPr>
        <w:rPr>
          <w:rFonts w:ascii="Times New Roman" w:hAnsi="Times New Roman"/>
          <w:b/>
          <w:sz w:val="22"/>
          <w:szCs w:val="22"/>
        </w:rPr>
      </w:pPr>
    </w:p>
    <w:p w14:paraId="67A1ECC9" w14:textId="2E12F149" w:rsidR="00AB019C" w:rsidRPr="00AB019C" w:rsidRDefault="00AB019C" w:rsidP="0085404C">
      <w:pPr>
        <w:rPr>
          <w:rFonts w:ascii="Times New Roman" w:hAnsi="Times New Roman"/>
          <w:sz w:val="22"/>
          <w:szCs w:val="22"/>
        </w:rPr>
      </w:pPr>
      <w:r w:rsidRPr="0085404C">
        <w:rPr>
          <w:rFonts w:ascii="Times New Roman" w:hAnsi="Times New Roman"/>
          <w:sz w:val="22"/>
          <w:szCs w:val="22"/>
        </w:rPr>
        <w:t>Tento liek</w:t>
      </w:r>
      <w:r w:rsidR="00285711" w:rsidRPr="0085404C">
        <w:rPr>
          <w:rFonts w:ascii="Times New Roman" w:hAnsi="Times New Roman"/>
          <w:sz w:val="22"/>
          <w:szCs w:val="22"/>
        </w:rPr>
        <w:t xml:space="preserve"> obsahuje </w:t>
      </w:r>
      <w:r w:rsidR="001454C4" w:rsidRPr="0085404C">
        <w:rPr>
          <w:rFonts w:ascii="Times New Roman" w:hAnsi="Times New Roman"/>
          <w:sz w:val="22"/>
          <w:szCs w:val="22"/>
        </w:rPr>
        <w:t>204</w:t>
      </w:r>
      <w:r w:rsidR="00285711" w:rsidRPr="0085404C">
        <w:rPr>
          <w:rFonts w:ascii="Times New Roman" w:hAnsi="Times New Roman"/>
          <w:sz w:val="22"/>
          <w:szCs w:val="22"/>
        </w:rPr>
        <w:t xml:space="preserve"> mg sodíka v jednej </w:t>
      </w:r>
      <w:r w:rsidR="000F4C32" w:rsidRPr="0085404C">
        <w:rPr>
          <w:rFonts w:ascii="Times New Roman" w:hAnsi="Times New Roman"/>
          <w:sz w:val="22"/>
          <w:szCs w:val="22"/>
        </w:rPr>
        <w:t>šumivej tablete</w:t>
      </w:r>
      <w:r w:rsidR="005853D3">
        <w:rPr>
          <w:rFonts w:ascii="Times New Roman" w:hAnsi="Times New Roman"/>
          <w:sz w:val="22"/>
          <w:szCs w:val="22"/>
        </w:rPr>
        <w:t>.</w:t>
      </w:r>
      <w:r w:rsidR="00F17251">
        <w:rPr>
          <w:rFonts w:ascii="Times New Roman" w:hAnsi="Times New Roman"/>
          <w:sz w:val="22"/>
          <w:szCs w:val="22"/>
        </w:rPr>
        <w:t xml:space="preserve"> </w:t>
      </w:r>
      <w:r w:rsidR="00D11EF8">
        <w:rPr>
          <w:rFonts w:ascii="Times New Roman" w:hAnsi="Times New Roman"/>
          <w:sz w:val="22"/>
          <w:szCs w:val="22"/>
        </w:rPr>
        <w:t xml:space="preserve">Maximálna odporúčaná denná dávka tohto lieku obsahuje </w:t>
      </w:r>
      <w:r w:rsidR="0030363C">
        <w:rPr>
          <w:rFonts w:ascii="Times New Roman" w:hAnsi="Times New Roman"/>
          <w:sz w:val="22"/>
          <w:szCs w:val="22"/>
        </w:rPr>
        <w:t xml:space="preserve">1 632 mg sodíka. </w:t>
      </w:r>
      <w:r w:rsidR="005853D3">
        <w:rPr>
          <w:rFonts w:ascii="Times New Roman" w:hAnsi="Times New Roman"/>
          <w:sz w:val="22"/>
          <w:szCs w:val="22"/>
        </w:rPr>
        <w:t>To sa rovná</w:t>
      </w:r>
      <w:r w:rsidR="000C0068">
        <w:rPr>
          <w:rFonts w:ascii="Times New Roman" w:hAnsi="Times New Roman"/>
          <w:sz w:val="22"/>
          <w:szCs w:val="22"/>
        </w:rPr>
        <w:t xml:space="preserve"> približne 84</w:t>
      </w:r>
      <w:r w:rsidR="00816F68">
        <w:rPr>
          <w:rFonts w:ascii="Times New Roman" w:hAnsi="Times New Roman"/>
          <w:sz w:val="22"/>
          <w:szCs w:val="22"/>
        </w:rPr>
        <w:t xml:space="preserve"> </w:t>
      </w:r>
      <w:r w:rsidR="001C3CEB">
        <w:rPr>
          <w:rFonts w:ascii="Times New Roman" w:hAnsi="Times New Roman"/>
          <w:sz w:val="22"/>
          <w:szCs w:val="22"/>
        </w:rPr>
        <w:t xml:space="preserve">% odporúčaného </w:t>
      </w:r>
      <w:r w:rsidR="000C0068">
        <w:rPr>
          <w:rFonts w:ascii="Times New Roman" w:hAnsi="Times New Roman"/>
          <w:sz w:val="22"/>
          <w:szCs w:val="22"/>
        </w:rPr>
        <w:t xml:space="preserve">maximálneho </w:t>
      </w:r>
      <w:r w:rsidR="00816F68">
        <w:rPr>
          <w:rFonts w:ascii="Times New Roman" w:hAnsi="Times New Roman"/>
          <w:sz w:val="22"/>
          <w:szCs w:val="22"/>
        </w:rPr>
        <w:t xml:space="preserve">denného príjmu sodíka v potrave pre dospelých. </w:t>
      </w:r>
      <w:r w:rsidR="0046239D" w:rsidRPr="0085404C">
        <w:rPr>
          <w:rFonts w:ascii="Times New Roman" w:hAnsi="Times New Roman"/>
          <w:sz w:val="22"/>
          <w:szCs w:val="22"/>
        </w:rPr>
        <w:t xml:space="preserve">PARALEN RAPID 500 mg </w:t>
      </w:r>
      <w:r w:rsidR="000D6170" w:rsidRPr="0085404C">
        <w:rPr>
          <w:rFonts w:ascii="Times New Roman" w:hAnsi="Times New Roman"/>
          <w:sz w:val="22"/>
          <w:szCs w:val="22"/>
        </w:rPr>
        <w:t xml:space="preserve">je považovaný za liek s vysokým obsahom sodíka. </w:t>
      </w:r>
      <w:r w:rsidRPr="0085404C">
        <w:rPr>
          <w:rFonts w:ascii="Times New Roman" w:hAnsi="Times New Roman"/>
          <w:sz w:val="22"/>
          <w:szCs w:val="22"/>
        </w:rPr>
        <w:t>Má sa vziať do úvahy u pacientov na diéte s kontrolovaným obsahom sodíka.</w:t>
      </w:r>
    </w:p>
    <w:p w14:paraId="4A05D8E6" w14:textId="77777777" w:rsidR="00285711" w:rsidRDefault="00285711" w:rsidP="0085404C">
      <w:pPr>
        <w:rPr>
          <w:rFonts w:ascii="Times New Roman" w:hAnsi="Times New Roman"/>
          <w:sz w:val="22"/>
          <w:szCs w:val="22"/>
        </w:rPr>
      </w:pPr>
    </w:p>
    <w:p w14:paraId="135E1484" w14:textId="0FABD384" w:rsidR="0097430D" w:rsidRPr="004B3A67" w:rsidRDefault="0097430D" w:rsidP="0085404C">
      <w:pPr>
        <w:rPr>
          <w:rFonts w:ascii="Times New Roman" w:hAnsi="Times New Roman"/>
          <w:sz w:val="22"/>
          <w:szCs w:val="22"/>
        </w:rPr>
      </w:pPr>
      <w:r w:rsidRPr="00DF1F21">
        <w:rPr>
          <w:rFonts w:ascii="Times New Roman" w:hAnsi="Times New Roman"/>
          <w:sz w:val="22"/>
          <w:szCs w:val="22"/>
        </w:rPr>
        <w:t xml:space="preserve">Tento liek obsahuje </w:t>
      </w:r>
      <w:r w:rsidRPr="00DF1F21">
        <w:rPr>
          <w:rFonts w:ascii="Times New Roman" w:hAnsi="Times New Roman"/>
          <w:sz w:val="22"/>
          <w:szCs w:val="22"/>
          <w:lang w:eastAsia="en-US"/>
        </w:rPr>
        <w:t>obsahuje o</w:t>
      </w:r>
      <w:r w:rsidR="00A25CB4" w:rsidRPr="00DF1F21">
        <w:rPr>
          <w:rFonts w:ascii="Times New Roman" w:hAnsi="Times New Roman"/>
          <w:sz w:val="22"/>
          <w:szCs w:val="22"/>
          <w:lang w:eastAsia="en-US"/>
        </w:rPr>
        <w:t>xid siričitý, disiričitan sodný a</w:t>
      </w:r>
      <w:r w:rsidRPr="00DF1F21">
        <w:rPr>
          <w:rFonts w:ascii="Times New Roman" w:hAnsi="Times New Roman"/>
          <w:sz w:val="22"/>
          <w:szCs w:val="22"/>
          <w:lang w:eastAsia="en-US"/>
        </w:rPr>
        <w:t xml:space="preserve"> disiričitan draselný</w:t>
      </w:r>
      <w:r w:rsidR="00A25CB4" w:rsidRPr="00DF1F21">
        <w:rPr>
          <w:rFonts w:ascii="Times New Roman" w:hAnsi="Times New Roman"/>
          <w:sz w:val="22"/>
          <w:szCs w:val="22"/>
          <w:lang w:eastAsia="en-US"/>
        </w:rPr>
        <w:t>. Zriedkavo môžu vyvolať závažné reakcie z precitlivenosti a bronchospazmus.</w:t>
      </w:r>
    </w:p>
    <w:p w14:paraId="5D5ECF63" w14:textId="77777777" w:rsidR="00285711" w:rsidRDefault="00285711" w:rsidP="0085404C">
      <w:pPr>
        <w:rPr>
          <w:rFonts w:ascii="Times New Roman" w:hAnsi="Times New Roman"/>
          <w:b/>
          <w:sz w:val="22"/>
          <w:szCs w:val="22"/>
        </w:rPr>
      </w:pPr>
    </w:p>
    <w:p w14:paraId="1946EF05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4.5</w:t>
      </w:r>
      <w:r w:rsidRPr="00B73C6F">
        <w:rPr>
          <w:rFonts w:ascii="Times New Roman" w:hAnsi="Times New Roman"/>
          <w:b/>
          <w:sz w:val="22"/>
          <w:szCs w:val="22"/>
        </w:rPr>
        <w:tab/>
        <w:t>Liekové a iné interakcie</w:t>
      </w:r>
    </w:p>
    <w:p w14:paraId="514C556D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787622CA" w14:textId="27984D63" w:rsidR="009D2A3E" w:rsidRPr="00F17251" w:rsidRDefault="009D2A3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lastRenderedPageBreak/>
        <w:t>Hepatotoxické l</w:t>
      </w:r>
      <w:r w:rsidR="00BF0859" w:rsidRPr="00F17251">
        <w:rPr>
          <w:rFonts w:ascii="Times New Roman" w:hAnsi="Times New Roman"/>
          <w:sz w:val="22"/>
          <w:szCs w:val="22"/>
        </w:rPr>
        <w:t>iečivá</w:t>
      </w:r>
      <w:r w:rsidRPr="00F17251">
        <w:rPr>
          <w:rFonts w:ascii="Times New Roman" w:hAnsi="Times New Roman"/>
          <w:sz w:val="22"/>
          <w:szCs w:val="22"/>
        </w:rPr>
        <w:t xml:space="preserve"> môžu zvyšovať možnosť kumulácie a predávkovania paracetamol</w:t>
      </w:r>
      <w:r w:rsidR="00BF0859" w:rsidRPr="00F17251">
        <w:rPr>
          <w:rFonts w:ascii="Times New Roman" w:hAnsi="Times New Roman"/>
          <w:sz w:val="22"/>
          <w:szCs w:val="22"/>
        </w:rPr>
        <w:t>om</w:t>
      </w:r>
      <w:r w:rsidRPr="00F17251">
        <w:rPr>
          <w:rFonts w:ascii="Times New Roman" w:hAnsi="Times New Roman"/>
          <w:sz w:val="22"/>
          <w:szCs w:val="22"/>
        </w:rPr>
        <w:t>.</w:t>
      </w:r>
    </w:p>
    <w:p w14:paraId="6721AAAC" w14:textId="77777777" w:rsidR="009D2A3E" w:rsidRPr="00F17251" w:rsidRDefault="009D2A3E" w:rsidP="0085404C">
      <w:pPr>
        <w:rPr>
          <w:rFonts w:ascii="Times New Roman" w:hAnsi="Times New Roman"/>
          <w:sz w:val="22"/>
          <w:szCs w:val="22"/>
        </w:rPr>
      </w:pPr>
    </w:p>
    <w:p w14:paraId="119D7C1A" w14:textId="77777777" w:rsidR="00EF132A" w:rsidRPr="00F17251" w:rsidRDefault="00EF132A" w:rsidP="0085404C">
      <w:pPr>
        <w:rPr>
          <w:rFonts w:ascii="Times New Roman" w:hAnsi="Times New Roman"/>
          <w:i/>
          <w:sz w:val="22"/>
          <w:szCs w:val="22"/>
        </w:rPr>
      </w:pPr>
      <w:r w:rsidRPr="00F17251">
        <w:rPr>
          <w:rFonts w:ascii="Times New Roman" w:hAnsi="Times New Roman"/>
          <w:i/>
          <w:sz w:val="22"/>
          <w:szCs w:val="22"/>
        </w:rPr>
        <w:t>Kyselina acetylsalicylová a chloramfenikol</w:t>
      </w:r>
    </w:p>
    <w:p w14:paraId="61AEAF56" w14:textId="055D952A" w:rsidR="009D2A3E" w:rsidRPr="00F17251" w:rsidRDefault="009D2A3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Paracetamol zvyšuje </w:t>
      </w:r>
      <w:r w:rsidR="00285711" w:rsidRPr="00F17251">
        <w:rPr>
          <w:rFonts w:ascii="Times New Roman" w:hAnsi="Times New Roman"/>
          <w:sz w:val="22"/>
          <w:szCs w:val="22"/>
        </w:rPr>
        <w:t>plazmatick</w:t>
      </w:r>
      <w:r w:rsidR="00BF0859" w:rsidRPr="00F17251">
        <w:rPr>
          <w:rFonts w:ascii="Times New Roman" w:hAnsi="Times New Roman"/>
          <w:sz w:val="22"/>
          <w:szCs w:val="22"/>
        </w:rPr>
        <w:t>é</w:t>
      </w:r>
      <w:r w:rsidR="00285711" w:rsidRPr="00F17251">
        <w:rPr>
          <w:rFonts w:ascii="Times New Roman" w:hAnsi="Times New Roman"/>
          <w:sz w:val="22"/>
          <w:szCs w:val="22"/>
        </w:rPr>
        <w:t xml:space="preserve"> </w:t>
      </w:r>
      <w:r w:rsidR="00BF0859" w:rsidRPr="00F17251">
        <w:rPr>
          <w:rFonts w:ascii="Times New Roman" w:hAnsi="Times New Roman"/>
          <w:sz w:val="22"/>
          <w:szCs w:val="22"/>
        </w:rPr>
        <w:t>koncentrácie</w:t>
      </w:r>
      <w:r w:rsidRPr="00F17251">
        <w:rPr>
          <w:rFonts w:ascii="Times New Roman" w:hAnsi="Times New Roman"/>
          <w:sz w:val="22"/>
          <w:szCs w:val="22"/>
        </w:rPr>
        <w:t xml:space="preserve"> kyseliny acetylsalicylovej a chloramfenikolu.</w:t>
      </w:r>
    </w:p>
    <w:p w14:paraId="0589516F" w14:textId="77777777" w:rsidR="003B0C37" w:rsidRPr="00F17251" w:rsidRDefault="003B0C37" w:rsidP="0085404C">
      <w:pPr>
        <w:rPr>
          <w:rFonts w:ascii="Times New Roman" w:hAnsi="Times New Roman"/>
          <w:sz w:val="22"/>
          <w:szCs w:val="22"/>
        </w:rPr>
      </w:pPr>
    </w:p>
    <w:p w14:paraId="0005C4FA" w14:textId="77777777" w:rsidR="00B57E58" w:rsidRPr="00F17251" w:rsidRDefault="00B57E58" w:rsidP="0085404C">
      <w:pPr>
        <w:widowControl w:val="0"/>
        <w:rPr>
          <w:rFonts w:ascii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hAnsi="Times New Roman"/>
          <w:i/>
          <w:sz w:val="22"/>
          <w:szCs w:val="22"/>
          <w:lang w:eastAsia="cs-CZ"/>
        </w:rPr>
        <w:t>Nesteroidné protizápalové lieky (NSAID), kyselina acetylsalicylová</w:t>
      </w:r>
    </w:p>
    <w:p w14:paraId="78626064" w14:textId="7319EADE" w:rsidR="00892081" w:rsidRPr="00F17251" w:rsidRDefault="00892081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F17251">
        <w:rPr>
          <w:rFonts w:ascii="Times New Roman" w:hAnsi="Times New Roman"/>
          <w:sz w:val="22"/>
          <w:szCs w:val="22"/>
          <w:lang w:eastAsia="cs-CZ"/>
        </w:rPr>
        <w:t>Súbežné dlhodobé podávanie paracetamolu a NSA</w:t>
      </w:r>
      <w:r w:rsidR="00BF0859" w:rsidRPr="00F17251">
        <w:rPr>
          <w:rFonts w:ascii="Times New Roman" w:hAnsi="Times New Roman"/>
          <w:sz w:val="22"/>
          <w:szCs w:val="22"/>
          <w:lang w:eastAsia="cs-CZ"/>
        </w:rPr>
        <w:t>ID</w:t>
      </w:r>
      <w:r w:rsidRPr="00F17251">
        <w:rPr>
          <w:rFonts w:ascii="Times New Roman" w:hAnsi="Times New Roman"/>
          <w:sz w:val="22"/>
          <w:szCs w:val="22"/>
          <w:lang w:eastAsia="cs-CZ"/>
        </w:rPr>
        <w:t xml:space="preserve"> (predovšetkým kyseliny acetylsalicylovej) vo vyšších dávkach zvyšuje riziko analgetickej nefropatie a ďalších renálnych nežiaducich účinkov.</w:t>
      </w:r>
    </w:p>
    <w:p w14:paraId="7118D7A9" w14:textId="77777777" w:rsidR="003B0C37" w:rsidRPr="00F17251" w:rsidRDefault="003B0C37" w:rsidP="0085404C">
      <w:pPr>
        <w:rPr>
          <w:rFonts w:ascii="Times New Roman" w:hAnsi="Times New Roman"/>
          <w:sz w:val="22"/>
          <w:szCs w:val="22"/>
        </w:rPr>
      </w:pPr>
    </w:p>
    <w:p w14:paraId="6116556B" w14:textId="72302DE4" w:rsidR="00B57E58" w:rsidRPr="00F17251" w:rsidRDefault="00B57E5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Hepatotoxické l</w:t>
      </w:r>
      <w:r w:rsidR="00BF0859"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iečivá</w:t>
      </w: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 xml:space="preserve"> a</w:t>
      </w:r>
      <w:r w:rsidRPr="00F17251">
        <w:rPr>
          <w:rFonts w:ascii="Times New Roman" w:eastAsia="Times New Roman" w:hAnsi="Times New Roman"/>
          <w:i/>
          <w:lang w:eastAsia="cs-CZ"/>
        </w:rPr>
        <w:t xml:space="preserve"> </w:t>
      </w: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induktory pečeňových enzýmov</w:t>
      </w:r>
    </w:p>
    <w:p w14:paraId="30D7E0C9" w14:textId="119FBF20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Pri súbežnom užívaní hepatotoxických lie</w:t>
      </w:r>
      <w:r w:rsidR="00BF0859" w:rsidRPr="00F17251">
        <w:rPr>
          <w:rFonts w:ascii="Times New Roman" w:eastAsia="Times New Roman" w:hAnsi="Times New Roman"/>
          <w:sz w:val="22"/>
          <w:szCs w:val="22"/>
          <w:lang w:eastAsia="cs-CZ"/>
        </w:rPr>
        <w:t>čiv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a látok, ktoré spôsobujú indukciu pečeňových enzýmov, ako je alkohol, barbituráty, inhibítory MAO a tricyklické antidepresíva, ľubovník bodkovaný, antiepileptiká (napr. glutetimid, fenobarbital, fenytoín, primidón, karbamazepín, topiramát) a rifampicín, sa môže zvyšovať pravdepodobnosť toxických účinkov paracetamolu. Indukcia metabolizmu má za následok zvýšenú produkciu hepatotoxického oxida</w:t>
      </w:r>
      <w:r w:rsidR="00BF0859" w:rsidRPr="00F17251">
        <w:rPr>
          <w:rFonts w:ascii="Times New Roman" w:eastAsia="Times New Roman" w:hAnsi="Times New Roman"/>
          <w:sz w:val="22"/>
          <w:szCs w:val="22"/>
          <w:lang w:eastAsia="cs-CZ"/>
        </w:rPr>
        <w:t>čného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metabolitu paracetamolu. Hepatotoxické účinky sa prejavia, ak tento metabolit </w:t>
      </w:r>
      <w:r w:rsidR="00237B79" w:rsidRPr="00F17251">
        <w:rPr>
          <w:rFonts w:ascii="Times New Roman" w:eastAsia="Times New Roman" w:hAnsi="Times New Roman"/>
          <w:sz w:val="22"/>
          <w:szCs w:val="22"/>
          <w:lang w:eastAsia="cs-CZ"/>
        </w:rPr>
        <w:t>vyčerpá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normálnu väzbovú kapacitu glutatiónu.</w:t>
      </w:r>
    </w:p>
    <w:p w14:paraId="64D73C9C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03D125A" w14:textId="7EE845CF" w:rsidR="00B57E58" w:rsidRPr="00F17251" w:rsidRDefault="009821D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K</w:t>
      </w:r>
      <w:r w:rsidR="00B57E58"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olestyramín, metoklopramid a domperidón</w:t>
      </w:r>
    </w:p>
    <w:p w14:paraId="31F5CCD4" w14:textId="2FCB1B93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Pôsobenie </w:t>
      </w:r>
      <w:r w:rsidR="009821D0" w:rsidRPr="00F17251">
        <w:rPr>
          <w:rFonts w:ascii="Times New Roman" w:eastAsia="Times New Roman" w:hAnsi="Times New Roman"/>
          <w:sz w:val="22"/>
          <w:szCs w:val="22"/>
          <w:lang w:eastAsia="cs-CZ"/>
        </w:rPr>
        <w:t>k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olestyramínu môže viesť k spomaleniu absorpcie paracetamolu, kým metoklopramid a domperidón môžu absorpciu paracetamolu urýchľovať.</w:t>
      </w:r>
    </w:p>
    <w:p w14:paraId="3DBFBB74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7F873431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Probenecid</w:t>
      </w:r>
    </w:p>
    <w:p w14:paraId="00EA40F4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Probenecid ovplyvňuje vylučovanie a plazmatickú koncentráciu paracetamolu.</w:t>
      </w:r>
    </w:p>
    <w:p w14:paraId="35CA7B93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3F39351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Warfarín a antagonisty vitamínu K</w:t>
      </w:r>
    </w:p>
    <w:p w14:paraId="2267525C" w14:textId="0CC33D56" w:rsidR="00B57E58" w:rsidRPr="00F17251" w:rsidRDefault="00B57E58" w:rsidP="0085404C">
      <w:pPr>
        <w:widowControl w:val="0"/>
        <w:rPr>
          <w:rFonts w:ascii="Times New Roman" w:eastAsia="Times New Roman" w:hAnsi="Times New Roman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Dlhodobé pravidelné denné užívanie paracetamolu môže zvyšovať antikoagulačné účinky warfarínu a iných antagonistov vitamínu K a tým zvyšovať riziko krváca</w:t>
      </w:r>
      <w:r w:rsidR="00BF0859" w:rsidRPr="00F17251">
        <w:rPr>
          <w:rFonts w:ascii="Times New Roman" w:eastAsia="Times New Roman" w:hAnsi="Times New Roman"/>
          <w:sz w:val="22"/>
          <w:szCs w:val="22"/>
          <w:lang w:eastAsia="cs-CZ"/>
        </w:rPr>
        <w:t>nia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. Uvedené interakcie nie sú klinicky </w:t>
      </w:r>
      <w:r w:rsidR="0085404C" w:rsidRPr="00F17251">
        <w:rPr>
          <w:rFonts w:ascii="Times New Roman" w:eastAsia="Times New Roman" w:hAnsi="Times New Roman"/>
          <w:sz w:val="22"/>
          <w:szCs w:val="22"/>
          <w:lang w:eastAsia="cs-CZ"/>
        </w:rPr>
        <w:t>významné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, pokiaľ sa liek užíva podľa odporúčaného dávkovania a dĺžky liečby.</w:t>
      </w:r>
      <w:r w:rsidRPr="00F17251">
        <w:rPr>
          <w:rFonts w:ascii="Times New Roman" w:eastAsia="Times New Roman" w:hAnsi="Times New Roman"/>
          <w:lang w:eastAsia="cs-CZ"/>
        </w:rPr>
        <w:t xml:space="preserve"> </w:t>
      </w:r>
    </w:p>
    <w:p w14:paraId="70CF5548" w14:textId="5F3C688C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Pacienti užívajúci paracetamol a antagonisty vitamínu K majú byť monitorovaní, či 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dochádza k 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adekvátn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ej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koaguláci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i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a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 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n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ie sú prítomné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komplikác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ie s krvácaním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14:paraId="5D079E65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854709F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Flukloxacillín</w:t>
      </w:r>
    </w:p>
    <w:p w14:paraId="2A7134C4" w14:textId="407AC328" w:rsidR="002950A0" w:rsidRPr="00F17251" w:rsidRDefault="00DF1F21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Súbežné podávanie flukloxacil</w:t>
      </w:r>
      <w:r w:rsidR="002950A0" w:rsidRPr="00F17251">
        <w:rPr>
          <w:rFonts w:ascii="Times New Roman" w:eastAsia="Times New Roman" w:hAnsi="Times New Roman"/>
          <w:sz w:val="22"/>
          <w:szCs w:val="22"/>
          <w:lang w:eastAsia="cs-CZ"/>
        </w:rPr>
        <w:t>ínu s paracetamolom môže viesť k metabolickej acidóze, najmä u pacientov s prítomnosťou rizikových faktorov vyčerpania glutatiónu, ako je sepsa, podvýživa alebo chronický alkoholizmus.</w:t>
      </w:r>
    </w:p>
    <w:p w14:paraId="54021519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6EF04E60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Zidovudín</w:t>
      </w:r>
    </w:p>
    <w:p w14:paraId="13FBA11A" w14:textId="768089C5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Pri súbežnom užívaní paracetamolu a zidovudínu sa pozor</w:t>
      </w:r>
      <w:r w:rsidR="00757FDE" w:rsidRPr="00F17251">
        <w:rPr>
          <w:rFonts w:ascii="Times New Roman" w:eastAsia="Times New Roman" w:hAnsi="Times New Roman"/>
          <w:sz w:val="22"/>
          <w:szCs w:val="22"/>
          <w:lang w:eastAsia="cs-CZ"/>
        </w:rPr>
        <w:t>oval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zvýšený sklon k rozvoju neutropénie a hepatotoxicity. Tento liek sa preto má sú</w:t>
      </w:r>
      <w:r w:rsidR="009821D0" w:rsidRPr="00F17251">
        <w:rPr>
          <w:rFonts w:ascii="Times New Roman" w:eastAsia="Times New Roman" w:hAnsi="Times New Roman"/>
          <w:sz w:val="22"/>
          <w:szCs w:val="22"/>
          <w:lang w:eastAsia="cs-CZ"/>
        </w:rPr>
        <w:t>bež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ne so zidovudínom užívať len po starostlivom zvážení prínosu a rizika liečby.</w:t>
      </w:r>
    </w:p>
    <w:p w14:paraId="37602F66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0072471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Perorálne kontraceptíva</w:t>
      </w:r>
    </w:p>
    <w:p w14:paraId="2D0DA1FF" w14:textId="1297601A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Perorálne kontraceptíva môžu zvýšiť rýchlosť klírens</w:t>
      </w:r>
      <w:r w:rsidR="00757FDE" w:rsidRPr="00F17251"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paracetamolu.</w:t>
      </w:r>
    </w:p>
    <w:p w14:paraId="7F0C8E26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FB63F78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Propantelín</w:t>
      </w:r>
    </w:p>
    <w:p w14:paraId="2DAD9538" w14:textId="544E7925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Súbežné užívanie liekov</w:t>
      </w:r>
      <w:r w:rsidR="00757FDE" w:rsidRPr="00F17251">
        <w:rPr>
          <w:rFonts w:ascii="Times New Roman" w:eastAsia="Times New Roman" w:hAnsi="Times New Roman"/>
          <w:sz w:val="22"/>
          <w:szCs w:val="22"/>
          <w:lang w:eastAsia="cs-CZ"/>
        </w:rPr>
        <w:t>,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ktoré spomaľujú vyprázdňovanie žalúdka ako napr. propantelín, môže viesť k spomaleniu absorpcie a oneskoreniu účinku paracetamolu.</w:t>
      </w:r>
    </w:p>
    <w:p w14:paraId="774248C7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u w:val="single"/>
          <w:lang w:eastAsia="cs-CZ"/>
        </w:rPr>
      </w:pPr>
    </w:p>
    <w:p w14:paraId="44EEE66A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Lamotrigín</w:t>
      </w:r>
    </w:p>
    <w:p w14:paraId="1C0A4E8C" w14:textId="618A6704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Pri súbežnom podávaní paracetamolu a lamotrigínu bolo zistené zníženie účinnosti lamotrigínu pri zvýšení jeho pečeňového klírens</w:t>
      </w:r>
      <w:r w:rsidR="00757FDE" w:rsidRPr="00F17251"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14:paraId="527402C3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79ACBA1" w14:textId="77777777" w:rsidR="002950A0" w:rsidRPr="002950A0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Izoniazid</w:t>
      </w:r>
    </w:p>
    <w:p w14:paraId="1882C2B2" w14:textId="0240582E" w:rsidR="002950A0" w:rsidRPr="002950A0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2950A0">
        <w:rPr>
          <w:rFonts w:ascii="Times New Roman" w:eastAsia="Times New Roman" w:hAnsi="Times New Roman"/>
          <w:sz w:val="22"/>
          <w:szCs w:val="22"/>
          <w:lang w:eastAsia="cs-CZ"/>
        </w:rPr>
        <w:t>Súbežné užívanie paracetamolu a izoniazidu môže zvyšovať riziko hepatotoxicity.</w:t>
      </w:r>
      <w:r w:rsidRPr="002950A0">
        <w:rPr>
          <w:rFonts w:ascii="Times New Roman" w:eastAsia="Times New Roman" w:hAnsi="Times New Roman"/>
          <w:lang w:eastAsia="cs-CZ"/>
        </w:rPr>
        <w:t xml:space="preserve"> </w:t>
      </w:r>
      <w:r w:rsidRPr="002950A0">
        <w:rPr>
          <w:rFonts w:ascii="Times New Roman" w:eastAsia="Times New Roman" w:hAnsi="Times New Roman"/>
          <w:sz w:val="22"/>
          <w:szCs w:val="22"/>
          <w:lang w:eastAsia="cs-CZ"/>
        </w:rPr>
        <w:t xml:space="preserve">V prípade súbežného podávania je potrebné starostlivo sledovať klinické a laboratórne </w:t>
      </w:r>
      <w:r w:rsidR="00757FDE">
        <w:rPr>
          <w:rFonts w:ascii="Times New Roman" w:eastAsia="Times New Roman" w:hAnsi="Times New Roman"/>
          <w:sz w:val="22"/>
          <w:szCs w:val="22"/>
          <w:lang w:eastAsia="cs-CZ"/>
        </w:rPr>
        <w:t>prejavy</w:t>
      </w:r>
      <w:r w:rsidR="00757FDE" w:rsidRPr="002950A0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Pr="002950A0">
        <w:rPr>
          <w:rFonts w:ascii="Times New Roman" w:eastAsia="Times New Roman" w:hAnsi="Times New Roman"/>
          <w:sz w:val="22"/>
          <w:szCs w:val="22"/>
          <w:lang w:eastAsia="cs-CZ"/>
        </w:rPr>
        <w:t xml:space="preserve">hepatotoxicity. </w:t>
      </w:r>
    </w:p>
    <w:p w14:paraId="6B73ED05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5958C829" w14:textId="77777777" w:rsidR="00716E6C" w:rsidRPr="00EC1E55" w:rsidRDefault="00716E6C" w:rsidP="0085404C">
      <w:pPr>
        <w:rPr>
          <w:rFonts w:ascii="Times New Roman" w:hAnsi="Times New Roman"/>
          <w:sz w:val="22"/>
          <w:szCs w:val="22"/>
        </w:rPr>
      </w:pPr>
      <w:r w:rsidRPr="00EC1E55">
        <w:rPr>
          <w:rFonts w:ascii="Times New Roman" w:hAnsi="Times New Roman"/>
          <w:b/>
          <w:sz w:val="22"/>
          <w:szCs w:val="22"/>
        </w:rPr>
        <w:t>4.6</w:t>
      </w:r>
      <w:r w:rsidRPr="00EC1E55">
        <w:rPr>
          <w:rFonts w:ascii="Times New Roman" w:hAnsi="Times New Roman"/>
          <w:b/>
          <w:sz w:val="22"/>
          <w:szCs w:val="22"/>
        </w:rPr>
        <w:tab/>
      </w:r>
      <w:r w:rsidRPr="00EC1E55">
        <w:rPr>
          <w:rFonts w:ascii="Times New Roman" w:hAnsi="Times New Roman"/>
          <w:b/>
          <w:noProof/>
          <w:sz w:val="22"/>
          <w:szCs w:val="22"/>
        </w:rPr>
        <w:t>Fertilita, g</w:t>
      </w:r>
      <w:r w:rsidRPr="00EC1E55">
        <w:rPr>
          <w:rFonts w:ascii="Times New Roman" w:hAnsi="Times New Roman"/>
          <w:b/>
          <w:sz w:val="22"/>
          <w:szCs w:val="22"/>
        </w:rPr>
        <w:t>ravidita a laktácia</w:t>
      </w:r>
    </w:p>
    <w:p w14:paraId="3E03A3BD" w14:textId="77777777" w:rsidR="00716E6C" w:rsidRPr="00EC1E55" w:rsidRDefault="00716E6C" w:rsidP="0085404C">
      <w:pPr>
        <w:rPr>
          <w:rFonts w:ascii="Times New Roman" w:hAnsi="Times New Roman"/>
          <w:sz w:val="22"/>
          <w:szCs w:val="22"/>
        </w:rPr>
      </w:pPr>
    </w:p>
    <w:p w14:paraId="2CAD5125" w14:textId="77777777" w:rsidR="0003140E" w:rsidRPr="00B73C6F" w:rsidRDefault="0003140E" w:rsidP="0085404C">
      <w:pPr>
        <w:rPr>
          <w:rFonts w:ascii="Times New Roman" w:hAnsi="Times New Roman"/>
          <w:sz w:val="22"/>
          <w:szCs w:val="22"/>
        </w:rPr>
      </w:pPr>
      <w:r w:rsidRPr="00EC1E55">
        <w:rPr>
          <w:rFonts w:ascii="Times New Roman" w:hAnsi="Times New Roman"/>
          <w:sz w:val="22"/>
          <w:szCs w:val="22"/>
          <w:u w:val="single"/>
        </w:rPr>
        <w:t>Gravidita</w:t>
      </w:r>
    </w:p>
    <w:p w14:paraId="1F89D52A" w14:textId="2852FBF6" w:rsidR="007E1A4A" w:rsidRDefault="002950A0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3140E" w:rsidRPr="00B73C6F">
        <w:rPr>
          <w:rFonts w:ascii="Times New Roman" w:hAnsi="Times New Roman"/>
          <w:sz w:val="22"/>
          <w:szCs w:val="22"/>
        </w:rPr>
        <w:t>aracetamol prechádza placentárn</w:t>
      </w:r>
      <w:r w:rsidR="007E1A4A">
        <w:rPr>
          <w:rFonts w:ascii="Times New Roman" w:hAnsi="Times New Roman"/>
          <w:sz w:val="22"/>
          <w:szCs w:val="22"/>
        </w:rPr>
        <w:t>o</w:t>
      </w:r>
      <w:r w:rsidR="0003140E" w:rsidRPr="00B73C6F">
        <w:rPr>
          <w:rFonts w:ascii="Times New Roman" w:hAnsi="Times New Roman"/>
          <w:sz w:val="22"/>
          <w:szCs w:val="22"/>
        </w:rPr>
        <w:t xml:space="preserve">u </w:t>
      </w:r>
      <w:r w:rsidR="0003140E" w:rsidRPr="00856C71">
        <w:rPr>
          <w:rFonts w:ascii="Times New Roman" w:hAnsi="Times New Roman"/>
          <w:sz w:val="22"/>
          <w:szCs w:val="22"/>
        </w:rPr>
        <w:t>bariér</w:t>
      </w:r>
      <w:r w:rsidR="007E1A4A" w:rsidRPr="00856C71">
        <w:rPr>
          <w:rFonts w:ascii="Times New Roman" w:hAnsi="Times New Roman"/>
          <w:sz w:val="22"/>
          <w:szCs w:val="22"/>
        </w:rPr>
        <w:t>o</w:t>
      </w:r>
      <w:r w:rsidR="0003140E" w:rsidRPr="00856C71">
        <w:rPr>
          <w:rFonts w:ascii="Times New Roman" w:hAnsi="Times New Roman"/>
          <w:sz w:val="22"/>
          <w:szCs w:val="22"/>
        </w:rPr>
        <w:t>u</w:t>
      </w:r>
      <w:r w:rsidR="007E1A4A" w:rsidRPr="00856C71">
        <w:rPr>
          <w:rFonts w:ascii="Times New Roman" w:hAnsi="Times New Roman"/>
          <w:sz w:val="22"/>
          <w:szCs w:val="22"/>
        </w:rPr>
        <w:t xml:space="preserve">. </w:t>
      </w:r>
      <w:r w:rsidR="00464767" w:rsidRPr="00856C71">
        <w:rPr>
          <w:rFonts w:ascii="Times New Roman" w:hAnsi="Times New Roman"/>
          <w:sz w:val="22"/>
          <w:szCs w:val="22"/>
        </w:rPr>
        <w:t xml:space="preserve">Veľké množstvo údajov u </w:t>
      </w:r>
      <w:r w:rsidR="00FE2989" w:rsidRPr="00856C71">
        <w:rPr>
          <w:rFonts w:ascii="Times New Roman" w:hAnsi="Times New Roman"/>
          <w:sz w:val="22"/>
          <w:szCs w:val="22"/>
        </w:rPr>
        <w:t>tehot</w:t>
      </w:r>
      <w:r w:rsidR="00464767" w:rsidRPr="00856C71">
        <w:rPr>
          <w:rFonts w:ascii="Times New Roman" w:hAnsi="Times New Roman"/>
          <w:sz w:val="22"/>
          <w:szCs w:val="22"/>
        </w:rPr>
        <w:t xml:space="preserve">ných </w:t>
      </w:r>
      <w:r w:rsidR="00D77DB7" w:rsidRPr="00856C71">
        <w:rPr>
          <w:rFonts w:ascii="Times New Roman" w:hAnsi="Times New Roman"/>
          <w:sz w:val="22"/>
          <w:szCs w:val="22"/>
        </w:rPr>
        <w:t xml:space="preserve">žien </w:t>
      </w:r>
      <w:r w:rsidR="00464767" w:rsidRPr="00856C71">
        <w:rPr>
          <w:rFonts w:ascii="Times New Roman" w:hAnsi="Times New Roman"/>
          <w:sz w:val="22"/>
          <w:szCs w:val="22"/>
        </w:rPr>
        <w:t>nepoukazuje na</w:t>
      </w:r>
      <w:r w:rsidR="00B83E0D" w:rsidRPr="00856C71">
        <w:rPr>
          <w:rFonts w:ascii="Times New Roman" w:hAnsi="Times New Roman"/>
          <w:sz w:val="22"/>
          <w:szCs w:val="22"/>
        </w:rPr>
        <w:t xml:space="preserve"> </w:t>
      </w:r>
      <w:r w:rsidR="00464767" w:rsidRPr="00856C71">
        <w:rPr>
          <w:rFonts w:ascii="Times New Roman" w:hAnsi="Times New Roman"/>
          <w:sz w:val="22"/>
          <w:szCs w:val="22"/>
        </w:rPr>
        <w:t xml:space="preserve">malformácie ani fetálnu/neonatálnu toxicitu. </w:t>
      </w:r>
      <w:r w:rsidR="004F3C38" w:rsidRPr="00856C71">
        <w:rPr>
          <w:rFonts w:ascii="Times New Roman" w:hAnsi="Times New Roman"/>
          <w:sz w:val="22"/>
          <w:szCs w:val="22"/>
        </w:rPr>
        <w:t xml:space="preserve">Epidemiologické štúdie týkajúce sa vývinu nervovej sústavy u detí vystavených paracetamolu </w:t>
      </w:r>
      <w:r w:rsidR="004F3C38" w:rsidRPr="00856C71">
        <w:rPr>
          <w:rFonts w:ascii="Times New Roman" w:hAnsi="Times New Roman"/>
          <w:i/>
          <w:sz w:val="22"/>
          <w:szCs w:val="22"/>
        </w:rPr>
        <w:t>in utero</w:t>
      </w:r>
      <w:r w:rsidR="004F3C38" w:rsidRPr="00856C71">
        <w:rPr>
          <w:rFonts w:ascii="Times New Roman" w:hAnsi="Times New Roman"/>
          <w:sz w:val="22"/>
          <w:szCs w:val="22"/>
        </w:rPr>
        <w:t xml:space="preserve"> poskytujú nepresvedčivé výsledky. Ak je to klinicky potrebné, p</w:t>
      </w:r>
      <w:r w:rsidR="007E1A4A" w:rsidRPr="00856C71">
        <w:rPr>
          <w:rFonts w:ascii="Times New Roman" w:hAnsi="Times New Roman"/>
          <w:sz w:val="22"/>
          <w:szCs w:val="22"/>
        </w:rPr>
        <w:t xml:space="preserve">aracetamol </w:t>
      </w:r>
      <w:r w:rsidR="004F3C38" w:rsidRPr="00856C71">
        <w:rPr>
          <w:rFonts w:ascii="Times New Roman" w:hAnsi="Times New Roman"/>
          <w:sz w:val="22"/>
          <w:szCs w:val="22"/>
        </w:rPr>
        <w:t xml:space="preserve">je možné </w:t>
      </w:r>
      <w:r w:rsidR="007E1A4A" w:rsidRPr="00856C71">
        <w:rPr>
          <w:rFonts w:ascii="Times New Roman" w:hAnsi="Times New Roman"/>
          <w:sz w:val="22"/>
          <w:szCs w:val="22"/>
        </w:rPr>
        <w:t>používa</w:t>
      </w:r>
      <w:r w:rsidR="00464767" w:rsidRPr="00856C71">
        <w:rPr>
          <w:rFonts w:ascii="Times New Roman" w:hAnsi="Times New Roman"/>
          <w:sz w:val="22"/>
          <w:szCs w:val="22"/>
        </w:rPr>
        <w:t>ť</w:t>
      </w:r>
      <w:r w:rsidR="007E1A4A" w:rsidRPr="00856C71">
        <w:rPr>
          <w:rFonts w:ascii="Times New Roman" w:hAnsi="Times New Roman"/>
          <w:sz w:val="22"/>
          <w:szCs w:val="22"/>
        </w:rPr>
        <w:t xml:space="preserve"> počas tehotenstva</w:t>
      </w:r>
      <w:r w:rsidR="00757FDE" w:rsidRPr="00856C71">
        <w:rPr>
          <w:rFonts w:ascii="Times New Roman" w:hAnsi="Times New Roman"/>
          <w:sz w:val="22"/>
          <w:szCs w:val="22"/>
        </w:rPr>
        <w:t>,</w:t>
      </w:r>
      <w:r w:rsidR="00464767" w:rsidRPr="00856C71">
        <w:t xml:space="preserve"> </w:t>
      </w:r>
      <w:r w:rsidR="007E1A4A" w:rsidRPr="00856C71">
        <w:rPr>
          <w:rFonts w:ascii="Times New Roman" w:hAnsi="Times New Roman"/>
          <w:sz w:val="22"/>
          <w:szCs w:val="22"/>
        </w:rPr>
        <w:t>m</w:t>
      </w:r>
      <w:r w:rsidR="004F3C38" w:rsidRPr="00856C71">
        <w:rPr>
          <w:rFonts w:ascii="Times New Roman" w:hAnsi="Times New Roman"/>
          <w:sz w:val="22"/>
          <w:szCs w:val="22"/>
        </w:rPr>
        <w:t>á sa</w:t>
      </w:r>
      <w:r w:rsidR="007E1A4A" w:rsidRPr="00856C71">
        <w:rPr>
          <w:rFonts w:ascii="Times New Roman" w:hAnsi="Times New Roman"/>
          <w:sz w:val="22"/>
          <w:szCs w:val="22"/>
        </w:rPr>
        <w:t xml:space="preserve"> </w:t>
      </w:r>
      <w:r w:rsidR="00757FDE" w:rsidRPr="00856C71">
        <w:rPr>
          <w:rFonts w:ascii="Times New Roman" w:hAnsi="Times New Roman"/>
          <w:sz w:val="22"/>
          <w:szCs w:val="22"/>
        </w:rPr>
        <w:t xml:space="preserve">však </w:t>
      </w:r>
      <w:r w:rsidR="007E1A4A" w:rsidRPr="00856C71">
        <w:rPr>
          <w:rFonts w:ascii="Times New Roman" w:hAnsi="Times New Roman"/>
          <w:sz w:val="22"/>
          <w:szCs w:val="22"/>
        </w:rPr>
        <w:t>použ</w:t>
      </w:r>
      <w:r w:rsidR="004F3C38" w:rsidRPr="00856C71">
        <w:rPr>
          <w:rFonts w:ascii="Times New Roman" w:hAnsi="Times New Roman"/>
          <w:sz w:val="22"/>
          <w:szCs w:val="22"/>
        </w:rPr>
        <w:t xml:space="preserve">ívať v najnižšej </w:t>
      </w:r>
      <w:r w:rsidR="00AD2DCA" w:rsidRPr="00856C71">
        <w:rPr>
          <w:rFonts w:ascii="Times New Roman" w:hAnsi="Times New Roman"/>
          <w:sz w:val="22"/>
          <w:szCs w:val="22"/>
        </w:rPr>
        <w:t>účinn</w:t>
      </w:r>
      <w:r w:rsidR="004F3C38" w:rsidRPr="00856C71">
        <w:rPr>
          <w:rFonts w:ascii="Times New Roman" w:hAnsi="Times New Roman"/>
          <w:sz w:val="22"/>
          <w:szCs w:val="22"/>
        </w:rPr>
        <w:t>ej</w:t>
      </w:r>
      <w:r w:rsidR="00AD2DCA" w:rsidRPr="00856C71">
        <w:rPr>
          <w:rFonts w:ascii="Times New Roman" w:hAnsi="Times New Roman"/>
          <w:sz w:val="22"/>
          <w:szCs w:val="22"/>
        </w:rPr>
        <w:t xml:space="preserve"> </w:t>
      </w:r>
      <w:r w:rsidR="007E1A4A" w:rsidRPr="00856C71">
        <w:rPr>
          <w:rFonts w:ascii="Times New Roman" w:hAnsi="Times New Roman"/>
          <w:sz w:val="22"/>
          <w:szCs w:val="22"/>
        </w:rPr>
        <w:t>dávk</w:t>
      </w:r>
      <w:r w:rsidR="004F3C38" w:rsidRPr="00856C71">
        <w:rPr>
          <w:rFonts w:ascii="Times New Roman" w:hAnsi="Times New Roman"/>
          <w:sz w:val="22"/>
          <w:szCs w:val="22"/>
        </w:rPr>
        <w:t>e</w:t>
      </w:r>
      <w:r w:rsidR="007E1A4A" w:rsidRPr="00856C71">
        <w:rPr>
          <w:rFonts w:ascii="Times New Roman" w:hAnsi="Times New Roman"/>
          <w:sz w:val="22"/>
          <w:szCs w:val="22"/>
        </w:rPr>
        <w:t xml:space="preserve"> </w:t>
      </w:r>
      <w:r w:rsidR="00AD2DCA" w:rsidRPr="00856C71">
        <w:rPr>
          <w:rFonts w:ascii="Times New Roman" w:hAnsi="Times New Roman"/>
          <w:sz w:val="22"/>
          <w:szCs w:val="22"/>
        </w:rPr>
        <w:t>po</w:t>
      </w:r>
      <w:r w:rsidR="00757FDE" w:rsidRPr="00856C71">
        <w:rPr>
          <w:rFonts w:ascii="Times New Roman" w:hAnsi="Times New Roman"/>
          <w:sz w:val="22"/>
          <w:szCs w:val="22"/>
        </w:rPr>
        <w:t>čas</w:t>
      </w:r>
      <w:r w:rsidR="0085404C" w:rsidRPr="00856C71">
        <w:rPr>
          <w:rFonts w:ascii="Times New Roman" w:hAnsi="Times New Roman"/>
          <w:sz w:val="22"/>
          <w:szCs w:val="22"/>
        </w:rPr>
        <w:t xml:space="preserve"> čo najkratš</w:t>
      </w:r>
      <w:r w:rsidR="00757FDE" w:rsidRPr="00856C71">
        <w:rPr>
          <w:rFonts w:ascii="Times New Roman" w:hAnsi="Times New Roman"/>
          <w:sz w:val="22"/>
          <w:szCs w:val="22"/>
        </w:rPr>
        <w:t>ej</w:t>
      </w:r>
      <w:r w:rsidR="00AD2DCA" w:rsidRPr="00856C71">
        <w:rPr>
          <w:rFonts w:ascii="Times New Roman" w:hAnsi="Times New Roman"/>
          <w:sz w:val="22"/>
          <w:szCs w:val="22"/>
        </w:rPr>
        <w:t xml:space="preserve"> dob</w:t>
      </w:r>
      <w:r w:rsidR="00757FDE" w:rsidRPr="00856C71">
        <w:rPr>
          <w:rFonts w:ascii="Times New Roman" w:hAnsi="Times New Roman"/>
          <w:sz w:val="22"/>
          <w:szCs w:val="22"/>
        </w:rPr>
        <w:t>y</w:t>
      </w:r>
      <w:r w:rsidR="004C7D42" w:rsidRPr="00856C71">
        <w:rPr>
          <w:rFonts w:ascii="Times New Roman" w:hAnsi="Times New Roman"/>
          <w:sz w:val="22"/>
          <w:szCs w:val="22"/>
        </w:rPr>
        <w:t xml:space="preserve"> </w:t>
      </w:r>
      <w:r w:rsidR="007E1A4A" w:rsidRPr="00856C71">
        <w:rPr>
          <w:rFonts w:ascii="Times New Roman" w:hAnsi="Times New Roman"/>
          <w:sz w:val="22"/>
          <w:szCs w:val="22"/>
        </w:rPr>
        <w:t xml:space="preserve">a </w:t>
      </w:r>
      <w:r w:rsidR="00757FDE" w:rsidRPr="00856C71">
        <w:rPr>
          <w:rFonts w:ascii="Times New Roman" w:hAnsi="Times New Roman"/>
          <w:sz w:val="22"/>
          <w:szCs w:val="22"/>
        </w:rPr>
        <w:t>v</w:t>
      </w:r>
      <w:r w:rsidR="004C7D42" w:rsidRPr="00856C71">
        <w:rPr>
          <w:rFonts w:ascii="Times New Roman" w:hAnsi="Times New Roman"/>
          <w:sz w:val="22"/>
          <w:szCs w:val="22"/>
        </w:rPr>
        <w:t> </w:t>
      </w:r>
      <w:r w:rsidR="007E1A4A" w:rsidRPr="00856C71">
        <w:rPr>
          <w:rFonts w:ascii="Times New Roman" w:hAnsi="Times New Roman"/>
          <w:sz w:val="22"/>
          <w:szCs w:val="22"/>
        </w:rPr>
        <w:t>najnižš</w:t>
      </w:r>
      <w:r w:rsidR="00757FDE" w:rsidRPr="00856C71">
        <w:rPr>
          <w:rFonts w:ascii="Times New Roman" w:hAnsi="Times New Roman"/>
          <w:sz w:val="22"/>
          <w:szCs w:val="22"/>
        </w:rPr>
        <w:t>ej</w:t>
      </w:r>
      <w:r w:rsidR="004C7D42" w:rsidRPr="00856C71">
        <w:rPr>
          <w:rFonts w:ascii="Times New Roman" w:hAnsi="Times New Roman"/>
          <w:sz w:val="22"/>
          <w:szCs w:val="22"/>
        </w:rPr>
        <w:t xml:space="preserve"> možn</w:t>
      </w:r>
      <w:r w:rsidR="00757FDE" w:rsidRPr="00856C71">
        <w:rPr>
          <w:rFonts w:ascii="Times New Roman" w:hAnsi="Times New Roman"/>
          <w:sz w:val="22"/>
          <w:szCs w:val="22"/>
        </w:rPr>
        <w:t>ej</w:t>
      </w:r>
      <w:r w:rsidR="007E1A4A" w:rsidRPr="00856C71">
        <w:rPr>
          <w:rFonts w:ascii="Times New Roman" w:hAnsi="Times New Roman"/>
          <w:sz w:val="22"/>
          <w:szCs w:val="22"/>
        </w:rPr>
        <w:t xml:space="preserve"> frekvenci</w:t>
      </w:r>
      <w:r w:rsidR="00757FDE" w:rsidRPr="00856C71">
        <w:rPr>
          <w:rFonts w:ascii="Times New Roman" w:hAnsi="Times New Roman"/>
          <w:sz w:val="22"/>
          <w:szCs w:val="22"/>
        </w:rPr>
        <w:t>i</w:t>
      </w:r>
      <w:r w:rsidR="004F3C38" w:rsidRPr="00856C71">
        <w:rPr>
          <w:rFonts w:ascii="Times New Roman" w:hAnsi="Times New Roman"/>
          <w:sz w:val="22"/>
          <w:szCs w:val="22"/>
        </w:rPr>
        <w:t xml:space="preserve"> dávkovania</w:t>
      </w:r>
      <w:r w:rsidR="004C7D42" w:rsidRPr="00856C71">
        <w:rPr>
          <w:rFonts w:ascii="Times New Roman" w:hAnsi="Times New Roman"/>
          <w:sz w:val="22"/>
          <w:szCs w:val="22"/>
        </w:rPr>
        <w:t>.</w:t>
      </w:r>
    </w:p>
    <w:p w14:paraId="05C36B6D" w14:textId="77777777" w:rsidR="0003140E" w:rsidRDefault="0003140E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34FCECCB" w14:textId="77777777" w:rsidR="0003140E" w:rsidRPr="00B73C6F" w:rsidRDefault="0003140E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Dojčenie</w:t>
      </w:r>
    </w:p>
    <w:p w14:paraId="66150A6D" w14:textId="65482EEA" w:rsidR="0003140E" w:rsidRPr="00B73C6F" w:rsidRDefault="0003140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  <w:lang w:eastAsia="cs-CZ"/>
        </w:rPr>
        <w:t xml:space="preserve">Paracetamol sa síce vylučuje do materského mlieka, ale v množstvách, ktoré nie sú z klinického hľadiska </w:t>
      </w:r>
      <w:r w:rsidR="00757FDE">
        <w:rPr>
          <w:rFonts w:ascii="Times New Roman" w:hAnsi="Times New Roman"/>
          <w:sz w:val="22"/>
          <w:szCs w:val="22"/>
          <w:lang w:eastAsia="cs-CZ"/>
        </w:rPr>
        <w:t>významné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. </w:t>
      </w:r>
      <w:r w:rsidR="004C7D42">
        <w:rPr>
          <w:rFonts w:ascii="Times New Roman" w:hAnsi="Times New Roman"/>
          <w:sz w:val="22"/>
          <w:szCs w:val="22"/>
          <w:lang w:eastAsia="cs-CZ"/>
        </w:rPr>
        <w:t>A</w:t>
      </w:r>
      <w:r w:rsidRPr="00B73C6F">
        <w:rPr>
          <w:rFonts w:ascii="Times New Roman" w:hAnsi="Times New Roman"/>
          <w:sz w:val="22"/>
          <w:szCs w:val="22"/>
          <w:lang w:eastAsia="cs-CZ"/>
        </w:rPr>
        <w:t>ni pri dlhodobej liečbe paracetamolom neboli pozorované žiadne nežiaduce účinky u dojčiat s výnimkou jedného prípadu výskytu makulopapulárnej vyrážky.</w:t>
      </w:r>
      <w:r w:rsidR="004C7D42">
        <w:rPr>
          <w:rFonts w:ascii="Times New Roman" w:hAnsi="Times New Roman"/>
          <w:sz w:val="22"/>
          <w:szCs w:val="22"/>
          <w:lang w:eastAsia="cs-CZ"/>
        </w:rPr>
        <w:t xml:space="preserve"> </w:t>
      </w:r>
      <w:r w:rsidR="004C7D42" w:rsidRPr="004C7D42">
        <w:rPr>
          <w:rFonts w:ascii="Times New Roman" w:hAnsi="Times New Roman"/>
          <w:sz w:val="22"/>
          <w:szCs w:val="22"/>
          <w:lang w:eastAsia="cs-CZ"/>
        </w:rPr>
        <w:t>Počas krátkodobej liečby nie je potrebné prerušiť dojčenie za predpokladu starostlivého sledovania dojčaťa.</w:t>
      </w:r>
    </w:p>
    <w:p w14:paraId="503DD9E7" w14:textId="77777777" w:rsidR="0003140E" w:rsidRDefault="0003140E" w:rsidP="0085404C">
      <w:pPr>
        <w:rPr>
          <w:rFonts w:ascii="Times New Roman" w:hAnsi="Times New Roman"/>
          <w:sz w:val="22"/>
          <w:szCs w:val="22"/>
        </w:rPr>
      </w:pPr>
    </w:p>
    <w:p w14:paraId="6FDD58BE" w14:textId="77777777" w:rsidR="001E2808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  <w:u w:val="single"/>
        </w:rPr>
        <w:t>Fertilita</w:t>
      </w:r>
    </w:p>
    <w:p w14:paraId="19A26B75" w14:textId="601AA465" w:rsidR="009D2A3E" w:rsidRPr="00B73C6F" w:rsidRDefault="001E2808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Š</w:t>
      </w:r>
      <w:r w:rsidR="009D2A3E" w:rsidRPr="00B73C6F">
        <w:rPr>
          <w:rFonts w:ascii="Times New Roman" w:hAnsi="Times New Roman"/>
          <w:sz w:val="22"/>
          <w:szCs w:val="22"/>
        </w:rPr>
        <w:t>túdie chronickej toxicity paracetamolu u zvierat preukázali výskyt atrofie semenníkov a inhibíciu spermatogenézy</w:t>
      </w:r>
      <w:r w:rsidR="00774A6F" w:rsidRPr="00B73C6F">
        <w:rPr>
          <w:rFonts w:ascii="Times New Roman" w:hAnsi="Times New Roman"/>
          <w:sz w:val="22"/>
          <w:szCs w:val="22"/>
        </w:rPr>
        <w:t>,</w:t>
      </w:r>
      <w:r w:rsidR="009D2A3E" w:rsidRPr="00B73C6F">
        <w:rPr>
          <w:rFonts w:ascii="Times New Roman" w:hAnsi="Times New Roman"/>
          <w:sz w:val="22"/>
          <w:szCs w:val="22"/>
        </w:rPr>
        <w:t xml:space="preserve"> relevancia </w:t>
      </w:r>
      <w:r w:rsidR="009D2A3E" w:rsidRPr="00856C71">
        <w:rPr>
          <w:rFonts w:ascii="Times New Roman" w:hAnsi="Times New Roman"/>
          <w:sz w:val="22"/>
          <w:szCs w:val="22"/>
        </w:rPr>
        <w:t xml:space="preserve">tohto </w:t>
      </w:r>
      <w:r w:rsidR="00987442" w:rsidRPr="00856C71">
        <w:rPr>
          <w:rFonts w:ascii="Times New Roman" w:hAnsi="Times New Roman"/>
          <w:sz w:val="22"/>
          <w:szCs w:val="22"/>
        </w:rPr>
        <w:t>zistenia</w:t>
      </w:r>
      <w:r w:rsidR="009D2A3E" w:rsidRPr="00856C71">
        <w:rPr>
          <w:rFonts w:ascii="Times New Roman" w:hAnsi="Times New Roman"/>
          <w:sz w:val="22"/>
          <w:szCs w:val="22"/>
        </w:rPr>
        <w:t xml:space="preserve"> </w:t>
      </w:r>
      <w:r w:rsidR="00757FDE" w:rsidRPr="00856C71">
        <w:rPr>
          <w:rFonts w:ascii="Times New Roman" w:hAnsi="Times New Roman"/>
          <w:sz w:val="22"/>
          <w:szCs w:val="22"/>
        </w:rPr>
        <w:t>pre</w:t>
      </w:r>
      <w:r w:rsidR="009D2A3E" w:rsidRPr="00B73C6F">
        <w:rPr>
          <w:rFonts w:ascii="Times New Roman" w:hAnsi="Times New Roman"/>
          <w:sz w:val="22"/>
          <w:szCs w:val="22"/>
        </w:rPr>
        <w:t xml:space="preserve"> </w:t>
      </w:r>
      <w:r w:rsidR="00757FDE">
        <w:rPr>
          <w:rFonts w:ascii="Times New Roman" w:hAnsi="Times New Roman"/>
          <w:sz w:val="22"/>
          <w:szCs w:val="22"/>
        </w:rPr>
        <w:t>ľudí</w:t>
      </w:r>
      <w:r w:rsidR="009D2A3E" w:rsidRPr="00B73C6F">
        <w:rPr>
          <w:rFonts w:ascii="Times New Roman" w:hAnsi="Times New Roman"/>
          <w:sz w:val="22"/>
          <w:szCs w:val="22"/>
        </w:rPr>
        <w:t xml:space="preserve"> však nie je známa. </w:t>
      </w:r>
    </w:p>
    <w:p w14:paraId="070139DB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55152B9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4.7</w:t>
      </w:r>
      <w:r w:rsidRPr="00B73C6F">
        <w:rPr>
          <w:rFonts w:ascii="Times New Roman" w:hAnsi="Times New Roman"/>
          <w:b/>
          <w:sz w:val="22"/>
          <w:szCs w:val="22"/>
        </w:rPr>
        <w:tab/>
        <w:t>Ovplyvnenie schopnosti viesť vozidlá a obsluhovať stroje</w:t>
      </w:r>
    </w:p>
    <w:p w14:paraId="283575E7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25F8EE0B" w14:textId="32E21204" w:rsidR="00FE6B76" w:rsidRPr="00B73C6F" w:rsidRDefault="00834F1C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Liek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FE6B76" w:rsidRPr="00B73C6F">
        <w:rPr>
          <w:rFonts w:ascii="Times New Roman" w:hAnsi="Times New Roman"/>
          <w:sz w:val="22"/>
          <w:szCs w:val="22"/>
        </w:rPr>
        <w:t xml:space="preserve">nemá žiadny </w:t>
      </w:r>
      <w:r w:rsidR="004C7D42">
        <w:rPr>
          <w:rFonts w:ascii="Times New Roman" w:hAnsi="Times New Roman"/>
          <w:sz w:val="22"/>
          <w:szCs w:val="22"/>
        </w:rPr>
        <w:t xml:space="preserve">alebo </w:t>
      </w:r>
      <w:r>
        <w:rPr>
          <w:rFonts w:ascii="Times New Roman" w:hAnsi="Times New Roman"/>
          <w:sz w:val="22"/>
          <w:szCs w:val="22"/>
        </w:rPr>
        <w:t xml:space="preserve">má </w:t>
      </w:r>
      <w:r w:rsidR="004C7D42">
        <w:rPr>
          <w:rFonts w:ascii="Times New Roman" w:hAnsi="Times New Roman"/>
          <w:sz w:val="22"/>
          <w:szCs w:val="22"/>
        </w:rPr>
        <w:t xml:space="preserve">zanedbateľný </w:t>
      </w:r>
      <w:r w:rsidR="00FE6B76" w:rsidRPr="00B73C6F">
        <w:rPr>
          <w:rFonts w:ascii="Times New Roman" w:hAnsi="Times New Roman"/>
          <w:sz w:val="22"/>
          <w:szCs w:val="22"/>
        </w:rPr>
        <w:t>vplyv na schopnosť viesť vozidlá a obsluhovať stroje.</w:t>
      </w:r>
    </w:p>
    <w:p w14:paraId="59D0EEA4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</w:rPr>
      </w:pPr>
    </w:p>
    <w:p w14:paraId="3F5FF0D4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0A57BE">
        <w:rPr>
          <w:rFonts w:ascii="Times New Roman" w:hAnsi="Times New Roman"/>
          <w:b/>
          <w:sz w:val="22"/>
          <w:szCs w:val="22"/>
        </w:rPr>
        <w:t>4.8</w:t>
      </w:r>
      <w:r w:rsidRPr="000A57BE">
        <w:rPr>
          <w:rFonts w:ascii="Times New Roman" w:hAnsi="Times New Roman"/>
          <w:b/>
          <w:sz w:val="22"/>
          <w:szCs w:val="22"/>
        </w:rPr>
        <w:tab/>
        <w:t>Nežiaduce účinky</w:t>
      </w:r>
    </w:p>
    <w:p w14:paraId="5EA6DA64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</w:p>
    <w:p w14:paraId="5BF14939" w14:textId="77777777" w:rsidR="0007282F" w:rsidRDefault="00631AB6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V nasledujúcej tabuľke sú zhrnuté nežiaduce účinky </w:t>
      </w:r>
      <w:r w:rsidR="00D77DB7">
        <w:rPr>
          <w:rFonts w:ascii="Times New Roman" w:hAnsi="Times New Roman"/>
          <w:sz w:val="22"/>
          <w:szCs w:val="22"/>
        </w:rPr>
        <w:t xml:space="preserve">paracetamolu </w:t>
      </w:r>
      <w:r w:rsidRPr="00B73C6F">
        <w:rPr>
          <w:rFonts w:ascii="Times New Roman" w:hAnsi="Times New Roman"/>
          <w:sz w:val="22"/>
          <w:szCs w:val="22"/>
        </w:rPr>
        <w:t xml:space="preserve">rozdelené do skupín podľa terminológie MedDRA s uvedením frekvencie výskytu: </w:t>
      </w:r>
    </w:p>
    <w:p w14:paraId="42152550" w14:textId="5292EB91" w:rsidR="00631AB6" w:rsidRPr="00B73C6F" w:rsidRDefault="00E83E08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v</w:t>
      </w:r>
      <w:r w:rsidR="00631AB6" w:rsidRPr="00B73C6F">
        <w:rPr>
          <w:rFonts w:ascii="Times New Roman" w:hAnsi="Times New Roman"/>
          <w:sz w:val="22"/>
          <w:szCs w:val="22"/>
        </w:rPr>
        <w:t>eľmi časté (</w:t>
      </w:r>
      <w:r w:rsidR="00631AB6" w:rsidRPr="00B73C6F">
        <w:rPr>
          <w:rFonts w:ascii="Times New Roman" w:hAnsi="Times New Roman"/>
          <w:sz w:val="22"/>
          <w:szCs w:val="22"/>
        </w:rPr>
        <w:sym w:font="Symbol" w:char="F0B3"/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 xml:space="preserve">1/10), </w:t>
      </w:r>
      <w:r w:rsidRPr="00B73C6F">
        <w:rPr>
          <w:rFonts w:ascii="Times New Roman" w:hAnsi="Times New Roman"/>
          <w:sz w:val="22"/>
          <w:szCs w:val="22"/>
        </w:rPr>
        <w:t>č</w:t>
      </w:r>
      <w:r w:rsidR="00631AB6" w:rsidRPr="00B73C6F">
        <w:rPr>
          <w:rFonts w:ascii="Times New Roman" w:hAnsi="Times New Roman"/>
          <w:sz w:val="22"/>
          <w:szCs w:val="22"/>
        </w:rPr>
        <w:t>asté (</w:t>
      </w:r>
      <w:r w:rsidR="00631AB6" w:rsidRPr="00B73C6F">
        <w:rPr>
          <w:rFonts w:ascii="Times New Roman" w:hAnsi="Times New Roman"/>
          <w:sz w:val="22"/>
          <w:szCs w:val="22"/>
        </w:rPr>
        <w:sym w:font="Symbol" w:char="F0B3"/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>1/100 až &lt;</w:t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 xml:space="preserve">1/10), </w:t>
      </w:r>
      <w:r w:rsidRPr="00B73C6F">
        <w:rPr>
          <w:rFonts w:ascii="Times New Roman" w:hAnsi="Times New Roman"/>
          <w:sz w:val="22"/>
          <w:szCs w:val="22"/>
        </w:rPr>
        <w:t>m</w:t>
      </w:r>
      <w:r w:rsidR="00631AB6" w:rsidRPr="00B73C6F">
        <w:rPr>
          <w:rFonts w:ascii="Times New Roman" w:hAnsi="Times New Roman"/>
          <w:sz w:val="22"/>
          <w:szCs w:val="22"/>
        </w:rPr>
        <w:t>enej časté (</w:t>
      </w:r>
      <w:r w:rsidR="00631AB6" w:rsidRPr="00B73C6F">
        <w:rPr>
          <w:rFonts w:ascii="Times New Roman" w:hAnsi="Times New Roman"/>
          <w:sz w:val="22"/>
          <w:szCs w:val="22"/>
        </w:rPr>
        <w:sym w:font="Symbol" w:char="F0B3"/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>1/1 000 až &lt;</w:t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 xml:space="preserve">1/100), </w:t>
      </w:r>
      <w:r w:rsidRPr="00B73C6F">
        <w:rPr>
          <w:rFonts w:ascii="Times New Roman" w:hAnsi="Times New Roman"/>
          <w:sz w:val="22"/>
          <w:szCs w:val="22"/>
        </w:rPr>
        <w:t>z</w:t>
      </w:r>
      <w:r w:rsidR="00631AB6" w:rsidRPr="00B73C6F">
        <w:rPr>
          <w:rFonts w:ascii="Times New Roman" w:hAnsi="Times New Roman"/>
          <w:sz w:val="22"/>
          <w:szCs w:val="22"/>
        </w:rPr>
        <w:t>riedkavé (</w:t>
      </w:r>
      <w:r w:rsidR="00631AB6" w:rsidRPr="00B73C6F">
        <w:rPr>
          <w:rFonts w:ascii="Times New Roman" w:hAnsi="Times New Roman"/>
          <w:sz w:val="22"/>
          <w:szCs w:val="22"/>
        </w:rPr>
        <w:sym w:font="Symbol" w:char="F0B3"/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>1/10 000 až &lt;</w:t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 xml:space="preserve">1/1 000), </w:t>
      </w:r>
      <w:r w:rsidRPr="00B73C6F">
        <w:rPr>
          <w:rFonts w:ascii="Times New Roman" w:hAnsi="Times New Roman"/>
          <w:sz w:val="22"/>
          <w:szCs w:val="22"/>
        </w:rPr>
        <w:t>v</w:t>
      </w:r>
      <w:r w:rsidR="00631AB6" w:rsidRPr="00B73C6F">
        <w:rPr>
          <w:rFonts w:ascii="Times New Roman" w:hAnsi="Times New Roman"/>
          <w:sz w:val="22"/>
          <w:szCs w:val="22"/>
        </w:rPr>
        <w:t>eľmi zriedkavé (&lt;</w:t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>1/10 000), neznáme (</w:t>
      </w:r>
      <w:r w:rsidR="00D77DB7">
        <w:rPr>
          <w:rFonts w:ascii="Times New Roman" w:hAnsi="Times New Roman"/>
          <w:sz w:val="22"/>
          <w:szCs w:val="22"/>
        </w:rPr>
        <w:t xml:space="preserve">nemožno určiť </w:t>
      </w:r>
      <w:r w:rsidR="00631AB6" w:rsidRPr="00B73C6F">
        <w:rPr>
          <w:rFonts w:ascii="Times New Roman" w:hAnsi="Times New Roman"/>
          <w:sz w:val="22"/>
          <w:szCs w:val="22"/>
        </w:rPr>
        <w:t>z dostupných údajov)</w:t>
      </w:r>
      <w:r w:rsidR="00F70D1A">
        <w:rPr>
          <w:rFonts w:ascii="Times New Roman" w:hAnsi="Times New Roman"/>
          <w:sz w:val="22"/>
          <w:szCs w:val="22"/>
        </w:rPr>
        <w:t>.</w:t>
      </w:r>
    </w:p>
    <w:p w14:paraId="404558FC" w14:textId="77777777" w:rsidR="00631AB6" w:rsidRPr="00B73C6F" w:rsidRDefault="00631AB6" w:rsidP="0085404C">
      <w:pPr>
        <w:ind w:right="-192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5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5"/>
        <w:gridCol w:w="2179"/>
        <w:gridCol w:w="4251"/>
      </w:tblGrid>
      <w:tr w:rsidR="00631AB6" w:rsidRPr="00C629AB" w14:paraId="7871C36A" w14:textId="77777777" w:rsidTr="00C629AB">
        <w:tc>
          <w:tcPr>
            <w:tcW w:w="1925" w:type="pct"/>
          </w:tcPr>
          <w:p w14:paraId="3F739D1B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Trieda orgánových systémov podľ</w:t>
            </w:r>
            <w:r w:rsidR="001C0AF6"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a</w:t>
            </w:r>
            <w:r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 xml:space="preserve"> databázy MedDRA</w:t>
            </w:r>
          </w:p>
        </w:tc>
        <w:tc>
          <w:tcPr>
            <w:tcW w:w="1042" w:type="pct"/>
          </w:tcPr>
          <w:p w14:paraId="515EDB51" w14:textId="652159A3" w:rsidR="00631AB6" w:rsidRPr="00B73C6F" w:rsidRDefault="00631AB6" w:rsidP="00856C71">
            <w:pPr>
              <w:ind w:right="-192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Frekvencia</w:t>
            </w:r>
          </w:p>
        </w:tc>
        <w:tc>
          <w:tcPr>
            <w:tcW w:w="2033" w:type="pct"/>
          </w:tcPr>
          <w:p w14:paraId="3F108958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Nežiaduci účinok</w:t>
            </w:r>
          </w:p>
        </w:tc>
      </w:tr>
      <w:tr w:rsidR="00C629AB" w:rsidRPr="00C629AB" w14:paraId="2A148BA6" w14:textId="77777777" w:rsidTr="00C629AB">
        <w:trPr>
          <w:trHeight w:val="1290"/>
        </w:trPr>
        <w:tc>
          <w:tcPr>
            <w:tcW w:w="1925" w:type="pct"/>
            <w:vMerge w:val="restart"/>
          </w:tcPr>
          <w:p w14:paraId="3F62C087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1042" w:type="pct"/>
          </w:tcPr>
          <w:p w14:paraId="4A80E12B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2033" w:type="pct"/>
          </w:tcPr>
          <w:p w14:paraId="4D4B1E90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</w:t>
            </w: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rombocytopénia, </w:t>
            </w:r>
          </w:p>
          <w:p w14:paraId="55E06263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</w:t>
            </w: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eukopénia,</w:t>
            </w:r>
          </w:p>
          <w:p w14:paraId="1C2B5545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Pancytopénia, </w:t>
            </w:r>
          </w:p>
          <w:p w14:paraId="457301B9" w14:textId="77777777" w:rsidR="00C629AB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Agranulocytóza, </w:t>
            </w:r>
          </w:p>
          <w:p w14:paraId="6815DEE3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eutropénia, </w:t>
            </w:r>
          </w:p>
        </w:tc>
      </w:tr>
      <w:tr w:rsidR="00C629AB" w:rsidRPr="00C629AB" w14:paraId="46A5067C" w14:textId="77777777" w:rsidTr="00C629AB">
        <w:trPr>
          <w:trHeight w:val="544"/>
        </w:trPr>
        <w:tc>
          <w:tcPr>
            <w:tcW w:w="1925" w:type="pct"/>
            <w:vMerge/>
            <w:tcBorders>
              <w:bottom w:val="single" w:sz="4" w:space="0" w:color="auto"/>
            </w:tcBorders>
          </w:tcPr>
          <w:p w14:paraId="713E2955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D66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hAnsi="Times New Roman"/>
                <w:sz w:val="22"/>
                <w:szCs w:val="22"/>
              </w:rPr>
              <w:t>Neznáme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512" w14:textId="4D714505" w:rsidR="00C629AB" w:rsidRPr="00B73C6F" w:rsidDel="0071156A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Hemolytická anémia – </w:t>
            </w:r>
            <w:r w:rsidR="00656C4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predovšetkým </w:t>
            </w: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u pacientov s deficitom glukóz</w:t>
            </w:r>
            <w:r w:rsidR="006100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o</w:t>
            </w: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-6-fosfátdehydrogenázy</w:t>
            </w:r>
          </w:p>
        </w:tc>
      </w:tr>
      <w:tr w:rsidR="00631AB6" w:rsidRPr="00C629AB" w14:paraId="2E2A886A" w14:textId="77777777" w:rsidTr="00C629AB">
        <w:trPr>
          <w:trHeight w:val="565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FCF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Poruchy imunitného systému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D17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3D8" w14:textId="77777777" w:rsidR="00631AB6" w:rsidRPr="00B73C6F" w:rsidRDefault="0071156A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nafylaktick</w:t>
            </w:r>
            <w:r w:rsid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ý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šok, </w:t>
            </w:r>
          </w:p>
          <w:p w14:paraId="4848DBF1" w14:textId="77777777" w:rsidR="00631AB6" w:rsidRPr="00B73C6F" w:rsidRDefault="0071156A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ngioedém</w:t>
            </w:r>
          </w:p>
        </w:tc>
      </w:tr>
      <w:tr w:rsidR="00631AB6" w:rsidRPr="00C629AB" w14:paraId="2D044FC0" w14:textId="77777777" w:rsidTr="00C629AB">
        <w:trPr>
          <w:trHeight w:val="402"/>
        </w:trPr>
        <w:tc>
          <w:tcPr>
            <w:tcW w:w="1925" w:type="pct"/>
          </w:tcPr>
          <w:p w14:paraId="342CDE0F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Poruchy dýchacej sústavy, hrudníka a</w:t>
            </w:r>
            <w:r w:rsidR="0003140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mediastína </w:t>
            </w:r>
          </w:p>
        </w:tc>
        <w:tc>
          <w:tcPr>
            <w:tcW w:w="1042" w:type="pct"/>
          </w:tcPr>
          <w:p w14:paraId="384FAC42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2033" w:type="pct"/>
          </w:tcPr>
          <w:p w14:paraId="63902C67" w14:textId="77777777" w:rsidR="00631AB6" w:rsidRPr="00B73C6F" w:rsidRDefault="0071156A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B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ronchospazmus</w:t>
            </w: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AB6" w:rsidRPr="00C629AB" w14:paraId="31E42F3E" w14:textId="77777777" w:rsidTr="00C629AB">
        <w:tc>
          <w:tcPr>
            <w:tcW w:w="1925" w:type="pct"/>
            <w:vMerge w:val="restart"/>
          </w:tcPr>
          <w:p w14:paraId="1974348C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Poruchy pečene a žlčových ciest </w:t>
            </w:r>
          </w:p>
        </w:tc>
        <w:tc>
          <w:tcPr>
            <w:tcW w:w="1042" w:type="pct"/>
          </w:tcPr>
          <w:p w14:paraId="1A109064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2033" w:type="pct"/>
          </w:tcPr>
          <w:p w14:paraId="08800248" w14:textId="62F3B43D" w:rsidR="00631AB6" w:rsidRPr="00B73C6F" w:rsidRDefault="00834F1C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H</w:t>
            </w:r>
            <w:r w:rsidR="00C856D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epatotox</w:t>
            </w:r>
            <w:r w:rsidR="00AD2DCA" w:rsidRPr="00AD2DC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icita</w:t>
            </w:r>
          </w:p>
        </w:tc>
      </w:tr>
      <w:tr w:rsidR="00631AB6" w:rsidRPr="00C629AB" w14:paraId="3CE9AEA1" w14:textId="77777777" w:rsidTr="00C629AB">
        <w:tc>
          <w:tcPr>
            <w:tcW w:w="1925" w:type="pct"/>
            <w:vMerge/>
          </w:tcPr>
          <w:p w14:paraId="19F52203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</w:tcPr>
          <w:p w14:paraId="6C268150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2033" w:type="pct"/>
          </w:tcPr>
          <w:p w14:paraId="1C3BCB0F" w14:textId="35FE1869" w:rsidR="00631AB6" w:rsidRPr="00B73C6F" w:rsidRDefault="0071156A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/>
              </w:rPr>
              <w:t>C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/>
              </w:rPr>
              <w:t>ytolytická hepatitída, ktorá môže viesť k akútnemu zlyhaniu pečene</w:t>
            </w:r>
            <w:r w:rsidR="0098744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/>
              </w:rPr>
              <w:t>.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  <w:tr w:rsidR="002819F7" w:rsidRPr="00C629AB" w14:paraId="271241CC" w14:textId="77777777" w:rsidTr="000A57BE">
        <w:trPr>
          <w:trHeight w:val="414"/>
        </w:trPr>
        <w:tc>
          <w:tcPr>
            <w:tcW w:w="1925" w:type="pct"/>
            <w:vMerge w:val="restart"/>
          </w:tcPr>
          <w:p w14:paraId="6BDD2875" w14:textId="77777777" w:rsidR="002819F7" w:rsidRPr="00B73C6F" w:rsidRDefault="002819F7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1042" w:type="pct"/>
          </w:tcPr>
          <w:p w14:paraId="1E6605C5" w14:textId="77777777" w:rsidR="002819F7" w:rsidRPr="00B73C6F" w:rsidRDefault="00A9233D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Zriedkavé</w:t>
            </w:r>
          </w:p>
        </w:tc>
        <w:tc>
          <w:tcPr>
            <w:tcW w:w="2033" w:type="pct"/>
          </w:tcPr>
          <w:p w14:paraId="4AF81462" w14:textId="77777777" w:rsidR="00C629AB" w:rsidRDefault="00C629AB" w:rsidP="0085404C">
            <w:pPr>
              <w:ind w:right="-19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sz w:val="22"/>
                <w:szCs w:val="22"/>
              </w:rPr>
              <w:t>Erytém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  <w:r w:rsidR="00AD2DC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AD2DCA" w:rsidRPr="00AD2DCA">
              <w:rPr>
                <w:rFonts w:ascii="Times New Roman" w:eastAsia="Times New Roman" w:hAnsi="Times New Roman"/>
                <w:sz w:val="22"/>
                <w:szCs w:val="22"/>
              </w:rPr>
              <w:t>žihľavka, vyrážka</w:t>
            </w:r>
          </w:p>
          <w:p w14:paraId="7928A36B" w14:textId="1298CAA3" w:rsidR="002819F7" w:rsidRPr="00B73C6F" w:rsidRDefault="00C629AB" w:rsidP="0085404C">
            <w:pPr>
              <w:ind w:right="-192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Alergická dermatitída</w:t>
            </w:r>
            <w:r w:rsidR="00A9233D" w:rsidRPr="00B73C6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114E3" w:rsidRPr="00C629AB" w14:paraId="338A5DDA" w14:textId="77777777" w:rsidTr="00C629AB">
        <w:trPr>
          <w:trHeight w:val="1204"/>
        </w:trPr>
        <w:tc>
          <w:tcPr>
            <w:tcW w:w="1925" w:type="pct"/>
            <w:vMerge/>
          </w:tcPr>
          <w:p w14:paraId="027307C1" w14:textId="77777777" w:rsidR="009114E3" w:rsidRPr="00B73C6F" w:rsidRDefault="009114E3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</w:tcPr>
          <w:p w14:paraId="11FD2606" w14:textId="77777777" w:rsidR="009114E3" w:rsidRPr="00C629AB" w:rsidRDefault="009114E3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Veľmi zriedkavé </w:t>
            </w:r>
          </w:p>
          <w:p w14:paraId="37A85C6B" w14:textId="77777777" w:rsidR="009114E3" w:rsidRPr="00B73C6F" w:rsidRDefault="009114E3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3" w:type="pct"/>
          </w:tcPr>
          <w:p w14:paraId="50EE541B" w14:textId="77777777" w:rsidR="009114E3" w:rsidRPr="00C629AB" w:rsidRDefault="00C629AB" w:rsidP="0085404C">
            <w:pPr>
              <w:ind w:right="-19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T</w:t>
            </w:r>
            <w:r w:rsidR="009114E3"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oxická epidermálna nekrolýza (TEN), </w:t>
            </w:r>
          </w:p>
          <w:p w14:paraId="621D647A" w14:textId="77777777" w:rsidR="00DE7194" w:rsidRPr="00B73C6F" w:rsidRDefault="009114E3" w:rsidP="0085404C">
            <w:pPr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>Stevensov-Johnsono</w:t>
            </w:r>
            <w:r w:rsidRPr="00C629AB">
              <w:rPr>
                <w:rFonts w:ascii="Times New Roman" w:eastAsia="Times New Roman" w:hAnsi="Times New Roman"/>
                <w:noProof/>
                <w:sz w:val="22"/>
                <w:szCs w:val="22"/>
              </w:rPr>
              <w:t>v</w:t>
            </w:r>
            <w:r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 syndróm (SJS), </w:t>
            </w:r>
          </w:p>
          <w:p w14:paraId="1CA47FE7" w14:textId="3E7B72D8" w:rsidR="009114E3" w:rsidRPr="00C629AB" w:rsidRDefault="00C629AB" w:rsidP="0085404C">
            <w:pPr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A</w:t>
            </w:r>
            <w:r w:rsidR="009114E3" w:rsidRPr="00C629AB">
              <w:rPr>
                <w:rFonts w:ascii="Times New Roman" w:eastAsia="Times New Roman" w:hAnsi="Times New Roman"/>
                <w:noProof/>
                <w:sz w:val="22"/>
                <w:szCs w:val="22"/>
              </w:rPr>
              <w:t>kútna generalizovaná exantematózna</w:t>
            </w:r>
            <w:r w:rsidR="009114E3"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 pustulóza</w:t>
            </w:r>
            <w:r w:rsidR="0007282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 (AGEP)</w:t>
            </w:r>
            <w:r w:rsidR="009114E3"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, </w:t>
            </w:r>
          </w:p>
          <w:p w14:paraId="6DCB83C0" w14:textId="77777777" w:rsidR="009114E3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F</w:t>
            </w:r>
            <w:r w:rsidR="009114E3"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>ixný liekový exantém</w:t>
            </w:r>
            <w:r w:rsidR="0003140E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 </w:t>
            </w:r>
          </w:p>
        </w:tc>
      </w:tr>
    </w:tbl>
    <w:p w14:paraId="5E3F4CD5" w14:textId="77777777" w:rsidR="00D8468E" w:rsidRPr="00B73C6F" w:rsidRDefault="00D8468E" w:rsidP="0085404C">
      <w:pPr>
        <w:ind w:right="-192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D738303" w14:textId="77777777" w:rsidR="00631AB6" w:rsidRPr="00B73C6F" w:rsidRDefault="00631AB6" w:rsidP="0085404C">
      <w:pPr>
        <w:ind w:right="-192"/>
        <w:rPr>
          <w:rFonts w:ascii="Times New Roman" w:eastAsia="Times New Roman" w:hAnsi="Times New Roman"/>
          <w:color w:val="000000"/>
          <w:sz w:val="22"/>
          <w:szCs w:val="22"/>
          <w:u w:val="single"/>
        </w:rPr>
      </w:pPr>
      <w:r w:rsidRPr="00B73C6F">
        <w:rPr>
          <w:rFonts w:ascii="Times New Roman" w:eastAsia="Times New Roman" w:hAnsi="Times New Roman"/>
          <w:color w:val="000000"/>
          <w:sz w:val="22"/>
          <w:szCs w:val="22"/>
          <w:u w:val="single"/>
        </w:rPr>
        <w:t>Hlásenie podozrení na nežiaduce reakcie</w:t>
      </w:r>
    </w:p>
    <w:p w14:paraId="1375D8B1" w14:textId="300E6F86" w:rsidR="00631AB6" w:rsidRPr="000A57BE" w:rsidRDefault="00631AB6" w:rsidP="0085404C">
      <w:pPr>
        <w:suppressLineNumbers/>
        <w:autoSpaceDE w:val="0"/>
        <w:autoSpaceDN w:val="0"/>
        <w:adjustRightInd w:val="0"/>
        <w:rPr>
          <w:rFonts w:ascii="Times New Roman" w:eastAsia="Times New Roman" w:hAnsi="Times New Roman"/>
          <w:noProof/>
          <w:sz w:val="22"/>
          <w:szCs w:val="22"/>
          <w:lang w:eastAsia="en-US"/>
        </w:rPr>
      </w:pPr>
      <w:r w:rsidRPr="00B73C6F">
        <w:rPr>
          <w:rFonts w:ascii="Times New Roman" w:eastAsia="Times New Roman" w:hAnsi="Times New Roman"/>
          <w:color w:val="000000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4C01CA">
        <w:rPr>
          <w:rFonts w:ascii="Times New Roman" w:eastAsia="Times New Roman" w:hAnsi="Times New Roman"/>
          <w:color w:val="000000"/>
          <w:sz w:val="22"/>
          <w:szCs w:val="22"/>
        </w:rPr>
        <w:t>na</w:t>
      </w:r>
      <w:r w:rsidR="004C01CA" w:rsidRPr="00B73C6F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DE624D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 xml:space="preserve">národné </w:t>
      </w:r>
      <w:r w:rsidR="004C01CA" w:rsidRPr="00DE624D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>centrum</w:t>
      </w:r>
      <w:r w:rsidRPr="00DE624D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 xml:space="preserve"> hlásenia uvedené v </w:t>
      </w:r>
      <w:hyperlink r:id="rId8" w:history="1">
        <w:r w:rsidRPr="00DE624D">
          <w:rPr>
            <w:rFonts w:ascii="Times New Roman" w:eastAsia="Times New Roman" w:hAnsi="Times New Roman"/>
            <w:noProof/>
            <w:color w:val="0000FF"/>
            <w:sz w:val="22"/>
            <w:szCs w:val="22"/>
            <w:highlight w:val="lightGray"/>
            <w:u w:val="single"/>
            <w:lang w:eastAsia="en-US"/>
          </w:rPr>
          <w:t>Prílohe V</w:t>
        </w:r>
      </w:hyperlink>
      <w:r w:rsidRPr="000A57BE">
        <w:rPr>
          <w:rFonts w:ascii="Times New Roman" w:eastAsia="Times New Roman" w:hAnsi="Times New Roman"/>
          <w:noProof/>
          <w:sz w:val="22"/>
          <w:szCs w:val="22"/>
          <w:lang w:eastAsia="en-US"/>
        </w:rPr>
        <w:t>.</w:t>
      </w:r>
    </w:p>
    <w:p w14:paraId="2B06C689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</w:rPr>
      </w:pPr>
    </w:p>
    <w:p w14:paraId="3DFB2D24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4.9</w:t>
      </w:r>
      <w:r w:rsidRPr="00B73C6F">
        <w:rPr>
          <w:rFonts w:ascii="Times New Roman" w:hAnsi="Times New Roman"/>
          <w:b/>
          <w:sz w:val="22"/>
          <w:szCs w:val="22"/>
        </w:rPr>
        <w:tab/>
        <w:t>Predávkovanie</w:t>
      </w:r>
    </w:p>
    <w:p w14:paraId="67FFA0D5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</w:rPr>
      </w:pPr>
    </w:p>
    <w:p w14:paraId="54C9F4A7" w14:textId="70B304F4" w:rsidR="001F61D8" w:rsidRPr="00B73C6F" w:rsidRDefault="001F61D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Predávkovanie už relatívne nízkymi dávkami paracetamolu (8</w:t>
      </w:r>
      <w:r w:rsidR="0007282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03140E">
        <w:rPr>
          <w:rFonts w:ascii="Times New Roman" w:eastAsia="Times New Roman" w:hAnsi="Times New Roman"/>
          <w:sz w:val="22"/>
          <w:szCs w:val="22"/>
          <w:lang w:eastAsia="cs-CZ"/>
        </w:rPr>
        <w:t>-</w:t>
      </w:r>
      <w:r w:rsidR="0007282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15 g v závislosti od telesnej hmotnosti) môže mať za následok závažné poškodenie pečene a niekedy akútnu renálnu tubulárnu nekrózu. K poškodeniu pečene po požití 5 alebo viac gramov paracetamolu môže dôjsť u pacient</w:t>
      </w:r>
      <w:r w:rsidR="005A526B">
        <w:rPr>
          <w:rFonts w:ascii="Times New Roman" w:eastAsia="Times New Roman" w:hAnsi="Times New Roman"/>
          <w:sz w:val="22"/>
          <w:szCs w:val="22"/>
          <w:lang w:eastAsia="cs-CZ"/>
        </w:rPr>
        <w:t>ov s rizikovými faktormi ako je</w:t>
      </w: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:</w:t>
      </w:r>
    </w:p>
    <w:p w14:paraId="62BB8C5F" w14:textId="77777777" w:rsidR="001F61D8" w:rsidRPr="00B73C6F" w:rsidRDefault="001F61D8" w:rsidP="0085404C">
      <w:pPr>
        <w:widowControl w:val="0"/>
        <w:numPr>
          <w:ilvl w:val="0"/>
          <w:numId w:val="9"/>
        </w:numPr>
        <w:rPr>
          <w:rFonts w:ascii="Times New Roman" w:eastAsia="Times New Roman" w:hAnsi="Times New Roman"/>
          <w:sz w:val="22"/>
          <w:szCs w:val="22"/>
          <w:lang w:eastAsia="cs-CZ"/>
        </w:rPr>
      </w:pP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dlhodobá liečba enzýmovými induktormi (karbamazepín, glutetimid, fenobarbital, fenytoín, rifampicín, primid</w:t>
      </w:r>
      <w:r w:rsidR="001538A1" w:rsidRPr="00B73C6F">
        <w:rPr>
          <w:rFonts w:ascii="Times New Roman" w:eastAsia="Times New Roman" w:hAnsi="Times New Roman"/>
          <w:sz w:val="22"/>
          <w:szCs w:val="22"/>
          <w:lang w:eastAsia="cs-CZ"/>
        </w:rPr>
        <w:t>ó</w:t>
      </w: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n, ľubovník bodkovaný),</w:t>
      </w:r>
    </w:p>
    <w:p w14:paraId="50051352" w14:textId="77777777" w:rsidR="001F61D8" w:rsidRPr="00B73C6F" w:rsidRDefault="001F61D8" w:rsidP="0085404C">
      <w:pPr>
        <w:widowControl w:val="0"/>
        <w:numPr>
          <w:ilvl w:val="0"/>
          <w:numId w:val="8"/>
        </w:numPr>
        <w:rPr>
          <w:rFonts w:ascii="Times New Roman" w:eastAsia="Times New Roman" w:hAnsi="Times New Roman"/>
          <w:sz w:val="22"/>
          <w:szCs w:val="22"/>
          <w:lang w:eastAsia="cs-CZ"/>
        </w:rPr>
      </w:pP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pravidelná konzumácia väčšieho množstva alkoholu,</w:t>
      </w:r>
    </w:p>
    <w:p w14:paraId="6DC2FF76" w14:textId="77777777" w:rsidR="001F61D8" w:rsidRPr="00B73C6F" w:rsidRDefault="001F61D8" w:rsidP="0085404C">
      <w:pPr>
        <w:widowControl w:val="0"/>
        <w:numPr>
          <w:ilvl w:val="0"/>
          <w:numId w:val="8"/>
        </w:numPr>
        <w:rPr>
          <w:rFonts w:ascii="Times New Roman" w:eastAsia="Times New Roman" w:hAnsi="Times New Roman"/>
          <w:sz w:val="22"/>
          <w:szCs w:val="22"/>
          <w:lang w:eastAsia="cs-CZ"/>
        </w:rPr>
      </w:pP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pravdepodobnosť, že sú vyčerpané zásoby glutatiónu (napr. pri poruche príjmu potravy, cystickej fibróze, HIV infekcii, hladovaní, kachexii).</w:t>
      </w:r>
    </w:p>
    <w:p w14:paraId="6CCF476D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66F420A6" w14:textId="172935BA" w:rsidR="00AF2784" w:rsidRDefault="00FE2989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Symptóm</w:t>
      </w:r>
      <w:r w:rsidR="009D2A3E" w:rsidRPr="00B73C6F">
        <w:rPr>
          <w:rFonts w:ascii="Times New Roman" w:hAnsi="Times New Roman"/>
          <w:sz w:val="22"/>
          <w:szCs w:val="22"/>
          <w:u w:val="single"/>
        </w:rPr>
        <w:t>y</w:t>
      </w:r>
      <w:r w:rsidR="009D2A3E" w:rsidRPr="00B73C6F">
        <w:rPr>
          <w:rFonts w:ascii="Times New Roman" w:hAnsi="Times New Roman"/>
          <w:sz w:val="22"/>
          <w:szCs w:val="22"/>
        </w:rPr>
        <w:t xml:space="preserve"> </w:t>
      </w:r>
    </w:p>
    <w:p w14:paraId="3E956A7A" w14:textId="7B78B898" w:rsidR="002B509F" w:rsidRPr="00B73C6F" w:rsidRDefault="00AF2784" w:rsidP="0085404C">
      <w:pPr>
        <w:rPr>
          <w:rFonts w:ascii="Times New Roman" w:hAnsi="Times New Roman"/>
          <w:sz w:val="22"/>
          <w:szCs w:val="22"/>
        </w:rPr>
      </w:pPr>
      <w:r w:rsidRPr="00AF2784">
        <w:rPr>
          <w:rFonts w:ascii="Times New Roman" w:hAnsi="Times New Roman"/>
          <w:sz w:val="22"/>
          <w:szCs w:val="22"/>
        </w:rPr>
        <w:t xml:space="preserve">Do 24 hodín sa môže objaviť nauzea, </w:t>
      </w:r>
      <w:r>
        <w:rPr>
          <w:rFonts w:ascii="Times New Roman" w:hAnsi="Times New Roman"/>
          <w:sz w:val="22"/>
          <w:szCs w:val="22"/>
        </w:rPr>
        <w:t>vracanie</w:t>
      </w:r>
      <w:r w:rsidRPr="00AF2784">
        <w:rPr>
          <w:rFonts w:ascii="Times New Roman" w:hAnsi="Times New Roman"/>
          <w:sz w:val="22"/>
          <w:szCs w:val="22"/>
        </w:rPr>
        <w:t xml:space="preserve">, anorexia, bledosť, letargia a potenie. Bolesť v bruchu môže byť prvým príznakom poškodenia pečene a vzniká v priebehu prvých 24 hodín. Môže vzniknúť pečeňová cytolýza, ktorá môže viesť k </w:t>
      </w:r>
      <w:r w:rsidR="000A57BE" w:rsidRPr="000A57BE">
        <w:rPr>
          <w:rFonts w:ascii="Times New Roman" w:hAnsi="Times New Roman"/>
          <w:sz w:val="22"/>
          <w:szCs w:val="22"/>
        </w:rPr>
        <w:t>hepatocelulárn</w:t>
      </w:r>
      <w:r w:rsidR="000A57BE">
        <w:rPr>
          <w:rFonts w:ascii="Times New Roman" w:hAnsi="Times New Roman"/>
          <w:sz w:val="22"/>
          <w:szCs w:val="22"/>
        </w:rPr>
        <w:t>ej</w:t>
      </w:r>
      <w:r w:rsidR="000A57BE" w:rsidRPr="000A57BE">
        <w:rPr>
          <w:rFonts w:ascii="Times New Roman" w:hAnsi="Times New Roman"/>
          <w:sz w:val="22"/>
          <w:szCs w:val="22"/>
        </w:rPr>
        <w:t xml:space="preserve"> nedostatočnosti</w:t>
      </w:r>
      <w:r w:rsidRPr="00AF2784">
        <w:rPr>
          <w:rFonts w:ascii="Times New Roman" w:hAnsi="Times New Roman"/>
          <w:sz w:val="22"/>
          <w:szCs w:val="22"/>
        </w:rPr>
        <w:t xml:space="preserve">, </w:t>
      </w:r>
      <w:r w:rsidR="000A57BE" w:rsidRPr="000A57BE">
        <w:rPr>
          <w:rFonts w:ascii="Times New Roman" w:hAnsi="Times New Roman"/>
          <w:sz w:val="22"/>
          <w:szCs w:val="22"/>
        </w:rPr>
        <w:t>gastrointestinálne</w:t>
      </w:r>
      <w:r w:rsidR="000A57BE">
        <w:rPr>
          <w:rFonts w:ascii="Times New Roman" w:hAnsi="Times New Roman"/>
          <w:sz w:val="22"/>
          <w:szCs w:val="22"/>
        </w:rPr>
        <w:t>mu</w:t>
      </w:r>
      <w:r w:rsidR="000A57BE" w:rsidRPr="000A57BE">
        <w:rPr>
          <w:rFonts w:ascii="Times New Roman" w:hAnsi="Times New Roman"/>
          <w:sz w:val="22"/>
          <w:szCs w:val="22"/>
        </w:rPr>
        <w:t xml:space="preserve"> krvácani</w:t>
      </w:r>
      <w:r w:rsidR="000A57BE">
        <w:rPr>
          <w:rFonts w:ascii="Times New Roman" w:hAnsi="Times New Roman"/>
          <w:sz w:val="22"/>
          <w:szCs w:val="22"/>
        </w:rPr>
        <w:t xml:space="preserve">u, </w:t>
      </w:r>
      <w:r w:rsidRPr="00AF2784">
        <w:rPr>
          <w:rFonts w:ascii="Times New Roman" w:hAnsi="Times New Roman"/>
          <w:sz w:val="22"/>
          <w:szCs w:val="22"/>
        </w:rPr>
        <w:t xml:space="preserve">encefalopatii, </w:t>
      </w:r>
      <w:r w:rsidR="00D4755A">
        <w:rPr>
          <w:rFonts w:ascii="Times New Roman" w:hAnsi="Times New Roman"/>
          <w:sz w:val="22"/>
          <w:szCs w:val="22"/>
        </w:rPr>
        <w:t xml:space="preserve">diseminovanej intravaskulárnej koagulácii, </w:t>
      </w:r>
      <w:r w:rsidRPr="00AF2784">
        <w:rPr>
          <w:rFonts w:ascii="Times New Roman" w:hAnsi="Times New Roman"/>
          <w:sz w:val="22"/>
          <w:szCs w:val="22"/>
        </w:rPr>
        <w:t>kóme až smrti. Komplikáciu zlyhania pečene predstavuje metabolická acidóza, edém mozgu, krvácavé prejavy, hypoglykémia, hypotenzia, infekcia a renálne zlyhanie. 12 až 48 hod</w:t>
      </w:r>
      <w:r w:rsidR="004C01CA">
        <w:rPr>
          <w:rFonts w:ascii="Times New Roman" w:hAnsi="Times New Roman"/>
          <w:sz w:val="22"/>
          <w:szCs w:val="22"/>
        </w:rPr>
        <w:t>í</w:t>
      </w:r>
      <w:r w:rsidRPr="00AF2784">
        <w:rPr>
          <w:rFonts w:ascii="Times New Roman" w:hAnsi="Times New Roman"/>
          <w:sz w:val="22"/>
          <w:szCs w:val="22"/>
        </w:rPr>
        <w:t xml:space="preserve">n po akútnom predávkovaní sa zvyšujú hladiny pečeňových transamináz, laktátdehydrogenázy a bilirubínu spolu s poklesom hladiny protrombínu. </w:t>
      </w:r>
      <w:r w:rsidR="000A57BE" w:rsidRPr="000A57BE">
        <w:rPr>
          <w:rFonts w:ascii="Times New Roman" w:hAnsi="Times New Roman"/>
          <w:sz w:val="22"/>
          <w:szCs w:val="22"/>
        </w:rPr>
        <w:t>Predĺženie protrombínového času je indikátorom zhoršenia funkcie pečene</w:t>
      </w:r>
      <w:r w:rsidR="004C01CA">
        <w:rPr>
          <w:rFonts w:ascii="Times New Roman" w:hAnsi="Times New Roman"/>
          <w:sz w:val="22"/>
          <w:szCs w:val="22"/>
        </w:rPr>
        <w:t>,</w:t>
      </w:r>
      <w:r w:rsidR="000A57BE" w:rsidRPr="000A57BE">
        <w:rPr>
          <w:rFonts w:ascii="Times New Roman" w:hAnsi="Times New Roman"/>
          <w:sz w:val="22"/>
          <w:szCs w:val="22"/>
        </w:rPr>
        <w:t xml:space="preserve"> a preto sa odporúča jeho monitorovanie. </w:t>
      </w:r>
      <w:r w:rsidRPr="00AF2784">
        <w:rPr>
          <w:rFonts w:ascii="Times New Roman" w:hAnsi="Times New Roman"/>
          <w:sz w:val="22"/>
          <w:szCs w:val="22"/>
        </w:rPr>
        <w:t>Pacienti, ktorí užívajú induktory enzýmov (</w:t>
      </w:r>
      <w:r w:rsidR="0054532C">
        <w:rPr>
          <w:rFonts w:ascii="Times New Roman" w:hAnsi="Times New Roman"/>
          <w:sz w:val="22"/>
          <w:szCs w:val="22"/>
        </w:rPr>
        <w:t xml:space="preserve">napr. </w:t>
      </w:r>
      <w:r w:rsidRPr="00AF2784">
        <w:rPr>
          <w:rFonts w:ascii="Times New Roman" w:hAnsi="Times New Roman"/>
          <w:sz w:val="22"/>
          <w:szCs w:val="22"/>
        </w:rPr>
        <w:t>karbamazepín, fenytoín, barbituráty, rifampicín) alebo majú v anamnéze abúzus alkoholu, sú náchylnejší na poškodenie pečene. K akútnemu renálnemu zlyhaniu môže dôjsť aj bez prítomnosti závažného poškodenia pečene. Inými prejavmi intoxikácie sú poškodenie myokardu</w:t>
      </w:r>
      <w:r w:rsidR="00837E13">
        <w:rPr>
          <w:rFonts w:ascii="Times New Roman" w:hAnsi="Times New Roman"/>
          <w:sz w:val="22"/>
          <w:szCs w:val="22"/>
        </w:rPr>
        <w:t>, </w:t>
      </w:r>
      <w:r w:rsidRPr="00AF2784">
        <w:rPr>
          <w:rFonts w:ascii="Times New Roman" w:hAnsi="Times New Roman"/>
          <w:sz w:val="22"/>
          <w:szCs w:val="22"/>
        </w:rPr>
        <w:t>pankreatitída</w:t>
      </w:r>
      <w:r w:rsidR="00837E13">
        <w:rPr>
          <w:rFonts w:ascii="Times New Roman" w:hAnsi="Times New Roman"/>
          <w:sz w:val="22"/>
          <w:szCs w:val="22"/>
        </w:rPr>
        <w:t xml:space="preserve"> a pancytopénia</w:t>
      </w:r>
      <w:r w:rsidRPr="00AF2784">
        <w:rPr>
          <w:rFonts w:ascii="Times New Roman" w:hAnsi="Times New Roman"/>
          <w:sz w:val="22"/>
          <w:szCs w:val="22"/>
        </w:rPr>
        <w:t>.</w:t>
      </w:r>
    </w:p>
    <w:p w14:paraId="0522B2ED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1F36D117" w14:textId="22FED805" w:rsidR="0003140E" w:rsidRPr="009E17EC" w:rsidRDefault="009D2A3E" w:rsidP="0085404C">
      <w:pPr>
        <w:rPr>
          <w:rFonts w:ascii="Times New Roman" w:hAnsi="Times New Roman"/>
          <w:sz w:val="22"/>
          <w:szCs w:val="22"/>
        </w:rPr>
      </w:pPr>
      <w:r w:rsidRPr="009E17EC">
        <w:rPr>
          <w:rFonts w:ascii="Times New Roman" w:hAnsi="Times New Roman"/>
          <w:sz w:val="22"/>
          <w:szCs w:val="22"/>
          <w:u w:val="single"/>
        </w:rPr>
        <w:t>Liečba</w:t>
      </w:r>
    </w:p>
    <w:p w14:paraId="15003287" w14:textId="7B1662B3" w:rsidR="009D2A3E" w:rsidRPr="00B73C6F" w:rsidRDefault="00987442" w:rsidP="0085404C">
      <w:pPr>
        <w:rPr>
          <w:rFonts w:ascii="Times New Roman" w:hAnsi="Times New Roman"/>
          <w:sz w:val="22"/>
          <w:szCs w:val="22"/>
        </w:rPr>
      </w:pPr>
      <w:r w:rsidRPr="009E17EC">
        <w:rPr>
          <w:rFonts w:ascii="Times New Roman" w:hAnsi="Times New Roman"/>
          <w:sz w:val="22"/>
          <w:szCs w:val="22"/>
        </w:rPr>
        <w:t>Zásadné je o</w:t>
      </w:r>
      <w:r w:rsidR="00047CEB" w:rsidRPr="009E17EC">
        <w:rPr>
          <w:rFonts w:ascii="Times New Roman" w:hAnsi="Times New Roman"/>
          <w:sz w:val="22"/>
          <w:szCs w:val="22"/>
        </w:rPr>
        <w:t>k</w:t>
      </w:r>
      <w:r w:rsidRPr="009E17EC">
        <w:rPr>
          <w:rFonts w:ascii="Times New Roman" w:hAnsi="Times New Roman"/>
          <w:sz w:val="22"/>
          <w:szCs w:val="22"/>
        </w:rPr>
        <w:t>amžité začatie liečby</w:t>
      </w:r>
      <w:r w:rsidR="00047CEB" w:rsidRPr="009E17EC">
        <w:rPr>
          <w:rFonts w:ascii="Times New Roman" w:hAnsi="Times New Roman"/>
          <w:sz w:val="22"/>
          <w:szCs w:val="22"/>
        </w:rPr>
        <w:t>. Aj napriek</w:t>
      </w:r>
      <w:r w:rsidR="00047CEB" w:rsidRPr="00047CEB">
        <w:rPr>
          <w:rFonts w:ascii="Times New Roman" w:hAnsi="Times New Roman"/>
          <w:sz w:val="22"/>
          <w:szCs w:val="22"/>
        </w:rPr>
        <w:t xml:space="preserve"> absencii výrazných skorých príznakov majú byť pacienti neodkladne prevezení do nemocnice </w:t>
      </w:r>
      <w:r w:rsidR="004C01CA">
        <w:rPr>
          <w:rFonts w:ascii="Times New Roman" w:hAnsi="Times New Roman"/>
          <w:sz w:val="22"/>
          <w:szCs w:val="22"/>
        </w:rPr>
        <w:t>kvôli</w:t>
      </w:r>
      <w:r w:rsidR="00047CEB" w:rsidRPr="00047CEB">
        <w:rPr>
          <w:rFonts w:ascii="Times New Roman" w:hAnsi="Times New Roman"/>
          <w:sz w:val="22"/>
          <w:szCs w:val="22"/>
        </w:rPr>
        <w:t xml:space="preserve"> poskytnuti</w:t>
      </w:r>
      <w:r w:rsidR="004C01CA">
        <w:rPr>
          <w:rFonts w:ascii="Times New Roman" w:hAnsi="Times New Roman"/>
          <w:sz w:val="22"/>
          <w:szCs w:val="22"/>
        </w:rPr>
        <w:t>u</w:t>
      </w:r>
      <w:r w:rsidR="00047CEB" w:rsidRPr="00047CEB">
        <w:rPr>
          <w:rFonts w:ascii="Times New Roman" w:hAnsi="Times New Roman"/>
          <w:sz w:val="22"/>
          <w:szCs w:val="22"/>
        </w:rPr>
        <w:t xml:space="preserve"> okamžitej lekárskej pomoci. Príznaky môžu byť obmedzené na nevoľnosť alebo vracanie a nemusia poukazovať na závažnosť predávkovania alebo poškodenia orgánov. Použitie aktívneho uhlia je potrebné zvážiť do hodiny po predávkovaní. </w:t>
      </w:r>
      <w:r w:rsidR="004C01CA">
        <w:rPr>
          <w:rFonts w:ascii="Times New Roman" w:hAnsi="Times New Roman"/>
          <w:sz w:val="22"/>
          <w:szCs w:val="22"/>
        </w:rPr>
        <w:t>Plazmatické k</w:t>
      </w:r>
      <w:r w:rsidR="00D61F9D">
        <w:rPr>
          <w:rFonts w:ascii="Times New Roman" w:hAnsi="Times New Roman"/>
          <w:sz w:val="22"/>
          <w:szCs w:val="22"/>
        </w:rPr>
        <w:t xml:space="preserve">oncentrácie paracetamolu </w:t>
      </w:r>
      <w:r w:rsidR="00047CEB" w:rsidRPr="00047CEB">
        <w:rPr>
          <w:rFonts w:ascii="Times New Roman" w:hAnsi="Times New Roman"/>
          <w:sz w:val="22"/>
          <w:szCs w:val="22"/>
        </w:rPr>
        <w:t xml:space="preserve">majú byť merané po 4 hodinách alebo neskôr po požití (skôr merané koncentrácie sú nespoľahlivé). Liečba N-acetylcysteínom </w:t>
      </w:r>
      <w:r w:rsidR="004C01CA">
        <w:rPr>
          <w:rFonts w:ascii="Times New Roman" w:hAnsi="Times New Roman"/>
          <w:sz w:val="22"/>
          <w:szCs w:val="22"/>
        </w:rPr>
        <w:t xml:space="preserve">sa </w:t>
      </w:r>
      <w:r w:rsidR="00047CEB" w:rsidRPr="00047CEB">
        <w:rPr>
          <w:rFonts w:ascii="Times New Roman" w:hAnsi="Times New Roman"/>
          <w:sz w:val="22"/>
          <w:szCs w:val="22"/>
        </w:rPr>
        <w:t xml:space="preserve">môže </w:t>
      </w:r>
      <w:r w:rsidR="004C01CA">
        <w:rPr>
          <w:rFonts w:ascii="Times New Roman" w:hAnsi="Times New Roman"/>
          <w:sz w:val="22"/>
          <w:szCs w:val="22"/>
        </w:rPr>
        <w:t>začať</w:t>
      </w:r>
      <w:r w:rsidR="00047CEB" w:rsidRPr="00047CEB">
        <w:rPr>
          <w:rFonts w:ascii="Times New Roman" w:hAnsi="Times New Roman"/>
          <w:sz w:val="22"/>
          <w:szCs w:val="22"/>
        </w:rPr>
        <w:t xml:space="preserve"> do 24 hodín po požití paracetamolu, ale maximálny ochranný účinok sa dosiahne</w:t>
      </w:r>
      <w:r w:rsidR="004C01CA">
        <w:rPr>
          <w:rFonts w:ascii="Times New Roman" w:hAnsi="Times New Roman"/>
          <w:sz w:val="22"/>
          <w:szCs w:val="22"/>
        </w:rPr>
        <w:t>,</w:t>
      </w:r>
      <w:r w:rsidR="00047CEB" w:rsidRPr="00047CEB">
        <w:rPr>
          <w:rFonts w:ascii="Times New Roman" w:hAnsi="Times New Roman"/>
          <w:sz w:val="22"/>
          <w:szCs w:val="22"/>
        </w:rPr>
        <w:t xml:space="preserve"> ak bol podaný do 8</w:t>
      </w:r>
      <w:r w:rsidR="002A08D6">
        <w:rPr>
          <w:rFonts w:ascii="Times New Roman" w:hAnsi="Times New Roman"/>
          <w:sz w:val="22"/>
          <w:szCs w:val="22"/>
        </w:rPr>
        <w:t> </w:t>
      </w:r>
      <w:r w:rsidR="00047CEB" w:rsidRPr="00047CEB">
        <w:rPr>
          <w:rFonts w:ascii="Times New Roman" w:hAnsi="Times New Roman"/>
          <w:sz w:val="22"/>
          <w:szCs w:val="22"/>
        </w:rPr>
        <w:t xml:space="preserve">hodín po požití. Účinnosť antidota prudko klesá po prekročení tejto doby. Ak je to nutné, pacientovi má byť podaný N-acetylcysteín </w:t>
      </w:r>
      <w:r w:rsidR="00047CEB" w:rsidRPr="00047CEB">
        <w:rPr>
          <w:rFonts w:ascii="Times New Roman" w:hAnsi="Times New Roman"/>
          <w:sz w:val="22"/>
          <w:szCs w:val="22"/>
        </w:rPr>
        <w:lastRenderedPageBreak/>
        <w:t>intravenózne v súlade so stanovenými dávkovacími</w:t>
      </w:r>
      <w:r w:rsidR="00D61F9D">
        <w:rPr>
          <w:rFonts w:ascii="Times New Roman" w:hAnsi="Times New Roman"/>
          <w:sz w:val="22"/>
          <w:szCs w:val="22"/>
        </w:rPr>
        <w:t xml:space="preserve"> </w:t>
      </w:r>
      <w:r w:rsidR="00D61F9D" w:rsidRPr="009E17EC">
        <w:rPr>
          <w:rFonts w:ascii="Times New Roman" w:hAnsi="Times New Roman"/>
          <w:sz w:val="22"/>
          <w:szCs w:val="22"/>
        </w:rPr>
        <w:t>režimami</w:t>
      </w:r>
      <w:r w:rsidR="00047CEB" w:rsidRPr="009E17EC">
        <w:rPr>
          <w:rFonts w:ascii="Times New Roman" w:hAnsi="Times New Roman"/>
          <w:sz w:val="22"/>
          <w:szCs w:val="22"/>
        </w:rPr>
        <w:t>. Ak pacient nevracia, môže byť perorálne podanie metionínu vhodnou alternatívou v odľahlých oblastiac</w:t>
      </w:r>
      <w:r w:rsidR="00764C8B" w:rsidRPr="009E17EC">
        <w:rPr>
          <w:rFonts w:ascii="Times New Roman" w:hAnsi="Times New Roman"/>
          <w:sz w:val="22"/>
          <w:szCs w:val="22"/>
        </w:rPr>
        <w:t>h mimo nemocničného zariadenia</w:t>
      </w:r>
      <w:r w:rsidR="009D2A3E" w:rsidRPr="009E17EC">
        <w:rPr>
          <w:rFonts w:ascii="Times New Roman" w:hAnsi="Times New Roman"/>
          <w:sz w:val="22"/>
          <w:szCs w:val="22"/>
        </w:rPr>
        <w:t>.</w:t>
      </w:r>
    </w:p>
    <w:p w14:paraId="439F3059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D0E8EDD" w14:textId="77777777" w:rsidR="003A559F" w:rsidRPr="00B73C6F" w:rsidRDefault="003A559F" w:rsidP="0085404C">
      <w:pPr>
        <w:rPr>
          <w:rFonts w:ascii="Times New Roman" w:hAnsi="Times New Roman"/>
          <w:sz w:val="22"/>
          <w:szCs w:val="22"/>
        </w:rPr>
      </w:pPr>
    </w:p>
    <w:p w14:paraId="428B8788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5.</w:t>
      </w:r>
      <w:r w:rsidRPr="00B73C6F">
        <w:rPr>
          <w:rFonts w:ascii="Times New Roman" w:hAnsi="Times New Roman"/>
          <w:b/>
          <w:sz w:val="22"/>
          <w:szCs w:val="22"/>
        </w:rPr>
        <w:tab/>
        <w:t>FARMAKOLOGICKÉ VLASTNOSTI</w:t>
      </w:r>
    </w:p>
    <w:p w14:paraId="7DDB3EAD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5F005D9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5.1</w:t>
      </w:r>
      <w:r w:rsidRPr="00B73C6F">
        <w:rPr>
          <w:rFonts w:ascii="Times New Roman" w:hAnsi="Times New Roman"/>
          <w:b/>
          <w:sz w:val="22"/>
          <w:szCs w:val="22"/>
        </w:rPr>
        <w:tab/>
        <w:t>Farmakodynamické vlastnosti</w:t>
      </w:r>
    </w:p>
    <w:p w14:paraId="2C147075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272B0E39" w14:textId="54C72E95" w:rsidR="00716E6C" w:rsidRPr="00B73C6F" w:rsidRDefault="00716E6C" w:rsidP="0085404C">
      <w:pPr>
        <w:outlineLvl w:val="0"/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Farmakoterapeutická skupina: </w:t>
      </w:r>
      <w:r w:rsidR="005805C5">
        <w:rPr>
          <w:rFonts w:ascii="Times New Roman" w:hAnsi="Times New Roman"/>
          <w:sz w:val="22"/>
          <w:szCs w:val="22"/>
        </w:rPr>
        <w:t>Iné a</w:t>
      </w:r>
      <w:r w:rsidR="009D2A3E" w:rsidRPr="00B73C6F">
        <w:rPr>
          <w:rFonts w:ascii="Times New Roman" w:hAnsi="Times New Roman"/>
          <w:sz w:val="22"/>
          <w:szCs w:val="22"/>
        </w:rPr>
        <w:t>nalgetik</w:t>
      </w:r>
      <w:r w:rsidR="005805C5">
        <w:rPr>
          <w:rFonts w:ascii="Times New Roman" w:hAnsi="Times New Roman"/>
          <w:sz w:val="22"/>
          <w:szCs w:val="22"/>
        </w:rPr>
        <w:t xml:space="preserve">á a </w:t>
      </w:r>
      <w:r w:rsidR="009D2A3E" w:rsidRPr="00B73C6F">
        <w:rPr>
          <w:rFonts w:ascii="Times New Roman" w:hAnsi="Times New Roman"/>
          <w:sz w:val="22"/>
          <w:szCs w:val="22"/>
        </w:rPr>
        <w:t>antipyretik</w:t>
      </w:r>
      <w:r w:rsidR="005805C5">
        <w:rPr>
          <w:rFonts w:ascii="Times New Roman" w:hAnsi="Times New Roman"/>
          <w:sz w:val="22"/>
          <w:szCs w:val="22"/>
        </w:rPr>
        <w:t>á</w:t>
      </w:r>
      <w:r w:rsidR="009D2A3E" w:rsidRPr="00B73C6F">
        <w:rPr>
          <w:rFonts w:ascii="Times New Roman" w:hAnsi="Times New Roman"/>
          <w:sz w:val="22"/>
          <w:szCs w:val="22"/>
        </w:rPr>
        <w:t>, anilid</w:t>
      </w:r>
      <w:r w:rsidR="000B3363">
        <w:rPr>
          <w:rFonts w:ascii="Times New Roman" w:hAnsi="Times New Roman"/>
          <w:sz w:val="22"/>
          <w:szCs w:val="22"/>
        </w:rPr>
        <w:t>y</w:t>
      </w:r>
      <w:r w:rsidR="0003140E">
        <w:rPr>
          <w:rFonts w:ascii="Times New Roman" w:hAnsi="Times New Roman"/>
          <w:sz w:val="22"/>
          <w:szCs w:val="22"/>
        </w:rPr>
        <w:t xml:space="preserve">, </w:t>
      </w:r>
      <w:r w:rsidRPr="00B73C6F">
        <w:rPr>
          <w:rFonts w:ascii="Times New Roman" w:hAnsi="Times New Roman"/>
          <w:sz w:val="22"/>
          <w:szCs w:val="22"/>
        </w:rPr>
        <w:t xml:space="preserve">ATC kód: </w:t>
      </w:r>
      <w:r w:rsidR="009D2A3E" w:rsidRPr="00B73C6F">
        <w:rPr>
          <w:rFonts w:ascii="Times New Roman" w:hAnsi="Times New Roman"/>
          <w:sz w:val="22"/>
          <w:szCs w:val="22"/>
        </w:rPr>
        <w:t>N02BE01</w:t>
      </w:r>
      <w:r w:rsidR="00F750EA">
        <w:rPr>
          <w:rFonts w:ascii="Times New Roman" w:hAnsi="Times New Roman"/>
          <w:sz w:val="22"/>
          <w:szCs w:val="22"/>
        </w:rPr>
        <w:t>.</w:t>
      </w:r>
    </w:p>
    <w:p w14:paraId="39CD72C1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19B82BFC" w14:textId="77777777" w:rsidR="002C041C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Paracetamol je analgetikum </w:t>
      </w:r>
      <w:r w:rsidR="0003140E" w:rsidRPr="004E5D76">
        <w:rPr>
          <w:rFonts w:ascii="Times New Roman" w:hAnsi="Times New Roman"/>
          <w:sz w:val="22"/>
          <w:szCs w:val="22"/>
        </w:rPr>
        <w:t>–</w:t>
      </w:r>
      <w:r w:rsidRPr="004E5D76">
        <w:rPr>
          <w:rFonts w:ascii="Times New Roman" w:hAnsi="Times New Roman"/>
          <w:sz w:val="22"/>
          <w:szCs w:val="22"/>
        </w:rPr>
        <w:t xml:space="preserve"> antipyretikum bez antiflogistickej aktivity a s dobrou gastrointestinálnou znášanlivosťou, vhodné </w:t>
      </w:r>
      <w:r w:rsidR="002C041C">
        <w:rPr>
          <w:rFonts w:ascii="Times New Roman" w:hAnsi="Times New Roman"/>
          <w:sz w:val="22"/>
          <w:szCs w:val="22"/>
        </w:rPr>
        <w:t>u pediatrických</w:t>
      </w:r>
      <w:r w:rsidRPr="004E5D76">
        <w:rPr>
          <w:rFonts w:ascii="Times New Roman" w:hAnsi="Times New Roman"/>
          <w:sz w:val="22"/>
          <w:szCs w:val="22"/>
        </w:rPr>
        <w:t xml:space="preserve"> aj u dospelých pacientov. </w:t>
      </w:r>
    </w:p>
    <w:p w14:paraId="497C1C2B" w14:textId="1CA2379F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4E5D76">
        <w:rPr>
          <w:rFonts w:ascii="Times New Roman" w:hAnsi="Times New Roman"/>
          <w:sz w:val="22"/>
          <w:szCs w:val="22"/>
        </w:rPr>
        <w:t>Neovplyvňuje glykémiu</w:t>
      </w:r>
      <w:r w:rsidR="004C01CA">
        <w:rPr>
          <w:rFonts w:ascii="Times New Roman" w:hAnsi="Times New Roman"/>
          <w:sz w:val="22"/>
          <w:szCs w:val="22"/>
        </w:rPr>
        <w:t>,</w:t>
      </w:r>
      <w:r w:rsidR="005A526B">
        <w:rPr>
          <w:rFonts w:ascii="Times New Roman" w:hAnsi="Times New Roman"/>
          <w:sz w:val="22"/>
          <w:szCs w:val="22"/>
        </w:rPr>
        <w:t xml:space="preserve"> a je teda vhodný aj pre</w:t>
      </w:r>
      <w:r w:rsidRPr="004E5D76">
        <w:rPr>
          <w:rFonts w:ascii="Times New Roman" w:hAnsi="Times New Roman"/>
          <w:sz w:val="22"/>
          <w:szCs w:val="22"/>
        </w:rPr>
        <w:t xml:space="preserve"> diabetikov. Pretože </w:t>
      </w:r>
      <w:r w:rsidR="004C01CA">
        <w:rPr>
          <w:rFonts w:ascii="Times New Roman" w:hAnsi="Times New Roman"/>
          <w:sz w:val="22"/>
          <w:szCs w:val="22"/>
        </w:rPr>
        <w:t xml:space="preserve">významne </w:t>
      </w:r>
      <w:r w:rsidR="005A526B">
        <w:rPr>
          <w:rFonts w:ascii="Times New Roman" w:hAnsi="Times New Roman"/>
          <w:sz w:val="22"/>
          <w:szCs w:val="22"/>
        </w:rPr>
        <w:t>neovplyvňuje</w:t>
      </w:r>
      <w:r w:rsidRPr="00B73C6F">
        <w:rPr>
          <w:rFonts w:ascii="Times New Roman" w:hAnsi="Times New Roman"/>
          <w:sz w:val="22"/>
          <w:szCs w:val="22"/>
        </w:rPr>
        <w:t xml:space="preserve"> krvnú zráža</w:t>
      </w:r>
      <w:r w:rsidR="00FE2989">
        <w:rPr>
          <w:rFonts w:ascii="Times New Roman" w:hAnsi="Times New Roman"/>
          <w:sz w:val="22"/>
          <w:szCs w:val="22"/>
        </w:rPr>
        <w:t>nli</w:t>
      </w:r>
      <w:r w:rsidRPr="00B73C6F">
        <w:rPr>
          <w:rFonts w:ascii="Times New Roman" w:hAnsi="Times New Roman"/>
          <w:sz w:val="22"/>
          <w:szCs w:val="22"/>
        </w:rPr>
        <w:t>vosť</w:t>
      </w:r>
      <w:r w:rsidR="00DE7194" w:rsidRPr="00B73C6F">
        <w:rPr>
          <w:rFonts w:ascii="Times New Roman" w:hAnsi="Times New Roman"/>
          <w:sz w:val="22"/>
          <w:szCs w:val="22"/>
        </w:rPr>
        <w:t xml:space="preserve"> ani u pacientov užívajúcich perorálne antikoagulanciá</w:t>
      </w:r>
      <w:r w:rsidRPr="00B73C6F">
        <w:rPr>
          <w:rFonts w:ascii="Times New Roman" w:hAnsi="Times New Roman"/>
          <w:sz w:val="22"/>
          <w:szCs w:val="22"/>
        </w:rPr>
        <w:t xml:space="preserve">, dá sa takisto použiť u hemofilikov. Nemá vplyv na hladinu kyseliny močovej a jej vylučovanie do moču. Je možné použiť ho </w:t>
      </w:r>
      <w:r w:rsidR="004C01CA">
        <w:rPr>
          <w:rFonts w:ascii="Times New Roman" w:hAnsi="Times New Roman"/>
          <w:sz w:val="22"/>
          <w:szCs w:val="22"/>
        </w:rPr>
        <w:t>vždy</w:t>
      </w:r>
      <w:r w:rsidRPr="00B73C6F">
        <w:rPr>
          <w:rFonts w:ascii="Times New Roman" w:hAnsi="Times New Roman"/>
          <w:sz w:val="22"/>
          <w:szCs w:val="22"/>
        </w:rPr>
        <w:t>, k</w:t>
      </w:r>
      <w:r w:rsidR="004C01CA">
        <w:rPr>
          <w:rFonts w:ascii="Times New Roman" w:hAnsi="Times New Roman"/>
          <w:sz w:val="22"/>
          <w:szCs w:val="22"/>
        </w:rPr>
        <w:t>eď</w:t>
      </w:r>
      <w:r w:rsidRPr="00B73C6F">
        <w:rPr>
          <w:rFonts w:ascii="Times New Roman" w:hAnsi="Times New Roman"/>
          <w:sz w:val="22"/>
          <w:szCs w:val="22"/>
        </w:rPr>
        <w:t xml:space="preserve"> sú salicyláty kontraindikované.</w:t>
      </w:r>
    </w:p>
    <w:p w14:paraId="39516B3F" w14:textId="77777777" w:rsidR="002C041C" w:rsidRDefault="002C041C" w:rsidP="0085404C">
      <w:pPr>
        <w:rPr>
          <w:rFonts w:ascii="Times New Roman" w:hAnsi="Times New Roman"/>
          <w:sz w:val="22"/>
          <w:szCs w:val="22"/>
        </w:rPr>
      </w:pPr>
    </w:p>
    <w:p w14:paraId="038C30A0" w14:textId="474E7438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Analgetický účinok paracetamolu po jednorazovej terapeutickej dávke 0,5</w:t>
      </w:r>
      <w:r w:rsidR="00EF327B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>-</w:t>
      </w:r>
      <w:r w:rsidR="00EF327B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>1 g trvá 3</w:t>
      </w:r>
      <w:r w:rsidR="00EF327B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>-</w:t>
      </w:r>
      <w:r w:rsidR="00EF327B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>6 hodín, antipyretický 3</w:t>
      </w:r>
      <w:r w:rsidR="006C2F74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>-</w:t>
      </w:r>
      <w:r w:rsidR="006C2F74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 xml:space="preserve">4 hodiny. Intenzita obidvoch účinkov zodpovedá </w:t>
      </w:r>
      <w:r w:rsidR="004C01CA">
        <w:rPr>
          <w:rFonts w:ascii="Times New Roman" w:hAnsi="Times New Roman"/>
          <w:sz w:val="22"/>
          <w:szCs w:val="22"/>
        </w:rPr>
        <w:t xml:space="preserve">účinku </w:t>
      </w:r>
      <w:r w:rsidRPr="00B73C6F">
        <w:rPr>
          <w:rFonts w:ascii="Times New Roman" w:hAnsi="Times New Roman"/>
          <w:sz w:val="22"/>
          <w:szCs w:val="22"/>
        </w:rPr>
        <w:t>kyselin</w:t>
      </w:r>
      <w:r w:rsidR="004C01CA">
        <w:rPr>
          <w:rFonts w:ascii="Times New Roman" w:hAnsi="Times New Roman"/>
          <w:sz w:val="22"/>
          <w:szCs w:val="22"/>
        </w:rPr>
        <w:t>y</w:t>
      </w:r>
      <w:r w:rsidRPr="00B73C6F">
        <w:rPr>
          <w:rFonts w:ascii="Times New Roman" w:hAnsi="Times New Roman"/>
          <w:sz w:val="22"/>
          <w:szCs w:val="22"/>
        </w:rPr>
        <w:t xml:space="preserve"> acetylsalicylovej v rovnakých dávkach.</w:t>
      </w:r>
    </w:p>
    <w:p w14:paraId="34320A58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</w:p>
    <w:p w14:paraId="7EC3AFDA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5.2</w:t>
      </w:r>
      <w:r w:rsidRPr="00B73C6F">
        <w:rPr>
          <w:rFonts w:ascii="Times New Roman" w:hAnsi="Times New Roman"/>
          <w:b/>
          <w:sz w:val="22"/>
          <w:szCs w:val="22"/>
        </w:rPr>
        <w:tab/>
        <w:t>Farmakokinetické vlastnosti</w:t>
      </w:r>
    </w:p>
    <w:p w14:paraId="343E2EE3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</w:p>
    <w:p w14:paraId="50999B7F" w14:textId="09AEE298" w:rsidR="00591F93" w:rsidRPr="005A526B" w:rsidRDefault="00591F93" w:rsidP="0085404C">
      <w:pPr>
        <w:rPr>
          <w:rFonts w:ascii="Times New Roman" w:hAnsi="Times New Roman"/>
          <w:sz w:val="22"/>
          <w:szCs w:val="22"/>
        </w:rPr>
      </w:pPr>
      <w:r w:rsidRPr="005A526B">
        <w:rPr>
          <w:rFonts w:ascii="Times New Roman" w:hAnsi="Times New Roman"/>
          <w:sz w:val="22"/>
          <w:szCs w:val="22"/>
        </w:rPr>
        <w:t xml:space="preserve">Medián času do nástupu analgézie bol </w:t>
      </w:r>
      <w:r w:rsidR="004C01CA" w:rsidRPr="005A526B">
        <w:rPr>
          <w:rFonts w:ascii="Times New Roman" w:hAnsi="Times New Roman"/>
          <w:sz w:val="22"/>
          <w:szCs w:val="22"/>
        </w:rPr>
        <w:t>významne</w:t>
      </w:r>
      <w:r w:rsidRPr="005A526B">
        <w:rPr>
          <w:rFonts w:ascii="Times New Roman" w:hAnsi="Times New Roman"/>
          <w:sz w:val="22"/>
          <w:szCs w:val="22"/>
        </w:rPr>
        <w:t xml:space="preserve"> kratší </w:t>
      </w:r>
      <w:r w:rsidR="004C01CA" w:rsidRPr="005A526B">
        <w:rPr>
          <w:rFonts w:ascii="Times New Roman" w:hAnsi="Times New Roman"/>
          <w:sz w:val="22"/>
          <w:szCs w:val="22"/>
        </w:rPr>
        <w:t>pri</w:t>
      </w:r>
      <w:r w:rsidRPr="005A526B">
        <w:rPr>
          <w:rFonts w:ascii="Times New Roman" w:hAnsi="Times New Roman"/>
          <w:sz w:val="22"/>
          <w:szCs w:val="22"/>
        </w:rPr>
        <w:t> paracetamol</w:t>
      </w:r>
      <w:r w:rsidR="004C01CA" w:rsidRPr="005A526B">
        <w:rPr>
          <w:rFonts w:ascii="Times New Roman" w:hAnsi="Times New Roman"/>
          <w:sz w:val="22"/>
          <w:szCs w:val="22"/>
        </w:rPr>
        <w:t>e</w:t>
      </w:r>
      <w:r w:rsidRPr="005A526B">
        <w:rPr>
          <w:rFonts w:ascii="Times New Roman" w:hAnsi="Times New Roman"/>
          <w:sz w:val="22"/>
          <w:szCs w:val="22"/>
        </w:rPr>
        <w:t xml:space="preserve"> v</w:t>
      </w:r>
      <w:r w:rsidR="005A526B">
        <w:rPr>
          <w:rFonts w:ascii="Times New Roman" w:hAnsi="Times New Roman"/>
          <w:sz w:val="22"/>
          <w:szCs w:val="22"/>
        </w:rPr>
        <w:t xml:space="preserve"> liekovej</w:t>
      </w:r>
      <w:r w:rsidRPr="005A526B">
        <w:rPr>
          <w:rFonts w:ascii="Times New Roman" w:hAnsi="Times New Roman"/>
          <w:sz w:val="22"/>
          <w:szCs w:val="22"/>
        </w:rPr>
        <w:t xml:space="preserve"> forme </w:t>
      </w:r>
      <w:r w:rsidR="004C01CA" w:rsidRPr="005A526B">
        <w:rPr>
          <w:rFonts w:ascii="Times New Roman" w:hAnsi="Times New Roman"/>
          <w:sz w:val="22"/>
          <w:szCs w:val="22"/>
        </w:rPr>
        <w:t xml:space="preserve">šumivej tablety </w:t>
      </w:r>
      <w:r w:rsidRPr="005A526B">
        <w:rPr>
          <w:rFonts w:ascii="Times New Roman" w:hAnsi="Times New Roman"/>
          <w:sz w:val="22"/>
          <w:szCs w:val="22"/>
        </w:rPr>
        <w:t>(20 min) v porovnaní s</w:t>
      </w:r>
      <w:r w:rsidR="004C01CA" w:rsidRPr="005A526B">
        <w:rPr>
          <w:rFonts w:ascii="Times New Roman" w:hAnsi="Times New Roman"/>
          <w:sz w:val="22"/>
          <w:szCs w:val="22"/>
        </w:rPr>
        <w:t>o štandardnou tabletou</w:t>
      </w:r>
      <w:r w:rsidRPr="005A526B">
        <w:rPr>
          <w:rFonts w:ascii="Times New Roman" w:hAnsi="Times New Roman"/>
          <w:sz w:val="22"/>
          <w:szCs w:val="22"/>
        </w:rPr>
        <w:t xml:space="preserve"> (45 min).</w:t>
      </w:r>
    </w:p>
    <w:p w14:paraId="2FEF3998" w14:textId="77777777" w:rsidR="00591F93" w:rsidRDefault="00591F93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078149A0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  <w:u w:val="single"/>
        </w:rPr>
      </w:pPr>
      <w:r w:rsidRPr="00B73C6F">
        <w:rPr>
          <w:rFonts w:ascii="Times New Roman" w:hAnsi="Times New Roman"/>
          <w:sz w:val="22"/>
          <w:szCs w:val="22"/>
          <w:u w:val="single"/>
        </w:rPr>
        <w:t>Absorpcia</w:t>
      </w:r>
    </w:p>
    <w:p w14:paraId="05F22498" w14:textId="77777777" w:rsidR="00752623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Paracetamol sa rýchlo a takmer úplne vstrebáva z gastrointestinálneho traktu. </w:t>
      </w:r>
    </w:p>
    <w:p w14:paraId="357287CD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</w:p>
    <w:p w14:paraId="05D0A03D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noProof/>
          <w:sz w:val="22"/>
          <w:szCs w:val="22"/>
          <w:u w:val="single"/>
        </w:rPr>
        <w:t>Distribúcia</w:t>
      </w:r>
    </w:p>
    <w:p w14:paraId="2F9FF2B1" w14:textId="1537A5A2" w:rsidR="00752623" w:rsidRPr="00B73C6F" w:rsidRDefault="004C01CA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Liečivo sa r</w:t>
      </w:r>
      <w:r w:rsidR="009D2A3E" w:rsidRPr="00B73C6F">
        <w:rPr>
          <w:rFonts w:ascii="Times New Roman" w:hAnsi="Times New Roman"/>
          <w:sz w:val="22"/>
          <w:szCs w:val="22"/>
        </w:rPr>
        <w:t xml:space="preserve">ýchlo distribuuje do všetkých tkanív a telesných tekutín. Maximálna plazmatická </w:t>
      </w:r>
      <w:r>
        <w:rPr>
          <w:rFonts w:ascii="Times New Roman" w:hAnsi="Times New Roman"/>
          <w:sz w:val="22"/>
          <w:szCs w:val="22"/>
        </w:rPr>
        <w:t>koncentrácia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9D2A3E" w:rsidRPr="00B73C6F">
        <w:rPr>
          <w:rFonts w:ascii="Times New Roman" w:hAnsi="Times New Roman"/>
          <w:sz w:val="22"/>
          <w:szCs w:val="22"/>
        </w:rPr>
        <w:t xml:space="preserve">sa dosiahne </w:t>
      </w:r>
      <w:r w:rsidR="003A3E67">
        <w:rPr>
          <w:rFonts w:ascii="Times New Roman" w:hAnsi="Times New Roman"/>
          <w:sz w:val="22"/>
          <w:szCs w:val="22"/>
        </w:rPr>
        <w:t>3</w:t>
      </w:r>
      <w:r w:rsidR="009D2A3E" w:rsidRPr="00B73C6F">
        <w:rPr>
          <w:rFonts w:ascii="Times New Roman" w:hAnsi="Times New Roman"/>
          <w:sz w:val="22"/>
          <w:szCs w:val="22"/>
        </w:rPr>
        <w:t xml:space="preserve">0-60 minút po </w:t>
      </w:r>
      <w:r>
        <w:rPr>
          <w:rFonts w:ascii="Times New Roman" w:hAnsi="Times New Roman"/>
          <w:sz w:val="22"/>
          <w:szCs w:val="22"/>
        </w:rPr>
        <w:t>perorálnom</w:t>
      </w:r>
      <w:r w:rsidR="009D2A3E" w:rsidRPr="00B73C6F">
        <w:rPr>
          <w:rFonts w:ascii="Times New Roman" w:hAnsi="Times New Roman"/>
          <w:sz w:val="22"/>
          <w:szCs w:val="22"/>
        </w:rPr>
        <w:t xml:space="preserve"> podaní. Prechádza cez hematoencefalickú bariéru, do slín a do materského mlieka. </w:t>
      </w:r>
    </w:p>
    <w:p w14:paraId="262E426D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</w:p>
    <w:p w14:paraId="57B70612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noProof/>
          <w:sz w:val="22"/>
          <w:szCs w:val="22"/>
          <w:u w:val="single"/>
        </w:rPr>
        <w:t>Biotransformácia a eliminácia</w:t>
      </w:r>
    </w:p>
    <w:p w14:paraId="2370BC67" w14:textId="27DFB068" w:rsidR="009D2A3E" w:rsidRPr="00B73C6F" w:rsidRDefault="00F52A86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Paracetamol sa i</w:t>
      </w:r>
      <w:r w:rsidR="005A526B">
        <w:rPr>
          <w:rFonts w:ascii="Times New Roman" w:hAnsi="Times New Roman"/>
          <w:sz w:val="22"/>
          <w:szCs w:val="22"/>
        </w:rPr>
        <w:t>ntenzívne</w:t>
      </w:r>
      <w:r w:rsidR="009D2A3E" w:rsidRPr="00B73C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metabolizuje</w:t>
      </w:r>
      <w:r w:rsidR="009D2A3E" w:rsidRPr="00B73C6F">
        <w:rPr>
          <w:rFonts w:ascii="Times New Roman" w:hAnsi="Times New Roman"/>
          <w:sz w:val="22"/>
          <w:szCs w:val="22"/>
        </w:rPr>
        <w:t>, popri konjugačných reakciách dochádza k</w:t>
      </w:r>
      <w:r>
        <w:rPr>
          <w:rFonts w:ascii="Times New Roman" w:hAnsi="Times New Roman"/>
          <w:sz w:val="22"/>
          <w:szCs w:val="22"/>
        </w:rPr>
        <w:t> </w:t>
      </w:r>
      <w:r w:rsidR="009D2A3E" w:rsidRPr="00B73C6F">
        <w:rPr>
          <w:rFonts w:ascii="Times New Roman" w:hAnsi="Times New Roman"/>
          <w:sz w:val="22"/>
          <w:szCs w:val="22"/>
        </w:rPr>
        <w:t>oxida</w:t>
      </w:r>
      <w:r>
        <w:rPr>
          <w:rFonts w:ascii="Times New Roman" w:hAnsi="Times New Roman"/>
          <w:sz w:val="22"/>
          <w:szCs w:val="22"/>
        </w:rPr>
        <w:t>čným reakciám</w:t>
      </w:r>
      <w:r w:rsidR="009D2A3E" w:rsidRPr="00B73C6F">
        <w:rPr>
          <w:rFonts w:ascii="Times New Roman" w:hAnsi="Times New Roman"/>
          <w:sz w:val="22"/>
          <w:szCs w:val="22"/>
        </w:rPr>
        <w:t xml:space="preserve">, pričom vznikajú toxické metabolity. Pri podaní terapeutických dávok dochádza k rýchlej biotransformácii týchto hepatotoxických </w:t>
      </w:r>
      <w:r>
        <w:rPr>
          <w:rFonts w:ascii="Times New Roman" w:hAnsi="Times New Roman"/>
          <w:sz w:val="22"/>
          <w:szCs w:val="22"/>
        </w:rPr>
        <w:t>medziproduktov</w:t>
      </w:r>
      <w:r w:rsidR="009D2A3E" w:rsidRPr="00B73C6F">
        <w:rPr>
          <w:rFonts w:ascii="Times New Roman" w:hAnsi="Times New Roman"/>
          <w:sz w:val="22"/>
          <w:szCs w:val="22"/>
        </w:rPr>
        <w:t xml:space="preserve"> za spolupôsobenia glutati</w:t>
      </w:r>
      <w:r w:rsidR="0003140E">
        <w:rPr>
          <w:rFonts w:ascii="Times New Roman" w:hAnsi="Times New Roman"/>
          <w:sz w:val="22"/>
          <w:szCs w:val="22"/>
        </w:rPr>
        <w:t>ó</w:t>
      </w:r>
      <w:r w:rsidR="009D2A3E" w:rsidRPr="00B73C6F">
        <w:rPr>
          <w:rFonts w:ascii="Times New Roman" w:hAnsi="Times New Roman"/>
          <w:sz w:val="22"/>
          <w:szCs w:val="22"/>
        </w:rPr>
        <w:t>nu a</w:t>
      </w:r>
      <w:r w:rsidR="00366B62">
        <w:rPr>
          <w:rFonts w:ascii="Times New Roman" w:hAnsi="Times New Roman"/>
          <w:sz w:val="22"/>
          <w:szCs w:val="22"/>
        </w:rPr>
        <w:t> </w:t>
      </w:r>
      <w:r w:rsidR="009D2A3E" w:rsidRPr="00B73C6F">
        <w:rPr>
          <w:rFonts w:ascii="Times New Roman" w:hAnsi="Times New Roman"/>
          <w:sz w:val="22"/>
          <w:szCs w:val="22"/>
        </w:rPr>
        <w:t>vzniku</w:t>
      </w:r>
      <w:r w:rsidR="00366B62">
        <w:rPr>
          <w:rFonts w:ascii="Times New Roman" w:hAnsi="Times New Roman"/>
          <w:sz w:val="22"/>
          <w:szCs w:val="22"/>
        </w:rPr>
        <w:t xml:space="preserve"> metabolitov substituovaného N-acetylcysteínu</w:t>
      </w:r>
      <w:r w:rsidR="009D2A3E" w:rsidRPr="000D1C2E">
        <w:rPr>
          <w:rFonts w:ascii="Times New Roman" w:hAnsi="Times New Roman"/>
          <w:sz w:val="22"/>
          <w:szCs w:val="22"/>
        </w:rPr>
        <w:t>,</w:t>
      </w:r>
      <w:r w:rsidR="009D2A3E" w:rsidRPr="00B73C6F">
        <w:rPr>
          <w:rFonts w:ascii="Times New Roman" w:hAnsi="Times New Roman"/>
          <w:sz w:val="22"/>
          <w:szCs w:val="22"/>
        </w:rPr>
        <w:t xml:space="preserve"> ktoré sa vylučujú močom prevažne vo forme </w:t>
      </w:r>
      <w:r w:rsidR="009D2A3E" w:rsidRPr="009E17EC">
        <w:rPr>
          <w:rFonts w:ascii="Times New Roman" w:hAnsi="Times New Roman"/>
          <w:sz w:val="22"/>
          <w:szCs w:val="22"/>
        </w:rPr>
        <w:t>konjugátov</w:t>
      </w:r>
      <w:r w:rsidR="005A526B" w:rsidRPr="009E17EC">
        <w:rPr>
          <w:rFonts w:ascii="Times New Roman" w:hAnsi="Times New Roman"/>
          <w:sz w:val="22"/>
          <w:szCs w:val="22"/>
        </w:rPr>
        <w:t>. M</w:t>
      </w:r>
      <w:r w:rsidR="009D2A3E" w:rsidRPr="009E17EC">
        <w:rPr>
          <w:rFonts w:ascii="Times New Roman" w:hAnsi="Times New Roman"/>
          <w:sz w:val="22"/>
          <w:szCs w:val="22"/>
        </w:rPr>
        <w:t>enej ako</w:t>
      </w:r>
      <w:r w:rsidR="009D2A3E" w:rsidRPr="00B73C6F">
        <w:rPr>
          <w:rFonts w:ascii="Times New Roman" w:hAnsi="Times New Roman"/>
          <w:sz w:val="22"/>
          <w:szCs w:val="22"/>
        </w:rPr>
        <w:t xml:space="preserve"> 5 % paracetamolu sa vylúči v</w:t>
      </w:r>
      <w:r w:rsidR="0003140E">
        <w:rPr>
          <w:rFonts w:ascii="Times New Roman" w:hAnsi="Times New Roman"/>
          <w:sz w:val="22"/>
          <w:szCs w:val="22"/>
        </w:rPr>
        <w:t> </w:t>
      </w:r>
      <w:r w:rsidR="009D2A3E" w:rsidRPr="00B73C6F">
        <w:rPr>
          <w:rFonts w:ascii="Times New Roman" w:hAnsi="Times New Roman"/>
          <w:sz w:val="22"/>
          <w:szCs w:val="22"/>
        </w:rPr>
        <w:t xml:space="preserve">nezmenenej forme. Biologický polčas sa pohybuje medzi 1-3 hodinami, pri ťažkej </w:t>
      </w:r>
      <w:r w:rsidR="0003140E">
        <w:rPr>
          <w:rFonts w:ascii="Times New Roman" w:hAnsi="Times New Roman"/>
          <w:sz w:val="22"/>
          <w:szCs w:val="22"/>
        </w:rPr>
        <w:t>hepatálnej</w:t>
      </w:r>
      <w:r w:rsidR="009D2A3E" w:rsidRPr="00B73C6F">
        <w:rPr>
          <w:rFonts w:ascii="Times New Roman" w:hAnsi="Times New Roman"/>
          <w:sz w:val="22"/>
          <w:szCs w:val="22"/>
        </w:rPr>
        <w:t xml:space="preserve"> insuficiencii sa predlžuje až na 5 hodín. Pri </w:t>
      </w:r>
      <w:r w:rsidR="0003140E">
        <w:rPr>
          <w:rFonts w:ascii="Times New Roman" w:hAnsi="Times New Roman"/>
          <w:sz w:val="22"/>
          <w:szCs w:val="22"/>
        </w:rPr>
        <w:t xml:space="preserve">renálnej </w:t>
      </w:r>
      <w:r w:rsidR="009D2A3E" w:rsidRPr="00B73C6F">
        <w:rPr>
          <w:rFonts w:ascii="Times New Roman" w:hAnsi="Times New Roman"/>
          <w:sz w:val="22"/>
          <w:szCs w:val="22"/>
        </w:rPr>
        <w:t xml:space="preserve">insuficiencii nedochádza k predĺženiu biologického polčasu, ale pretože sa vylučuje najmä obličkami, je nutné dávku paracetamolu </w:t>
      </w:r>
      <w:r>
        <w:rPr>
          <w:rFonts w:ascii="Times New Roman" w:hAnsi="Times New Roman"/>
          <w:sz w:val="22"/>
          <w:szCs w:val="22"/>
        </w:rPr>
        <w:t>znížiť</w:t>
      </w:r>
      <w:r w:rsidR="009D2A3E" w:rsidRPr="00B73C6F">
        <w:rPr>
          <w:rFonts w:ascii="Times New Roman" w:hAnsi="Times New Roman"/>
          <w:sz w:val="22"/>
          <w:szCs w:val="22"/>
        </w:rPr>
        <w:t>.</w:t>
      </w:r>
    </w:p>
    <w:p w14:paraId="36F8896B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Paracetamol prestupuje cez placentárnu bariéru a vylučuje sa do materského mlieka.</w:t>
      </w:r>
    </w:p>
    <w:p w14:paraId="77BCAB14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1BFC1CF9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5.3</w:t>
      </w:r>
      <w:r w:rsidRPr="00B73C6F">
        <w:rPr>
          <w:rFonts w:ascii="Times New Roman" w:hAnsi="Times New Roman"/>
          <w:b/>
          <w:sz w:val="22"/>
          <w:szCs w:val="22"/>
        </w:rPr>
        <w:tab/>
        <w:t>Predklinické údaje o bezpečnosti</w:t>
      </w:r>
    </w:p>
    <w:p w14:paraId="31F035EE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</w:p>
    <w:p w14:paraId="6751AB26" w14:textId="048C1644" w:rsidR="00752623" w:rsidRPr="00B73C6F" w:rsidRDefault="00752623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B73C6F">
        <w:rPr>
          <w:rFonts w:ascii="Times New Roman" w:hAnsi="Times New Roman"/>
          <w:sz w:val="22"/>
          <w:szCs w:val="22"/>
          <w:lang w:eastAsia="cs-CZ"/>
        </w:rPr>
        <w:t xml:space="preserve">Toxicita paracetamolu bola </w:t>
      </w:r>
      <w:r w:rsidR="00F52A86">
        <w:rPr>
          <w:rFonts w:ascii="Times New Roman" w:hAnsi="Times New Roman"/>
          <w:sz w:val="22"/>
          <w:szCs w:val="22"/>
          <w:lang w:eastAsia="cs-CZ"/>
        </w:rPr>
        <w:t>podrobne</w:t>
      </w:r>
      <w:r w:rsidR="00F52A86" w:rsidRPr="00B73C6F">
        <w:rPr>
          <w:rFonts w:ascii="Times New Roman" w:hAnsi="Times New Roman"/>
          <w:sz w:val="22"/>
          <w:szCs w:val="22"/>
          <w:lang w:eastAsia="cs-CZ"/>
        </w:rPr>
        <w:t xml:space="preserve"> </w:t>
      </w:r>
      <w:r w:rsidRPr="00B73C6F">
        <w:rPr>
          <w:rFonts w:ascii="Times New Roman" w:hAnsi="Times New Roman"/>
          <w:sz w:val="22"/>
          <w:szCs w:val="22"/>
          <w:lang w:eastAsia="cs-CZ"/>
        </w:rPr>
        <w:t>študovaná na mnohých zvieracích druhoch.</w:t>
      </w:r>
    </w:p>
    <w:p w14:paraId="431FB9C8" w14:textId="77777777" w:rsidR="00752623" w:rsidRPr="00B73C6F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</w:p>
    <w:p w14:paraId="3326F37E" w14:textId="77777777" w:rsidR="0032063D" w:rsidRDefault="00752623" w:rsidP="0085404C">
      <w:pPr>
        <w:rPr>
          <w:rFonts w:ascii="Times New Roman" w:eastAsia="MS Mincho" w:hAnsi="Times New Roman"/>
          <w:sz w:val="22"/>
          <w:szCs w:val="22"/>
          <w:u w:val="single"/>
          <w:lang w:val="en-GB" w:eastAsia="fr-FR"/>
        </w:rPr>
      </w:pPr>
      <w:r w:rsidRPr="00710FC8"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  <w:t>Akútna toxicita</w:t>
      </w:r>
      <w:r w:rsidRPr="00710FC8">
        <w:rPr>
          <w:rFonts w:ascii="Times New Roman" w:eastAsia="Times New Roman" w:hAnsi="Times New Roman"/>
          <w:sz w:val="22"/>
          <w:szCs w:val="22"/>
          <w:u w:val="single"/>
          <w:lang w:eastAsia="cs-CZ"/>
        </w:rPr>
        <w:t xml:space="preserve"> </w:t>
      </w:r>
    </w:p>
    <w:p w14:paraId="7857E756" w14:textId="3EC5C3E9" w:rsidR="00752623" w:rsidRPr="00B73C6F" w:rsidRDefault="00752623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B73C6F">
        <w:rPr>
          <w:rFonts w:ascii="Times New Roman" w:hAnsi="Times New Roman"/>
          <w:sz w:val="22"/>
          <w:szCs w:val="22"/>
        </w:rPr>
        <w:t>LD</w:t>
      </w:r>
      <w:r w:rsidRPr="00B73C6F">
        <w:rPr>
          <w:rFonts w:ascii="Times New Roman" w:hAnsi="Times New Roman"/>
          <w:sz w:val="22"/>
          <w:szCs w:val="22"/>
          <w:vertAlign w:val="subscript"/>
        </w:rPr>
        <w:t>50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F52A86" w:rsidRPr="00660AC7">
        <w:rPr>
          <w:rFonts w:ascii="Times New Roman" w:hAnsi="Times New Roman"/>
          <w:sz w:val="22"/>
          <w:szCs w:val="22"/>
          <w:lang w:eastAsia="cs-CZ"/>
        </w:rPr>
        <w:t>po perorálnom podaní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je </w:t>
      </w:r>
      <w:r w:rsidRPr="00B73C6F">
        <w:rPr>
          <w:rFonts w:ascii="Times New Roman" w:hAnsi="Times New Roman"/>
          <w:sz w:val="22"/>
          <w:szCs w:val="22"/>
        </w:rPr>
        <w:t>u</w:t>
      </w:r>
      <w:r w:rsidRPr="00B73C6F">
        <w:rPr>
          <w:rFonts w:ascii="Times New Roman" w:hAnsi="Times New Roman"/>
          <w:sz w:val="22"/>
          <w:szCs w:val="22"/>
          <w:lang w:eastAsia="cs-CZ"/>
        </w:rPr>
        <w:t> potkana 3,7 g/kg, u </w:t>
      </w:r>
      <w:r w:rsidRPr="00B73C6F">
        <w:rPr>
          <w:rFonts w:ascii="Times New Roman" w:hAnsi="Times New Roman"/>
          <w:sz w:val="22"/>
          <w:szCs w:val="22"/>
        </w:rPr>
        <w:t>myši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338 </w:t>
      </w:r>
      <w:r w:rsidRPr="00B73C6F">
        <w:rPr>
          <w:rFonts w:ascii="Times New Roman" w:hAnsi="Times New Roman"/>
          <w:sz w:val="22"/>
          <w:szCs w:val="22"/>
        </w:rPr>
        <w:t>mg/kg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. </w:t>
      </w:r>
    </w:p>
    <w:p w14:paraId="5F52C1C8" w14:textId="77777777" w:rsidR="00752623" w:rsidRPr="00B73C6F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</w:p>
    <w:p w14:paraId="04E0F319" w14:textId="77777777" w:rsidR="0032063D" w:rsidRDefault="00752623" w:rsidP="0085404C">
      <w:pPr>
        <w:widowControl w:val="0"/>
        <w:rPr>
          <w:rFonts w:ascii="Times New Roman" w:eastAsia="Times New Roman" w:hAnsi="Times New Roman"/>
          <w:sz w:val="22"/>
          <w:szCs w:val="22"/>
          <w:u w:val="single"/>
          <w:lang w:eastAsia="cs-CZ"/>
        </w:rPr>
      </w:pPr>
      <w:r w:rsidRPr="00B73C6F"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  <w:t>Chronická toxicita</w:t>
      </w:r>
    </w:p>
    <w:p w14:paraId="44DAA69A" w14:textId="4B7F6085" w:rsidR="00752623" w:rsidRPr="00B73C6F" w:rsidRDefault="00752623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B73C6F">
        <w:rPr>
          <w:rFonts w:ascii="Times New Roman" w:hAnsi="Times New Roman"/>
          <w:sz w:val="22"/>
          <w:szCs w:val="22"/>
          <w:lang w:eastAsia="cs-CZ"/>
        </w:rPr>
        <w:t xml:space="preserve">V štúdiách subchronickej a chronickej toxicity paracetamolu </w:t>
      </w:r>
      <w:r w:rsidR="00F52A86">
        <w:rPr>
          <w:rFonts w:ascii="Times New Roman" w:hAnsi="Times New Roman"/>
          <w:sz w:val="22"/>
          <w:szCs w:val="22"/>
          <w:lang w:eastAsia="cs-CZ"/>
        </w:rPr>
        <w:t>na</w:t>
      </w:r>
      <w:r w:rsidRPr="00B73C6F">
        <w:rPr>
          <w:rFonts w:ascii="Times New Roman" w:hAnsi="Times New Roman"/>
          <w:sz w:val="22"/>
          <w:szCs w:val="22"/>
          <w:lang w:eastAsia="cs-CZ"/>
        </w:rPr>
        <w:t> laboratórnych potkano</w:t>
      </w:r>
      <w:r w:rsidR="00F52A86">
        <w:rPr>
          <w:rFonts w:ascii="Times New Roman" w:hAnsi="Times New Roman"/>
          <w:sz w:val="22"/>
          <w:szCs w:val="22"/>
          <w:lang w:eastAsia="cs-CZ"/>
        </w:rPr>
        <w:t>ch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a myš</w:t>
      </w:r>
      <w:r w:rsidR="00F52A86">
        <w:rPr>
          <w:rFonts w:ascii="Times New Roman" w:hAnsi="Times New Roman"/>
          <w:sz w:val="22"/>
          <w:szCs w:val="22"/>
          <w:lang w:eastAsia="cs-CZ"/>
        </w:rPr>
        <w:t>iach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bolo pozorované poškodenie gastrointestinálneho traktu, zmeny hodnôt krvného obrazu alebo degenerácia pare</w:t>
      </w:r>
      <w:r w:rsidR="0003140E">
        <w:rPr>
          <w:rFonts w:ascii="Times New Roman" w:hAnsi="Times New Roman"/>
          <w:sz w:val="22"/>
          <w:szCs w:val="22"/>
          <w:lang w:eastAsia="cs-CZ"/>
        </w:rPr>
        <w:t>n</w:t>
      </w:r>
      <w:r w:rsidRPr="00B73C6F">
        <w:rPr>
          <w:rFonts w:ascii="Times New Roman" w:hAnsi="Times New Roman"/>
          <w:sz w:val="22"/>
          <w:szCs w:val="22"/>
          <w:lang w:eastAsia="cs-CZ"/>
        </w:rPr>
        <w:t>chý</w:t>
      </w:r>
      <w:r w:rsidR="009C6B04">
        <w:rPr>
          <w:rFonts w:ascii="Times New Roman" w:hAnsi="Times New Roman"/>
          <w:sz w:val="22"/>
          <w:szCs w:val="22"/>
          <w:lang w:eastAsia="cs-CZ"/>
        </w:rPr>
        <w:t>m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u pečene a obličiek, vedúca až k nekróze. Tieto zmeny </w:t>
      </w:r>
      <w:r w:rsidR="00F52A86">
        <w:rPr>
          <w:rFonts w:ascii="Times New Roman" w:hAnsi="Times New Roman"/>
          <w:sz w:val="22"/>
          <w:szCs w:val="22"/>
          <w:lang w:eastAsia="cs-CZ"/>
        </w:rPr>
        <w:t>súvisia pravdepodobne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s mechanizmom účinku</w:t>
      </w:r>
      <w:r w:rsidR="00F52A86">
        <w:rPr>
          <w:rFonts w:ascii="Times New Roman" w:hAnsi="Times New Roman"/>
          <w:sz w:val="22"/>
          <w:szCs w:val="22"/>
          <w:lang w:eastAsia="cs-CZ"/>
        </w:rPr>
        <w:t xml:space="preserve"> a</w:t>
      </w:r>
      <w:r w:rsidRPr="00B73C6F">
        <w:rPr>
          <w:rFonts w:ascii="Times New Roman" w:hAnsi="Times New Roman"/>
          <w:sz w:val="22"/>
          <w:szCs w:val="22"/>
          <w:lang w:eastAsia="cs-CZ"/>
        </w:rPr>
        <w:t> metabolizmom paracetamolu. Metabolity paracetamolu, ktorým sa toxické účinky prisudzujú a súvisiace zmeny orgánov</w:t>
      </w:r>
      <w:r w:rsidR="00F52A86">
        <w:rPr>
          <w:rFonts w:ascii="Times New Roman" w:hAnsi="Times New Roman"/>
          <w:sz w:val="22"/>
          <w:szCs w:val="22"/>
          <w:lang w:eastAsia="cs-CZ"/>
        </w:rPr>
        <w:t>,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boli preukázané </w:t>
      </w:r>
      <w:r w:rsidR="00F52A86">
        <w:rPr>
          <w:rFonts w:ascii="Times New Roman" w:hAnsi="Times New Roman"/>
          <w:sz w:val="22"/>
          <w:szCs w:val="22"/>
          <w:lang w:eastAsia="cs-CZ"/>
        </w:rPr>
        <w:t>aj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u človeka. Preto sa paracetamol nem</w:t>
      </w:r>
      <w:r w:rsidR="007D51CF" w:rsidRPr="00B73C6F">
        <w:rPr>
          <w:rFonts w:ascii="Times New Roman" w:hAnsi="Times New Roman"/>
          <w:sz w:val="22"/>
          <w:szCs w:val="22"/>
          <w:lang w:eastAsia="cs-CZ"/>
        </w:rPr>
        <w:t>á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užívať dlhodobo a vo vyšších dávkach.</w:t>
      </w:r>
    </w:p>
    <w:p w14:paraId="13363558" w14:textId="77777777" w:rsidR="00752623" w:rsidRPr="00B73C6F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</w:p>
    <w:p w14:paraId="21A92AD1" w14:textId="77777777" w:rsidR="00834F1C" w:rsidRPr="00D22D2D" w:rsidRDefault="00834F1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D22D2D"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  <w:t>Mutagénny a karcinogénny potenciál</w:t>
      </w:r>
    </w:p>
    <w:p w14:paraId="2BF97D17" w14:textId="76F377BC" w:rsidR="00752623" w:rsidRPr="00B73C6F" w:rsidRDefault="00752623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B73C6F">
        <w:rPr>
          <w:rFonts w:ascii="Times New Roman" w:hAnsi="Times New Roman"/>
          <w:sz w:val="22"/>
          <w:szCs w:val="22"/>
          <w:lang w:eastAsia="cs-CZ"/>
        </w:rPr>
        <w:t xml:space="preserve">Výsledky genotoxických štúdií s paracetamolom sú </w:t>
      </w:r>
      <w:r w:rsidRPr="009E17EC">
        <w:rPr>
          <w:rFonts w:ascii="Times New Roman" w:hAnsi="Times New Roman"/>
          <w:sz w:val="22"/>
          <w:szCs w:val="22"/>
          <w:lang w:eastAsia="cs-CZ"/>
        </w:rPr>
        <w:t xml:space="preserve">nejednoznačné. Účinok paracetamolu je </w:t>
      </w:r>
      <w:r w:rsidR="00F52A86" w:rsidRPr="009E17EC">
        <w:rPr>
          <w:rFonts w:ascii="Times New Roman" w:hAnsi="Times New Roman"/>
          <w:sz w:val="22"/>
          <w:szCs w:val="22"/>
          <w:lang w:eastAsia="cs-CZ"/>
        </w:rPr>
        <w:t xml:space="preserve">výrazne </w:t>
      </w:r>
      <w:r w:rsidRPr="009E17EC">
        <w:rPr>
          <w:rFonts w:ascii="Times New Roman" w:hAnsi="Times New Roman"/>
          <w:sz w:val="22"/>
          <w:szCs w:val="22"/>
          <w:lang w:eastAsia="cs-CZ"/>
        </w:rPr>
        <w:t xml:space="preserve">závislý od použitej koncentrácie a tiež </w:t>
      </w:r>
      <w:r w:rsidR="005A526B" w:rsidRPr="009E17EC">
        <w:rPr>
          <w:rFonts w:ascii="Times New Roman" w:hAnsi="Times New Roman"/>
          <w:sz w:val="22"/>
          <w:szCs w:val="22"/>
          <w:lang w:eastAsia="cs-CZ"/>
        </w:rPr>
        <w:t>od spôsobu podania. Karcinogénne</w:t>
      </w:r>
      <w:r w:rsidRPr="009E17EC">
        <w:rPr>
          <w:rFonts w:ascii="Times New Roman" w:hAnsi="Times New Roman"/>
          <w:sz w:val="22"/>
          <w:szCs w:val="22"/>
          <w:lang w:eastAsia="cs-CZ"/>
        </w:rPr>
        <w:t xml:space="preserve"> pôsobenie paracetamolu bolo pozorované len po podaní vysokých, hepatotoxických dávok. V normálnych terapeutických dávkach nie je užívanie paracetamolu spojené s rizikom genotoxicity a ka</w:t>
      </w:r>
      <w:r w:rsidR="005A526B" w:rsidRPr="009E17EC">
        <w:rPr>
          <w:rFonts w:ascii="Times New Roman" w:hAnsi="Times New Roman"/>
          <w:sz w:val="22"/>
          <w:szCs w:val="22"/>
          <w:lang w:eastAsia="cs-CZ"/>
        </w:rPr>
        <w:t>rcinogenity</w:t>
      </w:r>
      <w:r w:rsidRPr="009E17EC">
        <w:rPr>
          <w:rFonts w:ascii="Times New Roman" w:hAnsi="Times New Roman"/>
          <w:sz w:val="22"/>
          <w:szCs w:val="22"/>
          <w:lang w:eastAsia="cs-CZ"/>
        </w:rPr>
        <w:t>.</w:t>
      </w:r>
    </w:p>
    <w:p w14:paraId="1D40A337" w14:textId="77777777" w:rsidR="00752623" w:rsidRPr="00B73C6F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</w:p>
    <w:p w14:paraId="53C22FE0" w14:textId="77777777" w:rsidR="0032063D" w:rsidRPr="009E17EC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  <w:r w:rsidRPr="009E17EC"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  <w:t>Reprodukčná toxicita</w:t>
      </w:r>
    </w:p>
    <w:p w14:paraId="5BB3755F" w14:textId="1052EE29" w:rsidR="00752623" w:rsidRPr="00B73C6F" w:rsidRDefault="004F3C38" w:rsidP="0085404C">
      <w:pPr>
        <w:widowControl w:val="0"/>
        <w:rPr>
          <w:rFonts w:ascii="Times New Roman" w:hAnsi="Times New Roman"/>
          <w:sz w:val="22"/>
          <w:szCs w:val="22"/>
        </w:rPr>
      </w:pPr>
      <w:r w:rsidRPr="009E17EC">
        <w:rPr>
          <w:rFonts w:ascii="Times New Roman" w:hAnsi="Times New Roman"/>
          <w:sz w:val="22"/>
          <w:szCs w:val="22"/>
        </w:rPr>
        <w:t>Nie sú k dispozícii konvenčné štúdie, v ktorých sa používajú v súčasnosti akceptované normy pre hodnotenie reprodukčnej a vývinovej toxicity.</w:t>
      </w:r>
    </w:p>
    <w:p w14:paraId="0EAAA4EB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38571F6" w14:textId="77777777" w:rsidR="00251689" w:rsidRPr="00B73C6F" w:rsidRDefault="00251689" w:rsidP="0085404C">
      <w:pPr>
        <w:rPr>
          <w:rFonts w:ascii="Times New Roman" w:hAnsi="Times New Roman"/>
          <w:sz w:val="22"/>
          <w:szCs w:val="22"/>
        </w:rPr>
      </w:pPr>
    </w:p>
    <w:p w14:paraId="7171B2BF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</w:t>
      </w:r>
      <w:r w:rsidRPr="00B73C6F">
        <w:rPr>
          <w:rFonts w:ascii="Times New Roman" w:hAnsi="Times New Roman"/>
          <w:b/>
          <w:sz w:val="22"/>
          <w:szCs w:val="22"/>
        </w:rPr>
        <w:tab/>
        <w:t>FARMACEUTICKÉ INFORMÁCIE</w:t>
      </w:r>
    </w:p>
    <w:p w14:paraId="31E3350F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74775B09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6.1</w:t>
      </w:r>
      <w:r w:rsidRPr="00B73C6F">
        <w:rPr>
          <w:rFonts w:ascii="Times New Roman" w:hAnsi="Times New Roman"/>
          <w:b/>
          <w:sz w:val="22"/>
          <w:szCs w:val="22"/>
        </w:rPr>
        <w:tab/>
        <w:t>Zoznam pomocných látok</w:t>
      </w:r>
    </w:p>
    <w:p w14:paraId="21EC5943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032935E3" w14:textId="517BC14B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bezvodá kyselina citrónová</w:t>
      </w:r>
      <w:r w:rsidR="005968CC">
        <w:rPr>
          <w:rFonts w:ascii="Times New Roman" w:hAnsi="Times New Roman"/>
          <w:noProof/>
          <w:sz w:val="22"/>
          <w:szCs w:val="22"/>
        </w:rPr>
        <w:t xml:space="preserve"> (E 330)</w:t>
      </w:r>
    </w:p>
    <w:p w14:paraId="5F04F112" w14:textId="13B332D1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manitol</w:t>
      </w:r>
      <w:r w:rsidR="005968CC">
        <w:rPr>
          <w:rFonts w:ascii="Times New Roman" w:hAnsi="Times New Roman"/>
          <w:noProof/>
          <w:sz w:val="22"/>
          <w:szCs w:val="22"/>
        </w:rPr>
        <w:t xml:space="preserve"> (E 421)</w:t>
      </w:r>
    </w:p>
    <w:p w14:paraId="5BA134CE" w14:textId="5CB13ADD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sodná soľ sacharínu</w:t>
      </w:r>
      <w:r w:rsidR="005968CC">
        <w:rPr>
          <w:rFonts w:ascii="Times New Roman" w:hAnsi="Times New Roman"/>
          <w:noProof/>
          <w:sz w:val="22"/>
          <w:szCs w:val="22"/>
        </w:rPr>
        <w:t xml:space="preserve"> (E 954)</w:t>
      </w:r>
    </w:p>
    <w:p w14:paraId="52739794" w14:textId="35E01904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lauryls</w:t>
      </w:r>
      <w:r w:rsidR="00F52A86">
        <w:rPr>
          <w:rFonts w:ascii="Times New Roman" w:hAnsi="Times New Roman"/>
          <w:noProof/>
          <w:sz w:val="22"/>
          <w:szCs w:val="22"/>
        </w:rPr>
        <w:t>íran</w:t>
      </w:r>
      <w:r w:rsidRPr="00DA0ACF">
        <w:rPr>
          <w:rFonts w:ascii="Times New Roman" w:hAnsi="Times New Roman"/>
          <w:noProof/>
          <w:sz w:val="22"/>
          <w:szCs w:val="22"/>
        </w:rPr>
        <w:t xml:space="preserve"> sodný</w:t>
      </w:r>
    </w:p>
    <w:p w14:paraId="378AF351" w14:textId="4FA55B62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povidón K90</w:t>
      </w:r>
      <w:r w:rsidR="005968CC">
        <w:rPr>
          <w:rFonts w:ascii="Times New Roman" w:hAnsi="Times New Roman"/>
          <w:noProof/>
          <w:sz w:val="22"/>
          <w:szCs w:val="22"/>
        </w:rPr>
        <w:t xml:space="preserve"> (E 1201)</w:t>
      </w:r>
      <w:r w:rsidRPr="00DA0ACF">
        <w:rPr>
          <w:rFonts w:ascii="Times New Roman" w:hAnsi="Times New Roman"/>
          <w:noProof/>
          <w:sz w:val="22"/>
          <w:szCs w:val="22"/>
        </w:rPr>
        <w:t xml:space="preserve"> </w:t>
      </w:r>
    </w:p>
    <w:p w14:paraId="68A52923" w14:textId="558F2A3E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hydrog</w:t>
      </w:r>
      <w:r w:rsidR="00834F1C">
        <w:rPr>
          <w:rFonts w:ascii="Times New Roman" w:hAnsi="Times New Roman"/>
          <w:noProof/>
          <w:sz w:val="22"/>
          <w:szCs w:val="22"/>
        </w:rPr>
        <w:t>e</w:t>
      </w:r>
      <w:r w:rsidRPr="00DA0ACF">
        <w:rPr>
          <w:rFonts w:ascii="Times New Roman" w:hAnsi="Times New Roman"/>
          <w:noProof/>
          <w:sz w:val="22"/>
          <w:szCs w:val="22"/>
        </w:rPr>
        <w:t>nuhličitan sodný</w:t>
      </w:r>
      <w:r w:rsidR="005968CC">
        <w:rPr>
          <w:rFonts w:ascii="Times New Roman" w:hAnsi="Times New Roman"/>
          <w:noProof/>
          <w:sz w:val="22"/>
          <w:szCs w:val="22"/>
        </w:rPr>
        <w:t xml:space="preserve"> (E 500)</w:t>
      </w:r>
    </w:p>
    <w:p w14:paraId="23282531" w14:textId="7054780B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bezvodý uhličitan sodný</w:t>
      </w:r>
      <w:r w:rsidR="005968CC">
        <w:rPr>
          <w:rFonts w:ascii="Times New Roman" w:hAnsi="Times New Roman"/>
          <w:noProof/>
          <w:sz w:val="22"/>
          <w:szCs w:val="22"/>
        </w:rPr>
        <w:t xml:space="preserve"> (E 500)</w:t>
      </w:r>
      <w:r w:rsidRPr="00DA0ACF">
        <w:rPr>
          <w:rFonts w:ascii="Times New Roman" w:hAnsi="Times New Roman"/>
          <w:noProof/>
          <w:sz w:val="22"/>
          <w:szCs w:val="22"/>
        </w:rPr>
        <w:t xml:space="preserve"> </w:t>
      </w:r>
    </w:p>
    <w:p w14:paraId="56279DD8" w14:textId="738E30EF" w:rsidR="00923141" w:rsidRPr="009E17EC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leucín</w:t>
      </w:r>
      <w:r w:rsidR="005968CC">
        <w:rPr>
          <w:rFonts w:ascii="Times New Roman" w:hAnsi="Times New Roman"/>
          <w:noProof/>
          <w:sz w:val="22"/>
          <w:szCs w:val="22"/>
        </w:rPr>
        <w:t xml:space="preserve"> (</w:t>
      </w:r>
      <w:r w:rsidR="005968CC" w:rsidRPr="009E17EC">
        <w:rPr>
          <w:rFonts w:ascii="Times New Roman" w:hAnsi="Times New Roman"/>
          <w:noProof/>
          <w:sz w:val="22"/>
          <w:szCs w:val="22"/>
        </w:rPr>
        <w:t>E 641)</w:t>
      </w:r>
      <w:r w:rsidRPr="009E17EC">
        <w:rPr>
          <w:rFonts w:ascii="Times New Roman" w:hAnsi="Times New Roman"/>
          <w:noProof/>
          <w:sz w:val="22"/>
          <w:szCs w:val="22"/>
        </w:rPr>
        <w:t xml:space="preserve"> </w:t>
      </w:r>
    </w:p>
    <w:p w14:paraId="48DF4787" w14:textId="0D71B0E1" w:rsidR="009D2A3E" w:rsidRPr="00B73C6F" w:rsidRDefault="00BE7E42" w:rsidP="0085404C">
      <w:pPr>
        <w:rPr>
          <w:rFonts w:ascii="Times New Roman" w:hAnsi="Times New Roman"/>
          <w:sz w:val="22"/>
          <w:szCs w:val="22"/>
        </w:rPr>
      </w:pPr>
      <w:r w:rsidRPr="009E17EC">
        <w:rPr>
          <w:rFonts w:ascii="Times New Roman" w:hAnsi="Times New Roman"/>
          <w:noProof/>
          <w:sz w:val="22"/>
          <w:szCs w:val="22"/>
        </w:rPr>
        <w:t xml:space="preserve">pomarančová </w:t>
      </w:r>
      <w:r w:rsidR="00D22615">
        <w:rPr>
          <w:rFonts w:ascii="Times New Roman" w:hAnsi="Times New Roman"/>
          <w:noProof/>
          <w:sz w:val="22"/>
          <w:szCs w:val="22"/>
        </w:rPr>
        <w:t>príchuť</w:t>
      </w:r>
      <w:r w:rsidR="005968CC" w:rsidRPr="009E17EC">
        <w:rPr>
          <w:rFonts w:ascii="Times New Roman" w:hAnsi="Times New Roman"/>
          <w:noProof/>
          <w:sz w:val="22"/>
          <w:szCs w:val="22"/>
        </w:rPr>
        <w:t xml:space="preserve"> (obsahujúca oxid siričitý </w:t>
      </w:r>
      <w:r w:rsidR="00B577AF" w:rsidRPr="009E17EC">
        <w:rPr>
          <w:rFonts w:ascii="Times New Roman" w:hAnsi="Times New Roman"/>
          <w:noProof/>
          <w:sz w:val="22"/>
          <w:szCs w:val="22"/>
        </w:rPr>
        <w:t>(</w:t>
      </w:r>
      <w:r w:rsidR="005968CC" w:rsidRPr="009E17EC">
        <w:rPr>
          <w:rFonts w:ascii="Times New Roman" w:hAnsi="Times New Roman"/>
          <w:noProof/>
          <w:sz w:val="22"/>
          <w:szCs w:val="22"/>
        </w:rPr>
        <w:t>E 220</w:t>
      </w:r>
      <w:r w:rsidR="00B577AF" w:rsidRPr="009E17EC">
        <w:rPr>
          <w:rFonts w:ascii="Times New Roman" w:hAnsi="Times New Roman"/>
          <w:noProof/>
          <w:sz w:val="22"/>
          <w:szCs w:val="22"/>
        </w:rPr>
        <w:t>)</w:t>
      </w:r>
      <w:r w:rsidR="005968CC" w:rsidRPr="009E17EC">
        <w:rPr>
          <w:rFonts w:ascii="Times New Roman" w:hAnsi="Times New Roman"/>
          <w:noProof/>
          <w:sz w:val="22"/>
          <w:szCs w:val="22"/>
        </w:rPr>
        <w:t xml:space="preserve">, disiričitan sodný </w:t>
      </w:r>
      <w:r w:rsidR="00B577AF" w:rsidRPr="009E17EC">
        <w:rPr>
          <w:rFonts w:ascii="Times New Roman" w:hAnsi="Times New Roman"/>
          <w:noProof/>
          <w:sz w:val="22"/>
          <w:szCs w:val="22"/>
        </w:rPr>
        <w:t>(</w:t>
      </w:r>
      <w:r w:rsidR="005968CC" w:rsidRPr="009E17EC">
        <w:rPr>
          <w:rFonts w:ascii="Times New Roman" w:hAnsi="Times New Roman"/>
          <w:noProof/>
          <w:sz w:val="22"/>
          <w:szCs w:val="22"/>
        </w:rPr>
        <w:t>E 223</w:t>
      </w:r>
      <w:r w:rsidR="00B577AF" w:rsidRPr="009E17EC">
        <w:rPr>
          <w:rFonts w:ascii="Times New Roman" w:hAnsi="Times New Roman"/>
          <w:noProof/>
          <w:sz w:val="22"/>
          <w:szCs w:val="22"/>
        </w:rPr>
        <w:t>)</w:t>
      </w:r>
      <w:r w:rsidR="005968CC" w:rsidRPr="009E17EC">
        <w:rPr>
          <w:rFonts w:ascii="Times New Roman" w:hAnsi="Times New Roman"/>
          <w:noProof/>
          <w:sz w:val="22"/>
          <w:szCs w:val="22"/>
        </w:rPr>
        <w:t xml:space="preserve"> a disiričitan draselný </w:t>
      </w:r>
      <w:r w:rsidR="00B577AF" w:rsidRPr="009E17EC">
        <w:rPr>
          <w:rFonts w:ascii="Times New Roman" w:hAnsi="Times New Roman"/>
          <w:noProof/>
          <w:sz w:val="22"/>
          <w:szCs w:val="22"/>
        </w:rPr>
        <w:t>(</w:t>
      </w:r>
      <w:r w:rsidR="005968CC" w:rsidRPr="009E17EC">
        <w:rPr>
          <w:rFonts w:ascii="Times New Roman" w:hAnsi="Times New Roman"/>
          <w:noProof/>
          <w:sz w:val="22"/>
          <w:szCs w:val="22"/>
        </w:rPr>
        <w:t>E 224</w:t>
      </w:r>
      <w:r w:rsidR="00B577AF" w:rsidRPr="009E17EC">
        <w:rPr>
          <w:rFonts w:ascii="Times New Roman" w:hAnsi="Times New Roman"/>
          <w:noProof/>
          <w:sz w:val="22"/>
          <w:szCs w:val="22"/>
        </w:rPr>
        <w:t>)</w:t>
      </w:r>
      <w:r w:rsidR="005968CC" w:rsidRPr="009E17EC">
        <w:rPr>
          <w:rFonts w:ascii="Times New Roman" w:hAnsi="Times New Roman"/>
          <w:noProof/>
          <w:sz w:val="22"/>
          <w:szCs w:val="22"/>
        </w:rPr>
        <w:t>)</w:t>
      </w:r>
    </w:p>
    <w:p w14:paraId="38C7DAA3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661B7BD3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6.2</w:t>
      </w:r>
      <w:r w:rsidRPr="00B73C6F">
        <w:rPr>
          <w:rFonts w:ascii="Times New Roman" w:hAnsi="Times New Roman"/>
          <w:b/>
          <w:sz w:val="22"/>
          <w:szCs w:val="22"/>
        </w:rPr>
        <w:tab/>
        <w:t>Inkompatibility</w:t>
      </w:r>
    </w:p>
    <w:p w14:paraId="476A3AF9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51653CD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Neaplikovateľné.</w:t>
      </w:r>
    </w:p>
    <w:p w14:paraId="33DB2061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7875E5C7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6.3</w:t>
      </w:r>
      <w:r w:rsidRPr="00B73C6F">
        <w:rPr>
          <w:rFonts w:ascii="Times New Roman" w:hAnsi="Times New Roman"/>
          <w:b/>
          <w:sz w:val="22"/>
          <w:szCs w:val="22"/>
        </w:rPr>
        <w:tab/>
        <w:t>Čas použiteľnosti</w:t>
      </w:r>
    </w:p>
    <w:p w14:paraId="5DFCFA81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D230067" w14:textId="77777777" w:rsidR="00251689" w:rsidRPr="00B73C6F" w:rsidRDefault="00251689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3 roky</w:t>
      </w:r>
    </w:p>
    <w:p w14:paraId="52D34B94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0F0756A5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6.4</w:t>
      </w:r>
      <w:r w:rsidRPr="00B73C6F">
        <w:rPr>
          <w:rFonts w:ascii="Times New Roman" w:hAnsi="Times New Roman"/>
          <w:b/>
          <w:sz w:val="22"/>
          <w:szCs w:val="22"/>
        </w:rPr>
        <w:tab/>
        <w:t>Špeciálne upozornenia na uchovávanie</w:t>
      </w:r>
    </w:p>
    <w:p w14:paraId="27939E4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2FA2243" w14:textId="318C62B1" w:rsidR="00237B79" w:rsidRDefault="00B74CA8" w:rsidP="00237B79">
      <w:pPr>
        <w:rPr>
          <w:rFonts w:ascii="Times New Roman" w:hAnsi="Times New Roman"/>
          <w:noProof/>
          <w:sz w:val="22"/>
          <w:szCs w:val="22"/>
        </w:rPr>
      </w:pPr>
      <w:r w:rsidRPr="00B74CA8">
        <w:rPr>
          <w:rFonts w:ascii="Times New Roman" w:hAnsi="Times New Roman"/>
          <w:sz w:val="22"/>
          <w:szCs w:val="22"/>
        </w:rPr>
        <w:t>Tento liek nevyžaduje žiadne zvláštne podmienky na uchovávanie</w:t>
      </w:r>
      <w:r>
        <w:rPr>
          <w:rFonts w:ascii="Times New Roman" w:hAnsi="Times New Roman"/>
          <w:sz w:val="22"/>
          <w:szCs w:val="22"/>
        </w:rPr>
        <w:t>.</w:t>
      </w:r>
    </w:p>
    <w:p w14:paraId="652CF02C" w14:textId="567B02E8" w:rsidR="00251689" w:rsidRDefault="00251689" w:rsidP="0085404C">
      <w:pPr>
        <w:rPr>
          <w:rFonts w:ascii="Times New Roman" w:hAnsi="Times New Roman"/>
          <w:sz w:val="22"/>
          <w:szCs w:val="22"/>
        </w:rPr>
      </w:pPr>
    </w:p>
    <w:p w14:paraId="0806C006" w14:textId="77777777" w:rsidR="00B74CA8" w:rsidRPr="00B73C6F" w:rsidRDefault="00B74CA8" w:rsidP="0085404C">
      <w:pPr>
        <w:rPr>
          <w:rFonts w:ascii="Times New Roman" w:hAnsi="Times New Roman"/>
          <w:sz w:val="22"/>
          <w:szCs w:val="22"/>
        </w:rPr>
      </w:pPr>
    </w:p>
    <w:p w14:paraId="06015936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6.5</w:t>
      </w:r>
      <w:r w:rsidRPr="00B73C6F">
        <w:rPr>
          <w:rFonts w:ascii="Times New Roman" w:hAnsi="Times New Roman"/>
          <w:b/>
          <w:sz w:val="22"/>
          <w:szCs w:val="22"/>
        </w:rPr>
        <w:tab/>
        <w:t>Druh obalu a obsah balenia</w:t>
      </w:r>
      <w:r w:rsidRPr="00B73C6F">
        <w:rPr>
          <w:rFonts w:ascii="Times New Roman" w:hAnsi="Times New Roman"/>
          <w:b/>
          <w:color w:val="0000FF"/>
          <w:sz w:val="22"/>
          <w:szCs w:val="22"/>
        </w:rPr>
        <w:t xml:space="preserve"> </w:t>
      </w:r>
    </w:p>
    <w:p w14:paraId="7CC8147A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22C67E70" w14:textId="6B960D73" w:rsidR="00251689" w:rsidRPr="00B73C6F" w:rsidRDefault="00565314" w:rsidP="0085404C">
      <w:pPr>
        <w:rPr>
          <w:rFonts w:ascii="Times New Roman" w:hAnsi="Times New Roman"/>
          <w:sz w:val="22"/>
          <w:szCs w:val="22"/>
        </w:rPr>
      </w:pPr>
      <w:r w:rsidRPr="00565314">
        <w:rPr>
          <w:rFonts w:ascii="Times New Roman" w:hAnsi="Times New Roman"/>
          <w:sz w:val="22"/>
          <w:szCs w:val="22"/>
        </w:rPr>
        <w:lastRenderedPageBreak/>
        <w:t xml:space="preserve">Tablety sa dodávajú </w:t>
      </w:r>
      <w:r w:rsidRPr="009E17EC">
        <w:rPr>
          <w:rFonts w:ascii="Times New Roman" w:hAnsi="Times New Roman"/>
          <w:sz w:val="22"/>
          <w:szCs w:val="22"/>
        </w:rPr>
        <w:t xml:space="preserve">balené po </w:t>
      </w:r>
      <w:r w:rsidR="00F836DD" w:rsidRPr="009E17EC">
        <w:rPr>
          <w:rFonts w:ascii="Times New Roman" w:hAnsi="Times New Roman"/>
          <w:sz w:val="22"/>
          <w:szCs w:val="22"/>
        </w:rPr>
        <w:t xml:space="preserve">16 </w:t>
      </w:r>
      <w:r w:rsidRPr="009E17EC">
        <w:rPr>
          <w:rFonts w:ascii="Times New Roman" w:hAnsi="Times New Roman"/>
          <w:sz w:val="22"/>
          <w:szCs w:val="22"/>
        </w:rPr>
        <w:t>kusov v bielej</w:t>
      </w:r>
      <w:r w:rsidRPr="00565314">
        <w:rPr>
          <w:rFonts w:ascii="Times New Roman" w:hAnsi="Times New Roman"/>
          <w:sz w:val="22"/>
          <w:szCs w:val="22"/>
        </w:rPr>
        <w:t xml:space="preserve"> </w:t>
      </w:r>
      <w:r w:rsidR="00237B79">
        <w:rPr>
          <w:rFonts w:ascii="Times New Roman" w:hAnsi="Times New Roman"/>
          <w:sz w:val="22"/>
          <w:szCs w:val="22"/>
        </w:rPr>
        <w:t xml:space="preserve">nepriehľadnej PP </w:t>
      </w:r>
      <w:r w:rsidRPr="00565314">
        <w:rPr>
          <w:rFonts w:ascii="Times New Roman" w:hAnsi="Times New Roman"/>
          <w:sz w:val="22"/>
          <w:szCs w:val="22"/>
        </w:rPr>
        <w:t xml:space="preserve">tube </w:t>
      </w:r>
      <w:r w:rsidR="000E0A87" w:rsidRPr="000E0A87">
        <w:rPr>
          <w:rFonts w:ascii="Times New Roman" w:hAnsi="Times New Roman"/>
          <w:sz w:val="22"/>
          <w:szCs w:val="22"/>
        </w:rPr>
        <w:t>s</w:t>
      </w:r>
      <w:r w:rsidR="00237B79">
        <w:rPr>
          <w:rFonts w:ascii="Times New Roman" w:hAnsi="Times New Roman"/>
          <w:sz w:val="22"/>
          <w:szCs w:val="22"/>
        </w:rPr>
        <w:t xml:space="preserve"> PE </w:t>
      </w:r>
      <w:r w:rsidR="000E0A87" w:rsidRPr="000E0A87">
        <w:rPr>
          <w:rFonts w:ascii="Times New Roman" w:hAnsi="Times New Roman"/>
          <w:sz w:val="22"/>
          <w:szCs w:val="22"/>
        </w:rPr>
        <w:t>uzáverom obsahujúcim vysušovadlo, vložen</w:t>
      </w:r>
      <w:r>
        <w:rPr>
          <w:rFonts w:ascii="Times New Roman" w:hAnsi="Times New Roman"/>
          <w:sz w:val="22"/>
          <w:szCs w:val="22"/>
        </w:rPr>
        <w:t>ej</w:t>
      </w:r>
      <w:r w:rsidR="000E0A87" w:rsidRPr="000E0A87">
        <w:rPr>
          <w:rFonts w:ascii="Times New Roman" w:hAnsi="Times New Roman"/>
          <w:sz w:val="22"/>
          <w:szCs w:val="22"/>
        </w:rPr>
        <w:t xml:space="preserve"> do papierovej škatuľky, priložená je písomná informácia pre používateľa</w:t>
      </w:r>
      <w:r w:rsidR="000E0A87">
        <w:rPr>
          <w:rFonts w:ascii="Times New Roman" w:hAnsi="Times New Roman"/>
          <w:sz w:val="22"/>
          <w:szCs w:val="22"/>
        </w:rPr>
        <w:t>.</w:t>
      </w:r>
    </w:p>
    <w:p w14:paraId="33ED5ABE" w14:textId="77777777" w:rsidR="000E0A87" w:rsidRDefault="000E0A87" w:rsidP="0085404C">
      <w:pPr>
        <w:rPr>
          <w:rFonts w:ascii="Times New Roman" w:hAnsi="Times New Roman"/>
          <w:sz w:val="22"/>
          <w:szCs w:val="22"/>
        </w:rPr>
      </w:pPr>
    </w:p>
    <w:p w14:paraId="33BEEC83" w14:textId="48F1E860" w:rsidR="00251689" w:rsidRPr="00B73C6F" w:rsidRDefault="00E2367F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Veľkosť b</w:t>
      </w:r>
      <w:r w:rsidR="00251689" w:rsidRPr="00B73C6F">
        <w:rPr>
          <w:rFonts w:ascii="Times New Roman" w:hAnsi="Times New Roman"/>
          <w:sz w:val="22"/>
          <w:szCs w:val="22"/>
        </w:rPr>
        <w:t>aleni</w:t>
      </w:r>
      <w:r>
        <w:rPr>
          <w:rFonts w:ascii="Times New Roman" w:hAnsi="Times New Roman"/>
          <w:sz w:val="22"/>
          <w:szCs w:val="22"/>
        </w:rPr>
        <w:t>a</w:t>
      </w:r>
      <w:r w:rsidR="00251689" w:rsidRPr="00B73C6F">
        <w:rPr>
          <w:rFonts w:ascii="Times New Roman" w:hAnsi="Times New Roman"/>
          <w:sz w:val="22"/>
          <w:szCs w:val="22"/>
        </w:rPr>
        <w:t xml:space="preserve">: </w:t>
      </w:r>
      <w:r w:rsidR="00565314" w:rsidRPr="009E17EC">
        <w:rPr>
          <w:rFonts w:ascii="Times New Roman" w:hAnsi="Times New Roman"/>
          <w:sz w:val="22"/>
          <w:szCs w:val="22"/>
        </w:rPr>
        <w:t>16</w:t>
      </w:r>
      <w:r w:rsidR="00251689" w:rsidRPr="009E17EC">
        <w:rPr>
          <w:rFonts w:ascii="Times New Roman" w:hAnsi="Times New Roman"/>
          <w:sz w:val="22"/>
          <w:szCs w:val="22"/>
        </w:rPr>
        <w:t xml:space="preserve"> </w:t>
      </w:r>
      <w:r w:rsidR="000E0A87" w:rsidRPr="009E17EC">
        <w:rPr>
          <w:rFonts w:ascii="Times New Roman" w:hAnsi="Times New Roman"/>
          <w:sz w:val="22"/>
          <w:szCs w:val="22"/>
        </w:rPr>
        <w:t xml:space="preserve">šumivých </w:t>
      </w:r>
      <w:r w:rsidR="00251689" w:rsidRPr="009E17EC">
        <w:rPr>
          <w:rFonts w:ascii="Times New Roman" w:hAnsi="Times New Roman"/>
          <w:sz w:val="22"/>
          <w:szCs w:val="22"/>
        </w:rPr>
        <w:t>tabliet</w:t>
      </w:r>
      <w:r w:rsidR="001F3A11">
        <w:rPr>
          <w:rFonts w:ascii="Times New Roman" w:hAnsi="Times New Roman"/>
          <w:sz w:val="22"/>
          <w:szCs w:val="22"/>
        </w:rPr>
        <w:t xml:space="preserve"> </w:t>
      </w:r>
    </w:p>
    <w:p w14:paraId="3E842DFD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6FE518ED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  <w:lang w:val="pl-PL"/>
        </w:rPr>
      </w:pPr>
      <w:r w:rsidRPr="00B73C6F">
        <w:rPr>
          <w:rFonts w:ascii="Times New Roman" w:hAnsi="Times New Roman"/>
          <w:b/>
          <w:sz w:val="22"/>
          <w:szCs w:val="22"/>
        </w:rPr>
        <w:t>6.6</w:t>
      </w:r>
      <w:r w:rsidRPr="00B73C6F">
        <w:rPr>
          <w:rFonts w:ascii="Times New Roman" w:hAnsi="Times New Roman"/>
          <w:b/>
          <w:sz w:val="22"/>
          <w:szCs w:val="22"/>
        </w:rPr>
        <w:tab/>
      </w:r>
      <w:r w:rsidRPr="00B73C6F">
        <w:rPr>
          <w:rFonts w:ascii="Times New Roman" w:hAnsi="Times New Roman"/>
          <w:b/>
          <w:sz w:val="22"/>
          <w:szCs w:val="22"/>
          <w:lang w:val="pl-PL"/>
        </w:rPr>
        <w:t>Špeciálne opatrenia na likvidáciu</w:t>
      </w:r>
      <w:r w:rsidRPr="00B73C6F">
        <w:rPr>
          <w:rFonts w:ascii="Times New Roman" w:hAnsi="Times New Roman"/>
          <w:b/>
          <w:sz w:val="22"/>
          <w:szCs w:val="22"/>
        </w:rPr>
        <w:t xml:space="preserve"> </w:t>
      </w:r>
      <w:r w:rsidR="00FE6B76" w:rsidRPr="00B73C6F">
        <w:rPr>
          <w:rFonts w:ascii="Times New Roman" w:hAnsi="Times New Roman"/>
          <w:b/>
          <w:bCs/>
          <w:noProof/>
          <w:sz w:val="22"/>
          <w:szCs w:val="22"/>
          <w:lang w:val="pl-PL"/>
        </w:rPr>
        <w:t>a iné zaobchádzanie s liekom</w:t>
      </w:r>
    </w:p>
    <w:p w14:paraId="42FA2A05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  <w:lang w:val="pl-PL"/>
        </w:rPr>
      </w:pPr>
    </w:p>
    <w:p w14:paraId="122AC747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Žiadne zvláštne požiadavky.</w:t>
      </w:r>
    </w:p>
    <w:p w14:paraId="0E2BB0E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3D2D8985" w14:textId="77777777" w:rsidR="00251689" w:rsidRPr="00B73C6F" w:rsidRDefault="00251689" w:rsidP="0085404C">
      <w:pPr>
        <w:rPr>
          <w:rFonts w:ascii="Times New Roman" w:hAnsi="Times New Roman"/>
          <w:sz w:val="22"/>
          <w:szCs w:val="22"/>
        </w:rPr>
      </w:pPr>
    </w:p>
    <w:p w14:paraId="17018EBB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7.</w:t>
      </w:r>
      <w:r w:rsidRPr="00B73C6F">
        <w:rPr>
          <w:rFonts w:ascii="Times New Roman" w:hAnsi="Times New Roman"/>
          <w:b/>
          <w:sz w:val="22"/>
          <w:szCs w:val="22"/>
        </w:rPr>
        <w:tab/>
        <w:t>DRŽITEĽ ROZHODNUTIA O REGISTRÁCII</w:t>
      </w:r>
    </w:p>
    <w:p w14:paraId="31CD667D" w14:textId="77777777" w:rsidR="00251689" w:rsidRPr="00B73C6F" w:rsidRDefault="00251689" w:rsidP="0085404C">
      <w:pPr>
        <w:rPr>
          <w:rFonts w:ascii="Times New Roman" w:hAnsi="Times New Roman"/>
          <w:sz w:val="22"/>
          <w:szCs w:val="22"/>
        </w:rPr>
      </w:pPr>
    </w:p>
    <w:p w14:paraId="406ED131" w14:textId="77777777" w:rsidR="00FE2989" w:rsidRPr="00A2255B" w:rsidRDefault="00FE2989" w:rsidP="00FE2989">
      <w:pPr>
        <w:ind w:right="-2"/>
        <w:rPr>
          <w:rFonts w:ascii="Times New Roman" w:hAnsi="Times New Roman"/>
          <w:sz w:val="22"/>
          <w:szCs w:val="22"/>
        </w:rPr>
      </w:pPr>
      <w:r w:rsidRPr="00A2255B">
        <w:rPr>
          <w:rFonts w:ascii="Times New Roman" w:hAnsi="Times New Roman"/>
          <w:sz w:val="22"/>
          <w:szCs w:val="22"/>
        </w:rPr>
        <w:t>sanofi-aventis Slovakia s.r.o.</w:t>
      </w:r>
    </w:p>
    <w:p w14:paraId="765C1772" w14:textId="77777777" w:rsidR="00FE2989" w:rsidRPr="008E54C9" w:rsidRDefault="00FE2989" w:rsidP="00FE2989">
      <w:pPr>
        <w:ind w:right="-2"/>
        <w:rPr>
          <w:rFonts w:ascii="Times New Roman" w:hAnsi="Times New Roman"/>
          <w:sz w:val="22"/>
          <w:szCs w:val="22"/>
        </w:rPr>
      </w:pPr>
      <w:r w:rsidRPr="008E54C9">
        <w:rPr>
          <w:rFonts w:ascii="Times New Roman" w:hAnsi="Times New Roman"/>
          <w:sz w:val="22"/>
          <w:szCs w:val="22"/>
        </w:rPr>
        <w:t>Einsteinova 24</w:t>
      </w:r>
    </w:p>
    <w:p w14:paraId="45FC57AA" w14:textId="77777777" w:rsidR="00FE2989" w:rsidRPr="00CF2B39" w:rsidRDefault="00FE2989" w:rsidP="00FE2989">
      <w:pPr>
        <w:ind w:right="-2"/>
        <w:rPr>
          <w:rFonts w:ascii="Times New Roman" w:hAnsi="Times New Roman"/>
          <w:sz w:val="22"/>
          <w:szCs w:val="22"/>
        </w:rPr>
      </w:pPr>
      <w:r w:rsidRPr="00CF2B39">
        <w:rPr>
          <w:rFonts w:ascii="Times New Roman" w:hAnsi="Times New Roman"/>
          <w:sz w:val="22"/>
          <w:szCs w:val="22"/>
        </w:rPr>
        <w:t>851 01 Bratislava</w:t>
      </w:r>
    </w:p>
    <w:p w14:paraId="7CBBFA48" w14:textId="77777777" w:rsidR="00FE2989" w:rsidRPr="00C92D61" w:rsidRDefault="00FE2989" w:rsidP="00FE2989">
      <w:pPr>
        <w:ind w:right="-2"/>
        <w:rPr>
          <w:rFonts w:ascii="Times New Roman" w:hAnsi="Times New Roman"/>
          <w:sz w:val="22"/>
          <w:szCs w:val="22"/>
        </w:rPr>
      </w:pPr>
      <w:r w:rsidRPr="00C92D61">
        <w:rPr>
          <w:rFonts w:ascii="Times New Roman" w:hAnsi="Times New Roman"/>
          <w:sz w:val="22"/>
          <w:szCs w:val="22"/>
        </w:rPr>
        <w:t>Slovenská republika</w:t>
      </w:r>
    </w:p>
    <w:p w14:paraId="7C261464" w14:textId="77777777" w:rsidR="00251689" w:rsidRPr="00B73C6F" w:rsidRDefault="00251689" w:rsidP="0085404C">
      <w:pPr>
        <w:rPr>
          <w:rFonts w:ascii="Times New Roman" w:hAnsi="Times New Roman"/>
          <w:b/>
          <w:sz w:val="22"/>
          <w:szCs w:val="22"/>
        </w:rPr>
      </w:pPr>
    </w:p>
    <w:p w14:paraId="5BE94912" w14:textId="77777777" w:rsidR="00251689" w:rsidRPr="00B73C6F" w:rsidRDefault="00251689" w:rsidP="0085404C">
      <w:pPr>
        <w:rPr>
          <w:rFonts w:ascii="Times New Roman" w:hAnsi="Times New Roman"/>
          <w:b/>
          <w:sz w:val="22"/>
          <w:szCs w:val="22"/>
        </w:rPr>
      </w:pPr>
    </w:p>
    <w:p w14:paraId="1FA5246A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8.</w:t>
      </w:r>
      <w:r w:rsidRPr="00B73C6F">
        <w:rPr>
          <w:rFonts w:ascii="Times New Roman" w:hAnsi="Times New Roman"/>
          <w:b/>
          <w:sz w:val="22"/>
          <w:szCs w:val="22"/>
        </w:rPr>
        <w:tab/>
        <w:t>REGISTRAČNÉ ČÍSLO</w:t>
      </w:r>
    </w:p>
    <w:p w14:paraId="1D72A710" w14:textId="77777777" w:rsidR="00716E6C" w:rsidRPr="00B73C6F" w:rsidRDefault="00716E6C" w:rsidP="0085404C">
      <w:pPr>
        <w:rPr>
          <w:rFonts w:ascii="Times New Roman" w:hAnsi="Times New Roman"/>
          <w:i/>
          <w:sz w:val="22"/>
          <w:szCs w:val="22"/>
        </w:rPr>
      </w:pPr>
    </w:p>
    <w:p w14:paraId="527FDF43" w14:textId="6BA9A8C3" w:rsidR="00716E6C" w:rsidRDefault="00DA05DD" w:rsidP="0085404C">
      <w:pPr>
        <w:rPr>
          <w:rFonts w:ascii="Times New Roman" w:hAnsi="Times New Roman"/>
          <w:sz w:val="22"/>
          <w:szCs w:val="22"/>
        </w:rPr>
      </w:pPr>
      <w:r w:rsidRPr="00DA05DD">
        <w:rPr>
          <w:rFonts w:ascii="Times New Roman" w:hAnsi="Times New Roman"/>
          <w:sz w:val="22"/>
          <w:szCs w:val="22"/>
        </w:rPr>
        <w:t>07/0285/19-S</w:t>
      </w:r>
    </w:p>
    <w:p w14:paraId="66BC1FC6" w14:textId="77777777" w:rsidR="00DA05DD" w:rsidRPr="00B73C6F" w:rsidRDefault="00DA05DD" w:rsidP="0085404C">
      <w:pPr>
        <w:rPr>
          <w:rFonts w:ascii="Times New Roman" w:hAnsi="Times New Roman"/>
          <w:sz w:val="22"/>
          <w:szCs w:val="22"/>
        </w:rPr>
      </w:pPr>
    </w:p>
    <w:p w14:paraId="0EA4EE00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684B359D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9.</w:t>
      </w:r>
      <w:r w:rsidRPr="00B73C6F">
        <w:rPr>
          <w:rFonts w:ascii="Times New Roman" w:hAnsi="Times New Roman"/>
          <w:b/>
          <w:sz w:val="22"/>
          <w:szCs w:val="22"/>
        </w:rPr>
        <w:tab/>
        <w:t>DÁTUM PRVEJ REGISTRÁCIE/PREDĹŽENIA REGISTRÁCIE</w:t>
      </w:r>
    </w:p>
    <w:p w14:paraId="2854AA0B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530C31F3" w14:textId="5869CCCD" w:rsidR="00251689" w:rsidRPr="00B73C6F" w:rsidRDefault="000C1088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Dátum prvej registrácie:</w:t>
      </w:r>
      <w:r w:rsidR="00D4755A">
        <w:rPr>
          <w:rFonts w:ascii="Times New Roman" w:hAnsi="Times New Roman"/>
          <w:sz w:val="22"/>
          <w:szCs w:val="22"/>
        </w:rPr>
        <w:t xml:space="preserve"> 23.</w:t>
      </w:r>
      <w:r w:rsidR="001B45C9">
        <w:rPr>
          <w:rFonts w:ascii="Times New Roman" w:hAnsi="Times New Roman"/>
          <w:sz w:val="22"/>
          <w:szCs w:val="22"/>
        </w:rPr>
        <w:t xml:space="preserve"> </w:t>
      </w:r>
      <w:r w:rsidR="00D4755A">
        <w:rPr>
          <w:rFonts w:ascii="Times New Roman" w:hAnsi="Times New Roman"/>
          <w:sz w:val="22"/>
          <w:szCs w:val="22"/>
        </w:rPr>
        <w:t>septembra 2019</w:t>
      </w:r>
    </w:p>
    <w:p w14:paraId="15E51BD6" w14:textId="77777777" w:rsidR="00716E6C" w:rsidRPr="00B73C6F" w:rsidRDefault="000C1088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Dátum posledného predĺženia</w:t>
      </w:r>
      <w:r w:rsidR="00E25A3B" w:rsidRPr="00B73C6F">
        <w:rPr>
          <w:rFonts w:ascii="Times New Roman" w:hAnsi="Times New Roman"/>
          <w:sz w:val="22"/>
          <w:szCs w:val="22"/>
        </w:rPr>
        <w:t xml:space="preserve"> </w:t>
      </w:r>
      <w:r w:rsidR="00E25A3B" w:rsidRPr="00B73C6F">
        <w:rPr>
          <w:rFonts w:ascii="Times New Roman" w:hAnsi="Times New Roman"/>
          <w:noProof/>
          <w:sz w:val="22"/>
          <w:szCs w:val="22"/>
          <w:lang w:val="es-ES_tradnl" w:eastAsia="cs-CZ"/>
        </w:rPr>
        <w:t>registrácie</w:t>
      </w:r>
      <w:r w:rsidRPr="00B73C6F">
        <w:rPr>
          <w:rFonts w:ascii="Times New Roman" w:hAnsi="Times New Roman"/>
          <w:sz w:val="22"/>
          <w:szCs w:val="22"/>
        </w:rPr>
        <w:t>:</w:t>
      </w:r>
    </w:p>
    <w:p w14:paraId="11698B14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190949CC" w14:textId="77777777" w:rsidR="00AF17E2" w:rsidRPr="00B73C6F" w:rsidRDefault="00AF17E2" w:rsidP="0085404C">
      <w:pPr>
        <w:rPr>
          <w:rFonts w:ascii="Times New Roman" w:hAnsi="Times New Roman"/>
          <w:sz w:val="22"/>
          <w:szCs w:val="22"/>
        </w:rPr>
      </w:pPr>
    </w:p>
    <w:p w14:paraId="1460CE2F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10.</w:t>
      </w:r>
      <w:r w:rsidRPr="00B73C6F">
        <w:rPr>
          <w:rFonts w:ascii="Times New Roman" w:hAnsi="Times New Roman"/>
          <w:b/>
          <w:sz w:val="22"/>
          <w:szCs w:val="22"/>
        </w:rPr>
        <w:tab/>
        <w:t>DÁTUM REVÍZIE TEXTU</w:t>
      </w:r>
    </w:p>
    <w:p w14:paraId="60D2A7F4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</w:p>
    <w:p w14:paraId="0C823567" w14:textId="77777777" w:rsidR="0003140E" w:rsidRDefault="0003140E" w:rsidP="0085404C">
      <w:pPr>
        <w:rPr>
          <w:rFonts w:ascii="Times New Roman" w:hAnsi="Times New Roman"/>
          <w:sz w:val="22"/>
          <w:szCs w:val="22"/>
        </w:rPr>
      </w:pPr>
    </w:p>
    <w:p w14:paraId="7A476A42" w14:textId="684203C5" w:rsidR="006F6CE6" w:rsidRPr="0003140E" w:rsidRDefault="00DD3FE9" w:rsidP="0085404C">
      <w:pPr>
        <w:tabs>
          <w:tab w:val="left" w:pos="141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</w:t>
      </w:r>
      <w:r w:rsidR="00396BF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/2020</w:t>
      </w:r>
    </w:p>
    <w:sectPr w:rsidR="006F6CE6" w:rsidRPr="0003140E" w:rsidSect="008B57F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9F230" w15:done="0"/>
  <w15:commentEx w15:paraId="2754C272" w15:done="0"/>
  <w15:commentEx w15:paraId="6A4DB5C0" w15:done="0"/>
  <w15:commentEx w15:paraId="614E8A84" w15:done="0"/>
  <w15:commentEx w15:paraId="58FA07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09F230" w16cid:durableId="222D865B"/>
  <w16cid:commentId w16cid:paraId="2754C272" w16cid:durableId="21ECE66D"/>
  <w16cid:commentId w16cid:paraId="6A4DB5C0" w16cid:durableId="21ECE66E"/>
  <w16cid:commentId w16cid:paraId="614E8A84" w16cid:durableId="21ECE66F"/>
  <w16cid:commentId w16cid:paraId="58FA07D6" w16cid:durableId="21ECE6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3AD42" w14:textId="77777777" w:rsidR="006E4305" w:rsidRDefault="006E4305" w:rsidP="0026319A">
      <w:r>
        <w:separator/>
      </w:r>
    </w:p>
  </w:endnote>
  <w:endnote w:type="continuationSeparator" w:id="0">
    <w:p w14:paraId="6F307A1C" w14:textId="77777777" w:rsidR="006E4305" w:rsidRDefault="006E4305" w:rsidP="0026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73591" w14:textId="7F19BFB7" w:rsidR="00757FDE" w:rsidRDefault="00757FDE" w:rsidP="00C852B5">
    <w:pPr>
      <w:pStyle w:val="Pta"/>
      <w:jc w:val="center"/>
    </w:pPr>
    <w:r w:rsidRPr="00660AC7">
      <w:rPr>
        <w:sz w:val="18"/>
        <w:szCs w:val="18"/>
      </w:rPr>
      <w:fldChar w:fldCharType="begin"/>
    </w:r>
    <w:r w:rsidRPr="00660AC7">
      <w:rPr>
        <w:sz w:val="18"/>
        <w:szCs w:val="18"/>
      </w:rPr>
      <w:instrText>PAGE   \* MERGEFORMAT</w:instrText>
    </w:r>
    <w:r w:rsidRPr="00660AC7">
      <w:rPr>
        <w:sz w:val="18"/>
        <w:szCs w:val="18"/>
      </w:rPr>
      <w:fldChar w:fldCharType="separate"/>
    </w:r>
    <w:r w:rsidR="00C852B5">
      <w:rPr>
        <w:noProof/>
        <w:sz w:val="18"/>
        <w:szCs w:val="18"/>
      </w:rPr>
      <w:t>9</w:t>
    </w:r>
    <w:r w:rsidRPr="00660AC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D74A4" w14:textId="77777777" w:rsidR="006E4305" w:rsidRDefault="006E4305" w:rsidP="0026319A">
      <w:r>
        <w:separator/>
      </w:r>
    </w:p>
  </w:footnote>
  <w:footnote w:type="continuationSeparator" w:id="0">
    <w:p w14:paraId="7B16F034" w14:textId="77777777" w:rsidR="006E4305" w:rsidRDefault="006E4305" w:rsidP="0026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3852B" w14:textId="15C9F070" w:rsidR="00757FDE" w:rsidRDefault="00656C4A">
    <w:pPr>
      <w:pStyle w:val="Hlavika"/>
    </w:pPr>
    <w:bookmarkStart w:id="1" w:name="_Hlk36538155"/>
    <w:r w:rsidRPr="00E07C24">
      <w:rPr>
        <w:rFonts w:eastAsia="BatangChe"/>
        <w:sz w:val="18"/>
        <w:szCs w:val="18"/>
      </w:rPr>
      <w:t xml:space="preserve">Schválený text k rozhodnutiu o zmene, ev. č.: </w:t>
    </w:r>
    <w:r w:rsidR="00D22615" w:rsidRPr="00D22615">
      <w:rPr>
        <w:rFonts w:eastAsia="BatangChe"/>
        <w:sz w:val="18"/>
        <w:szCs w:val="18"/>
      </w:rPr>
      <w:t>2020/00680-ZME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2A6AC7"/>
    <w:multiLevelType w:val="hybridMultilevel"/>
    <w:tmpl w:val="4710A676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C0978"/>
    <w:multiLevelType w:val="hybridMultilevel"/>
    <w:tmpl w:val="EBD2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23FD4"/>
    <w:multiLevelType w:val="hybridMultilevel"/>
    <w:tmpl w:val="E9F6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562"/>
    <w:multiLevelType w:val="hybridMultilevel"/>
    <w:tmpl w:val="BE206A68"/>
    <w:lvl w:ilvl="0" w:tplc="7B76FC40">
      <w:numFmt w:val="bullet"/>
      <w:lvlText w:val="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02AAF"/>
    <w:multiLevelType w:val="hybridMultilevel"/>
    <w:tmpl w:val="DC66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41B53"/>
    <w:multiLevelType w:val="hybridMultilevel"/>
    <w:tmpl w:val="042E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D0646"/>
    <w:multiLevelType w:val="hybridMultilevel"/>
    <w:tmpl w:val="BFB8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3339E"/>
    <w:multiLevelType w:val="hybridMultilevel"/>
    <w:tmpl w:val="E566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B3B09"/>
    <w:multiLevelType w:val="hybridMultilevel"/>
    <w:tmpl w:val="FA36A656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37D7E"/>
    <w:multiLevelType w:val="hybridMultilevel"/>
    <w:tmpl w:val="069E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865C8"/>
    <w:multiLevelType w:val="hybridMultilevel"/>
    <w:tmpl w:val="D54A018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CD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3AF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0E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02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9C5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A5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87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209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0F46AA"/>
    <w:multiLevelType w:val="hybridMultilevel"/>
    <w:tmpl w:val="7BC6D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F623C"/>
    <w:multiLevelType w:val="hybridMultilevel"/>
    <w:tmpl w:val="AAD4F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9"/>
  </w:num>
  <w:num w:numId="5">
    <w:abstractNumId w:val="10"/>
  </w:num>
  <w:num w:numId="6">
    <w:abstractNumId w:val="11"/>
  </w:num>
  <w:num w:numId="7">
    <w:abstractNumId w:val="6"/>
  </w:num>
  <w:num w:numId="8">
    <w:abstractNumId w:val="4"/>
  </w:num>
  <w:num w:numId="9">
    <w:abstractNumId w:val="2"/>
  </w:num>
  <w:num w:numId="10">
    <w:abstractNumId w:val="16"/>
  </w:num>
  <w:num w:numId="11">
    <w:abstractNumId w:val="5"/>
  </w:num>
  <w:num w:numId="12">
    <w:abstractNumId w:val="13"/>
  </w:num>
  <w:num w:numId="13">
    <w:abstractNumId w:val="1"/>
  </w:num>
  <w:num w:numId="14">
    <w:abstractNumId w:val="15"/>
  </w:num>
  <w:num w:numId="15">
    <w:abstractNumId w:val="18"/>
  </w:num>
  <w:num w:numId="16">
    <w:abstractNumId w:val="7"/>
  </w:num>
  <w:num w:numId="17">
    <w:abstractNumId w:val="17"/>
  </w:num>
  <w:num w:numId="18">
    <w:abstractNumId w:val="14"/>
  </w:num>
  <w:num w:numId="1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ova, Katarina /SK">
    <w15:presenceInfo w15:providerId="AD" w15:userId="S-1-5-21-299502267-1645522239-682003330-1076712117"/>
  </w15:person>
  <w15:person w15:author="Tomova, Katarina /SK [2]">
    <w15:presenceInfo w15:providerId="AD" w15:userId="S::katarina.tomova@sanofi.com::4f8ab883-8c26-45b0-a002-f65815941d14"/>
  </w15:person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6C"/>
    <w:rsid w:val="00012354"/>
    <w:rsid w:val="00012DF8"/>
    <w:rsid w:val="00020BA2"/>
    <w:rsid w:val="000215B6"/>
    <w:rsid w:val="00022CD6"/>
    <w:rsid w:val="00022ECD"/>
    <w:rsid w:val="00023F6A"/>
    <w:rsid w:val="00026716"/>
    <w:rsid w:val="0003140E"/>
    <w:rsid w:val="0003251F"/>
    <w:rsid w:val="000335B7"/>
    <w:rsid w:val="00033D9E"/>
    <w:rsid w:val="00034582"/>
    <w:rsid w:val="00040CDE"/>
    <w:rsid w:val="000443B4"/>
    <w:rsid w:val="000471A2"/>
    <w:rsid w:val="00047CEB"/>
    <w:rsid w:val="00052BE7"/>
    <w:rsid w:val="00061B6D"/>
    <w:rsid w:val="00065A87"/>
    <w:rsid w:val="0007282F"/>
    <w:rsid w:val="0007375A"/>
    <w:rsid w:val="00075DCB"/>
    <w:rsid w:val="000838F0"/>
    <w:rsid w:val="0008515D"/>
    <w:rsid w:val="000919C2"/>
    <w:rsid w:val="00095D29"/>
    <w:rsid w:val="000A57BE"/>
    <w:rsid w:val="000B1BCF"/>
    <w:rsid w:val="000B3209"/>
    <w:rsid w:val="000B3363"/>
    <w:rsid w:val="000B7198"/>
    <w:rsid w:val="000C0068"/>
    <w:rsid w:val="000C1088"/>
    <w:rsid w:val="000D1C2E"/>
    <w:rsid w:val="000D29AA"/>
    <w:rsid w:val="000D6170"/>
    <w:rsid w:val="000E0A87"/>
    <w:rsid w:val="000E3708"/>
    <w:rsid w:val="000E4710"/>
    <w:rsid w:val="000E57A1"/>
    <w:rsid w:val="000E7E8E"/>
    <w:rsid w:val="000F01FA"/>
    <w:rsid w:val="000F1042"/>
    <w:rsid w:val="000F128F"/>
    <w:rsid w:val="000F46B0"/>
    <w:rsid w:val="000F4C32"/>
    <w:rsid w:val="000F6ED2"/>
    <w:rsid w:val="000F771A"/>
    <w:rsid w:val="001022F3"/>
    <w:rsid w:val="0010554E"/>
    <w:rsid w:val="00122C8D"/>
    <w:rsid w:val="00130431"/>
    <w:rsid w:val="001340A0"/>
    <w:rsid w:val="0013753E"/>
    <w:rsid w:val="00137F97"/>
    <w:rsid w:val="0014098D"/>
    <w:rsid w:val="001440C6"/>
    <w:rsid w:val="001445F6"/>
    <w:rsid w:val="001454C4"/>
    <w:rsid w:val="001458BC"/>
    <w:rsid w:val="001511F6"/>
    <w:rsid w:val="001538A1"/>
    <w:rsid w:val="0016362A"/>
    <w:rsid w:val="001639AB"/>
    <w:rsid w:val="00170029"/>
    <w:rsid w:val="00170471"/>
    <w:rsid w:val="00170A25"/>
    <w:rsid w:val="001738F7"/>
    <w:rsid w:val="0018557E"/>
    <w:rsid w:val="00187B52"/>
    <w:rsid w:val="00190CD5"/>
    <w:rsid w:val="001934E7"/>
    <w:rsid w:val="00194D3E"/>
    <w:rsid w:val="001A02BD"/>
    <w:rsid w:val="001A2D8F"/>
    <w:rsid w:val="001A6AC0"/>
    <w:rsid w:val="001A71E1"/>
    <w:rsid w:val="001B032E"/>
    <w:rsid w:val="001B45C9"/>
    <w:rsid w:val="001B52B3"/>
    <w:rsid w:val="001B5840"/>
    <w:rsid w:val="001B6724"/>
    <w:rsid w:val="001B70BD"/>
    <w:rsid w:val="001C0AF6"/>
    <w:rsid w:val="001C3CEB"/>
    <w:rsid w:val="001C4285"/>
    <w:rsid w:val="001C637C"/>
    <w:rsid w:val="001D3A3D"/>
    <w:rsid w:val="001D72EA"/>
    <w:rsid w:val="001D79E4"/>
    <w:rsid w:val="001E2808"/>
    <w:rsid w:val="001F0C0B"/>
    <w:rsid w:val="001F2602"/>
    <w:rsid w:val="001F3307"/>
    <w:rsid w:val="001F3A11"/>
    <w:rsid w:val="001F3CCA"/>
    <w:rsid w:val="001F3EEF"/>
    <w:rsid w:val="001F4180"/>
    <w:rsid w:val="001F61D8"/>
    <w:rsid w:val="001F6DAE"/>
    <w:rsid w:val="001F799F"/>
    <w:rsid w:val="00204069"/>
    <w:rsid w:val="002116EB"/>
    <w:rsid w:val="00212BC9"/>
    <w:rsid w:val="00212E6F"/>
    <w:rsid w:val="00215B14"/>
    <w:rsid w:val="00216A61"/>
    <w:rsid w:val="00222A2B"/>
    <w:rsid w:val="00230B9C"/>
    <w:rsid w:val="00237B79"/>
    <w:rsid w:val="00251689"/>
    <w:rsid w:val="00252DBE"/>
    <w:rsid w:val="00254921"/>
    <w:rsid w:val="00256A80"/>
    <w:rsid w:val="00261238"/>
    <w:rsid w:val="0026319A"/>
    <w:rsid w:val="00263B32"/>
    <w:rsid w:val="00265C34"/>
    <w:rsid w:val="0027389B"/>
    <w:rsid w:val="002819F7"/>
    <w:rsid w:val="002832EB"/>
    <w:rsid w:val="002838A2"/>
    <w:rsid w:val="00285711"/>
    <w:rsid w:val="00287AA5"/>
    <w:rsid w:val="00290200"/>
    <w:rsid w:val="00291A01"/>
    <w:rsid w:val="00293A86"/>
    <w:rsid w:val="002950A0"/>
    <w:rsid w:val="002965CB"/>
    <w:rsid w:val="00297673"/>
    <w:rsid w:val="002A08D6"/>
    <w:rsid w:val="002A7860"/>
    <w:rsid w:val="002B1C61"/>
    <w:rsid w:val="002B509F"/>
    <w:rsid w:val="002B523F"/>
    <w:rsid w:val="002B5D46"/>
    <w:rsid w:val="002C041C"/>
    <w:rsid w:val="002F3F06"/>
    <w:rsid w:val="002F537F"/>
    <w:rsid w:val="0030363C"/>
    <w:rsid w:val="003044F2"/>
    <w:rsid w:val="00304608"/>
    <w:rsid w:val="00314EBF"/>
    <w:rsid w:val="0032063D"/>
    <w:rsid w:val="00324D33"/>
    <w:rsid w:val="003271AF"/>
    <w:rsid w:val="00327C9E"/>
    <w:rsid w:val="003322B2"/>
    <w:rsid w:val="0034059E"/>
    <w:rsid w:val="00347558"/>
    <w:rsid w:val="003478EC"/>
    <w:rsid w:val="00350579"/>
    <w:rsid w:val="003505E5"/>
    <w:rsid w:val="00351840"/>
    <w:rsid w:val="0036005A"/>
    <w:rsid w:val="003617DD"/>
    <w:rsid w:val="003622D9"/>
    <w:rsid w:val="00366325"/>
    <w:rsid w:val="00366B62"/>
    <w:rsid w:val="00373363"/>
    <w:rsid w:val="0037681C"/>
    <w:rsid w:val="00384BD5"/>
    <w:rsid w:val="00391BCE"/>
    <w:rsid w:val="00395C8C"/>
    <w:rsid w:val="003965C9"/>
    <w:rsid w:val="00396BFD"/>
    <w:rsid w:val="003A1FB7"/>
    <w:rsid w:val="003A3E67"/>
    <w:rsid w:val="003A559F"/>
    <w:rsid w:val="003A77D8"/>
    <w:rsid w:val="003A7BC9"/>
    <w:rsid w:val="003B0C37"/>
    <w:rsid w:val="003B4EB6"/>
    <w:rsid w:val="003B63A4"/>
    <w:rsid w:val="003C5239"/>
    <w:rsid w:val="003D0648"/>
    <w:rsid w:val="003D070E"/>
    <w:rsid w:val="003D07C2"/>
    <w:rsid w:val="003D6A29"/>
    <w:rsid w:val="003E51CE"/>
    <w:rsid w:val="003E58E6"/>
    <w:rsid w:val="003E6794"/>
    <w:rsid w:val="003F4694"/>
    <w:rsid w:val="003F5D60"/>
    <w:rsid w:val="0040144E"/>
    <w:rsid w:val="00401F50"/>
    <w:rsid w:val="00404345"/>
    <w:rsid w:val="004053E4"/>
    <w:rsid w:val="00407B1F"/>
    <w:rsid w:val="00410C40"/>
    <w:rsid w:val="00415563"/>
    <w:rsid w:val="00417BAD"/>
    <w:rsid w:val="00430FA5"/>
    <w:rsid w:val="00434568"/>
    <w:rsid w:val="00457CF4"/>
    <w:rsid w:val="00460EA3"/>
    <w:rsid w:val="0046239D"/>
    <w:rsid w:val="00464767"/>
    <w:rsid w:val="00464A51"/>
    <w:rsid w:val="004656B5"/>
    <w:rsid w:val="00467788"/>
    <w:rsid w:val="00481CF3"/>
    <w:rsid w:val="004848AD"/>
    <w:rsid w:val="00484CAC"/>
    <w:rsid w:val="004875BD"/>
    <w:rsid w:val="0049093B"/>
    <w:rsid w:val="00491C89"/>
    <w:rsid w:val="00495553"/>
    <w:rsid w:val="004A499F"/>
    <w:rsid w:val="004A7021"/>
    <w:rsid w:val="004A705E"/>
    <w:rsid w:val="004B3A67"/>
    <w:rsid w:val="004B4843"/>
    <w:rsid w:val="004C01CA"/>
    <w:rsid w:val="004C1F64"/>
    <w:rsid w:val="004C1F86"/>
    <w:rsid w:val="004C2695"/>
    <w:rsid w:val="004C7D42"/>
    <w:rsid w:val="004E5D76"/>
    <w:rsid w:val="004F3C38"/>
    <w:rsid w:val="0050440A"/>
    <w:rsid w:val="00513BBA"/>
    <w:rsid w:val="005160B7"/>
    <w:rsid w:val="00517D6A"/>
    <w:rsid w:val="00522F31"/>
    <w:rsid w:val="00534873"/>
    <w:rsid w:val="005443D7"/>
    <w:rsid w:val="0054532C"/>
    <w:rsid w:val="0054786E"/>
    <w:rsid w:val="005572E6"/>
    <w:rsid w:val="00557316"/>
    <w:rsid w:val="00557A6C"/>
    <w:rsid w:val="00564449"/>
    <w:rsid w:val="00564624"/>
    <w:rsid w:val="00565314"/>
    <w:rsid w:val="00567B87"/>
    <w:rsid w:val="00573864"/>
    <w:rsid w:val="00577D06"/>
    <w:rsid w:val="005805C5"/>
    <w:rsid w:val="005853D3"/>
    <w:rsid w:val="00591F93"/>
    <w:rsid w:val="00594F2B"/>
    <w:rsid w:val="005968CC"/>
    <w:rsid w:val="005A0F31"/>
    <w:rsid w:val="005A526B"/>
    <w:rsid w:val="005A52E2"/>
    <w:rsid w:val="005A560E"/>
    <w:rsid w:val="005A693A"/>
    <w:rsid w:val="005B5592"/>
    <w:rsid w:val="005B58F0"/>
    <w:rsid w:val="005B67FE"/>
    <w:rsid w:val="005B742F"/>
    <w:rsid w:val="005C19C2"/>
    <w:rsid w:val="005C30EA"/>
    <w:rsid w:val="005C47E0"/>
    <w:rsid w:val="005C5CEA"/>
    <w:rsid w:val="005C7D67"/>
    <w:rsid w:val="005D352B"/>
    <w:rsid w:val="005D4DCB"/>
    <w:rsid w:val="005E0E04"/>
    <w:rsid w:val="00610034"/>
    <w:rsid w:val="00612B01"/>
    <w:rsid w:val="00614323"/>
    <w:rsid w:val="00631AB6"/>
    <w:rsid w:val="006360CC"/>
    <w:rsid w:val="006373A2"/>
    <w:rsid w:val="006425A5"/>
    <w:rsid w:val="00642BED"/>
    <w:rsid w:val="0064441B"/>
    <w:rsid w:val="00653444"/>
    <w:rsid w:val="0065667C"/>
    <w:rsid w:val="00656C4A"/>
    <w:rsid w:val="00660AC7"/>
    <w:rsid w:val="00667B63"/>
    <w:rsid w:val="00672624"/>
    <w:rsid w:val="00674F38"/>
    <w:rsid w:val="00686E34"/>
    <w:rsid w:val="00694B98"/>
    <w:rsid w:val="006A01FD"/>
    <w:rsid w:val="006A0542"/>
    <w:rsid w:val="006A1412"/>
    <w:rsid w:val="006C2F74"/>
    <w:rsid w:val="006C5533"/>
    <w:rsid w:val="006C5C42"/>
    <w:rsid w:val="006D0B92"/>
    <w:rsid w:val="006D357C"/>
    <w:rsid w:val="006E2BF9"/>
    <w:rsid w:val="006E4305"/>
    <w:rsid w:val="006F1BCD"/>
    <w:rsid w:val="006F1E1E"/>
    <w:rsid w:val="006F6CE6"/>
    <w:rsid w:val="00701C8A"/>
    <w:rsid w:val="007028C3"/>
    <w:rsid w:val="00710FC8"/>
    <w:rsid w:val="0071156A"/>
    <w:rsid w:val="00711E3A"/>
    <w:rsid w:val="00716E6C"/>
    <w:rsid w:val="007174AD"/>
    <w:rsid w:val="00717C02"/>
    <w:rsid w:val="00721900"/>
    <w:rsid w:val="00721E9B"/>
    <w:rsid w:val="007236C9"/>
    <w:rsid w:val="00735575"/>
    <w:rsid w:val="00741003"/>
    <w:rsid w:val="0074459C"/>
    <w:rsid w:val="00745C3E"/>
    <w:rsid w:val="00750D86"/>
    <w:rsid w:val="0075166E"/>
    <w:rsid w:val="00752623"/>
    <w:rsid w:val="0075262B"/>
    <w:rsid w:val="00752E72"/>
    <w:rsid w:val="00757FDE"/>
    <w:rsid w:val="0076296D"/>
    <w:rsid w:val="00763484"/>
    <w:rsid w:val="00764892"/>
    <w:rsid w:val="00764C8B"/>
    <w:rsid w:val="00765989"/>
    <w:rsid w:val="00767946"/>
    <w:rsid w:val="00770CA9"/>
    <w:rsid w:val="00772C8B"/>
    <w:rsid w:val="00774A6F"/>
    <w:rsid w:val="00777E6D"/>
    <w:rsid w:val="007839E1"/>
    <w:rsid w:val="007863DE"/>
    <w:rsid w:val="0079260F"/>
    <w:rsid w:val="0079496B"/>
    <w:rsid w:val="007962EA"/>
    <w:rsid w:val="007A4375"/>
    <w:rsid w:val="007B647A"/>
    <w:rsid w:val="007C5B14"/>
    <w:rsid w:val="007D51CF"/>
    <w:rsid w:val="007E1A4A"/>
    <w:rsid w:val="007E4C15"/>
    <w:rsid w:val="007E69BE"/>
    <w:rsid w:val="007F115B"/>
    <w:rsid w:val="007F4713"/>
    <w:rsid w:val="00810D8E"/>
    <w:rsid w:val="00811433"/>
    <w:rsid w:val="00811F1F"/>
    <w:rsid w:val="008130F8"/>
    <w:rsid w:val="0081609A"/>
    <w:rsid w:val="00816F68"/>
    <w:rsid w:val="0082212E"/>
    <w:rsid w:val="00827D81"/>
    <w:rsid w:val="008318A9"/>
    <w:rsid w:val="008344ED"/>
    <w:rsid w:val="00834F1C"/>
    <w:rsid w:val="00837E13"/>
    <w:rsid w:val="0085404C"/>
    <w:rsid w:val="008556BE"/>
    <w:rsid w:val="00856C71"/>
    <w:rsid w:val="00857030"/>
    <w:rsid w:val="00860B0F"/>
    <w:rsid w:val="00862510"/>
    <w:rsid w:val="008654EA"/>
    <w:rsid w:val="0088770A"/>
    <w:rsid w:val="00892081"/>
    <w:rsid w:val="008A55F3"/>
    <w:rsid w:val="008A5A8D"/>
    <w:rsid w:val="008A7C86"/>
    <w:rsid w:val="008A7F44"/>
    <w:rsid w:val="008B05CC"/>
    <w:rsid w:val="008B1B5A"/>
    <w:rsid w:val="008B4FB6"/>
    <w:rsid w:val="008B57F2"/>
    <w:rsid w:val="008C1649"/>
    <w:rsid w:val="008C2948"/>
    <w:rsid w:val="008C7872"/>
    <w:rsid w:val="008C7D75"/>
    <w:rsid w:val="008D0E06"/>
    <w:rsid w:val="008D41B7"/>
    <w:rsid w:val="008D5F76"/>
    <w:rsid w:val="008E0B7D"/>
    <w:rsid w:val="008E4AEC"/>
    <w:rsid w:val="008E5685"/>
    <w:rsid w:val="008E595E"/>
    <w:rsid w:val="008E771B"/>
    <w:rsid w:val="008F0BBA"/>
    <w:rsid w:val="008F2719"/>
    <w:rsid w:val="0091084D"/>
    <w:rsid w:val="009114E3"/>
    <w:rsid w:val="00923141"/>
    <w:rsid w:val="00923A43"/>
    <w:rsid w:val="00934977"/>
    <w:rsid w:val="009442CD"/>
    <w:rsid w:val="009478EA"/>
    <w:rsid w:val="00955C3E"/>
    <w:rsid w:val="00961A5F"/>
    <w:rsid w:val="0097430D"/>
    <w:rsid w:val="0097632E"/>
    <w:rsid w:val="009821D0"/>
    <w:rsid w:val="009849A5"/>
    <w:rsid w:val="00987442"/>
    <w:rsid w:val="00987D46"/>
    <w:rsid w:val="00987F45"/>
    <w:rsid w:val="009909A6"/>
    <w:rsid w:val="009A6DDD"/>
    <w:rsid w:val="009B0E2F"/>
    <w:rsid w:val="009B65D9"/>
    <w:rsid w:val="009C6B04"/>
    <w:rsid w:val="009D2A3E"/>
    <w:rsid w:val="009D35CE"/>
    <w:rsid w:val="009D779E"/>
    <w:rsid w:val="009E17EC"/>
    <w:rsid w:val="009E272D"/>
    <w:rsid w:val="009E37B4"/>
    <w:rsid w:val="009F1D5A"/>
    <w:rsid w:val="009F230B"/>
    <w:rsid w:val="009F26B5"/>
    <w:rsid w:val="00A029F9"/>
    <w:rsid w:val="00A02AC2"/>
    <w:rsid w:val="00A0353B"/>
    <w:rsid w:val="00A10C64"/>
    <w:rsid w:val="00A12D2A"/>
    <w:rsid w:val="00A20645"/>
    <w:rsid w:val="00A25CB4"/>
    <w:rsid w:val="00A26CBB"/>
    <w:rsid w:val="00A2730C"/>
    <w:rsid w:val="00A3297C"/>
    <w:rsid w:val="00A36A12"/>
    <w:rsid w:val="00A36FE8"/>
    <w:rsid w:val="00A40E8F"/>
    <w:rsid w:val="00A42728"/>
    <w:rsid w:val="00A54406"/>
    <w:rsid w:val="00A56AA2"/>
    <w:rsid w:val="00A640D1"/>
    <w:rsid w:val="00A728AB"/>
    <w:rsid w:val="00A75C62"/>
    <w:rsid w:val="00A824E7"/>
    <w:rsid w:val="00A91C84"/>
    <w:rsid w:val="00A9233D"/>
    <w:rsid w:val="00A93788"/>
    <w:rsid w:val="00A947D9"/>
    <w:rsid w:val="00A95A5B"/>
    <w:rsid w:val="00A965D4"/>
    <w:rsid w:val="00AA0F28"/>
    <w:rsid w:val="00AA2C86"/>
    <w:rsid w:val="00AA4E49"/>
    <w:rsid w:val="00AA58A9"/>
    <w:rsid w:val="00AB019C"/>
    <w:rsid w:val="00AB17EA"/>
    <w:rsid w:val="00AB2D52"/>
    <w:rsid w:val="00AB31C9"/>
    <w:rsid w:val="00AB5124"/>
    <w:rsid w:val="00AB6D1F"/>
    <w:rsid w:val="00AC1376"/>
    <w:rsid w:val="00AD2DCA"/>
    <w:rsid w:val="00AD3E4A"/>
    <w:rsid w:val="00AD41E2"/>
    <w:rsid w:val="00AD5CAD"/>
    <w:rsid w:val="00AE22D0"/>
    <w:rsid w:val="00AE6926"/>
    <w:rsid w:val="00AF17E2"/>
    <w:rsid w:val="00AF2784"/>
    <w:rsid w:val="00AF3636"/>
    <w:rsid w:val="00AF3A0D"/>
    <w:rsid w:val="00B02A81"/>
    <w:rsid w:val="00B12332"/>
    <w:rsid w:val="00B1753A"/>
    <w:rsid w:val="00B20BDF"/>
    <w:rsid w:val="00B238FD"/>
    <w:rsid w:val="00B34D37"/>
    <w:rsid w:val="00B404B8"/>
    <w:rsid w:val="00B53918"/>
    <w:rsid w:val="00B55EC3"/>
    <w:rsid w:val="00B56818"/>
    <w:rsid w:val="00B56973"/>
    <w:rsid w:val="00B56B31"/>
    <w:rsid w:val="00B577AF"/>
    <w:rsid w:val="00B57E58"/>
    <w:rsid w:val="00B61783"/>
    <w:rsid w:val="00B61E20"/>
    <w:rsid w:val="00B65F61"/>
    <w:rsid w:val="00B67F63"/>
    <w:rsid w:val="00B73256"/>
    <w:rsid w:val="00B73975"/>
    <w:rsid w:val="00B73C6F"/>
    <w:rsid w:val="00B74CA8"/>
    <w:rsid w:val="00B74FBF"/>
    <w:rsid w:val="00B77546"/>
    <w:rsid w:val="00B803B9"/>
    <w:rsid w:val="00B83B83"/>
    <w:rsid w:val="00B83E0D"/>
    <w:rsid w:val="00B935A8"/>
    <w:rsid w:val="00B93DD5"/>
    <w:rsid w:val="00BA6232"/>
    <w:rsid w:val="00BA70F2"/>
    <w:rsid w:val="00BA7C5C"/>
    <w:rsid w:val="00BC0FB0"/>
    <w:rsid w:val="00BD3A05"/>
    <w:rsid w:val="00BD771C"/>
    <w:rsid w:val="00BE0C1C"/>
    <w:rsid w:val="00BE2E6E"/>
    <w:rsid w:val="00BE46EA"/>
    <w:rsid w:val="00BE611A"/>
    <w:rsid w:val="00BE7E42"/>
    <w:rsid w:val="00BF0859"/>
    <w:rsid w:val="00BF664B"/>
    <w:rsid w:val="00BF6AB5"/>
    <w:rsid w:val="00C029CA"/>
    <w:rsid w:val="00C12768"/>
    <w:rsid w:val="00C12AEF"/>
    <w:rsid w:val="00C131CA"/>
    <w:rsid w:val="00C163C1"/>
    <w:rsid w:val="00C20B7F"/>
    <w:rsid w:val="00C20D12"/>
    <w:rsid w:val="00C214FE"/>
    <w:rsid w:val="00C336B5"/>
    <w:rsid w:val="00C33DA0"/>
    <w:rsid w:val="00C3468E"/>
    <w:rsid w:val="00C36F32"/>
    <w:rsid w:val="00C37204"/>
    <w:rsid w:val="00C40DA9"/>
    <w:rsid w:val="00C4155C"/>
    <w:rsid w:val="00C41DAC"/>
    <w:rsid w:val="00C43D0D"/>
    <w:rsid w:val="00C4582E"/>
    <w:rsid w:val="00C54C01"/>
    <w:rsid w:val="00C629AB"/>
    <w:rsid w:val="00C72356"/>
    <w:rsid w:val="00C81C2A"/>
    <w:rsid w:val="00C852B5"/>
    <w:rsid w:val="00C856DB"/>
    <w:rsid w:val="00C86B61"/>
    <w:rsid w:val="00C90B79"/>
    <w:rsid w:val="00C93E05"/>
    <w:rsid w:val="00C95191"/>
    <w:rsid w:val="00C95DC5"/>
    <w:rsid w:val="00C96DCC"/>
    <w:rsid w:val="00C97567"/>
    <w:rsid w:val="00CA210C"/>
    <w:rsid w:val="00CA2680"/>
    <w:rsid w:val="00CA4957"/>
    <w:rsid w:val="00CA6D64"/>
    <w:rsid w:val="00CC16B7"/>
    <w:rsid w:val="00CD395C"/>
    <w:rsid w:val="00CD4787"/>
    <w:rsid w:val="00CE2959"/>
    <w:rsid w:val="00CE5E42"/>
    <w:rsid w:val="00CF43E1"/>
    <w:rsid w:val="00D11446"/>
    <w:rsid w:val="00D11EF8"/>
    <w:rsid w:val="00D13576"/>
    <w:rsid w:val="00D17C90"/>
    <w:rsid w:val="00D17D6F"/>
    <w:rsid w:val="00D22615"/>
    <w:rsid w:val="00D24AAC"/>
    <w:rsid w:val="00D260B6"/>
    <w:rsid w:val="00D27B89"/>
    <w:rsid w:val="00D3153B"/>
    <w:rsid w:val="00D3517A"/>
    <w:rsid w:val="00D363AA"/>
    <w:rsid w:val="00D4055E"/>
    <w:rsid w:val="00D4755A"/>
    <w:rsid w:val="00D61F9D"/>
    <w:rsid w:val="00D6684E"/>
    <w:rsid w:val="00D77DB7"/>
    <w:rsid w:val="00D8468E"/>
    <w:rsid w:val="00D90CF9"/>
    <w:rsid w:val="00D91540"/>
    <w:rsid w:val="00D95E3E"/>
    <w:rsid w:val="00D96A38"/>
    <w:rsid w:val="00D971E2"/>
    <w:rsid w:val="00DA05DD"/>
    <w:rsid w:val="00DA0ACA"/>
    <w:rsid w:val="00DA15C7"/>
    <w:rsid w:val="00DA2A5D"/>
    <w:rsid w:val="00DC0DAD"/>
    <w:rsid w:val="00DC1016"/>
    <w:rsid w:val="00DC104C"/>
    <w:rsid w:val="00DC5197"/>
    <w:rsid w:val="00DD0D85"/>
    <w:rsid w:val="00DD1AFE"/>
    <w:rsid w:val="00DD3FE9"/>
    <w:rsid w:val="00DD42AB"/>
    <w:rsid w:val="00DE1D15"/>
    <w:rsid w:val="00DE40FC"/>
    <w:rsid w:val="00DE624D"/>
    <w:rsid w:val="00DE7194"/>
    <w:rsid w:val="00DE7DED"/>
    <w:rsid w:val="00DF0D06"/>
    <w:rsid w:val="00DF1B21"/>
    <w:rsid w:val="00DF1F21"/>
    <w:rsid w:val="00DF4151"/>
    <w:rsid w:val="00E01EFC"/>
    <w:rsid w:val="00E02591"/>
    <w:rsid w:val="00E0315A"/>
    <w:rsid w:val="00E07C24"/>
    <w:rsid w:val="00E12A5D"/>
    <w:rsid w:val="00E1546C"/>
    <w:rsid w:val="00E15BA1"/>
    <w:rsid w:val="00E160BA"/>
    <w:rsid w:val="00E21B9F"/>
    <w:rsid w:val="00E229CB"/>
    <w:rsid w:val="00E2327D"/>
    <w:rsid w:val="00E2367F"/>
    <w:rsid w:val="00E25768"/>
    <w:rsid w:val="00E2584E"/>
    <w:rsid w:val="00E25A3B"/>
    <w:rsid w:val="00E32979"/>
    <w:rsid w:val="00E376E3"/>
    <w:rsid w:val="00E469C3"/>
    <w:rsid w:val="00E50F44"/>
    <w:rsid w:val="00E52D52"/>
    <w:rsid w:val="00E535DE"/>
    <w:rsid w:val="00E54004"/>
    <w:rsid w:val="00E60663"/>
    <w:rsid w:val="00E61C3E"/>
    <w:rsid w:val="00E66CC0"/>
    <w:rsid w:val="00E708BF"/>
    <w:rsid w:val="00E71D3B"/>
    <w:rsid w:val="00E83C37"/>
    <w:rsid w:val="00E83E08"/>
    <w:rsid w:val="00E863C1"/>
    <w:rsid w:val="00E877AA"/>
    <w:rsid w:val="00EB1F11"/>
    <w:rsid w:val="00EB22DC"/>
    <w:rsid w:val="00EC1CD6"/>
    <w:rsid w:val="00EC1E55"/>
    <w:rsid w:val="00ED2EE8"/>
    <w:rsid w:val="00EE37E7"/>
    <w:rsid w:val="00EF132A"/>
    <w:rsid w:val="00EF138F"/>
    <w:rsid w:val="00EF327B"/>
    <w:rsid w:val="00EF72E9"/>
    <w:rsid w:val="00F0399E"/>
    <w:rsid w:val="00F03D58"/>
    <w:rsid w:val="00F108B0"/>
    <w:rsid w:val="00F17251"/>
    <w:rsid w:val="00F211D4"/>
    <w:rsid w:val="00F2402F"/>
    <w:rsid w:val="00F40028"/>
    <w:rsid w:val="00F420EB"/>
    <w:rsid w:val="00F43942"/>
    <w:rsid w:val="00F52A86"/>
    <w:rsid w:val="00F5742E"/>
    <w:rsid w:val="00F70D1A"/>
    <w:rsid w:val="00F750EA"/>
    <w:rsid w:val="00F75C78"/>
    <w:rsid w:val="00F836DD"/>
    <w:rsid w:val="00F92BB1"/>
    <w:rsid w:val="00FA5556"/>
    <w:rsid w:val="00FB427D"/>
    <w:rsid w:val="00FB712D"/>
    <w:rsid w:val="00FC0133"/>
    <w:rsid w:val="00FD681D"/>
    <w:rsid w:val="00FE2989"/>
    <w:rsid w:val="00FE6B76"/>
    <w:rsid w:val="00FF0791"/>
    <w:rsid w:val="00FF0922"/>
    <w:rsid w:val="00FF0FB6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8A86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7CF4"/>
  </w:style>
  <w:style w:type="paragraph" w:styleId="Nadpis1">
    <w:name w:val="heading 1"/>
    <w:basedOn w:val="Normlny"/>
    <w:next w:val="Normlny"/>
    <w:link w:val="Nadpis1Char"/>
    <w:qFormat/>
    <w:rsid w:val="0026319A"/>
    <w:pPr>
      <w:keepNext/>
      <w:ind w:right="-192"/>
      <w:outlineLvl w:val="0"/>
    </w:pPr>
    <w:rPr>
      <w:rFonts w:ascii="Times New Roman" w:eastAsia="Times New Roman" w:hAnsi="Times New Roman"/>
      <w:b/>
      <w:sz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6319A"/>
    <w:pPr>
      <w:keepNext/>
      <w:ind w:right="-192"/>
      <w:jc w:val="center"/>
      <w:outlineLvl w:val="1"/>
    </w:pPr>
    <w:rPr>
      <w:rFonts w:ascii="Times New Roman" w:eastAsia="Times New Roman" w:hAnsi="Times New Roman"/>
      <w:b/>
      <w:sz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6319A"/>
    <w:pPr>
      <w:keepNext/>
      <w:ind w:right="-192"/>
      <w:outlineLvl w:val="2"/>
    </w:pPr>
    <w:rPr>
      <w:rFonts w:ascii="Arial" w:eastAsia="Times New Roman" w:hAnsi="Arial"/>
      <w:i/>
      <w:sz w:val="16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6319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16E6C"/>
    <w:pPr>
      <w:spacing w:before="120" w:after="120"/>
      <w:jc w:val="both"/>
    </w:pPr>
    <w:rPr>
      <w:lang w:val="en-US" w:eastAsia="en-US"/>
    </w:rPr>
  </w:style>
  <w:style w:type="character" w:styleId="Odkaznakomentr">
    <w:name w:val="annotation reference"/>
    <w:uiPriority w:val="99"/>
    <w:semiHidden/>
    <w:unhideWhenUsed/>
    <w:rsid w:val="00DF4151"/>
    <w:rPr>
      <w:sz w:val="16"/>
      <w:szCs w:val="16"/>
    </w:rPr>
  </w:style>
  <w:style w:type="character" w:customStyle="1" w:styleId="ZkladntextChar">
    <w:name w:val="Základný text Char"/>
    <w:rsid w:val="00716E6C"/>
    <w:rPr>
      <w:rFonts w:ascii="Times New Roman" w:eastAsia="Times New Roman" w:hAnsi="Times New Roman"/>
      <w:sz w:val="22"/>
      <w:szCs w:val="24"/>
      <w:lang w:val="sk-SK" w:eastAsia="sk-SK"/>
    </w:rPr>
  </w:style>
  <w:style w:type="character" w:customStyle="1" w:styleId="Nadpis1Char">
    <w:name w:val="Nadpis 1 Char"/>
    <w:link w:val="Nadpis1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2Char">
    <w:name w:val="Nadpis 2 Char"/>
    <w:link w:val="Nadpis2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3Char">
    <w:name w:val="Nadpis 3 Char"/>
    <w:link w:val="Nadpis3"/>
    <w:rsid w:val="0026319A"/>
    <w:rPr>
      <w:rFonts w:ascii="Arial" w:eastAsia="Times New Roman" w:hAnsi="Arial"/>
      <w:i/>
      <w:sz w:val="16"/>
      <w:lang w:val="sk-SK" w:eastAsia="cs-CZ"/>
    </w:rPr>
  </w:style>
  <w:style w:type="character" w:customStyle="1" w:styleId="Nadpis4Char">
    <w:name w:val="Nadpis 4 Char"/>
    <w:link w:val="Nadpis4"/>
    <w:semiHidden/>
    <w:rsid w:val="0026319A"/>
    <w:rPr>
      <w:rFonts w:eastAsia="Times New Roman"/>
      <w:b/>
      <w:bCs/>
      <w:sz w:val="28"/>
      <w:szCs w:val="28"/>
      <w:lang w:val="sk-SK" w:eastAsia="cs-CZ"/>
    </w:rPr>
  </w:style>
  <w:style w:type="paragraph" w:styleId="Pta">
    <w:name w:val="footer"/>
    <w:basedOn w:val="Normlny"/>
    <w:link w:val="PtaChar"/>
    <w:uiPriority w:val="99"/>
    <w:rsid w:val="0026319A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cs-CZ"/>
    </w:rPr>
  </w:style>
  <w:style w:type="character" w:customStyle="1" w:styleId="PtaChar">
    <w:name w:val="Päta Char"/>
    <w:link w:val="Pta"/>
    <w:uiPriority w:val="99"/>
    <w:rsid w:val="0026319A"/>
    <w:rPr>
      <w:rFonts w:ascii="Times New Roman" w:eastAsia="Times New Roman" w:hAnsi="Times New Roman"/>
      <w:lang w:val="sk-SK" w:eastAsia="cs-CZ"/>
    </w:rPr>
  </w:style>
  <w:style w:type="character" w:styleId="slostrany">
    <w:name w:val="page number"/>
    <w:basedOn w:val="Predvolenpsmoodseku"/>
    <w:rsid w:val="0026319A"/>
  </w:style>
  <w:style w:type="paragraph" w:styleId="Hlavika">
    <w:name w:val="header"/>
    <w:basedOn w:val="Normlny"/>
    <w:link w:val="HlavikaChar"/>
    <w:rsid w:val="0026319A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cs-CZ"/>
    </w:rPr>
  </w:style>
  <w:style w:type="character" w:customStyle="1" w:styleId="HlavikaChar">
    <w:name w:val="Hlavička Char"/>
    <w:link w:val="Hlavika"/>
    <w:rsid w:val="0026319A"/>
    <w:rPr>
      <w:rFonts w:ascii="Times New Roman" w:eastAsia="Times New Roman" w:hAnsi="Times New Roman"/>
      <w:lang w:val="sk-SK" w:eastAsia="cs-CZ"/>
    </w:rPr>
  </w:style>
  <w:style w:type="paragraph" w:styleId="Textbubliny">
    <w:name w:val="Balloon Text"/>
    <w:basedOn w:val="Normlny"/>
    <w:link w:val="TextbublinyChar"/>
    <w:semiHidden/>
    <w:rsid w:val="0026319A"/>
    <w:rPr>
      <w:rFonts w:ascii="Tahoma" w:eastAsia="Times New Roman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semiHidden/>
    <w:rsid w:val="0026319A"/>
    <w:rPr>
      <w:rFonts w:ascii="Tahoma" w:eastAsia="Times New Roman" w:hAnsi="Tahoma" w:cs="Tahoma"/>
      <w:sz w:val="16"/>
      <w:szCs w:val="16"/>
      <w:lang w:val="sk-SK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415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41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415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F4151"/>
    <w:rPr>
      <w:b/>
      <w:bCs/>
    </w:rPr>
  </w:style>
  <w:style w:type="paragraph" w:styleId="Revzia">
    <w:name w:val="Revision"/>
    <w:hidden/>
    <w:uiPriority w:val="99"/>
    <w:semiHidden/>
    <w:rsid w:val="00DF4151"/>
  </w:style>
  <w:style w:type="paragraph" w:styleId="Odsekzoznamu">
    <w:name w:val="List Paragraph"/>
    <w:basedOn w:val="Normlny"/>
    <w:uiPriority w:val="34"/>
    <w:qFormat/>
    <w:rsid w:val="00AD2DCA"/>
    <w:pPr>
      <w:ind w:left="720"/>
      <w:contextualSpacing/>
    </w:pPr>
    <w:rPr>
      <w:rFonts w:ascii="Times New Roman" w:eastAsia="Times New Roman" w:hAnsi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7CF4"/>
  </w:style>
  <w:style w:type="paragraph" w:styleId="Nadpis1">
    <w:name w:val="heading 1"/>
    <w:basedOn w:val="Normlny"/>
    <w:next w:val="Normlny"/>
    <w:link w:val="Nadpis1Char"/>
    <w:qFormat/>
    <w:rsid w:val="0026319A"/>
    <w:pPr>
      <w:keepNext/>
      <w:ind w:right="-192"/>
      <w:outlineLvl w:val="0"/>
    </w:pPr>
    <w:rPr>
      <w:rFonts w:ascii="Times New Roman" w:eastAsia="Times New Roman" w:hAnsi="Times New Roman"/>
      <w:b/>
      <w:sz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6319A"/>
    <w:pPr>
      <w:keepNext/>
      <w:ind w:right="-192"/>
      <w:jc w:val="center"/>
      <w:outlineLvl w:val="1"/>
    </w:pPr>
    <w:rPr>
      <w:rFonts w:ascii="Times New Roman" w:eastAsia="Times New Roman" w:hAnsi="Times New Roman"/>
      <w:b/>
      <w:sz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6319A"/>
    <w:pPr>
      <w:keepNext/>
      <w:ind w:right="-192"/>
      <w:outlineLvl w:val="2"/>
    </w:pPr>
    <w:rPr>
      <w:rFonts w:ascii="Arial" w:eastAsia="Times New Roman" w:hAnsi="Arial"/>
      <w:i/>
      <w:sz w:val="16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6319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16E6C"/>
    <w:pPr>
      <w:spacing w:before="120" w:after="120"/>
      <w:jc w:val="both"/>
    </w:pPr>
    <w:rPr>
      <w:lang w:val="en-US" w:eastAsia="en-US"/>
    </w:rPr>
  </w:style>
  <w:style w:type="character" w:styleId="Odkaznakomentr">
    <w:name w:val="annotation reference"/>
    <w:uiPriority w:val="99"/>
    <w:semiHidden/>
    <w:unhideWhenUsed/>
    <w:rsid w:val="00DF4151"/>
    <w:rPr>
      <w:sz w:val="16"/>
      <w:szCs w:val="16"/>
    </w:rPr>
  </w:style>
  <w:style w:type="character" w:customStyle="1" w:styleId="ZkladntextChar">
    <w:name w:val="Základný text Char"/>
    <w:rsid w:val="00716E6C"/>
    <w:rPr>
      <w:rFonts w:ascii="Times New Roman" w:eastAsia="Times New Roman" w:hAnsi="Times New Roman"/>
      <w:sz w:val="22"/>
      <w:szCs w:val="24"/>
      <w:lang w:val="sk-SK" w:eastAsia="sk-SK"/>
    </w:rPr>
  </w:style>
  <w:style w:type="character" w:customStyle="1" w:styleId="Nadpis1Char">
    <w:name w:val="Nadpis 1 Char"/>
    <w:link w:val="Nadpis1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2Char">
    <w:name w:val="Nadpis 2 Char"/>
    <w:link w:val="Nadpis2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3Char">
    <w:name w:val="Nadpis 3 Char"/>
    <w:link w:val="Nadpis3"/>
    <w:rsid w:val="0026319A"/>
    <w:rPr>
      <w:rFonts w:ascii="Arial" w:eastAsia="Times New Roman" w:hAnsi="Arial"/>
      <w:i/>
      <w:sz w:val="16"/>
      <w:lang w:val="sk-SK" w:eastAsia="cs-CZ"/>
    </w:rPr>
  </w:style>
  <w:style w:type="character" w:customStyle="1" w:styleId="Nadpis4Char">
    <w:name w:val="Nadpis 4 Char"/>
    <w:link w:val="Nadpis4"/>
    <w:semiHidden/>
    <w:rsid w:val="0026319A"/>
    <w:rPr>
      <w:rFonts w:eastAsia="Times New Roman"/>
      <w:b/>
      <w:bCs/>
      <w:sz w:val="28"/>
      <w:szCs w:val="28"/>
      <w:lang w:val="sk-SK" w:eastAsia="cs-CZ"/>
    </w:rPr>
  </w:style>
  <w:style w:type="paragraph" w:styleId="Pta">
    <w:name w:val="footer"/>
    <w:basedOn w:val="Normlny"/>
    <w:link w:val="PtaChar"/>
    <w:uiPriority w:val="99"/>
    <w:rsid w:val="0026319A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cs-CZ"/>
    </w:rPr>
  </w:style>
  <w:style w:type="character" w:customStyle="1" w:styleId="PtaChar">
    <w:name w:val="Päta Char"/>
    <w:link w:val="Pta"/>
    <w:uiPriority w:val="99"/>
    <w:rsid w:val="0026319A"/>
    <w:rPr>
      <w:rFonts w:ascii="Times New Roman" w:eastAsia="Times New Roman" w:hAnsi="Times New Roman"/>
      <w:lang w:val="sk-SK" w:eastAsia="cs-CZ"/>
    </w:rPr>
  </w:style>
  <w:style w:type="character" w:styleId="slostrany">
    <w:name w:val="page number"/>
    <w:basedOn w:val="Predvolenpsmoodseku"/>
    <w:rsid w:val="0026319A"/>
  </w:style>
  <w:style w:type="paragraph" w:styleId="Hlavika">
    <w:name w:val="header"/>
    <w:basedOn w:val="Normlny"/>
    <w:link w:val="HlavikaChar"/>
    <w:rsid w:val="0026319A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cs-CZ"/>
    </w:rPr>
  </w:style>
  <w:style w:type="character" w:customStyle="1" w:styleId="HlavikaChar">
    <w:name w:val="Hlavička Char"/>
    <w:link w:val="Hlavika"/>
    <w:rsid w:val="0026319A"/>
    <w:rPr>
      <w:rFonts w:ascii="Times New Roman" w:eastAsia="Times New Roman" w:hAnsi="Times New Roman"/>
      <w:lang w:val="sk-SK" w:eastAsia="cs-CZ"/>
    </w:rPr>
  </w:style>
  <w:style w:type="paragraph" w:styleId="Textbubliny">
    <w:name w:val="Balloon Text"/>
    <w:basedOn w:val="Normlny"/>
    <w:link w:val="TextbublinyChar"/>
    <w:semiHidden/>
    <w:rsid w:val="0026319A"/>
    <w:rPr>
      <w:rFonts w:ascii="Tahoma" w:eastAsia="Times New Roman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semiHidden/>
    <w:rsid w:val="0026319A"/>
    <w:rPr>
      <w:rFonts w:ascii="Tahoma" w:eastAsia="Times New Roman" w:hAnsi="Tahoma" w:cs="Tahoma"/>
      <w:sz w:val="16"/>
      <w:szCs w:val="16"/>
      <w:lang w:val="sk-SK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415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41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415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F4151"/>
    <w:rPr>
      <w:b/>
      <w:bCs/>
    </w:rPr>
  </w:style>
  <w:style w:type="paragraph" w:styleId="Revzia">
    <w:name w:val="Revision"/>
    <w:hidden/>
    <w:uiPriority w:val="99"/>
    <w:semiHidden/>
    <w:rsid w:val="00DF4151"/>
  </w:style>
  <w:style w:type="paragraph" w:styleId="Odsekzoznamu">
    <w:name w:val="List Paragraph"/>
    <w:basedOn w:val="Normlny"/>
    <w:uiPriority w:val="34"/>
    <w:qFormat/>
    <w:rsid w:val="00AD2DCA"/>
    <w:pPr>
      <w:ind w:left="720"/>
      <w:contextualSpacing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3014</Words>
  <Characters>17185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Zentiva a.s.</Company>
  <LinksUpToDate>false</LinksUpToDate>
  <CharactersWithSpaces>20159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Jarkovská Stanislava</dc:creator>
  <cp:lastModifiedBy>Uhnáková Milota</cp:lastModifiedBy>
  <cp:revision>2</cp:revision>
  <cp:lastPrinted>2018-07-09T11:07:00Z</cp:lastPrinted>
  <dcterms:created xsi:type="dcterms:W3CDTF">2020-05-25T11:26:00Z</dcterms:created>
  <dcterms:modified xsi:type="dcterms:W3CDTF">2020-05-25T11:26:00Z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