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B9245" w14:textId="77777777" w:rsidR="00546A93" w:rsidRPr="005B3B88" w:rsidRDefault="00546A93" w:rsidP="001E6170">
      <w:pPr>
        <w:pStyle w:val="Default"/>
        <w:rPr>
          <w:b/>
          <w:bCs/>
          <w:sz w:val="22"/>
          <w:szCs w:val="22"/>
        </w:rPr>
      </w:pPr>
    </w:p>
    <w:p w14:paraId="2847476C" w14:textId="77777777" w:rsidR="00546A93" w:rsidRPr="005B3B88" w:rsidRDefault="00546A93" w:rsidP="001E6170">
      <w:pPr>
        <w:pStyle w:val="Default"/>
        <w:jc w:val="center"/>
        <w:rPr>
          <w:b/>
          <w:bCs/>
          <w:caps/>
          <w:sz w:val="22"/>
          <w:szCs w:val="22"/>
        </w:rPr>
      </w:pPr>
      <w:r w:rsidRPr="005B3B88">
        <w:rPr>
          <w:b/>
          <w:bCs/>
          <w:caps/>
          <w:sz w:val="22"/>
          <w:szCs w:val="22"/>
        </w:rPr>
        <w:t>Súhrn charakteristických vlastností lieku</w:t>
      </w:r>
    </w:p>
    <w:p w14:paraId="518BB25B" w14:textId="77777777" w:rsidR="00546A93" w:rsidRPr="005B3B88" w:rsidRDefault="00546A93" w:rsidP="00C444B8">
      <w:pPr>
        <w:pStyle w:val="Default"/>
        <w:rPr>
          <w:b/>
          <w:bCs/>
          <w:caps/>
          <w:sz w:val="22"/>
          <w:szCs w:val="22"/>
        </w:rPr>
      </w:pPr>
    </w:p>
    <w:p w14:paraId="774628C5" w14:textId="77777777" w:rsidR="00546A93" w:rsidRPr="005B3B88" w:rsidRDefault="00546A93" w:rsidP="00C444B8">
      <w:pPr>
        <w:pStyle w:val="Default"/>
        <w:rPr>
          <w:b/>
          <w:bCs/>
          <w:caps/>
          <w:sz w:val="22"/>
          <w:szCs w:val="22"/>
        </w:rPr>
      </w:pPr>
    </w:p>
    <w:p w14:paraId="5996F3FE" w14:textId="77777777" w:rsidR="00546A93" w:rsidRPr="005B3B88" w:rsidRDefault="00546A93" w:rsidP="001E6170">
      <w:pPr>
        <w:pStyle w:val="Default"/>
        <w:tabs>
          <w:tab w:val="left" w:pos="567"/>
        </w:tabs>
        <w:rPr>
          <w:b/>
          <w:bCs/>
          <w:sz w:val="22"/>
          <w:szCs w:val="22"/>
        </w:rPr>
      </w:pPr>
      <w:r w:rsidRPr="005B3B88">
        <w:rPr>
          <w:b/>
          <w:bCs/>
          <w:sz w:val="22"/>
          <w:szCs w:val="22"/>
        </w:rPr>
        <w:t>1.</w:t>
      </w:r>
      <w:r w:rsidR="00CF2D08" w:rsidRPr="005B3B88">
        <w:rPr>
          <w:b/>
          <w:bCs/>
          <w:sz w:val="22"/>
          <w:szCs w:val="22"/>
        </w:rPr>
        <w:tab/>
      </w:r>
      <w:r w:rsidRPr="005B3B88">
        <w:rPr>
          <w:b/>
          <w:bCs/>
          <w:sz w:val="22"/>
          <w:szCs w:val="22"/>
        </w:rPr>
        <w:t>NÁZOV LIEKU</w:t>
      </w:r>
    </w:p>
    <w:p w14:paraId="0F1B3CCE" w14:textId="77777777" w:rsidR="00546A93" w:rsidRPr="005B3B88" w:rsidRDefault="00546A93" w:rsidP="00B20146">
      <w:pPr>
        <w:pStyle w:val="Default"/>
        <w:rPr>
          <w:sz w:val="22"/>
          <w:szCs w:val="22"/>
        </w:rPr>
      </w:pPr>
      <w:r w:rsidRPr="005B3B88">
        <w:rPr>
          <w:b/>
          <w:bCs/>
          <w:sz w:val="22"/>
          <w:szCs w:val="22"/>
        </w:rPr>
        <w:t xml:space="preserve"> </w:t>
      </w:r>
    </w:p>
    <w:p w14:paraId="22F86309" w14:textId="77777777" w:rsidR="00546A93" w:rsidRPr="005B3B88" w:rsidRDefault="007A6951" w:rsidP="00B20146">
      <w:pPr>
        <w:pStyle w:val="Default"/>
        <w:rPr>
          <w:sz w:val="22"/>
          <w:szCs w:val="22"/>
        </w:rPr>
      </w:pPr>
      <w:r>
        <w:rPr>
          <w:sz w:val="22"/>
          <w:szCs w:val="22"/>
        </w:rPr>
        <w:t>Xanirva</w:t>
      </w:r>
      <w:r w:rsidR="00770E49">
        <w:rPr>
          <w:sz w:val="22"/>
          <w:szCs w:val="22"/>
        </w:rPr>
        <w:t xml:space="preserve"> 2,</w:t>
      </w:r>
      <w:r w:rsidR="00546A93" w:rsidRPr="005B3B88">
        <w:rPr>
          <w:sz w:val="22"/>
          <w:szCs w:val="22"/>
        </w:rPr>
        <w:t xml:space="preserve">5 mg filmom obalené tablety </w:t>
      </w:r>
    </w:p>
    <w:p w14:paraId="2DFC0C97" w14:textId="77777777" w:rsidR="00546A93" w:rsidRPr="00163D04" w:rsidRDefault="00546A93" w:rsidP="00B20146">
      <w:pPr>
        <w:pStyle w:val="Default"/>
        <w:rPr>
          <w:sz w:val="22"/>
          <w:szCs w:val="22"/>
        </w:rPr>
      </w:pPr>
    </w:p>
    <w:p w14:paraId="397BB8CD" w14:textId="77777777" w:rsidR="00546A93" w:rsidRPr="00163D04" w:rsidRDefault="00546A93" w:rsidP="00B20146">
      <w:pPr>
        <w:pStyle w:val="Default"/>
        <w:rPr>
          <w:sz w:val="22"/>
          <w:szCs w:val="22"/>
        </w:rPr>
      </w:pPr>
    </w:p>
    <w:p w14:paraId="5A6D4FF0" w14:textId="77777777" w:rsidR="00546A93" w:rsidRPr="00163D04" w:rsidRDefault="00546A93" w:rsidP="00B20146">
      <w:pPr>
        <w:pStyle w:val="Default"/>
        <w:tabs>
          <w:tab w:val="left" w:pos="567"/>
        </w:tabs>
        <w:rPr>
          <w:b/>
          <w:bCs/>
          <w:sz w:val="22"/>
          <w:szCs w:val="22"/>
        </w:rPr>
      </w:pPr>
      <w:r w:rsidRPr="00163D04">
        <w:rPr>
          <w:b/>
          <w:bCs/>
          <w:sz w:val="22"/>
          <w:szCs w:val="22"/>
        </w:rPr>
        <w:t>2.</w:t>
      </w:r>
      <w:r w:rsidR="00CF2D08" w:rsidRPr="00163D04">
        <w:rPr>
          <w:b/>
          <w:bCs/>
          <w:sz w:val="22"/>
          <w:szCs w:val="22"/>
        </w:rPr>
        <w:tab/>
      </w:r>
      <w:r w:rsidRPr="00163D04">
        <w:rPr>
          <w:b/>
          <w:bCs/>
          <w:sz w:val="22"/>
          <w:szCs w:val="22"/>
        </w:rPr>
        <w:t xml:space="preserve">KVALITATÍVNE A KVANTITATÍVNE ZLOŽENIE </w:t>
      </w:r>
    </w:p>
    <w:p w14:paraId="2EA07E42" w14:textId="77777777" w:rsidR="00546A93" w:rsidRPr="00163D04" w:rsidRDefault="00546A93" w:rsidP="00B20146">
      <w:pPr>
        <w:pStyle w:val="Default"/>
        <w:rPr>
          <w:sz w:val="22"/>
          <w:szCs w:val="22"/>
        </w:rPr>
      </w:pPr>
      <w:r w:rsidRPr="00163D04">
        <w:rPr>
          <w:b/>
          <w:bCs/>
          <w:sz w:val="22"/>
          <w:szCs w:val="22"/>
        </w:rPr>
        <w:t xml:space="preserve"> </w:t>
      </w:r>
    </w:p>
    <w:p w14:paraId="5E187C2C" w14:textId="77777777" w:rsidR="00546A93" w:rsidRPr="00163D04" w:rsidRDefault="00546A93" w:rsidP="00B20146">
      <w:pPr>
        <w:pStyle w:val="Default"/>
        <w:rPr>
          <w:sz w:val="22"/>
          <w:szCs w:val="22"/>
        </w:rPr>
      </w:pPr>
      <w:r w:rsidRPr="00163D04">
        <w:rPr>
          <w:sz w:val="22"/>
          <w:szCs w:val="22"/>
        </w:rPr>
        <w:t xml:space="preserve">Každá filmom obalená tableta obsahuje </w:t>
      </w:r>
      <w:r w:rsidR="00770E49">
        <w:rPr>
          <w:sz w:val="22"/>
          <w:szCs w:val="22"/>
        </w:rPr>
        <w:t>2,</w:t>
      </w:r>
      <w:r w:rsidRPr="00163D04">
        <w:rPr>
          <w:sz w:val="22"/>
          <w:szCs w:val="22"/>
        </w:rPr>
        <w:t>5 mg rivaroxab</w:t>
      </w:r>
      <w:r w:rsidR="00CF2D08" w:rsidRPr="00163D04">
        <w:rPr>
          <w:sz w:val="22"/>
          <w:szCs w:val="22"/>
        </w:rPr>
        <w:t>á</w:t>
      </w:r>
      <w:r w:rsidRPr="00163D04">
        <w:rPr>
          <w:sz w:val="22"/>
          <w:szCs w:val="22"/>
        </w:rPr>
        <w:t xml:space="preserve">nu. </w:t>
      </w:r>
    </w:p>
    <w:p w14:paraId="6C6087C9" w14:textId="77777777" w:rsidR="00546A93" w:rsidRPr="00163D04" w:rsidRDefault="00546A93" w:rsidP="00B20146">
      <w:pPr>
        <w:pStyle w:val="Default"/>
        <w:rPr>
          <w:sz w:val="22"/>
          <w:szCs w:val="22"/>
        </w:rPr>
      </w:pPr>
    </w:p>
    <w:p w14:paraId="4E462820" w14:textId="77777777" w:rsidR="00546A93" w:rsidRPr="00163D04" w:rsidRDefault="00546A93" w:rsidP="00B20146">
      <w:pPr>
        <w:pStyle w:val="Default"/>
        <w:rPr>
          <w:sz w:val="22"/>
          <w:szCs w:val="22"/>
          <w:u w:val="single"/>
        </w:rPr>
      </w:pPr>
      <w:r w:rsidRPr="00163D04">
        <w:rPr>
          <w:sz w:val="22"/>
          <w:szCs w:val="22"/>
          <w:u w:val="single"/>
        </w:rPr>
        <w:t xml:space="preserve">Pomocná látka so známym účinkom: </w:t>
      </w:r>
    </w:p>
    <w:p w14:paraId="747E2212" w14:textId="29CBCA6E" w:rsidR="00546A93" w:rsidRPr="005F447E" w:rsidRDefault="00546A93" w:rsidP="00B20146">
      <w:pPr>
        <w:pStyle w:val="Default"/>
        <w:rPr>
          <w:sz w:val="22"/>
          <w:szCs w:val="22"/>
        </w:rPr>
      </w:pPr>
      <w:r w:rsidRPr="00163D04">
        <w:rPr>
          <w:sz w:val="22"/>
          <w:szCs w:val="22"/>
        </w:rPr>
        <w:t>Každá f</w:t>
      </w:r>
      <w:r w:rsidR="00770E49">
        <w:rPr>
          <w:sz w:val="22"/>
          <w:szCs w:val="22"/>
        </w:rPr>
        <w:t xml:space="preserve">ilmom obalená tableta obsahuje </w:t>
      </w:r>
      <w:r w:rsidR="00F14C68" w:rsidRPr="00163D04">
        <w:rPr>
          <w:sz w:val="22"/>
          <w:szCs w:val="22"/>
        </w:rPr>
        <w:t>28,</w:t>
      </w:r>
      <w:r w:rsidR="00770E49">
        <w:rPr>
          <w:sz w:val="22"/>
          <w:szCs w:val="22"/>
        </w:rPr>
        <w:t>5</w:t>
      </w:r>
      <w:r w:rsidRPr="00163D04">
        <w:rPr>
          <w:sz w:val="22"/>
          <w:szCs w:val="22"/>
        </w:rPr>
        <w:t xml:space="preserve"> mg </w:t>
      </w:r>
      <w:r w:rsidR="00DA3B7D">
        <w:rPr>
          <w:sz w:val="22"/>
          <w:szCs w:val="22"/>
        </w:rPr>
        <w:t xml:space="preserve">monohydrátu </w:t>
      </w:r>
      <w:r w:rsidRPr="00163D04">
        <w:rPr>
          <w:sz w:val="22"/>
          <w:szCs w:val="22"/>
        </w:rPr>
        <w:t>laktózy</w:t>
      </w:r>
      <w:r w:rsidR="00DA3B7D">
        <w:rPr>
          <w:sz w:val="22"/>
          <w:szCs w:val="22"/>
        </w:rPr>
        <w:t>.</w:t>
      </w:r>
    </w:p>
    <w:p w14:paraId="25EE1390" w14:textId="77777777" w:rsidR="00546A93" w:rsidRPr="005F447E" w:rsidRDefault="00546A93" w:rsidP="00B20146">
      <w:pPr>
        <w:pStyle w:val="Default"/>
        <w:rPr>
          <w:sz w:val="22"/>
          <w:szCs w:val="22"/>
        </w:rPr>
      </w:pPr>
    </w:p>
    <w:p w14:paraId="39713B14" w14:textId="77777777" w:rsidR="00445023" w:rsidRPr="005B3B88" w:rsidRDefault="00546A93" w:rsidP="00C444B8">
      <w:pPr>
        <w:spacing w:after="0" w:line="240" w:lineRule="auto"/>
        <w:rPr>
          <w:rFonts w:ascii="Times New Roman" w:hAnsi="Times New Roman" w:cs="Times New Roman"/>
        </w:rPr>
      </w:pPr>
      <w:r w:rsidRPr="005B3B88">
        <w:rPr>
          <w:rFonts w:ascii="Times New Roman" w:hAnsi="Times New Roman" w:cs="Times New Roman"/>
        </w:rPr>
        <w:t>Úplný zoznam pomocných látok, pozri časť 6.1.</w:t>
      </w:r>
    </w:p>
    <w:p w14:paraId="47F437D8" w14:textId="77777777" w:rsidR="00546A93" w:rsidRPr="005B3B88" w:rsidRDefault="00546A93" w:rsidP="00C444B8">
      <w:pPr>
        <w:spacing w:after="0" w:line="240" w:lineRule="auto"/>
        <w:rPr>
          <w:rFonts w:ascii="Times New Roman" w:hAnsi="Times New Roman" w:cs="Times New Roman"/>
        </w:rPr>
      </w:pPr>
    </w:p>
    <w:p w14:paraId="7F0F418A" w14:textId="77777777" w:rsidR="00CF2D08" w:rsidRPr="005B3B88" w:rsidRDefault="00CF2D08" w:rsidP="00C444B8">
      <w:pPr>
        <w:spacing w:after="0" w:line="240" w:lineRule="auto"/>
        <w:rPr>
          <w:rFonts w:ascii="Times New Roman" w:hAnsi="Times New Roman" w:cs="Times New Roman"/>
        </w:rPr>
      </w:pPr>
    </w:p>
    <w:p w14:paraId="075256CE" w14:textId="77777777" w:rsidR="00546A93" w:rsidRPr="005B3B88" w:rsidRDefault="00546A93" w:rsidP="001E6170">
      <w:pPr>
        <w:pStyle w:val="Default"/>
        <w:tabs>
          <w:tab w:val="left" w:pos="567"/>
        </w:tabs>
        <w:rPr>
          <w:b/>
          <w:bCs/>
          <w:sz w:val="22"/>
          <w:szCs w:val="22"/>
        </w:rPr>
      </w:pPr>
      <w:r w:rsidRPr="005B3B88">
        <w:rPr>
          <w:b/>
          <w:bCs/>
          <w:sz w:val="22"/>
          <w:szCs w:val="22"/>
        </w:rPr>
        <w:t>3.</w:t>
      </w:r>
      <w:r w:rsidR="00CF2D08" w:rsidRPr="005B3B88">
        <w:rPr>
          <w:b/>
          <w:bCs/>
          <w:sz w:val="22"/>
          <w:szCs w:val="22"/>
        </w:rPr>
        <w:tab/>
      </w:r>
      <w:r w:rsidRPr="005B3B88">
        <w:rPr>
          <w:b/>
          <w:bCs/>
          <w:sz w:val="22"/>
          <w:szCs w:val="22"/>
        </w:rPr>
        <w:t xml:space="preserve">LIEKOVÁ FORMA </w:t>
      </w:r>
    </w:p>
    <w:p w14:paraId="7CD8C020" w14:textId="77777777" w:rsidR="00546A93" w:rsidRPr="005B3B88" w:rsidRDefault="00546A93" w:rsidP="00B20146">
      <w:pPr>
        <w:pStyle w:val="Default"/>
        <w:rPr>
          <w:sz w:val="22"/>
          <w:szCs w:val="22"/>
        </w:rPr>
      </w:pPr>
    </w:p>
    <w:p w14:paraId="224F7AAC" w14:textId="77777777" w:rsidR="00546A93" w:rsidRPr="005B3B88" w:rsidRDefault="00546A93" w:rsidP="00B20146">
      <w:pPr>
        <w:pStyle w:val="Default"/>
        <w:rPr>
          <w:sz w:val="22"/>
          <w:szCs w:val="22"/>
        </w:rPr>
      </w:pPr>
      <w:r w:rsidRPr="005B3B88">
        <w:rPr>
          <w:sz w:val="22"/>
          <w:szCs w:val="22"/>
        </w:rPr>
        <w:t xml:space="preserve">Filmom obalená tableta </w:t>
      </w:r>
    </w:p>
    <w:p w14:paraId="5E21D374" w14:textId="77777777" w:rsidR="00546A93" w:rsidRPr="005B3B88" w:rsidRDefault="00546A93" w:rsidP="00B20146">
      <w:pPr>
        <w:pStyle w:val="Default"/>
        <w:rPr>
          <w:sz w:val="22"/>
          <w:szCs w:val="22"/>
        </w:rPr>
      </w:pPr>
    </w:p>
    <w:p w14:paraId="52B9E11B" w14:textId="77777777" w:rsidR="00546A93" w:rsidRPr="005B3B88" w:rsidRDefault="00770E49" w:rsidP="00B20146">
      <w:pPr>
        <w:pStyle w:val="Default"/>
        <w:rPr>
          <w:sz w:val="22"/>
          <w:szCs w:val="22"/>
        </w:rPr>
      </w:pPr>
      <w:r>
        <w:rPr>
          <w:sz w:val="22"/>
          <w:szCs w:val="22"/>
        </w:rPr>
        <w:t>Žlté</w:t>
      </w:r>
      <w:r w:rsidR="00DA3B7D">
        <w:rPr>
          <w:sz w:val="22"/>
          <w:szCs w:val="22"/>
        </w:rPr>
        <w:t>,</w:t>
      </w:r>
      <w:r w:rsidR="00546A93" w:rsidRPr="005B3B88">
        <w:rPr>
          <w:sz w:val="22"/>
          <w:szCs w:val="22"/>
        </w:rPr>
        <w:t xml:space="preserve"> okrúhle</w:t>
      </w:r>
      <w:r w:rsidR="00DA3B7D">
        <w:rPr>
          <w:sz w:val="22"/>
          <w:szCs w:val="22"/>
        </w:rPr>
        <w:t>,</w:t>
      </w:r>
      <w:r w:rsidR="00546A93" w:rsidRPr="005B3B88">
        <w:rPr>
          <w:sz w:val="22"/>
          <w:szCs w:val="22"/>
        </w:rPr>
        <w:t xml:space="preserve"> bikonvexné</w:t>
      </w:r>
      <w:r w:rsidR="00DA3B7D">
        <w:rPr>
          <w:sz w:val="22"/>
          <w:szCs w:val="22"/>
        </w:rPr>
        <w:t>,</w:t>
      </w:r>
      <w:r w:rsidR="00546A93" w:rsidRPr="005B3B88">
        <w:rPr>
          <w:sz w:val="22"/>
          <w:szCs w:val="22"/>
        </w:rPr>
        <w:t xml:space="preserve"> filmom obalené tablety </w:t>
      </w:r>
      <w:r w:rsidR="00F14C68">
        <w:rPr>
          <w:sz w:val="22"/>
          <w:szCs w:val="22"/>
        </w:rPr>
        <w:t>(</w:t>
      </w:r>
      <w:r w:rsidR="00F14C68" w:rsidRPr="005B3B88">
        <w:rPr>
          <w:sz w:val="22"/>
          <w:szCs w:val="22"/>
        </w:rPr>
        <w:t xml:space="preserve">s priemerom približne </w:t>
      </w:r>
      <w:r w:rsidR="00F14C68">
        <w:rPr>
          <w:sz w:val="22"/>
          <w:szCs w:val="22"/>
        </w:rPr>
        <w:t>5</w:t>
      </w:r>
      <w:r w:rsidR="00F14C68" w:rsidRPr="005B3B88">
        <w:rPr>
          <w:sz w:val="22"/>
          <w:szCs w:val="22"/>
        </w:rPr>
        <w:t xml:space="preserve"> mm</w:t>
      </w:r>
      <w:r w:rsidR="00F14C68">
        <w:rPr>
          <w:sz w:val="22"/>
          <w:szCs w:val="22"/>
        </w:rPr>
        <w:t>)</w:t>
      </w:r>
      <w:r w:rsidR="00F14C68" w:rsidRPr="005B3B88">
        <w:rPr>
          <w:sz w:val="22"/>
          <w:szCs w:val="22"/>
        </w:rPr>
        <w:t xml:space="preserve"> </w:t>
      </w:r>
      <w:r>
        <w:rPr>
          <w:sz w:val="22"/>
          <w:szCs w:val="22"/>
        </w:rPr>
        <w:t>s vyrazeným „2,</w:t>
      </w:r>
      <w:r w:rsidR="00DB194F" w:rsidRPr="005B3B88">
        <w:rPr>
          <w:sz w:val="22"/>
          <w:szCs w:val="22"/>
        </w:rPr>
        <w:t xml:space="preserve">5“ </w:t>
      </w:r>
      <w:r w:rsidR="00546A93" w:rsidRPr="005B3B88">
        <w:rPr>
          <w:sz w:val="22"/>
          <w:szCs w:val="22"/>
        </w:rPr>
        <w:t>na jednej strane</w:t>
      </w:r>
      <w:r>
        <w:rPr>
          <w:sz w:val="22"/>
          <w:szCs w:val="22"/>
        </w:rPr>
        <w:t xml:space="preserve"> a</w:t>
      </w:r>
      <w:r w:rsidR="00DB194F" w:rsidRPr="005B3B88">
        <w:rPr>
          <w:sz w:val="22"/>
          <w:szCs w:val="22"/>
        </w:rPr>
        <w:t xml:space="preserve"> hladké na druhej strane. </w:t>
      </w:r>
    </w:p>
    <w:p w14:paraId="3FFDAC17" w14:textId="77777777" w:rsidR="00546A93" w:rsidRPr="005B3B88" w:rsidRDefault="00546A93" w:rsidP="00B20146">
      <w:pPr>
        <w:spacing w:after="0" w:line="240" w:lineRule="auto"/>
        <w:rPr>
          <w:rFonts w:ascii="Times New Roman" w:hAnsi="Times New Roman" w:cs="Times New Roman"/>
        </w:rPr>
      </w:pPr>
    </w:p>
    <w:p w14:paraId="01BFBBB0" w14:textId="77777777" w:rsidR="00DB194F" w:rsidRPr="005B3B88" w:rsidRDefault="00DB194F" w:rsidP="00B20146">
      <w:pPr>
        <w:spacing w:after="0" w:line="240" w:lineRule="auto"/>
        <w:rPr>
          <w:rFonts w:ascii="Times New Roman" w:hAnsi="Times New Roman" w:cs="Times New Roman"/>
        </w:rPr>
      </w:pPr>
    </w:p>
    <w:p w14:paraId="338FED6F" w14:textId="77777777" w:rsidR="00DB194F" w:rsidRPr="005B3B88" w:rsidRDefault="00DB194F" w:rsidP="00B20146">
      <w:pPr>
        <w:pStyle w:val="Default"/>
        <w:tabs>
          <w:tab w:val="left" w:pos="567"/>
        </w:tabs>
        <w:rPr>
          <w:b/>
          <w:bCs/>
          <w:sz w:val="22"/>
          <w:szCs w:val="22"/>
        </w:rPr>
      </w:pPr>
      <w:r w:rsidRPr="005B3B88">
        <w:rPr>
          <w:b/>
          <w:bCs/>
          <w:sz w:val="22"/>
          <w:szCs w:val="22"/>
        </w:rPr>
        <w:t>4.</w:t>
      </w:r>
      <w:r w:rsidR="00CF2D08" w:rsidRPr="005B3B88">
        <w:rPr>
          <w:b/>
          <w:bCs/>
          <w:sz w:val="22"/>
          <w:szCs w:val="22"/>
        </w:rPr>
        <w:tab/>
      </w:r>
      <w:r w:rsidRPr="005B3B88">
        <w:rPr>
          <w:b/>
          <w:bCs/>
          <w:sz w:val="22"/>
          <w:szCs w:val="22"/>
        </w:rPr>
        <w:t xml:space="preserve">KLINICKÉ ÚDAJE </w:t>
      </w:r>
    </w:p>
    <w:p w14:paraId="33949265" w14:textId="77777777" w:rsidR="00DB194F" w:rsidRPr="005B3B88" w:rsidRDefault="00DB194F" w:rsidP="00B20146">
      <w:pPr>
        <w:pStyle w:val="Default"/>
        <w:rPr>
          <w:sz w:val="22"/>
          <w:szCs w:val="22"/>
        </w:rPr>
      </w:pPr>
    </w:p>
    <w:p w14:paraId="65C0F9B7" w14:textId="77777777" w:rsidR="00DB194F" w:rsidRPr="005B3B88" w:rsidRDefault="00DB194F"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4.1</w:t>
      </w:r>
      <w:r w:rsidR="00F20A3C" w:rsidRPr="005B3B88">
        <w:rPr>
          <w:rFonts w:ascii="Times New Roman" w:hAnsi="Times New Roman" w:cs="Times New Roman"/>
          <w:b/>
          <w:bCs/>
        </w:rPr>
        <w:tab/>
      </w:r>
      <w:r w:rsidRPr="005B3B88">
        <w:rPr>
          <w:rFonts w:ascii="Times New Roman" w:hAnsi="Times New Roman" w:cs="Times New Roman"/>
          <w:b/>
          <w:bCs/>
        </w:rPr>
        <w:t>Terapeutické indikácie</w:t>
      </w:r>
    </w:p>
    <w:p w14:paraId="3738D732" w14:textId="77777777" w:rsidR="00DB194F" w:rsidRPr="005B3B88" w:rsidRDefault="00DB194F" w:rsidP="00B20146">
      <w:pPr>
        <w:spacing w:after="0" w:line="240" w:lineRule="auto"/>
        <w:rPr>
          <w:rFonts w:ascii="Times New Roman" w:hAnsi="Times New Roman" w:cs="Times New Roman"/>
          <w:b/>
          <w:bCs/>
        </w:rPr>
      </w:pPr>
    </w:p>
    <w:p w14:paraId="1AA45A5B" w14:textId="47B52640" w:rsidR="00770E49" w:rsidRDefault="00770E49" w:rsidP="00B20146">
      <w:pPr>
        <w:spacing w:after="0" w:line="240" w:lineRule="auto"/>
        <w:rPr>
          <w:rFonts w:ascii="Times New Roman" w:hAnsi="Times New Roman" w:cs="Times New Roman"/>
        </w:rPr>
      </w:pPr>
      <w:r w:rsidRPr="00770E49">
        <w:rPr>
          <w:rFonts w:ascii="Times New Roman" w:hAnsi="Times New Roman" w:cs="Times New Roman"/>
        </w:rPr>
        <w:t>Xanirva je pri sú</w:t>
      </w:r>
      <w:r w:rsidR="00DA3B7D">
        <w:rPr>
          <w:rFonts w:ascii="Times New Roman" w:hAnsi="Times New Roman" w:cs="Times New Roman"/>
        </w:rPr>
        <w:t>bežnom</w:t>
      </w:r>
      <w:r w:rsidRPr="00770E49">
        <w:rPr>
          <w:rFonts w:ascii="Times New Roman" w:hAnsi="Times New Roman" w:cs="Times New Roman"/>
        </w:rPr>
        <w:t xml:space="preserve"> podaní so samotnou kyselinou acetylsalicylovou (ASA) alebo s ASA a klopidogrelom alebo tiklopidínom indikovan</w:t>
      </w:r>
      <w:r w:rsidR="00DA3B7D">
        <w:rPr>
          <w:rFonts w:ascii="Times New Roman" w:hAnsi="Times New Roman" w:cs="Times New Roman"/>
        </w:rPr>
        <w:t>á</w:t>
      </w:r>
      <w:r w:rsidRPr="00770E49">
        <w:rPr>
          <w:rFonts w:ascii="Times New Roman" w:hAnsi="Times New Roman" w:cs="Times New Roman"/>
        </w:rPr>
        <w:t xml:space="preserve"> na prevenciu aterotrombotických príhod u dospelých pacientov po akútnom koronárnom syndróme (ACS) pri zvýšených hodnotách kardiálnych biomarkerov (pozri časti 4.3, 4.4 a 5.1). </w:t>
      </w:r>
    </w:p>
    <w:p w14:paraId="2E2B0996" w14:textId="77777777" w:rsidR="00770E49" w:rsidRDefault="00770E49" w:rsidP="00B20146">
      <w:pPr>
        <w:spacing w:after="0" w:line="240" w:lineRule="auto"/>
        <w:rPr>
          <w:rFonts w:ascii="Times New Roman" w:hAnsi="Times New Roman" w:cs="Times New Roman"/>
        </w:rPr>
      </w:pPr>
    </w:p>
    <w:p w14:paraId="441B7FA2" w14:textId="6E177999" w:rsidR="00256990" w:rsidRPr="00770E49" w:rsidRDefault="00770E49" w:rsidP="00B20146">
      <w:pPr>
        <w:spacing w:after="0" w:line="240" w:lineRule="auto"/>
        <w:rPr>
          <w:rFonts w:ascii="Times New Roman" w:hAnsi="Times New Roman" w:cs="Times New Roman"/>
        </w:rPr>
      </w:pPr>
      <w:r w:rsidRPr="00770E49">
        <w:rPr>
          <w:rFonts w:ascii="Times New Roman" w:hAnsi="Times New Roman" w:cs="Times New Roman"/>
        </w:rPr>
        <w:t>Xa</w:t>
      </w:r>
      <w:r>
        <w:rPr>
          <w:rFonts w:ascii="Times New Roman" w:hAnsi="Times New Roman" w:cs="Times New Roman"/>
        </w:rPr>
        <w:t>nirva</w:t>
      </w:r>
      <w:r w:rsidRPr="00770E49">
        <w:rPr>
          <w:rFonts w:ascii="Times New Roman" w:hAnsi="Times New Roman" w:cs="Times New Roman"/>
        </w:rPr>
        <w:t xml:space="preserve"> je pri sú</w:t>
      </w:r>
      <w:r w:rsidR="00DA3B7D">
        <w:rPr>
          <w:rFonts w:ascii="Times New Roman" w:hAnsi="Times New Roman" w:cs="Times New Roman"/>
        </w:rPr>
        <w:t>bežnom</w:t>
      </w:r>
      <w:r w:rsidRPr="00770E49">
        <w:rPr>
          <w:rFonts w:ascii="Times New Roman" w:hAnsi="Times New Roman" w:cs="Times New Roman"/>
        </w:rPr>
        <w:t xml:space="preserve"> podaní s kyselinou acetylsalicylovou (ASA) indikovan</w:t>
      </w:r>
      <w:r w:rsidR="00DA3B7D">
        <w:rPr>
          <w:rFonts w:ascii="Times New Roman" w:hAnsi="Times New Roman" w:cs="Times New Roman"/>
        </w:rPr>
        <w:t>á</w:t>
      </w:r>
      <w:r w:rsidRPr="00770E49">
        <w:rPr>
          <w:rFonts w:ascii="Times New Roman" w:hAnsi="Times New Roman" w:cs="Times New Roman"/>
        </w:rPr>
        <w:t xml:space="preserve"> na prevenciu aterotrombotických príhod u dospelých paciento</w:t>
      </w:r>
      <w:r w:rsidRPr="000D053C">
        <w:rPr>
          <w:rFonts w:ascii="Times New Roman" w:hAnsi="Times New Roman" w:cs="Times New Roman"/>
        </w:rPr>
        <w:t xml:space="preserve">v s </w:t>
      </w:r>
      <w:r w:rsidR="00293EAA" w:rsidRPr="000D053C">
        <w:rPr>
          <w:rFonts w:ascii="Times New Roman" w:hAnsi="Times New Roman" w:cs="Times New Roman"/>
        </w:rPr>
        <w:t>ischemickou</w:t>
      </w:r>
      <w:r w:rsidR="00293EAA">
        <w:rPr>
          <w:rFonts w:ascii="Times New Roman" w:hAnsi="Times New Roman" w:cs="Times New Roman"/>
        </w:rPr>
        <w:t xml:space="preserve"> chorobou srdca</w:t>
      </w:r>
      <w:r w:rsidRPr="00770E49">
        <w:rPr>
          <w:rFonts w:ascii="Times New Roman" w:hAnsi="Times New Roman" w:cs="Times New Roman"/>
        </w:rPr>
        <w:t xml:space="preserve"> (CAD) alebo symptomatickým ochorením periférnych artérií (PAD) pri vysokom riziku ischemických príhod.</w:t>
      </w:r>
    </w:p>
    <w:p w14:paraId="6DFC2FE8" w14:textId="77777777" w:rsidR="00256990" w:rsidRPr="005B3B88" w:rsidRDefault="00256990" w:rsidP="00B20146">
      <w:pPr>
        <w:spacing w:after="0" w:line="240" w:lineRule="auto"/>
        <w:rPr>
          <w:rFonts w:ascii="Times New Roman" w:hAnsi="Times New Roman" w:cs="Times New Roman"/>
        </w:rPr>
      </w:pPr>
    </w:p>
    <w:p w14:paraId="7EC6D11C" w14:textId="77777777" w:rsidR="00256990" w:rsidRPr="005B3B88" w:rsidRDefault="00256990" w:rsidP="00B20146">
      <w:pPr>
        <w:pStyle w:val="Default"/>
        <w:tabs>
          <w:tab w:val="left" w:pos="567"/>
        </w:tabs>
        <w:rPr>
          <w:b/>
          <w:bCs/>
          <w:sz w:val="22"/>
          <w:szCs w:val="22"/>
        </w:rPr>
      </w:pPr>
      <w:r w:rsidRPr="005B3B88">
        <w:rPr>
          <w:b/>
          <w:bCs/>
          <w:sz w:val="22"/>
          <w:szCs w:val="22"/>
        </w:rPr>
        <w:t>4.2</w:t>
      </w:r>
      <w:r w:rsidR="00F20A3C" w:rsidRPr="005B3B88">
        <w:rPr>
          <w:b/>
          <w:bCs/>
          <w:sz w:val="22"/>
          <w:szCs w:val="22"/>
        </w:rPr>
        <w:tab/>
      </w:r>
      <w:r w:rsidRPr="005B3B88">
        <w:rPr>
          <w:b/>
          <w:bCs/>
          <w:sz w:val="22"/>
          <w:szCs w:val="22"/>
        </w:rPr>
        <w:t xml:space="preserve">Dávkovanie a spôsob podávania </w:t>
      </w:r>
    </w:p>
    <w:p w14:paraId="2C512CDD" w14:textId="77777777" w:rsidR="00256990" w:rsidRPr="005B3B88" w:rsidRDefault="00256990" w:rsidP="00B20146">
      <w:pPr>
        <w:pStyle w:val="Default"/>
        <w:rPr>
          <w:sz w:val="22"/>
          <w:szCs w:val="22"/>
        </w:rPr>
      </w:pPr>
    </w:p>
    <w:p w14:paraId="4132E058" w14:textId="77777777" w:rsidR="00256990" w:rsidRPr="005B3B88" w:rsidRDefault="00256990" w:rsidP="00B20146">
      <w:pPr>
        <w:spacing w:after="0" w:line="240" w:lineRule="auto"/>
        <w:rPr>
          <w:rFonts w:ascii="Times New Roman" w:hAnsi="Times New Roman" w:cs="Times New Roman"/>
          <w:u w:val="single"/>
        </w:rPr>
      </w:pPr>
      <w:r w:rsidRPr="005B3B88">
        <w:rPr>
          <w:rFonts w:ascii="Times New Roman" w:hAnsi="Times New Roman" w:cs="Times New Roman"/>
          <w:u w:val="single"/>
        </w:rPr>
        <w:t>Dávkovanie</w:t>
      </w:r>
    </w:p>
    <w:p w14:paraId="57D56370" w14:textId="77777777" w:rsidR="00256990"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Odporúčaná dávka je 2</w:t>
      </w:r>
      <w:r w:rsidR="00770E49">
        <w:rPr>
          <w:rFonts w:ascii="Times New Roman" w:hAnsi="Times New Roman" w:cs="Times New Roman"/>
        </w:rPr>
        <w:t>,5</w:t>
      </w:r>
      <w:r w:rsidRPr="005B3B88">
        <w:rPr>
          <w:rFonts w:ascii="Times New Roman" w:hAnsi="Times New Roman" w:cs="Times New Roman"/>
        </w:rPr>
        <w:t xml:space="preserve"> mg </w:t>
      </w:r>
      <w:r w:rsidR="00770E49">
        <w:rPr>
          <w:rFonts w:ascii="Times New Roman" w:hAnsi="Times New Roman" w:cs="Times New Roman"/>
        </w:rPr>
        <w:t>dva</w:t>
      </w:r>
      <w:r w:rsidR="000F6CBC" w:rsidRPr="005B3B88">
        <w:rPr>
          <w:rFonts w:ascii="Times New Roman" w:hAnsi="Times New Roman" w:cs="Times New Roman"/>
        </w:rPr>
        <w:t>krát</w:t>
      </w:r>
      <w:r w:rsidR="00770E49">
        <w:rPr>
          <w:rFonts w:ascii="Times New Roman" w:hAnsi="Times New Roman" w:cs="Times New Roman"/>
        </w:rPr>
        <w:t xml:space="preserve"> denne</w:t>
      </w:r>
      <w:r w:rsidRPr="005B3B88">
        <w:rPr>
          <w:rFonts w:ascii="Times New Roman" w:hAnsi="Times New Roman" w:cs="Times New Roman"/>
        </w:rPr>
        <w:t>.</w:t>
      </w:r>
    </w:p>
    <w:p w14:paraId="3054A6DD" w14:textId="77777777" w:rsidR="00770E49" w:rsidRPr="00AB5670" w:rsidRDefault="00770E49" w:rsidP="00770E49">
      <w:pPr>
        <w:spacing w:before="1" w:after="0" w:line="240" w:lineRule="auto"/>
        <w:ind w:right="50"/>
        <w:rPr>
          <w:rFonts w:ascii="Times New Roman" w:eastAsia="Times New Roman" w:hAnsi="Times New Roman" w:cs="Times New Roman"/>
          <w:spacing w:val="-1"/>
        </w:rPr>
      </w:pPr>
    </w:p>
    <w:p w14:paraId="3A924AB2" w14:textId="77777777" w:rsidR="00770E49" w:rsidRPr="00A54867" w:rsidRDefault="00770E49" w:rsidP="00770E49">
      <w:pPr>
        <w:pStyle w:val="Odsekzoznamu"/>
        <w:numPr>
          <w:ilvl w:val="0"/>
          <w:numId w:val="3"/>
        </w:numPr>
        <w:spacing w:before="1" w:after="0" w:line="240" w:lineRule="auto"/>
        <w:ind w:right="50"/>
        <w:rPr>
          <w:rFonts w:ascii="Times New Roman" w:eastAsia="Times New Roman" w:hAnsi="Times New Roman" w:cs="Times New Roman"/>
          <w:i/>
          <w:spacing w:val="-1"/>
          <w:u w:val="single"/>
        </w:rPr>
      </w:pPr>
      <w:r w:rsidRPr="00A54867">
        <w:rPr>
          <w:rFonts w:ascii="Times New Roman" w:eastAsia="Times New Roman" w:hAnsi="Times New Roman" w:cs="Times New Roman"/>
          <w:i/>
          <w:spacing w:val="-1"/>
          <w:u w:val="single"/>
        </w:rPr>
        <w:t>ACS</w:t>
      </w:r>
    </w:p>
    <w:p w14:paraId="19486369" w14:textId="77777777" w:rsidR="00E54229" w:rsidRDefault="00770E49" w:rsidP="00770E49">
      <w:pPr>
        <w:spacing w:after="0" w:line="240" w:lineRule="auto"/>
        <w:rPr>
          <w:rFonts w:ascii="Times New Roman" w:hAnsi="Times New Roman" w:cs="Times New Roman"/>
        </w:rPr>
      </w:pPr>
      <w:r w:rsidRPr="00E54229">
        <w:rPr>
          <w:rFonts w:ascii="Times New Roman" w:eastAsia="Times New Roman" w:hAnsi="Times New Roman" w:cs="Times New Roman"/>
          <w:spacing w:val="-1"/>
        </w:rPr>
        <w:t>Pa</w:t>
      </w:r>
      <w:r w:rsidR="00E54229" w:rsidRPr="00E54229">
        <w:rPr>
          <w:rFonts w:ascii="Times New Roman" w:eastAsia="Times New Roman" w:hAnsi="Times New Roman" w:cs="Times New Roman"/>
          <w:spacing w:val="-1"/>
        </w:rPr>
        <w:t xml:space="preserve">tienti </w:t>
      </w:r>
      <w:r w:rsidR="00E54229" w:rsidRPr="00E54229">
        <w:rPr>
          <w:rFonts w:ascii="Times New Roman" w:hAnsi="Times New Roman" w:cs="Times New Roman"/>
        </w:rPr>
        <w:t>užívajúci Xa</w:t>
      </w:r>
      <w:r w:rsidR="00E54229">
        <w:rPr>
          <w:rFonts w:ascii="Times New Roman" w:hAnsi="Times New Roman" w:cs="Times New Roman"/>
        </w:rPr>
        <w:t>nirvu</w:t>
      </w:r>
      <w:r w:rsidR="00E54229" w:rsidRPr="00E54229">
        <w:rPr>
          <w:rFonts w:ascii="Times New Roman" w:hAnsi="Times New Roman" w:cs="Times New Roman"/>
        </w:rPr>
        <w:t xml:space="preserve"> 2,5 mg dvakrát denne majú užiť aj dennú dávku 75-100 mg ASA alebo dennú dávku 75-100 mg ASA a k tomu ešte 75 mg klopidogrelu alebo štandardnú dennú dávku tiklopidínu. </w:t>
      </w:r>
    </w:p>
    <w:p w14:paraId="091A7755" w14:textId="77777777" w:rsidR="00E54229" w:rsidRDefault="00E54229" w:rsidP="00770E49">
      <w:pPr>
        <w:spacing w:after="0" w:line="240" w:lineRule="auto"/>
        <w:rPr>
          <w:rFonts w:ascii="Times New Roman" w:hAnsi="Times New Roman" w:cs="Times New Roman"/>
        </w:rPr>
      </w:pPr>
    </w:p>
    <w:p w14:paraId="5760B698" w14:textId="77777777" w:rsidR="00E54229" w:rsidRDefault="00E54229" w:rsidP="00770E49">
      <w:pPr>
        <w:spacing w:after="0" w:line="240" w:lineRule="auto"/>
        <w:rPr>
          <w:rFonts w:ascii="Times New Roman" w:hAnsi="Times New Roman" w:cs="Times New Roman"/>
        </w:rPr>
      </w:pPr>
      <w:r w:rsidRPr="00E54229">
        <w:rPr>
          <w:rFonts w:ascii="Times New Roman" w:hAnsi="Times New Roman" w:cs="Times New Roman"/>
        </w:rPr>
        <w:t xml:space="preserve">Liečba sa má u jednotlivých pacientov pravidelne vyhodnocovať so zvážením rizika ischemických príhod oproti riziku krvácania. Predĺženie liečby na viac ako 12 mesiacov má byť u pacientov individuálne, pretože skúsenosti až do 24 mesiacov sú obmedzené (pozri časť 5.1). </w:t>
      </w:r>
    </w:p>
    <w:p w14:paraId="3449C055" w14:textId="77777777" w:rsidR="00E54229" w:rsidRDefault="00E54229" w:rsidP="00770E49">
      <w:pPr>
        <w:spacing w:after="0" w:line="240" w:lineRule="auto"/>
        <w:rPr>
          <w:rFonts w:ascii="Times New Roman" w:hAnsi="Times New Roman" w:cs="Times New Roman"/>
        </w:rPr>
      </w:pPr>
    </w:p>
    <w:p w14:paraId="0C6451ED" w14:textId="77777777" w:rsidR="00770E49" w:rsidRPr="00E54229" w:rsidRDefault="00E54229" w:rsidP="00770E49">
      <w:pPr>
        <w:spacing w:after="0" w:line="240" w:lineRule="auto"/>
        <w:rPr>
          <w:rFonts w:ascii="Times New Roman" w:hAnsi="Times New Roman" w:cs="Times New Roman"/>
        </w:rPr>
      </w:pPr>
      <w:r>
        <w:rPr>
          <w:rFonts w:ascii="Times New Roman" w:hAnsi="Times New Roman" w:cs="Times New Roman"/>
        </w:rPr>
        <w:lastRenderedPageBreak/>
        <w:t>Liečba Xanirvou</w:t>
      </w:r>
      <w:r w:rsidRPr="00E54229">
        <w:rPr>
          <w:rFonts w:ascii="Times New Roman" w:hAnsi="Times New Roman" w:cs="Times New Roman"/>
        </w:rPr>
        <w:t xml:space="preserve"> má začať čo najskôr po stabilizácii príhody ACS (vrátane procedúr revaskularizácie); najskôr 24 hodín po prijatí do nemocnice a v čase, keď by mala byť parenterálna antikoagulačná liečba obvykle ukončená.</w:t>
      </w:r>
    </w:p>
    <w:p w14:paraId="7FA7AACA" w14:textId="77777777" w:rsidR="00770E49" w:rsidRDefault="00770E49" w:rsidP="00B20146">
      <w:pPr>
        <w:spacing w:after="0" w:line="240" w:lineRule="auto"/>
        <w:rPr>
          <w:rFonts w:ascii="Times New Roman" w:hAnsi="Times New Roman" w:cs="Times New Roman"/>
        </w:rPr>
      </w:pPr>
    </w:p>
    <w:p w14:paraId="5E500257" w14:textId="77777777" w:rsidR="00E54229" w:rsidRPr="00A54867" w:rsidRDefault="00E54229" w:rsidP="00E54229">
      <w:pPr>
        <w:pStyle w:val="Odsekzoznamu"/>
        <w:numPr>
          <w:ilvl w:val="0"/>
          <w:numId w:val="3"/>
        </w:numPr>
        <w:spacing w:before="1" w:after="0" w:line="240" w:lineRule="auto"/>
        <w:ind w:right="50"/>
        <w:rPr>
          <w:rFonts w:ascii="Times New Roman" w:eastAsia="Times New Roman" w:hAnsi="Times New Roman" w:cs="Times New Roman"/>
          <w:i/>
          <w:spacing w:val="-1"/>
          <w:u w:val="single"/>
        </w:rPr>
      </w:pPr>
      <w:r w:rsidRPr="00A54867">
        <w:rPr>
          <w:rFonts w:ascii="Times New Roman" w:eastAsia="Times New Roman" w:hAnsi="Times New Roman" w:cs="Times New Roman"/>
          <w:i/>
          <w:spacing w:val="-1"/>
          <w:u w:val="single"/>
        </w:rPr>
        <w:t>CAD/PAD</w:t>
      </w:r>
    </w:p>
    <w:p w14:paraId="3E76A04B" w14:textId="77777777" w:rsidR="00E54229" w:rsidRPr="00E54229" w:rsidRDefault="00A61279" w:rsidP="00E54229">
      <w:pPr>
        <w:pStyle w:val="Default"/>
        <w:rPr>
          <w:sz w:val="22"/>
          <w:szCs w:val="22"/>
        </w:rPr>
      </w:pPr>
      <w:r>
        <w:rPr>
          <w:rFonts w:eastAsia="Times New Roman"/>
          <w:spacing w:val="-1"/>
        </w:rPr>
        <w:t>Pac</w:t>
      </w:r>
      <w:r w:rsidR="00E54229">
        <w:rPr>
          <w:rFonts w:eastAsia="Times New Roman"/>
          <w:spacing w:val="-1"/>
        </w:rPr>
        <w:t xml:space="preserve">ienti </w:t>
      </w:r>
      <w:r w:rsidR="00E54229" w:rsidRPr="00E54229">
        <w:rPr>
          <w:sz w:val="22"/>
          <w:szCs w:val="22"/>
        </w:rPr>
        <w:t>užívajúci Xa</w:t>
      </w:r>
      <w:r w:rsidR="00E54229">
        <w:rPr>
          <w:sz w:val="22"/>
          <w:szCs w:val="22"/>
        </w:rPr>
        <w:t>nirvu</w:t>
      </w:r>
      <w:r w:rsidR="00E54229" w:rsidRPr="00E54229">
        <w:rPr>
          <w:sz w:val="22"/>
          <w:szCs w:val="22"/>
        </w:rPr>
        <w:t xml:space="preserve"> 2,5 mg dvakrát denne majú užiť aj dennú dávku 75-100 mg ASA. </w:t>
      </w:r>
    </w:p>
    <w:p w14:paraId="67F02B2B" w14:textId="77777777" w:rsidR="00E54229" w:rsidRDefault="00E54229" w:rsidP="00E54229">
      <w:pPr>
        <w:autoSpaceDE w:val="0"/>
        <w:autoSpaceDN w:val="0"/>
        <w:adjustRightInd w:val="0"/>
        <w:spacing w:after="0" w:line="240" w:lineRule="auto"/>
        <w:rPr>
          <w:rFonts w:ascii="Times New Roman" w:hAnsi="Times New Roman" w:cs="Times New Roman"/>
          <w:color w:val="000000"/>
        </w:rPr>
      </w:pPr>
    </w:p>
    <w:p w14:paraId="03B50D3B" w14:textId="77777777"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t xml:space="preserve">Trvanie liečby sa má určiť pre každého jednotlivého pacienta na základe pravidelných vyšetrení a má </w:t>
      </w:r>
      <w:r w:rsidR="008467B2">
        <w:rPr>
          <w:rFonts w:ascii="Times New Roman" w:hAnsi="Times New Roman" w:cs="Times New Roman"/>
          <w:color w:val="000000"/>
        </w:rPr>
        <w:t xml:space="preserve">sa </w:t>
      </w:r>
      <w:r w:rsidRPr="00E54229">
        <w:rPr>
          <w:rFonts w:ascii="Times New Roman" w:hAnsi="Times New Roman" w:cs="Times New Roman"/>
          <w:color w:val="000000"/>
        </w:rPr>
        <w:t xml:space="preserve">zvážiť riziko trombotických príhod proti riziku krvácania. </w:t>
      </w:r>
    </w:p>
    <w:p w14:paraId="53C94688" w14:textId="77777777" w:rsidR="00E54229" w:rsidRDefault="00E54229" w:rsidP="00E54229">
      <w:pPr>
        <w:autoSpaceDE w:val="0"/>
        <w:autoSpaceDN w:val="0"/>
        <w:adjustRightInd w:val="0"/>
        <w:spacing w:after="0" w:line="240" w:lineRule="auto"/>
        <w:rPr>
          <w:rFonts w:ascii="Times New Roman" w:hAnsi="Times New Roman" w:cs="Times New Roman"/>
          <w:color w:val="000000"/>
        </w:rPr>
      </w:pPr>
    </w:p>
    <w:p w14:paraId="6BA3AECA" w14:textId="15A0C1BE"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t>U pacientov s akútnou trombotickou príhodou alebo vaskulárnym výkonom a potrebou duálnej antiagregačnej liečby sa má posúdiť pokračovanie v liečbe Xa</w:t>
      </w:r>
      <w:r>
        <w:rPr>
          <w:rFonts w:ascii="Times New Roman" w:hAnsi="Times New Roman" w:cs="Times New Roman"/>
          <w:color w:val="000000"/>
        </w:rPr>
        <w:t>nirvou</w:t>
      </w:r>
      <w:r w:rsidRPr="00E54229">
        <w:rPr>
          <w:rFonts w:ascii="Times New Roman" w:hAnsi="Times New Roman" w:cs="Times New Roman"/>
          <w:color w:val="000000"/>
        </w:rPr>
        <w:t xml:space="preserve"> 2,5 mg dvakrát denne v závislosti od typu príhody alebo výkonu a antiagregačného režimu. Bezpečnosť a účinnosť Xa</w:t>
      </w:r>
      <w:r w:rsidR="00783235">
        <w:rPr>
          <w:rFonts w:ascii="Times New Roman" w:hAnsi="Times New Roman" w:cs="Times New Roman"/>
          <w:color w:val="000000"/>
        </w:rPr>
        <w:t>nirv</w:t>
      </w:r>
      <w:r w:rsidR="008467B2">
        <w:rPr>
          <w:rFonts w:ascii="Times New Roman" w:hAnsi="Times New Roman" w:cs="Times New Roman"/>
          <w:color w:val="000000"/>
        </w:rPr>
        <w:t>y</w:t>
      </w:r>
      <w:r w:rsidRPr="00E54229">
        <w:rPr>
          <w:rFonts w:ascii="Times New Roman" w:hAnsi="Times New Roman" w:cs="Times New Roman"/>
          <w:color w:val="000000"/>
        </w:rPr>
        <w:t xml:space="preserve"> 2,5 mg dvakrát denne v kombinácii s ASA a klopidogrelom/tiklopidínom sa skúmali len u pacientov s nedávno prekonaným ACS (pozri časť 4.1). U pacientov s CAD/PAD sa duálna antiagregačná liečba v kombinácii so </w:t>
      </w:r>
      <w:r w:rsidR="00783235" w:rsidRPr="00783235">
        <w:rPr>
          <w:rFonts w:ascii="Times New Roman" w:hAnsi="Times New Roman" w:cs="Times New Roman"/>
        </w:rPr>
        <w:t>Xanirvou</w:t>
      </w:r>
      <w:r w:rsidRPr="00E54229">
        <w:rPr>
          <w:rFonts w:ascii="Times New Roman" w:hAnsi="Times New Roman" w:cs="Times New Roman"/>
          <w:color w:val="000000"/>
        </w:rPr>
        <w:t xml:space="preserve"> 2,5 mg dvakrát denne neskúmala (pozri časti 4.4 a 5.1). </w:t>
      </w:r>
    </w:p>
    <w:p w14:paraId="01755DFE" w14:textId="77777777" w:rsidR="00E54229" w:rsidRDefault="00E54229" w:rsidP="00E54229">
      <w:pPr>
        <w:spacing w:after="0" w:line="240" w:lineRule="auto"/>
        <w:rPr>
          <w:rFonts w:ascii="Times New Roman" w:hAnsi="Times New Roman" w:cs="Times New Roman"/>
          <w:color w:val="000000"/>
        </w:rPr>
      </w:pPr>
    </w:p>
    <w:p w14:paraId="0EA38E40" w14:textId="77777777" w:rsidR="00770E49" w:rsidRDefault="00E54229" w:rsidP="00E54229">
      <w:pPr>
        <w:spacing w:after="0" w:line="240" w:lineRule="auto"/>
        <w:rPr>
          <w:rFonts w:ascii="Times New Roman" w:hAnsi="Times New Roman" w:cs="Times New Roman"/>
        </w:rPr>
      </w:pPr>
      <w:r w:rsidRPr="00E54229">
        <w:rPr>
          <w:rFonts w:ascii="Times New Roman" w:hAnsi="Times New Roman" w:cs="Times New Roman"/>
          <w:color w:val="000000"/>
        </w:rPr>
        <w:t>Ak dôjde ku vynechaniu dávky, pacient má pokračovať s pravidelnou dávkou, ktorá je odporúčaná ako ďalšia v pôvodne naplánovanom čase. Dávka sa nemá zdvojnásobiť, aby nahradila vynechanú dávku.</w:t>
      </w:r>
    </w:p>
    <w:p w14:paraId="3394F0D6" w14:textId="77777777" w:rsidR="00770E49" w:rsidRDefault="00770E49" w:rsidP="00B20146">
      <w:pPr>
        <w:spacing w:after="0" w:line="240" w:lineRule="auto"/>
        <w:rPr>
          <w:rFonts w:ascii="Times New Roman" w:hAnsi="Times New Roman" w:cs="Times New Roman"/>
        </w:rPr>
      </w:pPr>
    </w:p>
    <w:p w14:paraId="73E820F0" w14:textId="77777777"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i/>
          <w:iCs/>
          <w:color w:val="000000"/>
        </w:rPr>
        <w:t>Prestavenie z liečby antagonistami vitamínu K (VKA) na Xa</w:t>
      </w:r>
      <w:r>
        <w:rPr>
          <w:rFonts w:ascii="Times New Roman" w:hAnsi="Times New Roman" w:cs="Times New Roman"/>
          <w:i/>
          <w:iCs/>
          <w:color w:val="000000"/>
        </w:rPr>
        <w:t>nirvu</w:t>
      </w:r>
      <w:r w:rsidRPr="00E54229">
        <w:rPr>
          <w:rFonts w:ascii="Times New Roman" w:hAnsi="Times New Roman" w:cs="Times New Roman"/>
          <w:i/>
          <w:iCs/>
          <w:color w:val="000000"/>
        </w:rPr>
        <w:t xml:space="preserve"> </w:t>
      </w:r>
    </w:p>
    <w:p w14:paraId="2B447B8E" w14:textId="79405BE2"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t>U pacientov, ktorí sú prestavení z liečby VKA na Xa</w:t>
      </w:r>
      <w:r w:rsidR="00783235">
        <w:rPr>
          <w:rFonts w:ascii="Times New Roman" w:hAnsi="Times New Roman" w:cs="Times New Roman"/>
          <w:color w:val="000000"/>
        </w:rPr>
        <w:t>ni</w:t>
      </w:r>
      <w:r>
        <w:rPr>
          <w:rFonts w:ascii="Times New Roman" w:hAnsi="Times New Roman" w:cs="Times New Roman"/>
          <w:color w:val="000000"/>
        </w:rPr>
        <w:t>rvu</w:t>
      </w:r>
      <w:r w:rsidRPr="00E54229">
        <w:rPr>
          <w:rFonts w:ascii="Times New Roman" w:hAnsi="Times New Roman" w:cs="Times New Roman"/>
          <w:color w:val="000000"/>
        </w:rPr>
        <w:t>, sa hodnoty Medzinárodného normalizovaného pomeru (INR) po užití Xa</w:t>
      </w:r>
      <w:r>
        <w:rPr>
          <w:rFonts w:ascii="Times New Roman" w:hAnsi="Times New Roman" w:cs="Times New Roman"/>
          <w:color w:val="000000"/>
        </w:rPr>
        <w:t>n</w:t>
      </w:r>
      <w:r w:rsidR="00783235">
        <w:rPr>
          <w:rFonts w:ascii="Times New Roman" w:hAnsi="Times New Roman" w:cs="Times New Roman"/>
          <w:color w:val="000000"/>
        </w:rPr>
        <w:t>i</w:t>
      </w:r>
      <w:r>
        <w:rPr>
          <w:rFonts w:ascii="Times New Roman" w:hAnsi="Times New Roman" w:cs="Times New Roman"/>
          <w:color w:val="000000"/>
        </w:rPr>
        <w:t>rv</w:t>
      </w:r>
      <w:r w:rsidR="0079449B">
        <w:rPr>
          <w:rFonts w:ascii="Times New Roman" w:hAnsi="Times New Roman" w:cs="Times New Roman"/>
          <w:color w:val="000000"/>
        </w:rPr>
        <w:t>y</w:t>
      </w:r>
      <w:r w:rsidRPr="00E54229">
        <w:rPr>
          <w:rFonts w:ascii="Times New Roman" w:hAnsi="Times New Roman" w:cs="Times New Roman"/>
          <w:color w:val="000000"/>
        </w:rPr>
        <w:t xml:space="preserve"> môžu </w:t>
      </w:r>
      <w:r w:rsidR="002F5756">
        <w:rPr>
          <w:rFonts w:ascii="Times New Roman" w:hAnsi="Times New Roman" w:cs="Times New Roman"/>
          <w:color w:val="000000"/>
        </w:rPr>
        <w:t>falošne</w:t>
      </w:r>
      <w:r w:rsidR="002F5756" w:rsidRPr="00E54229">
        <w:rPr>
          <w:rFonts w:ascii="Times New Roman" w:hAnsi="Times New Roman" w:cs="Times New Roman"/>
          <w:color w:val="000000"/>
        </w:rPr>
        <w:t xml:space="preserve"> </w:t>
      </w:r>
      <w:r w:rsidRPr="00E54229">
        <w:rPr>
          <w:rFonts w:ascii="Times New Roman" w:hAnsi="Times New Roman" w:cs="Times New Roman"/>
          <w:color w:val="000000"/>
        </w:rPr>
        <w:t>zvýšiť. INR nie je vhodný na meranie antikoagulačnej aktivity Xa</w:t>
      </w:r>
      <w:r w:rsidR="00783235">
        <w:rPr>
          <w:rFonts w:ascii="Times New Roman" w:hAnsi="Times New Roman" w:cs="Times New Roman"/>
          <w:color w:val="000000"/>
        </w:rPr>
        <w:t>ni</w:t>
      </w:r>
      <w:r>
        <w:rPr>
          <w:rFonts w:ascii="Times New Roman" w:hAnsi="Times New Roman" w:cs="Times New Roman"/>
          <w:color w:val="000000"/>
        </w:rPr>
        <w:t>rv</w:t>
      </w:r>
      <w:r w:rsidR="0079449B">
        <w:rPr>
          <w:rFonts w:ascii="Times New Roman" w:hAnsi="Times New Roman" w:cs="Times New Roman"/>
          <w:color w:val="000000"/>
        </w:rPr>
        <w:t>y</w:t>
      </w:r>
      <w:r w:rsidRPr="00E54229">
        <w:rPr>
          <w:rFonts w:ascii="Times New Roman" w:hAnsi="Times New Roman" w:cs="Times New Roman"/>
          <w:color w:val="000000"/>
        </w:rPr>
        <w:t xml:space="preserve">, a preto sa nemá na tento účel používať (pozri časť 4.5). </w:t>
      </w:r>
    </w:p>
    <w:p w14:paraId="7D44C914" w14:textId="77777777" w:rsidR="00E54229" w:rsidRDefault="00E54229" w:rsidP="00E54229">
      <w:pPr>
        <w:autoSpaceDE w:val="0"/>
        <w:autoSpaceDN w:val="0"/>
        <w:adjustRightInd w:val="0"/>
        <w:spacing w:after="0" w:line="240" w:lineRule="auto"/>
        <w:rPr>
          <w:rFonts w:ascii="Times New Roman" w:hAnsi="Times New Roman" w:cs="Times New Roman"/>
          <w:i/>
          <w:iCs/>
          <w:color w:val="000000"/>
        </w:rPr>
      </w:pPr>
    </w:p>
    <w:p w14:paraId="52E303F1" w14:textId="0C8FF216"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i/>
          <w:iCs/>
          <w:color w:val="000000"/>
        </w:rPr>
        <w:t>Prestavenie z liečby Xa</w:t>
      </w:r>
      <w:r w:rsidR="00783235">
        <w:rPr>
          <w:rFonts w:ascii="Times New Roman" w:hAnsi="Times New Roman" w:cs="Times New Roman"/>
          <w:i/>
          <w:iCs/>
          <w:color w:val="000000"/>
        </w:rPr>
        <w:t>ni</w:t>
      </w:r>
      <w:r>
        <w:rPr>
          <w:rFonts w:ascii="Times New Roman" w:hAnsi="Times New Roman" w:cs="Times New Roman"/>
          <w:i/>
          <w:iCs/>
          <w:color w:val="000000"/>
        </w:rPr>
        <w:t>rv</w:t>
      </w:r>
      <w:r w:rsidR="00B56CA4">
        <w:rPr>
          <w:rFonts w:ascii="Times New Roman" w:hAnsi="Times New Roman" w:cs="Times New Roman"/>
          <w:i/>
          <w:iCs/>
          <w:color w:val="000000"/>
        </w:rPr>
        <w:t>y</w:t>
      </w:r>
      <w:r w:rsidRPr="00E54229">
        <w:rPr>
          <w:rFonts w:ascii="Times New Roman" w:hAnsi="Times New Roman" w:cs="Times New Roman"/>
          <w:i/>
          <w:iCs/>
          <w:color w:val="000000"/>
        </w:rPr>
        <w:t xml:space="preserve"> na antagonist</w:t>
      </w:r>
      <w:r w:rsidR="00AB20B1">
        <w:rPr>
          <w:rFonts w:ascii="Times New Roman" w:hAnsi="Times New Roman" w:cs="Times New Roman"/>
          <w:i/>
          <w:iCs/>
          <w:color w:val="000000"/>
        </w:rPr>
        <w:t>y</w:t>
      </w:r>
      <w:r w:rsidRPr="00E54229">
        <w:rPr>
          <w:rFonts w:ascii="Times New Roman" w:hAnsi="Times New Roman" w:cs="Times New Roman"/>
          <w:i/>
          <w:iCs/>
          <w:color w:val="000000"/>
        </w:rPr>
        <w:t xml:space="preserve"> vitamínu K (VKA) </w:t>
      </w:r>
    </w:p>
    <w:p w14:paraId="6A1B222B" w14:textId="03C76C1E"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t xml:space="preserve">Počas prestavenia liečby </w:t>
      </w:r>
      <w:r w:rsidR="002F5756">
        <w:rPr>
          <w:rFonts w:ascii="Times New Roman" w:hAnsi="Times New Roman" w:cs="Times New Roman"/>
          <w:color w:val="000000"/>
        </w:rPr>
        <w:t xml:space="preserve">z </w:t>
      </w:r>
      <w:r w:rsidRPr="00E54229">
        <w:rPr>
          <w:rFonts w:ascii="Times New Roman" w:hAnsi="Times New Roman" w:cs="Times New Roman"/>
          <w:color w:val="000000"/>
        </w:rPr>
        <w:t>Xa</w:t>
      </w:r>
      <w:r w:rsidR="00783235">
        <w:rPr>
          <w:rFonts w:ascii="Times New Roman" w:hAnsi="Times New Roman" w:cs="Times New Roman"/>
          <w:color w:val="000000"/>
        </w:rPr>
        <w:t>ni</w:t>
      </w:r>
      <w:r>
        <w:rPr>
          <w:rFonts w:ascii="Times New Roman" w:hAnsi="Times New Roman" w:cs="Times New Roman"/>
          <w:color w:val="000000"/>
        </w:rPr>
        <w:t>rv</w:t>
      </w:r>
      <w:r w:rsidR="00B56CA4">
        <w:rPr>
          <w:rFonts w:ascii="Times New Roman" w:hAnsi="Times New Roman" w:cs="Times New Roman"/>
          <w:color w:val="000000"/>
        </w:rPr>
        <w:t>y</w:t>
      </w:r>
      <w:r w:rsidRPr="00E54229">
        <w:rPr>
          <w:rFonts w:ascii="Times New Roman" w:hAnsi="Times New Roman" w:cs="Times New Roman"/>
          <w:color w:val="000000"/>
        </w:rPr>
        <w:t xml:space="preserve"> na VKA existuje možnosť nedostatočnej antikoagulácie. Počas prestavenia na alternatívne antikoagulancium sa má zabezpečiť nepretržitá dostatočná antikoagulácia. </w:t>
      </w:r>
      <w:r w:rsidR="00AB20B1">
        <w:rPr>
          <w:rFonts w:ascii="Times New Roman" w:hAnsi="Times New Roman" w:cs="Times New Roman"/>
          <w:color w:val="000000"/>
        </w:rPr>
        <w:t>Je potrebné</w:t>
      </w:r>
      <w:r w:rsidRPr="00E54229">
        <w:rPr>
          <w:rFonts w:ascii="Times New Roman" w:hAnsi="Times New Roman" w:cs="Times New Roman"/>
          <w:color w:val="000000"/>
        </w:rPr>
        <w:t xml:space="preserve"> upozorniť na to, že Xa</w:t>
      </w:r>
      <w:r w:rsidR="00783235">
        <w:rPr>
          <w:rFonts w:ascii="Times New Roman" w:hAnsi="Times New Roman" w:cs="Times New Roman"/>
          <w:color w:val="000000"/>
        </w:rPr>
        <w:t>nirva</w:t>
      </w:r>
      <w:r w:rsidRPr="00E54229">
        <w:rPr>
          <w:rFonts w:ascii="Times New Roman" w:hAnsi="Times New Roman" w:cs="Times New Roman"/>
          <w:color w:val="000000"/>
        </w:rPr>
        <w:t xml:space="preserve"> môže prispievať ku zvýšeniu INR. </w:t>
      </w:r>
    </w:p>
    <w:p w14:paraId="2DFAC1DC" w14:textId="45CDF6C3"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t xml:space="preserve">U pacientov, ktorí prechádzajú z liečby </w:t>
      </w:r>
      <w:r w:rsidR="00783235" w:rsidRPr="00783235">
        <w:rPr>
          <w:rFonts w:ascii="Times New Roman" w:hAnsi="Times New Roman" w:cs="Times New Roman"/>
        </w:rPr>
        <w:t>Xanirv</w:t>
      </w:r>
      <w:r w:rsidR="00783235">
        <w:rPr>
          <w:rFonts w:ascii="Times New Roman" w:hAnsi="Times New Roman" w:cs="Times New Roman"/>
        </w:rPr>
        <w:t>ou</w:t>
      </w:r>
      <w:r w:rsidRPr="00E54229">
        <w:rPr>
          <w:rFonts w:ascii="Times New Roman" w:hAnsi="Times New Roman" w:cs="Times New Roman"/>
          <w:color w:val="000000"/>
        </w:rPr>
        <w:t xml:space="preserve"> na VKA, sa má VKA podávať súbežne, až do INR ≥2,0. Počas prvých dvoch dní prestavovania liečby sa má používať štandardné začiatočné dávkovanie VKA, po ktorom má nasledovať dávkovanie VKA, ktoré sa riadi meraním INR. Počas obdobia, keď pacienti užívajú </w:t>
      </w:r>
      <w:r w:rsidR="00783235" w:rsidRPr="00783235">
        <w:rPr>
          <w:rFonts w:ascii="Times New Roman" w:hAnsi="Times New Roman" w:cs="Times New Roman"/>
        </w:rPr>
        <w:t>Xanirv</w:t>
      </w:r>
      <w:r w:rsidR="00783235">
        <w:rPr>
          <w:rFonts w:ascii="Times New Roman" w:hAnsi="Times New Roman" w:cs="Times New Roman"/>
        </w:rPr>
        <w:t>u</w:t>
      </w:r>
      <w:r w:rsidRPr="00E54229">
        <w:rPr>
          <w:rFonts w:ascii="Times New Roman" w:hAnsi="Times New Roman" w:cs="Times New Roman"/>
          <w:color w:val="000000"/>
        </w:rPr>
        <w:t xml:space="preserve"> aj VKA, INR sa nemá merať skôr ako 24 hodín po predchádzajúcej dávke, ale pred nasledujúcou dávkou </w:t>
      </w:r>
      <w:r w:rsidR="00783235" w:rsidRPr="00783235">
        <w:rPr>
          <w:rFonts w:ascii="Times New Roman" w:hAnsi="Times New Roman" w:cs="Times New Roman"/>
        </w:rPr>
        <w:t>Xanirv</w:t>
      </w:r>
      <w:r w:rsidR="00B56CA4">
        <w:rPr>
          <w:rFonts w:ascii="Times New Roman" w:hAnsi="Times New Roman" w:cs="Times New Roman"/>
        </w:rPr>
        <w:t>y</w:t>
      </w:r>
      <w:r w:rsidRPr="00E54229">
        <w:rPr>
          <w:rFonts w:ascii="Times New Roman" w:hAnsi="Times New Roman" w:cs="Times New Roman"/>
          <w:color w:val="000000"/>
        </w:rPr>
        <w:t xml:space="preserve">. Po vysadení </w:t>
      </w:r>
      <w:r w:rsidR="00783235" w:rsidRPr="00783235">
        <w:rPr>
          <w:rFonts w:ascii="Times New Roman" w:hAnsi="Times New Roman" w:cs="Times New Roman"/>
        </w:rPr>
        <w:t>Xanirv</w:t>
      </w:r>
      <w:r w:rsidR="00B56CA4">
        <w:rPr>
          <w:rFonts w:ascii="Times New Roman" w:hAnsi="Times New Roman" w:cs="Times New Roman"/>
        </w:rPr>
        <w:t>y</w:t>
      </w:r>
      <w:r w:rsidRPr="00E54229">
        <w:rPr>
          <w:rFonts w:ascii="Times New Roman" w:hAnsi="Times New Roman" w:cs="Times New Roman"/>
          <w:color w:val="000000"/>
        </w:rPr>
        <w:t xml:space="preserve"> sa môže vykonať vhodné meranie INR aspoň 24 hodín po poslednej dávke (pozri časti 4.5 a 5.2). </w:t>
      </w:r>
    </w:p>
    <w:p w14:paraId="07EBE087" w14:textId="77777777" w:rsidR="00E54229" w:rsidRDefault="00E54229" w:rsidP="00E54229">
      <w:pPr>
        <w:autoSpaceDE w:val="0"/>
        <w:autoSpaceDN w:val="0"/>
        <w:adjustRightInd w:val="0"/>
        <w:spacing w:after="0" w:line="240" w:lineRule="auto"/>
        <w:rPr>
          <w:rFonts w:ascii="Times New Roman" w:hAnsi="Times New Roman" w:cs="Times New Roman"/>
          <w:i/>
          <w:iCs/>
          <w:color w:val="000000"/>
        </w:rPr>
      </w:pPr>
    </w:p>
    <w:p w14:paraId="7F115914" w14:textId="77777777"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i/>
          <w:iCs/>
          <w:color w:val="000000"/>
        </w:rPr>
        <w:t xml:space="preserve">Prestavenie z parenterálnych antikoagulancií na </w:t>
      </w:r>
      <w:r w:rsidR="00783235" w:rsidRPr="00783235">
        <w:rPr>
          <w:rFonts w:ascii="Times New Roman" w:hAnsi="Times New Roman" w:cs="Times New Roman"/>
          <w:i/>
        </w:rPr>
        <w:t>Xanirvu</w:t>
      </w:r>
      <w:r w:rsidRPr="00E54229">
        <w:rPr>
          <w:rFonts w:ascii="Times New Roman" w:hAnsi="Times New Roman" w:cs="Times New Roman"/>
          <w:i/>
          <w:iCs/>
          <w:color w:val="000000"/>
        </w:rPr>
        <w:t xml:space="preserve"> </w:t>
      </w:r>
    </w:p>
    <w:p w14:paraId="579363C1" w14:textId="71B2C287"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t>U pacientov sú</w:t>
      </w:r>
      <w:r w:rsidR="002F5756">
        <w:rPr>
          <w:rFonts w:ascii="Times New Roman" w:hAnsi="Times New Roman" w:cs="Times New Roman"/>
          <w:color w:val="000000"/>
        </w:rPr>
        <w:t>bežne</w:t>
      </w:r>
      <w:r w:rsidRPr="00E54229">
        <w:rPr>
          <w:rFonts w:ascii="Times New Roman" w:hAnsi="Times New Roman" w:cs="Times New Roman"/>
          <w:color w:val="000000"/>
        </w:rPr>
        <w:t xml:space="preserve"> </w:t>
      </w:r>
      <w:r w:rsidR="004F5DB3">
        <w:rPr>
          <w:rFonts w:ascii="Times New Roman" w:hAnsi="Times New Roman" w:cs="Times New Roman"/>
          <w:color w:val="000000"/>
        </w:rPr>
        <w:t>po</w:t>
      </w:r>
      <w:r w:rsidRPr="00E54229">
        <w:rPr>
          <w:rFonts w:ascii="Times New Roman" w:hAnsi="Times New Roman" w:cs="Times New Roman"/>
          <w:color w:val="000000"/>
        </w:rPr>
        <w:t xml:space="preserve">užívajúcich parenterálne antikoagulancium </w:t>
      </w:r>
      <w:r w:rsidR="0077108D">
        <w:rPr>
          <w:rFonts w:ascii="Times New Roman" w:hAnsi="Times New Roman" w:cs="Times New Roman"/>
          <w:color w:val="000000"/>
        </w:rPr>
        <w:t xml:space="preserve">sa má </w:t>
      </w:r>
      <w:r w:rsidRPr="00E54229">
        <w:rPr>
          <w:rFonts w:ascii="Times New Roman" w:hAnsi="Times New Roman" w:cs="Times New Roman"/>
          <w:color w:val="000000"/>
        </w:rPr>
        <w:t>ukonči</w:t>
      </w:r>
      <w:r w:rsidR="0077108D">
        <w:rPr>
          <w:rFonts w:ascii="Times New Roman" w:hAnsi="Times New Roman" w:cs="Times New Roman"/>
          <w:color w:val="000000"/>
        </w:rPr>
        <w:t>ť</w:t>
      </w:r>
      <w:r w:rsidRPr="00E54229">
        <w:rPr>
          <w:rFonts w:ascii="Times New Roman" w:hAnsi="Times New Roman" w:cs="Times New Roman"/>
          <w:color w:val="000000"/>
        </w:rPr>
        <w:t xml:space="preserve"> podávanie parenterálneho antikagulancia a zač</w:t>
      </w:r>
      <w:r w:rsidR="0077108D">
        <w:rPr>
          <w:rFonts w:ascii="Times New Roman" w:hAnsi="Times New Roman" w:cs="Times New Roman"/>
          <w:color w:val="000000"/>
        </w:rPr>
        <w:t>ať</w:t>
      </w:r>
      <w:r w:rsidRPr="00E54229">
        <w:rPr>
          <w:rFonts w:ascii="Times New Roman" w:hAnsi="Times New Roman" w:cs="Times New Roman"/>
          <w:color w:val="000000"/>
        </w:rPr>
        <w:t xml:space="preserve"> liečbu </w:t>
      </w:r>
      <w:r w:rsidR="00783235" w:rsidRPr="00783235">
        <w:rPr>
          <w:rFonts w:ascii="Times New Roman" w:hAnsi="Times New Roman" w:cs="Times New Roman"/>
        </w:rPr>
        <w:t>Xanirv</w:t>
      </w:r>
      <w:r w:rsidR="00783235">
        <w:rPr>
          <w:rFonts w:ascii="Times New Roman" w:hAnsi="Times New Roman" w:cs="Times New Roman"/>
        </w:rPr>
        <w:t>ou</w:t>
      </w:r>
      <w:r w:rsidRPr="00E54229">
        <w:rPr>
          <w:rFonts w:ascii="Times New Roman" w:hAnsi="Times New Roman" w:cs="Times New Roman"/>
          <w:color w:val="000000"/>
        </w:rPr>
        <w:t xml:space="preserve"> 0 až 2 hodiny pred termínom, na ktorý pripadala ďalšia naplánovaná dávka parenterálneho lieku (napr. nízkomolekulárnych heparínov) alebo v čase ukončenia kontinuálne podávaného parenterálneho lieku (napr. intravenózneho nefrakcionovaného heparínu). </w:t>
      </w:r>
    </w:p>
    <w:p w14:paraId="4C66B6F5" w14:textId="77777777" w:rsidR="00E54229" w:rsidRDefault="00E54229" w:rsidP="00E54229">
      <w:pPr>
        <w:autoSpaceDE w:val="0"/>
        <w:autoSpaceDN w:val="0"/>
        <w:adjustRightInd w:val="0"/>
        <w:spacing w:after="0" w:line="240" w:lineRule="auto"/>
        <w:rPr>
          <w:rFonts w:ascii="Times New Roman" w:hAnsi="Times New Roman" w:cs="Times New Roman"/>
          <w:i/>
          <w:iCs/>
          <w:color w:val="000000"/>
        </w:rPr>
      </w:pPr>
    </w:p>
    <w:p w14:paraId="1B85B8A9" w14:textId="71DDA090"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i/>
          <w:iCs/>
          <w:color w:val="000000"/>
        </w:rPr>
        <w:t xml:space="preserve">Prestavenie z liečby </w:t>
      </w:r>
      <w:r w:rsidR="00783235" w:rsidRPr="00783235">
        <w:rPr>
          <w:rFonts w:ascii="Times New Roman" w:hAnsi="Times New Roman" w:cs="Times New Roman"/>
          <w:i/>
        </w:rPr>
        <w:t>Xanirv</w:t>
      </w:r>
      <w:r w:rsidR="002F5756">
        <w:rPr>
          <w:rFonts w:ascii="Times New Roman" w:hAnsi="Times New Roman" w:cs="Times New Roman"/>
          <w:i/>
        </w:rPr>
        <w:t>ou</w:t>
      </w:r>
      <w:r w:rsidRPr="00E54229">
        <w:rPr>
          <w:rFonts w:ascii="Times New Roman" w:hAnsi="Times New Roman" w:cs="Times New Roman"/>
          <w:i/>
          <w:iCs/>
          <w:color w:val="000000"/>
        </w:rPr>
        <w:t xml:space="preserve"> na parenterálne antikoagulanciá </w:t>
      </w:r>
    </w:p>
    <w:p w14:paraId="7409F532" w14:textId="45CC2888" w:rsidR="00770E49" w:rsidRDefault="00E54229" w:rsidP="00E54229">
      <w:pPr>
        <w:spacing w:after="0" w:line="240" w:lineRule="auto"/>
        <w:rPr>
          <w:rFonts w:ascii="Times New Roman" w:hAnsi="Times New Roman" w:cs="Times New Roman"/>
        </w:rPr>
      </w:pPr>
      <w:r w:rsidRPr="00E54229">
        <w:rPr>
          <w:rFonts w:ascii="Times New Roman" w:hAnsi="Times New Roman" w:cs="Times New Roman"/>
          <w:color w:val="000000"/>
        </w:rPr>
        <w:t>Prv</w:t>
      </w:r>
      <w:r w:rsidR="00CF56D8">
        <w:rPr>
          <w:rFonts w:ascii="Times New Roman" w:hAnsi="Times New Roman" w:cs="Times New Roman"/>
          <w:color w:val="000000"/>
        </w:rPr>
        <w:t>á</w:t>
      </w:r>
      <w:r w:rsidRPr="00E54229">
        <w:rPr>
          <w:rFonts w:ascii="Times New Roman" w:hAnsi="Times New Roman" w:cs="Times New Roman"/>
          <w:color w:val="000000"/>
        </w:rPr>
        <w:t xml:space="preserve"> dávk</w:t>
      </w:r>
      <w:r w:rsidR="00CF56D8">
        <w:rPr>
          <w:rFonts w:ascii="Times New Roman" w:hAnsi="Times New Roman" w:cs="Times New Roman"/>
          <w:color w:val="000000"/>
        </w:rPr>
        <w:t>a</w:t>
      </w:r>
      <w:r w:rsidRPr="00E54229">
        <w:rPr>
          <w:rFonts w:ascii="Times New Roman" w:hAnsi="Times New Roman" w:cs="Times New Roman"/>
          <w:color w:val="000000"/>
        </w:rPr>
        <w:t xml:space="preserve"> parenterálneho antikoagulancia </w:t>
      </w:r>
      <w:r w:rsidR="00CF56D8">
        <w:rPr>
          <w:rFonts w:ascii="Times New Roman" w:hAnsi="Times New Roman" w:cs="Times New Roman"/>
          <w:color w:val="000000"/>
        </w:rPr>
        <w:t xml:space="preserve">sa má </w:t>
      </w:r>
      <w:r w:rsidRPr="00E54229">
        <w:rPr>
          <w:rFonts w:ascii="Times New Roman" w:hAnsi="Times New Roman" w:cs="Times New Roman"/>
          <w:color w:val="000000"/>
        </w:rPr>
        <w:t>poda</w:t>
      </w:r>
      <w:r w:rsidR="00CF56D8">
        <w:rPr>
          <w:rFonts w:ascii="Times New Roman" w:hAnsi="Times New Roman" w:cs="Times New Roman"/>
          <w:color w:val="000000"/>
        </w:rPr>
        <w:t>ť</w:t>
      </w:r>
      <w:r w:rsidRPr="00E54229">
        <w:rPr>
          <w:rFonts w:ascii="Times New Roman" w:hAnsi="Times New Roman" w:cs="Times New Roman"/>
          <w:color w:val="000000"/>
        </w:rPr>
        <w:t xml:space="preserve"> v čase, keď sa má užiť nasledujúca dávka </w:t>
      </w:r>
      <w:r w:rsidR="00783235" w:rsidRPr="00783235">
        <w:rPr>
          <w:rFonts w:ascii="Times New Roman" w:hAnsi="Times New Roman" w:cs="Times New Roman"/>
        </w:rPr>
        <w:t>Xanirv</w:t>
      </w:r>
      <w:r w:rsidR="00CF56D8">
        <w:rPr>
          <w:rFonts w:ascii="Times New Roman" w:hAnsi="Times New Roman" w:cs="Times New Roman"/>
        </w:rPr>
        <w:t>y</w:t>
      </w:r>
      <w:r w:rsidRPr="00E54229">
        <w:rPr>
          <w:rFonts w:ascii="Times New Roman" w:hAnsi="Times New Roman" w:cs="Times New Roman"/>
          <w:color w:val="000000"/>
        </w:rPr>
        <w:t>.</w:t>
      </w:r>
    </w:p>
    <w:p w14:paraId="3D107C25" w14:textId="77777777" w:rsidR="00770E49" w:rsidRDefault="00770E49" w:rsidP="00B20146">
      <w:pPr>
        <w:spacing w:after="0" w:line="240" w:lineRule="auto"/>
        <w:rPr>
          <w:rFonts w:ascii="Times New Roman" w:hAnsi="Times New Roman" w:cs="Times New Roman"/>
        </w:rPr>
      </w:pPr>
    </w:p>
    <w:p w14:paraId="3C777062" w14:textId="77777777" w:rsidR="00E54229" w:rsidRPr="000D053C" w:rsidRDefault="00E54229" w:rsidP="00E54229">
      <w:pPr>
        <w:autoSpaceDE w:val="0"/>
        <w:autoSpaceDN w:val="0"/>
        <w:adjustRightInd w:val="0"/>
        <w:spacing w:after="0" w:line="240" w:lineRule="auto"/>
        <w:rPr>
          <w:rFonts w:ascii="Times New Roman" w:hAnsi="Times New Roman" w:cs="Times New Roman"/>
          <w:color w:val="000000"/>
          <w:u w:val="single"/>
        </w:rPr>
      </w:pPr>
      <w:r w:rsidRPr="000D053C">
        <w:rPr>
          <w:rFonts w:ascii="Times New Roman" w:hAnsi="Times New Roman" w:cs="Times New Roman"/>
          <w:i/>
          <w:iCs/>
          <w:color w:val="000000"/>
          <w:u w:val="single"/>
        </w:rPr>
        <w:t xml:space="preserve">Osobitné skupiny pacientov </w:t>
      </w:r>
    </w:p>
    <w:p w14:paraId="4D1F2A61" w14:textId="77777777"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i/>
          <w:iCs/>
          <w:color w:val="000000"/>
        </w:rPr>
        <w:t xml:space="preserve">Porucha funkcie obličiek </w:t>
      </w:r>
    </w:p>
    <w:p w14:paraId="3FA9AFB8" w14:textId="77777777"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t>Obmedzené klinické údaje o pacientoch s ťažkou poruchou funkcie obličiek (klírens kreatinínu 15-29 ml/min) naznačujú, že sú signifikantne zvýšené pla</w:t>
      </w:r>
      <w:r w:rsidR="001462B3">
        <w:rPr>
          <w:rFonts w:ascii="Times New Roman" w:hAnsi="Times New Roman" w:cs="Times New Roman"/>
          <w:color w:val="000000"/>
        </w:rPr>
        <w:t>zmatické koncentrácie rivaroxabá</w:t>
      </w:r>
      <w:r w:rsidRPr="00E54229">
        <w:rPr>
          <w:rFonts w:ascii="Times New Roman" w:hAnsi="Times New Roman" w:cs="Times New Roman"/>
          <w:color w:val="000000"/>
        </w:rPr>
        <w:t xml:space="preserve">nu. U týchto pacientov sa má preto </w:t>
      </w:r>
      <w:r w:rsidR="00783235" w:rsidRPr="00783235">
        <w:rPr>
          <w:rFonts w:ascii="Times New Roman" w:hAnsi="Times New Roman" w:cs="Times New Roman"/>
        </w:rPr>
        <w:t>Xanirv</w:t>
      </w:r>
      <w:r w:rsidR="00783235">
        <w:rPr>
          <w:rFonts w:ascii="Times New Roman" w:hAnsi="Times New Roman" w:cs="Times New Roman"/>
        </w:rPr>
        <w:t>a</w:t>
      </w:r>
      <w:r w:rsidRPr="00E54229">
        <w:rPr>
          <w:rFonts w:ascii="Times New Roman" w:hAnsi="Times New Roman" w:cs="Times New Roman"/>
          <w:color w:val="000000"/>
        </w:rPr>
        <w:t xml:space="preserve"> používať s opatrnosťou. Použitie sa neodporúča u pacientov s klírensom kreatinínu &lt;</w:t>
      </w:r>
      <w:r w:rsidR="00A61279">
        <w:rPr>
          <w:rFonts w:ascii="Times New Roman" w:hAnsi="Times New Roman" w:cs="Times New Roman"/>
          <w:color w:val="000000"/>
        </w:rPr>
        <w:t> </w:t>
      </w:r>
      <w:r w:rsidRPr="00E54229">
        <w:rPr>
          <w:rFonts w:ascii="Times New Roman" w:hAnsi="Times New Roman" w:cs="Times New Roman"/>
          <w:color w:val="000000"/>
        </w:rPr>
        <w:t xml:space="preserve">15 ml/min (pozri časti 4.4 a 5.2). </w:t>
      </w:r>
    </w:p>
    <w:p w14:paraId="6BC6EF92" w14:textId="77777777" w:rsid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color w:val="000000"/>
        </w:rPr>
        <w:lastRenderedPageBreak/>
        <w:t xml:space="preserve">U pacientov s miernou poruchou funkcie obličiek (klírens kreatinínu 50-80 ml/min) alebo so stredne ťažkou poruchou funkcie obličiek (klírens kreatinínu 30-49 ml/min) nie je potrebná úprava dávky (pozri časť 5.2). </w:t>
      </w:r>
    </w:p>
    <w:p w14:paraId="49E1AA0D" w14:textId="77777777" w:rsidR="00A61279" w:rsidRPr="00E54229" w:rsidRDefault="00A61279" w:rsidP="00E54229">
      <w:pPr>
        <w:autoSpaceDE w:val="0"/>
        <w:autoSpaceDN w:val="0"/>
        <w:adjustRightInd w:val="0"/>
        <w:spacing w:after="0" w:line="240" w:lineRule="auto"/>
        <w:rPr>
          <w:rFonts w:ascii="Times New Roman" w:hAnsi="Times New Roman" w:cs="Times New Roman"/>
          <w:color w:val="000000"/>
        </w:rPr>
      </w:pPr>
    </w:p>
    <w:p w14:paraId="714591DB" w14:textId="77777777" w:rsidR="00E54229" w:rsidRPr="00E54229" w:rsidRDefault="00E54229" w:rsidP="00E54229">
      <w:pPr>
        <w:autoSpaceDE w:val="0"/>
        <w:autoSpaceDN w:val="0"/>
        <w:adjustRightInd w:val="0"/>
        <w:spacing w:after="0" w:line="240" w:lineRule="auto"/>
        <w:rPr>
          <w:rFonts w:ascii="Times New Roman" w:hAnsi="Times New Roman" w:cs="Times New Roman"/>
          <w:color w:val="000000"/>
        </w:rPr>
      </w:pPr>
      <w:r w:rsidRPr="00E54229">
        <w:rPr>
          <w:rFonts w:ascii="Times New Roman" w:hAnsi="Times New Roman" w:cs="Times New Roman"/>
          <w:i/>
          <w:iCs/>
          <w:color w:val="000000"/>
        </w:rPr>
        <w:t xml:space="preserve">Porucha funkcie pečene </w:t>
      </w:r>
    </w:p>
    <w:p w14:paraId="14F9764C" w14:textId="7CD3B920" w:rsidR="00E54229" w:rsidRDefault="00783235" w:rsidP="00E54229">
      <w:pPr>
        <w:spacing w:after="0" w:line="240" w:lineRule="auto"/>
        <w:rPr>
          <w:rFonts w:ascii="Times New Roman" w:hAnsi="Times New Roman" w:cs="Times New Roman"/>
        </w:rPr>
      </w:pPr>
      <w:r w:rsidRPr="00783235">
        <w:rPr>
          <w:rFonts w:ascii="Times New Roman" w:hAnsi="Times New Roman" w:cs="Times New Roman"/>
        </w:rPr>
        <w:t>Xanirv</w:t>
      </w:r>
      <w:r>
        <w:rPr>
          <w:rFonts w:ascii="Times New Roman" w:hAnsi="Times New Roman" w:cs="Times New Roman"/>
        </w:rPr>
        <w:t>a</w:t>
      </w:r>
      <w:r w:rsidR="00E54229" w:rsidRPr="00E54229">
        <w:rPr>
          <w:rFonts w:ascii="Times New Roman" w:hAnsi="Times New Roman" w:cs="Times New Roman"/>
          <w:color w:val="000000"/>
        </w:rPr>
        <w:t xml:space="preserve"> je kontraindikovan</w:t>
      </w:r>
      <w:r w:rsidR="002F5756">
        <w:rPr>
          <w:rFonts w:ascii="Times New Roman" w:hAnsi="Times New Roman" w:cs="Times New Roman"/>
          <w:color w:val="000000"/>
        </w:rPr>
        <w:t>á</w:t>
      </w:r>
      <w:r w:rsidR="00E54229" w:rsidRPr="00E54229">
        <w:rPr>
          <w:rFonts w:ascii="Times New Roman" w:hAnsi="Times New Roman" w:cs="Times New Roman"/>
          <w:color w:val="000000"/>
        </w:rPr>
        <w:t xml:space="preserve">  paciento</w:t>
      </w:r>
      <w:r w:rsidR="00F14764">
        <w:rPr>
          <w:rFonts w:ascii="Times New Roman" w:hAnsi="Times New Roman" w:cs="Times New Roman"/>
          <w:color w:val="000000"/>
        </w:rPr>
        <w:t>m</w:t>
      </w:r>
      <w:r w:rsidR="00E54229" w:rsidRPr="00E54229">
        <w:rPr>
          <w:rFonts w:ascii="Times New Roman" w:hAnsi="Times New Roman" w:cs="Times New Roman"/>
          <w:color w:val="000000"/>
        </w:rPr>
        <w:t xml:space="preserve"> s ochorením pečene súvisiacim s koagulopatiou a klinicky relevantným rizikom krvácania, vrátane pacientov</w:t>
      </w:r>
      <w:r w:rsidR="00B9496F">
        <w:rPr>
          <w:rFonts w:ascii="Times New Roman" w:hAnsi="Times New Roman" w:cs="Times New Roman"/>
          <w:color w:val="000000"/>
        </w:rPr>
        <w:t xml:space="preserve"> s cirhózou</w:t>
      </w:r>
      <w:r w:rsidR="00E54229" w:rsidRPr="00E54229">
        <w:rPr>
          <w:rFonts w:ascii="Times New Roman" w:hAnsi="Times New Roman" w:cs="Times New Roman"/>
          <w:color w:val="000000"/>
        </w:rPr>
        <w:t xml:space="preserve"> s Childovým-Pughovým </w:t>
      </w:r>
      <w:r w:rsidR="00B9496F">
        <w:rPr>
          <w:rFonts w:ascii="Times New Roman" w:hAnsi="Times New Roman" w:cs="Times New Roman"/>
          <w:color w:val="000000"/>
        </w:rPr>
        <w:t>skóre</w:t>
      </w:r>
      <w:r w:rsidR="00B9496F" w:rsidRPr="00E54229">
        <w:rPr>
          <w:rFonts w:ascii="Times New Roman" w:hAnsi="Times New Roman" w:cs="Times New Roman"/>
          <w:color w:val="000000"/>
        </w:rPr>
        <w:t xml:space="preserve"> </w:t>
      </w:r>
      <w:r w:rsidR="00E54229" w:rsidRPr="00E54229">
        <w:rPr>
          <w:rFonts w:ascii="Times New Roman" w:hAnsi="Times New Roman" w:cs="Times New Roman"/>
          <w:color w:val="000000"/>
        </w:rPr>
        <w:t>B a C (pozri časti 4.3 a 5.2).</w:t>
      </w:r>
    </w:p>
    <w:p w14:paraId="413BFF47" w14:textId="77777777" w:rsidR="00E54229" w:rsidRDefault="00E54229" w:rsidP="00B20146">
      <w:pPr>
        <w:spacing w:after="0" w:line="240" w:lineRule="auto"/>
        <w:rPr>
          <w:rFonts w:ascii="Times New Roman" w:hAnsi="Times New Roman" w:cs="Times New Roman"/>
        </w:rPr>
      </w:pPr>
    </w:p>
    <w:p w14:paraId="35BD0D14" w14:textId="77777777" w:rsidR="00B554F4" w:rsidRPr="005B3B88" w:rsidRDefault="00B554F4" w:rsidP="00B20146">
      <w:pPr>
        <w:pStyle w:val="Default"/>
        <w:rPr>
          <w:sz w:val="22"/>
          <w:szCs w:val="22"/>
        </w:rPr>
      </w:pPr>
      <w:r w:rsidRPr="005B3B88">
        <w:rPr>
          <w:i/>
          <w:iCs/>
          <w:sz w:val="22"/>
          <w:szCs w:val="22"/>
        </w:rPr>
        <w:t xml:space="preserve">Starší pacienti </w:t>
      </w:r>
    </w:p>
    <w:p w14:paraId="30AB7A47" w14:textId="77777777" w:rsidR="00B554F4" w:rsidRDefault="00B554F4" w:rsidP="00B20146">
      <w:pPr>
        <w:pStyle w:val="Default"/>
        <w:rPr>
          <w:sz w:val="22"/>
          <w:szCs w:val="22"/>
        </w:rPr>
      </w:pPr>
      <w:r w:rsidRPr="005B3B88">
        <w:rPr>
          <w:sz w:val="22"/>
          <w:szCs w:val="22"/>
        </w:rPr>
        <w:t>Bez úpravy dávky (</w:t>
      </w:r>
      <w:r w:rsidR="00E54229">
        <w:rPr>
          <w:sz w:val="22"/>
          <w:szCs w:val="22"/>
        </w:rPr>
        <w:t>pozri časti 4.4 a</w:t>
      </w:r>
      <w:r w:rsidRPr="005B3B88">
        <w:rPr>
          <w:sz w:val="22"/>
          <w:szCs w:val="22"/>
        </w:rPr>
        <w:t xml:space="preserve"> 5.2). </w:t>
      </w:r>
    </w:p>
    <w:p w14:paraId="3D7ED09B" w14:textId="77777777" w:rsidR="00E54229" w:rsidRPr="005B3B88" w:rsidRDefault="00E54229" w:rsidP="00B20146">
      <w:pPr>
        <w:pStyle w:val="Default"/>
        <w:rPr>
          <w:sz w:val="22"/>
          <w:szCs w:val="22"/>
        </w:rPr>
      </w:pPr>
      <w:r>
        <w:rPr>
          <w:sz w:val="22"/>
          <w:szCs w:val="22"/>
        </w:rPr>
        <w:t>Riziko krvácania sa s narastajúcim vekom zvyšuje (pozri časť 4.4).</w:t>
      </w:r>
    </w:p>
    <w:p w14:paraId="4515A9D8" w14:textId="77777777" w:rsidR="00B554F4" w:rsidRPr="005B3B88" w:rsidRDefault="00B554F4" w:rsidP="00B20146">
      <w:pPr>
        <w:pStyle w:val="Default"/>
        <w:rPr>
          <w:sz w:val="22"/>
          <w:szCs w:val="22"/>
        </w:rPr>
      </w:pPr>
    </w:p>
    <w:p w14:paraId="6B218DA5" w14:textId="77777777" w:rsidR="00B554F4" w:rsidRPr="005B3B88" w:rsidRDefault="00B554F4" w:rsidP="00B20146">
      <w:pPr>
        <w:pStyle w:val="Default"/>
        <w:rPr>
          <w:sz w:val="22"/>
          <w:szCs w:val="22"/>
        </w:rPr>
      </w:pPr>
      <w:r w:rsidRPr="005B3B88">
        <w:rPr>
          <w:i/>
          <w:iCs/>
          <w:sz w:val="22"/>
          <w:szCs w:val="22"/>
        </w:rPr>
        <w:t xml:space="preserve">Telesná hmotnosť </w:t>
      </w:r>
    </w:p>
    <w:p w14:paraId="0143EC68" w14:textId="77777777" w:rsidR="00B554F4" w:rsidRPr="005B3B88" w:rsidRDefault="00B554F4" w:rsidP="00B20146">
      <w:pPr>
        <w:pStyle w:val="Default"/>
        <w:rPr>
          <w:sz w:val="22"/>
          <w:szCs w:val="22"/>
        </w:rPr>
      </w:pPr>
      <w:r w:rsidRPr="005B3B88">
        <w:rPr>
          <w:sz w:val="22"/>
          <w:szCs w:val="22"/>
        </w:rPr>
        <w:t xml:space="preserve">Bez úpravy dávky (pozri </w:t>
      </w:r>
      <w:r w:rsidR="00E54229">
        <w:rPr>
          <w:sz w:val="22"/>
          <w:szCs w:val="22"/>
        </w:rPr>
        <w:t>časti 4.4 a</w:t>
      </w:r>
      <w:r w:rsidR="00E54229" w:rsidRPr="005B3B88">
        <w:rPr>
          <w:sz w:val="22"/>
          <w:szCs w:val="22"/>
        </w:rPr>
        <w:t xml:space="preserve"> 5.2</w:t>
      </w:r>
      <w:r w:rsidRPr="005B3B88">
        <w:rPr>
          <w:sz w:val="22"/>
          <w:szCs w:val="22"/>
        </w:rPr>
        <w:t xml:space="preserve">). </w:t>
      </w:r>
    </w:p>
    <w:p w14:paraId="25D0EFD4" w14:textId="77777777" w:rsidR="00B554F4" w:rsidRPr="005B3B88" w:rsidRDefault="00B554F4" w:rsidP="00B20146">
      <w:pPr>
        <w:pStyle w:val="Default"/>
        <w:rPr>
          <w:sz w:val="22"/>
          <w:szCs w:val="22"/>
        </w:rPr>
      </w:pPr>
    </w:p>
    <w:p w14:paraId="5B8D6BA3" w14:textId="77777777" w:rsidR="00B554F4" w:rsidRPr="005B3B88" w:rsidRDefault="00B554F4" w:rsidP="00B20146">
      <w:pPr>
        <w:pStyle w:val="Default"/>
        <w:rPr>
          <w:sz w:val="22"/>
          <w:szCs w:val="22"/>
        </w:rPr>
      </w:pPr>
      <w:r w:rsidRPr="005B3B88">
        <w:rPr>
          <w:i/>
          <w:iCs/>
          <w:sz w:val="22"/>
          <w:szCs w:val="22"/>
        </w:rPr>
        <w:t xml:space="preserve">Pohlavie </w:t>
      </w:r>
    </w:p>
    <w:p w14:paraId="5B672677"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1F3B8816" w14:textId="77777777" w:rsidR="00B554F4" w:rsidRPr="005B3B88" w:rsidRDefault="00B554F4" w:rsidP="00B20146">
      <w:pPr>
        <w:pStyle w:val="Default"/>
        <w:rPr>
          <w:sz w:val="22"/>
          <w:szCs w:val="22"/>
        </w:rPr>
      </w:pPr>
    </w:p>
    <w:p w14:paraId="49E07A33" w14:textId="77777777" w:rsidR="00B554F4" w:rsidRPr="005B3B88" w:rsidRDefault="00B554F4" w:rsidP="00B20146">
      <w:pPr>
        <w:pStyle w:val="Default"/>
        <w:rPr>
          <w:sz w:val="22"/>
          <w:szCs w:val="22"/>
        </w:rPr>
      </w:pPr>
      <w:r w:rsidRPr="005B3B88">
        <w:rPr>
          <w:i/>
          <w:iCs/>
          <w:sz w:val="22"/>
          <w:szCs w:val="22"/>
        </w:rPr>
        <w:t xml:space="preserve">Pediatrická populácia </w:t>
      </w:r>
    </w:p>
    <w:p w14:paraId="43BCD7EF"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Bezpečnosť a účinnosť </w:t>
      </w:r>
      <w:r w:rsidR="000379AB" w:rsidRPr="005B3B88">
        <w:rPr>
          <w:rFonts w:ascii="Times New Roman" w:hAnsi="Times New Roman" w:cs="Times New Roman"/>
        </w:rPr>
        <w:t>rivaroxabán</w:t>
      </w:r>
      <w:r w:rsidRPr="005B3B88">
        <w:rPr>
          <w:rFonts w:ascii="Times New Roman" w:hAnsi="Times New Roman" w:cs="Times New Roman"/>
        </w:rPr>
        <w:t xml:space="preserve">u u detí vo veku 0 až 18 rokov neboli doteraz stanovené. </w:t>
      </w:r>
    </w:p>
    <w:p w14:paraId="3EB4CAC2"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K dispozícii nie sú žiadne údaje. Preto sa </w:t>
      </w:r>
      <w:r w:rsidR="00D15FFE">
        <w:rPr>
          <w:rFonts w:ascii="Times New Roman" w:hAnsi="Times New Roman" w:cs="Times New Roman"/>
        </w:rPr>
        <w:t>Xanirv</w:t>
      </w:r>
      <w:r w:rsidR="00E54229">
        <w:rPr>
          <w:rFonts w:ascii="Times New Roman" w:hAnsi="Times New Roman" w:cs="Times New Roman"/>
        </w:rPr>
        <w:t>a</w:t>
      </w:r>
      <w:r w:rsidRPr="005B3B88">
        <w:rPr>
          <w:rFonts w:ascii="Times New Roman" w:hAnsi="Times New Roman" w:cs="Times New Roman"/>
        </w:rPr>
        <w:t xml:space="preserve"> neodporúča používať u detí do 18 rokov.</w:t>
      </w:r>
    </w:p>
    <w:p w14:paraId="38D353A3" w14:textId="77777777" w:rsidR="00B554F4" w:rsidRPr="005B3B88" w:rsidRDefault="00B554F4" w:rsidP="00B20146">
      <w:pPr>
        <w:spacing w:after="0" w:line="240" w:lineRule="auto"/>
        <w:rPr>
          <w:rFonts w:ascii="Times New Roman" w:hAnsi="Times New Roman" w:cs="Times New Roman"/>
        </w:rPr>
      </w:pPr>
    </w:p>
    <w:p w14:paraId="1E3C61EB" w14:textId="77777777" w:rsidR="006812B1" w:rsidRPr="005B3B88" w:rsidRDefault="006812B1" w:rsidP="00B20146">
      <w:pPr>
        <w:spacing w:after="0" w:line="240" w:lineRule="auto"/>
        <w:rPr>
          <w:rFonts w:ascii="Times New Roman" w:hAnsi="Times New Roman" w:cs="Times New Roman"/>
          <w:u w:val="single"/>
        </w:rPr>
      </w:pPr>
      <w:r w:rsidRPr="005B3B88">
        <w:rPr>
          <w:rFonts w:ascii="Times New Roman" w:hAnsi="Times New Roman" w:cs="Times New Roman"/>
          <w:u w:val="single"/>
        </w:rPr>
        <w:t>Spôsob podávania</w:t>
      </w:r>
    </w:p>
    <w:p w14:paraId="4A6A4994" w14:textId="6171EE78" w:rsidR="006812B1" w:rsidRPr="005B3B88" w:rsidRDefault="00B9496F" w:rsidP="00B20146">
      <w:pPr>
        <w:spacing w:after="0" w:line="240" w:lineRule="auto"/>
        <w:rPr>
          <w:rFonts w:ascii="Times New Roman" w:hAnsi="Times New Roman" w:cs="Times New Roman"/>
        </w:rPr>
      </w:pPr>
      <w:r>
        <w:rPr>
          <w:rFonts w:ascii="Times New Roman" w:hAnsi="Times New Roman" w:cs="Times New Roman"/>
        </w:rPr>
        <w:t>Xanirva je n</w:t>
      </w:r>
      <w:r w:rsidR="006812B1" w:rsidRPr="005B3B88">
        <w:rPr>
          <w:rFonts w:ascii="Times New Roman" w:hAnsi="Times New Roman" w:cs="Times New Roman"/>
        </w:rPr>
        <w:t>a perorálne použitie.</w:t>
      </w:r>
    </w:p>
    <w:p w14:paraId="6A959106" w14:textId="77777777" w:rsidR="006812B1" w:rsidRPr="001D1863" w:rsidRDefault="006812B1" w:rsidP="00B20146">
      <w:pPr>
        <w:spacing w:after="0" w:line="240" w:lineRule="auto"/>
        <w:rPr>
          <w:rFonts w:ascii="Times New Roman" w:hAnsi="Times New Roman" w:cs="Times New Roman"/>
        </w:rPr>
      </w:pPr>
      <w:r w:rsidRPr="001D1863">
        <w:rPr>
          <w:rFonts w:ascii="Times New Roman" w:hAnsi="Times New Roman" w:cs="Times New Roman"/>
        </w:rPr>
        <w:t xml:space="preserve">Tablety </w:t>
      </w:r>
      <w:r w:rsidR="001D1863" w:rsidRPr="001D1863">
        <w:rPr>
          <w:rFonts w:ascii="Times New Roman" w:hAnsi="Times New Roman" w:cs="Times New Roman"/>
        </w:rPr>
        <w:t>možno užívať s jedlom alebo bez jedla (pozri časti 4.5 a 5.2).</w:t>
      </w:r>
    </w:p>
    <w:p w14:paraId="06E9805B" w14:textId="77777777" w:rsidR="006812B1" w:rsidRPr="005B3B88" w:rsidRDefault="006812B1" w:rsidP="00B20146">
      <w:pPr>
        <w:spacing w:after="0" w:line="240" w:lineRule="auto"/>
        <w:rPr>
          <w:rFonts w:ascii="Times New Roman" w:hAnsi="Times New Roman" w:cs="Times New Roman"/>
          <w:u w:val="single"/>
        </w:rPr>
      </w:pPr>
    </w:p>
    <w:p w14:paraId="46EDC91F" w14:textId="3BC21FDB" w:rsidR="001D1863"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Pacientom, ktorí nie sú schopní prehĺtať </w:t>
      </w:r>
      <w:r w:rsidR="00066548" w:rsidRPr="005B3B88">
        <w:rPr>
          <w:rFonts w:ascii="Times New Roman" w:hAnsi="Times New Roman" w:cs="Times New Roman"/>
        </w:rPr>
        <w:t xml:space="preserve">celé </w:t>
      </w:r>
      <w:r w:rsidRPr="005B3B88">
        <w:rPr>
          <w:rFonts w:ascii="Times New Roman" w:hAnsi="Times New Roman" w:cs="Times New Roman"/>
        </w:rPr>
        <w:t xml:space="preserve">tablety, sa môže tableta </w:t>
      </w:r>
      <w:r w:rsidR="006707A4">
        <w:rPr>
          <w:rFonts w:ascii="Times New Roman" w:hAnsi="Times New Roman" w:cs="Times New Roman"/>
        </w:rPr>
        <w:t>Xanirv</w:t>
      </w:r>
      <w:r w:rsidR="00B56CA4">
        <w:rPr>
          <w:rFonts w:ascii="Times New Roman" w:hAnsi="Times New Roman" w:cs="Times New Roman"/>
        </w:rPr>
        <w:t>y</w:t>
      </w:r>
      <w:r w:rsidR="006707A4">
        <w:rPr>
          <w:rFonts w:ascii="Times New Roman" w:hAnsi="Times New Roman" w:cs="Times New Roman"/>
        </w:rPr>
        <w:t xml:space="preserve"> </w:t>
      </w:r>
      <w:r w:rsidRPr="005B3B88">
        <w:rPr>
          <w:rFonts w:ascii="Times New Roman" w:hAnsi="Times New Roman" w:cs="Times New Roman"/>
        </w:rPr>
        <w:t>tesne pred podaním rozdrviť a rozmiešať vo vode alebo v jabl</w:t>
      </w:r>
      <w:r w:rsidR="00CE055D">
        <w:rPr>
          <w:rFonts w:ascii="Times New Roman" w:hAnsi="Times New Roman" w:cs="Times New Roman"/>
        </w:rPr>
        <w:t>kovom</w:t>
      </w:r>
      <w:r w:rsidRPr="005B3B88">
        <w:rPr>
          <w:rFonts w:ascii="Times New Roman" w:hAnsi="Times New Roman" w:cs="Times New Roman"/>
        </w:rPr>
        <w:t xml:space="preserve"> pyré</w:t>
      </w:r>
      <w:r w:rsidR="00066548" w:rsidRPr="005B3B88">
        <w:rPr>
          <w:rFonts w:ascii="Times New Roman" w:hAnsi="Times New Roman" w:cs="Times New Roman"/>
        </w:rPr>
        <w:t xml:space="preserve"> a podať perorálne</w:t>
      </w:r>
      <w:r w:rsidRPr="005B3B88">
        <w:rPr>
          <w:rFonts w:ascii="Times New Roman" w:hAnsi="Times New Roman" w:cs="Times New Roman"/>
        </w:rPr>
        <w:t xml:space="preserve">. </w:t>
      </w:r>
    </w:p>
    <w:p w14:paraId="2B498E98" w14:textId="214CF1FF"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Rozdrvená tableta </w:t>
      </w:r>
      <w:r w:rsidR="006707A4">
        <w:rPr>
          <w:rFonts w:ascii="Times New Roman" w:hAnsi="Times New Roman" w:cs="Times New Roman"/>
        </w:rPr>
        <w:t>Xanirv</w:t>
      </w:r>
      <w:r w:rsidR="00B56CA4">
        <w:rPr>
          <w:rFonts w:ascii="Times New Roman" w:hAnsi="Times New Roman" w:cs="Times New Roman"/>
        </w:rPr>
        <w:t>y</w:t>
      </w:r>
      <w:r w:rsidRPr="005B3B88">
        <w:rPr>
          <w:rFonts w:ascii="Times New Roman" w:hAnsi="Times New Roman" w:cs="Times New Roman"/>
        </w:rPr>
        <w:t xml:space="preserve"> sa m</w:t>
      </w:r>
      <w:r w:rsidR="00066548" w:rsidRPr="005B3B88">
        <w:rPr>
          <w:rFonts w:ascii="Times New Roman" w:hAnsi="Times New Roman" w:cs="Times New Roman"/>
        </w:rPr>
        <w:t>ô</w:t>
      </w:r>
      <w:r w:rsidRPr="005B3B88">
        <w:rPr>
          <w:rFonts w:ascii="Times New Roman" w:hAnsi="Times New Roman" w:cs="Times New Roman"/>
        </w:rPr>
        <w:t>že taktiež podať gastrickou sondou po ubezpečení sa o správnom umiestnení sondy. Rozdrvená tableta podávaná cez gastrickú sondu má byť rozmiešaná v malom objeme vody a následne má by</w:t>
      </w:r>
      <w:r w:rsidR="00F07AAD" w:rsidRPr="005B3B88">
        <w:rPr>
          <w:rFonts w:ascii="Times New Roman" w:hAnsi="Times New Roman" w:cs="Times New Roman"/>
        </w:rPr>
        <w:t>ť</w:t>
      </w:r>
      <w:r w:rsidRPr="005B3B88">
        <w:rPr>
          <w:rFonts w:ascii="Times New Roman" w:hAnsi="Times New Roman" w:cs="Times New Roman"/>
        </w:rPr>
        <w:t xml:space="preserve"> </w:t>
      </w:r>
      <w:r w:rsidR="00066548" w:rsidRPr="005B3B88">
        <w:rPr>
          <w:rFonts w:ascii="Times New Roman" w:hAnsi="Times New Roman" w:cs="Times New Roman"/>
        </w:rPr>
        <w:t xml:space="preserve">sonda prepláchnutá </w:t>
      </w:r>
      <w:r w:rsidRPr="005B3B88">
        <w:rPr>
          <w:rFonts w:ascii="Times New Roman" w:hAnsi="Times New Roman" w:cs="Times New Roman"/>
        </w:rPr>
        <w:t>vod</w:t>
      </w:r>
      <w:r w:rsidR="00066548" w:rsidRPr="005B3B88">
        <w:rPr>
          <w:rFonts w:ascii="Times New Roman" w:hAnsi="Times New Roman" w:cs="Times New Roman"/>
        </w:rPr>
        <w:t>ou</w:t>
      </w:r>
      <w:r w:rsidR="001D1863">
        <w:rPr>
          <w:rFonts w:ascii="Times New Roman" w:hAnsi="Times New Roman" w:cs="Times New Roman"/>
        </w:rPr>
        <w:t xml:space="preserve"> </w:t>
      </w:r>
      <w:r w:rsidRPr="005B3B88">
        <w:rPr>
          <w:rFonts w:ascii="Times New Roman" w:hAnsi="Times New Roman" w:cs="Times New Roman"/>
        </w:rPr>
        <w:t>(pozri časť 5.2).</w:t>
      </w:r>
    </w:p>
    <w:p w14:paraId="3FF01903" w14:textId="77777777" w:rsidR="000C1016" w:rsidRPr="005B3B88" w:rsidRDefault="000C1016" w:rsidP="00B20146">
      <w:pPr>
        <w:spacing w:after="0" w:line="240" w:lineRule="auto"/>
        <w:rPr>
          <w:rFonts w:ascii="Times New Roman" w:hAnsi="Times New Roman" w:cs="Times New Roman"/>
        </w:rPr>
      </w:pPr>
    </w:p>
    <w:p w14:paraId="78FC5FFA" w14:textId="77777777" w:rsidR="000C1016" w:rsidRPr="005B3B88" w:rsidRDefault="000C1016"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4.3</w:t>
      </w:r>
      <w:r w:rsidR="00066548" w:rsidRPr="005B3B88">
        <w:rPr>
          <w:rFonts w:ascii="Times New Roman" w:hAnsi="Times New Roman" w:cs="Times New Roman"/>
          <w:b/>
          <w:bCs/>
        </w:rPr>
        <w:tab/>
      </w:r>
      <w:r w:rsidRPr="005B3B88">
        <w:rPr>
          <w:rFonts w:ascii="Times New Roman" w:hAnsi="Times New Roman" w:cs="Times New Roman"/>
          <w:b/>
          <w:bCs/>
        </w:rPr>
        <w:t>Kontraindikácie</w:t>
      </w:r>
    </w:p>
    <w:p w14:paraId="04FAFC80" w14:textId="77777777" w:rsidR="000C1016" w:rsidRPr="005B3B88" w:rsidRDefault="000C1016" w:rsidP="00B20146">
      <w:pPr>
        <w:spacing w:after="0" w:line="240" w:lineRule="auto"/>
        <w:rPr>
          <w:rFonts w:ascii="Times New Roman" w:hAnsi="Times New Roman" w:cs="Times New Roman"/>
          <w:b/>
          <w:bCs/>
        </w:rPr>
      </w:pPr>
    </w:p>
    <w:p w14:paraId="2BB56596" w14:textId="77777777" w:rsidR="000C1016"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Precitlivenosť na liečivo alebo na ktorúkoľvek z pomocných látok uvedených v časti 6.1.</w:t>
      </w:r>
    </w:p>
    <w:p w14:paraId="6906EFF9" w14:textId="77777777" w:rsidR="000C1016" w:rsidRPr="005B3B88" w:rsidRDefault="000C1016" w:rsidP="00B20146">
      <w:pPr>
        <w:spacing w:after="0" w:line="240" w:lineRule="auto"/>
        <w:rPr>
          <w:rFonts w:ascii="Times New Roman" w:hAnsi="Times New Roman" w:cs="Times New Roman"/>
          <w:b/>
          <w:bCs/>
        </w:rPr>
      </w:pPr>
    </w:p>
    <w:p w14:paraId="4A312469" w14:textId="77777777"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Aktívne klinicky významné krvácanie.</w:t>
      </w:r>
    </w:p>
    <w:p w14:paraId="5A4E9AC6" w14:textId="77777777" w:rsidR="001A3112" w:rsidRPr="005B3B88" w:rsidRDefault="001A3112" w:rsidP="00B20146">
      <w:pPr>
        <w:spacing w:after="0" w:line="240" w:lineRule="auto"/>
        <w:rPr>
          <w:rFonts w:ascii="Times New Roman" w:hAnsi="Times New Roman" w:cs="Times New Roman"/>
        </w:rPr>
      </w:pPr>
    </w:p>
    <w:p w14:paraId="1494747A" w14:textId="1FEC8A85" w:rsidR="001A3112"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 xml:space="preserve">Zranenie alebo stav, </w:t>
      </w:r>
      <w:r w:rsidR="004C311D">
        <w:rPr>
          <w:rFonts w:ascii="Times New Roman" w:hAnsi="Times New Roman" w:cs="Times New Roman"/>
        </w:rPr>
        <w:t>ktorý</w:t>
      </w:r>
      <w:r w:rsidRPr="005B3B88">
        <w:rPr>
          <w:rFonts w:ascii="Times New Roman" w:hAnsi="Times New Roman" w:cs="Times New Roman"/>
        </w:rPr>
        <w:t xml:space="preserve">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w:t>
      </w:r>
      <w:r w:rsidR="00331BD1" w:rsidRPr="005B3B88">
        <w:rPr>
          <w:rFonts w:ascii="Times New Roman" w:hAnsi="Times New Roman" w:cs="Times New Roman"/>
        </w:rPr>
        <w:t>e</w:t>
      </w:r>
      <w:r w:rsidRPr="005B3B88">
        <w:rPr>
          <w:rFonts w:ascii="Times New Roman" w:hAnsi="Times New Roman" w:cs="Times New Roman"/>
        </w:rPr>
        <w:t xml:space="preserve"> aneuryzm</w:t>
      </w:r>
      <w:r w:rsidR="00331BD1" w:rsidRPr="005B3B88">
        <w:rPr>
          <w:rFonts w:ascii="Times New Roman" w:hAnsi="Times New Roman" w:cs="Times New Roman"/>
        </w:rPr>
        <w:t>y</w:t>
      </w:r>
      <w:r w:rsidRPr="005B3B88">
        <w:rPr>
          <w:rFonts w:ascii="Times New Roman" w:hAnsi="Times New Roman" w:cs="Times New Roman"/>
        </w:rPr>
        <w:t xml:space="preserve"> alebo závažné intraspinálne alebo intracerebrálne </w:t>
      </w:r>
      <w:r w:rsidR="004C470B">
        <w:rPr>
          <w:rFonts w:ascii="Times New Roman" w:hAnsi="Times New Roman" w:cs="Times New Roman"/>
        </w:rPr>
        <w:t xml:space="preserve">vaskulárne </w:t>
      </w:r>
      <w:r w:rsidRPr="005B3B88">
        <w:rPr>
          <w:rFonts w:ascii="Times New Roman" w:hAnsi="Times New Roman" w:cs="Times New Roman"/>
        </w:rPr>
        <w:t>abnormality.</w:t>
      </w:r>
    </w:p>
    <w:p w14:paraId="1E4517EE" w14:textId="77777777" w:rsidR="000C1016" w:rsidRPr="005B3B88" w:rsidRDefault="000C1016" w:rsidP="00B20146">
      <w:pPr>
        <w:spacing w:after="0" w:line="240" w:lineRule="auto"/>
        <w:rPr>
          <w:rFonts w:ascii="Times New Roman" w:hAnsi="Times New Roman" w:cs="Times New Roman"/>
          <w:u w:val="single"/>
        </w:rPr>
      </w:pPr>
    </w:p>
    <w:p w14:paraId="5BB3D45C" w14:textId="7B4E9D52"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Súbežná liečba inými antikoagulanciami, napr. nefrakcionovaným heparínom (UFH), nízkomolekulárnymi heparínmi (enoxaparín, dalteparín, atď.), derivátmi heparínu (fondaparinux, atď.), perorálnymi antikoagulanciami (warfarín, dabigatr</w:t>
      </w:r>
      <w:r w:rsidR="00331BD1" w:rsidRPr="005B3B88">
        <w:rPr>
          <w:rFonts w:ascii="Times New Roman" w:hAnsi="Times New Roman" w:cs="Times New Roman"/>
        </w:rPr>
        <w:t>á</w:t>
      </w:r>
      <w:r w:rsidRPr="005B3B88">
        <w:rPr>
          <w:rFonts w:ascii="Times New Roman" w:hAnsi="Times New Roman" w:cs="Times New Roman"/>
        </w:rPr>
        <w:t>n</w:t>
      </w:r>
      <w:r w:rsidR="00CD43A8">
        <w:rPr>
          <w:rFonts w:ascii="Times New Roman" w:hAnsi="Times New Roman" w:cs="Times New Roman"/>
        </w:rPr>
        <w:t>-</w:t>
      </w:r>
      <w:r w:rsidRPr="005B3B88">
        <w:rPr>
          <w:rFonts w:ascii="Times New Roman" w:hAnsi="Times New Roman" w:cs="Times New Roman"/>
        </w:rPr>
        <w:t>etexilát, apixab</w:t>
      </w:r>
      <w:r w:rsidR="00331BD1" w:rsidRPr="005B3B88">
        <w:rPr>
          <w:rFonts w:ascii="Times New Roman" w:hAnsi="Times New Roman" w:cs="Times New Roman"/>
        </w:rPr>
        <w:t>á</w:t>
      </w:r>
      <w:r w:rsidRPr="005B3B88">
        <w:rPr>
          <w:rFonts w:ascii="Times New Roman" w:hAnsi="Times New Roman" w:cs="Times New Roman"/>
        </w:rPr>
        <w:t xml:space="preserve">n, atď.) s výnimkou osobitných okolností pri prestavovaní antikoagulačnej liečby (pozri </w:t>
      </w:r>
      <w:r w:rsidR="00331BD1" w:rsidRPr="005B3B88">
        <w:rPr>
          <w:rFonts w:ascii="Times New Roman" w:hAnsi="Times New Roman" w:cs="Times New Roman"/>
        </w:rPr>
        <w:t>časť</w:t>
      </w:r>
      <w:r w:rsidRPr="005B3B88">
        <w:rPr>
          <w:rFonts w:ascii="Times New Roman" w:hAnsi="Times New Roman" w:cs="Times New Roman"/>
        </w:rPr>
        <w:t xml:space="preserve"> 4.2) alebo pri podávaní UHF v dávkach nevyhnutných na udržanie otvorených centrálnych žilových alebo art</w:t>
      </w:r>
      <w:r w:rsidR="004C470B">
        <w:rPr>
          <w:rFonts w:ascii="Times New Roman" w:hAnsi="Times New Roman" w:cs="Times New Roman"/>
        </w:rPr>
        <w:t>é</w:t>
      </w:r>
      <w:r w:rsidRPr="005B3B88">
        <w:rPr>
          <w:rFonts w:ascii="Times New Roman" w:hAnsi="Times New Roman" w:cs="Times New Roman"/>
        </w:rPr>
        <w:t>ri</w:t>
      </w:r>
      <w:r w:rsidR="004C470B">
        <w:rPr>
          <w:rFonts w:ascii="Times New Roman" w:hAnsi="Times New Roman" w:cs="Times New Roman"/>
        </w:rPr>
        <w:t>ových</w:t>
      </w:r>
      <w:r w:rsidRPr="005B3B88">
        <w:rPr>
          <w:rFonts w:ascii="Times New Roman" w:hAnsi="Times New Roman" w:cs="Times New Roman"/>
        </w:rPr>
        <w:t xml:space="preserve"> katétrov (pozri časť 4.5).</w:t>
      </w:r>
    </w:p>
    <w:p w14:paraId="1CE6B187" w14:textId="77777777" w:rsidR="001A3112" w:rsidRDefault="001A3112" w:rsidP="00B20146">
      <w:pPr>
        <w:spacing w:after="0" w:line="240" w:lineRule="auto"/>
        <w:rPr>
          <w:rFonts w:ascii="Times New Roman" w:hAnsi="Times New Roman" w:cs="Times New Roman"/>
        </w:rPr>
      </w:pPr>
    </w:p>
    <w:p w14:paraId="5935554B" w14:textId="77777777" w:rsidR="001D1863" w:rsidRPr="001D1863" w:rsidRDefault="001D1863" w:rsidP="001D1863">
      <w:pPr>
        <w:autoSpaceDE w:val="0"/>
        <w:autoSpaceDN w:val="0"/>
        <w:adjustRightInd w:val="0"/>
        <w:spacing w:after="0" w:line="240" w:lineRule="auto"/>
        <w:rPr>
          <w:rFonts w:ascii="Times New Roman" w:hAnsi="Times New Roman" w:cs="Times New Roman"/>
          <w:color w:val="000000"/>
        </w:rPr>
      </w:pPr>
      <w:r w:rsidRPr="001D1863">
        <w:rPr>
          <w:rFonts w:ascii="Times New Roman" w:hAnsi="Times New Roman" w:cs="Times New Roman"/>
          <w:color w:val="000000"/>
        </w:rPr>
        <w:lastRenderedPageBreak/>
        <w:t xml:space="preserve">Súbežná liečba ACS antiagregačnou liečbou u pacientov s prekonanou mozgovou príhodou alebo tranzitórnym ischemickým atakom (TIA) (pozri časť 4.4). </w:t>
      </w:r>
    </w:p>
    <w:p w14:paraId="6E16027F" w14:textId="77777777" w:rsidR="001D1863" w:rsidRDefault="001D1863" w:rsidP="001D1863">
      <w:pPr>
        <w:spacing w:after="0" w:line="240" w:lineRule="auto"/>
        <w:rPr>
          <w:rFonts w:ascii="Times New Roman" w:hAnsi="Times New Roman" w:cs="Times New Roman"/>
          <w:color w:val="000000"/>
        </w:rPr>
      </w:pPr>
    </w:p>
    <w:p w14:paraId="5D6AC3B0" w14:textId="77777777" w:rsidR="001D1863" w:rsidRDefault="001D1863" w:rsidP="001D1863">
      <w:pPr>
        <w:spacing w:after="0" w:line="240" w:lineRule="auto"/>
        <w:rPr>
          <w:rFonts w:ascii="Times New Roman" w:hAnsi="Times New Roman" w:cs="Times New Roman"/>
        </w:rPr>
      </w:pPr>
      <w:r w:rsidRPr="001D1863">
        <w:rPr>
          <w:rFonts w:ascii="Times New Roman" w:hAnsi="Times New Roman" w:cs="Times New Roman"/>
          <w:color w:val="000000"/>
        </w:rPr>
        <w:t>Súbežná liečba CAD/PAD s ASA u pacientov s prekonanou hemoragickou alebo lakunárnou cievnou mozgovou príhodou, alebo akoukoľvek cievnou mozgovou príhodou prekonanou v priebehu predchádzajúceho mesiaca (pozri časť 4.4).</w:t>
      </w:r>
    </w:p>
    <w:p w14:paraId="63E21306" w14:textId="77777777" w:rsidR="001D1863" w:rsidRPr="005B3B88" w:rsidRDefault="001D1863" w:rsidP="00B20146">
      <w:pPr>
        <w:spacing w:after="0" w:line="240" w:lineRule="auto"/>
        <w:rPr>
          <w:rFonts w:ascii="Times New Roman" w:hAnsi="Times New Roman" w:cs="Times New Roman"/>
        </w:rPr>
      </w:pPr>
    </w:p>
    <w:p w14:paraId="7300B015" w14:textId="33281D05" w:rsidR="001A3112" w:rsidRPr="005B3B88" w:rsidRDefault="001A3112" w:rsidP="00B20146">
      <w:pPr>
        <w:pStyle w:val="Default"/>
        <w:rPr>
          <w:sz w:val="22"/>
          <w:szCs w:val="22"/>
        </w:rPr>
      </w:pPr>
      <w:r w:rsidRPr="005B3B88">
        <w:rPr>
          <w:sz w:val="22"/>
          <w:szCs w:val="22"/>
        </w:rPr>
        <w:t>Ochorenie pečene súvisiace s koagulopatiou a klinicky významným rizikom krvácania, vrátane pacientov</w:t>
      </w:r>
      <w:r w:rsidR="005B17D6">
        <w:rPr>
          <w:sz w:val="22"/>
          <w:szCs w:val="22"/>
        </w:rPr>
        <w:t xml:space="preserve"> s cirhózou</w:t>
      </w:r>
      <w:r w:rsidRPr="005B3B88">
        <w:rPr>
          <w:sz w:val="22"/>
          <w:szCs w:val="22"/>
        </w:rPr>
        <w:t xml:space="preserve"> s Childovým-Pughovým </w:t>
      </w:r>
      <w:r w:rsidR="005B17D6">
        <w:rPr>
          <w:sz w:val="22"/>
          <w:szCs w:val="22"/>
        </w:rPr>
        <w:t>skóre</w:t>
      </w:r>
      <w:r w:rsidR="005B17D6" w:rsidRPr="005B3B88">
        <w:rPr>
          <w:sz w:val="22"/>
          <w:szCs w:val="22"/>
        </w:rPr>
        <w:t xml:space="preserve"> </w:t>
      </w:r>
      <w:r w:rsidRPr="005B3B88">
        <w:rPr>
          <w:sz w:val="22"/>
          <w:szCs w:val="22"/>
        </w:rPr>
        <w:t xml:space="preserve">B a C (pozri časť 5.2). </w:t>
      </w:r>
    </w:p>
    <w:p w14:paraId="7C700CD6" w14:textId="77777777" w:rsidR="001A3112" w:rsidRPr="005B3B88" w:rsidRDefault="001A3112" w:rsidP="00B20146">
      <w:pPr>
        <w:pStyle w:val="Default"/>
        <w:rPr>
          <w:sz w:val="22"/>
          <w:szCs w:val="22"/>
        </w:rPr>
      </w:pPr>
    </w:p>
    <w:p w14:paraId="71A96DA4" w14:textId="77777777"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Gravidita a laktácia (pozri časť 4.6).</w:t>
      </w:r>
    </w:p>
    <w:p w14:paraId="0BE02F2F" w14:textId="77777777" w:rsidR="004B751F" w:rsidRPr="005B3B88" w:rsidRDefault="004B751F" w:rsidP="00B20146">
      <w:pPr>
        <w:spacing w:after="0" w:line="240" w:lineRule="auto"/>
        <w:rPr>
          <w:rFonts w:ascii="Times New Roman" w:hAnsi="Times New Roman" w:cs="Times New Roman"/>
        </w:rPr>
      </w:pPr>
    </w:p>
    <w:p w14:paraId="327EC244" w14:textId="77777777" w:rsidR="004B751F" w:rsidRPr="005B3B88" w:rsidRDefault="004B751F" w:rsidP="00B20146">
      <w:pPr>
        <w:pStyle w:val="Default"/>
        <w:tabs>
          <w:tab w:val="left" w:pos="567"/>
        </w:tabs>
        <w:rPr>
          <w:b/>
          <w:bCs/>
          <w:sz w:val="22"/>
          <w:szCs w:val="22"/>
        </w:rPr>
      </w:pPr>
      <w:r w:rsidRPr="005B3B88">
        <w:rPr>
          <w:b/>
          <w:bCs/>
          <w:sz w:val="22"/>
          <w:szCs w:val="22"/>
        </w:rPr>
        <w:t>4.4</w:t>
      </w:r>
      <w:r w:rsidR="00BF2193" w:rsidRPr="005B3B88">
        <w:rPr>
          <w:b/>
          <w:bCs/>
          <w:sz w:val="22"/>
          <w:szCs w:val="22"/>
        </w:rPr>
        <w:tab/>
      </w:r>
      <w:r w:rsidRPr="005B3B88">
        <w:rPr>
          <w:b/>
          <w:bCs/>
          <w:sz w:val="22"/>
          <w:szCs w:val="22"/>
        </w:rPr>
        <w:t xml:space="preserve">Osobitné upozornenia a opatrenia pri používaní </w:t>
      </w:r>
    </w:p>
    <w:p w14:paraId="43EF7A47" w14:textId="77777777" w:rsidR="004B751F" w:rsidRPr="005B3B88" w:rsidRDefault="004B751F" w:rsidP="00B20146">
      <w:pPr>
        <w:pStyle w:val="Default"/>
        <w:rPr>
          <w:sz w:val="22"/>
          <w:szCs w:val="22"/>
        </w:rPr>
      </w:pPr>
    </w:p>
    <w:p w14:paraId="5532CBE2" w14:textId="24EE177E" w:rsidR="001D1863" w:rsidRPr="001D1863" w:rsidRDefault="001D1863" w:rsidP="001D1863">
      <w:pPr>
        <w:autoSpaceDE w:val="0"/>
        <w:autoSpaceDN w:val="0"/>
        <w:adjustRightInd w:val="0"/>
        <w:spacing w:after="0" w:line="240" w:lineRule="auto"/>
        <w:rPr>
          <w:rFonts w:ascii="Times New Roman" w:hAnsi="Times New Roman" w:cs="Times New Roman"/>
          <w:color w:val="000000"/>
        </w:rPr>
      </w:pPr>
      <w:r w:rsidRPr="001D1863">
        <w:rPr>
          <w:rFonts w:ascii="Times New Roman" w:hAnsi="Times New Roman" w:cs="Times New Roman"/>
          <w:color w:val="000000"/>
        </w:rPr>
        <w:t xml:space="preserve">U pacientov s ACS sa účinnosť a bezpečnosť </w:t>
      </w:r>
      <w:r w:rsidR="00783235" w:rsidRPr="00783235">
        <w:rPr>
          <w:rFonts w:ascii="Times New Roman" w:hAnsi="Times New Roman" w:cs="Times New Roman"/>
        </w:rPr>
        <w:t>Xanirv</w:t>
      </w:r>
      <w:r w:rsidR="00B56CA4">
        <w:rPr>
          <w:rFonts w:ascii="Times New Roman" w:hAnsi="Times New Roman" w:cs="Times New Roman"/>
        </w:rPr>
        <w:t>y</w:t>
      </w:r>
      <w:r w:rsidRPr="001D1863">
        <w:rPr>
          <w:rFonts w:ascii="Times New Roman" w:hAnsi="Times New Roman" w:cs="Times New Roman"/>
          <w:color w:val="000000"/>
        </w:rPr>
        <w:t xml:space="preserve"> 2,5 mg skúmali v kombinácii s antiagreganciami, a to so samotnou ASA alebo ASA v kombinácii s klopidogrelom/tiklopidínom. Liečba v kombinácii s inými antiagreganciami, napr. prasugrelom alebo tikagrelorom sa neskúmala, a preto sa neodporúča. </w:t>
      </w:r>
    </w:p>
    <w:p w14:paraId="57BF073B" w14:textId="77777777" w:rsidR="00EB4362" w:rsidRDefault="00EB4362" w:rsidP="001D1863">
      <w:pPr>
        <w:spacing w:after="0" w:line="240" w:lineRule="auto"/>
        <w:rPr>
          <w:rFonts w:ascii="Times New Roman" w:hAnsi="Times New Roman" w:cs="Times New Roman"/>
          <w:color w:val="000000"/>
        </w:rPr>
      </w:pPr>
    </w:p>
    <w:p w14:paraId="18C491FE" w14:textId="18C02913" w:rsidR="001D1863" w:rsidRDefault="001D1863" w:rsidP="001D1863">
      <w:pPr>
        <w:spacing w:after="0" w:line="240" w:lineRule="auto"/>
        <w:rPr>
          <w:rFonts w:ascii="Times New Roman" w:hAnsi="Times New Roman" w:cs="Times New Roman"/>
        </w:rPr>
      </w:pPr>
      <w:r w:rsidRPr="001D1863">
        <w:rPr>
          <w:rFonts w:ascii="Times New Roman" w:hAnsi="Times New Roman" w:cs="Times New Roman"/>
          <w:color w:val="000000"/>
        </w:rPr>
        <w:t xml:space="preserve">U pacientov s CAD/PAD vo vysokom riziku ischemických príhod sa účinnosť a bezpečnosť </w:t>
      </w:r>
      <w:r w:rsidR="00783235" w:rsidRPr="00783235">
        <w:rPr>
          <w:rFonts w:ascii="Times New Roman" w:hAnsi="Times New Roman" w:cs="Times New Roman"/>
        </w:rPr>
        <w:t>Xanirv</w:t>
      </w:r>
      <w:r w:rsidR="00B56CA4">
        <w:rPr>
          <w:rFonts w:ascii="Times New Roman" w:hAnsi="Times New Roman" w:cs="Times New Roman"/>
        </w:rPr>
        <w:t>y</w:t>
      </w:r>
      <w:r w:rsidRPr="001D1863">
        <w:rPr>
          <w:rFonts w:ascii="Times New Roman" w:hAnsi="Times New Roman" w:cs="Times New Roman"/>
          <w:color w:val="000000"/>
        </w:rPr>
        <w:t xml:space="preserve"> 2,5 mg skúmali len v kombinácii s</w:t>
      </w:r>
      <w:r w:rsidR="00C665D2">
        <w:rPr>
          <w:rFonts w:ascii="Times New Roman" w:hAnsi="Times New Roman" w:cs="Times New Roman"/>
          <w:color w:val="000000"/>
        </w:rPr>
        <w:t xml:space="preserve"> </w:t>
      </w:r>
      <w:r w:rsidRPr="001D1863">
        <w:rPr>
          <w:rFonts w:ascii="Times New Roman" w:hAnsi="Times New Roman" w:cs="Times New Roman"/>
          <w:color w:val="000000"/>
        </w:rPr>
        <w:t>ASA.</w:t>
      </w:r>
    </w:p>
    <w:p w14:paraId="48217E89" w14:textId="77777777" w:rsidR="001D1863" w:rsidRDefault="001D1863" w:rsidP="00B20146">
      <w:pPr>
        <w:spacing w:after="0" w:line="240" w:lineRule="auto"/>
        <w:rPr>
          <w:rFonts w:ascii="Times New Roman" w:hAnsi="Times New Roman" w:cs="Times New Roman"/>
        </w:rPr>
      </w:pPr>
    </w:p>
    <w:p w14:paraId="48002FA0"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V súlade s praxou antikoagulačnej liečby sa počas liečby odporúča klinické sledovanie.</w:t>
      </w:r>
    </w:p>
    <w:p w14:paraId="4A2FEF81" w14:textId="77777777" w:rsidR="004B751F" w:rsidRPr="005B3B88" w:rsidRDefault="004B751F" w:rsidP="00B20146">
      <w:pPr>
        <w:spacing w:after="0" w:line="240" w:lineRule="auto"/>
        <w:rPr>
          <w:rFonts w:ascii="Times New Roman" w:hAnsi="Times New Roman" w:cs="Times New Roman"/>
        </w:rPr>
      </w:pPr>
    </w:p>
    <w:p w14:paraId="2C0414A9" w14:textId="77777777" w:rsidR="004B751F" w:rsidRPr="005B3B88" w:rsidRDefault="004B751F" w:rsidP="00B20146">
      <w:pPr>
        <w:pStyle w:val="Default"/>
        <w:rPr>
          <w:sz w:val="22"/>
          <w:szCs w:val="22"/>
          <w:u w:val="single"/>
        </w:rPr>
      </w:pPr>
      <w:r w:rsidRPr="005B3B88">
        <w:rPr>
          <w:sz w:val="22"/>
          <w:szCs w:val="22"/>
          <w:u w:val="single"/>
        </w:rPr>
        <w:t xml:space="preserve">Riziko hemorágie </w:t>
      </w:r>
    </w:p>
    <w:p w14:paraId="33996758" w14:textId="77777777" w:rsidR="004B751F" w:rsidRPr="005B3B88" w:rsidRDefault="004B751F" w:rsidP="00B20146">
      <w:pPr>
        <w:pStyle w:val="Default"/>
        <w:rPr>
          <w:sz w:val="22"/>
          <w:szCs w:val="22"/>
        </w:rPr>
      </w:pPr>
      <w:r w:rsidRPr="005B3B88">
        <w:rPr>
          <w:sz w:val="22"/>
          <w:szCs w:val="22"/>
        </w:rPr>
        <w:t xml:space="preserve">Rovnako ako pri iných antikoagulanciách, u pacientov užívajúcich </w:t>
      </w:r>
      <w:r w:rsidR="00E00B86" w:rsidRPr="00E00B86">
        <w:rPr>
          <w:sz w:val="22"/>
          <w:szCs w:val="22"/>
        </w:rPr>
        <w:t>Xanirvu</w:t>
      </w:r>
      <w:r w:rsidRPr="00E00B86">
        <w:rPr>
          <w:sz w:val="22"/>
          <w:szCs w:val="22"/>
        </w:rPr>
        <w:t xml:space="preserve"> </w:t>
      </w:r>
      <w:r w:rsidR="00F07AAD" w:rsidRPr="005B3B88">
        <w:rPr>
          <w:sz w:val="22"/>
          <w:szCs w:val="22"/>
        </w:rPr>
        <w:t>je potrebné</w:t>
      </w:r>
      <w:r w:rsidRPr="005B3B88">
        <w:rPr>
          <w:sz w:val="22"/>
          <w:szCs w:val="22"/>
        </w:rPr>
        <w:t xml:space="preserve"> pozorne sledovať prejavy krvácania. Pri zvýšenom riziku krvácania sa </w:t>
      </w:r>
      <w:r w:rsidR="00BF2193" w:rsidRPr="005B3B88">
        <w:rPr>
          <w:sz w:val="22"/>
          <w:szCs w:val="22"/>
        </w:rPr>
        <w:t>pri použití</w:t>
      </w:r>
      <w:r w:rsidR="006073F5" w:rsidRPr="005B3B88">
        <w:rPr>
          <w:sz w:val="22"/>
          <w:szCs w:val="22"/>
        </w:rPr>
        <w:t xml:space="preserve"> </w:t>
      </w:r>
      <w:r w:rsidRPr="005B3B88">
        <w:rPr>
          <w:sz w:val="22"/>
          <w:szCs w:val="22"/>
        </w:rPr>
        <w:t xml:space="preserve">odporúča opatrnosť. Liečbu </w:t>
      </w:r>
      <w:r w:rsidR="00E00B86" w:rsidRPr="00E00B86">
        <w:rPr>
          <w:sz w:val="22"/>
          <w:szCs w:val="22"/>
        </w:rPr>
        <w:t>Xanirvou</w:t>
      </w:r>
      <w:r w:rsidRPr="005B3B88">
        <w:rPr>
          <w:sz w:val="22"/>
          <w:szCs w:val="22"/>
        </w:rPr>
        <w:t xml:space="preserve"> je potrebné pri výskyte závažného krvácania prerušiť</w:t>
      </w:r>
      <w:r w:rsidR="00E00B86">
        <w:rPr>
          <w:sz w:val="22"/>
          <w:szCs w:val="22"/>
        </w:rPr>
        <w:t xml:space="preserve"> (pozri časť 4.9)</w:t>
      </w:r>
      <w:r w:rsidRPr="005B3B88">
        <w:rPr>
          <w:sz w:val="22"/>
          <w:szCs w:val="22"/>
        </w:rPr>
        <w:t xml:space="preserve">. </w:t>
      </w:r>
    </w:p>
    <w:p w14:paraId="1F1E6D8B" w14:textId="77777777" w:rsidR="004B751F" w:rsidRPr="005B3B88" w:rsidRDefault="004B751F" w:rsidP="00B20146">
      <w:pPr>
        <w:pStyle w:val="Default"/>
        <w:rPr>
          <w:sz w:val="22"/>
          <w:szCs w:val="22"/>
        </w:rPr>
      </w:pPr>
    </w:p>
    <w:p w14:paraId="6D5D276A" w14:textId="1EF47AAC"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 xml:space="preserve">Počas dlhodobej liečby </w:t>
      </w:r>
      <w:r w:rsidR="000379AB" w:rsidRPr="009F2F91">
        <w:rPr>
          <w:rFonts w:ascii="Times New Roman" w:hAnsi="Times New Roman" w:cs="Times New Roman"/>
        </w:rPr>
        <w:t>rivaroxabán</w:t>
      </w:r>
      <w:r w:rsidRPr="009F2F91">
        <w:rPr>
          <w:rFonts w:ascii="Times New Roman" w:hAnsi="Times New Roman" w:cs="Times New Roman"/>
        </w:rPr>
        <w:t>om</w:t>
      </w:r>
      <w:r w:rsidR="009F2F91" w:rsidRPr="009F2F91">
        <w:rPr>
          <w:rFonts w:ascii="Times New Roman" w:hAnsi="Times New Roman" w:cs="Times New Roman"/>
        </w:rPr>
        <w:t xml:space="preserve"> pridaným k samostatnej alebo duálnej antiagregačnej liečbe</w:t>
      </w:r>
      <w:r w:rsidRPr="009F2F91">
        <w:rPr>
          <w:rFonts w:ascii="Times New Roman" w:hAnsi="Times New Roman" w:cs="Times New Roman"/>
        </w:rPr>
        <w:t>,</w:t>
      </w:r>
      <w:r w:rsidRPr="005B3B88">
        <w:rPr>
          <w:rFonts w:ascii="Times New Roman" w:hAnsi="Times New Roman" w:cs="Times New Roman"/>
        </w:rPr>
        <w:t xml:space="preserve">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 </w:t>
      </w:r>
      <w:r w:rsidR="00B1538E">
        <w:rPr>
          <w:rFonts w:ascii="Times New Roman" w:hAnsi="Times New Roman" w:cs="Times New Roman"/>
        </w:rPr>
        <w:t>hladín</w:t>
      </w:r>
      <w:r w:rsidRPr="005B3B88">
        <w:rPr>
          <w:rFonts w:ascii="Times New Roman" w:hAnsi="Times New Roman" w:cs="Times New Roman"/>
        </w:rPr>
        <w:t xml:space="preserve"> hemoglobín</w:t>
      </w:r>
      <w:r w:rsidR="00B1538E">
        <w:rPr>
          <w:rFonts w:ascii="Times New Roman" w:hAnsi="Times New Roman" w:cs="Times New Roman"/>
        </w:rPr>
        <w:t>u</w:t>
      </w:r>
      <w:r w:rsidRPr="005B3B88">
        <w:rPr>
          <w:rFonts w:ascii="Times New Roman" w:hAnsi="Times New Roman" w:cs="Times New Roman"/>
        </w:rPr>
        <w:t>/hematokrit</w:t>
      </w:r>
      <w:r w:rsidR="00B1538E">
        <w:rPr>
          <w:rFonts w:ascii="Times New Roman" w:hAnsi="Times New Roman" w:cs="Times New Roman"/>
        </w:rPr>
        <w:t>u</w:t>
      </w:r>
      <w:r w:rsidRPr="005B3B88">
        <w:rPr>
          <w:rFonts w:ascii="Times New Roman" w:hAnsi="Times New Roman" w:cs="Times New Roman"/>
        </w:rPr>
        <w:t xml:space="preserve">, </w:t>
      </w:r>
      <w:r w:rsidR="00B2499C" w:rsidRPr="005B3B88">
        <w:rPr>
          <w:rFonts w:ascii="Times New Roman" w:hAnsi="Times New Roman" w:cs="Times New Roman"/>
        </w:rPr>
        <w:t>ktoré môžu byť prínosné pri</w:t>
      </w:r>
      <w:r w:rsidRPr="005B3B88">
        <w:rPr>
          <w:rFonts w:ascii="Times New Roman" w:hAnsi="Times New Roman" w:cs="Times New Roman"/>
        </w:rPr>
        <w:t xml:space="preserve"> </w:t>
      </w:r>
      <w:r w:rsidR="00B2499C" w:rsidRPr="005B3B88">
        <w:rPr>
          <w:rFonts w:ascii="Times New Roman" w:hAnsi="Times New Roman" w:cs="Times New Roman"/>
        </w:rPr>
        <w:t>detekcii</w:t>
      </w:r>
      <w:r w:rsidRPr="005B3B88">
        <w:rPr>
          <w:rFonts w:ascii="Times New Roman" w:hAnsi="Times New Roman" w:cs="Times New Roman"/>
        </w:rPr>
        <w:t xml:space="preserve"> skrytého krvácania a kvantifikáci</w:t>
      </w:r>
      <w:r w:rsidR="00B2499C" w:rsidRPr="005B3B88">
        <w:rPr>
          <w:rFonts w:ascii="Times New Roman" w:hAnsi="Times New Roman" w:cs="Times New Roman"/>
        </w:rPr>
        <w:t>i</w:t>
      </w:r>
      <w:r w:rsidRPr="005B3B88">
        <w:rPr>
          <w:rFonts w:ascii="Times New Roman" w:hAnsi="Times New Roman" w:cs="Times New Roman"/>
        </w:rPr>
        <w:t xml:space="preserve"> klinického významu </w:t>
      </w:r>
      <w:r w:rsidRPr="00E84A2D">
        <w:rPr>
          <w:rFonts w:ascii="Times New Roman" w:hAnsi="Times New Roman" w:cs="Times New Roman"/>
        </w:rPr>
        <w:t>zjavného</w:t>
      </w:r>
      <w:r w:rsidRPr="005B3B88">
        <w:rPr>
          <w:rFonts w:ascii="Times New Roman" w:hAnsi="Times New Roman" w:cs="Times New Roman"/>
        </w:rPr>
        <w:t xml:space="preserve"> krvácania.</w:t>
      </w:r>
    </w:p>
    <w:p w14:paraId="29BDF702" w14:textId="77777777" w:rsidR="004B751F" w:rsidRPr="005B3B88" w:rsidRDefault="004B751F" w:rsidP="00B20146">
      <w:pPr>
        <w:spacing w:after="0" w:line="240" w:lineRule="auto"/>
        <w:rPr>
          <w:rFonts w:ascii="Times New Roman" w:hAnsi="Times New Roman" w:cs="Times New Roman"/>
        </w:rPr>
      </w:pPr>
    </w:p>
    <w:p w14:paraId="77B9D7F9" w14:textId="6A0B37A5" w:rsidR="004B751F" w:rsidRPr="005B3B88" w:rsidRDefault="004B751F" w:rsidP="00B20146">
      <w:pPr>
        <w:pStyle w:val="Default"/>
        <w:rPr>
          <w:sz w:val="22"/>
          <w:szCs w:val="22"/>
        </w:rPr>
      </w:pPr>
      <w:r w:rsidRPr="005B3B88">
        <w:rPr>
          <w:sz w:val="22"/>
          <w:szCs w:val="22"/>
        </w:rPr>
        <w:t xml:space="preserve">Niektoré podskupiny pacientov, ako sa uvádza nižšie, majú zvýšené riziko krvácania. </w:t>
      </w:r>
      <w:r w:rsidR="009F2F91">
        <w:rPr>
          <w:sz w:val="22"/>
          <w:szCs w:val="22"/>
        </w:rPr>
        <w:t>Preto by malo byť užívanie Xanirv</w:t>
      </w:r>
      <w:r w:rsidR="00B56CA4">
        <w:rPr>
          <w:sz w:val="22"/>
          <w:szCs w:val="22"/>
        </w:rPr>
        <w:t>y</w:t>
      </w:r>
      <w:r w:rsidR="009F2F91">
        <w:rPr>
          <w:sz w:val="22"/>
          <w:szCs w:val="22"/>
        </w:rPr>
        <w:t xml:space="preserve"> v kombinácii s duálnou antiagregačnou liečbou u pacientov so známym zvýšeným rizikom krvácania v rovnováhe s prínosom v oblasti prevencie aterotrombotických príhod. Okrem toho sa musia tí</w:t>
      </w:r>
      <w:r w:rsidRPr="005B3B88">
        <w:rPr>
          <w:sz w:val="22"/>
          <w:szCs w:val="22"/>
        </w:rPr>
        <w:t>to pacient</w:t>
      </w:r>
      <w:r w:rsidR="009F2F91">
        <w:rPr>
          <w:sz w:val="22"/>
          <w:szCs w:val="22"/>
        </w:rPr>
        <w:t>i</w:t>
      </w:r>
      <w:r w:rsidRPr="005B3B88">
        <w:rPr>
          <w:sz w:val="22"/>
          <w:szCs w:val="22"/>
        </w:rPr>
        <w:t xml:space="preserve"> starostlivo sledovať </w:t>
      </w:r>
      <w:r w:rsidR="0081138C">
        <w:rPr>
          <w:sz w:val="22"/>
          <w:szCs w:val="22"/>
        </w:rPr>
        <w:t>kvôli</w:t>
      </w:r>
      <w:r w:rsidRPr="005B3B88">
        <w:rPr>
          <w:sz w:val="22"/>
          <w:szCs w:val="22"/>
        </w:rPr>
        <w:t xml:space="preserve"> prejav</w:t>
      </w:r>
      <w:r w:rsidR="0081138C">
        <w:rPr>
          <w:sz w:val="22"/>
          <w:szCs w:val="22"/>
        </w:rPr>
        <w:t>om</w:t>
      </w:r>
      <w:r w:rsidRPr="005B3B88">
        <w:rPr>
          <w:sz w:val="22"/>
          <w:szCs w:val="22"/>
        </w:rPr>
        <w:t xml:space="preserve"> a príznak</w:t>
      </w:r>
      <w:r w:rsidR="0081138C">
        <w:rPr>
          <w:sz w:val="22"/>
          <w:szCs w:val="22"/>
        </w:rPr>
        <w:t>om</w:t>
      </w:r>
      <w:r w:rsidRPr="005B3B88">
        <w:rPr>
          <w:sz w:val="22"/>
          <w:szCs w:val="22"/>
        </w:rPr>
        <w:t xml:space="preserve"> krvácavých komplikácií a anémie po začatí liečby (pozri časť 4.8). </w:t>
      </w:r>
    </w:p>
    <w:p w14:paraId="2F9F59E7"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Akýkoľvek neobjasnený pokles hemoglobínu alebo tlaku krvi musí viesť k hľadaniu zdroja krvácania.</w:t>
      </w:r>
    </w:p>
    <w:p w14:paraId="0F48C2DF" w14:textId="77777777" w:rsidR="004B751F" w:rsidRPr="005B3B88" w:rsidRDefault="004B751F" w:rsidP="00B20146">
      <w:pPr>
        <w:spacing w:after="0" w:line="240" w:lineRule="auto"/>
        <w:rPr>
          <w:rFonts w:ascii="Times New Roman" w:hAnsi="Times New Roman" w:cs="Times New Roman"/>
        </w:rPr>
      </w:pPr>
    </w:p>
    <w:p w14:paraId="75689137" w14:textId="2BB52579" w:rsidR="004B751F"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Hoci liečba </w:t>
      </w:r>
      <w:r w:rsidR="000379AB" w:rsidRPr="005B3B88">
        <w:rPr>
          <w:rFonts w:ascii="Times New Roman" w:hAnsi="Times New Roman" w:cs="Times New Roman"/>
        </w:rPr>
        <w:t>rivaroxabán</w:t>
      </w:r>
      <w:r w:rsidRPr="005B3B88">
        <w:rPr>
          <w:rFonts w:ascii="Times New Roman" w:hAnsi="Times New Roman" w:cs="Times New Roman"/>
        </w:rPr>
        <w:t xml:space="preserve">om nevyžaduje rutinné sledovanie expozície, </w:t>
      </w:r>
      <w:r w:rsidR="00721559">
        <w:rPr>
          <w:rFonts w:ascii="Times New Roman" w:hAnsi="Times New Roman" w:cs="Times New Roman"/>
        </w:rPr>
        <w:t>koncentrácie</w:t>
      </w:r>
      <w:r w:rsidR="00721559"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u m</w:t>
      </w:r>
      <w:r w:rsidR="00B2499C" w:rsidRPr="005B3B88">
        <w:rPr>
          <w:rFonts w:ascii="Times New Roman" w:hAnsi="Times New Roman" w:cs="Times New Roman"/>
        </w:rPr>
        <w:t>o</w:t>
      </w:r>
      <w:r w:rsidRPr="005B3B88">
        <w:rPr>
          <w:rFonts w:ascii="Times New Roman" w:hAnsi="Times New Roman" w:cs="Times New Roman"/>
        </w:rPr>
        <w:t>žno merať kalibrovanými kvantitatívnymi testami na prítomnosť antifaktora Xa, čo môže byť užitočné vo výnimočných situáciách, ke</w:t>
      </w:r>
      <w:r w:rsidR="00721559">
        <w:rPr>
          <w:rFonts w:ascii="Times New Roman" w:hAnsi="Times New Roman" w:cs="Times New Roman"/>
        </w:rPr>
        <w:t>ď</w:t>
      </w:r>
      <w:r w:rsidRPr="005B3B88">
        <w:rPr>
          <w:rFonts w:ascii="Times New Roman" w:hAnsi="Times New Roman" w:cs="Times New Roman"/>
        </w:rPr>
        <w:t xml:space="preserve"> informácia o expozícií </w:t>
      </w:r>
      <w:r w:rsidR="000379AB" w:rsidRPr="005B3B88">
        <w:rPr>
          <w:rFonts w:ascii="Times New Roman" w:hAnsi="Times New Roman" w:cs="Times New Roman"/>
        </w:rPr>
        <w:t>rivaroxabán</w:t>
      </w:r>
      <w:r w:rsidRPr="005B3B88">
        <w:rPr>
          <w:rFonts w:ascii="Times New Roman" w:hAnsi="Times New Roman" w:cs="Times New Roman"/>
        </w:rPr>
        <w:t xml:space="preserve">u môže byť podkladom </w:t>
      </w:r>
      <w:r w:rsidR="00721559">
        <w:rPr>
          <w:rFonts w:ascii="Times New Roman" w:hAnsi="Times New Roman" w:cs="Times New Roman"/>
        </w:rPr>
        <w:t>na</w:t>
      </w:r>
      <w:r w:rsidRPr="005B3B88">
        <w:rPr>
          <w:rFonts w:ascii="Times New Roman" w:hAnsi="Times New Roman" w:cs="Times New Roman"/>
        </w:rPr>
        <w:t xml:space="preserve"> klinické rozhodnutie, napr. pri predávkovaní a neodkladnej operácii (pozri časti 5.1 a 5.2).</w:t>
      </w:r>
    </w:p>
    <w:p w14:paraId="4797F1A0" w14:textId="77777777" w:rsidR="00DF5F92" w:rsidRPr="005B3B88" w:rsidRDefault="00DF5F92" w:rsidP="00B20146">
      <w:pPr>
        <w:spacing w:after="0" w:line="240" w:lineRule="auto"/>
        <w:rPr>
          <w:rFonts w:ascii="Times New Roman" w:hAnsi="Times New Roman" w:cs="Times New Roman"/>
        </w:rPr>
      </w:pPr>
    </w:p>
    <w:p w14:paraId="2B1D70B3" w14:textId="77777777" w:rsidR="00DF5F92" w:rsidRPr="005B3B88" w:rsidRDefault="00DF5F92" w:rsidP="00B20146">
      <w:pPr>
        <w:pStyle w:val="Default"/>
        <w:rPr>
          <w:sz w:val="22"/>
          <w:szCs w:val="22"/>
          <w:u w:val="single"/>
        </w:rPr>
      </w:pPr>
      <w:r w:rsidRPr="00C41261">
        <w:rPr>
          <w:sz w:val="22"/>
          <w:szCs w:val="22"/>
          <w:u w:val="single"/>
        </w:rPr>
        <w:t>Porucha funkcie obličiek</w:t>
      </w:r>
      <w:r w:rsidRPr="005B3B88">
        <w:rPr>
          <w:sz w:val="22"/>
          <w:szCs w:val="22"/>
          <w:u w:val="single"/>
        </w:rPr>
        <w:t xml:space="preserve"> </w:t>
      </w:r>
    </w:p>
    <w:p w14:paraId="23795A3F" w14:textId="77777777" w:rsidR="00DF5F92" w:rsidRPr="005B3B88" w:rsidRDefault="00DF5F92" w:rsidP="00B20146">
      <w:pPr>
        <w:pStyle w:val="Default"/>
        <w:rPr>
          <w:sz w:val="22"/>
          <w:szCs w:val="22"/>
        </w:rPr>
      </w:pPr>
      <w:r w:rsidRPr="005B3B88">
        <w:rPr>
          <w:sz w:val="22"/>
          <w:szCs w:val="22"/>
        </w:rPr>
        <w:t>U pacientov s ťažkou poruchou funkcie obličiek (klírens kreatinínu &lt;</w:t>
      </w:r>
      <w:r w:rsidR="00B2499C" w:rsidRPr="005B3B88">
        <w:rPr>
          <w:sz w:val="22"/>
          <w:szCs w:val="22"/>
        </w:rPr>
        <w:t> </w:t>
      </w:r>
      <w:r w:rsidRPr="005B3B88">
        <w:rPr>
          <w:sz w:val="22"/>
          <w:szCs w:val="22"/>
        </w:rPr>
        <w:t xml:space="preserve">30 ml/min) sa môžu plazmatické koncentrácie </w:t>
      </w:r>
      <w:r w:rsidR="000379AB" w:rsidRPr="005B3B88">
        <w:rPr>
          <w:sz w:val="22"/>
          <w:szCs w:val="22"/>
        </w:rPr>
        <w:t>rivaroxabán</w:t>
      </w:r>
      <w:r w:rsidRPr="005B3B88">
        <w:rPr>
          <w:sz w:val="22"/>
          <w:szCs w:val="22"/>
        </w:rPr>
        <w:t xml:space="preserve">u signifikantne zvýšiť (v priemere o 1,6-násobok), čo môže viesť ku zvýšenému riziku krvácania. </w:t>
      </w:r>
    </w:p>
    <w:p w14:paraId="0187E6DA" w14:textId="77777777" w:rsidR="00DF5F92" w:rsidRPr="005B3B88" w:rsidRDefault="00DF5F92" w:rsidP="00B20146">
      <w:pPr>
        <w:pStyle w:val="Default"/>
        <w:rPr>
          <w:sz w:val="22"/>
          <w:szCs w:val="22"/>
        </w:rPr>
      </w:pPr>
      <w:r w:rsidRPr="005B3B88">
        <w:rPr>
          <w:sz w:val="22"/>
          <w:szCs w:val="22"/>
        </w:rPr>
        <w:t xml:space="preserve">U pacientov s klírensom kreatinínu 15-29 ml/min sa musí </w:t>
      </w:r>
      <w:r w:rsidR="00E00B86" w:rsidRPr="00E00B86">
        <w:rPr>
          <w:sz w:val="22"/>
          <w:szCs w:val="22"/>
        </w:rPr>
        <w:t>Xanirva</w:t>
      </w:r>
      <w:r w:rsidRPr="00E00B86">
        <w:rPr>
          <w:sz w:val="22"/>
          <w:szCs w:val="22"/>
        </w:rPr>
        <w:t xml:space="preserve"> p</w:t>
      </w:r>
      <w:r w:rsidRPr="005B3B88">
        <w:rPr>
          <w:sz w:val="22"/>
          <w:szCs w:val="22"/>
        </w:rPr>
        <w:t>oužívať s opatrnosťou. U pacientov s klírensom kreatinínu &lt;</w:t>
      </w:r>
      <w:r w:rsidR="00B2499C" w:rsidRPr="005B3B88">
        <w:rPr>
          <w:sz w:val="22"/>
          <w:szCs w:val="22"/>
        </w:rPr>
        <w:t> </w:t>
      </w:r>
      <w:r w:rsidRPr="005B3B88">
        <w:rPr>
          <w:sz w:val="22"/>
          <w:szCs w:val="22"/>
        </w:rPr>
        <w:t xml:space="preserve">15 ml/min sa použitie neodporúča (pozri časti 4.2 a 5.2). </w:t>
      </w:r>
    </w:p>
    <w:p w14:paraId="55AFE301" w14:textId="5F6B4EC0"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lastRenderedPageBreak/>
        <w:t xml:space="preserve">U pacientov </w:t>
      </w:r>
      <w:r w:rsidR="00C41261" w:rsidRPr="00C41261">
        <w:rPr>
          <w:rFonts w:ascii="Times New Roman" w:hAnsi="Times New Roman" w:cs="Times New Roman"/>
        </w:rPr>
        <w:t>so stredne ťažkou poruchou funkcie obličiek (klírens kreatinínu 30-49 ml/min)</w:t>
      </w:r>
      <w:r w:rsidRPr="00C41261">
        <w:rPr>
          <w:rFonts w:ascii="Times New Roman" w:hAnsi="Times New Roman" w:cs="Times New Roman"/>
        </w:rPr>
        <w:t>,</w:t>
      </w:r>
      <w:r w:rsidRPr="005B3B88">
        <w:rPr>
          <w:rFonts w:ascii="Times New Roman" w:hAnsi="Times New Roman" w:cs="Times New Roman"/>
        </w:rPr>
        <w:t xml:space="preserve"> ktorí sú</w:t>
      </w:r>
      <w:r w:rsidR="00721559">
        <w:rPr>
          <w:rFonts w:ascii="Times New Roman" w:hAnsi="Times New Roman" w:cs="Times New Roman"/>
        </w:rPr>
        <w:t>bežne</w:t>
      </w:r>
      <w:r w:rsidRPr="005B3B88">
        <w:rPr>
          <w:rFonts w:ascii="Times New Roman" w:hAnsi="Times New Roman" w:cs="Times New Roman"/>
        </w:rPr>
        <w:t xml:space="preserve"> užívajú iné lieky, ktoré zvyšujú plazmatické koncentrácie </w:t>
      </w:r>
      <w:r w:rsidR="000379AB" w:rsidRPr="005B3B88">
        <w:rPr>
          <w:rFonts w:ascii="Times New Roman" w:hAnsi="Times New Roman" w:cs="Times New Roman"/>
        </w:rPr>
        <w:t>rivaroxabán</w:t>
      </w:r>
      <w:r w:rsidRPr="005B3B88">
        <w:rPr>
          <w:rFonts w:ascii="Times New Roman" w:hAnsi="Times New Roman" w:cs="Times New Roman"/>
        </w:rPr>
        <w:t xml:space="preserve">u (pozri časť 4.5), sa má </w:t>
      </w:r>
      <w:r w:rsidR="00E00B86">
        <w:rPr>
          <w:rFonts w:ascii="Times New Roman" w:hAnsi="Times New Roman" w:cs="Times New Roman"/>
        </w:rPr>
        <w:t>Xanirva</w:t>
      </w:r>
      <w:r w:rsidRPr="005B3B88">
        <w:rPr>
          <w:rFonts w:ascii="Times New Roman" w:hAnsi="Times New Roman" w:cs="Times New Roman"/>
        </w:rPr>
        <w:t xml:space="preserve"> používať s opatrnosťou.</w:t>
      </w:r>
    </w:p>
    <w:p w14:paraId="57A484D7" w14:textId="77777777" w:rsidR="00DF5F92" w:rsidRPr="005B3B88" w:rsidRDefault="00DF5F92" w:rsidP="00B20146">
      <w:pPr>
        <w:spacing w:after="0" w:line="240" w:lineRule="auto"/>
        <w:rPr>
          <w:rFonts w:ascii="Times New Roman" w:hAnsi="Times New Roman" w:cs="Times New Roman"/>
        </w:rPr>
      </w:pPr>
    </w:p>
    <w:p w14:paraId="5D890B7D" w14:textId="77777777" w:rsidR="00DF5F92" w:rsidRPr="005B3B88" w:rsidRDefault="00DF5F92" w:rsidP="00B20146">
      <w:pPr>
        <w:pStyle w:val="Default"/>
        <w:rPr>
          <w:sz w:val="22"/>
          <w:szCs w:val="22"/>
          <w:u w:val="single"/>
        </w:rPr>
      </w:pPr>
      <w:r w:rsidRPr="00D5664F">
        <w:rPr>
          <w:sz w:val="22"/>
          <w:szCs w:val="22"/>
          <w:u w:val="single"/>
        </w:rPr>
        <w:t>Interakcie s inými liekmi</w:t>
      </w:r>
      <w:r w:rsidRPr="005B3B88">
        <w:rPr>
          <w:sz w:val="22"/>
          <w:szCs w:val="22"/>
          <w:u w:val="single"/>
        </w:rPr>
        <w:t xml:space="preserve"> </w:t>
      </w:r>
    </w:p>
    <w:p w14:paraId="6D8A9D03" w14:textId="32B8F3A4"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Použitie </w:t>
      </w:r>
      <w:r w:rsidR="00600B9E">
        <w:rPr>
          <w:rFonts w:ascii="Times New Roman" w:hAnsi="Times New Roman" w:cs="Times New Roman"/>
        </w:rPr>
        <w:t>Xanirv</w:t>
      </w:r>
      <w:r w:rsidR="00CB5A37">
        <w:rPr>
          <w:rFonts w:ascii="Times New Roman" w:hAnsi="Times New Roman" w:cs="Times New Roman"/>
        </w:rPr>
        <w:t>y</w:t>
      </w:r>
      <w:r w:rsidRPr="005B3B88">
        <w:rPr>
          <w:rFonts w:ascii="Times New Roman" w:hAnsi="Times New Roman" w:cs="Times New Roman"/>
        </w:rPr>
        <w:t xml:space="preserve"> sa neodporúča u pacientov, ktorí súbežne užívajú systémovo azolové antimykotiká (ako sú ketokonazol, itrakonazol, vorikonazol a posakonazol) alebo inhibítor</w:t>
      </w:r>
      <w:r w:rsidR="004C7573" w:rsidRPr="005B3B88">
        <w:rPr>
          <w:rFonts w:ascii="Times New Roman" w:hAnsi="Times New Roman" w:cs="Times New Roman"/>
        </w:rPr>
        <w:t>y</w:t>
      </w:r>
      <w:r w:rsidRPr="005B3B88">
        <w:rPr>
          <w:rFonts w:ascii="Times New Roman" w:hAnsi="Times New Roman" w:cs="Times New Roman"/>
        </w:rPr>
        <w:t xml:space="preserve"> proteázy HIV (napr. ritonavir).</w:t>
      </w:r>
      <w:r w:rsidR="0095327A" w:rsidRPr="005B3B88">
        <w:rPr>
          <w:rFonts w:ascii="Times New Roman" w:hAnsi="Times New Roman" w:cs="Times New Roman"/>
        </w:rPr>
        <w:t xml:space="preserve"> Tieto liečivá sú silné inhibítory CYP3A4 aj </w:t>
      </w:r>
      <w:r w:rsidR="00721559">
        <w:rPr>
          <w:rFonts w:ascii="Times New Roman" w:hAnsi="Times New Roman" w:cs="Times New Roman"/>
        </w:rPr>
        <w:t>P-glykoproteínu (</w:t>
      </w:r>
      <w:r w:rsidR="0095327A" w:rsidRPr="005B3B88">
        <w:rPr>
          <w:rFonts w:ascii="Times New Roman" w:hAnsi="Times New Roman" w:cs="Times New Roman"/>
        </w:rPr>
        <w:t>P-gp</w:t>
      </w:r>
      <w:r w:rsidR="00721559">
        <w:rPr>
          <w:rFonts w:ascii="Times New Roman" w:hAnsi="Times New Roman" w:cs="Times New Roman"/>
        </w:rPr>
        <w:t>)</w:t>
      </w:r>
      <w:r w:rsidR="0095327A" w:rsidRPr="005B3B88">
        <w:rPr>
          <w:rFonts w:ascii="Times New Roman" w:hAnsi="Times New Roman" w:cs="Times New Roman"/>
        </w:rPr>
        <w:t xml:space="preserve">, a preto môžu zvýšiť plazmatické koncentrácie </w:t>
      </w:r>
      <w:r w:rsidR="000379AB" w:rsidRPr="005B3B88">
        <w:rPr>
          <w:rFonts w:ascii="Times New Roman" w:hAnsi="Times New Roman" w:cs="Times New Roman"/>
        </w:rPr>
        <w:t>rivaroxabán</w:t>
      </w:r>
      <w:r w:rsidR="0095327A" w:rsidRPr="005B3B88">
        <w:rPr>
          <w:rFonts w:ascii="Times New Roman" w:hAnsi="Times New Roman" w:cs="Times New Roman"/>
        </w:rPr>
        <w:t>u na klinicky významnú úroveň (v priemere o 2,6-násobok), čo môže viesť ku zvýšenému riziku krvácania (pozri časť 4.5).</w:t>
      </w:r>
    </w:p>
    <w:p w14:paraId="79B67DCA" w14:textId="77777777" w:rsidR="0095327A" w:rsidRPr="005B3B88" w:rsidRDefault="0095327A" w:rsidP="00B20146">
      <w:pPr>
        <w:spacing w:after="0" w:line="240" w:lineRule="auto"/>
        <w:rPr>
          <w:rFonts w:ascii="Times New Roman" w:hAnsi="Times New Roman" w:cs="Times New Roman"/>
        </w:rPr>
      </w:pPr>
    </w:p>
    <w:p w14:paraId="69049867" w14:textId="2007AE4A" w:rsidR="0095327A" w:rsidRDefault="0095327A" w:rsidP="00B20146">
      <w:pPr>
        <w:spacing w:after="0" w:line="240" w:lineRule="auto"/>
        <w:rPr>
          <w:rFonts w:ascii="Times New Roman" w:hAnsi="Times New Roman" w:cs="Times New Roman"/>
        </w:rPr>
      </w:pPr>
      <w:r w:rsidRPr="005B3B88">
        <w:rPr>
          <w:rFonts w:ascii="Times New Roman" w:hAnsi="Times New Roman" w:cs="Times New Roman"/>
        </w:rPr>
        <w:t>Opatrnosť je potrebná, ak sa pacienti súbežne liečia liekmi, ktoré ovplyvňujú hemostázu, ako sú nesteroidné antiflogistiká (NSA</w:t>
      </w:r>
      <w:r w:rsidR="00721559">
        <w:rPr>
          <w:rFonts w:ascii="Times New Roman" w:hAnsi="Times New Roman" w:cs="Times New Roman"/>
        </w:rPr>
        <w:t>ID</w:t>
      </w:r>
      <w:r w:rsidRPr="005B3B88">
        <w:rPr>
          <w:rFonts w:ascii="Times New Roman" w:hAnsi="Times New Roman" w:cs="Times New Roman"/>
        </w:rPr>
        <w:t>),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14:paraId="7057A884" w14:textId="64EA7728" w:rsidR="002A603D" w:rsidRPr="002A603D" w:rsidRDefault="002A603D" w:rsidP="00B20146">
      <w:pPr>
        <w:spacing w:after="0" w:line="240" w:lineRule="auto"/>
        <w:rPr>
          <w:rFonts w:ascii="Times New Roman" w:hAnsi="Times New Roman" w:cs="Times New Roman"/>
        </w:rPr>
      </w:pPr>
      <w:r w:rsidRPr="002A603D">
        <w:rPr>
          <w:rFonts w:ascii="Times New Roman" w:hAnsi="Times New Roman" w:cs="Times New Roman"/>
        </w:rPr>
        <w:t>Pacienti liečení Xa</w:t>
      </w:r>
      <w:r w:rsidR="00D5664F">
        <w:rPr>
          <w:rFonts w:ascii="Times New Roman" w:hAnsi="Times New Roman" w:cs="Times New Roman"/>
        </w:rPr>
        <w:t>nirvou</w:t>
      </w:r>
      <w:r w:rsidRPr="002A603D">
        <w:rPr>
          <w:rFonts w:ascii="Times New Roman" w:hAnsi="Times New Roman" w:cs="Times New Roman"/>
        </w:rPr>
        <w:t xml:space="preserve"> a ASA alebo Xa</w:t>
      </w:r>
      <w:r w:rsidR="00D5664F">
        <w:rPr>
          <w:rFonts w:ascii="Times New Roman" w:hAnsi="Times New Roman" w:cs="Times New Roman"/>
        </w:rPr>
        <w:t>nirvou</w:t>
      </w:r>
      <w:r w:rsidRPr="002A603D">
        <w:rPr>
          <w:rFonts w:ascii="Times New Roman" w:hAnsi="Times New Roman" w:cs="Times New Roman"/>
        </w:rPr>
        <w:t xml:space="preserve"> a ASA a navyše klopidogrelom/tiklopidínom majú dostávať súbežnú liečbu NSA</w:t>
      </w:r>
      <w:r w:rsidR="00721559">
        <w:rPr>
          <w:rFonts w:ascii="Times New Roman" w:hAnsi="Times New Roman" w:cs="Times New Roman"/>
        </w:rPr>
        <w:t>ID</w:t>
      </w:r>
      <w:r w:rsidRPr="002A603D">
        <w:rPr>
          <w:rFonts w:ascii="Times New Roman" w:hAnsi="Times New Roman" w:cs="Times New Roman"/>
        </w:rPr>
        <w:t>, len ak prínos preváži riziko krvácania.</w:t>
      </w:r>
    </w:p>
    <w:p w14:paraId="6DE8CEE1" w14:textId="77777777" w:rsidR="0095327A" w:rsidRPr="00600B9E" w:rsidRDefault="0095327A" w:rsidP="00B20146">
      <w:pPr>
        <w:spacing w:after="0" w:line="240" w:lineRule="auto"/>
        <w:rPr>
          <w:rFonts w:ascii="Times New Roman" w:hAnsi="Times New Roman" w:cs="Times New Roman"/>
        </w:rPr>
      </w:pPr>
    </w:p>
    <w:p w14:paraId="1755828E" w14:textId="77777777" w:rsidR="0095327A" w:rsidRPr="005B3B88" w:rsidRDefault="0095327A" w:rsidP="00B20146">
      <w:pPr>
        <w:pStyle w:val="Default"/>
        <w:rPr>
          <w:sz w:val="22"/>
          <w:szCs w:val="22"/>
          <w:u w:val="single"/>
        </w:rPr>
      </w:pPr>
      <w:r w:rsidRPr="005B3B88">
        <w:rPr>
          <w:sz w:val="22"/>
          <w:szCs w:val="22"/>
          <w:u w:val="single"/>
        </w:rPr>
        <w:t xml:space="preserve">Iné rizikové faktory hemorágie </w:t>
      </w:r>
    </w:p>
    <w:p w14:paraId="467E3BF4" w14:textId="7D5CDA59" w:rsidR="0095327A" w:rsidRPr="005B3B88" w:rsidRDefault="0095327A" w:rsidP="00B20146">
      <w:pPr>
        <w:pStyle w:val="Default"/>
        <w:rPr>
          <w:sz w:val="22"/>
          <w:szCs w:val="22"/>
        </w:rPr>
      </w:pPr>
      <w:r w:rsidRPr="005B3B88">
        <w:rPr>
          <w:sz w:val="22"/>
          <w:szCs w:val="22"/>
        </w:rPr>
        <w:t xml:space="preserve">Tak ako </w:t>
      </w:r>
      <w:r w:rsidR="000505DF">
        <w:rPr>
          <w:sz w:val="22"/>
          <w:szCs w:val="22"/>
        </w:rPr>
        <w:t xml:space="preserve">pri </w:t>
      </w:r>
      <w:r w:rsidRPr="005B3B88">
        <w:rPr>
          <w:sz w:val="22"/>
          <w:szCs w:val="22"/>
        </w:rPr>
        <w:t>in</w:t>
      </w:r>
      <w:r w:rsidR="000505DF">
        <w:rPr>
          <w:sz w:val="22"/>
          <w:szCs w:val="22"/>
        </w:rPr>
        <w:t>ých</w:t>
      </w:r>
      <w:r w:rsidRPr="005B3B88">
        <w:rPr>
          <w:sz w:val="22"/>
          <w:szCs w:val="22"/>
        </w:rPr>
        <w:t xml:space="preserve"> antitrombotiká</w:t>
      </w:r>
      <w:r w:rsidR="000505DF">
        <w:rPr>
          <w:sz w:val="22"/>
          <w:szCs w:val="22"/>
        </w:rPr>
        <w:t>ch</w:t>
      </w:r>
      <w:r w:rsidRPr="005B3B88">
        <w:rPr>
          <w:sz w:val="22"/>
          <w:szCs w:val="22"/>
        </w:rPr>
        <w:t xml:space="preserve"> </w:t>
      </w:r>
      <w:r w:rsidR="000505DF">
        <w:rPr>
          <w:sz w:val="22"/>
          <w:szCs w:val="22"/>
        </w:rPr>
        <w:t xml:space="preserve">sa </w:t>
      </w:r>
      <w:r w:rsidRPr="005B3B88">
        <w:rPr>
          <w:sz w:val="22"/>
          <w:szCs w:val="22"/>
        </w:rPr>
        <w:t xml:space="preserve">užívanie </w:t>
      </w:r>
      <w:r w:rsidR="000379AB" w:rsidRPr="005B3B88">
        <w:rPr>
          <w:sz w:val="22"/>
          <w:szCs w:val="22"/>
        </w:rPr>
        <w:t>rivaroxabán</w:t>
      </w:r>
      <w:r w:rsidRPr="005B3B88">
        <w:rPr>
          <w:sz w:val="22"/>
          <w:szCs w:val="22"/>
        </w:rPr>
        <w:t xml:space="preserve">u  neodporúča u pacientov so zvýšeným rizikom krvácania, ako sú: </w:t>
      </w:r>
    </w:p>
    <w:p w14:paraId="73CEEC95" w14:textId="77777777" w:rsidR="0095327A" w:rsidRPr="005B3B88" w:rsidRDefault="0095327A" w:rsidP="00EF01EA">
      <w:pPr>
        <w:pStyle w:val="Default"/>
        <w:numPr>
          <w:ilvl w:val="0"/>
          <w:numId w:val="5"/>
        </w:numPr>
        <w:rPr>
          <w:sz w:val="22"/>
          <w:szCs w:val="22"/>
        </w:rPr>
      </w:pPr>
      <w:r w:rsidRPr="005B3B88">
        <w:rPr>
          <w:sz w:val="22"/>
          <w:szCs w:val="22"/>
        </w:rPr>
        <w:t xml:space="preserve">vrodené alebo získané krvácavé poruchy, </w:t>
      </w:r>
    </w:p>
    <w:p w14:paraId="64571460" w14:textId="6E319040" w:rsidR="0095327A" w:rsidRPr="005B3B88" w:rsidRDefault="0095327A" w:rsidP="00EF01EA">
      <w:pPr>
        <w:pStyle w:val="Default"/>
        <w:numPr>
          <w:ilvl w:val="0"/>
          <w:numId w:val="5"/>
        </w:numPr>
        <w:rPr>
          <w:sz w:val="22"/>
          <w:szCs w:val="22"/>
        </w:rPr>
      </w:pPr>
      <w:r w:rsidRPr="005B3B88">
        <w:rPr>
          <w:sz w:val="22"/>
          <w:szCs w:val="22"/>
        </w:rPr>
        <w:t>nekontrolovaná ťažká art</w:t>
      </w:r>
      <w:r w:rsidR="003F6F24">
        <w:rPr>
          <w:sz w:val="22"/>
          <w:szCs w:val="22"/>
        </w:rPr>
        <w:t>ériová</w:t>
      </w:r>
      <w:r w:rsidRPr="005B3B88">
        <w:rPr>
          <w:sz w:val="22"/>
          <w:szCs w:val="22"/>
        </w:rPr>
        <w:t xml:space="preserve"> hypertenzia, </w:t>
      </w:r>
    </w:p>
    <w:p w14:paraId="7BB597A4" w14:textId="7E77D444" w:rsidR="0095327A" w:rsidRPr="00AB5029" w:rsidRDefault="0095327A" w:rsidP="00EF01EA">
      <w:pPr>
        <w:pStyle w:val="Default"/>
        <w:numPr>
          <w:ilvl w:val="0"/>
          <w:numId w:val="5"/>
        </w:numPr>
        <w:rPr>
          <w:sz w:val="22"/>
          <w:szCs w:val="22"/>
        </w:rPr>
      </w:pPr>
      <w:r w:rsidRPr="005B3B88">
        <w:rPr>
          <w:sz w:val="22"/>
          <w:szCs w:val="22"/>
        </w:rPr>
        <w:t xml:space="preserve">iné gastrointestinálne ochorenie </w:t>
      </w:r>
      <w:r w:rsidRPr="00600B9E">
        <w:rPr>
          <w:sz w:val="22"/>
          <w:szCs w:val="22"/>
        </w:rPr>
        <w:t>bez aktívnej ulcerácie,</w:t>
      </w:r>
      <w:r w:rsidRPr="005B3B88">
        <w:rPr>
          <w:sz w:val="22"/>
          <w:szCs w:val="22"/>
        </w:rPr>
        <w:t xml:space="preserve"> ktoré môže potenciálne viesť ku krvácavým komplikáciám (napr. zápalové ochorenie čriev, ezofagitída, gastritída a gastroezof</w:t>
      </w:r>
      <w:r w:rsidR="00421FEC" w:rsidRPr="00AB5029">
        <w:rPr>
          <w:sz w:val="22"/>
          <w:szCs w:val="22"/>
        </w:rPr>
        <w:t>ágo</w:t>
      </w:r>
      <w:r w:rsidR="0030569F">
        <w:rPr>
          <w:sz w:val="22"/>
          <w:szCs w:val="22"/>
        </w:rPr>
        <w:t>vá</w:t>
      </w:r>
      <w:r w:rsidRPr="00AB5029">
        <w:rPr>
          <w:sz w:val="22"/>
          <w:szCs w:val="22"/>
        </w:rPr>
        <w:t xml:space="preserve"> reflux</w:t>
      </w:r>
      <w:r w:rsidR="0030569F">
        <w:rPr>
          <w:sz w:val="22"/>
          <w:szCs w:val="22"/>
        </w:rPr>
        <w:t>ová choroba</w:t>
      </w:r>
      <w:r w:rsidRPr="00AB5029">
        <w:rPr>
          <w:sz w:val="22"/>
          <w:szCs w:val="22"/>
        </w:rPr>
        <w:t xml:space="preserve">), </w:t>
      </w:r>
    </w:p>
    <w:p w14:paraId="00875695" w14:textId="77777777" w:rsidR="0095327A" w:rsidRPr="005B3B88" w:rsidRDefault="0095327A" w:rsidP="00EF01EA">
      <w:pPr>
        <w:pStyle w:val="Default"/>
        <w:numPr>
          <w:ilvl w:val="0"/>
          <w:numId w:val="5"/>
        </w:numPr>
        <w:rPr>
          <w:sz w:val="22"/>
          <w:szCs w:val="22"/>
        </w:rPr>
      </w:pPr>
      <w:r w:rsidRPr="005B3B88">
        <w:rPr>
          <w:sz w:val="22"/>
          <w:szCs w:val="22"/>
        </w:rPr>
        <w:t xml:space="preserve">vaskulárna retinopatia, </w:t>
      </w:r>
    </w:p>
    <w:p w14:paraId="63114A19" w14:textId="77777777" w:rsidR="0095327A" w:rsidRPr="005B3B88" w:rsidRDefault="0095327A" w:rsidP="00EF01EA">
      <w:pPr>
        <w:pStyle w:val="Default"/>
        <w:numPr>
          <w:ilvl w:val="0"/>
          <w:numId w:val="5"/>
        </w:numPr>
        <w:rPr>
          <w:sz w:val="22"/>
          <w:szCs w:val="22"/>
        </w:rPr>
      </w:pPr>
      <w:r w:rsidRPr="005B3B88">
        <w:rPr>
          <w:sz w:val="22"/>
          <w:szCs w:val="22"/>
        </w:rPr>
        <w:t xml:space="preserve">bronchiektázia alebo krvácanie do pľúc v anamnéze. </w:t>
      </w:r>
    </w:p>
    <w:p w14:paraId="29549539" w14:textId="77777777" w:rsidR="0095327A" w:rsidRDefault="0095327A" w:rsidP="00B20146">
      <w:pPr>
        <w:spacing w:after="0" w:line="240" w:lineRule="auto"/>
        <w:rPr>
          <w:rFonts w:ascii="Times New Roman" w:hAnsi="Times New Roman" w:cs="Times New Roman"/>
          <w:u w:val="single"/>
        </w:rPr>
      </w:pPr>
    </w:p>
    <w:p w14:paraId="2CED7F7A" w14:textId="77777777" w:rsidR="002A603D" w:rsidRPr="002A603D" w:rsidRDefault="002A603D" w:rsidP="002A603D">
      <w:pPr>
        <w:autoSpaceDE w:val="0"/>
        <w:autoSpaceDN w:val="0"/>
        <w:adjustRightInd w:val="0"/>
        <w:spacing w:after="0" w:line="240" w:lineRule="auto"/>
        <w:rPr>
          <w:rFonts w:ascii="Times New Roman" w:hAnsi="Times New Roman" w:cs="Times New Roman"/>
          <w:color w:val="000000"/>
        </w:rPr>
      </w:pPr>
      <w:r w:rsidRPr="0024376F">
        <w:rPr>
          <w:rFonts w:ascii="Times New Roman" w:hAnsi="Times New Roman" w:cs="Times New Roman"/>
          <w:color w:val="000000"/>
        </w:rPr>
        <w:t>Má sa používať s opatrnosťou u pacientov s ACS a CAD/PAD:</w:t>
      </w:r>
      <w:r w:rsidRPr="002A603D">
        <w:rPr>
          <w:rFonts w:ascii="Times New Roman" w:hAnsi="Times New Roman" w:cs="Times New Roman"/>
          <w:color w:val="000000"/>
        </w:rPr>
        <w:t xml:space="preserve"> </w:t>
      </w:r>
    </w:p>
    <w:p w14:paraId="2E404802" w14:textId="77777777" w:rsidR="002A603D" w:rsidRPr="000D053C" w:rsidRDefault="002A603D" w:rsidP="00EF01EA">
      <w:pPr>
        <w:pStyle w:val="Odsekzoznamu"/>
        <w:numPr>
          <w:ilvl w:val="0"/>
          <w:numId w:val="5"/>
        </w:numPr>
        <w:autoSpaceDE w:val="0"/>
        <w:autoSpaceDN w:val="0"/>
        <w:adjustRightInd w:val="0"/>
        <w:spacing w:after="0" w:line="240" w:lineRule="auto"/>
        <w:rPr>
          <w:rFonts w:ascii="Times New Roman" w:hAnsi="Times New Roman" w:cs="Times New Roman"/>
          <w:color w:val="000000"/>
          <w:lang w:val="sk-SK"/>
        </w:rPr>
      </w:pPr>
      <w:r w:rsidRPr="000D053C">
        <w:rPr>
          <w:rFonts w:ascii="Times New Roman" w:hAnsi="Times New Roman" w:cs="Times New Roman"/>
          <w:color w:val="000000"/>
          <w:lang w:val="sk-SK"/>
        </w:rPr>
        <w:t xml:space="preserve">≥75 rokov, ak sa podáva spolu so samotnou ASA alebo s ASA a klopidogrelom alebo tiklopidínom.  </w:t>
      </w:r>
    </w:p>
    <w:p w14:paraId="731742A6" w14:textId="77777777" w:rsidR="002A603D" w:rsidRPr="002A603D" w:rsidRDefault="002A603D" w:rsidP="00EF01EA">
      <w:pPr>
        <w:autoSpaceDE w:val="0"/>
        <w:autoSpaceDN w:val="0"/>
        <w:adjustRightInd w:val="0"/>
        <w:spacing w:after="0" w:line="240" w:lineRule="auto"/>
        <w:ind w:firstLine="708"/>
        <w:rPr>
          <w:rFonts w:ascii="Times New Roman" w:hAnsi="Times New Roman" w:cs="Times New Roman"/>
          <w:color w:val="000000"/>
        </w:rPr>
      </w:pPr>
      <w:r w:rsidRPr="002A603D">
        <w:rPr>
          <w:rFonts w:ascii="Times New Roman" w:hAnsi="Times New Roman" w:cs="Times New Roman"/>
          <w:color w:val="000000"/>
        </w:rPr>
        <w:t xml:space="preserve">Pomer prínosu a rizika liečby sa má pravidelne individuálne vyhodnocovať. </w:t>
      </w:r>
    </w:p>
    <w:p w14:paraId="5E64D6E9" w14:textId="77777777" w:rsidR="002A603D" w:rsidRPr="00EF01EA" w:rsidRDefault="002A603D" w:rsidP="00EF01EA">
      <w:pPr>
        <w:pStyle w:val="Odsekzoznamu"/>
        <w:numPr>
          <w:ilvl w:val="0"/>
          <w:numId w:val="5"/>
        </w:numPr>
        <w:autoSpaceDE w:val="0"/>
        <w:autoSpaceDN w:val="0"/>
        <w:adjustRightInd w:val="0"/>
        <w:spacing w:after="0" w:line="240" w:lineRule="auto"/>
        <w:rPr>
          <w:rFonts w:ascii="Times New Roman" w:hAnsi="Times New Roman" w:cs="Times New Roman"/>
          <w:color w:val="000000"/>
        </w:rPr>
      </w:pPr>
      <w:r w:rsidRPr="00EF01EA">
        <w:rPr>
          <w:rFonts w:ascii="Times New Roman" w:hAnsi="Times New Roman" w:cs="Times New Roman"/>
          <w:color w:val="000000"/>
        </w:rPr>
        <w:t>s nižšou telesnou hmotnosťou (&lt;</w:t>
      </w:r>
      <w:r w:rsidR="0024376F" w:rsidRPr="00EF01EA">
        <w:rPr>
          <w:rFonts w:ascii="Times New Roman" w:hAnsi="Times New Roman" w:cs="Times New Roman"/>
          <w:color w:val="000000"/>
        </w:rPr>
        <w:t> </w:t>
      </w:r>
      <w:r w:rsidRPr="00EF01EA">
        <w:rPr>
          <w:rFonts w:ascii="Times New Roman" w:hAnsi="Times New Roman" w:cs="Times New Roman"/>
          <w:color w:val="000000"/>
        </w:rPr>
        <w:t xml:space="preserve">60 kg), ak sa podáva spolu so samotnou ASA alebo s ASA a </w:t>
      </w:r>
    </w:p>
    <w:p w14:paraId="5D95852E" w14:textId="77777777" w:rsidR="002A603D" w:rsidRPr="002A603D" w:rsidRDefault="002A603D" w:rsidP="00EF01EA">
      <w:pPr>
        <w:autoSpaceDE w:val="0"/>
        <w:autoSpaceDN w:val="0"/>
        <w:adjustRightInd w:val="0"/>
        <w:spacing w:after="0" w:line="240" w:lineRule="auto"/>
        <w:ind w:firstLine="708"/>
        <w:rPr>
          <w:rFonts w:ascii="Times New Roman" w:hAnsi="Times New Roman" w:cs="Times New Roman"/>
          <w:color w:val="000000"/>
        </w:rPr>
      </w:pPr>
      <w:r w:rsidRPr="002A603D">
        <w:rPr>
          <w:rFonts w:ascii="Times New Roman" w:hAnsi="Times New Roman" w:cs="Times New Roman"/>
          <w:color w:val="000000"/>
        </w:rPr>
        <w:t xml:space="preserve">klopidogrelom alebo tiklopidínom, </w:t>
      </w:r>
    </w:p>
    <w:p w14:paraId="4C231C10" w14:textId="56173FFE" w:rsidR="002A603D" w:rsidRPr="000D053C" w:rsidRDefault="002A603D" w:rsidP="002A603D">
      <w:pPr>
        <w:pStyle w:val="Odsekzoznamu"/>
        <w:numPr>
          <w:ilvl w:val="0"/>
          <w:numId w:val="5"/>
        </w:numPr>
        <w:autoSpaceDE w:val="0"/>
        <w:autoSpaceDN w:val="0"/>
        <w:adjustRightInd w:val="0"/>
        <w:spacing w:after="0" w:line="240" w:lineRule="auto"/>
        <w:rPr>
          <w:rFonts w:ascii="Times New Roman" w:hAnsi="Times New Roman" w:cs="Times New Roman"/>
          <w:color w:val="000000"/>
          <w:lang w:val="sk-SK"/>
        </w:rPr>
      </w:pPr>
      <w:r w:rsidRPr="000D053C">
        <w:rPr>
          <w:rFonts w:ascii="Times New Roman" w:hAnsi="Times New Roman" w:cs="Times New Roman"/>
          <w:color w:val="000000"/>
          <w:lang w:val="sk-SK"/>
        </w:rPr>
        <w:t>pacienti s CAD so závažným symptomatickým zlyhávaním</w:t>
      </w:r>
      <w:r w:rsidR="003640FB" w:rsidRPr="000D053C">
        <w:rPr>
          <w:rFonts w:ascii="Times New Roman" w:hAnsi="Times New Roman" w:cs="Times New Roman"/>
          <w:color w:val="000000"/>
          <w:lang w:val="sk-SK"/>
        </w:rPr>
        <w:t xml:space="preserve"> srdca</w:t>
      </w:r>
      <w:r w:rsidRPr="000D053C">
        <w:rPr>
          <w:rFonts w:ascii="Times New Roman" w:hAnsi="Times New Roman" w:cs="Times New Roman"/>
          <w:color w:val="000000"/>
          <w:lang w:val="sk-SK"/>
        </w:rPr>
        <w:t xml:space="preserve">. Údaje zo štúdie naznačujú, že takíto pacienti môžu mať </w:t>
      </w:r>
      <w:r w:rsidR="001462B3" w:rsidRPr="000D053C">
        <w:rPr>
          <w:rFonts w:ascii="Times New Roman" w:hAnsi="Times New Roman" w:cs="Times New Roman"/>
          <w:color w:val="000000"/>
          <w:lang w:val="sk-SK"/>
        </w:rPr>
        <w:t>menší úžitok z liečby rivaroxabá</w:t>
      </w:r>
      <w:r w:rsidRPr="000D053C">
        <w:rPr>
          <w:rFonts w:ascii="Times New Roman" w:hAnsi="Times New Roman" w:cs="Times New Roman"/>
          <w:color w:val="000000"/>
          <w:lang w:val="sk-SK"/>
        </w:rPr>
        <w:t xml:space="preserve">nom (pozri časť 5.1). </w:t>
      </w:r>
    </w:p>
    <w:p w14:paraId="79F8704B" w14:textId="77777777" w:rsidR="002A603D" w:rsidRPr="005B3B88" w:rsidRDefault="002A603D" w:rsidP="00B20146">
      <w:pPr>
        <w:spacing w:after="0" w:line="240" w:lineRule="auto"/>
        <w:rPr>
          <w:rFonts w:ascii="Times New Roman" w:hAnsi="Times New Roman" w:cs="Times New Roman"/>
          <w:u w:val="single"/>
        </w:rPr>
      </w:pPr>
    </w:p>
    <w:p w14:paraId="4AF8EF52" w14:textId="77777777" w:rsidR="0095327A" w:rsidRPr="005B3B88" w:rsidRDefault="0095327A" w:rsidP="00B20146">
      <w:pPr>
        <w:pStyle w:val="Default"/>
        <w:rPr>
          <w:sz w:val="22"/>
          <w:szCs w:val="22"/>
          <w:u w:val="single"/>
        </w:rPr>
      </w:pPr>
      <w:r w:rsidRPr="005B3B88">
        <w:rPr>
          <w:sz w:val="22"/>
          <w:szCs w:val="22"/>
          <w:u w:val="single"/>
        </w:rPr>
        <w:t xml:space="preserve">Pacienti s protetickými chlopňami </w:t>
      </w:r>
    </w:p>
    <w:p w14:paraId="4B020337" w14:textId="51EC76B8" w:rsidR="0095327A" w:rsidRPr="005B3B88" w:rsidRDefault="001462B3" w:rsidP="00B20146">
      <w:pPr>
        <w:spacing w:after="0" w:line="240" w:lineRule="auto"/>
        <w:rPr>
          <w:rFonts w:ascii="Times New Roman" w:hAnsi="Times New Roman" w:cs="Times New Roman"/>
        </w:rPr>
      </w:pPr>
      <w:r>
        <w:rPr>
          <w:rFonts w:ascii="Times New Roman" w:hAnsi="Times New Roman" w:cs="Times New Roman"/>
        </w:rPr>
        <w:t>Rivaroxabá</w:t>
      </w:r>
      <w:r w:rsidR="00815FAF" w:rsidRPr="00815FAF">
        <w:rPr>
          <w:rFonts w:ascii="Times New Roman" w:hAnsi="Times New Roman" w:cs="Times New Roman"/>
        </w:rPr>
        <w:t>n sa nemá používať na tromboprofylaxiu u pacientov, ktorí nedávno podstúpili transkatétrovú výmenu aortálnej chlopne (transcatheter aortic valve replacement</w:t>
      </w:r>
      <w:r w:rsidR="003640FB">
        <w:rPr>
          <w:rFonts w:ascii="Times New Roman" w:hAnsi="Times New Roman" w:cs="Times New Roman"/>
        </w:rPr>
        <w:t>,</w:t>
      </w:r>
      <w:r w:rsidR="00815FAF" w:rsidRPr="00815FAF">
        <w:rPr>
          <w:rFonts w:ascii="Times New Roman" w:hAnsi="Times New Roman" w:cs="Times New Roman"/>
        </w:rPr>
        <w:t xml:space="preserve">TAVR). </w:t>
      </w:r>
      <w:r w:rsidR="0095327A" w:rsidRPr="00815FAF">
        <w:rPr>
          <w:rFonts w:ascii="Times New Roman" w:hAnsi="Times New Roman" w:cs="Times New Roman"/>
        </w:rPr>
        <w:t>U</w:t>
      </w:r>
      <w:r w:rsidR="0095327A" w:rsidRPr="005B3B88">
        <w:rPr>
          <w:rFonts w:ascii="Times New Roman" w:hAnsi="Times New Roman" w:cs="Times New Roman"/>
        </w:rPr>
        <w:t xml:space="preserve"> pacientov s protetickými srdcovými chlopňami sa bezpečnosť a účinnosť </w:t>
      </w:r>
      <w:r w:rsidR="000379AB" w:rsidRPr="005B3B88">
        <w:rPr>
          <w:rFonts w:ascii="Times New Roman" w:hAnsi="Times New Roman" w:cs="Times New Roman"/>
        </w:rPr>
        <w:t>rivaroxabán</w:t>
      </w:r>
      <w:r w:rsidR="0095327A" w:rsidRPr="005B3B88">
        <w:rPr>
          <w:rFonts w:ascii="Times New Roman" w:hAnsi="Times New Roman" w:cs="Times New Roman"/>
        </w:rPr>
        <w:t xml:space="preserve">u neskúmala. Preto nie sú žiadne údaje, ktoré by podporovali, že v tejto skupine pacientov </w:t>
      </w:r>
      <w:r w:rsidR="000379AB" w:rsidRPr="005B3B88">
        <w:rPr>
          <w:rFonts w:ascii="Times New Roman" w:hAnsi="Times New Roman" w:cs="Times New Roman"/>
        </w:rPr>
        <w:t>rivaroxabán</w:t>
      </w:r>
      <w:r w:rsidR="0095327A" w:rsidRPr="005B3B88">
        <w:rPr>
          <w:rFonts w:ascii="Times New Roman" w:hAnsi="Times New Roman" w:cs="Times New Roman"/>
        </w:rPr>
        <w:t xml:space="preserve"> poskytuje adekvátnu antikoaguláciu. U týchto pacientov sa liečba </w:t>
      </w:r>
      <w:r w:rsidR="00815FAF">
        <w:rPr>
          <w:rFonts w:ascii="Times New Roman" w:hAnsi="Times New Roman" w:cs="Times New Roman"/>
        </w:rPr>
        <w:t>Xanirvou</w:t>
      </w:r>
      <w:r w:rsidR="0095327A" w:rsidRPr="005B3B88">
        <w:rPr>
          <w:rFonts w:ascii="Times New Roman" w:hAnsi="Times New Roman" w:cs="Times New Roman"/>
        </w:rPr>
        <w:t xml:space="preserve"> neodporúča.</w:t>
      </w:r>
    </w:p>
    <w:p w14:paraId="27423A6F" w14:textId="77777777" w:rsidR="00B26E16" w:rsidRDefault="00B26E16" w:rsidP="00B20146">
      <w:pPr>
        <w:spacing w:after="0" w:line="240" w:lineRule="auto"/>
        <w:rPr>
          <w:rFonts w:ascii="Times New Roman" w:hAnsi="Times New Roman" w:cs="Times New Roman"/>
        </w:rPr>
      </w:pPr>
    </w:p>
    <w:p w14:paraId="32C88BEB" w14:textId="77777777" w:rsidR="00815FAF" w:rsidRPr="00815FAF" w:rsidRDefault="00815FAF" w:rsidP="00815FAF">
      <w:pPr>
        <w:pStyle w:val="Default"/>
        <w:rPr>
          <w:sz w:val="22"/>
          <w:szCs w:val="22"/>
          <w:u w:val="single"/>
        </w:rPr>
      </w:pPr>
      <w:r w:rsidRPr="00815FAF">
        <w:rPr>
          <w:sz w:val="22"/>
          <w:szCs w:val="22"/>
          <w:u w:val="single"/>
        </w:rPr>
        <w:t xml:space="preserve">Pacienti s antifosfolipidovým syndrómom </w:t>
      </w:r>
    </w:p>
    <w:p w14:paraId="52AC76CF" w14:textId="77934C07" w:rsidR="00815FAF" w:rsidRPr="00815FAF" w:rsidRDefault="00815FAF" w:rsidP="00815FAF">
      <w:pPr>
        <w:spacing w:after="0" w:line="240" w:lineRule="auto"/>
        <w:rPr>
          <w:rFonts w:ascii="Times New Roman" w:hAnsi="Times New Roman" w:cs="Times New Roman"/>
        </w:rPr>
      </w:pPr>
      <w:r w:rsidRPr="00815FAF">
        <w:rPr>
          <w:rFonts w:ascii="Times New Roman" w:hAnsi="Times New Roman" w:cs="Times New Roman"/>
        </w:rPr>
        <w:t xml:space="preserve">Priame perorálne antikoagulanciá (direct acting oral anticoagulants, DOAC) </w:t>
      </w:r>
      <w:r w:rsidR="005A46C3">
        <w:rPr>
          <w:rFonts w:ascii="Times New Roman" w:hAnsi="Times New Roman" w:cs="Times New Roman"/>
        </w:rPr>
        <w:t>vrátane</w:t>
      </w:r>
      <w:r w:rsidR="001462B3">
        <w:rPr>
          <w:rFonts w:ascii="Times New Roman" w:hAnsi="Times New Roman" w:cs="Times New Roman"/>
        </w:rPr>
        <w:t xml:space="preserve"> rivaroxabá</w:t>
      </w:r>
      <w:r w:rsidRPr="00815FAF">
        <w:rPr>
          <w:rFonts w:ascii="Times New Roman" w:hAnsi="Times New Roman" w:cs="Times New Roman"/>
        </w:rPr>
        <w:t>n</w:t>
      </w:r>
      <w:r w:rsidR="005A46C3">
        <w:rPr>
          <w:rFonts w:ascii="Times New Roman" w:hAnsi="Times New Roman" w:cs="Times New Roman"/>
        </w:rPr>
        <w:t>u</w:t>
      </w:r>
      <w:r w:rsidRPr="00815FAF">
        <w:rPr>
          <w:rFonts w:ascii="Times New Roman" w:hAnsi="Times New Roman" w:cs="Times New Roman"/>
        </w:rPr>
        <w:t xml:space="preserve"> sa neodporúčajú pacientom s trombózou v anamnéze, u ktorých je diagnostikovaný antifosfolipidový syndróm. Najmä u pacientov, ktorí sú trojito pozitívni (n</w:t>
      </w:r>
      <w:r w:rsidRPr="003F55BB">
        <w:rPr>
          <w:rFonts w:ascii="Times New Roman" w:hAnsi="Times New Roman" w:cs="Times New Roman"/>
        </w:rPr>
        <w:t>a lupus</w:t>
      </w:r>
      <w:r w:rsidR="003F55BB" w:rsidRPr="000D053C">
        <w:rPr>
          <w:rFonts w:ascii="Times New Roman" w:hAnsi="Times New Roman" w:cs="Times New Roman"/>
        </w:rPr>
        <w:t xml:space="preserve"> </w:t>
      </w:r>
      <w:r w:rsidRPr="003F55BB">
        <w:rPr>
          <w:rFonts w:ascii="Times New Roman" w:hAnsi="Times New Roman" w:cs="Times New Roman"/>
        </w:rPr>
        <w:t>antikoagulans</w:t>
      </w:r>
      <w:r w:rsidRPr="00815FAF">
        <w:rPr>
          <w:rFonts w:ascii="Times New Roman" w:hAnsi="Times New Roman" w:cs="Times New Roman"/>
        </w:rPr>
        <w:t>, antikardiolipínové protilátky a protilátky proti beta-2-glykoproteínu I)</w:t>
      </w:r>
      <w:r w:rsidR="00102923">
        <w:rPr>
          <w:rFonts w:ascii="Times New Roman" w:hAnsi="Times New Roman" w:cs="Times New Roman"/>
        </w:rPr>
        <w:t>,</w:t>
      </w:r>
      <w:r w:rsidRPr="00815FAF">
        <w:rPr>
          <w:rFonts w:ascii="Times New Roman" w:hAnsi="Times New Roman" w:cs="Times New Roman"/>
        </w:rPr>
        <w:t xml:space="preserve"> môže liečba DOAC súvisieť so zvýšenou mierou rekurentných trombotických udalostí v porovnaní s liečbou antagonistami vitamínu K.</w:t>
      </w:r>
    </w:p>
    <w:p w14:paraId="3D56C522" w14:textId="77777777" w:rsidR="00815FAF" w:rsidRDefault="00815FAF" w:rsidP="00815FAF">
      <w:pPr>
        <w:spacing w:after="0" w:line="240" w:lineRule="auto"/>
        <w:rPr>
          <w:rFonts w:ascii="Times New Roman" w:hAnsi="Times New Roman" w:cs="Times New Roman"/>
        </w:rPr>
      </w:pPr>
    </w:p>
    <w:p w14:paraId="44D56C56" w14:textId="77777777" w:rsidR="002A603D" w:rsidRPr="002A603D" w:rsidRDefault="002A603D" w:rsidP="002A603D">
      <w:pPr>
        <w:autoSpaceDE w:val="0"/>
        <w:autoSpaceDN w:val="0"/>
        <w:adjustRightInd w:val="0"/>
        <w:spacing w:after="0" w:line="240" w:lineRule="auto"/>
        <w:rPr>
          <w:rFonts w:ascii="Times New Roman" w:hAnsi="Times New Roman" w:cs="Times New Roman"/>
          <w:color w:val="000000"/>
          <w:u w:val="single"/>
        </w:rPr>
      </w:pPr>
      <w:r w:rsidRPr="002A603D">
        <w:rPr>
          <w:rFonts w:ascii="Times New Roman" w:hAnsi="Times New Roman" w:cs="Times New Roman"/>
          <w:color w:val="000000"/>
          <w:u w:val="single"/>
        </w:rPr>
        <w:t xml:space="preserve">Pacienti po prekonanej mozgovej príhode a/alebo tranzitórnom ischemickom ataku (TIA) </w:t>
      </w:r>
    </w:p>
    <w:p w14:paraId="4AAA07EB" w14:textId="77777777" w:rsidR="002A603D" w:rsidRPr="002A603D" w:rsidRDefault="002A603D" w:rsidP="002A603D">
      <w:pPr>
        <w:autoSpaceDE w:val="0"/>
        <w:autoSpaceDN w:val="0"/>
        <w:adjustRightInd w:val="0"/>
        <w:spacing w:after="0" w:line="240" w:lineRule="auto"/>
        <w:rPr>
          <w:rFonts w:ascii="Times New Roman" w:hAnsi="Times New Roman" w:cs="Times New Roman"/>
          <w:color w:val="000000"/>
        </w:rPr>
      </w:pPr>
      <w:r w:rsidRPr="002A603D">
        <w:rPr>
          <w:rFonts w:ascii="Times New Roman" w:hAnsi="Times New Roman" w:cs="Times New Roman"/>
          <w:i/>
          <w:iCs/>
          <w:color w:val="000000"/>
          <w:u w:val="single"/>
        </w:rPr>
        <w:lastRenderedPageBreak/>
        <w:t xml:space="preserve">Pacienti s ACS </w:t>
      </w:r>
    </w:p>
    <w:p w14:paraId="77FE92B1" w14:textId="77777777" w:rsidR="002A603D" w:rsidRDefault="00783235" w:rsidP="002A603D">
      <w:pPr>
        <w:autoSpaceDE w:val="0"/>
        <w:autoSpaceDN w:val="0"/>
        <w:adjustRightInd w:val="0"/>
        <w:spacing w:after="0" w:line="240" w:lineRule="auto"/>
        <w:rPr>
          <w:rFonts w:ascii="Times New Roman" w:hAnsi="Times New Roman" w:cs="Times New Roman"/>
          <w:color w:val="000000"/>
        </w:rPr>
      </w:pPr>
      <w:r w:rsidRPr="00783235">
        <w:rPr>
          <w:rFonts w:ascii="Times New Roman" w:hAnsi="Times New Roman" w:cs="Times New Roman"/>
        </w:rPr>
        <w:t>Xanirv</w:t>
      </w:r>
      <w:r>
        <w:rPr>
          <w:rFonts w:ascii="Times New Roman" w:hAnsi="Times New Roman" w:cs="Times New Roman"/>
        </w:rPr>
        <w:t>a</w:t>
      </w:r>
      <w:r w:rsidR="002A603D" w:rsidRPr="002A603D">
        <w:rPr>
          <w:rFonts w:ascii="Times New Roman" w:hAnsi="Times New Roman" w:cs="Times New Roman"/>
          <w:color w:val="000000"/>
        </w:rPr>
        <w:t xml:space="preserve"> 2,5 mg je kontraindikované na liečbu pacientov s ACS, ktorí prekonali mozgovú príhodu alebo TIA (pozri časť 4.3). Niekoľko pacientov s ACS, ktorí prekonali mozgovú príhodu alebo TIA sa skúmalo, ale z obmedzených údajov, ktoré sú k dispozícii vyplýva, že liečba nie je prínosom pre týchto pacientov. </w:t>
      </w:r>
    </w:p>
    <w:p w14:paraId="7C4E85B6" w14:textId="77777777" w:rsidR="00554FB9" w:rsidRPr="002A603D" w:rsidRDefault="00554FB9" w:rsidP="002A603D">
      <w:pPr>
        <w:autoSpaceDE w:val="0"/>
        <w:autoSpaceDN w:val="0"/>
        <w:adjustRightInd w:val="0"/>
        <w:spacing w:after="0" w:line="240" w:lineRule="auto"/>
        <w:rPr>
          <w:rFonts w:ascii="Times New Roman" w:hAnsi="Times New Roman" w:cs="Times New Roman"/>
          <w:color w:val="000000"/>
        </w:rPr>
      </w:pPr>
    </w:p>
    <w:p w14:paraId="6B6C893B" w14:textId="77777777" w:rsidR="002A603D" w:rsidRPr="002A603D" w:rsidRDefault="002A603D" w:rsidP="002A603D">
      <w:pPr>
        <w:autoSpaceDE w:val="0"/>
        <w:autoSpaceDN w:val="0"/>
        <w:adjustRightInd w:val="0"/>
        <w:spacing w:after="0" w:line="240" w:lineRule="auto"/>
        <w:rPr>
          <w:rFonts w:ascii="Times New Roman" w:hAnsi="Times New Roman" w:cs="Times New Roman"/>
          <w:color w:val="000000"/>
          <w:u w:val="single"/>
        </w:rPr>
      </w:pPr>
      <w:r w:rsidRPr="002A603D">
        <w:rPr>
          <w:rFonts w:ascii="Times New Roman" w:hAnsi="Times New Roman" w:cs="Times New Roman"/>
          <w:i/>
          <w:iCs/>
          <w:color w:val="000000"/>
          <w:u w:val="single"/>
        </w:rPr>
        <w:t xml:space="preserve">Pacienti s CAD/PAD </w:t>
      </w:r>
    </w:p>
    <w:p w14:paraId="3DD98ED9" w14:textId="77777777" w:rsidR="002A603D" w:rsidRDefault="002A603D" w:rsidP="002A603D">
      <w:pPr>
        <w:spacing w:after="0" w:line="240" w:lineRule="auto"/>
        <w:rPr>
          <w:rFonts w:ascii="Times New Roman" w:hAnsi="Times New Roman" w:cs="Times New Roman"/>
        </w:rPr>
      </w:pPr>
      <w:r w:rsidRPr="002A603D">
        <w:rPr>
          <w:rFonts w:ascii="Times New Roman" w:hAnsi="Times New Roman" w:cs="Times New Roman"/>
          <w:color w:val="000000"/>
        </w:rPr>
        <w:t>Pacienti s CAD/PAD, ktorí prekonali hemoragickú alebo lakunárnu cievnu mozgovú príhodou alebo ischemickú nelakunárnu cievnu mozgovú príhodu v priebehu predchádzajúceho mesiaca sa neskúmali (pozri časť 4.3).</w:t>
      </w:r>
    </w:p>
    <w:p w14:paraId="5E4A02C2" w14:textId="77777777" w:rsidR="002A603D" w:rsidRPr="00815FAF" w:rsidRDefault="002A603D" w:rsidP="00815FAF">
      <w:pPr>
        <w:spacing w:after="0" w:line="240" w:lineRule="auto"/>
        <w:rPr>
          <w:rFonts w:ascii="Times New Roman" w:hAnsi="Times New Roman" w:cs="Times New Roman"/>
        </w:rPr>
      </w:pPr>
    </w:p>
    <w:p w14:paraId="5858A3D7" w14:textId="77777777" w:rsidR="00B26E16" w:rsidRPr="005B3B88" w:rsidRDefault="00B26E16" w:rsidP="00B20146">
      <w:pPr>
        <w:pStyle w:val="Default"/>
        <w:rPr>
          <w:sz w:val="22"/>
          <w:szCs w:val="22"/>
          <w:u w:val="single"/>
        </w:rPr>
      </w:pPr>
      <w:r w:rsidRPr="005B3B88">
        <w:rPr>
          <w:sz w:val="22"/>
          <w:szCs w:val="22"/>
          <w:u w:val="single"/>
        </w:rPr>
        <w:t xml:space="preserve">Spinálna/epidurálna anestézia alebo punkcia </w:t>
      </w:r>
    </w:p>
    <w:p w14:paraId="5B92675D" w14:textId="68D8AAEB" w:rsidR="00B26E16" w:rsidRPr="005B3B88" w:rsidRDefault="00B26E16" w:rsidP="00B20146">
      <w:pPr>
        <w:pStyle w:val="Default"/>
        <w:rPr>
          <w:sz w:val="22"/>
          <w:szCs w:val="22"/>
        </w:rPr>
      </w:pPr>
      <w:r w:rsidRPr="005B3B88">
        <w:rPr>
          <w:sz w:val="22"/>
          <w:szCs w:val="22"/>
        </w:rPr>
        <w:t>Ak sa vykoná neuroaxiálna anestézia (spinálna/epidurálna anestézia) alebo spinálna/epidurálna punkcia, u pacientov, ktorí sa liečia antitrombotikami na prevenciu tromboembolických komplikácií je riziko v</w:t>
      </w:r>
      <w:r w:rsidR="00102923">
        <w:rPr>
          <w:sz w:val="22"/>
          <w:szCs w:val="22"/>
        </w:rPr>
        <w:t>zniku</w:t>
      </w:r>
      <w:r w:rsidRPr="005B3B88">
        <w:rPr>
          <w:sz w:val="22"/>
          <w:szCs w:val="22"/>
        </w:rPr>
        <w:t xml:space="preserve"> epidurálnych alebo spinálnych hematómov, ktoré môžu viesť k dlhodobej alebo trvalej paralýze. </w:t>
      </w:r>
    </w:p>
    <w:p w14:paraId="1A944915" w14:textId="3C010CAB" w:rsidR="00CB4FC1" w:rsidRPr="00CB4FC1" w:rsidRDefault="00B26E16" w:rsidP="00CB4FC1">
      <w:pPr>
        <w:pStyle w:val="Default"/>
        <w:rPr>
          <w:sz w:val="22"/>
          <w:szCs w:val="22"/>
        </w:rPr>
      </w:pPr>
      <w:r w:rsidRPr="005B3B88">
        <w:rPr>
          <w:sz w:val="22"/>
          <w:szCs w:val="22"/>
        </w:rPr>
        <w:t xml:space="preserve">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w:t>
      </w:r>
      <w:r w:rsidR="00A80BED" w:rsidRPr="005B3B88">
        <w:rPr>
          <w:sz w:val="22"/>
          <w:szCs w:val="22"/>
        </w:rPr>
        <w:t>kvôli</w:t>
      </w:r>
      <w:r w:rsidRPr="005B3B88">
        <w:rPr>
          <w:sz w:val="22"/>
          <w:szCs w:val="22"/>
        </w:rPr>
        <w:t xml:space="preserve"> výskyt</w:t>
      </w:r>
      <w:r w:rsidR="00A80BED" w:rsidRPr="005B3B88">
        <w:rPr>
          <w:sz w:val="22"/>
          <w:szCs w:val="22"/>
        </w:rPr>
        <w:t>u</w:t>
      </w:r>
      <w:r w:rsidRPr="005B3B88">
        <w:rPr>
          <w:sz w:val="22"/>
          <w:szCs w:val="22"/>
        </w:rPr>
        <w:t xml:space="preserve"> prejavov a príznakov neurologického poškodenia (napr. znížená citlivosť alebo slabosť nôh, dysfunkcia čriev alebo močového mechúra). Ak sa zistí zhoršenie neurologickej funkcie, je nevyhnutná bezodkladná diagnóza a liečba. Pred neuroaxiálnym </w:t>
      </w:r>
      <w:r w:rsidR="006073F5" w:rsidRPr="005B3B88">
        <w:rPr>
          <w:sz w:val="22"/>
          <w:szCs w:val="22"/>
        </w:rPr>
        <w:t>zákrokom</w:t>
      </w:r>
      <w:r w:rsidRPr="005B3B88">
        <w:rPr>
          <w:sz w:val="22"/>
          <w:szCs w:val="22"/>
        </w:rPr>
        <w:t xml:space="preserve"> má lekár u pacientov s antikoagulačnou liečbou alebo u pacientov, ktorí majú dostať antikoagulačnú liečbu z dôvodu tromboprofylaxie, zvážiť potenciálny </w:t>
      </w:r>
      <w:r w:rsidR="00102923" w:rsidRPr="005B3B88">
        <w:rPr>
          <w:sz w:val="22"/>
          <w:szCs w:val="22"/>
        </w:rPr>
        <w:t>pr</w:t>
      </w:r>
      <w:r w:rsidR="00102923">
        <w:rPr>
          <w:sz w:val="22"/>
          <w:szCs w:val="22"/>
        </w:rPr>
        <w:t>ínos</w:t>
      </w:r>
      <w:r w:rsidR="00102923" w:rsidRPr="005B3B88">
        <w:rPr>
          <w:sz w:val="22"/>
          <w:szCs w:val="22"/>
        </w:rPr>
        <w:t xml:space="preserve"> </w:t>
      </w:r>
      <w:r w:rsidRPr="005B3B88">
        <w:rPr>
          <w:sz w:val="22"/>
          <w:szCs w:val="22"/>
        </w:rPr>
        <w:t xml:space="preserve">voči riziku. Pre takéto prípady nie sú klinické skúsenosti s používaním </w:t>
      </w:r>
      <w:r w:rsidR="00783235" w:rsidRPr="00783235">
        <w:rPr>
          <w:sz w:val="22"/>
          <w:szCs w:val="22"/>
        </w:rPr>
        <w:t>Xanirv</w:t>
      </w:r>
      <w:r w:rsidR="00CB5A37">
        <w:rPr>
          <w:sz w:val="22"/>
          <w:szCs w:val="22"/>
        </w:rPr>
        <w:t>y</w:t>
      </w:r>
      <w:r w:rsidR="00CB4FC1" w:rsidRPr="00CB4FC1">
        <w:rPr>
          <w:sz w:val="22"/>
          <w:szCs w:val="22"/>
        </w:rPr>
        <w:t xml:space="preserve"> 2,5 mg s ASA samostatne alebo s ASA a klopidogrelom alebo tiklopidínom. </w:t>
      </w:r>
    </w:p>
    <w:p w14:paraId="45C46C7E" w14:textId="77777777" w:rsidR="00B26E16" w:rsidRDefault="00B26E16" w:rsidP="00B20146">
      <w:pPr>
        <w:pStyle w:val="Default"/>
        <w:rPr>
          <w:sz w:val="22"/>
          <w:szCs w:val="22"/>
        </w:rPr>
      </w:pPr>
      <w:r w:rsidRPr="005B3B88">
        <w:rPr>
          <w:sz w:val="22"/>
          <w:szCs w:val="22"/>
        </w:rPr>
        <w:t xml:space="preserve">Aby sa znížilo možné riziko krvácania v súvislosti s podávaním </w:t>
      </w:r>
      <w:r w:rsidR="000379AB" w:rsidRPr="005B3B88">
        <w:rPr>
          <w:sz w:val="22"/>
          <w:szCs w:val="22"/>
        </w:rPr>
        <w:t>rivaroxabán</w:t>
      </w:r>
      <w:r w:rsidRPr="005B3B88">
        <w:rPr>
          <w:sz w:val="22"/>
          <w:szCs w:val="22"/>
        </w:rPr>
        <w:t xml:space="preserve">u pri neuroaxiálnej anestézii (spinálna/epidurálna) alebo spinálnej punkcii, je potrebné zohľadniť farmakokinetický profil </w:t>
      </w:r>
      <w:r w:rsidR="000379AB" w:rsidRPr="005B3B88">
        <w:rPr>
          <w:sz w:val="22"/>
          <w:szCs w:val="22"/>
        </w:rPr>
        <w:t>rivaroxabán</w:t>
      </w:r>
      <w:r w:rsidRPr="005B3B88">
        <w:rPr>
          <w:sz w:val="22"/>
          <w:szCs w:val="22"/>
        </w:rPr>
        <w:t xml:space="preserve">u. Zavedenie alebo odstránenie epidurálneho katétra alebo lumbálnu punkciu je najlepšie vykonať vtedy, keď je predpokladaný antikoagulačný účinok </w:t>
      </w:r>
      <w:r w:rsidR="000379AB" w:rsidRPr="005B3B88">
        <w:rPr>
          <w:sz w:val="22"/>
          <w:szCs w:val="22"/>
        </w:rPr>
        <w:t>rivaroxabán</w:t>
      </w:r>
      <w:r w:rsidRPr="005B3B88">
        <w:rPr>
          <w:sz w:val="22"/>
          <w:szCs w:val="22"/>
        </w:rPr>
        <w:t>u nízky</w:t>
      </w:r>
      <w:r w:rsidR="00CB4FC1">
        <w:rPr>
          <w:sz w:val="22"/>
          <w:szCs w:val="22"/>
        </w:rPr>
        <w:t xml:space="preserve"> (pozri časť 5.2)</w:t>
      </w:r>
      <w:r w:rsidRPr="005B3B88">
        <w:rPr>
          <w:sz w:val="22"/>
          <w:szCs w:val="22"/>
        </w:rPr>
        <w:t xml:space="preserve">. Avšak presné načasovanie, za účelom dosiahnutia dostatočne nízkeho antikoagulačného účinku u každého pacienta, nie je známe. </w:t>
      </w:r>
      <w:r w:rsidR="00CB4FC1">
        <w:rPr>
          <w:sz w:val="22"/>
          <w:szCs w:val="22"/>
        </w:rPr>
        <w:t>Inhibítory agregácie krvných doštičiek sa majú prestať podávať podľa odporúčaní uvedených v informácii o danom lieku.</w:t>
      </w:r>
    </w:p>
    <w:p w14:paraId="1B82EAA7" w14:textId="77777777" w:rsidR="00CB4FC1" w:rsidRPr="005B3B88" w:rsidRDefault="00CB4FC1" w:rsidP="00B20146">
      <w:pPr>
        <w:pStyle w:val="Default"/>
        <w:rPr>
          <w:sz w:val="22"/>
          <w:szCs w:val="22"/>
        </w:rPr>
      </w:pPr>
    </w:p>
    <w:p w14:paraId="0870CA16" w14:textId="77777777" w:rsidR="00B26E16" w:rsidRPr="005B3B88" w:rsidRDefault="00B26E16" w:rsidP="00B20146">
      <w:pPr>
        <w:pStyle w:val="Default"/>
        <w:rPr>
          <w:sz w:val="22"/>
          <w:szCs w:val="22"/>
          <w:u w:val="single"/>
        </w:rPr>
      </w:pPr>
      <w:r w:rsidRPr="005B3B88">
        <w:rPr>
          <w:sz w:val="22"/>
          <w:szCs w:val="22"/>
          <w:u w:val="single"/>
        </w:rPr>
        <w:t xml:space="preserve">Odporúčané dávkovanie pred a po invazívnych a chirurgických zákrokoch </w:t>
      </w:r>
    </w:p>
    <w:p w14:paraId="6A05510E" w14:textId="0F4FD537" w:rsidR="00B26E16" w:rsidRPr="005B3B88" w:rsidRDefault="00CB4FC1" w:rsidP="00B20146">
      <w:pPr>
        <w:pStyle w:val="Default"/>
        <w:rPr>
          <w:sz w:val="22"/>
          <w:szCs w:val="22"/>
        </w:rPr>
      </w:pPr>
      <w:r>
        <w:rPr>
          <w:sz w:val="22"/>
          <w:szCs w:val="22"/>
        </w:rPr>
        <w:t xml:space="preserve">V prípade potreby vykonania invazívneho alebo chirurgického zákroku, sa má na základe klinického posúdenia lekára a ak je to možné, užívanie </w:t>
      </w:r>
      <w:r w:rsidR="00783235" w:rsidRPr="00783235">
        <w:rPr>
          <w:sz w:val="22"/>
          <w:szCs w:val="22"/>
        </w:rPr>
        <w:t>Xanirv</w:t>
      </w:r>
      <w:r w:rsidR="00CB5A37">
        <w:rPr>
          <w:sz w:val="22"/>
          <w:szCs w:val="22"/>
        </w:rPr>
        <w:t>y</w:t>
      </w:r>
      <w:r>
        <w:rPr>
          <w:sz w:val="22"/>
          <w:szCs w:val="22"/>
        </w:rPr>
        <w:t xml:space="preserve"> 2,5 mg ukončiť najmenej 12 hodín pre</w:t>
      </w:r>
      <w:r w:rsidR="00102923">
        <w:rPr>
          <w:sz w:val="22"/>
          <w:szCs w:val="22"/>
        </w:rPr>
        <w:t>d</w:t>
      </w:r>
      <w:r>
        <w:rPr>
          <w:sz w:val="22"/>
          <w:szCs w:val="22"/>
        </w:rPr>
        <w:t xml:space="preserve"> </w:t>
      </w:r>
      <w:r w:rsidRPr="003F55BB">
        <w:rPr>
          <w:sz w:val="22"/>
          <w:szCs w:val="22"/>
        </w:rPr>
        <w:t xml:space="preserve">intervenciou. Ak má pacient podstúpiť plánovanú operáciu a antiagregačný účinok nie je žiaduci, </w:t>
      </w:r>
      <w:r w:rsidRPr="00CD43A8">
        <w:rPr>
          <w:sz w:val="22"/>
          <w:szCs w:val="22"/>
        </w:rPr>
        <w:t>inhibítory agregácie trombocytov</w:t>
      </w:r>
      <w:r>
        <w:rPr>
          <w:sz w:val="22"/>
          <w:szCs w:val="22"/>
        </w:rPr>
        <w:t xml:space="preserve"> sa majú podľa pokynov preskripčnej informácie výrobcu vysadiť.</w:t>
      </w:r>
    </w:p>
    <w:p w14:paraId="69038696" w14:textId="04B35156" w:rsidR="00B26E16" w:rsidRPr="005B3B88" w:rsidRDefault="00B26E16" w:rsidP="00B20146">
      <w:pPr>
        <w:pStyle w:val="Default"/>
        <w:rPr>
          <w:sz w:val="22"/>
          <w:szCs w:val="22"/>
        </w:rPr>
      </w:pPr>
      <w:r w:rsidRPr="005B3B88">
        <w:rPr>
          <w:sz w:val="22"/>
          <w:szCs w:val="22"/>
        </w:rPr>
        <w:t xml:space="preserve">Ak </w:t>
      </w:r>
      <w:r w:rsidR="006073F5" w:rsidRPr="005B3B88">
        <w:rPr>
          <w:sz w:val="22"/>
          <w:szCs w:val="22"/>
        </w:rPr>
        <w:t>zákrok</w:t>
      </w:r>
      <w:r w:rsidRPr="005B3B88">
        <w:rPr>
          <w:sz w:val="22"/>
          <w:szCs w:val="22"/>
        </w:rPr>
        <w:t xml:space="preserve"> nemožno oddialiť, </w:t>
      </w:r>
      <w:r w:rsidR="00102923">
        <w:rPr>
          <w:sz w:val="22"/>
          <w:szCs w:val="22"/>
        </w:rPr>
        <w:t>je po</w:t>
      </w:r>
      <w:r w:rsidRPr="005B3B88">
        <w:rPr>
          <w:sz w:val="22"/>
          <w:szCs w:val="22"/>
        </w:rPr>
        <w:t>treb</w:t>
      </w:r>
      <w:r w:rsidR="00102923">
        <w:rPr>
          <w:sz w:val="22"/>
          <w:szCs w:val="22"/>
        </w:rPr>
        <w:t>né</w:t>
      </w:r>
      <w:r w:rsidRPr="005B3B88">
        <w:rPr>
          <w:sz w:val="22"/>
          <w:szCs w:val="22"/>
        </w:rPr>
        <w:t xml:space="preserve"> zhodnotiť zvýšené riziko krvácania voči naliehavosti </w:t>
      </w:r>
      <w:r w:rsidR="003E435F" w:rsidRPr="005B3B88">
        <w:rPr>
          <w:sz w:val="22"/>
          <w:szCs w:val="22"/>
        </w:rPr>
        <w:t>zákroku</w:t>
      </w:r>
      <w:r w:rsidRPr="005B3B88">
        <w:rPr>
          <w:sz w:val="22"/>
          <w:szCs w:val="22"/>
        </w:rPr>
        <w:t xml:space="preserve">. </w:t>
      </w:r>
    </w:p>
    <w:p w14:paraId="474F160A" w14:textId="77777777" w:rsidR="00B26E16" w:rsidRPr="005B3B88" w:rsidRDefault="00B26E16" w:rsidP="00B20146">
      <w:pPr>
        <w:spacing w:after="0" w:line="240" w:lineRule="auto"/>
        <w:rPr>
          <w:rFonts w:ascii="Times New Roman" w:hAnsi="Times New Roman" w:cs="Times New Roman"/>
        </w:rPr>
      </w:pPr>
      <w:r w:rsidRPr="005B3B88">
        <w:rPr>
          <w:rFonts w:ascii="Times New Roman" w:hAnsi="Times New Roman" w:cs="Times New Roman"/>
        </w:rPr>
        <w:t xml:space="preserve">Po invazívnom alebo chirurgickom zákroku sa má čo najskôr obnoviť </w:t>
      </w:r>
      <w:r w:rsidRPr="00B111EF">
        <w:rPr>
          <w:rFonts w:ascii="Times New Roman" w:hAnsi="Times New Roman" w:cs="Times New Roman"/>
        </w:rPr>
        <w:t xml:space="preserve">liečba </w:t>
      </w:r>
      <w:r w:rsidR="00B111EF" w:rsidRPr="00B111EF">
        <w:rPr>
          <w:rFonts w:ascii="Times New Roman" w:hAnsi="Times New Roman" w:cs="Times New Roman"/>
        </w:rPr>
        <w:t>Xanirvou</w:t>
      </w:r>
      <w:r w:rsidRPr="005B3B88">
        <w:rPr>
          <w:rFonts w:ascii="Times New Roman" w:hAnsi="Times New Roman" w:cs="Times New Roman"/>
        </w:rPr>
        <w:t>, za predpokladu, že to klinický stav dovolí a že podľa úsudku ošetrujúceho lekára bola preukázaná adekvátna hemostáza (pozri časť 5.2).</w:t>
      </w:r>
    </w:p>
    <w:p w14:paraId="400D468A" w14:textId="77777777" w:rsidR="00902EEA" w:rsidRPr="005B3B88" w:rsidRDefault="00902EEA" w:rsidP="00B20146">
      <w:pPr>
        <w:spacing w:after="0" w:line="240" w:lineRule="auto"/>
        <w:rPr>
          <w:rFonts w:ascii="Times New Roman" w:hAnsi="Times New Roman" w:cs="Times New Roman"/>
        </w:rPr>
      </w:pPr>
    </w:p>
    <w:p w14:paraId="5857EBDB" w14:textId="77777777" w:rsidR="00902EEA" w:rsidRPr="005B3B88" w:rsidRDefault="00902EEA" w:rsidP="00B20146">
      <w:pPr>
        <w:pStyle w:val="Default"/>
        <w:rPr>
          <w:sz w:val="22"/>
          <w:szCs w:val="22"/>
          <w:u w:val="single"/>
        </w:rPr>
      </w:pPr>
      <w:r w:rsidRPr="005B3B88">
        <w:rPr>
          <w:sz w:val="22"/>
          <w:szCs w:val="22"/>
          <w:u w:val="single"/>
        </w:rPr>
        <w:t xml:space="preserve">Starší pacienti </w:t>
      </w:r>
    </w:p>
    <w:p w14:paraId="40001497" w14:textId="77777777" w:rsidR="00902EEA" w:rsidRPr="005B3B88" w:rsidRDefault="00902EEA" w:rsidP="00B20146">
      <w:pPr>
        <w:pStyle w:val="Default"/>
        <w:rPr>
          <w:sz w:val="22"/>
          <w:szCs w:val="22"/>
        </w:rPr>
      </w:pPr>
      <w:r w:rsidRPr="005B3B88">
        <w:rPr>
          <w:sz w:val="22"/>
          <w:szCs w:val="22"/>
        </w:rPr>
        <w:t>S rastúcim vekom sa môže zvyšo</w:t>
      </w:r>
      <w:r w:rsidR="00CB4FC1">
        <w:rPr>
          <w:sz w:val="22"/>
          <w:szCs w:val="22"/>
        </w:rPr>
        <w:t>vať riziko krvácania (pozri časti 5.1 a</w:t>
      </w:r>
      <w:r w:rsidRPr="005B3B88">
        <w:rPr>
          <w:sz w:val="22"/>
          <w:szCs w:val="22"/>
        </w:rPr>
        <w:t xml:space="preserve"> 5.2). </w:t>
      </w:r>
    </w:p>
    <w:p w14:paraId="5E22AB23" w14:textId="77777777" w:rsidR="00902EEA" w:rsidRPr="005B3B88" w:rsidRDefault="00902EEA" w:rsidP="00B20146">
      <w:pPr>
        <w:pStyle w:val="Default"/>
        <w:rPr>
          <w:sz w:val="22"/>
          <w:szCs w:val="22"/>
        </w:rPr>
      </w:pPr>
    </w:p>
    <w:p w14:paraId="730C4616" w14:textId="77777777" w:rsidR="00902EEA" w:rsidRPr="005B3B88" w:rsidRDefault="00902EEA" w:rsidP="00B20146">
      <w:pPr>
        <w:pStyle w:val="Default"/>
        <w:rPr>
          <w:sz w:val="22"/>
          <w:szCs w:val="22"/>
          <w:u w:val="single"/>
        </w:rPr>
      </w:pPr>
      <w:r w:rsidRPr="005B3B88">
        <w:rPr>
          <w:sz w:val="22"/>
          <w:szCs w:val="22"/>
          <w:u w:val="single"/>
        </w:rPr>
        <w:t xml:space="preserve">Kožné reakcie </w:t>
      </w:r>
    </w:p>
    <w:p w14:paraId="38E9BB2B" w14:textId="42AB7761" w:rsidR="00902EEA" w:rsidRPr="005B3B88" w:rsidRDefault="00902EEA" w:rsidP="00B20146">
      <w:pPr>
        <w:pStyle w:val="Default"/>
        <w:rPr>
          <w:sz w:val="22"/>
          <w:szCs w:val="22"/>
        </w:rPr>
      </w:pPr>
      <w:r w:rsidRPr="005B3B88">
        <w:rPr>
          <w:sz w:val="22"/>
          <w:szCs w:val="22"/>
        </w:rPr>
        <w:t xml:space="preserve">Počas sledovania  po uvedení </w:t>
      </w:r>
      <w:r w:rsidR="00102923">
        <w:rPr>
          <w:sz w:val="22"/>
          <w:szCs w:val="22"/>
        </w:rPr>
        <w:t xml:space="preserve">lieku </w:t>
      </w:r>
      <w:r w:rsidRPr="005B3B88">
        <w:rPr>
          <w:sz w:val="22"/>
          <w:szCs w:val="22"/>
        </w:rPr>
        <w:t xml:space="preserve">na trh boli v súvislosti s použitím </w:t>
      </w:r>
      <w:r w:rsidR="000379AB" w:rsidRPr="005B3B88">
        <w:rPr>
          <w:sz w:val="22"/>
          <w:szCs w:val="22"/>
        </w:rPr>
        <w:t>rivaroxabán</w:t>
      </w:r>
      <w:r w:rsidRPr="005B3B88">
        <w:rPr>
          <w:sz w:val="22"/>
          <w:szCs w:val="22"/>
        </w:rPr>
        <w:t>u hlásené závažné kožné reakcie, vrátane Stevensov</w:t>
      </w:r>
      <w:r w:rsidR="003E435F" w:rsidRPr="005B3B88">
        <w:rPr>
          <w:sz w:val="22"/>
          <w:szCs w:val="22"/>
        </w:rPr>
        <w:t>ho</w:t>
      </w:r>
      <w:r w:rsidRPr="005B3B88">
        <w:rPr>
          <w:sz w:val="22"/>
          <w:szCs w:val="22"/>
        </w:rPr>
        <w:t xml:space="preserve">-Johnsonovho syndrómu/toxickej epidermálnej nekrolýzy a DRESS syndrómu (pozri časť 4.8). </w:t>
      </w:r>
      <w:r w:rsidR="00102923">
        <w:rPr>
          <w:sz w:val="22"/>
          <w:szCs w:val="22"/>
        </w:rPr>
        <w:t>Predpokladá</w:t>
      </w:r>
      <w:r w:rsidRPr="005B3B88">
        <w:rPr>
          <w:sz w:val="22"/>
          <w:szCs w:val="22"/>
        </w:rPr>
        <w:t xml:space="preserve"> sa, že pacienti majú najvyššie riziko </w:t>
      </w:r>
      <w:r w:rsidR="00933FF8" w:rsidRPr="005B3B88">
        <w:rPr>
          <w:sz w:val="22"/>
          <w:szCs w:val="22"/>
        </w:rPr>
        <w:t xml:space="preserve">vzniku </w:t>
      </w:r>
      <w:r w:rsidRPr="005B3B88">
        <w:rPr>
          <w:sz w:val="22"/>
          <w:szCs w:val="22"/>
        </w:rPr>
        <w:t xml:space="preserve">týchto reakcií na začiatku liečby: nástup reakcie sa vo väčšine prípadov vyskytuje počas prvých týždňov liečby. Pri prvom výskyte závažnej kožnej vyrážky (napr. šírenie, zintenzívnenie a/alebo tvorba </w:t>
      </w:r>
      <w:r w:rsidRPr="005B3B88">
        <w:rPr>
          <w:sz w:val="22"/>
          <w:szCs w:val="22"/>
        </w:rPr>
        <w:lastRenderedPageBreak/>
        <w:t xml:space="preserve">pľuzgierov) alebo akéhokoľvek iného prejavu precitlivenosti spojeného s léziami slizníc sa má </w:t>
      </w:r>
      <w:r w:rsidR="003E435F" w:rsidRPr="005B3B88">
        <w:rPr>
          <w:sz w:val="22"/>
          <w:szCs w:val="22"/>
        </w:rPr>
        <w:t xml:space="preserve">liečba </w:t>
      </w:r>
      <w:r w:rsidR="000379AB" w:rsidRPr="005B3B88">
        <w:rPr>
          <w:sz w:val="22"/>
          <w:szCs w:val="22"/>
        </w:rPr>
        <w:t>rivaroxabán</w:t>
      </w:r>
      <w:r w:rsidR="003E435F" w:rsidRPr="005B3B88">
        <w:rPr>
          <w:sz w:val="22"/>
          <w:szCs w:val="22"/>
        </w:rPr>
        <w:t>om</w:t>
      </w:r>
      <w:r w:rsidRPr="005B3B88">
        <w:rPr>
          <w:sz w:val="22"/>
          <w:szCs w:val="22"/>
        </w:rPr>
        <w:t xml:space="preserve"> </w:t>
      </w:r>
      <w:r w:rsidR="003E435F" w:rsidRPr="005B3B88">
        <w:rPr>
          <w:sz w:val="22"/>
          <w:szCs w:val="22"/>
        </w:rPr>
        <w:t>ukončiť</w:t>
      </w:r>
      <w:r w:rsidRPr="005B3B88">
        <w:rPr>
          <w:sz w:val="22"/>
          <w:szCs w:val="22"/>
        </w:rPr>
        <w:t>.</w:t>
      </w:r>
    </w:p>
    <w:p w14:paraId="79BE4027" w14:textId="77777777" w:rsidR="00902EEA" w:rsidRPr="005B3B88" w:rsidRDefault="00902EEA" w:rsidP="00B20146">
      <w:pPr>
        <w:pStyle w:val="Default"/>
        <w:rPr>
          <w:sz w:val="22"/>
          <w:szCs w:val="22"/>
        </w:rPr>
      </w:pPr>
    </w:p>
    <w:p w14:paraId="12B008B7" w14:textId="77777777" w:rsidR="00902EEA" w:rsidRPr="005B3B88" w:rsidRDefault="00B111EF" w:rsidP="00B20146">
      <w:pPr>
        <w:pStyle w:val="Default"/>
        <w:rPr>
          <w:sz w:val="22"/>
          <w:szCs w:val="22"/>
          <w:u w:val="single"/>
        </w:rPr>
      </w:pPr>
      <w:r>
        <w:rPr>
          <w:sz w:val="22"/>
          <w:szCs w:val="22"/>
          <w:u w:val="single"/>
        </w:rPr>
        <w:t>P</w:t>
      </w:r>
      <w:r w:rsidR="00902EEA" w:rsidRPr="005B3B88">
        <w:rPr>
          <w:sz w:val="22"/>
          <w:szCs w:val="22"/>
          <w:u w:val="single"/>
        </w:rPr>
        <w:t>omocn</w:t>
      </w:r>
      <w:r>
        <w:rPr>
          <w:sz w:val="22"/>
          <w:szCs w:val="22"/>
          <w:u w:val="single"/>
        </w:rPr>
        <w:t>é</w:t>
      </w:r>
      <w:r w:rsidR="00902EEA" w:rsidRPr="005B3B88">
        <w:rPr>
          <w:sz w:val="22"/>
          <w:szCs w:val="22"/>
          <w:u w:val="single"/>
        </w:rPr>
        <w:t xml:space="preserve"> látk</w:t>
      </w:r>
      <w:r>
        <w:rPr>
          <w:sz w:val="22"/>
          <w:szCs w:val="22"/>
          <w:u w:val="single"/>
        </w:rPr>
        <w:t>y</w:t>
      </w:r>
      <w:r w:rsidR="00902EEA" w:rsidRPr="005B3B88">
        <w:rPr>
          <w:sz w:val="22"/>
          <w:szCs w:val="22"/>
          <w:u w:val="single"/>
        </w:rPr>
        <w:t xml:space="preserve"> </w:t>
      </w:r>
    </w:p>
    <w:p w14:paraId="064B015E" w14:textId="31EE98E5" w:rsidR="00902EEA" w:rsidRDefault="00902EEA" w:rsidP="00B20146">
      <w:pPr>
        <w:pStyle w:val="Default"/>
        <w:rPr>
          <w:sz w:val="22"/>
          <w:szCs w:val="22"/>
        </w:rPr>
      </w:pPr>
      <w:r w:rsidRPr="005B3B88">
        <w:rPr>
          <w:sz w:val="22"/>
          <w:szCs w:val="22"/>
        </w:rPr>
        <w:t>Pacienti so zriedkavými dedičnými problémami galaktózovej intolerancie, celkovým deficitom laktázy alebo glukózo-galaktózovou malabsorpciou nesmú užívať tento liek.</w:t>
      </w:r>
    </w:p>
    <w:p w14:paraId="7C3446DB" w14:textId="6A043F67" w:rsidR="00E1696E" w:rsidRPr="005B3B88" w:rsidRDefault="00E1696E" w:rsidP="00B20146">
      <w:pPr>
        <w:pStyle w:val="Default"/>
        <w:rPr>
          <w:sz w:val="22"/>
          <w:szCs w:val="22"/>
        </w:rPr>
      </w:pPr>
      <w:r w:rsidRPr="001964DE">
        <w:rPr>
          <w:sz w:val="22"/>
          <w:szCs w:val="22"/>
        </w:rPr>
        <w:t xml:space="preserve">Tento liek obsahuje </w:t>
      </w:r>
      <w:r w:rsidR="001964DE" w:rsidRPr="001964DE">
        <w:rPr>
          <w:sz w:val="22"/>
          <w:szCs w:val="22"/>
        </w:rPr>
        <w:t xml:space="preserve">menej ako </w:t>
      </w:r>
      <w:r w:rsidRPr="001964DE">
        <w:rPr>
          <w:sz w:val="22"/>
          <w:szCs w:val="22"/>
        </w:rPr>
        <w:t>1 mmol sodíka (23 mg) v jednej tablete, t. j. v podstate zanedbateľné množstvo sodíka.</w:t>
      </w:r>
    </w:p>
    <w:p w14:paraId="7C8F398A" w14:textId="77777777" w:rsidR="00902EEA" w:rsidRPr="005B3B88" w:rsidRDefault="00902EEA" w:rsidP="00B20146">
      <w:pPr>
        <w:pStyle w:val="Default"/>
        <w:rPr>
          <w:sz w:val="22"/>
          <w:szCs w:val="22"/>
        </w:rPr>
      </w:pPr>
    </w:p>
    <w:p w14:paraId="1D9F5840" w14:textId="77777777" w:rsidR="00902EEA" w:rsidRPr="005B3B88" w:rsidRDefault="00902EEA" w:rsidP="00B20146">
      <w:pPr>
        <w:pStyle w:val="Default"/>
        <w:tabs>
          <w:tab w:val="left" w:pos="567"/>
        </w:tabs>
        <w:rPr>
          <w:b/>
          <w:bCs/>
          <w:sz w:val="22"/>
          <w:szCs w:val="22"/>
        </w:rPr>
      </w:pPr>
      <w:r w:rsidRPr="00E3304E">
        <w:rPr>
          <w:b/>
          <w:bCs/>
          <w:sz w:val="22"/>
          <w:szCs w:val="22"/>
        </w:rPr>
        <w:t>4.5</w:t>
      </w:r>
      <w:r w:rsidR="00C952D5" w:rsidRPr="00E3304E">
        <w:rPr>
          <w:b/>
          <w:bCs/>
          <w:sz w:val="22"/>
          <w:szCs w:val="22"/>
        </w:rPr>
        <w:tab/>
      </w:r>
      <w:r w:rsidRPr="00E3304E">
        <w:rPr>
          <w:b/>
          <w:bCs/>
          <w:sz w:val="22"/>
          <w:szCs w:val="22"/>
        </w:rPr>
        <w:t>Liekové a iné interakcie</w:t>
      </w:r>
    </w:p>
    <w:p w14:paraId="05093F22" w14:textId="77777777" w:rsidR="00902EEA" w:rsidRPr="005B3B88" w:rsidRDefault="00902EEA" w:rsidP="00B20146">
      <w:pPr>
        <w:pStyle w:val="Default"/>
        <w:rPr>
          <w:b/>
          <w:bCs/>
          <w:sz w:val="22"/>
          <w:szCs w:val="22"/>
        </w:rPr>
      </w:pPr>
    </w:p>
    <w:p w14:paraId="4EC7B173" w14:textId="77777777" w:rsidR="00E21945" w:rsidRPr="005B3B88" w:rsidRDefault="00E21945" w:rsidP="00B20146">
      <w:pPr>
        <w:pStyle w:val="Default"/>
        <w:rPr>
          <w:sz w:val="22"/>
          <w:szCs w:val="22"/>
          <w:u w:val="single"/>
        </w:rPr>
      </w:pPr>
      <w:r w:rsidRPr="005B3B88">
        <w:rPr>
          <w:sz w:val="22"/>
          <w:szCs w:val="22"/>
          <w:u w:val="single"/>
        </w:rPr>
        <w:t xml:space="preserve">Inhibítory CYP3A4 a P-gp </w:t>
      </w:r>
    </w:p>
    <w:p w14:paraId="5DEF6829" w14:textId="296C66DA" w:rsidR="00902EEA"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 ketokonazolom (400 mg jedenkrát denne) alebo ritonavirom (600 mg dvakrát denne) viedlo k 2,6-násobnému/2,5-násobnému zvýšeniu priemernej AUC </w:t>
      </w:r>
      <w:r w:rsidR="000379AB" w:rsidRPr="005B3B88">
        <w:rPr>
          <w:sz w:val="22"/>
          <w:szCs w:val="22"/>
        </w:rPr>
        <w:t>rivaroxabán</w:t>
      </w:r>
      <w:r w:rsidRPr="005B3B88">
        <w:rPr>
          <w:sz w:val="22"/>
          <w:szCs w:val="22"/>
        </w:rPr>
        <w:t>u a 1,7-násobnému/1,6-násobnému zvýšeniu priemernej C</w:t>
      </w:r>
      <w:r w:rsidRPr="005B3B88">
        <w:rPr>
          <w:sz w:val="14"/>
          <w:szCs w:val="14"/>
        </w:rPr>
        <w:t xml:space="preserve">max </w:t>
      </w:r>
      <w:r w:rsidR="000379AB" w:rsidRPr="005B3B88">
        <w:rPr>
          <w:sz w:val="22"/>
          <w:szCs w:val="22"/>
        </w:rPr>
        <w:t>rivaroxabán</w:t>
      </w:r>
      <w:r w:rsidRPr="005B3B88">
        <w:rPr>
          <w:sz w:val="22"/>
          <w:szCs w:val="22"/>
        </w:rPr>
        <w:t xml:space="preserve">u so signifikantnými zvýšeniami farmakodynamických účinkov, čo môže viesť ku zvýšenému riziku krvácania. Preto sa použitie </w:t>
      </w:r>
      <w:r w:rsidR="00943978">
        <w:rPr>
          <w:sz w:val="22"/>
          <w:szCs w:val="22"/>
        </w:rPr>
        <w:t>Xanirv</w:t>
      </w:r>
      <w:r w:rsidR="00CB5A37">
        <w:rPr>
          <w:sz w:val="22"/>
          <w:szCs w:val="22"/>
        </w:rPr>
        <w:t>y</w:t>
      </w:r>
      <w:r w:rsidRPr="005B3B88">
        <w:rPr>
          <w:sz w:val="22"/>
          <w:szCs w:val="22"/>
        </w:rPr>
        <w:t xml:space="preserve"> neodporúča u pacientov, ktorí súbežne užívajú systémovo azolové antimykotiká, ako sú ketokonazol, itrakonazol, vorikonazol a posakonazol alebo inhibítormi proteázy HIV. Tieto liečivá sú silné inhibítory CYP3A4 aj P-gp (pozri časť 4.4).</w:t>
      </w:r>
    </w:p>
    <w:p w14:paraId="447BCF80" w14:textId="77777777" w:rsidR="00E21945" w:rsidRPr="005B3B88" w:rsidRDefault="00E21945" w:rsidP="00B20146">
      <w:pPr>
        <w:pStyle w:val="Default"/>
        <w:rPr>
          <w:sz w:val="22"/>
          <w:szCs w:val="22"/>
        </w:rPr>
      </w:pPr>
    </w:p>
    <w:p w14:paraId="5CD43CD6" w14:textId="640A4E94" w:rsidR="00E21945" w:rsidRPr="005B3B88" w:rsidRDefault="00522B6A" w:rsidP="00B20146">
      <w:pPr>
        <w:pStyle w:val="Default"/>
        <w:rPr>
          <w:sz w:val="22"/>
          <w:szCs w:val="22"/>
        </w:rPr>
      </w:pPr>
      <w:r>
        <w:rPr>
          <w:sz w:val="22"/>
          <w:szCs w:val="22"/>
        </w:rPr>
        <w:t>Pri</w:t>
      </w:r>
      <w:r w:rsidR="00E21945" w:rsidRPr="005B3B88">
        <w:rPr>
          <w:sz w:val="22"/>
          <w:szCs w:val="22"/>
        </w:rPr>
        <w:t xml:space="preserve"> lieči</w:t>
      </w:r>
      <w:r>
        <w:rPr>
          <w:sz w:val="22"/>
          <w:szCs w:val="22"/>
        </w:rPr>
        <w:t>vách</w:t>
      </w:r>
      <w:r w:rsidR="00E21945" w:rsidRPr="005B3B88">
        <w:rPr>
          <w:sz w:val="22"/>
          <w:szCs w:val="22"/>
        </w:rPr>
        <w:t xml:space="preserve">, ktoré silne inhibujú iba jednu z eliminačných dráh </w:t>
      </w:r>
      <w:r w:rsidR="000379AB" w:rsidRPr="005B3B88">
        <w:rPr>
          <w:sz w:val="22"/>
          <w:szCs w:val="22"/>
        </w:rPr>
        <w:t>rivaroxabán</w:t>
      </w:r>
      <w:r w:rsidR="00E21945" w:rsidRPr="005B3B88">
        <w:rPr>
          <w:sz w:val="22"/>
          <w:szCs w:val="22"/>
        </w:rPr>
        <w:t xml:space="preserve">u, či už CYP3A4 alebo P-gp, sa predpokladá zvýšenie plazmatických koncentrácií </w:t>
      </w:r>
      <w:r w:rsidR="000379AB" w:rsidRPr="005B3B88">
        <w:rPr>
          <w:sz w:val="22"/>
          <w:szCs w:val="22"/>
        </w:rPr>
        <w:t>rivaroxabán</w:t>
      </w:r>
      <w:r w:rsidR="00E21945" w:rsidRPr="005B3B88">
        <w:rPr>
          <w:sz w:val="22"/>
          <w:szCs w:val="22"/>
        </w:rPr>
        <w:t xml:space="preserve">u v menšom rozsahu. </w:t>
      </w:r>
    </w:p>
    <w:p w14:paraId="552EC7B1" w14:textId="77777777" w:rsidR="00E21945" w:rsidRPr="005B3B88" w:rsidRDefault="00E21945" w:rsidP="00B20146">
      <w:pPr>
        <w:pStyle w:val="Default"/>
        <w:rPr>
          <w:sz w:val="22"/>
          <w:szCs w:val="22"/>
        </w:rPr>
      </w:pPr>
      <w:r w:rsidRPr="005B3B88">
        <w:rPr>
          <w:sz w:val="22"/>
          <w:szCs w:val="22"/>
        </w:rPr>
        <w:t xml:space="preserve">Napríklad klaritromycín (500 mg dvakrát denne), ktorý sa považuje za silný inhibítor CYP3A4 a stredne silný inhibítor P-gp, viedol ku 1,5-násobnému zvýšeniu priemernej AUC </w:t>
      </w:r>
      <w:r w:rsidR="000379AB" w:rsidRPr="005B3B88">
        <w:rPr>
          <w:sz w:val="22"/>
          <w:szCs w:val="22"/>
        </w:rPr>
        <w:t>rivaroxabán</w:t>
      </w:r>
      <w:r w:rsidRPr="005B3B88">
        <w:rPr>
          <w:sz w:val="22"/>
          <w:szCs w:val="22"/>
        </w:rPr>
        <w:t>u a 1,4-násobnému zvýšeniu C</w:t>
      </w:r>
      <w:r w:rsidRPr="005B3B88">
        <w:rPr>
          <w:sz w:val="14"/>
          <w:szCs w:val="14"/>
        </w:rPr>
        <w:t>max</w:t>
      </w:r>
      <w:r w:rsidRPr="005B3B88">
        <w:rPr>
          <w:sz w:val="22"/>
          <w:szCs w:val="22"/>
        </w:rPr>
        <w:t>. Interakcia s klaritromycínom pravdepodobne nie je u väčšiny pacientov klinicky relevantná, ale u vysokorizikových pacientov môže byť potenciálne významná. (P</w:t>
      </w:r>
      <w:r w:rsidR="00943978">
        <w:rPr>
          <w:sz w:val="22"/>
          <w:szCs w:val="22"/>
        </w:rPr>
        <w:t>re pacientov</w:t>
      </w:r>
      <w:r w:rsidRPr="005B3B88">
        <w:rPr>
          <w:sz w:val="22"/>
          <w:szCs w:val="22"/>
        </w:rPr>
        <w:t xml:space="preserve"> s poruchou funkcie obličiek: pozri časť 4.4).</w:t>
      </w:r>
    </w:p>
    <w:p w14:paraId="7EAFA4FE" w14:textId="77777777" w:rsidR="00E21945" w:rsidRPr="005B3B88" w:rsidRDefault="00E21945" w:rsidP="00B20146">
      <w:pPr>
        <w:pStyle w:val="Default"/>
        <w:rPr>
          <w:sz w:val="22"/>
          <w:szCs w:val="22"/>
        </w:rPr>
      </w:pPr>
    </w:p>
    <w:p w14:paraId="3359A05B" w14:textId="77777777" w:rsidR="00E21945" w:rsidRPr="005B3B88" w:rsidRDefault="00E21945" w:rsidP="00B20146">
      <w:pPr>
        <w:pStyle w:val="Default"/>
        <w:rPr>
          <w:sz w:val="22"/>
          <w:szCs w:val="22"/>
        </w:rPr>
      </w:pPr>
      <w:r w:rsidRPr="005B3B88">
        <w:rPr>
          <w:sz w:val="22"/>
          <w:szCs w:val="22"/>
        </w:rPr>
        <w:t>Erytromycín (500 mg trikrát denne), ktorý stredne silno inhibuje CYP3A4 a P-gp, viedol ku 1,3-násobnému zvýšeniu priemernej AUC a C</w:t>
      </w:r>
      <w:r w:rsidRPr="005B3B88">
        <w:rPr>
          <w:sz w:val="14"/>
          <w:szCs w:val="14"/>
        </w:rPr>
        <w:t xml:space="preserve">max </w:t>
      </w:r>
      <w:r w:rsidR="000379AB" w:rsidRPr="005B3B88">
        <w:rPr>
          <w:sz w:val="22"/>
          <w:szCs w:val="22"/>
        </w:rPr>
        <w:t>rivaroxabán</w:t>
      </w:r>
      <w:r w:rsidRPr="005B3B88">
        <w:rPr>
          <w:sz w:val="22"/>
          <w:szCs w:val="22"/>
        </w:rPr>
        <w:t xml:space="preserve">u. Interakcia s erytromycínom pravdepodobne nie je u väčšiny pacientov klinicky relevantná, ale u vysokorizikových pacientov môže byť potenciálne významná. </w:t>
      </w:r>
    </w:p>
    <w:p w14:paraId="1069951C" w14:textId="77777777" w:rsidR="00E21945" w:rsidRPr="005B3B88" w:rsidRDefault="00E21945" w:rsidP="00B20146">
      <w:pPr>
        <w:pStyle w:val="Default"/>
        <w:rPr>
          <w:sz w:val="22"/>
          <w:szCs w:val="22"/>
        </w:rPr>
      </w:pPr>
      <w:r w:rsidRPr="005B3B88">
        <w:rPr>
          <w:sz w:val="22"/>
          <w:szCs w:val="22"/>
        </w:rPr>
        <w:t xml:space="preserve">U osôb s miernou poruchou funkcie obličiek viedlo podanie erytromycínu (500 mg trikrát denne) k 1,8-násobnému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 xml:space="preserve">v porovnaní s osobami s normálnou funkciou obličiek. U osôb so stredne ťažkou poruchou funkcie obličiek viedlo podanie erytromycínu k 2,0-násobnému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v porovnaní s osobami s normálnou funkciou obličiek. Účinok erytromycínu je aditívny k poruche funkcie obličiek (pozri časť 4.4).</w:t>
      </w:r>
    </w:p>
    <w:p w14:paraId="3D8A02AD" w14:textId="77777777" w:rsidR="00E21945" w:rsidRPr="005B3B88" w:rsidRDefault="00E21945" w:rsidP="00B20146">
      <w:pPr>
        <w:pStyle w:val="Default"/>
        <w:rPr>
          <w:sz w:val="22"/>
          <w:szCs w:val="22"/>
        </w:rPr>
      </w:pPr>
    </w:p>
    <w:p w14:paraId="729586D4" w14:textId="77777777" w:rsidR="00E21945" w:rsidRPr="005B3B88" w:rsidRDefault="00E21945" w:rsidP="00B20146">
      <w:pPr>
        <w:pStyle w:val="Default"/>
        <w:rPr>
          <w:sz w:val="22"/>
          <w:szCs w:val="22"/>
        </w:rPr>
      </w:pPr>
      <w:r w:rsidRPr="005B3B88">
        <w:rPr>
          <w:sz w:val="22"/>
          <w:szCs w:val="22"/>
        </w:rPr>
        <w:t xml:space="preserve">Flukonazol (400 mg jedenkrát denne), ktorý sa považuje za stredne silný inhibítor CYP3A4, viedol k 1,4-násobnému zvýšeniu priemernej AUC </w:t>
      </w:r>
      <w:r w:rsidR="000379AB" w:rsidRPr="005B3B88">
        <w:rPr>
          <w:sz w:val="22"/>
          <w:szCs w:val="22"/>
        </w:rPr>
        <w:t>rivaroxabán</w:t>
      </w:r>
      <w:r w:rsidRPr="005B3B88">
        <w:rPr>
          <w:sz w:val="22"/>
          <w:szCs w:val="22"/>
        </w:rPr>
        <w:t>u a 1,3-násobnému zvýšeniu priemernej C</w:t>
      </w:r>
      <w:r w:rsidRPr="005B3B88">
        <w:rPr>
          <w:sz w:val="14"/>
          <w:szCs w:val="14"/>
        </w:rPr>
        <w:t>max</w:t>
      </w:r>
      <w:r w:rsidRPr="005B3B88">
        <w:rPr>
          <w:sz w:val="22"/>
          <w:szCs w:val="22"/>
        </w:rPr>
        <w:t>. Interakcia s flukonazolom pravdepodobne nie je u väčšiny pacientov klinicky relevantná, ale u vysokorizikových pacientov môže byť potenciálne významná. (Pre pacientov s poruchou funkcie obličiek pozri časť 4.4).</w:t>
      </w:r>
    </w:p>
    <w:p w14:paraId="6D626701" w14:textId="77777777" w:rsidR="00E21945" w:rsidRPr="005B3B88" w:rsidRDefault="00E21945" w:rsidP="00B20146">
      <w:pPr>
        <w:pStyle w:val="Default"/>
        <w:rPr>
          <w:sz w:val="22"/>
          <w:szCs w:val="22"/>
        </w:rPr>
      </w:pPr>
    </w:p>
    <w:p w14:paraId="73167218" w14:textId="77777777" w:rsidR="00E21945" w:rsidRPr="005B3B88" w:rsidRDefault="00E21945" w:rsidP="00B20146">
      <w:pPr>
        <w:pStyle w:val="Default"/>
        <w:rPr>
          <w:sz w:val="22"/>
          <w:szCs w:val="22"/>
        </w:rPr>
      </w:pPr>
      <w:r w:rsidRPr="005B3B88">
        <w:rPr>
          <w:sz w:val="22"/>
          <w:szCs w:val="22"/>
        </w:rPr>
        <w:t xml:space="preserve">Vzhľadom na obmedzené klinické údaje s dronedarónom je potrebné vyhnúť sa súbežnému podaniu s </w:t>
      </w:r>
      <w:r w:rsidR="000379AB" w:rsidRPr="005B3B88">
        <w:rPr>
          <w:sz w:val="22"/>
          <w:szCs w:val="22"/>
        </w:rPr>
        <w:t>rivaroxabán</w:t>
      </w:r>
      <w:r w:rsidRPr="005B3B88">
        <w:rPr>
          <w:sz w:val="22"/>
          <w:szCs w:val="22"/>
        </w:rPr>
        <w:t>om.</w:t>
      </w:r>
    </w:p>
    <w:p w14:paraId="3F23EFBD" w14:textId="77777777" w:rsidR="00E21945" w:rsidRPr="005B3B88" w:rsidRDefault="00E21945" w:rsidP="00B20146">
      <w:pPr>
        <w:pStyle w:val="Default"/>
        <w:rPr>
          <w:sz w:val="22"/>
          <w:szCs w:val="22"/>
        </w:rPr>
      </w:pPr>
    </w:p>
    <w:p w14:paraId="60B10A96" w14:textId="77777777" w:rsidR="00E21945" w:rsidRPr="005B3B88" w:rsidRDefault="00E21945" w:rsidP="00B20146">
      <w:pPr>
        <w:pStyle w:val="Default"/>
        <w:rPr>
          <w:sz w:val="22"/>
          <w:szCs w:val="22"/>
          <w:u w:val="single"/>
        </w:rPr>
      </w:pPr>
      <w:r w:rsidRPr="005B3B88">
        <w:rPr>
          <w:sz w:val="22"/>
          <w:szCs w:val="22"/>
          <w:u w:val="single"/>
        </w:rPr>
        <w:t xml:space="preserve">Antikoagulanciá </w:t>
      </w:r>
    </w:p>
    <w:p w14:paraId="02F01009" w14:textId="7A756518" w:rsidR="00E21945" w:rsidRPr="005B3B88" w:rsidRDefault="00E21945" w:rsidP="00B20146">
      <w:pPr>
        <w:pStyle w:val="Default"/>
        <w:rPr>
          <w:sz w:val="22"/>
          <w:szCs w:val="22"/>
        </w:rPr>
      </w:pPr>
      <w:r w:rsidRPr="005B3B88">
        <w:rPr>
          <w:sz w:val="22"/>
          <w:szCs w:val="22"/>
        </w:rPr>
        <w:t xml:space="preserve">Po kombinovanom podaní enoxaparínu (jednorazová dávka 40 mg) s </w:t>
      </w:r>
      <w:r w:rsidR="000379AB" w:rsidRPr="005B3B88">
        <w:rPr>
          <w:sz w:val="22"/>
          <w:szCs w:val="22"/>
        </w:rPr>
        <w:t>rivaroxabán</w:t>
      </w:r>
      <w:r w:rsidRPr="005B3B88">
        <w:rPr>
          <w:sz w:val="22"/>
          <w:szCs w:val="22"/>
        </w:rPr>
        <w:t xml:space="preserve">om (jednorazová dávka 10 mg) sa pozoroval aditívny účinok na aktivitu antifaktora Xa bez akýchkoľvek ďalších účinkov na testy zrážavosti (PT, aPTT). Enoxaparín neovplyvnil farmakokinetiku </w:t>
      </w:r>
      <w:r w:rsidR="000379AB" w:rsidRPr="005B3B88">
        <w:rPr>
          <w:sz w:val="22"/>
          <w:szCs w:val="22"/>
        </w:rPr>
        <w:t>rivaroxabán</w:t>
      </w:r>
      <w:r w:rsidRPr="005B3B88">
        <w:rPr>
          <w:sz w:val="22"/>
          <w:szCs w:val="22"/>
        </w:rPr>
        <w:t xml:space="preserve">u. </w:t>
      </w:r>
    </w:p>
    <w:p w14:paraId="4EA3E031" w14:textId="77777777" w:rsidR="00E21945" w:rsidRPr="005B3B88" w:rsidRDefault="00E21945" w:rsidP="00B20146">
      <w:pPr>
        <w:pStyle w:val="Default"/>
        <w:rPr>
          <w:sz w:val="22"/>
          <w:szCs w:val="22"/>
        </w:rPr>
      </w:pPr>
      <w:r w:rsidRPr="005B3B88">
        <w:rPr>
          <w:sz w:val="22"/>
          <w:szCs w:val="22"/>
        </w:rPr>
        <w:t>Ak sa pacienti súbežne liečia akýmikoľvek inými antikoagulanciami, je v dôsledku zvýšeného rizika krvácania potrebná opatrnosť (pozri časti 4.3 a 4.4).</w:t>
      </w:r>
    </w:p>
    <w:p w14:paraId="7FDC971C" w14:textId="77777777" w:rsidR="00E21945" w:rsidRPr="005B3B88" w:rsidRDefault="00E21945" w:rsidP="00B20146">
      <w:pPr>
        <w:pStyle w:val="Default"/>
        <w:rPr>
          <w:sz w:val="22"/>
          <w:szCs w:val="22"/>
        </w:rPr>
      </w:pPr>
    </w:p>
    <w:p w14:paraId="4C9DFFD0" w14:textId="1A5C6257" w:rsidR="00E21945" w:rsidRPr="005B3B88" w:rsidRDefault="00E21945" w:rsidP="00B20146">
      <w:pPr>
        <w:pStyle w:val="Default"/>
        <w:rPr>
          <w:sz w:val="22"/>
          <w:szCs w:val="22"/>
          <w:u w:val="single"/>
        </w:rPr>
      </w:pPr>
      <w:r w:rsidRPr="005B3B88">
        <w:rPr>
          <w:sz w:val="22"/>
          <w:szCs w:val="22"/>
          <w:u w:val="single"/>
        </w:rPr>
        <w:t>NSA</w:t>
      </w:r>
      <w:r w:rsidR="00721559">
        <w:rPr>
          <w:sz w:val="22"/>
          <w:szCs w:val="22"/>
          <w:u w:val="single"/>
        </w:rPr>
        <w:t>ID</w:t>
      </w:r>
      <w:r w:rsidRPr="005B3B88">
        <w:rPr>
          <w:sz w:val="22"/>
          <w:szCs w:val="22"/>
          <w:u w:val="single"/>
        </w:rPr>
        <w:t>/</w:t>
      </w:r>
      <w:r w:rsidRPr="00522B6A">
        <w:rPr>
          <w:sz w:val="22"/>
          <w:szCs w:val="22"/>
          <w:u w:val="single"/>
        </w:rPr>
        <w:t>inhibítory agregácie trombocytov</w:t>
      </w:r>
      <w:r w:rsidRPr="005B3B88">
        <w:rPr>
          <w:sz w:val="22"/>
          <w:szCs w:val="22"/>
          <w:u w:val="single"/>
        </w:rPr>
        <w:t xml:space="preserve"> </w:t>
      </w:r>
    </w:p>
    <w:p w14:paraId="646BA51A" w14:textId="77777777" w:rsidR="00E21945" w:rsidRPr="005B3B88" w:rsidRDefault="00E21945" w:rsidP="00B20146">
      <w:pPr>
        <w:pStyle w:val="Default"/>
        <w:rPr>
          <w:sz w:val="22"/>
          <w:szCs w:val="22"/>
        </w:rPr>
      </w:pPr>
      <w:r w:rsidRPr="005B3B88">
        <w:rPr>
          <w:sz w:val="22"/>
          <w:szCs w:val="22"/>
        </w:rPr>
        <w:t xml:space="preserve">Po súbežnom podaní </w:t>
      </w:r>
      <w:r w:rsidR="000379AB" w:rsidRPr="005B3B88">
        <w:rPr>
          <w:sz w:val="22"/>
          <w:szCs w:val="22"/>
        </w:rPr>
        <w:t>rivaroxabán</w:t>
      </w:r>
      <w:r w:rsidRPr="005B3B88">
        <w:rPr>
          <w:sz w:val="22"/>
          <w:szCs w:val="22"/>
        </w:rPr>
        <w:t xml:space="preserve">u (15 mg) a 500 mg naproxénu sa nepozorovalo klinicky významné predĺženie času krvácania. No i napriek tomu sa môžu vyskytnúť jednotlivci s výraznejšou farmakodynamickou odpoveďou. </w:t>
      </w:r>
    </w:p>
    <w:p w14:paraId="10A9CEC9" w14:textId="77777777" w:rsidR="00E21945" w:rsidRPr="005B3B88" w:rsidRDefault="00F51BD3" w:rsidP="00B20146">
      <w:pPr>
        <w:pStyle w:val="Default"/>
        <w:rPr>
          <w:sz w:val="22"/>
          <w:szCs w:val="22"/>
        </w:rPr>
      </w:pPr>
      <w:r w:rsidRPr="005B3B88">
        <w:rPr>
          <w:sz w:val="22"/>
          <w:szCs w:val="22"/>
        </w:rPr>
        <w:t>Keď</w:t>
      </w:r>
      <w:r w:rsidR="00E21945" w:rsidRPr="005B3B88">
        <w:rPr>
          <w:sz w:val="22"/>
          <w:szCs w:val="22"/>
        </w:rPr>
        <w:t xml:space="preserve"> sa </w:t>
      </w:r>
      <w:r w:rsidR="000379AB" w:rsidRPr="005B3B88">
        <w:rPr>
          <w:sz w:val="22"/>
          <w:szCs w:val="22"/>
        </w:rPr>
        <w:t>rivaroxabán</w:t>
      </w:r>
      <w:r w:rsidR="00E21945" w:rsidRPr="005B3B88">
        <w:rPr>
          <w:sz w:val="22"/>
          <w:szCs w:val="22"/>
        </w:rPr>
        <w:t xml:space="preserve"> súbežne podával s 500 mg kyseliny acetylsalicylovej, klinicky významné farmakokinetické alebo farmakodynamické interakcie sa nepozorovali. </w:t>
      </w:r>
    </w:p>
    <w:p w14:paraId="5D6E9D8E" w14:textId="77777777" w:rsidR="00E21945" w:rsidRPr="005B3B88" w:rsidRDefault="00E21945" w:rsidP="00B20146">
      <w:pPr>
        <w:pStyle w:val="Default"/>
        <w:rPr>
          <w:sz w:val="22"/>
          <w:szCs w:val="22"/>
        </w:rPr>
      </w:pPr>
      <w:r w:rsidRPr="005B3B88">
        <w:rPr>
          <w:sz w:val="22"/>
          <w:szCs w:val="22"/>
        </w:rPr>
        <w:t xml:space="preserve">Klopidogrel (300 mg začiatočná dávka, po ktorej nasledovala udržiavacia dávka 75 mg) </w:t>
      </w:r>
      <w:r w:rsidR="00A53E4E" w:rsidRPr="005B3B88">
        <w:rPr>
          <w:sz w:val="22"/>
          <w:szCs w:val="22"/>
        </w:rPr>
        <w:t>nevykazoval</w:t>
      </w:r>
      <w:r w:rsidRPr="005B3B88">
        <w:rPr>
          <w:sz w:val="22"/>
          <w:szCs w:val="22"/>
        </w:rPr>
        <w:t xml:space="preserve"> farmakokinetické interakcie s </w:t>
      </w:r>
      <w:r w:rsidR="000379AB" w:rsidRPr="005B3B88">
        <w:rPr>
          <w:sz w:val="22"/>
          <w:szCs w:val="22"/>
        </w:rPr>
        <w:t>rivaroxabán</w:t>
      </w:r>
      <w:r w:rsidRPr="005B3B88">
        <w:rPr>
          <w:sz w:val="22"/>
          <w:szCs w:val="22"/>
        </w:rPr>
        <w:t xml:space="preserve">om (15 mg), ale v podskupine pacientov, sa pozorovalo významné predĺženie času krvácania, ktoré nekorelovalo s agregáciou trombocytov, hladinami P-selektínu alebo </w:t>
      </w:r>
      <w:r w:rsidR="00F95EB6" w:rsidRPr="005B3B88">
        <w:rPr>
          <w:sz w:val="22"/>
          <w:szCs w:val="22"/>
        </w:rPr>
        <w:t xml:space="preserve">receptora </w:t>
      </w:r>
      <w:r w:rsidRPr="005B3B88">
        <w:rPr>
          <w:sz w:val="22"/>
          <w:szCs w:val="22"/>
        </w:rPr>
        <w:t xml:space="preserve">GPIIb/IIIa. </w:t>
      </w:r>
    </w:p>
    <w:p w14:paraId="779F34B0" w14:textId="5F996249" w:rsidR="00E21945" w:rsidRPr="005B3B88" w:rsidRDefault="00E21945" w:rsidP="00B20146">
      <w:pPr>
        <w:pStyle w:val="Default"/>
        <w:rPr>
          <w:sz w:val="22"/>
          <w:szCs w:val="22"/>
        </w:rPr>
      </w:pPr>
      <w:r w:rsidRPr="005B3B88">
        <w:rPr>
          <w:sz w:val="22"/>
          <w:szCs w:val="22"/>
        </w:rPr>
        <w:t>Opatrnosť je potrebná, ak sa pacienti súbežne liečia NSA</w:t>
      </w:r>
      <w:r w:rsidR="00721559">
        <w:rPr>
          <w:sz w:val="22"/>
          <w:szCs w:val="22"/>
        </w:rPr>
        <w:t>ID</w:t>
      </w:r>
      <w:r w:rsidRPr="005B3B88">
        <w:rPr>
          <w:sz w:val="22"/>
          <w:szCs w:val="22"/>
        </w:rPr>
        <w:t xml:space="preserve"> (vrátane kyseliny acetylsalicylovej) a inhibítormi agregácie trombocytov, pretože tieto lieky spravidla zvyšujú riziko krvácania (pozri časť 4.4).</w:t>
      </w:r>
    </w:p>
    <w:p w14:paraId="31B5378E" w14:textId="77777777" w:rsidR="00E21945" w:rsidRPr="005B3B88" w:rsidRDefault="00E21945" w:rsidP="00B20146">
      <w:pPr>
        <w:pStyle w:val="Default"/>
        <w:rPr>
          <w:sz w:val="22"/>
          <w:szCs w:val="22"/>
        </w:rPr>
      </w:pPr>
    </w:p>
    <w:p w14:paraId="1021008E" w14:textId="77777777" w:rsidR="00E21945" w:rsidRPr="005B3B88" w:rsidRDefault="00E21945" w:rsidP="00B20146">
      <w:pPr>
        <w:pStyle w:val="Default"/>
        <w:rPr>
          <w:sz w:val="22"/>
          <w:szCs w:val="22"/>
          <w:u w:val="single"/>
        </w:rPr>
      </w:pPr>
      <w:r w:rsidRPr="005B3B88">
        <w:rPr>
          <w:sz w:val="22"/>
          <w:szCs w:val="22"/>
          <w:u w:val="single"/>
        </w:rPr>
        <w:t xml:space="preserve">SSRI/SNRI </w:t>
      </w:r>
    </w:p>
    <w:p w14:paraId="5D1F0361" w14:textId="77777777" w:rsidR="00E21945" w:rsidRPr="005B3B88" w:rsidRDefault="00E21945" w:rsidP="00B20146">
      <w:pPr>
        <w:pStyle w:val="Default"/>
        <w:rPr>
          <w:sz w:val="22"/>
          <w:szCs w:val="22"/>
        </w:rPr>
      </w:pPr>
      <w:r w:rsidRPr="005B3B88">
        <w:rPr>
          <w:sz w:val="22"/>
          <w:szCs w:val="22"/>
        </w:rPr>
        <w:t xml:space="preserve">Rovnako ako pri iných antikoagulanciách existuje možnosť, že v prípade súbežného používania so SSRI alebo SNRI budú pacienti v dôsledku ich hláseného účinku na trombocyty vystavení vyššiemu riziku krvácania. V klinickom programe s </w:t>
      </w:r>
      <w:r w:rsidR="000379AB" w:rsidRPr="005B3B88">
        <w:rPr>
          <w:sz w:val="22"/>
          <w:szCs w:val="22"/>
        </w:rPr>
        <w:t>rivaroxabán</w:t>
      </w:r>
      <w:r w:rsidRPr="005B3B88">
        <w:rPr>
          <w:sz w:val="22"/>
          <w:szCs w:val="22"/>
        </w:rPr>
        <w:t>om sa vo všetkých liečebných skupinách so súbežným užívaním pozorovali početne vyššie frekvencie výskytu závažného alebo nezávažného klinicky významného krvácania.</w:t>
      </w:r>
    </w:p>
    <w:p w14:paraId="09D17822" w14:textId="77777777" w:rsidR="00E21945" w:rsidRPr="005B3B88" w:rsidRDefault="00E21945" w:rsidP="00B20146">
      <w:pPr>
        <w:pStyle w:val="Default"/>
        <w:rPr>
          <w:sz w:val="22"/>
          <w:szCs w:val="22"/>
        </w:rPr>
      </w:pPr>
    </w:p>
    <w:p w14:paraId="43FA664D" w14:textId="77777777" w:rsidR="00E21945" w:rsidRPr="005B3B88" w:rsidRDefault="00E21945" w:rsidP="00B20146">
      <w:pPr>
        <w:pStyle w:val="Default"/>
        <w:rPr>
          <w:sz w:val="22"/>
          <w:szCs w:val="22"/>
          <w:u w:val="single"/>
        </w:rPr>
      </w:pPr>
      <w:r w:rsidRPr="005B3B88">
        <w:rPr>
          <w:sz w:val="22"/>
          <w:szCs w:val="22"/>
          <w:u w:val="single"/>
        </w:rPr>
        <w:t xml:space="preserve">Warfarín </w:t>
      </w:r>
    </w:p>
    <w:p w14:paraId="7833696B" w14:textId="2FCBEB74" w:rsidR="00E21945" w:rsidRPr="005B3B88" w:rsidRDefault="00E21945" w:rsidP="00B20146">
      <w:pPr>
        <w:pStyle w:val="Default"/>
        <w:rPr>
          <w:sz w:val="22"/>
          <w:szCs w:val="22"/>
        </w:rPr>
      </w:pPr>
      <w:r w:rsidRPr="005B3B88">
        <w:rPr>
          <w:sz w:val="22"/>
          <w:szCs w:val="22"/>
        </w:rPr>
        <w:t>Prestavenie pacientov z liečby antagonistom vitamínu K</w:t>
      </w:r>
      <w:r w:rsidR="00FA4006">
        <w:rPr>
          <w:sz w:val="22"/>
          <w:szCs w:val="22"/>
        </w:rPr>
        <w:t>,</w:t>
      </w:r>
      <w:r w:rsidRPr="005B3B88">
        <w:rPr>
          <w:sz w:val="22"/>
          <w:szCs w:val="22"/>
        </w:rPr>
        <w:t xml:space="preserve"> warfarínom</w:t>
      </w:r>
      <w:r w:rsidR="00FA4006">
        <w:rPr>
          <w:sz w:val="22"/>
          <w:szCs w:val="22"/>
        </w:rPr>
        <w:t>,</w:t>
      </w:r>
      <w:r w:rsidRPr="005B3B88">
        <w:rPr>
          <w:sz w:val="22"/>
          <w:szCs w:val="22"/>
        </w:rPr>
        <w:t xml:space="preserve"> (INR 2,0 až 3,0) na </w:t>
      </w:r>
      <w:r w:rsidR="000379AB" w:rsidRPr="005B3B88">
        <w:rPr>
          <w:sz w:val="22"/>
          <w:szCs w:val="22"/>
        </w:rPr>
        <w:t>rivaroxabán</w:t>
      </w:r>
      <w:r w:rsidRPr="005B3B88">
        <w:rPr>
          <w:sz w:val="22"/>
          <w:szCs w:val="22"/>
        </w:rPr>
        <w:t xml:space="preserve"> (20 mg) alebo z </w:t>
      </w:r>
      <w:r w:rsidR="000379AB" w:rsidRPr="005B3B88">
        <w:rPr>
          <w:sz w:val="22"/>
          <w:szCs w:val="22"/>
        </w:rPr>
        <w:t>rivaroxabán</w:t>
      </w:r>
      <w:r w:rsidRPr="005B3B88">
        <w:rPr>
          <w:sz w:val="22"/>
          <w:szCs w:val="22"/>
        </w:rPr>
        <w:t xml:space="preserve">u (20 mg) na warfarín (INR 2,0 až 3,0) zvýšilo </w:t>
      </w:r>
      <w:r w:rsidR="006C04B7" w:rsidRPr="005B3B88">
        <w:rPr>
          <w:sz w:val="22"/>
          <w:szCs w:val="22"/>
        </w:rPr>
        <w:t xml:space="preserve">protrombínový čas </w:t>
      </w:r>
      <w:r w:rsidRPr="005B3B88">
        <w:rPr>
          <w:sz w:val="22"/>
          <w:szCs w:val="22"/>
        </w:rPr>
        <w:t xml:space="preserve">PT/INR (Neoplastin) viac než aditívne (bolo možné pozorovať jednotlivé hodnoty INR až do 12), zatiaľ čo účinky na aPTT, inhibíciu aktivity faktora Xa a potenciál endogénneho trombínu boli aditívne. </w:t>
      </w:r>
    </w:p>
    <w:p w14:paraId="676018B7" w14:textId="77777777" w:rsidR="005D7C47" w:rsidRDefault="005D7C47" w:rsidP="00B20146">
      <w:pPr>
        <w:pStyle w:val="Default"/>
        <w:rPr>
          <w:sz w:val="22"/>
          <w:szCs w:val="22"/>
        </w:rPr>
      </w:pPr>
    </w:p>
    <w:p w14:paraId="6CA12594" w14:textId="04B4480D" w:rsidR="00E21945" w:rsidRPr="005B3B88" w:rsidRDefault="00E21945" w:rsidP="00B20146">
      <w:pPr>
        <w:pStyle w:val="Default"/>
        <w:rPr>
          <w:sz w:val="22"/>
          <w:szCs w:val="22"/>
        </w:rPr>
      </w:pPr>
      <w:r w:rsidRPr="005B3B88">
        <w:rPr>
          <w:sz w:val="22"/>
          <w:szCs w:val="22"/>
        </w:rPr>
        <w:t xml:space="preserve">Ak sa požaduje kontrola farmakodynamických účinkov </w:t>
      </w:r>
      <w:r w:rsidR="000379AB" w:rsidRPr="005B3B88">
        <w:rPr>
          <w:sz w:val="22"/>
          <w:szCs w:val="22"/>
        </w:rPr>
        <w:t>rivaroxabán</w:t>
      </w:r>
      <w:r w:rsidRPr="005B3B88">
        <w:rPr>
          <w:sz w:val="22"/>
          <w:szCs w:val="22"/>
        </w:rPr>
        <w:t>u počas obdobia prestavovania liečby, môž</w:t>
      </w:r>
      <w:r w:rsidR="006C04B7" w:rsidRPr="005B3B88">
        <w:rPr>
          <w:sz w:val="22"/>
          <w:szCs w:val="22"/>
        </w:rPr>
        <w:t>u</w:t>
      </w:r>
      <w:r w:rsidRPr="005B3B88">
        <w:rPr>
          <w:sz w:val="22"/>
          <w:szCs w:val="22"/>
        </w:rPr>
        <w:t xml:space="preserve"> sa použiť </w:t>
      </w:r>
      <w:r w:rsidR="006C04B7" w:rsidRPr="005B3B88">
        <w:rPr>
          <w:sz w:val="22"/>
          <w:szCs w:val="22"/>
        </w:rPr>
        <w:t xml:space="preserve">vyšetrenia </w:t>
      </w:r>
      <w:r w:rsidRPr="005B3B88">
        <w:rPr>
          <w:sz w:val="22"/>
          <w:szCs w:val="22"/>
        </w:rPr>
        <w:t>aktivit</w:t>
      </w:r>
      <w:r w:rsidR="006C04B7" w:rsidRPr="005B3B88">
        <w:rPr>
          <w:sz w:val="22"/>
          <w:szCs w:val="22"/>
        </w:rPr>
        <w:t>y</w:t>
      </w:r>
      <w:r w:rsidRPr="005B3B88">
        <w:rPr>
          <w:sz w:val="22"/>
          <w:szCs w:val="22"/>
        </w:rPr>
        <w:t xml:space="preserve"> antifaktora Xa, PiCT a HepTest, pretože tieto vyšetrenia nie sú ovplyvnené warfarínom. Na štvrtý deň po poslednej dávke warfarínu odrážajú všetky vyšetrenia (zahŕňajúce PT, aPTT, inhibíciu aktivity faktora Xa a ETP) iba účinok </w:t>
      </w:r>
      <w:r w:rsidR="000379AB" w:rsidRPr="005B3B88">
        <w:rPr>
          <w:sz w:val="22"/>
          <w:szCs w:val="22"/>
        </w:rPr>
        <w:t>rivaroxabán</w:t>
      </w:r>
      <w:r w:rsidRPr="005B3B88">
        <w:rPr>
          <w:sz w:val="22"/>
          <w:szCs w:val="22"/>
        </w:rPr>
        <w:t xml:space="preserve">u. </w:t>
      </w:r>
    </w:p>
    <w:p w14:paraId="7D2B9DB1" w14:textId="77777777" w:rsidR="00E21945" w:rsidRPr="005B3B88" w:rsidRDefault="00E21945" w:rsidP="00B20146">
      <w:pPr>
        <w:pStyle w:val="Default"/>
        <w:rPr>
          <w:sz w:val="22"/>
          <w:szCs w:val="22"/>
        </w:rPr>
      </w:pPr>
      <w:r w:rsidRPr="005B3B88">
        <w:rPr>
          <w:sz w:val="22"/>
          <w:szCs w:val="22"/>
        </w:rPr>
        <w:t>Ak sa požaduje kontrola farmakodynamických účinkov warfarínu počas obdobia prestavovania liečby, možno použiť meranie INR pri C</w:t>
      </w:r>
      <w:r w:rsidRPr="005B3B88">
        <w:rPr>
          <w:sz w:val="14"/>
          <w:szCs w:val="14"/>
        </w:rPr>
        <w:t xml:space="preserve">trough </w:t>
      </w:r>
      <w:r w:rsidR="000379AB" w:rsidRPr="005B3B88">
        <w:rPr>
          <w:sz w:val="22"/>
          <w:szCs w:val="22"/>
        </w:rPr>
        <w:t>rivaroxabán</w:t>
      </w:r>
      <w:r w:rsidRPr="005B3B88">
        <w:rPr>
          <w:sz w:val="22"/>
          <w:szCs w:val="22"/>
        </w:rPr>
        <w:t xml:space="preserve">u (24 hodín po predchádzajúcom užití </w:t>
      </w:r>
      <w:r w:rsidR="000379AB" w:rsidRPr="005B3B88">
        <w:rPr>
          <w:sz w:val="22"/>
          <w:szCs w:val="22"/>
        </w:rPr>
        <w:t>rivaroxabán</w:t>
      </w:r>
      <w:r w:rsidRPr="005B3B88">
        <w:rPr>
          <w:sz w:val="22"/>
          <w:szCs w:val="22"/>
        </w:rPr>
        <w:t xml:space="preserve">u), pretože v tomto časovom bode je toto vyšetrenie minimálne ovplyvnené </w:t>
      </w:r>
      <w:r w:rsidR="000379AB" w:rsidRPr="005B3B88">
        <w:rPr>
          <w:sz w:val="22"/>
          <w:szCs w:val="22"/>
        </w:rPr>
        <w:t>rivaroxabán</w:t>
      </w:r>
      <w:r w:rsidRPr="005B3B88">
        <w:rPr>
          <w:sz w:val="22"/>
          <w:szCs w:val="22"/>
        </w:rPr>
        <w:t xml:space="preserve">om. </w:t>
      </w:r>
    </w:p>
    <w:p w14:paraId="0D4D841E" w14:textId="77777777" w:rsidR="00E21945" w:rsidRPr="005B3B88" w:rsidRDefault="00E21945" w:rsidP="00B20146">
      <w:pPr>
        <w:pStyle w:val="Default"/>
        <w:rPr>
          <w:sz w:val="22"/>
          <w:szCs w:val="22"/>
        </w:rPr>
      </w:pPr>
      <w:r w:rsidRPr="005B3B88">
        <w:rPr>
          <w:sz w:val="22"/>
          <w:szCs w:val="22"/>
        </w:rPr>
        <w:t xml:space="preserve">Medzi warfarínom a </w:t>
      </w:r>
      <w:r w:rsidR="000379AB" w:rsidRPr="005B3B88">
        <w:rPr>
          <w:sz w:val="22"/>
          <w:szCs w:val="22"/>
        </w:rPr>
        <w:t>rivaroxabán</w:t>
      </w:r>
      <w:r w:rsidRPr="005B3B88">
        <w:rPr>
          <w:sz w:val="22"/>
          <w:szCs w:val="22"/>
        </w:rPr>
        <w:t>om sa nepozorovali žiadne farmakokinetické interakcie.</w:t>
      </w:r>
    </w:p>
    <w:p w14:paraId="71D22D44" w14:textId="77777777" w:rsidR="00E21945" w:rsidRPr="005B3B88" w:rsidRDefault="00E21945" w:rsidP="00B20146">
      <w:pPr>
        <w:pStyle w:val="Default"/>
        <w:rPr>
          <w:sz w:val="22"/>
          <w:szCs w:val="22"/>
        </w:rPr>
      </w:pPr>
    </w:p>
    <w:p w14:paraId="271F76A7" w14:textId="77777777" w:rsidR="00E21945" w:rsidRPr="005B3B88" w:rsidRDefault="00E21945" w:rsidP="00B20146">
      <w:pPr>
        <w:pStyle w:val="Default"/>
        <w:rPr>
          <w:sz w:val="22"/>
          <w:szCs w:val="22"/>
          <w:u w:val="single"/>
        </w:rPr>
      </w:pPr>
      <w:r w:rsidRPr="005B3B88">
        <w:rPr>
          <w:sz w:val="22"/>
          <w:szCs w:val="22"/>
          <w:u w:val="single"/>
        </w:rPr>
        <w:t xml:space="preserve">Induktory CYP3A4 </w:t>
      </w:r>
    </w:p>
    <w:p w14:paraId="7D179C56" w14:textId="5B5677AC" w:rsidR="00E21945"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u so silným induktorom CYP3A4</w:t>
      </w:r>
      <w:r w:rsidR="00FA4006">
        <w:rPr>
          <w:sz w:val="22"/>
          <w:szCs w:val="22"/>
        </w:rPr>
        <w:t>,</w:t>
      </w:r>
      <w:r w:rsidRPr="005B3B88">
        <w:rPr>
          <w:sz w:val="22"/>
          <w:szCs w:val="22"/>
        </w:rPr>
        <w:t xml:space="preserve"> rifampicínom</w:t>
      </w:r>
      <w:r w:rsidR="00FA4006">
        <w:rPr>
          <w:sz w:val="22"/>
          <w:szCs w:val="22"/>
        </w:rPr>
        <w:t>,</w:t>
      </w:r>
      <w:r w:rsidRPr="005B3B88">
        <w:rPr>
          <w:sz w:val="22"/>
          <w:szCs w:val="22"/>
        </w:rPr>
        <w:t xml:space="preserve"> viedlo k približne 50 % zníženiu priemernej AUC </w:t>
      </w:r>
      <w:r w:rsidR="000379AB" w:rsidRPr="005B3B88">
        <w:rPr>
          <w:sz w:val="22"/>
          <w:szCs w:val="22"/>
        </w:rPr>
        <w:t>rivaroxabán</w:t>
      </w:r>
      <w:r w:rsidRPr="005B3B88">
        <w:rPr>
          <w:sz w:val="22"/>
          <w:szCs w:val="22"/>
        </w:rPr>
        <w:t xml:space="preserve">u s paralelnými zníženiami jeho farmakodynamických účinkov. Súbežné použitie </w:t>
      </w:r>
      <w:r w:rsidR="000379AB" w:rsidRPr="005B3B88">
        <w:rPr>
          <w:sz w:val="22"/>
          <w:szCs w:val="22"/>
        </w:rPr>
        <w:t>rivaroxabán</w:t>
      </w:r>
      <w:r w:rsidRPr="005B3B88">
        <w:rPr>
          <w:sz w:val="22"/>
          <w:szCs w:val="22"/>
        </w:rPr>
        <w:t xml:space="preserve">u s inými silnými induktormi CYP3A4 (napr. fenytoín, karbamazepín, fenobarbital alebo ľubovník bodkovaný </w:t>
      </w:r>
      <w:r w:rsidRPr="005B3B88">
        <w:rPr>
          <w:i/>
          <w:iCs/>
          <w:sz w:val="22"/>
          <w:szCs w:val="22"/>
        </w:rPr>
        <w:t>(Hypericum perforatum)</w:t>
      </w:r>
      <w:r w:rsidRPr="005B3B88">
        <w:rPr>
          <w:sz w:val="22"/>
          <w:szCs w:val="22"/>
        </w:rPr>
        <w:t xml:space="preserve">) môže tiež viesť ku zníženiu plazmatických koncentrácií </w:t>
      </w:r>
      <w:r w:rsidR="000379AB" w:rsidRPr="005B3B88">
        <w:rPr>
          <w:sz w:val="22"/>
          <w:szCs w:val="22"/>
        </w:rPr>
        <w:t>rivaroxabán</w:t>
      </w:r>
      <w:r w:rsidRPr="005B3B88">
        <w:rPr>
          <w:sz w:val="22"/>
          <w:szCs w:val="22"/>
        </w:rPr>
        <w:t xml:space="preserve">u. Preto, </w:t>
      </w:r>
      <w:r w:rsidR="00B90E0F" w:rsidRPr="005B3B88">
        <w:rPr>
          <w:sz w:val="22"/>
          <w:szCs w:val="22"/>
        </w:rPr>
        <w:t>pokiaľ</w:t>
      </w:r>
      <w:r w:rsidRPr="005B3B88">
        <w:rPr>
          <w:sz w:val="22"/>
          <w:szCs w:val="22"/>
        </w:rPr>
        <w:t xml:space="preserve"> sa u pacienta starostlivo nesledujú prejavy a príznaky trombózy, je potrebné sa vyhnúť súbežnému podávaniu silných induktorov CYP3A4.</w:t>
      </w:r>
    </w:p>
    <w:p w14:paraId="0DD58DE0" w14:textId="77777777" w:rsidR="00E21945" w:rsidRPr="005B3B88" w:rsidRDefault="00E21945" w:rsidP="00B20146">
      <w:pPr>
        <w:pStyle w:val="Default"/>
        <w:rPr>
          <w:sz w:val="22"/>
          <w:szCs w:val="22"/>
        </w:rPr>
      </w:pPr>
    </w:p>
    <w:p w14:paraId="54B07CF3" w14:textId="77777777" w:rsidR="00A73845" w:rsidRPr="005B3B88" w:rsidRDefault="00A73845" w:rsidP="00B20146">
      <w:pPr>
        <w:pStyle w:val="Default"/>
        <w:rPr>
          <w:sz w:val="22"/>
          <w:szCs w:val="22"/>
          <w:u w:val="single"/>
        </w:rPr>
      </w:pPr>
      <w:r w:rsidRPr="005B3B88">
        <w:rPr>
          <w:sz w:val="22"/>
          <w:szCs w:val="22"/>
          <w:u w:val="single"/>
        </w:rPr>
        <w:t xml:space="preserve">Iné súbežné liečby </w:t>
      </w:r>
    </w:p>
    <w:p w14:paraId="11B6676C" w14:textId="77777777" w:rsidR="00A73845" w:rsidRPr="005B3B88" w:rsidRDefault="00A73845" w:rsidP="00B20146">
      <w:pPr>
        <w:pStyle w:val="Default"/>
        <w:rPr>
          <w:sz w:val="22"/>
          <w:szCs w:val="22"/>
        </w:rPr>
      </w:pPr>
      <w:r w:rsidRPr="005B3B88">
        <w:rPr>
          <w:sz w:val="22"/>
          <w:szCs w:val="22"/>
        </w:rPr>
        <w:t xml:space="preserve">Ak sa </w:t>
      </w:r>
      <w:r w:rsidR="000379AB" w:rsidRPr="005B3B88">
        <w:rPr>
          <w:sz w:val="22"/>
          <w:szCs w:val="22"/>
        </w:rPr>
        <w:t>rivaroxabán</w:t>
      </w:r>
      <w:r w:rsidRPr="005B3B88">
        <w:rPr>
          <w:sz w:val="22"/>
          <w:szCs w:val="22"/>
        </w:rPr>
        <w:t xml:space="preserve"> súbežne podával s midazolamom (substrát CYP3A4), digoxínom (substrát P-gp), atorvastatínom (substrát CYP3A4 a P-gp) alebo omeprazolom (inhibítor protónovej pumpy), klinicky významné farmakokinetické alebo farmakodynamické interakcie sa nepozorovali. </w:t>
      </w:r>
      <w:r w:rsidR="000379AB" w:rsidRPr="005B3B88">
        <w:rPr>
          <w:sz w:val="22"/>
          <w:szCs w:val="22"/>
        </w:rPr>
        <w:t>Rivaroxabán</w:t>
      </w:r>
      <w:r w:rsidRPr="005B3B88">
        <w:rPr>
          <w:sz w:val="22"/>
          <w:szCs w:val="22"/>
        </w:rPr>
        <w:t xml:space="preserve"> neinhibuje ani neindukuje žiadne významné izoformy CYP, ako je CYP3A4.</w:t>
      </w:r>
    </w:p>
    <w:p w14:paraId="1DAA585A" w14:textId="77777777" w:rsidR="00A73845" w:rsidRPr="005B3B88" w:rsidRDefault="00A73845" w:rsidP="00B20146">
      <w:pPr>
        <w:pStyle w:val="Default"/>
        <w:rPr>
          <w:sz w:val="22"/>
          <w:szCs w:val="22"/>
        </w:rPr>
      </w:pPr>
      <w:r w:rsidRPr="005B3B88">
        <w:rPr>
          <w:sz w:val="22"/>
          <w:szCs w:val="22"/>
        </w:rPr>
        <w:t xml:space="preserve"> </w:t>
      </w:r>
    </w:p>
    <w:p w14:paraId="2B0C3E6D" w14:textId="77777777" w:rsidR="00A73845" w:rsidRPr="005B3B88" w:rsidRDefault="00A73845" w:rsidP="00B20146">
      <w:pPr>
        <w:pStyle w:val="Default"/>
        <w:rPr>
          <w:sz w:val="22"/>
          <w:szCs w:val="22"/>
          <w:u w:val="single"/>
        </w:rPr>
      </w:pPr>
      <w:r w:rsidRPr="005B3B88">
        <w:rPr>
          <w:sz w:val="22"/>
          <w:szCs w:val="22"/>
          <w:u w:val="single"/>
        </w:rPr>
        <w:t xml:space="preserve">Laboratórne parametre </w:t>
      </w:r>
    </w:p>
    <w:p w14:paraId="0FC3AB40" w14:textId="77777777" w:rsidR="00E21945" w:rsidRPr="005B3B88" w:rsidRDefault="00A73845" w:rsidP="00B20146">
      <w:pPr>
        <w:pStyle w:val="Default"/>
        <w:rPr>
          <w:sz w:val="22"/>
          <w:szCs w:val="22"/>
        </w:rPr>
      </w:pPr>
      <w:r w:rsidRPr="005B3B88">
        <w:rPr>
          <w:sz w:val="22"/>
          <w:szCs w:val="22"/>
        </w:rPr>
        <w:lastRenderedPageBreak/>
        <w:t xml:space="preserve">Parametre zrážavosti (napr. PT, aPTT, HepTest) sú ovplyvnené, tak ako sa predpokladá, podľa mechanizmu účinku </w:t>
      </w:r>
      <w:r w:rsidR="000379AB" w:rsidRPr="005B3B88">
        <w:rPr>
          <w:sz w:val="22"/>
          <w:szCs w:val="22"/>
        </w:rPr>
        <w:t>rivaroxabán</w:t>
      </w:r>
      <w:r w:rsidRPr="005B3B88">
        <w:rPr>
          <w:sz w:val="22"/>
          <w:szCs w:val="22"/>
        </w:rPr>
        <w:t>u (pozri časť 5.1).</w:t>
      </w:r>
    </w:p>
    <w:p w14:paraId="608D6CF2" w14:textId="77777777" w:rsidR="00A73845" w:rsidRPr="005B3B88" w:rsidRDefault="00A73845" w:rsidP="00B20146">
      <w:pPr>
        <w:pStyle w:val="Default"/>
        <w:rPr>
          <w:sz w:val="22"/>
          <w:szCs w:val="22"/>
        </w:rPr>
      </w:pPr>
    </w:p>
    <w:p w14:paraId="2C9970AF" w14:textId="77777777" w:rsidR="00A73845" w:rsidRPr="005B3B88" w:rsidRDefault="00A73845" w:rsidP="00B20146">
      <w:pPr>
        <w:pStyle w:val="Default"/>
        <w:tabs>
          <w:tab w:val="left" w:pos="567"/>
        </w:tabs>
        <w:rPr>
          <w:b/>
          <w:bCs/>
          <w:sz w:val="22"/>
          <w:szCs w:val="22"/>
        </w:rPr>
      </w:pPr>
      <w:r w:rsidRPr="00FA451D">
        <w:rPr>
          <w:b/>
          <w:bCs/>
          <w:sz w:val="22"/>
          <w:szCs w:val="22"/>
        </w:rPr>
        <w:t>4.6</w:t>
      </w:r>
      <w:r w:rsidR="00F95EB6" w:rsidRPr="00FA451D">
        <w:rPr>
          <w:b/>
          <w:bCs/>
          <w:sz w:val="22"/>
          <w:szCs w:val="22"/>
        </w:rPr>
        <w:tab/>
      </w:r>
      <w:r w:rsidRPr="00FA451D">
        <w:rPr>
          <w:b/>
          <w:bCs/>
          <w:sz w:val="22"/>
          <w:szCs w:val="22"/>
        </w:rPr>
        <w:t>Fertilita, gravidita a laktácia</w:t>
      </w:r>
    </w:p>
    <w:p w14:paraId="1584AB37" w14:textId="77777777" w:rsidR="00A73845" w:rsidRPr="005B3B88" w:rsidRDefault="00A73845" w:rsidP="00B20146">
      <w:pPr>
        <w:pStyle w:val="Default"/>
        <w:rPr>
          <w:b/>
          <w:bCs/>
          <w:sz w:val="22"/>
          <w:szCs w:val="22"/>
        </w:rPr>
      </w:pPr>
    </w:p>
    <w:p w14:paraId="1DA914F4" w14:textId="77777777" w:rsidR="00A73845" w:rsidRPr="005B3B88" w:rsidRDefault="00A73845" w:rsidP="00B20146">
      <w:pPr>
        <w:pStyle w:val="Default"/>
        <w:rPr>
          <w:sz w:val="22"/>
          <w:szCs w:val="22"/>
          <w:u w:val="single"/>
        </w:rPr>
      </w:pPr>
      <w:r w:rsidRPr="005B3B88">
        <w:rPr>
          <w:sz w:val="22"/>
          <w:szCs w:val="22"/>
          <w:u w:val="single"/>
        </w:rPr>
        <w:t xml:space="preserve">Gravidita </w:t>
      </w:r>
    </w:p>
    <w:p w14:paraId="7A95A26A" w14:textId="133CD7CB"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w:t>
      </w:r>
      <w:r w:rsidR="003D0C6C">
        <w:rPr>
          <w:sz w:val="22"/>
          <w:szCs w:val="22"/>
        </w:rPr>
        <w:t>tehotných</w:t>
      </w:r>
      <w:r w:rsidR="003D0C6C" w:rsidRPr="005B3B88">
        <w:rPr>
          <w:sz w:val="22"/>
          <w:szCs w:val="22"/>
        </w:rPr>
        <w:t xml:space="preserve"> </w:t>
      </w:r>
      <w:r w:rsidRPr="005B3B88">
        <w:rPr>
          <w:sz w:val="22"/>
          <w:szCs w:val="22"/>
        </w:rPr>
        <w:t xml:space="preserve">žien stanovená. Štúdie na zvieratách preukázali reprodukčnú toxicitu (pozri časť 5.3). V dôsledku potenciálu reprodukčnej toxicity, rizika vnútorného krvácania a dôkazu, že </w:t>
      </w:r>
      <w:r w:rsidR="000379AB" w:rsidRPr="005B3B88">
        <w:rPr>
          <w:sz w:val="22"/>
          <w:szCs w:val="22"/>
        </w:rPr>
        <w:t>rivaroxabán</w:t>
      </w:r>
      <w:r w:rsidRPr="005B3B88">
        <w:rPr>
          <w:sz w:val="22"/>
          <w:szCs w:val="22"/>
        </w:rPr>
        <w:t xml:space="preserve"> prestupuje placentou, je </w:t>
      </w:r>
      <w:r w:rsidR="00FA451D">
        <w:rPr>
          <w:sz w:val="22"/>
          <w:szCs w:val="22"/>
        </w:rPr>
        <w:t>Xanirva kontraindikovaná</w:t>
      </w:r>
      <w:r w:rsidRPr="005B3B88">
        <w:rPr>
          <w:sz w:val="22"/>
          <w:szCs w:val="22"/>
        </w:rPr>
        <w:t xml:space="preserve"> počas gravidity (pozri časť 4.3). </w:t>
      </w:r>
    </w:p>
    <w:p w14:paraId="5984AB2D" w14:textId="77777777" w:rsidR="00A73845" w:rsidRPr="005B3B88" w:rsidRDefault="00A73845" w:rsidP="00B20146">
      <w:pPr>
        <w:pStyle w:val="Default"/>
        <w:rPr>
          <w:sz w:val="22"/>
          <w:szCs w:val="22"/>
        </w:rPr>
      </w:pPr>
      <w:r w:rsidRPr="005B3B88">
        <w:rPr>
          <w:sz w:val="22"/>
          <w:szCs w:val="22"/>
        </w:rPr>
        <w:t xml:space="preserve">Ženy vo fertilnom veku musia počas liečby </w:t>
      </w:r>
      <w:r w:rsidR="000379AB" w:rsidRPr="005B3B88">
        <w:rPr>
          <w:sz w:val="22"/>
          <w:szCs w:val="22"/>
        </w:rPr>
        <w:t>rivaroxabán</w:t>
      </w:r>
      <w:r w:rsidRPr="005B3B88">
        <w:rPr>
          <w:sz w:val="22"/>
          <w:szCs w:val="22"/>
        </w:rPr>
        <w:t xml:space="preserve">om zabrániť otehotneniu. </w:t>
      </w:r>
    </w:p>
    <w:p w14:paraId="51A7C220" w14:textId="77777777" w:rsidR="00A73845" w:rsidRPr="005B3B88" w:rsidRDefault="00A73845" w:rsidP="00B20146">
      <w:pPr>
        <w:pStyle w:val="Default"/>
        <w:rPr>
          <w:sz w:val="22"/>
          <w:szCs w:val="22"/>
        </w:rPr>
      </w:pPr>
    </w:p>
    <w:p w14:paraId="2BCF2B3B" w14:textId="77777777" w:rsidR="00A73845" w:rsidRPr="005B3B88" w:rsidRDefault="00A73845" w:rsidP="00B20146">
      <w:pPr>
        <w:pStyle w:val="Default"/>
        <w:rPr>
          <w:sz w:val="22"/>
          <w:szCs w:val="22"/>
          <w:u w:val="single"/>
        </w:rPr>
      </w:pPr>
      <w:r w:rsidRPr="005B3B88">
        <w:rPr>
          <w:sz w:val="22"/>
          <w:szCs w:val="22"/>
          <w:u w:val="single"/>
        </w:rPr>
        <w:t xml:space="preserve">Dojčenie </w:t>
      </w:r>
    </w:p>
    <w:p w14:paraId="45BA3599" w14:textId="77777777"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dojčiacich žien stanovená. Údaje na zvieratách naznačujú, že sa </w:t>
      </w:r>
      <w:r w:rsidR="000379AB" w:rsidRPr="005B3B88">
        <w:rPr>
          <w:sz w:val="22"/>
          <w:szCs w:val="22"/>
        </w:rPr>
        <w:t>rivaroxabán</w:t>
      </w:r>
      <w:r w:rsidRPr="005B3B88">
        <w:rPr>
          <w:sz w:val="22"/>
          <w:szCs w:val="22"/>
        </w:rPr>
        <w:t xml:space="preserve"> vylučuje do materského mlieka. </w:t>
      </w:r>
      <w:r w:rsidR="00FA451D">
        <w:rPr>
          <w:sz w:val="22"/>
          <w:szCs w:val="22"/>
        </w:rPr>
        <w:t>Xanirva</w:t>
      </w:r>
      <w:r w:rsidRPr="005B3B88">
        <w:rPr>
          <w:sz w:val="22"/>
          <w:szCs w:val="22"/>
        </w:rPr>
        <w:t xml:space="preserve"> je preto kontraindikovan</w:t>
      </w:r>
      <w:r w:rsidR="00FA451D">
        <w:rPr>
          <w:sz w:val="22"/>
          <w:szCs w:val="22"/>
        </w:rPr>
        <w:t>á</w:t>
      </w:r>
      <w:r w:rsidRPr="005B3B88">
        <w:rPr>
          <w:sz w:val="22"/>
          <w:szCs w:val="22"/>
        </w:rPr>
        <w:t xml:space="preserve"> počas dojčenia (pozri časť 4.3). Musí sa rozhodnúť, či prerušiť dojčenie alebo prerušiť/ukončiť liečbu. </w:t>
      </w:r>
    </w:p>
    <w:p w14:paraId="13A70D25" w14:textId="77777777" w:rsidR="00A73845" w:rsidRPr="005B3B88" w:rsidRDefault="00A73845" w:rsidP="00B20146">
      <w:pPr>
        <w:pStyle w:val="Default"/>
        <w:rPr>
          <w:sz w:val="22"/>
          <w:szCs w:val="22"/>
        </w:rPr>
      </w:pPr>
    </w:p>
    <w:p w14:paraId="0AB000C3" w14:textId="77777777" w:rsidR="00A73845" w:rsidRPr="005B3B88" w:rsidRDefault="00A73845" w:rsidP="00B20146">
      <w:pPr>
        <w:pStyle w:val="Default"/>
        <w:rPr>
          <w:sz w:val="22"/>
          <w:szCs w:val="22"/>
          <w:u w:val="single"/>
        </w:rPr>
      </w:pPr>
      <w:r w:rsidRPr="005B3B88">
        <w:rPr>
          <w:sz w:val="22"/>
          <w:szCs w:val="22"/>
          <w:u w:val="single"/>
        </w:rPr>
        <w:t xml:space="preserve">Fertilita </w:t>
      </w:r>
    </w:p>
    <w:p w14:paraId="1D19F4C9" w14:textId="77777777" w:rsidR="00A73845" w:rsidRPr="005B3B88" w:rsidRDefault="00A73845" w:rsidP="00B20146">
      <w:pPr>
        <w:pStyle w:val="Default"/>
        <w:rPr>
          <w:sz w:val="22"/>
          <w:szCs w:val="22"/>
        </w:rPr>
      </w:pPr>
      <w:r w:rsidRPr="005B3B88">
        <w:rPr>
          <w:sz w:val="22"/>
          <w:szCs w:val="22"/>
        </w:rPr>
        <w:t xml:space="preserve">Nevykonali sa žiadne špecifické skúšania s </w:t>
      </w:r>
      <w:r w:rsidR="000379AB" w:rsidRPr="005B3B88">
        <w:rPr>
          <w:sz w:val="22"/>
          <w:szCs w:val="22"/>
        </w:rPr>
        <w:t>rivaroxabán</w:t>
      </w:r>
      <w:r w:rsidRPr="005B3B88">
        <w:rPr>
          <w:sz w:val="22"/>
          <w:szCs w:val="22"/>
        </w:rPr>
        <w:t xml:space="preserve">om u ľudí na hodnotenie </w:t>
      </w:r>
      <w:r w:rsidR="00B90E0F" w:rsidRPr="005B3B88">
        <w:rPr>
          <w:sz w:val="22"/>
          <w:szCs w:val="22"/>
        </w:rPr>
        <w:t>účinkov</w:t>
      </w:r>
      <w:r w:rsidRPr="005B3B88">
        <w:rPr>
          <w:sz w:val="22"/>
          <w:szCs w:val="22"/>
        </w:rPr>
        <w:t xml:space="preserve"> na fertilitu. V štúdii fertility na samcoch a samiciach potkanov sa žiadne účinky nepozorovali (pozri časť 5.3).</w:t>
      </w:r>
    </w:p>
    <w:p w14:paraId="07D0827D" w14:textId="77777777" w:rsidR="00A73845" w:rsidRPr="005B3B88" w:rsidRDefault="00A73845" w:rsidP="00B20146">
      <w:pPr>
        <w:pStyle w:val="Default"/>
        <w:rPr>
          <w:sz w:val="22"/>
          <w:szCs w:val="22"/>
        </w:rPr>
      </w:pPr>
    </w:p>
    <w:p w14:paraId="652AA31D" w14:textId="77777777" w:rsidR="00A73845" w:rsidRPr="005B3B88" w:rsidRDefault="00A73845" w:rsidP="00B20146">
      <w:pPr>
        <w:pStyle w:val="Default"/>
        <w:tabs>
          <w:tab w:val="left" w:pos="567"/>
        </w:tabs>
        <w:rPr>
          <w:b/>
          <w:bCs/>
          <w:sz w:val="22"/>
          <w:szCs w:val="22"/>
        </w:rPr>
      </w:pPr>
      <w:r w:rsidRPr="005B3B88">
        <w:rPr>
          <w:b/>
          <w:bCs/>
          <w:sz w:val="22"/>
          <w:szCs w:val="22"/>
        </w:rPr>
        <w:t>4.7</w:t>
      </w:r>
      <w:r w:rsidR="00B90E0F" w:rsidRPr="005B3B88">
        <w:rPr>
          <w:b/>
          <w:bCs/>
          <w:sz w:val="22"/>
          <w:szCs w:val="22"/>
        </w:rPr>
        <w:tab/>
      </w:r>
      <w:r w:rsidRPr="005B3B88">
        <w:rPr>
          <w:b/>
          <w:bCs/>
          <w:sz w:val="22"/>
          <w:szCs w:val="22"/>
        </w:rPr>
        <w:t>Ovplyvnenie schopnosti viesť vozidlá a obsluhovať stroje</w:t>
      </w:r>
    </w:p>
    <w:p w14:paraId="2FC08819" w14:textId="77777777" w:rsidR="00A73845" w:rsidRPr="005B3B88" w:rsidRDefault="00A73845" w:rsidP="00B20146">
      <w:pPr>
        <w:pStyle w:val="Default"/>
        <w:rPr>
          <w:b/>
          <w:bCs/>
          <w:sz w:val="22"/>
          <w:szCs w:val="22"/>
        </w:rPr>
      </w:pPr>
    </w:p>
    <w:p w14:paraId="0831E487" w14:textId="77777777" w:rsidR="003F6672" w:rsidRPr="005B3B88" w:rsidRDefault="000379AB" w:rsidP="00B20146">
      <w:pPr>
        <w:pStyle w:val="Default"/>
        <w:rPr>
          <w:sz w:val="22"/>
          <w:szCs w:val="22"/>
        </w:rPr>
      </w:pPr>
      <w:r w:rsidRPr="005B3B88">
        <w:rPr>
          <w:sz w:val="22"/>
          <w:szCs w:val="22"/>
        </w:rPr>
        <w:t>Rivaroxabán</w:t>
      </w:r>
      <w:r w:rsidR="00A73845" w:rsidRPr="005B3B88">
        <w:rPr>
          <w:sz w:val="22"/>
          <w:szCs w:val="22"/>
        </w:rPr>
        <w:t xml:space="preserve"> má malý vplyv na schopnosť viesť vozidlá a obsluhovať stroje. Hlásili sa nežiaduce reakcie ako synkopa (frekvencia: menej časté) a závrat (frekvencia: časté) (pozri časť 4.8). </w:t>
      </w:r>
    </w:p>
    <w:p w14:paraId="7D18C06B" w14:textId="77777777" w:rsidR="00A73845" w:rsidRPr="005B3B88" w:rsidRDefault="00A73845" w:rsidP="00B20146">
      <w:pPr>
        <w:pStyle w:val="Default"/>
        <w:rPr>
          <w:sz w:val="22"/>
          <w:szCs w:val="22"/>
        </w:rPr>
      </w:pPr>
      <w:r w:rsidRPr="005B3B88">
        <w:rPr>
          <w:sz w:val="22"/>
          <w:szCs w:val="22"/>
        </w:rPr>
        <w:t>Pacienti pociťujúci tieto nežiaduce reakcie nesmú viesť vozidlá ani obsluhovať stroje.</w:t>
      </w:r>
    </w:p>
    <w:p w14:paraId="399ABD9C" w14:textId="77777777" w:rsidR="003F6672" w:rsidRPr="005B3B88" w:rsidRDefault="003F6672" w:rsidP="00B20146">
      <w:pPr>
        <w:pStyle w:val="Default"/>
        <w:rPr>
          <w:sz w:val="22"/>
          <w:szCs w:val="22"/>
        </w:rPr>
      </w:pPr>
    </w:p>
    <w:p w14:paraId="0068E384" w14:textId="77777777" w:rsidR="003F6672" w:rsidRPr="005B3B88" w:rsidRDefault="003F6672" w:rsidP="00B20146">
      <w:pPr>
        <w:pStyle w:val="Default"/>
        <w:tabs>
          <w:tab w:val="left" w:pos="567"/>
        </w:tabs>
        <w:rPr>
          <w:b/>
          <w:bCs/>
          <w:sz w:val="22"/>
          <w:szCs w:val="22"/>
        </w:rPr>
      </w:pPr>
      <w:r w:rsidRPr="00070743">
        <w:rPr>
          <w:b/>
          <w:bCs/>
          <w:sz w:val="22"/>
          <w:szCs w:val="22"/>
        </w:rPr>
        <w:t>4.8</w:t>
      </w:r>
      <w:r w:rsidR="00B90E0F" w:rsidRPr="00070743">
        <w:rPr>
          <w:b/>
          <w:bCs/>
          <w:sz w:val="22"/>
          <w:szCs w:val="22"/>
        </w:rPr>
        <w:tab/>
      </w:r>
      <w:r w:rsidRPr="00070743">
        <w:rPr>
          <w:b/>
          <w:bCs/>
          <w:sz w:val="22"/>
          <w:szCs w:val="22"/>
        </w:rPr>
        <w:t>Nežiaduce účinky</w:t>
      </w:r>
    </w:p>
    <w:p w14:paraId="52ECEA43" w14:textId="77777777" w:rsidR="003F6672" w:rsidRPr="005B3B88" w:rsidRDefault="003F6672" w:rsidP="00B20146">
      <w:pPr>
        <w:pStyle w:val="Default"/>
        <w:rPr>
          <w:b/>
          <w:bCs/>
          <w:sz w:val="22"/>
          <w:szCs w:val="22"/>
        </w:rPr>
      </w:pPr>
    </w:p>
    <w:p w14:paraId="65E3E5BB" w14:textId="77777777" w:rsidR="003F6672" w:rsidRPr="005B3B88" w:rsidRDefault="003F6672" w:rsidP="00B20146">
      <w:pPr>
        <w:pStyle w:val="Default"/>
        <w:rPr>
          <w:sz w:val="22"/>
          <w:szCs w:val="22"/>
          <w:u w:val="single"/>
        </w:rPr>
      </w:pPr>
      <w:r w:rsidRPr="005B3B88">
        <w:rPr>
          <w:sz w:val="22"/>
          <w:szCs w:val="22"/>
          <w:u w:val="single"/>
        </w:rPr>
        <w:t xml:space="preserve">Prehľad bezpečnostného profilu </w:t>
      </w:r>
    </w:p>
    <w:p w14:paraId="72F1138B" w14:textId="202F3BA6" w:rsidR="003F6672" w:rsidRPr="005B3B88" w:rsidRDefault="003F6672" w:rsidP="00B20146">
      <w:pPr>
        <w:pStyle w:val="Default"/>
        <w:rPr>
          <w:sz w:val="22"/>
          <w:szCs w:val="22"/>
        </w:rPr>
      </w:pPr>
      <w:r w:rsidRPr="005B3B88">
        <w:rPr>
          <w:sz w:val="22"/>
          <w:szCs w:val="22"/>
        </w:rPr>
        <w:t xml:space="preserve">Bezpečnosť </w:t>
      </w:r>
      <w:r w:rsidR="000379AB" w:rsidRPr="005B3B88">
        <w:rPr>
          <w:sz w:val="22"/>
          <w:szCs w:val="22"/>
        </w:rPr>
        <w:t>rivaroxabán</w:t>
      </w:r>
      <w:r w:rsidRPr="005B3B88">
        <w:rPr>
          <w:sz w:val="22"/>
          <w:szCs w:val="22"/>
        </w:rPr>
        <w:t xml:space="preserve">u sa hodnotila v trinástich skúšaniach fázy III zahŕňajúcich 53 103 pacientov vystavených účinku </w:t>
      </w:r>
      <w:r w:rsidR="000379AB" w:rsidRPr="005B3B88">
        <w:rPr>
          <w:sz w:val="22"/>
          <w:szCs w:val="22"/>
        </w:rPr>
        <w:t>rivaroxabán</w:t>
      </w:r>
      <w:r w:rsidRPr="005B3B88">
        <w:rPr>
          <w:sz w:val="22"/>
          <w:szCs w:val="22"/>
        </w:rPr>
        <w:t xml:space="preserve">u (pozri </w:t>
      </w:r>
      <w:r w:rsidR="00242F4F">
        <w:rPr>
          <w:sz w:val="22"/>
          <w:szCs w:val="22"/>
        </w:rPr>
        <w:t>t</w:t>
      </w:r>
      <w:r w:rsidRPr="005B3B88">
        <w:rPr>
          <w:sz w:val="22"/>
          <w:szCs w:val="22"/>
        </w:rPr>
        <w:t>abuľku 1).</w:t>
      </w:r>
    </w:p>
    <w:p w14:paraId="2587A8D2" w14:textId="77777777" w:rsidR="003F6672" w:rsidRPr="005B3B88" w:rsidRDefault="003F6672" w:rsidP="00B20146">
      <w:pPr>
        <w:pStyle w:val="Default"/>
        <w:rPr>
          <w:sz w:val="22"/>
          <w:szCs w:val="22"/>
        </w:rPr>
      </w:pPr>
    </w:p>
    <w:p w14:paraId="6064345D" w14:textId="77777777" w:rsidR="003F6672" w:rsidRPr="005B3B88" w:rsidRDefault="003F6672" w:rsidP="00B20146">
      <w:pPr>
        <w:pStyle w:val="Default"/>
        <w:rPr>
          <w:b/>
          <w:bCs/>
          <w:sz w:val="22"/>
          <w:szCs w:val="22"/>
        </w:rPr>
      </w:pPr>
      <w:r w:rsidRPr="005B3B88">
        <w:rPr>
          <w:b/>
          <w:bCs/>
          <w:sz w:val="22"/>
          <w:szCs w:val="22"/>
        </w:rPr>
        <w:t>Tabuľka 1: Počet sledovaných pacientov, celková denná dávka a maximálna dĺžka liečby v skúšaniach fázy III</w:t>
      </w:r>
    </w:p>
    <w:tbl>
      <w:tblPr>
        <w:tblW w:w="11372" w:type="dxa"/>
        <w:tblInd w:w="-108" w:type="dxa"/>
        <w:tblBorders>
          <w:top w:val="nil"/>
          <w:left w:val="nil"/>
          <w:bottom w:val="nil"/>
          <w:right w:val="nil"/>
        </w:tblBorders>
        <w:tblLayout w:type="fixed"/>
        <w:tblLook w:val="0000" w:firstRow="0" w:lastRow="0" w:firstColumn="0" w:lastColumn="0" w:noHBand="0" w:noVBand="0"/>
      </w:tblPr>
      <w:tblGrid>
        <w:gridCol w:w="9039"/>
        <w:gridCol w:w="283"/>
        <w:gridCol w:w="1276"/>
        <w:gridCol w:w="236"/>
        <w:gridCol w:w="47"/>
        <w:gridCol w:w="208"/>
        <w:gridCol w:w="28"/>
        <w:gridCol w:w="255"/>
      </w:tblGrid>
      <w:tr w:rsidR="003F6672" w:rsidRPr="005B3B88" w14:paraId="3864B140" w14:textId="77777777" w:rsidTr="007A6020">
        <w:trPr>
          <w:gridAfter w:val="2"/>
          <w:wAfter w:w="283" w:type="dxa"/>
          <w:trHeight w:val="277"/>
        </w:trPr>
        <w:tc>
          <w:tcPr>
            <w:tcW w:w="9039" w:type="dxa"/>
          </w:tcPr>
          <w:p w14:paraId="7F39B6D6" w14:textId="77777777" w:rsidR="00F56F3D" w:rsidRPr="00C444B8" w:rsidRDefault="00F56F3D" w:rsidP="00C444B8">
            <w:pPr>
              <w:spacing w:after="0" w:line="240" w:lineRule="auto"/>
              <w:rPr>
                <w:szCs w:val="24"/>
                <w:highlight w:val="yellow"/>
                <w:u w:val="single"/>
                <w:lang w:eastAsia="el-GR"/>
              </w:rPr>
            </w:pPr>
          </w:p>
          <w:tbl>
            <w:tblPr>
              <w:tblStyle w:val="Mriekatabuky"/>
              <w:tblW w:w="8892" w:type="dxa"/>
              <w:tblLayout w:type="fixed"/>
              <w:tblLook w:val="04A0" w:firstRow="1" w:lastRow="0" w:firstColumn="1" w:lastColumn="0" w:noHBand="0" w:noVBand="1"/>
            </w:tblPr>
            <w:tblGrid>
              <w:gridCol w:w="4024"/>
              <w:gridCol w:w="1352"/>
              <w:gridCol w:w="2163"/>
              <w:gridCol w:w="1353"/>
            </w:tblGrid>
            <w:tr w:rsidR="00942344" w:rsidRPr="005B3B88" w14:paraId="7071A7D2" w14:textId="77777777" w:rsidTr="00C444B8">
              <w:tc>
                <w:tcPr>
                  <w:tcW w:w="2263" w:type="pct"/>
                </w:tcPr>
                <w:p w14:paraId="642834E3" w14:textId="77777777" w:rsidR="00942344" w:rsidRPr="00C444B8" w:rsidRDefault="00942344" w:rsidP="00A53E4E">
                  <w:pPr>
                    <w:pStyle w:val="Default"/>
                    <w:rPr>
                      <w:sz w:val="22"/>
                      <w:szCs w:val="22"/>
                      <w:lang w:val="sk-SK"/>
                    </w:rPr>
                  </w:pPr>
                  <w:r w:rsidRPr="005B3B88">
                    <w:rPr>
                      <w:b/>
                      <w:bCs/>
                      <w:sz w:val="22"/>
                      <w:szCs w:val="22"/>
                    </w:rPr>
                    <w:t xml:space="preserve">Indikácia </w:t>
                  </w:r>
                </w:p>
              </w:tc>
              <w:tc>
                <w:tcPr>
                  <w:tcW w:w="760" w:type="pct"/>
                </w:tcPr>
                <w:p w14:paraId="7581E01F" w14:textId="77777777" w:rsidR="00942344" w:rsidRPr="00C444B8" w:rsidRDefault="00942344" w:rsidP="006943AB">
                  <w:pPr>
                    <w:pStyle w:val="Default"/>
                    <w:rPr>
                      <w:sz w:val="22"/>
                      <w:szCs w:val="22"/>
                      <w:lang w:val="sk-SK"/>
                    </w:rPr>
                  </w:pPr>
                  <w:r w:rsidRPr="005B3B88">
                    <w:rPr>
                      <w:b/>
                      <w:bCs/>
                      <w:sz w:val="22"/>
                      <w:szCs w:val="22"/>
                    </w:rPr>
                    <w:t xml:space="preserve">Počet pacientov* </w:t>
                  </w:r>
                </w:p>
              </w:tc>
              <w:tc>
                <w:tcPr>
                  <w:tcW w:w="1216" w:type="pct"/>
                </w:tcPr>
                <w:p w14:paraId="1280088A" w14:textId="77777777" w:rsidR="00942344" w:rsidRPr="00C444B8" w:rsidRDefault="00942344" w:rsidP="005B3B88">
                  <w:pPr>
                    <w:pStyle w:val="Default"/>
                    <w:rPr>
                      <w:sz w:val="22"/>
                      <w:szCs w:val="22"/>
                      <w:lang w:val="sk-SK"/>
                    </w:rPr>
                  </w:pPr>
                  <w:r w:rsidRPr="005B3B88">
                    <w:rPr>
                      <w:b/>
                      <w:bCs/>
                      <w:sz w:val="22"/>
                      <w:szCs w:val="22"/>
                    </w:rPr>
                    <w:t xml:space="preserve">Celková denná dávka </w:t>
                  </w:r>
                </w:p>
              </w:tc>
              <w:tc>
                <w:tcPr>
                  <w:tcW w:w="761" w:type="pct"/>
                </w:tcPr>
                <w:p w14:paraId="54D45299" w14:textId="77777777" w:rsidR="00942344" w:rsidRPr="00C444B8" w:rsidRDefault="00942344" w:rsidP="005B3B88">
                  <w:pPr>
                    <w:pStyle w:val="Default"/>
                    <w:rPr>
                      <w:sz w:val="22"/>
                      <w:szCs w:val="22"/>
                      <w:lang w:val="sk-SK"/>
                    </w:rPr>
                  </w:pPr>
                  <w:r w:rsidRPr="005B3B88">
                    <w:rPr>
                      <w:b/>
                      <w:bCs/>
                      <w:sz w:val="22"/>
                      <w:szCs w:val="22"/>
                    </w:rPr>
                    <w:t xml:space="preserve">Maximálna dĺžka liečby </w:t>
                  </w:r>
                </w:p>
              </w:tc>
            </w:tr>
            <w:tr w:rsidR="00942344" w:rsidRPr="005B3B88" w14:paraId="336F5B38" w14:textId="77777777" w:rsidTr="00C444B8">
              <w:tc>
                <w:tcPr>
                  <w:tcW w:w="2263" w:type="pct"/>
                </w:tcPr>
                <w:p w14:paraId="5340273D" w14:textId="654ECE1B" w:rsidR="00942344" w:rsidRPr="00C444B8" w:rsidRDefault="00942344" w:rsidP="00242F4F">
                  <w:pPr>
                    <w:pStyle w:val="Default"/>
                    <w:rPr>
                      <w:sz w:val="22"/>
                      <w:szCs w:val="22"/>
                      <w:lang w:val="sk-SK"/>
                    </w:rPr>
                  </w:pPr>
                  <w:r w:rsidRPr="005B3B88">
                    <w:rPr>
                      <w:sz w:val="22"/>
                      <w:szCs w:val="22"/>
                    </w:rPr>
                    <w:t>Prevencia venózn</w:t>
                  </w:r>
                  <w:r w:rsidR="009A3D36">
                    <w:rPr>
                      <w:sz w:val="22"/>
                      <w:szCs w:val="22"/>
                      <w:lang w:val="sk-SK"/>
                    </w:rPr>
                    <w:t>ej</w:t>
                  </w:r>
                  <w:r w:rsidRPr="005B3B88">
                    <w:rPr>
                      <w:sz w:val="22"/>
                      <w:szCs w:val="22"/>
                    </w:rPr>
                    <w:t xml:space="preserve"> tromboemb</w:t>
                  </w:r>
                  <w:r w:rsidR="009A3D36">
                    <w:rPr>
                      <w:sz w:val="22"/>
                      <w:szCs w:val="22"/>
                      <w:lang w:val="sk-SK"/>
                    </w:rPr>
                    <w:t>ólie</w:t>
                  </w:r>
                  <w:r w:rsidRPr="005B3B88">
                    <w:rPr>
                      <w:sz w:val="22"/>
                      <w:szCs w:val="22"/>
                    </w:rPr>
                    <w:t xml:space="preserve"> (VTE) u dospelých pacientov, ktorí podstúpili </w:t>
                  </w:r>
                  <w:r w:rsidR="00242F4F">
                    <w:rPr>
                      <w:sz w:val="22"/>
                      <w:szCs w:val="22"/>
                      <w:lang w:val="sk-SK"/>
                    </w:rPr>
                    <w:t>plá</w:t>
                  </w:r>
                  <w:r w:rsidR="00BC6A3D">
                    <w:rPr>
                      <w:sz w:val="22"/>
                      <w:szCs w:val="22"/>
                      <w:lang w:val="sk-SK"/>
                    </w:rPr>
                    <w:t>n</w:t>
                  </w:r>
                  <w:r w:rsidR="00242F4F">
                    <w:rPr>
                      <w:sz w:val="22"/>
                      <w:szCs w:val="22"/>
                      <w:lang w:val="sk-SK"/>
                    </w:rPr>
                    <w:t>ovaný</w:t>
                  </w:r>
                  <w:r w:rsidR="00242F4F" w:rsidRPr="005B3B88">
                    <w:rPr>
                      <w:sz w:val="22"/>
                      <w:szCs w:val="22"/>
                    </w:rPr>
                    <w:t xml:space="preserve"> </w:t>
                  </w:r>
                  <w:r w:rsidRPr="005B3B88">
                    <w:rPr>
                      <w:sz w:val="22"/>
                      <w:szCs w:val="22"/>
                    </w:rPr>
                    <w:t xml:space="preserve">chirurgický </w:t>
                  </w:r>
                  <w:r w:rsidR="00F56F3D" w:rsidRPr="005B3B88">
                    <w:rPr>
                      <w:sz w:val="22"/>
                      <w:szCs w:val="22"/>
                      <w:lang w:val="sk-SK"/>
                    </w:rPr>
                    <w:t>zákrok</w:t>
                  </w:r>
                  <w:r w:rsidR="001346A8">
                    <w:rPr>
                      <w:sz w:val="22"/>
                      <w:szCs w:val="22"/>
                    </w:rPr>
                    <w:t xml:space="preserve"> na nahradenie </w:t>
                  </w:r>
                  <w:r w:rsidR="001346A8" w:rsidRPr="00776297">
                    <w:rPr>
                      <w:sz w:val="22"/>
                      <w:szCs w:val="22"/>
                    </w:rPr>
                    <w:t>bedra alebo kolena</w:t>
                  </w:r>
                </w:p>
              </w:tc>
              <w:tc>
                <w:tcPr>
                  <w:tcW w:w="760" w:type="pct"/>
                </w:tcPr>
                <w:p w14:paraId="5F2E240D" w14:textId="77777777" w:rsidR="00942344" w:rsidRPr="00C444B8" w:rsidRDefault="00942344" w:rsidP="00B20146">
                  <w:pPr>
                    <w:pStyle w:val="Default"/>
                    <w:rPr>
                      <w:sz w:val="22"/>
                      <w:szCs w:val="22"/>
                      <w:lang w:val="sk-SK"/>
                    </w:rPr>
                  </w:pPr>
                  <w:r w:rsidRPr="005B3B88">
                    <w:rPr>
                      <w:sz w:val="22"/>
                      <w:szCs w:val="22"/>
                    </w:rPr>
                    <w:t xml:space="preserve">6 097 </w:t>
                  </w:r>
                </w:p>
              </w:tc>
              <w:tc>
                <w:tcPr>
                  <w:tcW w:w="1216" w:type="pct"/>
                </w:tcPr>
                <w:p w14:paraId="0829FF36"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4E307117"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35B74EC5" w14:textId="77777777" w:rsidTr="00C444B8">
              <w:tc>
                <w:tcPr>
                  <w:tcW w:w="2263" w:type="pct"/>
                </w:tcPr>
                <w:p w14:paraId="520B4158" w14:textId="77777777" w:rsidR="00942344" w:rsidRPr="00C444B8" w:rsidRDefault="00942344" w:rsidP="001E6170">
                  <w:pPr>
                    <w:pStyle w:val="Default"/>
                    <w:rPr>
                      <w:sz w:val="22"/>
                      <w:szCs w:val="22"/>
                      <w:lang w:val="sk-SK"/>
                    </w:rPr>
                  </w:pPr>
                  <w:r w:rsidRPr="005B3B88">
                    <w:rPr>
                      <w:sz w:val="22"/>
                      <w:szCs w:val="22"/>
                    </w:rPr>
                    <w:t xml:space="preserve">Prevencia VTE u </w:t>
                  </w:r>
                  <w:r w:rsidRPr="00151934">
                    <w:rPr>
                      <w:sz w:val="22"/>
                      <w:szCs w:val="22"/>
                    </w:rPr>
                    <w:t>pacientov s interným</w:t>
                  </w:r>
                  <w:r w:rsidRPr="005B3B88">
                    <w:rPr>
                      <w:sz w:val="22"/>
                      <w:szCs w:val="22"/>
                    </w:rPr>
                    <w:t xml:space="preserve"> ochorením </w:t>
                  </w:r>
                </w:p>
              </w:tc>
              <w:tc>
                <w:tcPr>
                  <w:tcW w:w="760" w:type="pct"/>
                </w:tcPr>
                <w:p w14:paraId="14D6AA2F" w14:textId="77777777" w:rsidR="00942344" w:rsidRPr="00C444B8" w:rsidRDefault="00942344" w:rsidP="00B20146">
                  <w:pPr>
                    <w:pStyle w:val="Default"/>
                    <w:rPr>
                      <w:sz w:val="22"/>
                      <w:szCs w:val="22"/>
                      <w:lang w:val="sk-SK"/>
                    </w:rPr>
                  </w:pPr>
                  <w:r w:rsidRPr="005B3B88">
                    <w:rPr>
                      <w:sz w:val="22"/>
                      <w:szCs w:val="22"/>
                    </w:rPr>
                    <w:t xml:space="preserve">3 997 </w:t>
                  </w:r>
                </w:p>
              </w:tc>
              <w:tc>
                <w:tcPr>
                  <w:tcW w:w="1216" w:type="pct"/>
                </w:tcPr>
                <w:p w14:paraId="0A4B7F0E"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0D55F57C"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178B7880" w14:textId="77777777" w:rsidTr="00C444B8">
              <w:tc>
                <w:tcPr>
                  <w:tcW w:w="2263" w:type="pct"/>
                </w:tcPr>
                <w:p w14:paraId="5455A24C" w14:textId="77777777" w:rsidR="00942344" w:rsidRPr="00C444B8" w:rsidRDefault="00942344" w:rsidP="001E6170">
                  <w:pPr>
                    <w:pStyle w:val="Default"/>
                    <w:rPr>
                      <w:sz w:val="22"/>
                      <w:szCs w:val="22"/>
                      <w:lang w:val="sk-SK"/>
                    </w:rPr>
                  </w:pPr>
                  <w:r w:rsidRPr="005B3B88">
                    <w:rPr>
                      <w:sz w:val="22"/>
                      <w:szCs w:val="22"/>
                    </w:rPr>
                    <w:t xml:space="preserve">Liečba a prevencia rekurencie </w:t>
                  </w:r>
                  <w:r w:rsidR="00070743">
                    <w:rPr>
                      <w:sz w:val="22"/>
                      <w:szCs w:val="22"/>
                      <w:lang w:val="sk-SK"/>
                    </w:rPr>
                    <w:t>hlbokej žilovej trombózy (</w:t>
                  </w:r>
                  <w:r w:rsidRPr="005B3B88">
                    <w:rPr>
                      <w:sz w:val="22"/>
                      <w:szCs w:val="22"/>
                    </w:rPr>
                    <w:t>DVT</w:t>
                  </w:r>
                  <w:r w:rsidR="00070743">
                    <w:rPr>
                      <w:sz w:val="22"/>
                      <w:szCs w:val="22"/>
                      <w:lang w:val="sk-SK"/>
                    </w:rPr>
                    <w:t>)</w:t>
                  </w:r>
                  <w:r w:rsidRPr="005B3B88">
                    <w:rPr>
                      <w:sz w:val="22"/>
                      <w:szCs w:val="22"/>
                    </w:rPr>
                    <w:t xml:space="preserve"> a</w:t>
                  </w:r>
                  <w:r w:rsidR="00070743">
                    <w:rPr>
                      <w:sz w:val="22"/>
                      <w:szCs w:val="22"/>
                    </w:rPr>
                    <w:t> </w:t>
                  </w:r>
                  <w:r w:rsidR="00070743">
                    <w:rPr>
                      <w:sz w:val="22"/>
                      <w:szCs w:val="22"/>
                      <w:lang w:val="sk-SK"/>
                    </w:rPr>
                    <w:t>pľúcnej embólie (</w:t>
                  </w:r>
                  <w:r w:rsidRPr="005B3B88">
                    <w:rPr>
                      <w:sz w:val="22"/>
                      <w:szCs w:val="22"/>
                    </w:rPr>
                    <w:t>PE</w:t>
                  </w:r>
                  <w:r w:rsidR="00070743">
                    <w:rPr>
                      <w:sz w:val="22"/>
                      <w:szCs w:val="22"/>
                      <w:lang w:val="sk-SK"/>
                    </w:rPr>
                    <w:t>)</w:t>
                  </w:r>
                  <w:r w:rsidRPr="005B3B88">
                    <w:rPr>
                      <w:sz w:val="22"/>
                      <w:szCs w:val="22"/>
                    </w:rPr>
                    <w:t xml:space="preserve"> </w:t>
                  </w:r>
                </w:p>
              </w:tc>
              <w:tc>
                <w:tcPr>
                  <w:tcW w:w="760" w:type="pct"/>
                </w:tcPr>
                <w:p w14:paraId="7440296E" w14:textId="77777777" w:rsidR="00942344" w:rsidRPr="00C444B8" w:rsidRDefault="00942344" w:rsidP="00B20146">
                  <w:pPr>
                    <w:pStyle w:val="Default"/>
                    <w:rPr>
                      <w:sz w:val="22"/>
                      <w:szCs w:val="22"/>
                      <w:lang w:val="sk-SK"/>
                    </w:rPr>
                  </w:pPr>
                  <w:r w:rsidRPr="005B3B88">
                    <w:rPr>
                      <w:sz w:val="22"/>
                      <w:szCs w:val="22"/>
                    </w:rPr>
                    <w:t xml:space="preserve">6 790 </w:t>
                  </w:r>
                </w:p>
              </w:tc>
              <w:tc>
                <w:tcPr>
                  <w:tcW w:w="1216" w:type="pct"/>
                </w:tcPr>
                <w:p w14:paraId="5C824969" w14:textId="77777777" w:rsidR="00942344" w:rsidRPr="00C444B8" w:rsidRDefault="00942344" w:rsidP="00B20146">
                  <w:pPr>
                    <w:pStyle w:val="Default"/>
                    <w:rPr>
                      <w:sz w:val="22"/>
                      <w:szCs w:val="22"/>
                      <w:lang w:val="sk-SK"/>
                    </w:rPr>
                  </w:pPr>
                  <w:r w:rsidRPr="005B3B88">
                    <w:rPr>
                      <w:sz w:val="22"/>
                      <w:szCs w:val="22"/>
                    </w:rPr>
                    <w:t xml:space="preserve">1.-21. deň: 30 mg </w:t>
                  </w:r>
                </w:p>
                <w:p w14:paraId="0D472314" w14:textId="77777777" w:rsidR="00942344" w:rsidRPr="00C444B8" w:rsidRDefault="00942344" w:rsidP="00B20146">
                  <w:pPr>
                    <w:pStyle w:val="Default"/>
                    <w:rPr>
                      <w:sz w:val="22"/>
                      <w:szCs w:val="22"/>
                      <w:lang w:val="sk-SK"/>
                    </w:rPr>
                  </w:pPr>
                  <w:r w:rsidRPr="005B3B88">
                    <w:rPr>
                      <w:sz w:val="22"/>
                      <w:szCs w:val="22"/>
                    </w:rPr>
                    <w:t xml:space="preserve">22. deň a nasledujúce: 20 mg </w:t>
                  </w:r>
                </w:p>
                <w:p w14:paraId="7D197940" w14:textId="77777777" w:rsidR="00942344" w:rsidRPr="00C444B8" w:rsidRDefault="00942344" w:rsidP="00B20146">
                  <w:pPr>
                    <w:pStyle w:val="Default"/>
                    <w:rPr>
                      <w:sz w:val="22"/>
                      <w:szCs w:val="22"/>
                      <w:lang w:val="sk-SK"/>
                    </w:rPr>
                  </w:pPr>
                  <w:r w:rsidRPr="005B3B88">
                    <w:rPr>
                      <w:sz w:val="22"/>
                      <w:szCs w:val="22"/>
                    </w:rPr>
                    <w:t xml:space="preserve">po najmenej 6 mesiacoch: 10 mg alebo 20 mg </w:t>
                  </w:r>
                </w:p>
              </w:tc>
              <w:tc>
                <w:tcPr>
                  <w:tcW w:w="761" w:type="pct"/>
                </w:tcPr>
                <w:p w14:paraId="554D74ED" w14:textId="77777777" w:rsidR="00942344" w:rsidRPr="00C444B8" w:rsidRDefault="00942344" w:rsidP="00B20146">
                  <w:pPr>
                    <w:pStyle w:val="Default"/>
                    <w:rPr>
                      <w:sz w:val="22"/>
                      <w:szCs w:val="22"/>
                      <w:lang w:val="sk-SK"/>
                    </w:rPr>
                  </w:pPr>
                  <w:r w:rsidRPr="005B3B88">
                    <w:rPr>
                      <w:sz w:val="22"/>
                      <w:szCs w:val="22"/>
                    </w:rPr>
                    <w:t xml:space="preserve">21 mesiacov </w:t>
                  </w:r>
                </w:p>
              </w:tc>
            </w:tr>
            <w:tr w:rsidR="00942344" w:rsidRPr="005B3B88" w14:paraId="3BBA91FC" w14:textId="77777777" w:rsidTr="00C444B8">
              <w:tc>
                <w:tcPr>
                  <w:tcW w:w="2263" w:type="pct"/>
                </w:tcPr>
                <w:p w14:paraId="5C9A7627" w14:textId="7DE54ABE" w:rsidR="00942344" w:rsidRPr="00C444B8" w:rsidRDefault="00942344" w:rsidP="001E6170">
                  <w:pPr>
                    <w:pStyle w:val="Default"/>
                    <w:rPr>
                      <w:sz w:val="22"/>
                      <w:szCs w:val="22"/>
                      <w:lang w:val="sk-SK"/>
                    </w:rPr>
                  </w:pPr>
                  <w:r w:rsidRPr="005B3B88">
                    <w:rPr>
                      <w:sz w:val="22"/>
                      <w:szCs w:val="22"/>
                    </w:rPr>
                    <w:t>Prevencia cievnej mozgovej príhody a systémovej emb</w:t>
                  </w:r>
                  <w:r w:rsidR="00A95160">
                    <w:rPr>
                      <w:sz w:val="22"/>
                      <w:szCs w:val="22"/>
                      <w:lang w:val="sk-SK"/>
                    </w:rPr>
                    <w:t>ólie</w:t>
                  </w:r>
                  <w:r w:rsidRPr="005B3B88">
                    <w:rPr>
                      <w:sz w:val="22"/>
                      <w:szCs w:val="22"/>
                    </w:rPr>
                    <w:t xml:space="preserve"> u pacientov s nevalvulárnou fibriláciou</w:t>
                  </w:r>
                  <w:r w:rsidR="006073F5" w:rsidRPr="005B3B88">
                    <w:rPr>
                      <w:sz w:val="22"/>
                      <w:szCs w:val="22"/>
                      <w:lang w:val="sk-SK"/>
                    </w:rPr>
                    <w:t xml:space="preserve"> predsiení</w:t>
                  </w:r>
                </w:p>
              </w:tc>
              <w:tc>
                <w:tcPr>
                  <w:tcW w:w="760" w:type="pct"/>
                </w:tcPr>
                <w:p w14:paraId="2CB3A417" w14:textId="77777777" w:rsidR="00942344" w:rsidRPr="00C444B8" w:rsidRDefault="00942344" w:rsidP="00B20146">
                  <w:pPr>
                    <w:pStyle w:val="Default"/>
                    <w:rPr>
                      <w:sz w:val="22"/>
                      <w:szCs w:val="22"/>
                      <w:lang w:val="sk-SK"/>
                    </w:rPr>
                  </w:pPr>
                  <w:r w:rsidRPr="005B3B88">
                    <w:rPr>
                      <w:sz w:val="22"/>
                      <w:szCs w:val="22"/>
                    </w:rPr>
                    <w:t xml:space="preserve">7 750 </w:t>
                  </w:r>
                </w:p>
              </w:tc>
              <w:tc>
                <w:tcPr>
                  <w:tcW w:w="1216" w:type="pct"/>
                </w:tcPr>
                <w:p w14:paraId="02AACBBE" w14:textId="77777777" w:rsidR="00942344" w:rsidRPr="00C444B8" w:rsidRDefault="00942344" w:rsidP="00B20146">
                  <w:pPr>
                    <w:pStyle w:val="Default"/>
                    <w:rPr>
                      <w:sz w:val="22"/>
                      <w:szCs w:val="22"/>
                      <w:lang w:val="sk-SK"/>
                    </w:rPr>
                  </w:pPr>
                  <w:r w:rsidRPr="005B3B88">
                    <w:rPr>
                      <w:sz w:val="22"/>
                      <w:szCs w:val="22"/>
                    </w:rPr>
                    <w:t xml:space="preserve">20 mg </w:t>
                  </w:r>
                </w:p>
              </w:tc>
              <w:tc>
                <w:tcPr>
                  <w:tcW w:w="761" w:type="pct"/>
                </w:tcPr>
                <w:p w14:paraId="6D56F324" w14:textId="77777777" w:rsidR="00942344" w:rsidRPr="00C444B8" w:rsidRDefault="00942344" w:rsidP="00B20146">
                  <w:pPr>
                    <w:pStyle w:val="Default"/>
                    <w:rPr>
                      <w:sz w:val="22"/>
                      <w:szCs w:val="22"/>
                      <w:lang w:val="sk-SK"/>
                    </w:rPr>
                  </w:pPr>
                  <w:r w:rsidRPr="005B3B88">
                    <w:rPr>
                      <w:sz w:val="22"/>
                      <w:szCs w:val="22"/>
                    </w:rPr>
                    <w:t xml:space="preserve">41 mesiacov </w:t>
                  </w:r>
                </w:p>
              </w:tc>
            </w:tr>
            <w:tr w:rsidR="00942344" w:rsidRPr="005B3B88" w14:paraId="327C88EF" w14:textId="77777777" w:rsidTr="00C444B8">
              <w:tc>
                <w:tcPr>
                  <w:tcW w:w="2263" w:type="pct"/>
                </w:tcPr>
                <w:p w14:paraId="7F7F3C4C" w14:textId="77777777" w:rsidR="00942344" w:rsidRPr="00C444B8" w:rsidRDefault="00942344" w:rsidP="001E6170">
                  <w:pPr>
                    <w:pStyle w:val="Default"/>
                    <w:rPr>
                      <w:sz w:val="22"/>
                      <w:szCs w:val="22"/>
                      <w:lang w:val="sk-SK"/>
                    </w:rPr>
                  </w:pPr>
                  <w:r w:rsidRPr="005B3B88">
                    <w:rPr>
                      <w:sz w:val="22"/>
                      <w:szCs w:val="22"/>
                    </w:rPr>
                    <w:t xml:space="preserve">Prevencia aterotrombotických príhod u </w:t>
                  </w:r>
                  <w:r w:rsidRPr="005B3B88">
                    <w:rPr>
                      <w:sz w:val="22"/>
                      <w:szCs w:val="22"/>
                    </w:rPr>
                    <w:lastRenderedPageBreak/>
                    <w:t xml:space="preserve">pacientov po prekonaní akútneho koronárneho syndrómu (ACS) </w:t>
                  </w:r>
                </w:p>
              </w:tc>
              <w:tc>
                <w:tcPr>
                  <w:tcW w:w="760" w:type="pct"/>
                </w:tcPr>
                <w:p w14:paraId="4F3921F3" w14:textId="77777777" w:rsidR="00942344" w:rsidRPr="00C444B8" w:rsidRDefault="00942344" w:rsidP="00B20146">
                  <w:pPr>
                    <w:pStyle w:val="Default"/>
                    <w:rPr>
                      <w:sz w:val="22"/>
                      <w:szCs w:val="22"/>
                      <w:lang w:val="sk-SK"/>
                    </w:rPr>
                  </w:pPr>
                  <w:r w:rsidRPr="005B3B88">
                    <w:rPr>
                      <w:sz w:val="22"/>
                      <w:szCs w:val="22"/>
                    </w:rPr>
                    <w:lastRenderedPageBreak/>
                    <w:t xml:space="preserve">10 225 </w:t>
                  </w:r>
                </w:p>
              </w:tc>
              <w:tc>
                <w:tcPr>
                  <w:tcW w:w="1216" w:type="pct"/>
                </w:tcPr>
                <w:p w14:paraId="5DD8484F" w14:textId="77777777" w:rsidR="00942344" w:rsidRPr="00C444B8" w:rsidRDefault="00942344" w:rsidP="00B20146">
                  <w:pPr>
                    <w:pStyle w:val="Default"/>
                    <w:rPr>
                      <w:sz w:val="22"/>
                      <w:szCs w:val="22"/>
                      <w:lang w:val="sk-SK"/>
                    </w:rPr>
                  </w:pPr>
                  <w:r w:rsidRPr="005B3B88">
                    <w:rPr>
                      <w:sz w:val="22"/>
                      <w:szCs w:val="22"/>
                    </w:rPr>
                    <w:t xml:space="preserve">5 mg alebo 10 mg, </w:t>
                  </w:r>
                  <w:r w:rsidRPr="005B3B88">
                    <w:rPr>
                      <w:sz w:val="22"/>
                      <w:szCs w:val="22"/>
                    </w:rPr>
                    <w:lastRenderedPageBreak/>
                    <w:t xml:space="preserve">resp., </w:t>
                  </w:r>
                  <w:r w:rsidR="0046304A" w:rsidRPr="005B3B88">
                    <w:rPr>
                      <w:sz w:val="22"/>
                      <w:szCs w:val="22"/>
                      <w:lang w:val="sk-SK"/>
                    </w:rPr>
                    <w:t>súbežne užívaných</w:t>
                  </w:r>
                  <w:r w:rsidR="0046304A" w:rsidRPr="00AB5029">
                    <w:rPr>
                      <w:sz w:val="22"/>
                      <w:szCs w:val="22"/>
                      <w:lang w:val="sk-SK"/>
                    </w:rPr>
                    <w:t xml:space="preserve"> s</w:t>
                  </w:r>
                  <w:r w:rsidRPr="005B3B88">
                    <w:rPr>
                      <w:sz w:val="22"/>
                      <w:szCs w:val="22"/>
                    </w:rPr>
                    <w:t xml:space="preserve"> ASA alebo </w:t>
                  </w:r>
                  <w:r w:rsidR="0046304A" w:rsidRPr="005B3B88">
                    <w:rPr>
                      <w:sz w:val="22"/>
                      <w:szCs w:val="22"/>
                      <w:lang w:val="sk-SK"/>
                    </w:rPr>
                    <w:t xml:space="preserve">s </w:t>
                  </w:r>
                  <w:r w:rsidRPr="005B3B88">
                    <w:rPr>
                      <w:sz w:val="22"/>
                      <w:szCs w:val="22"/>
                    </w:rPr>
                    <w:t xml:space="preserve">ASA spolu s klopidogrelom alebo tiklopidínom </w:t>
                  </w:r>
                </w:p>
              </w:tc>
              <w:tc>
                <w:tcPr>
                  <w:tcW w:w="761" w:type="pct"/>
                </w:tcPr>
                <w:p w14:paraId="4D5AE128" w14:textId="77777777" w:rsidR="00942344" w:rsidRPr="00C444B8" w:rsidRDefault="00942344" w:rsidP="00B20146">
                  <w:pPr>
                    <w:pStyle w:val="Default"/>
                    <w:rPr>
                      <w:sz w:val="22"/>
                      <w:szCs w:val="22"/>
                      <w:lang w:val="sk-SK"/>
                    </w:rPr>
                  </w:pPr>
                  <w:r w:rsidRPr="005B3B88">
                    <w:rPr>
                      <w:sz w:val="22"/>
                      <w:szCs w:val="22"/>
                    </w:rPr>
                    <w:lastRenderedPageBreak/>
                    <w:t xml:space="preserve">31 mesiacov </w:t>
                  </w:r>
                </w:p>
              </w:tc>
            </w:tr>
            <w:tr w:rsidR="00942344" w:rsidRPr="005B3B88" w14:paraId="39ED0960" w14:textId="77777777" w:rsidTr="00C444B8">
              <w:tc>
                <w:tcPr>
                  <w:tcW w:w="2263" w:type="pct"/>
                </w:tcPr>
                <w:p w14:paraId="6E9E04A6" w14:textId="77777777" w:rsidR="00942344" w:rsidRPr="00C444B8" w:rsidRDefault="00942344" w:rsidP="001E6170">
                  <w:pPr>
                    <w:pStyle w:val="Default"/>
                    <w:rPr>
                      <w:sz w:val="22"/>
                      <w:szCs w:val="22"/>
                      <w:lang w:val="sk-SK"/>
                    </w:rPr>
                  </w:pPr>
                  <w:r w:rsidRPr="005B3B88">
                    <w:rPr>
                      <w:sz w:val="22"/>
                      <w:szCs w:val="22"/>
                    </w:rPr>
                    <w:t xml:space="preserve">Prevencia arterotrombotických príhod u pacientov s CAD/PAD </w:t>
                  </w:r>
                </w:p>
              </w:tc>
              <w:tc>
                <w:tcPr>
                  <w:tcW w:w="760" w:type="pct"/>
                </w:tcPr>
                <w:p w14:paraId="3F254D9D" w14:textId="77777777" w:rsidR="00942344" w:rsidRPr="00C444B8" w:rsidRDefault="00942344" w:rsidP="00B20146">
                  <w:pPr>
                    <w:pStyle w:val="Default"/>
                    <w:rPr>
                      <w:sz w:val="22"/>
                      <w:szCs w:val="22"/>
                      <w:lang w:val="sk-SK"/>
                    </w:rPr>
                  </w:pPr>
                  <w:r w:rsidRPr="005B3B88">
                    <w:rPr>
                      <w:sz w:val="22"/>
                      <w:szCs w:val="22"/>
                    </w:rPr>
                    <w:t xml:space="preserve">18 244 </w:t>
                  </w:r>
                </w:p>
              </w:tc>
              <w:tc>
                <w:tcPr>
                  <w:tcW w:w="1216" w:type="pct"/>
                </w:tcPr>
                <w:p w14:paraId="151F5CE0" w14:textId="77777777" w:rsidR="00942344" w:rsidRPr="00C444B8" w:rsidRDefault="00942344" w:rsidP="00B20146">
                  <w:pPr>
                    <w:pStyle w:val="Default"/>
                    <w:rPr>
                      <w:sz w:val="22"/>
                      <w:szCs w:val="22"/>
                      <w:lang w:val="sk-SK"/>
                    </w:rPr>
                  </w:pPr>
                  <w:r w:rsidRPr="005B3B88">
                    <w:rPr>
                      <w:sz w:val="22"/>
                      <w:szCs w:val="22"/>
                    </w:rPr>
                    <w:t xml:space="preserve">5 mg spolu s ASA alebo 10 mg samostatne </w:t>
                  </w:r>
                </w:p>
              </w:tc>
              <w:tc>
                <w:tcPr>
                  <w:tcW w:w="761" w:type="pct"/>
                </w:tcPr>
                <w:p w14:paraId="6F3AB2DF" w14:textId="77777777" w:rsidR="00942344" w:rsidRPr="00C444B8" w:rsidRDefault="00942344" w:rsidP="00B20146">
                  <w:pPr>
                    <w:pStyle w:val="Default"/>
                    <w:rPr>
                      <w:sz w:val="22"/>
                      <w:szCs w:val="22"/>
                      <w:lang w:val="sk-SK"/>
                    </w:rPr>
                  </w:pPr>
                  <w:r w:rsidRPr="005B3B88">
                    <w:rPr>
                      <w:sz w:val="22"/>
                      <w:szCs w:val="22"/>
                    </w:rPr>
                    <w:t xml:space="preserve">47 mesiacov </w:t>
                  </w:r>
                </w:p>
              </w:tc>
            </w:tr>
          </w:tbl>
          <w:p w14:paraId="558D8529" w14:textId="77777777" w:rsidR="00F76FE3" w:rsidRPr="005B3B88" w:rsidRDefault="00F76FE3" w:rsidP="001E6170">
            <w:pPr>
              <w:rPr>
                <w:rFonts w:ascii="Times New Roman" w:hAnsi="Times New Roman" w:cs="Times New Roman"/>
              </w:rPr>
            </w:pPr>
            <w:r w:rsidRPr="005B3B88">
              <w:rPr>
                <w:rFonts w:ascii="Times New Roman" w:hAnsi="Times New Roman" w:cs="Times New Roman"/>
              </w:rPr>
              <w:t xml:space="preserve">*Pacienti vystavení minimálne jednej dávke </w:t>
            </w:r>
            <w:r w:rsidR="000379AB" w:rsidRPr="005B3B88">
              <w:rPr>
                <w:rFonts w:ascii="Times New Roman" w:hAnsi="Times New Roman" w:cs="Times New Roman"/>
              </w:rPr>
              <w:t>rivaroxabán</w:t>
            </w:r>
            <w:r w:rsidRPr="005B3B88">
              <w:rPr>
                <w:rFonts w:ascii="Times New Roman" w:hAnsi="Times New Roman" w:cs="Times New Roman"/>
              </w:rPr>
              <w:t>u</w:t>
            </w:r>
          </w:p>
          <w:p w14:paraId="313A5534" w14:textId="6071609E" w:rsidR="0046304A" w:rsidRPr="00C444B8" w:rsidRDefault="00F76FE3" w:rsidP="00C444B8">
            <w:pPr>
              <w:spacing w:after="0" w:line="240" w:lineRule="auto"/>
              <w:rPr>
                <w:rFonts w:ascii="Times New Roman" w:hAnsi="Times New Roman" w:cs="Times New Roman"/>
                <w:b/>
                <w:color w:val="000000" w:themeColor="text1"/>
                <w:szCs w:val="24"/>
                <w:u w:val="single"/>
                <w:lang w:eastAsia="el-GR"/>
              </w:rPr>
            </w:pPr>
            <w:r w:rsidRPr="005B3B88">
              <w:rPr>
                <w:rFonts w:ascii="Times New Roman" w:hAnsi="Times New Roman" w:cs="Times New Roman"/>
              </w:rPr>
              <w:t xml:space="preserve">Najčastejšie hlásenými nežiaducimi reakciami u pacientov užívajúcich </w:t>
            </w:r>
            <w:r w:rsidR="000379AB" w:rsidRPr="005B3B88">
              <w:rPr>
                <w:rFonts w:ascii="Times New Roman" w:hAnsi="Times New Roman" w:cs="Times New Roman"/>
              </w:rPr>
              <w:t>rivaroxabán</w:t>
            </w:r>
            <w:r w:rsidRPr="005B3B88">
              <w:rPr>
                <w:rFonts w:ascii="Times New Roman" w:hAnsi="Times New Roman" w:cs="Times New Roman"/>
              </w:rPr>
              <w:t xml:space="preserve"> boli krvácania (pozri časť 4.4 a „Popis vybraných nežiaducich účinkov“ nižšie)</w:t>
            </w:r>
            <w:r w:rsidR="0046304A" w:rsidRPr="005B3B88">
              <w:t xml:space="preserve"> </w:t>
            </w:r>
            <w:r w:rsidR="0046304A" w:rsidRPr="005B3B88">
              <w:rPr>
                <w:rFonts w:ascii="Times New Roman" w:hAnsi="Times New Roman" w:cs="Times New Roman"/>
              </w:rPr>
              <w:t>(</w:t>
            </w:r>
            <w:r w:rsidR="00242F4F">
              <w:rPr>
                <w:rFonts w:ascii="Times New Roman" w:hAnsi="Times New Roman" w:cs="Times New Roman"/>
              </w:rPr>
              <w:t>t</w:t>
            </w:r>
            <w:r w:rsidR="0046304A" w:rsidRPr="005B3B88">
              <w:rPr>
                <w:rFonts w:ascii="Times New Roman" w:hAnsi="Times New Roman" w:cs="Times New Roman"/>
              </w:rPr>
              <w:t>abuľka 2)</w:t>
            </w:r>
            <w:r w:rsidRPr="005B3B88">
              <w:rPr>
                <w:rFonts w:ascii="Times New Roman" w:hAnsi="Times New Roman" w:cs="Times New Roman"/>
              </w:rPr>
              <w:t>. Najčastejšie hlásenými krvácaniami boli epistaxa (4,5 %) a krvácanie do gastrointestinálneho traktu (3,8 %).</w:t>
            </w:r>
          </w:p>
          <w:p w14:paraId="25E38788" w14:textId="77777777" w:rsidR="0046304A" w:rsidRPr="00C444B8" w:rsidRDefault="0046304A" w:rsidP="00C444B8">
            <w:pPr>
              <w:spacing w:after="0" w:line="240" w:lineRule="auto"/>
              <w:rPr>
                <w:rFonts w:ascii="Times New Roman" w:hAnsi="Times New Roman" w:cs="Times New Roman"/>
                <w:b/>
                <w:color w:val="000000" w:themeColor="text1"/>
                <w:szCs w:val="24"/>
                <w:u w:val="single"/>
                <w:lang w:eastAsia="el-GR"/>
              </w:rPr>
            </w:pPr>
          </w:p>
          <w:p w14:paraId="24D32581" w14:textId="77777777" w:rsidR="00942344" w:rsidRPr="005B3B88" w:rsidRDefault="00F76FE3" w:rsidP="00C444B8">
            <w:pPr>
              <w:spacing w:after="0" w:line="240" w:lineRule="auto"/>
              <w:rPr>
                <w:rFonts w:ascii="Times New Roman" w:hAnsi="Times New Roman" w:cs="Times New Roman"/>
                <w:b/>
                <w:bCs/>
              </w:rPr>
            </w:pPr>
            <w:r w:rsidRPr="005B3B88">
              <w:rPr>
                <w:rFonts w:ascii="Times New Roman" w:hAnsi="Times New Roman" w:cs="Times New Roman"/>
                <w:b/>
                <w:bCs/>
              </w:rPr>
              <w:t xml:space="preserve">Tabuľka 2: Frekvencia výskytu krvácania* a anémie u pacientov liečených </w:t>
            </w:r>
            <w:r w:rsidR="000379AB" w:rsidRPr="00AB5029">
              <w:rPr>
                <w:rFonts w:ascii="Times New Roman" w:hAnsi="Times New Roman" w:cs="Times New Roman"/>
                <w:b/>
                <w:bCs/>
              </w:rPr>
              <w:t>rivaroxabán</w:t>
            </w:r>
            <w:r w:rsidRPr="00AB5029">
              <w:rPr>
                <w:rFonts w:ascii="Times New Roman" w:hAnsi="Times New Roman" w:cs="Times New Roman"/>
                <w:b/>
                <w:bCs/>
              </w:rPr>
              <w:t>om v rámci všetkých ukončených štúdií fázy III</w:t>
            </w:r>
          </w:p>
          <w:p w14:paraId="53528913" w14:textId="77777777" w:rsidR="00A53E4E" w:rsidRPr="005B3B88" w:rsidRDefault="00A53E4E" w:rsidP="00C444B8">
            <w:pPr>
              <w:spacing w:after="0" w:line="240" w:lineRule="auto"/>
              <w:rPr>
                <w:rFonts w:ascii="Times New Roman" w:hAnsi="Times New Roman" w:cs="Times New Roman"/>
                <w:b/>
                <w:bCs/>
              </w:rPr>
            </w:pPr>
          </w:p>
          <w:tbl>
            <w:tblPr>
              <w:tblStyle w:val="Mriekatabuky"/>
              <w:tblW w:w="8892" w:type="dxa"/>
              <w:tblLayout w:type="fixed"/>
              <w:tblCellMar>
                <w:left w:w="70" w:type="dxa"/>
                <w:right w:w="70" w:type="dxa"/>
              </w:tblCellMar>
              <w:tblLook w:val="0000" w:firstRow="0" w:lastRow="0" w:firstColumn="0" w:lastColumn="0" w:noHBand="0" w:noVBand="0"/>
            </w:tblPr>
            <w:tblGrid>
              <w:gridCol w:w="3080"/>
              <w:gridCol w:w="1843"/>
              <w:gridCol w:w="3969"/>
            </w:tblGrid>
            <w:tr w:rsidR="00373472" w:rsidRPr="005B3B88" w14:paraId="43CC0B37" w14:textId="77777777" w:rsidTr="00373472">
              <w:trPr>
                <w:trHeight w:val="450"/>
              </w:trPr>
              <w:tc>
                <w:tcPr>
                  <w:tcW w:w="3080" w:type="dxa"/>
                </w:tcPr>
                <w:p w14:paraId="2061751F" w14:textId="77777777" w:rsidR="00373472" w:rsidRPr="00C444B8" w:rsidRDefault="00373472" w:rsidP="001E6170">
                  <w:pPr>
                    <w:pStyle w:val="Default"/>
                    <w:rPr>
                      <w:sz w:val="22"/>
                      <w:szCs w:val="22"/>
                      <w:lang w:val="sk-SK"/>
                    </w:rPr>
                  </w:pPr>
                  <w:r w:rsidRPr="005B3B88">
                    <w:rPr>
                      <w:b/>
                      <w:bCs/>
                      <w:sz w:val="22"/>
                      <w:szCs w:val="22"/>
                    </w:rPr>
                    <w:t xml:space="preserve">Indikácia </w:t>
                  </w:r>
                </w:p>
              </w:tc>
              <w:tc>
                <w:tcPr>
                  <w:tcW w:w="1843" w:type="dxa"/>
                  <w:tcBorders>
                    <w:bottom w:val="nil"/>
                  </w:tcBorders>
                </w:tcPr>
                <w:p w14:paraId="55D6EA38" w14:textId="77777777" w:rsidR="00373472" w:rsidRPr="00C444B8" w:rsidRDefault="00373472" w:rsidP="00B20146">
                  <w:pPr>
                    <w:pStyle w:val="Default"/>
                    <w:rPr>
                      <w:sz w:val="22"/>
                      <w:szCs w:val="22"/>
                      <w:lang w:val="sk-SK"/>
                    </w:rPr>
                  </w:pPr>
                  <w:r w:rsidRPr="005B3B88">
                    <w:rPr>
                      <w:b/>
                      <w:bCs/>
                      <w:sz w:val="22"/>
                      <w:szCs w:val="22"/>
                    </w:rPr>
                    <w:t xml:space="preserve">Akékoľvek krvácanie </w:t>
                  </w:r>
                </w:p>
              </w:tc>
              <w:tc>
                <w:tcPr>
                  <w:tcW w:w="3969" w:type="dxa"/>
                </w:tcPr>
                <w:p w14:paraId="30E45CE2" w14:textId="77777777" w:rsidR="00373472" w:rsidRPr="00C444B8" w:rsidRDefault="00373472" w:rsidP="00B20146">
                  <w:pPr>
                    <w:pStyle w:val="Default"/>
                    <w:rPr>
                      <w:sz w:val="22"/>
                      <w:szCs w:val="22"/>
                      <w:lang w:val="sk-SK"/>
                    </w:rPr>
                  </w:pPr>
                  <w:r w:rsidRPr="005B3B88">
                    <w:rPr>
                      <w:b/>
                      <w:bCs/>
                      <w:sz w:val="22"/>
                      <w:szCs w:val="22"/>
                    </w:rPr>
                    <w:t xml:space="preserve">Anémia </w:t>
                  </w:r>
                </w:p>
              </w:tc>
            </w:tr>
            <w:tr w:rsidR="00373472" w:rsidRPr="005B3B88" w14:paraId="1FBDFDAF" w14:textId="77777777" w:rsidTr="00373472">
              <w:tblPrEx>
                <w:tblCellMar>
                  <w:left w:w="108" w:type="dxa"/>
                  <w:right w:w="108" w:type="dxa"/>
                </w:tblCellMar>
                <w:tblLook w:val="04A0" w:firstRow="1" w:lastRow="0" w:firstColumn="1" w:lastColumn="0" w:noHBand="0" w:noVBand="1"/>
              </w:tblPrEx>
              <w:trPr>
                <w:trHeight w:val="552"/>
              </w:trPr>
              <w:tc>
                <w:tcPr>
                  <w:tcW w:w="3080" w:type="dxa"/>
                </w:tcPr>
                <w:p w14:paraId="05D710E7" w14:textId="43EA86FA" w:rsidR="00373472" w:rsidRPr="00C444B8" w:rsidRDefault="00373472" w:rsidP="001E6170">
                  <w:pPr>
                    <w:pStyle w:val="Default"/>
                    <w:rPr>
                      <w:sz w:val="22"/>
                      <w:szCs w:val="22"/>
                      <w:lang w:val="sk-SK"/>
                    </w:rPr>
                  </w:pPr>
                  <w:r w:rsidRPr="005B3B88">
                    <w:rPr>
                      <w:sz w:val="22"/>
                      <w:szCs w:val="22"/>
                    </w:rPr>
                    <w:t xml:space="preserve">Prevencia VTE u dospelých pacientov podstupujúcich </w:t>
                  </w:r>
                  <w:r w:rsidR="00242F4F">
                    <w:rPr>
                      <w:sz w:val="22"/>
                      <w:szCs w:val="22"/>
                      <w:lang w:val="sk-SK"/>
                    </w:rPr>
                    <w:t>plánovaný</w:t>
                  </w:r>
                  <w:r w:rsidRPr="005B3B88">
                    <w:rPr>
                      <w:sz w:val="22"/>
                      <w:szCs w:val="22"/>
                    </w:rPr>
                    <w:t xml:space="preserve"> chirurgický </w:t>
                  </w:r>
                  <w:r w:rsidRPr="005B3B88">
                    <w:rPr>
                      <w:sz w:val="22"/>
                      <w:szCs w:val="22"/>
                      <w:lang w:val="sk-SK"/>
                    </w:rPr>
                    <w:t>zákrok</w:t>
                  </w:r>
                  <w:r w:rsidR="001346A8">
                    <w:rPr>
                      <w:sz w:val="22"/>
                      <w:szCs w:val="22"/>
                    </w:rPr>
                    <w:t xml:space="preserve"> na nahraden</w:t>
                  </w:r>
                  <w:r w:rsidR="001346A8" w:rsidRPr="00776297">
                    <w:rPr>
                      <w:sz w:val="22"/>
                      <w:szCs w:val="22"/>
                    </w:rPr>
                    <w:t>ie bedra alebo kolena</w:t>
                  </w:r>
                  <w:r w:rsidRPr="005B3B88">
                    <w:rPr>
                      <w:sz w:val="22"/>
                      <w:szCs w:val="22"/>
                    </w:rPr>
                    <w:t xml:space="preserve"> </w:t>
                  </w:r>
                </w:p>
              </w:tc>
              <w:tc>
                <w:tcPr>
                  <w:tcW w:w="1843" w:type="dxa"/>
                </w:tcPr>
                <w:p w14:paraId="26B0322E" w14:textId="77777777" w:rsidR="00373472" w:rsidRPr="00C444B8" w:rsidRDefault="00373472" w:rsidP="00B20146">
                  <w:pPr>
                    <w:pStyle w:val="Default"/>
                    <w:rPr>
                      <w:sz w:val="22"/>
                      <w:szCs w:val="22"/>
                      <w:lang w:val="sk-SK"/>
                    </w:rPr>
                  </w:pPr>
                  <w:r w:rsidRPr="005B3B88">
                    <w:rPr>
                      <w:sz w:val="22"/>
                      <w:szCs w:val="22"/>
                    </w:rPr>
                    <w:t xml:space="preserve">6,8 % pacientov </w:t>
                  </w:r>
                </w:p>
              </w:tc>
              <w:tc>
                <w:tcPr>
                  <w:tcW w:w="3969" w:type="dxa"/>
                </w:tcPr>
                <w:p w14:paraId="5081D465" w14:textId="77777777" w:rsidR="00373472" w:rsidRPr="00C444B8" w:rsidRDefault="00373472" w:rsidP="00B20146">
                  <w:pPr>
                    <w:pStyle w:val="Default"/>
                    <w:rPr>
                      <w:sz w:val="22"/>
                      <w:szCs w:val="22"/>
                      <w:lang w:val="sk-SK"/>
                    </w:rPr>
                  </w:pPr>
                  <w:r w:rsidRPr="005B3B88">
                    <w:rPr>
                      <w:sz w:val="22"/>
                      <w:szCs w:val="22"/>
                    </w:rPr>
                    <w:t xml:space="preserve">5,9 % pacientov </w:t>
                  </w:r>
                </w:p>
              </w:tc>
            </w:tr>
            <w:tr w:rsidR="00373472" w:rsidRPr="005B3B88" w14:paraId="15C97DB6" w14:textId="77777777" w:rsidTr="00373472">
              <w:tblPrEx>
                <w:tblCellMar>
                  <w:left w:w="108" w:type="dxa"/>
                  <w:right w:w="108" w:type="dxa"/>
                </w:tblCellMar>
                <w:tblLook w:val="04A0" w:firstRow="1" w:lastRow="0" w:firstColumn="1" w:lastColumn="0" w:noHBand="0" w:noVBand="1"/>
              </w:tblPrEx>
              <w:trPr>
                <w:trHeight w:val="843"/>
              </w:trPr>
              <w:tc>
                <w:tcPr>
                  <w:tcW w:w="3080" w:type="dxa"/>
                </w:tcPr>
                <w:p w14:paraId="56B9F7FE" w14:textId="77777777" w:rsidR="00373472" w:rsidRPr="00C444B8" w:rsidRDefault="00373472" w:rsidP="001E6170">
                  <w:pPr>
                    <w:pStyle w:val="Default"/>
                    <w:rPr>
                      <w:sz w:val="22"/>
                      <w:szCs w:val="22"/>
                      <w:lang w:val="sk-SK"/>
                    </w:rPr>
                  </w:pPr>
                  <w:r w:rsidRPr="00151934">
                    <w:rPr>
                      <w:sz w:val="22"/>
                      <w:szCs w:val="22"/>
                    </w:rPr>
                    <w:t>Prevencia VTE u pacientov s interným</w:t>
                  </w:r>
                  <w:r w:rsidRPr="005B3B88">
                    <w:rPr>
                      <w:sz w:val="22"/>
                      <w:szCs w:val="22"/>
                    </w:rPr>
                    <w:t xml:space="preserve"> ochorením </w:t>
                  </w:r>
                </w:p>
              </w:tc>
              <w:tc>
                <w:tcPr>
                  <w:tcW w:w="1843" w:type="dxa"/>
                </w:tcPr>
                <w:p w14:paraId="376BA7D0" w14:textId="77777777" w:rsidR="00373472" w:rsidRPr="00C444B8" w:rsidRDefault="00373472" w:rsidP="00B20146">
                  <w:pPr>
                    <w:pStyle w:val="Default"/>
                    <w:rPr>
                      <w:sz w:val="22"/>
                      <w:szCs w:val="22"/>
                      <w:lang w:val="sk-SK"/>
                    </w:rPr>
                  </w:pPr>
                  <w:r w:rsidRPr="005B3B88">
                    <w:rPr>
                      <w:sz w:val="22"/>
                      <w:szCs w:val="22"/>
                    </w:rPr>
                    <w:t xml:space="preserve">12,6 % pacientov </w:t>
                  </w:r>
                </w:p>
              </w:tc>
              <w:tc>
                <w:tcPr>
                  <w:tcW w:w="3969" w:type="dxa"/>
                </w:tcPr>
                <w:p w14:paraId="3811968D" w14:textId="77777777" w:rsidR="00373472" w:rsidRPr="00C444B8" w:rsidRDefault="00373472" w:rsidP="00B20146">
                  <w:pPr>
                    <w:pStyle w:val="Default"/>
                    <w:rPr>
                      <w:sz w:val="22"/>
                      <w:szCs w:val="22"/>
                      <w:lang w:val="sk-SK"/>
                    </w:rPr>
                  </w:pPr>
                  <w:r w:rsidRPr="005B3B88">
                    <w:rPr>
                      <w:sz w:val="22"/>
                      <w:szCs w:val="22"/>
                    </w:rPr>
                    <w:t xml:space="preserve">2,1 % pacientov </w:t>
                  </w:r>
                </w:p>
              </w:tc>
            </w:tr>
            <w:tr w:rsidR="00373472" w:rsidRPr="005B3B88" w14:paraId="3E7C9D82" w14:textId="77777777" w:rsidTr="00373472">
              <w:tblPrEx>
                <w:tblCellMar>
                  <w:left w:w="108" w:type="dxa"/>
                  <w:right w:w="108" w:type="dxa"/>
                </w:tblCellMar>
                <w:tblLook w:val="04A0" w:firstRow="1" w:lastRow="0" w:firstColumn="1" w:lastColumn="0" w:noHBand="0" w:noVBand="1"/>
              </w:tblPrEx>
              <w:trPr>
                <w:trHeight w:val="699"/>
              </w:trPr>
              <w:tc>
                <w:tcPr>
                  <w:tcW w:w="3080" w:type="dxa"/>
                </w:tcPr>
                <w:p w14:paraId="6DE86477" w14:textId="77777777" w:rsidR="00373472" w:rsidRPr="00C444B8" w:rsidRDefault="00373472" w:rsidP="001E6170">
                  <w:pPr>
                    <w:pStyle w:val="Default"/>
                    <w:rPr>
                      <w:sz w:val="22"/>
                      <w:szCs w:val="22"/>
                      <w:lang w:val="sk-SK"/>
                    </w:rPr>
                  </w:pPr>
                  <w:r w:rsidRPr="005B3B88">
                    <w:rPr>
                      <w:sz w:val="22"/>
                      <w:szCs w:val="22"/>
                    </w:rPr>
                    <w:t xml:space="preserve">Liečba a prevencia rekurencie DVT a PE </w:t>
                  </w:r>
                </w:p>
              </w:tc>
              <w:tc>
                <w:tcPr>
                  <w:tcW w:w="1843" w:type="dxa"/>
                </w:tcPr>
                <w:p w14:paraId="07630FA9" w14:textId="77777777" w:rsidR="00373472" w:rsidRPr="00C444B8" w:rsidRDefault="00373472" w:rsidP="00B20146">
                  <w:pPr>
                    <w:pStyle w:val="Default"/>
                    <w:rPr>
                      <w:sz w:val="22"/>
                      <w:szCs w:val="22"/>
                      <w:lang w:val="sk-SK"/>
                    </w:rPr>
                  </w:pPr>
                  <w:r w:rsidRPr="005B3B88">
                    <w:rPr>
                      <w:sz w:val="22"/>
                      <w:szCs w:val="22"/>
                    </w:rPr>
                    <w:t xml:space="preserve">23 % pacientov </w:t>
                  </w:r>
                </w:p>
              </w:tc>
              <w:tc>
                <w:tcPr>
                  <w:tcW w:w="3969" w:type="dxa"/>
                </w:tcPr>
                <w:p w14:paraId="7E5C858E" w14:textId="77777777" w:rsidR="00373472" w:rsidRPr="00C444B8" w:rsidRDefault="00373472" w:rsidP="00B20146">
                  <w:pPr>
                    <w:pStyle w:val="Default"/>
                    <w:rPr>
                      <w:sz w:val="22"/>
                      <w:szCs w:val="22"/>
                      <w:lang w:val="sk-SK"/>
                    </w:rPr>
                  </w:pPr>
                  <w:r w:rsidRPr="005B3B88">
                    <w:rPr>
                      <w:sz w:val="22"/>
                      <w:szCs w:val="22"/>
                    </w:rPr>
                    <w:t xml:space="preserve">1,6 % pacientov </w:t>
                  </w:r>
                </w:p>
              </w:tc>
            </w:tr>
            <w:tr w:rsidR="00373472" w:rsidRPr="005B3B88" w14:paraId="5BF3F256" w14:textId="77777777" w:rsidTr="00373472">
              <w:tblPrEx>
                <w:tblCellMar>
                  <w:left w:w="108" w:type="dxa"/>
                  <w:right w:w="108" w:type="dxa"/>
                </w:tblCellMar>
                <w:tblLook w:val="04A0" w:firstRow="1" w:lastRow="0" w:firstColumn="1" w:lastColumn="0" w:noHBand="0" w:noVBand="1"/>
              </w:tblPrEx>
              <w:trPr>
                <w:trHeight w:val="682"/>
              </w:trPr>
              <w:tc>
                <w:tcPr>
                  <w:tcW w:w="3080" w:type="dxa"/>
                </w:tcPr>
                <w:p w14:paraId="4DB3670E" w14:textId="0C344C60" w:rsidR="00373472" w:rsidRPr="00C444B8" w:rsidRDefault="00373472" w:rsidP="001E6170">
                  <w:pPr>
                    <w:pStyle w:val="Default"/>
                    <w:rPr>
                      <w:sz w:val="22"/>
                      <w:szCs w:val="22"/>
                      <w:lang w:val="sk-SK"/>
                    </w:rPr>
                  </w:pPr>
                  <w:r w:rsidRPr="005B3B88">
                    <w:rPr>
                      <w:sz w:val="22"/>
                      <w:szCs w:val="22"/>
                    </w:rPr>
                    <w:t>Prevencia cievnej mozgovej príhody a systémovej emb</w:t>
                  </w:r>
                  <w:r w:rsidR="00A95160">
                    <w:rPr>
                      <w:sz w:val="22"/>
                      <w:szCs w:val="22"/>
                      <w:lang w:val="sk-SK"/>
                    </w:rPr>
                    <w:t>ólie</w:t>
                  </w:r>
                  <w:r w:rsidRPr="005B3B88">
                    <w:rPr>
                      <w:sz w:val="22"/>
                      <w:szCs w:val="22"/>
                    </w:rPr>
                    <w:t xml:space="preserve"> u pacientov s nevalvulárnou fibriláciou</w:t>
                  </w:r>
                  <w:r w:rsidRPr="005B3B88">
                    <w:rPr>
                      <w:sz w:val="22"/>
                      <w:szCs w:val="22"/>
                      <w:lang w:val="sk-SK"/>
                    </w:rPr>
                    <w:t xml:space="preserve"> predsiení</w:t>
                  </w:r>
                </w:p>
              </w:tc>
              <w:tc>
                <w:tcPr>
                  <w:tcW w:w="1843" w:type="dxa"/>
                </w:tcPr>
                <w:p w14:paraId="76857453" w14:textId="77777777" w:rsidR="00373472" w:rsidRPr="00C444B8" w:rsidRDefault="00373472" w:rsidP="00B20146">
                  <w:pPr>
                    <w:pStyle w:val="Default"/>
                    <w:rPr>
                      <w:sz w:val="22"/>
                      <w:szCs w:val="22"/>
                      <w:lang w:val="sk-SK"/>
                    </w:rPr>
                  </w:pPr>
                  <w:r w:rsidRPr="005B3B88">
                    <w:rPr>
                      <w:sz w:val="22"/>
                      <w:szCs w:val="22"/>
                    </w:rPr>
                    <w:t xml:space="preserve">28 za 100 pacientorokov </w:t>
                  </w:r>
                </w:p>
              </w:tc>
              <w:tc>
                <w:tcPr>
                  <w:tcW w:w="3969" w:type="dxa"/>
                </w:tcPr>
                <w:p w14:paraId="78CC9819" w14:textId="77777777" w:rsidR="00373472" w:rsidRPr="00C444B8" w:rsidRDefault="00373472" w:rsidP="00B20146">
                  <w:pPr>
                    <w:pStyle w:val="Default"/>
                    <w:rPr>
                      <w:sz w:val="22"/>
                      <w:szCs w:val="22"/>
                      <w:lang w:val="sk-SK"/>
                    </w:rPr>
                  </w:pPr>
                  <w:r w:rsidRPr="005B3B88">
                    <w:rPr>
                      <w:sz w:val="22"/>
                      <w:szCs w:val="22"/>
                    </w:rPr>
                    <w:t xml:space="preserve">2,5 za 100 pacientorokov </w:t>
                  </w:r>
                </w:p>
              </w:tc>
            </w:tr>
            <w:tr w:rsidR="00373472" w:rsidRPr="005B3B88" w14:paraId="0E745A26" w14:textId="77777777" w:rsidTr="00373472">
              <w:tblPrEx>
                <w:tblCellMar>
                  <w:left w:w="108" w:type="dxa"/>
                  <w:right w:w="108" w:type="dxa"/>
                </w:tblCellMar>
                <w:tblLook w:val="04A0" w:firstRow="1" w:lastRow="0" w:firstColumn="1" w:lastColumn="0" w:noHBand="0" w:noVBand="1"/>
              </w:tblPrEx>
              <w:trPr>
                <w:trHeight w:val="564"/>
              </w:trPr>
              <w:tc>
                <w:tcPr>
                  <w:tcW w:w="3080" w:type="dxa"/>
                </w:tcPr>
                <w:p w14:paraId="38A4C5CD" w14:textId="77777777" w:rsidR="00373472" w:rsidRPr="00C444B8" w:rsidRDefault="00373472" w:rsidP="001E6170">
                  <w:pPr>
                    <w:pStyle w:val="Default"/>
                    <w:rPr>
                      <w:sz w:val="22"/>
                      <w:szCs w:val="22"/>
                      <w:lang w:val="sk-SK"/>
                    </w:rPr>
                  </w:pPr>
                  <w:r w:rsidRPr="005B3B88">
                    <w:rPr>
                      <w:sz w:val="22"/>
                      <w:szCs w:val="22"/>
                    </w:rPr>
                    <w:t xml:space="preserve">Prevencia aterotrombotických príhod u pacientov po prekonaní ACS </w:t>
                  </w:r>
                </w:p>
              </w:tc>
              <w:tc>
                <w:tcPr>
                  <w:tcW w:w="1843" w:type="dxa"/>
                </w:tcPr>
                <w:p w14:paraId="24452D47" w14:textId="77777777" w:rsidR="00373472" w:rsidRPr="00C444B8" w:rsidRDefault="00373472" w:rsidP="00B20146">
                  <w:pPr>
                    <w:pStyle w:val="Default"/>
                    <w:rPr>
                      <w:sz w:val="22"/>
                      <w:szCs w:val="22"/>
                      <w:lang w:val="sk-SK"/>
                    </w:rPr>
                  </w:pPr>
                  <w:r w:rsidRPr="005B3B88">
                    <w:rPr>
                      <w:sz w:val="22"/>
                      <w:szCs w:val="22"/>
                    </w:rPr>
                    <w:t xml:space="preserve">22 za 100 pacientorokov </w:t>
                  </w:r>
                </w:p>
              </w:tc>
              <w:tc>
                <w:tcPr>
                  <w:tcW w:w="3969" w:type="dxa"/>
                </w:tcPr>
                <w:p w14:paraId="0CE6D48A" w14:textId="77777777" w:rsidR="00373472" w:rsidRPr="00C444B8" w:rsidRDefault="00373472" w:rsidP="00B20146">
                  <w:pPr>
                    <w:pStyle w:val="Default"/>
                    <w:rPr>
                      <w:sz w:val="22"/>
                      <w:szCs w:val="22"/>
                      <w:lang w:val="sk-SK"/>
                    </w:rPr>
                  </w:pPr>
                  <w:r w:rsidRPr="005B3B88">
                    <w:rPr>
                      <w:sz w:val="22"/>
                      <w:szCs w:val="22"/>
                    </w:rPr>
                    <w:t xml:space="preserve">1,4 za 100 pacientorokov </w:t>
                  </w:r>
                </w:p>
              </w:tc>
            </w:tr>
            <w:tr w:rsidR="00373472" w:rsidRPr="005B3B88" w14:paraId="6D9C4F99" w14:textId="77777777" w:rsidTr="00373472">
              <w:tblPrEx>
                <w:tblCellMar>
                  <w:left w:w="108" w:type="dxa"/>
                  <w:right w:w="108" w:type="dxa"/>
                </w:tblCellMar>
                <w:tblLook w:val="04A0" w:firstRow="1" w:lastRow="0" w:firstColumn="1" w:lastColumn="0" w:noHBand="0" w:noVBand="1"/>
              </w:tblPrEx>
              <w:trPr>
                <w:trHeight w:val="558"/>
              </w:trPr>
              <w:tc>
                <w:tcPr>
                  <w:tcW w:w="3080" w:type="dxa"/>
                </w:tcPr>
                <w:p w14:paraId="20B31722" w14:textId="77777777" w:rsidR="00373472" w:rsidRPr="00C444B8" w:rsidRDefault="00373472" w:rsidP="001E6170">
                  <w:pPr>
                    <w:pStyle w:val="Default"/>
                    <w:rPr>
                      <w:sz w:val="22"/>
                      <w:szCs w:val="22"/>
                      <w:lang w:val="sk-SK"/>
                    </w:rPr>
                  </w:pPr>
                  <w:r w:rsidRPr="005B3B88">
                    <w:rPr>
                      <w:sz w:val="22"/>
                      <w:szCs w:val="22"/>
                    </w:rPr>
                    <w:t xml:space="preserve">Prevencia arterotrombotických príhod u pacientov s CAD/PAD </w:t>
                  </w:r>
                </w:p>
              </w:tc>
              <w:tc>
                <w:tcPr>
                  <w:tcW w:w="1843" w:type="dxa"/>
                </w:tcPr>
                <w:p w14:paraId="118B3717" w14:textId="77777777" w:rsidR="00373472" w:rsidRPr="00C444B8" w:rsidRDefault="00373472" w:rsidP="00B20146">
                  <w:pPr>
                    <w:pStyle w:val="Default"/>
                    <w:rPr>
                      <w:sz w:val="22"/>
                      <w:szCs w:val="22"/>
                      <w:lang w:val="sk-SK"/>
                    </w:rPr>
                  </w:pPr>
                  <w:r w:rsidRPr="005B3B88">
                    <w:rPr>
                      <w:sz w:val="22"/>
                      <w:szCs w:val="22"/>
                    </w:rPr>
                    <w:t xml:space="preserve">6,7 za 100 pacientorokov </w:t>
                  </w:r>
                </w:p>
              </w:tc>
              <w:tc>
                <w:tcPr>
                  <w:tcW w:w="3969" w:type="dxa"/>
                </w:tcPr>
                <w:p w14:paraId="24CD28A0" w14:textId="77777777" w:rsidR="00373472" w:rsidRPr="00C444B8" w:rsidRDefault="00373472" w:rsidP="00B20146">
                  <w:pPr>
                    <w:pStyle w:val="Default"/>
                    <w:rPr>
                      <w:sz w:val="22"/>
                      <w:szCs w:val="22"/>
                      <w:lang w:val="sk-SK"/>
                    </w:rPr>
                  </w:pPr>
                  <w:r w:rsidRPr="005B3B88">
                    <w:rPr>
                      <w:sz w:val="22"/>
                      <w:szCs w:val="22"/>
                    </w:rPr>
                    <w:t xml:space="preserve">0,15 za 100 pacientorokov** </w:t>
                  </w:r>
                </w:p>
              </w:tc>
            </w:tr>
          </w:tbl>
          <w:p w14:paraId="20A699BE" w14:textId="77777777" w:rsidR="00942344" w:rsidRPr="005B3B88" w:rsidRDefault="00942344" w:rsidP="001E6170">
            <w:pPr>
              <w:pStyle w:val="Default"/>
              <w:rPr>
                <w:sz w:val="22"/>
                <w:szCs w:val="22"/>
              </w:rPr>
            </w:pPr>
            <w:r w:rsidRPr="005B3B88">
              <w:rPr>
                <w:sz w:val="22"/>
                <w:szCs w:val="22"/>
              </w:rPr>
              <w:t xml:space="preserve">* Pri všetkých štúdiách s </w:t>
            </w:r>
            <w:r w:rsidR="000379AB" w:rsidRPr="005B3B88">
              <w:rPr>
                <w:sz w:val="22"/>
                <w:szCs w:val="22"/>
              </w:rPr>
              <w:t>rivaroxabán</w:t>
            </w:r>
            <w:r w:rsidRPr="005B3B88">
              <w:rPr>
                <w:sz w:val="22"/>
                <w:szCs w:val="22"/>
              </w:rPr>
              <w:t xml:space="preserve">om sa zhromažďujú, hlásia a posudzujú všetky krvácavé príhody. </w:t>
            </w:r>
          </w:p>
          <w:p w14:paraId="3264DCED" w14:textId="77777777" w:rsidR="00B16B83" w:rsidRPr="00C444B8" w:rsidRDefault="00942344" w:rsidP="00B20146">
            <w:pPr>
              <w:ind w:right="-252"/>
              <w:rPr>
                <w:rFonts w:ascii="Times New Roman" w:hAnsi="Times New Roman" w:cs="Times New Roman"/>
                <w:color w:val="FF0000"/>
                <w:szCs w:val="24"/>
                <w:lang w:eastAsia="el-GR"/>
              </w:rPr>
            </w:pPr>
            <w:r w:rsidRPr="005B3B88">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14:paraId="627C2DD6" w14:textId="77777777" w:rsidR="003F6672" w:rsidRPr="00C444B8" w:rsidRDefault="003F6672" w:rsidP="00B20146">
            <w:pPr>
              <w:rPr>
                <w:b/>
                <w:szCs w:val="24"/>
                <w:u w:val="single"/>
                <w:lang w:eastAsia="el-GR"/>
              </w:rPr>
            </w:pPr>
          </w:p>
        </w:tc>
        <w:tc>
          <w:tcPr>
            <w:tcW w:w="236" w:type="dxa"/>
          </w:tcPr>
          <w:p w14:paraId="50F75E5B" w14:textId="77777777" w:rsidR="003F6672" w:rsidRPr="00C444B8" w:rsidRDefault="003F6672" w:rsidP="00B20146">
            <w:pPr>
              <w:rPr>
                <w:b/>
                <w:szCs w:val="24"/>
                <w:lang w:eastAsia="el-GR"/>
              </w:rPr>
            </w:pPr>
          </w:p>
        </w:tc>
        <w:tc>
          <w:tcPr>
            <w:tcW w:w="255" w:type="dxa"/>
            <w:gridSpan w:val="2"/>
            <w:shd w:val="clear" w:color="auto" w:fill="auto"/>
          </w:tcPr>
          <w:p w14:paraId="3CEBAD50" w14:textId="77777777" w:rsidR="003F6672" w:rsidRPr="00C444B8" w:rsidRDefault="003F6672" w:rsidP="00B20146">
            <w:pPr>
              <w:rPr>
                <w:b/>
                <w:szCs w:val="24"/>
                <w:u w:val="single"/>
                <w:lang w:eastAsia="el-GR"/>
              </w:rPr>
            </w:pPr>
          </w:p>
        </w:tc>
      </w:tr>
      <w:tr w:rsidR="003F6672" w:rsidRPr="005B3B88" w14:paraId="1B929CF8" w14:textId="77777777" w:rsidTr="007A6020">
        <w:trPr>
          <w:trHeight w:val="664"/>
        </w:trPr>
        <w:tc>
          <w:tcPr>
            <w:tcW w:w="9322" w:type="dxa"/>
            <w:gridSpan w:val="2"/>
          </w:tcPr>
          <w:p w14:paraId="09F0C044" w14:textId="77777777" w:rsidR="00942344" w:rsidRPr="005B3B88" w:rsidRDefault="00942344" w:rsidP="001E6170">
            <w:pPr>
              <w:pStyle w:val="Default"/>
              <w:rPr>
                <w:sz w:val="22"/>
                <w:szCs w:val="22"/>
                <w:u w:val="single"/>
              </w:rPr>
            </w:pPr>
            <w:r w:rsidRPr="00E3304E">
              <w:rPr>
                <w:sz w:val="22"/>
                <w:szCs w:val="22"/>
                <w:u w:val="single"/>
              </w:rPr>
              <w:t>Tabuľkový zoznam nežiaducich účinkov</w:t>
            </w:r>
            <w:r w:rsidRPr="005B3B88">
              <w:rPr>
                <w:sz w:val="22"/>
                <w:szCs w:val="22"/>
                <w:u w:val="single"/>
              </w:rPr>
              <w:t xml:space="preserve"> </w:t>
            </w:r>
          </w:p>
          <w:p w14:paraId="740CA646" w14:textId="60AB5DFC" w:rsidR="001223C0" w:rsidRPr="005B3B88" w:rsidRDefault="00942344" w:rsidP="001E6170">
            <w:pPr>
              <w:spacing w:after="0" w:line="240" w:lineRule="auto"/>
              <w:ind w:right="-6807"/>
              <w:rPr>
                <w:rFonts w:ascii="Times New Roman" w:hAnsi="Times New Roman" w:cs="Times New Roman"/>
              </w:rPr>
            </w:pPr>
            <w:r w:rsidRPr="005B3B88">
              <w:rPr>
                <w:rFonts w:ascii="Times New Roman" w:hAnsi="Times New Roman" w:cs="Times New Roman"/>
              </w:rPr>
              <w:t xml:space="preserve">Frekvencie nežiaducich účinkov hlásených pri </w:t>
            </w:r>
            <w:r w:rsidR="000379AB" w:rsidRPr="005B3B88">
              <w:rPr>
                <w:rFonts w:ascii="Times New Roman" w:hAnsi="Times New Roman" w:cs="Times New Roman"/>
              </w:rPr>
              <w:t>rivaroxabán</w:t>
            </w:r>
            <w:r w:rsidRPr="005B3B88">
              <w:rPr>
                <w:rFonts w:ascii="Times New Roman" w:hAnsi="Times New Roman" w:cs="Times New Roman"/>
              </w:rPr>
              <w:t xml:space="preserve">e sú zhrnuté nižšie v </w:t>
            </w:r>
            <w:r w:rsidR="00570C2F">
              <w:rPr>
                <w:rFonts w:ascii="Times New Roman" w:hAnsi="Times New Roman" w:cs="Times New Roman"/>
              </w:rPr>
              <w:t>t</w:t>
            </w:r>
            <w:r w:rsidRPr="005B3B88">
              <w:rPr>
                <w:rFonts w:ascii="Times New Roman" w:hAnsi="Times New Roman" w:cs="Times New Roman"/>
              </w:rPr>
              <w:t>abuľke 3</w:t>
            </w:r>
            <w:r w:rsidR="00570C2F">
              <w:rPr>
                <w:rFonts w:ascii="Times New Roman" w:hAnsi="Times New Roman" w:cs="Times New Roman"/>
              </w:rPr>
              <w:t xml:space="preserve"> na základe</w:t>
            </w:r>
          </w:p>
          <w:p w14:paraId="2453C6C4" w14:textId="066FA8C0" w:rsidR="003F6672" w:rsidRPr="005B3B88" w:rsidRDefault="00942344" w:rsidP="00B20146">
            <w:pPr>
              <w:spacing w:after="0" w:line="240" w:lineRule="auto"/>
              <w:ind w:right="-6807"/>
              <w:rPr>
                <w:rFonts w:ascii="Times New Roman" w:hAnsi="Times New Roman" w:cs="Times New Roman"/>
              </w:rPr>
            </w:pPr>
            <w:r w:rsidRPr="005B3B88">
              <w:rPr>
                <w:rFonts w:ascii="Times New Roman" w:hAnsi="Times New Roman" w:cs="Times New Roman"/>
              </w:rPr>
              <w:t xml:space="preserve">triedy orgánových systémov (podľa </w:t>
            </w:r>
            <w:r w:rsidR="00570C2F">
              <w:rPr>
                <w:rFonts w:ascii="Times New Roman" w:hAnsi="Times New Roman" w:cs="Times New Roman"/>
              </w:rPr>
              <w:t xml:space="preserve">databázy </w:t>
            </w:r>
            <w:r w:rsidRPr="005B3B88">
              <w:rPr>
                <w:rFonts w:ascii="Times New Roman" w:hAnsi="Times New Roman" w:cs="Times New Roman"/>
              </w:rPr>
              <w:t>MedDRA) a podľa frekvencie.</w:t>
            </w:r>
          </w:p>
          <w:p w14:paraId="3CFD0014" w14:textId="77777777" w:rsidR="001223C0" w:rsidRPr="005B3B88" w:rsidRDefault="001223C0" w:rsidP="00B20146">
            <w:pPr>
              <w:spacing w:after="0" w:line="240" w:lineRule="auto"/>
              <w:ind w:right="-6807"/>
              <w:rPr>
                <w:rFonts w:ascii="Times New Roman" w:hAnsi="Times New Roman" w:cs="Times New Roman"/>
              </w:rPr>
            </w:pPr>
          </w:p>
          <w:p w14:paraId="50F8E5EB" w14:textId="77777777" w:rsidR="001223C0" w:rsidRPr="005B3B88" w:rsidRDefault="001223C0" w:rsidP="00B20146">
            <w:pPr>
              <w:pStyle w:val="Default"/>
              <w:rPr>
                <w:sz w:val="22"/>
                <w:szCs w:val="22"/>
              </w:rPr>
            </w:pPr>
            <w:r w:rsidRPr="005B3B88">
              <w:rPr>
                <w:sz w:val="22"/>
                <w:szCs w:val="22"/>
              </w:rPr>
              <w:t xml:space="preserve">Frekvencie sú definované ako: </w:t>
            </w:r>
          </w:p>
          <w:p w14:paraId="77993C5D" w14:textId="77777777" w:rsidR="001223C0" w:rsidRPr="005B3B88" w:rsidRDefault="001223C0" w:rsidP="00B20146">
            <w:pPr>
              <w:pStyle w:val="Default"/>
              <w:rPr>
                <w:sz w:val="22"/>
                <w:szCs w:val="22"/>
              </w:rPr>
            </w:pPr>
            <w:r w:rsidRPr="005B3B88">
              <w:rPr>
                <w:sz w:val="22"/>
                <w:szCs w:val="22"/>
              </w:rPr>
              <w:t>veľmi časté (≥</w:t>
            </w:r>
            <w:r w:rsidR="00E3304E">
              <w:rPr>
                <w:sz w:val="22"/>
                <w:szCs w:val="22"/>
              </w:rPr>
              <w:t> </w:t>
            </w:r>
            <w:r w:rsidRPr="005B3B88">
              <w:rPr>
                <w:sz w:val="22"/>
                <w:szCs w:val="22"/>
              </w:rPr>
              <w:t xml:space="preserve">1/10), </w:t>
            </w:r>
          </w:p>
          <w:p w14:paraId="4CADAD60" w14:textId="77777777" w:rsidR="001223C0" w:rsidRPr="005B3B88" w:rsidRDefault="001223C0" w:rsidP="00B20146">
            <w:pPr>
              <w:pStyle w:val="Default"/>
              <w:rPr>
                <w:sz w:val="22"/>
                <w:szCs w:val="22"/>
              </w:rPr>
            </w:pPr>
            <w:r w:rsidRPr="005B3B88">
              <w:rPr>
                <w:sz w:val="22"/>
                <w:szCs w:val="22"/>
              </w:rPr>
              <w:t>časté (≥</w:t>
            </w:r>
            <w:r w:rsidR="00E3304E">
              <w:rPr>
                <w:sz w:val="22"/>
                <w:szCs w:val="22"/>
              </w:rPr>
              <w:t> </w:t>
            </w:r>
            <w:r w:rsidRPr="005B3B88">
              <w:rPr>
                <w:sz w:val="22"/>
                <w:szCs w:val="22"/>
              </w:rPr>
              <w:t>1/100 až &lt;</w:t>
            </w:r>
            <w:r w:rsidR="00E3304E">
              <w:rPr>
                <w:sz w:val="22"/>
                <w:szCs w:val="22"/>
              </w:rPr>
              <w:t> </w:t>
            </w:r>
            <w:r w:rsidRPr="005B3B88">
              <w:rPr>
                <w:sz w:val="22"/>
                <w:szCs w:val="22"/>
              </w:rPr>
              <w:t xml:space="preserve">1/10), </w:t>
            </w:r>
          </w:p>
          <w:p w14:paraId="3DE123CD" w14:textId="77777777" w:rsidR="001223C0" w:rsidRPr="005B3B88" w:rsidRDefault="001223C0" w:rsidP="00B20146">
            <w:pPr>
              <w:pStyle w:val="Default"/>
              <w:rPr>
                <w:sz w:val="22"/>
                <w:szCs w:val="22"/>
              </w:rPr>
            </w:pPr>
            <w:r w:rsidRPr="005B3B88">
              <w:rPr>
                <w:sz w:val="22"/>
                <w:szCs w:val="22"/>
              </w:rPr>
              <w:t>menej časté (≥</w:t>
            </w:r>
            <w:r w:rsidR="00E3304E">
              <w:rPr>
                <w:sz w:val="22"/>
                <w:szCs w:val="22"/>
              </w:rPr>
              <w:t> </w:t>
            </w:r>
            <w:r w:rsidRPr="005B3B88">
              <w:rPr>
                <w:sz w:val="22"/>
                <w:szCs w:val="22"/>
              </w:rPr>
              <w:t>1/1 000 až &lt;</w:t>
            </w:r>
            <w:r w:rsidR="00E3304E">
              <w:rPr>
                <w:sz w:val="22"/>
                <w:szCs w:val="22"/>
              </w:rPr>
              <w:t> </w:t>
            </w:r>
            <w:r w:rsidRPr="005B3B88">
              <w:rPr>
                <w:sz w:val="22"/>
                <w:szCs w:val="22"/>
              </w:rPr>
              <w:t xml:space="preserve">1/100), </w:t>
            </w:r>
          </w:p>
          <w:p w14:paraId="012746D8" w14:textId="77777777" w:rsidR="001223C0" w:rsidRPr="005B3B88" w:rsidRDefault="001223C0" w:rsidP="00B20146">
            <w:pPr>
              <w:pStyle w:val="Default"/>
              <w:rPr>
                <w:sz w:val="22"/>
                <w:szCs w:val="22"/>
              </w:rPr>
            </w:pPr>
            <w:r w:rsidRPr="005B3B88">
              <w:rPr>
                <w:sz w:val="22"/>
                <w:szCs w:val="22"/>
              </w:rPr>
              <w:t>zriedkavé (≥</w:t>
            </w:r>
            <w:r w:rsidR="00E3304E">
              <w:rPr>
                <w:sz w:val="22"/>
                <w:szCs w:val="22"/>
              </w:rPr>
              <w:t> </w:t>
            </w:r>
            <w:r w:rsidRPr="005B3B88">
              <w:rPr>
                <w:sz w:val="22"/>
                <w:szCs w:val="22"/>
              </w:rPr>
              <w:t>1/10 000 až &lt;</w:t>
            </w:r>
            <w:r w:rsidR="00E3304E">
              <w:rPr>
                <w:sz w:val="22"/>
                <w:szCs w:val="22"/>
              </w:rPr>
              <w:t> </w:t>
            </w:r>
            <w:r w:rsidRPr="005B3B88">
              <w:rPr>
                <w:sz w:val="22"/>
                <w:szCs w:val="22"/>
              </w:rPr>
              <w:t xml:space="preserve">1/1 000), </w:t>
            </w:r>
          </w:p>
          <w:p w14:paraId="5AD57800" w14:textId="77777777" w:rsidR="001223C0" w:rsidRPr="005B3B88" w:rsidRDefault="001223C0" w:rsidP="00B20146">
            <w:pPr>
              <w:pStyle w:val="Default"/>
              <w:rPr>
                <w:sz w:val="22"/>
                <w:szCs w:val="22"/>
              </w:rPr>
            </w:pPr>
            <w:r w:rsidRPr="005B3B88">
              <w:rPr>
                <w:sz w:val="22"/>
                <w:szCs w:val="22"/>
              </w:rPr>
              <w:t>veľmi zriedkavé (&lt;</w:t>
            </w:r>
            <w:r w:rsidR="00E3304E">
              <w:rPr>
                <w:sz w:val="22"/>
                <w:szCs w:val="22"/>
              </w:rPr>
              <w:t> </w:t>
            </w:r>
            <w:r w:rsidRPr="005B3B88">
              <w:rPr>
                <w:sz w:val="22"/>
                <w:szCs w:val="22"/>
              </w:rPr>
              <w:t xml:space="preserve">1/10 000), </w:t>
            </w:r>
          </w:p>
          <w:p w14:paraId="4A69864C" w14:textId="2FAA34DA" w:rsidR="001223C0" w:rsidRPr="005B3B88" w:rsidRDefault="001223C0" w:rsidP="00B20146">
            <w:pPr>
              <w:spacing w:after="0" w:line="240" w:lineRule="auto"/>
              <w:ind w:right="-6807"/>
              <w:rPr>
                <w:rFonts w:ascii="Times New Roman" w:hAnsi="Times New Roman" w:cs="Times New Roman"/>
              </w:rPr>
            </w:pPr>
            <w:r w:rsidRPr="00776297">
              <w:rPr>
                <w:rFonts w:ascii="Times New Roman" w:hAnsi="Times New Roman" w:cs="Times New Roman"/>
              </w:rPr>
              <w:lastRenderedPageBreak/>
              <w:t>neznáme</w:t>
            </w:r>
            <w:r w:rsidR="007061A0" w:rsidRPr="00776297">
              <w:rPr>
                <w:rFonts w:ascii="Times New Roman" w:hAnsi="Times New Roman" w:cs="Times New Roman"/>
              </w:rPr>
              <w:t xml:space="preserve"> (</w:t>
            </w:r>
            <w:r w:rsidR="00ED64EF" w:rsidRPr="00776297">
              <w:rPr>
                <w:rFonts w:ascii="Times New Roman" w:hAnsi="Times New Roman" w:cs="Times New Roman"/>
              </w:rPr>
              <w:t xml:space="preserve">nie je možné odhadnúť </w:t>
            </w:r>
            <w:r w:rsidRPr="00776297">
              <w:rPr>
                <w:rFonts w:ascii="Times New Roman" w:hAnsi="Times New Roman" w:cs="Times New Roman"/>
              </w:rPr>
              <w:t>z</w:t>
            </w:r>
            <w:r w:rsidRPr="005B3B88">
              <w:rPr>
                <w:rFonts w:ascii="Times New Roman" w:hAnsi="Times New Roman" w:cs="Times New Roman"/>
              </w:rPr>
              <w:t xml:space="preserve"> dostupných údajov</w:t>
            </w:r>
            <w:r w:rsidR="007061A0" w:rsidRPr="005B3B88">
              <w:rPr>
                <w:rFonts w:ascii="Times New Roman" w:hAnsi="Times New Roman" w:cs="Times New Roman"/>
              </w:rPr>
              <w:t>)</w:t>
            </w:r>
            <w:r w:rsidR="00E3304E">
              <w:rPr>
                <w:rFonts w:ascii="Times New Roman" w:hAnsi="Times New Roman" w:cs="Times New Roman"/>
              </w:rPr>
              <w:t>.</w:t>
            </w:r>
          </w:p>
          <w:p w14:paraId="4D51DEEF" w14:textId="77777777" w:rsidR="001223C0" w:rsidRPr="005B3B88" w:rsidRDefault="001223C0" w:rsidP="00B20146">
            <w:pPr>
              <w:spacing w:after="0" w:line="240" w:lineRule="auto"/>
              <w:ind w:right="-6807"/>
              <w:rPr>
                <w:rFonts w:ascii="Times New Roman" w:hAnsi="Times New Roman" w:cs="Times New Roman"/>
              </w:rPr>
            </w:pPr>
          </w:p>
          <w:p w14:paraId="58E2620C" w14:textId="77777777" w:rsidR="001223C0" w:rsidRPr="00C444B8" w:rsidRDefault="001223C0" w:rsidP="00B20146">
            <w:pPr>
              <w:spacing w:after="0" w:line="240" w:lineRule="auto"/>
              <w:ind w:right="-6807"/>
              <w:rPr>
                <w:rFonts w:ascii="Times New Roman" w:hAnsi="Times New Roman" w:cs="Times New Roman"/>
                <w:szCs w:val="24"/>
                <w:lang w:eastAsia="el-GR"/>
              </w:rPr>
            </w:pPr>
            <w:r w:rsidRPr="005B3B88">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14:paraId="7FD83D6C" w14:textId="77777777" w:rsidR="003F6672" w:rsidRPr="00C444B8" w:rsidRDefault="003F6672" w:rsidP="00B20146">
            <w:pPr>
              <w:rPr>
                <w:szCs w:val="24"/>
                <w:lang w:eastAsia="el-GR"/>
              </w:rPr>
            </w:pPr>
          </w:p>
        </w:tc>
        <w:tc>
          <w:tcPr>
            <w:tcW w:w="236" w:type="dxa"/>
            <w:gridSpan w:val="2"/>
          </w:tcPr>
          <w:p w14:paraId="25B95AFC" w14:textId="77777777" w:rsidR="003F6672" w:rsidRPr="00C444B8" w:rsidRDefault="003F6672" w:rsidP="00B20146">
            <w:pPr>
              <w:rPr>
                <w:szCs w:val="24"/>
                <w:lang w:eastAsia="el-GR"/>
              </w:rPr>
            </w:pPr>
          </w:p>
        </w:tc>
        <w:tc>
          <w:tcPr>
            <w:tcW w:w="255" w:type="dxa"/>
          </w:tcPr>
          <w:p w14:paraId="52E44E09" w14:textId="77777777" w:rsidR="003F6672" w:rsidRPr="00C444B8" w:rsidRDefault="003F6672" w:rsidP="00B20146">
            <w:pPr>
              <w:rPr>
                <w:szCs w:val="24"/>
                <w:lang w:eastAsia="el-GR"/>
              </w:rPr>
            </w:pPr>
          </w:p>
        </w:tc>
      </w:tr>
      <w:tr w:rsidR="003F6672" w:rsidRPr="005B3B88" w14:paraId="783F978F" w14:textId="77777777" w:rsidTr="007A6020">
        <w:trPr>
          <w:gridAfter w:val="2"/>
          <w:wAfter w:w="283" w:type="dxa"/>
          <w:trHeight w:val="274"/>
        </w:trPr>
        <w:tc>
          <w:tcPr>
            <w:tcW w:w="9039" w:type="dxa"/>
          </w:tcPr>
          <w:p w14:paraId="629C8692" w14:textId="77777777" w:rsidR="00A41C83" w:rsidRPr="005B3B88" w:rsidRDefault="001223C0" w:rsidP="001E6170">
            <w:pPr>
              <w:rPr>
                <w:rFonts w:ascii="Times New Roman" w:hAnsi="Times New Roman" w:cs="Times New Roman"/>
                <w:b/>
                <w:bCs/>
              </w:rPr>
            </w:pPr>
            <w:r w:rsidRPr="005B3B88">
              <w:rPr>
                <w:rFonts w:ascii="Times New Roman" w:hAnsi="Times New Roman" w:cs="Times New Roman"/>
                <w:b/>
                <w:bCs/>
              </w:rPr>
              <w:t>alebo po uvedení lieku na trh*</w:t>
            </w:r>
          </w:p>
          <w:tbl>
            <w:tblPr>
              <w:tblStyle w:val="Mriekatabuky"/>
              <w:tblW w:w="8926" w:type="dxa"/>
              <w:tblLayout w:type="fixed"/>
              <w:tblLook w:val="04A0" w:firstRow="1" w:lastRow="0" w:firstColumn="1" w:lastColumn="0" w:noHBand="0" w:noVBand="1"/>
            </w:tblPr>
            <w:tblGrid>
              <w:gridCol w:w="2263"/>
              <w:gridCol w:w="1985"/>
              <w:gridCol w:w="1559"/>
              <w:gridCol w:w="1701"/>
              <w:gridCol w:w="1418"/>
            </w:tblGrid>
            <w:tr w:rsidR="00A41C83" w:rsidRPr="005B3B88" w14:paraId="127F1154" w14:textId="77777777" w:rsidTr="00C444B8">
              <w:tc>
                <w:tcPr>
                  <w:tcW w:w="2263" w:type="dxa"/>
                  <w:shd w:val="clear" w:color="auto" w:fill="BFBFBF" w:themeFill="background1" w:themeFillShade="BF"/>
                </w:tcPr>
                <w:p w14:paraId="29E37CE3" w14:textId="77777777" w:rsidR="00A41C83" w:rsidRPr="00C444B8" w:rsidRDefault="00A41C83" w:rsidP="00C444B8">
                  <w:pPr>
                    <w:pStyle w:val="Default"/>
                    <w:widowControl w:val="0"/>
                    <w:spacing w:after="120"/>
                    <w:rPr>
                      <w:sz w:val="22"/>
                      <w:szCs w:val="22"/>
                      <w:lang w:val="sk-SK"/>
                    </w:rPr>
                  </w:pPr>
                  <w:r w:rsidRPr="005B3B88">
                    <w:rPr>
                      <w:b/>
                      <w:bCs/>
                      <w:sz w:val="22"/>
                      <w:szCs w:val="22"/>
                    </w:rPr>
                    <w:t xml:space="preserve">Časté </w:t>
                  </w:r>
                </w:p>
              </w:tc>
              <w:tc>
                <w:tcPr>
                  <w:tcW w:w="1985" w:type="dxa"/>
                  <w:shd w:val="clear" w:color="auto" w:fill="BFBFBF" w:themeFill="background1" w:themeFillShade="BF"/>
                </w:tcPr>
                <w:p w14:paraId="173ACEE2" w14:textId="77777777" w:rsidR="00A41C83" w:rsidRPr="00E3304E" w:rsidRDefault="00A41C83" w:rsidP="00C444B8">
                  <w:pPr>
                    <w:pStyle w:val="Default"/>
                    <w:widowControl w:val="0"/>
                    <w:spacing w:after="120"/>
                    <w:rPr>
                      <w:sz w:val="22"/>
                      <w:szCs w:val="22"/>
                      <w:lang w:val="sk-SK"/>
                    </w:rPr>
                  </w:pPr>
                  <w:r w:rsidRPr="00E3304E">
                    <w:rPr>
                      <w:b/>
                      <w:bCs/>
                      <w:sz w:val="22"/>
                      <w:szCs w:val="22"/>
                      <w:lang w:val="sk-SK"/>
                    </w:rPr>
                    <w:t xml:space="preserve">Menej časté </w:t>
                  </w:r>
                </w:p>
              </w:tc>
              <w:tc>
                <w:tcPr>
                  <w:tcW w:w="1559" w:type="dxa"/>
                  <w:shd w:val="clear" w:color="auto" w:fill="BFBFBF" w:themeFill="background1" w:themeFillShade="BF"/>
                </w:tcPr>
                <w:p w14:paraId="461F7357" w14:textId="77777777" w:rsidR="00A41C83" w:rsidRPr="00AB5029" w:rsidRDefault="00A41C83" w:rsidP="00C444B8">
                  <w:pPr>
                    <w:pStyle w:val="Default"/>
                    <w:widowControl w:val="0"/>
                    <w:spacing w:after="120"/>
                    <w:rPr>
                      <w:sz w:val="22"/>
                      <w:szCs w:val="22"/>
                      <w:lang w:val="sk-SK"/>
                    </w:rPr>
                  </w:pPr>
                  <w:r w:rsidRPr="005B3B88">
                    <w:rPr>
                      <w:b/>
                      <w:bCs/>
                      <w:sz w:val="22"/>
                      <w:szCs w:val="22"/>
                      <w:lang w:val="sk-SK"/>
                    </w:rPr>
                    <w:t>Zriedkavé</w:t>
                  </w:r>
                </w:p>
              </w:tc>
              <w:tc>
                <w:tcPr>
                  <w:tcW w:w="1701" w:type="dxa"/>
                  <w:shd w:val="clear" w:color="auto" w:fill="BFBFBF" w:themeFill="background1" w:themeFillShade="BF"/>
                </w:tcPr>
                <w:p w14:paraId="3F98B622" w14:textId="77777777" w:rsidR="00A41C83" w:rsidRPr="00C444B8" w:rsidRDefault="00A41C83" w:rsidP="00C444B8">
                  <w:pPr>
                    <w:pStyle w:val="Default"/>
                    <w:widowControl w:val="0"/>
                    <w:spacing w:after="120"/>
                    <w:rPr>
                      <w:sz w:val="22"/>
                      <w:szCs w:val="22"/>
                      <w:lang w:val="sk-SK"/>
                    </w:rPr>
                  </w:pPr>
                  <w:r w:rsidRPr="005B3B88">
                    <w:rPr>
                      <w:b/>
                      <w:bCs/>
                      <w:sz w:val="22"/>
                      <w:szCs w:val="22"/>
                    </w:rPr>
                    <w:t>Ve</w:t>
                  </w:r>
                  <w:r w:rsidR="007061A0" w:rsidRPr="005B3B88">
                    <w:rPr>
                      <w:b/>
                      <w:bCs/>
                      <w:sz w:val="22"/>
                      <w:szCs w:val="22"/>
                      <w:lang w:val="sk-SK"/>
                    </w:rPr>
                    <w:t>ľ</w:t>
                  </w:r>
                  <w:r w:rsidRPr="005B3B88">
                    <w:rPr>
                      <w:b/>
                      <w:bCs/>
                      <w:sz w:val="22"/>
                      <w:szCs w:val="22"/>
                    </w:rPr>
                    <w:t xml:space="preserve">mi </w:t>
                  </w:r>
                  <w:r w:rsidRPr="005B3B88">
                    <w:rPr>
                      <w:b/>
                      <w:bCs/>
                      <w:sz w:val="22"/>
                      <w:szCs w:val="22"/>
                      <w:lang w:val="sk-SK"/>
                    </w:rPr>
                    <w:t>zriedkavé</w:t>
                  </w:r>
                  <w:r w:rsidRPr="005B3B88">
                    <w:rPr>
                      <w:b/>
                      <w:bCs/>
                      <w:sz w:val="22"/>
                      <w:szCs w:val="22"/>
                    </w:rPr>
                    <w:t xml:space="preserve"> </w:t>
                  </w:r>
                </w:p>
              </w:tc>
              <w:tc>
                <w:tcPr>
                  <w:tcW w:w="1418" w:type="dxa"/>
                  <w:shd w:val="clear" w:color="auto" w:fill="BFBFBF" w:themeFill="background1" w:themeFillShade="BF"/>
                </w:tcPr>
                <w:p w14:paraId="609014E9" w14:textId="77777777" w:rsidR="00A41C83" w:rsidRPr="00C444B8" w:rsidRDefault="00A41C83" w:rsidP="00C444B8">
                  <w:pPr>
                    <w:pStyle w:val="Default"/>
                    <w:widowControl w:val="0"/>
                    <w:spacing w:after="120"/>
                    <w:rPr>
                      <w:sz w:val="22"/>
                      <w:szCs w:val="22"/>
                      <w:lang w:val="sk-SK"/>
                    </w:rPr>
                  </w:pPr>
                  <w:r w:rsidRPr="005B3B88">
                    <w:rPr>
                      <w:b/>
                      <w:bCs/>
                      <w:sz w:val="22"/>
                      <w:szCs w:val="22"/>
                      <w:lang w:val="sk-SK"/>
                    </w:rPr>
                    <w:t>Neznáme</w:t>
                  </w:r>
                  <w:r w:rsidRPr="005B3B88">
                    <w:rPr>
                      <w:b/>
                      <w:bCs/>
                      <w:sz w:val="22"/>
                      <w:szCs w:val="22"/>
                    </w:rPr>
                    <w:t xml:space="preserve"> </w:t>
                  </w:r>
                </w:p>
              </w:tc>
            </w:tr>
            <w:tr w:rsidR="00A41C83" w:rsidRPr="005B3B88" w14:paraId="39CE9155" w14:textId="77777777" w:rsidTr="00F23F15">
              <w:tc>
                <w:tcPr>
                  <w:tcW w:w="8926" w:type="dxa"/>
                  <w:gridSpan w:val="5"/>
                </w:tcPr>
                <w:p w14:paraId="2FC87F76"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krv</w:t>
                  </w:r>
                  <w:r w:rsidRPr="005B3B88">
                    <w:rPr>
                      <w:b/>
                      <w:sz w:val="22"/>
                      <w:szCs w:val="22"/>
                      <w:lang w:val="sk-SK"/>
                    </w:rPr>
                    <w:t>i</w:t>
                  </w:r>
                  <w:r w:rsidRPr="005B3B88">
                    <w:rPr>
                      <w:b/>
                      <w:sz w:val="22"/>
                      <w:szCs w:val="22"/>
                    </w:rPr>
                    <w:t xml:space="preserve"> a lymfatického systému</w:t>
                  </w:r>
                </w:p>
              </w:tc>
            </w:tr>
            <w:tr w:rsidR="00A41C83" w:rsidRPr="005B3B88" w14:paraId="00D35953" w14:textId="77777777" w:rsidTr="00F23F15">
              <w:tc>
                <w:tcPr>
                  <w:tcW w:w="2263" w:type="dxa"/>
                </w:tcPr>
                <w:p w14:paraId="44AA3DF3" w14:textId="77777777" w:rsidR="00A41C83" w:rsidRPr="00C444B8" w:rsidRDefault="00A41C83" w:rsidP="00C444B8">
                  <w:pPr>
                    <w:pStyle w:val="Default"/>
                    <w:rPr>
                      <w:sz w:val="22"/>
                      <w:szCs w:val="22"/>
                      <w:lang w:val="sk-SK"/>
                    </w:rPr>
                  </w:pPr>
                  <w:r w:rsidRPr="005B3B88">
                    <w:rPr>
                      <w:sz w:val="22"/>
                      <w:szCs w:val="22"/>
                    </w:rPr>
                    <w:t xml:space="preserve">Anémia (vrátane príslušných laboratórnych parametrov) </w:t>
                  </w:r>
                </w:p>
                <w:p w14:paraId="52176579" w14:textId="77777777" w:rsidR="00A41C83" w:rsidRPr="00C444B8" w:rsidRDefault="00A41C83" w:rsidP="00C444B8">
                  <w:pPr>
                    <w:pStyle w:val="Default"/>
                    <w:widowControl w:val="0"/>
                    <w:spacing w:after="120"/>
                    <w:rPr>
                      <w:sz w:val="22"/>
                      <w:szCs w:val="22"/>
                      <w:lang w:val="sk-SK"/>
                    </w:rPr>
                  </w:pPr>
                </w:p>
              </w:tc>
              <w:tc>
                <w:tcPr>
                  <w:tcW w:w="1985" w:type="dxa"/>
                </w:tcPr>
                <w:p w14:paraId="669CB6C2" w14:textId="77777777" w:rsidR="00A41C83" w:rsidRPr="00C444B8" w:rsidRDefault="00A41C83" w:rsidP="001E6170">
                  <w:pPr>
                    <w:pStyle w:val="Default"/>
                    <w:rPr>
                      <w:sz w:val="22"/>
                      <w:szCs w:val="22"/>
                      <w:lang w:val="sk-SK"/>
                    </w:rPr>
                  </w:pPr>
                  <w:r w:rsidRPr="005B3B88">
                    <w:rPr>
                      <w:sz w:val="22"/>
                      <w:szCs w:val="22"/>
                    </w:rPr>
                    <w:t>Trombocytóza (vrátane zvýšeného počtu trombocytov)</w:t>
                  </w:r>
                  <w:r w:rsidRPr="00C444B8">
                    <w:rPr>
                      <w:sz w:val="22"/>
                      <w:szCs w:val="22"/>
                      <w:vertAlign w:val="superscript"/>
                    </w:rPr>
                    <w:t>A</w:t>
                  </w:r>
                  <w:r w:rsidRPr="005B3B88">
                    <w:rPr>
                      <w:sz w:val="22"/>
                      <w:szCs w:val="22"/>
                    </w:rPr>
                    <w:t xml:space="preserve">, trombocytopénia </w:t>
                  </w:r>
                </w:p>
              </w:tc>
              <w:tc>
                <w:tcPr>
                  <w:tcW w:w="1559" w:type="dxa"/>
                </w:tcPr>
                <w:p w14:paraId="251C2E95" w14:textId="77777777" w:rsidR="00A41C83" w:rsidRPr="00C444B8" w:rsidRDefault="00A41C83" w:rsidP="00C444B8">
                  <w:pPr>
                    <w:pStyle w:val="Default"/>
                    <w:widowControl w:val="0"/>
                    <w:spacing w:after="120"/>
                    <w:rPr>
                      <w:color w:val="auto"/>
                      <w:sz w:val="22"/>
                      <w:szCs w:val="22"/>
                      <w:lang w:val="sk-SK"/>
                    </w:rPr>
                  </w:pPr>
                </w:p>
              </w:tc>
              <w:tc>
                <w:tcPr>
                  <w:tcW w:w="1701" w:type="dxa"/>
                </w:tcPr>
                <w:p w14:paraId="4533D881" w14:textId="77777777" w:rsidR="00A41C83" w:rsidRPr="00C444B8" w:rsidRDefault="00A41C83" w:rsidP="00C444B8">
                  <w:pPr>
                    <w:pStyle w:val="Default"/>
                    <w:widowControl w:val="0"/>
                    <w:spacing w:after="120"/>
                    <w:rPr>
                      <w:color w:val="auto"/>
                      <w:sz w:val="22"/>
                      <w:szCs w:val="22"/>
                      <w:lang w:val="sk-SK"/>
                    </w:rPr>
                  </w:pPr>
                </w:p>
              </w:tc>
              <w:tc>
                <w:tcPr>
                  <w:tcW w:w="1418" w:type="dxa"/>
                </w:tcPr>
                <w:p w14:paraId="7105A68D" w14:textId="77777777" w:rsidR="00A41C83" w:rsidRPr="00C444B8" w:rsidRDefault="00A41C83" w:rsidP="00C444B8">
                  <w:pPr>
                    <w:pStyle w:val="Default"/>
                    <w:widowControl w:val="0"/>
                    <w:spacing w:after="120"/>
                    <w:rPr>
                      <w:color w:val="auto"/>
                      <w:sz w:val="22"/>
                      <w:szCs w:val="22"/>
                      <w:lang w:val="sk-SK"/>
                    </w:rPr>
                  </w:pPr>
                </w:p>
              </w:tc>
            </w:tr>
            <w:tr w:rsidR="00A41C83" w:rsidRPr="005B3B88" w14:paraId="45497CB6" w14:textId="77777777" w:rsidTr="00F23F15">
              <w:tc>
                <w:tcPr>
                  <w:tcW w:w="8926" w:type="dxa"/>
                  <w:gridSpan w:val="5"/>
                </w:tcPr>
                <w:p w14:paraId="4716806C" w14:textId="77777777" w:rsidR="00A41C83" w:rsidRPr="00C444B8" w:rsidRDefault="00A41C83" w:rsidP="00C444B8">
                  <w:pPr>
                    <w:pStyle w:val="Default"/>
                    <w:widowControl w:val="0"/>
                    <w:spacing w:after="120"/>
                    <w:rPr>
                      <w:b/>
                      <w:color w:val="auto"/>
                      <w:sz w:val="22"/>
                      <w:szCs w:val="22"/>
                      <w:lang w:val="sk-SK"/>
                    </w:rPr>
                  </w:pPr>
                  <w:r w:rsidRPr="005B3B88">
                    <w:rPr>
                      <w:b/>
                      <w:color w:val="auto"/>
                      <w:sz w:val="22"/>
                      <w:szCs w:val="22"/>
                    </w:rPr>
                    <w:t>Poruchy imunitn</w:t>
                  </w:r>
                  <w:r w:rsidRPr="005B3B88">
                    <w:rPr>
                      <w:b/>
                      <w:color w:val="auto"/>
                      <w:sz w:val="22"/>
                      <w:szCs w:val="22"/>
                      <w:lang w:val="sk-SK"/>
                    </w:rPr>
                    <w:t>é</w:t>
                  </w:r>
                  <w:r w:rsidRPr="005B3B88">
                    <w:rPr>
                      <w:b/>
                      <w:color w:val="auto"/>
                      <w:sz w:val="22"/>
                      <w:szCs w:val="22"/>
                    </w:rPr>
                    <w:t>ho systému</w:t>
                  </w:r>
                </w:p>
              </w:tc>
            </w:tr>
            <w:tr w:rsidR="00A41C83" w:rsidRPr="005B3B88" w14:paraId="7D176C06" w14:textId="77777777" w:rsidTr="00F23F15">
              <w:tc>
                <w:tcPr>
                  <w:tcW w:w="2263" w:type="dxa"/>
                </w:tcPr>
                <w:p w14:paraId="2F423061" w14:textId="77777777" w:rsidR="00A41C83" w:rsidRPr="00C444B8" w:rsidRDefault="00A41C83" w:rsidP="00C444B8">
                  <w:pPr>
                    <w:pStyle w:val="Default"/>
                    <w:widowControl w:val="0"/>
                    <w:spacing w:after="120"/>
                    <w:rPr>
                      <w:color w:val="auto"/>
                      <w:sz w:val="22"/>
                      <w:szCs w:val="22"/>
                      <w:lang w:val="sk-SK"/>
                    </w:rPr>
                  </w:pPr>
                </w:p>
              </w:tc>
              <w:tc>
                <w:tcPr>
                  <w:tcW w:w="1985" w:type="dxa"/>
                </w:tcPr>
                <w:p w14:paraId="1946C00C" w14:textId="77777777" w:rsidR="00A41C83" w:rsidRPr="00C444B8" w:rsidRDefault="00A41C83" w:rsidP="001E6170">
                  <w:pPr>
                    <w:pStyle w:val="Default"/>
                    <w:rPr>
                      <w:sz w:val="22"/>
                      <w:szCs w:val="22"/>
                      <w:lang w:val="sk-SK"/>
                    </w:rPr>
                  </w:pPr>
                  <w:r w:rsidRPr="005B3B88">
                    <w:rPr>
                      <w:sz w:val="22"/>
                      <w:szCs w:val="22"/>
                    </w:rPr>
                    <w:t>Alergická reakcia,</w:t>
                  </w:r>
                </w:p>
                <w:p w14:paraId="4A4258C9" w14:textId="77777777" w:rsidR="00A41C83" w:rsidRPr="00C444B8" w:rsidRDefault="00A41C83" w:rsidP="00B20146">
                  <w:pPr>
                    <w:pStyle w:val="Default"/>
                    <w:widowControl w:val="0"/>
                    <w:spacing w:after="120"/>
                    <w:rPr>
                      <w:color w:val="auto"/>
                      <w:sz w:val="22"/>
                      <w:szCs w:val="22"/>
                      <w:lang w:val="sk-SK"/>
                    </w:rPr>
                  </w:pPr>
                  <w:r w:rsidRPr="005B3B88">
                    <w:rPr>
                      <w:sz w:val="22"/>
                      <w:szCs w:val="22"/>
                    </w:rPr>
                    <w:t>alergická dermatitída, angioedém a alergický edém</w:t>
                  </w:r>
                </w:p>
              </w:tc>
              <w:tc>
                <w:tcPr>
                  <w:tcW w:w="1559" w:type="dxa"/>
                </w:tcPr>
                <w:p w14:paraId="6E54FB59" w14:textId="77777777" w:rsidR="00A41C83" w:rsidRPr="00C444B8" w:rsidRDefault="00A41C83" w:rsidP="00C444B8">
                  <w:pPr>
                    <w:pStyle w:val="Default"/>
                    <w:widowControl w:val="0"/>
                    <w:spacing w:after="120"/>
                    <w:rPr>
                      <w:color w:val="auto"/>
                      <w:sz w:val="22"/>
                      <w:szCs w:val="22"/>
                      <w:lang w:val="sk-SK"/>
                    </w:rPr>
                  </w:pPr>
                </w:p>
              </w:tc>
              <w:tc>
                <w:tcPr>
                  <w:tcW w:w="1701" w:type="dxa"/>
                </w:tcPr>
                <w:p w14:paraId="4D3B677D" w14:textId="77777777" w:rsidR="00A41C83" w:rsidRPr="00C444B8" w:rsidRDefault="00A41C83" w:rsidP="00C444B8">
                  <w:pPr>
                    <w:pStyle w:val="Default"/>
                    <w:rPr>
                      <w:sz w:val="22"/>
                      <w:szCs w:val="22"/>
                      <w:lang w:val="sk-SK"/>
                    </w:rPr>
                  </w:pPr>
                  <w:r w:rsidRPr="005B3B88">
                    <w:rPr>
                      <w:sz w:val="22"/>
                      <w:szCs w:val="22"/>
                    </w:rPr>
                    <w:t xml:space="preserve">Anafylaktické reakcie, vrátane anafylaktického šoku </w:t>
                  </w:r>
                </w:p>
              </w:tc>
              <w:tc>
                <w:tcPr>
                  <w:tcW w:w="1418" w:type="dxa"/>
                </w:tcPr>
                <w:p w14:paraId="7AFDFE73" w14:textId="77777777" w:rsidR="00A41C83" w:rsidRPr="00C444B8" w:rsidRDefault="00A41C83" w:rsidP="00C444B8">
                  <w:pPr>
                    <w:pStyle w:val="Default"/>
                    <w:widowControl w:val="0"/>
                    <w:spacing w:after="120"/>
                    <w:rPr>
                      <w:color w:val="auto"/>
                      <w:sz w:val="22"/>
                      <w:szCs w:val="22"/>
                      <w:lang w:val="sk-SK"/>
                    </w:rPr>
                  </w:pPr>
                </w:p>
              </w:tc>
            </w:tr>
            <w:tr w:rsidR="00A41C83" w:rsidRPr="005B3B88" w14:paraId="12F377CE" w14:textId="77777777" w:rsidTr="00F23F15">
              <w:tc>
                <w:tcPr>
                  <w:tcW w:w="8926" w:type="dxa"/>
                  <w:gridSpan w:val="5"/>
                </w:tcPr>
                <w:p w14:paraId="069811E7"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nervového systému</w:t>
                  </w:r>
                </w:p>
              </w:tc>
            </w:tr>
            <w:tr w:rsidR="00A41C83" w:rsidRPr="005B3B88" w14:paraId="33A36285" w14:textId="77777777" w:rsidTr="00F23F15">
              <w:tc>
                <w:tcPr>
                  <w:tcW w:w="2263" w:type="dxa"/>
                </w:tcPr>
                <w:p w14:paraId="2147C5BF" w14:textId="77777777" w:rsidR="00A41C83" w:rsidRPr="00C444B8" w:rsidRDefault="00A41C83" w:rsidP="001E6170">
                  <w:pPr>
                    <w:pStyle w:val="Default"/>
                    <w:rPr>
                      <w:sz w:val="22"/>
                      <w:szCs w:val="22"/>
                      <w:lang w:val="sk-SK"/>
                    </w:rPr>
                  </w:pPr>
                  <w:r w:rsidRPr="005B3B88">
                    <w:rPr>
                      <w:sz w:val="22"/>
                      <w:szCs w:val="22"/>
                    </w:rPr>
                    <w:t xml:space="preserve">Závrat, bolesť hlavy </w:t>
                  </w:r>
                </w:p>
              </w:tc>
              <w:tc>
                <w:tcPr>
                  <w:tcW w:w="1985" w:type="dxa"/>
                </w:tcPr>
                <w:p w14:paraId="5979F4CC" w14:textId="77777777" w:rsidR="00A41C83" w:rsidRPr="00C444B8" w:rsidRDefault="00A41C83" w:rsidP="00B20146">
                  <w:pPr>
                    <w:pStyle w:val="Default"/>
                    <w:rPr>
                      <w:sz w:val="22"/>
                      <w:szCs w:val="22"/>
                      <w:lang w:val="sk-SK"/>
                    </w:rPr>
                  </w:pPr>
                  <w:r w:rsidRPr="005B3B88">
                    <w:rPr>
                      <w:sz w:val="22"/>
                      <w:szCs w:val="22"/>
                    </w:rPr>
                    <w:t xml:space="preserve">Cerebrálna a intrakraniálna hemorágia, synkopa </w:t>
                  </w:r>
                </w:p>
              </w:tc>
              <w:tc>
                <w:tcPr>
                  <w:tcW w:w="1559" w:type="dxa"/>
                </w:tcPr>
                <w:p w14:paraId="36B109BB" w14:textId="77777777" w:rsidR="00A41C83" w:rsidRPr="00C444B8" w:rsidRDefault="00A41C83" w:rsidP="00C444B8">
                  <w:pPr>
                    <w:pStyle w:val="Default"/>
                    <w:widowControl w:val="0"/>
                    <w:spacing w:after="120"/>
                    <w:rPr>
                      <w:color w:val="auto"/>
                      <w:sz w:val="22"/>
                      <w:szCs w:val="22"/>
                      <w:lang w:val="sk-SK"/>
                    </w:rPr>
                  </w:pPr>
                </w:p>
              </w:tc>
              <w:tc>
                <w:tcPr>
                  <w:tcW w:w="1701" w:type="dxa"/>
                </w:tcPr>
                <w:p w14:paraId="40CF19AF" w14:textId="77777777" w:rsidR="00A41C83" w:rsidRPr="00C444B8" w:rsidRDefault="00A41C83" w:rsidP="00C444B8">
                  <w:pPr>
                    <w:pStyle w:val="Default"/>
                    <w:widowControl w:val="0"/>
                    <w:spacing w:after="120"/>
                    <w:rPr>
                      <w:color w:val="auto"/>
                      <w:sz w:val="22"/>
                      <w:szCs w:val="22"/>
                      <w:lang w:val="sk-SK"/>
                    </w:rPr>
                  </w:pPr>
                </w:p>
              </w:tc>
              <w:tc>
                <w:tcPr>
                  <w:tcW w:w="1418" w:type="dxa"/>
                </w:tcPr>
                <w:p w14:paraId="641924BD" w14:textId="77777777" w:rsidR="00A41C83" w:rsidRPr="00C444B8" w:rsidRDefault="00A41C83" w:rsidP="00C444B8">
                  <w:pPr>
                    <w:pStyle w:val="Default"/>
                    <w:widowControl w:val="0"/>
                    <w:spacing w:after="120"/>
                    <w:rPr>
                      <w:color w:val="auto"/>
                      <w:sz w:val="22"/>
                      <w:szCs w:val="22"/>
                      <w:lang w:val="sk-SK"/>
                    </w:rPr>
                  </w:pPr>
                </w:p>
              </w:tc>
            </w:tr>
            <w:tr w:rsidR="00A41C83" w:rsidRPr="005B3B88" w14:paraId="18007BBD" w14:textId="77777777" w:rsidTr="00F23F15">
              <w:tc>
                <w:tcPr>
                  <w:tcW w:w="8926" w:type="dxa"/>
                  <w:gridSpan w:val="5"/>
                </w:tcPr>
                <w:p w14:paraId="1E074576" w14:textId="77777777" w:rsidR="00A41C83" w:rsidRPr="00C444B8" w:rsidRDefault="00A41C83" w:rsidP="00C444B8">
                  <w:pPr>
                    <w:pStyle w:val="Default"/>
                    <w:widowControl w:val="0"/>
                    <w:spacing w:after="120"/>
                    <w:rPr>
                      <w:color w:val="auto"/>
                      <w:sz w:val="22"/>
                      <w:szCs w:val="22"/>
                      <w:lang w:val="sk-SK"/>
                    </w:rPr>
                  </w:pPr>
                  <w:r w:rsidRPr="005B3B88">
                    <w:rPr>
                      <w:b/>
                      <w:bCs/>
                      <w:sz w:val="22"/>
                      <w:szCs w:val="22"/>
                    </w:rPr>
                    <w:t xml:space="preserve">Poruchy oka </w:t>
                  </w:r>
                </w:p>
              </w:tc>
            </w:tr>
            <w:tr w:rsidR="00A41C83" w:rsidRPr="005B3B88" w14:paraId="4761DD23" w14:textId="77777777" w:rsidTr="00F23F15">
              <w:tc>
                <w:tcPr>
                  <w:tcW w:w="2263" w:type="dxa"/>
                </w:tcPr>
                <w:p w14:paraId="6597BA27" w14:textId="77777777" w:rsidR="00A41C83" w:rsidRPr="00C444B8" w:rsidRDefault="00A41C83" w:rsidP="001E6170">
                  <w:pPr>
                    <w:pStyle w:val="Default"/>
                    <w:rPr>
                      <w:sz w:val="22"/>
                      <w:szCs w:val="22"/>
                      <w:lang w:val="sk-SK"/>
                    </w:rPr>
                  </w:pPr>
                  <w:r w:rsidRPr="005B3B88">
                    <w:rPr>
                      <w:sz w:val="22"/>
                      <w:szCs w:val="22"/>
                    </w:rPr>
                    <w:t xml:space="preserve">Krvácanie do oka (vrátane konjunktiválnej hemorágie) </w:t>
                  </w:r>
                </w:p>
              </w:tc>
              <w:tc>
                <w:tcPr>
                  <w:tcW w:w="1985" w:type="dxa"/>
                </w:tcPr>
                <w:p w14:paraId="08CD68BA" w14:textId="77777777" w:rsidR="00A41C83" w:rsidRPr="00C444B8" w:rsidRDefault="00A41C83" w:rsidP="00C444B8">
                  <w:pPr>
                    <w:pStyle w:val="Default"/>
                    <w:widowControl w:val="0"/>
                    <w:spacing w:after="120"/>
                    <w:rPr>
                      <w:color w:val="auto"/>
                      <w:sz w:val="22"/>
                      <w:szCs w:val="22"/>
                      <w:lang w:val="sk-SK"/>
                    </w:rPr>
                  </w:pPr>
                </w:p>
              </w:tc>
              <w:tc>
                <w:tcPr>
                  <w:tcW w:w="1559" w:type="dxa"/>
                </w:tcPr>
                <w:p w14:paraId="4B375307" w14:textId="77777777" w:rsidR="00A41C83" w:rsidRPr="00C444B8" w:rsidRDefault="00A41C83" w:rsidP="00C444B8">
                  <w:pPr>
                    <w:pStyle w:val="Default"/>
                    <w:widowControl w:val="0"/>
                    <w:spacing w:after="120"/>
                    <w:rPr>
                      <w:color w:val="auto"/>
                      <w:sz w:val="22"/>
                      <w:szCs w:val="22"/>
                      <w:lang w:val="sk-SK"/>
                    </w:rPr>
                  </w:pPr>
                </w:p>
              </w:tc>
              <w:tc>
                <w:tcPr>
                  <w:tcW w:w="1701" w:type="dxa"/>
                </w:tcPr>
                <w:p w14:paraId="24791ADF" w14:textId="77777777" w:rsidR="00A41C83" w:rsidRPr="00C444B8" w:rsidRDefault="00A41C83" w:rsidP="00C444B8">
                  <w:pPr>
                    <w:pStyle w:val="Default"/>
                    <w:widowControl w:val="0"/>
                    <w:spacing w:after="120"/>
                    <w:rPr>
                      <w:color w:val="auto"/>
                      <w:sz w:val="22"/>
                      <w:szCs w:val="22"/>
                      <w:lang w:val="sk-SK"/>
                    </w:rPr>
                  </w:pPr>
                </w:p>
              </w:tc>
              <w:tc>
                <w:tcPr>
                  <w:tcW w:w="1418" w:type="dxa"/>
                </w:tcPr>
                <w:p w14:paraId="5508A2FE" w14:textId="77777777" w:rsidR="00A41C83" w:rsidRPr="00C444B8" w:rsidRDefault="00A41C83" w:rsidP="00C444B8">
                  <w:pPr>
                    <w:pStyle w:val="Default"/>
                    <w:widowControl w:val="0"/>
                    <w:spacing w:after="120"/>
                    <w:rPr>
                      <w:color w:val="auto"/>
                      <w:sz w:val="22"/>
                      <w:szCs w:val="22"/>
                      <w:lang w:val="sk-SK"/>
                    </w:rPr>
                  </w:pPr>
                </w:p>
              </w:tc>
            </w:tr>
            <w:tr w:rsidR="00A41C83" w:rsidRPr="005B3B88" w14:paraId="51E21820" w14:textId="77777777" w:rsidTr="00F23F15">
              <w:tc>
                <w:tcPr>
                  <w:tcW w:w="8926" w:type="dxa"/>
                  <w:gridSpan w:val="5"/>
                </w:tcPr>
                <w:p w14:paraId="106D7304" w14:textId="77777777" w:rsidR="00A41C83" w:rsidRPr="00C444B8" w:rsidRDefault="00A41C83" w:rsidP="00C444B8">
                  <w:pPr>
                    <w:pStyle w:val="Default"/>
                    <w:rPr>
                      <w:sz w:val="22"/>
                      <w:szCs w:val="22"/>
                      <w:lang w:val="sk-SK"/>
                    </w:rPr>
                  </w:pPr>
                  <w:r w:rsidRPr="005B3B88">
                    <w:rPr>
                      <w:b/>
                      <w:bCs/>
                      <w:sz w:val="22"/>
                      <w:szCs w:val="22"/>
                    </w:rPr>
                    <w:t xml:space="preserve">Poruchy srdca a srdcovej činnosti </w:t>
                  </w:r>
                </w:p>
              </w:tc>
            </w:tr>
            <w:tr w:rsidR="00A41C83" w:rsidRPr="005B3B88" w14:paraId="4A486323" w14:textId="77777777" w:rsidTr="00F23F15">
              <w:tc>
                <w:tcPr>
                  <w:tcW w:w="2263" w:type="dxa"/>
                </w:tcPr>
                <w:p w14:paraId="69C45BE3" w14:textId="77777777" w:rsidR="00A41C83" w:rsidRPr="00C444B8" w:rsidRDefault="00A41C83" w:rsidP="00C444B8">
                  <w:pPr>
                    <w:pStyle w:val="Default"/>
                    <w:widowControl w:val="0"/>
                    <w:spacing w:after="120"/>
                    <w:rPr>
                      <w:color w:val="auto"/>
                      <w:sz w:val="22"/>
                      <w:szCs w:val="22"/>
                      <w:lang w:val="sk-SK"/>
                    </w:rPr>
                  </w:pPr>
                </w:p>
              </w:tc>
              <w:tc>
                <w:tcPr>
                  <w:tcW w:w="1985" w:type="dxa"/>
                </w:tcPr>
                <w:p w14:paraId="2D06129F" w14:textId="77777777" w:rsidR="00A41C83" w:rsidRPr="00C444B8" w:rsidRDefault="00A41C83" w:rsidP="00C444B8">
                  <w:pPr>
                    <w:pStyle w:val="Default"/>
                    <w:widowControl w:val="0"/>
                    <w:spacing w:after="120"/>
                    <w:rPr>
                      <w:sz w:val="22"/>
                      <w:szCs w:val="22"/>
                      <w:lang w:val="sk-SK"/>
                    </w:rPr>
                  </w:pPr>
                  <w:r w:rsidRPr="005B3B88">
                    <w:rPr>
                      <w:sz w:val="22"/>
                      <w:szCs w:val="22"/>
                    </w:rPr>
                    <w:t>Tachykardi</w:t>
                  </w:r>
                  <w:r w:rsidRPr="005B3B88">
                    <w:rPr>
                      <w:sz w:val="22"/>
                      <w:szCs w:val="22"/>
                      <w:lang w:val="sk-SK"/>
                    </w:rPr>
                    <w:t>a</w:t>
                  </w:r>
                  <w:r w:rsidRPr="005B3B88">
                    <w:rPr>
                      <w:sz w:val="22"/>
                      <w:szCs w:val="22"/>
                    </w:rPr>
                    <w:t xml:space="preserve"> </w:t>
                  </w:r>
                </w:p>
              </w:tc>
              <w:tc>
                <w:tcPr>
                  <w:tcW w:w="1559" w:type="dxa"/>
                </w:tcPr>
                <w:p w14:paraId="5D051A9A" w14:textId="77777777" w:rsidR="00A41C83" w:rsidRPr="00C444B8" w:rsidRDefault="00A41C83" w:rsidP="00C444B8">
                  <w:pPr>
                    <w:pStyle w:val="Default"/>
                    <w:widowControl w:val="0"/>
                    <w:spacing w:after="120"/>
                    <w:rPr>
                      <w:color w:val="auto"/>
                      <w:sz w:val="22"/>
                      <w:szCs w:val="22"/>
                      <w:lang w:val="sk-SK"/>
                    </w:rPr>
                  </w:pPr>
                </w:p>
              </w:tc>
              <w:tc>
                <w:tcPr>
                  <w:tcW w:w="1701" w:type="dxa"/>
                </w:tcPr>
                <w:p w14:paraId="27DA72AB" w14:textId="77777777" w:rsidR="00A41C83" w:rsidRPr="00C444B8" w:rsidRDefault="00A41C83" w:rsidP="00C444B8">
                  <w:pPr>
                    <w:pStyle w:val="Default"/>
                    <w:widowControl w:val="0"/>
                    <w:spacing w:after="120"/>
                    <w:rPr>
                      <w:color w:val="auto"/>
                      <w:sz w:val="22"/>
                      <w:szCs w:val="22"/>
                      <w:lang w:val="sk-SK"/>
                    </w:rPr>
                  </w:pPr>
                </w:p>
              </w:tc>
              <w:tc>
                <w:tcPr>
                  <w:tcW w:w="1418" w:type="dxa"/>
                </w:tcPr>
                <w:p w14:paraId="026DD31B" w14:textId="77777777" w:rsidR="00A41C83" w:rsidRPr="00C444B8" w:rsidRDefault="00A41C83" w:rsidP="00C444B8">
                  <w:pPr>
                    <w:pStyle w:val="Default"/>
                    <w:widowControl w:val="0"/>
                    <w:spacing w:after="120"/>
                    <w:rPr>
                      <w:color w:val="auto"/>
                      <w:sz w:val="22"/>
                      <w:szCs w:val="22"/>
                      <w:lang w:val="sk-SK"/>
                    </w:rPr>
                  </w:pPr>
                </w:p>
              </w:tc>
            </w:tr>
            <w:tr w:rsidR="00A41C83" w:rsidRPr="005B3B88" w14:paraId="421A78C9" w14:textId="77777777" w:rsidTr="00F23F15">
              <w:tc>
                <w:tcPr>
                  <w:tcW w:w="8926" w:type="dxa"/>
                  <w:gridSpan w:val="5"/>
                </w:tcPr>
                <w:p w14:paraId="561015A0" w14:textId="77777777" w:rsidR="00A41C83" w:rsidRPr="00C444B8" w:rsidRDefault="00A41C83" w:rsidP="001E6170">
                  <w:pPr>
                    <w:pStyle w:val="Default"/>
                    <w:rPr>
                      <w:sz w:val="22"/>
                      <w:szCs w:val="22"/>
                      <w:lang w:val="sk-SK"/>
                    </w:rPr>
                  </w:pPr>
                  <w:r w:rsidRPr="005B3B88">
                    <w:rPr>
                      <w:b/>
                      <w:bCs/>
                      <w:sz w:val="22"/>
                      <w:szCs w:val="22"/>
                    </w:rPr>
                    <w:t xml:space="preserve">Poruchy ciev </w:t>
                  </w:r>
                </w:p>
              </w:tc>
            </w:tr>
            <w:tr w:rsidR="00A41C83" w:rsidRPr="005B3B88" w14:paraId="3CEC2BFC" w14:textId="77777777" w:rsidTr="00F23F15">
              <w:tc>
                <w:tcPr>
                  <w:tcW w:w="2263" w:type="dxa"/>
                </w:tcPr>
                <w:p w14:paraId="0C9892CF" w14:textId="77777777" w:rsidR="00A41C83" w:rsidRPr="00C444B8" w:rsidRDefault="00A41C83" w:rsidP="001E6170">
                  <w:pPr>
                    <w:pStyle w:val="Default"/>
                    <w:rPr>
                      <w:sz w:val="22"/>
                      <w:szCs w:val="22"/>
                      <w:lang w:val="sk-SK"/>
                    </w:rPr>
                  </w:pPr>
                  <w:r w:rsidRPr="005B3B88">
                    <w:rPr>
                      <w:sz w:val="22"/>
                      <w:szCs w:val="22"/>
                    </w:rPr>
                    <w:t xml:space="preserve">Hypotenzia, hematóm </w:t>
                  </w:r>
                </w:p>
              </w:tc>
              <w:tc>
                <w:tcPr>
                  <w:tcW w:w="1985" w:type="dxa"/>
                </w:tcPr>
                <w:p w14:paraId="5444D63B" w14:textId="77777777" w:rsidR="00A41C83" w:rsidRPr="00C444B8" w:rsidRDefault="00A41C83" w:rsidP="00C444B8">
                  <w:pPr>
                    <w:pStyle w:val="Default"/>
                    <w:widowControl w:val="0"/>
                    <w:spacing w:after="120"/>
                    <w:rPr>
                      <w:color w:val="auto"/>
                      <w:sz w:val="22"/>
                      <w:szCs w:val="22"/>
                      <w:lang w:val="sk-SK"/>
                    </w:rPr>
                  </w:pPr>
                </w:p>
              </w:tc>
              <w:tc>
                <w:tcPr>
                  <w:tcW w:w="1559" w:type="dxa"/>
                </w:tcPr>
                <w:p w14:paraId="6FDB76C3" w14:textId="77777777" w:rsidR="00A41C83" w:rsidRPr="00C444B8" w:rsidRDefault="00A41C83" w:rsidP="00C444B8">
                  <w:pPr>
                    <w:pStyle w:val="Default"/>
                    <w:widowControl w:val="0"/>
                    <w:spacing w:after="120"/>
                    <w:rPr>
                      <w:color w:val="auto"/>
                      <w:sz w:val="22"/>
                      <w:szCs w:val="22"/>
                      <w:lang w:val="sk-SK"/>
                    </w:rPr>
                  </w:pPr>
                </w:p>
              </w:tc>
              <w:tc>
                <w:tcPr>
                  <w:tcW w:w="1701" w:type="dxa"/>
                </w:tcPr>
                <w:p w14:paraId="5168152B" w14:textId="77777777" w:rsidR="00A41C83" w:rsidRPr="00C444B8" w:rsidRDefault="00A41C83" w:rsidP="00C444B8">
                  <w:pPr>
                    <w:pStyle w:val="Default"/>
                    <w:widowControl w:val="0"/>
                    <w:spacing w:after="120"/>
                    <w:rPr>
                      <w:color w:val="auto"/>
                      <w:sz w:val="22"/>
                      <w:szCs w:val="22"/>
                      <w:lang w:val="sk-SK"/>
                    </w:rPr>
                  </w:pPr>
                </w:p>
              </w:tc>
              <w:tc>
                <w:tcPr>
                  <w:tcW w:w="1418" w:type="dxa"/>
                </w:tcPr>
                <w:p w14:paraId="2100F60E" w14:textId="77777777" w:rsidR="00A41C83" w:rsidRPr="00C444B8" w:rsidRDefault="00A41C83" w:rsidP="00C444B8">
                  <w:pPr>
                    <w:pStyle w:val="Default"/>
                    <w:widowControl w:val="0"/>
                    <w:spacing w:after="120"/>
                    <w:rPr>
                      <w:color w:val="auto"/>
                      <w:sz w:val="22"/>
                      <w:szCs w:val="22"/>
                      <w:lang w:val="sk-SK"/>
                    </w:rPr>
                  </w:pPr>
                </w:p>
              </w:tc>
            </w:tr>
            <w:tr w:rsidR="00A41C83" w:rsidRPr="005B3B88" w14:paraId="475823DC" w14:textId="77777777" w:rsidTr="00F23F15">
              <w:tc>
                <w:tcPr>
                  <w:tcW w:w="8926" w:type="dxa"/>
                  <w:gridSpan w:val="5"/>
                </w:tcPr>
                <w:p w14:paraId="4B604587" w14:textId="77777777" w:rsidR="00A41C83" w:rsidRPr="00C444B8" w:rsidRDefault="00A41C83" w:rsidP="00C444B8">
                  <w:pPr>
                    <w:pStyle w:val="Default"/>
                    <w:rPr>
                      <w:sz w:val="22"/>
                      <w:szCs w:val="22"/>
                      <w:lang w:val="sk-SK"/>
                    </w:rPr>
                  </w:pPr>
                  <w:r w:rsidRPr="005B3B88">
                    <w:rPr>
                      <w:b/>
                      <w:bCs/>
                      <w:sz w:val="22"/>
                      <w:szCs w:val="22"/>
                    </w:rPr>
                    <w:t xml:space="preserve">Poruchy dýchacej sústavy, hrudníka a mediastína </w:t>
                  </w:r>
                </w:p>
              </w:tc>
            </w:tr>
            <w:tr w:rsidR="00A41C83" w:rsidRPr="005B3B88" w14:paraId="238125BA" w14:textId="77777777" w:rsidTr="00F23F15">
              <w:tc>
                <w:tcPr>
                  <w:tcW w:w="2263" w:type="dxa"/>
                </w:tcPr>
                <w:p w14:paraId="1B648445" w14:textId="77777777" w:rsidR="00A41C83" w:rsidRPr="00C444B8" w:rsidRDefault="00A41C83" w:rsidP="00C444B8">
                  <w:pPr>
                    <w:pStyle w:val="Default"/>
                    <w:rPr>
                      <w:sz w:val="22"/>
                      <w:szCs w:val="22"/>
                      <w:lang w:val="sk-SK"/>
                    </w:rPr>
                  </w:pPr>
                  <w:r w:rsidRPr="005B3B88">
                    <w:rPr>
                      <w:sz w:val="22"/>
                      <w:szCs w:val="22"/>
                    </w:rPr>
                    <w:t xml:space="preserve">Krvácanie z nosa, </w:t>
                  </w:r>
                </w:p>
                <w:p w14:paraId="7A32FA45" w14:textId="77777777" w:rsidR="00A41C83" w:rsidRPr="00C444B8" w:rsidRDefault="00A41C83" w:rsidP="00C444B8">
                  <w:pPr>
                    <w:pStyle w:val="Default"/>
                    <w:widowControl w:val="0"/>
                    <w:spacing w:after="120"/>
                    <w:rPr>
                      <w:color w:val="auto"/>
                      <w:sz w:val="22"/>
                      <w:szCs w:val="22"/>
                      <w:lang w:val="sk-SK"/>
                    </w:rPr>
                  </w:pPr>
                  <w:r w:rsidRPr="005B3B88">
                    <w:rPr>
                      <w:sz w:val="22"/>
                      <w:szCs w:val="22"/>
                    </w:rPr>
                    <w:t xml:space="preserve">hemoptýza </w:t>
                  </w:r>
                </w:p>
              </w:tc>
              <w:tc>
                <w:tcPr>
                  <w:tcW w:w="1985" w:type="dxa"/>
                </w:tcPr>
                <w:p w14:paraId="10B8138B" w14:textId="77777777" w:rsidR="00A41C83" w:rsidRPr="00C444B8" w:rsidRDefault="00A41C83" w:rsidP="00C444B8">
                  <w:pPr>
                    <w:pStyle w:val="Default"/>
                    <w:widowControl w:val="0"/>
                    <w:spacing w:after="120"/>
                    <w:rPr>
                      <w:color w:val="auto"/>
                      <w:sz w:val="22"/>
                      <w:szCs w:val="22"/>
                      <w:lang w:val="sk-SK"/>
                    </w:rPr>
                  </w:pPr>
                </w:p>
              </w:tc>
              <w:tc>
                <w:tcPr>
                  <w:tcW w:w="1559" w:type="dxa"/>
                </w:tcPr>
                <w:p w14:paraId="00D27352" w14:textId="77777777" w:rsidR="00A41C83" w:rsidRPr="00C444B8" w:rsidRDefault="00A41C83" w:rsidP="00C444B8">
                  <w:pPr>
                    <w:pStyle w:val="Default"/>
                    <w:widowControl w:val="0"/>
                    <w:spacing w:after="120"/>
                    <w:rPr>
                      <w:color w:val="auto"/>
                      <w:sz w:val="22"/>
                      <w:szCs w:val="22"/>
                      <w:lang w:val="sk-SK"/>
                    </w:rPr>
                  </w:pPr>
                </w:p>
              </w:tc>
              <w:tc>
                <w:tcPr>
                  <w:tcW w:w="1701" w:type="dxa"/>
                </w:tcPr>
                <w:p w14:paraId="249ED0A1" w14:textId="77777777" w:rsidR="00A41C83" w:rsidRPr="00C444B8" w:rsidRDefault="00A41C83" w:rsidP="00C444B8">
                  <w:pPr>
                    <w:pStyle w:val="Default"/>
                    <w:widowControl w:val="0"/>
                    <w:spacing w:after="120"/>
                    <w:rPr>
                      <w:color w:val="auto"/>
                      <w:sz w:val="22"/>
                      <w:szCs w:val="22"/>
                      <w:lang w:val="sk-SK"/>
                    </w:rPr>
                  </w:pPr>
                </w:p>
              </w:tc>
              <w:tc>
                <w:tcPr>
                  <w:tcW w:w="1418" w:type="dxa"/>
                </w:tcPr>
                <w:p w14:paraId="7BB68109" w14:textId="77777777" w:rsidR="00A41C83" w:rsidRPr="00C444B8" w:rsidRDefault="00A41C83" w:rsidP="00C444B8">
                  <w:pPr>
                    <w:pStyle w:val="Default"/>
                    <w:widowControl w:val="0"/>
                    <w:spacing w:after="120"/>
                    <w:rPr>
                      <w:color w:val="auto"/>
                      <w:sz w:val="22"/>
                      <w:szCs w:val="22"/>
                      <w:lang w:val="sk-SK"/>
                    </w:rPr>
                  </w:pPr>
                </w:p>
              </w:tc>
            </w:tr>
            <w:tr w:rsidR="00A41C83" w:rsidRPr="005B3B88" w14:paraId="564EA440" w14:textId="77777777" w:rsidTr="00F23F15">
              <w:tc>
                <w:tcPr>
                  <w:tcW w:w="8926" w:type="dxa"/>
                  <w:gridSpan w:val="5"/>
                </w:tcPr>
                <w:p w14:paraId="2C911E92" w14:textId="77777777" w:rsidR="00A41C83" w:rsidRPr="00C444B8" w:rsidRDefault="00A41C83" w:rsidP="00C444B8">
                  <w:pPr>
                    <w:pStyle w:val="Default"/>
                    <w:rPr>
                      <w:sz w:val="22"/>
                      <w:szCs w:val="22"/>
                      <w:lang w:val="sk-SK"/>
                    </w:rPr>
                  </w:pPr>
                  <w:r w:rsidRPr="005B3B88">
                    <w:rPr>
                      <w:b/>
                      <w:bCs/>
                      <w:sz w:val="22"/>
                      <w:szCs w:val="22"/>
                    </w:rPr>
                    <w:t xml:space="preserve">Poruchy gastrointestinálneho traktu </w:t>
                  </w:r>
                </w:p>
              </w:tc>
            </w:tr>
            <w:tr w:rsidR="00A41C83" w:rsidRPr="005B3B88" w14:paraId="7DD91355" w14:textId="77777777" w:rsidTr="00F23F15">
              <w:tc>
                <w:tcPr>
                  <w:tcW w:w="2263"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61"/>
                    <w:gridCol w:w="236"/>
                  </w:tblGrid>
                  <w:tr w:rsidR="00A41C83" w:rsidRPr="005B3B88" w14:paraId="2D43411F" w14:textId="77777777" w:rsidTr="000F6CBC">
                    <w:trPr>
                      <w:trHeight w:val="2882"/>
                    </w:trPr>
                    <w:tc>
                      <w:tcPr>
                        <w:tcW w:w="2061" w:type="dxa"/>
                      </w:tcPr>
                      <w:p w14:paraId="22000398" w14:textId="2941693C" w:rsidR="00A41C83" w:rsidRPr="005B3B88" w:rsidRDefault="00A41C83" w:rsidP="001E6170">
                        <w:pPr>
                          <w:pStyle w:val="Default"/>
                          <w:rPr>
                            <w:sz w:val="14"/>
                            <w:szCs w:val="14"/>
                          </w:rPr>
                        </w:pPr>
                        <w:r w:rsidRPr="005B3B88">
                          <w:rPr>
                            <w:sz w:val="22"/>
                            <w:szCs w:val="22"/>
                          </w:rPr>
                          <w:t>Krvácanie z</w:t>
                        </w:r>
                        <w:r w:rsidR="00570C2F">
                          <w:rPr>
                            <w:sz w:val="22"/>
                            <w:szCs w:val="22"/>
                          </w:rPr>
                          <w:t> </w:t>
                        </w:r>
                        <w:r w:rsidRPr="005B3B88">
                          <w:rPr>
                            <w:sz w:val="22"/>
                            <w:szCs w:val="22"/>
                          </w:rPr>
                          <w:t>ďasien</w:t>
                        </w:r>
                        <w:r w:rsidR="00570C2F">
                          <w:rPr>
                            <w:sz w:val="22"/>
                            <w:szCs w:val="22"/>
                          </w:rPr>
                          <w:t>,</w:t>
                        </w:r>
                        <w:r w:rsidRPr="005B3B88">
                          <w:rPr>
                            <w:sz w:val="22"/>
                            <w:szCs w:val="22"/>
                          </w:rPr>
                          <w:t xml:space="preserve"> krvácanie do gastrointestinálneho traktu (vrátane krvácania z konečníka), bolesť brucha a bolesť v gastrointestinálnom trakte, dyspepsia, nauzea, zápcha</w:t>
                        </w:r>
                        <w:r w:rsidRPr="00C444B8">
                          <w:rPr>
                            <w:sz w:val="22"/>
                            <w:szCs w:val="22"/>
                            <w:vertAlign w:val="superscript"/>
                          </w:rPr>
                          <w:t>A</w:t>
                        </w:r>
                        <w:r w:rsidRPr="005B3B88">
                          <w:rPr>
                            <w:sz w:val="22"/>
                            <w:szCs w:val="22"/>
                          </w:rPr>
                          <w:t>, hnačka, vracanie</w:t>
                        </w:r>
                        <w:r w:rsidRPr="00C444B8">
                          <w:rPr>
                            <w:sz w:val="22"/>
                            <w:szCs w:val="22"/>
                            <w:vertAlign w:val="superscript"/>
                          </w:rPr>
                          <w:t>A</w:t>
                        </w:r>
                        <w:r w:rsidRPr="005B3B88">
                          <w:rPr>
                            <w:sz w:val="14"/>
                            <w:szCs w:val="14"/>
                          </w:rPr>
                          <w:t xml:space="preserve"> </w:t>
                        </w:r>
                      </w:p>
                    </w:tc>
                    <w:tc>
                      <w:tcPr>
                        <w:tcW w:w="222" w:type="dxa"/>
                      </w:tcPr>
                      <w:p w14:paraId="7596979C" w14:textId="77777777" w:rsidR="00A41C83" w:rsidRPr="005B3B88" w:rsidRDefault="00A41C83" w:rsidP="00C444B8">
                        <w:pPr>
                          <w:pStyle w:val="Default"/>
                          <w:widowControl w:val="0"/>
                          <w:spacing w:after="120"/>
                          <w:rPr>
                            <w:sz w:val="22"/>
                            <w:szCs w:val="22"/>
                          </w:rPr>
                        </w:pPr>
                      </w:p>
                    </w:tc>
                  </w:tr>
                </w:tbl>
                <w:p w14:paraId="08260913" w14:textId="77777777" w:rsidR="00A41C83" w:rsidRPr="00C444B8" w:rsidRDefault="00A41C83" w:rsidP="00C444B8">
                  <w:pPr>
                    <w:pStyle w:val="Default"/>
                    <w:widowControl w:val="0"/>
                    <w:spacing w:after="120"/>
                    <w:rPr>
                      <w:color w:val="auto"/>
                      <w:sz w:val="22"/>
                      <w:szCs w:val="22"/>
                      <w:lang w:val="sk-SK"/>
                    </w:rPr>
                  </w:pPr>
                </w:p>
              </w:tc>
              <w:tc>
                <w:tcPr>
                  <w:tcW w:w="1985" w:type="dxa"/>
                  <w:tcBorders>
                    <w:bottom w:val="single" w:sz="4" w:space="0" w:color="auto"/>
                  </w:tcBorders>
                </w:tcPr>
                <w:p w14:paraId="3636C3F8" w14:textId="77777777" w:rsidR="00A41C83" w:rsidRPr="00C444B8" w:rsidRDefault="00A41C83" w:rsidP="00C444B8">
                  <w:pPr>
                    <w:pStyle w:val="Default"/>
                    <w:rPr>
                      <w:sz w:val="22"/>
                      <w:szCs w:val="22"/>
                      <w:lang w:val="sk-SK"/>
                    </w:rPr>
                  </w:pPr>
                  <w:r w:rsidRPr="005B3B88">
                    <w:rPr>
                      <w:sz w:val="22"/>
                      <w:szCs w:val="22"/>
                    </w:rPr>
                    <w:t xml:space="preserve">Sucho v ústach </w:t>
                  </w:r>
                </w:p>
                <w:p w14:paraId="6E08BF0F" w14:textId="77777777" w:rsidR="00A41C83" w:rsidRPr="00C444B8" w:rsidRDefault="00A41C83" w:rsidP="00C444B8">
                  <w:pPr>
                    <w:pStyle w:val="Default"/>
                    <w:widowControl w:val="0"/>
                    <w:spacing w:after="120"/>
                    <w:rPr>
                      <w:color w:val="auto"/>
                      <w:sz w:val="22"/>
                      <w:szCs w:val="22"/>
                      <w:lang w:val="sk-SK"/>
                    </w:rPr>
                  </w:pPr>
                </w:p>
              </w:tc>
              <w:tc>
                <w:tcPr>
                  <w:tcW w:w="1559" w:type="dxa"/>
                  <w:tcBorders>
                    <w:bottom w:val="single" w:sz="4" w:space="0" w:color="auto"/>
                  </w:tcBorders>
                </w:tcPr>
                <w:p w14:paraId="6096849B" w14:textId="77777777" w:rsidR="00A41C83" w:rsidRPr="00C444B8" w:rsidRDefault="00A41C83" w:rsidP="00C444B8">
                  <w:pPr>
                    <w:pStyle w:val="Default"/>
                    <w:widowControl w:val="0"/>
                    <w:spacing w:after="120"/>
                    <w:rPr>
                      <w:color w:val="auto"/>
                      <w:sz w:val="22"/>
                      <w:szCs w:val="22"/>
                      <w:lang w:val="sk-SK"/>
                    </w:rPr>
                  </w:pPr>
                </w:p>
              </w:tc>
              <w:tc>
                <w:tcPr>
                  <w:tcW w:w="1701" w:type="dxa"/>
                  <w:tcBorders>
                    <w:bottom w:val="single" w:sz="4" w:space="0" w:color="auto"/>
                  </w:tcBorders>
                </w:tcPr>
                <w:p w14:paraId="096A065A" w14:textId="77777777" w:rsidR="00A41C83" w:rsidRPr="00C444B8" w:rsidRDefault="00A41C83" w:rsidP="00C444B8">
                  <w:pPr>
                    <w:pStyle w:val="Default"/>
                    <w:widowControl w:val="0"/>
                    <w:spacing w:after="120"/>
                    <w:rPr>
                      <w:color w:val="auto"/>
                      <w:sz w:val="22"/>
                      <w:szCs w:val="22"/>
                      <w:lang w:val="sk-SK"/>
                    </w:rPr>
                  </w:pPr>
                </w:p>
              </w:tc>
              <w:tc>
                <w:tcPr>
                  <w:tcW w:w="1418" w:type="dxa"/>
                  <w:tcBorders>
                    <w:bottom w:val="single" w:sz="4" w:space="0" w:color="auto"/>
                  </w:tcBorders>
                </w:tcPr>
                <w:p w14:paraId="43826E95" w14:textId="77777777" w:rsidR="00A41C83" w:rsidRPr="00C444B8" w:rsidRDefault="00A41C83" w:rsidP="00C444B8">
                  <w:pPr>
                    <w:pStyle w:val="Default"/>
                    <w:widowControl w:val="0"/>
                    <w:spacing w:after="120"/>
                    <w:rPr>
                      <w:color w:val="auto"/>
                      <w:sz w:val="22"/>
                      <w:szCs w:val="22"/>
                      <w:lang w:val="sk-SK"/>
                    </w:rPr>
                  </w:pPr>
                </w:p>
              </w:tc>
            </w:tr>
            <w:tr w:rsidR="00A41C83" w:rsidRPr="005B3B88" w14:paraId="01D80EDF" w14:textId="77777777" w:rsidTr="00F23F15">
              <w:tc>
                <w:tcPr>
                  <w:tcW w:w="8926" w:type="dxa"/>
                  <w:gridSpan w:val="5"/>
                  <w:tcBorders>
                    <w:top w:val="single" w:sz="4" w:space="0" w:color="auto"/>
                    <w:left w:val="single" w:sz="4" w:space="0" w:color="auto"/>
                    <w:bottom w:val="single" w:sz="4" w:space="0" w:color="auto"/>
                    <w:right w:val="single" w:sz="4" w:space="0" w:color="auto"/>
                  </w:tcBorders>
                </w:tcPr>
                <w:p w14:paraId="0BC78F7B" w14:textId="77777777" w:rsidR="00A41C83" w:rsidRPr="00C444B8" w:rsidRDefault="00A41C83" w:rsidP="00C444B8">
                  <w:pPr>
                    <w:pStyle w:val="Default"/>
                    <w:rPr>
                      <w:sz w:val="22"/>
                      <w:szCs w:val="22"/>
                      <w:lang w:val="sk-SK"/>
                    </w:rPr>
                  </w:pPr>
                  <w:r w:rsidRPr="005B3B88">
                    <w:rPr>
                      <w:b/>
                      <w:bCs/>
                      <w:sz w:val="22"/>
                      <w:szCs w:val="22"/>
                    </w:rPr>
                    <w:lastRenderedPageBreak/>
                    <w:t xml:space="preserve">Poruchy pečene a žlčových ciest </w:t>
                  </w:r>
                </w:p>
              </w:tc>
            </w:tr>
            <w:tr w:rsidR="00A41C83" w:rsidRPr="005B3B88" w14:paraId="27264A58" w14:textId="77777777" w:rsidTr="00F23F15">
              <w:tc>
                <w:tcPr>
                  <w:tcW w:w="2263" w:type="dxa"/>
                  <w:tcBorders>
                    <w:top w:val="single" w:sz="4" w:space="0" w:color="auto"/>
                  </w:tcBorders>
                </w:tcPr>
                <w:p w14:paraId="58BF226E" w14:textId="77777777" w:rsidR="00A41C83" w:rsidRPr="00C444B8" w:rsidRDefault="00A41C83" w:rsidP="001E6170">
                  <w:pPr>
                    <w:pStyle w:val="Default"/>
                    <w:rPr>
                      <w:sz w:val="22"/>
                      <w:szCs w:val="22"/>
                      <w:lang w:val="sk-SK"/>
                    </w:rPr>
                  </w:pPr>
                  <w:r w:rsidRPr="005B3B88">
                    <w:rPr>
                      <w:sz w:val="22"/>
                      <w:szCs w:val="22"/>
                    </w:rPr>
                    <w:t xml:space="preserve">Zvýšené transaminázy </w:t>
                  </w:r>
                </w:p>
              </w:tc>
              <w:tc>
                <w:tcPr>
                  <w:tcW w:w="1985" w:type="dxa"/>
                  <w:tcBorders>
                    <w:top w:val="single" w:sz="4" w:space="0" w:color="auto"/>
                  </w:tcBorders>
                </w:tcPr>
                <w:p w14:paraId="3798B041" w14:textId="77777777" w:rsidR="00A41C83" w:rsidRPr="00C444B8" w:rsidRDefault="00A41C83" w:rsidP="00B20146">
                  <w:pPr>
                    <w:pStyle w:val="Default"/>
                    <w:rPr>
                      <w:sz w:val="14"/>
                      <w:szCs w:val="14"/>
                      <w:lang w:val="sk-SK"/>
                    </w:rPr>
                  </w:pPr>
                  <w:r w:rsidRPr="005B3B88">
                    <w:rPr>
                      <w:sz w:val="22"/>
                      <w:szCs w:val="22"/>
                    </w:rPr>
                    <w:t>Porucha funkcie pečene, zvýšený bilirubín, zvýšená alkalická fosfatáza v krvi</w:t>
                  </w:r>
                  <w:r w:rsidRPr="00C444B8">
                    <w:rPr>
                      <w:sz w:val="22"/>
                      <w:szCs w:val="22"/>
                      <w:vertAlign w:val="superscript"/>
                    </w:rPr>
                    <w:t>A</w:t>
                  </w:r>
                  <w:r w:rsidRPr="005B3B88">
                    <w:rPr>
                      <w:sz w:val="22"/>
                      <w:szCs w:val="22"/>
                    </w:rPr>
                    <w:t>, zvýšená GGT</w:t>
                  </w:r>
                  <w:r w:rsidRPr="00C444B8">
                    <w:rPr>
                      <w:sz w:val="22"/>
                      <w:szCs w:val="22"/>
                      <w:vertAlign w:val="superscript"/>
                    </w:rPr>
                    <w:t xml:space="preserve">A </w:t>
                  </w:r>
                </w:p>
              </w:tc>
              <w:tc>
                <w:tcPr>
                  <w:tcW w:w="1559" w:type="dxa"/>
                  <w:tcBorders>
                    <w:top w:val="single" w:sz="4" w:space="0" w:color="auto"/>
                  </w:tcBorders>
                </w:tcPr>
                <w:p w14:paraId="77AE735E" w14:textId="77777777" w:rsidR="00A41C83" w:rsidRPr="00C444B8" w:rsidRDefault="00A41C83" w:rsidP="00B20146">
                  <w:pPr>
                    <w:pStyle w:val="Default"/>
                    <w:rPr>
                      <w:sz w:val="22"/>
                      <w:szCs w:val="22"/>
                      <w:lang w:val="sk-SK"/>
                    </w:rPr>
                  </w:pPr>
                  <w:r w:rsidRPr="005B3B88">
                    <w:rPr>
                      <w:sz w:val="22"/>
                      <w:szCs w:val="22"/>
                    </w:rPr>
                    <w:t>Žltačka, zvýšený konjugovaný bilirubín (so súčasným zvýšením ALT alebo bez neho), cholestáza, hepatitída (vrátane hepato</w:t>
                  </w:r>
                  <w:r w:rsidR="00AE5050" w:rsidRPr="005B3B88">
                    <w:rPr>
                      <w:sz w:val="22"/>
                      <w:szCs w:val="22"/>
                      <w:lang w:val="sk-SK"/>
                    </w:rPr>
                    <w:t>-</w:t>
                  </w:r>
                  <w:r w:rsidRPr="005B3B88">
                    <w:rPr>
                      <w:sz w:val="22"/>
                      <w:szCs w:val="22"/>
                    </w:rPr>
                    <w:t xml:space="preserve">celulárneho poškodenia) </w:t>
                  </w:r>
                </w:p>
              </w:tc>
              <w:tc>
                <w:tcPr>
                  <w:tcW w:w="1701" w:type="dxa"/>
                  <w:tcBorders>
                    <w:top w:val="single" w:sz="4" w:space="0" w:color="auto"/>
                  </w:tcBorders>
                </w:tcPr>
                <w:p w14:paraId="7A8CE178" w14:textId="77777777" w:rsidR="00A41C83" w:rsidRPr="00C444B8" w:rsidRDefault="00A41C83" w:rsidP="00C444B8">
                  <w:pPr>
                    <w:pStyle w:val="Default"/>
                    <w:widowControl w:val="0"/>
                    <w:spacing w:after="120"/>
                    <w:rPr>
                      <w:color w:val="auto"/>
                      <w:sz w:val="22"/>
                      <w:szCs w:val="22"/>
                      <w:lang w:val="sk-SK"/>
                    </w:rPr>
                  </w:pPr>
                </w:p>
              </w:tc>
              <w:tc>
                <w:tcPr>
                  <w:tcW w:w="1418" w:type="dxa"/>
                  <w:tcBorders>
                    <w:top w:val="single" w:sz="4" w:space="0" w:color="auto"/>
                  </w:tcBorders>
                </w:tcPr>
                <w:p w14:paraId="09B2B068" w14:textId="77777777" w:rsidR="00A41C83" w:rsidRPr="00C444B8" w:rsidRDefault="00A41C83" w:rsidP="00C444B8">
                  <w:pPr>
                    <w:pStyle w:val="Default"/>
                    <w:widowControl w:val="0"/>
                    <w:spacing w:after="120"/>
                    <w:rPr>
                      <w:color w:val="auto"/>
                      <w:sz w:val="22"/>
                      <w:szCs w:val="22"/>
                      <w:lang w:val="sk-SK"/>
                    </w:rPr>
                  </w:pPr>
                </w:p>
              </w:tc>
            </w:tr>
            <w:tr w:rsidR="00A41C83" w:rsidRPr="005B3B88" w14:paraId="04118AC5" w14:textId="77777777" w:rsidTr="00F23F15">
              <w:tc>
                <w:tcPr>
                  <w:tcW w:w="8926" w:type="dxa"/>
                  <w:gridSpan w:val="5"/>
                </w:tcPr>
                <w:p w14:paraId="02FECD2B" w14:textId="77777777" w:rsidR="00A41C83" w:rsidRPr="00C444B8" w:rsidRDefault="00F23F15" w:rsidP="00C444B8">
                  <w:pPr>
                    <w:pStyle w:val="Default"/>
                    <w:rPr>
                      <w:sz w:val="22"/>
                      <w:szCs w:val="22"/>
                      <w:lang w:val="sk-SK"/>
                    </w:rPr>
                  </w:pPr>
                  <w:r w:rsidRPr="005B3B88">
                    <w:rPr>
                      <w:b/>
                      <w:bCs/>
                      <w:sz w:val="22"/>
                      <w:szCs w:val="22"/>
                    </w:rPr>
                    <w:t xml:space="preserve">Poruchy kože a podkožného tkaniva </w:t>
                  </w:r>
                </w:p>
              </w:tc>
            </w:tr>
            <w:tr w:rsidR="00F23F15" w:rsidRPr="005B3B88" w14:paraId="1167A148" w14:textId="77777777" w:rsidTr="00F23F15">
              <w:tc>
                <w:tcPr>
                  <w:tcW w:w="2263" w:type="dxa"/>
                </w:tcPr>
                <w:p w14:paraId="30055820" w14:textId="77777777" w:rsidR="00F23F15" w:rsidRPr="00C444B8" w:rsidRDefault="00F23F15" w:rsidP="00C444B8">
                  <w:pPr>
                    <w:pStyle w:val="Default"/>
                    <w:rPr>
                      <w:sz w:val="22"/>
                      <w:szCs w:val="22"/>
                      <w:lang w:val="sk-SK"/>
                    </w:rPr>
                  </w:pPr>
                  <w:r w:rsidRPr="005B3B88">
                    <w:rPr>
                      <w:sz w:val="22"/>
                      <w:szCs w:val="22"/>
                    </w:rPr>
                    <w:t xml:space="preserve">Pruritus (vrátane menej častých prípadov generalizovaného pruritu), vyrážka, ekchymóza, krvácanie do kože a podkožné krvácanie </w:t>
                  </w:r>
                </w:p>
              </w:tc>
              <w:tc>
                <w:tcPr>
                  <w:tcW w:w="1985" w:type="dxa"/>
                </w:tcPr>
                <w:p w14:paraId="581282B4" w14:textId="77777777" w:rsidR="00F23F15" w:rsidRPr="00C444B8" w:rsidRDefault="00F23F15" w:rsidP="00C444B8">
                  <w:pPr>
                    <w:pStyle w:val="Default"/>
                    <w:rPr>
                      <w:sz w:val="22"/>
                      <w:szCs w:val="22"/>
                      <w:lang w:val="sk-SK"/>
                    </w:rPr>
                  </w:pPr>
                  <w:r w:rsidRPr="005B3B88">
                    <w:rPr>
                      <w:sz w:val="22"/>
                      <w:szCs w:val="22"/>
                    </w:rPr>
                    <w:t xml:space="preserve">Žihľavka </w:t>
                  </w:r>
                </w:p>
              </w:tc>
              <w:tc>
                <w:tcPr>
                  <w:tcW w:w="1559" w:type="dxa"/>
                </w:tcPr>
                <w:p w14:paraId="592D2219" w14:textId="77777777" w:rsidR="00F23F15" w:rsidRPr="00C444B8" w:rsidRDefault="00F23F15" w:rsidP="00C444B8">
                  <w:pPr>
                    <w:pStyle w:val="Default"/>
                    <w:rPr>
                      <w:sz w:val="22"/>
                      <w:szCs w:val="22"/>
                      <w:lang w:val="sk-SK"/>
                    </w:rPr>
                  </w:pPr>
                </w:p>
              </w:tc>
              <w:tc>
                <w:tcPr>
                  <w:tcW w:w="1701" w:type="dxa"/>
                </w:tcPr>
                <w:p w14:paraId="3381EE0D" w14:textId="77777777" w:rsidR="00F23F15" w:rsidRPr="00C444B8" w:rsidRDefault="00AE5050" w:rsidP="00C444B8">
                  <w:pPr>
                    <w:pStyle w:val="Default"/>
                    <w:rPr>
                      <w:sz w:val="22"/>
                      <w:szCs w:val="22"/>
                      <w:lang w:val="sk-SK"/>
                    </w:rPr>
                  </w:pPr>
                  <w:r w:rsidRPr="005B3B88">
                    <w:rPr>
                      <w:sz w:val="22"/>
                      <w:szCs w:val="22"/>
                    </w:rPr>
                    <w:t xml:space="preserve">Stevensov-Johnsonov syndróm/toxická epidermálna nekrolýza, DRESS syndróm </w:t>
                  </w:r>
                </w:p>
              </w:tc>
              <w:tc>
                <w:tcPr>
                  <w:tcW w:w="1418" w:type="dxa"/>
                </w:tcPr>
                <w:p w14:paraId="1A9641D1" w14:textId="77777777" w:rsidR="00F23F15" w:rsidRPr="00C444B8" w:rsidRDefault="00F23F15" w:rsidP="00C444B8">
                  <w:pPr>
                    <w:pStyle w:val="Default"/>
                    <w:widowControl w:val="0"/>
                    <w:spacing w:after="120"/>
                    <w:rPr>
                      <w:color w:val="auto"/>
                      <w:sz w:val="22"/>
                      <w:szCs w:val="22"/>
                      <w:lang w:val="sk-SK"/>
                    </w:rPr>
                  </w:pPr>
                </w:p>
              </w:tc>
            </w:tr>
            <w:tr w:rsidR="00A41C83" w:rsidRPr="005B3B88" w14:paraId="3AD1E663" w14:textId="77777777" w:rsidTr="00F23F15">
              <w:tc>
                <w:tcPr>
                  <w:tcW w:w="8926" w:type="dxa"/>
                  <w:gridSpan w:val="5"/>
                </w:tcPr>
                <w:p w14:paraId="4FA2FD07" w14:textId="77777777" w:rsidR="00A41C83" w:rsidRPr="00C444B8" w:rsidRDefault="00F23F15" w:rsidP="00C444B8">
                  <w:pPr>
                    <w:pStyle w:val="Default"/>
                    <w:rPr>
                      <w:sz w:val="22"/>
                      <w:szCs w:val="22"/>
                      <w:lang w:val="sk-SK"/>
                    </w:rPr>
                  </w:pPr>
                  <w:r w:rsidRPr="005B3B88">
                    <w:rPr>
                      <w:b/>
                      <w:bCs/>
                      <w:sz w:val="22"/>
                      <w:szCs w:val="22"/>
                    </w:rPr>
                    <w:t xml:space="preserve">Poruchy kostrovej a svalovej sústavy a spojivového tkaniva </w:t>
                  </w:r>
                </w:p>
              </w:tc>
            </w:tr>
            <w:tr w:rsidR="00A41C83" w:rsidRPr="005B3B88" w14:paraId="217274FE" w14:textId="77777777" w:rsidTr="00F23F15">
              <w:tc>
                <w:tcPr>
                  <w:tcW w:w="2263" w:type="dxa"/>
                </w:tcPr>
                <w:p w14:paraId="21802C93" w14:textId="77777777" w:rsidR="00F23F15" w:rsidRPr="00C444B8" w:rsidRDefault="00F23F15" w:rsidP="00C444B8">
                  <w:pPr>
                    <w:pStyle w:val="Default"/>
                    <w:rPr>
                      <w:sz w:val="22"/>
                      <w:szCs w:val="22"/>
                      <w:lang w:val="sk-SK"/>
                    </w:rPr>
                  </w:pPr>
                  <w:r w:rsidRPr="005B3B88">
                    <w:rPr>
                      <w:sz w:val="22"/>
                      <w:szCs w:val="22"/>
                    </w:rPr>
                    <w:t>Bolesť v končatinách</w:t>
                  </w:r>
                  <w:r w:rsidRPr="005B3B88">
                    <w:rPr>
                      <w:sz w:val="22"/>
                      <w:szCs w:val="22"/>
                      <w:vertAlign w:val="superscript"/>
                      <w:lang w:val="sk-SK"/>
                    </w:rPr>
                    <w:t>A</w:t>
                  </w:r>
                  <w:r w:rsidRPr="005B3B88">
                    <w:rPr>
                      <w:sz w:val="22"/>
                      <w:szCs w:val="22"/>
                    </w:rPr>
                    <w:t xml:space="preserve"> </w:t>
                  </w:r>
                </w:p>
                <w:p w14:paraId="4D3AB741" w14:textId="77777777" w:rsidR="00A41C83" w:rsidRPr="00C444B8" w:rsidRDefault="00A41C83" w:rsidP="00C444B8">
                  <w:pPr>
                    <w:pStyle w:val="Default"/>
                    <w:widowControl w:val="0"/>
                    <w:spacing w:after="120"/>
                    <w:rPr>
                      <w:sz w:val="22"/>
                      <w:szCs w:val="22"/>
                      <w:lang w:val="sk-SK"/>
                    </w:rPr>
                  </w:pPr>
                </w:p>
              </w:tc>
              <w:tc>
                <w:tcPr>
                  <w:tcW w:w="1985" w:type="dxa"/>
                </w:tcPr>
                <w:p w14:paraId="609506C3" w14:textId="77777777" w:rsidR="00A41C83" w:rsidRPr="00C444B8" w:rsidRDefault="00A41C83" w:rsidP="00C444B8">
                  <w:pPr>
                    <w:pStyle w:val="Default"/>
                    <w:widowControl w:val="0"/>
                    <w:spacing w:after="120"/>
                    <w:rPr>
                      <w:color w:val="auto"/>
                      <w:sz w:val="22"/>
                      <w:szCs w:val="22"/>
                      <w:lang w:val="sk-SK"/>
                    </w:rPr>
                  </w:pPr>
                  <w:r w:rsidRPr="005B3B88">
                    <w:rPr>
                      <w:sz w:val="22"/>
                      <w:szCs w:val="22"/>
                    </w:rPr>
                    <w:t>Hemartróza</w:t>
                  </w:r>
                </w:p>
              </w:tc>
              <w:tc>
                <w:tcPr>
                  <w:tcW w:w="1559" w:type="dxa"/>
                </w:tcPr>
                <w:p w14:paraId="503151FD" w14:textId="77777777" w:rsidR="00F23F15" w:rsidRPr="00C444B8" w:rsidRDefault="00F23F15" w:rsidP="00C444B8">
                  <w:pPr>
                    <w:pStyle w:val="Default"/>
                    <w:rPr>
                      <w:sz w:val="22"/>
                      <w:szCs w:val="22"/>
                      <w:lang w:val="sk-SK"/>
                    </w:rPr>
                  </w:pPr>
                  <w:r w:rsidRPr="005B3B88">
                    <w:rPr>
                      <w:sz w:val="22"/>
                      <w:szCs w:val="22"/>
                    </w:rPr>
                    <w:t xml:space="preserve">Svalová hemorágia </w:t>
                  </w:r>
                </w:p>
                <w:p w14:paraId="0F232703" w14:textId="77777777" w:rsidR="00A41C83" w:rsidRPr="00C444B8" w:rsidRDefault="00A41C83" w:rsidP="00C444B8">
                  <w:pPr>
                    <w:pStyle w:val="Default"/>
                    <w:widowControl w:val="0"/>
                    <w:spacing w:after="120"/>
                    <w:rPr>
                      <w:color w:val="auto"/>
                      <w:sz w:val="22"/>
                      <w:szCs w:val="22"/>
                      <w:lang w:val="sk-SK"/>
                    </w:rPr>
                  </w:pPr>
                </w:p>
              </w:tc>
              <w:tc>
                <w:tcPr>
                  <w:tcW w:w="1701" w:type="dxa"/>
                </w:tcPr>
                <w:p w14:paraId="529C583C" w14:textId="77777777" w:rsidR="00A41C83" w:rsidRPr="00C444B8" w:rsidRDefault="00A41C83" w:rsidP="00C444B8">
                  <w:pPr>
                    <w:pStyle w:val="Default"/>
                    <w:widowControl w:val="0"/>
                    <w:spacing w:after="120"/>
                    <w:rPr>
                      <w:color w:val="auto"/>
                      <w:sz w:val="22"/>
                      <w:szCs w:val="22"/>
                      <w:lang w:val="sk-SK"/>
                    </w:rPr>
                  </w:pPr>
                </w:p>
              </w:tc>
              <w:tc>
                <w:tcPr>
                  <w:tcW w:w="1418" w:type="dxa"/>
                </w:tcPr>
                <w:p w14:paraId="52F1CDD6" w14:textId="77777777" w:rsidR="00A41C83" w:rsidRPr="00C444B8" w:rsidRDefault="00F23F15" w:rsidP="00C444B8">
                  <w:pPr>
                    <w:pStyle w:val="Default"/>
                    <w:rPr>
                      <w:sz w:val="22"/>
                      <w:szCs w:val="22"/>
                      <w:lang w:val="sk-SK"/>
                    </w:rPr>
                  </w:pPr>
                  <w:r w:rsidRPr="005B3B88">
                    <w:rPr>
                      <w:sz w:val="22"/>
                      <w:szCs w:val="22"/>
                    </w:rPr>
                    <w:t>Syndróm kompart</w:t>
                  </w:r>
                  <w:r w:rsidR="007220BF" w:rsidRPr="005B3B88">
                    <w:rPr>
                      <w:sz w:val="22"/>
                      <w:szCs w:val="22"/>
                      <w:lang w:val="sk-SK"/>
                    </w:rPr>
                    <w:t>-</w:t>
                  </w:r>
                  <w:r w:rsidRPr="005B3B88">
                    <w:rPr>
                      <w:sz w:val="22"/>
                      <w:szCs w:val="22"/>
                    </w:rPr>
                    <w:t xml:space="preserve">mentu sekundárne po krvácaní </w:t>
                  </w:r>
                </w:p>
              </w:tc>
            </w:tr>
            <w:tr w:rsidR="00A41C83" w:rsidRPr="005B3B88" w14:paraId="574F1CEB" w14:textId="77777777" w:rsidTr="00F23F15">
              <w:tc>
                <w:tcPr>
                  <w:tcW w:w="8926" w:type="dxa"/>
                  <w:gridSpan w:val="5"/>
                </w:tcPr>
                <w:p w14:paraId="3EFEFD7B" w14:textId="77777777" w:rsidR="00A41C83" w:rsidRPr="00C444B8" w:rsidRDefault="00F23F15" w:rsidP="00C444B8">
                  <w:pPr>
                    <w:pStyle w:val="Default"/>
                    <w:rPr>
                      <w:sz w:val="22"/>
                      <w:szCs w:val="22"/>
                      <w:lang w:val="sk-SK"/>
                    </w:rPr>
                  </w:pPr>
                  <w:r w:rsidRPr="005B3B88">
                    <w:rPr>
                      <w:b/>
                      <w:bCs/>
                      <w:sz w:val="22"/>
                      <w:szCs w:val="22"/>
                    </w:rPr>
                    <w:t xml:space="preserve">Poruchy obličiek a močových ciest </w:t>
                  </w:r>
                </w:p>
              </w:tc>
            </w:tr>
            <w:tr w:rsidR="00A41C83" w:rsidRPr="005B3B88" w14:paraId="7C738FA2" w14:textId="77777777" w:rsidTr="00F23F15">
              <w:tc>
                <w:tcPr>
                  <w:tcW w:w="2263" w:type="dxa"/>
                </w:tcPr>
                <w:p w14:paraId="111536EB" w14:textId="77777777" w:rsidR="00F23F15" w:rsidRPr="00C444B8" w:rsidRDefault="00F23F15" w:rsidP="00C444B8">
                  <w:pPr>
                    <w:pStyle w:val="Default"/>
                    <w:rPr>
                      <w:sz w:val="14"/>
                      <w:szCs w:val="14"/>
                      <w:lang w:val="sk-SK"/>
                    </w:rPr>
                  </w:pPr>
                  <w:r w:rsidRPr="005B3B88">
                    <w:rPr>
                      <w:sz w:val="22"/>
                      <w:szCs w:val="22"/>
                    </w:rPr>
                    <w:t>Krvácanie do urogenitálneho traktu (vrátane hematúrie a menorágie</w:t>
                  </w:r>
                  <w:r w:rsidRPr="00C444B8">
                    <w:rPr>
                      <w:sz w:val="22"/>
                      <w:szCs w:val="22"/>
                      <w:vertAlign w:val="superscript"/>
                    </w:rPr>
                    <w:t>B</w:t>
                  </w:r>
                  <w:r w:rsidRPr="005B3B88">
                    <w:rPr>
                      <w:sz w:val="22"/>
                      <w:szCs w:val="22"/>
                    </w:rPr>
                    <w:t>), porucha funkcie obličiek (vrátane zvýšeného kreatinínu v krvi, zvýšenej močoviny v krvi)</w:t>
                  </w:r>
                  <w:r w:rsidRPr="005B3B88">
                    <w:rPr>
                      <w:sz w:val="14"/>
                      <w:szCs w:val="14"/>
                    </w:rPr>
                    <w:t xml:space="preserve"> </w:t>
                  </w:r>
                </w:p>
                <w:p w14:paraId="75E89D26" w14:textId="77777777" w:rsidR="00A41C83" w:rsidRPr="00C444B8" w:rsidRDefault="00A41C83" w:rsidP="00C444B8">
                  <w:pPr>
                    <w:pStyle w:val="Default"/>
                    <w:widowControl w:val="0"/>
                    <w:spacing w:after="120"/>
                    <w:rPr>
                      <w:sz w:val="22"/>
                      <w:szCs w:val="22"/>
                      <w:lang w:val="sk-SK"/>
                    </w:rPr>
                  </w:pPr>
                </w:p>
              </w:tc>
              <w:tc>
                <w:tcPr>
                  <w:tcW w:w="1985" w:type="dxa"/>
                </w:tcPr>
                <w:p w14:paraId="77E1BB74" w14:textId="77777777" w:rsidR="00A41C83" w:rsidRPr="00C444B8" w:rsidRDefault="00A41C83" w:rsidP="00C444B8">
                  <w:pPr>
                    <w:pStyle w:val="Default"/>
                    <w:widowControl w:val="0"/>
                    <w:spacing w:after="120"/>
                    <w:rPr>
                      <w:sz w:val="22"/>
                      <w:szCs w:val="22"/>
                      <w:lang w:val="sk-SK"/>
                    </w:rPr>
                  </w:pPr>
                </w:p>
              </w:tc>
              <w:tc>
                <w:tcPr>
                  <w:tcW w:w="1559" w:type="dxa"/>
                </w:tcPr>
                <w:p w14:paraId="29E14CB3" w14:textId="77777777" w:rsidR="00A41C83" w:rsidRPr="00C444B8" w:rsidRDefault="00A41C83" w:rsidP="00C444B8">
                  <w:pPr>
                    <w:pStyle w:val="Default"/>
                    <w:widowControl w:val="0"/>
                    <w:spacing w:after="120"/>
                    <w:rPr>
                      <w:sz w:val="22"/>
                      <w:szCs w:val="22"/>
                      <w:lang w:val="sk-SK"/>
                    </w:rPr>
                  </w:pPr>
                </w:p>
              </w:tc>
              <w:tc>
                <w:tcPr>
                  <w:tcW w:w="1701" w:type="dxa"/>
                </w:tcPr>
                <w:p w14:paraId="434836BC" w14:textId="77777777" w:rsidR="00A41C83" w:rsidRPr="00C444B8" w:rsidRDefault="00A41C83" w:rsidP="00C444B8">
                  <w:pPr>
                    <w:pStyle w:val="Default"/>
                    <w:widowControl w:val="0"/>
                    <w:spacing w:after="120"/>
                    <w:rPr>
                      <w:color w:val="auto"/>
                      <w:sz w:val="22"/>
                      <w:szCs w:val="22"/>
                      <w:lang w:val="sk-SK"/>
                    </w:rPr>
                  </w:pPr>
                </w:p>
              </w:tc>
              <w:tc>
                <w:tcPr>
                  <w:tcW w:w="1418" w:type="dxa"/>
                </w:tcPr>
                <w:p w14:paraId="44689D9E" w14:textId="77777777" w:rsidR="00A41C83" w:rsidRPr="00C444B8" w:rsidRDefault="00F23F15" w:rsidP="001E6170">
                  <w:pPr>
                    <w:pStyle w:val="Default"/>
                    <w:rPr>
                      <w:sz w:val="22"/>
                      <w:szCs w:val="22"/>
                      <w:lang w:val="sk-SK"/>
                    </w:rPr>
                  </w:pPr>
                  <w:r w:rsidRPr="005B3B88">
                    <w:rPr>
                      <w:sz w:val="22"/>
                      <w:szCs w:val="22"/>
                    </w:rPr>
                    <w:t>Zlyhanie obličiek/</w:t>
                  </w:r>
                  <w:r w:rsidRPr="005B3B88">
                    <w:rPr>
                      <w:sz w:val="22"/>
                      <w:szCs w:val="22"/>
                      <w:lang w:val="sk-SK"/>
                    </w:rPr>
                    <w:t xml:space="preserve"> </w:t>
                  </w:r>
                  <w:r w:rsidRPr="005B3B88">
                    <w:rPr>
                      <w:sz w:val="22"/>
                      <w:szCs w:val="22"/>
                    </w:rPr>
                    <w:t>akútne renálne zlyhanie, ktoré vznikne sekundárne po krvácaní dostatočne silnom na vyvolanie hypoperfúzi</w:t>
                  </w:r>
                  <w:r w:rsidRPr="005B3B88">
                    <w:rPr>
                      <w:sz w:val="22"/>
                      <w:szCs w:val="22"/>
                      <w:lang w:val="sk-SK"/>
                    </w:rPr>
                    <w:t>e</w:t>
                  </w:r>
                  <w:r w:rsidRPr="005B3B88">
                    <w:rPr>
                      <w:sz w:val="22"/>
                      <w:szCs w:val="22"/>
                    </w:rPr>
                    <w:t xml:space="preserve"> </w:t>
                  </w:r>
                </w:p>
              </w:tc>
            </w:tr>
            <w:tr w:rsidR="00A41C83" w:rsidRPr="005B3B88" w14:paraId="3A5D86CB" w14:textId="77777777" w:rsidTr="00F23F15">
              <w:tc>
                <w:tcPr>
                  <w:tcW w:w="8926" w:type="dxa"/>
                  <w:gridSpan w:val="5"/>
                </w:tcPr>
                <w:p w14:paraId="785A46DD" w14:textId="77777777" w:rsidR="00A41C83" w:rsidRPr="00C444B8" w:rsidRDefault="00F23F15" w:rsidP="00C444B8">
                  <w:pPr>
                    <w:pStyle w:val="Default"/>
                    <w:rPr>
                      <w:sz w:val="22"/>
                      <w:szCs w:val="22"/>
                      <w:lang w:val="sk-SK"/>
                    </w:rPr>
                  </w:pPr>
                  <w:r w:rsidRPr="005B3B88">
                    <w:rPr>
                      <w:b/>
                      <w:bCs/>
                      <w:sz w:val="22"/>
                      <w:szCs w:val="22"/>
                    </w:rPr>
                    <w:t xml:space="preserve">Celkové poruchy a reakcie v mieste podania </w:t>
                  </w:r>
                </w:p>
              </w:tc>
            </w:tr>
            <w:tr w:rsidR="00A41C83" w:rsidRPr="005B3B88" w14:paraId="77E79087" w14:textId="77777777" w:rsidTr="00F23F15">
              <w:tc>
                <w:tcPr>
                  <w:tcW w:w="2263" w:type="dxa"/>
                </w:tcPr>
                <w:p w14:paraId="3108F2FD" w14:textId="77777777" w:rsidR="00A41C83" w:rsidRPr="00C444B8" w:rsidRDefault="00F23F15" w:rsidP="00C444B8">
                  <w:pPr>
                    <w:pStyle w:val="Default"/>
                    <w:rPr>
                      <w:sz w:val="22"/>
                      <w:szCs w:val="22"/>
                      <w:lang w:val="sk-SK"/>
                    </w:rPr>
                  </w:pPr>
                  <w:r w:rsidRPr="005B3B88">
                    <w:rPr>
                      <w:sz w:val="22"/>
                      <w:szCs w:val="22"/>
                    </w:rPr>
                    <w:t>Horúčka</w:t>
                  </w:r>
                  <w:r w:rsidRPr="00C444B8">
                    <w:rPr>
                      <w:sz w:val="22"/>
                      <w:szCs w:val="22"/>
                      <w:vertAlign w:val="superscript"/>
                    </w:rPr>
                    <w:t>A</w:t>
                  </w:r>
                  <w:r w:rsidRPr="005B3B88">
                    <w:rPr>
                      <w:sz w:val="22"/>
                      <w:szCs w:val="22"/>
                    </w:rPr>
                    <w:t xml:space="preserve">, periférny edém, znížená celková sila a energia (vrátane únavy a asténie) </w:t>
                  </w:r>
                </w:p>
              </w:tc>
              <w:tc>
                <w:tcPr>
                  <w:tcW w:w="1985" w:type="dxa"/>
                </w:tcPr>
                <w:p w14:paraId="3F5E9433" w14:textId="4D6EF0B9" w:rsidR="00F23F15" w:rsidRPr="00C444B8" w:rsidRDefault="00570C2F" w:rsidP="00C444B8">
                  <w:pPr>
                    <w:pStyle w:val="Default"/>
                    <w:rPr>
                      <w:sz w:val="22"/>
                      <w:szCs w:val="22"/>
                      <w:lang w:val="sk-SK"/>
                    </w:rPr>
                  </w:pPr>
                  <w:r>
                    <w:rPr>
                      <w:sz w:val="22"/>
                      <w:szCs w:val="22"/>
                      <w:lang w:val="sk-SK"/>
                    </w:rPr>
                    <w:t>Celkový p</w:t>
                  </w:r>
                  <w:r w:rsidR="00F23F15" w:rsidRPr="005B3B88">
                    <w:rPr>
                      <w:sz w:val="22"/>
                      <w:szCs w:val="22"/>
                    </w:rPr>
                    <w:t xml:space="preserve">ocit </w:t>
                  </w:r>
                  <w:r w:rsidR="005D29F8" w:rsidRPr="005B3B88">
                    <w:rPr>
                      <w:sz w:val="22"/>
                      <w:szCs w:val="22"/>
                      <w:lang w:val="sk-SK"/>
                    </w:rPr>
                    <w:t>choroby</w:t>
                  </w:r>
                  <w:r w:rsidR="00F23F15" w:rsidRPr="005B3B88">
                    <w:rPr>
                      <w:sz w:val="22"/>
                      <w:szCs w:val="22"/>
                    </w:rPr>
                    <w:t xml:space="preserve"> (vrátane malátnosti) </w:t>
                  </w:r>
                </w:p>
                <w:p w14:paraId="2A683C86" w14:textId="77777777" w:rsidR="00A41C83" w:rsidRPr="00C444B8" w:rsidRDefault="00A41C83" w:rsidP="00C444B8">
                  <w:pPr>
                    <w:pStyle w:val="Default"/>
                    <w:widowControl w:val="0"/>
                    <w:spacing w:after="120"/>
                    <w:rPr>
                      <w:sz w:val="22"/>
                      <w:szCs w:val="22"/>
                      <w:lang w:val="sk-SK"/>
                    </w:rPr>
                  </w:pPr>
                </w:p>
              </w:tc>
              <w:tc>
                <w:tcPr>
                  <w:tcW w:w="1559" w:type="dxa"/>
                </w:tcPr>
                <w:p w14:paraId="7BE6ABE8" w14:textId="77777777" w:rsidR="00A41C83" w:rsidRPr="00C444B8" w:rsidRDefault="00A41C83" w:rsidP="00C444B8">
                  <w:pPr>
                    <w:pStyle w:val="Default"/>
                    <w:widowControl w:val="0"/>
                    <w:spacing w:after="120"/>
                    <w:rPr>
                      <w:sz w:val="22"/>
                      <w:szCs w:val="22"/>
                      <w:lang w:val="sk-SK"/>
                    </w:rPr>
                  </w:pPr>
                  <w:r w:rsidRPr="005B3B88">
                    <w:rPr>
                      <w:sz w:val="22"/>
                      <w:szCs w:val="22"/>
                    </w:rPr>
                    <w:t>Lokalizovaný edém</w:t>
                  </w:r>
                  <w:r w:rsidRPr="005B3B88">
                    <w:rPr>
                      <w:sz w:val="22"/>
                      <w:szCs w:val="22"/>
                      <w:vertAlign w:val="superscript"/>
                    </w:rPr>
                    <w:t>A</w:t>
                  </w:r>
                </w:p>
              </w:tc>
              <w:tc>
                <w:tcPr>
                  <w:tcW w:w="1701" w:type="dxa"/>
                </w:tcPr>
                <w:p w14:paraId="5B5DCB35" w14:textId="77777777" w:rsidR="00A41C83" w:rsidRPr="00C444B8" w:rsidRDefault="00A41C83" w:rsidP="00C444B8">
                  <w:pPr>
                    <w:pStyle w:val="Default"/>
                    <w:widowControl w:val="0"/>
                    <w:spacing w:after="120"/>
                    <w:rPr>
                      <w:color w:val="auto"/>
                      <w:sz w:val="22"/>
                      <w:szCs w:val="22"/>
                      <w:lang w:val="sk-SK"/>
                    </w:rPr>
                  </w:pPr>
                </w:p>
              </w:tc>
              <w:tc>
                <w:tcPr>
                  <w:tcW w:w="1418" w:type="dxa"/>
                </w:tcPr>
                <w:p w14:paraId="384987B2" w14:textId="77777777" w:rsidR="00A41C83" w:rsidRPr="00C444B8" w:rsidRDefault="00A41C83" w:rsidP="00C444B8">
                  <w:pPr>
                    <w:pStyle w:val="Default"/>
                    <w:widowControl w:val="0"/>
                    <w:spacing w:after="120"/>
                    <w:rPr>
                      <w:sz w:val="22"/>
                      <w:szCs w:val="22"/>
                      <w:lang w:val="sk-SK"/>
                    </w:rPr>
                  </w:pPr>
                </w:p>
              </w:tc>
            </w:tr>
            <w:tr w:rsidR="00A41C83" w:rsidRPr="005B3B88" w14:paraId="6BBDA7A7" w14:textId="77777777" w:rsidTr="00F23F15">
              <w:tc>
                <w:tcPr>
                  <w:tcW w:w="8926" w:type="dxa"/>
                  <w:gridSpan w:val="5"/>
                </w:tcPr>
                <w:p w14:paraId="09A07538" w14:textId="77777777" w:rsidR="00A41C83" w:rsidRPr="00C444B8" w:rsidRDefault="00F23F15" w:rsidP="00C444B8">
                  <w:pPr>
                    <w:pStyle w:val="Default"/>
                    <w:rPr>
                      <w:sz w:val="22"/>
                      <w:szCs w:val="22"/>
                      <w:lang w:val="sk-SK"/>
                    </w:rPr>
                  </w:pPr>
                  <w:r w:rsidRPr="005B3B88">
                    <w:rPr>
                      <w:b/>
                      <w:bCs/>
                      <w:sz w:val="22"/>
                      <w:szCs w:val="22"/>
                    </w:rPr>
                    <w:t xml:space="preserve">Laboratórne a funkčné vyšetrenia </w:t>
                  </w:r>
                </w:p>
              </w:tc>
            </w:tr>
            <w:tr w:rsidR="00A41C83" w:rsidRPr="005B3B88" w14:paraId="2CA83356" w14:textId="77777777" w:rsidTr="00F23F15">
              <w:tc>
                <w:tcPr>
                  <w:tcW w:w="2263" w:type="dxa"/>
                </w:tcPr>
                <w:p w14:paraId="65D5A85A" w14:textId="77777777" w:rsidR="00A41C83" w:rsidRPr="00C444B8" w:rsidRDefault="00A41C83" w:rsidP="00C444B8">
                  <w:pPr>
                    <w:pStyle w:val="Default"/>
                    <w:widowControl w:val="0"/>
                    <w:spacing w:after="120"/>
                    <w:rPr>
                      <w:sz w:val="22"/>
                      <w:szCs w:val="22"/>
                      <w:lang w:val="sk-SK"/>
                    </w:rPr>
                  </w:pPr>
                </w:p>
              </w:tc>
              <w:tc>
                <w:tcPr>
                  <w:tcW w:w="1985" w:type="dxa"/>
                </w:tcPr>
                <w:p w14:paraId="50A87A1B" w14:textId="77777777" w:rsidR="00A41C83" w:rsidRPr="00C444B8" w:rsidRDefault="00F23F15" w:rsidP="00C444B8">
                  <w:pPr>
                    <w:pStyle w:val="Default"/>
                    <w:rPr>
                      <w:sz w:val="14"/>
                      <w:szCs w:val="14"/>
                      <w:lang w:val="sk-SK"/>
                    </w:rPr>
                  </w:pPr>
                  <w:r w:rsidRPr="005B3B88">
                    <w:rPr>
                      <w:sz w:val="22"/>
                      <w:szCs w:val="22"/>
                    </w:rPr>
                    <w:t>Zvýšená LDH</w:t>
                  </w:r>
                  <w:r w:rsidRPr="00C444B8">
                    <w:rPr>
                      <w:sz w:val="22"/>
                      <w:szCs w:val="22"/>
                      <w:vertAlign w:val="superscript"/>
                    </w:rPr>
                    <w:t>A</w:t>
                  </w:r>
                  <w:r w:rsidRPr="005B3B88">
                    <w:rPr>
                      <w:sz w:val="22"/>
                      <w:szCs w:val="22"/>
                    </w:rPr>
                    <w:t>, zvýšená lipáza</w:t>
                  </w:r>
                  <w:r w:rsidRPr="00C444B8">
                    <w:rPr>
                      <w:sz w:val="22"/>
                      <w:szCs w:val="22"/>
                      <w:vertAlign w:val="superscript"/>
                    </w:rPr>
                    <w:t>A</w:t>
                  </w:r>
                  <w:r w:rsidRPr="005B3B88">
                    <w:rPr>
                      <w:sz w:val="22"/>
                      <w:szCs w:val="22"/>
                    </w:rPr>
                    <w:t>, zvýšená amyláza</w:t>
                  </w:r>
                  <w:r w:rsidRPr="00C444B8">
                    <w:rPr>
                      <w:sz w:val="22"/>
                      <w:szCs w:val="22"/>
                      <w:vertAlign w:val="superscript"/>
                    </w:rPr>
                    <w:t>A</w:t>
                  </w:r>
                  <w:r w:rsidRPr="00C444B8">
                    <w:rPr>
                      <w:sz w:val="22"/>
                      <w:szCs w:val="22"/>
                    </w:rPr>
                    <w:t xml:space="preserve"> </w:t>
                  </w:r>
                </w:p>
              </w:tc>
              <w:tc>
                <w:tcPr>
                  <w:tcW w:w="1559" w:type="dxa"/>
                </w:tcPr>
                <w:p w14:paraId="6A614FD9" w14:textId="77777777" w:rsidR="00A41C83" w:rsidRPr="00C444B8" w:rsidRDefault="00A41C83" w:rsidP="00C444B8">
                  <w:pPr>
                    <w:pStyle w:val="Default"/>
                    <w:widowControl w:val="0"/>
                    <w:spacing w:after="120"/>
                    <w:rPr>
                      <w:sz w:val="22"/>
                      <w:szCs w:val="22"/>
                      <w:lang w:val="sk-SK"/>
                    </w:rPr>
                  </w:pPr>
                </w:p>
              </w:tc>
              <w:tc>
                <w:tcPr>
                  <w:tcW w:w="1701" w:type="dxa"/>
                </w:tcPr>
                <w:p w14:paraId="32412335" w14:textId="77777777" w:rsidR="00A41C83" w:rsidRPr="00C444B8" w:rsidRDefault="00A41C83" w:rsidP="00C444B8">
                  <w:pPr>
                    <w:pStyle w:val="Default"/>
                    <w:widowControl w:val="0"/>
                    <w:spacing w:after="120"/>
                    <w:rPr>
                      <w:color w:val="auto"/>
                      <w:sz w:val="22"/>
                      <w:szCs w:val="22"/>
                      <w:lang w:val="sk-SK"/>
                    </w:rPr>
                  </w:pPr>
                </w:p>
              </w:tc>
              <w:tc>
                <w:tcPr>
                  <w:tcW w:w="1418" w:type="dxa"/>
                </w:tcPr>
                <w:p w14:paraId="07F066E6" w14:textId="77777777" w:rsidR="00A41C83" w:rsidRPr="00C444B8" w:rsidRDefault="00A41C83" w:rsidP="00C444B8">
                  <w:pPr>
                    <w:pStyle w:val="Default"/>
                    <w:widowControl w:val="0"/>
                    <w:spacing w:after="120"/>
                    <w:rPr>
                      <w:sz w:val="22"/>
                      <w:szCs w:val="22"/>
                      <w:lang w:val="sk-SK"/>
                    </w:rPr>
                  </w:pPr>
                </w:p>
              </w:tc>
            </w:tr>
            <w:tr w:rsidR="00A41C83" w:rsidRPr="005B3B88" w14:paraId="1014CC78" w14:textId="77777777" w:rsidTr="00F23F15">
              <w:tc>
                <w:tcPr>
                  <w:tcW w:w="8926" w:type="dxa"/>
                  <w:gridSpan w:val="5"/>
                </w:tcPr>
                <w:p w14:paraId="4BC64368" w14:textId="77777777" w:rsidR="00A41C83" w:rsidRPr="00C444B8" w:rsidRDefault="00F23F15" w:rsidP="00C444B8">
                  <w:pPr>
                    <w:pStyle w:val="Default"/>
                    <w:rPr>
                      <w:sz w:val="22"/>
                      <w:szCs w:val="22"/>
                      <w:lang w:val="sk-SK"/>
                    </w:rPr>
                  </w:pPr>
                  <w:r w:rsidRPr="005B3B88">
                    <w:rPr>
                      <w:b/>
                      <w:bCs/>
                      <w:sz w:val="22"/>
                      <w:szCs w:val="22"/>
                    </w:rPr>
                    <w:lastRenderedPageBreak/>
                    <w:t xml:space="preserve">Úrazy, otravy a komplikácie liečebného postupu </w:t>
                  </w:r>
                </w:p>
              </w:tc>
            </w:tr>
            <w:tr w:rsidR="00A41C83" w:rsidRPr="005B3B88" w14:paraId="3A363987" w14:textId="77777777" w:rsidTr="00F23F15">
              <w:tc>
                <w:tcPr>
                  <w:tcW w:w="2263" w:type="dxa"/>
                </w:tcPr>
                <w:p w14:paraId="08F4C95A" w14:textId="415E7B3D" w:rsidR="00A41C83" w:rsidRPr="00C444B8" w:rsidRDefault="00F23F15" w:rsidP="00C444B8">
                  <w:pPr>
                    <w:pStyle w:val="Default"/>
                    <w:rPr>
                      <w:sz w:val="14"/>
                      <w:szCs w:val="14"/>
                      <w:lang w:val="sk-SK"/>
                    </w:rPr>
                  </w:pPr>
                  <w:r w:rsidRPr="005B3B88">
                    <w:rPr>
                      <w:sz w:val="22"/>
                      <w:szCs w:val="22"/>
                    </w:rPr>
                    <w:t xml:space="preserve"> </w:t>
                  </w:r>
                  <w:r w:rsidR="00570C2F">
                    <w:rPr>
                      <w:sz w:val="22"/>
                      <w:szCs w:val="22"/>
                      <w:lang w:val="sk-SK"/>
                    </w:rPr>
                    <w:t>H</w:t>
                  </w:r>
                  <w:r w:rsidRPr="005B3B88">
                    <w:rPr>
                      <w:sz w:val="22"/>
                      <w:szCs w:val="22"/>
                    </w:rPr>
                    <w:t>emorágia</w:t>
                  </w:r>
                  <w:r w:rsidR="00570C2F">
                    <w:rPr>
                      <w:sz w:val="22"/>
                      <w:szCs w:val="22"/>
                      <w:lang w:val="sk-SK"/>
                    </w:rPr>
                    <w:t xml:space="preserve"> po </w:t>
                  </w:r>
                  <w:r w:rsidR="0063464F">
                    <w:rPr>
                      <w:sz w:val="22"/>
                      <w:szCs w:val="22"/>
                      <w:lang w:val="sk-SK"/>
                    </w:rPr>
                    <w:t xml:space="preserve">chirurgickom </w:t>
                  </w:r>
                  <w:r w:rsidR="00570C2F">
                    <w:rPr>
                      <w:sz w:val="22"/>
                      <w:szCs w:val="22"/>
                      <w:lang w:val="sk-SK"/>
                    </w:rPr>
                    <w:t>zákroku</w:t>
                  </w:r>
                  <w:r w:rsidRPr="005B3B88">
                    <w:rPr>
                      <w:sz w:val="22"/>
                      <w:szCs w:val="22"/>
                    </w:rPr>
                    <w:t xml:space="preserve"> (vrátane pooperačnej anémie a hemorágie z rany), kontúzia, </w:t>
                  </w:r>
                  <w:r w:rsidR="00A166FD" w:rsidRPr="005B3B88">
                    <w:rPr>
                      <w:sz w:val="22"/>
                      <w:szCs w:val="22"/>
                      <w:lang w:val="sk-SK"/>
                    </w:rPr>
                    <w:t>sekrécia z</w:t>
                  </w:r>
                  <w:r w:rsidRPr="005B3B88">
                    <w:rPr>
                      <w:sz w:val="22"/>
                      <w:szCs w:val="22"/>
                    </w:rPr>
                    <w:t xml:space="preserve"> rany</w:t>
                  </w:r>
                  <w:r w:rsidRPr="00C444B8">
                    <w:rPr>
                      <w:sz w:val="22"/>
                      <w:szCs w:val="22"/>
                      <w:vertAlign w:val="superscript"/>
                    </w:rPr>
                    <w:t xml:space="preserve">A </w:t>
                  </w:r>
                </w:p>
              </w:tc>
              <w:tc>
                <w:tcPr>
                  <w:tcW w:w="1985" w:type="dxa"/>
                </w:tcPr>
                <w:p w14:paraId="31DD2630" w14:textId="77777777" w:rsidR="00A41C83" w:rsidRPr="00C444B8" w:rsidRDefault="00A41C83" w:rsidP="00C444B8">
                  <w:pPr>
                    <w:pStyle w:val="Default"/>
                    <w:widowControl w:val="0"/>
                    <w:spacing w:after="120"/>
                    <w:rPr>
                      <w:sz w:val="22"/>
                      <w:szCs w:val="22"/>
                      <w:lang w:val="sk-SK"/>
                    </w:rPr>
                  </w:pPr>
                </w:p>
              </w:tc>
              <w:tc>
                <w:tcPr>
                  <w:tcW w:w="1559" w:type="dxa"/>
                </w:tcPr>
                <w:p w14:paraId="0C0EC486" w14:textId="77777777" w:rsidR="00F23F15" w:rsidRPr="00C444B8" w:rsidRDefault="00F23F15" w:rsidP="00C444B8">
                  <w:pPr>
                    <w:pStyle w:val="Default"/>
                    <w:rPr>
                      <w:sz w:val="14"/>
                      <w:szCs w:val="14"/>
                      <w:lang w:val="sk-SK"/>
                    </w:rPr>
                  </w:pPr>
                  <w:r w:rsidRPr="005B3B88">
                    <w:rPr>
                      <w:sz w:val="22"/>
                      <w:szCs w:val="22"/>
                    </w:rPr>
                    <w:t>Cievne pseudoaneu</w:t>
                  </w:r>
                  <w:r w:rsidR="00A166FD" w:rsidRPr="005B3B88">
                    <w:rPr>
                      <w:sz w:val="22"/>
                      <w:szCs w:val="22"/>
                      <w:lang w:val="sk-SK"/>
                    </w:rPr>
                    <w:t>-</w:t>
                  </w:r>
                  <w:r w:rsidRPr="005B3B88">
                    <w:rPr>
                      <w:sz w:val="22"/>
                      <w:szCs w:val="22"/>
                    </w:rPr>
                    <w:t>ryzmy</w:t>
                  </w:r>
                  <w:r w:rsidRPr="00C444B8">
                    <w:rPr>
                      <w:sz w:val="22"/>
                      <w:szCs w:val="22"/>
                      <w:vertAlign w:val="superscript"/>
                    </w:rPr>
                    <w:t>C</w:t>
                  </w:r>
                  <w:r w:rsidRPr="005B3B88">
                    <w:rPr>
                      <w:sz w:val="14"/>
                      <w:szCs w:val="14"/>
                      <w:vertAlign w:val="superscript"/>
                    </w:rPr>
                    <w:t xml:space="preserve"> </w:t>
                  </w:r>
                </w:p>
                <w:p w14:paraId="2D960E4A" w14:textId="77777777" w:rsidR="00A41C83" w:rsidRPr="00C444B8" w:rsidRDefault="00A41C83" w:rsidP="00C444B8">
                  <w:pPr>
                    <w:pStyle w:val="Default"/>
                    <w:widowControl w:val="0"/>
                    <w:spacing w:after="120"/>
                    <w:rPr>
                      <w:sz w:val="22"/>
                      <w:szCs w:val="22"/>
                      <w:lang w:val="sk-SK"/>
                    </w:rPr>
                  </w:pPr>
                </w:p>
              </w:tc>
              <w:tc>
                <w:tcPr>
                  <w:tcW w:w="1701" w:type="dxa"/>
                </w:tcPr>
                <w:p w14:paraId="70AEFCE7" w14:textId="77777777" w:rsidR="00A41C83" w:rsidRPr="00C444B8" w:rsidRDefault="00A41C83" w:rsidP="00C444B8">
                  <w:pPr>
                    <w:pStyle w:val="Default"/>
                    <w:widowControl w:val="0"/>
                    <w:spacing w:after="120"/>
                    <w:rPr>
                      <w:color w:val="auto"/>
                      <w:sz w:val="22"/>
                      <w:szCs w:val="22"/>
                      <w:lang w:val="sk-SK"/>
                    </w:rPr>
                  </w:pPr>
                </w:p>
              </w:tc>
              <w:tc>
                <w:tcPr>
                  <w:tcW w:w="1418" w:type="dxa"/>
                </w:tcPr>
                <w:p w14:paraId="042929D3" w14:textId="77777777" w:rsidR="00A41C83" w:rsidRPr="00C444B8" w:rsidRDefault="00A41C83" w:rsidP="00C444B8">
                  <w:pPr>
                    <w:pStyle w:val="Default"/>
                    <w:widowControl w:val="0"/>
                    <w:spacing w:after="120"/>
                    <w:rPr>
                      <w:sz w:val="22"/>
                      <w:szCs w:val="22"/>
                      <w:lang w:val="sk-SK"/>
                    </w:rPr>
                  </w:pPr>
                </w:p>
              </w:tc>
            </w:tr>
          </w:tbl>
          <w:p w14:paraId="4D49BA85" w14:textId="77777777" w:rsidR="001223C0" w:rsidRPr="00C444B8" w:rsidRDefault="001223C0" w:rsidP="00C444B8">
            <w:pPr>
              <w:pStyle w:val="Default"/>
              <w:widowControl w:val="0"/>
              <w:spacing w:after="120"/>
              <w:rPr>
                <w:b/>
                <w:lang w:eastAsia="el-GR"/>
              </w:rPr>
            </w:pPr>
          </w:p>
        </w:tc>
        <w:tc>
          <w:tcPr>
            <w:tcW w:w="1559" w:type="dxa"/>
            <w:gridSpan w:val="2"/>
          </w:tcPr>
          <w:p w14:paraId="20856F4A" w14:textId="77777777" w:rsidR="003F6672" w:rsidRPr="00C444B8" w:rsidRDefault="003F6672" w:rsidP="001E6170">
            <w:pPr>
              <w:rPr>
                <w:szCs w:val="24"/>
                <w:u w:val="single"/>
                <w:lang w:eastAsia="el-GR"/>
              </w:rPr>
            </w:pPr>
          </w:p>
        </w:tc>
        <w:tc>
          <w:tcPr>
            <w:tcW w:w="236" w:type="dxa"/>
          </w:tcPr>
          <w:p w14:paraId="3A0B1DBC" w14:textId="77777777" w:rsidR="003F6672" w:rsidRPr="00C444B8" w:rsidRDefault="003F6672" w:rsidP="00B20146">
            <w:pPr>
              <w:ind w:firstLine="1414"/>
              <w:rPr>
                <w:szCs w:val="24"/>
                <w:u w:val="single"/>
                <w:lang w:eastAsia="el-GR"/>
              </w:rPr>
            </w:pPr>
          </w:p>
        </w:tc>
        <w:tc>
          <w:tcPr>
            <w:tcW w:w="255" w:type="dxa"/>
            <w:gridSpan w:val="2"/>
          </w:tcPr>
          <w:p w14:paraId="57808372" w14:textId="77777777" w:rsidR="003F6672" w:rsidRPr="00C444B8" w:rsidRDefault="003F6672" w:rsidP="00B20146">
            <w:pPr>
              <w:rPr>
                <w:szCs w:val="24"/>
                <w:u w:val="single"/>
                <w:lang w:eastAsia="el-GR"/>
              </w:rPr>
            </w:pPr>
          </w:p>
        </w:tc>
      </w:tr>
      <w:tr w:rsidR="003F6672" w:rsidRPr="005B3B88" w14:paraId="2D1836B4" w14:textId="77777777" w:rsidTr="007A6020">
        <w:trPr>
          <w:gridAfter w:val="2"/>
          <w:wAfter w:w="283" w:type="dxa"/>
          <w:trHeight w:val="665"/>
        </w:trPr>
        <w:tc>
          <w:tcPr>
            <w:tcW w:w="9039" w:type="dxa"/>
          </w:tcPr>
          <w:p w14:paraId="3AA63F69" w14:textId="0CA1CDD4" w:rsidR="004748FE" w:rsidRPr="005B3B88" w:rsidRDefault="004748FE" w:rsidP="001E6170">
            <w:pPr>
              <w:pStyle w:val="Default"/>
              <w:ind w:left="108"/>
              <w:rPr>
                <w:sz w:val="22"/>
                <w:szCs w:val="22"/>
              </w:rPr>
            </w:pPr>
            <w:r w:rsidRPr="005B3B88">
              <w:rPr>
                <w:sz w:val="22"/>
                <w:szCs w:val="22"/>
              </w:rPr>
              <w:lastRenderedPageBreak/>
              <w:t>A: pozorované pri prevencii venózne</w:t>
            </w:r>
            <w:r w:rsidR="009A3D36">
              <w:rPr>
                <w:sz w:val="22"/>
                <w:szCs w:val="22"/>
              </w:rPr>
              <w:t>j</w:t>
            </w:r>
            <w:r w:rsidRPr="005B3B88">
              <w:rPr>
                <w:sz w:val="22"/>
                <w:szCs w:val="22"/>
              </w:rPr>
              <w:t xml:space="preserve"> tromboemb</w:t>
            </w:r>
            <w:r w:rsidR="009A3D36">
              <w:rPr>
                <w:sz w:val="22"/>
                <w:szCs w:val="22"/>
              </w:rPr>
              <w:t>ólie</w:t>
            </w:r>
            <w:r w:rsidRPr="005B3B88">
              <w:rPr>
                <w:sz w:val="22"/>
                <w:szCs w:val="22"/>
              </w:rPr>
              <w:t xml:space="preserve"> (</w:t>
            </w:r>
            <w:r w:rsidRPr="00776297">
              <w:rPr>
                <w:sz w:val="22"/>
                <w:szCs w:val="22"/>
              </w:rPr>
              <w:t xml:space="preserve">VTE) u dospelých pacientov podstupujúcich </w:t>
            </w:r>
            <w:r w:rsidR="00570C2F" w:rsidRPr="00776297">
              <w:rPr>
                <w:sz w:val="22"/>
                <w:szCs w:val="22"/>
              </w:rPr>
              <w:t xml:space="preserve">plánovaný </w:t>
            </w:r>
            <w:r w:rsidRPr="00776297">
              <w:rPr>
                <w:sz w:val="22"/>
                <w:szCs w:val="22"/>
              </w:rPr>
              <w:t xml:space="preserve">chirurgický </w:t>
            </w:r>
            <w:r w:rsidR="00250C7D" w:rsidRPr="00776297">
              <w:rPr>
                <w:sz w:val="22"/>
                <w:szCs w:val="22"/>
              </w:rPr>
              <w:t>zákrok</w:t>
            </w:r>
            <w:r w:rsidR="00E77E9F" w:rsidRPr="00776297">
              <w:rPr>
                <w:sz w:val="22"/>
                <w:szCs w:val="22"/>
              </w:rPr>
              <w:t xml:space="preserve"> na nahradenie bedra alebo kolena</w:t>
            </w:r>
          </w:p>
          <w:p w14:paraId="16DB7FBB" w14:textId="77777777" w:rsidR="004748FE" w:rsidRPr="005B3B88" w:rsidRDefault="004748FE" w:rsidP="00C444B8">
            <w:pPr>
              <w:pStyle w:val="Default"/>
              <w:ind w:left="108"/>
              <w:rPr>
                <w:sz w:val="22"/>
                <w:szCs w:val="22"/>
              </w:rPr>
            </w:pPr>
            <w:r w:rsidRPr="005B3B88">
              <w:rPr>
                <w:sz w:val="22"/>
                <w:szCs w:val="22"/>
              </w:rPr>
              <w:t>B: pozorované pri liečbe DVT, PE a prevencii rekurencie ako veľmi časté u žien &lt;</w:t>
            </w:r>
            <w:r w:rsidR="00D065AB">
              <w:rPr>
                <w:sz w:val="22"/>
                <w:szCs w:val="22"/>
              </w:rPr>
              <w:t> </w:t>
            </w:r>
            <w:r w:rsidRPr="005B3B88">
              <w:rPr>
                <w:sz w:val="22"/>
                <w:szCs w:val="22"/>
              </w:rPr>
              <w:t xml:space="preserve">55 rokov </w:t>
            </w:r>
          </w:p>
          <w:p w14:paraId="7DBFE193" w14:textId="77777777" w:rsidR="004748FE" w:rsidRPr="005B3B88" w:rsidRDefault="004748FE" w:rsidP="00C444B8">
            <w:pPr>
              <w:pStyle w:val="Default"/>
              <w:ind w:left="108"/>
              <w:rPr>
                <w:sz w:val="22"/>
                <w:szCs w:val="22"/>
              </w:rPr>
            </w:pPr>
            <w:r w:rsidRPr="005B3B88">
              <w:rPr>
                <w:sz w:val="22"/>
                <w:szCs w:val="22"/>
              </w:rPr>
              <w:t xml:space="preserve">C: pozorované ako menej časté pri prevencii aterotrombotických príhod u pacientov po ACS (po perkutánnej koronárnej intervencii) </w:t>
            </w:r>
          </w:p>
          <w:p w14:paraId="453DD0E5" w14:textId="77777777" w:rsidR="003F6672" w:rsidRPr="00C444B8" w:rsidRDefault="004748FE" w:rsidP="00C444B8">
            <w:pPr>
              <w:spacing w:after="0" w:line="240" w:lineRule="auto"/>
              <w:ind w:left="108"/>
              <w:rPr>
                <w:rFonts w:ascii="Times New Roman" w:hAnsi="Times New Roman" w:cs="Times New Roman"/>
                <w:szCs w:val="24"/>
                <w:lang w:eastAsia="el-GR"/>
              </w:rPr>
            </w:pPr>
            <w:r w:rsidRPr="005B3B88">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14:paraId="6F83AAD8" w14:textId="77777777" w:rsidR="003F6672" w:rsidRPr="00C444B8" w:rsidRDefault="003F6672" w:rsidP="001E6170">
            <w:pPr>
              <w:rPr>
                <w:szCs w:val="24"/>
                <w:lang w:eastAsia="el-GR"/>
              </w:rPr>
            </w:pPr>
          </w:p>
        </w:tc>
        <w:tc>
          <w:tcPr>
            <w:tcW w:w="236" w:type="dxa"/>
          </w:tcPr>
          <w:p w14:paraId="293E0F84" w14:textId="77777777" w:rsidR="003F6672" w:rsidRPr="00C444B8" w:rsidRDefault="003F6672" w:rsidP="00B20146">
            <w:pPr>
              <w:rPr>
                <w:szCs w:val="24"/>
                <w:lang w:eastAsia="el-GR"/>
              </w:rPr>
            </w:pPr>
          </w:p>
        </w:tc>
        <w:tc>
          <w:tcPr>
            <w:tcW w:w="255" w:type="dxa"/>
            <w:gridSpan w:val="2"/>
          </w:tcPr>
          <w:p w14:paraId="4CE5F5EC" w14:textId="77777777" w:rsidR="003F6672" w:rsidRPr="00C444B8" w:rsidRDefault="003F6672" w:rsidP="00B20146">
            <w:pPr>
              <w:rPr>
                <w:szCs w:val="24"/>
                <w:lang w:eastAsia="el-GR"/>
              </w:rPr>
            </w:pPr>
          </w:p>
        </w:tc>
      </w:tr>
      <w:tr w:rsidR="003F6672" w:rsidRPr="005B3B88" w14:paraId="1B44A04F" w14:textId="77777777" w:rsidTr="007A6020">
        <w:trPr>
          <w:gridAfter w:val="2"/>
          <w:wAfter w:w="283" w:type="dxa"/>
          <w:trHeight w:val="275"/>
        </w:trPr>
        <w:tc>
          <w:tcPr>
            <w:tcW w:w="9039" w:type="dxa"/>
          </w:tcPr>
          <w:p w14:paraId="14F7544F" w14:textId="77777777" w:rsidR="003F6672" w:rsidRPr="00C444B8" w:rsidRDefault="003F6672" w:rsidP="00C444B8">
            <w:pPr>
              <w:ind w:left="108"/>
              <w:rPr>
                <w:szCs w:val="24"/>
                <w:lang w:eastAsia="el-GR"/>
              </w:rPr>
            </w:pPr>
          </w:p>
        </w:tc>
        <w:tc>
          <w:tcPr>
            <w:tcW w:w="1559" w:type="dxa"/>
            <w:gridSpan w:val="2"/>
          </w:tcPr>
          <w:p w14:paraId="6F6A2806" w14:textId="77777777" w:rsidR="003F6672" w:rsidRPr="00C444B8" w:rsidRDefault="003F6672" w:rsidP="001E6170">
            <w:pPr>
              <w:rPr>
                <w:szCs w:val="24"/>
                <w:lang w:eastAsia="el-GR"/>
              </w:rPr>
            </w:pPr>
          </w:p>
        </w:tc>
        <w:tc>
          <w:tcPr>
            <w:tcW w:w="236" w:type="dxa"/>
          </w:tcPr>
          <w:p w14:paraId="568E5967" w14:textId="77777777" w:rsidR="003F6672" w:rsidRPr="00C444B8" w:rsidRDefault="003F6672" w:rsidP="00B20146">
            <w:pPr>
              <w:rPr>
                <w:szCs w:val="24"/>
                <w:lang w:eastAsia="el-GR"/>
              </w:rPr>
            </w:pPr>
          </w:p>
        </w:tc>
        <w:tc>
          <w:tcPr>
            <w:tcW w:w="255" w:type="dxa"/>
            <w:gridSpan w:val="2"/>
          </w:tcPr>
          <w:p w14:paraId="2E089B90" w14:textId="77777777" w:rsidR="003F6672" w:rsidRPr="00C444B8" w:rsidRDefault="003F6672" w:rsidP="00B20146">
            <w:pPr>
              <w:rPr>
                <w:szCs w:val="24"/>
                <w:lang w:eastAsia="el-GR"/>
              </w:rPr>
            </w:pPr>
          </w:p>
        </w:tc>
      </w:tr>
    </w:tbl>
    <w:p w14:paraId="32C6A4A2" w14:textId="77777777" w:rsidR="00283361" w:rsidRPr="005B3B88" w:rsidRDefault="00283361" w:rsidP="001E6170">
      <w:pPr>
        <w:pStyle w:val="Default"/>
        <w:rPr>
          <w:sz w:val="22"/>
          <w:szCs w:val="22"/>
          <w:u w:val="single"/>
        </w:rPr>
      </w:pPr>
      <w:r w:rsidRPr="005B3B88">
        <w:rPr>
          <w:sz w:val="22"/>
          <w:szCs w:val="22"/>
          <w:u w:val="single"/>
        </w:rPr>
        <w:t xml:space="preserve">Popis vybraných nežiaducich účinkov </w:t>
      </w:r>
    </w:p>
    <w:p w14:paraId="09A69B98" w14:textId="41C4CD01" w:rsidR="00283361" w:rsidRPr="005B3B88" w:rsidRDefault="00283361" w:rsidP="001E6170">
      <w:pPr>
        <w:pStyle w:val="Default"/>
        <w:rPr>
          <w:sz w:val="22"/>
          <w:szCs w:val="22"/>
        </w:rPr>
      </w:pPr>
      <w:r w:rsidRPr="005B3B88">
        <w:rPr>
          <w:sz w:val="22"/>
          <w:szCs w:val="22"/>
        </w:rPr>
        <w:t xml:space="preserve">Vzhľadom na farmakologický mechanizmus účinku sa môže použitie </w:t>
      </w:r>
      <w:r w:rsidR="000379AB" w:rsidRPr="005B3B88">
        <w:rPr>
          <w:sz w:val="22"/>
          <w:szCs w:val="22"/>
        </w:rPr>
        <w:t>rivaroxabán</w:t>
      </w:r>
      <w:r w:rsidRPr="005B3B88">
        <w:rPr>
          <w:sz w:val="22"/>
          <w:szCs w:val="22"/>
        </w:rPr>
        <w:t xml:space="preserve">u spájať so zvýšeným rizikom skrytého </w:t>
      </w:r>
      <w:r w:rsidRPr="00532F8F">
        <w:rPr>
          <w:sz w:val="22"/>
          <w:szCs w:val="22"/>
        </w:rPr>
        <w:t>alebo zjavného</w:t>
      </w:r>
      <w:r w:rsidRPr="005B3B88">
        <w:rPr>
          <w:sz w:val="22"/>
          <w:szCs w:val="22"/>
        </w:rPr>
        <w:t xml:space="preserve">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w:t>
      </w:r>
      <w:r w:rsidR="0076658C" w:rsidRPr="00CD43A8">
        <w:rPr>
          <w:sz w:val="22"/>
          <w:szCs w:val="22"/>
        </w:rPr>
        <w:t>Liečba</w:t>
      </w:r>
      <w:r w:rsidR="0076658C" w:rsidRPr="005B3B88">
        <w:rPr>
          <w:sz w:val="22"/>
          <w:szCs w:val="22"/>
        </w:rPr>
        <w:t xml:space="preserve"> </w:t>
      </w:r>
      <w:r w:rsidRPr="005B3B88">
        <w:rPr>
          <w:sz w:val="22"/>
          <w:szCs w:val="22"/>
        </w:rPr>
        <w:t xml:space="preserve">krvácania). Počas dlhodobej liečby </w:t>
      </w:r>
      <w:r w:rsidR="000379AB" w:rsidRPr="005B3B88">
        <w:rPr>
          <w:sz w:val="22"/>
          <w:szCs w:val="22"/>
        </w:rPr>
        <w:t>rivaroxabán</w:t>
      </w:r>
      <w:r w:rsidRPr="005B3B88">
        <w:rPr>
          <w:sz w:val="22"/>
          <w:szCs w:val="22"/>
        </w:rPr>
        <w:t xml:space="preserve">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w:t>
      </w:r>
      <w:r w:rsidR="00106647" w:rsidRPr="005B3B88">
        <w:rPr>
          <w:sz w:val="22"/>
          <w:szCs w:val="22"/>
        </w:rPr>
        <w:t xml:space="preserve">je vhodné zvážiť vyšetrenie </w:t>
      </w:r>
      <w:r w:rsidRPr="005B3B88">
        <w:rPr>
          <w:sz w:val="22"/>
          <w:szCs w:val="22"/>
        </w:rPr>
        <w:t xml:space="preserve">laboratórnych testov na hemoglobín/hematokrit, </w:t>
      </w:r>
      <w:r w:rsidR="00106647" w:rsidRPr="005B3B88">
        <w:rPr>
          <w:sz w:val="22"/>
          <w:szCs w:val="22"/>
        </w:rPr>
        <w:t>ktoré môžu byť prínosné pri detekcii</w:t>
      </w:r>
      <w:r w:rsidRPr="005B3B88">
        <w:rPr>
          <w:sz w:val="22"/>
          <w:szCs w:val="22"/>
        </w:rPr>
        <w:t xml:space="preserve"> skrytého krvácania a kvantifikáci</w:t>
      </w:r>
      <w:r w:rsidR="00AF5EF5" w:rsidRPr="005B3B88">
        <w:rPr>
          <w:sz w:val="22"/>
          <w:szCs w:val="22"/>
        </w:rPr>
        <w:t>i</w:t>
      </w:r>
      <w:r w:rsidRPr="005B3B88">
        <w:rPr>
          <w:sz w:val="22"/>
          <w:szCs w:val="22"/>
        </w:rPr>
        <w:t xml:space="preserve"> klinického </w:t>
      </w:r>
      <w:r w:rsidRPr="00532F8F">
        <w:rPr>
          <w:sz w:val="22"/>
          <w:szCs w:val="22"/>
        </w:rPr>
        <w:t>významu zjavného</w:t>
      </w:r>
      <w:r w:rsidRPr="005B3B88">
        <w:rPr>
          <w:sz w:val="22"/>
          <w:szCs w:val="22"/>
        </w:rPr>
        <w:t xml:space="preserve"> krvácania. Riziko krvácania sa môže v určitých skupinách pacientov zvýšiť, napr. u pacientov s nekontrolovanou ťažkou art</w:t>
      </w:r>
      <w:r w:rsidR="00C31B31">
        <w:rPr>
          <w:sz w:val="22"/>
          <w:szCs w:val="22"/>
        </w:rPr>
        <w:t>ériovou</w:t>
      </w:r>
      <w:r w:rsidRPr="005B3B88">
        <w:rPr>
          <w:sz w:val="22"/>
          <w:szCs w:val="22"/>
        </w:rPr>
        <w:t xml:space="preserve"> hypertenziou a/alebo súbežnou liečbou ovplyvňujúcou hemostázu (pozri „Riziko hemorágie“ v časti 4.4). Menštruačné krvácanie môže byť silnejšie a/alebo predĺžené. </w:t>
      </w:r>
    </w:p>
    <w:p w14:paraId="57ABC74C" w14:textId="77777777" w:rsidR="00283361" w:rsidRPr="005B3B88" w:rsidRDefault="00283361" w:rsidP="00B20146">
      <w:pPr>
        <w:pStyle w:val="Default"/>
        <w:rPr>
          <w:sz w:val="22"/>
          <w:szCs w:val="22"/>
        </w:rPr>
      </w:pPr>
      <w:r w:rsidRPr="005B3B88">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sidRPr="000D053C">
        <w:rPr>
          <w:i/>
          <w:sz w:val="22"/>
          <w:szCs w:val="22"/>
        </w:rPr>
        <w:t>angina pectoris</w:t>
      </w:r>
      <w:r w:rsidRPr="005B3B88">
        <w:rPr>
          <w:sz w:val="22"/>
          <w:szCs w:val="22"/>
        </w:rPr>
        <w:t xml:space="preserve">. </w:t>
      </w:r>
    </w:p>
    <w:p w14:paraId="74098779" w14:textId="77777777" w:rsidR="003F6672" w:rsidRPr="005B3B88" w:rsidRDefault="00283361" w:rsidP="00B20146">
      <w:pPr>
        <w:pStyle w:val="Default"/>
        <w:rPr>
          <w:sz w:val="22"/>
          <w:szCs w:val="22"/>
        </w:rPr>
      </w:pPr>
      <w:r w:rsidRPr="005B3B88">
        <w:rPr>
          <w:sz w:val="22"/>
          <w:szCs w:val="22"/>
        </w:rPr>
        <w:t>Z dôvodu hypoperfúzie sa p</w:t>
      </w:r>
      <w:r w:rsidR="00AF5EF5" w:rsidRPr="005B3B88">
        <w:rPr>
          <w:sz w:val="22"/>
          <w:szCs w:val="22"/>
        </w:rPr>
        <w:t>ri</w:t>
      </w:r>
      <w:r w:rsidRPr="005B3B88">
        <w:rPr>
          <w:sz w:val="22"/>
          <w:szCs w:val="22"/>
        </w:rPr>
        <w:t xml:space="preserve"> </w:t>
      </w:r>
      <w:r w:rsidR="000379AB" w:rsidRPr="005B3B88">
        <w:rPr>
          <w:sz w:val="22"/>
          <w:szCs w:val="22"/>
        </w:rPr>
        <w:t>rivaroxabán</w:t>
      </w:r>
      <w:r w:rsidRPr="005B3B88">
        <w:rPr>
          <w:sz w:val="22"/>
          <w:szCs w:val="22"/>
        </w:rPr>
        <w:t>e hlásili známe sekundárne komplikácie</w:t>
      </w:r>
      <w:r w:rsidR="00AF5EF5" w:rsidRPr="005B3B88">
        <w:rPr>
          <w:sz w:val="22"/>
          <w:szCs w:val="22"/>
        </w:rPr>
        <w:t xml:space="preserve"> závažného krvácania</w:t>
      </w:r>
      <w:r w:rsidRPr="005B3B88">
        <w:rPr>
          <w:sz w:val="22"/>
          <w:szCs w:val="22"/>
        </w:rPr>
        <w:t>, ako je syndróm kompartmentu a zlyhanie obličiek. Možnosť hemorágie sa má preto zvážiť pri hodnotení stavu pacienta, ktorý dostáva ktorúkoľvek antikoagulačnú liečbu.</w:t>
      </w:r>
    </w:p>
    <w:p w14:paraId="2C9F1722" w14:textId="77777777" w:rsidR="00283361" w:rsidRPr="005B3B88" w:rsidRDefault="00283361" w:rsidP="00B20146">
      <w:pPr>
        <w:pStyle w:val="Default"/>
        <w:rPr>
          <w:sz w:val="22"/>
          <w:szCs w:val="22"/>
        </w:rPr>
      </w:pPr>
    </w:p>
    <w:p w14:paraId="6E4735A9" w14:textId="77777777" w:rsidR="00C066F2" w:rsidRPr="005B3B88" w:rsidRDefault="00C066F2" w:rsidP="00B20146">
      <w:pPr>
        <w:pStyle w:val="Default"/>
        <w:rPr>
          <w:sz w:val="22"/>
          <w:szCs w:val="22"/>
          <w:u w:val="single"/>
        </w:rPr>
      </w:pPr>
      <w:r w:rsidRPr="005B3B88">
        <w:rPr>
          <w:sz w:val="22"/>
          <w:szCs w:val="22"/>
          <w:u w:val="single"/>
        </w:rPr>
        <w:t xml:space="preserve">Hlásenie podozrení na nežiaduce reakcie </w:t>
      </w:r>
    </w:p>
    <w:p w14:paraId="3CE28B15" w14:textId="7F83E65D" w:rsidR="00283361" w:rsidRPr="005B3B88" w:rsidRDefault="00C066F2" w:rsidP="00B20146">
      <w:pPr>
        <w:pStyle w:val="Default"/>
        <w:rPr>
          <w:sz w:val="22"/>
          <w:szCs w:val="22"/>
        </w:rPr>
      </w:pPr>
      <w:r w:rsidRPr="005B3B88">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BE703F">
        <w:rPr>
          <w:sz w:val="22"/>
          <w:szCs w:val="22"/>
        </w:rPr>
        <w:t xml:space="preserve"> na</w:t>
      </w:r>
      <w:r w:rsidRPr="005B3B88">
        <w:rPr>
          <w:sz w:val="22"/>
          <w:szCs w:val="22"/>
        </w:rPr>
        <w:t xml:space="preserve"> </w:t>
      </w:r>
      <w:r w:rsidR="007D313F" w:rsidRPr="005B3B88">
        <w:rPr>
          <w:sz w:val="22"/>
          <w:szCs w:val="22"/>
          <w:highlight w:val="lightGray"/>
        </w:rPr>
        <w:t xml:space="preserve">národné centrum hlásenia uvedené v </w:t>
      </w:r>
      <w:hyperlink r:id="rId7" w:history="1">
        <w:r w:rsidR="007D313F" w:rsidRPr="005B3B88">
          <w:rPr>
            <w:color w:val="0000FF"/>
            <w:sz w:val="22"/>
            <w:szCs w:val="22"/>
            <w:highlight w:val="lightGray"/>
            <w:u w:val="single"/>
            <w:lang w:eastAsia="sk-SK"/>
          </w:rPr>
          <w:t>Prílohe V</w:t>
        </w:r>
      </w:hyperlink>
      <w:r w:rsidR="007D313F" w:rsidRPr="005B3B88">
        <w:rPr>
          <w:sz w:val="22"/>
          <w:szCs w:val="22"/>
          <w:highlight w:val="lightGray"/>
        </w:rPr>
        <w:t>.</w:t>
      </w:r>
    </w:p>
    <w:p w14:paraId="59FE73AD" w14:textId="77777777" w:rsidR="007D313F" w:rsidRPr="005B3B88" w:rsidRDefault="007D313F" w:rsidP="00B20146">
      <w:pPr>
        <w:pStyle w:val="Default"/>
        <w:rPr>
          <w:sz w:val="22"/>
          <w:szCs w:val="22"/>
        </w:rPr>
      </w:pPr>
    </w:p>
    <w:p w14:paraId="11A8A5E4" w14:textId="77777777" w:rsidR="007D313F" w:rsidRPr="005B3B88" w:rsidRDefault="007D313F"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b/>
        </w:rPr>
        <w:t>4.9</w:t>
      </w:r>
      <w:r w:rsidRPr="005B3B88">
        <w:rPr>
          <w:rFonts w:ascii="Times New Roman" w:hAnsi="Times New Roman" w:cs="Times New Roman"/>
          <w:b/>
        </w:rPr>
        <w:tab/>
        <w:t>Predávkovanie</w:t>
      </w:r>
    </w:p>
    <w:p w14:paraId="0DF0E0D7" w14:textId="77777777" w:rsidR="003E369B" w:rsidRPr="005B3B88" w:rsidRDefault="003E369B" w:rsidP="001E6170">
      <w:pPr>
        <w:pStyle w:val="Default"/>
        <w:rPr>
          <w:sz w:val="22"/>
          <w:szCs w:val="22"/>
        </w:rPr>
      </w:pPr>
    </w:p>
    <w:p w14:paraId="6CEE56BE" w14:textId="77777777" w:rsidR="0008261D" w:rsidRPr="005B3B88" w:rsidRDefault="0008261D" w:rsidP="001E6170">
      <w:pPr>
        <w:pStyle w:val="Default"/>
        <w:rPr>
          <w:sz w:val="22"/>
          <w:szCs w:val="22"/>
        </w:rPr>
      </w:pPr>
      <w:r w:rsidRPr="005B3B88">
        <w:rPr>
          <w:sz w:val="22"/>
          <w:szCs w:val="22"/>
        </w:rPr>
        <w:t xml:space="preserve">Hlásili sa zriedkavé prípady predávkovania až do 600 mg bez krvácavých komplikácií alebo iných nežiaducich účinkov. Z dôvodu obmedzenej absorpcie sa pri supraterapeutických dávkach 50 mg </w:t>
      </w:r>
      <w:r w:rsidR="000379AB" w:rsidRPr="005B3B88">
        <w:rPr>
          <w:sz w:val="22"/>
          <w:szCs w:val="22"/>
        </w:rPr>
        <w:t>rivaroxabán</w:t>
      </w:r>
      <w:r w:rsidRPr="005B3B88">
        <w:rPr>
          <w:sz w:val="22"/>
          <w:szCs w:val="22"/>
        </w:rPr>
        <w:t xml:space="preserve">u alebo vyšších očakáva maximálny účinok bez ďalšieho zvyšovania priemernej plazmatickej expozície. </w:t>
      </w:r>
    </w:p>
    <w:p w14:paraId="0E82B189" w14:textId="6D12A654" w:rsidR="0008261D" w:rsidRPr="005B3B88" w:rsidRDefault="00286DD8" w:rsidP="00B20146">
      <w:pPr>
        <w:pStyle w:val="Default"/>
        <w:rPr>
          <w:sz w:val="22"/>
          <w:szCs w:val="22"/>
        </w:rPr>
      </w:pPr>
      <w:r>
        <w:rPr>
          <w:sz w:val="22"/>
          <w:szCs w:val="22"/>
        </w:rPr>
        <w:t>Dostupná je špecifická reverzná látka (andexanet alfa) antagonizujúca farm</w:t>
      </w:r>
      <w:r w:rsidR="001462B3">
        <w:rPr>
          <w:sz w:val="22"/>
          <w:szCs w:val="22"/>
        </w:rPr>
        <w:t>akodynamický účinok rivaroxabá</w:t>
      </w:r>
      <w:r>
        <w:rPr>
          <w:sz w:val="22"/>
          <w:szCs w:val="22"/>
        </w:rPr>
        <w:t xml:space="preserve">nu (pozri Súhrn charakteristických vlastností </w:t>
      </w:r>
      <w:r w:rsidR="00532F8F" w:rsidRPr="00776297">
        <w:rPr>
          <w:sz w:val="22"/>
          <w:szCs w:val="22"/>
        </w:rPr>
        <w:t>lieku</w:t>
      </w:r>
      <w:r w:rsidRPr="00776297">
        <w:rPr>
          <w:sz w:val="22"/>
          <w:szCs w:val="22"/>
        </w:rPr>
        <w:t xml:space="preserve"> </w:t>
      </w:r>
      <w:r w:rsidR="00BE703F" w:rsidRPr="00776297">
        <w:rPr>
          <w:sz w:val="22"/>
          <w:szCs w:val="22"/>
        </w:rPr>
        <w:t>pre</w:t>
      </w:r>
      <w:r w:rsidR="00BE703F">
        <w:rPr>
          <w:sz w:val="22"/>
          <w:szCs w:val="22"/>
        </w:rPr>
        <w:t xml:space="preserve"> </w:t>
      </w:r>
      <w:r>
        <w:rPr>
          <w:sz w:val="22"/>
          <w:szCs w:val="22"/>
        </w:rPr>
        <w:t>andexane</w:t>
      </w:r>
      <w:r w:rsidR="00532F8F">
        <w:rPr>
          <w:sz w:val="22"/>
          <w:szCs w:val="22"/>
        </w:rPr>
        <w:t>t</w:t>
      </w:r>
      <w:r>
        <w:rPr>
          <w:sz w:val="22"/>
          <w:szCs w:val="22"/>
        </w:rPr>
        <w:t xml:space="preserve"> alfa).</w:t>
      </w:r>
    </w:p>
    <w:p w14:paraId="46E187A5" w14:textId="77777777" w:rsidR="007D313F" w:rsidRPr="005B3B88" w:rsidRDefault="0008261D"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rPr>
        <w:t xml:space="preserve">V prípade predávkovania </w:t>
      </w:r>
      <w:r w:rsidR="000379AB" w:rsidRPr="005B3B88">
        <w:rPr>
          <w:rFonts w:ascii="Times New Roman" w:hAnsi="Times New Roman" w:cs="Times New Roman"/>
        </w:rPr>
        <w:t>rivaroxabán</w:t>
      </w:r>
      <w:r w:rsidRPr="005B3B88">
        <w:rPr>
          <w:rFonts w:ascii="Times New Roman" w:hAnsi="Times New Roman" w:cs="Times New Roman"/>
        </w:rPr>
        <w:t>om možno zvážiť použitie aktívneho uhlia na zníženie absorpcie.</w:t>
      </w:r>
    </w:p>
    <w:p w14:paraId="551DAB98" w14:textId="77777777" w:rsidR="003E369B" w:rsidRPr="005B3B88" w:rsidRDefault="003E369B" w:rsidP="001E6170">
      <w:pPr>
        <w:pStyle w:val="Default"/>
        <w:rPr>
          <w:sz w:val="22"/>
          <w:szCs w:val="22"/>
          <w:u w:val="single"/>
        </w:rPr>
      </w:pPr>
    </w:p>
    <w:p w14:paraId="6E4CBA36" w14:textId="25DB5AB8" w:rsidR="0008261D" w:rsidRPr="005B3B88" w:rsidRDefault="00CD43A8" w:rsidP="00B20146">
      <w:pPr>
        <w:pStyle w:val="Default"/>
        <w:rPr>
          <w:sz w:val="22"/>
          <w:szCs w:val="22"/>
          <w:u w:val="single"/>
        </w:rPr>
      </w:pPr>
      <w:r>
        <w:rPr>
          <w:sz w:val="22"/>
          <w:szCs w:val="22"/>
          <w:u w:val="single"/>
        </w:rPr>
        <w:t>Liečba</w:t>
      </w:r>
      <w:r w:rsidRPr="005B3B88">
        <w:rPr>
          <w:sz w:val="22"/>
          <w:szCs w:val="22"/>
          <w:u w:val="single"/>
        </w:rPr>
        <w:t xml:space="preserve"> </w:t>
      </w:r>
      <w:r w:rsidR="0008261D" w:rsidRPr="005B3B88">
        <w:rPr>
          <w:sz w:val="22"/>
          <w:szCs w:val="22"/>
          <w:u w:val="single"/>
        </w:rPr>
        <w:t xml:space="preserve">krvácania </w:t>
      </w:r>
    </w:p>
    <w:p w14:paraId="10909B36" w14:textId="117003E7" w:rsidR="0008261D" w:rsidRPr="005B3B88" w:rsidRDefault="0008261D" w:rsidP="00B20146">
      <w:pPr>
        <w:pStyle w:val="Default"/>
        <w:rPr>
          <w:sz w:val="22"/>
          <w:szCs w:val="22"/>
        </w:rPr>
      </w:pPr>
      <w:r w:rsidRPr="005B3B88">
        <w:rPr>
          <w:sz w:val="22"/>
          <w:szCs w:val="22"/>
        </w:rPr>
        <w:lastRenderedPageBreak/>
        <w:t xml:space="preserve">Ak u pacienta, ktorý užíva </w:t>
      </w:r>
      <w:r w:rsidR="000379AB" w:rsidRPr="005B3B88">
        <w:rPr>
          <w:sz w:val="22"/>
          <w:szCs w:val="22"/>
        </w:rPr>
        <w:t>rivaroxabán</w:t>
      </w:r>
      <w:r w:rsidRPr="005B3B88">
        <w:rPr>
          <w:sz w:val="22"/>
          <w:szCs w:val="22"/>
        </w:rPr>
        <w:t xml:space="preserve"> nastane krvácavá komplikácia, nasledujúce podanie dávky </w:t>
      </w:r>
      <w:r w:rsidR="000379AB" w:rsidRPr="005B3B88">
        <w:rPr>
          <w:sz w:val="22"/>
          <w:szCs w:val="22"/>
        </w:rPr>
        <w:t>rivaroxabán</w:t>
      </w:r>
      <w:r w:rsidRPr="005B3B88">
        <w:rPr>
          <w:sz w:val="22"/>
          <w:szCs w:val="22"/>
        </w:rPr>
        <w:t xml:space="preserve">u sa má posunúť alebo sa má prerušiť liečba, podľa toho, čo je vhodnejšie. </w:t>
      </w:r>
      <w:r w:rsidR="000379AB" w:rsidRPr="005B3B88">
        <w:rPr>
          <w:sz w:val="22"/>
          <w:szCs w:val="22"/>
        </w:rPr>
        <w:t>Rivaroxabán</w:t>
      </w:r>
      <w:r w:rsidRPr="005B3B88">
        <w:rPr>
          <w:sz w:val="22"/>
          <w:szCs w:val="22"/>
        </w:rPr>
        <w:t xml:space="preserve"> má polčas približne 5 až 13 hodín (pozri časť 5.2). </w:t>
      </w:r>
      <w:r w:rsidR="00CD43A8">
        <w:rPr>
          <w:sz w:val="22"/>
          <w:szCs w:val="22"/>
        </w:rPr>
        <w:t>Liečba</w:t>
      </w:r>
      <w:r w:rsidR="00CD43A8" w:rsidRPr="005B3B88">
        <w:rPr>
          <w:sz w:val="22"/>
          <w:szCs w:val="22"/>
        </w:rPr>
        <w:t xml:space="preserve"> </w:t>
      </w:r>
      <w:r w:rsidRPr="005B3B88">
        <w:rPr>
          <w:sz w:val="22"/>
          <w:szCs w:val="22"/>
        </w:rPr>
        <w:t>má byť individuáln</w:t>
      </w:r>
      <w:r w:rsidR="00CD43A8">
        <w:rPr>
          <w:sz w:val="22"/>
          <w:szCs w:val="22"/>
        </w:rPr>
        <w:t>a</w:t>
      </w:r>
      <w:r w:rsidRPr="005B3B88">
        <w:rPr>
          <w:sz w:val="22"/>
          <w:szCs w:val="22"/>
        </w:rPr>
        <w:t xml:space="preserve"> podľa závažnosti a lokalizácie krvácania. Ak je to potrebné, má sa použiť vhodná symptomatická liečba, ako je mechanická kompresia (napr. pri silnom krvácaní z nosa), chirurgická hemostáza s</w:t>
      </w:r>
      <w:r w:rsidR="00FC32FA" w:rsidRPr="005B3B88">
        <w:rPr>
          <w:sz w:val="22"/>
          <w:szCs w:val="22"/>
        </w:rPr>
        <w:t>o zaistením</w:t>
      </w:r>
      <w:r w:rsidRPr="005B3B88">
        <w:rPr>
          <w:sz w:val="22"/>
          <w:szCs w:val="22"/>
        </w:rPr>
        <w:t xml:space="preserve"> kontrol</w:t>
      </w:r>
      <w:r w:rsidR="00FC32FA" w:rsidRPr="005B3B88">
        <w:rPr>
          <w:sz w:val="22"/>
          <w:szCs w:val="22"/>
        </w:rPr>
        <w:t>y</w:t>
      </w:r>
      <w:r w:rsidRPr="005B3B88">
        <w:rPr>
          <w:sz w:val="22"/>
          <w:szCs w:val="22"/>
        </w:rPr>
        <w:t xml:space="preserve"> krvácania, náhrada tekutín a hemodynamická podpora</w:t>
      </w:r>
      <w:r w:rsidRPr="00CD43A8">
        <w:rPr>
          <w:sz w:val="22"/>
          <w:szCs w:val="22"/>
        </w:rPr>
        <w:t xml:space="preserve">, krvné </w:t>
      </w:r>
      <w:r w:rsidR="00CD43A8" w:rsidRPr="000D053C">
        <w:rPr>
          <w:sz w:val="22"/>
          <w:szCs w:val="22"/>
        </w:rPr>
        <w:t>deriváty</w:t>
      </w:r>
      <w:r w:rsidRPr="005B3B88">
        <w:rPr>
          <w:sz w:val="22"/>
          <w:szCs w:val="22"/>
        </w:rPr>
        <w:t xml:space="preserve"> (erytrocytárn</w:t>
      </w:r>
      <w:r w:rsidR="00CD43A8">
        <w:rPr>
          <w:sz w:val="22"/>
          <w:szCs w:val="22"/>
        </w:rPr>
        <w:t>a</w:t>
      </w:r>
      <w:r w:rsidRPr="005B3B88">
        <w:rPr>
          <w:sz w:val="22"/>
          <w:szCs w:val="22"/>
        </w:rPr>
        <w:t xml:space="preserve"> mas</w:t>
      </w:r>
      <w:r w:rsidR="00CD43A8">
        <w:rPr>
          <w:sz w:val="22"/>
          <w:szCs w:val="22"/>
        </w:rPr>
        <w:t>a</w:t>
      </w:r>
      <w:r w:rsidRPr="005B3B88">
        <w:rPr>
          <w:sz w:val="22"/>
          <w:szCs w:val="22"/>
        </w:rPr>
        <w:t xml:space="preserve"> alebo čerstvá zmrazená plazma, v závislosti od pridruženej anémie alebo koagulopatie) alebo trombocyty. </w:t>
      </w:r>
    </w:p>
    <w:p w14:paraId="169F282F" w14:textId="11527F40" w:rsidR="0008261D" w:rsidRPr="005B3B88" w:rsidRDefault="004C06BC" w:rsidP="00B20146">
      <w:pPr>
        <w:pStyle w:val="Default"/>
        <w:rPr>
          <w:sz w:val="22"/>
          <w:szCs w:val="22"/>
        </w:rPr>
      </w:pPr>
      <w:r>
        <w:rPr>
          <w:sz w:val="22"/>
          <w:szCs w:val="22"/>
        </w:rPr>
        <w:t>Ak krvácanie nemožno kontrolovať vyššie uvedenými opatreniami, možno zvážiť buď podanie špecifickej reverznej látky inhibítora faktora X</w:t>
      </w:r>
      <w:r w:rsidR="00CD43A8">
        <w:rPr>
          <w:sz w:val="22"/>
          <w:szCs w:val="22"/>
        </w:rPr>
        <w:t>a</w:t>
      </w:r>
      <w:r>
        <w:rPr>
          <w:sz w:val="22"/>
          <w:szCs w:val="22"/>
        </w:rPr>
        <w:t xml:space="preserve"> (andexanet alfa), ktorá antagonizuje fa</w:t>
      </w:r>
      <w:r w:rsidR="001462B3">
        <w:rPr>
          <w:sz w:val="22"/>
          <w:szCs w:val="22"/>
        </w:rPr>
        <w:t>rmakodynamický účinok rivaroxabá</w:t>
      </w:r>
      <w:r>
        <w:rPr>
          <w:sz w:val="22"/>
          <w:szCs w:val="22"/>
        </w:rPr>
        <w:t xml:space="preserve">nu alebo špecifickej prokoagulačnej reverznej látky, ako je koncentrát protrombínového komplexu (PCC), aktivovaný koncentrát protrombínového komplexu (APCC) alebo rekombinantný faktor VIIa (r-FVIIa). </w:t>
      </w:r>
      <w:r w:rsidR="0008261D" w:rsidRPr="005B3B88">
        <w:rPr>
          <w:sz w:val="22"/>
          <w:szCs w:val="22"/>
        </w:rPr>
        <w:t xml:space="preserve">V súčasnosti sú však veľmi obmedzené klinické skúsenosti s použitím týchto liekov u pacientov, ktorí užívajú </w:t>
      </w:r>
      <w:r w:rsidR="000379AB" w:rsidRPr="005B3B88">
        <w:rPr>
          <w:sz w:val="22"/>
          <w:szCs w:val="22"/>
        </w:rPr>
        <w:t>rivaroxabán</w:t>
      </w:r>
      <w:r w:rsidR="0008261D" w:rsidRPr="005B3B88">
        <w:rPr>
          <w:sz w:val="22"/>
          <w:szCs w:val="22"/>
        </w:rPr>
        <w:t xml:space="preserve">. Odporúčania sa zakladajú aj na obmedzených predklinických údajoch. Možno zvážiť opakované podávanie rekombinantného faktora VIIa a titrovať ho v závislosti od zlepšovania krvácania. </w:t>
      </w:r>
    </w:p>
    <w:p w14:paraId="72D54413" w14:textId="77777777" w:rsidR="0008261D" w:rsidRPr="005B3B88" w:rsidRDefault="0008261D" w:rsidP="00B20146">
      <w:pPr>
        <w:pStyle w:val="Default"/>
        <w:rPr>
          <w:sz w:val="22"/>
          <w:szCs w:val="22"/>
        </w:rPr>
      </w:pPr>
      <w:r w:rsidRPr="005B3B88">
        <w:rPr>
          <w:sz w:val="22"/>
          <w:szCs w:val="22"/>
        </w:rPr>
        <w:t xml:space="preserve">V prípade závažného krvácania </w:t>
      </w:r>
      <w:r w:rsidR="00D4488F" w:rsidRPr="005B3B88">
        <w:rPr>
          <w:sz w:val="22"/>
          <w:szCs w:val="22"/>
        </w:rPr>
        <w:t>sa má</w:t>
      </w:r>
      <w:r w:rsidRPr="005B3B88">
        <w:rPr>
          <w:sz w:val="22"/>
          <w:szCs w:val="22"/>
        </w:rPr>
        <w:t xml:space="preserve"> podľa </w:t>
      </w:r>
      <w:r w:rsidR="00D4488F" w:rsidRPr="005B3B88">
        <w:rPr>
          <w:sz w:val="22"/>
          <w:szCs w:val="22"/>
        </w:rPr>
        <w:t>lokálnej dostupnosti</w:t>
      </w:r>
      <w:r w:rsidRPr="005B3B88">
        <w:rPr>
          <w:sz w:val="22"/>
          <w:szCs w:val="22"/>
        </w:rPr>
        <w:t xml:space="preserve"> zvážiť konzultáci</w:t>
      </w:r>
      <w:r w:rsidR="00D4488F" w:rsidRPr="005B3B88">
        <w:rPr>
          <w:sz w:val="22"/>
          <w:szCs w:val="22"/>
        </w:rPr>
        <w:t>a</w:t>
      </w:r>
      <w:r w:rsidRPr="005B3B88">
        <w:rPr>
          <w:sz w:val="22"/>
          <w:szCs w:val="22"/>
        </w:rPr>
        <w:t xml:space="preserve"> s odborníkom na koaguláciu (pozri časť 5.1). </w:t>
      </w:r>
    </w:p>
    <w:p w14:paraId="7AA18529" w14:textId="77777777" w:rsidR="0008261D" w:rsidRPr="005B3B88" w:rsidRDefault="0008261D" w:rsidP="00B20146">
      <w:pPr>
        <w:pStyle w:val="Default"/>
        <w:rPr>
          <w:sz w:val="22"/>
          <w:szCs w:val="22"/>
        </w:rPr>
      </w:pPr>
    </w:p>
    <w:p w14:paraId="217E6444" w14:textId="095CC3B4" w:rsidR="007D313F" w:rsidRPr="005B3B88" w:rsidRDefault="0008261D" w:rsidP="00B20146">
      <w:pPr>
        <w:tabs>
          <w:tab w:val="left" w:pos="567"/>
        </w:tabs>
        <w:spacing w:after="0" w:line="240" w:lineRule="auto"/>
        <w:rPr>
          <w:rFonts w:ascii="Times New Roman" w:hAnsi="Times New Roman" w:cs="Times New Roman"/>
        </w:rPr>
      </w:pPr>
      <w:r w:rsidRPr="005B3B88">
        <w:rPr>
          <w:rFonts w:ascii="Times New Roman" w:hAnsi="Times New Roman" w:cs="Times New Roman"/>
        </w:rPr>
        <w:t>Nepredpokladá sa, že by protamínium</w:t>
      </w:r>
      <w:r w:rsidR="00CD43A8">
        <w:rPr>
          <w:rFonts w:ascii="Times New Roman" w:hAnsi="Times New Roman" w:cs="Times New Roman"/>
        </w:rPr>
        <w:t>-</w:t>
      </w:r>
      <w:r w:rsidRPr="005B3B88">
        <w:rPr>
          <w:rFonts w:ascii="Times New Roman" w:hAnsi="Times New Roman" w:cs="Times New Roman"/>
        </w:rPr>
        <w:t xml:space="preserve">sulfát a vitamín K ovplyvňovali antikoagulačnú aktivitu </w:t>
      </w:r>
      <w:r w:rsidR="000379AB" w:rsidRPr="005B3B88">
        <w:rPr>
          <w:rFonts w:ascii="Times New Roman" w:hAnsi="Times New Roman" w:cs="Times New Roman"/>
        </w:rPr>
        <w:t>rivaroxabán</w:t>
      </w:r>
      <w:r w:rsidRPr="005B3B88">
        <w:rPr>
          <w:rFonts w:ascii="Times New Roman" w:hAnsi="Times New Roman" w:cs="Times New Roman"/>
        </w:rPr>
        <w:t xml:space="preserve">u. U </w:t>
      </w:r>
      <w:r w:rsidR="00CD43A8">
        <w:rPr>
          <w:rFonts w:ascii="Times New Roman" w:hAnsi="Times New Roman" w:cs="Times New Roman"/>
        </w:rPr>
        <w:t>osôb</w:t>
      </w:r>
      <w:r w:rsidR="00CD43A8" w:rsidRPr="005B3B88">
        <w:rPr>
          <w:rFonts w:ascii="Times New Roman" w:hAnsi="Times New Roman" w:cs="Times New Roman"/>
        </w:rPr>
        <w:t xml:space="preserve"> </w:t>
      </w:r>
      <w:r w:rsidRPr="005B3B88">
        <w:rPr>
          <w:rFonts w:ascii="Times New Roman" w:hAnsi="Times New Roman" w:cs="Times New Roman"/>
        </w:rPr>
        <w:t xml:space="preserve">užívajúcich </w:t>
      </w:r>
      <w:r w:rsidR="000379AB" w:rsidRPr="005B3B88">
        <w:rPr>
          <w:rFonts w:ascii="Times New Roman" w:hAnsi="Times New Roman" w:cs="Times New Roman"/>
        </w:rPr>
        <w:t>rivaroxabán</w:t>
      </w:r>
      <w:r w:rsidRPr="005B3B88">
        <w:rPr>
          <w:rFonts w:ascii="Times New Roman" w:hAnsi="Times New Roman" w:cs="Times New Roman"/>
        </w:rPr>
        <w:t xml:space="preserve"> sú len obmedzené skúsenosti s používaním kyseliny tranex</w:t>
      </w:r>
      <w:r w:rsidR="00D4488F" w:rsidRPr="005B3B88">
        <w:rPr>
          <w:rFonts w:ascii="Times New Roman" w:hAnsi="Times New Roman" w:cs="Times New Roman"/>
        </w:rPr>
        <w:t>á</w:t>
      </w:r>
      <w:r w:rsidRPr="005B3B88">
        <w:rPr>
          <w:rFonts w:ascii="Times New Roman" w:hAnsi="Times New Roman" w:cs="Times New Roman"/>
        </w:rPr>
        <w:t>movej a nie sú žiadne skúsenosti s kyselinou aminokaprónovou a aprotinínom. Neexistujú žiadne vedecké zdôvodnenia prínosu ani skúsenosti s použitím systémového hemostatika de</w:t>
      </w:r>
      <w:r w:rsidR="00CD43A8">
        <w:rPr>
          <w:rFonts w:ascii="Times New Roman" w:hAnsi="Times New Roman" w:cs="Times New Roman"/>
        </w:rPr>
        <w:t>z</w:t>
      </w:r>
      <w:r w:rsidRPr="005B3B88">
        <w:rPr>
          <w:rFonts w:ascii="Times New Roman" w:hAnsi="Times New Roman" w:cs="Times New Roman"/>
        </w:rPr>
        <w:t xml:space="preserve">mopresínu u </w:t>
      </w:r>
      <w:r w:rsidR="00CD43A8">
        <w:rPr>
          <w:rFonts w:ascii="Times New Roman" w:hAnsi="Times New Roman" w:cs="Times New Roman"/>
        </w:rPr>
        <w:t>osôb</w:t>
      </w:r>
      <w:r w:rsidRPr="005B3B88">
        <w:rPr>
          <w:rFonts w:ascii="Times New Roman" w:hAnsi="Times New Roman" w:cs="Times New Roman"/>
        </w:rPr>
        <w:t xml:space="preserve"> užívajúcich </w:t>
      </w:r>
      <w:r w:rsidR="000379AB" w:rsidRPr="005B3B88">
        <w:rPr>
          <w:rFonts w:ascii="Times New Roman" w:hAnsi="Times New Roman" w:cs="Times New Roman"/>
        </w:rPr>
        <w:t>rivaroxabán</w:t>
      </w:r>
      <w:r w:rsidRPr="005B3B88">
        <w:rPr>
          <w:rFonts w:ascii="Times New Roman" w:hAnsi="Times New Roman" w:cs="Times New Roman"/>
        </w:rPr>
        <w:t>. V dôsledku vysokej väzbovosti rivoroxab</w:t>
      </w:r>
      <w:r w:rsidR="00C0569A" w:rsidRPr="005B3B88">
        <w:rPr>
          <w:rFonts w:ascii="Times New Roman" w:hAnsi="Times New Roman" w:cs="Times New Roman"/>
        </w:rPr>
        <w:t>á</w:t>
      </w:r>
      <w:r w:rsidRPr="005B3B88">
        <w:rPr>
          <w:rFonts w:ascii="Times New Roman" w:hAnsi="Times New Roman" w:cs="Times New Roman"/>
        </w:rPr>
        <w:t>nu na plazmatické bielkoviny sa nepredpokladá, že je dialyzovateľný.</w:t>
      </w:r>
    </w:p>
    <w:p w14:paraId="08D94D9D" w14:textId="77777777" w:rsidR="00F23F15" w:rsidRPr="005B3B88" w:rsidRDefault="00F23F15" w:rsidP="00C444B8">
      <w:pPr>
        <w:tabs>
          <w:tab w:val="left" w:pos="567"/>
        </w:tabs>
        <w:spacing w:after="0" w:line="240" w:lineRule="auto"/>
        <w:rPr>
          <w:rFonts w:ascii="Times New Roman" w:hAnsi="Times New Roman" w:cs="Times New Roman"/>
        </w:rPr>
      </w:pPr>
    </w:p>
    <w:p w14:paraId="13832966" w14:textId="77777777" w:rsidR="00FC32FA" w:rsidRPr="005B3B88" w:rsidRDefault="00FC32FA" w:rsidP="00C444B8">
      <w:pPr>
        <w:tabs>
          <w:tab w:val="left" w:pos="567"/>
        </w:tabs>
        <w:spacing w:after="0" w:line="240" w:lineRule="auto"/>
        <w:rPr>
          <w:rFonts w:ascii="Times New Roman" w:hAnsi="Times New Roman" w:cs="Times New Roman"/>
        </w:rPr>
      </w:pPr>
    </w:p>
    <w:p w14:paraId="29D7EBB9" w14:textId="77777777" w:rsidR="0008261D" w:rsidRPr="005B3B88" w:rsidRDefault="0008261D" w:rsidP="001E6170">
      <w:pPr>
        <w:pStyle w:val="Default"/>
        <w:tabs>
          <w:tab w:val="left" w:pos="567"/>
        </w:tabs>
        <w:rPr>
          <w:b/>
          <w:bCs/>
          <w:sz w:val="22"/>
          <w:szCs w:val="22"/>
        </w:rPr>
      </w:pPr>
      <w:r w:rsidRPr="00205E72">
        <w:rPr>
          <w:b/>
          <w:bCs/>
          <w:sz w:val="22"/>
          <w:szCs w:val="22"/>
        </w:rPr>
        <w:t>5.</w:t>
      </w:r>
      <w:r w:rsidR="00FC32FA" w:rsidRPr="00205E72">
        <w:rPr>
          <w:b/>
          <w:bCs/>
          <w:sz w:val="22"/>
          <w:szCs w:val="22"/>
        </w:rPr>
        <w:tab/>
      </w:r>
      <w:r w:rsidRPr="00205E72">
        <w:rPr>
          <w:b/>
          <w:bCs/>
          <w:sz w:val="22"/>
          <w:szCs w:val="22"/>
        </w:rPr>
        <w:t>FARMAKOLOGICKÉ VLASTNOSTI</w:t>
      </w:r>
      <w:r w:rsidRPr="005B3B88">
        <w:rPr>
          <w:b/>
          <w:bCs/>
          <w:sz w:val="22"/>
          <w:szCs w:val="22"/>
        </w:rPr>
        <w:t xml:space="preserve"> </w:t>
      </w:r>
    </w:p>
    <w:p w14:paraId="5B7ADE7D" w14:textId="77777777" w:rsidR="0008261D" w:rsidRPr="005B3B88" w:rsidRDefault="0008261D" w:rsidP="00B20146">
      <w:pPr>
        <w:pStyle w:val="Default"/>
        <w:rPr>
          <w:sz w:val="22"/>
          <w:szCs w:val="22"/>
        </w:rPr>
      </w:pPr>
    </w:p>
    <w:p w14:paraId="13B649CA" w14:textId="77777777" w:rsidR="0008261D" w:rsidRPr="005B3B88" w:rsidRDefault="0008261D" w:rsidP="00B20146">
      <w:pPr>
        <w:pStyle w:val="Default"/>
        <w:tabs>
          <w:tab w:val="left" w:pos="567"/>
        </w:tabs>
        <w:rPr>
          <w:b/>
          <w:bCs/>
          <w:sz w:val="22"/>
          <w:szCs w:val="22"/>
        </w:rPr>
      </w:pPr>
      <w:r w:rsidRPr="005B3B88">
        <w:rPr>
          <w:b/>
          <w:bCs/>
          <w:sz w:val="22"/>
          <w:szCs w:val="22"/>
        </w:rPr>
        <w:t>5.1</w:t>
      </w:r>
      <w:r w:rsidR="00FC32FA" w:rsidRPr="005B3B88">
        <w:rPr>
          <w:b/>
          <w:bCs/>
          <w:sz w:val="22"/>
          <w:szCs w:val="22"/>
        </w:rPr>
        <w:tab/>
      </w:r>
      <w:r w:rsidRPr="005B3B88">
        <w:rPr>
          <w:b/>
          <w:bCs/>
          <w:sz w:val="22"/>
          <w:szCs w:val="22"/>
        </w:rPr>
        <w:t xml:space="preserve">Farmakodynamické vlastnosti </w:t>
      </w:r>
    </w:p>
    <w:p w14:paraId="53397ED5" w14:textId="77777777" w:rsidR="0008261D" w:rsidRPr="005B3B88" w:rsidRDefault="0008261D" w:rsidP="00B20146">
      <w:pPr>
        <w:pStyle w:val="Default"/>
        <w:rPr>
          <w:sz w:val="22"/>
          <w:szCs w:val="22"/>
        </w:rPr>
      </w:pPr>
    </w:p>
    <w:p w14:paraId="5FC390E9" w14:textId="77777777" w:rsidR="0008261D" w:rsidRPr="005B3B88" w:rsidRDefault="0008261D" w:rsidP="00B20146">
      <w:pPr>
        <w:tabs>
          <w:tab w:val="left" w:pos="567"/>
        </w:tabs>
        <w:rPr>
          <w:rFonts w:ascii="Times New Roman" w:hAnsi="Times New Roman" w:cs="Times New Roman"/>
        </w:rPr>
      </w:pPr>
      <w:r w:rsidRPr="005B3B88">
        <w:rPr>
          <w:rFonts w:ascii="Times New Roman" w:hAnsi="Times New Roman" w:cs="Times New Roman"/>
        </w:rPr>
        <w:t>Farmakoterapeutická skupina: Antitrombotiká, priame inhibítory faktora Xa, ATC kód: B01AF01</w:t>
      </w:r>
    </w:p>
    <w:p w14:paraId="6C9B2B2F" w14:textId="77777777" w:rsidR="0008261D" w:rsidRPr="005B3B88" w:rsidRDefault="0008261D" w:rsidP="00B20146">
      <w:pPr>
        <w:pStyle w:val="Default"/>
        <w:rPr>
          <w:sz w:val="22"/>
          <w:szCs w:val="22"/>
          <w:u w:val="single"/>
        </w:rPr>
      </w:pPr>
      <w:r w:rsidRPr="000B13FF">
        <w:rPr>
          <w:sz w:val="22"/>
          <w:szCs w:val="22"/>
          <w:u w:val="single"/>
        </w:rPr>
        <w:t>Mechanizmus účinku</w:t>
      </w:r>
      <w:r w:rsidRPr="005B3B88">
        <w:rPr>
          <w:sz w:val="22"/>
          <w:szCs w:val="22"/>
          <w:u w:val="single"/>
        </w:rPr>
        <w:t xml:space="preserve"> </w:t>
      </w:r>
    </w:p>
    <w:p w14:paraId="17D4A389" w14:textId="46CC7CF9" w:rsidR="0008261D" w:rsidRPr="005B3B88" w:rsidRDefault="000379AB" w:rsidP="00B20146">
      <w:pPr>
        <w:pStyle w:val="Default"/>
        <w:rPr>
          <w:sz w:val="22"/>
          <w:szCs w:val="22"/>
        </w:rPr>
      </w:pPr>
      <w:r w:rsidRPr="005B3B88">
        <w:rPr>
          <w:sz w:val="22"/>
          <w:szCs w:val="22"/>
        </w:rPr>
        <w:t>Rivaroxabán</w:t>
      </w:r>
      <w:r w:rsidR="0008261D" w:rsidRPr="005B3B88">
        <w:rPr>
          <w:sz w:val="22"/>
          <w:szCs w:val="22"/>
        </w:rPr>
        <w:t xml:space="preserve"> je vysokoselektívny</w:t>
      </w:r>
      <w:r w:rsidR="00ED62E8">
        <w:rPr>
          <w:sz w:val="22"/>
          <w:szCs w:val="22"/>
        </w:rPr>
        <w:t>,</w:t>
      </w:r>
      <w:r w:rsidR="0008261D" w:rsidRPr="005B3B88">
        <w:rPr>
          <w:sz w:val="22"/>
          <w:szCs w:val="22"/>
        </w:rPr>
        <w:t xml:space="preserve"> priamy inhibítor faktora Xa s perorálnou biologickou dostupnosťou. </w:t>
      </w:r>
    </w:p>
    <w:p w14:paraId="5392832E" w14:textId="77777777" w:rsidR="0008261D" w:rsidRPr="005B3B88" w:rsidRDefault="0008261D" w:rsidP="00C444B8">
      <w:pPr>
        <w:tabs>
          <w:tab w:val="left" w:pos="567"/>
        </w:tabs>
        <w:spacing w:after="0" w:line="240" w:lineRule="auto"/>
        <w:rPr>
          <w:rFonts w:ascii="Times New Roman" w:hAnsi="Times New Roman" w:cs="Times New Roman"/>
        </w:rPr>
      </w:pPr>
      <w:r w:rsidRPr="005B3B88">
        <w:rPr>
          <w:rFonts w:ascii="Times New Roman" w:hAnsi="Times New Roman" w:cs="Times New Roman"/>
        </w:rPr>
        <w:t>Inhibíciou faktora Xa sa preruší vnútorná a vonkajšia cesta kaskády zrážania krvi, čím sa inhibuje tvorba trombínu aj vznik tromb</w:t>
      </w:r>
      <w:r w:rsidR="006B501E" w:rsidRPr="005B3B88">
        <w:rPr>
          <w:rFonts w:ascii="Times New Roman" w:hAnsi="Times New Roman" w:cs="Times New Roman"/>
        </w:rPr>
        <w:t>ov</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neinhibuje trombín (aktivovaný faktor II) a nedokázali sa žiadne účinky na trombocyty.</w:t>
      </w:r>
    </w:p>
    <w:p w14:paraId="36BF4F55" w14:textId="77777777" w:rsidR="00C0569A" w:rsidRPr="005B3B88" w:rsidRDefault="00C0569A" w:rsidP="001E6170">
      <w:pPr>
        <w:pStyle w:val="Default"/>
        <w:rPr>
          <w:sz w:val="22"/>
          <w:szCs w:val="22"/>
          <w:u w:val="single"/>
        </w:rPr>
      </w:pPr>
    </w:p>
    <w:p w14:paraId="64533EA0" w14:textId="77777777" w:rsidR="0008261D" w:rsidRPr="005B3B88" w:rsidRDefault="0008261D" w:rsidP="00B20146">
      <w:pPr>
        <w:pStyle w:val="Default"/>
        <w:rPr>
          <w:sz w:val="22"/>
          <w:szCs w:val="22"/>
          <w:u w:val="single"/>
        </w:rPr>
      </w:pPr>
      <w:r w:rsidRPr="007213C2">
        <w:rPr>
          <w:sz w:val="22"/>
          <w:szCs w:val="22"/>
          <w:u w:val="single"/>
        </w:rPr>
        <w:t>Farmakodynamické účinky</w:t>
      </w:r>
      <w:r w:rsidRPr="005B3B88">
        <w:rPr>
          <w:sz w:val="22"/>
          <w:szCs w:val="22"/>
          <w:u w:val="single"/>
        </w:rPr>
        <w:t xml:space="preserve"> </w:t>
      </w:r>
    </w:p>
    <w:p w14:paraId="68967CA7" w14:textId="5C6E6411" w:rsidR="0008261D" w:rsidRPr="005B3B88" w:rsidRDefault="0008261D" w:rsidP="00B20146">
      <w:pPr>
        <w:pStyle w:val="Default"/>
        <w:rPr>
          <w:sz w:val="22"/>
          <w:szCs w:val="22"/>
        </w:rPr>
      </w:pPr>
      <w:r w:rsidRPr="005B3B88">
        <w:rPr>
          <w:sz w:val="22"/>
          <w:szCs w:val="22"/>
        </w:rPr>
        <w:t xml:space="preserve">U ľudí sa pozorovala inhibícia aktivity faktora Xa závislá od dávky. </w:t>
      </w:r>
      <w:r w:rsidR="000379AB" w:rsidRPr="005B3B88">
        <w:rPr>
          <w:sz w:val="22"/>
          <w:szCs w:val="22"/>
        </w:rPr>
        <w:t>Rivaroxabán</w:t>
      </w:r>
      <w:r w:rsidRPr="005B3B88">
        <w:rPr>
          <w:sz w:val="22"/>
          <w:szCs w:val="22"/>
        </w:rPr>
        <w:t xml:space="preserve"> ovplyvňuje protrombínový čas (PT) spôsobom závislým od dávky v značnej korelácii s plazmatickými koncentráciami (r hodnota sa rovná 0,98)</w:t>
      </w:r>
      <w:r w:rsidR="007961C3">
        <w:rPr>
          <w:sz w:val="22"/>
          <w:szCs w:val="22"/>
        </w:rPr>
        <w:t>,</w:t>
      </w:r>
      <w:r w:rsidRPr="005B3B88">
        <w:rPr>
          <w:sz w:val="22"/>
          <w:szCs w:val="22"/>
        </w:rPr>
        <w:t xml:space="preserve"> ak sa na analýzu použije Neoplastin. Iné reagenciá by poskytli odlišné výsledky. </w:t>
      </w:r>
    </w:p>
    <w:p w14:paraId="70390E86" w14:textId="77777777" w:rsidR="000B13FF" w:rsidRPr="005B3B88" w:rsidRDefault="0008261D" w:rsidP="00B20146">
      <w:pPr>
        <w:pStyle w:val="Default"/>
        <w:rPr>
          <w:sz w:val="22"/>
          <w:szCs w:val="22"/>
        </w:rPr>
      </w:pPr>
      <w:r w:rsidRPr="005B3B88">
        <w:rPr>
          <w:sz w:val="22"/>
          <w:szCs w:val="22"/>
        </w:rPr>
        <w:t xml:space="preserve">Hodnota PT sa má vyjadriť v sekundách, pretože INR je kalibrovaný a validovaný len pre kumaríny a nie je možné ho použiť pre žiadne iné antikoagulancium. </w:t>
      </w:r>
    </w:p>
    <w:p w14:paraId="57EF0E2F" w14:textId="78046B14" w:rsidR="0008261D" w:rsidRPr="005B3B88" w:rsidRDefault="0008261D" w:rsidP="00B20146">
      <w:pPr>
        <w:pStyle w:val="Default"/>
        <w:rPr>
          <w:sz w:val="22"/>
          <w:szCs w:val="22"/>
        </w:rPr>
      </w:pPr>
      <w:r w:rsidRPr="005B3B88">
        <w:rPr>
          <w:sz w:val="22"/>
          <w:szCs w:val="22"/>
        </w:rPr>
        <w:t>V klinickom farmakologickom skúšaní reverzi</w:t>
      </w:r>
      <w:r w:rsidR="002C5680" w:rsidRPr="005B3B88">
        <w:rPr>
          <w:sz w:val="22"/>
          <w:szCs w:val="22"/>
        </w:rPr>
        <w:t>e</w:t>
      </w:r>
      <w:r w:rsidRPr="005B3B88">
        <w:rPr>
          <w:sz w:val="22"/>
          <w:szCs w:val="22"/>
        </w:rPr>
        <w:t xml:space="preserve"> farmakodynamiky </w:t>
      </w:r>
      <w:r w:rsidR="000379AB" w:rsidRPr="005B3B88">
        <w:rPr>
          <w:sz w:val="22"/>
          <w:szCs w:val="22"/>
        </w:rPr>
        <w:t>rivaroxabán</w:t>
      </w:r>
      <w:r w:rsidRPr="005B3B88">
        <w:rPr>
          <w:sz w:val="22"/>
          <w:szCs w:val="22"/>
        </w:rPr>
        <w:t>u boli u dospelých zdravých osôb (n=22) hodnotené účinky jednor</w:t>
      </w:r>
      <w:r w:rsidR="00D97C2D" w:rsidRPr="005B3B88">
        <w:rPr>
          <w:sz w:val="22"/>
          <w:szCs w:val="22"/>
        </w:rPr>
        <w:t>a</w:t>
      </w:r>
      <w:r w:rsidRPr="005B3B88">
        <w:rPr>
          <w:sz w:val="22"/>
          <w:szCs w:val="22"/>
        </w:rPr>
        <w:t xml:space="preserve">zových dávok (50 IU/kg) </w:t>
      </w:r>
      <w:r w:rsidR="009E1B87">
        <w:rPr>
          <w:sz w:val="22"/>
          <w:szCs w:val="22"/>
        </w:rPr>
        <w:t>pre</w:t>
      </w:r>
      <w:r w:rsidRPr="005B3B88">
        <w:rPr>
          <w:sz w:val="22"/>
          <w:szCs w:val="22"/>
        </w:rPr>
        <w:t xml:space="preserve"> dv</w:t>
      </w:r>
      <w:r w:rsidR="009E1B87">
        <w:rPr>
          <w:sz w:val="22"/>
          <w:szCs w:val="22"/>
        </w:rPr>
        <w:t>a</w:t>
      </w:r>
      <w:r w:rsidRPr="005B3B88">
        <w:rPr>
          <w:sz w:val="22"/>
          <w:szCs w:val="22"/>
        </w:rPr>
        <w:t xml:space="preserve"> rozdieln</w:t>
      </w:r>
      <w:r w:rsidR="009E1B87">
        <w:rPr>
          <w:sz w:val="22"/>
          <w:szCs w:val="22"/>
        </w:rPr>
        <w:t>e</w:t>
      </w:r>
      <w:r w:rsidRPr="005B3B88">
        <w:rPr>
          <w:sz w:val="22"/>
          <w:szCs w:val="22"/>
        </w:rPr>
        <w:t xml:space="preserve"> typ</w:t>
      </w:r>
      <w:r w:rsidR="009E1B87">
        <w:rPr>
          <w:sz w:val="22"/>
          <w:szCs w:val="22"/>
        </w:rPr>
        <w:t>y</w:t>
      </w:r>
      <w:r w:rsidRPr="005B3B88">
        <w:rPr>
          <w:sz w:val="22"/>
          <w:szCs w:val="22"/>
        </w:rPr>
        <w:t xml:space="preserve"> koncentrátov protrombínového komplexu (PCC), trojfaktorového PCC (Faktory II, IX a X) a štvorfaktorového PCC (Faktory II, VII,</w:t>
      </w:r>
      <w:r w:rsidR="007961C3">
        <w:rPr>
          <w:sz w:val="22"/>
          <w:szCs w:val="22"/>
        </w:rPr>
        <w:t xml:space="preserve"> </w:t>
      </w:r>
      <w:r w:rsidRPr="005B3B88">
        <w:rPr>
          <w:sz w:val="22"/>
          <w:szCs w:val="22"/>
        </w:rPr>
        <w:t>IX a X). Trojfaktorový PCC znižoval stredné hodnoty PT Neoplast</w:t>
      </w:r>
      <w:r w:rsidR="0066397A" w:rsidRPr="005B3B88">
        <w:rPr>
          <w:sz w:val="22"/>
          <w:szCs w:val="22"/>
        </w:rPr>
        <w:t>i</w:t>
      </w:r>
      <w:r w:rsidRPr="005B3B88">
        <w:rPr>
          <w:sz w:val="22"/>
          <w:szCs w:val="22"/>
        </w:rPr>
        <w:t xml:space="preserve">nu o približne 1 sekundu počas 30 minút v porovnaní so znížením o približne 3,5 sekundy pozorovaným </w:t>
      </w:r>
      <w:r w:rsidR="007961C3">
        <w:rPr>
          <w:sz w:val="22"/>
          <w:szCs w:val="22"/>
        </w:rPr>
        <w:t>pri</w:t>
      </w:r>
      <w:r w:rsidRPr="005B3B88">
        <w:rPr>
          <w:sz w:val="22"/>
          <w:szCs w:val="22"/>
        </w:rPr>
        <w:t xml:space="preserve"> štvorfaktorov</w:t>
      </w:r>
      <w:r w:rsidR="007961C3">
        <w:rPr>
          <w:sz w:val="22"/>
          <w:szCs w:val="22"/>
        </w:rPr>
        <w:t>om</w:t>
      </w:r>
      <w:r w:rsidRPr="005B3B88">
        <w:rPr>
          <w:sz w:val="22"/>
          <w:szCs w:val="22"/>
        </w:rPr>
        <w:t xml:space="preserve"> PCC. Naopak, celkový vplyv na reverzné zmeny tvorby endogénneho trombínu bol výraznejší a rýchlejší </w:t>
      </w:r>
      <w:r w:rsidR="007961C3">
        <w:rPr>
          <w:sz w:val="22"/>
          <w:szCs w:val="22"/>
        </w:rPr>
        <w:t>pri</w:t>
      </w:r>
      <w:r w:rsidRPr="005B3B88">
        <w:rPr>
          <w:sz w:val="22"/>
          <w:szCs w:val="22"/>
        </w:rPr>
        <w:t xml:space="preserve"> trojfaktorov</w:t>
      </w:r>
      <w:r w:rsidR="007961C3">
        <w:rPr>
          <w:sz w:val="22"/>
          <w:szCs w:val="22"/>
        </w:rPr>
        <w:t>om</w:t>
      </w:r>
      <w:r w:rsidRPr="005B3B88">
        <w:rPr>
          <w:sz w:val="22"/>
          <w:szCs w:val="22"/>
        </w:rPr>
        <w:t xml:space="preserve"> PCC ako </w:t>
      </w:r>
      <w:r w:rsidR="007961C3">
        <w:rPr>
          <w:sz w:val="22"/>
          <w:szCs w:val="22"/>
        </w:rPr>
        <w:t>pri</w:t>
      </w:r>
      <w:r w:rsidRPr="005B3B88">
        <w:rPr>
          <w:sz w:val="22"/>
          <w:szCs w:val="22"/>
        </w:rPr>
        <w:t xml:space="preserve"> štvorfaktorov</w:t>
      </w:r>
      <w:r w:rsidR="007961C3">
        <w:rPr>
          <w:sz w:val="22"/>
          <w:szCs w:val="22"/>
        </w:rPr>
        <w:t>om</w:t>
      </w:r>
      <w:r w:rsidRPr="005B3B88">
        <w:rPr>
          <w:sz w:val="22"/>
          <w:szCs w:val="22"/>
        </w:rPr>
        <w:t xml:space="preserve"> PCC (pozri časť 4.9). </w:t>
      </w:r>
    </w:p>
    <w:p w14:paraId="0900034F" w14:textId="77777777" w:rsidR="0008261D" w:rsidRPr="005B3B88" w:rsidRDefault="0008261D" w:rsidP="00B20146">
      <w:pPr>
        <w:pStyle w:val="Default"/>
        <w:rPr>
          <w:sz w:val="22"/>
          <w:szCs w:val="22"/>
        </w:rPr>
      </w:pPr>
      <w:r w:rsidRPr="005B3B88">
        <w:rPr>
          <w:sz w:val="22"/>
          <w:szCs w:val="22"/>
        </w:rPr>
        <w:lastRenderedPageBreak/>
        <w:t xml:space="preserve">Aktivovaný parciálny tromboplastínový čas (aPTT) a HepTest sú tiež predĺžené v závislosti od dávky. Neodporúčajú sa však na hodnotenie farmakodynamického účinku </w:t>
      </w:r>
      <w:r w:rsidR="000379AB" w:rsidRPr="005B3B88">
        <w:rPr>
          <w:sz w:val="22"/>
          <w:szCs w:val="22"/>
        </w:rPr>
        <w:t>rivaroxabán</w:t>
      </w:r>
      <w:r w:rsidRPr="005B3B88">
        <w:rPr>
          <w:sz w:val="22"/>
          <w:szCs w:val="22"/>
        </w:rPr>
        <w:t xml:space="preserve">u. Počas liečby </w:t>
      </w:r>
      <w:r w:rsidR="000379AB" w:rsidRPr="005B3B88">
        <w:rPr>
          <w:sz w:val="22"/>
          <w:szCs w:val="22"/>
        </w:rPr>
        <w:t>rivaroxabán</w:t>
      </w:r>
      <w:r w:rsidRPr="005B3B88">
        <w:rPr>
          <w:sz w:val="22"/>
          <w:szCs w:val="22"/>
        </w:rPr>
        <w:t xml:space="preserve">om nie je potrebné v bežnej klinickej praxi monitorovať parametre zrážavosti. </w:t>
      </w:r>
    </w:p>
    <w:p w14:paraId="608BA632" w14:textId="241FA941" w:rsidR="0008261D" w:rsidRPr="005B3B88" w:rsidRDefault="0008261D" w:rsidP="00B20146">
      <w:pPr>
        <w:pStyle w:val="Default"/>
        <w:rPr>
          <w:sz w:val="22"/>
          <w:szCs w:val="22"/>
        </w:rPr>
      </w:pPr>
      <w:r w:rsidRPr="005B3B88">
        <w:rPr>
          <w:sz w:val="22"/>
          <w:szCs w:val="22"/>
        </w:rPr>
        <w:t xml:space="preserve">Avšak, ak je to klinicky indikované, </w:t>
      </w:r>
      <w:r w:rsidR="007961C3">
        <w:rPr>
          <w:sz w:val="22"/>
          <w:szCs w:val="22"/>
        </w:rPr>
        <w:t>koncentrácie</w:t>
      </w:r>
      <w:r w:rsidR="007961C3" w:rsidRPr="005B3B88">
        <w:rPr>
          <w:sz w:val="22"/>
          <w:szCs w:val="22"/>
        </w:rPr>
        <w:t xml:space="preserve"> </w:t>
      </w:r>
      <w:r w:rsidR="000379AB" w:rsidRPr="005B3B88">
        <w:rPr>
          <w:sz w:val="22"/>
          <w:szCs w:val="22"/>
        </w:rPr>
        <w:t>rivaroxabán</w:t>
      </w:r>
      <w:r w:rsidRPr="005B3B88">
        <w:rPr>
          <w:sz w:val="22"/>
          <w:szCs w:val="22"/>
        </w:rPr>
        <w:t>u sa môžu merať pomocou kalibrovaných kvantitatívnych testov pre antifaktor Xa (pozri časť 5.2).</w:t>
      </w:r>
    </w:p>
    <w:p w14:paraId="6873A45A" w14:textId="77777777" w:rsidR="0008261D" w:rsidRPr="005B3B88" w:rsidRDefault="0008261D" w:rsidP="00B20146">
      <w:pPr>
        <w:pStyle w:val="Default"/>
        <w:rPr>
          <w:sz w:val="22"/>
          <w:szCs w:val="22"/>
        </w:rPr>
      </w:pPr>
    </w:p>
    <w:p w14:paraId="377508E2" w14:textId="77777777" w:rsidR="0008261D" w:rsidRPr="005B3B88" w:rsidRDefault="007A6020" w:rsidP="00B20146">
      <w:pPr>
        <w:pStyle w:val="Default"/>
        <w:rPr>
          <w:sz w:val="22"/>
          <w:szCs w:val="22"/>
          <w:u w:val="single"/>
        </w:rPr>
      </w:pPr>
      <w:r w:rsidRPr="005B3B88">
        <w:rPr>
          <w:sz w:val="22"/>
          <w:szCs w:val="22"/>
          <w:u w:val="single"/>
        </w:rPr>
        <w:t>Klinická účinnosť a bezpečnosť</w:t>
      </w:r>
    </w:p>
    <w:p w14:paraId="1FE28711" w14:textId="77777777" w:rsidR="00F9118F" w:rsidRDefault="00F9118F" w:rsidP="00B20146">
      <w:pPr>
        <w:pStyle w:val="Default"/>
        <w:rPr>
          <w:i/>
          <w:iCs/>
          <w:sz w:val="22"/>
          <w:szCs w:val="22"/>
        </w:rPr>
      </w:pPr>
    </w:p>
    <w:p w14:paraId="50645D28" w14:textId="77777777" w:rsidR="00364C39" w:rsidRDefault="00364C39" w:rsidP="00B20146">
      <w:pPr>
        <w:pStyle w:val="Default"/>
        <w:rPr>
          <w:sz w:val="22"/>
          <w:szCs w:val="22"/>
          <w:u w:val="single"/>
        </w:rPr>
      </w:pPr>
      <w:r>
        <w:rPr>
          <w:i/>
          <w:iCs/>
          <w:sz w:val="22"/>
          <w:szCs w:val="22"/>
        </w:rPr>
        <w:t>ACS</w:t>
      </w:r>
    </w:p>
    <w:p w14:paraId="3556BA66" w14:textId="7580F4F3" w:rsidR="00364C39" w:rsidRDefault="001462B3" w:rsidP="00364C3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Klinický program </w:t>
      </w:r>
      <w:r w:rsidR="00874F44">
        <w:rPr>
          <w:rFonts w:ascii="Times New Roman" w:hAnsi="Times New Roman" w:cs="Times New Roman"/>
          <w:color w:val="000000"/>
        </w:rPr>
        <w:t xml:space="preserve">pre </w:t>
      </w:r>
      <w:r>
        <w:rPr>
          <w:rFonts w:ascii="Times New Roman" w:hAnsi="Times New Roman" w:cs="Times New Roman"/>
          <w:color w:val="000000"/>
        </w:rPr>
        <w:t>rivaroxabá</w:t>
      </w:r>
      <w:r w:rsidR="00364C39" w:rsidRPr="00364C39">
        <w:rPr>
          <w:rFonts w:ascii="Times New Roman" w:hAnsi="Times New Roman" w:cs="Times New Roman"/>
          <w:color w:val="000000"/>
        </w:rPr>
        <w:t xml:space="preserve">n bol navrhnutý tak, aby preukázal účinnosť </w:t>
      </w:r>
      <w:r w:rsidR="00874F44">
        <w:rPr>
          <w:rFonts w:ascii="Times New Roman" w:hAnsi="Times New Roman" w:cs="Times New Roman"/>
        </w:rPr>
        <w:t>rivaroxabánu</w:t>
      </w:r>
      <w:r w:rsidR="00874F44" w:rsidRPr="00364C39">
        <w:rPr>
          <w:rFonts w:ascii="Times New Roman" w:hAnsi="Times New Roman" w:cs="Times New Roman"/>
          <w:color w:val="000000"/>
        </w:rPr>
        <w:t xml:space="preserve"> </w:t>
      </w:r>
      <w:r w:rsidR="00364C39" w:rsidRPr="00364C39">
        <w:rPr>
          <w:rFonts w:ascii="Times New Roman" w:hAnsi="Times New Roman" w:cs="Times New Roman"/>
          <w:color w:val="000000"/>
        </w:rPr>
        <w:t>v prevencii kardiovaskulárnych úmrtí (CV), infarktu myokardu (MI) alebo cievnej mozgovej príhody u pacientov s nedávnym ACS (infarkt myokardu s eleváciou ST-segmentu [STEMI], infarkt myokardu bez elevácie ST-segmentu [NSTEMI] alebo nestabilná ang</w:t>
      </w:r>
      <w:r w:rsidR="00BB37C0">
        <w:rPr>
          <w:rFonts w:ascii="Times New Roman" w:hAnsi="Times New Roman" w:cs="Times New Roman"/>
          <w:color w:val="000000"/>
        </w:rPr>
        <w:t>í</w:t>
      </w:r>
      <w:r w:rsidR="00364C39" w:rsidRPr="00364C39">
        <w:rPr>
          <w:rFonts w:ascii="Times New Roman" w:hAnsi="Times New Roman" w:cs="Times New Roman"/>
          <w:color w:val="000000"/>
        </w:rPr>
        <w:t xml:space="preserve">na [UA]). V pivotnej dvojito-zaslepenej štúdii ATLAS ACS 2 TIMI 51 bolo 15 526 pacientov randomizovaných spôsobom 1:1:1 do jednej z troch skupín: liečba </w:t>
      </w:r>
      <w:r w:rsidR="00BB37C0">
        <w:rPr>
          <w:rFonts w:ascii="Times New Roman" w:hAnsi="Times New Roman" w:cs="Times New Roman"/>
        </w:rPr>
        <w:t>rivaroxabánom</w:t>
      </w:r>
      <w:r w:rsidR="00BB37C0" w:rsidRPr="00364C39">
        <w:rPr>
          <w:rFonts w:ascii="Times New Roman" w:hAnsi="Times New Roman" w:cs="Times New Roman"/>
          <w:color w:val="000000"/>
        </w:rPr>
        <w:t xml:space="preserve"> </w:t>
      </w:r>
      <w:r w:rsidR="00364C39" w:rsidRPr="00364C39">
        <w:rPr>
          <w:rFonts w:ascii="Times New Roman" w:hAnsi="Times New Roman" w:cs="Times New Roman"/>
          <w:color w:val="000000"/>
        </w:rPr>
        <w:t>2,5 mg perorálne dvakrát denne, 5 mg perorálne dvakrát denne alebo placebom dvakrát denne pri sú</w:t>
      </w:r>
      <w:r w:rsidR="00BB37C0">
        <w:rPr>
          <w:rFonts w:ascii="Times New Roman" w:hAnsi="Times New Roman" w:cs="Times New Roman"/>
          <w:color w:val="000000"/>
        </w:rPr>
        <w:t>bežnom</w:t>
      </w:r>
      <w:r w:rsidR="00364C39" w:rsidRPr="00364C39">
        <w:rPr>
          <w:rFonts w:ascii="Times New Roman" w:hAnsi="Times New Roman" w:cs="Times New Roman"/>
          <w:color w:val="000000"/>
        </w:rPr>
        <w:t xml:space="preserve"> podávaní so samotnou ASA alebo ASA plus tienopyridín (klopidogrel alebo tiklopidín). Pacienti s ACS do 55 rokov veku museli mať buď diabetes mellitus alebo prekonaný infarkt myokardu. Medián času liečby bol 13 mesiacov a celkové trvanie liečby bolo až do 3 rokov. 93,2 % pacientov dostávalo ASA sú</w:t>
      </w:r>
      <w:r w:rsidR="00BB37C0">
        <w:rPr>
          <w:rFonts w:ascii="Times New Roman" w:hAnsi="Times New Roman" w:cs="Times New Roman"/>
          <w:color w:val="000000"/>
        </w:rPr>
        <w:t>bežne</w:t>
      </w:r>
      <w:r w:rsidR="00364C39" w:rsidRPr="00364C39">
        <w:rPr>
          <w:rFonts w:ascii="Times New Roman" w:hAnsi="Times New Roman" w:cs="Times New Roman"/>
          <w:color w:val="000000"/>
        </w:rPr>
        <w:t xml:space="preserve"> s liečbou tienopyridínom a 6,8 % dostávalo len ASA. Spomedzi pacientov, ktorí dostávali duálnu antiagregačnú liečbu, 98,8 % dostávalo klopidogrel, 0,9 % dostávalo tiklopidín a 0,3 % dostávalo prasugrel. Pacienti dostávali prvú dávku </w:t>
      </w:r>
      <w:r w:rsidR="00BB37C0">
        <w:rPr>
          <w:rFonts w:ascii="Times New Roman" w:hAnsi="Times New Roman" w:cs="Times New Roman"/>
        </w:rPr>
        <w:t>rivaroxabánu</w:t>
      </w:r>
      <w:r w:rsidR="00BB37C0" w:rsidRPr="00364C39">
        <w:rPr>
          <w:rFonts w:ascii="Times New Roman" w:hAnsi="Times New Roman" w:cs="Times New Roman"/>
          <w:color w:val="000000"/>
        </w:rPr>
        <w:t xml:space="preserve"> </w:t>
      </w:r>
      <w:r w:rsidR="00364C39" w:rsidRPr="00364C39">
        <w:rPr>
          <w:rFonts w:ascii="Times New Roman" w:hAnsi="Times New Roman" w:cs="Times New Roman"/>
          <w:color w:val="000000"/>
        </w:rPr>
        <w:t>minimálne 24 hodín až do 7 dní (priemerne 4,7 dní) po prijatí do nemocnice, ale čo najskôr po stabilizácii príhody ACS, vrátane procedúr revaskularizácie</w:t>
      </w:r>
      <w:r w:rsidR="006A55DB">
        <w:rPr>
          <w:rFonts w:ascii="Times New Roman" w:hAnsi="Times New Roman" w:cs="Times New Roman"/>
          <w:color w:val="000000"/>
        </w:rPr>
        <w:t>,</w:t>
      </w:r>
      <w:r w:rsidR="00364C39" w:rsidRPr="00364C39">
        <w:rPr>
          <w:rFonts w:ascii="Times New Roman" w:hAnsi="Times New Roman" w:cs="Times New Roman"/>
          <w:color w:val="000000"/>
        </w:rPr>
        <w:t xml:space="preserve"> a keď by mala byť parenterálna antikoagulačná liečba obvykle ukončená. </w:t>
      </w:r>
    </w:p>
    <w:p w14:paraId="5B399FFD" w14:textId="77777777" w:rsidR="00027EC1" w:rsidRPr="00364C39" w:rsidRDefault="00027EC1" w:rsidP="00364C39">
      <w:pPr>
        <w:autoSpaceDE w:val="0"/>
        <w:autoSpaceDN w:val="0"/>
        <w:adjustRightInd w:val="0"/>
        <w:spacing w:after="0" w:line="240" w:lineRule="auto"/>
        <w:rPr>
          <w:rFonts w:ascii="Times New Roman" w:hAnsi="Times New Roman" w:cs="Times New Roman"/>
          <w:color w:val="000000"/>
        </w:rPr>
      </w:pPr>
    </w:p>
    <w:p w14:paraId="4CBB8AF2" w14:textId="77777777" w:rsidR="00364C39" w:rsidRDefault="001462B3" w:rsidP="00364C3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Obe schémy užívania rivaroxabá</w:t>
      </w:r>
      <w:r w:rsidR="00364C39" w:rsidRPr="00364C39">
        <w:rPr>
          <w:rFonts w:ascii="Times New Roman" w:hAnsi="Times New Roman" w:cs="Times New Roman"/>
          <w:color w:val="000000"/>
        </w:rPr>
        <w:t>nu, 2,5 mg dvakrát denne a 5 mg dvakrát denne, boli účinné pri ďalšom znižovaní výskytu kardiovaskulárnych príhod na základe štandardnej antiagregačnej starostlivosti. Režim 2,5 mg dvakrát denne znížil mortalitu a existujú dôkazy o nižšom riziku krvácania pri nižšej dávke, a preto sa na prevenciu aterotrombotických príhod u dospelých pacientov po ACS so zvýšenými kardiálnymi biomarkermi, odp</w:t>
      </w:r>
      <w:r>
        <w:rPr>
          <w:rFonts w:ascii="Times New Roman" w:hAnsi="Times New Roman" w:cs="Times New Roman"/>
          <w:color w:val="000000"/>
        </w:rPr>
        <w:t>orúča užívanie 2,5 mg rivaroxabá</w:t>
      </w:r>
      <w:r w:rsidR="00364C39" w:rsidRPr="00364C39">
        <w:rPr>
          <w:rFonts w:ascii="Times New Roman" w:hAnsi="Times New Roman" w:cs="Times New Roman"/>
          <w:color w:val="000000"/>
        </w:rPr>
        <w:t xml:space="preserve">nu dvakrát denne súbežne so samotnou kyselinou acetylsalicylovou (ASA) alebo s ASA plus klopidogrel alebo tiklopidín. </w:t>
      </w:r>
    </w:p>
    <w:p w14:paraId="51CE3E2E" w14:textId="77777777" w:rsidR="00027EC1" w:rsidRPr="00364C39" w:rsidRDefault="00027EC1" w:rsidP="00364C39">
      <w:pPr>
        <w:autoSpaceDE w:val="0"/>
        <w:autoSpaceDN w:val="0"/>
        <w:adjustRightInd w:val="0"/>
        <w:spacing w:after="0" w:line="240" w:lineRule="auto"/>
        <w:rPr>
          <w:rFonts w:ascii="Times New Roman" w:hAnsi="Times New Roman" w:cs="Times New Roman"/>
          <w:color w:val="000000"/>
        </w:rPr>
      </w:pPr>
    </w:p>
    <w:p w14:paraId="70344380" w14:textId="5D1E5B97" w:rsidR="00364C39" w:rsidRDefault="00364C39" w:rsidP="00364C39">
      <w:pPr>
        <w:pStyle w:val="Default"/>
        <w:rPr>
          <w:sz w:val="22"/>
          <w:szCs w:val="22"/>
        </w:rPr>
      </w:pPr>
      <w:r w:rsidRPr="00364C39">
        <w:rPr>
          <w:sz w:val="22"/>
          <w:szCs w:val="22"/>
        </w:rPr>
        <w:t xml:space="preserve">V porovnaní s placebom, </w:t>
      </w:r>
      <w:r w:rsidR="006A55DB">
        <w:rPr>
          <w:sz w:val="22"/>
          <w:szCs w:val="22"/>
        </w:rPr>
        <w:t>rivaroxabán</w:t>
      </w:r>
      <w:r w:rsidR="006A55DB" w:rsidRPr="00364C39">
        <w:rPr>
          <w:sz w:val="22"/>
          <w:szCs w:val="22"/>
        </w:rPr>
        <w:t xml:space="preserve"> </w:t>
      </w:r>
      <w:r w:rsidRPr="00364C39">
        <w:rPr>
          <w:sz w:val="22"/>
          <w:szCs w:val="22"/>
        </w:rPr>
        <w:t>významne znížil primárny z</w:t>
      </w:r>
      <w:r w:rsidR="006A55DB">
        <w:rPr>
          <w:sz w:val="22"/>
          <w:szCs w:val="22"/>
        </w:rPr>
        <w:t>ložený</w:t>
      </w:r>
      <w:r w:rsidRPr="00364C39">
        <w:rPr>
          <w:sz w:val="22"/>
          <w:szCs w:val="22"/>
        </w:rPr>
        <w:t xml:space="preserve"> </w:t>
      </w:r>
      <w:r w:rsidR="006A55DB">
        <w:rPr>
          <w:sz w:val="22"/>
          <w:szCs w:val="22"/>
        </w:rPr>
        <w:t>cieľový</w:t>
      </w:r>
      <w:r w:rsidR="006A55DB" w:rsidRPr="00364C39">
        <w:rPr>
          <w:sz w:val="22"/>
          <w:szCs w:val="22"/>
        </w:rPr>
        <w:t xml:space="preserve"> </w:t>
      </w:r>
      <w:r w:rsidRPr="00364C39">
        <w:rPr>
          <w:sz w:val="22"/>
          <w:szCs w:val="22"/>
        </w:rPr>
        <w:t xml:space="preserve">ukazovateľ (CV) kardiovaskulárneho úmrtia, MI alebo cievnej mozgovej príhody. Prínos sa dosiahol čoskoro, znížením CV úmrtia a MI a dostavil sa konštantný liečebný účinok počas celej doby liečby (pozri </w:t>
      </w:r>
      <w:r w:rsidR="006A55DB">
        <w:rPr>
          <w:sz w:val="22"/>
          <w:szCs w:val="22"/>
        </w:rPr>
        <w:t>t</w:t>
      </w:r>
      <w:r w:rsidRPr="00364C39">
        <w:rPr>
          <w:sz w:val="22"/>
          <w:szCs w:val="22"/>
        </w:rPr>
        <w:t>abuľku 4 a</w:t>
      </w:r>
      <w:r>
        <w:rPr>
          <w:sz w:val="22"/>
          <w:szCs w:val="22"/>
        </w:rPr>
        <w:t> </w:t>
      </w:r>
      <w:r w:rsidRPr="00364C39">
        <w:rPr>
          <w:sz w:val="22"/>
          <w:szCs w:val="22"/>
        </w:rPr>
        <w:t>obrázok</w:t>
      </w:r>
      <w:r>
        <w:rPr>
          <w:sz w:val="22"/>
          <w:szCs w:val="22"/>
        </w:rPr>
        <w:t xml:space="preserve"> </w:t>
      </w:r>
      <w:r w:rsidRPr="00364C39">
        <w:rPr>
          <w:sz w:val="22"/>
          <w:szCs w:val="22"/>
        </w:rPr>
        <w:t xml:space="preserve">1). Významne sa znížil aj prvý sekundárny </w:t>
      </w:r>
      <w:r w:rsidR="006A55DB">
        <w:rPr>
          <w:sz w:val="22"/>
          <w:szCs w:val="22"/>
        </w:rPr>
        <w:t>cieľový</w:t>
      </w:r>
      <w:r w:rsidR="006A55DB" w:rsidRPr="00364C39">
        <w:rPr>
          <w:sz w:val="22"/>
          <w:szCs w:val="22"/>
        </w:rPr>
        <w:t xml:space="preserve"> </w:t>
      </w:r>
      <w:r w:rsidRPr="00364C39">
        <w:rPr>
          <w:sz w:val="22"/>
          <w:szCs w:val="22"/>
        </w:rPr>
        <w:t>ukazovateľ</w:t>
      </w:r>
      <w:r w:rsidR="006A55DB">
        <w:rPr>
          <w:sz w:val="22"/>
          <w:szCs w:val="22"/>
        </w:rPr>
        <w:t xml:space="preserve"> </w:t>
      </w:r>
      <w:r w:rsidRPr="00364C39">
        <w:rPr>
          <w:sz w:val="22"/>
          <w:szCs w:val="22"/>
        </w:rPr>
        <w:t xml:space="preserve">(úmrtie zo všetkých príčin, MI alebo cievna mozgová príhoda). Ďalšia retrospektívna analýza ukázala nominálne významný pokles výskytu stentu trombózy v porovnaní s placebom (pozri </w:t>
      </w:r>
      <w:r w:rsidR="006A55DB">
        <w:rPr>
          <w:sz w:val="22"/>
          <w:szCs w:val="22"/>
        </w:rPr>
        <w:t>t</w:t>
      </w:r>
      <w:r w:rsidRPr="00364C39">
        <w:rPr>
          <w:sz w:val="22"/>
          <w:szCs w:val="22"/>
        </w:rPr>
        <w:t xml:space="preserve">abuľku 4). Miera výskytu základného ukazovateľa bezpečnosti (non-coronary artery bypass graft (CABG) TIMI príhody so závažným krvácaním) bola vyššia u pacientov liečených </w:t>
      </w:r>
      <w:r w:rsidR="006A55DB">
        <w:rPr>
          <w:sz w:val="22"/>
          <w:szCs w:val="22"/>
        </w:rPr>
        <w:t>rivaroxabánom</w:t>
      </w:r>
      <w:r w:rsidR="006A55DB" w:rsidRPr="00364C39">
        <w:rPr>
          <w:sz w:val="22"/>
          <w:szCs w:val="22"/>
        </w:rPr>
        <w:t xml:space="preserve"> </w:t>
      </w:r>
      <w:r w:rsidRPr="00364C39">
        <w:rPr>
          <w:sz w:val="22"/>
          <w:szCs w:val="22"/>
        </w:rPr>
        <w:t xml:space="preserve">v porovnaní s pacientmi, ktorí dostávali placebo (pozri </w:t>
      </w:r>
      <w:r w:rsidR="006A55DB">
        <w:rPr>
          <w:sz w:val="22"/>
          <w:szCs w:val="22"/>
        </w:rPr>
        <w:t>t</w:t>
      </w:r>
      <w:r w:rsidRPr="00364C39">
        <w:rPr>
          <w:sz w:val="22"/>
          <w:szCs w:val="22"/>
        </w:rPr>
        <w:t xml:space="preserve">abuľku 6). Miera výskytu však bola vyvážená medzi </w:t>
      </w:r>
      <w:r w:rsidR="006A55DB">
        <w:rPr>
          <w:sz w:val="22"/>
          <w:szCs w:val="22"/>
        </w:rPr>
        <w:t>rivaroxabánom</w:t>
      </w:r>
      <w:r w:rsidR="006A55DB" w:rsidRPr="00364C39">
        <w:rPr>
          <w:sz w:val="22"/>
          <w:szCs w:val="22"/>
        </w:rPr>
        <w:t xml:space="preserve"> </w:t>
      </w:r>
      <w:r w:rsidRPr="00364C39">
        <w:rPr>
          <w:sz w:val="22"/>
          <w:szCs w:val="22"/>
        </w:rPr>
        <w:t>a placebom v prípadoch jednotlivých fatálnych príhod krvácania, hypotenzie vyžadujúcej liečbu intravenóznymi inotropnými l</w:t>
      </w:r>
      <w:r w:rsidR="006A55DB">
        <w:rPr>
          <w:sz w:val="22"/>
          <w:szCs w:val="22"/>
        </w:rPr>
        <w:t>iečivami</w:t>
      </w:r>
      <w:r w:rsidRPr="00364C39">
        <w:rPr>
          <w:sz w:val="22"/>
          <w:szCs w:val="22"/>
        </w:rPr>
        <w:t xml:space="preserve"> a chirurgickej intervencie pri prebiehajúcom krvácaní. </w:t>
      </w:r>
    </w:p>
    <w:p w14:paraId="200E68B5" w14:textId="77777777" w:rsidR="00BD5DD9" w:rsidRPr="00364C39" w:rsidRDefault="00BD5DD9" w:rsidP="00364C39">
      <w:pPr>
        <w:pStyle w:val="Default"/>
        <w:rPr>
          <w:sz w:val="22"/>
          <w:szCs w:val="22"/>
        </w:rPr>
      </w:pPr>
    </w:p>
    <w:p w14:paraId="63D3AE1C" w14:textId="70AC8619" w:rsidR="00364C39" w:rsidRDefault="00364C39" w:rsidP="00364C39">
      <w:pPr>
        <w:autoSpaceDE w:val="0"/>
        <w:autoSpaceDN w:val="0"/>
        <w:adjustRightInd w:val="0"/>
        <w:spacing w:after="0" w:line="240" w:lineRule="auto"/>
        <w:rPr>
          <w:rFonts w:ascii="Times New Roman" w:hAnsi="Times New Roman" w:cs="Times New Roman"/>
          <w:color w:val="000000"/>
        </w:rPr>
      </w:pPr>
      <w:r w:rsidRPr="00364C39">
        <w:rPr>
          <w:rFonts w:ascii="Times New Roman" w:hAnsi="Times New Roman" w:cs="Times New Roman"/>
          <w:color w:val="000000"/>
        </w:rPr>
        <w:t xml:space="preserve">V </w:t>
      </w:r>
      <w:r w:rsidR="006A55DB">
        <w:rPr>
          <w:rFonts w:ascii="Times New Roman" w:hAnsi="Times New Roman" w:cs="Times New Roman"/>
          <w:color w:val="000000"/>
        </w:rPr>
        <w:t>t</w:t>
      </w:r>
      <w:r w:rsidRPr="00364C39">
        <w:rPr>
          <w:rFonts w:ascii="Times New Roman" w:hAnsi="Times New Roman" w:cs="Times New Roman"/>
          <w:color w:val="000000"/>
        </w:rPr>
        <w:t xml:space="preserve">abuľke 5 sú uvedené výsledky účinnosti u pacientov podstupujúcich perkutánnu koronárnu intervenciu (PCI). Výsledky bezpečnosti v tejto podskupine pacientov podstupujúcich PCI boli porovnateľné s celkovými výsledkami bezpečnosti. </w:t>
      </w:r>
    </w:p>
    <w:p w14:paraId="4ACB5784" w14:textId="77777777" w:rsidR="00BD5DD9" w:rsidRPr="00364C39" w:rsidRDefault="00BD5DD9" w:rsidP="00364C39">
      <w:pPr>
        <w:autoSpaceDE w:val="0"/>
        <w:autoSpaceDN w:val="0"/>
        <w:adjustRightInd w:val="0"/>
        <w:spacing w:after="0" w:line="240" w:lineRule="auto"/>
        <w:rPr>
          <w:rFonts w:ascii="Times New Roman" w:hAnsi="Times New Roman" w:cs="Times New Roman"/>
          <w:color w:val="000000"/>
        </w:rPr>
      </w:pPr>
    </w:p>
    <w:p w14:paraId="75E939A4" w14:textId="25A1608C" w:rsidR="00364C39" w:rsidRDefault="00364C39" w:rsidP="00364C39">
      <w:pPr>
        <w:pStyle w:val="Default"/>
        <w:rPr>
          <w:sz w:val="22"/>
          <w:szCs w:val="22"/>
          <w:u w:val="single"/>
        </w:rPr>
      </w:pPr>
      <w:r w:rsidRPr="00364C39">
        <w:rPr>
          <w:sz w:val="22"/>
          <w:szCs w:val="22"/>
        </w:rPr>
        <w:t>Pacienti so zvýšenými biomarkermi (troponín alebo CK-MB</w:t>
      </w:r>
      <w:r w:rsidR="00B531AD">
        <w:rPr>
          <w:sz w:val="22"/>
          <w:szCs w:val="22"/>
        </w:rPr>
        <w:t xml:space="preserve"> (</w:t>
      </w:r>
      <w:r w:rsidR="000B3BC4">
        <w:rPr>
          <w:sz w:val="22"/>
          <w:szCs w:val="22"/>
        </w:rPr>
        <w:t xml:space="preserve">MB izoenzým </w:t>
      </w:r>
      <w:r w:rsidR="00B531AD">
        <w:rPr>
          <w:sz w:val="22"/>
          <w:szCs w:val="22"/>
        </w:rPr>
        <w:t>kreatín</w:t>
      </w:r>
      <w:r w:rsidR="00740456">
        <w:rPr>
          <w:sz w:val="22"/>
          <w:szCs w:val="22"/>
        </w:rPr>
        <w:t>kináz</w:t>
      </w:r>
      <w:r w:rsidR="000B3BC4">
        <w:rPr>
          <w:sz w:val="22"/>
          <w:szCs w:val="22"/>
        </w:rPr>
        <w:t>y</w:t>
      </w:r>
      <w:r w:rsidRPr="00364C39">
        <w:rPr>
          <w:sz w:val="22"/>
          <w:szCs w:val="22"/>
        </w:rPr>
        <w:t>)</w:t>
      </w:r>
      <w:r w:rsidR="000B3BC4">
        <w:rPr>
          <w:sz w:val="22"/>
          <w:szCs w:val="22"/>
        </w:rPr>
        <w:t>)</w:t>
      </w:r>
      <w:r w:rsidRPr="00364C39">
        <w:rPr>
          <w:sz w:val="22"/>
          <w:szCs w:val="22"/>
        </w:rPr>
        <w:t xml:space="preserve"> a bez prekonanej mozgovej príhody/TIA predstavovali 80 % sledovanej populácie. Výsledky u tejto populácie sú tiež v súlade s celkovými výsledkami účinnosti a bezpečnosti.</w:t>
      </w:r>
    </w:p>
    <w:p w14:paraId="0F554EDA" w14:textId="77777777" w:rsidR="00364C39" w:rsidRDefault="00364C39" w:rsidP="00B20146">
      <w:pPr>
        <w:pStyle w:val="Default"/>
        <w:rPr>
          <w:sz w:val="22"/>
          <w:szCs w:val="22"/>
          <w:u w:val="single"/>
        </w:rPr>
      </w:pPr>
    </w:p>
    <w:p w14:paraId="56BEC7DA" w14:textId="3B01B141" w:rsidR="00364C39" w:rsidRDefault="00C04A6E" w:rsidP="00B20146">
      <w:pPr>
        <w:pStyle w:val="Default"/>
        <w:rPr>
          <w:sz w:val="22"/>
          <w:szCs w:val="22"/>
          <w:u w:val="single"/>
        </w:rPr>
      </w:pPr>
      <w:r>
        <w:rPr>
          <w:b/>
          <w:bCs/>
          <w:sz w:val="22"/>
          <w:szCs w:val="22"/>
        </w:rPr>
        <w:t>Tabuľka 4: Výsledky účinnosti z</w:t>
      </w:r>
      <w:r w:rsidR="00F3559C">
        <w:rPr>
          <w:b/>
          <w:bCs/>
          <w:sz w:val="22"/>
          <w:szCs w:val="22"/>
        </w:rPr>
        <w:t> fázy III štúdie</w:t>
      </w:r>
      <w:r>
        <w:rPr>
          <w:b/>
          <w:bCs/>
          <w:sz w:val="22"/>
          <w:szCs w:val="22"/>
        </w:rPr>
        <w:t xml:space="preserve"> ATLAS ACS 2 TIMI 51 </w:t>
      </w:r>
    </w:p>
    <w:p w14:paraId="7005DB0C" w14:textId="77777777" w:rsidR="00364C39" w:rsidRDefault="00364C39" w:rsidP="00B20146">
      <w:pPr>
        <w:pStyle w:val="Default"/>
        <w:rPr>
          <w:sz w:val="22"/>
          <w:szCs w:val="22"/>
          <w:u w:val="single"/>
        </w:rPr>
      </w:pPr>
    </w:p>
    <w:tbl>
      <w:tblPr>
        <w:tblStyle w:val="Mriekatabuky"/>
        <w:tblW w:w="0" w:type="auto"/>
        <w:tblLook w:val="04A0" w:firstRow="1" w:lastRow="0" w:firstColumn="1" w:lastColumn="0" w:noHBand="0" w:noVBand="1"/>
      </w:tblPr>
      <w:tblGrid>
        <w:gridCol w:w="3369"/>
        <w:gridCol w:w="4252"/>
        <w:gridCol w:w="1591"/>
      </w:tblGrid>
      <w:tr w:rsidR="00C04A6E" w14:paraId="59114174" w14:textId="77777777" w:rsidTr="00C04A6E">
        <w:tc>
          <w:tcPr>
            <w:tcW w:w="3369" w:type="dxa"/>
          </w:tcPr>
          <w:p w14:paraId="2BB147EF" w14:textId="77777777" w:rsidR="00C04A6E" w:rsidRPr="00C04A6E" w:rsidRDefault="00C04A6E" w:rsidP="00B20146">
            <w:pPr>
              <w:pStyle w:val="Default"/>
              <w:rPr>
                <w:sz w:val="22"/>
                <w:szCs w:val="22"/>
                <w:lang w:val="sk-SK"/>
              </w:rPr>
            </w:pPr>
            <w:r>
              <w:rPr>
                <w:b/>
                <w:bCs/>
                <w:sz w:val="22"/>
                <w:szCs w:val="22"/>
              </w:rPr>
              <w:t xml:space="preserve">Sledovaná populácia </w:t>
            </w:r>
          </w:p>
        </w:tc>
        <w:tc>
          <w:tcPr>
            <w:tcW w:w="5843" w:type="dxa"/>
            <w:gridSpan w:val="2"/>
          </w:tcPr>
          <w:p w14:paraId="4B2156F1" w14:textId="77777777" w:rsidR="00C04A6E" w:rsidRPr="00C04A6E" w:rsidRDefault="00C04A6E" w:rsidP="00B20146">
            <w:pPr>
              <w:pStyle w:val="Default"/>
              <w:rPr>
                <w:sz w:val="14"/>
                <w:szCs w:val="14"/>
                <w:lang w:val="sk-SK"/>
              </w:rPr>
            </w:pPr>
            <w:r>
              <w:rPr>
                <w:b/>
                <w:bCs/>
                <w:sz w:val="22"/>
                <w:szCs w:val="22"/>
              </w:rPr>
              <w:t>Pacienti s nedávnym akútnym koronárnym syndrómom</w:t>
            </w:r>
            <w:r w:rsidRPr="00C04A6E">
              <w:rPr>
                <w:b/>
                <w:bCs/>
                <w:sz w:val="14"/>
                <w:szCs w:val="14"/>
                <w:vertAlign w:val="superscript"/>
              </w:rPr>
              <w:t xml:space="preserve">a </w:t>
            </w:r>
          </w:p>
        </w:tc>
      </w:tr>
      <w:tr w:rsidR="00C04A6E" w14:paraId="717AFAC1" w14:textId="77777777" w:rsidTr="003379F8">
        <w:tc>
          <w:tcPr>
            <w:tcW w:w="3369" w:type="dxa"/>
          </w:tcPr>
          <w:p w14:paraId="0608DA2F" w14:textId="4AF9CEA6" w:rsidR="00C04A6E" w:rsidRPr="000D053C" w:rsidRDefault="00F3559C" w:rsidP="00C04A6E">
            <w:pPr>
              <w:pStyle w:val="Default"/>
              <w:rPr>
                <w:sz w:val="22"/>
                <w:szCs w:val="22"/>
                <w:lang w:val="sk-SK"/>
              </w:rPr>
            </w:pPr>
            <w:r>
              <w:rPr>
                <w:b/>
                <w:bCs/>
                <w:sz w:val="22"/>
                <w:szCs w:val="22"/>
                <w:lang w:val="sk-SK"/>
              </w:rPr>
              <w:t>Liečebná dávka</w:t>
            </w:r>
          </w:p>
          <w:p w14:paraId="1CA6E4CA" w14:textId="77777777" w:rsidR="00C04A6E" w:rsidRDefault="00C04A6E" w:rsidP="00B20146">
            <w:pPr>
              <w:pStyle w:val="Default"/>
              <w:rPr>
                <w:sz w:val="22"/>
                <w:szCs w:val="22"/>
                <w:u w:val="single"/>
              </w:rPr>
            </w:pPr>
          </w:p>
        </w:tc>
        <w:tc>
          <w:tcPr>
            <w:tcW w:w="4252" w:type="dxa"/>
          </w:tcPr>
          <w:p w14:paraId="49A3D733" w14:textId="03662704" w:rsidR="003379F8" w:rsidRDefault="00F3559C" w:rsidP="003379F8">
            <w:pPr>
              <w:pStyle w:val="Default"/>
              <w:jc w:val="center"/>
              <w:rPr>
                <w:b/>
                <w:bCs/>
                <w:sz w:val="22"/>
                <w:szCs w:val="22"/>
                <w:lang w:val="sk-SK"/>
              </w:rPr>
            </w:pPr>
            <w:r>
              <w:rPr>
                <w:b/>
                <w:sz w:val="22"/>
                <w:szCs w:val="22"/>
                <w:lang w:val="sk-SK"/>
              </w:rPr>
              <w:t>rivaroxabán</w:t>
            </w:r>
            <w:r w:rsidRPr="00EA0165">
              <w:rPr>
                <w:b/>
                <w:bCs/>
                <w:sz w:val="22"/>
                <w:szCs w:val="22"/>
              </w:rPr>
              <w:t xml:space="preserve"> </w:t>
            </w:r>
            <w:r w:rsidR="00C04A6E">
              <w:rPr>
                <w:b/>
                <w:bCs/>
                <w:sz w:val="22"/>
                <w:szCs w:val="22"/>
              </w:rPr>
              <w:t>2,5 mg, dvakrát denne,</w:t>
            </w:r>
          </w:p>
          <w:p w14:paraId="2D8393C0" w14:textId="77777777" w:rsidR="003379F8" w:rsidRDefault="00C04A6E" w:rsidP="003379F8">
            <w:pPr>
              <w:pStyle w:val="Default"/>
              <w:jc w:val="center"/>
              <w:rPr>
                <w:b/>
                <w:bCs/>
                <w:sz w:val="22"/>
                <w:szCs w:val="22"/>
                <w:lang w:val="sk-SK"/>
              </w:rPr>
            </w:pPr>
            <w:r>
              <w:rPr>
                <w:b/>
                <w:bCs/>
                <w:sz w:val="22"/>
                <w:szCs w:val="22"/>
              </w:rPr>
              <w:t>N=5</w:t>
            </w:r>
            <w:r w:rsidR="003379F8">
              <w:rPr>
                <w:b/>
                <w:bCs/>
                <w:sz w:val="22"/>
                <w:szCs w:val="22"/>
              </w:rPr>
              <w:t> </w:t>
            </w:r>
            <w:r>
              <w:rPr>
                <w:b/>
                <w:bCs/>
                <w:sz w:val="22"/>
                <w:szCs w:val="22"/>
              </w:rPr>
              <w:t>114</w:t>
            </w:r>
          </w:p>
          <w:p w14:paraId="2BC7E685" w14:textId="77777777" w:rsidR="003379F8" w:rsidRDefault="00C04A6E" w:rsidP="003379F8">
            <w:pPr>
              <w:pStyle w:val="Default"/>
              <w:jc w:val="center"/>
              <w:rPr>
                <w:b/>
                <w:bCs/>
                <w:sz w:val="22"/>
                <w:szCs w:val="22"/>
                <w:lang w:val="sk-SK"/>
              </w:rPr>
            </w:pPr>
            <w:r>
              <w:rPr>
                <w:b/>
                <w:bCs/>
                <w:sz w:val="22"/>
                <w:szCs w:val="22"/>
              </w:rPr>
              <w:t>n (%)</w:t>
            </w:r>
          </w:p>
          <w:p w14:paraId="2EE357E1" w14:textId="15A06A68" w:rsidR="00C04A6E" w:rsidRPr="00C04A6E" w:rsidRDefault="00F3559C" w:rsidP="003379F8">
            <w:pPr>
              <w:pStyle w:val="Default"/>
              <w:jc w:val="center"/>
              <w:rPr>
                <w:sz w:val="14"/>
                <w:szCs w:val="14"/>
                <w:lang w:val="sk-SK"/>
              </w:rPr>
            </w:pPr>
            <w:r>
              <w:rPr>
                <w:b/>
                <w:bCs/>
                <w:sz w:val="22"/>
                <w:szCs w:val="22"/>
                <w:lang w:val="sk-SK"/>
              </w:rPr>
              <w:t>pomer rizika</w:t>
            </w:r>
            <w:r w:rsidR="00C04A6E">
              <w:rPr>
                <w:b/>
                <w:bCs/>
                <w:sz w:val="22"/>
                <w:szCs w:val="22"/>
              </w:rPr>
              <w:t xml:space="preserve"> (HR) (95 % </w:t>
            </w:r>
            <w:r>
              <w:rPr>
                <w:b/>
                <w:bCs/>
                <w:sz w:val="22"/>
                <w:szCs w:val="22"/>
                <w:lang w:val="sk-SK"/>
              </w:rPr>
              <w:t>IS</w:t>
            </w:r>
            <w:r w:rsidR="00C04A6E">
              <w:rPr>
                <w:b/>
                <w:bCs/>
                <w:sz w:val="22"/>
                <w:szCs w:val="22"/>
              </w:rPr>
              <w:t xml:space="preserve">) p-hodnota </w:t>
            </w:r>
            <w:r w:rsidR="00C04A6E">
              <w:rPr>
                <w:b/>
                <w:bCs/>
                <w:sz w:val="14"/>
                <w:szCs w:val="14"/>
              </w:rPr>
              <w:t>b)</w:t>
            </w:r>
          </w:p>
        </w:tc>
        <w:tc>
          <w:tcPr>
            <w:tcW w:w="1591" w:type="dxa"/>
          </w:tcPr>
          <w:p w14:paraId="62AF2B3A" w14:textId="77777777" w:rsidR="003379F8" w:rsidRDefault="00C04A6E" w:rsidP="003379F8">
            <w:pPr>
              <w:pStyle w:val="Default"/>
              <w:jc w:val="center"/>
              <w:rPr>
                <w:b/>
                <w:bCs/>
                <w:sz w:val="22"/>
                <w:szCs w:val="22"/>
                <w:lang w:val="sk-SK"/>
              </w:rPr>
            </w:pPr>
            <w:r>
              <w:rPr>
                <w:b/>
                <w:bCs/>
                <w:sz w:val="22"/>
                <w:szCs w:val="22"/>
              </w:rPr>
              <w:t>Placebo</w:t>
            </w:r>
          </w:p>
          <w:p w14:paraId="751A3DC3" w14:textId="77777777" w:rsidR="003379F8" w:rsidRDefault="00C04A6E" w:rsidP="003379F8">
            <w:pPr>
              <w:pStyle w:val="Default"/>
              <w:jc w:val="center"/>
              <w:rPr>
                <w:b/>
                <w:bCs/>
                <w:sz w:val="22"/>
                <w:szCs w:val="22"/>
                <w:lang w:val="sk-SK"/>
              </w:rPr>
            </w:pPr>
            <w:r>
              <w:rPr>
                <w:b/>
                <w:bCs/>
                <w:sz w:val="22"/>
                <w:szCs w:val="22"/>
              </w:rPr>
              <w:t>N=5</w:t>
            </w:r>
            <w:r w:rsidR="003379F8">
              <w:rPr>
                <w:b/>
                <w:bCs/>
                <w:sz w:val="22"/>
                <w:szCs w:val="22"/>
              </w:rPr>
              <w:t> </w:t>
            </w:r>
            <w:r>
              <w:rPr>
                <w:b/>
                <w:bCs/>
                <w:sz w:val="22"/>
                <w:szCs w:val="22"/>
              </w:rPr>
              <w:t>113</w:t>
            </w:r>
          </w:p>
          <w:p w14:paraId="0AC05F0C" w14:textId="77777777" w:rsidR="00C04A6E" w:rsidRDefault="00C04A6E" w:rsidP="003379F8">
            <w:pPr>
              <w:pStyle w:val="Default"/>
              <w:jc w:val="center"/>
              <w:rPr>
                <w:sz w:val="22"/>
                <w:szCs w:val="22"/>
              </w:rPr>
            </w:pPr>
            <w:r>
              <w:rPr>
                <w:b/>
                <w:bCs/>
                <w:sz w:val="22"/>
                <w:szCs w:val="22"/>
              </w:rPr>
              <w:t>n (%)</w:t>
            </w:r>
          </w:p>
          <w:p w14:paraId="110B16EB" w14:textId="77777777" w:rsidR="00C04A6E" w:rsidRDefault="00C04A6E" w:rsidP="00B20146">
            <w:pPr>
              <w:pStyle w:val="Default"/>
              <w:rPr>
                <w:sz w:val="22"/>
                <w:szCs w:val="22"/>
                <w:u w:val="single"/>
              </w:rPr>
            </w:pPr>
          </w:p>
        </w:tc>
      </w:tr>
      <w:tr w:rsidR="00C04A6E" w14:paraId="2068F1BD" w14:textId="77777777" w:rsidTr="003379F8">
        <w:tc>
          <w:tcPr>
            <w:tcW w:w="3369" w:type="dxa"/>
          </w:tcPr>
          <w:p w14:paraId="15F29F99" w14:textId="77777777" w:rsidR="00C04A6E" w:rsidRPr="005944A9" w:rsidRDefault="005944A9" w:rsidP="00B20146">
            <w:pPr>
              <w:pStyle w:val="Default"/>
              <w:rPr>
                <w:sz w:val="22"/>
                <w:szCs w:val="22"/>
                <w:lang w:val="sk-SK"/>
              </w:rPr>
            </w:pPr>
            <w:r>
              <w:rPr>
                <w:sz w:val="22"/>
                <w:szCs w:val="22"/>
              </w:rPr>
              <w:t xml:space="preserve">Kardiovaskulárna smrť, MI alebo cievna mozgová príhoda </w:t>
            </w:r>
          </w:p>
        </w:tc>
        <w:tc>
          <w:tcPr>
            <w:tcW w:w="4252" w:type="dxa"/>
          </w:tcPr>
          <w:p w14:paraId="17E17033" w14:textId="77777777" w:rsidR="005944A9" w:rsidRDefault="005944A9" w:rsidP="003379F8">
            <w:pPr>
              <w:pStyle w:val="Default"/>
              <w:jc w:val="center"/>
              <w:rPr>
                <w:sz w:val="22"/>
                <w:szCs w:val="22"/>
                <w:lang w:val="sk-SK"/>
              </w:rPr>
            </w:pPr>
            <w:r>
              <w:rPr>
                <w:sz w:val="22"/>
                <w:szCs w:val="22"/>
              </w:rPr>
              <w:t>313 (6,1 %)</w:t>
            </w:r>
          </w:p>
          <w:p w14:paraId="3E9A102C" w14:textId="77777777" w:rsidR="005944A9" w:rsidRDefault="005944A9" w:rsidP="003379F8">
            <w:pPr>
              <w:pStyle w:val="Default"/>
              <w:jc w:val="center"/>
              <w:rPr>
                <w:sz w:val="22"/>
                <w:szCs w:val="22"/>
              </w:rPr>
            </w:pPr>
            <w:r>
              <w:rPr>
                <w:sz w:val="22"/>
                <w:szCs w:val="22"/>
              </w:rPr>
              <w:t>0,84 (0,72; 0,97) p=0,020*</w:t>
            </w:r>
          </w:p>
          <w:p w14:paraId="376B31F0" w14:textId="77777777" w:rsidR="00C04A6E" w:rsidRDefault="00C04A6E" w:rsidP="003379F8">
            <w:pPr>
              <w:pStyle w:val="Default"/>
              <w:jc w:val="center"/>
              <w:rPr>
                <w:sz w:val="22"/>
                <w:szCs w:val="22"/>
                <w:u w:val="single"/>
              </w:rPr>
            </w:pPr>
          </w:p>
        </w:tc>
        <w:tc>
          <w:tcPr>
            <w:tcW w:w="1591" w:type="dxa"/>
          </w:tcPr>
          <w:p w14:paraId="2667A8BE" w14:textId="77777777" w:rsidR="005944A9" w:rsidRDefault="005944A9" w:rsidP="005944A9">
            <w:pPr>
              <w:pStyle w:val="Default"/>
              <w:rPr>
                <w:sz w:val="22"/>
                <w:szCs w:val="22"/>
              </w:rPr>
            </w:pPr>
            <w:r>
              <w:rPr>
                <w:sz w:val="22"/>
                <w:szCs w:val="22"/>
              </w:rPr>
              <w:t xml:space="preserve">376 (7,4 %) </w:t>
            </w:r>
          </w:p>
          <w:p w14:paraId="71C151B8" w14:textId="77777777" w:rsidR="00C04A6E" w:rsidRDefault="00C04A6E" w:rsidP="00B20146">
            <w:pPr>
              <w:pStyle w:val="Default"/>
              <w:rPr>
                <w:sz w:val="22"/>
                <w:szCs w:val="22"/>
                <w:u w:val="single"/>
              </w:rPr>
            </w:pPr>
          </w:p>
        </w:tc>
      </w:tr>
      <w:tr w:rsidR="00C04A6E" w14:paraId="68208CD0" w14:textId="77777777" w:rsidTr="003379F8">
        <w:tc>
          <w:tcPr>
            <w:tcW w:w="3369" w:type="dxa"/>
          </w:tcPr>
          <w:p w14:paraId="750E96BB" w14:textId="77777777" w:rsidR="00C04A6E" w:rsidRPr="005944A9" w:rsidRDefault="005944A9" w:rsidP="00B20146">
            <w:pPr>
              <w:pStyle w:val="Default"/>
              <w:rPr>
                <w:sz w:val="22"/>
                <w:szCs w:val="22"/>
                <w:lang w:val="sk-SK"/>
              </w:rPr>
            </w:pPr>
            <w:r>
              <w:rPr>
                <w:sz w:val="22"/>
                <w:szCs w:val="22"/>
              </w:rPr>
              <w:t xml:space="preserve">Smrť zo všetkých príčin, MI alebo cievna mozgová príhoda </w:t>
            </w:r>
          </w:p>
        </w:tc>
        <w:tc>
          <w:tcPr>
            <w:tcW w:w="4252" w:type="dxa"/>
          </w:tcPr>
          <w:p w14:paraId="4BB9712E" w14:textId="77777777" w:rsidR="003379F8" w:rsidRDefault="005944A9" w:rsidP="003379F8">
            <w:pPr>
              <w:pStyle w:val="Default"/>
              <w:jc w:val="center"/>
              <w:rPr>
                <w:sz w:val="22"/>
                <w:szCs w:val="22"/>
                <w:lang w:val="sk-SK"/>
              </w:rPr>
            </w:pPr>
            <w:r>
              <w:rPr>
                <w:sz w:val="22"/>
                <w:szCs w:val="22"/>
              </w:rPr>
              <w:t xml:space="preserve">320 (6,3 %) </w:t>
            </w:r>
          </w:p>
          <w:p w14:paraId="2437C542" w14:textId="77777777" w:rsidR="005944A9" w:rsidRDefault="005944A9" w:rsidP="003379F8">
            <w:pPr>
              <w:pStyle w:val="Default"/>
              <w:jc w:val="center"/>
              <w:rPr>
                <w:sz w:val="22"/>
                <w:szCs w:val="22"/>
              </w:rPr>
            </w:pPr>
            <w:r>
              <w:rPr>
                <w:sz w:val="22"/>
                <w:szCs w:val="22"/>
              </w:rPr>
              <w:t>0,83 (0,72; 0,97) p=0,016*</w:t>
            </w:r>
          </w:p>
          <w:p w14:paraId="0A973CC3" w14:textId="77777777" w:rsidR="00C04A6E" w:rsidRDefault="00C04A6E" w:rsidP="003379F8">
            <w:pPr>
              <w:pStyle w:val="Default"/>
              <w:jc w:val="center"/>
              <w:rPr>
                <w:sz w:val="22"/>
                <w:szCs w:val="22"/>
                <w:u w:val="single"/>
              </w:rPr>
            </w:pPr>
          </w:p>
        </w:tc>
        <w:tc>
          <w:tcPr>
            <w:tcW w:w="1591" w:type="dxa"/>
          </w:tcPr>
          <w:p w14:paraId="6702B8C3" w14:textId="77777777" w:rsidR="005944A9" w:rsidRDefault="005944A9" w:rsidP="005944A9">
            <w:pPr>
              <w:pStyle w:val="Default"/>
              <w:rPr>
                <w:sz w:val="22"/>
                <w:szCs w:val="22"/>
              </w:rPr>
            </w:pPr>
            <w:r>
              <w:rPr>
                <w:sz w:val="22"/>
                <w:szCs w:val="22"/>
              </w:rPr>
              <w:t xml:space="preserve">386 (7,5 %) </w:t>
            </w:r>
          </w:p>
          <w:p w14:paraId="6E770C52" w14:textId="77777777" w:rsidR="00C04A6E" w:rsidRDefault="00C04A6E" w:rsidP="00B20146">
            <w:pPr>
              <w:pStyle w:val="Default"/>
              <w:rPr>
                <w:sz w:val="22"/>
                <w:szCs w:val="22"/>
                <w:u w:val="single"/>
              </w:rPr>
            </w:pPr>
          </w:p>
        </w:tc>
      </w:tr>
      <w:tr w:rsidR="00C04A6E" w14:paraId="3F118A05" w14:textId="77777777" w:rsidTr="003379F8">
        <w:tc>
          <w:tcPr>
            <w:tcW w:w="3369" w:type="dxa"/>
          </w:tcPr>
          <w:p w14:paraId="43C6FE79" w14:textId="77777777" w:rsidR="005944A9" w:rsidRDefault="005944A9" w:rsidP="005944A9">
            <w:pPr>
              <w:pStyle w:val="Default"/>
              <w:rPr>
                <w:sz w:val="22"/>
                <w:szCs w:val="22"/>
              </w:rPr>
            </w:pPr>
            <w:r>
              <w:rPr>
                <w:sz w:val="22"/>
                <w:szCs w:val="22"/>
              </w:rPr>
              <w:t xml:space="preserve">Kardiovaskulárna smrť </w:t>
            </w:r>
          </w:p>
          <w:p w14:paraId="441D4BE9" w14:textId="77777777" w:rsidR="00C04A6E" w:rsidRDefault="00C04A6E" w:rsidP="00B20146">
            <w:pPr>
              <w:pStyle w:val="Default"/>
              <w:rPr>
                <w:sz w:val="22"/>
                <w:szCs w:val="22"/>
                <w:u w:val="single"/>
              </w:rPr>
            </w:pPr>
          </w:p>
        </w:tc>
        <w:tc>
          <w:tcPr>
            <w:tcW w:w="4252" w:type="dxa"/>
          </w:tcPr>
          <w:p w14:paraId="32F60F53" w14:textId="77777777" w:rsidR="003379F8" w:rsidRDefault="005944A9" w:rsidP="003379F8">
            <w:pPr>
              <w:pStyle w:val="Default"/>
              <w:jc w:val="center"/>
              <w:rPr>
                <w:sz w:val="22"/>
                <w:szCs w:val="22"/>
                <w:lang w:val="sk-SK"/>
              </w:rPr>
            </w:pPr>
            <w:r>
              <w:rPr>
                <w:sz w:val="22"/>
                <w:szCs w:val="22"/>
              </w:rPr>
              <w:t xml:space="preserve">94 (1,8 %) </w:t>
            </w:r>
          </w:p>
          <w:p w14:paraId="24B6A94A" w14:textId="77777777" w:rsidR="005944A9" w:rsidRDefault="005944A9" w:rsidP="003379F8">
            <w:pPr>
              <w:pStyle w:val="Default"/>
              <w:jc w:val="center"/>
              <w:rPr>
                <w:sz w:val="22"/>
                <w:szCs w:val="22"/>
              </w:rPr>
            </w:pPr>
            <w:r>
              <w:rPr>
                <w:sz w:val="22"/>
                <w:szCs w:val="22"/>
              </w:rPr>
              <w:t>0,66 (0,51; 0,86) p=0,002**</w:t>
            </w:r>
          </w:p>
          <w:p w14:paraId="0E892FF6" w14:textId="77777777" w:rsidR="00C04A6E" w:rsidRDefault="00C04A6E" w:rsidP="003379F8">
            <w:pPr>
              <w:pStyle w:val="Default"/>
              <w:jc w:val="center"/>
              <w:rPr>
                <w:sz w:val="22"/>
                <w:szCs w:val="22"/>
                <w:u w:val="single"/>
              </w:rPr>
            </w:pPr>
          </w:p>
        </w:tc>
        <w:tc>
          <w:tcPr>
            <w:tcW w:w="1591" w:type="dxa"/>
          </w:tcPr>
          <w:p w14:paraId="4001AD0F" w14:textId="77777777" w:rsidR="005944A9" w:rsidRDefault="005944A9" w:rsidP="005944A9">
            <w:pPr>
              <w:pStyle w:val="Default"/>
              <w:rPr>
                <w:sz w:val="22"/>
                <w:szCs w:val="22"/>
              </w:rPr>
            </w:pPr>
            <w:r>
              <w:rPr>
                <w:sz w:val="22"/>
                <w:szCs w:val="22"/>
              </w:rPr>
              <w:t xml:space="preserve">143 (2,8 %) </w:t>
            </w:r>
          </w:p>
          <w:p w14:paraId="1B58F73C" w14:textId="77777777" w:rsidR="00C04A6E" w:rsidRDefault="00C04A6E" w:rsidP="00B20146">
            <w:pPr>
              <w:pStyle w:val="Default"/>
              <w:rPr>
                <w:sz w:val="22"/>
                <w:szCs w:val="22"/>
                <w:u w:val="single"/>
              </w:rPr>
            </w:pPr>
          </w:p>
        </w:tc>
      </w:tr>
      <w:tr w:rsidR="00C04A6E" w14:paraId="31C14A30" w14:textId="77777777" w:rsidTr="003379F8">
        <w:tc>
          <w:tcPr>
            <w:tcW w:w="3369" w:type="dxa"/>
          </w:tcPr>
          <w:p w14:paraId="1EE8B7C3" w14:textId="77777777" w:rsidR="005944A9" w:rsidRDefault="005944A9" w:rsidP="005944A9">
            <w:pPr>
              <w:pStyle w:val="Default"/>
              <w:rPr>
                <w:sz w:val="22"/>
                <w:szCs w:val="22"/>
              </w:rPr>
            </w:pPr>
            <w:r>
              <w:rPr>
                <w:sz w:val="22"/>
                <w:szCs w:val="22"/>
              </w:rPr>
              <w:t xml:space="preserve">Smrť zo všetkých príčin </w:t>
            </w:r>
          </w:p>
          <w:p w14:paraId="60DE746D" w14:textId="77777777" w:rsidR="00C04A6E" w:rsidRDefault="00C04A6E" w:rsidP="00B20146">
            <w:pPr>
              <w:pStyle w:val="Default"/>
              <w:rPr>
                <w:sz w:val="22"/>
                <w:szCs w:val="22"/>
                <w:u w:val="single"/>
              </w:rPr>
            </w:pPr>
          </w:p>
        </w:tc>
        <w:tc>
          <w:tcPr>
            <w:tcW w:w="4252" w:type="dxa"/>
          </w:tcPr>
          <w:p w14:paraId="51256977" w14:textId="77777777" w:rsidR="003379F8" w:rsidRDefault="005944A9" w:rsidP="003379F8">
            <w:pPr>
              <w:pStyle w:val="Default"/>
              <w:jc w:val="center"/>
              <w:rPr>
                <w:sz w:val="22"/>
                <w:szCs w:val="22"/>
                <w:lang w:val="sk-SK"/>
              </w:rPr>
            </w:pPr>
            <w:r>
              <w:rPr>
                <w:sz w:val="22"/>
                <w:szCs w:val="22"/>
              </w:rPr>
              <w:t xml:space="preserve">103 (2,0 %) </w:t>
            </w:r>
          </w:p>
          <w:p w14:paraId="234BDB57" w14:textId="77777777" w:rsidR="005944A9" w:rsidRDefault="005944A9" w:rsidP="003379F8">
            <w:pPr>
              <w:pStyle w:val="Default"/>
              <w:jc w:val="center"/>
              <w:rPr>
                <w:sz w:val="22"/>
                <w:szCs w:val="22"/>
              </w:rPr>
            </w:pPr>
            <w:r>
              <w:rPr>
                <w:sz w:val="22"/>
                <w:szCs w:val="22"/>
              </w:rPr>
              <w:t>0,68 (0,53; 0,87) p=0,002**</w:t>
            </w:r>
          </w:p>
          <w:p w14:paraId="302A5BAB" w14:textId="77777777" w:rsidR="00C04A6E" w:rsidRDefault="00C04A6E" w:rsidP="003379F8">
            <w:pPr>
              <w:pStyle w:val="Default"/>
              <w:jc w:val="center"/>
              <w:rPr>
                <w:sz w:val="22"/>
                <w:szCs w:val="22"/>
                <w:u w:val="single"/>
              </w:rPr>
            </w:pPr>
          </w:p>
        </w:tc>
        <w:tc>
          <w:tcPr>
            <w:tcW w:w="1591" w:type="dxa"/>
          </w:tcPr>
          <w:p w14:paraId="640B7866" w14:textId="77777777" w:rsidR="005944A9" w:rsidRDefault="005944A9" w:rsidP="005944A9">
            <w:pPr>
              <w:pStyle w:val="Default"/>
              <w:rPr>
                <w:sz w:val="22"/>
                <w:szCs w:val="22"/>
              </w:rPr>
            </w:pPr>
            <w:r>
              <w:rPr>
                <w:sz w:val="22"/>
                <w:szCs w:val="22"/>
              </w:rPr>
              <w:t xml:space="preserve">153 (3,0 %) </w:t>
            </w:r>
          </w:p>
          <w:p w14:paraId="2716D39F" w14:textId="77777777" w:rsidR="00C04A6E" w:rsidRDefault="00C04A6E" w:rsidP="00B20146">
            <w:pPr>
              <w:pStyle w:val="Default"/>
              <w:rPr>
                <w:sz w:val="22"/>
                <w:szCs w:val="22"/>
                <w:u w:val="single"/>
              </w:rPr>
            </w:pPr>
          </w:p>
        </w:tc>
      </w:tr>
      <w:tr w:rsidR="00C04A6E" w14:paraId="15316CCD" w14:textId="77777777" w:rsidTr="003379F8">
        <w:tc>
          <w:tcPr>
            <w:tcW w:w="3369" w:type="dxa"/>
          </w:tcPr>
          <w:p w14:paraId="5F47DB98" w14:textId="77777777" w:rsidR="005944A9" w:rsidRDefault="005944A9" w:rsidP="005944A9">
            <w:pPr>
              <w:pStyle w:val="Default"/>
              <w:rPr>
                <w:sz w:val="22"/>
                <w:szCs w:val="22"/>
              </w:rPr>
            </w:pPr>
            <w:r>
              <w:rPr>
                <w:sz w:val="22"/>
                <w:szCs w:val="22"/>
              </w:rPr>
              <w:t xml:space="preserve">Infarkt myokardu (MI) </w:t>
            </w:r>
          </w:p>
          <w:p w14:paraId="62C02CFC" w14:textId="77777777" w:rsidR="00C04A6E" w:rsidRDefault="00C04A6E" w:rsidP="00B20146">
            <w:pPr>
              <w:pStyle w:val="Default"/>
              <w:rPr>
                <w:sz w:val="22"/>
                <w:szCs w:val="22"/>
                <w:u w:val="single"/>
              </w:rPr>
            </w:pPr>
          </w:p>
        </w:tc>
        <w:tc>
          <w:tcPr>
            <w:tcW w:w="4252" w:type="dxa"/>
          </w:tcPr>
          <w:p w14:paraId="018AA66D" w14:textId="77777777" w:rsidR="003379F8" w:rsidRDefault="005944A9" w:rsidP="003379F8">
            <w:pPr>
              <w:pStyle w:val="Default"/>
              <w:jc w:val="center"/>
              <w:rPr>
                <w:sz w:val="22"/>
                <w:szCs w:val="22"/>
                <w:lang w:val="sk-SK"/>
              </w:rPr>
            </w:pPr>
            <w:r>
              <w:rPr>
                <w:sz w:val="22"/>
                <w:szCs w:val="22"/>
              </w:rPr>
              <w:t xml:space="preserve">205 (4,0 %) </w:t>
            </w:r>
          </w:p>
          <w:p w14:paraId="3F1F6622" w14:textId="77777777" w:rsidR="005944A9" w:rsidRDefault="005944A9" w:rsidP="003379F8">
            <w:pPr>
              <w:pStyle w:val="Default"/>
              <w:jc w:val="center"/>
              <w:rPr>
                <w:sz w:val="22"/>
                <w:szCs w:val="22"/>
              </w:rPr>
            </w:pPr>
            <w:r>
              <w:rPr>
                <w:sz w:val="22"/>
                <w:szCs w:val="22"/>
              </w:rPr>
              <w:t>0,90 (0,75; 1,09) p=0,270</w:t>
            </w:r>
          </w:p>
          <w:p w14:paraId="329E0B95" w14:textId="77777777" w:rsidR="00C04A6E" w:rsidRDefault="00C04A6E" w:rsidP="003379F8">
            <w:pPr>
              <w:pStyle w:val="Default"/>
              <w:jc w:val="center"/>
              <w:rPr>
                <w:sz w:val="22"/>
                <w:szCs w:val="22"/>
                <w:u w:val="single"/>
              </w:rPr>
            </w:pPr>
          </w:p>
        </w:tc>
        <w:tc>
          <w:tcPr>
            <w:tcW w:w="1591" w:type="dxa"/>
          </w:tcPr>
          <w:p w14:paraId="742F2147" w14:textId="77777777" w:rsidR="005944A9" w:rsidRDefault="005944A9" w:rsidP="005944A9">
            <w:pPr>
              <w:pStyle w:val="Default"/>
              <w:rPr>
                <w:sz w:val="22"/>
                <w:szCs w:val="22"/>
              </w:rPr>
            </w:pPr>
            <w:r>
              <w:rPr>
                <w:sz w:val="22"/>
                <w:szCs w:val="22"/>
              </w:rPr>
              <w:t xml:space="preserve">229 (4,5 %) </w:t>
            </w:r>
          </w:p>
          <w:p w14:paraId="4F1C8BF1" w14:textId="77777777" w:rsidR="00C04A6E" w:rsidRDefault="00C04A6E" w:rsidP="00B20146">
            <w:pPr>
              <w:pStyle w:val="Default"/>
              <w:rPr>
                <w:sz w:val="22"/>
                <w:szCs w:val="22"/>
                <w:u w:val="single"/>
              </w:rPr>
            </w:pPr>
          </w:p>
        </w:tc>
      </w:tr>
      <w:tr w:rsidR="00C04A6E" w14:paraId="52CCAFA0" w14:textId="77777777" w:rsidTr="003379F8">
        <w:tc>
          <w:tcPr>
            <w:tcW w:w="3369" w:type="dxa"/>
          </w:tcPr>
          <w:p w14:paraId="2427BC8E" w14:textId="77777777" w:rsidR="005944A9" w:rsidRDefault="005944A9" w:rsidP="005944A9">
            <w:pPr>
              <w:pStyle w:val="Default"/>
              <w:rPr>
                <w:sz w:val="22"/>
                <w:szCs w:val="22"/>
              </w:rPr>
            </w:pPr>
            <w:r>
              <w:rPr>
                <w:sz w:val="22"/>
                <w:szCs w:val="22"/>
              </w:rPr>
              <w:t xml:space="preserve">Cievna mozgová príhoda </w:t>
            </w:r>
          </w:p>
          <w:p w14:paraId="23796363" w14:textId="77777777" w:rsidR="00C04A6E" w:rsidRDefault="00C04A6E" w:rsidP="00B20146">
            <w:pPr>
              <w:pStyle w:val="Default"/>
              <w:rPr>
                <w:sz w:val="22"/>
                <w:szCs w:val="22"/>
                <w:u w:val="single"/>
              </w:rPr>
            </w:pPr>
          </w:p>
        </w:tc>
        <w:tc>
          <w:tcPr>
            <w:tcW w:w="4252" w:type="dxa"/>
          </w:tcPr>
          <w:p w14:paraId="02E6919A" w14:textId="77777777" w:rsidR="003379F8" w:rsidRDefault="005944A9" w:rsidP="003379F8">
            <w:pPr>
              <w:pStyle w:val="Default"/>
              <w:jc w:val="center"/>
              <w:rPr>
                <w:sz w:val="22"/>
                <w:szCs w:val="22"/>
                <w:lang w:val="sk-SK"/>
              </w:rPr>
            </w:pPr>
            <w:r>
              <w:rPr>
                <w:sz w:val="22"/>
                <w:szCs w:val="22"/>
              </w:rPr>
              <w:t xml:space="preserve">46 (0,9 %) </w:t>
            </w:r>
          </w:p>
          <w:p w14:paraId="626C831B" w14:textId="77777777" w:rsidR="005944A9" w:rsidRDefault="005944A9" w:rsidP="003379F8">
            <w:pPr>
              <w:pStyle w:val="Default"/>
              <w:jc w:val="center"/>
              <w:rPr>
                <w:sz w:val="22"/>
                <w:szCs w:val="22"/>
              </w:rPr>
            </w:pPr>
            <w:r>
              <w:rPr>
                <w:sz w:val="22"/>
                <w:szCs w:val="22"/>
              </w:rPr>
              <w:t>1,13 (0,74; 1,73) p=0,562</w:t>
            </w:r>
          </w:p>
          <w:p w14:paraId="77EE8B8F" w14:textId="77777777" w:rsidR="00C04A6E" w:rsidRDefault="00C04A6E" w:rsidP="003379F8">
            <w:pPr>
              <w:pStyle w:val="Default"/>
              <w:jc w:val="center"/>
              <w:rPr>
                <w:sz w:val="22"/>
                <w:szCs w:val="22"/>
                <w:u w:val="single"/>
              </w:rPr>
            </w:pPr>
          </w:p>
        </w:tc>
        <w:tc>
          <w:tcPr>
            <w:tcW w:w="1591" w:type="dxa"/>
          </w:tcPr>
          <w:p w14:paraId="156CDB3F" w14:textId="77777777" w:rsidR="005944A9" w:rsidRDefault="005944A9" w:rsidP="005944A9">
            <w:pPr>
              <w:pStyle w:val="Default"/>
              <w:rPr>
                <w:sz w:val="22"/>
                <w:szCs w:val="22"/>
              </w:rPr>
            </w:pPr>
            <w:r>
              <w:rPr>
                <w:sz w:val="22"/>
                <w:szCs w:val="22"/>
              </w:rPr>
              <w:t>41 (0,8 %)</w:t>
            </w:r>
          </w:p>
          <w:p w14:paraId="0C23C1C1" w14:textId="77777777" w:rsidR="00C04A6E" w:rsidRDefault="00C04A6E" w:rsidP="00B20146">
            <w:pPr>
              <w:pStyle w:val="Default"/>
              <w:rPr>
                <w:sz w:val="22"/>
                <w:szCs w:val="22"/>
                <w:u w:val="single"/>
              </w:rPr>
            </w:pPr>
          </w:p>
        </w:tc>
      </w:tr>
      <w:tr w:rsidR="00C04A6E" w14:paraId="22A47C5E" w14:textId="77777777" w:rsidTr="003379F8">
        <w:tc>
          <w:tcPr>
            <w:tcW w:w="3369" w:type="dxa"/>
          </w:tcPr>
          <w:p w14:paraId="117A74E7" w14:textId="77777777" w:rsidR="005944A9" w:rsidRDefault="005944A9" w:rsidP="005944A9">
            <w:pPr>
              <w:pStyle w:val="Default"/>
              <w:rPr>
                <w:sz w:val="22"/>
                <w:szCs w:val="22"/>
              </w:rPr>
            </w:pPr>
            <w:r>
              <w:rPr>
                <w:sz w:val="22"/>
                <w:szCs w:val="22"/>
              </w:rPr>
              <w:t xml:space="preserve">Trombóza stentu </w:t>
            </w:r>
          </w:p>
          <w:p w14:paraId="21E38B5A" w14:textId="77777777" w:rsidR="00C04A6E" w:rsidRDefault="00C04A6E" w:rsidP="00B20146">
            <w:pPr>
              <w:pStyle w:val="Default"/>
              <w:rPr>
                <w:sz w:val="22"/>
                <w:szCs w:val="22"/>
                <w:u w:val="single"/>
              </w:rPr>
            </w:pPr>
          </w:p>
        </w:tc>
        <w:tc>
          <w:tcPr>
            <w:tcW w:w="4252" w:type="dxa"/>
          </w:tcPr>
          <w:p w14:paraId="3165AF79" w14:textId="77777777" w:rsidR="003379F8" w:rsidRDefault="005944A9" w:rsidP="003379F8">
            <w:pPr>
              <w:pStyle w:val="Default"/>
              <w:jc w:val="center"/>
              <w:rPr>
                <w:sz w:val="22"/>
                <w:szCs w:val="22"/>
                <w:lang w:val="sk-SK"/>
              </w:rPr>
            </w:pPr>
            <w:r>
              <w:rPr>
                <w:sz w:val="22"/>
                <w:szCs w:val="22"/>
              </w:rPr>
              <w:t xml:space="preserve">61 (1,2 %) </w:t>
            </w:r>
          </w:p>
          <w:p w14:paraId="25097C24" w14:textId="77777777" w:rsidR="005944A9" w:rsidRDefault="005944A9" w:rsidP="003379F8">
            <w:pPr>
              <w:pStyle w:val="Default"/>
              <w:jc w:val="center"/>
              <w:rPr>
                <w:sz w:val="22"/>
                <w:szCs w:val="22"/>
              </w:rPr>
            </w:pPr>
            <w:r>
              <w:rPr>
                <w:sz w:val="22"/>
                <w:szCs w:val="22"/>
              </w:rPr>
              <w:t>0,70 (0,51; 0,97) p=0,033**</w:t>
            </w:r>
          </w:p>
          <w:p w14:paraId="77EC39FB" w14:textId="77777777" w:rsidR="00C04A6E" w:rsidRDefault="00C04A6E" w:rsidP="003379F8">
            <w:pPr>
              <w:pStyle w:val="Default"/>
              <w:jc w:val="center"/>
              <w:rPr>
                <w:sz w:val="22"/>
                <w:szCs w:val="22"/>
                <w:u w:val="single"/>
              </w:rPr>
            </w:pPr>
          </w:p>
        </w:tc>
        <w:tc>
          <w:tcPr>
            <w:tcW w:w="1591" w:type="dxa"/>
          </w:tcPr>
          <w:p w14:paraId="3C794845" w14:textId="77777777" w:rsidR="005944A9" w:rsidRDefault="005944A9" w:rsidP="005944A9">
            <w:pPr>
              <w:pStyle w:val="Default"/>
              <w:rPr>
                <w:sz w:val="22"/>
                <w:szCs w:val="22"/>
              </w:rPr>
            </w:pPr>
            <w:r>
              <w:rPr>
                <w:sz w:val="22"/>
                <w:szCs w:val="22"/>
              </w:rPr>
              <w:t xml:space="preserve">87 (1,7 %) </w:t>
            </w:r>
          </w:p>
          <w:p w14:paraId="13D66319" w14:textId="77777777" w:rsidR="00C04A6E" w:rsidRDefault="00C04A6E" w:rsidP="00B20146">
            <w:pPr>
              <w:pStyle w:val="Default"/>
              <w:rPr>
                <w:sz w:val="22"/>
                <w:szCs w:val="22"/>
                <w:u w:val="single"/>
              </w:rPr>
            </w:pPr>
          </w:p>
        </w:tc>
      </w:tr>
    </w:tbl>
    <w:p w14:paraId="1B43E42A" w14:textId="77777777" w:rsidR="003379F8" w:rsidRDefault="003379F8" w:rsidP="005944A9">
      <w:pPr>
        <w:pStyle w:val="Default"/>
        <w:rPr>
          <w:sz w:val="22"/>
          <w:szCs w:val="22"/>
        </w:rPr>
      </w:pPr>
    </w:p>
    <w:p w14:paraId="1694D3B6" w14:textId="265FE08A" w:rsidR="005944A9" w:rsidRDefault="005944A9" w:rsidP="005944A9">
      <w:pPr>
        <w:pStyle w:val="Default"/>
        <w:rPr>
          <w:sz w:val="22"/>
          <w:szCs w:val="22"/>
        </w:rPr>
      </w:pPr>
      <w:r>
        <w:rPr>
          <w:sz w:val="22"/>
          <w:szCs w:val="22"/>
        </w:rPr>
        <w:t xml:space="preserve">a) </w:t>
      </w:r>
      <w:r w:rsidR="00F3559C">
        <w:rPr>
          <w:sz w:val="22"/>
          <w:szCs w:val="22"/>
        </w:rPr>
        <w:t>modifikovaná intent-to-treat analýza (intent-to-treat celková analýza pre trombózu stentu)</w:t>
      </w:r>
    </w:p>
    <w:p w14:paraId="701A2F0F" w14:textId="77777777" w:rsidR="005944A9" w:rsidRDefault="005944A9" w:rsidP="005944A9">
      <w:pPr>
        <w:pStyle w:val="Default"/>
        <w:rPr>
          <w:sz w:val="22"/>
          <w:szCs w:val="22"/>
        </w:rPr>
      </w:pPr>
      <w:r>
        <w:rPr>
          <w:sz w:val="22"/>
          <w:szCs w:val="22"/>
        </w:rPr>
        <w:t xml:space="preserve">b) vs. placebo; Log-Rank p-hodnota </w:t>
      </w:r>
    </w:p>
    <w:p w14:paraId="378C4BE9" w14:textId="5A02938B" w:rsidR="005944A9" w:rsidRDefault="005944A9" w:rsidP="005944A9">
      <w:pPr>
        <w:pStyle w:val="Default"/>
        <w:rPr>
          <w:sz w:val="22"/>
          <w:szCs w:val="22"/>
        </w:rPr>
      </w:pPr>
      <w:r>
        <w:rPr>
          <w:sz w:val="22"/>
          <w:szCs w:val="22"/>
        </w:rPr>
        <w:t>* štatisticky superi</w:t>
      </w:r>
      <w:r w:rsidR="00F3559C">
        <w:rPr>
          <w:sz w:val="22"/>
          <w:szCs w:val="22"/>
        </w:rPr>
        <w:t>ó</w:t>
      </w:r>
      <w:r>
        <w:rPr>
          <w:sz w:val="22"/>
          <w:szCs w:val="22"/>
        </w:rPr>
        <w:t>r</w:t>
      </w:r>
      <w:r w:rsidR="00F3559C">
        <w:rPr>
          <w:sz w:val="22"/>
          <w:szCs w:val="22"/>
        </w:rPr>
        <w:t>ne</w:t>
      </w:r>
      <w:r>
        <w:rPr>
          <w:sz w:val="22"/>
          <w:szCs w:val="22"/>
        </w:rPr>
        <w:t xml:space="preserve">  </w:t>
      </w:r>
    </w:p>
    <w:p w14:paraId="1C48EE0E" w14:textId="77777777" w:rsidR="00364C39" w:rsidRDefault="005944A9" w:rsidP="005944A9">
      <w:pPr>
        <w:pStyle w:val="Default"/>
        <w:rPr>
          <w:sz w:val="22"/>
          <w:szCs w:val="22"/>
          <w:u w:val="single"/>
        </w:rPr>
      </w:pPr>
      <w:r>
        <w:rPr>
          <w:sz w:val="22"/>
          <w:szCs w:val="22"/>
        </w:rPr>
        <w:t>** nominálne významné</w:t>
      </w:r>
    </w:p>
    <w:p w14:paraId="34E162B5" w14:textId="77777777" w:rsidR="005944A9" w:rsidRDefault="005944A9" w:rsidP="00B20146">
      <w:pPr>
        <w:pStyle w:val="Default"/>
        <w:rPr>
          <w:sz w:val="22"/>
          <w:szCs w:val="22"/>
          <w:u w:val="single"/>
        </w:rPr>
      </w:pPr>
    </w:p>
    <w:p w14:paraId="45948881" w14:textId="2FE31BA1" w:rsidR="005944A9" w:rsidRDefault="005944A9" w:rsidP="00B20146">
      <w:pPr>
        <w:pStyle w:val="Default"/>
        <w:rPr>
          <w:b/>
          <w:bCs/>
          <w:sz w:val="22"/>
          <w:szCs w:val="22"/>
        </w:rPr>
      </w:pPr>
      <w:r>
        <w:rPr>
          <w:b/>
          <w:bCs/>
          <w:sz w:val="22"/>
          <w:szCs w:val="22"/>
        </w:rPr>
        <w:t>Tabuľka 5: Výsledky účinnosti z</w:t>
      </w:r>
      <w:r w:rsidR="00DB5201">
        <w:rPr>
          <w:b/>
          <w:bCs/>
          <w:sz w:val="22"/>
          <w:szCs w:val="22"/>
        </w:rPr>
        <w:t> fázy III štúdie</w:t>
      </w:r>
      <w:r>
        <w:rPr>
          <w:b/>
          <w:bCs/>
          <w:sz w:val="22"/>
          <w:szCs w:val="22"/>
        </w:rPr>
        <w:t xml:space="preserve"> ATLAS ACS 2 TIMI 51 u pacientov podstupujúcich PCI</w:t>
      </w:r>
    </w:p>
    <w:tbl>
      <w:tblPr>
        <w:tblStyle w:val="Mriekatabuky"/>
        <w:tblW w:w="0" w:type="auto"/>
        <w:tblLook w:val="04A0" w:firstRow="1" w:lastRow="0" w:firstColumn="1" w:lastColumn="0" w:noHBand="0" w:noVBand="1"/>
      </w:tblPr>
      <w:tblGrid>
        <w:gridCol w:w="3369"/>
        <w:gridCol w:w="4252"/>
        <w:gridCol w:w="1591"/>
      </w:tblGrid>
      <w:tr w:rsidR="003379F8" w14:paraId="238C7FA3" w14:textId="77777777" w:rsidTr="007C3E50">
        <w:tc>
          <w:tcPr>
            <w:tcW w:w="3369" w:type="dxa"/>
          </w:tcPr>
          <w:p w14:paraId="6E459307" w14:textId="77777777" w:rsidR="003379F8" w:rsidRPr="00C04A6E" w:rsidRDefault="003379F8" w:rsidP="007C3E50">
            <w:pPr>
              <w:pStyle w:val="Default"/>
              <w:rPr>
                <w:sz w:val="22"/>
                <w:szCs w:val="22"/>
                <w:lang w:val="sk-SK"/>
              </w:rPr>
            </w:pPr>
            <w:r>
              <w:rPr>
                <w:b/>
                <w:bCs/>
                <w:sz w:val="22"/>
                <w:szCs w:val="22"/>
              </w:rPr>
              <w:t xml:space="preserve">Sledovaná populácia </w:t>
            </w:r>
          </w:p>
        </w:tc>
        <w:tc>
          <w:tcPr>
            <w:tcW w:w="5843" w:type="dxa"/>
            <w:gridSpan w:val="2"/>
          </w:tcPr>
          <w:p w14:paraId="7E266F65" w14:textId="77777777" w:rsidR="003379F8" w:rsidRPr="003379F8" w:rsidRDefault="003379F8" w:rsidP="003379F8">
            <w:pPr>
              <w:pStyle w:val="Default"/>
              <w:rPr>
                <w:sz w:val="14"/>
                <w:szCs w:val="14"/>
                <w:lang w:val="sk-SK"/>
              </w:rPr>
            </w:pPr>
            <w:r>
              <w:rPr>
                <w:b/>
                <w:bCs/>
                <w:sz w:val="22"/>
                <w:szCs w:val="22"/>
              </w:rPr>
              <w:t>Pacienti s nedávnym akútnym koronárnym syndrómom podstupujúci PCI</w:t>
            </w:r>
            <w:r w:rsidRPr="003379F8">
              <w:rPr>
                <w:b/>
                <w:bCs/>
                <w:sz w:val="22"/>
                <w:szCs w:val="22"/>
                <w:vertAlign w:val="superscript"/>
              </w:rPr>
              <w:t>a</w:t>
            </w:r>
            <w:r w:rsidRPr="003379F8">
              <w:rPr>
                <w:b/>
                <w:bCs/>
                <w:sz w:val="14"/>
                <w:szCs w:val="14"/>
                <w:vertAlign w:val="superscript"/>
              </w:rPr>
              <w:t xml:space="preserve"> </w:t>
            </w:r>
          </w:p>
        </w:tc>
      </w:tr>
      <w:tr w:rsidR="003379F8" w14:paraId="4F1AB0B3" w14:textId="77777777" w:rsidTr="007C3E50">
        <w:tc>
          <w:tcPr>
            <w:tcW w:w="3369" w:type="dxa"/>
          </w:tcPr>
          <w:p w14:paraId="60095320" w14:textId="36A7CB0D" w:rsidR="003379F8" w:rsidRPr="000D053C" w:rsidRDefault="00DB5201" w:rsidP="007C3E50">
            <w:pPr>
              <w:pStyle w:val="Default"/>
              <w:rPr>
                <w:sz w:val="22"/>
                <w:szCs w:val="22"/>
                <w:lang w:val="sk-SK"/>
              </w:rPr>
            </w:pPr>
            <w:r>
              <w:rPr>
                <w:b/>
                <w:bCs/>
                <w:sz w:val="22"/>
                <w:szCs w:val="22"/>
                <w:lang w:val="sk-SK"/>
              </w:rPr>
              <w:t>Liečebná dávka</w:t>
            </w:r>
          </w:p>
          <w:p w14:paraId="60C6D454" w14:textId="77777777" w:rsidR="003379F8" w:rsidRDefault="003379F8" w:rsidP="007C3E50">
            <w:pPr>
              <w:pStyle w:val="Default"/>
              <w:rPr>
                <w:sz w:val="22"/>
                <w:szCs w:val="22"/>
                <w:u w:val="single"/>
              </w:rPr>
            </w:pPr>
          </w:p>
        </w:tc>
        <w:tc>
          <w:tcPr>
            <w:tcW w:w="4252" w:type="dxa"/>
          </w:tcPr>
          <w:p w14:paraId="46CC9553" w14:textId="28D4FEE8" w:rsidR="003379F8" w:rsidRDefault="00DB5201" w:rsidP="007C3E50">
            <w:pPr>
              <w:pStyle w:val="Default"/>
              <w:jc w:val="center"/>
              <w:rPr>
                <w:b/>
                <w:bCs/>
                <w:sz w:val="22"/>
                <w:szCs w:val="22"/>
                <w:lang w:val="sk-SK"/>
              </w:rPr>
            </w:pPr>
            <w:r>
              <w:rPr>
                <w:b/>
                <w:sz w:val="22"/>
                <w:szCs w:val="22"/>
                <w:lang w:val="sk-SK"/>
              </w:rPr>
              <w:t>rivaroxabán</w:t>
            </w:r>
            <w:r>
              <w:rPr>
                <w:b/>
                <w:bCs/>
                <w:sz w:val="22"/>
                <w:szCs w:val="22"/>
              </w:rPr>
              <w:t xml:space="preserve"> </w:t>
            </w:r>
            <w:r w:rsidR="003379F8">
              <w:rPr>
                <w:b/>
                <w:bCs/>
                <w:sz w:val="22"/>
                <w:szCs w:val="22"/>
              </w:rPr>
              <w:t>2,5 mg, dvakrát denne,</w:t>
            </w:r>
          </w:p>
          <w:p w14:paraId="31895FD4" w14:textId="77777777" w:rsidR="003379F8" w:rsidRDefault="003379F8" w:rsidP="007C3E50">
            <w:pPr>
              <w:pStyle w:val="Default"/>
              <w:jc w:val="center"/>
              <w:rPr>
                <w:b/>
                <w:bCs/>
                <w:sz w:val="22"/>
                <w:szCs w:val="22"/>
                <w:lang w:val="sk-SK"/>
              </w:rPr>
            </w:pPr>
            <w:r>
              <w:rPr>
                <w:b/>
                <w:bCs/>
                <w:sz w:val="22"/>
                <w:szCs w:val="22"/>
              </w:rPr>
              <w:t>N=</w:t>
            </w:r>
            <w:r>
              <w:rPr>
                <w:b/>
                <w:bCs/>
                <w:sz w:val="22"/>
                <w:szCs w:val="22"/>
                <w:lang w:val="sk-SK"/>
              </w:rPr>
              <w:t>3</w:t>
            </w:r>
            <w:r>
              <w:rPr>
                <w:b/>
                <w:bCs/>
                <w:sz w:val="22"/>
                <w:szCs w:val="22"/>
              </w:rPr>
              <w:t> 114</w:t>
            </w:r>
          </w:p>
          <w:p w14:paraId="7E2E1736" w14:textId="77777777" w:rsidR="003379F8" w:rsidRDefault="003379F8" w:rsidP="007C3E50">
            <w:pPr>
              <w:pStyle w:val="Default"/>
              <w:jc w:val="center"/>
              <w:rPr>
                <w:b/>
                <w:bCs/>
                <w:sz w:val="22"/>
                <w:szCs w:val="22"/>
                <w:lang w:val="sk-SK"/>
              </w:rPr>
            </w:pPr>
            <w:r>
              <w:rPr>
                <w:b/>
                <w:bCs/>
                <w:sz w:val="22"/>
                <w:szCs w:val="22"/>
              </w:rPr>
              <w:t>n (%)</w:t>
            </w:r>
          </w:p>
          <w:p w14:paraId="493D7298" w14:textId="0E43D1C4" w:rsidR="003379F8" w:rsidRPr="003379F8" w:rsidRDefault="003379F8" w:rsidP="003379F8">
            <w:pPr>
              <w:pStyle w:val="Default"/>
              <w:jc w:val="center"/>
              <w:rPr>
                <w:sz w:val="14"/>
                <w:szCs w:val="14"/>
                <w:vertAlign w:val="superscript"/>
                <w:lang w:val="sk-SK"/>
              </w:rPr>
            </w:pPr>
            <w:r>
              <w:rPr>
                <w:b/>
                <w:bCs/>
                <w:sz w:val="22"/>
                <w:szCs w:val="22"/>
              </w:rPr>
              <w:t>HR (95 % I</w:t>
            </w:r>
            <w:r w:rsidR="00DB5201">
              <w:rPr>
                <w:b/>
                <w:bCs/>
                <w:sz w:val="22"/>
                <w:szCs w:val="22"/>
                <w:lang w:val="sk-SK"/>
              </w:rPr>
              <w:t>S</w:t>
            </w:r>
            <w:r>
              <w:rPr>
                <w:b/>
                <w:bCs/>
                <w:sz w:val="22"/>
                <w:szCs w:val="22"/>
              </w:rPr>
              <w:t>) p-hodnota</w:t>
            </w:r>
            <w:r>
              <w:rPr>
                <w:b/>
                <w:bCs/>
                <w:sz w:val="22"/>
                <w:szCs w:val="22"/>
                <w:vertAlign w:val="superscript"/>
                <w:lang w:val="sk-SK"/>
              </w:rPr>
              <w:t>b)</w:t>
            </w:r>
          </w:p>
        </w:tc>
        <w:tc>
          <w:tcPr>
            <w:tcW w:w="1591" w:type="dxa"/>
          </w:tcPr>
          <w:p w14:paraId="55621459" w14:textId="77777777" w:rsidR="003379F8" w:rsidRDefault="003379F8" w:rsidP="007C3E50">
            <w:pPr>
              <w:pStyle w:val="Default"/>
              <w:jc w:val="center"/>
              <w:rPr>
                <w:b/>
                <w:bCs/>
                <w:sz w:val="22"/>
                <w:szCs w:val="22"/>
                <w:lang w:val="sk-SK"/>
              </w:rPr>
            </w:pPr>
            <w:r>
              <w:rPr>
                <w:b/>
                <w:bCs/>
                <w:sz w:val="22"/>
                <w:szCs w:val="22"/>
              </w:rPr>
              <w:t>Placebo</w:t>
            </w:r>
          </w:p>
          <w:p w14:paraId="2EB38016" w14:textId="77777777" w:rsidR="003379F8" w:rsidRPr="003379F8" w:rsidRDefault="003379F8" w:rsidP="007C3E50">
            <w:pPr>
              <w:pStyle w:val="Default"/>
              <w:jc w:val="center"/>
              <w:rPr>
                <w:b/>
                <w:bCs/>
                <w:sz w:val="22"/>
                <w:szCs w:val="22"/>
                <w:lang w:val="sk-SK"/>
              </w:rPr>
            </w:pPr>
            <w:r>
              <w:rPr>
                <w:b/>
                <w:bCs/>
                <w:sz w:val="22"/>
                <w:szCs w:val="22"/>
              </w:rPr>
              <w:t>N=</w:t>
            </w:r>
            <w:r>
              <w:rPr>
                <w:b/>
                <w:bCs/>
                <w:sz w:val="22"/>
                <w:szCs w:val="22"/>
                <w:lang w:val="sk-SK"/>
              </w:rPr>
              <w:t>3</w:t>
            </w:r>
            <w:r>
              <w:rPr>
                <w:b/>
                <w:bCs/>
                <w:sz w:val="22"/>
                <w:szCs w:val="22"/>
              </w:rPr>
              <w:t> </w:t>
            </w:r>
            <w:r>
              <w:rPr>
                <w:b/>
                <w:bCs/>
                <w:sz w:val="22"/>
                <w:szCs w:val="22"/>
                <w:lang w:val="sk-SK"/>
              </w:rPr>
              <w:t>096</w:t>
            </w:r>
          </w:p>
          <w:p w14:paraId="37459918" w14:textId="77777777" w:rsidR="003379F8" w:rsidRDefault="003379F8" w:rsidP="007C3E50">
            <w:pPr>
              <w:pStyle w:val="Default"/>
              <w:jc w:val="center"/>
              <w:rPr>
                <w:sz w:val="22"/>
                <w:szCs w:val="22"/>
              </w:rPr>
            </w:pPr>
            <w:r>
              <w:rPr>
                <w:b/>
                <w:bCs/>
                <w:sz w:val="22"/>
                <w:szCs w:val="22"/>
              </w:rPr>
              <w:t>n (%)</w:t>
            </w:r>
          </w:p>
          <w:p w14:paraId="040F040A" w14:textId="77777777" w:rsidR="003379F8" w:rsidRDefault="003379F8" w:rsidP="007C3E50">
            <w:pPr>
              <w:pStyle w:val="Default"/>
              <w:rPr>
                <w:sz w:val="22"/>
                <w:szCs w:val="22"/>
                <w:u w:val="single"/>
              </w:rPr>
            </w:pPr>
          </w:p>
        </w:tc>
      </w:tr>
      <w:tr w:rsidR="003379F8" w14:paraId="2287FCDD" w14:textId="77777777" w:rsidTr="007C3E50">
        <w:tc>
          <w:tcPr>
            <w:tcW w:w="3369" w:type="dxa"/>
          </w:tcPr>
          <w:p w14:paraId="4DF99E4A" w14:textId="77777777" w:rsidR="003379F8" w:rsidRPr="005944A9" w:rsidRDefault="003379F8" w:rsidP="007C3E50">
            <w:pPr>
              <w:pStyle w:val="Default"/>
              <w:rPr>
                <w:sz w:val="22"/>
                <w:szCs w:val="22"/>
                <w:lang w:val="sk-SK"/>
              </w:rPr>
            </w:pPr>
            <w:r>
              <w:rPr>
                <w:sz w:val="22"/>
                <w:szCs w:val="22"/>
              </w:rPr>
              <w:t xml:space="preserve">Kardiovaskulárna smrť, MI alebo cievna mozgová príhoda </w:t>
            </w:r>
          </w:p>
        </w:tc>
        <w:tc>
          <w:tcPr>
            <w:tcW w:w="4252" w:type="dxa"/>
          </w:tcPr>
          <w:p w14:paraId="7C3A5FDC" w14:textId="77777777" w:rsidR="007C3E50" w:rsidRDefault="003379F8" w:rsidP="003379F8">
            <w:pPr>
              <w:pStyle w:val="Default"/>
              <w:jc w:val="center"/>
              <w:rPr>
                <w:sz w:val="22"/>
                <w:szCs w:val="22"/>
                <w:lang w:val="sk-SK"/>
              </w:rPr>
            </w:pPr>
            <w:r>
              <w:rPr>
                <w:sz w:val="22"/>
                <w:szCs w:val="22"/>
              </w:rPr>
              <w:t xml:space="preserve">153 (4,9 %) </w:t>
            </w:r>
          </w:p>
          <w:p w14:paraId="667C7919" w14:textId="5AD30A9E" w:rsidR="003379F8" w:rsidRDefault="003379F8" w:rsidP="003379F8">
            <w:pPr>
              <w:pStyle w:val="Default"/>
              <w:jc w:val="center"/>
              <w:rPr>
                <w:sz w:val="22"/>
                <w:szCs w:val="22"/>
              </w:rPr>
            </w:pPr>
            <w:r>
              <w:rPr>
                <w:sz w:val="22"/>
                <w:szCs w:val="22"/>
              </w:rPr>
              <w:t>0</w:t>
            </w:r>
            <w:r w:rsidR="00DB5201">
              <w:rPr>
                <w:sz w:val="22"/>
                <w:szCs w:val="22"/>
                <w:lang w:val="sk-SK"/>
              </w:rPr>
              <w:t>,</w:t>
            </w:r>
            <w:r>
              <w:rPr>
                <w:sz w:val="22"/>
                <w:szCs w:val="22"/>
              </w:rPr>
              <w:t xml:space="preserve">94 (0,75; 1,17) p=0,572 </w:t>
            </w:r>
          </w:p>
          <w:p w14:paraId="503EAFCA" w14:textId="77777777" w:rsidR="003379F8" w:rsidRDefault="003379F8" w:rsidP="007C3E50">
            <w:pPr>
              <w:pStyle w:val="Default"/>
              <w:jc w:val="center"/>
              <w:rPr>
                <w:sz w:val="22"/>
                <w:szCs w:val="22"/>
                <w:u w:val="single"/>
              </w:rPr>
            </w:pPr>
          </w:p>
        </w:tc>
        <w:tc>
          <w:tcPr>
            <w:tcW w:w="1591" w:type="dxa"/>
          </w:tcPr>
          <w:p w14:paraId="0FEAADF4" w14:textId="77777777" w:rsidR="003379F8" w:rsidRPr="007C3E50" w:rsidRDefault="007C3E50" w:rsidP="007C3E50">
            <w:pPr>
              <w:pStyle w:val="Default"/>
              <w:rPr>
                <w:sz w:val="22"/>
                <w:szCs w:val="22"/>
                <w:lang w:val="sk-SK"/>
              </w:rPr>
            </w:pPr>
            <w:r>
              <w:rPr>
                <w:sz w:val="22"/>
                <w:szCs w:val="22"/>
              </w:rPr>
              <w:t xml:space="preserve">165 (5,3 %) </w:t>
            </w:r>
          </w:p>
          <w:p w14:paraId="39202DC0" w14:textId="77777777" w:rsidR="003379F8" w:rsidRDefault="003379F8" w:rsidP="007C3E50">
            <w:pPr>
              <w:pStyle w:val="Default"/>
              <w:rPr>
                <w:sz w:val="22"/>
                <w:szCs w:val="22"/>
                <w:u w:val="single"/>
              </w:rPr>
            </w:pPr>
          </w:p>
        </w:tc>
      </w:tr>
      <w:tr w:rsidR="003379F8" w14:paraId="017BADDF" w14:textId="77777777" w:rsidTr="007C3E50">
        <w:tc>
          <w:tcPr>
            <w:tcW w:w="3369" w:type="dxa"/>
          </w:tcPr>
          <w:p w14:paraId="55FC6328" w14:textId="77777777" w:rsidR="003379F8" w:rsidRDefault="003379F8" w:rsidP="007C3E50">
            <w:pPr>
              <w:pStyle w:val="Default"/>
              <w:rPr>
                <w:sz w:val="22"/>
                <w:szCs w:val="22"/>
              </w:rPr>
            </w:pPr>
            <w:r>
              <w:rPr>
                <w:sz w:val="22"/>
                <w:szCs w:val="22"/>
              </w:rPr>
              <w:t xml:space="preserve">Kardiovaskulárna smrť </w:t>
            </w:r>
          </w:p>
          <w:p w14:paraId="4E74CA33" w14:textId="77777777" w:rsidR="003379F8" w:rsidRDefault="003379F8" w:rsidP="007C3E50">
            <w:pPr>
              <w:pStyle w:val="Default"/>
              <w:rPr>
                <w:sz w:val="22"/>
                <w:szCs w:val="22"/>
                <w:u w:val="single"/>
              </w:rPr>
            </w:pPr>
          </w:p>
        </w:tc>
        <w:tc>
          <w:tcPr>
            <w:tcW w:w="4252" w:type="dxa"/>
          </w:tcPr>
          <w:p w14:paraId="717DEA1B" w14:textId="77777777" w:rsidR="007C3E50" w:rsidRDefault="007C3E50" w:rsidP="007C3E50">
            <w:pPr>
              <w:pStyle w:val="Default"/>
              <w:jc w:val="center"/>
              <w:rPr>
                <w:sz w:val="22"/>
                <w:szCs w:val="22"/>
                <w:lang w:val="sk-SK"/>
              </w:rPr>
            </w:pPr>
            <w:r>
              <w:rPr>
                <w:sz w:val="22"/>
                <w:szCs w:val="22"/>
              </w:rPr>
              <w:t xml:space="preserve">24 (0,8 %) </w:t>
            </w:r>
          </w:p>
          <w:p w14:paraId="068AF703" w14:textId="77777777" w:rsidR="007C3E50" w:rsidRDefault="007C3E50" w:rsidP="007C3E50">
            <w:pPr>
              <w:pStyle w:val="Default"/>
              <w:jc w:val="center"/>
              <w:rPr>
                <w:sz w:val="22"/>
                <w:szCs w:val="22"/>
              </w:rPr>
            </w:pPr>
            <w:r>
              <w:rPr>
                <w:sz w:val="22"/>
                <w:szCs w:val="22"/>
              </w:rPr>
              <w:t xml:space="preserve">0,54 (0,33; 0,89) p=0,013** </w:t>
            </w:r>
          </w:p>
          <w:p w14:paraId="1C32E278" w14:textId="77777777" w:rsidR="003379F8" w:rsidRDefault="003379F8" w:rsidP="007C3E50">
            <w:pPr>
              <w:pStyle w:val="Default"/>
              <w:jc w:val="center"/>
              <w:rPr>
                <w:sz w:val="22"/>
                <w:szCs w:val="22"/>
                <w:u w:val="single"/>
              </w:rPr>
            </w:pPr>
          </w:p>
        </w:tc>
        <w:tc>
          <w:tcPr>
            <w:tcW w:w="1591" w:type="dxa"/>
          </w:tcPr>
          <w:p w14:paraId="6726C7CB" w14:textId="77777777" w:rsidR="007C3E50" w:rsidRDefault="007C3E50" w:rsidP="007C3E50">
            <w:pPr>
              <w:pStyle w:val="Default"/>
              <w:rPr>
                <w:sz w:val="22"/>
                <w:szCs w:val="22"/>
              </w:rPr>
            </w:pPr>
            <w:r>
              <w:rPr>
                <w:sz w:val="22"/>
                <w:szCs w:val="22"/>
              </w:rPr>
              <w:t xml:space="preserve">45 (1,5 %) </w:t>
            </w:r>
          </w:p>
          <w:p w14:paraId="55CBAB69" w14:textId="77777777" w:rsidR="003379F8" w:rsidRDefault="003379F8" w:rsidP="007C3E50">
            <w:pPr>
              <w:pStyle w:val="Default"/>
              <w:rPr>
                <w:sz w:val="22"/>
                <w:szCs w:val="22"/>
                <w:u w:val="single"/>
              </w:rPr>
            </w:pPr>
          </w:p>
        </w:tc>
      </w:tr>
      <w:tr w:rsidR="003379F8" w14:paraId="1C6E33A9" w14:textId="77777777" w:rsidTr="007C3E50">
        <w:tc>
          <w:tcPr>
            <w:tcW w:w="3369" w:type="dxa"/>
          </w:tcPr>
          <w:p w14:paraId="00C9E582" w14:textId="77777777" w:rsidR="003379F8" w:rsidRDefault="003379F8" w:rsidP="007C3E50">
            <w:pPr>
              <w:pStyle w:val="Default"/>
              <w:rPr>
                <w:sz w:val="22"/>
                <w:szCs w:val="22"/>
              </w:rPr>
            </w:pPr>
            <w:r>
              <w:rPr>
                <w:sz w:val="22"/>
                <w:szCs w:val="22"/>
              </w:rPr>
              <w:t xml:space="preserve">Smrť zo všetkých príčin </w:t>
            </w:r>
          </w:p>
          <w:p w14:paraId="5C76671F" w14:textId="77777777" w:rsidR="003379F8" w:rsidRDefault="003379F8" w:rsidP="007C3E50">
            <w:pPr>
              <w:pStyle w:val="Default"/>
              <w:rPr>
                <w:sz w:val="22"/>
                <w:szCs w:val="22"/>
                <w:u w:val="single"/>
              </w:rPr>
            </w:pPr>
          </w:p>
        </w:tc>
        <w:tc>
          <w:tcPr>
            <w:tcW w:w="4252" w:type="dxa"/>
          </w:tcPr>
          <w:p w14:paraId="455EECC2" w14:textId="77777777" w:rsidR="007C3E50" w:rsidRDefault="007C3E50" w:rsidP="007C3E50">
            <w:pPr>
              <w:pStyle w:val="Default"/>
              <w:jc w:val="center"/>
              <w:rPr>
                <w:sz w:val="22"/>
                <w:szCs w:val="22"/>
                <w:lang w:val="sk-SK"/>
              </w:rPr>
            </w:pPr>
            <w:r>
              <w:rPr>
                <w:sz w:val="22"/>
                <w:szCs w:val="22"/>
              </w:rPr>
              <w:t xml:space="preserve">31 (1,0 %) </w:t>
            </w:r>
          </w:p>
          <w:p w14:paraId="65ADAD8F" w14:textId="77777777" w:rsidR="007C3E50" w:rsidRDefault="007C3E50" w:rsidP="007C3E50">
            <w:pPr>
              <w:pStyle w:val="Default"/>
              <w:jc w:val="center"/>
              <w:rPr>
                <w:sz w:val="22"/>
                <w:szCs w:val="22"/>
              </w:rPr>
            </w:pPr>
            <w:r>
              <w:rPr>
                <w:sz w:val="22"/>
                <w:szCs w:val="22"/>
              </w:rPr>
              <w:t xml:space="preserve">0,64 (0,41; 1,01) p=0,053 </w:t>
            </w:r>
          </w:p>
          <w:p w14:paraId="52E8340B" w14:textId="77777777" w:rsidR="003379F8" w:rsidRDefault="003379F8" w:rsidP="007C3E50">
            <w:pPr>
              <w:pStyle w:val="Default"/>
              <w:jc w:val="center"/>
              <w:rPr>
                <w:sz w:val="22"/>
                <w:szCs w:val="22"/>
                <w:u w:val="single"/>
              </w:rPr>
            </w:pPr>
          </w:p>
        </w:tc>
        <w:tc>
          <w:tcPr>
            <w:tcW w:w="1591" w:type="dxa"/>
          </w:tcPr>
          <w:p w14:paraId="312175D2" w14:textId="77777777" w:rsidR="007C3E50" w:rsidRDefault="007C3E50" w:rsidP="007C3E50">
            <w:pPr>
              <w:pStyle w:val="Default"/>
              <w:rPr>
                <w:sz w:val="22"/>
                <w:szCs w:val="22"/>
              </w:rPr>
            </w:pPr>
            <w:r>
              <w:rPr>
                <w:sz w:val="22"/>
                <w:szCs w:val="22"/>
              </w:rPr>
              <w:t xml:space="preserve">49 (1,6 %) </w:t>
            </w:r>
          </w:p>
          <w:p w14:paraId="6BB1BB60" w14:textId="77777777" w:rsidR="003379F8" w:rsidRDefault="003379F8" w:rsidP="007C3E50">
            <w:pPr>
              <w:pStyle w:val="Default"/>
              <w:rPr>
                <w:sz w:val="22"/>
                <w:szCs w:val="22"/>
                <w:u w:val="single"/>
              </w:rPr>
            </w:pPr>
          </w:p>
        </w:tc>
      </w:tr>
      <w:tr w:rsidR="003379F8" w14:paraId="015C7E03" w14:textId="77777777" w:rsidTr="007C3E50">
        <w:tc>
          <w:tcPr>
            <w:tcW w:w="3369" w:type="dxa"/>
          </w:tcPr>
          <w:p w14:paraId="4AC08F85" w14:textId="77777777" w:rsidR="003379F8" w:rsidRDefault="003379F8" w:rsidP="007C3E50">
            <w:pPr>
              <w:pStyle w:val="Default"/>
              <w:rPr>
                <w:sz w:val="22"/>
                <w:szCs w:val="22"/>
              </w:rPr>
            </w:pPr>
            <w:r>
              <w:rPr>
                <w:sz w:val="22"/>
                <w:szCs w:val="22"/>
              </w:rPr>
              <w:t xml:space="preserve">Infarkt myokardu (MI) </w:t>
            </w:r>
          </w:p>
          <w:p w14:paraId="584EB2D6" w14:textId="77777777" w:rsidR="003379F8" w:rsidRDefault="003379F8" w:rsidP="007C3E50">
            <w:pPr>
              <w:pStyle w:val="Default"/>
              <w:rPr>
                <w:sz w:val="22"/>
                <w:szCs w:val="22"/>
                <w:u w:val="single"/>
              </w:rPr>
            </w:pPr>
          </w:p>
        </w:tc>
        <w:tc>
          <w:tcPr>
            <w:tcW w:w="4252" w:type="dxa"/>
          </w:tcPr>
          <w:p w14:paraId="5E2FAD8F" w14:textId="77777777" w:rsidR="007C3E50" w:rsidRDefault="007C3E50" w:rsidP="007C3E50">
            <w:pPr>
              <w:pStyle w:val="Default"/>
              <w:jc w:val="center"/>
              <w:rPr>
                <w:sz w:val="22"/>
                <w:szCs w:val="22"/>
                <w:lang w:val="sk-SK"/>
              </w:rPr>
            </w:pPr>
            <w:r>
              <w:rPr>
                <w:sz w:val="22"/>
                <w:szCs w:val="22"/>
              </w:rPr>
              <w:t xml:space="preserve">115 (3,7 %) </w:t>
            </w:r>
          </w:p>
          <w:p w14:paraId="66221D6A" w14:textId="77777777" w:rsidR="007C3E50" w:rsidRDefault="007C3E50" w:rsidP="007C3E50">
            <w:pPr>
              <w:pStyle w:val="Default"/>
              <w:jc w:val="center"/>
              <w:rPr>
                <w:sz w:val="22"/>
                <w:szCs w:val="22"/>
              </w:rPr>
            </w:pPr>
            <w:r>
              <w:rPr>
                <w:sz w:val="22"/>
                <w:szCs w:val="22"/>
              </w:rPr>
              <w:t xml:space="preserve">1,03 (0,79; 1,33) p=0,829 </w:t>
            </w:r>
          </w:p>
          <w:p w14:paraId="45CF5CE0" w14:textId="77777777" w:rsidR="003379F8" w:rsidRDefault="003379F8" w:rsidP="007C3E50">
            <w:pPr>
              <w:pStyle w:val="Default"/>
              <w:jc w:val="center"/>
              <w:rPr>
                <w:sz w:val="22"/>
                <w:szCs w:val="22"/>
                <w:u w:val="single"/>
              </w:rPr>
            </w:pPr>
          </w:p>
        </w:tc>
        <w:tc>
          <w:tcPr>
            <w:tcW w:w="1591" w:type="dxa"/>
          </w:tcPr>
          <w:p w14:paraId="3F2AD065" w14:textId="77777777" w:rsidR="007C3E50" w:rsidRDefault="007C3E50" w:rsidP="007C3E50">
            <w:pPr>
              <w:pStyle w:val="Default"/>
              <w:rPr>
                <w:sz w:val="22"/>
                <w:szCs w:val="22"/>
              </w:rPr>
            </w:pPr>
            <w:r>
              <w:rPr>
                <w:sz w:val="22"/>
                <w:szCs w:val="22"/>
              </w:rPr>
              <w:t xml:space="preserve">113 (3,6 %) </w:t>
            </w:r>
          </w:p>
          <w:p w14:paraId="6889966B" w14:textId="77777777" w:rsidR="003379F8" w:rsidRDefault="003379F8" w:rsidP="007C3E50">
            <w:pPr>
              <w:pStyle w:val="Default"/>
              <w:rPr>
                <w:sz w:val="22"/>
                <w:szCs w:val="22"/>
                <w:u w:val="single"/>
              </w:rPr>
            </w:pPr>
          </w:p>
        </w:tc>
      </w:tr>
      <w:tr w:rsidR="003379F8" w14:paraId="5F041E85" w14:textId="77777777" w:rsidTr="007C3E50">
        <w:tc>
          <w:tcPr>
            <w:tcW w:w="3369" w:type="dxa"/>
          </w:tcPr>
          <w:p w14:paraId="545AE539" w14:textId="77777777" w:rsidR="003379F8" w:rsidRDefault="003379F8" w:rsidP="007C3E50">
            <w:pPr>
              <w:pStyle w:val="Default"/>
              <w:rPr>
                <w:sz w:val="22"/>
                <w:szCs w:val="22"/>
              </w:rPr>
            </w:pPr>
            <w:r>
              <w:rPr>
                <w:sz w:val="22"/>
                <w:szCs w:val="22"/>
              </w:rPr>
              <w:lastRenderedPageBreak/>
              <w:t xml:space="preserve">Cievna mozgová príhoda </w:t>
            </w:r>
          </w:p>
          <w:p w14:paraId="3E189506" w14:textId="77777777" w:rsidR="003379F8" w:rsidRDefault="003379F8" w:rsidP="007C3E50">
            <w:pPr>
              <w:pStyle w:val="Default"/>
              <w:rPr>
                <w:sz w:val="22"/>
                <w:szCs w:val="22"/>
                <w:u w:val="single"/>
              </w:rPr>
            </w:pPr>
          </w:p>
        </w:tc>
        <w:tc>
          <w:tcPr>
            <w:tcW w:w="4252" w:type="dxa"/>
          </w:tcPr>
          <w:p w14:paraId="5019D9E6" w14:textId="77777777" w:rsidR="007C3E50" w:rsidRDefault="007C3E50" w:rsidP="007C3E50">
            <w:pPr>
              <w:pStyle w:val="Default"/>
              <w:jc w:val="center"/>
              <w:rPr>
                <w:sz w:val="22"/>
                <w:szCs w:val="22"/>
                <w:lang w:val="sk-SK"/>
              </w:rPr>
            </w:pPr>
            <w:r>
              <w:rPr>
                <w:sz w:val="22"/>
                <w:szCs w:val="22"/>
              </w:rPr>
              <w:t xml:space="preserve">27 (0,9 %) </w:t>
            </w:r>
          </w:p>
          <w:p w14:paraId="0AC93AC7" w14:textId="77777777" w:rsidR="007C3E50" w:rsidRDefault="007C3E50" w:rsidP="007C3E50">
            <w:pPr>
              <w:pStyle w:val="Default"/>
              <w:jc w:val="center"/>
              <w:rPr>
                <w:sz w:val="22"/>
                <w:szCs w:val="22"/>
              </w:rPr>
            </w:pPr>
            <w:r>
              <w:rPr>
                <w:sz w:val="22"/>
                <w:szCs w:val="22"/>
              </w:rPr>
              <w:t xml:space="preserve">1,30 (0,74; 2,31) p=0,360 </w:t>
            </w:r>
          </w:p>
          <w:p w14:paraId="64E09F2F" w14:textId="77777777" w:rsidR="003379F8" w:rsidRDefault="003379F8" w:rsidP="007C3E50">
            <w:pPr>
              <w:pStyle w:val="Default"/>
              <w:jc w:val="center"/>
              <w:rPr>
                <w:sz w:val="22"/>
                <w:szCs w:val="22"/>
                <w:u w:val="single"/>
              </w:rPr>
            </w:pPr>
          </w:p>
        </w:tc>
        <w:tc>
          <w:tcPr>
            <w:tcW w:w="1591" w:type="dxa"/>
          </w:tcPr>
          <w:p w14:paraId="1847C570" w14:textId="77777777" w:rsidR="007C3E50" w:rsidRDefault="007C3E50" w:rsidP="007C3E50">
            <w:pPr>
              <w:pStyle w:val="Default"/>
              <w:rPr>
                <w:sz w:val="22"/>
                <w:szCs w:val="22"/>
              </w:rPr>
            </w:pPr>
            <w:r>
              <w:rPr>
                <w:sz w:val="22"/>
                <w:szCs w:val="22"/>
              </w:rPr>
              <w:t xml:space="preserve">21 (0,7 %) </w:t>
            </w:r>
          </w:p>
          <w:p w14:paraId="146E1ABA" w14:textId="77777777" w:rsidR="003379F8" w:rsidRDefault="003379F8" w:rsidP="007C3E50">
            <w:pPr>
              <w:pStyle w:val="Default"/>
              <w:rPr>
                <w:sz w:val="22"/>
                <w:szCs w:val="22"/>
                <w:u w:val="single"/>
              </w:rPr>
            </w:pPr>
          </w:p>
        </w:tc>
      </w:tr>
      <w:tr w:rsidR="003379F8" w14:paraId="27AD9470" w14:textId="77777777" w:rsidTr="007C3E50">
        <w:tc>
          <w:tcPr>
            <w:tcW w:w="3369" w:type="dxa"/>
          </w:tcPr>
          <w:p w14:paraId="3C13C310" w14:textId="77777777" w:rsidR="003379F8" w:rsidRDefault="003379F8" w:rsidP="007C3E50">
            <w:pPr>
              <w:pStyle w:val="Default"/>
              <w:rPr>
                <w:sz w:val="22"/>
                <w:szCs w:val="22"/>
              </w:rPr>
            </w:pPr>
            <w:r>
              <w:rPr>
                <w:sz w:val="22"/>
                <w:szCs w:val="22"/>
              </w:rPr>
              <w:t xml:space="preserve">Trombóza stentu </w:t>
            </w:r>
          </w:p>
          <w:p w14:paraId="5D2F021F" w14:textId="77777777" w:rsidR="003379F8" w:rsidRDefault="003379F8" w:rsidP="007C3E50">
            <w:pPr>
              <w:pStyle w:val="Default"/>
              <w:rPr>
                <w:sz w:val="22"/>
                <w:szCs w:val="22"/>
                <w:u w:val="single"/>
              </w:rPr>
            </w:pPr>
          </w:p>
        </w:tc>
        <w:tc>
          <w:tcPr>
            <w:tcW w:w="4252" w:type="dxa"/>
          </w:tcPr>
          <w:p w14:paraId="6F7139C6" w14:textId="77777777" w:rsidR="007C3E50" w:rsidRDefault="007C3E50" w:rsidP="007C3E50">
            <w:pPr>
              <w:pStyle w:val="Default"/>
              <w:jc w:val="center"/>
              <w:rPr>
                <w:sz w:val="22"/>
                <w:szCs w:val="22"/>
                <w:lang w:val="sk-SK"/>
              </w:rPr>
            </w:pPr>
            <w:r>
              <w:rPr>
                <w:sz w:val="22"/>
                <w:szCs w:val="22"/>
              </w:rPr>
              <w:t xml:space="preserve">47 (1,5 %) </w:t>
            </w:r>
          </w:p>
          <w:p w14:paraId="65C24AF4" w14:textId="77777777" w:rsidR="007C3E50" w:rsidRDefault="007C3E50" w:rsidP="007C3E50">
            <w:pPr>
              <w:pStyle w:val="Default"/>
              <w:jc w:val="center"/>
              <w:rPr>
                <w:sz w:val="22"/>
                <w:szCs w:val="22"/>
              </w:rPr>
            </w:pPr>
            <w:r>
              <w:rPr>
                <w:sz w:val="22"/>
                <w:szCs w:val="22"/>
              </w:rPr>
              <w:t xml:space="preserve">0,66 (0,46; 0,95) p=0,026** </w:t>
            </w:r>
          </w:p>
          <w:p w14:paraId="69C24D60" w14:textId="77777777" w:rsidR="003379F8" w:rsidRDefault="003379F8" w:rsidP="007C3E50">
            <w:pPr>
              <w:pStyle w:val="Default"/>
              <w:jc w:val="center"/>
              <w:rPr>
                <w:sz w:val="22"/>
                <w:szCs w:val="22"/>
                <w:u w:val="single"/>
              </w:rPr>
            </w:pPr>
          </w:p>
        </w:tc>
        <w:tc>
          <w:tcPr>
            <w:tcW w:w="1591" w:type="dxa"/>
          </w:tcPr>
          <w:p w14:paraId="5E1F5ACD" w14:textId="77777777" w:rsidR="007C3E50" w:rsidRDefault="007C3E50" w:rsidP="007C3E50">
            <w:pPr>
              <w:pStyle w:val="Default"/>
              <w:rPr>
                <w:sz w:val="22"/>
                <w:szCs w:val="22"/>
              </w:rPr>
            </w:pPr>
            <w:r>
              <w:rPr>
                <w:sz w:val="22"/>
                <w:szCs w:val="22"/>
              </w:rPr>
              <w:t xml:space="preserve">71 (2,3 %) </w:t>
            </w:r>
          </w:p>
          <w:p w14:paraId="73EB5F22" w14:textId="77777777" w:rsidR="003379F8" w:rsidRDefault="003379F8" w:rsidP="007C3E50">
            <w:pPr>
              <w:pStyle w:val="Default"/>
              <w:rPr>
                <w:sz w:val="22"/>
                <w:szCs w:val="22"/>
                <w:u w:val="single"/>
              </w:rPr>
            </w:pPr>
          </w:p>
        </w:tc>
      </w:tr>
    </w:tbl>
    <w:p w14:paraId="4924548B" w14:textId="793D2686" w:rsidR="007C3E50" w:rsidRDefault="007C3E50" w:rsidP="007C3E50">
      <w:pPr>
        <w:pStyle w:val="Default"/>
        <w:rPr>
          <w:sz w:val="22"/>
          <w:szCs w:val="22"/>
        </w:rPr>
      </w:pPr>
      <w:r>
        <w:rPr>
          <w:sz w:val="22"/>
          <w:szCs w:val="22"/>
        </w:rPr>
        <w:t xml:space="preserve">a) </w:t>
      </w:r>
      <w:r w:rsidR="00DB5201">
        <w:rPr>
          <w:sz w:val="22"/>
          <w:szCs w:val="22"/>
        </w:rPr>
        <w:t>modifikovaná intent-to-treat analýza (intent-to-treat celková analýza pre trombózu stentu)</w:t>
      </w:r>
    </w:p>
    <w:p w14:paraId="11CC39C2" w14:textId="77777777" w:rsidR="007C3E50" w:rsidRDefault="007C3E50" w:rsidP="007C3E50">
      <w:pPr>
        <w:pStyle w:val="Default"/>
        <w:rPr>
          <w:sz w:val="22"/>
          <w:szCs w:val="22"/>
        </w:rPr>
      </w:pPr>
      <w:r>
        <w:rPr>
          <w:sz w:val="22"/>
          <w:szCs w:val="22"/>
        </w:rPr>
        <w:t xml:space="preserve">b) vs. placebo; Log-Rank p-hodnota </w:t>
      </w:r>
    </w:p>
    <w:p w14:paraId="62D0721C" w14:textId="77777777" w:rsidR="007C3E50" w:rsidRDefault="007C3E50" w:rsidP="007C3E50">
      <w:pPr>
        <w:pStyle w:val="Default"/>
        <w:rPr>
          <w:sz w:val="22"/>
          <w:szCs w:val="22"/>
        </w:rPr>
      </w:pPr>
      <w:r>
        <w:rPr>
          <w:sz w:val="22"/>
          <w:szCs w:val="22"/>
        </w:rPr>
        <w:t xml:space="preserve">** nominálne významné </w:t>
      </w:r>
    </w:p>
    <w:p w14:paraId="71B68392" w14:textId="77777777" w:rsidR="007C3E50" w:rsidRDefault="007C3E50" w:rsidP="007C3E50">
      <w:pPr>
        <w:pStyle w:val="Default"/>
        <w:rPr>
          <w:b/>
          <w:bCs/>
          <w:sz w:val="22"/>
          <w:szCs w:val="22"/>
        </w:rPr>
      </w:pPr>
    </w:p>
    <w:p w14:paraId="01E26B5C" w14:textId="39FBE7AE" w:rsidR="003379F8" w:rsidRDefault="007C3E50" w:rsidP="007C3E50">
      <w:pPr>
        <w:pStyle w:val="Default"/>
        <w:rPr>
          <w:sz w:val="22"/>
          <w:szCs w:val="22"/>
          <w:u w:val="single"/>
        </w:rPr>
      </w:pPr>
      <w:r>
        <w:rPr>
          <w:b/>
          <w:bCs/>
          <w:sz w:val="22"/>
          <w:szCs w:val="22"/>
        </w:rPr>
        <w:t>Tabuľka 6: Výsledky bezpečnosti z</w:t>
      </w:r>
      <w:r w:rsidR="00DB5201">
        <w:rPr>
          <w:b/>
          <w:bCs/>
          <w:sz w:val="22"/>
          <w:szCs w:val="22"/>
        </w:rPr>
        <w:t> fázy III štúdie</w:t>
      </w:r>
      <w:r>
        <w:rPr>
          <w:b/>
          <w:bCs/>
          <w:sz w:val="22"/>
          <w:szCs w:val="22"/>
        </w:rPr>
        <w:t xml:space="preserve"> ATLAS ACS 2 TIMI 51 </w:t>
      </w:r>
    </w:p>
    <w:tbl>
      <w:tblPr>
        <w:tblStyle w:val="Mriekatabuky"/>
        <w:tblW w:w="0" w:type="auto"/>
        <w:tblLook w:val="04A0" w:firstRow="1" w:lastRow="0" w:firstColumn="1" w:lastColumn="0" w:noHBand="0" w:noVBand="1"/>
      </w:tblPr>
      <w:tblGrid>
        <w:gridCol w:w="3369"/>
        <w:gridCol w:w="4252"/>
        <w:gridCol w:w="1591"/>
      </w:tblGrid>
      <w:tr w:rsidR="007C3E50" w14:paraId="07A4A2D5" w14:textId="77777777" w:rsidTr="007C3E50">
        <w:tc>
          <w:tcPr>
            <w:tcW w:w="3369" w:type="dxa"/>
          </w:tcPr>
          <w:p w14:paraId="663D4A83" w14:textId="77777777" w:rsidR="007C3E50" w:rsidRPr="00C04A6E" w:rsidRDefault="007C3E50" w:rsidP="007C3E50">
            <w:pPr>
              <w:pStyle w:val="Default"/>
              <w:rPr>
                <w:sz w:val="22"/>
                <w:szCs w:val="22"/>
                <w:lang w:val="sk-SK"/>
              </w:rPr>
            </w:pPr>
            <w:r>
              <w:rPr>
                <w:b/>
                <w:bCs/>
                <w:sz w:val="22"/>
                <w:szCs w:val="22"/>
              </w:rPr>
              <w:t xml:space="preserve">Sledovaná populácia </w:t>
            </w:r>
          </w:p>
        </w:tc>
        <w:tc>
          <w:tcPr>
            <w:tcW w:w="5843" w:type="dxa"/>
            <w:gridSpan w:val="2"/>
          </w:tcPr>
          <w:p w14:paraId="5860763B" w14:textId="77777777" w:rsidR="007C3E50" w:rsidRPr="003379F8" w:rsidRDefault="007C3E50" w:rsidP="007C3E50">
            <w:pPr>
              <w:pStyle w:val="Default"/>
              <w:rPr>
                <w:sz w:val="14"/>
                <w:szCs w:val="14"/>
                <w:lang w:val="sk-SK"/>
              </w:rPr>
            </w:pPr>
            <w:r>
              <w:rPr>
                <w:b/>
                <w:bCs/>
                <w:sz w:val="22"/>
                <w:szCs w:val="22"/>
              </w:rPr>
              <w:t>Pacienti s nedávnym akútnym koron</w:t>
            </w:r>
            <w:r w:rsidR="00C00B62">
              <w:rPr>
                <w:b/>
                <w:bCs/>
                <w:sz w:val="22"/>
                <w:szCs w:val="22"/>
              </w:rPr>
              <w:t xml:space="preserve">árnym syndrómom </w:t>
            </w:r>
            <w:r w:rsidRPr="003379F8">
              <w:rPr>
                <w:b/>
                <w:bCs/>
                <w:sz w:val="22"/>
                <w:szCs w:val="22"/>
                <w:vertAlign w:val="superscript"/>
              </w:rPr>
              <w:t>a</w:t>
            </w:r>
            <w:r w:rsidRPr="003379F8">
              <w:rPr>
                <w:b/>
                <w:bCs/>
                <w:sz w:val="14"/>
                <w:szCs w:val="14"/>
                <w:vertAlign w:val="superscript"/>
              </w:rPr>
              <w:t xml:space="preserve"> </w:t>
            </w:r>
          </w:p>
        </w:tc>
      </w:tr>
      <w:tr w:rsidR="007C3E50" w14:paraId="00E8C52F" w14:textId="77777777" w:rsidTr="007C3E50">
        <w:tc>
          <w:tcPr>
            <w:tcW w:w="3369" w:type="dxa"/>
          </w:tcPr>
          <w:p w14:paraId="52078059" w14:textId="0FF3C193" w:rsidR="007C3E50" w:rsidRPr="000D053C" w:rsidRDefault="00E44798" w:rsidP="007C3E50">
            <w:pPr>
              <w:pStyle w:val="Default"/>
              <w:rPr>
                <w:sz w:val="22"/>
                <w:szCs w:val="22"/>
                <w:lang w:val="sk-SK"/>
              </w:rPr>
            </w:pPr>
            <w:r>
              <w:rPr>
                <w:b/>
                <w:bCs/>
                <w:sz w:val="22"/>
                <w:szCs w:val="22"/>
                <w:lang w:val="sk-SK"/>
              </w:rPr>
              <w:t>Liečebná dávka</w:t>
            </w:r>
          </w:p>
          <w:p w14:paraId="04D3AE4D" w14:textId="77777777" w:rsidR="007C3E50" w:rsidRDefault="007C3E50" w:rsidP="007C3E50">
            <w:pPr>
              <w:pStyle w:val="Default"/>
              <w:rPr>
                <w:sz w:val="22"/>
                <w:szCs w:val="22"/>
                <w:u w:val="single"/>
              </w:rPr>
            </w:pPr>
          </w:p>
        </w:tc>
        <w:tc>
          <w:tcPr>
            <w:tcW w:w="4252" w:type="dxa"/>
          </w:tcPr>
          <w:p w14:paraId="47D27CE4" w14:textId="1AF9B0E2" w:rsidR="007C3E50" w:rsidRDefault="00E44798" w:rsidP="007C3E50">
            <w:pPr>
              <w:pStyle w:val="Default"/>
              <w:jc w:val="center"/>
              <w:rPr>
                <w:b/>
                <w:bCs/>
                <w:sz w:val="22"/>
                <w:szCs w:val="22"/>
                <w:lang w:val="sk-SK"/>
              </w:rPr>
            </w:pPr>
            <w:r>
              <w:rPr>
                <w:b/>
                <w:sz w:val="22"/>
                <w:szCs w:val="22"/>
                <w:lang w:val="sk-SK"/>
              </w:rPr>
              <w:t>rivaroxabán</w:t>
            </w:r>
            <w:r w:rsidR="007C3E50">
              <w:rPr>
                <w:b/>
                <w:bCs/>
                <w:sz w:val="22"/>
                <w:szCs w:val="22"/>
              </w:rPr>
              <w:t xml:space="preserve"> 2,5 mg, dvakrát denne,</w:t>
            </w:r>
          </w:p>
          <w:p w14:paraId="710E0427" w14:textId="77777777" w:rsidR="007C3E50" w:rsidRPr="00C00B62" w:rsidRDefault="007C3E50" w:rsidP="007C3E50">
            <w:pPr>
              <w:pStyle w:val="Default"/>
              <w:jc w:val="center"/>
              <w:rPr>
                <w:b/>
                <w:bCs/>
                <w:sz w:val="22"/>
                <w:szCs w:val="22"/>
                <w:lang w:val="sk-SK"/>
              </w:rPr>
            </w:pPr>
            <w:r>
              <w:rPr>
                <w:b/>
                <w:bCs/>
                <w:sz w:val="22"/>
                <w:szCs w:val="22"/>
              </w:rPr>
              <w:t>N=</w:t>
            </w:r>
            <w:r w:rsidR="00C00B62">
              <w:rPr>
                <w:b/>
                <w:bCs/>
                <w:sz w:val="22"/>
                <w:szCs w:val="22"/>
                <w:lang w:val="sk-SK"/>
              </w:rPr>
              <w:t>5</w:t>
            </w:r>
            <w:r>
              <w:rPr>
                <w:b/>
                <w:bCs/>
                <w:sz w:val="22"/>
                <w:szCs w:val="22"/>
              </w:rPr>
              <w:t> 11</w:t>
            </w:r>
            <w:r w:rsidR="00C00B62">
              <w:rPr>
                <w:b/>
                <w:bCs/>
                <w:sz w:val="22"/>
                <w:szCs w:val="22"/>
                <w:lang w:val="sk-SK"/>
              </w:rPr>
              <w:t>5</w:t>
            </w:r>
          </w:p>
          <w:p w14:paraId="41C23764" w14:textId="77777777" w:rsidR="007C3E50" w:rsidRDefault="007C3E50" w:rsidP="007C3E50">
            <w:pPr>
              <w:pStyle w:val="Default"/>
              <w:jc w:val="center"/>
              <w:rPr>
                <w:b/>
                <w:bCs/>
                <w:sz w:val="22"/>
                <w:szCs w:val="22"/>
                <w:lang w:val="sk-SK"/>
              </w:rPr>
            </w:pPr>
            <w:r>
              <w:rPr>
                <w:b/>
                <w:bCs/>
                <w:sz w:val="22"/>
                <w:szCs w:val="22"/>
              </w:rPr>
              <w:t>n (%)</w:t>
            </w:r>
          </w:p>
          <w:p w14:paraId="52D3CE78" w14:textId="78039F05" w:rsidR="007C3E50" w:rsidRPr="003379F8" w:rsidRDefault="007C3E50" w:rsidP="007C3E50">
            <w:pPr>
              <w:pStyle w:val="Default"/>
              <w:jc w:val="center"/>
              <w:rPr>
                <w:sz w:val="14"/>
                <w:szCs w:val="14"/>
                <w:vertAlign w:val="superscript"/>
                <w:lang w:val="sk-SK"/>
              </w:rPr>
            </w:pPr>
            <w:r>
              <w:rPr>
                <w:b/>
                <w:bCs/>
                <w:sz w:val="22"/>
                <w:szCs w:val="22"/>
              </w:rPr>
              <w:t>HR (95 % I</w:t>
            </w:r>
            <w:r w:rsidR="00E44798">
              <w:rPr>
                <w:b/>
                <w:bCs/>
                <w:sz w:val="22"/>
                <w:szCs w:val="22"/>
                <w:lang w:val="sk-SK"/>
              </w:rPr>
              <w:t>S</w:t>
            </w:r>
            <w:r>
              <w:rPr>
                <w:b/>
                <w:bCs/>
                <w:sz w:val="22"/>
                <w:szCs w:val="22"/>
              </w:rPr>
              <w:t>) p-hodnota</w:t>
            </w:r>
            <w:r>
              <w:rPr>
                <w:b/>
                <w:bCs/>
                <w:sz w:val="22"/>
                <w:szCs w:val="22"/>
                <w:vertAlign w:val="superscript"/>
                <w:lang w:val="sk-SK"/>
              </w:rPr>
              <w:t>b)</w:t>
            </w:r>
          </w:p>
        </w:tc>
        <w:tc>
          <w:tcPr>
            <w:tcW w:w="1591" w:type="dxa"/>
          </w:tcPr>
          <w:p w14:paraId="22A4B4F3" w14:textId="77777777" w:rsidR="007C3E50" w:rsidRDefault="007C3E50" w:rsidP="007C3E50">
            <w:pPr>
              <w:pStyle w:val="Default"/>
              <w:jc w:val="center"/>
              <w:rPr>
                <w:b/>
                <w:bCs/>
                <w:sz w:val="22"/>
                <w:szCs w:val="22"/>
                <w:lang w:val="sk-SK"/>
              </w:rPr>
            </w:pPr>
            <w:r>
              <w:rPr>
                <w:b/>
                <w:bCs/>
                <w:sz w:val="22"/>
                <w:szCs w:val="22"/>
              </w:rPr>
              <w:t>Placebo</w:t>
            </w:r>
          </w:p>
          <w:p w14:paraId="23BEA293" w14:textId="77777777" w:rsidR="007C3E50" w:rsidRPr="00C00B62" w:rsidRDefault="007C3E50" w:rsidP="007C3E50">
            <w:pPr>
              <w:pStyle w:val="Default"/>
              <w:jc w:val="center"/>
              <w:rPr>
                <w:b/>
                <w:bCs/>
                <w:sz w:val="22"/>
                <w:szCs w:val="22"/>
                <w:lang w:val="sk-SK"/>
              </w:rPr>
            </w:pPr>
            <w:r>
              <w:rPr>
                <w:b/>
                <w:bCs/>
                <w:sz w:val="22"/>
                <w:szCs w:val="22"/>
              </w:rPr>
              <w:t>N=</w:t>
            </w:r>
            <w:r w:rsidR="00C00B62">
              <w:rPr>
                <w:b/>
                <w:bCs/>
                <w:sz w:val="22"/>
                <w:szCs w:val="22"/>
                <w:lang w:val="sk-SK"/>
              </w:rPr>
              <w:t>5</w:t>
            </w:r>
            <w:r>
              <w:rPr>
                <w:b/>
                <w:bCs/>
                <w:sz w:val="22"/>
                <w:szCs w:val="22"/>
              </w:rPr>
              <w:t> </w:t>
            </w:r>
            <w:r w:rsidR="00C00B62">
              <w:rPr>
                <w:b/>
                <w:bCs/>
                <w:sz w:val="22"/>
                <w:szCs w:val="22"/>
                <w:lang w:val="sk-SK"/>
              </w:rPr>
              <w:t>125</w:t>
            </w:r>
          </w:p>
          <w:p w14:paraId="636FA223" w14:textId="77777777" w:rsidR="007C3E50" w:rsidRDefault="007C3E50" w:rsidP="007C3E50">
            <w:pPr>
              <w:pStyle w:val="Default"/>
              <w:jc w:val="center"/>
              <w:rPr>
                <w:sz w:val="22"/>
                <w:szCs w:val="22"/>
              </w:rPr>
            </w:pPr>
            <w:r>
              <w:rPr>
                <w:b/>
                <w:bCs/>
                <w:sz w:val="22"/>
                <w:szCs w:val="22"/>
              </w:rPr>
              <w:t>n (%)</w:t>
            </w:r>
          </w:p>
          <w:p w14:paraId="4CAC1685" w14:textId="77777777" w:rsidR="007C3E50" w:rsidRDefault="007C3E50" w:rsidP="007C3E50">
            <w:pPr>
              <w:pStyle w:val="Default"/>
              <w:rPr>
                <w:sz w:val="22"/>
                <w:szCs w:val="22"/>
                <w:u w:val="single"/>
              </w:rPr>
            </w:pPr>
          </w:p>
        </w:tc>
      </w:tr>
      <w:tr w:rsidR="007C3E50" w14:paraId="7AF68F2B" w14:textId="77777777" w:rsidTr="007C3E50">
        <w:tc>
          <w:tcPr>
            <w:tcW w:w="3369" w:type="dxa"/>
          </w:tcPr>
          <w:p w14:paraId="7CE15FE2" w14:textId="77777777" w:rsidR="00C00B62" w:rsidRDefault="00C00B62" w:rsidP="00C00B62">
            <w:pPr>
              <w:pStyle w:val="Default"/>
              <w:rPr>
                <w:sz w:val="22"/>
                <w:szCs w:val="22"/>
              </w:rPr>
            </w:pPr>
            <w:r>
              <w:rPr>
                <w:sz w:val="22"/>
                <w:szCs w:val="22"/>
              </w:rPr>
              <w:t xml:space="preserve">Non-CABG TIMI závažné krvácavé príhody </w:t>
            </w:r>
          </w:p>
          <w:p w14:paraId="6D2849B3" w14:textId="77777777" w:rsidR="007C3E50" w:rsidRPr="005944A9" w:rsidRDefault="007C3E50" w:rsidP="007C3E50">
            <w:pPr>
              <w:pStyle w:val="Default"/>
              <w:rPr>
                <w:sz w:val="22"/>
                <w:szCs w:val="22"/>
                <w:lang w:val="sk-SK"/>
              </w:rPr>
            </w:pPr>
          </w:p>
        </w:tc>
        <w:tc>
          <w:tcPr>
            <w:tcW w:w="4252" w:type="dxa"/>
          </w:tcPr>
          <w:p w14:paraId="3DA05349" w14:textId="77777777" w:rsidR="00C00B62" w:rsidRDefault="00C00B62" w:rsidP="00C00B62">
            <w:pPr>
              <w:pStyle w:val="Default"/>
              <w:jc w:val="center"/>
              <w:rPr>
                <w:sz w:val="22"/>
                <w:szCs w:val="22"/>
                <w:lang w:val="sk-SK"/>
              </w:rPr>
            </w:pPr>
            <w:r>
              <w:rPr>
                <w:sz w:val="22"/>
                <w:szCs w:val="22"/>
              </w:rPr>
              <w:t xml:space="preserve">65 (1,3 %) </w:t>
            </w:r>
          </w:p>
          <w:p w14:paraId="4AA7E9B7" w14:textId="3DF8899D" w:rsidR="00C00B62" w:rsidRDefault="00C00B62" w:rsidP="00C00B62">
            <w:pPr>
              <w:pStyle w:val="Default"/>
              <w:jc w:val="center"/>
              <w:rPr>
                <w:sz w:val="22"/>
                <w:szCs w:val="22"/>
              </w:rPr>
            </w:pPr>
            <w:r>
              <w:rPr>
                <w:sz w:val="22"/>
                <w:szCs w:val="22"/>
              </w:rPr>
              <w:t>3,46 (2,08</w:t>
            </w:r>
            <w:r w:rsidR="00E44798">
              <w:rPr>
                <w:sz w:val="22"/>
                <w:szCs w:val="22"/>
                <w:lang w:val="sk-SK"/>
              </w:rPr>
              <w:t>;</w:t>
            </w:r>
            <w:r>
              <w:rPr>
                <w:sz w:val="22"/>
                <w:szCs w:val="22"/>
              </w:rPr>
              <w:t xml:space="preserve"> 5,77) p=&lt;0,001* </w:t>
            </w:r>
          </w:p>
          <w:p w14:paraId="26BDF549" w14:textId="77777777" w:rsidR="007C3E50" w:rsidRDefault="007C3E50" w:rsidP="007C3E50">
            <w:pPr>
              <w:pStyle w:val="Default"/>
              <w:jc w:val="center"/>
              <w:rPr>
                <w:sz w:val="22"/>
                <w:szCs w:val="22"/>
                <w:u w:val="single"/>
              </w:rPr>
            </w:pPr>
          </w:p>
        </w:tc>
        <w:tc>
          <w:tcPr>
            <w:tcW w:w="1591" w:type="dxa"/>
          </w:tcPr>
          <w:p w14:paraId="6077C942" w14:textId="77777777" w:rsidR="00C00B62" w:rsidRDefault="00C00B62" w:rsidP="00C00B62">
            <w:pPr>
              <w:pStyle w:val="Default"/>
              <w:rPr>
                <w:sz w:val="22"/>
                <w:szCs w:val="22"/>
              </w:rPr>
            </w:pPr>
            <w:r>
              <w:rPr>
                <w:sz w:val="22"/>
                <w:szCs w:val="22"/>
              </w:rPr>
              <w:t xml:space="preserve">19 (0,4 %) </w:t>
            </w:r>
          </w:p>
          <w:p w14:paraId="6E70DDB6" w14:textId="77777777" w:rsidR="007C3E50" w:rsidRDefault="007C3E50" w:rsidP="007C3E50">
            <w:pPr>
              <w:pStyle w:val="Default"/>
              <w:rPr>
                <w:sz w:val="22"/>
                <w:szCs w:val="22"/>
                <w:u w:val="single"/>
              </w:rPr>
            </w:pPr>
          </w:p>
        </w:tc>
      </w:tr>
      <w:tr w:rsidR="007C3E50" w14:paraId="7EBFE66B" w14:textId="77777777" w:rsidTr="007C3E50">
        <w:tc>
          <w:tcPr>
            <w:tcW w:w="3369" w:type="dxa"/>
          </w:tcPr>
          <w:p w14:paraId="5FDF4ECB" w14:textId="77777777" w:rsidR="007C3E50" w:rsidRPr="00C00B62" w:rsidRDefault="00C00B62" w:rsidP="007C3E50">
            <w:pPr>
              <w:pStyle w:val="Default"/>
              <w:rPr>
                <w:sz w:val="22"/>
                <w:szCs w:val="22"/>
                <w:lang w:val="sk-SK"/>
              </w:rPr>
            </w:pPr>
            <w:r>
              <w:rPr>
                <w:sz w:val="22"/>
                <w:szCs w:val="22"/>
              </w:rPr>
              <w:t xml:space="preserve">Fatálne krvácavé príhody </w:t>
            </w:r>
          </w:p>
        </w:tc>
        <w:tc>
          <w:tcPr>
            <w:tcW w:w="4252" w:type="dxa"/>
          </w:tcPr>
          <w:p w14:paraId="14DEAA6D" w14:textId="77777777" w:rsidR="00C00B62" w:rsidRDefault="00C00B62" w:rsidP="00C00B62">
            <w:pPr>
              <w:pStyle w:val="Default"/>
              <w:jc w:val="center"/>
              <w:rPr>
                <w:sz w:val="22"/>
                <w:szCs w:val="22"/>
                <w:lang w:val="sk-SK"/>
              </w:rPr>
            </w:pPr>
            <w:r>
              <w:rPr>
                <w:sz w:val="22"/>
                <w:szCs w:val="22"/>
              </w:rPr>
              <w:t xml:space="preserve">6 (0,1 %) </w:t>
            </w:r>
          </w:p>
          <w:p w14:paraId="3D3CC18F" w14:textId="77777777" w:rsidR="00C00B62" w:rsidRDefault="00C00B62" w:rsidP="00C00B62">
            <w:pPr>
              <w:pStyle w:val="Default"/>
              <w:jc w:val="center"/>
              <w:rPr>
                <w:sz w:val="22"/>
                <w:szCs w:val="22"/>
              </w:rPr>
            </w:pPr>
            <w:r>
              <w:rPr>
                <w:sz w:val="22"/>
                <w:szCs w:val="22"/>
              </w:rPr>
              <w:t xml:space="preserve">0,67 (0,24; 1,89) p=0,450 </w:t>
            </w:r>
          </w:p>
          <w:p w14:paraId="5EDA59FF" w14:textId="77777777" w:rsidR="007C3E50" w:rsidRDefault="007C3E50" w:rsidP="007C3E50">
            <w:pPr>
              <w:pStyle w:val="Default"/>
              <w:jc w:val="center"/>
              <w:rPr>
                <w:sz w:val="22"/>
                <w:szCs w:val="22"/>
                <w:u w:val="single"/>
              </w:rPr>
            </w:pPr>
          </w:p>
        </w:tc>
        <w:tc>
          <w:tcPr>
            <w:tcW w:w="1591" w:type="dxa"/>
          </w:tcPr>
          <w:p w14:paraId="79BB7DAD" w14:textId="77777777" w:rsidR="00C00B62" w:rsidRDefault="00C00B62" w:rsidP="00C00B62">
            <w:pPr>
              <w:pStyle w:val="Default"/>
              <w:rPr>
                <w:sz w:val="22"/>
                <w:szCs w:val="22"/>
              </w:rPr>
            </w:pPr>
            <w:r>
              <w:rPr>
                <w:sz w:val="22"/>
                <w:szCs w:val="22"/>
              </w:rPr>
              <w:t xml:space="preserve">9 (0,2 %) </w:t>
            </w:r>
          </w:p>
          <w:p w14:paraId="28D14139" w14:textId="77777777" w:rsidR="007C3E50" w:rsidRDefault="007C3E50" w:rsidP="007C3E50">
            <w:pPr>
              <w:pStyle w:val="Default"/>
              <w:rPr>
                <w:sz w:val="22"/>
                <w:szCs w:val="22"/>
                <w:u w:val="single"/>
              </w:rPr>
            </w:pPr>
          </w:p>
        </w:tc>
      </w:tr>
      <w:tr w:rsidR="007C3E50" w14:paraId="7C46659D" w14:textId="77777777" w:rsidTr="007C3E50">
        <w:tc>
          <w:tcPr>
            <w:tcW w:w="3369" w:type="dxa"/>
          </w:tcPr>
          <w:p w14:paraId="22F79859" w14:textId="77777777" w:rsidR="007C3E50" w:rsidRPr="00C00B62" w:rsidRDefault="00C00B62" w:rsidP="007C3E50">
            <w:pPr>
              <w:pStyle w:val="Default"/>
              <w:rPr>
                <w:sz w:val="22"/>
                <w:szCs w:val="22"/>
                <w:lang w:val="sk-SK"/>
              </w:rPr>
            </w:pPr>
            <w:r>
              <w:rPr>
                <w:sz w:val="22"/>
                <w:szCs w:val="22"/>
              </w:rPr>
              <w:t xml:space="preserve">Symptomatická intrakraniálna hemorágia </w:t>
            </w:r>
          </w:p>
        </w:tc>
        <w:tc>
          <w:tcPr>
            <w:tcW w:w="4252" w:type="dxa"/>
          </w:tcPr>
          <w:p w14:paraId="0F9C6361" w14:textId="77777777" w:rsidR="00C00B62" w:rsidRDefault="00C00B62" w:rsidP="00C00B62">
            <w:pPr>
              <w:pStyle w:val="Default"/>
              <w:jc w:val="center"/>
              <w:rPr>
                <w:sz w:val="22"/>
                <w:szCs w:val="22"/>
                <w:lang w:val="sk-SK"/>
              </w:rPr>
            </w:pPr>
            <w:r>
              <w:rPr>
                <w:sz w:val="22"/>
                <w:szCs w:val="22"/>
              </w:rPr>
              <w:t xml:space="preserve">14 (0,3 %) </w:t>
            </w:r>
          </w:p>
          <w:p w14:paraId="7D9D39EE" w14:textId="77777777" w:rsidR="00C00B62" w:rsidRDefault="00C00B62" w:rsidP="00C00B62">
            <w:pPr>
              <w:pStyle w:val="Default"/>
              <w:jc w:val="center"/>
              <w:rPr>
                <w:sz w:val="22"/>
                <w:szCs w:val="22"/>
              </w:rPr>
            </w:pPr>
            <w:r>
              <w:rPr>
                <w:sz w:val="22"/>
                <w:szCs w:val="22"/>
              </w:rPr>
              <w:t xml:space="preserve">2,83 (1,02; 7,86) p=0,037 </w:t>
            </w:r>
          </w:p>
          <w:p w14:paraId="13C45A6C" w14:textId="77777777" w:rsidR="007C3E50" w:rsidRDefault="007C3E50" w:rsidP="007C3E50">
            <w:pPr>
              <w:pStyle w:val="Default"/>
              <w:jc w:val="center"/>
              <w:rPr>
                <w:sz w:val="22"/>
                <w:szCs w:val="22"/>
                <w:u w:val="single"/>
              </w:rPr>
            </w:pPr>
          </w:p>
        </w:tc>
        <w:tc>
          <w:tcPr>
            <w:tcW w:w="1591" w:type="dxa"/>
          </w:tcPr>
          <w:p w14:paraId="6ECD978E" w14:textId="77777777" w:rsidR="00C00B62" w:rsidRDefault="00C00B62" w:rsidP="00C00B62">
            <w:pPr>
              <w:pStyle w:val="Default"/>
              <w:rPr>
                <w:sz w:val="22"/>
                <w:szCs w:val="22"/>
              </w:rPr>
            </w:pPr>
            <w:r>
              <w:rPr>
                <w:sz w:val="22"/>
                <w:szCs w:val="22"/>
              </w:rPr>
              <w:t xml:space="preserve">5 (0,1 %) </w:t>
            </w:r>
          </w:p>
          <w:p w14:paraId="603C16DF" w14:textId="77777777" w:rsidR="007C3E50" w:rsidRDefault="007C3E50" w:rsidP="007C3E50">
            <w:pPr>
              <w:pStyle w:val="Default"/>
              <w:rPr>
                <w:sz w:val="22"/>
                <w:szCs w:val="22"/>
                <w:u w:val="single"/>
              </w:rPr>
            </w:pPr>
          </w:p>
        </w:tc>
      </w:tr>
      <w:tr w:rsidR="007C3E50" w14:paraId="7B2385E2" w14:textId="77777777" w:rsidTr="007C3E50">
        <w:tc>
          <w:tcPr>
            <w:tcW w:w="3369" w:type="dxa"/>
          </w:tcPr>
          <w:p w14:paraId="33B53ADC" w14:textId="02C41D30" w:rsidR="007C3E50" w:rsidRDefault="00C00B62" w:rsidP="00C00B62">
            <w:pPr>
              <w:pStyle w:val="Default"/>
              <w:rPr>
                <w:sz w:val="22"/>
                <w:szCs w:val="22"/>
                <w:u w:val="single"/>
              </w:rPr>
            </w:pPr>
            <w:r>
              <w:rPr>
                <w:sz w:val="22"/>
                <w:szCs w:val="22"/>
              </w:rPr>
              <w:t>Hypotenzia vyžadujúca liečbu intravenóznymi inotropnými l</w:t>
            </w:r>
            <w:r w:rsidR="00E44798">
              <w:rPr>
                <w:sz w:val="22"/>
                <w:szCs w:val="22"/>
                <w:lang w:val="sk-SK"/>
              </w:rPr>
              <w:t>iečivami</w:t>
            </w:r>
            <w:r>
              <w:rPr>
                <w:sz w:val="22"/>
                <w:szCs w:val="22"/>
              </w:rPr>
              <w:t xml:space="preserve"> </w:t>
            </w:r>
          </w:p>
        </w:tc>
        <w:tc>
          <w:tcPr>
            <w:tcW w:w="4252" w:type="dxa"/>
          </w:tcPr>
          <w:p w14:paraId="4A9FE975" w14:textId="77777777" w:rsidR="00C00B62" w:rsidRDefault="00C00B62" w:rsidP="00C00B62">
            <w:pPr>
              <w:pStyle w:val="Default"/>
              <w:jc w:val="center"/>
              <w:rPr>
                <w:sz w:val="22"/>
                <w:szCs w:val="22"/>
              </w:rPr>
            </w:pPr>
            <w:r>
              <w:rPr>
                <w:sz w:val="22"/>
                <w:szCs w:val="22"/>
              </w:rPr>
              <w:t xml:space="preserve">3 (0,1 %) </w:t>
            </w:r>
          </w:p>
          <w:p w14:paraId="73CBF7AE" w14:textId="77777777" w:rsidR="007C3E50" w:rsidRDefault="007C3E50" w:rsidP="007C3E50">
            <w:pPr>
              <w:pStyle w:val="Default"/>
              <w:jc w:val="center"/>
              <w:rPr>
                <w:sz w:val="22"/>
                <w:szCs w:val="22"/>
                <w:u w:val="single"/>
              </w:rPr>
            </w:pPr>
          </w:p>
        </w:tc>
        <w:tc>
          <w:tcPr>
            <w:tcW w:w="1591" w:type="dxa"/>
          </w:tcPr>
          <w:p w14:paraId="72E9C7AB" w14:textId="77777777" w:rsidR="00C00B62" w:rsidRDefault="00C00B62" w:rsidP="00C00B62">
            <w:pPr>
              <w:pStyle w:val="Default"/>
              <w:rPr>
                <w:sz w:val="22"/>
                <w:szCs w:val="22"/>
              </w:rPr>
            </w:pPr>
            <w:r>
              <w:rPr>
                <w:sz w:val="22"/>
                <w:szCs w:val="22"/>
              </w:rPr>
              <w:t xml:space="preserve">3 (0,1 %) </w:t>
            </w:r>
          </w:p>
          <w:p w14:paraId="0D9DD5E6" w14:textId="77777777" w:rsidR="007C3E50" w:rsidRDefault="007C3E50" w:rsidP="007C3E50">
            <w:pPr>
              <w:pStyle w:val="Default"/>
              <w:rPr>
                <w:sz w:val="22"/>
                <w:szCs w:val="22"/>
                <w:u w:val="single"/>
              </w:rPr>
            </w:pPr>
          </w:p>
        </w:tc>
      </w:tr>
      <w:tr w:rsidR="007C3E50" w14:paraId="4794A85C" w14:textId="77777777" w:rsidTr="007C3E50">
        <w:tc>
          <w:tcPr>
            <w:tcW w:w="3369" w:type="dxa"/>
          </w:tcPr>
          <w:p w14:paraId="1CD42B2F" w14:textId="77777777" w:rsidR="007C3E50" w:rsidRPr="00C00B62" w:rsidRDefault="00C00B62" w:rsidP="007C3E50">
            <w:pPr>
              <w:pStyle w:val="Default"/>
              <w:rPr>
                <w:sz w:val="22"/>
                <w:szCs w:val="22"/>
                <w:lang w:val="sk-SK"/>
              </w:rPr>
            </w:pPr>
            <w:r>
              <w:rPr>
                <w:sz w:val="22"/>
                <w:szCs w:val="22"/>
              </w:rPr>
              <w:t xml:space="preserve">Chirurgická intervencia počas krvácania </w:t>
            </w:r>
          </w:p>
        </w:tc>
        <w:tc>
          <w:tcPr>
            <w:tcW w:w="4252" w:type="dxa"/>
          </w:tcPr>
          <w:p w14:paraId="12897C20" w14:textId="77777777" w:rsidR="00C00B62" w:rsidRDefault="00C00B62" w:rsidP="00C00B62">
            <w:pPr>
              <w:pStyle w:val="Default"/>
              <w:jc w:val="center"/>
              <w:rPr>
                <w:sz w:val="22"/>
                <w:szCs w:val="22"/>
              </w:rPr>
            </w:pPr>
            <w:r>
              <w:rPr>
                <w:sz w:val="22"/>
                <w:szCs w:val="22"/>
              </w:rPr>
              <w:t xml:space="preserve">7 (0,1 %) </w:t>
            </w:r>
          </w:p>
          <w:p w14:paraId="3F6B8721" w14:textId="77777777" w:rsidR="007C3E50" w:rsidRDefault="007C3E50" w:rsidP="007C3E50">
            <w:pPr>
              <w:pStyle w:val="Default"/>
              <w:jc w:val="center"/>
              <w:rPr>
                <w:sz w:val="22"/>
                <w:szCs w:val="22"/>
                <w:u w:val="single"/>
              </w:rPr>
            </w:pPr>
          </w:p>
        </w:tc>
        <w:tc>
          <w:tcPr>
            <w:tcW w:w="1591" w:type="dxa"/>
          </w:tcPr>
          <w:p w14:paraId="1B2BDCF9" w14:textId="77777777" w:rsidR="00C00B62" w:rsidRDefault="00C00B62" w:rsidP="00C00B62">
            <w:pPr>
              <w:pStyle w:val="Default"/>
              <w:rPr>
                <w:sz w:val="22"/>
                <w:szCs w:val="22"/>
              </w:rPr>
            </w:pPr>
            <w:r>
              <w:rPr>
                <w:sz w:val="22"/>
                <w:szCs w:val="22"/>
              </w:rPr>
              <w:t xml:space="preserve">9 (0,2 %) </w:t>
            </w:r>
          </w:p>
          <w:p w14:paraId="7CC90A14" w14:textId="77777777" w:rsidR="007C3E50" w:rsidRDefault="007C3E50" w:rsidP="007C3E50">
            <w:pPr>
              <w:pStyle w:val="Default"/>
              <w:rPr>
                <w:sz w:val="22"/>
                <w:szCs w:val="22"/>
                <w:u w:val="single"/>
              </w:rPr>
            </w:pPr>
          </w:p>
        </w:tc>
      </w:tr>
      <w:tr w:rsidR="007C3E50" w14:paraId="73BB9E27" w14:textId="77777777" w:rsidTr="007C3E50">
        <w:tc>
          <w:tcPr>
            <w:tcW w:w="3369" w:type="dxa"/>
          </w:tcPr>
          <w:p w14:paraId="2D0BBE72" w14:textId="77777777" w:rsidR="007C3E50" w:rsidRPr="00C00B62" w:rsidRDefault="00C00B62" w:rsidP="007C3E50">
            <w:pPr>
              <w:pStyle w:val="Default"/>
              <w:rPr>
                <w:sz w:val="22"/>
                <w:szCs w:val="22"/>
                <w:lang w:val="sk-SK"/>
              </w:rPr>
            </w:pPr>
            <w:r>
              <w:rPr>
                <w:sz w:val="22"/>
                <w:szCs w:val="22"/>
              </w:rPr>
              <w:t xml:space="preserve">Transfúzia 4 alebo viacerých jednotiek krvi v priebehu 48 hodín </w:t>
            </w:r>
          </w:p>
        </w:tc>
        <w:tc>
          <w:tcPr>
            <w:tcW w:w="4252" w:type="dxa"/>
          </w:tcPr>
          <w:p w14:paraId="3695D9E8" w14:textId="77777777" w:rsidR="00C00B62" w:rsidRDefault="00C00B62" w:rsidP="00C00B62">
            <w:pPr>
              <w:pStyle w:val="Default"/>
              <w:jc w:val="center"/>
              <w:rPr>
                <w:sz w:val="22"/>
                <w:szCs w:val="22"/>
              </w:rPr>
            </w:pPr>
            <w:r>
              <w:rPr>
                <w:sz w:val="22"/>
                <w:szCs w:val="22"/>
              </w:rPr>
              <w:t xml:space="preserve">19 (0,4 %) </w:t>
            </w:r>
          </w:p>
          <w:p w14:paraId="2DD55F7E" w14:textId="77777777" w:rsidR="007C3E50" w:rsidRDefault="007C3E50" w:rsidP="007C3E50">
            <w:pPr>
              <w:pStyle w:val="Default"/>
              <w:jc w:val="center"/>
              <w:rPr>
                <w:sz w:val="22"/>
                <w:szCs w:val="22"/>
                <w:u w:val="single"/>
              </w:rPr>
            </w:pPr>
          </w:p>
        </w:tc>
        <w:tc>
          <w:tcPr>
            <w:tcW w:w="1591" w:type="dxa"/>
          </w:tcPr>
          <w:p w14:paraId="6DBD1FD1" w14:textId="77777777" w:rsidR="00C00B62" w:rsidRDefault="00C00B62" w:rsidP="00C00B62">
            <w:pPr>
              <w:pStyle w:val="Default"/>
              <w:rPr>
                <w:sz w:val="22"/>
                <w:szCs w:val="22"/>
              </w:rPr>
            </w:pPr>
            <w:r>
              <w:rPr>
                <w:sz w:val="22"/>
                <w:szCs w:val="22"/>
              </w:rPr>
              <w:t xml:space="preserve">6.(0,1 %) </w:t>
            </w:r>
          </w:p>
          <w:p w14:paraId="0B7A73DD" w14:textId="77777777" w:rsidR="007C3E50" w:rsidRDefault="007C3E50" w:rsidP="007C3E50">
            <w:pPr>
              <w:pStyle w:val="Default"/>
              <w:rPr>
                <w:sz w:val="22"/>
                <w:szCs w:val="22"/>
                <w:u w:val="single"/>
              </w:rPr>
            </w:pPr>
          </w:p>
        </w:tc>
      </w:tr>
    </w:tbl>
    <w:p w14:paraId="00323D43" w14:textId="7C04AE6E" w:rsidR="00C00B62" w:rsidRDefault="00C00B62" w:rsidP="00C00B62">
      <w:pPr>
        <w:pStyle w:val="Default"/>
        <w:rPr>
          <w:sz w:val="22"/>
          <w:szCs w:val="22"/>
        </w:rPr>
      </w:pPr>
      <w:r>
        <w:rPr>
          <w:sz w:val="22"/>
          <w:szCs w:val="22"/>
        </w:rPr>
        <w:t xml:space="preserve">a) </w:t>
      </w:r>
      <w:r w:rsidR="00ED4A0B" w:rsidRPr="000D053C">
        <w:rPr>
          <w:sz w:val="22"/>
        </w:rPr>
        <w:t>“Safety“ populácia, „on treatment“ (populácia, v ktorej bola hodnotená bezpečnosť po počas liečby)</w:t>
      </w:r>
      <w:r>
        <w:rPr>
          <w:sz w:val="22"/>
          <w:szCs w:val="22"/>
        </w:rPr>
        <w:t xml:space="preserve">b) vs. placebo; Log-Rank p-hodnota </w:t>
      </w:r>
    </w:p>
    <w:p w14:paraId="2264DDD4" w14:textId="77777777" w:rsidR="005944A9" w:rsidRDefault="00C00B62" w:rsidP="00C00B62">
      <w:pPr>
        <w:pStyle w:val="Default"/>
        <w:rPr>
          <w:sz w:val="22"/>
          <w:szCs w:val="22"/>
          <w:u w:val="single"/>
        </w:rPr>
      </w:pPr>
      <w:r>
        <w:rPr>
          <w:sz w:val="22"/>
          <w:szCs w:val="22"/>
        </w:rPr>
        <w:t>** štatisticky významné</w:t>
      </w:r>
    </w:p>
    <w:p w14:paraId="129EC11F" w14:textId="77777777" w:rsidR="005944A9" w:rsidRDefault="005944A9" w:rsidP="00B20146">
      <w:pPr>
        <w:pStyle w:val="Default"/>
        <w:rPr>
          <w:sz w:val="22"/>
          <w:szCs w:val="22"/>
          <w:u w:val="single"/>
        </w:rPr>
      </w:pPr>
    </w:p>
    <w:p w14:paraId="6F637F7A" w14:textId="5AA4B875" w:rsidR="005944A9" w:rsidRDefault="00C00B62" w:rsidP="00B20146">
      <w:pPr>
        <w:pStyle w:val="Default"/>
        <w:rPr>
          <w:sz w:val="22"/>
          <w:szCs w:val="22"/>
          <w:u w:val="single"/>
        </w:rPr>
      </w:pPr>
      <w:r>
        <w:rPr>
          <w:b/>
          <w:bCs/>
          <w:sz w:val="22"/>
          <w:szCs w:val="22"/>
        </w:rPr>
        <w:t xml:space="preserve">Obrázok 1: Čas do prvého výskytu primárneho </w:t>
      </w:r>
      <w:r w:rsidR="00C64290">
        <w:rPr>
          <w:b/>
          <w:bCs/>
          <w:sz w:val="22"/>
          <w:szCs w:val="22"/>
        </w:rPr>
        <w:t xml:space="preserve">cieľového </w:t>
      </w:r>
      <w:r>
        <w:rPr>
          <w:b/>
          <w:bCs/>
          <w:sz w:val="22"/>
          <w:szCs w:val="22"/>
        </w:rPr>
        <w:t>ukazovateľa účinnosti (kardiovaskulárna smrť, MI alebo mozgová príhoda)</w:t>
      </w:r>
    </w:p>
    <w:p w14:paraId="571E5485" w14:textId="6F377A23" w:rsidR="005944A9" w:rsidRDefault="005944A9" w:rsidP="00B20146">
      <w:pPr>
        <w:pStyle w:val="Default"/>
        <w:rPr>
          <w:sz w:val="22"/>
          <w:szCs w:val="22"/>
          <w:u w:val="single"/>
        </w:rPr>
      </w:pPr>
    </w:p>
    <w:p w14:paraId="22A9E959" w14:textId="7C453C23" w:rsidR="008514D7" w:rsidRDefault="000B3BC4" w:rsidP="00B20146">
      <w:pPr>
        <w:pStyle w:val="Default"/>
        <w:rPr>
          <w:sz w:val="22"/>
          <w:szCs w:val="22"/>
          <w:u w:val="single"/>
        </w:rPr>
      </w:pPr>
      <w:r w:rsidRPr="000B3BC4">
        <w:lastRenderedPageBreak/>
        <w:t xml:space="preserve"> </w:t>
      </w:r>
      <w:r>
        <w:rPr>
          <w:noProof/>
          <w:lang w:eastAsia="sk-SK"/>
        </w:rPr>
        <w:drawing>
          <wp:inline distT="0" distB="0" distL="0" distR="0" wp14:anchorId="35C9945A" wp14:editId="768CC297">
            <wp:extent cx="5760720" cy="39243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24300"/>
                    </a:xfrm>
                    <a:prstGeom prst="rect">
                      <a:avLst/>
                    </a:prstGeom>
                    <a:noFill/>
                    <a:ln>
                      <a:noFill/>
                    </a:ln>
                  </pic:spPr>
                </pic:pic>
              </a:graphicData>
            </a:graphic>
          </wp:inline>
        </w:drawing>
      </w:r>
    </w:p>
    <w:p w14:paraId="19B2E12B" w14:textId="77777777" w:rsidR="008514D7" w:rsidRDefault="008514D7" w:rsidP="00B20146">
      <w:pPr>
        <w:pStyle w:val="Default"/>
        <w:rPr>
          <w:sz w:val="22"/>
          <w:szCs w:val="22"/>
          <w:u w:val="single"/>
        </w:rPr>
      </w:pPr>
    </w:p>
    <w:p w14:paraId="4E4ABAD0" w14:textId="77777777" w:rsidR="003A34BB" w:rsidRPr="003A34BB" w:rsidRDefault="003A34BB" w:rsidP="003A34BB">
      <w:pPr>
        <w:autoSpaceDE w:val="0"/>
        <w:autoSpaceDN w:val="0"/>
        <w:adjustRightInd w:val="0"/>
        <w:spacing w:after="0" w:line="240" w:lineRule="auto"/>
        <w:rPr>
          <w:rFonts w:ascii="Times New Roman" w:hAnsi="Times New Roman" w:cs="Times New Roman"/>
          <w:color w:val="000000"/>
        </w:rPr>
      </w:pPr>
      <w:r w:rsidRPr="003A34BB">
        <w:rPr>
          <w:rFonts w:ascii="Times New Roman" w:hAnsi="Times New Roman" w:cs="Times New Roman"/>
          <w:i/>
          <w:iCs/>
          <w:color w:val="000000"/>
        </w:rPr>
        <w:t xml:space="preserve">CAD/PAD </w:t>
      </w:r>
    </w:p>
    <w:p w14:paraId="23EDABC9" w14:textId="451296E7" w:rsidR="003A34BB" w:rsidRPr="003A34BB" w:rsidRDefault="003A34BB" w:rsidP="003A34BB">
      <w:pPr>
        <w:autoSpaceDE w:val="0"/>
        <w:autoSpaceDN w:val="0"/>
        <w:adjustRightInd w:val="0"/>
        <w:spacing w:after="0" w:line="240" w:lineRule="auto"/>
        <w:rPr>
          <w:rFonts w:ascii="Arial" w:hAnsi="Arial" w:cs="Arial"/>
          <w:color w:val="000000"/>
        </w:rPr>
      </w:pPr>
      <w:r w:rsidRPr="003A34BB">
        <w:rPr>
          <w:rFonts w:ascii="Times New Roman" w:hAnsi="Times New Roman" w:cs="Times New Roman"/>
          <w:color w:val="000000"/>
        </w:rPr>
        <w:t xml:space="preserve">V štúdii COMPASS fázy III (27 395 pacientov, 78,0 % mužov, 22,0 % žien) sa u pacientov s CAD alebo symptomatickým PAD vo vysokom riziku ischemických príhod preukázala účinnosť a bezpečnosť </w:t>
      </w:r>
      <w:r w:rsidR="007727A9">
        <w:rPr>
          <w:rFonts w:ascii="Times New Roman" w:hAnsi="Times New Roman" w:cs="Times New Roman"/>
        </w:rPr>
        <w:t xml:space="preserve">rivaroxabánu </w:t>
      </w:r>
      <w:r w:rsidRPr="003A34BB">
        <w:rPr>
          <w:rFonts w:ascii="Times New Roman" w:hAnsi="Times New Roman" w:cs="Times New Roman"/>
          <w:color w:val="000000"/>
        </w:rPr>
        <w:t>v prevencii kompozitu CV úmrtí, MI a cievnych mozgových príhod. Pacienti boli sledovaní počas mediánu 23 mesiacov a maximálne 3,9 roka</w:t>
      </w:r>
      <w:r w:rsidRPr="003A34BB">
        <w:rPr>
          <w:rFonts w:ascii="Arial" w:hAnsi="Arial" w:cs="Arial"/>
          <w:color w:val="000000"/>
        </w:rPr>
        <w:t xml:space="preserve">. </w:t>
      </w:r>
    </w:p>
    <w:p w14:paraId="6FE3F8E9" w14:textId="77777777" w:rsidR="003A34BB" w:rsidRDefault="003A34BB" w:rsidP="003A34BB">
      <w:pPr>
        <w:autoSpaceDE w:val="0"/>
        <w:autoSpaceDN w:val="0"/>
        <w:adjustRightInd w:val="0"/>
        <w:spacing w:after="0" w:line="240" w:lineRule="auto"/>
        <w:rPr>
          <w:rFonts w:ascii="Times New Roman" w:hAnsi="Times New Roman" w:cs="Times New Roman"/>
          <w:color w:val="000000"/>
        </w:rPr>
      </w:pPr>
    </w:p>
    <w:p w14:paraId="17D0FA02" w14:textId="7533E4AC" w:rsidR="003A34BB" w:rsidRPr="003A34BB" w:rsidRDefault="003A34BB" w:rsidP="003A34BB">
      <w:pPr>
        <w:autoSpaceDE w:val="0"/>
        <w:autoSpaceDN w:val="0"/>
        <w:adjustRightInd w:val="0"/>
        <w:spacing w:after="0" w:line="240" w:lineRule="auto"/>
        <w:rPr>
          <w:rFonts w:ascii="Times New Roman" w:hAnsi="Times New Roman" w:cs="Times New Roman"/>
          <w:color w:val="000000"/>
        </w:rPr>
      </w:pPr>
      <w:r w:rsidRPr="003A34BB">
        <w:rPr>
          <w:rFonts w:ascii="Times New Roman" w:hAnsi="Times New Roman" w:cs="Times New Roman"/>
          <w:color w:val="000000"/>
        </w:rPr>
        <w:t>Pacienti bez kontinuálnej potreby liečby inhibítorom protónovej pumpy boli randomizovaní na podávanie pantoprazolu alebo placeba. Všetci pacienti boli následne randomizovaní v pome</w:t>
      </w:r>
      <w:r w:rsidR="001462B3">
        <w:rPr>
          <w:rFonts w:ascii="Times New Roman" w:hAnsi="Times New Roman" w:cs="Times New Roman"/>
          <w:color w:val="000000"/>
        </w:rPr>
        <w:t>re 1:1:1 na podávanie rivaroxabá</w:t>
      </w:r>
      <w:r w:rsidRPr="003A34BB">
        <w:rPr>
          <w:rFonts w:ascii="Times New Roman" w:hAnsi="Times New Roman" w:cs="Times New Roman"/>
          <w:color w:val="000000"/>
        </w:rPr>
        <w:t>nu 2,5 mg dvakrát denne/ASA 10</w:t>
      </w:r>
      <w:r w:rsidR="001462B3">
        <w:rPr>
          <w:rFonts w:ascii="Times New Roman" w:hAnsi="Times New Roman" w:cs="Times New Roman"/>
          <w:color w:val="000000"/>
        </w:rPr>
        <w:t>0 mg jedenkrát denne, rivaroxabá</w:t>
      </w:r>
      <w:r w:rsidRPr="003A34BB">
        <w:rPr>
          <w:rFonts w:ascii="Times New Roman" w:hAnsi="Times New Roman" w:cs="Times New Roman"/>
          <w:color w:val="000000"/>
        </w:rPr>
        <w:t xml:space="preserve">nu 5 mg dvakrát denne alebo </w:t>
      </w:r>
      <w:r w:rsidRPr="001462B3">
        <w:rPr>
          <w:rFonts w:ascii="Times New Roman" w:hAnsi="Times New Roman" w:cs="Times New Roman"/>
          <w:b/>
          <w:color w:val="000000"/>
        </w:rPr>
        <w:t>s</w:t>
      </w:r>
      <w:r w:rsidRPr="003A34BB">
        <w:rPr>
          <w:rFonts w:ascii="Times New Roman" w:hAnsi="Times New Roman" w:cs="Times New Roman"/>
          <w:color w:val="000000"/>
        </w:rPr>
        <w:t xml:space="preserve">amotnej ASA 100 mg jedenkrát denne a na podávanie zodpovedajúceho placeba. </w:t>
      </w:r>
    </w:p>
    <w:p w14:paraId="4713DFD7" w14:textId="77777777" w:rsidR="003A34BB" w:rsidRDefault="003A34BB" w:rsidP="003A34BB">
      <w:pPr>
        <w:autoSpaceDE w:val="0"/>
        <w:autoSpaceDN w:val="0"/>
        <w:adjustRightInd w:val="0"/>
        <w:spacing w:after="0" w:line="240" w:lineRule="auto"/>
        <w:rPr>
          <w:rFonts w:ascii="Times New Roman" w:hAnsi="Times New Roman" w:cs="Times New Roman"/>
          <w:color w:val="000000"/>
        </w:rPr>
      </w:pPr>
    </w:p>
    <w:p w14:paraId="607F0F06" w14:textId="62D882A2" w:rsidR="003A34BB" w:rsidRPr="003A34BB" w:rsidRDefault="003A34BB" w:rsidP="003A34BB">
      <w:pPr>
        <w:autoSpaceDE w:val="0"/>
        <w:autoSpaceDN w:val="0"/>
        <w:adjustRightInd w:val="0"/>
        <w:spacing w:after="0" w:line="240" w:lineRule="auto"/>
        <w:rPr>
          <w:rFonts w:ascii="Times New Roman" w:hAnsi="Times New Roman" w:cs="Times New Roman"/>
          <w:color w:val="000000"/>
        </w:rPr>
      </w:pPr>
      <w:r w:rsidRPr="003A34BB">
        <w:rPr>
          <w:rFonts w:ascii="Times New Roman" w:hAnsi="Times New Roman" w:cs="Times New Roman"/>
          <w:color w:val="000000"/>
        </w:rPr>
        <w:t xml:space="preserve">Pacienti s CAD mali CAD postihujúce viacero ciev a/alebo už prekonali MI. U pacientov vo veku </w:t>
      </w:r>
      <w:r w:rsidR="007727A9">
        <w:rPr>
          <w:rFonts w:ascii="Times New Roman" w:hAnsi="Times New Roman" w:cs="Times New Roman"/>
          <w:color w:val="000000"/>
        </w:rPr>
        <w:t xml:space="preserve">nad </w:t>
      </w:r>
      <w:r w:rsidRPr="003A34BB">
        <w:rPr>
          <w:rFonts w:ascii="Times New Roman" w:hAnsi="Times New Roman" w:cs="Times New Roman"/>
          <w:color w:val="000000"/>
        </w:rPr>
        <w:t xml:space="preserve">65 rokov sa vyžadovala prítomnosť aterosklerózy zahŕňajúcej aspoň dve cievne riečiská alebo najmenej dva dodatočné kardiovaskulárne rizikové faktory. </w:t>
      </w:r>
    </w:p>
    <w:p w14:paraId="057043CE" w14:textId="77777777" w:rsidR="003A34BB" w:rsidRDefault="003A34BB" w:rsidP="003A34BB">
      <w:pPr>
        <w:pStyle w:val="Default"/>
        <w:rPr>
          <w:sz w:val="22"/>
          <w:szCs w:val="22"/>
        </w:rPr>
      </w:pPr>
    </w:p>
    <w:p w14:paraId="3EE5FB85" w14:textId="5E51FB6B" w:rsidR="003A34BB" w:rsidRPr="003A34BB" w:rsidRDefault="003A34BB" w:rsidP="003A34BB">
      <w:pPr>
        <w:pStyle w:val="Default"/>
        <w:rPr>
          <w:sz w:val="22"/>
          <w:szCs w:val="22"/>
        </w:rPr>
      </w:pPr>
      <w:r w:rsidRPr="003A34BB">
        <w:rPr>
          <w:sz w:val="22"/>
          <w:szCs w:val="22"/>
        </w:rPr>
        <w:t>Pacienti s PAD v minulosti absolvovali výkony, ako napríklad bypass alebo perkutánnu transluminálnu angioplastiku alebo amputáciu končatiny alebo chodidla pri art</w:t>
      </w:r>
      <w:r w:rsidR="00C31B31">
        <w:rPr>
          <w:sz w:val="22"/>
          <w:szCs w:val="22"/>
        </w:rPr>
        <w:t>ériovom</w:t>
      </w:r>
      <w:r w:rsidRPr="003A34BB">
        <w:rPr>
          <w:sz w:val="22"/>
          <w:szCs w:val="22"/>
        </w:rPr>
        <w:t xml:space="preserve"> vaskulárnom ochorení alebo </w:t>
      </w:r>
      <w:r w:rsidR="007727A9">
        <w:rPr>
          <w:sz w:val="22"/>
          <w:szCs w:val="22"/>
        </w:rPr>
        <w:t>mali</w:t>
      </w:r>
      <w:r w:rsidR="007727A9" w:rsidRPr="003A34BB">
        <w:rPr>
          <w:sz w:val="22"/>
          <w:szCs w:val="22"/>
        </w:rPr>
        <w:t xml:space="preserve"> </w:t>
      </w:r>
      <w:r w:rsidRPr="003A34BB">
        <w:rPr>
          <w:sz w:val="22"/>
          <w:szCs w:val="22"/>
        </w:rPr>
        <w:t>intermitentn</w:t>
      </w:r>
      <w:r w:rsidR="007727A9">
        <w:rPr>
          <w:sz w:val="22"/>
          <w:szCs w:val="22"/>
        </w:rPr>
        <w:t>ú</w:t>
      </w:r>
      <w:r w:rsidRPr="003A34BB">
        <w:rPr>
          <w:sz w:val="22"/>
          <w:szCs w:val="22"/>
        </w:rPr>
        <w:t xml:space="preserve"> klaudikáciu s pomerom medzi krvným tlakom nameraným na členku a na paži &lt;0,90 a/alebo významnou stenózou periférnej artérie, alebo predchádzajúcou revaskularizáciou krčnej tepny alebo asymptomatickou stenózou krčnej tepny ≥50 %. </w:t>
      </w:r>
    </w:p>
    <w:p w14:paraId="17EEF450" w14:textId="77777777" w:rsidR="003A34BB" w:rsidRDefault="003A34BB" w:rsidP="003A34BB">
      <w:pPr>
        <w:pStyle w:val="Default"/>
        <w:rPr>
          <w:sz w:val="22"/>
          <w:szCs w:val="22"/>
        </w:rPr>
      </w:pPr>
    </w:p>
    <w:p w14:paraId="451F501E" w14:textId="77777777" w:rsidR="004A153A" w:rsidRPr="003A34BB" w:rsidRDefault="003A34BB" w:rsidP="003A34BB">
      <w:pPr>
        <w:pStyle w:val="Default"/>
        <w:rPr>
          <w:sz w:val="14"/>
          <w:szCs w:val="14"/>
        </w:rPr>
      </w:pPr>
      <w:r w:rsidRPr="003A34BB">
        <w:rPr>
          <w:sz w:val="22"/>
          <w:szCs w:val="22"/>
        </w:rPr>
        <w:t>Vylučovacie kritériá zahŕňali potrebu duálnej antiagregačnej</w:t>
      </w:r>
      <w:r>
        <w:rPr>
          <w:sz w:val="22"/>
          <w:szCs w:val="22"/>
        </w:rPr>
        <w:t xml:space="preserve"> </w:t>
      </w:r>
      <w:r w:rsidRPr="003A34BB">
        <w:rPr>
          <w:sz w:val="22"/>
          <w:szCs w:val="22"/>
        </w:rPr>
        <w:t>liečby alebo inej antiagregačnej liečby okrem ASA, alebo perorálnej antikoagulačnej liečby a pacientov s vysokým rizikom krvácania alebo srdcového zlyhania s ejekčnou frakciou &lt;30 % alebo triedy III alebo IV podľa klasifikácie Newyorskej srdcovej asociácie (</w:t>
      </w:r>
      <w:r w:rsidRPr="003A34BB">
        <w:rPr>
          <w:i/>
          <w:iCs/>
          <w:sz w:val="22"/>
          <w:szCs w:val="22"/>
        </w:rPr>
        <w:t>New York Heart Association</w:t>
      </w:r>
      <w:r w:rsidRPr="003A34BB">
        <w:rPr>
          <w:sz w:val="22"/>
          <w:szCs w:val="22"/>
        </w:rPr>
        <w:t>), alebo s akoukoľvek ischemickou, nelakunárnou cievnou mozgovou príhodou v priebehu 1 mesiaca alebo s hemoragickou alebo lakunárnou cievnou mozgovou príhodou v anamnéze.</w:t>
      </w:r>
    </w:p>
    <w:p w14:paraId="5D516B6F" w14:textId="77777777" w:rsidR="00C00B62" w:rsidRDefault="00C00B62" w:rsidP="00B20146">
      <w:pPr>
        <w:pStyle w:val="Default"/>
        <w:rPr>
          <w:rFonts w:eastAsia="Times New Roman"/>
          <w:b/>
          <w:sz w:val="22"/>
          <w:szCs w:val="22"/>
          <w:lang w:eastAsia="el-GR"/>
        </w:rPr>
      </w:pPr>
    </w:p>
    <w:p w14:paraId="179367AE" w14:textId="0588E96E" w:rsidR="003A34BB" w:rsidRPr="003A34BB" w:rsidRDefault="004707C6" w:rsidP="003A34B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Rivaroxabán v dávke</w:t>
      </w:r>
      <w:r w:rsidRPr="003A34BB">
        <w:rPr>
          <w:rFonts w:ascii="Times New Roman" w:hAnsi="Times New Roman" w:cs="Times New Roman"/>
          <w:color w:val="000000"/>
        </w:rPr>
        <w:t xml:space="preserve"> </w:t>
      </w:r>
      <w:r w:rsidR="003A34BB" w:rsidRPr="003A34BB">
        <w:rPr>
          <w:rFonts w:ascii="Times New Roman" w:hAnsi="Times New Roman" w:cs="Times New Roman"/>
          <w:color w:val="000000"/>
        </w:rPr>
        <w:t xml:space="preserve">2,5 mg dvakrát denne v kombinácii s ASA </w:t>
      </w:r>
      <w:r>
        <w:rPr>
          <w:rFonts w:ascii="Times New Roman" w:hAnsi="Times New Roman" w:cs="Times New Roman"/>
          <w:color w:val="000000"/>
        </w:rPr>
        <w:t xml:space="preserve">v dávke </w:t>
      </w:r>
      <w:r w:rsidR="003A34BB" w:rsidRPr="003A34BB">
        <w:rPr>
          <w:rFonts w:ascii="Times New Roman" w:hAnsi="Times New Roman" w:cs="Times New Roman"/>
          <w:color w:val="000000"/>
        </w:rPr>
        <w:t xml:space="preserve">100 mg jedenkrát denne bolo superiórne voči ASA 100 mg pri znížení primárneho </w:t>
      </w:r>
      <w:r>
        <w:rPr>
          <w:rFonts w:ascii="Times New Roman" w:hAnsi="Times New Roman" w:cs="Times New Roman"/>
          <w:color w:val="000000"/>
        </w:rPr>
        <w:t>zloženého</w:t>
      </w:r>
      <w:r w:rsidRPr="003A34BB">
        <w:rPr>
          <w:rFonts w:ascii="Times New Roman" w:hAnsi="Times New Roman" w:cs="Times New Roman"/>
          <w:color w:val="000000"/>
        </w:rPr>
        <w:t xml:space="preserve"> </w:t>
      </w:r>
      <w:r w:rsidR="003A34BB" w:rsidRPr="003A34BB">
        <w:rPr>
          <w:rFonts w:ascii="Times New Roman" w:hAnsi="Times New Roman" w:cs="Times New Roman"/>
          <w:color w:val="000000"/>
        </w:rPr>
        <w:t xml:space="preserve">ukazovateľa CV úmrtia, MI a cievnej mozgovej príhody (pozri tabuľku 7 a obrázok 2). </w:t>
      </w:r>
    </w:p>
    <w:p w14:paraId="0CFD3656" w14:textId="77777777" w:rsidR="003A34BB" w:rsidRDefault="003A34BB" w:rsidP="003A34BB">
      <w:pPr>
        <w:autoSpaceDE w:val="0"/>
        <w:autoSpaceDN w:val="0"/>
        <w:adjustRightInd w:val="0"/>
        <w:spacing w:after="0" w:line="240" w:lineRule="auto"/>
        <w:rPr>
          <w:rFonts w:ascii="Times New Roman" w:hAnsi="Times New Roman" w:cs="Times New Roman"/>
          <w:color w:val="000000"/>
        </w:rPr>
      </w:pPr>
    </w:p>
    <w:p w14:paraId="691A3697" w14:textId="0E9FCE11" w:rsidR="003A34BB" w:rsidRPr="003A34BB" w:rsidRDefault="003A34BB" w:rsidP="003A34BB">
      <w:pPr>
        <w:autoSpaceDE w:val="0"/>
        <w:autoSpaceDN w:val="0"/>
        <w:adjustRightInd w:val="0"/>
        <w:spacing w:after="0" w:line="240" w:lineRule="auto"/>
        <w:rPr>
          <w:rFonts w:ascii="Times New Roman" w:hAnsi="Times New Roman" w:cs="Times New Roman"/>
          <w:color w:val="000000"/>
        </w:rPr>
      </w:pPr>
      <w:r w:rsidRPr="003A34BB">
        <w:rPr>
          <w:rFonts w:ascii="Times New Roman" w:hAnsi="Times New Roman" w:cs="Times New Roman"/>
          <w:color w:val="000000"/>
        </w:rPr>
        <w:t xml:space="preserve">U pacientov liečených </w:t>
      </w:r>
      <w:r w:rsidR="001864C1">
        <w:rPr>
          <w:rFonts w:ascii="Times New Roman" w:hAnsi="Times New Roman" w:cs="Times New Roman"/>
        </w:rPr>
        <w:t>rivaroxabánom v dávke</w:t>
      </w:r>
      <w:r w:rsidRPr="003A34BB">
        <w:rPr>
          <w:rFonts w:ascii="Times New Roman" w:hAnsi="Times New Roman" w:cs="Times New Roman"/>
          <w:color w:val="000000"/>
        </w:rPr>
        <w:t xml:space="preserve"> 2,5 mg dvakrát denne v kombinácii s ASA </w:t>
      </w:r>
      <w:r w:rsidR="001864C1">
        <w:rPr>
          <w:rFonts w:ascii="Times New Roman" w:hAnsi="Times New Roman" w:cs="Times New Roman"/>
          <w:color w:val="000000"/>
        </w:rPr>
        <w:t xml:space="preserve">v dávke </w:t>
      </w:r>
      <w:r w:rsidRPr="003A34BB">
        <w:rPr>
          <w:rFonts w:ascii="Times New Roman" w:hAnsi="Times New Roman" w:cs="Times New Roman"/>
          <w:color w:val="000000"/>
        </w:rPr>
        <w:t xml:space="preserve">100 mg jedenkrát denne došlo k významnému nárastu primárneho ukazovateľa bezpečnosti (príhody závažného krvácania podľa upravených kritérií ISTH), v porovnaní s pacientmi, ktorým sa podávala ASA 100 mg (pozri tabuľku 8). </w:t>
      </w:r>
    </w:p>
    <w:p w14:paraId="5F10D8B2" w14:textId="77777777" w:rsidR="001864C1" w:rsidRDefault="001864C1" w:rsidP="003A34BB">
      <w:pPr>
        <w:pStyle w:val="Default"/>
        <w:rPr>
          <w:sz w:val="22"/>
          <w:szCs w:val="22"/>
        </w:rPr>
      </w:pPr>
    </w:p>
    <w:p w14:paraId="2DAD2549" w14:textId="7C3D9B17" w:rsidR="00C00B62" w:rsidRDefault="003A34BB" w:rsidP="003A34BB">
      <w:pPr>
        <w:pStyle w:val="Default"/>
        <w:rPr>
          <w:rFonts w:eastAsia="Times New Roman"/>
          <w:b/>
          <w:sz w:val="22"/>
          <w:szCs w:val="22"/>
          <w:lang w:eastAsia="el-GR"/>
        </w:rPr>
      </w:pPr>
      <w:r w:rsidRPr="003A34BB">
        <w:rPr>
          <w:sz w:val="22"/>
          <w:szCs w:val="22"/>
        </w:rPr>
        <w:t xml:space="preserve">Pre primárny ukazovateľ účinnosti bol pozorovaný prínos </w:t>
      </w:r>
      <w:r w:rsidR="001864C1">
        <w:rPr>
          <w:sz w:val="22"/>
          <w:szCs w:val="22"/>
        </w:rPr>
        <w:t>rivaroxabánu v dávke</w:t>
      </w:r>
      <w:r w:rsidR="001864C1" w:rsidRPr="003A34BB">
        <w:rPr>
          <w:sz w:val="22"/>
          <w:szCs w:val="22"/>
        </w:rPr>
        <w:t xml:space="preserve"> </w:t>
      </w:r>
      <w:r w:rsidRPr="003A34BB">
        <w:rPr>
          <w:sz w:val="22"/>
          <w:szCs w:val="22"/>
        </w:rPr>
        <w:t>2,5 mg dvakrát denne a</w:t>
      </w:r>
      <w:r w:rsidR="001864C1">
        <w:rPr>
          <w:sz w:val="22"/>
          <w:szCs w:val="22"/>
        </w:rPr>
        <w:t> </w:t>
      </w:r>
      <w:r w:rsidRPr="003A34BB">
        <w:rPr>
          <w:sz w:val="22"/>
          <w:szCs w:val="22"/>
        </w:rPr>
        <w:t>ASA</w:t>
      </w:r>
      <w:r w:rsidR="001864C1">
        <w:rPr>
          <w:sz w:val="22"/>
          <w:szCs w:val="22"/>
        </w:rPr>
        <w:t xml:space="preserve"> v dávke</w:t>
      </w:r>
      <w:r w:rsidRPr="003A34BB">
        <w:rPr>
          <w:sz w:val="22"/>
          <w:szCs w:val="22"/>
        </w:rPr>
        <w:t xml:space="preserve"> 100 mg jedenkrát denne v porovnaní s ASA </w:t>
      </w:r>
      <w:r w:rsidR="001864C1">
        <w:rPr>
          <w:sz w:val="22"/>
          <w:szCs w:val="22"/>
        </w:rPr>
        <w:t xml:space="preserve">v dávke </w:t>
      </w:r>
      <w:r w:rsidRPr="003A34BB">
        <w:rPr>
          <w:sz w:val="22"/>
          <w:szCs w:val="22"/>
        </w:rPr>
        <w:t>100 mg jedenkrát denne s HR 0,89 (95 % I</w:t>
      </w:r>
      <w:r w:rsidR="001864C1">
        <w:rPr>
          <w:sz w:val="22"/>
          <w:szCs w:val="22"/>
        </w:rPr>
        <w:t>S</w:t>
      </w:r>
      <w:r w:rsidRPr="003A34BB">
        <w:rPr>
          <w:sz w:val="22"/>
          <w:szCs w:val="22"/>
        </w:rPr>
        <w:t xml:space="preserve"> 0,7-1,1) u pacientov vo veku </w:t>
      </w:r>
      <w:r w:rsidR="001864C1">
        <w:rPr>
          <w:sz w:val="22"/>
          <w:szCs w:val="22"/>
        </w:rPr>
        <w:t xml:space="preserve">nad </w:t>
      </w:r>
      <w:r w:rsidRPr="003A34BB">
        <w:rPr>
          <w:sz w:val="22"/>
          <w:szCs w:val="22"/>
        </w:rPr>
        <w:t>75 rokov (incidencia 6,3 % vs 7,0 %) a HR=0,70 (95 % I</w:t>
      </w:r>
      <w:r w:rsidR="001864C1">
        <w:rPr>
          <w:sz w:val="22"/>
          <w:szCs w:val="22"/>
        </w:rPr>
        <w:t>S</w:t>
      </w:r>
      <w:r w:rsidRPr="003A34BB">
        <w:rPr>
          <w:sz w:val="22"/>
          <w:szCs w:val="22"/>
        </w:rPr>
        <w:t xml:space="preserve"> 0,6-0,8) u pacientov vo veku </w:t>
      </w:r>
      <w:r w:rsidR="001864C1">
        <w:rPr>
          <w:sz w:val="22"/>
          <w:szCs w:val="22"/>
        </w:rPr>
        <w:t xml:space="preserve">do </w:t>
      </w:r>
      <w:r w:rsidRPr="003A34BB">
        <w:rPr>
          <w:sz w:val="22"/>
          <w:szCs w:val="22"/>
        </w:rPr>
        <w:t>75 rokov (3,6 % vs 5,0 %). Pri závažnom krvácaní podľa upravených kritérií ISTH bolo pozorované zvýšenie rizika HR=2,12 (95 % I</w:t>
      </w:r>
      <w:r w:rsidR="001864C1">
        <w:rPr>
          <w:sz w:val="22"/>
          <w:szCs w:val="22"/>
        </w:rPr>
        <w:t>S</w:t>
      </w:r>
      <w:r w:rsidRPr="003A34BB">
        <w:rPr>
          <w:sz w:val="22"/>
          <w:szCs w:val="22"/>
        </w:rPr>
        <w:t xml:space="preserve"> 1,5-3,0) u pacientov vo veku </w:t>
      </w:r>
      <w:r w:rsidR="001864C1">
        <w:rPr>
          <w:sz w:val="22"/>
          <w:szCs w:val="22"/>
        </w:rPr>
        <w:t>nad</w:t>
      </w:r>
      <w:r w:rsidRPr="003A34BB">
        <w:rPr>
          <w:sz w:val="22"/>
          <w:szCs w:val="22"/>
        </w:rPr>
        <w:t>75 rokov (5,2 % vs 2,5 %) a HR=1,53 (95 % I</w:t>
      </w:r>
      <w:r w:rsidR="001864C1">
        <w:rPr>
          <w:sz w:val="22"/>
          <w:szCs w:val="22"/>
        </w:rPr>
        <w:t>S</w:t>
      </w:r>
      <w:r w:rsidRPr="003A34BB">
        <w:rPr>
          <w:sz w:val="22"/>
          <w:szCs w:val="22"/>
        </w:rPr>
        <w:t xml:space="preserve"> 1,2-1,9) u pacientov vo veku </w:t>
      </w:r>
      <w:r w:rsidR="001864C1">
        <w:rPr>
          <w:sz w:val="22"/>
          <w:szCs w:val="22"/>
        </w:rPr>
        <w:t>do</w:t>
      </w:r>
      <w:r w:rsidRPr="003A34BB">
        <w:rPr>
          <w:sz w:val="22"/>
          <w:szCs w:val="22"/>
        </w:rPr>
        <w:t>75 rokov (2,6% vs 1,7%).</w:t>
      </w:r>
    </w:p>
    <w:p w14:paraId="667C209B" w14:textId="77777777" w:rsidR="00C00B62" w:rsidRDefault="00C00B62" w:rsidP="00B20146">
      <w:pPr>
        <w:pStyle w:val="Default"/>
        <w:rPr>
          <w:rFonts w:eastAsia="Times New Roman"/>
          <w:b/>
          <w:sz w:val="22"/>
          <w:szCs w:val="22"/>
          <w:lang w:eastAsia="el-GR"/>
        </w:rPr>
      </w:pPr>
    </w:p>
    <w:p w14:paraId="42FBD843" w14:textId="0DB2DE40" w:rsidR="003A34BB" w:rsidRDefault="0033550A" w:rsidP="00B20146">
      <w:pPr>
        <w:pStyle w:val="Default"/>
        <w:rPr>
          <w:rFonts w:eastAsia="Times New Roman"/>
          <w:b/>
          <w:sz w:val="22"/>
          <w:szCs w:val="22"/>
          <w:lang w:eastAsia="el-GR"/>
        </w:rPr>
      </w:pPr>
      <w:r>
        <w:rPr>
          <w:b/>
          <w:bCs/>
          <w:sz w:val="22"/>
          <w:szCs w:val="22"/>
        </w:rPr>
        <w:t>Tabuľka 7: Výsledky účinnosti z</w:t>
      </w:r>
      <w:r w:rsidR="001864C1">
        <w:rPr>
          <w:b/>
          <w:bCs/>
          <w:sz w:val="22"/>
          <w:szCs w:val="22"/>
        </w:rPr>
        <w:t> fázy III</w:t>
      </w:r>
      <w:r>
        <w:rPr>
          <w:b/>
          <w:bCs/>
          <w:sz w:val="22"/>
          <w:szCs w:val="22"/>
        </w:rPr>
        <w:t xml:space="preserve"> štúdie COMPASS </w:t>
      </w:r>
    </w:p>
    <w:tbl>
      <w:tblPr>
        <w:tblStyle w:val="Mriekatabuky"/>
        <w:tblW w:w="0" w:type="auto"/>
        <w:tblLook w:val="04A0" w:firstRow="1" w:lastRow="0" w:firstColumn="1" w:lastColumn="0" w:noHBand="0" w:noVBand="1"/>
      </w:tblPr>
      <w:tblGrid>
        <w:gridCol w:w="2092"/>
        <w:gridCol w:w="1215"/>
        <w:gridCol w:w="976"/>
        <w:gridCol w:w="1215"/>
        <w:gridCol w:w="874"/>
        <w:gridCol w:w="1488"/>
        <w:gridCol w:w="1428"/>
      </w:tblGrid>
      <w:tr w:rsidR="00013609" w:rsidRPr="00013609" w14:paraId="37E32B94" w14:textId="77777777" w:rsidTr="00A04A5C">
        <w:tc>
          <w:tcPr>
            <w:tcW w:w="1871" w:type="dxa"/>
          </w:tcPr>
          <w:p w14:paraId="52A46924" w14:textId="77777777" w:rsidR="00013609" w:rsidRPr="00013609" w:rsidRDefault="00013609" w:rsidP="00A04A5C">
            <w:pPr>
              <w:rPr>
                <w:sz w:val="22"/>
                <w:szCs w:val="22"/>
                <w:lang w:val="sk-SK"/>
              </w:rPr>
            </w:pPr>
            <w:r>
              <w:rPr>
                <w:b/>
                <w:bCs/>
                <w:sz w:val="22"/>
                <w:szCs w:val="22"/>
              </w:rPr>
              <w:t>Sledovaná populácia</w:t>
            </w:r>
          </w:p>
        </w:tc>
        <w:tc>
          <w:tcPr>
            <w:tcW w:w="4059" w:type="dxa"/>
            <w:gridSpan w:val="4"/>
          </w:tcPr>
          <w:p w14:paraId="08626C03" w14:textId="77777777" w:rsidR="00013609" w:rsidRPr="00013609" w:rsidRDefault="00013609" w:rsidP="00013609">
            <w:pPr>
              <w:autoSpaceDE w:val="0"/>
              <w:autoSpaceDN w:val="0"/>
              <w:adjustRightInd w:val="0"/>
              <w:spacing w:line="223" w:lineRule="exact"/>
              <w:ind w:right="-20"/>
              <w:rPr>
                <w:sz w:val="22"/>
                <w:szCs w:val="22"/>
                <w:lang w:val="sk-SK"/>
              </w:rPr>
            </w:pPr>
            <w:r w:rsidRPr="00013609">
              <w:rPr>
                <w:b/>
                <w:bCs/>
                <w:spacing w:val="1"/>
                <w:sz w:val="22"/>
                <w:szCs w:val="22"/>
                <w:lang w:val="sk-SK"/>
              </w:rPr>
              <w:t>P</w:t>
            </w:r>
            <w:r w:rsidRPr="00013609">
              <w:rPr>
                <w:b/>
                <w:bCs/>
                <w:sz w:val="22"/>
                <w:szCs w:val="22"/>
                <w:lang w:val="sk-SK"/>
              </w:rPr>
              <w:t>a</w:t>
            </w:r>
            <w:r>
              <w:rPr>
                <w:b/>
                <w:bCs/>
                <w:sz w:val="22"/>
                <w:szCs w:val="22"/>
                <w:lang w:val="sk-SK"/>
              </w:rPr>
              <w:t>c</w:t>
            </w:r>
            <w:r w:rsidRPr="00013609">
              <w:rPr>
                <w:b/>
                <w:bCs/>
                <w:spacing w:val="2"/>
                <w:sz w:val="22"/>
                <w:szCs w:val="22"/>
                <w:lang w:val="sk-SK"/>
              </w:rPr>
              <w:t>i</w:t>
            </w:r>
            <w:r w:rsidRPr="00013609">
              <w:rPr>
                <w:b/>
                <w:bCs/>
                <w:spacing w:val="-3"/>
                <w:sz w:val="22"/>
                <w:szCs w:val="22"/>
                <w:lang w:val="sk-SK"/>
              </w:rPr>
              <w:t>e</w:t>
            </w:r>
            <w:r w:rsidRPr="00013609">
              <w:rPr>
                <w:b/>
                <w:bCs/>
                <w:sz w:val="22"/>
                <w:szCs w:val="22"/>
                <w:lang w:val="sk-SK"/>
              </w:rPr>
              <w:t>n</w:t>
            </w:r>
            <w:r w:rsidRPr="00013609">
              <w:rPr>
                <w:b/>
                <w:bCs/>
                <w:spacing w:val="1"/>
                <w:sz w:val="22"/>
                <w:szCs w:val="22"/>
                <w:lang w:val="sk-SK"/>
              </w:rPr>
              <w:t>t</w:t>
            </w:r>
            <w:r>
              <w:rPr>
                <w:b/>
                <w:bCs/>
                <w:sz w:val="22"/>
                <w:szCs w:val="22"/>
                <w:lang w:val="sk-SK"/>
              </w:rPr>
              <w:t>i</w:t>
            </w:r>
            <w:r w:rsidRPr="00013609">
              <w:rPr>
                <w:b/>
                <w:bCs/>
                <w:spacing w:val="22"/>
                <w:sz w:val="22"/>
                <w:szCs w:val="22"/>
                <w:lang w:val="sk-SK"/>
              </w:rPr>
              <w:t xml:space="preserve"> </w:t>
            </w:r>
            <w:r>
              <w:rPr>
                <w:b/>
                <w:bCs/>
                <w:spacing w:val="22"/>
                <w:sz w:val="22"/>
                <w:szCs w:val="22"/>
                <w:lang w:val="sk-SK"/>
              </w:rPr>
              <w:t>s</w:t>
            </w:r>
            <w:r w:rsidRPr="00013609">
              <w:rPr>
                <w:b/>
                <w:bCs/>
                <w:spacing w:val="11"/>
                <w:sz w:val="22"/>
                <w:szCs w:val="22"/>
                <w:lang w:val="sk-SK"/>
              </w:rPr>
              <w:t xml:space="preserve"> </w:t>
            </w:r>
            <w:r w:rsidRPr="00013609">
              <w:rPr>
                <w:b/>
                <w:bCs/>
                <w:spacing w:val="-1"/>
                <w:sz w:val="22"/>
                <w:szCs w:val="22"/>
                <w:lang w:val="sk-SK"/>
              </w:rPr>
              <w:t>CAD/PAD</w:t>
            </w:r>
            <w:r w:rsidRPr="00013609">
              <w:rPr>
                <w:b/>
                <w:bCs/>
                <w:spacing w:val="2"/>
                <w:sz w:val="22"/>
                <w:szCs w:val="22"/>
                <w:vertAlign w:val="superscript"/>
                <w:lang w:val="sk-SK"/>
              </w:rPr>
              <w:t>a</w:t>
            </w:r>
            <w:r w:rsidRPr="00013609">
              <w:rPr>
                <w:b/>
                <w:bCs/>
                <w:sz w:val="22"/>
                <w:szCs w:val="22"/>
                <w:vertAlign w:val="superscript"/>
                <w:lang w:val="sk-SK"/>
              </w:rPr>
              <w:t>)</w:t>
            </w:r>
          </w:p>
        </w:tc>
        <w:tc>
          <w:tcPr>
            <w:tcW w:w="3356" w:type="dxa"/>
            <w:gridSpan w:val="2"/>
          </w:tcPr>
          <w:p w14:paraId="42D67213" w14:textId="77777777" w:rsidR="00013609" w:rsidRPr="00013609" w:rsidRDefault="00013609" w:rsidP="00A04A5C">
            <w:pPr>
              <w:autoSpaceDE w:val="0"/>
              <w:autoSpaceDN w:val="0"/>
              <w:adjustRightInd w:val="0"/>
              <w:spacing w:line="223" w:lineRule="exact"/>
              <w:ind w:right="-20"/>
              <w:rPr>
                <w:b/>
                <w:bCs/>
                <w:spacing w:val="1"/>
                <w:sz w:val="22"/>
                <w:szCs w:val="22"/>
                <w:lang w:val="sk-SK"/>
              </w:rPr>
            </w:pPr>
          </w:p>
        </w:tc>
      </w:tr>
      <w:tr w:rsidR="00013609" w:rsidRPr="00013609" w14:paraId="57A1C514" w14:textId="77777777" w:rsidTr="00A04A5C">
        <w:tc>
          <w:tcPr>
            <w:tcW w:w="1871" w:type="dxa"/>
          </w:tcPr>
          <w:p w14:paraId="210B9D17" w14:textId="353762DA" w:rsidR="00013609" w:rsidRPr="007023AD" w:rsidRDefault="007023AD" w:rsidP="00A04A5C">
            <w:pPr>
              <w:autoSpaceDE w:val="0"/>
              <w:autoSpaceDN w:val="0"/>
              <w:adjustRightInd w:val="0"/>
              <w:rPr>
                <w:b/>
                <w:sz w:val="22"/>
                <w:szCs w:val="22"/>
                <w:lang w:val="sk-SK"/>
              </w:rPr>
            </w:pPr>
            <w:r>
              <w:rPr>
                <w:b/>
                <w:bCs/>
                <w:sz w:val="22"/>
                <w:szCs w:val="22"/>
                <w:lang w:val="sk-SK"/>
              </w:rPr>
              <w:t>Liečebná dávka</w:t>
            </w:r>
          </w:p>
        </w:tc>
        <w:tc>
          <w:tcPr>
            <w:tcW w:w="2196" w:type="dxa"/>
            <w:gridSpan w:val="2"/>
          </w:tcPr>
          <w:p w14:paraId="55964A67" w14:textId="04B2DEE3" w:rsidR="00013609" w:rsidRPr="00013609" w:rsidRDefault="001462B3" w:rsidP="00A04A5C">
            <w:pPr>
              <w:autoSpaceDE w:val="0"/>
              <w:autoSpaceDN w:val="0"/>
              <w:adjustRightInd w:val="0"/>
              <w:rPr>
                <w:b/>
                <w:sz w:val="22"/>
                <w:szCs w:val="22"/>
                <w:lang w:val="sk-SK"/>
              </w:rPr>
            </w:pPr>
            <w:r>
              <w:rPr>
                <w:b/>
                <w:sz w:val="22"/>
                <w:szCs w:val="22"/>
                <w:lang w:val="sk-SK"/>
              </w:rPr>
              <w:t>Rivaroxabá</w:t>
            </w:r>
            <w:r w:rsidR="00013609">
              <w:rPr>
                <w:b/>
                <w:sz w:val="22"/>
                <w:szCs w:val="22"/>
                <w:lang w:val="sk-SK"/>
              </w:rPr>
              <w:t xml:space="preserve">n 2,5 mg </w:t>
            </w:r>
            <w:r w:rsidR="007023AD">
              <w:rPr>
                <w:b/>
                <w:bCs/>
                <w:sz w:val="22"/>
                <w:szCs w:val="22"/>
                <w:lang w:val="sk-SK"/>
              </w:rPr>
              <w:t>dvakrát denne</w:t>
            </w:r>
            <w:r w:rsidR="00013609">
              <w:rPr>
                <w:b/>
                <w:sz w:val="22"/>
                <w:szCs w:val="22"/>
                <w:lang w:val="sk-SK"/>
              </w:rPr>
              <w:t xml:space="preserve"> v</w:t>
            </w:r>
            <w:r w:rsidR="00013609" w:rsidRPr="00013609">
              <w:rPr>
                <w:b/>
                <w:sz w:val="22"/>
                <w:szCs w:val="22"/>
                <w:lang w:val="sk-SK"/>
              </w:rPr>
              <w:t xml:space="preserve"> </w:t>
            </w:r>
            <w:r w:rsidR="00013609">
              <w:rPr>
                <w:b/>
                <w:sz w:val="22"/>
                <w:szCs w:val="22"/>
                <w:lang w:val="sk-SK"/>
              </w:rPr>
              <w:t>k</w:t>
            </w:r>
            <w:r w:rsidR="00013609" w:rsidRPr="00013609">
              <w:rPr>
                <w:b/>
                <w:sz w:val="22"/>
                <w:szCs w:val="22"/>
                <w:lang w:val="sk-SK"/>
              </w:rPr>
              <w:t>ombin</w:t>
            </w:r>
            <w:r w:rsidR="00013609">
              <w:rPr>
                <w:b/>
                <w:sz w:val="22"/>
                <w:szCs w:val="22"/>
                <w:lang w:val="sk-SK"/>
              </w:rPr>
              <w:t>ácii</w:t>
            </w:r>
            <w:r w:rsidR="00013609" w:rsidRPr="00013609">
              <w:rPr>
                <w:b/>
                <w:sz w:val="22"/>
                <w:szCs w:val="22"/>
                <w:lang w:val="sk-SK"/>
              </w:rPr>
              <w:t xml:space="preserve"> </w:t>
            </w:r>
            <w:r w:rsidR="00013609">
              <w:rPr>
                <w:b/>
                <w:sz w:val="22"/>
                <w:szCs w:val="22"/>
                <w:lang w:val="sk-SK"/>
              </w:rPr>
              <w:t>s</w:t>
            </w:r>
            <w:r w:rsidR="00013609" w:rsidRPr="00013609">
              <w:rPr>
                <w:b/>
                <w:sz w:val="22"/>
                <w:szCs w:val="22"/>
                <w:lang w:val="sk-SK"/>
              </w:rPr>
              <w:t xml:space="preserve"> ASA 100 mg </w:t>
            </w:r>
            <w:r w:rsidR="007023AD">
              <w:rPr>
                <w:b/>
                <w:bCs/>
                <w:sz w:val="22"/>
                <w:szCs w:val="22"/>
                <w:lang w:val="sk-SK"/>
              </w:rPr>
              <w:t>jedenkrát denne</w:t>
            </w:r>
          </w:p>
          <w:p w14:paraId="01B14377" w14:textId="77777777" w:rsidR="00013609" w:rsidRPr="00013609" w:rsidRDefault="000D41AC" w:rsidP="00A04A5C">
            <w:pPr>
              <w:autoSpaceDE w:val="0"/>
              <w:autoSpaceDN w:val="0"/>
              <w:adjustRightInd w:val="0"/>
              <w:rPr>
                <w:b/>
                <w:sz w:val="22"/>
                <w:szCs w:val="22"/>
                <w:lang w:val="sk-SK"/>
              </w:rPr>
            </w:pPr>
            <w:r>
              <w:rPr>
                <w:b/>
                <w:sz w:val="22"/>
                <w:szCs w:val="22"/>
                <w:lang w:val="sk-SK"/>
              </w:rPr>
              <w:t>N=9 </w:t>
            </w:r>
            <w:r w:rsidR="00013609" w:rsidRPr="00013609">
              <w:rPr>
                <w:b/>
                <w:sz w:val="22"/>
                <w:szCs w:val="22"/>
                <w:lang w:val="sk-SK"/>
              </w:rPr>
              <w:t>152</w:t>
            </w:r>
          </w:p>
        </w:tc>
        <w:tc>
          <w:tcPr>
            <w:tcW w:w="1863" w:type="dxa"/>
            <w:gridSpan w:val="2"/>
          </w:tcPr>
          <w:p w14:paraId="0875CAE1" w14:textId="5D1D6043" w:rsidR="00013609" w:rsidRPr="00013609" w:rsidRDefault="000D41AC" w:rsidP="00A04A5C">
            <w:pPr>
              <w:autoSpaceDE w:val="0"/>
              <w:autoSpaceDN w:val="0"/>
              <w:adjustRightInd w:val="0"/>
              <w:rPr>
                <w:b/>
                <w:sz w:val="22"/>
                <w:szCs w:val="22"/>
                <w:lang w:val="sk-SK"/>
              </w:rPr>
            </w:pPr>
            <w:r>
              <w:rPr>
                <w:b/>
                <w:sz w:val="22"/>
                <w:szCs w:val="22"/>
                <w:lang w:val="sk-SK"/>
              </w:rPr>
              <w:t xml:space="preserve">ASA 100 mg </w:t>
            </w:r>
            <w:r w:rsidR="007023AD">
              <w:rPr>
                <w:b/>
                <w:bCs/>
                <w:sz w:val="22"/>
                <w:szCs w:val="22"/>
                <w:lang w:val="sk-SK"/>
              </w:rPr>
              <w:t>jedenkrát denne</w:t>
            </w:r>
          </w:p>
          <w:p w14:paraId="29F4D862" w14:textId="77777777" w:rsidR="00013609" w:rsidRPr="00013609" w:rsidRDefault="00013609" w:rsidP="00A04A5C">
            <w:pPr>
              <w:autoSpaceDE w:val="0"/>
              <w:autoSpaceDN w:val="0"/>
              <w:adjustRightInd w:val="0"/>
              <w:rPr>
                <w:b/>
                <w:sz w:val="22"/>
                <w:szCs w:val="22"/>
                <w:lang w:val="sk-SK"/>
              </w:rPr>
            </w:pPr>
          </w:p>
          <w:p w14:paraId="311DEC61" w14:textId="77777777" w:rsidR="00013609" w:rsidRPr="00013609" w:rsidRDefault="00013609" w:rsidP="00A04A5C">
            <w:pPr>
              <w:autoSpaceDE w:val="0"/>
              <w:autoSpaceDN w:val="0"/>
              <w:adjustRightInd w:val="0"/>
              <w:rPr>
                <w:b/>
                <w:sz w:val="22"/>
                <w:szCs w:val="22"/>
                <w:lang w:val="sk-SK"/>
              </w:rPr>
            </w:pPr>
          </w:p>
          <w:p w14:paraId="64020616" w14:textId="77777777" w:rsidR="00013609" w:rsidRPr="00013609" w:rsidRDefault="000D41AC" w:rsidP="00A04A5C">
            <w:pPr>
              <w:autoSpaceDE w:val="0"/>
              <w:autoSpaceDN w:val="0"/>
              <w:adjustRightInd w:val="0"/>
              <w:rPr>
                <w:b/>
                <w:sz w:val="22"/>
                <w:szCs w:val="22"/>
                <w:lang w:val="sk-SK"/>
              </w:rPr>
            </w:pPr>
            <w:r>
              <w:rPr>
                <w:b/>
                <w:sz w:val="22"/>
                <w:szCs w:val="22"/>
                <w:lang w:val="sk-SK"/>
              </w:rPr>
              <w:t>N=9 </w:t>
            </w:r>
            <w:r w:rsidR="00013609" w:rsidRPr="00013609">
              <w:rPr>
                <w:b/>
                <w:sz w:val="22"/>
                <w:szCs w:val="22"/>
                <w:lang w:val="sk-SK"/>
              </w:rPr>
              <w:t>126</w:t>
            </w:r>
          </w:p>
        </w:tc>
        <w:tc>
          <w:tcPr>
            <w:tcW w:w="3356" w:type="dxa"/>
            <w:gridSpan w:val="2"/>
          </w:tcPr>
          <w:p w14:paraId="3CB06F11" w14:textId="77777777" w:rsidR="00013609" w:rsidRPr="00013609" w:rsidRDefault="00013609" w:rsidP="00A04A5C">
            <w:pPr>
              <w:autoSpaceDE w:val="0"/>
              <w:autoSpaceDN w:val="0"/>
              <w:adjustRightInd w:val="0"/>
              <w:jc w:val="center"/>
              <w:rPr>
                <w:b/>
                <w:sz w:val="22"/>
                <w:szCs w:val="22"/>
                <w:lang w:val="sk-SK"/>
              </w:rPr>
            </w:pPr>
          </w:p>
        </w:tc>
      </w:tr>
      <w:tr w:rsidR="000D41AC" w:rsidRPr="00013609" w14:paraId="7CA9D4A6" w14:textId="77777777" w:rsidTr="00A04A5C">
        <w:tc>
          <w:tcPr>
            <w:tcW w:w="1871" w:type="dxa"/>
          </w:tcPr>
          <w:p w14:paraId="74126B4D" w14:textId="77777777" w:rsidR="00013609" w:rsidRPr="00013609" w:rsidRDefault="00013609" w:rsidP="00A04A5C">
            <w:pPr>
              <w:autoSpaceDE w:val="0"/>
              <w:autoSpaceDN w:val="0"/>
              <w:adjustRightInd w:val="0"/>
              <w:rPr>
                <w:sz w:val="22"/>
                <w:szCs w:val="22"/>
                <w:lang w:val="sk-SK"/>
              </w:rPr>
            </w:pPr>
          </w:p>
        </w:tc>
        <w:tc>
          <w:tcPr>
            <w:tcW w:w="1097" w:type="dxa"/>
          </w:tcPr>
          <w:p w14:paraId="01AB5D6A" w14:textId="77777777" w:rsidR="00013609" w:rsidRPr="00013609" w:rsidRDefault="000D41AC" w:rsidP="000D41AC">
            <w:pPr>
              <w:tabs>
                <w:tab w:val="left" w:pos="2146"/>
              </w:tabs>
              <w:autoSpaceDE w:val="0"/>
              <w:autoSpaceDN w:val="0"/>
              <w:adjustRightInd w:val="0"/>
              <w:rPr>
                <w:sz w:val="22"/>
                <w:szCs w:val="22"/>
                <w:lang w:val="sk-SK"/>
              </w:rPr>
            </w:pPr>
            <w:r>
              <w:rPr>
                <w:sz w:val="22"/>
                <w:szCs w:val="22"/>
                <w:lang w:val="sk-SK"/>
              </w:rPr>
              <w:t>Pac</w:t>
            </w:r>
            <w:r w:rsidR="00013609" w:rsidRPr="00013609">
              <w:rPr>
                <w:sz w:val="22"/>
                <w:szCs w:val="22"/>
                <w:lang w:val="sk-SK"/>
              </w:rPr>
              <w:t>ient</w:t>
            </w:r>
            <w:r>
              <w:rPr>
                <w:sz w:val="22"/>
                <w:szCs w:val="22"/>
                <w:lang w:val="sk-SK"/>
              </w:rPr>
              <w:t>i</w:t>
            </w:r>
            <w:r w:rsidR="00013609" w:rsidRPr="00013609">
              <w:rPr>
                <w:sz w:val="22"/>
                <w:szCs w:val="22"/>
                <w:lang w:val="sk-SK"/>
              </w:rPr>
              <w:t xml:space="preserve"> </w:t>
            </w:r>
            <w:r>
              <w:rPr>
                <w:sz w:val="22"/>
                <w:szCs w:val="22"/>
                <w:lang w:val="sk-SK"/>
              </w:rPr>
              <w:t>s</w:t>
            </w:r>
            <w:r w:rsidR="00013609" w:rsidRPr="00013609">
              <w:rPr>
                <w:sz w:val="22"/>
                <w:szCs w:val="22"/>
                <w:lang w:val="sk-SK"/>
              </w:rPr>
              <w:t xml:space="preserve"> </w:t>
            </w:r>
            <w:r>
              <w:rPr>
                <w:sz w:val="22"/>
                <w:szCs w:val="22"/>
                <w:lang w:val="sk-SK"/>
              </w:rPr>
              <w:t>udalosťami</w:t>
            </w:r>
          </w:p>
        </w:tc>
        <w:tc>
          <w:tcPr>
            <w:tcW w:w="1099" w:type="dxa"/>
          </w:tcPr>
          <w:p w14:paraId="262B697A" w14:textId="0DD093F5" w:rsidR="00013609" w:rsidRPr="00013609" w:rsidRDefault="00013609" w:rsidP="00A04A5C">
            <w:pPr>
              <w:tabs>
                <w:tab w:val="left" w:pos="2146"/>
              </w:tabs>
              <w:autoSpaceDE w:val="0"/>
              <w:autoSpaceDN w:val="0"/>
              <w:adjustRightInd w:val="0"/>
              <w:rPr>
                <w:sz w:val="22"/>
                <w:szCs w:val="22"/>
                <w:lang w:val="sk-SK"/>
              </w:rPr>
            </w:pPr>
            <w:r w:rsidRPr="00013609">
              <w:rPr>
                <w:sz w:val="22"/>
                <w:szCs w:val="22"/>
                <w:lang w:val="sk-SK"/>
              </w:rPr>
              <w:t>KM</w:t>
            </w:r>
            <w:r w:rsidR="00062A7B">
              <w:rPr>
                <w:sz w:val="22"/>
                <w:szCs w:val="22"/>
                <w:lang w:val="sk-SK"/>
              </w:rPr>
              <w:t xml:space="preserve"> </w:t>
            </w:r>
            <w:r w:rsidRPr="00013609">
              <w:rPr>
                <w:sz w:val="22"/>
                <w:szCs w:val="22"/>
                <w:lang w:val="sk-SK"/>
              </w:rPr>
              <w:t xml:space="preserve">% </w:t>
            </w:r>
          </w:p>
        </w:tc>
        <w:tc>
          <w:tcPr>
            <w:tcW w:w="931" w:type="dxa"/>
          </w:tcPr>
          <w:p w14:paraId="6A7A291D" w14:textId="77777777" w:rsidR="00013609" w:rsidRPr="00013609" w:rsidRDefault="000D41AC" w:rsidP="00A04A5C">
            <w:pPr>
              <w:autoSpaceDE w:val="0"/>
              <w:autoSpaceDN w:val="0"/>
              <w:adjustRightInd w:val="0"/>
              <w:rPr>
                <w:sz w:val="22"/>
                <w:szCs w:val="22"/>
                <w:lang w:val="sk-SK"/>
              </w:rPr>
            </w:pPr>
            <w:r>
              <w:rPr>
                <w:sz w:val="22"/>
                <w:szCs w:val="22"/>
                <w:lang w:val="sk-SK"/>
              </w:rPr>
              <w:t>Pac</w:t>
            </w:r>
            <w:r w:rsidRPr="00013609">
              <w:rPr>
                <w:sz w:val="22"/>
                <w:szCs w:val="22"/>
                <w:lang w:val="sk-SK"/>
              </w:rPr>
              <w:t>ient</w:t>
            </w:r>
            <w:r>
              <w:rPr>
                <w:sz w:val="22"/>
                <w:szCs w:val="22"/>
                <w:lang w:val="sk-SK"/>
              </w:rPr>
              <w:t>i</w:t>
            </w:r>
            <w:r w:rsidRPr="00013609">
              <w:rPr>
                <w:sz w:val="22"/>
                <w:szCs w:val="22"/>
                <w:lang w:val="sk-SK"/>
              </w:rPr>
              <w:t xml:space="preserve"> </w:t>
            </w:r>
            <w:r>
              <w:rPr>
                <w:sz w:val="22"/>
                <w:szCs w:val="22"/>
                <w:lang w:val="sk-SK"/>
              </w:rPr>
              <w:t>s</w:t>
            </w:r>
            <w:r w:rsidRPr="00013609">
              <w:rPr>
                <w:sz w:val="22"/>
                <w:szCs w:val="22"/>
                <w:lang w:val="sk-SK"/>
              </w:rPr>
              <w:t xml:space="preserve"> </w:t>
            </w:r>
            <w:r>
              <w:rPr>
                <w:sz w:val="22"/>
                <w:szCs w:val="22"/>
                <w:lang w:val="sk-SK"/>
              </w:rPr>
              <w:t>udalosťami</w:t>
            </w:r>
          </w:p>
        </w:tc>
        <w:tc>
          <w:tcPr>
            <w:tcW w:w="932" w:type="dxa"/>
          </w:tcPr>
          <w:p w14:paraId="6B882C6D" w14:textId="77777777" w:rsidR="00013609" w:rsidRPr="00013609" w:rsidRDefault="00013609" w:rsidP="00A04A5C">
            <w:pPr>
              <w:autoSpaceDE w:val="0"/>
              <w:autoSpaceDN w:val="0"/>
              <w:adjustRightInd w:val="0"/>
              <w:rPr>
                <w:sz w:val="22"/>
                <w:szCs w:val="22"/>
                <w:lang w:val="sk-SK"/>
              </w:rPr>
            </w:pPr>
            <w:r w:rsidRPr="00013609">
              <w:rPr>
                <w:sz w:val="22"/>
                <w:szCs w:val="22"/>
                <w:lang w:val="sk-SK"/>
              </w:rPr>
              <w:t>KM%</w:t>
            </w:r>
          </w:p>
        </w:tc>
        <w:tc>
          <w:tcPr>
            <w:tcW w:w="1678" w:type="dxa"/>
          </w:tcPr>
          <w:p w14:paraId="621D4B34" w14:textId="77777777" w:rsidR="00013609" w:rsidRPr="00013609" w:rsidRDefault="00013609" w:rsidP="00A04A5C">
            <w:pPr>
              <w:autoSpaceDE w:val="0"/>
              <w:autoSpaceDN w:val="0"/>
              <w:adjustRightInd w:val="0"/>
              <w:rPr>
                <w:sz w:val="22"/>
                <w:szCs w:val="22"/>
                <w:lang w:val="sk-SK"/>
              </w:rPr>
            </w:pPr>
            <w:r w:rsidRPr="00013609">
              <w:rPr>
                <w:sz w:val="22"/>
                <w:szCs w:val="22"/>
                <w:lang w:val="sk-SK"/>
              </w:rPr>
              <w:t>HR</w:t>
            </w:r>
          </w:p>
          <w:p w14:paraId="18DB029A" w14:textId="4B02D437" w:rsidR="00013609" w:rsidRPr="00013609" w:rsidRDefault="00013609" w:rsidP="00A04A5C">
            <w:pPr>
              <w:autoSpaceDE w:val="0"/>
              <w:autoSpaceDN w:val="0"/>
              <w:adjustRightInd w:val="0"/>
              <w:rPr>
                <w:sz w:val="22"/>
                <w:szCs w:val="22"/>
                <w:lang w:val="sk-SK"/>
              </w:rPr>
            </w:pPr>
            <w:r w:rsidRPr="00013609">
              <w:rPr>
                <w:sz w:val="22"/>
                <w:szCs w:val="22"/>
                <w:lang w:val="sk-SK"/>
              </w:rPr>
              <w:t>(95% I</w:t>
            </w:r>
            <w:r w:rsidR="007023AD">
              <w:rPr>
                <w:sz w:val="22"/>
                <w:szCs w:val="22"/>
                <w:lang w:val="sk-SK"/>
              </w:rPr>
              <w:t>S</w:t>
            </w:r>
            <w:r w:rsidRPr="00013609">
              <w:rPr>
                <w:sz w:val="22"/>
                <w:szCs w:val="22"/>
                <w:lang w:val="sk-SK"/>
              </w:rPr>
              <w:t>)</w:t>
            </w:r>
          </w:p>
        </w:tc>
        <w:tc>
          <w:tcPr>
            <w:tcW w:w="1678" w:type="dxa"/>
          </w:tcPr>
          <w:p w14:paraId="24FF9953" w14:textId="77777777" w:rsidR="00013609" w:rsidRPr="00013609" w:rsidRDefault="00013609" w:rsidP="000D41AC">
            <w:pPr>
              <w:autoSpaceDE w:val="0"/>
              <w:autoSpaceDN w:val="0"/>
              <w:adjustRightInd w:val="0"/>
              <w:rPr>
                <w:sz w:val="22"/>
                <w:szCs w:val="22"/>
                <w:lang w:val="sk-SK"/>
              </w:rPr>
            </w:pPr>
            <w:r w:rsidRPr="00013609">
              <w:rPr>
                <w:sz w:val="22"/>
                <w:szCs w:val="22"/>
                <w:lang w:val="sk-SK"/>
              </w:rPr>
              <w:t>p-</w:t>
            </w:r>
            <w:r w:rsidR="000D41AC">
              <w:rPr>
                <w:sz w:val="22"/>
                <w:szCs w:val="22"/>
                <w:lang w:val="sk-SK"/>
              </w:rPr>
              <w:t>hodnota</w:t>
            </w:r>
            <w:r w:rsidRPr="00013609">
              <w:rPr>
                <w:sz w:val="22"/>
                <w:szCs w:val="22"/>
                <w:lang w:val="sk-SK"/>
              </w:rPr>
              <w:t xml:space="preserve"> </w:t>
            </w:r>
            <w:r w:rsidRPr="00013609">
              <w:rPr>
                <w:sz w:val="22"/>
                <w:szCs w:val="22"/>
                <w:vertAlign w:val="superscript"/>
                <w:lang w:val="sk-SK"/>
              </w:rPr>
              <w:t>b)</w:t>
            </w:r>
          </w:p>
        </w:tc>
      </w:tr>
      <w:tr w:rsidR="00013609" w:rsidRPr="00013609" w14:paraId="04631365" w14:textId="77777777" w:rsidTr="00A04A5C">
        <w:tc>
          <w:tcPr>
            <w:tcW w:w="9286" w:type="dxa"/>
            <w:gridSpan w:val="7"/>
          </w:tcPr>
          <w:p w14:paraId="1A4FD9CB" w14:textId="77777777" w:rsidR="00013609" w:rsidRPr="00013609" w:rsidRDefault="00013609" w:rsidP="00A04A5C">
            <w:pPr>
              <w:autoSpaceDE w:val="0"/>
              <w:autoSpaceDN w:val="0"/>
              <w:adjustRightInd w:val="0"/>
              <w:rPr>
                <w:sz w:val="22"/>
                <w:szCs w:val="22"/>
                <w:lang w:val="sk-SK"/>
              </w:rPr>
            </w:pPr>
          </w:p>
        </w:tc>
      </w:tr>
      <w:tr w:rsidR="000D41AC" w:rsidRPr="00013609" w14:paraId="32D0B25B" w14:textId="77777777" w:rsidTr="00A04A5C">
        <w:tc>
          <w:tcPr>
            <w:tcW w:w="1871" w:type="dxa"/>
          </w:tcPr>
          <w:p w14:paraId="67EBCA94" w14:textId="39050F98" w:rsidR="00013609" w:rsidRPr="00013609" w:rsidRDefault="00557F28" w:rsidP="00A04A5C">
            <w:pPr>
              <w:autoSpaceDE w:val="0"/>
              <w:autoSpaceDN w:val="0"/>
              <w:adjustRightInd w:val="0"/>
              <w:rPr>
                <w:sz w:val="22"/>
                <w:szCs w:val="22"/>
                <w:lang w:val="sk-SK"/>
              </w:rPr>
            </w:pPr>
            <w:r>
              <w:rPr>
                <w:sz w:val="22"/>
                <w:szCs w:val="22"/>
                <w:lang w:val="sk-SK"/>
              </w:rPr>
              <w:t>C</w:t>
            </w:r>
            <w:r w:rsidR="00013609">
              <w:rPr>
                <w:sz w:val="22"/>
                <w:szCs w:val="22"/>
              </w:rPr>
              <w:t>ievna mozgová príhoda</w:t>
            </w:r>
            <w:r>
              <w:rPr>
                <w:sz w:val="22"/>
                <w:szCs w:val="22"/>
                <w:lang w:val="sk-SK"/>
              </w:rPr>
              <w:t xml:space="preserve">, MI alebo </w:t>
            </w:r>
            <w:r>
              <w:rPr>
                <w:sz w:val="22"/>
                <w:szCs w:val="22"/>
              </w:rPr>
              <w:t xml:space="preserve"> </w:t>
            </w:r>
            <w:r>
              <w:rPr>
                <w:sz w:val="22"/>
                <w:szCs w:val="22"/>
                <w:lang w:val="sk-SK"/>
              </w:rPr>
              <w:t>k</w:t>
            </w:r>
            <w:r>
              <w:rPr>
                <w:sz w:val="22"/>
                <w:szCs w:val="22"/>
              </w:rPr>
              <w:t>ardiovaskulárna smrť</w:t>
            </w:r>
          </w:p>
        </w:tc>
        <w:tc>
          <w:tcPr>
            <w:tcW w:w="1097" w:type="dxa"/>
          </w:tcPr>
          <w:p w14:paraId="5BC77524"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379 (4,</w:t>
            </w:r>
            <w:r w:rsidR="00013609" w:rsidRPr="00013609">
              <w:rPr>
                <w:sz w:val="22"/>
                <w:szCs w:val="22"/>
                <w:lang w:val="sk-SK"/>
              </w:rPr>
              <w:t>1%)</w:t>
            </w:r>
          </w:p>
        </w:tc>
        <w:tc>
          <w:tcPr>
            <w:tcW w:w="1099" w:type="dxa"/>
          </w:tcPr>
          <w:p w14:paraId="0DE5DD11"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5,</w:t>
            </w:r>
            <w:r w:rsidR="00013609" w:rsidRPr="00013609">
              <w:rPr>
                <w:sz w:val="22"/>
                <w:szCs w:val="22"/>
                <w:lang w:val="sk-SK"/>
              </w:rPr>
              <w:t xml:space="preserve">20% </w:t>
            </w:r>
          </w:p>
        </w:tc>
        <w:tc>
          <w:tcPr>
            <w:tcW w:w="931" w:type="dxa"/>
          </w:tcPr>
          <w:p w14:paraId="465E99BC" w14:textId="71B90337" w:rsidR="00013609" w:rsidRPr="00013609" w:rsidRDefault="000D41AC" w:rsidP="00A04A5C">
            <w:pPr>
              <w:autoSpaceDE w:val="0"/>
              <w:autoSpaceDN w:val="0"/>
              <w:adjustRightInd w:val="0"/>
              <w:rPr>
                <w:sz w:val="22"/>
                <w:szCs w:val="22"/>
                <w:lang w:val="sk-SK"/>
              </w:rPr>
            </w:pPr>
            <w:r>
              <w:rPr>
                <w:sz w:val="22"/>
                <w:szCs w:val="22"/>
                <w:lang w:val="sk-SK"/>
              </w:rPr>
              <w:t>496 (</w:t>
            </w:r>
            <w:r w:rsidR="007023AD">
              <w:rPr>
                <w:sz w:val="22"/>
                <w:szCs w:val="22"/>
                <w:lang w:val="sk-SK"/>
              </w:rPr>
              <w:t>5</w:t>
            </w:r>
            <w:r w:rsidR="00062A7B">
              <w:rPr>
                <w:sz w:val="22"/>
                <w:szCs w:val="22"/>
                <w:lang w:val="sk-SK"/>
              </w:rPr>
              <w:t>,</w:t>
            </w:r>
            <w:r w:rsidR="00013609" w:rsidRPr="00013609">
              <w:rPr>
                <w:sz w:val="22"/>
                <w:szCs w:val="22"/>
                <w:lang w:val="sk-SK"/>
              </w:rPr>
              <w:t>4%)</w:t>
            </w:r>
          </w:p>
        </w:tc>
        <w:tc>
          <w:tcPr>
            <w:tcW w:w="932" w:type="dxa"/>
          </w:tcPr>
          <w:p w14:paraId="363CA2DB" w14:textId="77777777" w:rsidR="00013609" w:rsidRPr="00013609" w:rsidRDefault="000D41AC" w:rsidP="00A04A5C">
            <w:pPr>
              <w:autoSpaceDE w:val="0"/>
              <w:autoSpaceDN w:val="0"/>
              <w:adjustRightInd w:val="0"/>
              <w:rPr>
                <w:sz w:val="22"/>
                <w:szCs w:val="22"/>
                <w:lang w:val="sk-SK"/>
              </w:rPr>
            </w:pPr>
            <w:r>
              <w:rPr>
                <w:sz w:val="22"/>
                <w:szCs w:val="22"/>
                <w:lang w:val="sk-SK"/>
              </w:rPr>
              <w:t>7,</w:t>
            </w:r>
            <w:r w:rsidR="00013609" w:rsidRPr="00013609">
              <w:rPr>
                <w:sz w:val="22"/>
                <w:szCs w:val="22"/>
                <w:lang w:val="sk-SK"/>
              </w:rPr>
              <w:t>17%</w:t>
            </w:r>
          </w:p>
        </w:tc>
        <w:tc>
          <w:tcPr>
            <w:tcW w:w="1678" w:type="dxa"/>
          </w:tcPr>
          <w:p w14:paraId="4F407211" w14:textId="77777777" w:rsidR="00013609" w:rsidRPr="00013609" w:rsidRDefault="000D41AC" w:rsidP="00A04A5C">
            <w:pPr>
              <w:autoSpaceDE w:val="0"/>
              <w:autoSpaceDN w:val="0"/>
              <w:adjustRightInd w:val="0"/>
              <w:rPr>
                <w:sz w:val="22"/>
                <w:szCs w:val="22"/>
                <w:lang w:val="sk-SK"/>
              </w:rPr>
            </w:pPr>
            <w:r>
              <w:rPr>
                <w:sz w:val="22"/>
                <w:szCs w:val="22"/>
                <w:lang w:val="sk-SK"/>
              </w:rPr>
              <w:t>0,</w:t>
            </w:r>
            <w:r w:rsidR="00013609" w:rsidRPr="00013609">
              <w:rPr>
                <w:sz w:val="22"/>
                <w:szCs w:val="22"/>
                <w:lang w:val="sk-SK"/>
              </w:rPr>
              <w:t>76</w:t>
            </w:r>
          </w:p>
          <w:p w14:paraId="7664CD17" w14:textId="77777777" w:rsidR="00013609" w:rsidRPr="00013609" w:rsidRDefault="000D41AC" w:rsidP="00A04A5C">
            <w:pPr>
              <w:autoSpaceDE w:val="0"/>
              <w:autoSpaceDN w:val="0"/>
              <w:adjustRightInd w:val="0"/>
              <w:rPr>
                <w:sz w:val="22"/>
                <w:szCs w:val="22"/>
                <w:lang w:val="sk-SK"/>
              </w:rPr>
            </w:pPr>
            <w:r>
              <w:rPr>
                <w:sz w:val="22"/>
                <w:szCs w:val="22"/>
                <w:lang w:val="sk-SK"/>
              </w:rPr>
              <w:t>(0,66;0,</w:t>
            </w:r>
            <w:r w:rsidR="00013609" w:rsidRPr="00013609">
              <w:rPr>
                <w:sz w:val="22"/>
                <w:szCs w:val="22"/>
                <w:lang w:val="sk-SK"/>
              </w:rPr>
              <w:t xml:space="preserve">86) </w:t>
            </w:r>
          </w:p>
        </w:tc>
        <w:tc>
          <w:tcPr>
            <w:tcW w:w="1678" w:type="dxa"/>
          </w:tcPr>
          <w:p w14:paraId="141CE02C" w14:textId="77777777" w:rsidR="00013609" w:rsidRPr="00013609" w:rsidRDefault="000D41AC" w:rsidP="00A04A5C">
            <w:pPr>
              <w:autoSpaceDE w:val="0"/>
              <w:autoSpaceDN w:val="0"/>
              <w:adjustRightInd w:val="0"/>
              <w:rPr>
                <w:sz w:val="22"/>
                <w:szCs w:val="22"/>
                <w:lang w:val="sk-SK"/>
              </w:rPr>
            </w:pPr>
            <w:r>
              <w:rPr>
                <w:sz w:val="22"/>
                <w:szCs w:val="22"/>
                <w:lang w:val="sk-SK"/>
              </w:rPr>
              <w:t>p = 0,</w:t>
            </w:r>
            <w:r w:rsidR="00013609" w:rsidRPr="00013609">
              <w:rPr>
                <w:sz w:val="22"/>
                <w:szCs w:val="22"/>
                <w:lang w:val="sk-SK"/>
              </w:rPr>
              <w:t>00004*</w:t>
            </w:r>
          </w:p>
        </w:tc>
      </w:tr>
      <w:tr w:rsidR="000D41AC" w:rsidRPr="00013609" w14:paraId="035F9909" w14:textId="77777777" w:rsidTr="00A04A5C">
        <w:tc>
          <w:tcPr>
            <w:tcW w:w="1871" w:type="dxa"/>
          </w:tcPr>
          <w:p w14:paraId="0B5713A5" w14:textId="77777777" w:rsidR="00013609" w:rsidRPr="00013609" w:rsidRDefault="00013609" w:rsidP="00013609">
            <w:pPr>
              <w:pStyle w:val="Odsekzoznamu"/>
              <w:numPr>
                <w:ilvl w:val="0"/>
                <w:numId w:val="4"/>
              </w:numPr>
              <w:autoSpaceDE w:val="0"/>
              <w:autoSpaceDN w:val="0"/>
              <w:adjustRightInd w:val="0"/>
              <w:spacing w:after="0" w:line="240" w:lineRule="auto"/>
              <w:rPr>
                <w:sz w:val="22"/>
                <w:szCs w:val="22"/>
                <w:lang w:val="sk-SK"/>
              </w:rPr>
            </w:pPr>
            <w:r>
              <w:rPr>
                <w:sz w:val="22"/>
                <w:szCs w:val="22"/>
              </w:rPr>
              <w:t>cievna mozgová príhoda</w:t>
            </w:r>
          </w:p>
        </w:tc>
        <w:tc>
          <w:tcPr>
            <w:tcW w:w="1097" w:type="dxa"/>
          </w:tcPr>
          <w:p w14:paraId="26995877"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83 (0,</w:t>
            </w:r>
            <w:r w:rsidR="00013609" w:rsidRPr="00013609">
              <w:rPr>
                <w:sz w:val="22"/>
                <w:szCs w:val="22"/>
                <w:lang w:val="sk-SK"/>
              </w:rPr>
              <w:t xml:space="preserve">9%) </w:t>
            </w:r>
          </w:p>
        </w:tc>
        <w:tc>
          <w:tcPr>
            <w:tcW w:w="1099" w:type="dxa"/>
          </w:tcPr>
          <w:p w14:paraId="63E3978F"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1,</w:t>
            </w:r>
            <w:r w:rsidR="00013609" w:rsidRPr="00013609">
              <w:rPr>
                <w:sz w:val="22"/>
                <w:szCs w:val="22"/>
                <w:lang w:val="sk-SK"/>
              </w:rPr>
              <w:t xml:space="preserve">17% </w:t>
            </w:r>
          </w:p>
        </w:tc>
        <w:tc>
          <w:tcPr>
            <w:tcW w:w="931" w:type="dxa"/>
          </w:tcPr>
          <w:p w14:paraId="2D3A29FC" w14:textId="77777777" w:rsidR="00013609" w:rsidRPr="00013609" w:rsidRDefault="000D41AC" w:rsidP="00A04A5C">
            <w:pPr>
              <w:autoSpaceDE w:val="0"/>
              <w:autoSpaceDN w:val="0"/>
              <w:adjustRightInd w:val="0"/>
              <w:rPr>
                <w:sz w:val="22"/>
                <w:szCs w:val="22"/>
                <w:lang w:val="sk-SK"/>
              </w:rPr>
            </w:pPr>
            <w:r>
              <w:rPr>
                <w:sz w:val="22"/>
                <w:szCs w:val="22"/>
                <w:lang w:val="sk-SK"/>
              </w:rPr>
              <w:t>142 (1,</w:t>
            </w:r>
            <w:r w:rsidR="00013609" w:rsidRPr="00013609">
              <w:rPr>
                <w:sz w:val="22"/>
                <w:szCs w:val="22"/>
                <w:lang w:val="sk-SK"/>
              </w:rPr>
              <w:t xml:space="preserve">6%) </w:t>
            </w:r>
          </w:p>
        </w:tc>
        <w:tc>
          <w:tcPr>
            <w:tcW w:w="932" w:type="dxa"/>
          </w:tcPr>
          <w:p w14:paraId="2B6964A4" w14:textId="77777777" w:rsidR="00013609" w:rsidRPr="00013609" w:rsidRDefault="000D41AC" w:rsidP="00A04A5C">
            <w:pPr>
              <w:autoSpaceDE w:val="0"/>
              <w:autoSpaceDN w:val="0"/>
              <w:adjustRightInd w:val="0"/>
              <w:rPr>
                <w:sz w:val="22"/>
                <w:szCs w:val="22"/>
                <w:lang w:val="sk-SK"/>
              </w:rPr>
            </w:pPr>
            <w:r>
              <w:rPr>
                <w:sz w:val="22"/>
                <w:szCs w:val="22"/>
                <w:lang w:val="sk-SK"/>
              </w:rPr>
              <w:t>2,</w:t>
            </w:r>
            <w:r w:rsidR="00013609" w:rsidRPr="00013609">
              <w:rPr>
                <w:sz w:val="22"/>
                <w:szCs w:val="22"/>
                <w:lang w:val="sk-SK"/>
              </w:rPr>
              <w:t xml:space="preserve">23% </w:t>
            </w:r>
          </w:p>
        </w:tc>
        <w:tc>
          <w:tcPr>
            <w:tcW w:w="1678" w:type="dxa"/>
          </w:tcPr>
          <w:p w14:paraId="0546B4FC" w14:textId="77777777" w:rsidR="00013609" w:rsidRPr="00013609" w:rsidRDefault="000D41AC" w:rsidP="00A04A5C">
            <w:pPr>
              <w:autoSpaceDE w:val="0"/>
              <w:autoSpaceDN w:val="0"/>
              <w:adjustRightInd w:val="0"/>
              <w:rPr>
                <w:sz w:val="22"/>
                <w:szCs w:val="22"/>
                <w:lang w:val="sk-SK"/>
              </w:rPr>
            </w:pPr>
            <w:r>
              <w:rPr>
                <w:sz w:val="22"/>
                <w:szCs w:val="22"/>
                <w:lang w:val="sk-SK"/>
              </w:rPr>
              <w:t>0,</w:t>
            </w:r>
            <w:r w:rsidR="00013609" w:rsidRPr="00013609">
              <w:rPr>
                <w:sz w:val="22"/>
                <w:szCs w:val="22"/>
                <w:lang w:val="sk-SK"/>
              </w:rPr>
              <w:t>58</w:t>
            </w:r>
          </w:p>
          <w:p w14:paraId="0499CD04" w14:textId="77777777" w:rsidR="00013609" w:rsidRPr="00013609" w:rsidRDefault="000D41AC" w:rsidP="00A04A5C">
            <w:pPr>
              <w:autoSpaceDE w:val="0"/>
              <w:autoSpaceDN w:val="0"/>
              <w:adjustRightInd w:val="0"/>
              <w:rPr>
                <w:sz w:val="22"/>
                <w:szCs w:val="22"/>
                <w:lang w:val="sk-SK"/>
              </w:rPr>
            </w:pPr>
            <w:r>
              <w:rPr>
                <w:sz w:val="22"/>
                <w:szCs w:val="22"/>
                <w:lang w:val="sk-SK"/>
              </w:rPr>
              <w:t>(0,44;0,</w:t>
            </w:r>
            <w:r w:rsidR="00013609" w:rsidRPr="00013609">
              <w:rPr>
                <w:sz w:val="22"/>
                <w:szCs w:val="22"/>
                <w:lang w:val="sk-SK"/>
              </w:rPr>
              <w:t>76)</w:t>
            </w:r>
          </w:p>
        </w:tc>
        <w:tc>
          <w:tcPr>
            <w:tcW w:w="1678" w:type="dxa"/>
          </w:tcPr>
          <w:p w14:paraId="1B5ABF0A" w14:textId="77777777" w:rsidR="00013609" w:rsidRPr="00013609" w:rsidRDefault="000D41AC" w:rsidP="00A04A5C">
            <w:pPr>
              <w:autoSpaceDE w:val="0"/>
              <w:autoSpaceDN w:val="0"/>
              <w:adjustRightInd w:val="0"/>
              <w:rPr>
                <w:sz w:val="22"/>
                <w:szCs w:val="22"/>
                <w:lang w:val="sk-SK"/>
              </w:rPr>
            </w:pPr>
            <w:r>
              <w:rPr>
                <w:sz w:val="22"/>
                <w:szCs w:val="22"/>
                <w:lang w:val="sk-SK"/>
              </w:rPr>
              <w:t>p = 0,</w:t>
            </w:r>
            <w:r w:rsidR="00013609" w:rsidRPr="00013609">
              <w:rPr>
                <w:sz w:val="22"/>
                <w:szCs w:val="22"/>
                <w:lang w:val="sk-SK"/>
              </w:rPr>
              <w:t>00006</w:t>
            </w:r>
          </w:p>
        </w:tc>
      </w:tr>
      <w:tr w:rsidR="000D41AC" w:rsidRPr="00013609" w14:paraId="4F9B66E3" w14:textId="77777777" w:rsidTr="00A04A5C">
        <w:tc>
          <w:tcPr>
            <w:tcW w:w="1871" w:type="dxa"/>
          </w:tcPr>
          <w:p w14:paraId="057E9CCE" w14:textId="61BD4991" w:rsidR="00013609" w:rsidRPr="00013609" w:rsidRDefault="007023AD" w:rsidP="00013609">
            <w:pPr>
              <w:pStyle w:val="Odsekzoznamu"/>
              <w:numPr>
                <w:ilvl w:val="0"/>
                <w:numId w:val="4"/>
              </w:numPr>
              <w:autoSpaceDE w:val="0"/>
              <w:autoSpaceDN w:val="0"/>
              <w:adjustRightInd w:val="0"/>
              <w:spacing w:after="0" w:line="240" w:lineRule="auto"/>
              <w:rPr>
                <w:sz w:val="22"/>
                <w:szCs w:val="22"/>
                <w:lang w:val="sk-SK"/>
              </w:rPr>
            </w:pPr>
            <w:r>
              <w:rPr>
                <w:sz w:val="22"/>
                <w:szCs w:val="22"/>
              </w:rPr>
              <w:t>i</w:t>
            </w:r>
            <w:r w:rsidR="00013609">
              <w:rPr>
                <w:sz w:val="22"/>
                <w:szCs w:val="22"/>
              </w:rPr>
              <w:t>nfarkt myokardu (MI)</w:t>
            </w:r>
          </w:p>
        </w:tc>
        <w:tc>
          <w:tcPr>
            <w:tcW w:w="1097" w:type="dxa"/>
          </w:tcPr>
          <w:p w14:paraId="65523698"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178 (1,</w:t>
            </w:r>
            <w:r w:rsidR="00013609" w:rsidRPr="00013609">
              <w:rPr>
                <w:sz w:val="22"/>
                <w:szCs w:val="22"/>
                <w:lang w:val="sk-SK"/>
              </w:rPr>
              <w:t>9%)</w:t>
            </w:r>
          </w:p>
        </w:tc>
        <w:tc>
          <w:tcPr>
            <w:tcW w:w="1099" w:type="dxa"/>
          </w:tcPr>
          <w:p w14:paraId="1E05420F"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2,</w:t>
            </w:r>
            <w:r w:rsidR="00013609" w:rsidRPr="00013609">
              <w:rPr>
                <w:sz w:val="22"/>
                <w:szCs w:val="22"/>
                <w:lang w:val="sk-SK"/>
              </w:rPr>
              <w:t>46%</w:t>
            </w:r>
          </w:p>
        </w:tc>
        <w:tc>
          <w:tcPr>
            <w:tcW w:w="931" w:type="dxa"/>
          </w:tcPr>
          <w:p w14:paraId="4AC3EEF3" w14:textId="77777777" w:rsidR="00013609" w:rsidRPr="00013609" w:rsidRDefault="000D41AC" w:rsidP="00A04A5C">
            <w:pPr>
              <w:autoSpaceDE w:val="0"/>
              <w:autoSpaceDN w:val="0"/>
              <w:adjustRightInd w:val="0"/>
              <w:rPr>
                <w:sz w:val="22"/>
                <w:szCs w:val="22"/>
                <w:lang w:val="sk-SK"/>
              </w:rPr>
            </w:pPr>
            <w:r>
              <w:rPr>
                <w:sz w:val="22"/>
                <w:szCs w:val="22"/>
                <w:lang w:val="sk-SK"/>
              </w:rPr>
              <w:t>205 (2,</w:t>
            </w:r>
            <w:r w:rsidR="00013609" w:rsidRPr="00013609">
              <w:rPr>
                <w:sz w:val="22"/>
                <w:szCs w:val="22"/>
                <w:lang w:val="sk-SK"/>
              </w:rPr>
              <w:t>2%)</w:t>
            </w:r>
          </w:p>
        </w:tc>
        <w:tc>
          <w:tcPr>
            <w:tcW w:w="932" w:type="dxa"/>
          </w:tcPr>
          <w:p w14:paraId="59B2AE47" w14:textId="77777777" w:rsidR="00013609" w:rsidRPr="00013609" w:rsidRDefault="000D41AC" w:rsidP="00A04A5C">
            <w:pPr>
              <w:autoSpaceDE w:val="0"/>
              <w:autoSpaceDN w:val="0"/>
              <w:adjustRightInd w:val="0"/>
              <w:rPr>
                <w:sz w:val="22"/>
                <w:szCs w:val="22"/>
                <w:lang w:val="sk-SK"/>
              </w:rPr>
            </w:pPr>
            <w:r>
              <w:rPr>
                <w:sz w:val="22"/>
                <w:szCs w:val="22"/>
                <w:lang w:val="sk-SK"/>
              </w:rPr>
              <w:t>2,</w:t>
            </w:r>
            <w:r w:rsidR="00013609" w:rsidRPr="00013609">
              <w:rPr>
                <w:sz w:val="22"/>
                <w:szCs w:val="22"/>
                <w:lang w:val="sk-SK"/>
              </w:rPr>
              <w:t>94%</w:t>
            </w:r>
          </w:p>
        </w:tc>
        <w:tc>
          <w:tcPr>
            <w:tcW w:w="1678" w:type="dxa"/>
          </w:tcPr>
          <w:p w14:paraId="36D4B701" w14:textId="77777777" w:rsidR="00013609" w:rsidRPr="00013609" w:rsidRDefault="000D41AC" w:rsidP="00A04A5C">
            <w:pPr>
              <w:autoSpaceDE w:val="0"/>
              <w:autoSpaceDN w:val="0"/>
              <w:adjustRightInd w:val="0"/>
              <w:rPr>
                <w:sz w:val="22"/>
                <w:szCs w:val="22"/>
                <w:lang w:val="sk-SK"/>
              </w:rPr>
            </w:pPr>
            <w:r>
              <w:rPr>
                <w:sz w:val="22"/>
                <w:szCs w:val="22"/>
                <w:lang w:val="sk-SK"/>
              </w:rPr>
              <w:t>0,</w:t>
            </w:r>
            <w:r w:rsidR="00013609" w:rsidRPr="00013609">
              <w:rPr>
                <w:sz w:val="22"/>
                <w:szCs w:val="22"/>
                <w:lang w:val="sk-SK"/>
              </w:rPr>
              <w:t>86</w:t>
            </w:r>
          </w:p>
          <w:p w14:paraId="197D79B5" w14:textId="77777777" w:rsidR="00013609" w:rsidRPr="00013609" w:rsidRDefault="000D41AC" w:rsidP="00A04A5C">
            <w:pPr>
              <w:autoSpaceDE w:val="0"/>
              <w:autoSpaceDN w:val="0"/>
              <w:adjustRightInd w:val="0"/>
              <w:rPr>
                <w:sz w:val="22"/>
                <w:szCs w:val="22"/>
                <w:lang w:val="sk-SK"/>
              </w:rPr>
            </w:pPr>
            <w:r>
              <w:rPr>
                <w:sz w:val="22"/>
                <w:szCs w:val="22"/>
                <w:lang w:val="sk-SK"/>
              </w:rPr>
              <w:t>(0,70;1,</w:t>
            </w:r>
            <w:r w:rsidR="00013609" w:rsidRPr="00013609">
              <w:rPr>
                <w:sz w:val="22"/>
                <w:szCs w:val="22"/>
                <w:lang w:val="sk-SK"/>
              </w:rPr>
              <w:t>05)</w:t>
            </w:r>
          </w:p>
        </w:tc>
        <w:tc>
          <w:tcPr>
            <w:tcW w:w="1678" w:type="dxa"/>
          </w:tcPr>
          <w:p w14:paraId="7DB2CE25" w14:textId="77777777" w:rsidR="00013609" w:rsidRPr="00013609" w:rsidRDefault="000D41AC" w:rsidP="00A04A5C">
            <w:pPr>
              <w:autoSpaceDE w:val="0"/>
              <w:autoSpaceDN w:val="0"/>
              <w:adjustRightInd w:val="0"/>
              <w:rPr>
                <w:sz w:val="22"/>
                <w:szCs w:val="22"/>
                <w:lang w:val="sk-SK"/>
              </w:rPr>
            </w:pPr>
            <w:r>
              <w:rPr>
                <w:sz w:val="22"/>
                <w:szCs w:val="22"/>
                <w:lang w:val="sk-SK"/>
              </w:rPr>
              <w:t>p = 0,</w:t>
            </w:r>
            <w:r w:rsidR="00013609" w:rsidRPr="00013609">
              <w:rPr>
                <w:sz w:val="22"/>
                <w:szCs w:val="22"/>
                <w:lang w:val="sk-SK"/>
              </w:rPr>
              <w:t>14458</w:t>
            </w:r>
          </w:p>
        </w:tc>
      </w:tr>
      <w:tr w:rsidR="000D41AC" w:rsidRPr="00013609" w14:paraId="63911985" w14:textId="77777777" w:rsidTr="00A04A5C">
        <w:tc>
          <w:tcPr>
            <w:tcW w:w="1871" w:type="dxa"/>
          </w:tcPr>
          <w:p w14:paraId="17C6FFA3" w14:textId="35BC31CB" w:rsidR="00013609" w:rsidRPr="00013609" w:rsidRDefault="007023AD" w:rsidP="00013609">
            <w:pPr>
              <w:pStyle w:val="Odsekzoznamu"/>
              <w:numPr>
                <w:ilvl w:val="0"/>
                <w:numId w:val="4"/>
              </w:numPr>
              <w:autoSpaceDE w:val="0"/>
              <w:autoSpaceDN w:val="0"/>
              <w:adjustRightInd w:val="0"/>
              <w:spacing w:after="0" w:line="240" w:lineRule="auto"/>
              <w:rPr>
                <w:sz w:val="22"/>
                <w:szCs w:val="22"/>
                <w:lang w:val="sk-SK"/>
              </w:rPr>
            </w:pPr>
            <w:r>
              <w:rPr>
                <w:sz w:val="22"/>
                <w:szCs w:val="22"/>
              </w:rPr>
              <w:t>k</w:t>
            </w:r>
            <w:r w:rsidR="00013609">
              <w:rPr>
                <w:sz w:val="22"/>
                <w:szCs w:val="22"/>
              </w:rPr>
              <w:t>ardiovaskulárna smrť</w:t>
            </w:r>
          </w:p>
        </w:tc>
        <w:tc>
          <w:tcPr>
            <w:tcW w:w="1097" w:type="dxa"/>
          </w:tcPr>
          <w:p w14:paraId="4849DCA4"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160 (1,</w:t>
            </w:r>
            <w:r w:rsidR="00013609" w:rsidRPr="00013609">
              <w:rPr>
                <w:sz w:val="22"/>
                <w:szCs w:val="22"/>
                <w:lang w:val="sk-SK"/>
              </w:rPr>
              <w:t>7%)</w:t>
            </w:r>
          </w:p>
        </w:tc>
        <w:tc>
          <w:tcPr>
            <w:tcW w:w="1099" w:type="dxa"/>
          </w:tcPr>
          <w:p w14:paraId="54A263E8"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2,</w:t>
            </w:r>
            <w:r w:rsidR="00013609" w:rsidRPr="00013609">
              <w:rPr>
                <w:sz w:val="22"/>
                <w:szCs w:val="22"/>
                <w:lang w:val="sk-SK"/>
              </w:rPr>
              <w:t>19%</w:t>
            </w:r>
          </w:p>
        </w:tc>
        <w:tc>
          <w:tcPr>
            <w:tcW w:w="931" w:type="dxa"/>
          </w:tcPr>
          <w:p w14:paraId="74DF9D6F" w14:textId="77777777" w:rsidR="00013609" w:rsidRPr="00013609" w:rsidRDefault="000D41AC" w:rsidP="00A04A5C">
            <w:pPr>
              <w:autoSpaceDE w:val="0"/>
              <w:autoSpaceDN w:val="0"/>
              <w:adjustRightInd w:val="0"/>
              <w:rPr>
                <w:sz w:val="22"/>
                <w:szCs w:val="22"/>
                <w:lang w:val="sk-SK"/>
              </w:rPr>
            </w:pPr>
            <w:r>
              <w:rPr>
                <w:sz w:val="22"/>
                <w:szCs w:val="22"/>
                <w:lang w:val="sk-SK"/>
              </w:rPr>
              <w:t>203 (2,</w:t>
            </w:r>
            <w:r w:rsidR="00013609" w:rsidRPr="00013609">
              <w:rPr>
                <w:sz w:val="22"/>
                <w:szCs w:val="22"/>
                <w:lang w:val="sk-SK"/>
              </w:rPr>
              <w:t>2%)</w:t>
            </w:r>
          </w:p>
        </w:tc>
        <w:tc>
          <w:tcPr>
            <w:tcW w:w="932" w:type="dxa"/>
          </w:tcPr>
          <w:p w14:paraId="41A7A994" w14:textId="77777777" w:rsidR="00013609" w:rsidRPr="00013609" w:rsidRDefault="000D41AC" w:rsidP="00A04A5C">
            <w:pPr>
              <w:autoSpaceDE w:val="0"/>
              <w:autoSpaceDN w:val="0"/>
              <w:adjustRightInd w:val="0"/>
              <w:rPr>
                <w:sz w:val="22"/>
                <w:szCs w:val="22"/>
                <w:lang w:val="sk-SK"/>
              </w:rPr>
            </w:pPr>
            <w:r>
              <w:rPr>
                <w:sz w:val="22"/>
                <w:szCs w:val="22"/>
                <w:lang w:val="sk-SK"/>
              </w:rPr>
              <w:t>2,</w:t>
            </w:r>
            <w:r w:rsidR="00013609" w:rsidRPr="00013609">
              <w:rPr>
                <w:sz w:val="22"/>
                <w:szCs w:val="22"/>
                <w:lang w:val="sk-SK"/>
              </w:rPr>
              <w:t>88%</w:t>
            </w:r>
          </w:p>
        </w:tc>
        <w:tc>
          <w:tcPr>
            <w:tcW w:w="1678" w:type="dxa"/>
          </w:tcPr>
          <w:p w14:paraId="58216F27" w14:textId="77777777" w:rsidR="00013609" w:rsidRPr="00013609" w:rsidRDefault="000D41AC" w:rsidP="00A04A5C">
            <w:pPr>
              <w:autoSpaceDE w:val="0"/>
              <w:autoSpaceDN w:val="0"/>
              <w:adjustRightInd w:val="0"/>
              <w:rPr>
                <w:sz w:val="22"/>
                <w:szCs w:val="22"/>
                <w:lang w:val="sk-SK"/>
              </w:rPr>
            </w:pPr>
            <w:r>
              <w:rPr>
                <w:sz w:val="22"/>
                <w:szCs w:val="22"/>
                <w:lang w:val="sk-SK"/>
              </w:rPr>
              <w:t>0,</w:t>
            </w:r>
            <w:r w:rsidR="00013609" w:rsidRPr="00013609">
              <w:rPr>
                <w:sz w:val="22"/>
                <w:szCs w:val="22"/>
                <w:lang w:val="sk-SK"/>
              </w:rPr>
              <w:t>78</w:t>
            </w:r>
          </w:p>
          <w:p w14:paraId="15B20396" w14:textId="77777777" w:rsidR="00013609" w:rsidRPr="00013609" w:rsidRDefault="000D41AC" w:rsidP="00A04A5C">
            <w:pPr>
              <w:autoSpaceDE w:val="0"/>
              <w:autoSpaceDN w:val="0"/>
              <w:adjustRightInd w:val="0"/>
              <w:rPr>
                <w:sz w:val="22"/>
                <w:szCs w:val="22"/>
                <w:lang w:val="sk-SK"/>
              </w:rPr>
            </w:pPr>
            <w:r>
              <w:rPr>
                <w:sz w:val="22"/>
                <w:szCs w:val="22"/>
                <w:lang w:val="sk-SK"/>
              </w:rPr>
              <w:t>(0,64;0,</w:t>
            </w:r>
            <w:r w:rsidR="00013609" w:rsidRPr="00013609">
              <w:rPr>
                <w:sz w:val="22"/>
                <w:szCs w:val="22"/>
                <w:lang w:val="sk-SK"/>
              </w:rPr>
              <w:t>96)</w:t>
            </w:r>
          </w:p>
        </w:tc>
        <w:tc>
          <w:tcPr>
            <w:tcW w:w="1678" w:type="dxa"/>
          </w:tcPr>
          <w:p w14:paraId="694051DA" w14:textId="77777777" w:rsidR="00013609" w:rsidRPr="00013609" w:rsidRDefault="000D41AC" w:rsidP="00A04A5C">
            <w:pPr>
              <w:autoSpaceDE w:val="0"/>
              <w:autoSpaceDN w:val="0"/>
              <w:adjustRightInd w:val="0"/>
              <w:rPr>
                <w:sz w:val="22"/>
                <w:szCs w:val="22"/>
                <w:lang w:val="sk-SK"/>
              </w:rPr>
            </w:pPr>
            <w:r>
              <w:rPr>
                <w:sz w:val="22"/>
                <w:szCs w:val="22"/>
                <w:lang w:val="sk-SK"/>
              </w:rPr>
              <w:t>p = 0,</w:t>
            </w:r>
            <w:r w:rsidR="00013609" w:rsidRPr="00013609">
              <w:rPr>
                <w:sz w:val="22"/>
                <w:szCs w:val="22"/>
                <w:lang w:val="sk-SK"/>
              </w:rPr>
              <w:t>02053</w:t>
            </w:r>
          </w:p>
        </w:tc>
      </w:tr>
      <w:tr w:rsidR="00013609" w:rsidRPr="00013609" w14:paraId="49FE3752" w14:textId="77777777" w:rsidTr="00A04A5C">
        <w:tc>
          <w:tcPr>
            <w:tcW w:w="9286" w:type="dxa"/>
            <w:gridSpan w:val="7"/>
          </w:tcPr>
          <w:p w14:paraId="508CF0C9" w14:textId="77777777" w:rsidR="00013609" w:rsidRPr="00013609" w:rsidRDefault="00013609" w:rsidP="00A04A5C">
            <w:pPr>
              <w:autoSpaceDE w:val="0"/>
              <w:autoSpaceDN w:val="0"/>
              <w:adjustRightInd w:val="0"/>
              <w:rPr>
                <w:sz w:val="22"/>
                <w:szCs w:val="22"/>
                <w:lang w:val="sk-SK"/>
              </w:rPr>
            </w:pPr>
          </w:p>
        </w:tc>
      </w:tr>
      <w:tr w:rsidR="000D41AC" w:rsidRPr="00013609" w14:paraId="6B0A52C2" w14:textId="77777777" w:rsidTr="00A04A5C">
        <w:tc>
          <w:tcPr>
            <w:tcW w:w="1871" w:type="dxa"/>
          </w:tcPr>
          <w:p w14:paraId="389D18A2" w14:textId="77777777" w:rsidR="00013609" w:rsidRPr="00013609" w:rsidRDefault="00013609" w:rsidP="00A04A5C">
            <w:pPr>
              <w:autoSpaceDE w:val="0"/>
              <w:autoSpaceDN w:val="0"/>
              <w:adjustRightInd w:val="0"/>
              <w:rPr>
                <w:sz w:val="22"/>
                <w:szCs w:val="22"/>
                <w:lang w:val="sk-SK"/>
              </w:rPr>
            </w:pPr>
            <w:r>
              <w:rPr>
                <w:sz w:val="22"/>
                <w:szCs w:val="22"/>
              </w:rPr>
              <w:t>Smrť zo všetkých príčin</w:t>
            </w:r>
          </w:p>
        </w:tc>
        <w:tc>
          <w:tcPr>
            <w:tcW w:w="1097" w:type="dxa"/>
          </w:tcPr>
          <w:p w14:paraId="7DC6E281"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313 (3,</w:t>
            </w:r>
            <w:r w:rsidR="00013609" w:rsidRPr="00013609">
              <w:rPr>
                <w:sz w:val="22"/>
                <w:szCs w:val="22"/>
                <w:lang w:val="sk-SK"/>
              </w:rPr>
              <w:t>4%)</w:t>
            </w:r>
          </w:p>
        </w:tc>
        <w:tc>
          <w:tcPr>
            <w:tcW w:w="1099" w:type="dxa"/>
          </w:tcPr>
          <w:p w14:paraId="51EC5F08" w14:textId="77777777" w:rsidR="00013609" w:rsidRPr="00013609" w:rsidRDefault="000D41AC" w:rsidP="00A04A5C">
            <w:pPr>
              <w:tabs>
                <w:tab w:val="left" w:pos="2146"/>
              </w:tabs>
              <w:autoSpaceDE w:val="0"/>
              <w:autoSpaceDN w:val="0"/>
              <w:adjustRightInd w:val="0"/>
              <w:rPr>
                <w:sz w:val="22"/>
                <w:szCs w:val="22"/>
                <w:lang w:val="sk-SK"/>
              </w:rPr>
            </w:pPr>
            <w:r>
              <w:rPr>
                <w:sz w:val="22"/>
                <w:szCs w:val="22"/>
                <w:lang w:val="sk-SK"/>
              </w:rPr>
              <w:t>4,</w:t>
            </w:r>
            <w:r w:rsidR="00013609" w:rsidRPr="00013609">
              <w:rPr>
                <w:sz w:val="22"/>
                <w:szCs w:val="22"/>
                <w:lang w:val="sk-SK"/>
              </w:rPr>
              <w:t>50%</w:t>
            </w:r>
          </w:p>
        </w:tc>
        <w:tc>
          <w:tcPr>
            <w:tcW w:w="931" w:type="dxa"/>
          </w:tcPr>
          <w:p w14:paraId="74068C98" w14:textId="77777777" w:rsidR="00013609" w:rsidRPr="00013609" w:rsidRDefault="000D41AC" w:rsidP="00A04A5C">
            <w:pPr>
              <w:autoSpaceDE w:val="0"/>
              <w:autoSpaceDN w:val="0"/>
              <w:adjustRightInd w:val="0"/>
              <w:rPr>
                <w:sz w:val="22"/>
                <w:szCs w:val="22"/>
                <w:lang w:val="sk-SK"/>
              </w:rPr>
            </w:pPr>
            <w:r>
              <w:rPr>
                <w:sz w:val="22"/>
                <w:szCs w:val="22"/>
                <w:lang w:val="sk-SK"/>
              </w:rPr>
              <w:t>378 (4,</w:t>
            </w:r>
            <w:r w:rsidR="00013609" w:rsidRPr="00013609">
              <w:rPr>
                <w:sz w:val="22"/>
                <w:szCs w:val="22"/>
                <w:lang w:val="sk-SK"/>
              </w:rPr>
              <w:t>1%)</w:t>
            </w:r>
          </w:p>
        </w:tc>
        <w:tc>
          <w:tcPr>
            <w:tcW w:w="932" w:type="dxa"/>
          </w:tcPr>
          <w:p w14:paraId="3A4CA97E" w14:textId="77777777" w:rsidR="00013609" w:rsidRPr="00013609" w:rsidRDefault="000D41AC" w:rsidP="00A04A5C">
            <w:pPr>
              <w:autoSpaceDE w:val="0"/>
              <w:autoSpaceDN w:val="0"/>
              <w:adjustRightInd w:val="0"/>
              <w:rPr>
                <w:sz w:val="22"/>
                <w:szCs w:val="22"/>
                <w:lang w:val="sk-SK"/>
              </w:rPr>
            </w:pPr>
            <w:r>
              <w:rPr>
                <w:sz w:val="22"/>
                <w:szCs w:val="22"/>
                <w:lang w:val="sk-SK"/>
              </w:rPr>
              <w:t>5,</w:t>
            </w:r>
            <w:r w:rsidR="00013609" w:rsidRPr="00013609">
              <w:rPr>
                <w:sz w:val="22"/>
                <w:szCs w:val="22"/>
                <w:lang w:val="sk-SK"/>
              </w:rPr>
              <w:t>57%</w:t>
            </w:r>
          </w:p>
        </w:tc>
        <w:tc>
          <w:tcPr>
            <w:tcW w:w="1678" w:type="dxa"/>
          </w:tcPr>
          <w:p w14:paraId="2A0F0D6F" w14:textId="77777777" w:rsidR="00013609" w:rsidRPr="00013609" w:rsidRDefault="000D41AC" w:rsidP="00A04A5C">
            <w:pPr>
              <w:autoSpaceDE w:val="0"/>
              <w:autoSpaceDN w:val="0"/>
              <w:adjustRightInd w:val="0"/>
              <w:rPr>
                <w:sz w:val="22"/>
                <w:szCs w:val="22"/>
                <w:lang w:val="sk-SK"/>
              </w:rPr>
            </w:pPr>
            <w:r>
              <w:rPr>
                <w:sz w:val="22"/>
                <w:szCs w:val="22"/>
                <w:lang w:val="sk-SK"/>
              </w:rPr>
              <w:t>0,</w:t>
            </w:r>
            <w:r w:rsidR="00013609" w:rsidRPr="00013609">
              <w:rPr>
                <w:sz w:val="22"/>
                <w:szCs w:val="22"/>
                <w:lang w:val="sk-SK"/>
              </w:rPr>
              <w:t>82</w:t>
            </w:r>
          </w:p>
          <w:p w14:paraId="1E8319D1" w14:textId="77777777" w:rsidR="00013609" w:rsidRPr="00013609" w:rsidRDefault="000D41AC" w:rsidP="00A04A5C">
            <w:pPr>
              <w:autoSpaceDE w:val="0"/>
              <w:autoSpaceDN w:val="0"/>
              <w:adjustRightInd w:val="0"/>
              <w:rPr>
                <w:sz w:val="22"/>
                <w:szCs w:val="22"/>
                <w:lang w:val="sk-SK"/>
              </w:rPr>
            </w:pPr>
            <w:r>
              <w:rPr>
                <w:sz w:val="22"/>
                <w:szCs w:val="22"/>
                <w:lang w:val="sk-SK"/>
              </w:rPr>
              <w:t>(0,71;0,</w:t>
            </w:r>
            <w:r w:rsidR="00013609" w:rsidRPr="00013609">
              <w:rPr>
                <w:sz w:val="22"/>
                <w:szCs w:val="22"/>
                <w:lang w:val="sk-SK"/>
              </w:rPr>
              <w:t>96)</w:t>
            </w:r>
          </w:p>
        </w:tc>
        <w:tc>
          <w:tcPr>
            <w:tcW w:w="1678" w:type="dxa"/>
          </w:tcPr>
          <w:p w14:paraId="26822D23" w14:textId="77777777" w:rsidR="00013609" w:rsidRPr="00013609" w:rsidRDefault="00013609" w:rsidP="00A04A5C">
            <w:pPr>
              <w:autoSpaceDE w:val="0"/>
              <w:autoSpaceDN w:val="0"/>
              <w:adjustRightInd w:val="0"/>
              <w:rPr>
                <w:sz w:val="22"/>
                <w:szCs w:val="22"/>
                <w:lang w:val="sk-SK"/>
              </w:rPr>
            </w:pPr>
          </w:p>
        </w:tc>
      </w:tr>
      <w:tr w:rsidR="000D41AC" w:rsidRPr="00013609" w14:paraId="086C7C8B" w14:textId="77777777" w:rsidTr="00A04A5C">
        <w:tc>
          <w:tcPr>
            <w:tcW w:w="1871" w:type="dxa"/>
          </w:tcPr>
          <w:p w14:paraId="0615BB6A" w14:textId="77777777" w:rsidR="00013609" w:rsidRPr="00013609" w:rsidRDefault="00013609" w:rsidP="00A04A5C">
            <w:pPr>
              <w:autoSpaceDE w:val="0"/>
              <w:autoSpaceDN w:val="0"/>
              <w:adjustRightInd w:val="0"/>
              <w:rPr>
                <w:sz w:val="22"/>
                <w:szCs w:val="22"/>
                <w:lang w:val="sk-SK"/>
              </w:rPr>
            </w:pPr>
            <w:r w:rsidRPr="00013609">
              <w:rPr>
                <w:sz w:val="22"/>
                <w:szCs w:val="22"/>
                <w:lang w:val="sk-SK"/>
              </w:rPr>
              <w:t>Akútna ischémia končatín</w:t>
            </w:r>
          </w:p>
        </w:tc>
        <w:tc>
          <w:tcPr>
            <w:tcW w:w="1097" w:type="dxa"/>
          </w:tcPr>
          <w:p w14:paraId="0AC38A62" w14:textId="0FCF04BA" w:rsidR="00013609" w:rsidRPr="00013609" w:rsidRDefault="00013609" w:rsidP="00A04A5C">
            <w:pPr>
              <w:tabs>
                <w:tab w:val="left" w:pos="2146"/>
              </w:tabs>
              <w:autoSpaceDE w:val="0"/>
              <w:autoSpaceDN w:val="0"/>
              <w:adjustRightInd w:val="0"/>
              <w:rPr>
                <w:sz w:val="22"/>
                <w:szCs w:val="22"/>
                <w:lang w:val="sk-SK"/>
              </w:rPr>
            </w:pPr>
            <w:r w:rsidRPr="00013609">
              <w:rPr>
                <w:sz w:val="22"/>
                <w:szCs w:val="22"/>
                <w:lang w:val="sk-SK"/>
              </w:rPr>
              <w:t>22 (0</w:t>
            </w:r>
            <w:r w:rsidR="00062A7B">
              <w:rPr>
                <w:sz w:val="22"/>
                <w:szCs w:val="22"/>
                <w:lang w:val="sk-SK"/>
              </w:rPr>
              <w:t>,</w:t>
            </w:r>
            <w:r w:rsidRPr="00013609">
              <w:rPr>
                <w:sz w:val="22"/>
                <w:szCs w:val="22"/>
                <w:lang w:val="sk-SK"/>
              </w:rPr>
              <w:t>2%)</w:t>
            </w:r>
          </w:p>
        </w:tc>
        <w:tc>
          <w:tcPr>
            <w:tcW w:w="1099" w:type="dxa"/>
          </w:tcPr>
          <w:p w14:paraId="0AA07FE9" w14:textId="13F50E18" w:rsidR="00013609" w:rsidRPr="00013609" w:rsidRDefault="00013609" w:rsidP="00A04A5C">
            <w:pPr>
              <w:tabs>
                <w:tab w:val="left" w:pos="2146"/>
              </w:tabs>
              <w:autoSpaceDE w:val="0"/>
              <w:autoSpaceDN w:val="0"/>
              <w:adjustRightInd w:val="0"/>
              <w:rPr>
                <w:sz w:val="22"/>
                <w:szCs w:val="22"/>
                <w:lang w:val="sk-SK"/>
              </w:rPr>
            </w:pPr>
            <w:r w:rsidRPr="00013609">
              <w:rPr>
                <w:sz w:val="22"/>
                <w:szCs w:val="22"/>
                <w:lang w:val="sk-SK"/>
              </w:rPr>
              <w:t>0</w:t>
            </w:r>
            <w:r w:rsidR="00062A7B">
              <w:rPr>
                <w:sz w:val="22"/>
                <w:szCs w:val="22"/>
                <w:lang w:val="sk-SK"/>
              </w:rPr>
              <w:t>,</w:t>
            </w:r>
            <w:r w:rsidRPr="00013609">
              <w:rPr>
                <w:sz w:val="22"/>
                <w:szCs w:val="22"/>
                <w:lang w:val="sk-SK"/>
              </w:rPr>
              <w:t>27%</w:t>
            </w:r>
          </w:p>
        </w:tc>
        <w:tc>
          <w:tcPr>
            <w:tcW w:w="931" w:type="dxa"/>
          </w:tcPr>
          <w:p w14:paraId="4A57CADC" w14:textId="3B2A5CE0" w:rsidR="00013609" w:rsidRPr="00013609" w:rsidRDefault="00013609" w:rsidP="00A04A5C">
            <w:pPr>
              <w:autoSpaceDE w:val="0"/>
              <w:autoSpaceDN w:val="0"/>
              <w:adjustRightInd w:val="0"/>
              <w:rPr>
                <w:sz w:val="22"/>
                <w:szCs w:val="22"/>
                <w:lang w:val="sk-SK"/>
              </w:rPr>
            </w:pPr>
            <w:r w:rsidRPr="00013609">
              <w:rPr>
                <w:sz w:val="22"/>
                <w:szCs w:val="22"/>
                <w:lang w:val="sk-SK"/>
              </w:rPr>
              <w:t>40 (0</w:t>
            </w:r>
            <w:r w:rsidR="00062A7B">
              <w:rPr>
                <w:sz w:val="22"/>
                <w:szCs w:val="22"/>
                <w:lang w:val="sk-SK"/>
              </w:rPr>
              <w:t>,</w:t>
            </w:r>
            <w:r w:rsidRPr="00013609">
              <w:rPr>
                <w:sz w:val="22"/>
                <w:szCs w:val="22"/>
                <w:lang w:val="sk-SK"/>
              </w:rPr>
              <w:t>4%)</w:t>
            </w:r>
          </w:p>
        </w:tc>
        <w:tc>
          <w:tcPr>
            <w:tcW w:w="932" w:type="dxa"/>
          </w:tcPr>
          <w:p w14:paraId="250E4320" w14:textId="6339D304" w:rsidR="00013609" w:rsidRPr="00013609" w:rsidRDefault="00013609" w:rsidP="00A04A5C">
            <w:pPr>
              <w:autoSpaceDE w:val="0"/>
              <w:autoSpaceDN w:val="0"/>
              <w:adjustRightInd w:val="0"/>
              <w:rPr>
                <w:sz w:val="22"/>
                <w:szCs w:val="22"/>
                <w:lang w:val="sk-SK"/>
              </w:rPr>
            </w:pPr>
            <w:r w:rsidRPr="00013609">
              <w:rPr>
                <w:sz w:val="22"/>
                <w:szCs w:val="22"/>
                <w:lang w:val="sk-SK"/>
              </w:rPr>
              <w:t>0</w:t>
            </w:r>
            <w:r w:rsidR="00062A7B">
              <w:rPr>
                <w:sz w:val="22"/>
                <w:szCs w:val="22"/>
                <w:lang w:val="sk-SK"/>
              </w:rPr>
              <w:t>,</w:t>
            </w:r>
            <w:r w:rsidRPr="00013609">
              <w:rPr>
                <w:sz w:val="22"/>
                <w:szCs w:val="22"/>
                <w:lang w:val="sk-SK"/>
              </w:rPr>
              <w:t>60%</w:t>
            </w:r>
          </w:p>
        </w:tc>
        <w:tc>
          <w:tcPr>
            <w:tcW w:w="1678" w:type="dxa"/>
          </w:tcPr>
          <w:p w14:paraId="2F31D700" w14:textId="77777777" w:rsidR="00013609" w:rsidRPr="00013609" w:rsidRDefault="000D41AC" w:rsidP="00A04A5C">
            <w:pPr>
              <w:autoSpaceDE w:val="0"/>
              <w:autoSpaceDN w:val="0"/>
              <w:adjustRightInd w:val="0"/>
              <w:rPr>
                <w:sz w:val="22"/>
                <w:szCs w:val="22"/>
                <w:lang w:val="sk-SK"/>
              </w:rPr>
            </w:pPr>
            <w:r>
              <w:rPr>
                <w:sz w:val="22"/>
                <w:szCs w:val="22"/>
                <w:lang w:val="sk-SK"/>
              </w:rPr>
              <w:t>0,</w:t>
            </w:r>
            <w:r w:rsidR="00013609" w:rsidRPr="00013609">
              <w:rPr>
                <w:sz w:val="22"/>
                <w:szCs w:val="22"/>
                <w:lang w:val="sk-SK"/>
              </w:rPr>
              <w:t>55</w:t>
            </w:r>
          </w:p>
          <w:p w14:paraId="2611F391" w14:textId="77777777" w:rsidR="00013609" w:rsidRPr="00013609" w:rsidRDefault="000D41AC" w:rsidP="00A04A5C">
            <w:pPr>
              <w:autoSpaceDE w:val="0"/>
              <w:autoSpaceDN w:val="0"/>
              <w:adjustRightInd w:val="0"/>
              <w:rPr>
                <w:sz w:val="22"/>
                <w:szCs w:val="22"/>
                <w:lang w:val="sk-SK"/>
              </w:rPr>
            </w:pPr>
            <w:r>
              <w:rPr>
                <w:sz w:val="22"/>
                <w:szCs w:val="22"/>
                <w:lang w:val="sk-SK"/>
              </w:rPr>
              <w:t>(0,32;0,</w:t>
            </w:r>
            <w:r w:rsidR="00013609" w:rsidRPr="00013609">
              <w:rPr>
                <w:sz w:val="22"/>
                <w:szCs w:val="22"/>
                <w:lang w:val="sk-SK"/>
              </w:rPr>
              <w:t>92)</w:t>
            </w:r>
          </w:p>
        </w:tc>
        <w:tc>
          <w:tcPr>
            <w:tcW w:w="1678" w:type="dxa"/>
          </w:tcPr>
          <w:p w14:paraId="19B9CFFA" w14:textId="77777777" w:rsidR="00013609" w:rsidRPr="00013609" w:rsidRDefault="00013609" w:rsidP="00A04A5C">
            <w:pPr>
              <w:autoSpaceDE w:val="0"/>
              <w:autoSpaceDN w:val="0"/>
              <w:adjustRightInd w:val="0"/>
              <w:rPr>
                <w:sz w:val="22"/>
                <w:szCs w:val="22"/>
                <w:lang w:val="sk-SK"/>
              </w:rPr>
            </w:pPr>
          </w:p>
        </w:tc>
      </w:tr>
    </w:tbl>
    <w:p w14:paraId="44F2A85A" w14:textId="3C6131E5" w:rsidR="0033550A" w:rsidRPr="0033550A" w:rsidRDefault="0033550A" w:rsidP="0033550A">
      <w:pPr>
        <w:autoSpaceDE w:val="0"/>
        <w:autoSpaceDN w:val="0"/>
        <w:adjustRightInd w:val="0"/>
        <w:spacing w:after="0" w:line="240" w:lineRule="auto"/>
        <w:rPr>
          <w:rFonts w:ascii="Times New Roman" w:hAnsi="Times New Roman" w:cs="Times New Roman"/>
          <w:color w:val="000000"/>
        </w:rPr>
      </w:pPr>
      <w:r w:rsidRPr="0033550A">
        <w:rPr>
          <w:rFonts w:ascii="Times New Roman" w:hAnsi="Times New Roman" w:cs="Times New Roman"/>
          <w:color w:val="000000"/>
        </w:rPr>
        <w:t xml:space="preserve">a) Súbor </w:t>
      </w:r>
      <w:r w:rsidR="00204D2B">
        <w:rPr>
          <w:rFonts w:ascii="Times New Roman" w:hAnsi="Times New Roman" w:cs="Times New Roman"/>
          <w:color w:val="000000"/>
        </w:rPr>
        <w:t>pre analýzu intention-to-treat</w:t>
      </w:r>
      <w:r w:rsidRPr="0033550A">
        <w:rPr>
          <w:rFonts w:ascii="Times New Roman" w:hAnsi="Times New Roman" w:cs="Times New Roman"/>
          <w:color w:val="000000"/>
        </w:rPr>
        <w:t xml:space="preserve">, primárne analýzy. </w:t>
      </w:r>
    </w:p>
    <w:p w14:paraId="2C3165F4" w14:textId="1BF7F42A" w:rsidR="0033550A" w:rsidRPr="0033550A" w:rsidRDefault="0033550A" w:rsidP="0033550A">
      <w:pPr>
        <w:autoSpaceDE w:val="0"/>
        <w:autoSpaceDN w:val="0"/>
        <w:adjustRightInd w:val="0"/>
        <w:spacing w:after="0" w:line="240" w:lineRule="auto"/>
        <w:rPr>
          <w:rFonts w:ascii="Times New Roman" w:hAnsi="Times New Roman" w:cs="Times New Roman"/>
          <w:color w:val="000000"/>
        </w:rPr>
      </w:pPr>
      <w:r w:rsidRPr="0033550A">
        <w:rPr>
          <w:rFonts w:ascii="Times New Roman" w:hAnsi="Times New Roman" w:cs="Times New Roman"/>
          <w:color w:val="000000"/>
        </w:rPr>
        <w:t xml:space="preserve">b) </w:t>
      </w:r>
      <w:r w:rsidR="00173179">
        <w:rPr>
          <w:rFonts w:ascii="Times New Roman" w:hAnsi="Times New Roman" w:cs="Times New Roman"/>
          <w:color w:val="000000"/>
        </w:rPr>
        <w:t>vs.</w:t>
      </w:r>
      <w:r w:rsidR="00173179" w:rsidRPr="0033550A">
        <w:rPr>
          <w:rFonts w:ascii="Times New Roman" w:hAnsi="Times New Roman" w:cs="Times New Roman"/>
          <w:color w:val="000000"/>
        </w:rPr>
        <w:t xml:space="preserve"> </w:t>
      </w:r>
      <w:r w:rsidRPr="0033550A">
        <w:rPr>
          <w:rFonts w:ascii="Times New Roman" w:hAnsi="Times New Roman" w:cs="Times New Roman"/>
          <w:color w:val="000000"/>
        </w:rPr>
        <w:t>ASA 100 mg; Log-Rank</w:t>
      </w:r>
      <w:r w:rsidR="00062A7B">
        <w:rPr>
          <w:rFonts w:ascii="Times New Roman" w:hAnsi="Times New Roman" w:cs="Times New Roman"/>
          <w:color w:val="000000"/>
        </w:rPr>
        <w:t xml:space="preserve"> </w:t>
      </w:r>
      <w:r w:rsidR="00173179">
        <w:rPr>
          <w:rFonts w:ascii="Times New Roman" w:hAnsi="Times New Roman" w:cs="Times New Roman"/>
          <w:color w:val="000000"/>
        </w:rPr>
        <w:t>p-hodnota</w:t>
      </w:r>
    </w:p>
    <w:p w14:paraId="7E2112A2" w14:textId="77777777" w:rsidR="0033550A" w:rsidRPr="0033550A" w:rsidRDefault="0033550A" w:rsidP="0033550A">
      <w:pPr>
        <w:autoSpaceDE w:val="0"/>
        <w:autoSpaceDN w:val="0"/>
        <w:adjustRightInd w:val="0"/>
        <w:spacing w:after="0" w:line="240" w:lineRule="auto"/>
        <w:rPr>
          <w:rFonts w:ascii="Times New Roman" w:hAnsi="Times New Roman" w:cs="Times New Roman"/>
          <w:color w:val="000000"/>
        </w:rPr>
      </w:pPr>
      <w:r w:rsidRPr="0033550A">
        <w:rPr>
          <w:rFonts w:ascii="Times New Roman" w:hAnsi="Times New Roman" w:cs="Times New Roman"/>
          <w:color w:val="000000"/>
        </w:rPr>
        <w:t xml:space="preserve">* Zníženie primárneho ukazovateľa účinnosti bolo štatisticky superiórne. </w:t>
      </w:r>
    </w:p>
    <w:p w14:paraId="55D4DE9D" w14:textId="4222C988" w:rsidR="007C3E50" w:rsidRPr="006474AD" w:rsidRDefault="0033550A" w:rsidP="0033550A">
      <w:pPr>
        <w:pStyle w:val="Default"/>
        <w:rPr>
          <w:rFonts w:eastAsia="Times New Roman"/>
          <w:b/>
          <w:sz w:val="22"/>
          <w:szCs w:val="22"/>
          <w:lang w:eastAsia="el-GR"/>
        </w:rPr>
      </w:pPr>
      <w:r w:rsidRPr="006474AD">
        <w:rPr>
          <w:sz w:val="22"/>
          <w:szCs w:val="22"/>
        </w:rPr>
        <w:t>I</w:t>
      </w:r>
      <w:r w:rsidR="00A65307">
        <w:rPr>
          <w:sz w:val="22"/>
          <w:szCs w:val="22"/>
        </w:rPr>
        <w:t>S</w:t>
      </w:r>
      <w:r w:rsidRPr="006474AD">
        <w:rPr>
          <w:sz w:val="22"/>
          <w:szCs w:val="22"/>
        </w:rPr>
        <w:t>: interval spoľahlivosti; KM %: Kaplanov-Meierov odhad kumulatívneho rizika výskytu vypočítaného po 900 dňoch; MI: infarkt myokardu</w:t>
      </w:r>
      <w:r w:rsidR="00F273CC">
        <w:rPr>
          <w:sz w:val="22"/>
          <w:szCs w:val="22"/>
        </w:rPr>
        <w:t xml:space="preserve">; </w:t>
      </w:r>
    </w:p>
    <w:p w14:paraId="626D2059" w14:textId="77777777" w:rsidR="007C3E50" w:rsidRDefault="007C3E50" w:rsidP="00B20146">
      <w:pPr>
        <w:pStyle w:val="Default"/>
        <w:rPr>
          <w:rFonts w:eastAsia="Times New Roman"/>
          <w:b/>
          <w:sz w:val="22"/>
          <w:szCs w:val="22"/>
          <w:lang w:eastAsia="el-GR"/>
        </w:rPr>
      </w:pPr>
    </w:p>
    <w:p w14:paraId="0F7EE514" w14:textId="77777777" w:rsidR="006474AD" w:rsidRDefault="006474AD" w:rsidP="00B20146">
      <w:pPr>
        <w:pStyle w:val="Default"/>
        <w:rPr>
          <w:rFonts w:eastAsia="Times New Roman"/>
          <w:b/>
          <w:sz w:val="22"/>
          <w:szCs w:val="22"/>
          <w:lang w:eastAsia="el-GR"/>
        </w:rPr>
      </w:pPr>
    </w:p>
    <w:p w14:paraId="1226F594" w14:textId="77777777" w:rsidR="006474AD" w:rsidRDefault="006474AD" w:rsidP="00B20146">
      <w:pPr>
        <w:pStyle w:val="Default"/>
        <w:rPr>
          <w:rFonts w:eastAsia="Times New Roman"/>
          <w:b/>
          <w:sz w:val="22"/>
          <w:szCs w:val="22"/>
          <w:lang w:eastAsia="el-GR"/>
        </w:rPr>
      </w:pPr>
    </w:p>
    <w:p w14:paraId="7BA7E2EA" w14:textId="77777777" w:rsidR="006474AD" w:rsidRDefault="006474AD" w:rsidP="00B20146">
      <w:pPr>
        <w:pStyle w:val="Default"/>
        <w:rPr>
          <w:rFonts w:eastAsia="Times New Roman"/>
          <w:b/>
          <w:sz w:val="22"/>
          <w:szCs w:val="22"/>
          <w:lang w:eastAsia="el-GR"/>
        </w:rPr>
      </w:pPr>
    </w:p>
    <w:p w14:paraId="72B91507" w14:textId="77777777" w:rsidR="006474AD" w:rsidRDefault="006474AD" w:rsidP="00B20146">
      <w:pPr>
        <w:pStyle w:val="Default"/>
        <w:rPr>
          <w:rFonts w:eastAsia="Times New Roman"/>
          <w:b/>
          <w:sz w:val="22"/>
          <w:szCs w:val="22"/>
          <w:lang w:eastAsia="el-GR"/>
        </w:rPr>
      </w:pPr>
    </w:p>
    <w:p w14:paraId="4168AEA5" w14:textId="77777777" w:rsidR="006474AD" w:rsidRDefault="006474AD" w:rsidP="00B20146">
      <w:pPr>
        <w:pStyle w:val="Default"/>
        <w:rPr>
          <w:rFonts w:eastAsia="Times New Roman"/>
          <w:b/>
          <w:sz w:val="22"/>
          <w:szCs w:val="22"/>
          <w:lang w:eastAsia="el-GR"/>
        </w:rPr>
      </w:pPr>
    </w:p>
    <w:p w14:paraId="6800C894" w14:textId="77777777" w:rsidR="00EC2789" w:rsidRDefault="00EC2789" w:rsidP="00B20146">
      <w:pPr>
        <w:pStyle w:val="Default"/>
        <w:rPr>
          <w:rFonts w:eastAsia="Times New Roman"/>
          <w:b/>
          <w:sz w:val="22"/>
          <w:szCs w:val="22"/>
          <w:lang w:eastAsia="el-GR"/>
        </w:rPr>
      </w:pPr>
    </w:p>
    <w:p w14:paraId="011BD167" w14:textId="77777777" w:rsidR="00EC2789" w:rsidRDefault="00EC2789" w:rsidP="00B20146">
      <w:pPr>
        <w:pStyle w:val="Default"/>
        <w:rPr>
          <w:rFonts w:eastAsia="Times New Roman"/>
          <w:b/>
          <w:sz w:val="22"/>
          <w:szCs w:val="22"/>
          <w:lang w:eastAsia="el-GR"/>
        </w:rPr>
      </w:pPr>
    </w:p>
    <w:p w14:paraId="233D04A8" w14:textId="7A00E723" w:rsidR="007C3E50" w:rsidRDefault="0033550A" w:rsidP="00B20146">
      <w:pPr>
        <w:pStyle w:val="Default"/>
        <w:rPr>
          <w:rFonts w:eastAsia="Times New Roman"/>
          <w:b/>
          <w:sz w:val="22"/>
          <w:szCs w:val="22"/>
          <w:lang w:eastAsia="el-GR"/>
        </w:rPr>
      </w:pPr>
      <w:r>
        <w:rPr>
          <w:b/>
          <w:bCs/>
          <w:sz w:val="22"/>
          <w:szCs w:val="22"/>
        </w:rPr>
        <w:t>Tabuľka 8: Výsledky bezpečnosti z</w:t>
      </w:r>
      <w:r w:rsidR="00A65307">
        <w:rPr>
          <w:b/>
          <w:bCs/>
          <w:sz w:val="22"/>
          <w:szCs w:val="22"/>
        </w:rPr>
        <w:t> fázy III</w:t>
      </w:r>
      <w:r>
        <w:rPr>
          <w:b/>
          <w:bCs/>
          <w:sz w:val="22"/>
          <w:szCs w:val="22"/>
        </w:rPr>
        <w:t xml:space="preserve"> štúdie COMPASS </w:t>
      </w:r>
    </w:p>
    <w:tbl>
      <w:tblPr>
        <w:tblStyle w:val="Mriekatabuky"/>
        <w:tblW w:w="0" w:type="auto"/>
        <w:tblLook w:val="04A0" w:firstRow="1" w:lastRow="0" w:firstColumn="1" w:lastColumn="0" w:noHBand="0" w:noVBand="1"/>
      </w:tblPr>
      <w:tblGrid>
        <w:gridCol w:w="3085"/>
        <w:gridCol w:w="2410"/>
        <w:gridCol w:w="1984"/>
        <w:gridCol w:w="1807"/>
      </w:tblGrid>
      <w:tr w:rsidR="006474AD" w:rsidRPr="006474AD" w14:paraId="238AB0EC" w14:textId="77777777" w:rsidTr="00A04A5C">
        <w:tc>
          <w:tcPr>
            <w:tcW w:w="3085" w:type="dxa"/>
          </w:tcPr>
          <w:p w14:paraId="76E86943" w14:textId="77777777" w:rsidR="006474AD" w:rsidRPr="006474AD" w:rsidRDefault="006474AD" w:rsidP="00A04A5C">
            <w:pPr>
              <w:rPr>
                <w:sz w:val="22"/>
                <w:szCs w:val="22"/>
                <w:lang w:val="sk-SK"/>
              </w:rPr>
            </w:pPr>
            <w:r>
              <w:rPr>
                <w:b/>
                <w:bCs/>
                <w:sz w:val="22"/>
                <w:szCs w:val="22"/>
              </w:rPr>
              <w:t>Sledovaná populácia</w:t>
            </w:r>
          </w:p>
        </w:tc>
        <w:tc>
          <w:tcPr>
            <w:tcW w:w="6201" w:type="dxa"/>
            <w:gridSpan w:val="3"/>
          </w:tcPr>
          <w:p w14:paraId="4D1B1893" w14:textId="77777777" w:rsidR="006474AD" w:rsidRPr="006474AD" w:rsidRDefault="006474AD" w:rsidP="006474AD">
            <w:pPr>
              <w:autoSpaceDE w:val="0"/>
              <w:autoSpaceDN w:val="0"/>
              <w:adjustRightInd w:val="0"/>
              <w:spacing w:line="223" w:lineRule="exact"/>
              <w:ind w:right="-20"/>
              <w:jc w:val="center"/>
              <w:rPr>
                <w:b/>
                <w:bCs/>
                <w:spacing w:val="1"/>
                <w:sz w:val="22"/>
                <w:szCs w:val="22"/>
                <w:lang w:val="sk-SK"/>
              </w:rPr>
            </w:pPr>
            <w:r w:rsidRPr="006474AD">
              <w:rPr>
                <w:b/>
                <w:bCs/>
                <w:spacing w:val="1"/>
                <w:sz w:val="22"/>
                <w:szCs w:val="22"/>
                <w:lang w:val="sk-SK"/>
              </w:rPr>
              <w:t>P</w:t>
            </w:r>
            <w:r w:rsidRPr="006474AD">
              <w:rPr>
                <w:b/>
                <w:bCs/>
                <w:sz w:val="22"/>
                <w:szCs w:val="22"/>
                <w:lang w:val="sk-SK"/>
              </w:rPr>
              <w:t>a</w:t>
            </w:r>
            <w:r>
              <w:rPr>
                <w:b/>
                <w:bCs/>
                <w:sz w:val="22"/>
                <w:szCs w:val="22"/>
                <w:lang w:val="sk-SK"/>
              </w:rPr>
              <w:t>c</w:t>
            </w:r>
            <w:r w:rsidRPr="006474AD">
              <w:rPr>
                <w:b/>
                <w:bCs/>
                <w:spacing w:val="2"/>
                <w:sz w:val="22"/>
                <w:szCs w:val="22"/>
                <w:lang w:val="sk-SK"/>
              </w:rPr>
              <w:t>i</w:t>
            </w:r>
            <w:r w:rsidRPr="006474AD">
              <w:rPr>
                <w:b/>
                <w:bCs/>
                <w:spacing w:val="-3"/>
                <w:sz w:val="22"/>
                <w:szCs w:val="22"/>
                <w:lang w:val="sk-SK"/>
              </w:rPr>
              <w:t>e</w:t>
            </w:r>
            <w:r w:rsidRPr="006474AD">
              <w:rPr>
                <w:b/>
                <w:bCs/>
                <w:sz w:val="22"/>
                <w:szCs w:val="22"/>
                <w:lang w:val="sk-SK"/>
              </w:rPr>
              <w:t>n</w:t>
            </w:r>
            <w:r w:rsidRPr="006474AD">
              <w:rPr>
                <w:b/>
                <w:bCs/>
                <w:spacing w:val="1"/>
                <w:sz w:val="22"/>
                <w:szCs w:val="22"/>
                <w:lang w:val="sk-SK"/>
              </w:rPr>
              <w:t>t</w:t>
            </w:r>
            <w:r>
              <w:rPr>
                <w:b/>
                <w:bCs/>
                <w:sz w:val="22"/>
                <w:szCs w:val="22"/>
                <w:lang w:val="sk-SK"/>
              </w:rPr>
              <w:t>i</w:t>
            </w:r>
            <w:r w:rsidRPr="006474AD">
              <w:rPr>
                <w:b/>
                <w:bCs/>
                <w:spacing w:val="22"/>
                <w:sz w:val="22"/>
                <w:szCs w:val="22"/>
                <w:lang w:val="sk-SK"/>
              </w:rPr>
              <w:t xml:space="preserve"> </w:t>
            </w:r>
            <w:r>
              <w:rPr>
                <w:b/>
                <w:bCs/>
                <w:spacing w:val="22"/>
                <w:sz w:val="22"/>
                <w:szCs w:val="22"/>
                <w:lang w:val="sk-SK"/>
              </w:rPr>
              <w:t>s</w:t>
            </w:r>
            <w:r w:rsidRPr="006474AD">
              <w:rPr>
                <w:b/>
                <w:bCs/>
                <w:spacing w:val="11"/>
                <w:sz w:val="22"/>
                <w:szCs w:val="22"/>
                <w:lang w:val="sk-SK"/>
              </w:rPr>
              <w:t xml:space="preserve"> </w:t>
            </w:r>
            <w:r w:rsidRPr="006474AD">
              <w:rPr>
                <w:b/>
                <w:bCs/>
                <w:spacing w:val="-1"/>
                <w:sz w:val="22"/>
                <w:szCs w:val="22"/>
                <w:lang w:val="sk-SK"/>
              </w:rPr>
              <w:t>CAD/PAD</w:t>
            </w:r>
            <w:r w:rsidRPr="006474AD">
              <w:rPr>
                <w:b/>
                <w:bCs/>
                <w:spacing w:val="2"/>
                <w:sz w:val="22"/>
                <w:szCs w:val="22"/>
                <w:vertAlign w:val="superscript"/>
                <w:lang w:val="sk-SK"/>
              </w:rPr>
              <w:t>a</w:t>
            </w:r>
            <w:r w:rsidRPr="006474AD">
              <w:rPr>
                <w:b/>
                <w:bCs/>
                <w:sz w:val="22"/>
                <w:szCs w:val="22"/>
                <w:vertAlign w:val="superscript"/>
                <w:lang w:val="sk-SK"/>
              </w:rPr>
              <w:t>)</w:t>
            </w:r>
          </w:p>
        </w:tc>
      </w:tr>
      <w:tr w:rsidR="006474AD" w:rsidRPr="006474AD" w14:paraId="07242EA7" w14:textId="77777777" w:rsidTr="00EC2789">
        <w:tc>
          <w:tcPr>
            <w:tcW w:w="3085" w:type="dxa"/>
          </w:tcPr>
          <w:p w14:paraId="1AB20855" w14:textId="0FB0322A" w:rsidR="006474AD" w:rsidRPr="00BB4BB9" w:rsidRDefault="00BB4BB9" w:rsidP="00A04A5C">
            <w:pPr>
              <w:autoSpaceDE w:val="0"/>
              <w:autoSpaceDN w:val="0"/>
              <w:adjustRightInd w:val="0"/>
              <w:rPr>
                <w:b/>
                <w:sz w:val="22"/>
                <w:szCs w:val="22"/>
                <w:lang w:val="sk-SK"/>
              </w:rPr>
            </w:pPr>
            <w:r>
              <w:rPr>
                <w:b/>
                <w:bCs/>
                <w:sz w:val="22"/>
                <w:szCs w:val="22"/>
                <w:lang w:val="sk-SK"/>
              </w:rPr>
              <w:t>Liečebná dávka</w:t>
            </w:r>
          </w:p>
        </w:tc>
        <w:tc>
          <w:tcPr>
            <w:tcW w:w="2410" w:type="dxa"/>
          </w:tcPr>
          <w:p w14:paraId="3AF65A01" w14:textId="75B1553A" w:rsidR="006474AD" w:rsidRPr="006474AD" w:rsidRDefault="001462B3" w:rsidP="00A04A5C">
            <w:pPr>
              <w:autoSpaceDE w:val="0"/>
              <w:autoSpaceDN w:val="0"/>
              <w:adjustRightInd w:val="0"/>
              <w:rPr>
                <w:b/>
                <w:sz w:val="22"/>
                <w:szCs w:val="22"/>
                <w:lang w:val="sk-SK"/>
              </w:rPr>
            </w:pPr>
            <w:r>
              <w:rPr>
                <w:b/>
                <w:sz w:val="22"/>
                <w:szCs w:val="22"/>
                <w:lang w:val="sk-SK"/>
              </w:rPr>
              <w:t>Rivaroxabá</w:t>
            </w:r>
            <w:r w:rsidR="006474AD">
              <w:rPr>
                <w:b/>
                <w:sz w:val="22"/>
                <w:szCs w:val="22"/>
                <w:lang w:val="sk-SK"/>
              </w:rPr>
              <w:t>n 2,</w:t>
            </w:r>
            <w:r w:rsidR="006474AD" w:rsidRPr="006474AD">
              <w:rPr>
                <w:b/>
                <w:sz w:val="22"/>
                <w:szCs w:val="22"/>
                <w:lang w:val="sk-SK"/>
              </w:rPr>
              <w:t xml:space="preserve">5 mg </w:t>
            </w:r>
            <w:r w:rsidR="00BB4BB9">
              <w:rPr>
                <w:b/>
                <w:bCs/>
                <w:sz w:val="22"/>
                <w:szCs w:val="22"/>
                <w:lang w:val="sk-SK"/>
              </w:rPr>
              <w:t>dvakrát denne</w:t>
            </w:r>
            <w:r w:rsidR="006474AD">
              <w:rPr>
                <w:b/>
                <w:sz w:val="22"/>
                <w:szCs w:val="22"/>
                <w:lang w:val="sk-SK"/>
              </w:rPr>
              <w:t xml:space="preserve"> v</w:t>
            </w:r>
            <w:r w:rsidR="006474AD" w:rsidRPr="00013609">
              <w:rPr>
                <w:b/>
                <w:sz w:val="22"/>
                <w:szCs w:val="22"/>
                <w:lang w:val="sk-SK"/>
              </w:rPr>
              <w:t xml:space="preserve"> </w:t>
            </w:r>
            <w:r w:rsidR="006474AD">
              <w:rPr>
                <w:b/>
                <w:sz w:val="22"/>
                <w:szCs w:val="22"/>
                <w:lang w:val="sk-SK"/>
              </w:rPr>
              <w:t>k</w:t>
            </w:r>
            <w:r w:rsidR="006474AD" w:rsidRPr="00013609">
              <w:rPr>
                <w:b/>
                <w:sz w:val="22"/>
                <w:szCs w:val="22"/>
                <w:lang w:val="sk-SK"/>
              </w:rPr>
              <w:t>ombin</w:t>
            </w:r>
            <w:r w:rsidR="006474AD">
              <w:rPr>
                <w:b/>
                <w:sz w:val="22"/>
                <w:szCs w:val="22"/>
                <w:lang w:val="sk-SK"/>
              </w:rPr>
              <w:t>ácii</w:t>
            </w:r>
            <w:r w:rsidR="006474AD" w:rsidRPr="00013609">
              <w:rPr>
                <w:b/>
                <w:sz w:val="22"/>
                <w:szCs w:val="22"/>
                <w:lang w:val="sk-SK"/>
              </w:rPr>
              <w:t xml:space="preserve"> </w:t>
            </w:r>
            <w:r w:rsidR="006474AD">
              <w:rPr>
                <w:b/>
                <w:sz w:val="22"/>
                <w:szCs w:val="22"/>
                <w:lang w:val="sk-SK"/>
              </w:rPr>
              <w:t>s</w:t>
            </w:r>
            <w:r w:rsidR="006474AD" w:rsidRPr="006474AD">
              <w:rPr>
                <w:b/>
                <w:sz w:val="22"/>
                <w:szCs w:val="22"/>
                <w:lang w:val="sk-SK"/>
              </w:rPr>
              <w:t xml:space="preserve"> ASA 100 mg </w:t>
            </w:r>
            <w:r w:rsidR="00BB4BB9">
              <w:rPr>
                <w:b/>
                <w:bCs/>
                <w:sz w:val="22"/>
                <w:szCs w:val="22"/>
                <w:lang w:val="sk-SK"/>
              </w:rPr>
              <w:t>jedenkrát denne</w:t>
            </w:r>
            <w:r w:rsidR="006474AD" w:rsidRPr="006474AD">
              <w:rPr>
                <w:b/>
                <w:sz w:val="22"/>
                <w:szCs w:val="22"/>
                <w:lang w:val="sk-SK"/>
              </w:rPr>
              <w:t>,</w:t>
            </w:r>
          </w:p>
          <w:p w14:paraId="17E7A9E3" w14:textId="77777777" w:rsidR="006474AD" w:rsidRPr="006474AD" w:rsidRDefault="006474AD" w:rsidP="00A04A5C">
            <w:pPr>
              <w:autoSpaceDE w:val="0"/>
              <w:autoSpaceDN w:val="0"/>
              <w:adjustRightInd w:val="0"/>
              <w:rPr>
                <w:b/>
                <w:sz w:val="22"/>
                <w:szCs w:val="22"/>
                <w:lang w:val="sk-SK"/>
              </w:rPr>
            </w:pPr>
            <w:r>
              <w:rPr>
                <w:b/>
                <w:sz w:val="22"/>
                <w:szCs w:val="22"/>
                <w:lang w:val="sk-SK"/>
              </w:rPr>
              <w:t>N=9 </w:t>
            </w:r>
            <w:r w:rsidRPr="006474AD">
              <w:rPr>
                <w:b/>
                <w:sz w:val="22"/>
                <w:szCs w:val="22"/>
                <w:lang w:val="sk-SK"/>
              </w:rPr>
              <w:t>152</w:t>
            </w:r>
          </w:p>
          <w:p w14:paraId="2D6D34EB" w14:textId="798C5053" w:rsidR="006474AD" w:rsidRPr="006474AD" w:rsidRDefault="00EC2789" w:rsidP="00EC2789">
            <w:pPr>
              <w:autoSpaceDE w:val="0"/>
              <w:autoSpaceDN w:val="0"/>
              <w:adjustRightInd w:val="0"/>
              <w:rPr>
                <w:b/>
                <w:sz w:val="22"/>
                <w:szCs w:val="22"/>
                <w:lang w:val="sk-SK"/>
              </w:rPr>
            </w:pPr>
            <w:r>
              <w:rPr>
                <w:b/>
                <w:sz w:val="22"/>
                <w:szCs w:val="22"/>
                <w:lang w:val="sk-SK"/>
              </w:rPr>
              <w:t>n (k</w:t>
            </w:r>
            <w:r w:rsidR="006474AD" w:rsidRPr="006474AD">
              <w:rPr>
                <w:b/>
                <w:sz w:val="22"/>
                <w:szCs w:val="22"/>
                <w:lang w:val="sk-SK"/>
              </w:rPr>
              <w:t>um</w:t>
            </w:r>
            <w:r w:rsidR="00374502">
              <w:rPr>
                <w:b/>
                <w:sz w:val="22"/>
                <w:szCs w:val="22"/>
                <w:lang w:val="sk-SK"/>
              </w:rPr>
              <w:t>ul</w:t>
            </w:r>
            <w:r w:rsidR="006474AD" w:rsidRPr="006474AD">
              <w:rPr>
                <w:b/>
                <w:sz w:val="22"/>
                <w:szCs w:val="22"/>
                <w:lang w:val="sk-SK"/>
              </w:rPr>
              <w:t>. ri</w:t>
            </w:r>
            <w:r>
              <w:rPr>
                <w:b/>
                <w:sz w:val="22"/>
                <w:szCs w:val="22"/>
                <w:lang w:val="sk-SK"/>
              </w:rPr>
              <w:t>zi</w:t>
            </w:r>
            <w:r w:rsidR="006474AD" w:rsidRPr="006474AD">
              <w:rPr>
                <w:b/>
                <w:sz w:val="22"/>
                <w:szCs w:val="22"/>
                <w:lang w:val="sk-SK"/>
              </w:rPr>
              <w:t>k</w:t>
            </w:r>
            <w:r>
              <w:rPr>
                <w:b/>
                <w:sz w:val="22"/>
                <w:szCs w:val="22"/>
                <w:lang w:val="sk-SK"/>
              </w:rPr>
              <w:t>o</w:t>
            </w:r>
            <w:r w:rsidR="006474AD" w:rsidRPr="006474AD">
              <w:rPr>
                <w:b/>
                <w:sz w:val="22"/>
                <w:szCs w:val="22"/>
                <w:lang w:val="sk-SK"/>
              </w:rPr>
              <w:t>%)</w:t>
            </w:r>
          </w:p>
        </w:tc>
        <w:tc>
          <w:tcPr>
            <w:tcW w:w="1984" w:type="dxa"/>
          </w:tcPr>
          <w:p w14:paraId="5193F1D6" w14:textId="2F1F8563" w:rsidR="006474AD" w:rsidRPr="006474AD" w:rsidRDefault="006474AD" w:rsidP="00A04A5C">
            <w:pPr>
              <w:autoSpaceDE w:val="0"/>
              <w:autoSpaceDN w:val="0"/>
              <w:adjustRightInd w:val="0"/>
              <w:rPr>
                <w:b/>
                <w:sz w:val="22"/>
                <w:szCs w:val="22"/>
                <w:lang w:val="sk-SK"/>
              </w:rPr>
            </w:pPr>
            <w:r w:rsidRPr="006474AD">
              <w:rPr>
                <w:b/>
                <w:sz w:val="22"/>
                <w:szCs w:val="22"/>
                <w:lang w:val="sk-SK"/>
              </w:rPr>
              <w:t xml:space="preserve">ASA 100 mg </w:t>
            </w:r>
            <w:r w:rsidR="00BB4BB9">
              <w:rPr>
                <w:b/>
                <w:bCs/>
                <w:sz w:val="22"/>
                <w:szCs w:val="22"/>
                <w:lang w:val="sk-SK"/>
              </w:rPr>
              <w:t>jedenkrát denne</w:t>
            </w:r>
          </w:p>
          <w:p w14:paraId="33B1901C" w14:textId="77777777" w:rsidR="006474AD" w:rsidRPr="006474AD" w:rsidRDefault="006474AD" w:rsidP="00A04A5C">
            <w:pPr>
              <w:autoSpaceDE w:val="0"/>
              <w:autoSpaceDN w:val="0"/>
              <w:adjustRightInd w:val="0"/>
              <w:rPr>
                <w:b/>
                <w:sz w:val="22"/>
                <w:szCs w:val="22"/>
                <w:lang w:val="sk-SK"/>
              </w:rPr>
            </w:pPr>
          </w:p>
          <w:p w14:paraId="3DF25531" w14:textId="77777777" w:rsidR="006474AD" w:rsidRPr="006474AD" w:rsidRDefault="006474AD" w:rsidP="00A04A5C">
            <w:pPr>
              <w:autoSpaceDE w:val="0"/>
              <w:autoSpaceDN w:val="0"/>
              <w:adjustRightInd w:val="0"/>
              <w:rPr>
                <w:b/>
                <w:sz w:val="22"/>
                <w:szCs w:val="22"/>
                <w:lang w:val="sk-SK"/>
              </w:rPr>
            </w:pPr>
          </w:p>
          <w:p w14:paraId="14BB1C89" w14:textId="77777777" w:rsidR="006474AD" w:rsidRPr="006474AD" w:rsidRDefault="006474AD" w:rsidP="00A04A5C">
            <w:pPr>
              <w:autoSpaceDE w:val="0"/>
              <w:autoSpaceDN w:val="0"/>
              <w:adjustRightInd w:val="0"/>
              <w:rPr>
                <w:b/>
                <w:sz w:val="22"/>
                <w:szCs w:val="22"/>
                <w:lang w:val="sk-SK"/>
              </w:rPr>
            </w:pPr>
            <w:r>
              <w:rPr>
                <w:b/>
                <w:sz w:val="22"/>
                <w:szCs w:val="22"/>
                <w:lang w:val="sk-SK"/>
              </w:rPr>
              <w:t>N=9 </w:t>
            </w:r>
            <w:r w:rsidRPr="006474AD">
              <w:rPr>
                <w:b/>
                <w:sz w:val="22"/>
                <w:szCs w:val="22"/>
                <w:lang w:val="sk-SK"/>
              </w:rPr>
              <w:t>126</w:t>
            </w:r>
          </w:p>
          <w:p w14:paraId="69425E2D" w14:textId="0C0010AC" w:rsidR="006474AD" w:rsidRPr="006474AD" w:rsidRDefault="00F273CC" w:rsidP="00EC2789">
            <w:pPr>
              <w:autoSpaceDE w:val="0"/>
              <w:autoSpaceDN w:val="0"/>
              <w:adjustRightInd w:val="0"/>
              <w:rPr>
                <w:b/>
                <w:sz w:val="22"/>
                <w:szCs w:val="22"/>
                <w:lang w:val="sk-SK"/>
              </w:rPr>
            </w:pPr>
            <w:r>
              <w:rPr>
                <w:b/>
                <w:sz w:val="22"/>
                <w:szCs w:val="22"/>
                <w:lang w:val="sk-SK"/>
              </w:rPr>
              <w:t>n (k</w:t>
            </w:r>
            <w:r w:rsidR="006474AD" w:rsidRPr="006474AD">
              <w:rPr>
                <w:b/>
                <w:sz w:val="22"/>
                <w:szCs w:val="22"/>
                <w:lang w:val="sk-SK"/>
              </w:rPr>
              <w:t>um</w:t>
            </w:r>
            <w:r w:rsidR="00374502">
              <w:rPr>
                <w:b/>
                <w:sz w:val="22"/>
                <w:szCs w:val="22"/>
                <w:lang w:val="sk-SK"/>
              </w:rPr>
              <w:t>ul</w:t>
            </w:r>
            <w:r w:rsidR="006474AD" w:rsidRPr="006474AD">
              <w:rPr>
                <w:b/>
                <w:sz w:val="22"/>
                <w:szCs w:val="22"/>
                <w:lang w:val="sk-SK"/>
              </w:rPr>
              <w:t>. ri</w:t>
            </w:r>
            <w:r w:rsidR="00EC2789">
              <w:rPr>
                <w:b/>
                <w:sz w:val="22"/>
                <w:szCs w:val="22"/>
                <w:lang w:val="sk-SK"/>
              </w:rPr>
              <w:t>zi</w:t>
            </w:r>
            <w:r w:rsidR="006474AD" w:rsidRPr="006474AD">
              <w:rPr>
                <w:b/>
                <w:sz w:val="22"/>
                <w:szCs w:val="22"/>
                <w:lang w:val="sk-SK"/>
              </w:rPr>
              <w:t>k</w:t>
            </w:r>
            <w:r w:rsidR="00EC2789">
              <w:rPr>
                <w:b/>
                <w:sz w:val="22"/>
                <w:szCs w:val="22"/>
                <w:lang w:val="sk-SK"/>
              </w:rPr>
              <w:t>o</w:t>
            </w:r>
            <w:r w:rsidR="006474AD" w:rsidRPr="006474AD">
              <w:rPr>
                <w:b/>
                <w:sz w:val="22"/>
                <w:szCs w:val="22"/>
                <w:lang w:val="sk-SK"/>
              </w:rPr>
              <w:t>%)</w:t>
            </w:r>
          </w:p>
        </w:tc>
        <w:tc>
          <w:tcPr>
            <w:tcW w:w="1807" w:type="dxa"/>
          </w:tcPr>
          <w:p w14:paraId="3223DD35" w14:textId="674CEF6B" w:rsidR="006474AD" w:rsidRPr="006474AD" w:rsidRDefault="00F273CC" w:rsidP="00A04A5C">
            <w:pPr>
              <w:autoSpaceDE w:val="0"/>
              <w:autoSpaceDN w:val="0"/>
              <w:adjustRightInd w:val="0"/>
              <w:jc w:val="center"/>
              <w:rPr>
                <w:b/>
                <w:sz w:val="22"/>
                <w:szCs w:val="22"/>
                <w:lang w:val="sk-SK"/>
              </w:rPr>
            </w:pPr>
            <w:r w:rsidRPr="00F273CC">
              <w:rPr>
                <w:b/>
                <w:sz w:val="22"/>
                <w:szCs w:val="22"/>
                <w:lang w:val="sk-SK"/>
              </w:rPr>
              <w:t xml:space="preserve">Pomer </w:t>
            </w:r>
            <w:r w:rsidR="00BB4BB9">
              <w:rPr>
                <w:b/>
                <w:sz w:val="22"/>
                <w:szCs w:val="22"/>
                <w:lang w:val="sk-SK"/>
              </w:rPr>
              <w:t>rizika</w:t>
            </w:r>
          </w:p>
          <w:p w14:paraId="24EA1392" w14:textId="0D89CE84" w:rsidR="006474AD" w:rsidRPr="006474AD" w:rsidRDefault="006474AD" w:rsidP="00A04A5C">
            <w:pPr>
              <w:autoSpaceDE w:val="0"/>
              <w:autoSpaceDN w:val="0"/>
              <w:adjustRightInd w:val="0"/>
              <w:jc w:val="center"/>
              <w:rPr>
                <w:b/>
                <w:sz w:val="22"/>
                <w:szCs w:val="22"/>
                <w:lang w:val="sk-SK"/>
              </w:rPr>
            </w:pPr>
            <w:r w:rsidRPr="006474AD">
              <w:rPr>
                <w:b/>
                <w:sz w:val="22"/>
                <w:szCs w:val="22"/>
                <w:lang w:val="sk-SK"/>
              </w:rPr>
              <w:t>(95% I</w:t>
            </w:r>
            <w:r w:rsidR="00374502">
              <w:rPr>
                <w:b/>
                <w:sz w:val="22"/>
                <w:szCs w:val="22"/>
                <w:lang w:val="sk-SK"/>
              </w:rPr>
              <w:t>S</w:t>
            </w:r>
            <w:r w:rsidRPr="006474AD">
              <w:rPr>
                <w:b/>
                <w:sz w:val="22"/>
                <w:szCs w:val="22"/>
                <w:lang w:val="sk-SK"/>
              </w:rPr>
              <w:t>)</w:t>
            </w:r>
          </w:p>
          <w:p w14:paraId="42FD8F4C" w14:textId="77777777" w:rsidR="006474AD" w:rsidRPr="006474AD" w:rsidRDefault="006474AD" w:rsidP="00A04A5C">
            <w:pPr>
              <w:autoSpaceDE w:val="0"/>
              <w:autoSpaceDN w:val="0"/>
              <w:adjustRightInd w:val="0"/>
              <w:jc w:val="center"/>
              <w:rPr>
                <w:b/>
                <w:sz w:val="22"/>
                <w:szCs w:val="22"/>
                <w:lang w:val="sk-SK"/>
              </w:rPr>
            </w:pPr>
          </w:p>
          <w:p w14:paraId="146F267C" w14:textId="77777777" w:rsidR="006474AD" w:rsidRPr="006474AD" w:rsidRDefault="006474AD" w:rsidP="006474AD">
            <w:pPr>
              <w:autoSpaceDE w:val="0"/>
              <w:autoSpaceDN w:val="0"/>
              <w:adjustRightInd w:val="0"/>
              <w:jc w:val="center"/>
              <w:rPr>
                <w:b/>
                <w:sz w:val="22"/>
                <w:szCs w:val="22"/>
                <w:lang w:val="sk-SK"/>
              </w:rPr>
            </w:pPr>
            <w:r w:rsidRPr="006474AD">
              <w:rPr>
                <w:b/>
                <w:sz w:val="22"/>
                <w:szCs w:val="22"/>
                <w:lang w:val="sk-SK"/>
              </w:rPr>
              <w:t>p-</w:t>
            </w:r>
            <w:r>
              <w:rPr>
                <w:b/>
                <w:sz w:val="22"/>
                <w:szCs w:val="22"/>
                <w:lang w:val="sk-SK"/>
              </w:rPr>
              <w:t>hodnota</w:t>
            </w:r>
            <w:r w:rsidRPr="006474AD">
              <w:rPr>
                <w:b/>
                <w:sz w:val="22"/>
                <w:szCs w:val="22"/>
                <w:lang w:val="sk-SK"/>
              </w:rPr>
              <w:t xml:space="preserve"> </w:t>
            </w:r>
            <w:r w:rsidRPr="006474AD">
              <w:rPr>
                <w:b/>
                <w:sz w:val="22"/>
                <w:szCs w:val="22"/>
                <w:vertAlign w:val="superscript"/>
                <w:lang w:val="sk-SK"/>
              </w:rPr>
              <w:t>b)</w:t>
            </w:r>
          </w:p>
        </w:tc>
      </w:tr>
      <w:tr w:rsidR="006474AD" w:rsidRPr="006474AD" w14:paraId="3590E1A3" w14:textId="77777777" w:rsidTr="00EC2789">
        <w:tc>
          <w:tcPr>
            <w:tcW w:w="3085" w:type="dxa"/>
          </w:tcPr>
          <w:p w14:paraId="121E7AB6" w14:textId="57F08095" w:rsidR="006474AD" w:rsidRPr="006474AD" w:rsidRDefault="00A55938" w:rsidP="00374502">
            <w:pPr>
              <w:autoSpaceDE w:val="0"/>
              <w:autoSpaceDN w:val="0"/>
              <w:adjustRightInd w:val="0"/>
              <w:rPr>
                <w:sz w:val="22"/>
                <w:szCs w:val="22"/>
                <w:lang w:val="sk-SK"/>
              </w:rPr>
            </w:pPr>
            <w:r>
              <w:rPr>
                <w:sz w:val="22"/>
                <w:szCs w:val="22"/>
                <w:lang w:val="sk-SK"/>
              </w:rPr>
              <w:t>M</w:t>
            </w:r>
            <w:r w:rsidR="006474AD" w:rsidRPr="006474AD">
              <w:rPr>
                <w:sz w:val="22"/>
                <w:szCs w:val="22"/>
                <w:lang w:val="sk-SK"/>
              </w:rPr>
              <w:t>odifi</w:t>
            </w:r>
            <w:r w:rsidR="001E4829">
              <w:rPr>
                <w:sz w:val="22"/>
                <w:szCs w:val="22"/>
                <w:lang w:val="sk-SK"/>
              </w:rPr>
              <w:t>kované</w:t>
            </w:r>
            <w:r w:rsidR="006474AD" w:rsidRPr="006474AD">
              <w:rPr>
                <w:sz w:val="22"/>
                <w:szCs w:val="22"/>
                <w:lang w:val="sk-SK"/>
              </w:rPr>
              <w:t xml:space="preserve"> </w:t>
            </w:r>
            <w:r w:rsidR="00374502">
              <w:rPr>
                <w:sz w:val="22"/>
                <w:szCs w:val="22"/>
                <w:lang w:val="sk-SK"/>
              </w:rPr>
              <w:t xml:space="preserve">ISTH </w:t>
            </w:r>
            <w:r w:rsidR="00F273CC">
              <w:rPr>
                <w:sz w:val="22"/>
                <w:szCs w:val="22"/>
                <w:lang w:val="sk-SK"/>
              </w:rPr>
              <w:t>závažné</w:t>
            </w:r>
            <w:r w:rsidR="006474AD" w:rsidRPr="006474AD">
              <w:rPr>
                <w:sz w:val="22"/>
                <w:szCs w:val="22"/>
                <w:lang w:val="sk-SK"/>
              </w:rPr>
              <w:t xml:space="preserve"> </w:t>
            </w:r>
            <w:r w:rsidR="00F273CC">
              <w:rPr>
                <w:sz w:val="22"/>
                <w:szCs w:val="22"/>
                <w:lang w:val="sk-SK"/>
              </w:rPr>
              <w:t>krvácanie</w:t>
            </w:r>
            <w:r>
              <w:rPr>
                <w:sz w:val="22"/>
                <w:szCs w:val="22"/>
                <w:lang w:val="sk-SK"/>
              </w:rPr>
              <w:t xml:space="preserve"> </w:t>
            </w:r>
          </w:p>
        </w:tc>
        <w:tc>
          <w:tcPr>
            <w:tcW w:w="2410" w:type="dxa"/>
          </w:tcPr>
          <w:p w14:paraId="36565AE1" w14:textId="77777777" w:rsidR="006474AD" w:rsidRPr="006474AD" w:rsidRDefault="00A55938" w:rsidP="00A04A5C">
            <w:pPr>
              <w:tabs>
                <w:tab w:val="left" w:pos="2146"/>
              </w:tabs>
              <w:autoSpaceDE w:val="0"/>
              <w:autoSpaceDN w:val="0"/>
              <w:adjustRightInd w:val="0"/>
              <w:rPr>
                <w:sz w:val="22"/>
                <w:szCs w:val="22"/>
                <w:lang w:val="sk-SK"/>
              </w:rPr>
            </w:pPr>
            <w:r>
              <w:rPr>
                <w:sz w:val="22"/>
                <w:szCs w:val="22"/>
                <w:lang w:val="sk-SK"/>
              </w:rPr>
              <w:t>288 (3,</w:t>
            </w:r>
            <w:r w:rsidR="006474AD" w:rsidRPr="006474AD">
              <w:rPr>
                <w:sz w:val="22"/>
                <w:szCs w:val="22"/>
                <w:lang w:val="sk-SK"/>
              </w:rPr>
              <w:t>9%)</w:t>
            </w:r>
          </w:p>
          <w:p w14:paraId="29E93D83" w14:textId="77777777" w:rsidR="006474AD" w:rsidRPr="006474AD" w:rsidRDefault="006474AD" w:rsidP="00A04A5C">
            <w:pPr>
              <w:tabs>
                <w:tab w:val="left" w:pos="2146"/>
              </w:tabs>
              <w:autoSpaceDE w:val="0"/>
              <w:autoSpaceDN w:val="0"/>
              <w:adjustRightInd w:val="0"/>
              <w:rPr>
                <w:sz w:val="22"/>
                <w:szCs w:val="22"/>
                <w:lang w:val="sk-SK"/>
              </w:rPr>
            </w:pPr>
          </w:p>
        </w:tc>
        <w:tc>
          <w:tcPr>
            <w:tcW w:w="1984" w:type="dxa"/>
          </w:tcPr>
          <w:p w14:paraId="73E980E9" w14:textId="77777777" w:rsidR="006474AD" w:rsidRPr="006474AD" w:rsidRDefault="00A55938" w:rsidP="00A04A5C">
            <w:pPr>
              <w:autoSpaceDE w:val="0"/>
              <w:autoSpaceDN w:val="0"/>
              <w:adjustRightInd w:val="0"/>
              <w:rPr>
                <w:sz w:val="22"/>
                <w:szCs w:val="22"/>
                <w:lang w:val="sk-SK"/>
              </w:rPr>
            </w:pPr>
            <w:r>
              <w:rPr>
                <w:sz w:val="22"/>
                <w:szCs w:val="22"/>
                <w:lang w:val="sk-SK"/>
              </w:rPr>
              <w:t>170 (2,</w:t>
            </w:r>
            <w:r w:rsidR="006474AD" w:rsidRPr="006474AD">
              <w:rPr>
                <w:sz w:val="22"/>
                <w:szCs w:val="22"/>
                <w:lang w:val="sk-SK"/>
              </w:rPr>
              <w:t xml:space="preserve">5%) </w:t>
            </w:r>
          </w:p>
        </w:tc>
        <w:tc>
          <w:tcPr>
            <w:tcW w:w="1807" w:type="dxa"/>
          </w:tcPr>
          <w:p w14:paraId="60035EEE" w14:textId="77777777" w:rsidR="006474AD" w:rsidRPr="006474AD" w:rsidRDefault="00A55938" w:rsidP="00A04A5C">
            <w:pPr>
              <w:autoSpaceDE w:val="0"/>
              <w:autoSpaceDN w:val="0"/>
              <w:adjustRightInd w:val="0"/>
              <w:rPr>
                <w:sz w:val="22"/>
                <w:szCs w:val="22"/>
                <w:lang w:val="sk-SK"/>
              </w:rPr>
            </w:pPr>
            <w:r>
              <w:rPr>
                <w:sz w:val="22"/>
                <w:szCs w:val="22"/>
                <w:lang w:val="sk-SK"/>
              </w:rPr>
              <w:t>1,70 (1,40;2,</w:t>
            </w:r>
            <w:r w:rsidR="006474AD" w:rsidRPr="006474AD">
              <w:rPr>
                <w:sz w:val="22"/>
                <w:szCs w:val="22"/>
                <w:lang w:val="sk-SK"/>
              </w:rPr>
              <w:t>05)</w:t>
            </w:r>
          </w:p>
          <w:p w14:paraId="7C5DCD10" w14:textId="4081AB45" w:rsidR="006474AD" w:rsidRPr="006474AD" w:rsidRDefault="006474AD" w:rsidP="00A04A5C">
            <w:pPr>
              <w:autoSpaceDE w:val="0"/>
              <w:autoSpaceDN w:val="0"/>
              <w:adjustRightInd w:val="0"/>
              <w:rPr>
                <w:sz w:val="22"/>
                <w:szCs w:val="22"/>
                <w:lang w:val="sk-SK"/>
              </w:rPr>
            </w:pPr>
            <w:r w:rsidRPr="006474AD">
              <w:rPr>
                <w:sz w:val="22"/>
                <w:szCs w:val="22"/>
                <w:lang w:val="sk-SK"/>
              </w:rPr>
              <w:t>p &lt; 0</w:t>
            </w:r>
            <w:r w:rsidR="00374502">
              <w:rPr>
                <w:sz w:val="22"/>
                <w:szCs w:val="22"/>
                <w:lang w:val="sk-SK"/>
              </w:rPr>
              <w:t>,</w:t>
            </w:r>
            <w:r w:rsidRPr="006474AD">
              <w:rPr>
                <w:sz w:val="22"/>
                <w:szCs w:val="22"/>
                <w:lang w:val="sk-SK"/>
              </w:rPr>
              <w:t>00001</w:t>
            </w:r>
          </w:p>
        </w:tc>
      </w:tr>
      <w:tr w:rsidR="006474AD" w:rsidRPr="006474AD" w14:paraId="0DE2DADC" w14:textId="77777777" w:rsidTr="00EC2789">
        <w:tc>
          <w:tcPr>
            <w:tcW w:w="3085" w:type="dxa"/>
          </w:tcPr>
          <w:p w14:paraId="122D09C0" w14:textId="77777777" w:rsidR="006474AD" w:rsidRPr="006474AD" w:rsidRDefault="00F273CC" w:rsidP="006474AD">
            <w:pPr>
              <w:pStyle w:val="Odsekzoznamu"/>
              <w:numPr>
                <w:ilvl w:val="0"/>
                <w:numId w:val="4"/>
              </w:numPr>
              <w:autoSpaceDE w:val="0"/>
              <w:autoSpaceDN w:val="0"/>
              <w:adjustRightInd w:val="0"/>
              <w:spacing w:after="0" w:line="240" w:lineRule="auto"/>
              <w:rPr>
                <w:sz w:val="22"/>
                <w:szCs w:val="22"/>
                <w:lang w:val="sk-SK"/>
              </w:rPr>
            </w:pPr>
            <w:r>
              <w:rPr>
                <w:sz w:val="22"/>
                <w:szCs w:val="22"/>
              </w:rPr>
              <w:t>Fatálne krvácavé príhody</w:t>
            </w:r>
          </w:p>
        </w:tc>
        <w:tc>
          <w:tcPr>
            <w:tcW w:w="2410" w:type="dxa"/>
          </w:tcPr>
          <w:p w14:paraId="64DBD4ED" w14:textId="77777777" w:rsidR="006474AD" w:rsidRPr="006474AD" w:rsidRDefault="002944B9" w:rsidP="00A04A5C">
            <w:pPr>
              <w:tabs>
                <w:tab w:val="left" w:pos="2146"/>
              </w:tabs>
              <w:autoSpaceDE w:val="0"/>
              <w:autoSpaceDN w:val="0"/>
              <w:adjustRightInd w:val="0"/>
              <w:rPr>
                <w:sz w:val="22"/>
                <w:szCs w:val="22"/>
                <w:lang w:val="sk-SK"/>
              </w:rPr>
            </w:pPr>
            <w:r>
              <w:rPr>
                <w:sz w:val="22"/>
                <w:szCs w:val="22"/>
                <w:lang w:val="sk-SK"/>
              </w:rPr>
              <w:t>15 (0,</w:t>
            </w:r>
            <w:r w:rsidR="006474AD" w:rsidRPr="006474AD">
              <w:rPr>
                <w:sz w:val="22"/>
                <w:szCs w:val="22"/>
                <w:lang w:val="sk-SK"/>
              </w:rPr>
              <w:t>2%)</w:t>
            </w:r>
          </w:p>
        </w:tc>
        <w:tc>
          <w:tcPr>
            <w:tcW w:w="1984" w:type="dxa"/>
          </w:tcPr>
          <w:p w14:paraId="6084818E" w14:textId="77777777" w:rsidR="006474AD" w:rsidRPr="006474AD" w:rsidRDefault="002944B9" w:rsidP="00A04A5C">
            <w:pPr>
              <w:autoSpaceDE w:val="0"/>
              <w:autoSpaceDN w:val="0"/>
              <w:adjustRightInd w:val="0"/>
              <w:rPr>
                <w:sz w:val="22"/>
                <w:szCs w:val="22"/>
                <w:lang w:val="sk-SK"/>
              </w:rPr>
            </w:pPr>
            <w:r>
              <w:rPr>
                <w:sz w:val="22"/>
                <w:szCs w:val="22"/>
                <w:lang w:val="sk-SK"/>
              </w:rPr>
              <w:t>10 (0,</w:t>
            </w:r>
            <w:r w:rsidR="006474AD" w:rsidRPr="006474AD">
              <w:rPr>
                <w:sz w:val="22"/>
                <w:szCs w:val="22"/>
                <w:lang w:val="sk-SK"/>
              </w:rPr>
              <w:t>2%)</w:t>
            </w:r>
          </w:p>
        </w:tc>
        <w:tc>
          <w:tcPr>
            <w:tcW w:w="1807" w:type="dxa"/>
          </w:tcPr>
          <w:p w14:paraId="566B0F48" w14:textId="77777777" w:rsidR="006474AD" w:rsidRPr="006474AD" w:rsidRDefault="002944B9" w:rsidP="00A04A5C">
            <w:pPr>
              <w:autoSpaceDE w:val="0"/>
              <w:autoSpaceDN w:val="0"/>
              <w:adjustRightInd w:val="0"/>
              <w:rPr>
                <w:sz w:val="22"/>
                <w:szCs w:val="22"/>
                <w:lang w:val="sk-SK"/>
              </w:rPr>
            </w:pPr>
            <w:r>
              <w:rPr>
                <w:sz w:val="22"/>
                <w:szCs w:val="22"/>
                <w:lang w:val="sk-SK"/>
              </w:rPr>
              <w:t>1,49 (0,67;3,</w:t>
            </w:r>
            <w:r w:rsidR="006474AD" w:rsidRPr="006474AD">
              <w:rPr>
                <w:sz w:val="22"/>
                <w:szCs w:val="22"/>
                <w:lang w:val="sk-SK"/>
              </w:rPr>
              <w:t>33)</w:t>
            </w:r>
          </w:p>
          <w:p w14:paraId="6436302B" w14:textId="77777777" w:rsidR="006474AD" w:rsidRPr="006474AD" w:rsidRDefault="002944B9" w:rsidP="00A04A5C">
            <w:pPr>
              <w:autoSpaceDE w:val="0"/>
              <w:autoSpaceDN w:val="0"/>
              <w:adjustRightInd w:val="0"/>
              <w:rPr>
                <w:sz w:val="22"/>
                <w:szCs w:val="22"/>
                <w:lang w:val="sk-SK"/>
              </w:rPr>
            </w:pPr>
            <w:r>
              <w:rPr>
                <w:sz w:val="22"/>
                <w:szCs w:val="22"/>
                <w:lang w:val="sk-SK"/>
              </w:rPr>
              <w:t>p = 0,</w:t>
            </w:r>
            <w:r w:rsidR="006474AD" w:rsidRPr="006474AD">
              <w:rPr>
                <w:sz w:val="22"/>
                <w:szCs w:val="22"/>
                <w:lang w:val="sk-SK"/>
              </w:rPr>
              <w:t>32164</w:t>
            </w:r>
          </w:p>
        </w:tc>
      </w:tr>
      <w:tr w:rsidR="006474AD" w:rsidRPr="006474AD" w14:paraId="1E8BB77D" w14:textId="77777777" w:rsidTr="00EC2789">
        <w:tc>
          <w:tcPr>
            <w:tcW w:w="3085" w:type="dxa"/>
          </w:tcPr>
          <w:p w14:paraId="52F2D95A" w14:textId="4994596C" w:rsidR="006474AD" w:rsidRPr="006474AD" w:rsidRDefault="001E4829" w:rsidP="001E4829">
            <w:pPr>
              <w:pStyle w:val="Odsekzoznamu"/>
              <w:numPr>
                <w:ilvl w:val="0"/>
                <w:numId w:val="4"/>
              </w:numPr>
              <w:autoSpaceDE w:val="0"/>
              <w:autoSpaceDN w:val="0"/>
              <w:adjustRightInd w:val="0"/>
              <w:spacing w:after="0" w:line="240" w:lineRule="auto"/>
              <w:rPr>
                <w:sz w:val="22"/>
                <w:szCs w:val="22"/>
                <w:lang w:val="sk-SK"/>
              </w:rPr>
            </w:pPr>
            <w:r w:rsidRPr="001E4829">
              <w:rPr>
                <w:sz w:val="22"/>
                <w:szCs w:val="22"/>
                <w:lang w:val="sk-SK"/>
              </w:rPr>
              <w:t>Symptomatické krvácanie v kritických orgánoch (nefatálne)</w:t>
            </w:r>
          </w:p>
        </w:tc>
        <w:tc>
          <w:tcPr>
            <w:tcW w:w="2410" w:type="dxa"/>
          </w:tcPr>
          <w:p w14:paraId="49892AB6" w14:textId="77777777" w:rsidR="006474AD" w:rsidRPr="006474AD" w:rsidRDefault="002944B9" w:rsidP="00A04A5C">
            <w:pPr>
              <w:tabs>
                <w:tab w:val="left" w:pos="2146"/>
              </w:tabs>
              <w:autoSpaceDE w:val="0"/>
              <w:autoSpaceDN w:val="0"/>
              <w:adjustRightInd w:val="0"/>
              <w:rPr>
                <w:sz w:val="22"/>
                <w:szCs w:val="22"/>
                <w:lang w:val="sk-SK"/>
              </w:rPr>
            </w:pPr>
            <w:r>
              <w:rPr>
                <w:sz w:val="22"/>
                <w:szCs w:val="22"/>
                <w:lang w:val="sk-SK"/>
              </w:rPr>
              <w:t>63 (0,</w:t>
            </w:r>
            <w:r w:rsidR="006474AD" w:rsidRPr="006474AD">
              <w:rPr>
                <w:sz w:val="22"/>
                <w:szCs w:val="22"/>
                <w:lang w:val="sk-SK"/>
              </w:rPr>
              <w:t>9%)</w:t>
            </w:r>
          </w:p>
        </w:tc>
        <w:tc>
          <w:tcPr>
            <w:tcW w:w="1984" w:type="dxa"/>
          </w:tcPr>
          <w:p w14:paraId="2E3859DE" w14:textId="77777777" w:rsidR="006474AD" w:rsidRPr="006474AD" w:rsidRDefault="002944B9" w:rsidP="00A04A5C">
            <w:pPr>
              <w:autoSpaceDE w:val="0"/>
              <w:autoSpaceDN w:val="0"/>
              <w:adjustRightInd w:val="0"/>
              <w:rPr>
                <w:sz w:val="22"/>
                <w:szCs w:val="22"/>
                <w:lang w:val="sk-SK"/>
              </w:rPr>
            </w:pPr>
            <w:r>
              <w:rPr>
                <w:sz w:val="22"/>
                <w:szCs w:val="22"/>
                <w:lang w:val="sk-SK"/>
              </w:rPr>
              <w:t>49 (0,</w:t>
            </w:r>
            <w:r w:rsidR="006474AD" w:rsidRPr="006474AD">
              <w:rPr>
                <w:sz w:val="22"/>
                <w:szCs w:val="22"/>
                <w:lang w:val="sk-SK"/>
              </w:rPr>
              <w:t>7%)</w:t>
            </w:r>
          </w:p>
        </w:tc>
        <w:tc>
          <w:tcPr>
            <w:tcW w:w="1807" w:type="dxa"/>
          </w:tcPr>
          <w:p w14:paraId="42DC53A5" w14:textId="77777777" w:rsidR="006474AD" w:rsidRPr="006474AD" w:rsidRDefault="002944B9" w:rsidP="00A04A5C">
            <w:pPr>
              <w:autoSpaceDE w:val="0"/>
              <w:autoSpaceDN w:val="0"/>
              <w:adjustRightInd w:val="0"/>
              <w:rPr>
                <w:sz w:val="22"/>
                <w:szCs w:val="22"/>
                <w:lang w:val="sk-SK"/>
              </w:rPr>
            </w:pPr>
            <w:r>
              <w:rPr>
                <w:sz w:val="22"/>
                <w:szCs w:val="22"/>
                <w:lang w:val="sk-SK"/>
              </w:rPr>
              <w:t>1,28 (0,88;1,</w:t>
            </w:r>
            <w:r w:rsidR="006474AD" w:rsidRPr="006474AD">
              <w:rPr>
                <w:sz w:val="22"/>
                <w:szCs w:val="22"/>
                <w:lang w:val="sk-SK"/>
              </w:rPr>
              <w:t>86)</w:t>
            </w:r>
          </w:p>
          <w:p w14:paraId="1981AB0C" w14:textId="77777777" w:rsidR="006474AD" w:rsidRPr="006474AD" w:rsidRDefault="002944B9" w:rsidP="00A04A5C">
            <w:pPr>
              <w:autoSpaceDE w:val="0"/>
              <w:autoSpaceDN w:val="0"/>
              <w:adjustRightInd w:val="0"/>
              <w:rPr>
                <w:sz w:val="22"/>
                <w:szCs w:val="22"/>
                <w:lang w:val="sk-SK"/>
              </w:rPr>
            </w:pPr>
            <w:r>
              <w:rPr>
                <w:sz w:val="22"/>
                <w:szCs w:val="22"/>
                <w:lang w:val="sk-SK"/>
              </w:rPr>
              <w:t>p = 0,</w:t>
            </w:r>
            <w:r w:rsidR="006474AD" w:rsidRPr="006474AD">
              <w:rPr>
                <w:sz w:val="22"/>
                <w:szCs w:val="22"/>
                <w:lang w:val="sk-SK"/>
              </w:rPr>
              <w:t>19679</w:t>
            </w:r>
          </w:p>
        </w:tc>
      </w:tr>
      <w:tr w:rsidR="006474AD" w:rsidRPr="006474AD" w14:paraId="59F4FE5D" w14:textId="77777777" w:rsidTr="00EC2789">
        <w:tc>
          <w:tcPr>
            <w:tcW w:w="3085" w:type="dxa"/>
          </w:tcPr>
          <w:p w14:paraId="710AFEDD" w14:textId="5B375887" w:rsidR="006474AD" w:rsidRPr="006474AD" w:rsidRDefault="001E4829" w:rsidP="001E4829">
            <w:pPr>
              <w:pStyle w:val="Odsekzoznamu"/>
              <w:numPr>
                <w:ilvl w:val="0"/>
                <w:numId w:val="4"/>
              </w:numPr>
              <w:autoSpaceDE w:val="0"/>
              <w:autoSpaceDN w:val="0"/>
              <w:adjustRightInd w:val="0"/>
              <w:spacing w:after="0" w:line="240" w:lineRule="auto"/>
              <w:rPr>
                <w:sz w:val="22"/>
                <w:szCs w:val="22"/>
                <w:lang w:val="sk-SK"/>
              </w:rPr>
            </w:pPr>
            <w:r w:rsidRPr="001E4829">
              <w:rPr>
                <w:sz w:val="22"/>
                <w:szCs w:val="22"/>
                <w:lang w:val="sk-SK"/>
              </w:rPr>
              <w:t>Krvácanie do miesta chirurgického zákroku, ktoré si vyžaduje opätovné otvorenie (nefatálne, nie v kritickom orgáne)</w:t>
            </w:r>
          </w:p>
        </w:tc>
        <w:tc>
          <w:tcPr>
            <w:tcW w:w="2410" w:type="dxa"/>
          </w:tcPr>
          <w:p w14:paraId="4DE056ED" w14:textId="77777777" w:rsidR="006474AD" w:rsidRPr="006474AD" w:rsidRDefault="002944B9" w:rsidP="00A04A5C">
            <w:pPr>
              <w:tabs>
                <w:tab w:val="left" w:pos="2146"/>
              </w:tabs>
              <w:autoSpaceDE w:val="0"/>
              <w:autoSpaceDN w:val="0"/>
              <w:adjustRightInd w:val="0"/>
              <w:rPr>
                <w:sz w:val="22"/>
                <w:szCs w:val="22"/>
                <w:lang w:val="sk-SK"/>
              </w:rPr>
            </w:pPr>
            <w:r>
              <w:rPr>
                <w:sz w:val="22"/>
                <w:szCs w:val="22"/>
                <w:lang w:val="sk-SK"/>
              </w:rPr>
              <w:t>10 (0,</w:t>
            </w:r>
            <w:r w:rsidR="006474AD" w:rsidRPr="006474AD">
              <w:rPr>
                <w:sz w:val="22"/>
                <w:szCs w:val="22"/>
                <w:lang w:val="sk-SK"/>
              </w:rPr>
              <w:t>1%)</w:t>
            </w:r>
          </w:p>
        </w:tc>
        <w:tc>
          <w:tcPr>
            <w:tcW w:w="1984" w:type="dxa"/>
          </w:tcPr>
          <w:p w14:paraId="327398A4" w14:textId="77777777" w:rsidR="006474AD" w:rsidRPr="006474AD" w:rsidRDefault="002944B9" w:rsidP="00A04A5C">
            <w:pPr>
              <w:autoSpaceDE w:val="0"/>
              <w:autoSpaceDN w:val="0"/>
              <w:adjustRightInd w:val="0"/>
              <w:rPr>
                <w:sz w:val="22"/>
                <w:szCs w:val="22"/>
                <w:lang w:val="sk-SK"/>
              </w:rPr>
            </w:pPr>
            <w:r>
              <w:rPr>
                <w:sz w:val="22"/>
                <w:szCs w:val="22"/>
                <w:lang w:val="sk-SK"/>
              </w:rPr>
              <w:t>8 (0,</w:t>
            </w:r>
            <w:r w:rsidR="006474AD" w:rsidRPr="006474AD">
              <w:rPr>
                <w:sz w:val="22"/>
                <w:szCs w:val="22"/>
                <w:lang w:val="sk-SK"/>
              </w:rPr>
              <w:t>1%)</w:t>
            </w:r>
          </w:p>
        </w:tc>
        <w:tc>
          <w:tcPr>
            <w:tcW w:w="1807" w:type="dxa"/>
          </w:tcPr>
          <w:p w14:paraId="17B39D8D" w14:textId="77777777" w:rsidR="006474AD" w:rsidRPr="006474AD" w:rsidRDefault="002944B9" w:rsidP="00A04A5C">
            <w:pPr>
              <w:autoSpaceDE w:val="0"/>
              <w:autoSpaceDN w:val="0"/>
              <w:adjustRightInd w:val="0"/>
              <w:rPr>
                <w:sz w:val="22"/>
                <w:szCs w:val="22"/>
                <w:lang w:val="sk-SK"/>
              </w:rPr>
            </w:pPr>
            <w:r>
              <w:rPr>
                <w:sz w:val="22"/>
                <w:szCs w:val="22"/>
                <w:lang w:val="sk-SK"/>
              </w:rPr>
              <w:t>1,24 (0,49;3,</w:t>
            </w:r>
            <w:r w:rsidR="006474AD" w:rsidRPr="006474AD">
              <w:rPr>
                <w:sz w:val="22"/>
                <w:szCs w:val="22"/>
                <w:lang w:val="sk-SK"/>
              </w:rPr>
              <w:t>14)</w:t>
            </w:r>
          </w:p>
          <w:p w14:paraId="60AFF91F" w14:textId="77777777" w:rsidR="006474AD" w:rsidRPr="006474AD" w:rsidRDefault="002944B9" w:rsidP="00A04A5C">
            <w:pPr>
              <w:autoSpaceDE w:val="0"/>
              <w:autoSpaceDN w:val="0"/>
              <w:adjustRightInd w:val="0"/>
              <w:rPr>
                <w:sz w:val="22"/>
                <w:szCs w:val="22"/>
                <w:lang w:val="sk-SK"/>
              </w:rPr>
            </w:pPr>
            <w:r>
              <w:rPr>
                <w:sz w:val="22"/>
                <w:szCs w:val="22"/>
                <w:lang w:val="sk-SK"/>
              </w:rPr>
              <w:t>p = 0,</w:t>
            </w:r>
            <w:r w:rsidR="006474AD" w:rsidRPr="006474AD">
              <w:rPr>
                <w:sz w:val="22"/>
                <w:szCs w:val="22"/>
                <w:lang w:val="sk-SK"/>
              </w:rPr>
              <w:t>65119</w:t>
            </w:r>
          </w:p>
        </w:tc>
      </w:tr>
      <w:tr w:rsidR="006474AD" w:rsidRPr="006474AD" w14:paraId="50F73DD6" w14:textId="77777777" w:rsidTr="00EC2789">
        <w:tc>
          <w:tcPr>
            <w:tcW w:w="3085" w:type="dxa"/>
          </w:tcPr>
          <w:p w14:paraId="26CF2967" w14:textId="754C1A24" w:rsidR="006474AD" w:rsidRPr="006474AD" w:rsidRDefault="001E4829" w:rsidP="001E4829">
            <w:pPr>
              <w:pStyle w:val="Odsekzoznamu"/>
              <w:numPr>
                <w:ilvl w:val="0"/>
                <w:numId w:val="4"/>
              </w:numPr>
              <w:autoSpaceDE w:val="0"/>
              <w:autoSpaceDN w:val="0"/>
              <w:adjustRightInd w:val="0"/>
              <w:spacing w:after="0" w:line="240" w:lineRule="auto"/>
              <w:rPr>
                <w:sz w:val="22"/>
                <w:szCs w:val="22"/>
                <w:lang w:val="sk-SK"/>
              </w:rPr>
            </w:pPr>
            <w:r w:rsidRPr="001E4829">
              <w:rPr>
                <w:sz w:val="22"/>
                <w:szCs w:val="22"/>
                <w:lang w:val="sk-SK"/>
              </w:rPr>
              <w:t>Krvácanie vedúce k hospitalizácii (nefatálne, nie v kritickom orgáne, nevyžadujúce opätovné otvorenie)</w:t>
            </w:r>
          </w:p>
        </w:tc>
        <w:tc>
          <w:tcPr>
            <w:tcW w:w="2410" w:type="dxa"/>
          </w:tcPr>
          <w:p w14:paraId="7474124E" w14:textId="77777777" w:rsidR="006474AD" w:rsidRPr="006474AD" w:rsidRDefault="002944B9" w:rsidP="00A04A5C">
            <w:pPr>
              <w:tabs>
                <w:tab w:val="left" w:pos="2146"/>
              </w:tabs>
              <w:autoSpaceDE w:val="0"/>
              <w:autoSpaceDN w:val="0"/>
              <w:adjustRightInd w:val="0"/>
              <w:rPr>
                <w:sz w:val="22"/>
                <w:szCs w:val="22"/>
                <w:lang w:val="sk-SK"/>
              </w:rPr>
            </w:pPr>
            <w:r>
              <w:rPr>
                <w:sz w:val="22"/>
                <w:szCs w:val="22"/>
                <w:lang w:val="sk-SK"/>
              </w:rPr>
              <w:t>208 (2,</w:t>
            </w:r>
            <w:r w:rsidR="006474AD" w:rsidRPr="006474AD">
              <w:rPr>
                <w:sz w:val="22"/>
                <w:szCs w:val="22"/>
                <w:lang w:val="sk-SK"/>
              </w:rPr>
              <w:t>9%)</w:t>
            </w:r>
          </w:p>
        </w:tc>
        <w:tc>
          <w:tcPr>
            <w:tcW w:w="1984" w:type="dxa"/>
          </w:tcPr>
          <w:p w14:paraId="23EF3BE4" w14:textId="77777777" w:rsidR="006474AD" w:rsidRPr="006474AD" w:rsidRDefault="002944B9" w:rsidP="00A04A5C">
            <w:pPr>
              <w:autoSpaceDE w:val="0"/>
              <w:autoSpaceDN w:val="0"/>
              <w:adjustRightInd w:val="0"/>
              <w:rPr>
                <w:sz w:val="22"/>
                <w:szCs w:val="22"/>
                <w:lang w:val="sk-SK"/>
              </w:rPr>
            </w:pPr>
            <w:r>
              <w:rPr>
                <w:sz w:val="22"/>
                <w:szCs w:val="22"/>
                <w:lang w:val="sk-SK"/>
              </w:rPr>
              <w:t>109 (1,</w:t>
            </w:r>
            <w:r w:rsidR="006474AD" w:rsidRPr="006474AD">
              <w:rPr>
                <w:sz w:val="22"/>
                <w:szCs w:val="22"/>
                <w:lang w:val="sk-SK"/>
              </w:rPr>
              <w:t>6%)</w:t>
            </w:r>
          </w:p>
        </w:tc>
        <w:tc>
          <w:tcPr>
            <w:tcW w:w="1807" w:type="dxa"/>
          </w:tcPr>
          <w:p w14:paraId="2BD94F8E" w14:textId="77777777" w:rsidR="006474AD" w:rsidRPr="006474AD" w:rsidRDefault="002944B9" w:rsidP="00A04A5C">
            <w:pPr>
              <w:autoSpaceDE w:val="0"/>
              <w:autoSpaceDN w:val="0"/>
              <w:adjustRightInd w:val="0"/>
              <w:rPr>
                <w:sz w:val="22"/>
                <w:szCs w:val="22"/>
                <w:lang w:val="sk-SK"/>
              </w:rPr>
            </w:pPr>
            <w:r>
              <w:rPr>
                <w:sz w:val="22"/>
                <w:szCs w:val="22"/>
                <w:lang w:val="sk-SK"/>
              </w:rPr>
              <w:t>1,91 (1,51;2,</w:t>
            </w:r>
            <w:r w:rsidR="006474AD" w:rsidRPr="006474AD">
              <w:rPr>
                <w:sz w:val="22"/>
                <w:szCs w:val="22"/>
                <w:lang w:val="sk-SK"/>
              </w:rPr>
              <w:t>41)</w:t>
            </w:r>
          </w:p>
          <w:p w14:paraId="4ACDB721" w14:textId="77777777" w:rsidR="006474AD" w:rsidRPr="006474AD" w:rsidRDefault="002944B9" w:rsidP="00A04A5C">
            <w:pPr>
              <w:autoSpaceDE w:val="0"/>
              <w:autoSpaceDN w:val="0"/>
              <w:adjustRightInd w:val="0"/>
              <w:rPr>
                <w:sz w:val="22"/>
                <w:szCs w:val="22"/>
                <w:lang w:val="sk-SK"/>
              </w:rPr>
            </w:pPr>
            <w:r>
              <w:rPr>
                <w:sz w:val="22"/>
                <w:szCs w:val="22"/>
                <w:lang w:val="sk-SK"/>
              </w:rPr>
              <w:t>p &lt; 0,</w:t>
            </w:r>
            <w:r w:rsidR="006474AD" w:rsidRPr="006474AD">
              <w:rPr>
                <w:sz w:val="22"/>
                <w:szCs w:val="22"/>
                <w:lang w:val="sk-SK"/>
              </w:rPr>
              <w:t>00001</w:t>
            </w:r>
          </w:p>
        </w:tc>
      </w:tr>
      <w:tr w:rsidR="006474AD" w:rsidRPr="006474AD" w14:paraId="07EF206B" w14:textId="77777777" w:rsidTr="00EC2789">
        <w:tc>
          <w:tcPr>
            <w:tcW w:w="3085" w:type="dxa"/>
          </w:tcPr>
          <w:p w14:paraId="380C1435" w14:textId="77777777" w:rsidR="006474AD" w:rsidRPr="006474AD" w:rsidRDefault="00EC2789" w:rsidP="00A04A5C">
            <w:pPr>
              <w:pStyle w:val="Odsekzoznamu"/>
              <w:autoSpaceDE w:val="0"/>
              <w:autoSpaceDN w:val="0"/>
              <w:adjustRightInd w:val="0"/>
              <w:ind w:left="360"/>
              <w:rPr>
                <w:sz w:val="22"/>
                <w:szCs w:val="22"/>
                <w:lang w:val="sk-SK"/>
              </w:rPr>
            </w:pPr>
            <w:r w:rsidRPr="00EC2789">
              <w:rPr>
                <w:sz w:val="22"/>
                <w:szCs w:val="22"/>
                <w:lang w:val="sk-SK"/>
              </w:rPr>
              <w:t>S prenocovaním</w:t>
            </w:r>
          </w:p>
        </w:tc>
        <w:tc>
          <w:tcPr>
            <w:tcW w:w="2410" w:type="dxa"/>
          </w:tcPr>
          <w:p w14:paraId="42700A73" w14:textId="77777777" w:rsidR="006474AD" w:rsidRPr="006474AD" w:rsidRDefault="002944B9" w:rsidP="00A04A5C">
            <w:pPr>
              <w:tabs>
                <w:tab w:val="left" w:pos="2146"/>
              </w:tabs>
              <w:autoSpaceDE w:val="0"/>
              <w:autoSpaceDN w:val="0"/>
              <w:adjustRightInd w:val="0"/>
              <w:rPr>
                <w:sz w:val="22"/>
                <w:szCs w:val="22"/>
                <w:lang w:val="sk-SK"/>
              </w:rPr>
            </w:pPr>
            <w:r>
              <w:rPr>
                <w:sz w:val="22"/>
                <w:szCs w:val="22"/>
                <w:lang w:val="sk-SK"/>
              </w:rPr>
              <w:t>172 (2,</w:t>
            </w:r>
            <w:r w:rsidR="006474AD" w:rsidRPr="006474AD">
              <w:rPr>
                <w:sz w:val="22"/>
                <w:szCs w:val="22"/>
                <w:lang w:val="sk-SK"/>
              </w:rPr>
              <w:t>3%)</w:t>
            </w:r>
          </w:p>
        </w:tc>
        <w:tc>
          <w:tcPr>
            <w:tcW w:w="1984" w:type="dxa"/>
          </w:tcPr>
          <w:p w14:paraId="5F4DA568" w14:textId="77777777" w:rsidR="006474AD" w:rsidRPr="006474AD" w:rsidRDefault="002944B9" w:rsidP="00A04A5C">
            <w:pPr>
              <w:autoSpaceDE w:val="0"/>
              <w:autoSpaceDN w:val="0"/>
              <w:adjustRightInd w:val="0"/>
              <w:rPr>
                <w:sz w:val="22"/>
                <w:szCs w:val="22"/>
                <w:lang w:val="sk-SK"/>
              </w:rPr>
            </w:pPr>
            <w:r>
              <w:rPr>
                <w:sz w:val="22"/>
                <w:szCs w:val="22"/>
                <w:lang w:val="sk-SK"/>
              </w:rPr>
              <w:t>90 (1,</w:t>
            </w:r>
            <w:r w:rsidR="006474AD" w:rsidRPr="006474AD">
              <w:rPr>
                <w:sz w:val="22"/>
                <w:szCs w:val="22"/>
                <w:lang w:val="sk-SK"/>
              </w:rPr>
              <w:t>3%)</w:t>
            </w:r>
          </w:p>
        </w:tc>
        <w:tc>
          <w:tcPr>
            <w:tcW w:w="1807" w:type="dxa"/>
          </w:tcPr>
          <w:p w14:paraId="40CF797F" w14:textId="77777777" w:rsidR="006474AD" w:rsidRPr="006474AD" w:rsidRDefault="002944B9" w:rsidP="00A04A5C">
            <w:pPr>
              <w:autoSpaceDE w:val="0"/>
              <w:autoSpaceDN w:val="0"/>
              <w:adjustRightInd w:val="0"/>
              <w:rPr>
                <w:sz w:val="22"/>
                <w:szCs w:val="22"/>
                <w:lang w:val="sk-SK"/>
              </w:rPr>
            </w:pPr>
            <w:r>
              <w:rPr>
                <w:sz w:val="22"/>
                <w:szCs w:val="22"/>
                <w:lang w:val="sk-SK"/>
              </w:rPr>
              <w:t>1,91 (1,48;2,</w:t>
            </w:r>
            <w:r w:rsidR="006474AD" w:rsidRPr="006474AD">
              <w:rPr>
                <w:sz w:val="22"/>
                <w:szCs w:val="22"/>
                <w:lang w:val="sk-SK"/>
              </w:rPr>
              <w:t>46)</w:t>
            </w:r>
          </w:p>
          <w:p w14:paraId="7274DA7F" w14:textId="77777777" w:rsidR="006474AD" w:rsidRPr="006474AD" w:rsidRDefault="002944B9" w:rsidP="00A04A5C">
            <w:pPr>
              <w:autoSpaceDE w:val="0"/>
              <w:autoSpaceDN w:val="0"/>
              <w:adjustRightInd w:val="0"/>
              <w:rPr>
                <w:sz w:val="22"/>
                <w:szCs w:val="22"/>
                <w:lang w:val="sk-SK"/>
              </w:rPr>
            </w:pPr>
            <w:r>
              <w:rPr>
                <w:sz w:val="22"/>
                <w:szCs w:val="22"/>
                <w:lang w:val="sk-SK"/>
              </w:rPr>
              <w:t>p &lt; 0,</w:t>
            </w:r>
            <w:r w:rsidR="006474AD" w:rsidRPr="006474AD">
              <w:rPr>
                <w:sz w:val="22"/>
                <w:szCs w:val="22"/>
                <w:lang w:val="sk-SK"/>
              </w:rPr>
              <w:t>00001</w:t>
            </w:r>
          </w:p>
        </w:tc>
      </w:tr>
      <w:tr w:rsidR="006474AD" w:rsidRPr="006474AD" w14:paraId="6323F834" w14:textId="77777777" w:rsidTr="00EC2789">
        <w:tc>
          <w:tcPr>
            <w:tcW w:w="3085" w:type="dxa"/>
          </w:tcPr>
          <w:p w14:paraId="7BBB5A18" w14:textId="77777777" w:rsidR="006474AD" w:rsidRPr="006474AD" w:rsidRDefault="00EC2789" w:rsidP="00A04A5C">
            <w:pPr>
              <w:pStyle w:val="Odsekzoznamu"/>
              <w:autoSpaceDE w:val="0"/>
              <w:autoSpaceDN w:val="0"/>
              <w:adjustRightInd w:val="0"/>
              <w:ind w:left="360"/>
              <w:rPr>
                <w:sz w:val="22"/>
                <w:szCs w:val="22"/>
                <w:lang w:val="sk-SK"/>
              </w:rPr>
            </w:pPr>
            <w:r w:rsidRPr="00EC2789">
              <w:rPr>
                <w:sz w:val="22"/>
                <w:szCs w:val="22"/>
                <w:lang w:val="sk-SK"/>
              </w:rPr>
              <w:t>Bez prenocovania</w:t>
            </w:r>
          </w:p>
        </w:tc>
        <w:tc>
          <w:tcPr>
            <w:tcW w:w="2410" w:type="dxa"/>
          </w:tcPr>
          <w:p w14:paraId="5D7C57E2" w14:textId="77777777" w:rsidR="006474AD" w:rsidRPr="006474AD" w:rsidRDefault="002944B9" w:rsidP="00A04A5C">
            <w:pPr>
              <w:tabs>
                <w:tab w:val="left" w:pos="2146"/>
              </w:tabs>
              <w:autoSpaceDE w:val="0"/>
              <w:autoSpaceDN w:val="0"/>
              <w:adjustRightInd w:val="0"/>
              <w:rPr>
                <w:sz w:val="22"/>
                <w:szCs w:val="22"/>
                <w:lang w:val="sk-SK"/>
              </w:rPr>
            </w:pPr>
            <w:r>
              <w:rPr>
                <w:sz w:val="22"/>
                <w:szCs w:val="22"/>
                <w:lang w:val="sk-SK"/>
              </w:rPr>
              <w:t>36 (0,</w:t>
            </w:r>
            <w:r w:rsidR="006474AD" w:rsidRPr="006474AD">
              <w:rPr>
                <w:sz w:val="22"/>
                <w:szCs w:val="22"/>
                <w:lang w:val="sk-SK"/>
              </w:rPr>
              <w:t>5%)</w:t>
            </w:r>
          </w:p>
        </w:tc>
        <w:tc>
          <w:tcPr>
            <w:tcW w:w="1984" w:type="dxa"/>
          </w:tcPr>
          <w:p w14:paraId="06445B09" w14:textId="77777777" w:rsidR="006474AD" w:rsidRPr="006474AD" w:rsidRDefault="002944B9" w:rsidP="00A04A5C">
            <w:pPr>
              <w:autoSpaceDE w:val="0"/>
              <w:autoSpaceDN w:val="0"/>
              <w:adjustRightInd w:val="0"/>
              <w:rPr>
                <w:sz w:val="22"/>
                <w:szCs w:val="22"/>
                <w:lang w:val="sk-SK"/>
              </w:rPr>
            </w:pPr>
            <w:r>
              <w:rPr>
                <w:sz w:val="22"/>
                <w:szCs w:val="22"/>
                <w:lang w:val="sk-SK"/>
              </w:rPr>
              <w:t>21 (0,</w:t>
            </w:r>
            <w:r w:rsidR="006474AD" w:rsidRPr="006474AD">
              <w:rPr>
                <w:sz w:val="22"/>
                <w:szCs w:val="22"/>
                <w:lang w:val="sk-SK"/>
              </w:rPr>
              <w:t>3%)</w:t>
            </w:r>
          </w:p>
        </w:tc>
        <w:tc>
          <w:tcPr>
            <w:tcW w:w="1807" w:type="dxa"/>
          </w:tcPr>
          <w:p w14:paraId="07652B42" w14:textId="77777777" w:rsidR="006474AD" w:rsidRPr="006474AD" w:rsidRDefault="002944B9" w:rsidP="00A04A5C">
            <w:pPr>
              <w:autoSpaceDE w:val="0"/>
              <w:autoSpaceDN w:val="0"/>
              <w:adjustRightInd w:val="0"/>
              <w:rPr>
                <w:sz w:val="22"/>
                <w:szCs w:val="22"/>
                <w:lang w:val="sk-SK"/>
              </w:rPr>
            </w:pPr>
            <w:r>
              <w:rPr>
                <w:sz w:val="22"/>
                <w:szCs w:val="22"/>
                <w:lang w:val="sk-SK"/>
              </w:rPr>
              <w:t>1,70 (0,99;2,</w:t>
            </w:r>
            <w:r w:rsidR="006474AD" w:rsidRPr="006474AD">
              <w:rPr>
                <w:sz w:val="22"/>
                <w:szCs w:val="22"/>
                <w:lang w:val="sk-SK"/>
              </w:rPr>
              <w:t>92)</w:t>
            </w:r>
          </w:p>
          <w:p w14:paraId="4F39454A" w14:textId="0393D4E3" w:rsidR="006474AD" w:rsidRPr="006474AD" w:rsidRDefault="006474AD" w:rsidP="00374502">
            <w:pPr>
              <w:autoSpaceDE w:val="0"/>
              <w:autoSpaceDN w:val="0"/>
              <w:adjustRightInd w:val="0"/>
              <w:rPr>
                <w:sz w:val="22"/>
                <w:szCs w:val="22"/>
                <w:lang w:val="sk-SK"/>
              </w:rPr>
            </w:pPr>
            <w:r w:rsidRPr="006474AD">
              <w:rPr>
                <w:sz w:val="22"/>
                <w:szCs w:val="22"/>
                <w:lang w:val="sk-SK"/>
              </w:rPr>
              <w:t>p = 0</w:t>
            </w:r>
            <w:r w:rsidR="00374502">
              <w:rPr>
                <w:sz w:val="22"/>
                <w:szCs w:val="22"/>
                <w:lang w:val="sk-SK"/>
              </w:rPr>
              <w:t>,</w:t>
            </w:r>
            <w:r w:rsidRPr="006474AD">
              <w:rPr>
                <w:sz w:val="22"/>
                <w:szCs w:val="22"/>
                <w:lang w:val="sk-SK"/>
              </w:rPr>
              <w:t>04983</w:t>
            </w:r>
          </w:p>
        </w:tc>
      </w:tr>
      <w:tr w:rsidR="006474AD" w:rsidRPr="006474AD" w14:paraId="526E39FE" w14:textId="77777777" w:rsidTr="00EC2789">
        <w:tc>
          <w:tcPr>
            <w:tcW w:w="3085" w:type="dxa"/>
          </w:tcPr>
          <w:p w14:paraId="75F5D84D" w14:textId="77777777" w:rsidR="006474AD" w:rsidRPr="006474AD" w:rsidRDefault="00EC2789" w:rsidP="00EC2789">
            <w:pPr>
              <w:pStyle w:val="Odsekzoznamu"/>
              <w:numPr>
                <w:ilvl w:val="0"/>
                <w:numId w:val="4"/>
              </w:numPr>
              <w:autoSpaceDE w:val="0"/>
              <w:autoSpaceDN w:val="0"/>
              <w:adjustRightInd w:val="0"/>
              <w:spacing w:after="0" w:line="240" w:lineRule="auto"/>
              <w:rPr>
                <w:sz w:val="22"/>
                <w:szCs w:val="22"/>
                <w:lang w:val="sk-SK"/>
              </w:rPr>
            </w:pPr>
            <w:r>
              <w:rPr>
                <w:sz w:val="22"/>
                <w:szCs w:val="22"/>
                <w:lang w:val="sk-SK"/>
              </w:rPr>
              <w:t>Závažné</w:t>
            </w:r>
            <w:r w:rsidRPr="00EC2789">
              <w:rPr>
                <w:sz w:val="22"/>
                <w:szCs w:val="22"/>
                <w:lang w:val="sk-SK"/>
              </w:rPr>
              <w:t xml:space="preserve"> gastrointestinálne krvácanie</w:t>
            </w:r>
          </w:p>
        </w:tc>
        <w:tc>
          <w:tcPr>
            <w:tcW w:w="2410" w:type="dxa"/>
          </w:tcPr>
          <w:p w14:paraId="7377F403" w14:textId="77777777" w:rsidR="006474AD" w:rsidRPr="006474AD" w:rsidRDefault="002944B9" w:rsidP="00A04A5C">
            <w:pPr>
              <w:tabs>
                <w:tab w:val="left" w:pos="2146"/>
              </w:tabs>
              <w:autoSpaceDE w:val="0"/>
              <w:autoSpaceDN w:val="0"/>
              <w:adjustRightInd w:val="0"/>
              <w:rPr>
                <w:sz w:val="22"/>
                <w:szCs w:val="22"/>
                <w:lang w:val="sk-SK"/>
              </w:rPr>
            </w:pPr>
            <w:r>
              <w:rPr>
                <w:sz w:val="22"/>
                <w:szCs w:val="22"/>
                <w:lang w:val="sk-SK"/>
              </w:rPr>
              <w:t>140 (2,</w:t>
            </w:r>
            <w:r w:rsidR="006474AD" w:rsidRPr="006474AD">
              <w:rPr>
                <w:sz w:val="22"/>
                <w:szCs w:val="22"/>
                <w:lang w:val="sk-SK"/>
              </w:rPr>
              <w:t>0%)</w:t>
            </w:r>
          </w:p>
        </w:tc>
        <w:tc>
          <w:tcPr>
            <w:tcW w:w="1984" w:type="dxa"/>
          </w:tcPr>
          <w:p w14:paraId="5BD9029C" w14:textId="77777777" w:rsidR="006474AD" w:rsidRPr="006474AD" w:rsidRDefault="002944B9" w:rsidP="00A04A5C">
            <w:pPr>
              <w:autoSpaceDE w:val="0"/>
              <w:autoSpaceDN w:val="0"/>
              <w:adjustRightInd w:val="0"/>
              <w:rPr>
                <w:sz w:val="22"/>
                <w:szCs w:val="22"/>
                <w:lang w:val="sk-SK"/>
              </w:rPr>
            </w:pPr>
            <w:r>
              <w:rPr>
                <w:sz w:val="22"/>
                <w:szCs w:val="22"/>
                <w:lang w:val="sk-SK"/>
              </w:rPr>
              <w:t>65 (1,</w:t>
            </w:r>
            <w:r w:rsidR="006474AD" w:rsidRPr="006474AD">
              <w:rPr>
                <w:sz w:val="22"/>
                <w:szCs w:val="22"/>
                <w:lang w:val="sk-SK"/>
              </w:rPr>
              <w:t>1%)</w:t>
            </w:r>
          </w:p>
        </w:tc>
        <w:tc>
          <w:tcPr>
            <w:tcW w:w="1807" w:type="dxa"/>
          </w:tcPr>
          <w:p w14:paraId="2F460DB0" w14:textId="77777777" w:rsidR="006474AD" w:rsidRPr="006474AD" w:rsidRDefault="002944B9" w:rsidP="00A04A5C">
            <w:pPr>
              <w:autoSpaceDE w:val="0"/>
              <w:autoSpaceDN w:val="0"/>
              <w:adjustRightInd w:val="0"/>
              <w:rPr>
                <w:sz w:val="22"/>
                <w:szCs w:val="22"/>
                <w:lang w:val="sk-SK"/>
              </w:rPr>
            </w:pPr>
            <w:r>
              <w:rPr>
                <w:sz w:val="22"/>
                <w:szCs w:val="22"/>
                <w:lang w:val="sk-SK"/>
              </w:rPr>
              <w:t>2,15 (1,60;2,</w:t>
            </w:r>
            <w:r w:rsidR="006474AD" w:rsidRPr="006474AD">
              <w:rPr>
                <w:sz w:val="22"/>
                <w:szCs w:val="22"/>
                <w:lang w:val="sk-SK"/>
              </w:rPr>
              <w:t>89)</w:t>
            </w:r>
          </w:p>
          <w:p w14:paraId="2D87EBCF" w14:textId="77777777" w:rsidR="006474AD" w:rsidRPr="006474AD" w:rsidRDefault="002944B9" w:rsidP="00A04A5C">
            <w:pPr>
              <w:autoSpaceDE w:val="0"/>
              <w:autoSpaceDN w:val="0"/>
              <w:adjustRightInd w:val="0"/>
              <w:rPr>
                <w:sz w:val="22"/>
                <w:szCs w:val="22"/>
                <w:lang w:val="sk-SK"/>
              </w:rPr>
            </w:pPr>
            <w:r>
              <w:rPr>
                <w:sz w:val="22"/>
                <w:szCs w:val="22"/>
                <w:lang w:val="sk-SK"/>
              </w:rPr>
              <w:t>p &lt; 0,</w:t>
            </w:r>
            <w:r w:rsidR="006474AD" w:rsidRPr="006474AD">
              <w:rPr>
                <w:sz w:val="22"/>
                <w:szCs w:val="22"/>
                <w:lang w:val="sk-SK"/>
              </w:rPr>
              <w:t>00001</w:t>
            </w:r>
          </w:p>
        </w:tc>
      </w:tr>
      <w:tr w:rsidR="006474AD" w:rsidRPr="006474AD" w14:paraId="07D38EC2" w14:textId="77777777" w:rsidTr="00EC2789">
        <w:tc>
          <w:tcPr>
            <w:tcW w:w="3085" w:type="dxa"/>
          </w:tcPr>
          <w:p w14:paraId="69B39E49" w14:textId="03D66CE1" w:rsidR="006474AD" w:rsidRPr="006474AD" w:rsidRDefault="00EC2789" w:rsidP="00EC2789">
            <w:pPr>
              <w:pStyle w:val="Odsekzoznamu"/>
              <w:numPr>
                <w:ilvl w:val="0"/>
                <w:numId w:val="4"/>
              </w:numPr>
              <w:autoSpaceDE w:val="0"/>
              <w:autoSpaceDN w:val="0"/>
              <w:adjustRightInd w:val="0"/>
              <w:spacing w:after="0" w:line="240" w:lineRule="auto"/>
              <w:rPr>
                <w:sz w:val="22"/>
                <w:szCs w:val="22"/>
                <w:lang w:val="sk-SK"/>
              </w:rPr>
            </w:pPr>
            <w:r>
              <w:rPr>
                <w:sz w:val="22"/>
                <w:szCs w:val="22"/>
                <w:lang w:val="sk-SK"/>
              </w:rPr>
              <w:t>Závažné</w:t>
            </w:r>
            <w:r w:rsidRPr="00EC2789">
              <w:rPr>
                <w:sz w:val="22"/>
                <w:szCs w:val="22"/>
                <w:lang w:val="sk-SK"/>
              </w:rPr>
              <w:t xml:space="preserve"> </w:t>
            </w:r>
            <w:r w:rsidR="00062A7B" w:rsidRPr="00EC2789">
              <w:rPr>
                <w:sz w:val="22"/>
                <w:szCs w:val="22"/>
                <w:lang w:val="sk-SK"/>
              </w:rPr>
              <w:t>vnútroleb</w:t>
            </w:r>
            <w:r w:rsidR="00062A7B">
              <w:rPr>
                <w:sz w:val="22"/>
                <w:szCs w:val="22"/>
                <w:lang w:val="sk-SK"/>
              </w:rPr>
              <w:t xml:space="preserve">kové </w:t>
            </w:r>
            <w:r w:rsidRPr="00EC2789">
              <w:rPr>
                <w:sz w:val="22"/>
                <w:szCs w:val="22"/>
                <w:lang w:val="sk-SK"/>
              </w:rPr>
              <w:t>krvácanie</w:t>
            </w:r>
            <w:r w:rsidR="006474AD" w:rsidRPr="006474AD">
              <w:rPr>
                <w:sz w:val="22"/>
                <w:szCs w:val="22"/>
                <w:lang w:val="sk-SK"/>
              </w:rPr>
              <w:t xml:space="preserve">  </w:t>
            </w:r>
          </w:p>
        </w:tc>
        <w:tc>
          <w:tcPr>
            <w:tcW w:w="2410" w:type="dxa"/>
          </w:tcPr>
          <w:p w14:paraId="2ACC4EA2" w14:textId="77777777" w:rsidR="006474AD" w:rsidRPr="006474AD" w:rsidRDefault="006474AD" w:rsidP="002944B9">
            <w:pPr>
              <w:tabs>
                <w:tab w:val="left" w:pos="2146"/>
              </w:tabs>
              <w:autoSpaceDE w:val="0"/>
              <w:autoSpaceDN w:val="0"/>
              <w:adjustRightInd w:val="0"/>
              <w:rPr>
                <w:sz w:val="22"/>
                <w:szCs w:val="22"/>
                <w:lang w:val="sk-SK"/>
              </w:rPr>
            </w:pPr>
            <w:r w:rsidRPr="006474AD">
              <w:rPr>
                <w:sz w:val="22"/>
                <w:szCs w:val="22"/>
                <w:lang w:val="sk-SK"/>
              </w:rPr>
              <w:t>28 (0</w:t>
            </w:r>
            <w:r w:rsidR="002944B9">
              <w:rPr>
                <w:sz w:val="22"/>
                <w:szCs w:val="22"/>
                <w:lang w:val="sk-SK"/>
              </w:rPr>
              <w:t>,</w:t>
            </w:r>
            <w:r w:rsidRPr="006474AD">
              <w:rPr>
                <w:sz w:val="22"/>
                <w:szCs w:val="22"/>
                <w:lang w:val="sk-SK"/>
              </w:rPr>
              <w:t>4%)</w:t>
            </w:r>
          </w:p>
        </w:tc>
        <w:tc>
          <w:tcPr>
            <w:tcW w:w="1984" w:type="dxa"/>
          </w:tcPr>
          <w:p w14:paraId="7AF156D8" w14:textId="77777777" w:rsidR="006474AD" w:rsidRPr="006474AD" w:rsidRDefault="002944B9" w:rsidP="00A04A5C">
            <w:pPr>
              <w:autoSpaceDE w:val="0"/>
              <w:autoSpaceDN w:val="0"/>
              <w:adjustRightInd w:val="0"/>
              <w:rPr>
                <w:sz w:val="22"/>
                <w:szCs w:val="22"/>
                <w:lang w:val="sk-SK"/>
              </w:rPr>
            </w:pPr>
            <w:r>
              <w:rPr>
                <w:sz w:val="22"/>
                <w:szCs w:val="22"/>
                <w:lang w:val="sk-SK"/>
              </w:rPr>
              <w:t>24 (0,</w:t>
            </w:r>
            <w:r w:rsidR="006474AD" w:rsidRPr="006474AD">
              <w:rPr>
                <w:sz w:val="22"/>
                <w:szCs w:val="22"/>
                <w:lang w:val="sk-SK"/>
              </w:rPr>
              <w:t>3%)</w:t>
            </w:r>
          </w:p>
        </w:tc>
        <w:tc>
          <w:tcPr>
            <w:tcW w:w="1807" w:type="dxa"/>
          </w:tcPr>
          <w:p w14:paraId="179D8CF0" w14:textId="77777777" w:rsidR="006474AD" w:rsidRPr="006474AD" w:rsidRDefault="002944B9" w:rsidP="00A04A5C">
            <w:pPr>
              <w:autoSpaceDE w:val="0"/>
              <w:autoSpaceDN w:val="0"/>
              <w:adjustRightInd w:val="0"/>
              <w:rPr>
                <w:sz w:val="22"/>
                <w:szCs w:val="22"/>
                <w:lang w:val="sk-SK"/>
              </w:rPr>
            </w:pPr>
            <w:r>
              <w:rPr>
                <w:sz w:val="22"/>
                <w:szCs w:val="22"/>
                <w:lang w:val="sk-SK"/>
              </w:rPr>
              <w:t>1,16 (0,67;2,</w:t>
            </w:r>
            <w:r w:rsidR="006474AD" w:rsidRPr="006474AD">
              <w:rPr>
                <w:sz w:val="22"/>
                <w:szCs w:val="22"/>
                <w:lang w:val="sk-SK"/>
              </w:rPr>
              <w:t>00)</w:t>
            </w:r>
          </w:p>
          <w:p w14:paraId="12349F65" w14:textId="77777777" w:rsidR="006474AD" w:rsidRPr="006474AD" w:rsidRDefault="002944B9" w:rsidP="00A04A5C">
            <w:pPr>
              <w:autoSpaceDE w:val="0"/>
              <w:autoSpaceDN w:val="0"/>
              <w:adjustRightInd w:val="0"/>
              <w:rPr>
                <w:sz w:val="22"/>
                <w:szCs w:val="22"/>
                <w:lang w:val="sk-SK"/>
              </w:rPr>
            </w:pPr>
            <w:r>
              <w:rPr>
                <w:sz w:val="22"/>
                <w:szCs w:val="22"/>
                <w:lang w:val="sk-SK"/>
              </w:rPr>
              <w:t>p = 0,</w:t>
            </w:r>
            <w:r w:rsidR="006474AD" w:rsidRPr="006474AD">
              <w:rPr>
                <w:sz w:val="22"/>
                <w:szCs w:val="22"/>
                <w:lang w:val="sk-SK"/>
              </w:rPr>
              <w:t>59858</w:t>
            </w:r>
          </w:p>
        </w:tc>
      </w:tr>
    </w:tbl>
    <w:p w14:paraId="70E60FD5" w14:textId="101C896C" w:rsidR="0033550A" w:rsidRDefault="0033550A" w:rsidP="0033550A">
      <w:pPr>
        <w:pStyle w:val="Default"/>
        <w:rPr>
          <w:sz w:val="22"/>
          <w:szCs w:val="22"/>
        </w:rPr>
      </w:pPr>
      <w:r>
        <w:rPr>
          <w:sz w:val="22"/>
          <w:szCs w:val="22"/>
        </w:rPr>
        <w:t xml:space="preserve">a) </w:t>
      </w:r>
      <w:r w:rsidR="00FB0060" w:rsidRPr="000D053C">
        <w:rPr>
          <w:sz w:val="22"/>
        </w:rPr>
        <w:t xml:space="preserve">Súbor pre analýzu intention-to-treat, primárne analýzy </w:t>
      </w:r>
      <w:r>
        <w:rPr>
          <w:sz w:val="22"/>
          <w:szCs w:val="22"/>
        </w:rPr>
        <w:t xml:space="preserve">b) </w:t>
      </w:r>
      <w:r w:rsidR="00FB0060">
        <w:rPr>
          <w:sz w:val="22"/>
          <w:szCs w:val="22"/>
        </w:rPr>
        <w:t>vs.</w:t>
      </w:r>
      <w:r>
        <w:rPr>
          <w:sz w:val="22"/>
          <w:szCs w:val="22"/>
        </w:rPr>
        <w:t xml:space="preserve">ASA 100 mg; Log-Rank </w:t>
      </w:r>
      <w:r w:rsidR="00FB0060">
        <w:rPr>
          <w:sz w:val="22"/>
          <w:szCs w:val="22"/>
        </w:rPr>
        <w:t xml:space="preserve">p-hodnota </w:t>
      </w:r>
    </w:p>
    <w:p w14:paraId="44FA4541" w14:textId="31D09BA6" w:rsidR="0033550A" w:rsidRDefault="0033550A" w:rsidP="0033550A">
      <w:pPr>
        <w:pStyle w:val="Default"/>
        <w:rPr>
          <w:sz w:val="22"/>
          <w:szCs w:val="22"/>
        </w:rPr>
      </w:pPr>
      <w:r>
        <w:rPr>
          <w:sz w:val="22"/>
          <w:szCs w:val="22"/>
        </w:rPr>
        <w:t>I</w:t>
      </w:r>
      <w:r w:rsidR="00FB0060">
        <w:rPr>
          <w:sz w:val="22"/>
          <w:szCs w:val="22"/>
        </w:rPr>
        <w:t>S</w:t>
      </w:r>
      <w:r>
        <w:rPr>
          <w:sz w:val="22"/>
          <w:szCs w:val="22"/>
        </w:rPr>
        <w:t>: interval spoľahlivosti; kum</w:t>
      </w:r>
      <w:r w:rsidR="00FB0060">
        <w:rPr>
          <w:sz w:val="22"/>
          <w:szCs w:val="22"/>
        </w:rPr>
        <w:t>ul</w:t>
      </w:r>
      <w:r>
        <w:rPr>
          <w:sz w:val="22"/>
          <w:szCs w:val="22"/>
        </w:rPr>
        <w:t xml:space="preserve">. riziko: kumulatívne riziko výskytu (Kaplanov- Meierov odhad) po 30 mesiacoch; ISTH: Medzinárodná spoločnosť pre trombózu a hemostázu </w:t>
      </w:r>
    </w:p>
    <w:p w14:paraId="503FB796" w14:textId="2AEFF79D" w:rsidR="0033550A" w:rsidRDefault="0033550A" w:rsidP="0033550A">
      <w:pPr>
        <w:pStyle w:val="Default"/>
        <w:rPr>
          <w:sz w:val="22"/>
          <w:szCs w:val="22"/>
        </w:rPr>
      </w:pPr>
      <w:r>
        <w:rPr>
          <w:sz w:val="22"/>
          <w:szCs w:val="22"/>
        </w:rPr>
        <w:t>(</w:t>
      </w:r>
      <w:r>
        <w:rPr>
          <w:i/>
          <w:iCs/>
          <w:sz w:val="22"/>
          <w:szCs w:val="22"/>
        </w:rPr>
        <w:t>International Society on Thrombosis and Haemostasis</w:t>
      </w:r>
      <w:r>
        <w:rPr>
          <w:sz w:val="22"/>
          <w:szCs w:val="22"/>
        </w:rPr>
        <w:t xml:space="preserve">); </w:t>
      </w:r>
    </w:p>
    <w:p w14:paraId="3772E1B1" w14:textId="77777777" w:rsidR="0033550A" w:rsidRDefault="0033550A" w:rsidP="0033550A">
      <w:pPr>
        <w:pStyle w:val="Default"/>
        <w:rPr>
          <w:b/>
          <w:bCs/>
          <w:sz w:val="22"/>
          <w:szCs w:val="22"/>
        </w:rPr>
      </w:pPr>
    </w:p>
    <w:p w14:paraId="4D4901DE" w14:textId="77777777" w:rsidR="002944B9" w:rsidRDefault="002944B9" w:rsidP="0033550A">
      <w:pPr>
        <w:pStyle w:val="Default"/>
        <w:rPr>
          <w:b/>
          <w:bCs/>
          <w:sz w:val="22"/>
          <w:szCs w:val="22"/>
        </w:rPr>
      </w:pPr>
    </w:p>
    <w:p w14:paraId="04D96ED4" w14:textId="77777777" w:rsidR="002944B9" w:rsidRDefault="002944B9" w:rsidP="0033550A">
      <w:pPr>
        <w:pStyle w:val="Default"/>
        <w:rPr>
          <w:b/>
          <w:bCs/>
          <w:sz w:val="22"/>
          <w:szCs w:val="22"/>
        </w:rPr>
      </w:pPr>
    </w:p>
    <w:p w14:paraId="247D71F1" w14:textId="77777777" w:rsidR="002944B9" w:rsidRDefault="002944B9" w:rsidP="0033550A">
      <w:pPr>
        <w:pStyle w:val="Default"/>
        <w:rPr>
          <w:b/>
          <w:bCs/>
          <w:sz w:val="22"/>
          <w:szCs w:val="22"/>
        </w:rPr>
      </w:pPr>
    </w:p>
    <w:p w14:paraId="7B88E37E" w14:textId="77777777" w:rsidR="002944B9" w:rsidRDefault="002944B9" w:rsidP="0033550A">
      <w:pPr>
        <w:pStyle w:val="Default"/>
        <w:rPr>
          <w:b/>
          <w:bCs/>
          <w:sz w:val="22"/>
          <w:szCs w:val="22"/>
        </w:rPr>
      </w:pPr>
    </w:p>
    <w:p w14:paraId="4D8C5AC6" w14:textId="77777777" w:rsidR="002944B9" w:rsidRDefault="002944B9" w:rsidP="0033550A">
      <w:pPr>
        <w:pStyle w:val="Default"/>
        <w:rPr>
          <w:b/>
          <w:bCs/>
          <w:sz w:val="22"/>
          <w:szCs w:val="22"/>
        </w:rPr>
      </w:pPr>
    </w:p>
    <w:p w14:paraId="1C833D77" w14:textId="77777777" w:rsidR="002944B9" w:rsidRDefault="002944B9" w:rsidP="0033550A">
      <w:pPr>
        <w:pStyle w:val="Default"/>
        <w:rPr>
          <w:b/>
          <w:bCs/>
          <w:sz w:val="22"/>
          <w:szCs w:val="22"/>
        </w:rPr>
      </w:pPr>
    </w:p>
    <w:p w14:paraId="71D9C868" w14:textId="77777777" w:rsidR="002944B9" w:rsidRDefault="002944B9" w:rsidP="0033550A">
      <w:pPr>
        <w:pStyle w:val="Default"/>
        <w:rPr>
          <w:b/>
          <w:bCs/>
          <w:sz w:val="22"/>
          <w:szCs w:val="22"/>
        </w:rPr>
      </w:pPr>
    </w:p>
    <w:p w14:paraId="4AEA373D" w14:textId="77777777" w:rsidR="002944B9" w:rsidRDefault="002944B9" w:rsidP="0033550A">
      <w:pPr>
        <w:pStyle w:val="Default"/>
        <w:rPr>
          <w:b/>
          <w:bCs/>
          <w:sz w:val="22"/>
          <w:szCs w:val="22"/>
        </w:rPr>
      </w:pPr>
    </w:p>
    <w:p w14:paraId="165609F0" w14:textId="77777777" w:rsidR="002944B9" w:rsidRDefault="002944B9" w:rsidP="0033550A">
      <w:pPr>
        <w:pStyle w:val="Default"/>
        <w:rPr>
          <w:b/>
          <w:bCs/>
          <w:sz w:val="22"/>
          <w:szCs w:val="22"/>
        </w:rPr>
      </w:pPr>
    </w:p>
    <w:p w14:paraId="7DC7E971" w14:textId="77777777" w:rsidR="002944B9" w:rsidRDefault="002944B9" w:rsidP="0033550A">
      <w:pPr>
        <w:pStyle w:val="Default"/>
        <w:rPr>
          <w:b/>
          <w:bCs/>
          <w:sz w:val="22"/>
          <w:szCs w:val="22"/>
        </w:rPr>
      </w:pPr>
    </w:p>
    <w:p w14:paraId="79538929" w14:textId="77777777" w:rsidR="002944B9" w:rsidRDefault="002944B9" w:rsidP="0033550A">
      <w:pPr>
        <w:pStyle w:val="Default"/>
        <w:rPr>
          <w:b/>
          <w:bCs/>
          <w:sz w:val="22"/>
          <w:szCs w:val="22"/>
        </w:rPr>
      </w:pPr>
    </w:p>
    <w:p w14:paraId="14C1E681" w14:textId="77777777" w:rsidR="002944B9" w:rsidRDefault="002944B9" w:rsidP="0033550A">
      <w:pPr>
        <w:pStyle w:val="Default"/>
        <w:rPr>
          <w:b/>
          <w:bCs/>
          <w:sz w:val="22"/>
          <w:szCs w:val="22"/>
        </w:rPr>
      </w:pPr>
    </w:p>
    <w:p w14:paraId="6DB49909" w14:textId="77777777" w:rsidR="002944B9" w:rsidRDefault="002944B9" w:rsidP="0033550A">
      <w:pPr>
        <w:pStyle w:val="Default"/>
        <w:rPr>
          <w:b/>
          <w:bCs/>
          <w:sz w:val="22"/>
          <w:szCs w:val="22"/>
        </w:rPr>
      </w:pPr>
    </w:p>
    <w:p w14:paraId="445FD49F" w14:textId="77777777" w:rsidR="002944B9" w:rsidRDefault="002944B9" w:rsidP="0033550A">
      <w:pPr>
        <w:pStyle w:val="Default"/>
        <w:rPr>
          <w:b/>
          <w:bCs/>
          <w:sz w:val="22"/>
          <w:szCs w:val="22"/>
        </w:rPr>
      </w:pPr>
    </w:p>
    <w:p w14:paraId="2B6CB666" w14:textId="77777777" w:rsidR="002944B9" w:rsidRDefault="002944B9" w:rsidP="0033550A">
      <w:pPr>
        <w:pStyle w:val="Default"/>
        <w:rPr>
          <w:b/>
          <w:bCs/>
          <w:sz w:val="22"/>
          <w:szCs w:val="22"/>
        </w:rPr>
      </w:pPr>
    </w:p>
    <w:p w14:paraId="049E2A58" w14:textId="77777777" w:rsidR="002944B9" w:rsidRDefault="002944B9" w:rsidP="0033550A">
      <w:pPr>
        <w:pStyle w:val="Default"/>
        <w:rPr>
          <w:b/>
          <w:bCs/>
          <w:sz w:val="22"/>
          <w:szCs w:val="22"/>
        </w:rPr>
      </w:pPr>
    </w:p>
    <w:p w14:paraId="42CB29CA" w14:textId="77777777" w:rsidR="0033550A" w:rsidRDefault="0033550A" w:rsidP="0033550A">
      <w:pPr>
        <w:pStyle w:val="Default"/>
        <w:rPr>
          <w:b/>
          <w:bCs/>
          <w:sz w:val="22"/>
          <w:szCs w:val="22"/>
        </w:rPr>
      </w:pPr>
      <w:r>
        <w:rPr>
          <w:b/>
          <w:bCs/>
          <w:sz w:val="22"/>
          <w:szCs w:val="22"/>
        </w:rPr>
        <w:t>Obrázok 2: Čas do prvého výskytu primárneho ukazovateľa účinnosti</w:t>
      </w:r>
      <w:r w:rsidR="007E10C4">
        <w:rPr>
          <w:b/>
          <w:bCs/>
          <w:sz w:val="22"/>
          <w:szCs w:val="22"/>
        </w:rPr>
        <w:t xml:space="preserve"> (cievna mozgová príhoda,</w:t>
      </w:r>
    </w:p>
    <w:p w14:paraId="070F1097" w14:textId="77777777" w:rsidR="007E10C4" w:rsidRPr="005B3B88" w:rsidRDefault="007E10C4" w:rsidP="0033550A">
      <w:pPr>
        <w:pStyle w:val="Default"/>
        <w:rPr>
          <w:sz w:val="22"/>
          <w:szCs w:val="22"/>
        </w:rPr>
      </w:pPr>
      <w:r>
        <w:rPr>
          <w:b/>
          <w:bCs/>
          <w:sz w:val="22"/>
          <w:szCs w:val="22"/>
        </w:rPr>
        <w:t>MI,CV úmrtie) v štúdii COMPASS</w:t>
      </w:r>
    </w:p>
    <w:p w14:paraId="67FC1B0A" w14:textId="77777777" w:rsidR="004A153A" w:rsidRDefault="004A153A" w:rsidP="00C444B8">
      <w:pPr>
        <w:pStyle w:val="Default"/>
        <w:spacing w:after="120"/>
        <w:rPr>
          <w:b/>
          <w:bCs/>
          <w:color w:val="auto"/>
          <w:sz w:val="22"/>
          <w:szCs w:val="22"/>
        </w:rPr>
      </w:pPr>
    </w:p>
    <w:p w14:paraId="4DA63296" w14:textId="52FB0060" w:rsidR="0033550A" w:rsidRDefault="007A272C" w:rsidP="00C444B8">
      <w:pPr>
        <w:pStyle w:val="Default"/>
        <w:spacing w:after="120"/>
        <w:rPr>
          <w:b/>
          <w:bCs/>
          <w:color w:val="auto"/>
          <w:sz w:val="22"/>
          <w:szCs w:val="22"/>
        </w:rPr>
      </w:pPr>
      <w:r w:rsidRPr="007A272C">
        <w:t xml:space="preserve"> </w:t>
      </w:r>
      <w:r>
        <w:rPr>
          <w:noProof/>
          <w:lang w:eastAsia="sk-SK"/>
        </w:rPr>
        <w:drawing>
          <wp:inline distT="0" distB="0" distL="0" distR="0" wp14:anchorId="0D393D78" wp14:editId="103859C5">
            <wp:extent cx="5760720" cy="244221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42210"/>
                    </a:xfrm>
                    <a:prstGeom prst="rect">
                      <a:avLst/>
                    </a:prstGeom>
                    <a:noFill/>
                    <a:ln>
                      <a:noFill/>
                    </a:ln>
                  </pic:spPr>
                </pic:pic>
              </a:graphicData>
            </a:graphic>
          </wp:inline>
        </w:drawing>
      </w:r>
    </w:p>
    <w:p w14:paraId="7BEF8A2B" w14:textId="42F5A70A" w:rsidR="0033550A" w:rsidRPr="002944B9" w:rsidRDefault="002944B9" w:rsidP="00C444B8">
      <w:pPr>
        <w:pStyle w:val="Default"/>
        <w:spacing w:after="120"/>
        <w:rPr>
          <w:bCs/>
          <w:color w:val="auto"/>
          <w:sz w:val="22"/>
          <w:szCs w:val="22"/>
        </w:rPr>
      </w:pPr>
      <w:r>
        <w:rPr>
          <w:bCs/>
          <w:color w:val="auto"/>
          <w:sz w:val="22"/>
          <w:szCs w:val="22"/>
        </w:rPr>
        <w:t>I</w:t>
      </w:r>
      <w:r w:rsidR="00390868">
        <w:rPr>
          <w:bCs/>
          <w:color w:val="auto"/>
          <w:sz w:val="22"/>
          <w:szCs w:val="22"/>
        </w:rPr>
        <w:t>S</w:t>
      </w:r>
      <w:r>
        <w:rPr>
          <w:bCs/>
          <w:color w:val="auto"/>
          <w:sz w:val="22"/>
          <w:szCs w:val="22"/>
        </w:rPr>
        <w:t>: interval spoľahlivosti</w:t>
      </w:r>
    </w:p>
    <w:p w14:paraId="2F94801E" w14:textId="77777777" w:rsidR="0033550A" w:rsidRPr="002944B9" w:rsidRDefault="0033550A" w:rsidP="002944B9">
      <w:pPr>
        <w:pStyle w:val="Default"/>
        <w:rPr>
          <w:bCs/>
          <w:color w:val="auto"/>
          <w:sz w:val="22"/>
          <w:szCs w:val="22"/>
        </w:rPr>
      </w:pPr>
    </w:p>
    <w:p w14:paraId="6F03D956" w14:textId="6515FEC6" w:rsidR="0033550A" w:rsidRPr="0061378A" w:rsidRDefault="0061378A" w:rsidP="002944B9">
      <w:pPr>
        <w:pStyle w:val="Default"/>
        <w:rPr>
          <w:bCs/>
          <w:color w:val="auto"/>
          <w:sz w:val="22"/>
          <w:szCs w:val="22"/>
          <w:u w:val="single"/>
        </w:rPr>
      </w:pPr>
      <w:r w:rsidRPr="0061378A">
        <w:rPr>
          <w:bCs/>
          <w:color w:val="auto"/>
          <w:sz w:val="22"/>
          <w:szCs w:val="22"/>
          <w:u w:val="single"/>
        </w:rPr>
        <w:t xml:space="preserve">CAD so </w:t>
      </w:r>
      <w:r w:rsidR="00C3581B">
        <w:rPr>
          <w:bCs/>
          <w:color w:val="auto"/>
          <w:sz w:val="22"/>
          <w:szCs w:val="22"/>
          <w:u w:val="single"/>
        </w:rPr>
        <w:t>zlyhávaním srdca</w:t>
      </w:r>
    </w:p>
    <w:p w14:paraId="01B59B4D" w14:textId="2EFAB471" w:rsidR="007E10C4" w:rsidRPr="0061378A" w:rsidRDefault="0061378A" w:rsidP="007E10C4">
      <w:pPr>
        <w:pStyle w:val="Default"/>
        <w:rPr>
          <w:bCs/>
          <w:color w:val="auto"/>
          <w:sz w:val="22"/>
          <w:szCs w:val="22"/>
        </w:rPr>
      </w:pPr>
      <w:r>
        <w:rPr>
          <w:bCs/>
          <w:color w:val="auto"/>
          <w:sz w:val="22"/>
          <w:szCs w:val="22"/>
        </w:rPr>
        <w:t>Štúdia COMMANDER HF zahŕňala 5 </w:t>
      </w:r>
      <w:r w:rsidRPr="0061378A">
        <w:rPr>
          <w:bCs/>
          <w:color w:val="auto"/>
          <w:sz w:val="22"/>
          <w:szCs w:val="22"/>
        </w:rPr>
        <w:t xml:space="preserve">022 pacientov so </w:t>
      </w:r>
      <w:r w:rsidR="00C3581B">
        <w:rPr>
          <w:bCs/>
          <w:color w:val="auto"/>
          <w:sz w:val="22"/>
          <w:szCs w:val="22"/>
        </w:rPr>
        <w:t>zlyhávaním srdca</w:t>
      </w:r>
      <w:r w:rsidRPr="0061378A">
        <w:rPr>
          <w:bCs/>
          <w:color w:val="auto"/>
          <w:sz w:val="22"/>
          <w:szCs w:val="22"/>
        </w:rPr>
        <w:t>a</w:t>
      </w:r>
      <w:r>
        <w:rPr>
          <w:bCs/>
          <w:color w:val="auto"/>
          <w:sz w:val="22"/>
          <w:szCs w:val="22"/>
        </w:rPr>
        <w:t> </w:t>
      </w:r>
      <w:r w:rsidR="00E92E4B">
        <w:rPr>
          <w:bCs/>
          <w:color w:val="auto"/>
          <w:sz w:val="22"/>
          <w:szCs w:val="22"/>
        </w:rPr>
        <w:t>závažným</w:t>
      </w:r>
      <w:r w:rsidRPr="0061378A">
        <w:rPr>
          <w:bCs/>
          <w:color w:val="auto"/>
          <w:sz w:val="22"/>
          <w:szCs w:val="22"/>
        </w:rPr>
        <w:t xml:space="preserve"> ochorením koronárnych artérií (CAD) po hospitalizácii dekompenzovaného </w:t>
      </w:r>
      <w:r w:rsidR="00C3581B">
        <w:rPr>
          <w:bCs/>
          <w:color w:val="auto"/>
          <w:sz w:val="22"/>
          <w:szCs w:val="22"/>
        </w:rPr>
        <w:t>zlyhávania srdca</w:t>
      </w:r>
      <w:r w:rsidR="007E10C4">
        <w:rPr>
          <w:sz w:val="22"/>
          <w:szCs w:val="22"/>
        </w:rPr>
        <w:t xml:space="preserve">(HF), ktorí boli náhodne zaradení do jedného z dvoch liečebných </w:t>
      </w:r>
      <w:r w:rsidR="00980152">
        <w:rPr>
          <w:sz w:val="22"/>
          <w:szCs w:val="22"/>
        </w:rPr>
        <w:t>skupín</w:t>
      </w:r>
      <w:r w:rsidR="007E10C4">
        <w:rPr>
          <w:sz w:val="22"/>
          <w:szCs w:val="22"/>
        </w:rPr>
        <w:t>: s rivaroxa</w:t>
      </w:r>
      <w:r w:rsidR="001462B3">
        <w:rPr>
          <w:sz w:val="22"/>
          <w:szCs w:val="22"/>
        </w:rPr>
        <w:t>bá</w:t>
      </w:r>
      <w:r>
        <w:rPr>
          <w:sz w:val="22"/>
          <w:szCs w:val="22"/>
        </w:rPr>
        <w:t>nom 2,5 mg dvakrát denne (n=2 507) alebo placebom (n=2 </w:t>
      </w:r>
      <w:r w:rsidR="007E10C4">
        <w:rPr>
          <w:sz w:val="22"/>
          <w:szCs w:val="22"/>
        </w:rPr>
        <w:t xml:space="preserve">515). Celkový medián trvania liečby v štúdii bol 504 dní. </w:t>
      </w:r>
    </w:p>
    <w:p w14:paraId="2F13918B" w14:textId="234FBC53" w:rsidR="007E10C4" w:rsidRDefault="007E10C4" w:rsidP="007E10C4">
      <w:pPr>
        <w:pStyle w:val="Default"/>
        <w:rPr>
          <w:sz w:val="22"/>
          <w:szCs w:val="22"/>
        </w:rPr>
      </w:pPr>
      <w:r>
        <w:rPr>
          <w:sz w:val="22"/>
          <w:szCs w:val="22"/>
        </w:rPr>
        <w:t>Pacienti museli mať symptomatické zlyhávanie</w:t>
      </w:r>
      <w:r w:rsidR="00980152">
        <w:rPr>
          <w:sz w:val="22"/>
          <w:szCs w:val="22"/>
        </w:rPr>
        <w:t xml:space="preserve"> srdca</w:t>
      </w:r>
      <w:r>
        <w:rPr>
          <w:sz w:val="22"/>
          <w:szCs w:val="22"/>
        </w:rPr>
        <w:t xml:space="preserve"> najmenej 3 mesiace a ejekčnú frakciu ľavej komory (left ventricular ejection fraction, LVEF) ≤</w:t>
      </w:r>
      <w:r w:rsidR="00980152">
        <w:rPr>
          <w:sz w:val="22"/>
          <w:szCs w:val="22"/>
        </w:rPr>
        <w:t xml:space="preserve"> </w:t>
      </w:r>
      <w:r>
        <w:rPr>
          <w:sz w:val="22"/>
          <w:szCs w:val="22"/>
        </w:rPr>
        <w:t xml:space="preserve">40 % v priebehu jedného roku pred zaradením. Medián ejekčnej frakcie bol na začiatku 34 % (IQR: 28%-38%) a 53 % </w:t>
      </w:r>
      <w:r w:rsidR="00980152">
        <w:rPr>
          <w:sz w:val="22"/>
          <w:szCs w:val="22"/>
        </w:rPr>
        <w:t xml:space="preserve">osôb </w:t>
      </w:r>
      <w:r>
        <w:rPr>
          <w:sz w:val="22"/>
          <w:szCs w:val="22"/>
        </w:rPr>
        <w:t>bolo podľa klasifikácie NYHA (</w:t>
      </w:r>
      <w:r>
        <w:rPr>
          <w:i/>
          <w:iCs/>
          <w:sz w:val="22"/>
          <w:szCs w:val="22"/>
        </w:rPr>
        <w:t>New York Heart Association</w:t>
      </w:r>
      <w:r>
        <w:rPr>
          <w:sz w:val="22"/>
          <w:szCs w:val="22"/>
        </w:rPr>
        <w:t xml:space="preserve">) triedy III alebo IV. </w:t>
      </w:r>
    </w:p>
    <w:p w14:paraId="1CC360A9" w14:textId="77777777" w:rsidR="002944B9" w:rsidRDefault="002944B9" w:rsidP="007E10C4">
      <w:pPr>
        <w:pStyle w:val="Default"/>
        <w:rPr>
          <w:sz w:val="22"/>
          <w:szCs w:val="22"/>
        </w:rPr>
      </w:pPr>
    </w:p>
    <w:p w14:paraId="0E5FF1BD" w14:textId="7FE4B084" w:rsidR="007E10C4" w:rsidRDefault="007E10C4" w:rsidP="007E10C4">
      <w:pPr>
        <w:pStyle w:val="Default"/>
        <w:rPr>
          <w:sz w:val="22"/>
          <w:szCs w:val="22"/>
        </w:rPr>
      </w:pPr>
      <w:r>
        <w:rPr>
          <w:sz w:val="22"/>
          <w:szCs w:val="22"/>
        </w:rPr>
        <w:t xml:space="preserve">Primárna analýza účinnosti (t.j. </w:t>
      </w:r>
      <w:r w:rsidR="00980152">
        <w:rPr>
          <w:sz w:val="22"/>
          <w:szCs w:val="22"/>
        </w:rPr>
        <w:t xml:space="preserve">zloženého </w:t>
      </w:r>
      <w:r>
        <w:rPr>
          <w:sz w:val="22"/>
          <w:szCs w:val="22"/>
        </w:rPr>
        <w:t>ukazovateľa úmrtnosti zo všetkých príčin, MI (infarkt myokardu) alebo CMP (cievna mozgová príhoda) nepreukázala štatisticky významný roz</w:t>
      </w:r>
      <w:r w:rsidR="001462B3">
        <w:rPr>
          <w:sz w:val="22"/>
          <w:szCs w:val="22"/>
        </w:rPr>
        <w:t>diel medzi skupinou s rivaroxabá</w:t>
      </w:r>
      <w:r>
        <w:rPr>
          <w:sz w:val="22"/>
          <w:szCs w:val="22"/>
        </w:rPr>
        <w:t>nom 2,5 mg dvakrát denne a skupinou s placebom s HR=0,94 (95 % I</w:t>
      </w:r>
      <w:r w:rsidR="00980152">
        <w:rPr>
          <w:sz w:val="22"/>
          <w:szCs w:val="22"/>
        </w:rPr>
        <w:t>S</w:t>
      </w:r>
      <w:r>
        <w:rPr>
          <w:sz w:val="22"/>
          <w:szCs w:val="22"/>
        </w:rPr>
        <w:t xml:space="preserve"> 0,84-1,05), p=0,270. </w:t>
      </w:r>
      <w:r w:rsidR="00980152">
        <w:rPr>
          <w:sz w:val="22"/>
          <w:szCs w:val="22"/>
        </w:rPr>
        <w:t>Pri</w:t>
      </w:r>
      <w:r>
        <w:rPr>
          <w:sz w:val="22"/>
          <w:szCs w:val="22"/>
        </w:rPr>
        <w:t xml:space="preserve"> všetkých príčin</w:t>
      </w:r>
      <w:r w:rsidR="00980152">
        <w:rPr>
          <w:sz w:val="22"/>
          <w:szCs w:val="22"/>
        </w:rPr>
        <w:t>ách</w:t>
      </w:r>
      <w:r>
        <w:rPr>
          <w:sz w:val="22"/>
          <w:szCs w:val="22"/>
        </w:rPr>
        <w:t xml:space="preserve"> úmrtnosti nebol</w:t>
      </w:r>
      <w:r w:rsidR="001462B3">
        <w:rPr>
          <w:sz w:val="22"/>
          <w:szCs w:val="22"/>
        </w:rPr>
        <w:t xml:space="preserve"> žiadny rozdiel medzi rivaroxabá</w:t>
      </w:r>
      <w:r>
        <w:rPr>
          <w:sz w:val="22"/>
          <w:szCs w:val="22"/>
        </w:rPr>
        <w:t>nom a placebom v počte príhod (výskyt príhod na 100 pacientorokov; 11,41 vs. 11,63, HR: 0,98; 95 % I</w:t>
      </w:r>
      <w:r w:rsidR="00980152">
        <w:rPr>
          <w:sz w:val="22"/>
          <w:szCs w:val="22"/>
        </w:rPr>
        <w:t>S</w:t>
      </w:r>
      <w:r>
        <w:rPr>
          <w:sz w:val="22"/>
          <w:szCs w:val="22"/>
        </w:rPr>
        <w:t xml:space="preserve">: 0,87 až 1,10; p=0,743). Výskyt príhod v prípade MI </w:t>
      </w:r>
      <w:r w:rsidR="001462B3">
        <w:rPr>
          <w:sz w:val="22"/>
          <w:szCs w:val="22"/>
        </w:rPr>
        <w:t>na 100 pacientorokov (rivaroxabá</w:t>
      </w:r>
      <w:r>
        <w:rPr>
          <w:sz w:val="22"/>
          <w:szCs w:val="22"/>
        </w:rPr>
        <w:t>n vs. placebo) bola 2,08 vs 2,52 (HR 0,83; 95 % I</w:t>
      </w:r>
      <w:r w:rsidR="00980152">
        <w:rPr>
          <w:sz w:val="22"/>
          <w:szCs w:val="22"/>
        </w:rPr>
        <w:t>S</w:t>
      </w:r>
      <w:r>
        <w:rPr>
          <w:sz w:val="22"/>
          <w:szCs w:val="22"/>
        </w:rPr>
        <w:t>: 0,63 až 1,08; p=0,165) a pre CMP bol výskyt príhod na 100 pacientorokov 1,08 vs 1,62 (HR: 0,66; 95 % I</w:t>
      </w:r>
      <w:r w:rsidR="00980152">
        <w:rPr>
          <w:sz w:val="22"/>
          <w:szCs w:val="22"/>
        </w:rPr>
        <w:t>S</w:t>
      </w:r>
      <w:r>
        <w:rPr>
          <w:sz w:val="22"/>
          <w:szCs w:val="22"/>
        </w:rPr>
        <w:t>: 0,47 až 0,95; p=0,023). Základný ukazovateľ bezpečnosti (t. j. združené fatálne krvácanie alebo krvácania do kritického priestoru s potenciálom trvalého zdravotného postihnutia) sa vyskytlo u 18 (0,7 %) paciento</w:t>
      </w:r>
      <w:r w:rsidR="001462B3">
        <w:rPr>
          <w:sz w:val="22"/>
          <w:szCs w:val="22"/>
        </w:rPr>
        <w:t>v v skupine s liečbou rivaroxabá</w:t>
      </w:r>
      <w:r>
        <w:rPr>
          <w:sz w:val="22"/>
          <w:szCs w:val="22"/>
        </w:rPr>
        <w:t>nom 2,5 mg dvakrát denne a u 23 (0,9 %) pacientov v skupine s placebom (HR=0,80; 95 % I</w:t>
      </w:r>
      <w:r w:rsidR="00980152">
        <w:rPr>
          <w:sz w:val="22"/>
          <w:szCs w:val="22"/>
        </w:rPr>
        <w:t>S</w:t>
      </w:r>
      <w:r>
        <w:rPr>
          <w:sz w:val="22"/>
          <w:szCs w:val="22"/>
        </w:rPr>
        <w:t xml:space="preserve"> 0,43-1,49; p=0,484). Došlo k štatisticky významnému zvýšeniu závažného ISTH </w:t>
      </w:r>
      <w:r w:rsidR="001462B3">
        <w:rPr>
          <w:sz w:val="22"/>
          <w:szCs w:val="22"/>
        </w:rPr>
        <w:t>krvácania v skupine s rivaroxabá</w:t>
      </w:r>
      <w:r>
        <w:rPr>
          <w:sz w:val="22"/>
          <w:szCs w:val="22"/>
        </w:rPr>
        <w:t>nom v porovnaní s placebom (výskyt príhod na 100 pacientorokov: 2,04 vs 1,21, HR 1,68; 95 % I</w:t>
      </w:r>
      <w:r w:rsidR="00980152">
        <w:rPr>
          <w:sz w:val="22"/>
          <w:szCs w:val="22"/>
        </w:rPr>
        <w:t>S</w:t>
      </w:r>
      <w:r>
        <w:rPr>
          <w:sz w:val="22"/>
          <w:szCs w:val="22"/>
        </w:rPr>
        <w:t xml:space="preserve">: 1,18 až 2,39; p=0,003). </w:t>
      </w:r>
    </w:p>
    <w:p w14:paraId="11C997EF" w14:textId="0354A906" w:rsidR="007E10C4" w:rsidRDefault="007E10C4" w:rsidP="007E10C4">
      <w:pPr>
        <w:pStyle w:val="Default"/>
        <w:rPr>
          <w:sz w:val="22"/>
          <w:szCs w:val="22"/>
          <w:u w:val="single"/>
        </w:rPr>
      </w:pPr>
      <w:r>
        <w:rPr>
          <w:sz w:val="22"/>
          <w:szCs w:val="22"/>
        </w:rPr>
        <w:t>U pacientov s miernym a stredne ťažkým zlyhávaním</w:t>
      </w:r>
      <w:r w:rsidR="00980152">
        <w:rPr>
          <w:sz w:val="22"/>
          <w:szCs w:val="22"/>
        </w:rPr>
        <w:t xml:space="preserve"> srdca</w:t>
      </w:r>
      <w:r>
        <w:rPr>
          <w:sz w:val="22"/>
          <w:szCs w:val="22"/>
        </w:rPr>
        <w:t xml:space="preserve"> bol liečebný účinok pre podskupinu štúdie COMPASS podobný ako v prípade celej populácie v štúdii (pozri časť CAD/PAD).</w:t>
      </w:r>
    </w:p>
    <w:p w14:paraId="7DD66F1B" w14:textId="77777777" w:rsidR="007E10C4" w:rsidRDefault="007E10C4" w:rsidP="00B20146">
      <w:pPr>
        <w:pStyle w:val="Default"/>
        <w:rPr>
          <w:sz w:val="22"/>
          <w:szCs w:val="22"/>
          <w:u w:val="single"/>
        </w:rPr>
      </w:pPr>
    </w:p>
    <w:p w14:paraId="2671635C" w14:textId="77777777" w:rsidR="007E10C4" w:rsidRPr="002944B9" w:rsidRDefault="007E10C4" w:rsidP="007E10C4">
      <w:pPr>
        <w:pStyle w:val="Default"/>
        <w:rPr>
          <w:sz w:val="22"/>
          <w:szCs w:val="22"/>
          <w:u w:val="single"/>
        </w:rPr>
      </w:pPr>
      <w:r w:rsidRPr="00E92E4B">
        <w:rPr>
          <w:sz w:val="22"/>
          <w:szCs w:val="22"/>
          <w:u w:val="single"/>
        </w:rPr>
        <w:t>Pacienti s vysokým rizikom trojito pozitívneho antifosfolipidového syndrómu</w:t>
      </w:r>
      <w:r w:rsidRPr="002944B9">
        <w:rPr>
          <w:sz w:val="22"/>
          <w:szCs w:val="22"/>
          <w:u w:val="single"/>
        </w:rPr>
        <w:t xml:space="preserve"> </w:t>
      </w:r>
    </w:p>
    <w:p w14:paraId="66FD8055" w14:textId="61E50266" w:rsidR="007E10C4" w:rsidRDefault="007E10C4" w:rsidP="007E10C4">
      <w:pPr>
        <w:pStyle w:val="Default"/>
        <w:rPr>
          <w:sz w:val="22"/>
          <w:szCs w:val="22"/>
          <w:u w:val="single"/>
        </w:rPr>
      </w:pPr>
      <w:r>
        <w:rPr>
          <w:sz w:val="22"/>
          <w:szCs w:val="22"/>
        </w:rPr>
        <w:t>V randomizovanej, otvorenej, multicentrickej klinickej štúdii sponzorovanej skúšajúcim so zaslepeným závere</w:t>
      </w:r>
      <w:r w:rsidR="001462B3">
        <w:rPr>
          <w:sz w:val="22"/>
          <w:szCs w:val="22"/>
        </w:rPr>
        <w:t>čným posudzovaním bol rivaroxabá</w:t>
      </w:r>
      <w:r>
        <w:rPr>
          <w:sz w:val="22"/>
          <w:szCs w:val="22"/>
        </w:rPr>
        <w:t>n porovnávaný s warfarínom u pacientov s trombózou v anamnéze, u ktorých je diagnostikovaný antifosfolipidový syndróm a ktorí majú vysoké riziko výskytu tromboembolických udalostí (pacienti pozitívni na všetky 3 antifosfolipidové testy: lupus</w:t>
      </w:r>
      <w:r w:rsidR="00980152">
        <w:rPr>
          <w:sz w:val="22"/>
          <w:szCs w:val="22"/>
        </w:rPr>
        <w:t xml:space="preserve"> </w:t>
      </w:r>
      <w:r>
        <w:rPr>
          <w:sz w:val="22"/>
          <w:szCs w:val="22"/>
        </w:rPr>
        <w:t xml:space="preserve">antikoagulans, antikardiolipínové protilátky a protilátky proti beta-2-glykoproteínu I). Skúšanie bolo predčasne ukončené po zaradení 120 pacientov z dôvodu nárastu udalostí u </w:t>
      </w:r>
      <w:r w:rsidR="001462B3">
        <w:rPr>
          <w:sz w:val="22"/>
          <w:szCs w:val="22"/>
        </w:rPr>
        <w:t>pacientov v skupine s rivaroxabá</w:t>
      </w:r>
      <w:r>
        <w:rPr>
          <w:sz w:val="22"/>
          <w:szCs w:val="22"/>
        </w:rPr>
        <w:t>nom. Priemerná dĺžka klinického skúšania bola 569 dní. Randomizovaných bolo 5</w:t>
      </w:r>
      <w:r w:rsidR="001462B3">
        <w:rPr>
          <w:sz w:val="22"/>
          <w:szCs w:val="22"/>
        </w:rPr>
        <w:t>9 pacientov na liečbu rivaroxabá</w:t>
      </w:r>
      <w:r>
        <w:rPr>
          <w:sz w:val="22"/>
          <w:szCs w:val="22"/>
        </w:rPr>
        <w:t>nom 20 mg (15 mg pre pacientov s klírensom kreatinínu (CrCl) &lt;50 ml/min) a 61 pacientov na liečbu warfarínom (INR 2,0-3,0). Tromboembolické udalosti sa vyskytli u 12 % pacientov rand</w:t>
      </w:r>
      <w:r w:rsidR="001462B3">
        <w:rPr>
          <w:sz w:val="22"/>
          <w:szCs w:val="22"/>
        </w:rPr>
        <w:t>omizovaných na liečbu rivaroxabá</w:t>
      </w:r>
      <w:r>
        <w:rPr>
          <w:sz w:val="22"/>
          <w:szCs w:val="22"/>
        </w:rPr>
        <w:t>nom (4 ischemické cievne mozgové príhody a 3 infarkty myokardu). U pacientov randomizovaných na liečbu warfarínom neboli hlásené žiadne udalosti. Silné krvácanie sa vyskytlo u 4 pacientov (7 %)</w:t>
      </w:r>
      <w:r w:rsidR="001462B3">
        <w:rPr>
          <w:sz w:val="22"/>
          <w:szCs w:val="22"/>
        </w:rPr>
        <w:t xml:space="preserve"> v skupine s rivaroxabá</w:t>
      </w:r>
      <w:r>
        <w:rPr>
          <w:sz w:val="22"/>
          <w:szCs w:val="22"/>
        </w:rPr>
        <w:t>nom a u 2 pacientov (3 %) v skupine s warfarínom.</w:t>
      </w:r>
    </w:p>
    <w:p w14:paraId="26313AC3" w14:textId="77777777" w:rsidR="007E10C4" w:rsidRDefault="007E10C4" w:rsidP="00B20146">
      <w:pPr>
        <w:pStyle w:val="Default"/>
        <w:rPr>
          <w:sz w:val="22"/>
          <w:szCs w:val="22"/>
          <w:u w:val="single"/>
        </w:rPr>
      </w:pPr>
    </w:p>
    <w:p w14:paraId="49A8044F" w14:textId="77777777" w:rsidR="000F4BD4" w:rsidRPr="005B3B88" w:rsidRDefault="000F4BD4" w:rsidP="00B20146">
      <w:pPr>
        <w:pStyle w:val="Default"/>
        <w:rPr>
          <w:sz w:val="22"/>
          <w:szCs w:val="22"/>
          <w:u w:val="single"/>
        </w:rPr>
      </w:pPr>
      <w:r w:rsidRPr="005B3B88">
        <w:rPr>
          <w:sz w:val="22"/>
          <w:szCs w:val="22"/>
          <w:u w:val="single"/>
        </w:rPr>
        <w:t xml:space="preserve">Pediatrická populácia </w:t>
      </w:r>
    </w:p>
    <w:p w14:paraId="4DBA30C0" w14:textId="2999FE3E"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odklad </w:t>
      </w:r>
      <w:r w:rsidR="005E74BF" w:rsidRPr="005B3B88">
        <w:rPr>
          <w:rFonts w:ascii="Times New Roman" w:hAnsi="Times New Roman" w:cs="Times New Roman"/>
        </w:rPr>
        <w:t xml:space="preserve">z </w:t>
      </w:r>
      <w:r w:rsidRPr="005B3B88">
        <w:rPr>
          <w:rFonts w:ascii="Times New Roman" w:hAnsi="Times New Roman" w:cs="Times New Roman"/>
        </w:rPr>
        <w:t xml:space="preserve">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 xml:space="preserve">s referenčným liekom obsahujúcim </w:t>
      </w:r>
      <w:r w:rsidR="000379AB" w:rsidRPr="005B3B88">
        <w:rPr>
          <w:rFonts w:ascii="Times New Roman" w:hAnsi="Times New Roman" w:cs="Times New Roman"/>
        </w:rPr>
        <w:t>rivaroxabán</w:t>
      </w:r>
      <w:r w:rsidRPr="005B3B88">
        <w:rPr>
          <w:rFonts w:ascii="Times New Roman" w:hAnsi="Times New Roman" w:cs="Times New Roman"/>
        </w:rPr>
        <w:t xml:space="preserve"> v jednej alebo viacerých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AB32EC">
        <w:rPr>
          <w:rFonts w:ascii="Times New Roman" w:hAnsi="Times New Roman" w:cs="Times New Roman"/>
        </w:rPr>
        <w:t>na</w:t>
      </w:r>
      <w:r w:rsidRPr="005B3B88">
        <w:rPr>
          <w:rFonts w:ascii="Times New Roman" w:hAnsi="Times New Roman" w:cs="Times New Roman"/>
        </w:rPr>
        <w:t xml:space="preserve"> </w:t>
      </w:r>
      <w:r w:rsidR="006943AB" w:rsidRPr="005B3B88">
        <w:rPr>
          <w:rFonts w:ascii="Times New Roman" w:hAnsi="Times New Roman" w:cs="Times New Roman"/>
        </w:rPr>
        <w:t>liečbu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p>
    <w:p w14:paraId="7AED1EB9" w14:textId="13BB4C52"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výnimku z 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s referenčným liekom obsahujúcim</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vo všetkých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AB32EC">
        <w:rPr>
          <w:rFonts w:ascii="Times New Roman" w:hAnsi="Times New Roman" w:cs="Times New Roman"/>
        </w:rPr>
        <w:t>na</w:t>
      </w:r>
      <w:r w:rsidRPr="005B3B88">
        <w:rPr>
          <w:rFonts w:ascii="Times New Roman" w:hAnsi="Times New Roman" w:cs="Times New Roman"/>
        </w:rPr>
        <w:t xml:space="preserve"> prevenci</w:t>
      </w:r>
      <w:r w:rsidR="006943AB" w:rsidRPr="005B3B88">
        <w:rPr>
          <w:rFonts w:ascii="Times New Roman" w:hAnsi="Times New Roman" w:cs="Times New Roman"/>
        </w:rPr>
        <w:t>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r w:rsidR="005E74BF" w:rsidRPr="005B3B88">
        <w:rPr>
          <w:rFonts w:ascii="Times New Roman" w:hAnsi="Times New Roman" w:cs="Times New Roman"/>
        </w:rPr>
        <w:t>informácie o použití v pediatrickej populácii</w:t>
      </w:r>
      <w:r w:rsidRPr="005B3B88">
        <w:rPr>
          <w:rFonts w:ascii="Times New Roman" w:hAnsi="Times New Roman" w:cs="Times New Roman"/>
        </w:rPr>
        <w:t>, pozri časť 4.2).</w:t>
      </w:r>
    </w:p>
    <w:p w14:paraId="75C08B67"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p>
    <w:p w14:paraId="76B0D358" w14:textId="77777777" w:rsidR="000F4BD4" w:rsidRPr="005B3B88" w:rsidRDefault="000F4BD4" w:rsidP="007C32C5">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5.2</w:t>
      </w:r>
      <w:r w:rsidR="007C32C5" w:rsidRPr="005B3B88">
        <w:rPr>
          <w:rFonts w:ascii="Times New Roman" w:hAnsi="Times New Roman" w:cs="Times New Roman"/>
          <w:b/>
          <w:bCs/>
        </w:rPr>
        <w:tab/>
      </w:r>
      <w:r w:rsidRPr="00A04A5C">
        <w:rPr>
          <w:rFonts w:ascii="Times New Roman" w:hAnsi="Times New Roman" w:cs="Times New Roman"/>
          <w:b/>
          <w:bCs/>
        </w:rPr>
        <w:t>Farmakokinetické vlastnosti</w:t>
      </w:r>
    </w:p>
    <w:p w14:paraId="78A8CA94" w14:textId="77777777" w:rsidR="000F4BD4" w:rsidRPr="005B3B88" w:rsidRDefault="000F4BD4" w:rsidP="00B20146">
      <w:pPr>
        <w:autoSpaceDE w:val="0"/>
        <w:autoSpaceDN w:val="0"/>
        <w:adjustRightInd w:val="0"/>
        <w:spacing w:after="0" w:line="240" w:lineRule="auto"/>
        <w:rPr>
          <w:b/>
          <w:bCs/>
        </w:rPr>
      </w:pPr>
    </w:p>
    <w:p w14:paraId="7E709A74" w14:textId="77777777" w:rsidR="000F4BD4" w:rsidRPr="005B3B88" w:rsidRDefault="000F4BD4" w:rsidP="00B20146">
      <w:pPr>
        <w:pStyle w:val="Default"/>
        <w:rPr>
          <w:sz w:val="22"/>
          <w:szCs w:val="22"/>
        </w:rPr>
      </w:pPr>
      <w:r w:rsidRPr="005B3B88">
        <w:rPr>
          <w:sz w:val="22"/>
          <w:szCs w:val="22"/>
          <w:u w:val="single"/>
        </w:rPr>
        <w:t>Absorpci</w:t>
      </w:r>
      <w:r w:rsidRPr="005B3B88">
        <w:rPr>
          <w:sz w:val="22"/>
          <w:szCs w:val="22"/>
        </w:rPr>
        <w:t xml:space="preserve">a </w:t>
      </w:r>
    </w:p>
    <w:p w14:paraId="40E25CBC" w14:textId="15EA073A"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absorbuje rýchlo s maximálnymi koncentráciami (C</w:t>
      </w:r>
      <w:r w:rsidR="000F4BD4" w:rsidRPr="005B3B88">
        <w:rPr>
          <w:sz w:val="14"/>
          <w:szCs w:val="14"/>
        </w:rPr>
        <w:t>max</w:t>
      </w:r>
      <w:r w:rsidR="000F4BD4" w:rsidRPr="005B3B88">
        <w:rPr>
          <w:sz w:val="22"/>
          <w:szCs w:val="22"/>
        </w:rPr>
        <w:t xml:space="preserve">) objavujúcimi sa 2-4 hodiny po užití tablety. </w:t>
      </w:r>
    </w:p>
    <w:p w14:paraId="470C773B" w14:textId="745034A7" w:rsidR="000F4BD4" w:rsidRPr="005B3B88" w:rsidRDefault="000F4BD4" w:rsidP="00B20146">
      <w:pPr>
        <w:pStyle w:val="Default"/>
        <w:rPr>
          <w:sz w:val="22"/>
          <w:szCs w:val="22"/>
        </w:rPr>
      </w:pPr>
      <w:r w:rsidRPr="005B3B88">
        <w:rPr>
          <w:sz w:val="22"/>
          <w:szCs w:val="22"/>
        </w:rPr>
        <w:t xml:space="preserve">Perorálna absorpcia </w:t>
      </w:r>
      <w:r w:rsidR="000379AB" w:rsidRPr="005B3B88">
        <w:rPr>
          <w:sz w:val="22"/>
          <w:szCs w:val="22"/>
        </w:rPr>
        <w:t>rivaroxabán</w:t>
      </w:r>
      <w:r w:rsidRPr="005B3B88">
        <w:rPr>
          <w:sz w:val="22"/>
          <w:szCs w:val="22"/>
        </w:rPr>
        <w:t>u je takmer úplná a perorálna biologická dostupnosť pri dávke 2,5 mg a 10 mg tablety je vysoká (80-100 %) bez ohľadu na stav nalačno/</w:t>
      </w:r>
      <w:r w:rsidR="00D519CA" w:rsidRPr="005B3B88">
        <w:rPr>
          <w:sz w:val="22"/>
          <w:szCs w:val="22"/>
        </w:rPr>
        <w:t>po jedle</w:t>
      </w:r>
      <w:r w:rsidRPr="005B3B88">
        <w:rPr>
          <w:sz w:val="22"/>
          <w:szCs w:val="22"/>
        </w:rPr>
        <w:t xml:space="preserve">. Pri </w:t>
      </w:r>
      <w:r w:rsidR="004F1439">
        <w:rPr>
          <w:sz w:val="22"/>
          <w:szCs w:val="22"/>
        </w:rPr>
        <w:t xml:space="preserve">dávkach </w:t>
      </w:r>
      <w:r w:rsidRPr="005B3B88">
        <w:rPr>
          <w:sz w:val="22"/>
          <w:szCs w:val="22"/>
        </w:rPr>
        <w:t>2,5 mg a 10 mg  užitie s jedlom neovplyvňuje AUC alebo C</w:t>
      </w:r>
      <w:r w:rsidRPr="005B3B88">
        <w:rPr>
          <w:sz w:val="14"/>
          <w:szCs w:val="14"/>
        </w:rPr>
        <w:t xml:space="preserve">max </w:t>
      </w:r>
      <w:r w:rsidR="000379AB" w:rsidRPr="005B3B88">
        <w:rPr>
          <w:sz w:val="22"/>
          <w:szCs w:val="22"/>
        </w:rPr>
        <w:t>rivaroxabán</w:t>
      </w:r>
      <w:r w:rsidRPr="005B3B88">
        <w:rPr>
          <w:sz w:val="22"/>
          <w:szCs w:val="22"/>
        </w:rPr>
        <w:t>u.</w:t>
      </w:r>
      <w:r w:rsidR="00A04A5C">
        <w:rPr>
          <w:sz w:val="22"/>
          <w:szCs w:val="22"/>
        </w:rPr>
        <w:t xml:space="preserve"> </w:t>
      </w:r>
      <w:r w:rsidR="004F1439">
        <w:rPr>
          <w:sz w:val="22"/>
          <w:szCs w:val="22"/>
        </w:rPr>
        <w:t>Tablety s r</w:t>
      </w:r>
      <w:r w:rsidR="001462B3">
        <w:rPr>
          <w:sz w:val="22"/>
          <w:szCs w:val="22"/>
        </w:rPr>
        <w:t>ivaroxabá</w:t>
      </w:r>
      <w:r w:rsidR="00A04A5C" w:rsidRPr="00A04A5C">
        <w:rPr>
          <w:sz w:val="22"/>
          <w:szCs w:val="22"/>
        </w:rPr>
        <w:t>n</w:t>
      </w:r>
      <w:r w:rsidR="004F1439">
        <w:rPr>
          <w:sz w:val="22"/>
          <w:szCs w:val="22"/>
        </w:rPr>
        <w:t xml:space="preserve">om </w:t>
      </w:r>
      <w:r w:rsidR="00A04A5C" w:rsidRPr="00A04A5C">
        <w:rPr>
          <w:sz w:val="22"/>
          <w:szCs w:val="22"/>
        </w:rPr>
        <w:t xml:space="preserve"> </w:t>
      </w:r>
      <w:r w:rsidR="004F1439">
        <w:rPr>
          <w:sz w:val="22"/>
          <w:szCs w:val="22"/>
        </w:rPr>
        <w:t xml:space="preserve">v dávkach </w:t>
      </w:r>
      <w:r w:rsidR="00A04A5C" w:rsidRPr="00A04A5C">
        <w:rPr>
          <w:sz w:val="22"/>
          <w:szCs w:val="22"/>
        </w:rPr>
        <w:t>2,5 mg a 10 mg sa môžu užívať s jedlom alebo bez jedla.</w:t>
      </w:r>
    </w:p>
    <w:p w14:paraId="4446F198" w14:textId="77777777" w:rsidR="00A04A5C" w:rsidRDefault="001462B3" w:rsidP="00B20146">
      <w:pPr>
        <w:pStyle w:val="Default"/>
        <w:rPr>
          <w:sz w:val="22"/>
          <w:szCs w:val="22"/>
        </w:rPr>
      </w:pPr>
      <w:r>
        <w:rPr>
          <w:sz w:val="22"/>
          <w:szCs w:val="22"/>
        </w:rPr>
        <w:t>Farmakokinetika rivaroxabá</w:t>
      </w:r>
      <w:r w:rsidR="00A04A5C" w:rsidRPr="00A04A5C">
        <w:rPr>
          <w:sz w:val="22"/>
          <w:szCs w:val="22"/>
        </w:rPr>
        <w:t>nu je približne lineárna až do približne 15 mg jedenkrát denne.</w:t>
      </w:r>
    </w:p>
    <w:p w14:paraId="70AF21EB" w14:textId="2EC88ED4" w:rsidR="000F4BD4" w:rsidRPr="005B3B88" w:rsidRDefault="001462B3" w:rsidP="00B20146">
      <w:pPr>
        <w:pStyle w:val="Default"/>
        <w:rPr>
          <w:sz w:val="22"/>
          <w:szCs w:val="22"/>
        </w:rPr>
      </w:pPr>
      <w:r>
        <w:rPr>
          <w:sz w:val="22"/>
          <w:szCs w:val="22"/>
        </w:rPr>
        <w:t>Pri vyšších dávkach rivaroxabá</w:t>
      </w:r>
      <w:r w:rsidR="00A04A5C" w:rsidRPr="00A04A5C">
        <w:rPr>
          <w:sz w:val="22"/>
          <w:szCs w:val="22"/>
        </w:rPr>
        <w:t xml:space="preserve">n vykazuje absorpciu </w:t>
      </w:r>
      <w:r w:rsidR="004F1439">
        <w:rPr>
          <w:sz w:val="22"/>
          <w:szCs w:val="22"/>
        </w:rPr>
        <w:t>limitovanú</w:t>
      </w:r>
      <w:r w:rsidR="00A04A5C" w:rsidRPr="00A04A5C">
        <w:rPr>
          <w:sz w:val="22"/>
          <w:szCs w:val="22"/>
        </w:rPr>
        <w:t xml:space="preserve"> rozpúšťan</w:t>
      </w:r>
      <w:r w:rsidR="004F1439">
        <w:rPr>
          <w:sz w:val="22"/>
          <w:szCs w:val="22"/>
        </w:rPr>
        <w:t>ím</w:t>
      </w:r>
      <w:r w:rsidR="00A04A5C" w:rsidRPr="00A04A5C">
        <w:rPr>
          <w:sz w:val="22"/>
          <w:szCs w:val="22"/>
        </w:rPr>
        <w:t xml:space="preserve"> so zníženou biologickou dostupnosťou a zníženú rýchlosť absorpcie so zv</w:t>
      </w:r>
      <w:r w:rsidR="004F1439">
        <w:rPr>
          <w:sz w:val="22"/>
          <w:szCs w:val="22"/>
        </w:rPr>
        <w:t>y</w:t>
      </w:r>
      <w:r w:rsidR="00A04A5C" w:rsidRPr="00A04A5C">
        <w:rPr>
          <w:sz w:val="22"/>
          <w:szCs w:val="22"/>
        </w:rPr>
        <w:t>š</w:t>
      </w:r>
      <w:r w:rsidR="004F1439">
        <w:rPr>
          <w:sz w:val="22"/>
          <w:szCs w:val="22"/>
        </w:rPr>
        <w:t>ujúcou sa</w:t>
      </w:r>
      <w:r w:rsidR="00A04A5C" w:rsidRPr="00A04A5C">
        <w:rPr>
          <w:sz w:val="22"/>
          <w:szCs w:val="22"/>
        </w:rPr>
        <w:t xml:space="preserve"> dávkou.</w:t>
      </w:r>
      <w:r w:rsidR="00A04A5C">
        <w:rPr>
          <w:sz w:val="22"/>
          <w:szCs w:val="22"/>
        </w:rPr>
        <w:t xml:space="preserve"> </w:t>
      </w:r>
      <w:r w:rsidR="00A04A5C" w:rsidRPr="00A04A5C">
        <w:rPr>
          <w:sz w:val="22"/>
          <w:szCs w:val="22"/>
        </w:rPr>
        <w:t xml:space="preserve">Toto je výraznejšie v stave </w:t>
      </w:r>
      <w:r w:rsidR="004F1439">
        <w:rPr>
          <w:sz w:val="22"/>
          <w:szCs w:val="22"/>
        </w:rPr>
        <w:t>nalačno</w:t>
      </w:r>
      <w:r w:rsidR="00A04A5C" w:rsidRPr="00A04A5C">
        <w:rPr>
          <w:sz w:val="22"/>
          <w:szCs w:val="22"/>
        </w:rPr>
        <w:t xml:space="preserve"> ako v stave nasýtenia.</w:t>
      </w:r>
      <w:r w:rsidR="00A04A5C">
        <w:rPr>
          <w:sz w:val="22"/>
          <w:szCs w:val="22"/>
        </w:rPr>
        <w:t xml:space="preserve"> </w:t>
      </w:r>
      <w:r w:rsidR="000F4BD4" w:rsidRPr="005B3B88">
        <w:rPr>
          <w:sz w:val="22"/>
          <w:szCs w:val="22"/>
        </w:rPr>
        <w:t xml:space="preserve">Variabilita farmakokinetiky </w:t>
      </w:r>
      <w:r w:rsidR="000379AB" w:rsidRPr="005B3B88">
        <w:rPr>
          <w:sz w:val="22"/>
          <w:szCs w:val="22"/>
        </w:rPr>
        <w:t>rivaroxabán</w:t>
      </w:r>
      <w:r w:rsidR="000F4BD4" w:rsidRPr="005B3B88">
        <w:rPr>
          <w:sz w:val="22"/>
          <w:szCs w:val="22"/>
        </w:rPr>
        <w:t>u je stredn</w:t>
      </w:r>
      <w:r w:rsidR="004F1439">
        <w:rPr>
          <w:sz w:val="22"/>
          <w:szCs w:val="22"/>
        </w:rPr>
        <w:t>ého rozsahu</w:t>
      </w:r>
      <w:r w:rsidR="000F4BD4" w:rsidRPr="005B3B88">
        <w:rPr>
          <w:sz w:val="22"/>
          <w:szCs w:val="22"/>
        </w:rPr>
        <w:t xml:space="preserve"> s interindividuálnou variabilitou (CV %) </w:t>
      </w:r>
      <w:r w:rsidR="00D519CA" w:rsidRPr="005B3B88">
        <w:rPr>
          <w:sz w:val="22"/>
          <w:szCs w:val="22"/>
        </w:rPr>
        <w:t>v rozmedzí</w:t>
      </w:r>
      <w:r w:rsidR="000F4BD4" w:rsidRPr="005B3B88">
        <w:rPr>
          <w:sz w:val="22"/>
          <w:szCs w:val="22"/>
        </w:rPr>
        <w:t xml:space="preserve"> od 30 % do 40 %. </w:t>
      </w:r>
    </w:p>
    <w:p w14:paraId="09B51C13" w14:textId="4DF3BF64" w:rsidR="000F4BD4" w:rsidRPr="005B3B88" w:rsidRDefault="000F4BD4" w:rsidP="00B20146">
      <w:pPr>
        <w:pStyle w:val="Default"/>
        <w:rPr>
          <w:sz w:val="22"/>
          <w:szCs w:val="22"/>
        </w:rPr>
      </w:pPr>
      <w:r w:rsidRPr="005B3B88">
        <w:rPr>
          <w:sz w:val="22"/>
          <w:szCs w:val="22"/>
        </w:rPr>
        <w:t xml:space="preserve">Absorpcia </w:t>
      </w:r>
      <w:r w:rsidR="000379AB" w:rsidRPr="005B3B88">
        <w:rPr>
          <w:sz w:val="22"/>
          <w:szCs w:val="22"/>
        </w:rPr>
        <w:t>rivaroxabán</w:t>
      </w:r>
      <w:r w:rsidRPr="005B3B88">
        <w:rPr>
          <w:sz w:val="22"/>
          <w:szCs w:val="22"/>
        </w:rPr>
        <w:t>u závisí od miesta jeho uvo</w:t>
      </w:r>
      <w:r w:rsidR="00A1318B" w:rsidRPr="005B3B88">
        <w:rPr>
          <w:sz w:val="22"/>
          <w:szCs w:val="22"/>
        </w:rPr>
        <w:t>ľ</w:t>
      </w:r>
      <w:r w:rsidRPr="005B3B88">
        <w:rPr>
          <w:sz w:val="22"/>
          <w:szCs w:val="22"/>
        </w:rPr>
        <w:t xml:space="preserve">nenia v gastrointestinálnom trakte. Keď sa granulát </w:t>
      </w:r>
      <w:r w:rsidR="004F1439">
        <w:rPr>
          <w:sz w:val="22"/>
          <w:szCs w:val="22"/>
        </w:rPr>
        <w:t xml:space="preserve">s obsahom </w:t>
      </w:r>
      <w:r w:rsidR="000379AB" w:rsidRPr="005B3B88">
        <w:rPr>
          <w:sz w:val="22"/>
          <w:szCs w:val="22"/>
        </w:rPr>
        <w:t>rivaroxabán</w:t>
      </w:r>
      <w:r w:rsidR="00A1318B" w:rsidRPr="005B3B88">
        <w:rPr>
          <w:sz w:val="22"/>
          <w:szCs w:val="22"/>
        </w:rPr>
        <w:t>u</w:t>
      </w:r>
      <w:r w:rsidRPr="005B3B88">
        <w:rPr>
          <w:sz w:val="22"/>
          <w:szCs w:val="22"/>
        </w:rPr>
        <w:t xml:space="preserve"> </w:t>
      </w:r>
      <w:r w:rsidR="00A1318B" w:rsidRPr="005B3B88">
        <w:rPr>
          <w:sz w:val="22"/>
          <w:szCs w:val="22"/>
        </w:rPr>
        <w:t>uvoľňoval</w:t>
      </w:r>
      <w:r w:rsidRPr="005B3B88">
        <w:rPr>
          <w:sz w:val="22"/>
          <w:szCs w:val="22"/>
        </w:rPr>
        <w:t xml:space="preserve"> v proximálnej časti tenkého čreva, bol pozorovaný 29</w:t>
      </w:r>
      <w:r w:rsidR="00A1318B" w:rsidRPr="005B3B88">
        <w:rPr>
          <w:sz w:val="22"/>
          <w:szCs w:val="22"/>
        </w:rPr>
        <w:t> </w:t>
      </w:r>
      <w:r w:rsidRPr="005B3B88">
        <w:rPr>
          <w:sz w:val="22"/>
          <w:szCs w:val="22"/>
        </w:rPr>
        <w:t>% pokles AUC a</w:t>
      </w:r>
      <w:r w:rsidR="00A1318B" w:rsidRPr="005B3B88">
        <w:rPr>
          <w:sz w:val="22"/>
          <w:szCs w:val="22"/>
        </w:rPr>
        <w:t> </w:t>
      </w:r>
      <w:r w:rsidRPr="005B3B88">
        <w:rPr>
          <w:sz w:val="22"/>
          <w:szCs w:val="22"/>
        </w:rPr>
        <w:t>56</w:t>
      </w:r>
      <w:r w:rsidR="00A1318B" w:rsidRPr="005B3B88">
        <w:rPr>
          <w:sz w:val="22"/>
          <w:szCs w:val="22"/>
        </w:rPr>
        <w:t> </w:t>
      </w:r>
      <w:r w:rsidRPr="005B3B88">
        <w:rPr>
          <w:sz w:val="22"/>
          <w:szCs w:val="22"/>
        </w:rPr>
        <w:t>% pokles C</w:t>
      </w:r>
      <w:r w:rsidRPr="005B3B88">
        <w:rPr>
          <w:sz w:val="14"/>
          <w:szCs w:val="14"/>
        </w:rPr>
        <w:t xml:space="preserve">max </w:t>
      </w:r>
      <w:r w:rsidRPr="005B3B88">
        <w:rPr>
          <w:sz w:val="22"/>
          <w:szCs w:val="22"/>
        </w:rPr>
        <w:t xml:space="preserve">v porovnaní s hodnotami </w:t>
      </w:r>
      <w:r w:rsidR="004F1439">
        <w:rPr>
          <w:sz w:val="22"/>
          <w:szCs w:val="22"/>
        </w:rPr>
        <w:t>pri</w:t>
      </w:r>
      <w:r w:rsidRPr="005B3B88">
        <w:rPr>
          <w:sz w:val="22"/>
          <w:szCs w:val="22"/>
        </w:rPr>
        <w:t xml:space="preserve"> tabl</w:t>
      </w:r>
      <w:r w:rsidR="004F1439">
        <w:rPr>
          <w:sz w:val="22"/>
          <w:szCs w:val="22"/>
        </w:rPr>
        <w:t>etách</w:t>
      </w:r>
      <w:r w:rsidRPr="005B3B88">
        <w:rPr>
          <w:sz w:val="22"/>
          <w:szCs w:val="22"/>
        </w:rPr>
        <w:t xml:space="preserve">. Expozícia sa ďalej zníži, keď sa </w:t>
      </w:r>
      <w:r w:rsidR="000379AB" w:rsidRPr="005B3B88">
        <w:rPr>
          <w:sz w:val="22"/>
          <w:szCs w:val="22"/>
        </w:rPr>
        <w:t>rivaroxabán</w:t>
      </w:r>
      <w:r w:rsidRPr="005B3B88">
        <w:rPr>
          <w:sz w:val="22"/>
          <w:szCs w:val="22"/>
        </w:rPr>
        <w:t xml:space="preserve"> </w:t>
      </w:r>
      <w:r w:rsidR="00A1318B" w:rsidRPr="005B3B88">
        <w:rPr>
          <w:sz w:val="22"/>
          <w:szCs w:val="22"/>
        </w:rPr>
        <w:t>uvoľní</w:t>
      </w:r>
      <w:r w:rsidRPr="005B3B88">
        <w:rPr>
          <w:sz w:val="22"/>
          <w:szCs w:val="22"/>
        </w:rPr>
        <w:t xml:space="preserve"> v distálnej časti tenkého čreva alebo vo vzostupn</w:t>
      </w:r>
      <w:r w:rsidR="00A1318B" w:rsidRPr="005B3B88">
        <w:rPr>
          <w:sz w:val="22"/>
          <w:szCs w:val="22"/>
        </w:rPr>
        <w:t>ej časti hrubého čreva</w:t>
      </w:r>
      <w:r w:rsidRPr="005B3B88">
        <w:rPr>
          <w:sz w:val="22"/>
          <w:szCs w:val="22"/>
        </w:rPr>
        <w:t xml:space="preserve">. Preto </w:t>
      </w:r>
      <w:r w:rsidR="00AB20B1">
        <w:rPr>
          <w:sz w:val="22"/>
          <w:szCs w:val="22"/>
        </w:rPr>
        <w:t>je potrebné vyhnúť sa</w:t>
      </w:r>
      <w:r w:rsidR="000D4678">
        <w:rPr>
          <w:sz w:val="22"/>
          <w:szCs w:val="22"/>
        </w:rPr>
        <w:t xml:space="preserve"> </w:t>
      </w:r>
      <w:r w:rsidRPr="005B3B88">
        <w:rPr>
          <w:sz w:val="22"/>
          <w:szCs w:val="22"/>
        </w:rPr>
        <w:t>tomu</w:t>
      </w:r>
      <w:r w:rsidR="004F1439">
        <w:rPr>
          <w:sz w:val="22"/>
          <w:szCs w:val="22"/>
        </w:rPr>
        <w:t>,</w:t>
      </w:r>
      <w:r w:rsidRPr="005B3B88">
        <w:rPr>
          <w:sz w:val="22"/>
          <w:szCs w:val="22"/>
        </w:rPr>
        <w:t xml:space="preserve"> aby sa </w:t>
      </w:r>
      <w:r w:rsidR="000379AB" w:rsidRPr="005B3B88">
        <w:rPr>
          <w:sz w:val="22"/>
          <w:szCs w:val="22"/>
        </w:rPr>
        <w:t>rivaroxabán</w:t>
      </w:r>
      <w:r w:rsidRPr="005B3B88">
        <w:rPr>
          <w:sz w:val="22"/>
          <w:szCs w:val="22"/>
        </w:rPr>
        <w:t xml:space="preserve"> </w:t>
      </w:r>
      <w:r w:rsidR="00A1318B" w:rsidRPr="005B3B88">
        <w:rPr>
          <w:sz w:val="22"/>
          <w:szCs w:val="22"/>
        </w:rPr>
        <w:t>uvoľňoval</w:t>
      </w:r>
      <w:r w:rsidRPr="005B3B88">
        <w:rPr>
          <w:sz w:val="22"/>
          <w:szCs w:val="22"/>
        </w:rPr>
        <w:t xml:space="preserve"> distálne od žalúdka, </w:t>
      </w:r>
      <w:r w:rsidR="00A1318B" w:rsidRPr="005B3B88">
        <w:rPr>
          <w:sz w:val="22"/>
          <w:szCs w:val="22"/>
        </w:rPr>
        <w:t>keďže</w:t>
      </w:r>
      <w:r w:rsidRPr="005B3B88">
        <w:rPr>
          <w:sz w:val="22"/>
          <w:szCs w:val="22"/>
        </w:rPr>
        <w:t xml:space="preserve"> to môže viesť k zníženiu absorpcie a s tým súvisiacemu zníženiu expozície </w:t>
      </w:r>
      <w:r w:rsidR="000379AB" w:rsidRPr="005B3B88">
        <w:rPr>
          <w:sz w:val="22"/>
          <w:szCs w:val="22"/>
        </w:rPr>
        <w:t>rivaroxabán</w:t>
      </w:r>
      <w:r w:rsidRPr="005B3B88">
        <w:rPr>
          <w:sz w:val="22"/>
          <w:szCs w:val="22"/>
        </w:rPr>
        <w:t xml:space="preserve">u. </w:t>
      </w:r>
    </w:p>
    <w:p w14:paraId="0402C75E" w14:textId="6E7E6830"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Porovnávala sa biologická dostupnosť (AUC a C</w:t>
      </w:r>
      <w:r w:rsidRPr="005B3B88">
        <w:rPr>
          <w:rFonts w:ascii="Times New Roman" w:hAnsi="Times New Roman" w:cs="Times New Roman"/>
          <w:sz w:val="14"/>
          <w:szCs w:val="14"/>
        </w:rPr>
        <w:t>max</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u</w:t>
      </w:r>
      <w:r w:rsidR="004F1439">
        <w:rPr>
          <w:rFonts w:ascii="Times New Roman" w:hAnsi="Times New Roman" w:cs="Times New Roman"/>
        </w:rPr>
        <w:t xml:space="preserve"> v dávke 20 mg</w:t>
      </w:r>
      <w:r w:rsidRPr="005B3B88">
        <w:rPr>
          <w:rFonts w:ascii="Times New Roman" w:hAnsi="Times New Roman" w:cs="Times New Roman"/>
        </w:rPr>
        <w:t xml:space="preserve"> podaného perorálne, </w:t>
      </w:r>
      <w:r w:rsidR="004F1439">
        <w:rPr>
          <w:rFonts w:ascii="Times New Roman" w:hAnsi="Times New Roman" w:cs="Times New Roman"/>
        </w:rPr>
        <w:t>vo forme</w:t>
      </w:r>
      <w:r w:rsidRPr="005B3B88">
        <w:rPr>
          <w:rFonts w:ascii="Times New Roman" w:hAnsi="Times New Roman" w:cs="Times New Roman"/>
        </w:rPr>
        <w:t xml:space="preserve"> podrven</w:t>
      </w:r>
      <w:r w:rsidR="004F1439">
        <w:rPr>
          <w:rFonts w:ascii="Times New Roman" w:hAnsi="Times New Roman" w:cs="Times New Roman"/>
        </w:rPr>
        <w:t>ých</w:t>
      </w:r>
      <w:r w:rsidRPr="005B3B88">
        <w:rPr>
          <w:rFonts w:ascii="Times New Roman" w:hAnsi="Times New Roman" w:cs="Times New Roman"/>
        </w:rPr>
        <w:t xml:space="preserve"> tabl</w:t>
      </w:r>
      <w:r w:rsidR="004F1439">
        <w:rPr>
          <w:rFonts w:ascii="Times New Roman" w:hAnsi="Times New Roman" w:cs="Times New Roman"/>
        </w:rPr>
        <w:t>iet</w:t>
      </w:r>
      <w:r w:rsidRPr="005B3B88">
        <w:rPr>
          <w:rFonts w:ascii="Times New Roman" w:hAnsi="Times New Roman" w:cs="Times New Roman"/>
        </w:rPr>
        <w:t xml:space="preserve"> rozmiešan</w:t>
      </w:r>
      <w:r w:rsidR="00F85148">
        <w:rPr>
          <w:rFonts w:ascii="Times New Roman" w:hAnsi="Times New Roman" w:cs="Times New Roman"/>
        </w:rPr>
        <w:t>ých</w:t>
      </w:r>
      <w:r w:rsidRPr="005B3B88">
        <w:rPr>
          <w:rFonts w:ascii="Times New Roman" w:hAnsi="Times New Roman" w:cs="Times New Roman"/>
        </w:rPr>
        <w:t xml:space="preserve"> v jabl</w:t>
      </w:r>
      <w:r w:rsidR="004F1439">
        <w:rPr>
          <w:rFonts w:ascii="Times New Roman" w:hAnsi="Times New Roman" w:cs="Times New Roman"/>
        </w:rPr>
        <w:t>kovom</w:t>
      </w:r>
      <w:r w:rsidRPr="005B3B88">
        <w:rPr>
          <w:rFonts w:ascii="Times New Roman" w:hAnsi="Times New Roman" w:cs="Times New Roman"/>
        </w:rPr>
        <w:t xml:space="preserve"> pyré alebo </w:t>
      </w:r>
      <w:r w:rsidR="00A1318B" w:rsidRPr="005B3B88">
        <w:rPr>
          <w:rFonts w:ascii="Times New Roman" w:hAnsi="Times New Roman" w:cs="Times New Roman"/>
        </w:rPr>
        <w:t>ako suspenzia</w:t>
      </w:r>
      <w:r w:rsidRPr="005B3B88">
        <w:rPr>
          <w:rFonts w:ascii="Times New Roman" w:hAnsi="Times New Roman" w:cs="Times New Roman"/>
        </w:rPr>
        <w:t xml:space="preserve"> vo vode podávan</w:t>
      </w:r>
      <w:r w:rsidR="00A1318B" w:rsidRPr="005B3B88">
        <w:rPr>
          <w:rFonts w:ascii="Times New Roman" w:hAnsi="Times New Roman" w:cs="Times New Roman"/>
        </w:rPr>
        <w:t>á</w:t>
      </w:r>
      <w:r w:rsidRPr="005B3B88">
        <w:rPr>
          <w:rFonts w:ascii="Times New Roman" w:hAnsi="Times New Roman" w:cs="Times New Roman"/>
        </w:rPr>
        <w:t xml:space="preserve"> pomocou žalúdočnej sondy, následne </w:t>
      </w:r>
      <w:r w:rsidR="004F1439">
        <w:rPr>
          <w:rFonts w:ascii="Times New Roman" w:hAnsi="Times New Roman" w:cs="Times New Roman"/>
        </w:rPr>
        <w:t xml:space="preserve">s </w:t>
      </w:r>
      <w:r w:rsidRPr="005B3B88">
        <w:rPr>
          <w:rFonts w:ascii="Times New Roman" w:hAnsi="Times New Roman" w:cs="Times New Roman"/>
        </w:rPr>
        <w:t>podan</w:t>
      </w:r>
      <w:r w:rsidR="004F1439">
        <w:rPr>
          <w:rFonts w:ascii="Times New Roman" w:hAnsi="Times New Roman" w:cs="Times New Roman"/>
        </w:rPr>
        <w:t>ím</w:t>
      </w:r>
      <w:r w:rsidRPr="005B3B88">
        <w:rPr>
          <w:rFonts w:ascii="Times New Roman" w:hAnsi="Times New Roman" w:cs="Times New Roman"/>
        </w:rPr>
        <w:t xml:space="preserve"> tekut</w:t>
      </w:r>
      <w:r w:rsidR="004F1439">
        <w:rPr>
          <w:rFonts w:ascii="Times New Roman" w:hAnsi="Times New Roman" w:cs="Times New Roman"/>
        </w:rPr>
        <w:t>ého</w:t>
      </w:r>
      <w:r w:rsidRPr="005B3B88">
        <w:rPr>
          <w:rFonts w:ascii="Times New Roman" w:hAnsi="Times New Roman" w:cs="Times New Roman"/>
        </w:rPr>
        <w:t xml:space="preserve"> jedl</w:t>
      </w:r>
      <w:r w:rsidR="004F1439">
        <w:rPr>
          <w:rFonts w:ascii="Times New Roman" w:hAnsi="Times New Roman" w:cs="Times New Roman"/>
        </w:rPr>
        <w:t>a</w:t>
      </w:r>
      <w:r w:rsidRPr="005B3B88">
        <w:rPr>
          <w:rFonts w:ascii="Times New Roman" w:hAnsi="Times New Roman" w:cs="Times New Roman"/>
        </w:rPr>
        <w:t xml:space="preserve"> v porovnaní s podaním celej tablety. Podľa predpokladu, na základe farmakokinetického profilu </w:t>
      </w:r>
      <w:r w:rsidR="000379AB" w:rsidRPr="005B3B88">
        <w:rPr>
          <w:rFonts w:ascii="Times New Roman" w:hAnsi="Times New Roman" w:cs="Times New Roman"/>
        </w:rPr>
        <w:t>rivaroxabán</w:t>
      </w:r>
      <w:r w:rsidRPr="005B3B88">
        <w:rPr>
          <w:rFonts w:ascii="Times New Roman" w:hAnsi="Times New Roman" w:cs="Times New Roman"/>
        </w:rPr>
        <w:t xml:space="preserve">u </w:t>
      </w:r>
      <w:r w:rsidR="00A1318B" w:rsidRPr="005B3B88">
        <w:rPr>
          <w:rFonts w:ascii="Times New Roman" w:hAnsi="Times New Roman" w:cs="Times New Roman"/>
        </w:rPr>
        <w:t>závislého</w:t>
      </w:r>
      <w:r w:rsidRPr="005B3B88">
        <w:rPr>
          <w:rFonts w:ascii="Times New Roman" w:hAnsi="Times New Roman" w:cs="Times New Roman"/>
        </w:rPr>
        <w:t xml:space="preserve"> od dávky, sa pravdepodobne výsledky tejto štúdie biologickej dostupnosti dajú aplikovať </w:t>
      </w:r>
      <w:r w:rsidR="004F1439">
        <w:rPr>
          <w:rFonts w:ascii="Times New Roman" w:hAnsi="Times New Roman" w:cs="Times New Roman"/>
        </w:rPr>
        <w:t xml:space="preserve">aj </w:t>
      </w:r>
      <w:r w:rsidRPr="005B3B88">
        <w:rPr>
          <w:rFonts w:ascii="Times New Roman" w:hAnsi="Times New Roman" w:cs="Times New Roman"/>
        </w:rPr>
        <w:t>p</w:t>
      </w:r>
      <w:r w:rsidR="004F1439">
        <w:rPr>
          <w:rFonts w:ascii="Times New Roman" w:hAnsi="Times New Roman" w:cs="Times New Roman"/>
        </w:rPr>
        <w:t>re</w:t>
      </w:r>
      <w:r w:rsidRPr="005B3B88">
        <w:rPr>
          <w:rFonts w:ascii="Times New Roman" w:hAnsi="Times New Roman" w:cs="Times New Roman"/>
        </w:rPr>
        <w:t xml:space="preserve"> nižš</w:t>
      </w:r>
      <w:r w:rsidR="004F1439">
        <w:rPr>
          <w:rFonts w:ascii="Times New Roman" w:hAnsi="Times New Roman" w:cs="Times New Roman"/>
        </w:rPr>
        <w:t>ie</w:t>
      </w:r>
      <w:r w:rsidRPr="005B3B88">
        <w:rPr>
          <w:rFonts w:ascii="Times New Roman" w:hAnsi="Times New Roman" w:cs="Times New Roman"/>
        </w:rPr>
        <w:t xml:space="preserve"> dávk</w:t>
      </w:r>
      <w:r w:rsidR="004F1439">
        <w:rPr>
          <w:rFonts w:ascii="Times New Roman" w:hAnsi="Times New Roman" w:cs="Times New Roman"/>
        </w:rPr>
        <w:t>y</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u.</w:t>
      </w:r>
    </w:p>
    <w:p w14:paraId="79A7190B"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p>
    <w:p w14:paraId="1A78A82B" w14:textId="77777777" w:rsidR="000F4BD4" w:rsidRPr="005B3B88" w:rsidRDefault="000F4BD4" w:rsidP="00B20146">
      <w:pPr>
        <w:pStyle w:val="Default"/>
        <w:rPr>
          <w:sz w:val="22"/>
          <w:szCs w:val="22"/>
          <w:u w:val="single"/>
        </w:rPr>
      </w:pPr>
      <w:r w:rsidRPr="005B3B88">
        <w:rPr>
          <w:sz w:val="22"/>
          <w:szCs w:val="22"/>
          <w:u w:val="single"/>
        </w:rPr>
        <w:t xml:space="preserve">Distribúcia </w:t>
      </w:r>
    </w:p>
    <w:p w14:paraId="21D84620" w14:textId="77777777"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sidRPr="005B3B88">
        <w:rPr>
          <w:rFonts w:ascii="Times New Roman" w:hAnsi="Times New Roman" w:cs="Times New Roman"/>
          <w:sz w:val="14"/>
          <w:szCs w:val="14"/>
        </w:rPr>
        <w:t xml:space="preserve">ss </w:t>
      </w:r>
      <w:r w:rsidRPr="005B3B88">
        <w:rPr>
          <w:rFonts w:ascii="Times New Roman" w:hAnsi="Times New Roman" w:cs="Times New Roman"/>
        </w:rPr>
        <w:t>približne 50 litrov.</w:t>
      </w:r>
    </w:p>
    <w:p w14:paraId="0106FE90" w14:textId="77777777" w:rsidR="007B553B" w:rsidRPr="005B3B88" w:rsidRDefault="007B553B" w:rsidP="00B20146">
      <w:pPr>
        <w:pStyle w:val="Default"/>
        <w:tabs>
          <w:tab w:val="left" w:pos="6096"/>
        </w:tabs>
        <w:rPr>
          <w:sz w:val="22"/>
          <w:szCs w:val="22"/>
        </w:rPr>
      </w:pPr>
    </w:p>
    <w:p w14:paraId="046091FD" w14:textId="77777777" w:rsidR="000F4BD4" w:rsidRPr="005B3B88" w:rsidRDefault="000F4BD4" w:rsidP="00B20146">
      <w:pPr>
        <w:pStyle w:val="Default"/>
        <w:rPr>
          <w:sz w:val="22"/>
          <w:szCs w:val="22"/>
          <w:u w:val="single"/>
        </w:rPr>
      </w:pPr>
      <w:r w:rsidRPr="005B3B88">
        <w:rPr>
          <w:sz w:val="22"/>
          <w:szCs w:val="22"/>
          <w:u w:val="single"/>
        </w:rPr>
        <w:t xml:space="preserve">Biotransformácia a eliminácia </w:t>
      </w:r>
    </w:p>
    <w:p w14:paraId="07CD48D1" w14:textId="026FF91F" w:rsidR="000F4BD4" w:rsidRPr="005B3B88" w:rsidRDefault="000F4BD4" w:rsidP="00B20146">
      <w:pPr>
        <w:pStyle w:val="Default"/>
        <w:rPr>
          <w:sz w:val="22"/>
          <w:szCs w:val="22"/>
        </w:rPr>
      </w:pPr>
      <w:r w:rsidRPr="005B3B88">
        <w:rPr>
          <w:sz w:val="22"/>
          <w:szCs w:val="22"/>
        </w:rPr>
        <w:t xml:space="preserve">Z podanej dávky </w:t>
      </w:r>
      <w:r w:rsidR="000379AB" w:rsidRPr="005B3B88">
        <w:rPr>
          <w:sz w:val="22"/>
          <w:szCs w:val="22"/>
        </w:rPr>
        <w:t>rivaroxabán</w:t>
      </w:r>
      <w:r w:rsidRPr="005B3B88">
        <w:rPr>
          <w:sz w:val="22"/>
          <w:szCs w:val="22"/>
        </w:rPr>
        <w:t>u podliehajú približne 2/3 metabolick</w:t>
      </w:r>
      <w:r w:rsidR="004F1439">
        <w:rPr>
          <w:sz w:val="22"/>
          <w:szCs w:val="22"/>
        </w:rPr>
        <w:t>ej premene</w:t>
      </w:r>
      <w:r w:rsidRPr="005B3B88">
        <w:rPr>
          <w:sz w:val="22"/>
          <w:szCs w:val="22"/>
        </w:rPr>
        <w:t xml:space="preserve">, polovica sa potom eliminuje renálne a druhá polovica sa eliminuje stolicou. Posledná 1/3 podanej dávky podlieha priamej renálnej exkrécii, ako nezmenené liečivo v moči, najmä prostredníctvom aktívnej renálnej sekrécie. </w:t>
      </w:r>
    </w:p>
    <w:p w14:paraId="696F37D9" w14:textId="3F37F821"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metabolizuje prostredníctvom CYP3A4, CYP2J2 a mechanizmami nezávislými od CYP. Oxidačná degradácia morfolínovej časti a hydrolýza amidových väzieb sú najvýznamnejšie miesta biotransformácie. Na základe výskumov </w:t>
      </w:r>
      <w:r w:rsidR="000F4BD4" w:rsidRPr="005B3B88">
        <w:rPr>
          <w:i/>
          <w:iCs/>
          <w:sz w:val="22"/>
          <w:szCs w:val="22"/>
        </w:rPr>
        <w:t xml:space="preserve">in vitro </w:t>
      </w:r>
      <w:r w:rsidR="000F4BD4" w:rsidRPr="005B3B88">
        <w:rPr>
          <w:sz w:val="22"/>
          <w:szCs w:val="22"/>
        </w:rPr>
        <w:t xml:space="preserve">je </w:t>
      </w:r>
      <w:r w:rsidRPr="005B3B88">
        <w:rPr>
          <w:sz w:val="22"/>
          <w:szCs w:val="22"/>
        </w:rPr>
        <w:t>rivaroxabán</w:t>
      </w:r>
      <w:r w:rsidR="000F4BD4" w:rsidRPr="005B3B88">
        <w:rPr>
          <w:sz w:val="22"/>
          <w:szCs w:val="22"/>
        </w:rPr>
        <w:t xml:space="preserve"> substrátom transportných proteínov P-gp (P-glykoproteín) a Bcrp (</w:t>
      </w:r>
      <w:r w:rsidR="00D41658" w:rsidRPr="00D41658">
        <w:rPr>
          <w:sz w:val="22"/>
          <w:szCs w:val="22"/>
        </w:rPr>
        <w:t xml:space="preserve">proteín spojený s rezistenciou karcinómu prsníka, </w:t>
      </w:r>
      <w:r w:rsidR="000F4BD4" w:rsidRPr="000D053C">
        <w:rPr>
          <w:i/>
          <w:iCs/>
          <w:sz w:val="22"/>
          <w:szCs w:val="22"/>
        </w:rPr>
        <w:t>breast cancer resistance protein</w:t>
      </w:r>
      <w:r w:rsidR="00A2607D">
        <w:rPr>
          <w:sz w:val="22"/>
          <w:szCs w:val="22"/>
        </w:rPr>
        <w:t>)</w:t>
      </w:r>
      <w:r w:rsidR="000F4BD4" w:rsidRPr="005B3B88">
        <w:rPr>
          <w:sz w:val="22"/>
          <w:szCs w:val="22"/>
        </w:rPr>
        <w:t xml:space="preserve"> </w:t>
      </w:r>
    </w:p>
    <w:p w14:paraId="6ABE6A0F" w14:textId="6136DBBC" w:rsidR="000F4BD4" w:rsidRPr="005B3B88" w:rsidRDefault="000F4BD4" w:rsidP="00B20146">
      <w:pPr>
        <w:pStyle w:val="Default"/>
        <w:tabs>
          <w:tab w:val="left" w:pos="6096"/>
        </w:tabs>
        <w:rPr>
          <w:sz w:val="22"/>
          <w:szCs w:val="22"/>
        </w:rPr>
      </w:pPr>
      <w:r w:rsidRPr="005B3B88">
        <w:rPr>
          <w:sz w:val="22"/>
          <w:szCs w:val="22"/>
        </w:rPr>
        <w:t xml:space="preserve">Nezmenený </w:t>
      </w:r>
      <w:r w:rsidR="000379AB" w:rsidRPr="005B3B88">
        <w:rPr>
          <w:sz w:val="22"/>
          <w:szCs w:val="22"/>
        </w:rPr>
        <w:t>rivaroxabán</w:t>
      </w:r>
      <w:r w:rsidRPr="005B3B88">
        <w:rPr>
          <w:sz w:val="22"/>
          <w:szCs w:val="22"/>
        </w:rPr>
        <w:t xml:space="preserve"> je najdôležitejšia zložka v ľudskej plazme bez prítomnosti významných alebo aktívnych cirkulujúcich metabolitov. </w:t>
      </w:r>
      <w:r w:rsidR="000379AB" w:rsidRPr="005B3B88">
        <w:rPr>
          <w:sz w:val="22"/>
          <w:szCs w:val="22"/>
        </w:rPr>
        <w:t>Rivaroxabán</w:t>
      </w:r>
      <w:r w:rsidRPr="005B3B88">
        <w:rPr>
          <w:sz w:val="22"/>
          <w:szCs w:val="22"/>
        </w:rPr>
        <w:t xml:space="preserve"> so systémovým klírensom asi 10 l/h možno klasifikovať ako liečivo s nízkym klírensom. Po intravenóznom podaní dávky 1 mg je eliminačný polčas asi 4,5 hodiny. Po perorálnom podaní je eliminácia limitovaná mierou absorpcie. Eliminácia </w:t>
      </w:r>
      <w:r w:rsidR="000379AB" w:rsidRPr="005B3B88">
        <w:rPr>
          <w:sz w:val="22"/>
          <w:szCs w:val="22"/>
        </w:rPr>
        <w:t>rivaroxabán</w:t>
      </w:r>
      <w:r w:rsidRPr="005B3B88">
        <w:rPr>
          <w:sz w:val="22"/>
          <w:szCs w:val="22"/>
        </w:rPr>
        <w:t xml:space="preserve">u z plazmy prebieha s terminálnymi polčasmi 5 až 9 hodín u mladých </w:t>
      </w:r>
      <w:r w:rsidR="001E66BA">
        <w:rPr>
          <w:sz w:val="22"/>
          <w:szCs w:val="22"/>
        </w:rPr>
        <w:t>osôb</w:t>
      </w:r>
      <w:r w:rsidRPr="005B3B88">
        <w:rPr>
          <w:sz w:val="22"/>
          <w:szCs w:val="22"/>
        </w:rPr>
        <w:t xml:space="preserve"> a s terminálnymi polčasmi 11 až 13 hodín u starších pacientov.</w:t>
      </w:r>
    </w:p>
    <w:p w14:paraId="25F7B8E3" w14:textId="77777777" w:rsidR="000F4BD4" w:rsidRPr="005B3B88" w:rsidRDefault="000F4BD4" w:rsidP="00B20146">
      <w:pPr>
        <w:pStyle w:val="Default"/>
        <w:tabs>
          <w:tab w:val="left" w:pos="6096"/>
        </w:tabs>
        <w:rPr>
          <w:sz w:val="22"/>
          <w:szCs w:val="22"/>
        </w:rPr>
      </w:pPr>
    </w:p>
    <w:p w14:paraId="2B7CA479" w14:textId="77777777" w:rsidR="000F4BD4" w:rsidRPr="005B3B88" w:rsidRDefault="000F4BD4" w:rsidP="00B20146">
      <w:pPr>
        <w:pStyle w:val="Default"/>
        <w:rPr>
          <w:sz w:val="22"/>
          <w:szCs w:val="22"/>
          <w:u w:val="single"/>
        </w:rPr>
      </w:pPr>
      <w:r w:rsidRPr="005B3B88">
        <w:rPr>
          <w:sz w:val="22"/>
          <w:szCs w:val="22"/>
          <w:u w:val="single"/>
        </w:rPr>
        <w:t xml:space="preserve">Osobitné skupiny pacientov </w:t>
      </w:r>
    </w:p>
    <w:p w14:paraId="67BE7EC9" w14:textId="77777777" w:rsidR="000F4BD4" w:rsidRPr="005B3B88" w:rsidRDefault="000F4BD4" w:rsidP="00B20146">
      <w:pPr>
        <w:pStyle w:val="Default"/>
        <w:rPr>
          <w:sz w:val="22"/>
          <w:szCs w:val="22"/>
        </w:rPr>
      </w:pPr>
      <w:r w:rsidRPr="005B3B88">
        <w:rPr>
          <w:i/>
          <w:iCs/>
          <w:sz w:val="22"/>
          <w:szCs w:val="22"/>
        </w:rPr>
        <w:t xml:space="preserve">Pohlavie </w:t>
      </w:r>
    </w:p>
    <w:p w14:paraId="1212D424" w14:textId="77777777" w:rsidR="000F4BD4" w:rsidRPr="005B3B88" w:rsidRDefault="000F4BD4" w:rsidP="00B20146">
      <w:pPr>
        <w:pStyle w:val="Default"/>
        <w:tabs>
          <w:tab w:val="left" w:pos="6096"/>
        </w:tabs>
        <w:rPr>
          <w:sz w:val="22"/>
          <w:szCs w:val="22"/>
        </w:rPr>
      </w:pPr>
      <w:r w:rsidRPr="005B3B88">
        <w:rPr>
          <w:sz w:val="22"/>
          <w:szCs w:val="22"/>
        </w:rPr>
        <w:t>Vo farmakokinetike a farmakodynamike neboli klinicky relevantné rozdiely medzi pacientmi mužského a ženského pohlavia.</w:t>
      </w:r>
    </w:p>
    <w:p w14:paraId="77612ADD" w14:textId="77777777" w:rsidR="000F4BD4" w:rsidRPr="005B3B88" w:rsidRDefault="000F4BD4" w:rsidP="00B20146">
      <w:pPr>
        <w:pStyle w:val="Default"/>
        <w:tabs>
          <w:tab w:val="left" w:pos="6096"/>
        </w:tabs>
        <w:rPr>
          <w:sz w:val="22"/>
          <w:szCs w:val="22"/>
        </w:rPr>
      </w:pPr>
    </w:p>
    <w:p w14:paraId="65B64C8E" w14:textId="77777777" w:rsidR="000F4BD4" w:rsidRPr="005B3B88" w:rsidRDefault="000F4BD4" w:rsidP="00B20146">
      <w:pPr>
        <w:pStyle w:val="Default"/>
        <w:rPr>
          <w:sz w:val="22"/>
          <w:szCs w:val="22"/>
        </w:rPr>
      </w:pPr>
      <w:r w:rsidRPr="005B3B88">
        <w:rPr>
          <w:i/>
          <w:iCs/>
          <w:sz w:val="22"/>
          <w:szCs w:val="22"/>
        </w:rPr>
        <w:t xml:space="preserve">Starší pacienti </w:t>
      </w:r>
    </w:p>
    <w:p w14:paraId="1DA3CF8F" w14:textId="77777777" w:rsidR="000F4BD4" w:rsidRPr="005B3B88" w:rsidRDefault="000F4BD4" w:rsidP="00B20146">
      <w:pPr>
        <w:pStyle w:val="Default"/>
        <w:rPr>
          <w:sz w:val="22"/>
          <w:szCs w:val="22"/>
        </w:rPr>
      </w:pPr>
      <w:r w:rsidRPr="005B3B88">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14:paraId="305E70F9" w14:textId="77777777" w:rsidR="00744C3A" w:rsidRPr="005B3B88" w:rsidRDefault="00744C3A" w:rsidP="00B20146">
      <w:pPr>
        <w:pStyle w:val="Default"/>
        <w:rPr>
          <w:sz w:val="22"/>
          <w:szCs w:val="22"/>
        </w:rPr>
      </w:pPr>
    </w:p>
    <w:p w14:paraId="3220D9FF" w14:textId="77777777" w:rsidR="000F4BD4" w:rsidRPr="005B3B88" w:rsidRDefault="000F4BD4" w:rsidP="00B20146">
      <w:pPr>
        <w:pStyle w:val="Default"/>
        <w:rPr>
          <w:sz w:val="22"/>
          <w:szCs w:val="22"/>
        </w:rPr>
      </w:pPr>
      <w:r w:rsidRPr="005B3B88">
        <w:rPr>
          <w:i/>
          <w:iCs/>
          <w:sz w:val="22"/>
          <w:szCs w:val="22"/>
        </w:rPr>
        <w:t xml:space="preserve">Rôzne váhové kategórie </w:t>
      </w:r>
    </w:p>
    <w:p w14:paraId="3157E7CD" w14:textId="49984623" w:rsidR="000F4BD4" w:rsidRPr="005B3B88" w:rsidRDefault="000F4BD4" w:rsidP="00B20146">
      <w:pPr>
        <w:pStyle w:val="Default"/>
        <w:rPr>
          <w:sz w:val="22"/>
          <w:szCs w:val="22"/>
        </w:rPr>
      </w:pPr>
      <w:r w:rsidRPr="005B3B88">
        <w:rPr>
          <w:sz w:val="22"/>
          <w:szCs w:val="22"/>
        </w:rPr>
        <w:t>Extrémy v telesnej hmotnosti (</w:t>
      </w:r>
      <w:r w:rsidR="00E240C7">
        <w:rPr>
          <w:sz w:val="22"/>
          <w:szCs w:val="22"/>
        </w:rPr>
        <w:t xml:space="preserve">do </w:t>
      </w:r>
      <w:r w:rsidRPr="005B3B88">
        <w:rPr>
          <w:sz w:val="22"/>
          <w:szCs w:val="22"/>
        </w:rPr>
        <w:t xml:space="preserve">50 kg alebo </w:t>
      </w:r>
      <w:r w:rsidR="00E240C7">
        <w:rPr>
          <w:sz w:val="22"/>
          <w:szCs w:val="22"/>
        </w:rPr>
        <w:t xml:space="preserve">nad </w:t>
      </w:r>
      <w:r w:rsidRPr="005B3B88">
        <w:rPr>
          <w:sz w:val="22"/>
          <w:szCs w:val="22"/>
        </w:rPr>
        <w:t xml:space="preserve">120 kg) mali iba malý vplyv na koncentrácie </w:t>
      </w:r>
      <w:r w:rsidR="000379AB" w:rsidRPr="005B3B88">
        <w:rPr>
          <w:sz w:val="22"/>
          <w:szCs w:val="22"/>
        </w:rPr>
        <w:t>rivaroxabán</w:t>
      </w:r>
      <w:r w:rsidRPr="005B3B88">
        <w:rPr>
          <w:sz w:val="22"/>
          <w:szCs w:val="22"/>
        </w:rPr>
        <w:t xml:space="preserve">u v plazme (menej ako 25 %). Nie je potrebná žiadna úprava dávky. </w:t>
      </w:r>
    </w:p>
    <w:p w14:paraId="146466FC" w14:textId="77777777" w:rsidR="00744C3A" w:rsidRPr="005B3B88" w:rsidRDefault="00744C3A" w:rsidP="00B20146">
      <w:pPr>
        <w:pStyle w:val="Default"/>
        <w:rPr>
          <w:sz w:val="22"/>
          <w:szCs w:val="22"/>
        </w:rPr>
      </w:pPr>
    </w:p>
    <w:p w14:paraId="6ACF9E45" w14:textId="77777777" w:rsidR="000F4BD4" w:rsidRPr="005B3B88" w:rsidRDefault="000F4BD4" w:rsidP="00B20146">
      <w:pPr>
        <w:pStyle w:val="Default"/>
        <w:rPr>
          <w:sz w:val="22"/>
          <w:szCs w:val="22"/>
        </w:rPr>
      </w:pPr>
      <w:r w:rsidRPr="005B3B88">
        <w:rPr>
          <w:i/>
          <w:iCs/>
          <w:sz w:val="22"/>
          <w:szCs w:val="22"/>
        </w:rPr>
        <w:t xml:space="preserve">Medzietnické rozdiely </w:t>
      </w:r>
    </w:p>
    <w:p w14:paraId="39F7BD45" w14:textId="71C778D7" w:rsidR="000F4BD4" w:rsidRPr="005B3B88" w:rsidRDefault="000F4BD4" w:rsidP="00B20146">
      <w:pPr>
        <w:pStyle w:val="Default"/>
        <w:tabs>
          <w:tab w:val="left" w:pos="6096"/>
        </w:tabs>
        <w:rPr>
          <w:sz w:val="22"/>
          <w:szCs w:val="22"/>
        </w:rPr>
      </w:pPr>
      <w:r w:rsidRPr="005B3B88">
        <w:rPr>
          <w:sz w:val="22"/>
          <w:szCs w:val="22"/>
        </w:rPr>
        <w:t xml:space="preserve">Vo farmakokinetike a farmakodynamike </w:t>
      </w:r>
      <w:r w:rsidR="000379AB" w:rsidRPr="005B3B88">
        <w:rPr>
          <w:sz w:val="22"/>
          <w:szCs w:val="22"/>
        </w:rPr>
        <w:t>rivaroxabán</w:t>
      </w:r>
      <w:r w:rsidRPr="005B3B88">
        <w:rPr>
          <w:sz w:val="22"/>
          <w:szCs w:val="22"/>
        </w:rPr>
        <w:t xml:space="preserve">u sa nepozorovali žiadne klinicky relevantné medzietnické rozdiely medzi pacientmi </w:t>
      </w:r>
      <w:r w:rsidR="001E66BA" w:rsidRPr="005B3B88">
        <w:rPr>
          <w:sz w:val="22"/>
          <w:szCs w:val="22"/>
        </w:rPr>
        <w:t>b</w:t>
      </w:r>
      <w:r w:rsidR="001E66BA">
        <w:rPr>
          <w:sz w:val="22"/>
          <w:szCs w:val="22"/>
        </w:rPr>
        <w:t>i</w:t>
      </w:r>
      <w:r w:rsidR="001E66BA" w:rsidRPr="005B3B88">
        <w:rPr>
          <w:sz w:val="22"/>
          <w:szCs w:val="22"/>
        </w:rPr>
        <w:t>el</w:t>
      </w:r>
      <w:r w:rsidR="001E66BA">
        <w:rPr>
          <w:sz w:val="22"/>
          <w:szCs w:val="22"/>
        </w:rPr>
        <w:t>ej rasy</w:t>
      </w:r>
      <w:r w:rsidRPr="005B3B88">
        <w:rPr>
          <w:sz w:val="22"/>
          <w:szCs w:val="22"/>
        </w:rPr>
        <w:t xml:space="preserve">, afroameričanmi, hispáncami, </w:t>
      </w:r>
      <w:r w:rsidR="00744C3A" w:rsidRPr="005B3B88">
        <w:rPr>
          <w:sz w:val="22"/>
          <w:szCs w:val="22"/>
        </w:rPr>
        <w:t>J</w:t>
      </w:r>
      <w:r w:rsidRPr="005B3B88">
        <w:rPr>
          <w:sz w:val="22"/>
          <w:szCs w:val="22"/>
        </w:rPr>
        <w:t xml:space="preserve">aponcami alebo </w:t>
      </w:r>
      <w:r w:rsidR="00744C3A" w:rsidRPr="005B3B88">
        <w:rPr>
          <w:sz w:val="22"/>
          <w:szCs w:val="22"/>
        </w:rPr>
        <w:t>Č</w:t>
      </w:r>
      <w:r w:rsidRPr="005B3B88">
        <w:rPr>
          <w:sz w:val="22"/>
          <w:szCs w:val="22"/>
        </w:rPr>
        <w:t>íňanmi.</w:t>
      </w:r>
    </w:p>
    <w:p w14:paraId="7024D1D0" w14:textId="77777777" w:rsidR="00744C3A" w:rsidRPr="005B3B88" w:rsidRDefault="00744C3A" w:rsidP="00B20146">
      <w:pPr>
        <w:pStyle w:val="Default"/>
        <w:tabs>
          <w:tab w:val="left" w:pos="6096"/>
        </w:tabs>
        <w:rPr>
          <w:sz w:val="22"/>
          <w:szCs w:val="22"/>
        </w:rPr>
      </w:pPr>
    </w:p>
    <w:p w14:paraId="4F91F8EB" w14:textId="77777777" w:rsidR="00744C3A" w:rsidRPr="005B3B88" w:rsidRDefault="00744C3A" w:rsidP="00B20146">
      <w:pPr>
        <w:pStyle w:val="Default"/>
        <w:rPr>
          <w:sz w:val="22"/>
          <w:szCs w:val="22"/>
        </w:rPr>
      </w:pPr>
      <w:r w:rsidRPr="005B3B88">
        <w:rPr>
          <w:i/>
          <w:iCs/>
          <w:sz w:val="22"/>
          <w:szCs w:val="22"/>
        </w:rPr>
        <w:t xml:space="preserve">Porucha funkcie pečene </w:t>
      </w:r>
    </w:p>
    <w:p w14:paraId="2E073FFD" w14:textId="4F705673" w:rsidR="00744C3A" w:rsidRPr="005B3B88" w:rsidRDefault="00744C3A" w:rsidP="00B20146">
      <w:pPr>
        <w:pStyle w:val="Default"/>
        <w:rPr>
          <w:sz w:val="22"/>
          <w:szCs w:val="22"/>
        </w:rPr>
      </w:pPr>
      <w:r w:rsidRPr="005B3B88">
        <w:rPr>
          <w:sz w:val="22"/>
          <w:szCs w:val="22"/>
        </w:rPr>
        <w:t>Pacienti s cirhózou s miernou poruchou funkcie pečene (klasifikovan</w:t>
      </w:r>
      <w:r w:rsidR="0014036F" w:rsidRPr="005B3B88">
        <w:rPr>
          <w:sz w:val="22"/>
          <w:szCs w:val="22"/>
        </w:rPr>
        <w:t>ou</w:t>
      </w:r>
      <w:r w:rsidRPr="005B3B88">
        <w:rPr>
          <w:sz w:val="22"/>
          <w:szCs w:val="22"/>
        </w:rPr>
        <w:t xml:space="preserve"> </w:t>
      </w:r>
      <w:r w:rsidR="00D42492" w:rsidRPr="005B3B88">
        <w:rPr>
          <w:sz w:val="22"/>
          <w:szCs w:val="22"/>
        </w:rPr>
        <w:t>podľa</w:t>
      </w:r>
      <w:r w:rsidRPr="005B3B88">
        <w:rPr>
          <w:sz w:val="22"/>
          <w:szCs w:val="22"/>
        </w:rPr>
        <w:t xml:space="preserve"> Child</w:t>
      </w:r>
      <w:r w:rsidR="00D42492" w:rsidRPr="005B3B88">
        <w:rPr>
          <w:sz w:val="22"/>
          <w:szCs w:val="22"/>
        </w:rPr>
        <w:t>a</w:t>
      </w:r>
      <w:r w:rsidRPr="005B3B88">
        <w:rPr>
          <w:sz w:val="22"/>
          <w:szCs w:val="22"/>
        </w:rPr>
        <w:t>–Pugh</w:t>
      </w:r>
      <w:r w:rsidR="00D42492" w:rsidRPr="005B3B88">
        <w:rPr>
          <w:sz w:val="22"/>
          <w:szCs w:val="22"/>
        </w:rPr>
        <w:t>a ako</w:t>
      </w:r>
      <w:r w:rsidRPr="005B3B88">
        <w:rPr>
          <w:sz w:val="22"/>
          <w:szCs w:val="22"/>
        </w:rPr>
        <w:t xml:space="preserve"> </w:t>
      </w:r>
      <w:r w:rsidR="001E66BA">
        <w:rPr>
          <w:sz w:val="22"/>
          <w:szCs w:val="22"/>
        </w:rPr>
        <w:t>skupina</w:t>
      </w:r>
      <w:r w:rsidRPr="005B3B88">
        <w:rPr>
          <w:sz w:val="22"/>
          <w:szCs w:val="22"/>
        </w:rPr>
        <w:t xml:space="preserve"> A) vykazovali iba malé zmeny vo farmakokinetike </w:t>
      </w:r>
      <w:r w:rsidR="000379AB" w:rsidRPr="005B3B88">
        <w:rPr>
          <w:sz w:val="22"/>
          <w:szCs w:val="22"/>
        </w:rPr>
        <w:t>rivaroxabán</w:t>
      </w:r>
      <w:r w:rsidRPr="005B3B88">
        <w:rPr>
          <w:sz w:val="22"/>
          <w:szCs w:val="22"/>
        </w:rPr>
        <w:t xml:space="preserve">u (v priemere 1,2-násobný nárast AUC </w:t>
      </w:r>
      <w:r w:rsidR="000379AB" w:rsidRPr="005B3B88">
        <w:rPr>
          <w:sz w:val="22"/>
          <w:szCs w:val="22"/>
        </w:rPr>
        <w:t>rivaroxabán</w:t>
      </w:r>
      <w:r w:rsidRPr="005B3B88">
        <w:rPr>
          <w:sz w:val="22"/>
          <w:szCs w:val="22"/>
        </w:rPr>
        <w:t xml:space="preserve">u), takmer porovnateľné s ich </w:t>
      </w:r>
      <w:r w:rsidR="0014036F" w:rsidRPr="005B3B88">
        <w:rPr>
          <w:sz w:val="22"/>
          <w:szCs w:val="22"/>
        </w:rPr>
        <w:t>zodpovedajúcou</w:t>
      </w:r>
      <w:r w:rsidRPr="005B3B88">
        <w:rPr>
          <w:sz w:val="22"/>
          <w:szCs w:val="22"/>
        </w:rPr>
        <w:t xml:space="preserve"> zdravou kontrolnou skupinou. U pacientov s cirhózou so stredne ťažkou poruchou funkcie pečene (klasifikovan</w:t>
      </w:r>
      <w:r w:rsidR="0014036F" w:rsidRPr="005B3B88">
        <w:rPr>
          <w:sz w:val="22"/>
          <w:szCs w:val="22"/>
        </w:rPr>
        <w:t>ou podľa</w:t>
      </w:r>
      <w:r w:rsidRPr="005B3B88">
        <w:rPr>
          <w:sz w:val="22"/>
          <w:szCs w:val="22"/>
        </w:rPr>
        <w:t xml:space="preserve"> Child</w:t>
      </w:r>
      <w:r w:rsidR="0014036F" w:rsidRPr="005B3B88">
        <w:rPr>
          <w:sz w:val="22"/>
          <w:szCs w:val="22"/>
        </w:rPr>
        <w:t>a</w:t>
      </w:r>
      <w:r w:rsidRPr="005B3B88">
        <w:rPr>
          <w:sz w:val="22"/>
          <w:szCs w:val="22"/>
        </w:rPr>
        <w:t>–Pugh</w:t>
      </w:r>
      <w:r w:rsidR="0014036F" w:rsidRPr="005B3B88">
        <w:rPr>
          <w:sz w:val="22"/>
          <w:szCs w:val="22"/>
        </w:rPr>
        <w:t>a ako</w:t>
      </w:r>
      <w:r w:rsidRPr="005B3B88">
        <w:rPr>
          <w:sz w:val="22"/>
          <w:szCs w:val="22"/>
        </w:rPr>
        <w:t xml:space="preserve"> </w:t>
      </w:r>
      <w:r w:rsidR="001E66BA">
        <w:rPr>
          <w:sz w:val="22"/>
          <w:szCs w:val="22"/>
        </w:rPr>
        <w:t>skupina</w:t>
      </w:r>
      <w:r w:rsidRPr="005B3B88">
        <w:rPr>
          <w:sz w:val="22"/>
          <w:szCs w:val="22"/>
        </w:rPr>
        <w:t xml:space="preserve"> B) bola priemerná AUC </w:t>
      </w:r>
      <w:r w:rsidR="000379AB" w:rsidRPr="005B3B88">
        <w:rPr>
          <w:sz w:val="22"/>
          <w:szCs w:val="22"/>
        </w:rPr>
        <w:t>rivaroxabán</w:t>
      </w:r>
      <w:r w:rsidRPr="005B3B88">
        <w:rPr>
          <w:sz w:val="22"/>
          <w:szCs w:val="22"/>
        </w:rPr>
        <w:t xml:space="preserve">u významne zvýšená 2,3-násobne v porovnaní so zdravými dobrovoľníkmi. AUC neviazaného </w:t>
      </w:r>
      <w:r w:rsidR="000379AB" w:rsidRPr="005B3B88">
        <w:rPr>
          <w:sz w:val="22"/>
          <w:szCs w:val="22"/>
        </w:rPr>
        <w:t>rivaroxabán</w:t>
      </w:r>
      <w:r w:rsidRPr="005B3B88">
        <w:rPr>
          <w:sz w:val="22"/>
          <w:szCs w:val="22"/>
        </w:rPr>
        <w:t xml:space="preserve">u sa zvýšila 2,6-násobne. Títo pacienti mali tiež zníženú renálnu elimináciu </w:t>
      </w:r>
      <w:r w:rsidR="000379AB" w:rsidRPr="005B3B88">
        <w:rPr>
          <w:sz w:val="22"/>
          <w:szCs w:val="22"/>
        </w:rPr>
        <w:t>rivaroxabán</w:t>
      </w:r>
      <w:r w:rsidRPr="005B3B88">
        <w:rPr>
          <w:sz w:val="22"/>
          <w:szCs w:val="22"/>
        </w:rPr>
        <w:t xml:space="preserve">u, podobne ako u pacientov so stredne ťažkou poruchou funkcie obličiek. </w:t>
      </w:r>
    </w:p>
    <w:p w14:paraId="672EA6F9" w14:textId="77777777" w:rsidR="00744C3A" w:rsidRPr="005B3B88" w:rsidRDefault="00744C3A" w:rsidP="00B20146">
      <w:pPr>
        <w:pStyle w:val="Default"/>
        <w:rPr>
          <w:sz w:val="22"/>
          <w:szCs w:val="22"/>
        </w:rPr>
      </w:pPr>
      <w:r w:rsidRPr="005B3B88">
        <w:rPr>
          <w:sz w:val="22"/>
          <w:szCs w:val="22"/>
        </w:rPr>
        <w:t xml:space="preserve">K dispozícii nie sú údaje o pacientoch s ťažkou poruchou funkcie pečene. </w:t>
      </w:r>
    </w:p>
    <w:p w14:paraId="03C8850A" w14:textId="77777777" w:rsidR="00140159" w:rsidRDefault="00140159" w:rsidP="00B20146">
      <w:pPr>
        <w:pStyle w:val="Default"/>
        <w:rPr>
          <w:sz w:val="22"/>
          <w:szCs w:val="22"/>
        </w:rPr>
      </w:pPr>
    </w:p>
    <w:p w14:paraId="3EA4774C" w14:textId="77777777" w:rsidR="00744C3A" w:rsidRPr="005B3B88" w:rsidRDefault="00744C3A" w:rsidP="00B20146">
      <w:pPr>
        <w:pStyle w:val="Default"/>
        <w:rPr>
          <w:sz w:val="22"/>
          <w:szCs w:val="22"/>
        </w:rPr>
      </w:pPr>
      <w:r w:rsidRPr="005B3B88">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w:t>
      </w:r>
      <w:r w:rsidR="000379AB" w:rsidRPr="005B3B88">
        <w:rPr>
          <w:sz w:val="22"/>
          <w:szCs w:val="22"/>
        </w:rPr>
        <w:t>rivaroxabán</w:t>
      </w:r>
      <w:r w:rsidRPr="005B3B88">
        <w:rPr>
          <w:sz w:val="22"/>
          <w:szCs w:val="22"/>
        </w:rPr>
        <w:t xml:space="preserve"> citlivejší, čo viedlo k výraznejšiemu PK/PD </w:t>
      </w:r>
      <w:r w:rsidR="00D02B8E" w:rsidRPr="005B3B88">
        <w:rPr>
          <w:sz w:val="22"/>
          <w:szCs w:val="22"/>
        </w:rPr>
        <w:t>vzťahu</w:t>
      </w:r>
      <w:r w:rsidR="0014036F" w:rsidRPr="005B3B88">
        <w:rPr>
          <w:sz w:val="22"/>
          <w:szCs w:val="22"/>
        </w:rPr>
        <w:t xml:space="preserve"> </w:t>
      </w:r>
      <w:r w:rsidRPr="005B3B88">
        <w:rPr>
          <w:sz w:val="22"/>
          <w:szCs w:val="22"/>
        </w:rPr>
        <w:t xml:space="preserve">medzi koncentráciou a PT. </w:t>
      </w:r>
    </w:p>
    <w:p w14:paraId="46816DF5" w14:textId="77777777" w:rsidR="00744C3A" w:rsidRPr="005B3B88" w:rsidRDefault="00744C3A" w:rsidP="00B20146">
      <w:pPr>
        <w:pStyle w:val="Default"/>
        <w:rPr>
          <w:sz w:val="22"/>
          <w:szCs w:val="22"/>
        </w:rPr>
      </w:pPr>
    </w:p>
    <w:p w14:paraId="6E64378D" w14:textId="14D4B21C" w:rsidR="00744C3A" w:rsidRPr="005B3B88" w:rsidRDefault="00744C3A" w:rsidP="00B20146">
      <w:pPr>
        <w:pStyle w:val="Default"/>
        <w:tabs>
          <w:tab w:val="left" w:pos="6096"/>
        </w:tabs>
        <w:rPr>
          <w:sz w:val="22"/>
          <w:szCs w:val="22"/>
        </w:rPr>
      </w:pPr>
      <w:r w:rsidRPr="005B3B88">
        <w:rPr>
          <w:sz w:val="22"/>
          <w:szCs w:val="22"/>
        </w:rPr>
        <w:lastRenderedPageBreak/>
        <w:t>R</w:t>
      </w:r>
      <w:r w:rsidR="008B72E1" w:rsidRPr="005B3B88">
        <w:rPr>
          <w:sz w:val="22"/>
          <w:szCs w:val="22"/>
        </w:rPr>
        <w:t>ivaroxabán</w:t>
      </w:r>
      <w:r w:rsidR="008B72E1">
        <w:rPr>
          <w:sz w:val="22"/>
          <w:szCs w:val="22"/>
        </w:rPr>
        <w:t xml:space="preserve"> </w:t>
      </w:r>
      <w:r w:rsidRPr="005B3B88">
        <w:rPr>
          <w:sz w:val="22"/>
          <w:szCs w:val="22"/>
        </w:rPr>
        <w:t>je kontraindikovan</w:t>
      </w:r>
      <w:r w:rsidR="0014036F" w:rsidRPr="005B3B88">
        <w:rPr>
          <w:sz w:val="22"/>
          <w:szCs w:val="22"/>
        </w:rPr>
        <w:t>ý</w:t>
      </w:r>
      <w:r w:rsidRPr="005B3B88">
        <w:rPr>
          <w:sz w:val="22"/>
          <w:szCs w:val="22"/>
        </w:rPr>
        <w:t xml:space="preserve">  paciento</w:t>
      </w:r>
      <w:r w:rsidR="001E66BA">
        <w:rPr>
          <w:sz w:val="22"/>
          <w:szCs w:val="22"/>
        </w:rPr>
        <w:t>m</w:t>
      </w:r>
      <w:r w:rsidRPr="005B3B88">
        <w:rPr>
          <w:sz w:val="22"/>
          <w:szCs w:val="22"/>
        </w:rPr>
        <w:t xml:space="preserve"> s ochorením pečene spojeným s koagulopatiou a klinicky relevantným rizikom krvácania, vrátane pacientov s cirhózou s Childovým-Pughovým </w:t>
      </w:r>
      <w:r w:rsidR="001E66BA">
        <w:rPr>
          <w:sz w:val="22"/>
          <w:szCs w:val="22"/>
        </w:rPr>
        <w:t>skóre</w:t>
      </w:r>
      <w:r w:rsidR="001E66BA" w:rsidRPr="005B3B88">
        <w:rPr>
          <w:sz w:val="22"/>
          <w:szCs w:val="22"/>
        </w:rPr>
        <w:t xml:space="preserve"> </w:t>
      </w:r>
      <w:r w:rsidRPr="005B3B88">
        <w:rPr>
          <w:sz w:val="22"/>
          <w:szCs w:val="22"/>
        </w:rPr>
        <w:t>B a C (pozri časť 4.3).</w:t>
      </w:r>
    </w:p>
    <w:p w14:paraId="15B41D7A" w14:textId="77777777" w:rsidR="00744C3A" w:rsidRPr="005B3B88" w:rsidRDefault="00744C3A" w:rsidP="00B20146">
      <w:pPr>
        <w:pStyle w:val="Default"/>
        <w:tabs>
          <w:tab w:val="left" w:pos="6096"/>
        </w:tabs>
        <w:rPr>
          <w:sz w:val="22"/>
          <w:szCs w:val="22"/>
        </w:rPr>
      </w:pPr>
    </w:p>
    <w:p w14:paraId="39DB9189" w14:textId="77777777" w:rsidR="00744C3A" w:rsidRPr="005B3B88" w:rsidRDefault="00744C3A" w:rsidP="00B20146">
      <w:pPr>
        <w:pStyle w:val="Default"/>
        <w:rPr>
          <w:sz w:val="22"/>
          <w:szCs w:val="22"/>
        </w:rPr>
      </w:pPr>
      <w:r w:rsidRPr="005B3B88">
        <w:rPr>
          <w:i/>
          <w:iCs/>
          <w:sz w:val="22"/>
          <w:szCs w:val="22"/>
        </w:rPr>
        <w:t xml:space="preserve">Porucha funkcie obličiek </w:t>
      </w:r>
    </w:p>
    <w:p w14:paraId="376B01CC" w14:textId="6705AF1B" w:rsidR="00744C3A" w:rsidRPr="005B3B88" w:rsidRDefault="00744C3A" w:rsidP="00B20146">
      <w:pPr>
        <w:pStyle w:val="Default"/>
        <w:rPr>
          <w:sz w:val="22"/>
          <w:szCs w:val="22"/>
        </w:rPr>
      </w:pPr>
      <w:r w:rsidRPr="005B3B88">
        <w:rPr>
          <w:sz w:val="22"/>
          <w:szCs w:val="22"/>
        </w:rPr>
        <w:t xml:space="preserve">Ako sa stanovilo meraním klírensu kreatinínu, zvýšená expozícia </w:t>
      </w:r>
      <w:r w:rsidR="000379AB" w:rsidRPr="005B3B88">
        <w:rPr>
          <w:sz w:val="22"/>
          <w:szCs w:val="22"/>
        </w:rPr>
        <w:t>rivaroxabán</w:t>
      </w:r>
      <w:r w:rsidRPr="005B3B88">
        <w:rPr>
          <w:sz w:val="22"/>
          <w:szCs w:val="22"/>
        </w:rPr>
        <w:t xml:space="preserve">u korelovala so znížením renálnej funkcie. U </w:t>
      </w:r>
      <w:r w:rsidR="001E66BA">
        <w:rPr>
          <w:sz w:val="22"/>
          <w:szCs w:val="22"/>
        </w:rPr>
        <w:t>osôb</w:t>
      </w:r>
      <w:r w:rsidRPr="005B3B88">
        <w:rPr>
          <w:sz w:val="22"/>
          <w:szCs w:val="22"/>
        </w:rPr>
        <w:t xml:space="preserve"> s miernou (klírens kreatinínu 50-80 ml/min), stredne ťažkou (klírens kreatinínu 30-49 ml/min) a ťažkou (klírens kreatinínu 15-29 ml/min) poruchou funkcie obličiek boli plazmatické koncentrácie (AUC) </w:t>
      </w:r>
      <w:r w:rsidR="000379AB" w:rsidRPr="005B3B88">
        <w:rPr>
          <w:sz w:val="22"/>
          <w:szCs w:val="22"/>
        </w:rPr>
        <w:t>rivaroxabán</w:t>
      </w:r>
      <w:r w:rsidRPr="005B3B88">
        <w:rPr>
          <w:sz w:val="22"/>
          <w:szCs w:val="22"/>
        </w:rPr>
        <w:t xml:space="preserve">u zvýšené 1,4; 1,5 a 1,6-násobne. Zodpovedajúce zvýšenia farmakodynamických účinkov boli </w:t>
      </w:r>
      <w:r w:rsidR="00D02B8E" w:rsidRPr="005B3B88">
        <w:rPr>
          <w:sz w:val="22"/>
          <w:szCs w:val="22"/>
        </w:rPr>
        <w:t>výraznejšie</w:t>
      </w:r>
      <w:r w:rsidRPr="005B3B88">
        <w:rPr>
          <w:sz w:val="22"/>
          <w:szCs w:val="22"/>
        </w:rPr>
        <w:t xml:space="preserve">. U </w:t>
      </w:r>
      <w:r w:rsidR="001E66BA">
        <w:rPr>
          <w:sz w:val="22"/>
          <w:szCs w:val="22"/>
        </w:rPr>
        <w:t>osôb</w:t>
      </w:r>
      <w:r w:rsidRPr="005B3B88">
        <w:rPr>
          <w:sz w:val="22"/>
          <w:szCs w:val="22"/>
        </w:rPr>
        <w:t xml:space="preserve">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w:t>
      </w:r>
      <w:r w:rsidR="00D02B8E" w:rsidRPr="005B3B88">
        <w:rPr>
          <w:sz w:val="22"/>
          <w:szCs w:val="22"/>
        </w:rPr>
        <w:t> </w:t>
      </w:r>
      <w:r w:rsidRPr="005B3B88">
        <w:rPr>
          <w:sz w:val="22"/>
          <w:szCs w:val="22"/>
        </w:rPr>
        <w:t xml:space="preserve">15 ml/min. </w:t>
      </w:r>
    </w:p>
    <w:p w14:paraId="1F30BE76" w14:textId="77777777" w:rsidR="00744C3A" w:rsidRPr="005B3B88" w:rsidRDefault="00744C3A" w:rsidP="00B20146">
      <w:pPr>
        <w:pStyle w:val="Default"/>
        <w:tabs>
          <w:tab w:val="left" w:pos="6096"/>
        </w:tabs>
        <w:rPr>
          <w:sz w:val="22"/>
          <w:szCs w:val="22"/>
        </w:rPr>
      </w:pPr>
      <w:r w:rsidRPr="005B3B88">
        <w:rPr>
          <w:sz w:val="22"/>
          <w:szCs w:val="22"/>
        </w:rPr>
        <w:t xml:space="preserve">V dôsledku vysokej väzbovosti </w:t>
      </w:r>
      <w:r w:rsidR="000379AB" w:rsidRPr="005B3B88">
        <w:rPr>
          <w:sz w:val="22"/>
          <w:szCs w:val="22"/>
        </w:rPr>
        <w:t>rivaroxabán</w:t>
      </w:r>
      <w:r w:rsidRPr="005B3B88">
        <w:rPr>
          <w:sz w:val="22"/>
          <w:szCs w:val="22"/>
        </w:rPr>
        <w:t xml:space="preserve">u na plazmatické bielkoviny sa nepredpokladá, že je dialyzovateľný. </w:t>
      </w:r>
    </w:p>
    <w:p w14:paraId="2C07760E" w14:textId="77777777" w:rsidR="00744C3A" w:rsidRPr="005B3B88" w:rsidRDefault="00744C3A" w:rsidP="00B20146">
      <w:pPr>
        <w:pStyle w:val="Default"/>
        <w:tabs>
          <w:tab w:val="left" w:pos="6096"/>
        </w:tabs>
        <w:rPr>
          <w:sz w:val="22"/>
          <w:szCs w:val="22"/>
        </w:rPr>
      </w:pPr>
    </w:p>
    <w:p w14:paraId="3548D1FA" w14:textId="601B8EC0" w:rsidR="00744C3A" w:rsidRPr="005B3B88" w:rsidRDefault="00744C3A" w:rsidP="00B20146">
      <w:pPr>
        <w:pStyle w:val="Default"/>
        <w:tabs>
          <w:tab w:val="left" w:pos="6096"/>
        </w:tabs>
        <w:rPr>
          <w:sz w:val="22"/>
          <w:szCs w:val="22"/>
        </w:rPr>
      </w:pPr>
      <w:r w:rsidRPr="005B3B88">
        <w:rPr>
          <w:sz w:val="22"/>
          <w:szCs w:val="22"/>
        </w:rPr>
        <w:t>U pacientov s klírensom kreatinínu &lt;</w:t>
      </w:r>
      <w:r w:rsidR="00D02B8E" w:rsidRPr="005B3B88">
        <w:rPr>
          <w:sz w:val="22"/>
          <w:szCs w:val="22"/>
        </w:rPr>
        <w:t> </w:t>
      </w:r>
      <w:r w:rsidRPr="005B3B88">
        <w:rPr>
          <w:sz w:val="22"/>
          <w:szCs w:val="22"/>
        </w:rPr>
        <w:t xml:space="preserve">15 ml/min sa použitie neodporúča. U pacientov s klírensom kreatinínu 15-29 ml/min sa má </w:t>
      </w:r>
      <w:r w:rsidR="001E66BA">
        <w:rPr>
          <w:sz w:val="22"/>
          <w:szCs w:val="22"/>
        </w:rPr>
        <w:t>rivaroxabán</w:t>
      </w:r>
      <w:r w:rsidRPr="005B3B88">
        <w:rPr>
          <w:sz w:val="22"/>
          <w:szCs w:val="22"/>
        </w:rPr>
        <w:t xml:space="preserve"> používať s opatrnosťou (pozri časť 4.4).</w:t>
      </w:r>
    </w:p>
    <w:p w14:paraId="45AC23F5" w14:textId="77777777" w:rsidR="00744C3A" w:rsidRPr="005B3B88" w:rsidRDefault="00744C3A" w:rsidP="00B20146">
      <w:pPr>
        <w:pStyle w:val="Default"/>
        <w:tabs>
          <w:tab w:val="left" w:pos="6096"/>
        </w:tabs>
        <w:rPr>
          <w:sz w:val="22"/>
          <w:szCs w:val="22"/>
        </w:rPr>
      </w:pPr>
    </w:p>
    <w:p w14:paraId="77EC5A6C" w14:textId="77777777" w:rsidR="00744C3A" w:rsidRPr="005B3B88" w:rsidRDefault="00744C3A" w:rsidP="00B20146">
      <w:pPr>
        <w:pStyle w:val="Default"/>
        <w:rPr>
          <w:sz w:val="22"/>
          <w:szCs w:val="22"/>
          <w:u w:val="single"/>
        </w:rPr>
      </w:pPr>
      <w:r w:rsidRPr="005B3B88">
        <w:rPr>
          <w:sz w:val="22"/>
          <w:szCs w:val="22"/>
          <w:u w:val="single"/>
        </w:rPr>
        <w:t xml:space="preserve">Farmakokinetické údaje u pacientov </w:t>
      </w:r>
    </w:p>
    <w:p w14:paraId="4155DB11" w14:textId="274B8EDA" w:rsidR="002A5D03" w:rsidRDefault="002A5D03" w:rsidP="002A5D03">
      <w:pPr>
        <w:pStyle w:val="Default"/>
        <w:tabs>
          <w:tab w:val="left" w:pos="6096"/>
        </w:tabs>
        <w:rPr>
          <w:sz w:val="22"/>
          <w:szCs w:val="22"/>
        </w:rPr>
      </w:pPr>
      <w:r w:rsidRPr="00140159">
        <w:rPr>
          <w:sz w:val="22"/>
          <w:szCs w:val="22"/>
        </w:rPr>
        <w:t>U pacientov dostá</w:t>
      </w:r>
      <w:r w:rsidR="001462B3">
        <w:rPr>
          <w:sz w:val="22"/>
          <w:szCs w:val="22"/>
        </w:rPr>
        <w:t>vajúcich rivaroxabá</w:t>
      </w:r>
      <w:r w:rsidRPr="00140159">
        <w:rPr>
          <w:sz w:val="22"/>
          <w:szCs w:val="22"/>
        </w:rPr>
        <w:t>n 2,5 mg dvakrát denne na prevenciu aterotrombotických príhod u pacientov s</w:t>
      </w:r>
      <w:r>
        <w:rPr>
          <w:sz w:val="22"/>
          <w:szCs w:val="22"/>
        </w:rPr>
        <w:t> </w:t>
      </w:r>
      <w:r w:rsidRPr="00140159">
        <w:rPr>
          <w:sz w:val="22"/>
          <w:szCs w:val="22"/>
        </w:rPr>
        <w:t xml:space="preserve">ACS </w:t>
      </w:r>
      <w:r w:rsidR="001E66BA">
        <w:rPr>
          <w:sz w:val="22"/>
          <w:szCs w:val="22"/>
        </w:rPr>
        <w:t xml:space="preserve">bol </w:t>
      </w:r>
      <w:r w:rsidRPr="00140159">
        <w:rPr>
          <w:sz w:val="22"/>
          <w:szCs w:val="22"/>
        </w:rPr>
        <w:t>geometrick</w:t>
      </w:r>
      <w:r w:rsidR="001E66BA">
        <w:rPr>
          <w:sz w:val="22"/>
          <w:szCs w:val="22"/>
        </w:rPr>
        <w:t>ý priemer</w:t>
      </w:r>
      <w:r w:rsidRPr="00140159">
        <w:rPr>
          <w:sz w:val="22"/>
          <w:szCs w:val="22"/>
        </w:rPr>
        <w:t xml:space="preserve">  koncentráci</w:t>
      </w:r>
      <w:r w:rsidR="001E66BA">
        <w:rPr>
          <w:sz w:val="22"/>
          <w:szCs w:val="22"/>
        </w:rPr>
        <w:t>e</w:t>
      </w:r>
      <w:r w:rsidRPr="00140159">
        <w:rPr>
          <w:sz w:val="22"/>
          <w:szCs w:val="22"/>
        </w:rPr>
        <w:t xml:space="preserve"> (90% predikčný interval) 2 - 4 hodiny a približne 12 hodín po podaní dávky</w:t>
      </w:r>
      <w:r>
        <w:rPr>
          <w:sz w:val="22"/>
          <w:szCs w:val="22"/>
        </w:rPr>
        <w:t xml:space="preserve"> </w:t>
      </w:r>
      <w:r w:rsidRPr="00140159">
        <w:rPr>
          <w:sz w:val="22"/>
          <w:szCs w:val="22"/>
        </w:rPr>
        <w:t>( predstavujúc</w:t>
      </w:r>
      <w:r w:rsidR="001E66BA">
        <w:rPr>
          <w:sz w:val="22"/>
          <w:szCs w:val="22"/>
        </w:rPr>
        <w:t>ej zhruba</w:t>
      </w:r>
      <w:r w:rsidRPr="00140159">
        <w:rPr>
          <w:sz w:val="22"/>
          <w:szCs w:val="22"/>
        </w:rPr>
        <w:t xml:space="preserve"> maximálnu a minimálnu koncentráciu počas dávkovacieho intervalu)  47 (13 - 123) a 9,2 (4,4 - 18) </w:t>
      </w:r>
      <w:r w:rsidR="001E66BA">
        <w:rPr>
          <w:sz w:val="22"/>
          <w:szCs w:val="22"/>
        </w:rPr>
        <w:t>μ</w:t>
      </w:r>
      <w:r w:rsidRPr="00140159">
        <w:rPr>
          <w:sz w:val="22"/>
          <w:szCs w:val="22"/>
        </w:rPr>
        <w:t>g/l.</w:t>
      </w:r>
    </w:p>
    <w:p w14:paraId="15C20281" w14:textId="77777777" w:rsidR="00744C3A" w:rsidRPr="005B3B88" w:rsidRDefault="00744C3A" w:rsidP="00B20146">
      <w:pPr>
        <w:pStyle w:val="Default"/>
        <w:tabs>
          <w:tab w:val="left" w:pos="6096"/>
        </w:tabs>
        <w:rPr>
          <w:sz w:val="22"/>
          <w:szCs w:val="22"/>
        </w:rPr>
      </w:pPr>
    </w:p>
    <w:p w14:paraId="4EE6D4D9" w14:textId="77777777" w:rsidR="00744C3A" w:rsidRPr="005B3B88" w:rsidRDefault="00744C3A" w:rsidP="00B20146">
      <w:pPr>
        <w:pStyle w:val="Default"/>
        <w:tabs>
          <w:tab w:val="left" w:pos="6096"/>
        </w:tabs>
        <w:rPr>
          <w:sz w:val="22"/>
          <w:szCs w:val="22"/>
        </w:rPr>
      </w:pPr>
    </w:p>
    <w:p w14:paraId="08805556" w14:textId="77777777" w:rsidR="00744C3A" w:rsidRPr="005B3B88" w:rsidRDefault="00744C3A" w:rsidP="00B20146">
      <w:pPr>
        <w:pStyle w:val="Default"/>
        <w:rPr>
          <w:sz w:val="22"/>
          <w:szCs w:val="22"/>
          <w:u w:val="single"/>
        </w:rPr>
      </w:pPr>
      <w:r w:rsidRPr="005B3B88">
        <w:rPr>
          <w:sz w:val="22"/>
          <w:szCs w:val="22"/>
          <w:u w:val="single"/>
        </w:rPr>
        <w:t xml:space="preserve">Farmakokinetický/farmakodynamický </w:t>
      </w:r>
      <w:r w:rsidR="00D02B8E" w:rsidRPr="005B3B88">
        <w:rPr>
          <w:sz w:val="22"/>
          <w:szCs w:val="22"/>
          <w:u w:val="single"/>
        </w:rPr>
        <w:t>vzťah</w:t>
      </w:r>
      <w:r w:rsidRPr="005B3B88">
        <w:rPr>
          <w:sz w:val="22"/>
          <w:szCs w:val="22"/>
          <w:u w:val="single"/>
        </w:rPr>
        <w:t xml:space="preserve"> </w:t>
      </w:r>
    </w:p>
    <w:p w14:paraId="3E56892D" w14:textId="4D33BFD5" w:rsidR="00744C3A" w:rsidRPr="005B3B88" w:rsidRDefault="00744C3A" w:rsidP="00B20146">
      <w:pPr>
        <w:pStyle w:val="Default"/>
        <w:tabs>
          <w:tab w:val="left" w:pos="6096"/>
        </w:tabs>
        <w:rPr>
          <w:sz w:val="22"/>
          <w:szCs w:val="22"/>
        </w:rPr>
      </w:pPr>
      <w:r w:rsidRPr="005B3B88">
        <w:rPr>
          <w:sz w:val="22"/>
          <w:szCs w:val="22"/>
        </w:rPr>
        <w:t xml:space="preserve">Farmakokinetický/farmakodynamický (PK/PD) </w:t>
      </w:r>
      <w:r w:rsidR="00D02B8E" w:rsidRPr="005B3B88">
        <w:rPr>
          <w:sz w:val="22"/>
          <w:szCs w:val="22"/>
        </w:rPr>
        <w:t>vzťah</w:t>
      </w:r>
      <w:r w:rsidRPr="005B3B88">
        <w:rPr>
          <w:sz w:val="22"/>
          <w:szCs w:val="22"/>
        </w:rPr>
        <w:t xml:space="preserve"> medzi plazmatickou koncentráciou </w:t>
      </w:r>
      <w:r w:rsidR="000379AB" w:rsidRPr="005B3B88">
        <w:rPr>
          <w:sz w:val="22"/>
          <w:szCs w:val="22"/>
        </w:rPr>
        <w:t>rivaroxabán</w:t>
      </w:r>
      <w:r w:rsidRPr="005B3B88">
        <w:rPr>
          <w:sz w:val="22"/>
          <w:szCs w:val="22"/>
        </w:rPr>
        <w:t xml:space="preserve">u a niektorými </w:t>
      </w:r>
      <w:r w:rsidR="006E6BA0">
        <w:rPr>
          <w:sz w:val="22"/>
          <w:szCs w:val="22"/>
        </w:rPr>
        <w:t>cieľovými</w:t>
      </w:r>
      <w:r w:rsidR="006E6BA0" w:rsidRPr="005B3B88">
        <w:rPr>
          <w:sz w:val="22"/>
          <w:szCs w:val="22"/>
        </w:rPr>
        <w:t xml:space="preserve"> </w:t>
      </w:r>
      <w:r w:rsidRPr="005B3B88">
        <w:rPr>
          <w:sz w:val="22"/>
          <w:szCs w:val="22"/>
        </w:rPr>
        <w:t xml:space="preserve">ukazovateľmi </w:t>
      </w:r>
      <w:r w:rsidR="00D02B8E" w:rsidRPr="005B3B88">
        <w:rPr>
          <w:sz w:val="22"/>
          <w:szCs w:val="22"/>
        </w:rPr>
        <w:t xml:space="preserve">PD </w:t>
      </w:r>
      <w:r w:rsidRPr="005B3B88">
        <w:rPr>
          <w:sz w:val="22"/>
          <w:szCs w:val="22"/>
        </w:rPr>
        <w:t xml:space="preserve">(inhibícia faktora Xa, PT, aPTT, HepTest) sa skúmal po podaní širokého spektra dávok (5-30 mg dvakrát denne). </w:t>
      </w:r>
      <w:r w:rsidR="00D02B8E" w:rsidRPr="005B3B88">
        <w:rPr>
          <w:sz w:val="22"/>
          <w:szCs w:val="22"/>
        </w:rPr>
        <w:t>Vzťah</w:t>
      </w:r>
      <w:r w:rsidRPr="005B3B88">
        <w:rPr>
          <w:sz w:val="22"/>
          <w:szCs w:val="22"/>
        </w:rPr>
        <w:t xml:space="preserve"> medzi koncentráciou </w:t>
      </w:r>
      <w:r w:rsidR="000379AB" w:rsidRPr="005B3B88">
        <w:rPr>
          <w:sz w:val="22"/>
          <w:szCs w:val="22"/>
        </w:rPr>
        <w:t>rivaroxabán</w:t>
      </w:r>
      <w:r w:rsidRPr="005B3B88">
        <w:rPr>
          <w:sz w:val="22"/>
          <w:szCs w:val="22"/>
        </w:rPr>
        <w:t>u a aktivitou faktora Xa bol najlepšie opísaný modelom E</w:t>
      </w:r>
      <w:r w:rsidRPr="005B3B88">
        <w:rPr>
          <w:sz w:val="14"/>
          <w:szCs w:val="14"/>
        </w:rPr>
        <w:t>max</w:t>
      </w:r>
      <w:r w:rsidRPr="005B3B88">
        <w:rPr>
          <w:sz w:val="22"/>
          <w:szCs w:val="22"/>
        </w:rPr>
        <w:t xml:space="preserve">. </w:t>
      </w:r>
      <w:r w:rsidR="00D02B8E" w:rsidRPr="005B3B88">
        <w:rPr>
          <w:sz w:val="22"/>
          <w:szCs w:val="22"/>
        </w:rPr>
        <w:t>L</w:t>
      </w:r>
      <w:r w:rsidRPr="005B3B88">
        <w:rPr>
          <w:sz w:val="22"/>
          <w:szCs w:val="22"/>
        </w:rPr>
        <w:t xml:space="preserve">ineárny intercepčný model spravidla opisuje údaje </w:t>
      </w:r>
      <w:r w:rsidR="00D02B8E" w:rsidRPr="005B3B88">
        <w:rPr>
          <w:sz w:val="22"/>
          <w:szCs w:val="22"/>
        </w:rPr>
        <w:t xml:space="preserve">pre PT </w:t>
      </w:r>
      <w:r w:rsidRPr="005B3B88">
        <w:rPr>
          <w:sz w:val="22"/>
          <w:szCs w:val="22"/>
        </w:rPr>
        <w:t xml:space="preserve">lepšie. V závislosti od rôznych použitých reagencií na PT sa </w:t>
      </w:r>
      <w:r w:rsidR="005D42E3" w:rsidRPr="005B3B88">
        <w:rPr>
          <w:sz w:val="22"/>
          <w:szCs w:val="22"/>
        </w:rPr>
        <w:t>hodnoty</w:t>
      </w:r>
      <w:r w:rsidRPr="005B3B88">
        <w:rPr>
          <w:sz w:val="22"/>
          <w:szCs w:val="22"/>
        </w:rPr>
        <w:t xml:space="preserve"> výrazne odlišoval</w:t>
      </w:r>
      <w:r w:rsidR="005D42E3" w:rsidRPr="005B3B88">
        <w:rPr>
          <w:sz w:val="22"/>
          <w:szCs w:val="22"/>
        </w:rPr>
        <w:t>i</w:t>
      </w:r>
      <w:r w:rsidRPr="005B3B88">
        <w:rPr>
          <w:sz w:val="22"/>
          <w:szCs w:val="22"/>
        </w:rPr>
        <w:t>. Keď sa použil na PT Neoplast</w:t>
      </w:r>
      <w:r w:rsidR="00D02B8E" w:rsidRPr="005B3B88">
        <w:rPr>
          <w:sz w:val="22"/>
          <w:szCs w:val="22"/>
        </w:rPr>
        <w:t>i</w:t>
      </w:r>
      <w:r w:rsidRPr="005B3B88">
        <w:rPr>
          <w:sz w:val="22"/>
          <w:szCs w:val="22"/>
        </w:rPr>
        <w:t xml:space="preserve">n, východisková hodnota PT bola asi 13 s a </w:t>
      </w:r>
      <w:r w:rsidR="005D42E3" w:rsidRPr="005B3B88">
        <w:rPr>
          <w:sz w:val="22"/>
          <w:szCs w:val="22"/>
        </w:rPr>
        <w:t>odchýlky</w:t>
      </w:r>
      <w:r w:rsidRPr="005B3B88">
        <w:rPr>
          <w:sz w:val="22"/>
          <w:szCs w:val="22"/>
        </w:rPr>
        <w:t xml:space="preserve"> bol</w:t>
      </w:r>
      <w:r w:rsidR="005D42E3" w:rsidRPr="005B3B88">
        <w:rPr>
          <w:sz w:val="22"/>
          <w:szCs w:val="22"/>
        </w:rPr>
        <w:t>i</w:t>
      </w:r>
      <w:r w:rsidRPr="005B3B88">
        <w:rPr>
          <w:sz w:val="22"/>
          <w:szCs w:val="22"/>
        </w:rPr>
        <w:t xml:space="preserve"> okolo 3 až 4 s/(100 μg/l). Výsledky analýz PK/PD vo fáze II a III boli zhodné s údajmi zistenými u zdravých </w:t>
      </w:r>
      <w:r w:rsidR="006E6BA0">
        <w:rPr>
          <w:sz w:val="22"/>
          <w:szCs w:val="22"/>
        </w:rPr>
        <w:t>osôb</w:t>
      </w:r>
      <w:r w:rsidRPr="005B3B88">
        <w:rPr>
          <w:sz w:val="22"/>
          <w:szCs w:val="22"/>
        </w:rPr>
        <w:t>.</w:t>
      </w:r>
    </w:p>
    <w:p w14:paraId="18D96163" w14:textId="77777777" w:rsidR="00744C3A" w:rsidRPr="005B3B88" w:rsidRDefault="00744C3A" w:rsidP="00B20146">
      <w:pPr>
        <w:pStyle w:val="Default"/>
        <w:tabs>
          <w:tab w:val="left" w:pos="6096"/>
        </w:tabs>
        <w:rPr>
          <w:sz w:val="22"/>
          <w:szCs w:val="22"/>
        </w:rPr>
      </w:pPr>
    </w:p>
    <w:p w14:paraId="6679C4DD" w14:textId="77777777" w:rsidR="00744C3A" w:rsidRPr="005B3B88" w:rsidRDefault="00744C3A" w:rsidP="00B20146">
      <w:pPr>
        <w:pStyle w:val="Default"/>
        <w:rPr>
          <w:sz w:val="22"/>
          <w:szCs w:val="22"/>
          <w:u w:val="single"/>
        </w:rPr>
      </w:pPr>
      <w:r w:rsidRPr="005B3B88">
        <w:rPr>
          <w:sz w:val="22"/>
          <w:szCs w:val="22"/>
          <w:u w:val="single"/>
        </w:rPr>
        <w:t xml:space="preserve">Pediatrická populácia </w:t>
      </w:r>
    </w:p>
    <w:p w14:paraId="68825170" w14:textId="77777777" w:rsidR="00744C3A" w:rsidRPr="005B3B88" w:rsidRDefault="00744C3A" w:rsidP="00B20146">
      <w:pPr>
        <w:pStyle w:val="Default"/>
        <w:tabs>
          <w:tab w:val="left" w:pos="6096"/>
        </w:tabs>
        <w:rPr>
          <w:sz w:val="22"/>
          <w:szCs w:val="22"/>
        </w:rPr>
      </w:pPr>
      <w:r w:rsidRPr="005B3B88">
        <w:rPr>
          <w:sz w:val="22"/>
          <w:szCs w:val="22"/>
        </w:rPr>
        <w:t>Bezpečnosť a účinnosť u detí a dospievajúcich do 18 rokov nebola stanovená.</w:t>
      </w:r>
    </w:p>
    <w:p w14:paraId="6A7B18E4" w14:textId="77777777" w:rsidR="00744C3A" w:rsidRPr="005B3B88" w:rsidRDefault="00744C3A" w:rsidP="00B20146">
      <w:pPr>
        <w:pStyle w:val="Default"/>
        <w:tabs>
          <w:tab w:val="left" w:pos="6096"/>
        </w:tabs>
        <w:rPr>
          <w:sz w:val="22"/>
          <w:szCs w:val="22"/>
        </w:rPr>
      </w:pPr>
    </w:p>
    <w:p w14:paraId="0F76CF8D" w14:textId="77777777" w:rsidR="00744C3A" w:rsidRPr="005B3B88" w:rsidRDefault="00744C3A" w:rsidP="00D02B8E">
      <w:pPr>
        <w:pStyle w:val="Default"/>
        <w:tabs>
          <w:tab w:val="left" w:pos="567"/>
        </w:tabs>
        <w:rPr>
          <w:b/>
          <w:bCs/>
          <w:sz w:val="22"/>
          <w:szCs w:val="22"/>
        </w:rPr>
      </w:pPr>
      <w:r w:rsidRPr="005B3B88">
        <w:rPr>
          <w:b/>
          <w:bCs/>
          <w:sz w:val="22"/>
          <w:szCs w:val="22"/>
        </w:rPr>
        <w:t>5.3</w:t>
      </w:r>
      <w:r w:rsidR="00D02B8E" w:rsidRPr="005B3B88">
        <w:rPr>
          <w:b/>
          <w:bCs/>
          <w:sz w:val="22"/>
          <w:szCs w:val="22"/>
        </w:rPr>
        <w:tab/>
      </w:r>
      <w:r w:rsidRPr="005B3B88">
        <w:rPr>
          <w:b/>
          <w:bCs/>
          <w:sz w:val="22"/>
          <w:szCs w:val="22"/>
        </w:rPr>
        <w:t xml:space="preserve">Predklinické údaje o bezpečnosti </w:t>
      </w:r>
    </w:p>
    <w:p w14:paraId="5C051D34" w14:textId="77777777" w:rsidR="00744C3A" w:rsidRPr="005B3B88" w:rsidRDefault="00744C3A" w:rsidP="00B20146">
      <w:pPr>
        <w:pStyle w:val="Default"/>
        <w:rPr>
          <w:sz w:val="22"/>
          <w:szCs w:val="22"/>
        </w:rPr>
      </w:pPr>
    </w:p>
    <w:p w14:paraId="4B3E2A95" w14:textId="555339FA" w:rsidR="00744C3A" w:rsidRPr="005B3B88" w:rsidRDefault="00744C3A" w:rsidP="00B20146">
      <w:pPr>
        <w:pStyle w:val="Default"/>
        <w:rPr>
          <w:sz w:val="22"/>
          <w:szCs w:val="22"/>
        </w:rPr>
      </w:pPr>
      <w:r w:rsidRPr="005B3B88">
        <w:rPr>
          <w:sz w:val="22"/>
          <w:szCs w:val="22"/>
        </w:rPr>
        <w:t xml:space="preserve">Predklinické údaje získané na základe obvyklých farmakologických </w:t>
      </w:r>
      <w:r w:rsidR="006E6BA0">
        <w:rPr>
          <w:sz w:val="22"/>
          <w:szCs w:val="22"/>
        </w:rPr>
        <w:t>štúdií</w:t>
      </w:r>
      <w:r w:rsidRPr="005B3B88">
        <w:rPr>
          <w:sz w:val="22"/>
          <w:szCs w:val="22"/>
        </w:rPr>
        <w:t xml:space="preserve"> bezpečnosti, toxicity po jednorazovom podávaní, fototoxicity, genotoxicity, karcinogénneho potenciálu a juvenilnej toxicity neodhalili žiadne osobitné riziko pre ľudí. </w:t>
      </w:r>
    </w:p>
    <w:p w14:paraId="2AF4760A" w14:textId="77777777" w:rsidR="00744C3A" w:rsidRPr="005B3B88" w:rsidRDefault="00744C3A" w:rsidP="00B20146">
      <w:pPr>
        <w:pStyle w:val="Default"/>
        <w:rPr>
          <w:sz w:val="22"/>
          <w:szCs w:val="22"/>
        </w:rPr>
      </w:pPr>
    </w:p>
    <w:p w14:paraId="7F612449" w14:textId="77777777" w:rsidR="00744C3A" w:rsidRPr="005B3B88" w:rsidRDefault="00744C3A" w:rsidP="00B20146">
      <w:pPr>
        <w:pStyle w:val="Default"/>
        <w:rPr>
          <w:sz w:val="22"/>
          <w:szCs w:val="22"/>
        </w:rPr>
      </w:pPr>
      <w:r w:rsidRPr="005B3B88">
        <w:rPr>
          <w:sz w:val="22"/>
          <w:szCs w:val="22"/>
        </w:rPr>
        <w:t xml:space="preserve">Účinky, ktoré sa pozorovali v skúšaniach toxicity po opakovanom podávaní boli zväčša v dôsledku zvýšenej farmakodynamickej aktivity </w:t>
      </w:r>
      <w:r w:rsidR="000379AB" w:rsidRPr="005B3B88">
        <w:rPr>
          <w:sz w:val="22"/>
          <w:szCs w:val="22"/>
        </w:rPr>
        <w:t>rivaroxabán</w:t>
      </w:r>
      <w:r w:rsidRPr="005B3B88">
        <w:rPr>
          <w:sz w:val="22"/>
          <w:szCs w:val="22"/>
        </w:rPr>
        <w:t xml:space="preserve">u. Pri klinicky relevantných hladinách expozície sa u potkanov pozorovali zvýšené plazmatické hladiny IgG a IgA. </w:t>
      </w:r>
    </w:p>
    <w:p w14:paraId="4CBA0FBC" w14:textId="77777777" w:rsidR="00744C3A" w:rsidRPr="005B3B88" w:rsidRDefault="00744C3A" w:rsidP="00B20146">
      <w:pPr>
        <w:pStyle w:val="Default"/>
        <w:rPr>
          <w:sz w:val="22"/>
          <w:szCs w:val="22"/>
        </w:rPr>
      </w:pPr>
    </w:p>
    <w:p w14:paraId="18FA8C05" w14:textId="77777777" w:rsidR="00744C3A" w:rsidRPr="005B3B88" w:rsidRDefault="00744C3A" w:rsidP="00B20146">
      <w:pPr>
        <w:pStyle w:val="Default"/>
        <w:tabs>
          <w:tab w:val="left" w:pos="6096"/>
        </w:tabs>
        <w:rPr>
          <w:sz w:val="22"/>
          <w:szCs w:val="22"/>
        </w:rPr>
      </w:pPr>
      <w:r w:rsidRPr="005B3B88">
        <w:rPr>
          <w:sz w:val="22"/>
          <w:szCs w:val="22"/>
        </w:rPr>
        <w:t xml:space="preserve">Na potkanoch sa nepozorovali žiadne vplyvy na fertilitu samcov a samíc. Skúšania na zvieratách ukázali reprodukčnú toxicitu súvisiacu s farmakologickým mechanizmom účinku </w:t>
      </w:r>
      <w:r w:rsidR="000379AB" w:rsidRPr="005B3B88">
        <w:rPr>
          <w:sz w:val="22"/>
          <w:szCs w:val="22"/>
        </w:rPr>
        <w:t>rivaroxabán</w:t>
      </w:r>
      <w:r w:rsidRPr="005B3B88">
        <w:rPr>
          <w:sz w:val="22"/>
          <w:szCs w:val="22"/>
        </w:rPr>
        <w:t xml:space="preserve">u (napr. krvácavé komplikácie). Pri klinicky relevantných plazmatických koncentráciách sa pozorovala embryo-fetálna toxicita (postimplantačná strata, oneskorená/pokročilá osifikácia, viacnásobné svetlé </w:t>
      </w:r>
      <w:r w:rsidR="005D42E3" w:rsidRPr="005B3B88">
        <w:rPr>
          <w:sz w:val="22"/>
          <w:szCs w:val="22"/>
        </w:rPr>
        <w:t>škvrny</w:t>
      </w:r>
      <w:r w:rsidRPr="005B3B88">
        <w:rPr>
          <w:sz w:val="22"/>
          <w:szCs w:val="22"/>
        </w:rPr>
        <w:t xml:space="preserve"> na pečeni) a zvýšený výskyt zvyčajných malformácií, ako aj zmeny na placente. V </w:t>
      </w:r>
      <w:r w:rsidRPr="005B3B88">
        <w:rPr>
          <w:sz w:val="22"/>
          <w:szCs w:val="22"/>
        </w:rPr>
        <w:lastRenderedPageBreak/>
        <w:t>prenatálnom a postnatálnom skúšaní u potkanov sa pozorovala znížená životaschopnosť potomkov pri dávkach, ktoré boli toxické pre matky.</w:t>
      </w:r>
    </w:p>
    <w:p w14:paraId="5EDA64CC" w14:textId="77777777" w:rsidR="00744C3A" w:rsidRPr="005B3B88" w:rsidRDefault="00744C3A" w:rsidP="00B20146">
      <w:pPr>
        <w:pStyle w:val="Default"/>
        <w:tabs>
          <w:tab w:val="left" w:pos="6096"/>
        </w:tabs>
        <w:rPr>
          <w:sz w:val="22"/>
          <w:szCs w:val="22"/>
        </w:rPr>
      </w:pPr>
    </w:p>
    <w:p w14:paraId="7B59BCCC" w14:textId="77777777" w:rsidR="00744C3A" w:rsidRPr="005B3B88" w:rsidRDefault="00744C3A" w:rsidP="00B20146">
      <w:pPr>
        <w:pStyle w:val="Default"/>
        <w:rPr>
          <w:b/>
          <w:bCs/>
          <w:sz w:val="22"/>
          <w:szCs w:val="22"/>
        </w:rPr>
      </w:pPr>
    </w:p>
    <w:p w14:paraId="3CACE462" w14:textId="77777777" w:rsidR="00744C3A" w:rsidRPr="005B3B88" w:rsidRDefault="00744C3A" w:rsidP="005D42E3">
      <w:pPr>
        <w:pStyle w:val="Default"/>
        <w:tabs>
          <w:tab w:val="left" w:pos="567"/>
        </w:tabs>
        <w:rPr>
          <w:b/>
          <w:bCs/>
          <w:sz w:val="22"/>
          <w:szCs w:val="22"/>
        </w:rPr>
      </w:pPr>
      <w:r w:rsidRPr="005B3B88">
        <w:rPr>
          <w:b/>
          <w:bCs/>
          <w:sz w:val="22"/>
          <w:szCs w:val="22"/>
        </w:rPr>
        <w:t>6.</w:t>
      </w:r>
      <w:r w:rsidR="005D42E3" w:rsidRPr="005B3B88">
        <w:rPr>
          <w:b/>
          <w:bCs/>
          <w:sz w:val="22"/>
          <w:szCs w:val="22"/>
        </w:rPr>
        <w:tab/>
      </w:r>
      <w:r w:rsidRPr="005B3B88">
        <w:rPr>
          <w:b/>
          <w:bCs/>
          <w:sz w:val="22"/>
          <w:szCs w:val="22"/>
        </w:rPr>
        <w:t xml:space="preserve">FARMACEUTICKÉ INFORMÁCIE </w:t>
      </w:r>
    </w:p>
    <w:p w14:paraId="4FC24A42" w14:textId="77777777" w:rsidR="00744C3A" w:rsidRPr="005B3B88" w:rsidRDefault="00744C3A" w:rsidP="00B20146">
      <w:pPr>
        <w:pStyle w:val="Default"/>
        <w:rPr>
          <w:sz w:val="22"/>
          <w:szCs w:val="22"/>
        </w:rPr>
      </w:pPr>
    </w:p>
    <w:p w14:paraId="6BA7AAD4" w14:textId="77777777" w:rsidR="00744C3A" w:rsidRPr="005B3B88" w:rsidRDefault="00744C3A" w:rsidP="005D42E3">
      <w:pPr>
        <w:pStyle w:val="Default"/>
        <w:tabs>
          <w:tab w:val="left" w:pos="567"/>
        </w:tabs>
        <w:rPr>
          <w:b/>
          <w:bCs/>
          <w:sz w:val="22"/>
          <w:szCs w:val="22"/>
        </w:rPr>
      </w:pPr>
      <w:r w:rsidRPr="005B3B88">
        <w:rPr>
          <w:b/>
          <w:bCs/>
          <w:sz w:val="22"/>
          <w:szCs w:val="22"/>
        </w:rPr>
        <w:t>6.1</w:t>
      </w:r>
      <w:r w:rsidR="005D42E3" w:rsidRPr="005B3B88">
        <w:rPr>
          <w:b/>
          <w:bCs/>
          <w:sz w:val="22"/>
          <w:szCs w:val="22"/>
        </w:rPr>
        <w:tab/>
      </w:r>
      <w:r w:rsidRPr="005B3B88">
        <w:rPr>
          <w:b/>
          <w:bCs/>
          <w:sz w:val="22"/>
          <w:szCs w:val="22"/>
        </w:rPr>
        <w:t xml:space="preserve">Zoznam pomocných látok </w:t>
      </w:r>
    </w:p>
    <w:p w14:paraId="1A517397" w14:textId="77777777" w:rsidR="00744C3A" w:rsidRPr="005B3B88" w:rsidRDefault="00744C3A" w:rsidP="00B20146">
      <w:pPr>
        <w:pStyle w:val="Default"/>
        <w:rPr>
          <w:sz w:val="22"/>
          <w:szCs w:val="22"/>
        </w:rPr>
      </w:pPr>
    </w:p>
    <w:p w14:paraId="41CC22F9" w14:textId="77777777" w:rsidR="00744C3A" w:rsidRPr="001C67E9" w:rsidRDefault="00744C3A" w:rsidP="00B20146">
      <w:pPr>
        <w:pStyle w:val="Default"/>
        <w:tabs>
          <w:tab w:val="left" w:pos="6096"/>
        </w:tabs>
        <w:rPr>
          <w:i/>
          <w:sz w:val="22"/>
          <w:szCs w:val="22"/>
        </w:rPr>
      </w:pPr>
      <w:r w:rsidRPr="001C67E9">
        <w:rPr>
          <w:i/>
          <w:sz w:val="22"/>
          <w:szCs w:val="22"/>
        </w:rPr>
        <w:t>Jadro tablety:</w:t>
      </w:r>
    </w:p>
    <w:p w14:paraId="4F66905C" w14:textId="77777777" w:rsidR="001375F7" w:rsidRDefault="006C5FEA" w:rsidP="00B20146">
      <w:pPr>
        <w:pStyle w:val="Default"/>
        <w:tabs>
          <w:tab w:val="left" w:pos="6096"/>
        </w:tabs>
        <w:rPr>
          <w:sz w:val="22"/>
          <w:szCs w:val="22"/>
        </w:rPr>
      </w:pPr>
      <w:r>
        <w:rPr>
          <w:sz w:val="22"/>
          <w:szCs w:val="22"/>
        </w:rPr>
        <w:t>m</w:t>
      </w:r>
      <w:r w:rsidR="001375F7" w:rsidRPr="005B3B88">
        <w:rPr>
          <w:sz w:val="22"/>
          <w:szCs w:val="22"/>
        </w:rPr>
        <w:t>onohydrát</w:t>
      </w:r>
      <w:r>
        <w:rPr>
          <w:sz w:val="22"/>
          <w:szCs w:val="22"/>
        </w:rPr>
        <w:t xml:space="preserve"> laktózy</w:t>
      </w:r>
    </w:p>
    <w:p w14:paraId="2CBCF476" w14:textId="77777777" w:rsidR="00B17A11" w:rsidRPr="005B3B88" w:rsidRDefault="00B17A11" w:rsidP="00B17A11">
      <w:pPr>
        <w:pStyle w:val="Default"/>
        <w:tabs>
          <w:tab w:val="left" w:pos="6096"/>
        </w:tabs>
        <w:rPr>
          <w:sz w:val="22"/>
          <w:szCs w:val="22"/>
        </w:rPr>
      </w:pPr>
      <w:r>
        <w:rPr>
          <w:sz w:val="22"/>
          <w:szCs w:val="22"/>
        </w:rPr>
        <w:t>mikrokryštalická celulóza</w:t>
      </w:r>
    </w:p>
    <w:p w14:paraId="67FB20F1" w14:textId="74E3FF5D" w:rsidR="001375F7" w:rsidRDefault="006E6BA0" w:rsidP="00B20146">
      <w:pPr>
        <w:pStyle w:val="Default"/>
        <w:tabs>
          <w:tab w:val="left" w:pos="6096"/>
        </w:tabs>
        <w:rPr>
          <w:sz w:val="22"/>
          <w:szCs w:val="22"/>
        </w:rPr>
      </w:pPr>
      <w:r>
        <w:rPr>
          <w:sz w:val="22"/>
          <w:szCs w:val="22"/>
        </w:rPr>
        <w:t xml:space="preserve">sodná soľ </w:t>
      </w:r>
      <w:r w:rsidR="001375F7" w:rsidRPr="005B3B88">
        <w:rPr>
          <w:sz w:val="22"/>
          <w:szCs w:val="22"/>
        </w:rPr>
        <w:t>kroskarmelóz</w:t>
      </w:r>
      <w:r>
        <w:rPr>
          <w:sz w:val="22"/>
          <w:szCs w:val="22"/>
        </w:rPr>
        <w:t>y</w:t>
      </w:r>
    </w:p>
    <w:p w14:paraId="282BA1BB" w14:textId="77777777" w:rsidR="00B17A11" w:rsidRDefault="00B17A11" w:rsidP="00B20146">
      <w:pPr>
        <w:pStyle w:val="Default"/>
        <w:tabs>
          <w:tab w:val="left" w:pos="6096"/>
        </w:tabs>
        <w:rPr>
          <w:sz w:val="22"/>
          <w:szCs w:val="22"/>
        </w:rPr>
      </w:pPr>
      <w:r>
        <w:rPr>
          <w:sz w:val="22"/>
          <w:szCs w:val="22"/>
        </w:rPr>
        <w:t xml:space="preserve">hypromelóza </w:t>
      </w:r>
    </w:p>
    <w:p w14:paraId="2CE85728" w14:textId="77777777" w:rsidR="00B17A11" w:rsidRPr="005B3B88" w:rsidRDefault="00B17A11" w:rsidP="00B17A11">
      <w:pPr>
        <w:pStyle w:val="Default"/>
        <w:tabs>
          <w:tab w:val="left" w:pos="6096"/>
        </w:tabs>
        <w:rPr>
          <w:sz w:val="22"/>
          <w:szCs w:val="22"/>
        </w:rPr>
      </w:pPr>
      <w:r w:rsidRPr="005B3B88">
        <w:rPr>
          <w:sz w:val="22"/>
          <w:szCs w:val="22"/>
        </w:rPr>
        <w:t>laurylsíran sodný</w:t>
      </w:r>
    </w:p>
    <w:p w14:paraId="6864534C" w14:textId="69C880ED" w:rsidR="001375F7" w:rsidRPr="005B3B88" w:rsidRDefault="001375F7" w:rsidP="00B20146">
      <w:pPr>
        <w:pStyle w:val="Default"/>
        <w:tabs>
          <w:tab w:val="left" w:pos="6096"/>
        </w:tabs>
        <w:rPr>
          <w:sz w:val="22"/>
          <w:szCs w:val="22"/>
        </w:rPr>
      </w:pPr>
      <w:r w:rsidRPr="005B3B88">
        <w:rPr>
          <w:sz w:val="22"/>
          <w:szCs w:val="22"/>
        </w:rPr>
        <w:t>stear</w:t>
      </w:r>
      <w:r w:rsidR="006E6BA0">
        <w:rPr>
          <w:sz w:val="22"/>
          <w:szCs w:val="22"/>
        </w:rPr>
        <w:t>át</w:t>
      </w:r>
      <w:r w:rsidRPr="005B3B88">
        <w:rPr>
          <w:sz w:val="22"/>
          <w:szCs w:val="22"/>
        </w:rPr>
        <w:t xml:space="preserve"> horečnatý</w:t>
      </w:r>
    </w:p>
    <w:p w14:paraId="6BDC8C88" w14:textId="77777777" w:rsidR="001375F7" w:rsidRPr="005B3B88" w:rsidRDefault="001375F7" w:rsidP="00B20146">
      <w:pPr>
        <w:pStyle w:val="Default"/>
        <w:tabs>
          <w:tab w:val="left" w:pos="6096"/>
        </w:tabs>
        <w:rPr>
          <w:sz w:val="22"/>
          <w:szCs w:val="22"/>
          <w:u w:val="single"/>
        </w:rPr>
      </w:pPr>
    </w:p>
    <w:p w14:paraId="07083C43" w14:textId="77777777" w:rsidR="001375F7" w:rsidRPr="006C5FEA" w:rsidRDefault="001375F7" w:rsidP="00B20146">
      <w:pPr>
        <w:pStyle w:val="Default"/>
        <w:rPr>
          <w:i/>
          <w:sz w:val="22"/>
          <w:szCs w:val="22"/>
        </w:rPr>
      </w:pPr>
      <w:r w:rsidRPr="001C67E9">
        <w:rPr>
          <w:i/>
          <w:sz w:val="22"/>
          <w:szCs w:val="22"/>
        </w:rPr>
        <w:t>Filmový obal</w:t>
      </w:r>
      <w:r w:rsidR="00BE7E00" w:rsidRPr="001C67E9">
        <w:rPr>
          <w:i/>
          <w:sz w:val="22"/>
          <w:szCs w:val="22"/>
        </w:rPr>
        <w:t>:</w:t>
      </w:r>
      <w:r w:rsidR="00BE7E00" w:rsidRPr="00BE7E00">
        <w:rPr>
          <w:sz w:val="22"/>
          <w:szCs w:val="22"/>
        </w:rPr>
        <w:t xml:space="preserve"> </w:t>
      </w:r>
      <w:r w:rsidR="006C5FEA" w:rsidRPr="006C5FEA">
        <w:rPr>
          <w:i/>
          <w:sz w:val="22"/>
          <w:szCs w:val="22"/>
        </w:rPr>
        <w:t>(</w:t>
      </w:r>
      <w:r w:rsidR="00B17A11" w:rsidRPr="006C5FEA">
        <w:rPr>
          <w:i/>
          <w:sz w:val="22"/>
          <w:szCs w:val="22"/>
        </w:rPr>
        <w:t xml:space="preserve">Opadry </w:t>
      </w:r>
      <w:r w:rsidR="006C5FEA" w:rsidRPr="006C5FEA">
        <w:rPr>
          <w:i/>
          <w:sz w:val="22"/>
          <w:szCs w:val="22"/>
        </w:rPr>
        <w:t>žltá</w:t>
      </w:r>
      <w:r w:rsidR="00B17A11" w:rsidRPr="006C5FEA">
        <w:rPr>
          <w:i/>
          <w:sz w:val="22"/>
          <w:szCs w:val="22"/>
        </w:rPr>
        <w:t xml:space="preserve"> 03F5</w:t>
      </w:r>
      <w:r w:rsidR="006C5FEA" w:rsidRPr="006C5FEA">
        <w:rPr>
          <w:rFonts w:eastAsia="Times New Roman"/>
          <w:i/>
        </w:rPr>
        <w:t>20307</w:t>
      </w:r>
      <w:r w:rsidR="006C5FEA" w:rsidRPr="006C5FEA">
        <w:rPr>
          <w:i/>
          <w:sz w:val="22"/>
          <w:szCs w:val="22"/>
        </w:rPr>
        <w:t>)</w:t>
      </w:r>
    </w:p>
    <w:p w14:paraId="61FC9DBF" w14:textId="77777777" w:rsidR="001375F7" w:rsidRPr="005B3B88" w:rsidRDefault="001375F7" w:rsidP="00B20146">
      <w:pPr>
        <w:pStyle w:val="Default"/>
        <w:tabs>
          <w:tab w:val="left" w:pos="6096"/>
        </w:tabs>
        <w:rPr>
          <w:sz w:val="22"/>
          <w:szCs w:val="22"/>
        </w:rPr>
      </w:pPr>
      <w:r w:rsidRPr="005B3B88">
        <w:rPr>
          <w:sz w:val="22"/>
          <w:szCs w:val="22"/>
        </w:rPr>
        <w:t>hypromelóza</w:t>
      </w:r>
    </w:p>
    <w:p w14:paraId="333C8633" w14:textId="77777777" w:rsidR="001375F7" w:rsidRDefault="001375F7" w:rsidP="00B20146">
      <w:pPr>
        <w:pStyle w:val="Default"/>
        <w:rPr>
          <w:sz w:val="22"/>
          <w:szCs w:val="22"/>
        </w:rPr>
      </w:pPr>
      <w:r w:rsidRPr="005B3B88">
        <w:rPr>
          <w:sz w:val="22"/>
          <w:szCs w:val="22"/>
        </w:rPr>
        <w:t xml:space="preserve">oxid titaničitý (E 171) </w:t>
      </w:r>
    </w:p>
    <w:p w14:paraId="33F515E4" w14:textId="77777777" w:rsidR="00B17A11" w:rsidRPr="005B3B88" w:rsidRDefault="00B17A11" w:rsidP="00B20146">
      <w:pPr>
        <w:pStyle w:val="Default"/>
        <w:rPr>
          <w:sz w:val="22"/>
          <w:szCs w:val="22"/>
        </w:rPr>
      </w:pPr>
      <w:r>
        <w:rPr>
          <w:sz w:val="22"/>
          <w:szCs w:val="22"/>
        </w:rPr>
        <w:t xml:space="preserve">makrogol 3350 </w:t>
      </w:r>
    </w:p>
    <w:p w14:paraId="5C558A9E" w14:textId="4C0704E6" w:rsidR="001375F7" w:rsidRPr="005B3B88" w:rsidRDefault="006E6BA0" w:rsidP="00B20146">
      <w:pPr>
        <w:pStyle w:val="Default"/>
        <w:tabs>
          <w:tab w:val="left" w:pos="6096"/>
        </w:tabs>
        <w:rPr>
          <w:sz w:val="22"/>
          <w:szCs w:val="22"/>
        </w:rPr>
      </w:pPr>
      <w:r>
        <w:rPr>
          <w:sz w:val="22"/>
          <w:szCs w:val="22"/>
        </w:rPr>
        <w:t>žltý</w:t>
      </w:r>
      <w:r w:rsidR="001375F7" w:rsidRPr="005B3B88">
        <w:rPr>
          <w:sz w:val="22"/>
          <w:szCs w:val="22"/>
        </w:rPr>
        <w:t xml:space="preserve"> oxid železitý (E 172)</w:t>
      </w:r>
    </w:p>
    <w:p w14:paraId="58B3B17A" w14:textId="77777777" w:rsidR="001375F7" w:rsidRPr="005B3B88" w:rsidRDefault="001375F7" w:rsidP="00B20146">
      <w:pPr>
        <w:pStyle w:val="Default"/>
        <w:tabs>
          <w:tab w:val="left" w:pos="6096"/>
        </w:tabs>
        <w:rPr>
          <w:sz w:val="22"/>
          <w:szCs w:val="22"/>
        </w:rPr>
      </w:pPr>
    </w:p>
    <w:p w14:paraId="00AC8C9C" w14:textId="77777777" w:rsidR="001375F7" w:rsidRPr="005B3B88" w:rsidRDefault="001375F7" w:rsidP="005D42E3">
      <w:pPr>
        <w:pStyle w:val="Default"/>
        <w:tabs>
          <w:tab w:val="left" w:pos="567"/>
        </w:tabs>
        <w:rPr>
          <w:b/>
          <w:bCs/>
          <w:sz w:val="22"/>
          <w:szCs w:val="22"/>
        </w:rPr>
      </w:pPr>
      <w:r w:rsidRPr="005B3B88">
        <w:rPr>
          <w:b/>
          <w:bCs/>
          <w:sz w:val="22"/>
          <w:szCs w:val="22"/>
        </w:rPr>
        <w:t>6.2</w:t>
      </w:r>
      <w:r w:rsidR="005D42E3" w:rsidRPr="005B3B88">
        <w:rPr>
          <w:b/>
          <w:bCs/>
          <w:sz w:val="22"/>
          <w:szCs w:val="22"/>
        </w:rPr>
        <w:tab/>
      </w:r>
      <w:r w:rsidRPr="005B3B88">
        <w:rPr>
          <w:b/>
          <w:bCs/>
          <w:sz w:val="22"/>
          <w:szCs w:val="22"/>
        </w:rPr>
        <w:t xml:space="preserve">Inkompatibility </w:t>
      </w:r>
    </w:p>
    <w:p w14:paraId="769AF6BD" w14:textId="77777777" w:rsidR="001375F7" w:rsidRPr="005B3B88" w:rsidRDefault="001375F7" w:rsidP="00B20146">
      <w:pPr>
        <w:pStyle w:val="Default"/>
        <w:rPr>
          <w:sz w:val="22"/>
          <w:szCs w:val="22"/>
        </w:rPr>
      </w:pPr>
    </w:p>
    <w:p w14:paraId="31F8A819" w14:textId="77777777" w:rsidR="001375F7" w:rsidRPr="005B3B88" w:rsidRDefault="001375F7" w:rsidP="00B20146">
      <w:pPr>
        <w:pStyle w:val="Default"/>
        <w:rPr>
          <w:sz w:val="22"/>
          <w:szCs w:val="22"/>
        </w:rPr>
      </w:pPr>
      <w:r w:rsidRPr="005B3B88">
        <w:rPr>
          <w:sz w:val="22"/>
          <w:szCs w:val="22"/>
        </w:rPr>
        <w:t xml:space="preserve">Neaplikovateľné. </w:t>
      </w:r>
    </w:p>
    <w:p w14:paraId="2B559AA1" w14:textId="77777777" w:rsidR="001375F7" w:rsidRPr="005B3B88" w:rsidRDefault="001375F7" w:rsidP="00B20146">
      <w:pPr>
        <w:pStyle w:val="Default"/>
        <w:rPr>
          <w:sz w:val="22"/>
          <w:szCs w:val="22"/>
        </w:rPr>
      </w:pPr>
    </w:p>
    <w:p w14:paraId="0E19DA46" w14:textId="77777777" w:rsidR="001375F7" w:rsidRPr="005B3B88" w:rsidRDefault="001375F7" w:rsidP="005D42E3">
      <w:pPr>
        <w:pStyle w:val="Default"/>
        <w:tabs>
          <w:tab w:val="left" w:pos="567"/>
        </w:tabs>
        <w:rPr>
          <w:b/>
          <w:bCs/>
          <w:sz w:val="22"/>
          <w:szCs w:val="22"/>
        </w:rPr>
      </w:pPr>
      <w:r w:rsidRPr="005B3B88">
        <w:rPr>
          <w:b/>
          <w:bCs/>
          <w:sz w:val="22"/>
          <w:szCs w:val="22"/>
        </w:rPr>
        <w:t>6.3</w:t>
      </w:r>
      <w:r w:rsidR="005D42E3" w:rsidRPr="005B3B88">
        <w:rPr>
          <w:b/>
          <w:bCs/>
          <w:sz w:val="22"/>
          <w:szCs w:val="22"/>
        </w:rPr>
        <w:tab/>
      </w:r>
      <w:r w:rsidRPr="005B3B88">
        <w:rPr>
          <w:b/>
          <w:bCs/>
          <w:sz w:val="22"/>
          <w:szCs w:val="22"/>
        </w:rPr>
        <w:t xml:space="preserve">Čas použiteľnosti </w:t>
      </w:r>
    </w:p>
    <w:p w14:paraId="10D7635C" w14:textId="77777777" w:rsidR="001375F7" w:rsidRPr="005B3B88" w:rsidRDefault="001375F7" w:rsidP="00B20146">
      <w:pPr>
        <w:pStyle w:val="Default"/>
        <w:rPr>
          <w:sz w:val="22"/>
          <w:szCs w:val="22"/>
        </w:rPr>
      </w:pPr>
    </w:p>
    <w:p w14:paraId="320B6F2E" w14:textId="77777777" w:rsidR="001375F7" w:rsidRPr="005B3B88" w:rsidRDefault="00BE7E00" w:rsidP="00B20146">
      <w:pPr>
        <w:pStyle w:val="Default"/>
        <w:tabs>
          <w:tab w:val="left" w:pos="6096"/>
        </w:tabs>
        <w:rPr>
          <w:sz w:val="22"/>
          <w:szCs w:val="22"/>
        </w:rPr>
      </w:pPr>
      <w:r>
        <w:rPr>
          <w:sz w:val="22"/>
          <w:szCs w:val="22"/>
        </w:rPr>
        <w:t>2</w:t>
      </w:r>
      <w:r w:rsidR="001375F7" w:rsidRPr="005B3B88">
        <w:rPr>
          <w:sz w:val="22"/>
          <w:szCs w:val="22"/>
        </w:rPr>
        <w:t xml:space="preserve"> roky</w:t>
      </w:r>
    </w:p>
    <w:p w14:paraId="7BB4F85F" w14:textId="77777777" w:rsidR="001375F7" w:rsidRPr="005B3B88" w:rsidRDefault="001375F7" w:rsidP="00B20146">
      <w:pPr>
        <w:pStyle w:val="Default"/>
        <w:tabs>
          <w:tab w:val="left" w:pos="6096"/>
        </w:tabs>
        <w:rPr>
          <w:sz w:val="22"/>
          <w:szCs w:val="22"/>
        </w:rPr>
      </w:pPr>
    </w:p>
    <w:p w14:paraId="68A94B59" w14:textId="77777777" w:rsidR="001375F7" w:rsidRPr="005B3B88" w:rsidRDefault="001375F7" w:rsidP="005D42E3">
      <w:pPr>
        <w:pStyle w:val="Default"/>
        <w:tabs>
          <w:tab w:val="left" w:pos="567"/>
        </w:tabs>
        <w:rPr>
          <w:b/>
          <w:bCs/>
          <w:sz w:val="22"/>
          <w:szCs w:val="22"/>
        </w:rPr>
      </w:pPr>
      <w:r w:rsidRPr="005B3B88">
        <w:rPr>
          <w:b/>
          <w:bCs/>
          <w:sz w:val="22"/>
          <w:szCs w:val="22"/>
        </w:rPr>
        <w:t>6.4</w:t>
      </w:r>
      <w:r w:rsidR="005D42E3" w:rsidRPr="005B3B88">
        <w:rPr>
          <w:b/>
          <w:bCs/>
          <w:sz w:val="22"/>
          <w:szCs w:val="22"/>
        </w:rPr>
        <w:tab/>
      </w:r>
      <w:r w:rsidRPr="005B3B88">
        <w:rPr>
          <w:b/>
          <w:bCs/>
          <w:sz w:val="22"/>
          <w:szCs w:val="22"/>
        </w:rPr>
        <w:t xml:space="preserve">Špeciálne upozornenia na uchovávanie </w:t>
      </w:r>
    </w:p>
    <w:p w14:paraId="41BC7278" w14:textId="77777777" w:rsidR="001375F7" w:rsidRPr="005B3B88" w:rsidRDefault="001375F7" w:rsidP="00B20146">
      <w:pPr>
        <w:pStyle w:val="Default"/>
        <w:rPr>
          <w:sz w:val="22"/>
          <w:szCs w:val="22"/>
        </w:rPr>
      </w:pPr>
    </w:p>
    <w:p w14:paraId="758036F7" w14:textId="77777777" w:rsidR="001375F7" w:rsidRPr="005B3B88" w:rsidRDefault="001375F7" w:rsidP="00B20146">
      <w:pPr>
        <w:pStyle w:val="Default"/>
        <w:rPr>
          <w:sz w:val="22"/>
          <w:szCs w:val="22"/>
        </w:rPr>
      </w:pPr>
      <w:r w:rsidRPr="005B3B88">
        <w:rPr>
          <w:sz w:val="22"/>
          <w:szCs w:val="22"/>
        </w:rPr>
        <w:t xml:space="preserve">Tento liek nevyžaduje žiadne zvláštne podmienky na uchovávanie. </w:t>
      </w:r>
    </w:p>
    <w:p w14:paraId="52C9859C" w14:textId="77777777" w:rsidR="001375F7" w:rsidRPr="005B3B88" w:rsidRDefault="001375F7" w:rsidP="00B20146">
      <w:pPr>
        <w:pStyle w:val="Default"/>
        <w:rPr>
          <w:sz w:val="22"/>
          <w:szCs w:val="22"/>
        </w:rPr>
      </w:pPr>
    </w:p>
    <w:p w14:paraId="18179075"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6.5</w:t>
      </w:r>
      <w:r w:rsidR="005D42E3" w:rsidRPr="005B3B88">
        <w:rPr>
          <w:b/>
          <w:bCs/>
          <w:sz w:val="22"/>
          <w:szCs w:val="22"/>
        </w:rPr>
        <w:tab/>
      </w:r>
      <w:r w:rsidRPr="005B3B88">
        <w:rPr>
          <w:b/>
          <w:bCs/>
          <w:sz w:val="22"/>
          <w:szCs w:val="22"/>
        </w:rPr>
        <w:t>Druh obalu a obsah balenia</w:t>
      </w:r>
    </w:p>
    <w:p w14:paraId="5B0DA9BA" w14:textId="77777777" w:rsidR="001375F7" w:rsidRPr="005B3B88" w:rsidRDefault="001375F7" w:rsidP="00B20146">
      <w:pPr>
        <w:pStyle w:val="Default"/>
        <w:tabs>
          <w:tab w:val="left" w:pos="6096"/>
        </w:tabs>
        <w:rPr>
          <w:b/>
          <w:bCs/>
          <w:sz w:val="22"/>
          <w:szCs w:val="22"/>
        </w:rPr>
      </w:pPr>
    </w:p>
    <w:p w14:paraId="36351A84" w14:textId="5E2A1574" w:rsidR="001375F7" w:rsidRPr="005B3B88" w:rsidRDefault="00BE7E00" w:rsidP="00B20146">
      <w:pPr>
        <w:pStyle w:val="Default"/>
        <w:tabs>
          <w:tab w:val="left" w:pos="6096"/>
        </w:tabs>
        <w:rPr>
          <w:sz w:val="22"/>
          <w:szCs w:val="22"/>
        </w:rPr>
      </w:pPr>
      <w:r w:rsidRPr="00BE7E00">
        <w:rPr>
          <w:sz w:val="22"/>
          <w:szCs w:val="22"/>
        </w:rPr>
        <w:t>Filmom obalené tablety sú balené do PVC/Alu blistrov.</w:t>
      </w:r>
    </w:p>
    <w:p w14:paraId="2E46FA8B" w14:textId="77777777" w:rsidR="001375F7" w:rsidRDefault="001375F7" w:rsidP="00B20146">
      <w:pPr>
        <w:pStyle w:val="Default"/>
        <w:tabs>
          <w:tab w:val="left" w:pos="6096"/>
        </w:tabs>
        <w:rPr>
          <w:sz w:val="22"/>
          <w:szCs w:val="22"/>
        </w:rPr>
      </w:pPr>
    </w:p>
    <w:p w14:paraId="74066FFF" w14:textId="77777777" w:rsidR="001375F7" w:rsidRPr="00E130A8" w:rsidRDefault="006C5FEA" w:rsidP="00B20146">
      <w:pPr>
        <w:pStyle w:val="Default"/>
        <w:tabs>
          <w:tab w:val="left" w:pos="6096"/>
        </w:tabs>
        <w:rPr>
          <w:sz w:val="22"/>
          <w:szCs w:val="22"/>
        </w:rPr>
      </w:pPr>
      <w:r w:rsidRPr="000C77A6">
        <w:rPr>
          <w:sz w:val="22"/>
          <w:szCs w:val="22"/>
        </w:rPr>
        <w:t>Veľkosť balenia</w:t>
      </w:r>
      <w:r w:rsidR="001375F7" w:rsidRPr="00E130A8">
        <w:rPr>
          <w:sz w:val="22"/>
          <w:szCs w:val="22"/>
        </w:rPr>
        <w:t xml:space="preserve">: </w:t>
      </w:r>
      <w:r w:rsidRPr="000D053C">
        <w:rPr>
          <w:rFonts w:eastAsia="Times New Roman"/>
          <w:spacing w:val="-1"/>
          <w:szCs w:val="22"/>
        </w:rPr>
        <w:t>20</w:t>
      </w:r>
      <w:r w:rsidR="00C1662E" w:rsidRPr="000D053C">
        <w:rPr>
          <w:szCs w:val="22"/>
        </w:rPr>
        <w:t>, 28,</w:t>
      </w:r>
      <w:r w:rsidR="00BE7E00" w:rsidRPr="000D053C">
        <w:rPr>
          <w:szCs w:val="22"/>
        </w:rPr>
        <w:t xml:space="preserve"> 5</w:t>
      </w:r>
      <w:r w:rsidR="00C1662E" w:rsidRPr="000D053C">
        <w:rPr>
          <w:szCs w:val="22"/>
        </w:rPr>
        <w:t>6</w:t>
      </w:r>
      <w:r w:rsidR="00BE7E00" w:rsidRPr="000D053C">
        <w:rPr>
          <w:szCs w:val="22"/>
        </w:rPr>
        <w:t>,</w:t>
      </w:r>
      <w:r w:rsidR="00C1662E" w:rsidRPr="000D053C">
        <w:rPr>
          <w:szCs w:val="22"/>
        </w:rPr>
        <w:t xml:space="preserve"> 100,</w:t>
      </w:r>
      <w:r w:rsidR="00BE7E00" w:rsidRPr="000D053C">
        <w:rPr>
          <w:szCs w:val="22"/>
        </w:rPr>
        <w:t xml:space="preserve"> </w:t>
      </w:r>
      <w:r w:rsidR="00C1662E" w:rsidRPr="000D053C">
        <w:rPr>
          <w:szCs w:val="22"/>
        </w:rPr>
        <w:t>16</w:t>
      </w:r>
      <w:r w:rsidR="00BE7E00" w:rsidRPr="000D053C">
        <w:rPr>
          <w:szCs w:val="22"/>
        </w:rPr>
        <w:t>8 a 1</w:t>
      </w:r>
      <w:r w:rsidRPr="000D053C">
        <w:rPr>
          <w:szCs w:val="22"/>
        </w:rPr>
        <w:t>96</w:t>
      </w:r>
      <w:r w:rsidR="001375F7" w:rsidRPr="000C77A6">
        <w:rPr>
          <w:sz w:val="22"/>
          <w:szCs w:val="22"/>
        </w:rPr>
        <w:t xml:space="preserve"> filmom obalených tabliet.</w:t>
      </w:r>
    </w:p>
    <w:p w14:paraId="3603911C" w14:textId="77777777" w:rsidR="001375F7" w:rsidRPr="005B3B88" w:rsidRDefault="001375F7" w:rsidP="00B20146">
      <w:pPr>
        <w:pStyle w:val="Default"/>
        <w:tabs>
          <w:tab w:val="left" w:pos="6096"/>
        </w:tabs>
        <w:rPr>
          <w:sz w:val="22"/>
          <w:szCs w:val="22"/>
        </w:rPr>
      </w:pPr>
    </w:p>
    <w:p w14:paraId="41E2A23C" w14:textId="77777777" w:rsidR="001375F7" w:rsidRPr="005B3B88" w:rsidRDefault="001375F7" w:rsidP="00B20146">
      <w:pPr>
        <w:pStyle w:val="Default"/>
        <w:tabs>
          <w:tab w:val="left" w:pos="6096"/>
        </w:tabs>
        <w:rPr>
          <w:sz w:val="22"/>
          <w:szCs w:val="22"/>
        </w:rPr>
      </w:pPr>
      <w:r w:rsidRPr="005B3B88">
        <w:rPr>
          <w:sz w:val="22"/>
          <w:szCs w:val="22"/>
        </w:rPr>
        <w:t>Na trh nemusia byť uvedené všetky veľkosti balenia.</w:t>
      </w:r>
    </w:p>
    <w:p w14:paraId="2E76A114" w14:textId="77777777" w:rsidR="001375F7" w:rsidRPr="005B3B88" w:rsidRDefault="001375F7" w:rsidP="00B20146">
      <w:pPr>
        <w:pStyle w:val="Default"/>
        <w:tabs>
          <w:tab w:val="left" w:pos="6096"/>
        </w:tabs>
        <w:rPr>
          <w:sz w:val="22"/>
          <w:szCs w:val="22"/>
        </w:rPr>
      </w:pPr>
    </w:p>
    <w:p w14:paraId="180E4878" w14:textId="77777777" w:rsidR="001375F7" w:rsidRPr="005B3B88" w:rsidRDefault="001375F7" w:rsidP="005D42E3">
      <w:pPr>
        <w:pStyle w:val="Default"/>
        <w:tabs>
          <w:tab w:val="left" w:pos="567"/>
        </w:tabs>
        <w:rPr>
          <w:b/>
          <w:bCs/>
          <w:sz w:val="22"/>
          <w:szCs w:val="22"/>
        </w:rPr>
      </w:pPr>
      <w:r w:rsidRPr="005B3B88">
        <w:rPr>
          <w:b/>
          <w:bCs/>
          <w:sz w:val="22"/>
          <w:szCs w:val="22"/>
        </w:rPr>
        <w:t>6.6</w:t>
      </w:r>
      <w:r w:rsidR="005D42E3" w:rsidRPr="005B3B88">
        <w:rPr>
          <w:b/>
          <w:bCs/>
          <w:sz w:val="22"/>
          <w:szCs w:val="22"/>
        </w:rPr>
        <w:tab/>
      </w:r>
      <w:r w:rsidRPr="005B3B88">
        <w:rPr>
          <w:b/>
          <w:bCs/>
          <w:sz w:val="22"/>
          <w:szCs w:val="22"/>
        </w:rPr>
        <w:t xml:space="preserve">Špeciálne opatrenia na likvidáciu </w:t>
      </w:r>
    </w:p>
    <w:p w14:paraId="76FEF304" w14:textId="77777777" w:rsidR="001375F7" w:rsidRPr="005B3B88" w:rsidRDefault="001375F7" w:rsidP="00B20146">
      <w:pPr>
        <w:pStyle w:val="Default"/>
        <w:rPr>
          <w:sz w:val="22"/>
          <w:szCs w:val="22"/>
        </w:rPr>
      </w:pPr>
    </w:p>
    <w:p w14:paraId="2DBDCEF9" w14:textId="77777777" w:rsidR="001375F7" w:rsidRPr="005B3B88" w:rsidRDefault="005D42E3" w:rsidP="00B20146">
      <w:pPr>
        <w:pStyle w:val="Default"/>
        <w:rPr>
          <w:sz w:val="22"/>
          <w:szCs w:val="22"/>
        </w:rPr>
      </w:pPr>
      <w:r w:rsidRPr="005B3B88">
        <w:rPr>
          <w:sz w:val="22"/>
          <w:szCs w:val="22"/>
        </w:rPr>
        <w:t>Žiadne zvláštne požiadavky na likvidáciu.</w:t>
      </w:r>
    </w:p>
    <w:p w14:paraId="65B9FD4C" w14:textId="77777777" w:rsidR="001375F7" w:rsidRPr="005B3B88" w:rsidRDefault="001375F7" w:rsidP="00B20146">
      <w:pPr>
        <w:pStyle w:val="Default"/>
        <w:rPr>
          <w:sz w:val="22"/>
          <w:szCs w:val="22"/>
        </w:rPr>
      </w:pPr>
    </w:p>
    <w:p w14:paraId="2B373A75" w14:textId="77777777" w:rsidR="001375F7" w:rsidRPr="005B3B88" w:rsidRDefault="001375F7" w:rsidP="00B20146">
      <w:pPr>
        <w:pStyle w:val="Default"/>
        <w:tabs>
          <w:tab w:val="left" w:pos="6096"/>
        </w:tabs>
        <w:rPr>
          <w:b/>
          <w:bCs/>
          <w:sz w:val="22"/>
          <w:szCs w:val="22"/>
        </w:rPr>
      </w:pPr>
    </w:p>
    <w:p w14:paraId="00CA58EC"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7.</w:t>
      </w:r>
      <w:r w:rsidR="005D42E3" w:rsidRPr="005B3B88">
        <w:rPr>
          <w:b/>
          <w:bCs/>
          <w:sz w:val="22"/>
          <w:szCs w:val="22"/>
        </w:rPr>
        <w:tab/>
      </w:r>
      <w:r w:rsidRPr="005B3B88">
        <w:rPr>
          <w:b/>
          <w:bCs/>
          <w:sz w:val="22"/>
          <w:szCs w:val="22"/>
        </w:rPr>
        <w:t>DRŽITEĽ ROZHODNUTIA O REGISTRÁCII</w:t>
      </w:r>
    </w:p>
    <w:p w14:paraId="6DC214F9" w14:textId="77777777" w:rsidR="003732D9" w:rsidRPr="005B3B88" w:rsidRDefault="003732D9" w:rsidP="00B20146">
      <w:pPr>
        <w:autoSpaceDE w:val="0"/>
        <w:autoSpaceDN w:val="0"/>
        <w:adjustRightInd w:val="0"/>
        <w:spacing w:after="0" w:line="240" w:lineRule="auto"/>
        <w:rPr>
          <w:rFonts w:ascii="Times New Roman" w:hAnsi="Times New Roman" w:cs="Times New Roman"/>
          <w:color w:val="000000"/>
        </w:rPr>
      </w:pPr>
      <w:bookmarkStart w:id="0" w:name="_Hlk2854878"/>
    </w:p>
    <w:bookmarkEnd w:id="0"/>
    <w:p w14:paraId="49AB79FC" w14:textId="77777777" w:rsidR="007F55E5" w:rsidRDefault="00943978" w:rsidP="00B201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Zentiva, k.s</w:t>
      </w:r>
      <w:r w:rsidR="001C67E9">
        <w:rPr>
          <w:rFonts w:ascii="Times New Roman" w:hAnsi="Times New Roman" w:cs="Times New Roman"/>
        </w:rPr>
        <w:t>.</w:t>
      </w:r>
      <w:r w:rsidR="00BE7E00">
        <w:rPr>
          <w:rFonts w:ascii="Times New Roman" w:hAnsi="Times New Roman" w:cs="Times New Roman"/>
        </w:rPr>
        <w:t xml:space="preserve"> </w:t>
      </w:r>
    </w:p>
    <w:p w14:paraId="5273A2B8" w14:textId="77777777" w:rsidR="007F55E5"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U kabelovny 130</w:t>
      </w:r>
    </w:p>
    <w:p w14:paraId="39365572" w14:textId="77777777" w:rsidR="007F55E5"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102 37 Praha</w:t>
      </w:r>
      <w:r>
        <w:rPr>
          <w:rFonts w:ascii="Times New Roman" w:hAnsi="Times New Roman"/>
        </w:rPr>
        <w:t xml:space="preserve"> </w:t>
      </w:r>
      <w:r w:rsidRPr="000935D2">
        <w:rPr>
          <w:rFonts w:ascii="Times New Roman" w:hAnsi="Times New Roman"/>
        </w:rPr>
        <w:t>10 - Dolní Měcholupy</w:t>
      </w:r>
      <w:r w:rsidRPr="00A45302">
        <w:rPr>
          <w:rFonts w:ascii="Times New Roman" w:hAnsi="Times New Roman"/>
        </w:rPr>
        <w:t xml:space="preserve"> </w:t>
      </w:r>
    </w:p>
    <w:p w14:paraId="7478BFC4" w14:textId="77777777" w:rsidR="001375F7" w:rsidRPr="005B3B88" w:rsidRDefault="00BE7E00" w:rsidP="00B20146">
      <w:pPr>
        <w:autoSpaceDE w:val="0"/>
        <w:autoSpaceDN w:val="0"/>
        <w:adjustRightInd w:val="0"/>
        <w:spacing w:after="0" w:line="240" w:lineRule="auto"/>
        <w:rPr>
          <w:rFonts w:ascii="Times New Roman" w:hAnsi="Times New Roman" w:cs="Times New Roman"/>
        </w:rPr>
      </w:pPr>
      <w:r w:rsidRPr="00A45302">
        <w:rPr>
          <w:rFonts w:ascii="Times New Roman" w:hAnsi="Times New Roman"/>
        </w:rPr>
        <w:t>Česká republika</w:t>
      </w:r>
    </w:p>
    <w:p w14:paraId="5761BBBC" w14:textId="77777777" w:rsidR="001375F7" w:rsidRPr="005B3B88" w:rsidRDefault="001375F7" w:rsidP="00B20146">
      <w:pPr>
        <w:autoSpaceDE w:val="0"/>
        <w:autoSpaceDN w:val="0"/>
        <w:adjustRightInd w:val="0"/>
        <w:spacing w:after="0" w:line="240" w:lineRule="auto"/>
        <w:rPr>
          <w:rFonts w:ascii="Times New Roman" w:hAnsi="Times New Roman" w:cs="Times New Roman"/>
        </w:rPr>
      </w:pPr>
    </w:p>
    <w:p w14:paraId="5B6C0D1D" w14:textId="77777777" w:rsidR="005D42E3" w:rsidRPr="005B3B88" w:rsidRDefault="005D42E3" w:rsidP="00B20146">
      <w:pPr>
        <w:autoSpaceDE w:val="0"/>
        <w:autoSpaceDN w:val="0"/>
        <w:adjustRightInd w:val="0"/>
        <w:spacing w:after="0" w:line="240" w:lineRule="auto"/>
        <w:rPr>
          <w:rFonts w:ascii="Times New Roman" w:hAnsi="Times New Roman" w:cs="Times New Roman"/>
        </w:rPr>
      </w:pPr>
    </w:p>
    <w:p w14:paraId="5B3FE800" w14:textId="77777777" w:rsidR="001375F7" w:rsidRPr="005B3B88" w:rsidRDefault="001375F7" w:rsidP="005D42E3">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8.</w:t>
      </w:r>
      <w:r w:rsidR="005D42E3" w:rsidRPr="005B3B88">
        <w:rPr>
          <w:rFonts w:ascii="Times New Roman" w:hAnsi="Times New Roman" w:cs="Times New Roman"/>
          <w:b/>
          <w:bCs/>
        </w:rPr>
        <w:tab/>
      </w:r>
      <w:r w:rsidR="00C1662E">
        <w:rPr>
          <w:rFonts w:ascii="Times New Roman" w:hAnsi="Times New Roman" w:cs="Times New Roman"/>
          <w:b/>
          <w:bCs/>
        </w:rPr>
        <w:t>REGISTRAČNÉ ČÍSLO</w:t>
      </w:r>
    </w:p>
    <w:p w14:paraId="3DB4395E" w14:textId="77777777" w:rsidR="001375F7" w:rsidRPr="005B3B88" w:rsidRDefault="001375F7" w:rsidP="00B20146">
      <w:pPr>
        <w:autoSpaceDE w:val="0"/>
        <w:autoSpaceDN w:val="0"/>
        <w:adjustRightInd w:val="0"/>
        <w:spacing w:after="0" w:line="240" w:lineRule="auto"/>
        <w:rPr>
          <w:rFonts w:ascii="Times New Roman" w:hAnsi="Times New Roman" w:cs="Times New Roman"/>
          <w:b/>
          <w:bCs/>
        </w:rPr>
      </w:pPr>
    </w:p>
    <w:p w14:paraId="46099E2B" w14:textId="25CDA5AE" w:rsidR="001375F7" w:rsidRPr="005B3B88" w:rsidRDefault="004F508E" w:rsidP="00B20146">
      <w:pPr>
        <w:autoSpaceDE w:val="0"/>
        <w:autoSpaceDN w:val="0"/>
        <w:adjustRightInd w:val="0"/>
        <w:spacing w:after="0" w:line="240" w:lineRule="auto"/>
        <w:rPr>
          <w:rFonts w:ascii="Times New Roman" w:hAnsi="Times New Roman" w:cs="Times New Roman"/>
        </w:rPr>
      </w:pPr>
      <w:r w:rsidRPr="004F508E">
        <w:rPr>
          <w:rFonts w:ascii="Times New Roman" w:hAnsi="Times New Roman" w:cs="Times New Roman"/>
        </w:rPr>
        <w:t>16/0128/20-S</w:t>
      </w:r>
    </w:p>
    <w:p w14:paraId="7A05BB59" w14:textId="77777777" w:rsidR="001375F7" w:rsidRPr="005B3B88" w:rsidRDefault="001375F7" w:rsidP="00B20146">
      <w:pPr>
        <w:autoSpaceDE w:val="0"/>
        <w:autoSpaceDN w:val="0"/>
        <w:adjustRightInd w:val="0"/>
        <w:spacing w:after="0" w:line="240" w:lineRule="auto"/>
        <w:rPr>
          <w:rFonts w:ascii="Times New Roman" w:hAnsi="Times New Roman" w:cs="Times New Roman"/>
          <w:color w:val="000000"/>
        </w:rPr>
      </w:pPr>
    </w:p>
    <w:p w14:paraId="48F13C78" w14:textId="77777777" w:rsidR="005D42E3" w:rsidRPr="005B3B88" w:rsidRDefault="005D42E3" w:rsidP="00B20146">
      <w:pPr>
        <w:autoSpaceDE w:val="0"/>
        <w:autoSpaceDN w:val="0"/>
        <w:adjustRightInd w:val="0"/>
        <w:spacing w:after="0" w:line="240" w:lineRule="auto"/>
        <w:rPr>
          <w:rFonts w:ascii="Times New Roman" w:hAnsi="Times New Roman" w:cs="Times New Roman"/>
          <w:color w:val="000000"/>
        </w:rPr>
      </w:pPr>
      <w:bookmarkStart w:id="1" w:name="_GoBack"/>
      <w:bookmarkEnd w:id="1"/>
    </w:p>
    <w:p w14:paraId="69A99A3D" w14:textId="77777777" w:rsidR="001375F7" w:rsidRPr="005B3B88" w:rsidRDefault="001375F7" w:rsidP="005D42E3">
      <w:pPr>
        <w:pStyle w:val="Default"/>
        <w:tabs>
          <w:tab w:val="left" w:pos="567"/>
        </w:tabs>
        <w:rPr>
          <w:b/>
          <w:bCs/>
          <w:sz w:val="22"/>
          <w:szCs w:val="22"/>
        </w:rPr>
      </w:pPr>
      <w:r w:rsidRPr="005B3B88">
        <w:rPr>
          <w:b/>
          <w:bCs/>
          <w:sz w:val="22"/>
          <w:szCs w:val="22"/>
        </w:rPr>
        <w:t>9.</w:t>
      </w:r>
      <w:r w:rsidR="005D42E3" w:rsidRPr="005B3B88">
        <w:rPr>
          <w:b/>
          <w:bCs/>
          <w:sz w:val="22"/>
          <w:szCs w:val="22"/>
        </w:rPr>
        <w:tab/>
      </w:r>
      <w:r w:rsidRPr="005B3B88">
        <w:rPr>
          <w:b/>
          <w:bCs/>
          <w:sz w:val="22"/>
          <w:szCs w:val="22"/>
        </w:rPr>
        <w:t xml:space="preserve">DÁTUM PRVEJ REGISTRÁCIE/ PREDĹŽENIA REGISTRÁCIE </w:t>
      </w:r>
    </w:p>
    <w:p w14:paraId="2A8EFD6A" w14:textId="77777777" w:rsidR="001375F7" w:rsidRPr="005B3B88" w:rsidRDefault="001375F7" w:rsidP="00B20146">
      <w:pPr>
        <w:pStyle w:val="Default"/>
        <w:rPr>
          <w:sz w:val="22"/>
          <w:szCs w:val="22"/>
        </w:rPr>
      </w:pPr>
    </w:p>
    <w:p w14:paraId="4A9C8A86" w14:textId="77777777" w:rsidR="001375F7" w:rsidRPr="005B3B88" w:rsidRDefault="001375F7" w:rsidP="00B20146">
      <w:pPr>
        <w:pStyle w:val="Default"/>
        <w:tabs>
          <w:tab w:val="left" w:pos="6096"/>
        </w:tabs>
        <w:rPr>
          <w:sz w:val="22"/>
          <w:szCs w:val="22"/>
        </w:rPr>
      </w:pPr>
      <w:r w:rsidRPr="005B3B88">
        <w:rPr>
          <w:sz w:val="22"/>
          <w:szCs w:val="22"/>
        </w:rPr>
        <w:t>Dátum prvej registrácie:</w:t>
      </w:r>
    </w:p>
    <w:p w14:paraId="727B074D" w14:textId="77777777" w:rsidR="001375F7" w:rsidRPr="005B3B88" w:rsidRDefault="001375F7" w:rsidP="00B20146">
      <w:pPr>
        <w:pStyle w:val="Default"/>
        <w:tabs>
          <w:tab w:val="left" w:pos="6096"/>
        </w:tabs>
        <w:rPr>
          <w:sz w:val="22"/>
          <w:szCs w:val="22"/>
        </w:rPr>
      </w:pPr>
    </w:p>
    <w:p w14:paraId="74D3FFE4" w14:textId="77777777" w:rsidR="001375F7" w:rsidRPr="005B3B88" w:rsidRDefault="001375F7" w:rsidP="00B20146">
      <w:pPr>
        <w:pStyle w:val="Default"/>
        <w:tabs>
          <w:tab w:val="left" w:pos="6096"/>
        </w:tabs>
        <w:rPr>
          <w:b/>
          <w:bCs/>
          <w:sz w:val="22"/>
          <w:szCs w:val="22"/>
        </w:rPr>
      </w:pPr>
    </w:p>
    <w:p w14:paraId="040CD5D4"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10.</w:t>
      </w:r>
      <w:r w:rsidR="005D42E3" w:rsidRPr="005B3B88">
        <w:rPr>
          <w:b/>
          <w:bCs/>
          <w:sz w:val="22"/>
          <w:szCs w:val="22"/>
        </w:rPr>
        <w:tab/>
      </w:r>
      <w:r w:rsidRPr="005B3B88">
        <w:rPr>
          <w:b/>
          <w:bCs/>
          <w:sz w:val="22"/>
          <w:szCs w:val="22"/>
        </w:rPr>
        <w:t>DÁTUM REVÍZIE TEXTU</w:t>
      </w:r>
    </w:p>
    <w:p w14:paraId="7B73CD33" w14:textId="77777777" w:rsidR="001375F7" w:rsidRPr="005B3B88" w:rsidRDefault="001375F7" w:rsidP="00B20146">
      <w:pPr>
        <w:pStyle w:val="Default"/>
        <w:tabs>
          <w:tab w:val="left" w:pos="6096"/>
        </w:tabs>
        <w:rPr>
          <w:sz w:val="22"/>
          <w:szCs w:val="22"/>
        </w:rPr>
      </w:pPr>
    </w:p>
    <w:p w14:paraId="24941DA8" w14:textId="2B10424A" w:rsidR="005D42E3" w:rsidRPr="005B3B88" w:rsidRDefault="000D053C" w:rsidP="00B20146">
      <w:pPr>
        <w:pStyle w:val="Default"/>
        <w:tabs>
          <w:tab w:val="left" w:pos="6096"/>
        </w:tabs>
        <w:rPr>
          <w:sz w:val="22"/>
          <w:szCs w:val="22"/>
        </w:rPr>
      </w:pPr>
      <w:r>
        <w:rPr>
          <w:sz w:val="22"/>
          <w:szCs w:val="22"/>
        </w:rPr>
        <w:t>06/2020</w:t>
      </w:r>
    </w:p>
    <w:p w14:paraId="614280E2" w14:textId="77777777" w:rsidR="005D42E3" w:rsidRPr="005B3B88" w:rsidRDefault="005D42E3" w:rsidP="00B20146">
      <w:pPr>
        <w:pStyle w:val="Default"/>
        <w:tabs>
          <w:tab w:val="left" w:pos="6096"/>
        </w:tabs>
        <w:rPr>
          <w:sz w:val="22"/>
          <w:szCs w:val="22"/>
        </w:rPr>
      </w:pPr>
    </w:p>
    <w:sectPr w:rsidR="005D42E3" w:rsidRPr="005B3B88" w:rsidSect="003E369B">
      <w:headerReference w:type="default" r:id="rId10"/>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C030B" w16cid:durableId="226F7588"/>
  <w16cid:commentId w16cid:paraId="209DE6FE" w16cid:durableId="226F7948"/>
  <w16cid:commentId w16cid:paraId="5996214F" w16cid:durableId="226F7F59"/>
  <w16cid:commentId w16cid:paraId="0ADD2649" w16cid:durableId="226F7589"/>
  <w16cid:commentId w16cid:paraId="5C341BA4" w16cid:durableId="226F758A"/>
  <w16cid:commentId w16cid:paraId="65355295" w16cid:durableId="226F758B"/>
  <w16cid:commentId w16cid:paraId="5C29C9DD" w16cid:durableId="226F758C"/>
  <w16cid:commentId w16cid:paraId="7ABA1D7C" w16cid:durableId="226F758D"/>
  <w16cid:commentId w16cid:paraId="7D0F8EF5" w16cid:durableId="226F758E"/>
  <w16cid:commentId w16cid:paraId="3408F549" w16cid:durableId="226F758F"/>
  <w16cid:commentId w16cid:paraId="2530FB2A" w16cid:durableId="226F7590"/>
  <w16cid:commentId w16cid:paraId="1FF83BC3" w16cid:durableId="226F7591"/>
  <w16cid:commentId w16cid:paraId="20B2399A" w16cid:durableId="226F7592"/>
  <w16cid:commentId w16cid:paraId="5AC77844" w16cid:durableId="226FB820"/>
  <w16cid:commentId w16cid:paraId="734F02A2" w16cid:durableId="226F7593"/>
  <w16cid:commentId w16cid:paraId="2BDEA1C7" w16cid:durableId="226F7594"/>
  <w16cid:commentId w16cid:paraId="500A93F5" w16cid:durableId="226F7595"/>
  <w16cid:commentId w16cid:paraId="71558D57" w16cid:durableId="22766EE9"/>
  <w16cid:commentId w16cid:paraId="345D540F" w16cid:durableId="226F7596"/>
  <w16cid:commentId w16cid:paraId="16BF98B1" w16cid:durableId="226F7597"/>
  <w16cid:commentId w16cid:paraId="5BA379A7" w16cid:durableId="226F7598"/>
  <w16cid:commentId w16cid:paraId="5EC0BCDD" w16cid:durableId="226F7599"/>
  <w16cid:commentId w16cid:paraId="22D5BEA2" w16cid:durableId="226FD3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9A17E" w14:textId="77777777" w:rsidR="00E87839" w:rsidRDefault="00E87839" w:rsidP="00546A93">
      <w:pPr>
        <w:spacing w:after="0" w:line="240" w:lineRule="auto"/>
      </w:pPr>
      <w:r>
        <w:separator/>
      </w:r>
    </w:p>
  </w:endnote>
  <w:endnote w:type="continuationSeparator" w:id="0">
    <w:p w14:paraId="2B693454" w14:textId="77777777" w:rsidR="00E87839" w:rsidRDefault="00E87839" w:rsidP="0054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881036"/>
      <w:docPartObj>
        <w:docPartGallery w:val="Page Numbers (Bottom of Page)"/>
        <w:docPartUnique/>
      </w:docPartObj>
    </w:sdtPr>
    <w:sdtEndPr>
      <w:rPr>
        <w:rFonts w:ascii="Times New Roman" w:hAnsi="Times New Roman" w:cs="Times New Roman"/>
        <w:sz w:val="18"/>
        <w:szCs w:val="18"/>
      </w:rPr>
    </w:sdtEndPr>
    <w:sdtContent>
      <w:p w14:paraId="0D3BDC06" w14:textId="77777777" w:rsidR="00C665D2" w:rsidRPr="00C444B8" w:rsidRDefault="00C665D2">
        <w:pPr>
          <w:pStyle w:val="Pta"/>
          <w:jc w:val="center"/>
          <w:rPr>
            <w:rFonts w:ascii="Times New Roman" w:hAnsi="Times New Roman" w:cs="Times New Roman"/>
            <w:sz w:val="18"/>
            <w:szCs w:val="18"/>
          </w:rPr>
        </w:pPr>
        <w:r w:rsidRPr="00C444B8">
          <w:rPr>
            <w:rFonts w:ascii="Times New Roman" w:hAnsi="Times New Roman" w:cs="Times New Roman"/>
            <w:sz w:val="18"/>
            <w:szCs w:val="18"/>
          </w:rPr>
          <w:fldChar w:fldCharType="begin"/>
        </w:r>
        <w:r w:rsidRPr="00C444B8">
          <w:rPr>
            <w:rFonts w:ascii="Times New Roman" w:hAnsi="Times New Roman" w:cs="Times New Roman"/>
            <w:sz w:val="18"/>
            <w:szCs w:val="18"/>
          </w:rPr>
          <w:instrText>PAGE   \* MERGEFORMAT</w:instrText>
        </w:r>
        <w:r w:rsidRPr="00C444B8">
          <w:rPr>
            <w:rFonts w:ascii="Times New Roman" w:hAnsi="Times New Roman" w:cs="Times New Roman"/>
            <w:sz w:val="18"/>
            <w:szCs w:val="18"/>
          </w:rPr>
          <w:fldChar w:fldCharType="separate"/>
        </w:r>
        <w:r w:rsidR="004F508E">
          <w:rPr>
            <w:rFonts w:ascii="Times New Roman" w:hAnsi="Times New Roman" w:cs="Times New Roman"/>
            <w:noProof/>
            <w:sz w:val="18"/>
            <w:szCs w:val="18"/>
          </w:rPr>
          <w:t>25</w:t>
        </w:r>
        <w:r w:rsidRPr="00C444B8">
          <w:rPr>
            <w:rFonts w:ascii="Times New Roman" w:hAnsi="Times New Roman" w:cs="Times New Roman"/>
            <w:sz w:val="18"/>
            <w:szCs w:val="18"/>
          </w:rPr>
          <w:fldChar w:fldCharType="end"/>
        </w:r>
      </w:p>
    </w:sdtContent>
  </w:sdt>
  <w:p w14:paraId="4C747BB1" w14:textId="77777777" w:rsidR="00C665D2" w:rsidRDefault="00C665D2">
    <w:pPr>
      <w:pStyle w:val="Pta"/>
    </w:pPr>
  </w:p>
  <w:p w14:paraId="2BBA00E8" w14:textId="77777777" w:rsidR="00C665D2" w:rsidRDefault="00C665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79840" w14:textId="77777777" w:rsidR="00E87839" w:rsidRDefault="00E87839" w:rsidP="00546A93">
      <w:pPr>
        <w:spacing w:after="0" w:line="240" w:lineRule="auto"/>
      </w:pPr>
      <w:r>
        <w:separator/>
      </w:r>
    </w:p>
  </w:footnote>
  <w:footnote w:type="continuationSeparator" w:id="0">
    <w:p w14:paraId="1D679456" w14:textId="77777777" w:rsidR="00E87839" w:rsidRDefault="00E87839" w:rsidP="0054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7254" w14:textId="77777777" w:rsidR="00C665D2" w:rsidRPr="00546A93" w:rsidRDefault="00C665D2">
    <w:pPr>
      <w:pStyle w:val="Hlavika"/>
      <w:rPr>
        <w:rFonts w:ascii="Times New Roman" w:hAnsi="Times New Roman" w:cs="Times New Roman"/>
        <w:sz w:val="18"/>
        <w:szCs w:val="18"/>
      </w:rPr>
    </w:pPr>
    <w:r w:rsidRPr="00546A93">
      <w:rPr>
        <w:rFonts w:ascii="Times New Roman" w:hAnsi="Times New Roman" w:cs="Times New Roman"/>
        <w:sz w:val="18"/>
        <w:szCs w:val="18"/>
      </w:rPr>
      <w:t xml:space="preserve">Schválený text </w:t>
    </w:r>
    <w:r>
      <w:rPr>
        <w:rFonts w:ascii="Times New Roman" w:hAnsi="Times New Roman" w:cs="Times New Roman"/>
        <w:sz w:val="18"/>
        <w:szCs w:val="18"/>
      </w:rPr>
      <w:t>k rozhodnutiu o registrácii, ev. č.: 2018/05442-REG</w:t>
    </w:r>
  </w:p>
  <w:p w14:paraId="521AACA6" w14:textId="77777777" w:rsidR="00C665D2" w:rsidRDefault="00C665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E1EF1"/>
    <w:multiLevelType w:val="hybridMultilevel"/>
    <w:tmpl w:val="936AA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A2B05"/>
    <w:multiLevelType w:val="hybridMultilevel"/>
    <w:tmpl w:val="BEF65BC2"/>
    <w:lvl w:ilvl="0" w:tplc="9DE0424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8C6865"/>
    <w:multiLevelType w:val="hybridMultilevel"/>
    <w:tmpl w:val="35B85E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0D65E20"/>
    <w:multiLevelType w:val="hybridMultilevel"/>
    <w:tmpl w:val="C5F61A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BBC09A3"/>
    <w:multiLevelType w:val="hybridMultilevel"/>
    <w:tmpl w:val="85E2D622"/>
    <w:lvl w:ilvl="0" w:tplc="CEB80614">
      <w:start w:val="16"/>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93"/>
    <w:rsid w:val="00013609"/>
    <w:rsid w:val="000138B7"/>
    <w:rsid w:val="00027EC1"/>
    <w:rsid w:val="000379AB"/>
    <w:rsid w:val="000505DF"/>
    <w:rsid w:val="00062A7B"/>
    <w:rsid w:val="00063F6B"/>
    <w:rsid w:val="00064972"/>
    <w:rsid w:val="00066548"/>
    <w:rsid w:val="00066EB4"/>
    <w:rsid w:val="00067F4B"/>
    <w:rsid w:val="00070743"/>
    <w:rsid w:val="00072617"/>
    <w:rsid w:val="0008261D"/>
    <w:rsid w:val="000B13FF"/>
    <w:rsid w:val="000B3BC4"/>
    <w:rsid w:val="000B5B02"/>
    <w:rsid w:val="000B7F32"/>
    <w:rsid w:val="000C1016"/>
    <w:rsid w:val="000C77A6"/>
    <w:rsid w:val="000D053C"/>
    <w:rsid w:val="000D41AC"/>
    <w:rsid w:val="000D4678"/>
    <w:rsid w:val="000E3B31"/>
    <w:rsid w:val="000E696E"/>
    <w:rsid w:val="000F0198"/>
    <w:rsid w:val="000F4BD4"/>
    <w:rsid w:val="000F6CBC"/>
    <w:rsid w:val="00102923"/>
    <w:rsid w:val="00106647"/>
    <w:rsid w:val="001223C0"/>
    <w:rsid w:val="00130E58"/>
    <w:rsid w:val="001346A8"/>
    <w:rsid w:val="001375F7"/>
    <w:rsid w:val="00140159"/>
    <w:rsid w:val="0014036F"/>
    <w:rsid w:val="00141831"/>
    <w:rsid w:val="00144968"/>
    <w:rsid w:val="001462B3"/>
    <w:rsid w:val="00147019"/>
    <w:rsid w:val="00151934"/>
    <w:rsid w:val="00163D04"/>
    <w:rsid w:val="00173179"/>
    <w:rsid w:val="001864C1"/>
    <w:rsid w:val="00192686"/>
    <w:rsid w:val="00195555"/>
    <w:rsid w:val="001964DE"/>
    <w:rsid w:val="001A3112"/>
    <w:rsid w:val="001B30F3"/>
    <w:rsid w:val="001C04AB"/>
    <w:rsid w:val="001C67E9"/>
    <w:rsid w:val="001D1863"/>
    <w:rsid w:val="001E4829"/>
    <w:rsid w:val="001E6170"/>
    <w:rsid w:val="001E66BA"/>
    <w:rsid w:val="00203CEF"/>
    <w:rsid w:val="00204D2B"/>
    <w:rsid w:val="00205E72"/>
    <w:rsid w:val="00206B56"/>
    <w:rsid w:val="002167D1"/>
    <w:rsid w:val="002245BA"/>
    <w:rsid w:val="00225CBA"/>
    <w:rsid w:val="00226CCC"/>
    <w:rsid w:val="00242F4F"/>
    <w:rsid w:val="0024376F"/>
    <w:rsid w:val="002468F7"/>
    <w:rsid w:val="00250C7D"/>
    <w:rsid w:val="00256990"/>
    <w:rsid w:val="00260010"/>
    <w:rsid w:val="00265764"/>
    <w:rsid w:val="002679EC"/>
    <w:rsid w:val="0027520B"/>
    <w:rsid w:val="00276A38"/>
    <w:rsid w:val="00283361"/>
    <w:rsid w:val="002862BE"/>
    <w:rsid w:val="00286DD8"/>
    <w:rsid w:val="00293EAA"/>
    <w:rsid w:val="002944B9"/>
    <w:rsid w:val="00294DDD"/>
    <w:rsid w:val="002A5D03"/>
    <w:rsid w:val="002A603D"/>
    <w:rsid w:val="002B7817"/>
    <w:rsid w:val="002C5680"/>
    <w:rsid w:val="002E01D3"/>
    <w:rsid w:val="002F5756"/>
    <w:rsid w:val="00300B1D"/>
    <w:rsid w:val="0030569F"/>
    <w:rsid w:val="0031010E"/>
    <w:rsid w:val="00331BD1"/>
    <w:rsid w:val="003354E7"/>
    <w:rsid w:val="0033550A"/>
    <w:rsid w:val="003379F8"/>
    <w:rsid w:val="00357E42"/>
    <w:rsid w:val="003640FB"/>
    <w:rsid w:val="00364C39"/>
    <w:rsid w:val="003732D9"/>
    <w:rsid w:val="00373472"/>
    <w:rsid w:val="00374502"/>
    <w:rsid w:val="00380749"/>
    <w:rsid w:val="00390868"/>
    <w:rsid w:val="00390FE2"/>
    <w:rsid w:val="00393472"/>
    <w:rsid w:val="003A34BB"/>
    <w:rsid w:val="003A5547"/>
    <w:rsid w:val="003C4B6D"/>
    <w:rsid w:val="003D0C6C"/>
    <w:rsid w:val="003E369B"/>
    <w:rsid w:val="003E435F"/>
    <w:rsid w:val="003F55BB"/>
    <w:rsid w:val="003F6672"/>
    <w:rsid w:val="003F6F24"/>
    <w:rsid w:val="00400057"/>
    <w:rsid w:val="00401E2F"/>
    <w:rsid w:val="00421FEC"/>
    <w:rsid w:val="00440C33"/>
    <w:rsid w:val="00445023"/>
    <w:rsid w:val="0045010B"/>
    <w:rsid w:val="0046304A"/>
    <w:rsid w:val="00467F1E"/>
    <w:rsid w:val="004707C6"/>
    <w:rsid w:val="00471989"/>
    <w:rsid w:val="004748FE"/>
    <w:rsid w:val="004836D1"/>
    <w:rsid w:val="004A153A"/>
    <w:rsid w:val="004A49ED"/>
    <w:rsid w:val="004A6E69"/>
    <w:rsid w:val="004A745C"/>
    <w:rsid w:val="004B0F0D"/>
    <w:rsid w:val="004B28C8"/>
    <w:rsid w:val="004B2E03"/>
    <w:rsid w:val="004B5407"/>
    <w:rsid w:val="004B751F"/>
    <w:rsid w:val="004C06BC"/>
    <w:rsid w:val="004C311D"/>
    <w:rsid w:val="004C470B"/>
    <w:rsid w:val="004C7573"/>
    <w:rsid w:val="004D011F"/>
    <w:rsid w:val="004D7748"/>
    <w:rsid w:val="004E1FD0"/>
    <w:rsid w:val="004E3C5D"/>
    <w:rsid w:val="004F1439"/>
    <w:rsid w:val="004F508E"/>
    <w:rsid w:val="004F5DB3"/>
    <w:rsid w:val="004F655B"/>
    <w:rsid w:val="005128ED"/>
    <w:rsid w:val="00520076"/>
    <w:rsid w:val="00522B6A"/>
    <w:rsid w:val="00532F8F"/>
    <w:rsid w:val="00533B43"/>
    <w:rsid w:val="0054489C"/>
    <w:rsid w:val="00546A93"/>
    <w:rsid w:val="00554FB9"/>
    <w:rsid w:val="00555F25"/>
    <w:rsid w:val="00557F28"/>
    <w:rsid w:val="0056533A"/>
    <w:rsid w:val="00570C2F"/>
    <w:rsid w:val="00590F5B"/>
    <w:rsid w:val="005944A9"/>
    <w:rsid w:val="0059678E"/>
    <w:rsid w:val="005A31A7"/>
    <w:rsid w:val="005A46C3"/>
    <w:rsid w:val="005A5E2A"/>
    <w:rsid w:val="005B0121"/>
    <w:rsid w:val="005B17D6"/>
    <w:rsid w:val="005B3B88"/>
    <w:rsid w:val="005C2B54"/>
    <w:rsid w:val="005D29F8"/>
    <w:rsid w:val="005D42E3"/>
    <w:rsid w:val="005D7C47"/>
    <w:rsid w:val="005E64FC"/>
    <w:rsid w:val="005E74BF"/>
    <w:rsid w:val="005F447E"/>
    <w:rsid w:val="005F50C9"/>
    <w:rsid w:val="00600B9E"/>
    <w:rsid w:val="00600FCA"/>
    <w:rsid w:val="006073F5"/>
    <w:rsid w:val="0061378A"/>
    <w:rsid w:val="0062496F"/>
    <w:rsid w:val="006314F0"/>
    <w:rsid w:val="0063464F"/>
    <w:rsid w:val="00636E4D"/>
    <w:rsid w:val="006474AD"/>
    <w:rsid w:val="00650B2F"/>
    <w:rsid w:val="0065298B"/>
    <w:rsid w:val="0066397A"/>
    <w:rsid w:val="006707A4"/>
    <w:rsid w:val="00672250"/>
    <w:rsid w:val="006812B1"/>
    <w:rsid w:val="00686890"/>
    <w:rsid w:val="006943AB"/>
    <w:rsid w:val="006A108D"/>
    <w:rsid w:val="006A55DB"/>
    <w:rsid w:val="006A5DF3"/>
    <w:rsid w:val="006B501E"/>
    <w:rsid w:val="006C04B7"/>
    <w:rsid w:val="006C5FEA"/>
    <w:rsid w:val="006C7E09"/>
    <w:rsid w:val="006D2947"/>
    <w:rsid w:val="006E6BA0"/>
    <w:rsid w:val="006F4FE2"/>
    <w:rsid w:val="00700442"/>
    <w:rsid w:val="00700952"/>
    <w:rsid w:val="007023AD"/>
    <w:rsid w:val="00702E79"/>
    <w:rsid w:val="007061A0"/>
    <w:rsid w:val="00712535"/>
    <w:rsid w:val="00712B60"/>
    <w:rsid w:val="007213C2"/>
    <w:rsid w:val="00721559"/>
    <w:rsid w:val="007220BF"/>
    <w:rsid w:val="00740456"/>
    <w:rsid w:val="00744C3A"/>
    <w:rsid w:val="0075295A"/>
    <w:rsid w:val="00752E6D"/>
    <w:rsid w:val="00754558"/>
    <w:rsid w:val="0076658C"/>
    <w:rsid w:val="00770E49"/>
    <w:rsid w:val="0077108D"/>
    <w:rsid w:val="007727A9"/>
    <w:rsid w:val="00776297"/>
    <w:rsid w:val="00783235"/>
    <w:rsid w:val="0079019A"/>
    <w:rsid w:val="007942D6"/>
    <w:rsid w:val="0079449B"/>
    <w:rsid w:val="007961C3"/>
    <w:rsid w:val="007A272C"/>
    <w:rsid w:val="007A6020"/>
    <w:rsid w:val="007A6951"/>
    <w:rsid w:val="007B553B"/>
    <w:rsid w:val="007C095B"/>
    <w:rsid w:val="007C32C5"/>
    <w:rsid w:val="007C3E50"/>
    <w:rsid w:val="007D313F"/>
    <w:rsid w:val="007E10C4"/>
    <w:rsid w:val="007E36D4"/>
    <w:rsid w:val="007E5A7B"/>
    <w:rsid w:val="007F55E5"/>
    <w:rsid w:val="007F7EF2"/>
    <w:rsid w:val="008075E5"/>
    <w:rsid w:val="0081138C"/>
    <w:rsid w:val="00815681"/>
    <w:rsid w:val="00815FAF"/>
    <w:rsid w:val="008279D4"/>
    <w:rsid w:val="0084212E"/>
    <w:rsid w:val="008467B2"/>
    <w:rsid w:val="008514D7"/>
    <w:rsid w:val="00874BD4"/>
    <w:rsid w:val="00874F44"/>
    <w:rsid w:val="00880EF7"/>
    <w:rsid w:val="00891FC0"/>
    <w:rsid w:val="00895D64"/>
    <w:rsid w:val="008A1ED0"/>
    <w:rsid w:val="008A50D4"/>
    <w:rsid w:val="008B72E1"/>
    <w:rsid w:val="008E175D"/>
    <w:rsid w:val="00902EEA"/>
    <w:rsid w:val="00912955"/>
    <w:rsid w:val="00915FA2"/>
    <w:rsid w:val="00933FF8"/>
    <w:rsid w:val="00942344"/>
    <w:rsid w:val="009437F5"/>
    <w:rsid w:val="00943978"/>
    <w:rsid w:val="00946DEF"/>
    <w:rsid w:val="0095194C"/>
    <w:rsid w:val="0095327A"/>
    <w:rsid w:val="00980152"/>
    <w:rsid w:val="009834C2"/>
    <w:rsid w:val="00985987"/>
    <w:rsid w:val="009A3D36"/>
    <w:rsid w:val="009B1545"/>
    <w:rsid w:val="009C1455"/>
    <w:rsid w:val="009E1B87"/>
    <w:rsid w:val="009F2C4C"/>
    <w:rsid w:val="009F2F91"/>
    <w:rsid w:val="009F684E"/>
    <w:rsid w:val="00A04A5C"/>
    <w:rsid w:val="00A11C21"/>
    <w:rsid w:val="00A1318B"/>
    <w:rsid w:val="00A166FD"/>
    <w:rsid w:val="00A2607D"/>
    <w:rsid w:val="00A41C83"/>
    <w:rsid w:val="00A43816"/>
    <w:rsid w:val="00A53E4E"/>
    <w:rsid w:val="00A55938"/>
    <w:rsid w:val="00A61279"/>
    <w:rsid w:val="00A65097"/>
    <w:rsid w:val="00A65307"/>
    <w:rsid w:val="00A7059D"/>
    <w:rsid w:val="00A73845"/>
    <w:rsid w:val="00A80BED"/>
    <w:rsid w:val="00A95160"/>
    <w:rsid w:val="00AB20B1"/>
    <w:rsid w:val="00AB32EC"/>
    <w:rsid w:val="00AB5029"/>
    <w:rsid w:val="00AD0DBE"/>
    <w:rsid w:val="00AE5050"/>
    <w:rsid w:val="00AF40B5"/>
    <w:rsid w:val="00AF5EF5"/>
    <w:rsid w:val="00B03C51"/>
    <w:rsid w:val="00B111EF"/>
    <w:rsid w:val="00B1538E"/>
    <w:rsid w:val="00B16B83"/>
    <w:rsid w:val="00B17A11"/>
    <w:rsid w:val="00B20146"/>
    <w:rsid w:val="00B22A56"/>
    <w:rsid w:val="00B2499C"/>
    <w:rsid w:val="00B26E16"/>
    <w:rsid w:val="00B41B80"/>
    <w:rsid w:val="00B5080A"/>
    <w:rsid w:val="00B531AD"/>
    <w:rsid w:val="00B554F4"/>
    <w:rsid w:val="00B56CA4"/>
    <w:rsid w:val="00B90E0F"/>
    <w:rsid w:val="00B9496F"/>
    <w:rsid w:val="00BA1D64"/>
    <w:rsid w:val="00BB37C0"/>
    <w:rsid w:val="00BB4BB9"/>
    <w:rsid w:val="00BB5E5D"/>
    <w:rsid w:val="00BC24A6"/>
    <w:rsid w:val="00BC6A3D"/>
    <w:rsid w:val="00BD5DD9"/>
    <w:rsid w:val="00BE1E93"/>
    <w:rsid w:val="00BE703F"/>
    <w:rsid w:val="00BE7E00"/>
    <w:rsid w:val="00BF2193"/>
    <w:rsid w:val="00C00B62"/>
    <w:rsid w:val="00C04A6E"/>
    <w:rsid w:val="00C0569A"/>
    <w:rsid w:val="00C066F2"/>
    <w:rsid w:val="00C1662E"/>
    <w:rsid w:val="00C27E0A"/>
    <w:rsid w:val="00C31B31"/>
    <w:rsid w:val="00C3581B"/>
    <w:rsid w:val="00C41261"/>
    <w:rsid w:val="00C42350"/>
    <w:rsid w:val="00C444B8"/>
    <w:rsid w:val="00C570D4"/>
    <w:rsid w:val="00C64290"/>
    <w:rsid w:val="00C665D2"/>
    <w:rsid w:val="00C7771F"/>
    <w:rsid w:val="00C902D8"/>
    <w:rsid w:val="00C952D5"/>
    <w:rsid w:val="00C97C00"/>
    <w:rsid w:val="00CB4FC1"/>
    <w:rsid w:val="00CB5A37"/>
    <w:rsid w:val="00CC1C8B"/>
    <w:rsid w:val="00CC4027"/>
    <w:rsid w:val="00CC641A"/>
    <w:rsid w:val="00CD43A8"/>
    <w:rsid w:val="00CE055D"/>
    <w:rsid w:val="00CE236F"/>
    <w:rsid w:val="00CF2D08"/>
    <w:rsid w:val="00CF56D8"/>
    <w:rsid w:val="00D0264A"/>
    <w:rsid w:val="00D02B8E"/>
    <w:rsid w:val="00D065AB"/>
    <w:rsid w:val="00D10C05"/>
    <w:rsid w:val="00D115D2"/>
    <w:rsid w:val="00D15FFE"/>
    <w:rsid w:val="00D20841"/>
    <w:rsid w:val="00D25F04"/>
    <w:rsid w:val="00D30F74"/>
    <w:rsid w:val="00D36981"/>
    <w:rsid w:val="00D41658"/>
    <w:rsid w:val="00D42492"/>
    <w:rsid w:val="00D4488F"/>
    <w:rsid w:val="00D519CA"/>
    <w:rsid w:val="00D5664F"/>
    <w:rsid w:val="00D71709"/>
    <w:rsid w:val="00D74079"/>
    <w:rsid w:val="00D84754"/>
    <w:rsid w:val="00D97C2D"/>
    <w:rsid w:val="00DA3B7D"/>
    <w:rsid w:val="00DB194F"/>
    <w:rsid w:val="00DB5201"/>
    <w:rsid w:val="00DE2AB5"/>
    <w:rsid w:val="00DF5F92"/>
    <w:rsid w:val="00E00B86"/>
    <w:rsid w:val="00E130A8"/>
    <w:rsid w:val="00E1696E"/>
    <w:rsid w:val="00E21945"/>
    <w:rsid w:val="00E240C7"/>
    <w:rsid w:val="00E3304E"/>
    <w:rsid w:val="00E44798"/>
    <w:rsid w:val="00E54229"/>
    <w:rsid w:val="00E55B77"/>
    <w:rsid w:val="00E55CCE"/>
    <w:rsid w:val="00E70C29"/>
    <w:rsid w:val="00E77E9F"/>
    <w:rsid w:val="00E8084C"/>
    <w:rsid w:val="00E84A2D"/>
    <w:rsid w:val="00E87839"/>
    <w:rsid w:val="00E92E4B"/>
    <w:rsid w:val="00EA0165"/>
    <w:rsid w:val="00EB4362"/>
    <w:rsid w:val="00EC2789"/>
    <w:rsid w:val="00ED2008"/>
    <w:rsid w:val="00ED46E6"/>
    <w:rsid w:val="00ED4A0B"/>
    <w:rsid w:val="00ED62E8"/>
    <w:rsid w:val="00ED64EF"/>
    <w:rsid w:val="00EF01EA"/>
    <w:rsid w:val="00EF1886"/>
    <w:rsid w:val="00F07AAD"/>
    <w:rsid w:val="00F141A8"/>
    <w:rsid w:val="00F14764"/>
    <w:rsid w:val="00F14C68"/>
    <w:rsid w:val="00F20A3C"/>
    <w:rsid w:val="00F23F15"/>
    <w:rsid w:val="00F244AA"/>
    <w:rsid w:val="00F266F3"/>
    <w:rsid w:val="00F273CC"/>
    <w:rsid w:val="00F30477"/>
    <w:rsid w:val="00F3559C"/>
    <w:rsid w:val="00F509B2"/>
    <w:rsid w:val="00F51BD3"/>
    <w:rsid w:val="00F541B2"/>
    <w:rsid w:val="00F55E54"/>
    <w:rsid w:val="00F56F3D"/>
    <w:rsid w:val="00F726B6"/>
    <w:rsid w:val="00F76FE3"/>
    <w:rsid w:val="00F85148"/>
    <w:rsid w:val="00F9118F"/>
    <w:rsid w:val="00F93B80"/>
    <w:rsid w:val="00F95EB6"/>
    <w:rsid w:val="00FA4006"/>
    <w:rsid w:val="00FA451D"/>
    <w:rsid w:val="00FB0060"/>
    <w:rsid w:val="00FB1C4B"/>
    <w:rsid w:val="00FB3ECD"/>
    <w:rsid w:val="00FC02DB"/>
    <w:rsid w:val="00FC32FA"/>
    <w:rsid w:val="00FD39E4"/>
    <w:rsid w:val="00FF26BA"/>
    <w:rsid w:val="00FF44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24EFB"/>
  <w15:docId w15:val="{F9F4B757-B4C6-4A4F-A28B-F6D8A926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6A9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6A93"/>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character" w:customStyle="1" w:styleId="PtaChar">
    <w:name w:val="Päta Char"/>
    <w:basedOn w:val="Predvolenpsmoodseku"/>
    <w:link w:val="Pta"/>
    <w:uiPriority w:val="99"/>
    <w:rsid w:val="00546A93"/>
  </w:style>
  <w:style w:type="table" w:styleId="Mriekatabuky">
    <w:name w:val="Table Grid"/>
    <w:basedOn w:val="Normlnatabuka"/>
    <w:uiPriority w:val="59"/>
    <w:rsid w:val="00F141A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30E5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101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010E"/>
    <w:rPr>
      <w:rFonts w:ascii="Segoe UI" w:hAnsi="Segoe UI" w:cs="Segoe UI"/>
      <w:sz w:val="18"/>
      <w:szCs w:val="18"/>
    </w:rPr>
  </w:style>
  <w:style w:type="paragraph" w:styleId="Revzia">
    <w:name w:val="Revision"/>
    <w:hidden/>
    <w:uiPriority w:val="99"/>
    <w:semiHidden/>
    <w:rsid w:val="00B20146"/>
    <w:pPr>
      <w:spacing w:after="0" w:line="240" w:lineRule="auto"/>
    </w:pPr>
  </w:style>
  <w:style w:type="paragraph" w:styleId="Odsekzoznamu">
    <w:name w:val="List Paragraph"/>
    <w:basedOn w:val="Normlny"/>
    <w:uiPriority w:val="34"/>
    <w:qFormat/>
    <w:rsid w:val="00770E49"/>
    <w:pPr>
      <w:spacing w:after="200" w:line="276" w:lineRule="auto"/>
      <w:ind w:left="720"/>
      <w:contextualSpacing/>
    </w:pPr>
    <w:rPr>
      <w:lang w:val="en-GB"/>
    </w:rPr>
  </w:style>
  <w:style w:type="character" w:styleId="Odkaznakomentr">
    <w:name w:val="annotation reference"/>
    <w:basedOn w:val="Predvolenpsmoodseku"/>
    <w:uiPriority w:val="99"/>
    <w:semiHidden/>
    <w:unhideWhenUsed/>
    <w:rsid w:val="008467B2"/>
    <w:rPr>
      <w:sz w:val="16"/>
      <w:szCs w:val="16"/>
    </w:rPr>
  </w:style>
  <w:style w:type="paragraph" w:styleId="Textkomentra">
    <w:name w:val="annotation text"/>
    <w:basedOn w:val="Normlny"/>
    <w:link w:val="TextkomentraChar"/>
    <w:uiPriority w:val="99"/>
    <w:semiHidden/>
    <w:unhideWhenUsed/>
    <w:rsid w:val="008467B2"/>
    <w:pPr>
      <w:spacing w:line="240" w:lineRule="auto"/>
    </w:pPr>
    <w:rPr>
      <w:sz w:val="20"/>
      <w:szCs w:val="20"/>
    </w:rPr>
  </w:style>
  <w:style w:type="character" w:customStyle="1" w:styleId="TextkomentraChar">
    <w:name w:val="Text komentára Char"/>
    <w:basedOn w:val="Predvolenpsmoodseku"/>
    <w:link w:val="Textkomentra"/>
    <w:uiPriority w:val="99"/>
    <w:semiHidden/>
    <w:rsid w:val="008467B2"/>
    <w:rPr>
      <w:sz w:val="20"/>
      <w:szCs w:val="20"/>
    </w:rPr>
  </w:style>
  <w:style w:type="paragraph" w:styleId="Predmetkomentra">
    <w:name w:val="annotation subject"/>
    <w:basedOn w:val="Textkomentra"/>
    <w:next w:val="Textkomentra"/>
    <w:link w:val="PredmetkomentraChar"/>
    <w:uiPriority w:val="99"/>
    <w:semiHidden/>
    <w:unhideWhenUsed/>
    <w:rsid w:val="008467B2"/>
    <w:rPr>
      <w:b/>
      <w:bCs/>
    </w:rPr>
  </w:style>
  <w:style w:type="character" w:customStyle="1" w:styleId="PredmetkomentraChar">
    <w:name w:val="Predmet komentára Char"/>
    <w:basedOn w:val="TextkomentraChar"/>
    <w:link w:val="Predmetkomentra"/>
    <w:uiPriority w:val="99"/>
    <w:semiHidden/>
    <w:rsid w:val="008467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9994</Words>
  <Characters>56968</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PM</cp:lastModifiedBy>
  <cp:revision>180</cp:revision>
  <cp:lastPrinted>2019-06-10T11:33:00Z</cp:lastPrinted>
  <dcterms:created xsi:type="dcterms:W3CDTF">2019-03-14T08:16:00Z</dcterms:created>
  <dcterms:modified xsi:type="dcterms:W3CDTF">2020-05-29T07:36:00Z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