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58960" w14:textId="77777777" w:rsidR="00037DE8" w:rsidRDefault="00037DE8" w:rsidP="00037DE8">
      <w:pPr>
        <w:pStyle w:val="Hlavika"/>
        <w:rPr>
          <w:sz w:val="22"/>
          <w:szCs w:val="24"/>
        </w:rPr>
      </w:pPr>
    </w:p>
    <w:p w14:paraId="6083DE92" w14:textId="77777777" w:rsidR="00A63E55" w:rsidRPr="004022D3" w:rsidRDefault="00A63E55" w:rsidP="007F175D">
      <w:pPr>
        <w:rPr>
          <w:rFonts w:ascii="Times New Roman" w:hAnsi="Times New Roman"/>
          <w:sz w:val="22"/>
          <w:szCs w:val="22"/>
          <w:lang w:val="sk-SK"/>
        </w:rPr>
      </w:pPr>
    </w:p>
    <w:p w14:paraId="3DFE77CE" w14:textId="77777777" w:rsidR="00A63E55" w:rsidRPr="004022D3" w:rsidRDefault="00A63E55" w:rsidP="00C44CA8">
      <w:pPr>
        <w:pStyle w:val="Nadpis8"/>
        <w:rPr>
          <w:rFonts w:ascii="Times New Roman" w:hAnsi="Times New Roman" w:cs="Times New Roman"/>
          <w:caps/>
          <w:sz w:val="22"/>
          <w:szCs w:val="22"/>
        </w:rPr>
      </w:pPr>
      <w:r w:rsidRPr="004022D3">
        <w:rPr>
          <w:rFonts w:ascii="Times New Roman" w:hAnsi="Times New Roman" w:cs="Times New Roman"/>
          <w:caps/>
          <w:sz w:val="22"/>
          <w:szCs w:val="22"/>
        </w:rPr>
        <w:t>Súhrn charakteristických vlastností lieku</w:t>
      </w:r>
    </w:p>
    <w:p w14:paraId="664701D6" w14:textId="77777777" w:rsidR="00A63E55" w:rsidRPr="00FA6C54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4D1E4D14" w14:textId="77777777" w:rsidR="00EC5EF7" w:rsidRPr="00850A72" w:rsidRDefault="00EC5EF7">
      <w:pPr>
        <w:rPr>
          <w:rFonts w:ascii="Times New Roman" w:hAnsi="Times New Roman"/>
          <w:sz w:val="22"/>
          <w:szCs w:val="22"/>
          <w:lang w:val="sk-SK"/>
        </w:rPr>
      </w:pPr>
    </w:p>
    <w:p w14:paraId="1E7FC60B" w14:textId="77777777" w:rsidR="00A63E55" w:rsidRPr="004022D3" w:rsidRDefault="00A63E55">
      <w:pPr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>1.</w:t>
      </w: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ab/>
        <w:t>Názov LIEKU</w:t>
      </w:r>
    </w:p>
    <w:p w14:paraId="26DD5C4E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152ADAAE" w14:textId="77777777" w:rsidR="006710E8" w:rsidRPr="004022D3" w:rsidRDefault="00054C2B">
      <w:pPr>
        <w:pStyle w:val="Nadpis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022D3">
        <w:rPr>
          <w:rFonts w:ascii="Times New Roman" w:hAnsi="Times New Roman" w:cs="Times New Roman"/>
          <w:b w:val="0"/>
          <w:bCs w:val="0"/>
          <w:sz w:val="22"/>
          <w:szCs w:val="22"/>
        </w:rPr>
        <w:t>Allegra</w:t>
      </w:r>
      <w:r w:rsidR="00A63E55" w:rsidRPr="004022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120 mg </w:t>
      </w:r>
    </w:p>
    <w:p w14:paraId="2813FD7C" w14:textId="77777777" w:rsidR="00A63E55" w:rsidRPr="004022D3" w:rsidRDefault="00A63E55">
      <w:pPr>
        <w:pStyle w:val="Nadpis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022D3">
        <w:rPr>
          <w:rFonts w:ascii="Times New Roman" w:hAnsi="Times New Roman" w:cs="Times New Roman"/>
          <w:b w:val="0"/>
          <w:bCs w:val="0"/>
          <w:sz w:val="22"/>
          <w:szCs w:val="22"/>
        </w:rPr>
        <w:t>filmom obalené tablety</w:t>
      </w:r>
    </w:p>
    <w:p w14:paraId="21F04156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19073811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44FEA404" w14:textId="77777777" w:rsidR="00A63E55" w:rsidRPr="004022D3" w:rsidRDefault="00A63E55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>2.</w:t>
      </w: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ab/>
        <w:t>kvalitatívne a kvantitatívne Zloženie</w:t>
      </w:r>
    </w:p>
    <w:p w14:paraId="77E6FDFF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73AB29F4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Každá </w:t>
      </w:r>
      <w:r w:rsidR="00566E06">
        <w:rPr>
          <w:rFonts w:ascii="Times New Roman" w:hAnsi="Times New Roman"/>
          <w:sz w:val="22"/>
          <w:szCs w:val="22"/>
          <w:lang w:val="sk-SK"/>
        </w:rPr>
        <w:t xml:space="preserve">filmom obalená </w:t>
      </w:r>
      <w:r w:rsidRPr="004022D3">
        <w:rPr>
          <w:rFonts w:ascii="Times New Roman" w:hAnsi="Times New Roman"/>
          <w:sz w:val="22"/>
          <w:szCs w:val="22"/>
          <w:lang w:val="sk-SK"/>
        </w:rPr>
        <w:t>tableta obsahuje 120 mg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 fexofenadínium</w:t>
      </w:r>
      <w:r w:rsidR="00031AB7">
        <w:rPr>
          <w:rFonts w:ascii="Times New Roman" w:hAnsi="Times New Roman"/>
          <w:sz w:val="22"/>
          <w:szCs w:val="22"/>
          <w:lang w:val="sk-SK"/>
        </w:rPr>
        <w:t>-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>chloridu</w:t>
      </w:r>
      <w:r w:rsidRPr="004022D3">
        <w:rPr>
          <w:rFonts w:ascii="Times New Roman" w:hAnsi="Times New Roman"/>
          <w:sz w:val="22"/>
          <w:szCs w:val="22"/>
          <w:lang w:val="sk-SK"/>
        </w:rPr>
        <w:t>, čo zodpovedá 112 mg fexofenadínu.</w:t>
      </w:r>
    </w:p>
    <w:p w14:paraId="08755B79" w14:textId="77777777" w:rsidR="0099108C" w:rsidRPr="004022D3" w:rsidRDefault="0099108C" w:rsidP="00322D92">
      <w:p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1942DEBE" w14:textId="77777777" w:rsidR="00322D92" w:rsidRPr="004022D3" w:rsidRDefault="00322D92" w:rsidP="00322D92">
      <w:p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lang w:val="sk-SK"/>
        </w:rPr>
        <w:t>Úplný zoznam pomocných látok, pozri časť 6.1.</w:t>
      </w:r>
    </w:p>
    <w:p w14:paraId="3567D1D3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6AE96B55" w14:textId="77777777" w:rsidR="006D425B" w:rsidRPr="004022D3" w:rsidRDefault="006D425B">
      <w:pPr>
        <w:rPr>
          <w:rFonts w:ascii="Times New Roman" w:hAnsi="Times New Roman"/>
          <w:sz w:val="22"/>
          <w:szCs w:val="22"/>
          <w:lang w:val="sk-SK"/>
        </w:rPr>
      </w:pPr>
    </w:p>
    <w:p w14:paraId="17C79A5C" w14:textId="77777777" w:rsidR="00A63E55" w:rsidRPr="004022D3" w:rsidRDefault="00A63E55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>3.</w:t>
      </w: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ab/>
        <w:t>Lieková forma</w:t>
      </w:r>
    </w:p>
    <w:p w14:paraId="5F798646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542116E0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Filmom obalen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>á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tablet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>a</w:t>
      </w:r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14:paraId="14777B5A" w14:textId="77777777" w:rsidR="00A63E55" w:rsidRPr="004022D3" w:rsidRDefault="00781BF2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Tableta v tvare kapsuly,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broskyňovej farby, obalená filmovou vrstvou</w:t>
      </w:r>
      <w:r w:rsidR="00E00664" w:rsidRPr="004022D3">
        <w:rPr>
          <w:rFonts w:ascii="Times New Roman" w:hAnsi="Times New Roman"/>
          <w:sz w:val="22"/>
          <w:szCs w:val="22"/>
          <w:lang w:val="sk-SK"/>
        </w:rPr>
        <w:t>,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84A00">
        <w:rPr>
          <w:rFonts w:ascii="Times New Roman" w:hAnsi="Times New Roman"/>
          <w:sz w:val="22"/>
          <w:szCs w:val="22"/>
          <w:lang w:val="sk-SK"/>
        </w:rPr>
        <w:t xml:space="preserve">s rozmermi 6,1 x 15,8 mm, 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>s </w:t>
      </w:r>
      <w:r w:rsidR="00E013A4" w:rsidRPr="004022D3">
        <w:rPr>
          <w:rFonts w:ascii="Times New Roman" w:hAnsi="Times New Roman"/>
          <w:sz w:val="22"/>
          <w:szCs w:val="22"/>
          <w:lang w:val="sk-SK"/>
        </w:rPr>
        <w:t>označením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 xml:space="preserve"> „012“</w:t>
      </w:r>
      <w:r w:rsidR="00135F70" w:rsidRPr="004022D3">
        <w:rPr>
          <w:rFonts w:ascii="Times New Roman" w:hAnsi="Times New Roman"/>
          <w:sz w:val="22"/>
          <w:szCs w:val="22"/>
          <w:lang w:val="sk-SK"/>
        </w:rPr>
        <w:t xml:space="preserve"> na jednej </w:t>
      </w:r>
      <w:r w:rsidR="00135F70" w:rsidRPr="00FA6C54">
        <w:rPr>
          <w:rFonts w:ascii="Times New Roman" w:hAnsi="Times New Roman"/>
          <w:sz w:val="22"/>
          <w:szCs w:val="22"/>
          <w:lang w:val="sk-SK"/>
        </w:rPr>
        <w:t>strane</w:t>
      </w:r>
      <w:r w:rsidR="00680675" w:rsidRPr="00850A7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80675" w:rsidRPr="00FA6C54">
        <w:rPr>
          <w:rFonts w:ascii="Times New Roman" w:hAnsi="Times New Roman"/>
          <w:sz w:val="22"/>
          <w:szCs w:val="22"/>
          <w:lang w:val="sk-SK"/>
        </w:rPr>
        <w:t>a</w:t>
      </w:r>
      <w:r w:rsidR="00FA6C54" w:rsidRPr="007F175D">
        <w:rPr>
          <w:rFonts w:ascii="Times New Roman" w:hAnsi="Times New Roman"/>
          <w:sz w:val="22"/>
          <w:szCs w:val="22"/>
          <w:lang w:val="sk-SK"/>
        </w:rPr>
        <w:t xml:space="preserve"> nápisom </w:t>
      </w:r>
      <w:r w:rsidR="00680675" w:rsidRPr="00FA6C54">
        <w:rPr>
          <w:rFonts w:ascii="Times New Roman" w:hAnsi="Times New Roman"/>
          <w:sz w:val="22"/>
          <w:szCs w:val="22"/>
          <w:lang w:val="sk-SK"/>
        </w:rPr>
        <w:t>„e“</w:t>
      </w:r>
      <w:r w:rsidR="00135F70" w:rsidRPr="00850A7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80675" w:rsidRPr="00FA6C54">
        <w:rPr>
          <w:rFonts w:ascii="Times New Roman" w:hAnsi="Times New Roman"/>
          <w:sz w:val="22"/>
          <w:szCs w:val="22"/>
          <w:lang w:val="sk-SK"/>
        </w:rPr>
        <w:t>na druhej strane</w:t>
      </w:r>
      <w:r w:rsidR="00A63E55" w:rsidRPr="00FA6C54">
        <w:rPr>
          <w:rFonts w:ascii="Times New Roman" w:hAnsi="Times New Roman"/>
          <w:sz w:val="22"/>
          <w:szCs w:val="22"/>
          <w:lang w:val="sk-SK"/>
        </w:rPr>
        <w:t>.</w:t>
      </w:r>
    </w:p>
    <w:p w14:paraId="46C3D55B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61DCDD99" w14:textId="77777777" w:rsidR="00A63E55" w:rsidRPr="00FA6C54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712E12BE" w14:textId="77777777" w:rsidR="00A63E55" w:rsidRPr="00850A72" w:rsidRDefault="00A63E55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850A72">
        <w:rPr>
          <w:rFonts w:ascii="Times New Roman" w:hAnsi="Times New Roman"/>
          <w:b/>
          <w:caps/>
          <w:sz w:val="22"/>
          <w:szCs w:val="22"/>
          <w:lang w:val="sk-SK"/>
        </w:rPr>
        <w:t>4.</w:t>
      </w:r>
      <w:r w:rsidRPr="00850A72">
        <w:rPr>
          <w:rFonts w:ascii="Times New Roman" w:hAnsi="Times New Roman"/>
          <w:b/>
          <w:caps/>
          <w:sz w:val="22"/>
          <w:szCs w:val="22"/>
          <w:lang w:val="sk-SK"/>
        </w:rPr>
        <w:tab/>
        <w:t>Klinické údaje</w:t>
      </w:r>
    </w:p>
    <w:p w14:paraId="0F91ECE7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6C3A005B" w14:textId="77777777"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4.1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Terapeutické indikácie</w:t>
      </w:r>
    </w:p>
    <w:p w14:paraId="082C83DF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2ECBA933" w14:textId="77777777" w:rsidR="00A63E55" w:rsidRPr="004022D3" w:rsidRDefault="00B818B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Allegra 120 mg sa používa u dospelých paci</w:t>
      </w:r>
      <w:r w:rsidR="000A6CD6" w:rsidRPr="004022D3">
        <w:rPr>
          <w:rFonts w:ascii="Times New Roman" w:hAnsi="Times New Roman"/>
          <w:sz w:val="22"/>
          <w:szCs w:val="22"/>
          <w:lang w:val="sk-SK"/>
        </w:rPr>
        <w:t>entov a u detí vo</w:t>
      </w:r>
      <w:r w:rsidR="0099108C" w:rsidRPr="004022D3">
        <w:rPr>
          <w:rFonts w:ascii="Times New Roman" w:hAnsi="Times New Roman"/>
          <w:sz w:val="22"/>
          <w:szCs w:val="22"/>
          <w:lang w:val="sk-SK"/>
        </w:rPr>
        <w:t xml:space="preserve"> veku </w:t>
      </w:r>
      <w:r w:rsidR="000A6CD6" w:rsidRPr="004022D3">
        <w:rPr>
          <w:rFonts w:ascii="Times New Roman" w:hAnsi="Times New Roman"/>
          <w:sz w:val="22"/>
          <w:szCs w:val="22"/>
          <w:lang w:val="sk-SK"/>
        </w:rPr>
        <w:t xml:space="preserve">od </w:t>
      </w:r>
      <w:r w:rsidR="0099108C" w:rsidRPr="004022D3">
        <w:rPr>
          <w:rFonts w:ascii="Times New Roman" w:hAnsi="Times New Roman"/>
          <w:sz w:val="22"/>
          <w:szCs w:val="22"/>
          <w:lang w:val="sk-SK"/>
        </w:rPr>
        <w:t>12 rokov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na z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miernenie príznakov spojených so sezónnou alergickou 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>rinitídou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.</w:t>
      </w:r>
    </w:p>
    <w:p w14:paraId="5626E34A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2CEA7EF3" w14:textId="77777777"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4.2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Dávkovanie a spôsob podávania</w:t>
      </w:r>
    </w:p>
    <w:p w14:paraId="3B150DCA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31BECC3C" w14:textId="77777777" w:rsidR="00B818B5" w:rsidRPr="004022D3" w:rsidRDefault="00B818B5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14:paraId="7FADE911" w14:textId="77777777" w:rsidR="00A63E55" w:rsidRPr="004022D3" w:rsidRDefault="00A63E55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Dospelí</w:t>
      </w:r>
    </w:p>
    <w:p w14:paraId="4DD3381F" w14:textId="06D56331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Odporúčaná dávka 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chloridu </w:t>
      </w:r>
      <w:r w:rsidRPr="004022D3">
        <w:rPr>
          <w:rFonts w:ascii="Times New Roman" w:hAnsi="Times New Roman"/>
          <w:sz w:val="22"/>
          <w:szCs w:val="22"/>
          <w:lang w:val="sk-SK"/>
        </w:rPr>
        <w:t>pre dospelých je 120 mg raz denne. Užíva sa pred jedlom.</w:t>
      </w:r>
    </w:p>
    <w:p w14:paraId="3B1CDC59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5D3E0910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Fexofenadín je farmakologicky účinný metabolit terfenadínu.</w:t>
      </w:r>
    </w:p>
    <w:p w14:paraId="2FEE96A3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6F15AD4D" w14:textId="77777777" w:rsidR="005B1923" w:rsidRPr="004022D3" w:rsidRDefault="005B1923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14:paraId="2DA644C1" w14:textId="77777777" w:rsidR="005B1923" w:rsidRPr="004022D3" w:rsidRDefault="005B1923" w:rsidP="007649D1">
      <w:pPr>
        <w:numPr>
          <w:ilvl w:val="0"/>
          <w:numId w:val="14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Deti vo veku 12 rokov a </w:t>
      </w:r>
      <w:r w:rsidR="00B93086" w:rsidRPr="004022D3">
        <w:rPr>
          <w:rFonts w:ascii="Times New Roman" w:hAnsi="Times New Roman"/>
          <w:sz w:val="22"/>
          <w:szCs w:val="22"/>
          <w:lang w:val="sk-SK"/>
        </w:rPr>
        <w:t>staršie</w:t>
      </w:r>
    </w:p>
    <w:p w14:paraId="5EA87B99" w14:textId="7187D0B0" w:rsidR="005B1923" w:rsidRPr="004022D3" w:rsidRDefault="005B1923" w:rsidP="005B1923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Odporúčaná dávka 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chloridu </w:t>
      </w:r>
      <w:r w:rsidR="007E0B6B" w:rsidRPr="004022D3">
        <w:rPr>
          <w:rFonts w:ascii="Times New Roman" w:hAnsi="Times New Roman"/>
          <w:sz w:val="22"/>
          <w:szCs w:val="22"/>
          <w:lang w:val="sk-SK"/>
        </w:rPr>
        <w:t>pre deti vo veku od 12 rokov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je 120 mg raz denne. Užíva sa pred jedlom.</w:t>
      </w:r>
    </w:p>
    <w:p w14:paraId="009A9479" w14:textId="77777777" w:rsidR="005B1923" w:rsidRPr="004022D3" w:rsidRDefault="005B1923">
      <w:pPr>
        <w:rPr>
          <w:rFonts w:ascii="Times New Roman" w:hAnsi="Times New Roman"/>
          <w:sz w:val="22"/>
          <w:szCs w:val="22"/>
          <w:lang w:val="sk-SK"/>
        </w:rPr>
      </w:pPr>
    </w:p>
    <w:p w14:paraId="453E8B0C" w14:textId="77777777" w:rsidR="00A63E55" w:rsidRPr="004022D3" w:rsidRDefault="00A63E55" w:rsidP="007649D1">
      <w:pPr>
        <w:numPr>
          <w:ilvl w:val="0"/>
          <w:numId w:val="13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Deti mladšie ako 12 rokov</w:t>
      </w:r>
    </w:p>
    <w:p w14:paraId="0B6921D5" w14:textId="025DDB77" w:rsidR="00A63E55" w:rsidRPr="004022D3" w:rsidRDefault="00151282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Bezpečnosť a účinnosť 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>chloridu</w:t>
      </w:r>
      <w:r w:rsidR="00585EF6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816C6" w:rsidRPr="004022D3">
        <w:rPr>
          <w:rFonts w:ascii="Times New Roman" w:hAnsi="Times New Roman"/>
          <w:sz w:val="22"/>
          <w:szCs w:val="22"/>
          <w:lang w:val="sk-SK"/>
        </w:rPr>
        <w:t xml:space="preserve">120 mg </w:t>
      </w:r>
      <w:r w:rsidRPr="004022D3">
        <w:rPr>
          <w:rFonts w:ascii="Times New Roman" w:hAnsi="Times New Roman"/>
          <w:sz w:val="22"/>
          <w:szCs w:val="22"/>
          <w:lang w:val="sk-SK"/>
        </w:rPr>
        <w:t>u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detí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vo veku 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do 12 rokov </w:t>
      </w:r>
      <w:r w:rsidRPr="004022D3">
        <w:rPr>
          <w:rFonts w:ascii="Times New Roman" w:hAnsi="Times New Roman"/>
          <w:sz w:val="22"/>
          <w:szCs w:val="22"/>
          <w:lang w:val="sk-SK"/>
        </w:rPr>
        <w:t>nebola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doteraz </w:t>
      </w:r>
      <w:r w:rsidRPr="004022D3">
        <w:rPr>
          <w:rFonts w:ascii="Times New Roman" w:hAnsi="Times New Roman"/>
          <w:sz w:val="22"/>
          <w:szCs w:val="22"/>
          <w:lang w:val="sk-SK"/>
        </w:rPr>
        <w:t>stanovená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.</w:t>
      </w:r>
    </w:p>
    <w:p w14:paraId="5B43987B" w14:textId="77777777" w:rsidR="00D816C6" w:rsidRPr="004022D3" w:rsidRDefault="00D816C6">
      <w:pPr>
        <w:rPr>
          <w:rFonts w:ascii="Times New Roman" w:hAnsi="Times New Roman"/>
          <w:sz w:val="22"/>
          <w:szCs w:val="22"/>
          <w:lang w:val="sk-SK"/>
        </w:rPr>
      </w:pPr>
    </w:p>
    <w:p w14:paraId="4B3D980D" w14:textId="65B90A84" w:rsidR="00D816C6" w:rsidRPr="004022D3" w:rsidRDefault="00D816C6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U detí vo veku od 6 do 11 rokov: 30 mg tableta 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chloridu </w:t>
      </w:r>
      <w:r w:rsidR="00AB437F" w:rsidRPr="004022D3">
        <w:rPr>
          <w:rFonts w:ascii="Times New Roman" w:hAnsi="Times New Roman"/>
          <w:sz w:val="22"/>
          <w:szCs w:val="22"/>
          <w:lang w:val="sk-SK"/>
        </w:rPr>
        <w:t>je vhodná formulácia na pod</w:t>
      </w:r>
      <w:r w:rsidR="00DD6F75" w:rsidRPr="004022D3">
        <w:rPr>
          <w:rFonts w:ascii="Times New Roman" w:hAnsi="Times New Roman"/>
          <w:sz w:val="22"/>
          <w:szCs w:val="22"/>
          <w:lang w:val="sk-SK"/>
        </w:rPr>
        <w:t xml:space="preserve">anie a dávkovanie </w:t>
      </w:r>
      <w:r w:rsidR="0012748A">
        <w:rPr>
          <w:rFonts w:ascii="Times New Roman" w:hAnsi="Times New Roman"/>
          <w:sz w:val="22"/>
          <w:szCs w:val="22"/>
          <w:lang w:val="sk-SK"/>
        </w:rPr>
        <w:t>v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> </w:t>
      </w:r>
      <w:r w:rsidR="00DD6F75" w:rsidRPr="004022D3">
        <w:rPr>
          <w:rFonts w:ascii="Times New Roman" w:hAnsi="Times New Roman"/>
          <w:sz w:val="22"/>
          <w:szCs w:val="22"/>
          <w:lang w:val="sk-SK"/>
        </w:rPr>
        <w:t>tejto skupin</w:t>
      </w:r>
      <w:r w:rsidR="0012748A">
        <w:rPr>
          <w:rFonts w:ascii="Times New Roman" w:hAnsi="Times New Roman"/>
          <w:sz w:val="22"/>
          <w:szCs w:val="22"/>
          <w:lang w:val="sk-SK"/>
        </w:rPr>
        <w:t>e</w:t>
      </w:r>
      <w:r w:rsidR="00DD6F75" w:rsidRPr="004022D3">
        <w:rPr>
          <w:rFonts w:ascii="Times New Roman" w:hAnsi="Times New Roman"/>
          <w:sz w:val="22"/>
          <w:szCs w:val="22"/>
          <w:lang w:val="sk-SK"/>
        </w:rPr>
        <w:t xml:space="preserve"> pacientov.</w:t>
      </w:r>
    </w:p>
    <w:p w14:paraId="14FEFDBF" w14:textId="77777777" w:rsidR="00A63E55" w:rsidRPr="004022D3" w:rsidRDefault="00A63E55">
      <w:pPr>
        <w:pStyle w:val="Nadpis3"/>
        <w:ind w:left="0"/>
        <w:rPr>
          <w:rFonts w:ascii="Times New Roman" w:hAnsi="Times New Roman"/>
          <w:sz w:val="22"/>
          <w:szCs w:val="22"/>
        </w:rPr>
      </w:pPr>
    </w:p>
    <w:p w14:paraId="155945C2" w14:textId="77777777" w:rsidR="005E3545" w:rsidRPr="00FA6C54" w:rsidRDefault="00A81A62" w:rsidP="005E3545">
      <w:pPr>
        <w:pStyle w:val="Nadpis3"/>
        <w:ind w:left="0"/>
        <w:rPr>
          <w:rFonts w:ascii="Times New Roman" w:hAnsi="Times New Roman"/>
          <w:sz w:val="22"/>
          <w:szCs w:val="22"/>
        </w:rPr>
      </w:pPr>
      <w:r w:rsidRPr="00FA6C54">
        <w:rPr>
          <w:rFonts w:ascii="Times New Roman" w:hAnsi="Times New Roman"/>
          <w:i/>
          <w:sz w:val="22"/>
          <w:szCs w:val="22"/>
          <w:u w:val="none"/>
        </w:rPr>
        <w:t>Osobitné</w:t>
      </w:r>
      <w:r w:rsidR="007176B4" w:rsidRPr="00FA6C54">
        <w:rPr>
          <w:rFonts w:ascii="Times New Roman" w:hAnsi="Times New Roman"/>
          <w:i/>
          <w:sz w:val="22"/>
          <w:szCs w:val="22"/>
          <w:u w:val="none"/>
        </w:rPr>
        <w:t xml:space="preserve"> </w:t>
      </w:r>
      <w:r w:rsidR="005F71FC" w:rsidRPr="00FA6C54">
        <w:rPr>
          <w:rFonts w:ascii="Times New Roman" w:hAnsi="Times New Roman"/>
          <w:i/>
          <w:sz w:val="22"/>
          <w:szCs w:val="22"/>
          <w:u w:val="none"/>
        </w:rPr>
        <w:t>skupiny pacientov</w:t>
      </w:r>
    </w:p>
    <w:p w14:paraId="1CD5CDE3" w14:textId="434B153C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850A72">
        <w:rPr>
          <w:rFonts w:ascii="Times New Roman" w:hAnsi="Times New Roman"/>
          <w:sz w:val="22"/>
          <w:szCs w:val="22"/>
          <w:lang w:val="sk-SK"/>
        </w:rPr>
        <w:t xml:space="preserve">Štúdie </w:t>
      </w:r>
      <w:r w:rsidR="0012748A">
        <w:rPr>
          <w:rFonts w:ascii="Times New Roman" w:hAnsi="Times New Roman"/>
          <w:sz w:val="22"/>
          <w:szCs w:val="22"/>
          <w:lang w:val="sk-SK"/>
        </w:rPr>
        <w:t>v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76B4" w:rsidRPr="004022D3">
        <w:rPr>
          <w:rFonts w:ascii="Times New Roman" w:hAnsi="Times New Roman"/>
          <w:sz w:val="22"/>
          <w:szCs w:val="22"/>
          <w:lang w:val="sk-SK"/>
        </w:rPr>
        <w:t xml:space="preserve">osobitných </w:t>
      </w:r>
      <w:r w:rsidRPr="004022D3">
        <w:rPr>
          <w:rFonts w:ascii="Times New Roman" w:hAnsi="Times New Roman"/>
          <w:sz w:val="22"/>
          <w:szCs w:val="22"/>
          <w:lang w:val="sk-SK"/>
        </w:rPr>
        <w:t>rizikových skup</w:t>
      </w:r>
      <w:r w:rsidR="0012748A">
        <w:rPr>
          <w:rFonts w:ascii="Times New Roman" w:hAnsi="Times New Roman"/>
          <w:sz w:val="22"/>
          <w:szCs w:val="22"/>
          <w:lang w:val="sk-SK"/>
        </w:rPr>
        <w:t>i</w:t>
      </w:r>
      <w:r w:rsidR="002E3E95" w:rsidRPr="004022D3">
        <w:rPr>
          <w:rFonts w:ascii="Times New Roman" w:hAnsi="Times New Roman"/>
          <w:sz w:val="22"/>
          <w:szCs w:val="22"/>
          <w:lang w:val="sk-SK"/>
        </w:rPr>
        <w:t>n</w:t>
      </w:r>
      <w:r w:rsidR="0012748A">
        <w:rPr>
          <w:rFonts w:ascii="Times New Roman" w:hAnsi="Times New Roman"/>
          <w:sz w:val="22"/>
          <w:szCs w:val="22"/>
          <w:lang w:val="sk-SK"/>
        </w:rPr>
        <w:t>ách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(starší, pacienti s</w:t>
      </w:r>
      <w:r w:rsidR="00C57FC5" w:rsidRPr="004022D3">
        <w:rPr>
          <w:rFonts w:ascii="Times New Roman" w:hAnsi="Times New Roman"/>
          <w:sz w:val="22"/>
          <w:szCs w:val="22"/>
          <w:lang w:val="sk-SK"/>
        </w:rPr>
        <w:t> poruchou funkcie obličiek alebo pečene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) ukazujú, že upravovať dávkovanie </w:t>
      </w:r>
      <w:r w:rsidR="00C57FC5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C57FC5" w:rsidRPr="004022D3">
        <w:rPr>
          <w:rFonts w:ascii="Times New Roman" w:hAnsi="Times New Roman"/>
          <w:sz w:val="22"/>
          <w:szCs w:val="22"/>
          <w:lang w:val="sk-SK"/>
        </w:rPr>
        <w:t xml:space="preserve">chloridu </w:t>
      </w:r>
      <w:r w:rsidRPr="004022D3">
        <w:rPr>
          <w:rFonts w:ascii="Times New Roman" w:hAnsi="Times New Roman"/>
          <w:sz w:val="22"/>
          <w:szCs w:val="22"/>
          <w:lang w:val="sk-SK"/>
        </w:rPr>
        <w:t>pre týchto pacientov nie je potrebné.</w:t>
      </w:r>
    </w:p>
    <w:p w14:paraId="51484FF6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5E3069AE" w14:textId="77777777"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4.3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Kontraindikácie</w:t>
      </w:r>
    </w:p>
    <w:p w14:paraId="025325D6" w14:textId="77777777" w:rsidR="005E3545" w:rsidRPr="004022D3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14:paraId="4ADF2C41" w14:textId="77777777" w:rsidR="005E3545" w:rsidRPr="004022D3" w:rsidRDefault="001F22E2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Precitlivenosť na liečivo alebo na ktorúkoľvek z pomocných látok</w:t>
      </w:r>
      <w:r w:rsidR="00BD449A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5063D" w:rsidRPr="004022D3">
        <w:rPr>
          <w:rFonts w:ascii="Times New Roman" w:hAnsi="Times New Roman"/>
          <w:sz w:val="22"/>
          <w:szCs w:val="22"/>
          <w:lang w:val="sk-SK"/>
        </w:rPr>
        <w:t>uvedených v časti 6.1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.</w:t>
      </w:r>
    </w:p>
    <w:p w14:paraId="6EB18537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2B508A64" w14:textId="77777777"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4.4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Osobitné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upozornenia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a opatrenia pri používaní</w:t>
      </w:r>
    </w:p>
    <w:p w14:paraId="4BD9D819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7F4412A4" w14:textId="327A6EBF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U starších pacientov a pacientov s </w:t>
      </w:r>
      <w:r w:rsidR="00C57FC5" w:rsidRPr="004022D3">
        <w:rPr>
          <w:rFonts w:ascii="Times New Roman" w:hAnsi="Times New Roman"/>
          <w:sz w:val="22"/>
          <w:szCs w:val="22"/>
          <w:lang w:val="sk-SK"/>
        </w:rPr>
        <w:t>poruchou funkcie obličiek alebo pečene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sú k dispozícii len obmedzené skúsenosti s podávaním </w:t>
      </w:r>
      <w:r w:rsidR="00054C2B" w:rsidRPr="004022D3">
        <w:rPr>
          <w:rFonts w:ascii="Times New Roman" w:hAnsi="Times New Roman"/>
          <w:sz w:val="22"/>
          <w:szCs w:val="22"/>
          <w:lang w:val="sk-SK"/>
        </w:rPr>
        <w:t>Allegry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, čo platí pre väčšinu nových liekov. V týchto prípadoch sa má podávať </w:t>
      </w:r>
      <w:r w:rsidR="00585EF6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585EF6" w:rsidRPr="004022D3">
        <w:rPr>
          <w:rFonts w:ascii="Times New Roman" w:hAnsi="Times New Roman"/>
          <w:sz w:val="22"/>
          <w:szCs w:val="22"/>
          <w:lang w:val="sk-SK"/>
        </w:rPr>
        <w:t>chlorid</w:t>
      </w:r>
      <w:r w:rsidR="006C1A3D" w:rsidRPr="004022D3">
        <w:rPr>
          <w:rFonts w:ascii="Times New Roman" w:hAnsi="Times New Roman"/>
          <w:sz w:val="22"/>
          <w:szCs w:val="22"/>
          <w:lang w:val="sk-SK"/>
        </w:rPr>
        <w:t xml:space="preserve"> s opatrnosťou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718C1C6E" w14:textId="77777777" w:rsidR="00640282" w:rsidRPr="004022D3" w:rsidRDefault="00640282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272B95BC" w14:textId="77777777" w:rsidR="001F22E2" w:rsidRPr="004022D3" w:rsidRDefault="001F22E2" w:rsidP="00A456D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 w:eastAsia="sk-SK"/>
        </w:rPr>
        <w:t>Pa</w:t>
      </w:r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cienti, ktorí majú v súčasnosti alebo v anamnéze ochorenie srdca, musia byť upozornení, že lieky patriace do skupiny antihistaminík sa spájajú s nežiaducimi </w:t>
      </w:r>
      <w:r w:rsidR="006C1A3D" w:rsidRPr="004022D3">
        <w:rPr>
          <w:rFonts w:ascii="Times New Roman" w:hAnsi="Times New Roman"/>
          <w:sz w:val="22"/>
          <w:szCs w:val="22"/>
          <w:lang w:val="sk-SK" w:eastAsia="sk-SK"/>
        </w:rPr>
        <w:t xml:space="preserve">účinkami </w:t>
      </w:r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>ako je tachykardia a palpitácie</w:t>
      </w:r>
      <w:r w:rsidRPr="004022D3">
        <w:rPr>
          <w:rFonts w:ascii="Times New Roman" w:hAnsi="Times New Roman"/>
          <w:sz w:val="22"/>
          <w:szCs w:val="22"/>
          <w:lang w:val="sk-SK" w:eastAsia="sk-SK"/>
        </w:rPr>
        <w:t xml:space="preserve"> (</w:t>
      </w:r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pozri časť </w:t>
      </w:r>
      <w:r w:rsidRPr="004022D3">
        <w:rPr>
          <w:rFonts w:ascii="Times New Roman" w:hAnsi="Times New Roman"/>
          <w:sz w:val="22"/>
          <w:szCs w:val="22"/>
          <w:lang w:val="sk-SK" w:eastAsia="sk-SK"/>
        </w:rPr>
        <w:t>4.8).</w:t>
      </w:r>
    </w:p>
    <w:p w14:paraId="4E1C04D1" w14:textId="77777777" w:rsidR="009605BB" w:rsidRDefault="009605BB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23F1B69F" w14:textId="77777777" w:rsidR="00F42FAE" w:rsidRDefault="00F42FAE" w:rsidP="00F42FAE">
      <w:pPr>
        <w:ind w:right="87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Allegra 120 mg obsahuje sodík</w:t>
      </w:r>
    </w:p>
    <w:p w14:paraId="0AF7AC6F" w14:textId="77777777" w:rsidR="00F42FAE" w:rsidRDefault="00F42FAE" w:rsidP="00F42FAE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Tento liek obsahuje menej ako 1 mmol sodíka (23 mg) v , t.j. v podstate zanedbateľné množstvo sodíka.</w:t>
      </w:r>
    </w:p>
    <w:p w14:paraId="5A9EDA6A" w14:textId="77777777" w:rsidR="00F42FAE" w:rsidRDefault="00F42FAE" w:rsidP="00F42FAE">
      <w:pPr>
        <w:rPr>
          <w:rFonts w:ascii="Times New Roman" w:hAnsi="Times New Roman"/>
          <w:sz w:val="22"/>
          <w:szCs w:val="22"/>
          <w:lang w:val="sk-SK"/>
        </w:rPr>
      </w:pPr>
    </w:p>
    <w:p w14:paraId="1B2E0846" w14:textId="77777777" w:rsidR="00F42FAE" w:rsidRDefault="00F42FAE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50003142" w14:textId="77777777" w:rsidR="00F42FAE" w:rsidRPr="004022D3" w:rsidRDefault="00F42FAE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326E83EC" w14:textId="77777777"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4.5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Liekové a iné interakcie</w:t>
      </w:r>
    </w:p>
    <w:p w14:paraId="54C7D17F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10BCCA09" w14:textId="1DF767F6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Fexofenadín nepodlieha hepatálnej biotransformácii a preto nedochádza k interakciám s inými liekmi hepatálnym mechanizmom. Súčasné podanie </w:t>
      </w:r>
      <w:r w:rsidR="006C1A3D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6C1A3D" w:rsidRPr="004022D3">
        <w:rPr>
          <w:rFonts w:ascii="Times New Roman" w:hAnsi="Times New Roman"/>
          <w:sz w:val="22"/>
          <w:szCs w:val="22"/>
          <w:lang w:val="sk-SK"/>
        </w:rPr>
        <w:t xml:space="preserve">chloridu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a erytromycínu alebo ketokonazolu sa prejavilo dvoj- až trojnásobným zvýšením hladiny fexofenadínu v plazme. Tieto zmeny nemali žiadny účinok na QT interval a v porovnaní s oddeleným užívaním jednotlivých liekov nespôsobili zvýšený výskyt nežiaducich 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>účinkov</w:t>
      </w:r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14:paraId="359F6707" w14:textId="77777777" w:rsidR="00640282" w:rsidRPr="004022D3" w:rsidRDefault="00640282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3F405461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Štúdie na zvieratách ukázali, že zvýšenie hladín fexofenadínu pri 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>sú</w:t>
      </w:r>
      <w:r w:rsidR="0012748A">
        <w:rPr>
          <w:rFonts w:ascii="Times New Roman" w:hAnsi="Times New Roman"/>
          <w:sz w:val="22"/>
          <w:szCs w:val="22"/>
          <w:lang w:val="sk-SK"/>
        </w:rPr>
        <w:t>bež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 xml:space="preserve">nom </w:t>
      </w:r>
      <w:r w:rsidRPr="004022D3">
        <w:rPr>
          <w:rFonts w:ascii="Times New Roman" w:hAnsi="Times New Roman"/>
          <w:sz w:val="22"/>
          <w:szCs w:val="22"/>
          <w:lang w:val="sk-SK"/>
        </w:rPr>
        <w:t>podávaní erytromycínu alebo ketokonazolu je spôsobené zvýšenou gastrointestinálnou absor</w:t>
      </w:r>
      <w:r w:rsidR="002A36CA" w:rsidRPr="004022D3">
        <w:rPr>
          <w:rFonts w:ascii="Times New Roman" w:hAnsi="Times New Roman"/>
          <w:sz w:val="22"/>
          <w:szCs w:val="22"/>
          <w:lang w:val="sk-SK"/>
        </w:rPr>
        <w:t>p</w:t>
      </w:r>
      <w:r w:rsidRPr="004022D3">
        <w:rPr>
          <w:rFonts w:ascii="Times New Roman" w:hAnsi="Times New Roman"/>
          <w:sz w:val="22"/>
          <w:szCs w:val="22"/>
          <w:lang w:val="sk-SK"/>
        </w:rPr>
        <w:t>ciou a zníženým vylučovaním žlče alebo znížením gastrointestinálnej sekrécie.</w:t>
      </w:r>
    </w:p>
    <w:p w14:paraId="21F1E91A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58885872" w14:textId="5FD09404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Medzi fexofenadínom a omeprazolom sa nepozorovali interakcie. Avšak užitie antacíd obsahujúcich hliník a gélov s obsahom hydroxidu horčíka 15 minút pred užitím 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chloridu </w:t>
      </w:r>
      <w:r w:rsidRPr="004022D3">
        <w:rPr>
          <w:rFonts w:ascii="Times New Roman" w:hAnsi="Times New Roman"/>
          <w:sz w:val="22"/>
          <w:szCs w:val="22"/>
          <w:lang w:val="sk-SK"/>
        </w:rPr>
        <w:t>zníži</w:t>
      </w:r>
      <w:r w:rsidR="00531224" w:rsidRPr="004022D3">
        <w:rPr>
          <w:rFonts w:ascii="Times New Roman" w:hAnsi="Times New Roman"/>
          <w:sz w:val="22"/>
          <w:szCs w:val="22"/>
          <w:lang w:val="sk-SK"/>
        </w:rPr>
        <w:t>lo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jeho biologickú dostupnosť pravdepodobne 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kvôli </w:t>
      </w:r>
      <w:r w:rsidRPr="004022D3">
        <w:rPr>
          <w:rFonts w:ascii="Times New Roman" w:hAnsi="Times New Roman"/>
          <w:sz w:val="22"/>
          <w:szCs w:val="22"/>
          <w:lang w:val="sk-SK"/>
        </w:rPr>
        <w:t>naviazani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v gastrointestinálnom trakte. Odporúča sa dodržať dvojhodinový časový interval medzi užitím 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chloridu </w:t>
      </w:r>
      <w:r w:rsidRPr="004022D3">
        <w:rPr>
          <w:rFonts w:ascii="Times New Roman" w:hAnsi="Times New Roman"/>
          <w:sz w:val="22"/>
          <w:szCs w:val="22"/>
          <w:lang w:val="sk-SK"/>
        </w:rPr>
        <w:t>a antacíd obsahujúcich hliník a hydroxid horčíka.</w:t>
      </w:r>
    </w:p>
    <w:p w14:paraId="01B5EAA1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3AF6D477" w14:textId="77777777"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4.6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20446E" w:rsidRPr="004022D3">
        <w:rPr>
          <w:rFonts w:ascii="Times New Roman" w:hAnsi="Times New Roman"/>
          <w:b/>
          <w:bCs/>
          <w:sz w:val="22"/>
          <w:szCs w:val="22"/>
          <w:lang w:val="sk-SK"/>
        </w:rPr>
        <w:t>Fertilita, g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ravidita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a 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laktácia</w:t>
      </w:r>
    </w:p>
    <w:p w14:paraId="2A41B8FE" w14:textId="77777777" w:rsidR="005E3545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3662B800" w14:textId="77777777" w:rsidR="00084A00" w:rsidRPr="004022D3" w:rsidRDefault="00084A00" w:rsidP="00084A00">
      <w:pPr>
        <w:rPr>
          <w:rFonts w:ascii="Times New Roman" w:hAnsi="Times New Roman"/>
          <w:sz w:val="22"/>
          <w:szCs w:val="22"/>
          <w:lang w:val="sk-SK"/>
        </w:rPr>
      </w:pPr>
    </w:p>
    <w:p w14:paraId="043995AC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14:paraId="302F8768" w14:textId="1664D842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Nie sú k dispozícii dostatočné údaje o použití 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chloridu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u gravidných žien. Štúdie na zvieratách nepreukázali priame alebo nepriame škodlivé účinky na graviditu, embryonálny/fetálny vývoj, pôrod alebo postnatálny vývoj (pozri </w:t>
      </w:r>
      <w:r w:rsidR="00F81314" w:rsidRPr="004022D3">
        <w:rPr>
          <w:rFonts w:ascii="Times New Roman" w:hAnsi="Times New Roman"/>
          <w:sz w:val="22"/>
          <w:szCs w:val="22"/>
          <w:lang w:val="sk-SK"/>
        </w:rPr>
        <w:t xml:space="preserve">časť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5.3). 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chlorid </w:t>
      </w:r>
      <w:r w:rsidRPr="004022D3">
        <w:rPr>
          <w:rFonts w:ascii="Times New Roman" w:hAnsi="Times New Roman"/>
          <w:sz w:val="22"/>
          <w:szCs w:val="22"/>
          <w:lang w:val="sk-SK"/>
        </w:rPr>
        <w:t>má byť užívaný počas gravidity len v nevyhnutných prípadoch.</w:t>
      </w:r>
    </w:p>
    <w:p w14:paraId="2A6A62CB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4E5CE08F" w14:textId="77777777" w:rsidR="005E3545" w:rsidRPr="004022D3" w:rsidRDefault="00494D3F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14:paraId="5C1FAD7B" w14:textId="228D3D95" w:rsidR="005E3545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lastRenderedPageBreak/>
        <w:t xml:space="preserve">Nie sú žiadne údaje o 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>obsahu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C310A">
        <w:rPr>
          <w:rFonts w:ascii="Times New Roman" w:hAnsi="Times New Roman"/>
          <w:sz w:val="22"/>
          <w:szCs w:val="22"/>
          <w:lang w:val="sk-SK"/>
        </w:rPr>
        <w:t>fexofenadínium-chlorid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4022D3">
        <w:rPr>
          <w:rFonts w:ascii="Times New Roman" w:hAnsi="Times New Roman"/>
          <w:sz w:val="22"/>
          <w:szCs w:val="22"/>
          <w:lang w:val="sk-SK"/>
        </w:rPr>
        <w:t>v materskom mlieku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po jeho podaní</w:t>
      </w:r>
      <w:r w:rsidRPr="004022D3">
        <w:rPr>
          <w:rFonts w:ascii="Times New Roman" w:hAnsi="Times New Roman"/>
          <w:sz w:val="22"/>
          <w:szCs w:val="22"/>
          <w:lang w:val="sk-SK"/>
        </w:rPr>
        <w:t>. Avšak pri podávaní terfenadínu dojčiacim matkám sa zistilo, že fexofenadín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prechádza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do materského mlieka. Preto sa užívanie </w:t>
      </w:r>
      <w:r w:rsidR="00BC310A">
        <w:rPr>
          <w:rFonts w:ascii="Times New Roman" w:hAnsi="Times New Roman"/>
          <w:sz w:val="22"/>
          <w:szCs w:val="22"/>
          <w:lang w:val="sk-SK"/>
        </w:rPr>
        <w:t>fexofenadínium-chlorid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4022D3">
        <w:rPr>
          <w:rFonts w:ascii="Times New Roman" w:hAnsi="Times New Roman"/>
          <w:sz w:val="22"/>
          <w:szCs w:val="22"/>
          <w:lang w:val="sk-SK"/>
        </w:rPr>
        <w:t>dojčiacim matkám neodporúča.</w:t>
      </w:r>
    </w:p>
    <w:p w14:paraId="464F383A" w14:textId="77777777" w:rsidR="00695481" w:rsidRDefault="00695481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682CDC2A" w14:textId="77777777" w:rsidR="00695481" w:rsidRDefault="00695481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1C0721F5" w14:textId="77777777" w:rsidR="00695481" w:rsidRDefault="00695481" w:rsidP="00695481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</w:p>
    <w:p w14:paraId="58AE80A8" w14:textId="77777777" w:rsidR="00695481" w:rsidRDefault="00695481" w:rsidP="0069548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Nie sú dostupné žiadne údaje o vplyve hydrochloridu fexofenadínu na plodnosť. U myší liečených hydrochloridom fexofenadínu nebol pozorovaný žiaden vplyv na plodnosť (pozri časť 5.3).</w:t>
      </w:r>
    </w:p>
    <w:p w14:paraId="398A7FE7" w14:textId="77777777" w:rsidR="00695481" w:rsidRDefault="00695481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115996B7" w14:textId="77777777" w:rsidR="00695481" w:rsidRPr="00461687" w:rsidRDefault="00695481" w:rsidP="00695481">
      <w:pPr>
        <w:tabs>
          <w:tab w:val="left" w:pos="851"/>
        </w:tabs>
        <w:rPr>
          <w:sz w:val="22"/>
          <w:szCs w:val="22"/>
        </w:rPr>
      </w:pPr>
    </w:p>
    <w:p w14:paraId="34F79D22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1A53F31A" w14:textId="77777777"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4.7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Ovplyvnenie schopnosti viesť vozidlá a obsluhovať stroje</w:t>
      </w:r>
    </w:p>
    <w:p w14:paraId="21A1E671" w14:textId="77777777" w:rsidR="005E3545" w:rsidRPr="004022D3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14:paraId="5B124727" w14:textId="35C92BC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Na základe farmakodynamického profilu a hlásených nežiaducich 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účinkov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je nepravdepodobné, že tablety 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chloridu </w:t>
      </w:r>
      <w:r w:rsidRPr="004022D3">
        <w:rPr>
          <w:rFonts w:ascii="Times New Roman" w:hAnsi="Times New Roman"/>
          <w:sz w:val="22"/>
          <w:szCs w:val="22"/>
          <w:lang w:val="sk-SK"/>
        </w:rPr>
        <w:t>majú vplyv na schopnosť viesť vozidl</w:t>
      </w:r>
      <w:r w:rsidR="00465A1C" w:rsidRPr="004022D3">
        <w:rPr>
          <w:rFonts w:ascii="Times New Roman" w:hAnsi="Times New Roman"/>
          <w:sz w:val="22"/>
          <w:szCs w:val="22"/>
          <w:lang w:val="sk-SK"/>
        </w:rPr>
        <w:t>á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alebo obsluhovať stroje. Pri objektívnych testoch nemá </w:t>
      </w:r>
      <w:r w:rsidR="00054C2B" w:rsidRPr="004022D3">
        <w:rPr>
          <w:rFonts w:ascii="Times New Roman" w:hAnsi="Times New Roman"/>
          <w:sz w:val="22"/>
          <w:szCs w:val="22"/>
          <w:lang w:val="sk-SK"/>
        </w:rPr>
        <w:t>Allegra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významný vplyv na funkciu centrálneho nervového systému. To znamená, že pacienti smú viesť vozidl</w:t>
      </w:r>
      <w:r w:rsidR="00464877" w:rsidRPr="004022D3">
        <w:rPr>
          <w:rFonts w:ascii="Times New Roman" w:hAnsi="Times New Roman"/>
          <w:sz w:val="22"/>
          <w:szCs w:val="22"/>
          <w:lang w:val="sk-SK"/>
        </w:rPr>
        <w:t>á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 vykonávať úlohy, ktoré </w:t>
      </w:r>
      <w:r w:rsidR="002E3E95" w:rsidRPr="004022D3">
        <w:rPr>
          <w:rFonts w:ascii="Times New Roman" w:hAnsi="Times New Roman"/>
          <w:sz w:val="22"/>
          <w:szCs w:val="22"/>
          <w:lang w:val="sk-SK"/>
        </w:rPr>
        <w:t xml:space="preserve">si </w:t>
      </w:r>
      <w:r w:rsidRPr="004022D3">
        <w:rPr>
          <w:rFonts w:ascii="Times New Roman" w:hAnsi="Times New Roman"/>
          <w:sz w:val="22"/>
          <w:szCs w:val="22"/>
          <w:lang w:val="sk-SK"/>
        </w:rPr>
        <w:t>vyžadujú sústredenie. Pred začiatkom takýchto činností sa však odporúča preveriť individuálnu reakciu, aby sa identifikovali citliví pacienti s neobvyklými reakciami na lieky.</w:t>
      </w:r>
    </w:p>
    <w:p w14:paraId="674095A8" w14:textId="77777777" w:rsidR="005E3545" w:rsidRPr="004022D3" w:rsidRDefault="005E3545" w:rsidP="005E3545">
      <w:pPr>
        <w:ind w:left="1095"/>
        <w:rPr>
          <w:rFonts w:ascii="Times New Roman" w:hAnsi="Times New Roman"/>
          <w:sz w:val="22"/>
          <w:szCs w:val="22"/>
          <w:lang w:val="sk-SK"/>
        </w:rPr>
      </w:pPr>
    </w:p>
    <w:p w14:paraId="33BA3CDA" w14:textId="77777777"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4.8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Nežiaduce účinky</w:t>
      </w:r>
    </w:p>
    <w:p w14:paraId="0ABD437A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19D24F5A" w14:textId="77777777" w:rsidR="00F81314" w:rsidRPr="007F175D" w:rsidRDefault="00F81314" w:rsidP="00F81314">
      <w:pPr>
        <w:rPr>
          <w:rFonts w:ascii="Times New Roman" w:hAnsi="Times New Roman"/>
          <w:sz w:val="22"/>
          <w:szCs w:val="22"/>
          <w:lang w:val="sk-SK"/>
        </w:rPr>
      </w:pPr>
      <w:r w:rsidRPr="007F175D">
        <w:rPr>
          <w:rFonts w:ascii="Times New Roman" w:hAnsi="Times New Roman"/>
          <w:sz w:val="22"/>
          <w:szCs w:val="22"/>
          <w:lang w:val="sk-SK"/>
        </w:rPr>
        <w:t xml:space="preserve">Nežiaduce účinky </w:t>
      </w:r>
      <w:r w:rsidR="00A90996" w:rsidRPr="007F175D">
        <w:rPr>
          <w:rFonts w:ascii="Times New Roman" w:hAnsi="Times New Roman"/>
          <w:sz w:val="22"/>
          <w:szCs w:val="22"/>
          <w:lang w:val="sk-SK"/>
        </w:rPr>
        <w:t xml:space="preserve">sú </w:t>
      </w:r>
      <w:r w:rsidRPr="007F175D">
        <w:rPr>
          <w:rFonts w:ascii="Times New Roman" w:hAnsi="Times New Roman"/>
          <w:sz w:val="22"/>
          <w:szCs w:val="22"/>
          <w:lang w:val="sk-SK"/>
        </w:rPr>
        <w:t>usporiadané podľa nasledujúcej klasifikácie frekvencie výskytu:</w:t>
      </w:r>
    </w:p>
    <w:p w14:paraId="343AF3BB" w14:textId="77777777" w:rsidR="00F81314" w:rsidRPr="007F175D" w:rsidRDefault="00C920C8" w:rsidP="00F81314">
      <w:pPr>
        <w:rPr>
          <w:rFonts w:ascii="Times New Roman" w:hAnsi="Times New Roman"/>
          <w:bCs/>
          <w:sz w:val="22"/>
          <w:szCs w:val="22"/>
          <w:lang w:val="sk-SK"/>
        </w:rPr>
      </w:pPr>
      <w:r w:rsidRPr="007F175D">
        <w:rPr>
          <w:rFonts w:ascii="Times New Roman" w:hAnsi="Times New Roman"/>
          <w:bCs/>
          <w:sz w:val="22"/>
          <w:szCs w:val="22"/>
          <w:lang w:val="sk-SK"/>
        </w:rPr>
        <w:t xml:space="preserve">veľmi 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časté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časté 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1/100 až &lt; 1/10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 xml:space="preserve">menej 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časté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1/1 000 až &lt; 1/100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zriedkavé 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1/10 000 až &lt; 1/1 000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 xml:space="preserve">veľmi 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zriedkavé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&lt; 1/10 000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 a neznáme (z dostupných údajov). </w:t>
      </w:r>
    </w:p>
    <w:p w14:paraId="54A52413" w14:textId="77777777" w:rsidR="00F81314" w:rsidRPr="007F175D" w:rsidRDefault="00F81314" w:rsidP="00F81314">
      <w:pPr>
        <w:rPr>
          <w:rFonts w:ascii="Times New Roman" w:hAnsi="Times New Roman"/>
          <w:bCs/>
          <w:sz w:val="22"/>
          <w:szCs w:val="22"/>
          <w:lang w:val="sk-SK"/>
        </w:rPr>
      </w:pPr>
      <w:r w:rsidRPr="007F175D">
        <w:rPr>
          <w:rFonts w:ascii="Times New Roman" w:hAnsi="Times New Roman"/>
          <w:bCs/>
          <w:sz w:val="22"/>
          <w:szCs w:val="22"/>
          <w:lang w:val="sk-SK"/>
        </w:rPr>
        <w:t>V rámci jednotlivých skupín frekvencií sú nežiaduce účinky usporiadané v poradí klesajúcej závažnosti.</w:t>
      </w:r>
    </w:p>
    <w:p w14:paraId="5E65D041" w14:textId="77777777" w:rsidR="00F81314" w:rsidRPr="004022D3" w:rsidRDefault="00F81314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02F34846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U dospelých sa v klinických štúdiách zaznamenali s frekvenciou výskytu podobnou ako pri placebe nasledujúce nežiaduce účinky:</w:t>
      </w:r>
    </w:p>
    <w:p w14:paraId="4A28662B" w14:textId="77777777" w:rsidR="00D2640C" w:rsidRPr="00FA6C54" w:rsidRDefault="00D2640C" w:rsidP="005A727D">
      <w:pPr>
        <w:rPr>
          <w:rFonts w:ascii="Times New Roman" w:hAnsi="Times New Roman"/>
          <w:i/>
          <w:sz w:val="22"/>
          <w:lang w:val="sk-SK"/>
        </w:rPr>
      </w:pPr>
    </w:p>
    <w:p w14:paraId="0AE45711" w14:textId="77777777"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850A72">
        <w:rPr>
          <w:rFonts w:ascii="Times New Roman" w:hAnsi="Times New Roman"/>
          <w:i/>
          <w:sz w:val="22"/>
          <w:lang w:val="sk-SK"/>
        </w:rPr>
        <w:t>Poru</w:t>
      </w:r>
      <w:r w:rsidRPr="004022D3">
        <w:rPr>
          <w:rFonts w:ascii="Times New Roman" w:hAnsi="Times New Roman"/>
          <w:i/>
          <w:sz w:val="22"/>
          <w:lang w:val="sk-SK"/>
        </w:rPr>
        <w:t>chy nervového systému</w:t>
      </w:r>
    </w:p>
    <w:p w14:paraId="74ECF0AD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Časté: bolesť hlavy, ospalosť, závrat</w:t>
      </w:r>
      <w:r w:rsidR="00585EF6" w:rsidRPr="004022D3">
        <w:rPr>
          <w:rFonts w:ascii="Times New Roman" w:hAnsi="Times New Roman"/>
          <w:sz w:val="22"/>
          <w:lang w:val="sk-SK"/>
        </w:rPr>
        <w:t>.</w:t>
      </w:r>
    </w:p>
    <w:p w14:paraId="40DA2451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14:paraId="0BB020DA" w14:textId="77777777"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>Poruchy gastr</w:t>
      </w:r>
      <w:r w:rsidR="00133BBC" w:rsidRPr="004022D3">
        <w:rPr>
          <w:rFonts w:ascii="Times New Roman" w:hAnsi="Times New Roman"/>
          <w:i/>
          <w:sz w:val="22"/>
          <w:lang w:val="sk-SK"/>
        </w:rPr>
        <w:t>o</w:t>
      </w:r>
      <w:r w:rsidRPr="004022D3">
        <w:rPr>
          <w:rFonts w:ascii="Times New Roman" w:hAnsi="Times New Roman"/>
          <w:i/>
          <w:sz w:val="22"/>
          <w:lang w:val="sk-SK"/>
        </w:rPr>
        <w:t>intestinálneho traktu</w:t>
      </w:r>
    </w:p>
    <w:p w14:paraId="7EE91479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Časté: nevoľnosť</w:t>
      </w:r>
      <w:r w:rsidR="00585EF6" w:rsidRPr="004022D3">
        <w:rPr>
          <w:rFonts w:ascii="Times New Roman" w:hAnsi="Times New Roman"/>
          <w:sz w:val="22"/>
          <w:lang w:val="sk-SK"/>
        </w:rPr>
        <w:t>.</w:t>
      </w:r>
    </w:p>
    <w:p w14:paraId="4EC35886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14:paraId="3727DC2E" w14:textId="77777777"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>Celkové poruchy a reakcie v mieste podania</w:t>
      </w:r>
    </w:p>
    <w:p w14:paraId="0F369FD7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Menej časté: únava</w:t>
      </w:r>
      <w:r w:rsidR="00585EF6" w:rsidRPr="004022D3">
        <w:rPr>
          <w:rFonts w:ascii="Times New Roman" w:hAnsi="Times New Roman"/>
          <w:sz w:val="22"/>
          <w:lang w:val="sk-SK"/>
        </w:rPr>
        <w:t>.</w:t>
      </w:r>
    </w:p>
    <w:p w14:paraId="3D9EA763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14:paraId="0A886838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 xml:space="preserve">V rámci postmarketingového sledovania sa s neznámou frekvenciou </w:t>
      </w:r>
      <w:r w:rsidR="00006FA0" w:rsidRPr="004022D3">
        <w:rPr>
          <w:rFonts w:ascii="Times New Roman" w:hAnsi="Times New Roman"/>
          <w:sz w:val="22"/>
          <w:lang w:val="sk-SK"/>
        </w:rPr>
        <w:t xml:space="preserve">výskytu </w:t>
      </w:r>
      <w:r w:rsidRPr="004022D3">
        <w:rPr>
          <w:rFonts w:ascii="Times New Roman" w:hAnsi="Times New Roman"/>
          <w:sz w:val="22"/>
          <w:lang w:val="sk-SK"/>
        </w:rPr>
        <w:t xml:space="preserve">(z dostupných údajov) zaznamenali nasledujúce nežiaduce účinky: </w:t>
      </w:r>
    </w:p>
    <w:p w14:paraId="2E12EB5C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14:paraId="26DBF90C" w14:textId="77777777"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>Poruchy imunitného systému</w:t>
      </w:r>
    </w:p>
    <w:p w14:paraId="5FEE05EB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 xml:space="preserve">reakcie z precitlivenosti </w:t>
      </w:r>
      <w:r w:rsidR="00E96BDD" w:rsidRPr="004022D3">
        <w:rPr>
          <w:rFonts w:ascii="Times New Roman" w:hAnsi="Times New Roman"/>
          <w:sz w:val="22"/>
          <w:lang w:val="sk-SK"/>
        </w:rPr>
        <w:t>(</w:t>
      </w:r>
      <w:r w:rsidRPr="004022D3">
        <w:rPr>
          <w:rFonts w:ascii="Times New Roman" w:hAnsi="Times New Roman"/>
          <w:sz w:val="22"/>
          <w:lang w:val="sk-SK"/>
        </w:rPr>
        <w:t xml:space="preserve">s prejavmi ako je angioedém, </w:t>
      </w:r>
      <w:r w:rsidR="00E96BDD" w:rsidRPr="004022D3">
        <w:rPr>
          <w:rFonts w:ascii="Times New Roman" w:hAnsi="Times New Roman"/>
          <w:sz w:val="22"/>
          <w:lang w:val="sk-SK"/>
        </w:rPr>
        <w:t>pocit tlaku na hrudi</w:t>
      </w:r>
      <w:r w:rsidRPr="004022D3">
        <w:rPr>
          <w:rFonts w:ascii="Times New Roman" w:hAnsi="Times New Roman"/>
          <w:sz w:val="22"/>
          <w:lang w:val="sk-SK"/>
        </w:rPr>
        <w:t>, dýchavičnosť, návaly horúčavy a systémová anafylaxia</w:t>
      </w:r>
      <w:r w:rsidR="00E96BDD" w:rsidRPr="004022D3">
        <w:rPr>
          <w:rFonts w:ascii="Times New Roman" w:hAnsi="Times New Roman"/>
          <w:sz w:val="22"/>
          <w:lang w:val="sk-SK"/>
        </w:rPr>
        <w:t>)</w:t>
      </w:r>
    </w:p>
    <w:p w14:paraId="4965E9ED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14:paraId="65CC15F7" w14:textId="77777777"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>Psychické poruchy</w:t>
      </w:r>
    </w:p>
    <w:p w14:paraId="6173A202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nespavosť, nervozita, poruchy spánku alebo nočné mory/</w:t>
      </w:r>
      <w:r w:rsidR="00BD449A" w:rsidRPr="004022D3">
        <w:rPr>
          <w:rFonts w:ascii="Times New Roman" w:hAnsi="Times New Roman"/>
          <w:sz w:val="22"/>
          <w:lang w:val="sk-SK"/>
        </w:rPr>
        <w:t>chorobné snenie</w:t>
      </w:r>
      <w:r w:rsidRPr="004022D3">
        <w:rPr>
          <w:rFonts w:ascii="Times New Roman" w:hAnsi="Times New Roman"/>
          <w:sz w:val="22"/>
          <w:lang w:val="sk-SK"/>
        </w:rPr>
        <w:t xml:space="preserve"> (paroníria) </w:t>
      </w:r>
    </w:p>
    <w:p w14:paraId="2C1B1B8B" w14:textId="77777777"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14:paraId="26FC5DCB" w14:textId="77777777"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i/>
          <w:sz w:val="22"/>
          <w:szCs w:val="22"/>
          <w:lang w:val="sk-SK" w:eastAsia="sk-SK"/>
        </w:rPr>
        <w:t>Poruchy srdca a srdcovej činnosti</w:t>
      </w:r>
    </w:p>
    <w:p w14:paraId="3AA6F45C" w14:textId="77777777"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sz w:val="22"/>
          <w:szCs w:val="22"/>
          <w:lang w:val="sk-SK" w:eastAsia="sk-SK"/>
        </w:rPr>
        <w:t>tachykardia, palpitácie</w:t>
      </w:r>
    </w:p>
    <w:p w14:paraId="31F94F6E" w14:textId="77777777"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</w:p>
    <w:p w14:paraId="4468F8EA" w14:textId="77777777"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i/>
          <w:sz w:val="22"/>
          <w:szCs w:val="22"/>
          <w:lang w:val="sk-SK" w:eastAsia="sk-SK"/>
        </w:rPr>
        <w:t>Poruchy gastrointestinálneho traktu</w:t>
      </w:r>
    </w:p>
    <w:p w14:paraId="0A220D91" w14:textId="77777777"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sz w:val="22"/>
          <w:szCs w:val="22"/>
          <w:lang w:val="sk-SK" w:eastAsia="sk-SK"/>
        </w:rPr>
        <w:t>hnačka</w:t>
      </w:r>
    </w:p>
    <w:p w14:paraId="576F1E02" w14:textId="77777777"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</w:p>
    <w:p w14:paraId="5CDF249E" w14:textId="77777777"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i/>
          <w:sz w:val="22"/>
          <w:szCs w:val="22"/>
          <w:lang w:val="sk-SK" w:eastAsia="sk-SK"/>
        </w:rPr>
        <w:t>Poruchy kože a podkožného tkaniva</w:t>
      </w:r>
    </w:p>
    <w:p w14:paraId="778C9ED5" w14:textId="77777777"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sz w:val="22"/>
          <w:szCs w:val="22"/>
          <w:lang w:val="sk-SK" w:eastAsia="sk-SK"/>
        </w:rPr>
        <w:t>vyrážka, žihľavka, pruritus</w:t>
      </w:r>
    </w:p>
    <w:p w14:paraId="68B63E9F" w14:textId="77777777" w:rsidR="00F81314" w:rsidRPr="004022D3" w:rsidRDefault="00F81314" w:rsidP="00F8131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328D53AC" w14:textId="77777777" w:rsidR="00F81314" w:rsidRPr="004022D3" w:rsidRDefault="00F81314" w:rsidP="007649D1">
      <w:pPr>
        <w:keepNext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u w:val="single"/>
          <w:lang w:val="sk-SK"/>
        </w:rPr>
        <w:t>Hlásenie podozrení na nežiaduce reakcie</w:t>
      </w:r>
    </w:p>
    <w:p w14:paraId="72CFB543" w14:textId="77777777" w:rsidR="00F81314" w:rsidRPr="004022D3" w:rsidRDefault="00F81314" w:rsidP="00F81314">
      <w:pPr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lang w:val="sk-SK"/>
        </w:rPr>
        <w:t>Hlásenie podozrení na nežiaduce reakcie po registrácii lieku je dôležité.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>Umožňuje priebežné monitorovanie pomeru prínosu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> rizika lieku.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Od 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F51372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F51372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4022D3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4022D3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</w:t>
        </w:r>
        <w:r w:rsidRPr="007F175D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 xml:space="preserve">rílohe </w:t>
        </w:r>
        <w:r w:rsidRPr="004022D3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V</w:t>
        </w:r>
      </w:hyperlink>
      <w:r w:rsidRPr="004022D3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14:paraId="2569CBFE" w14:textId="77777777" w:rsidR="006D425B" w:rsidRPr="004022D3" w:rsidRDefault="006D425B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66C3A477" w14:textId="77777777" w:rsidR="005E3545" w:rsidRPr="004022D3" w:rsidRDefault="005E3545" w:rsidP="007649D1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sz w:val="22"/>
          <w:szCs w:val="22"/>
          <w:lang w:val="sk-SK"/>
        </w:rPr>
        <w:t>4.9</w:t>
      </w:r>
      <w:r w:rsidRPr="004022D3">
        <w:rPr>
          <w:rFonts w:ascii="Times New Roman" w:hAnsi="Times New Roman"/>
          <w:b/>
          <w:sz w:val="22"/>
          <w:szCs w:val="22"/>
          <w:lang w:val="sk-SK"/>
        </w:rPr>
        <w:tab/>
        <w:t>Predávkovanie</w:t>
      </w:r>
    </w:p>
    <w:p w14:paraId="7A895739" w14:textId="77777777" w:rsidR="005E3545" w:rsidRPr="00FA6C54" w:rsidRDefault="005E3545" w:rsidP="007649D1">
      <w:pPr>
        <w:keepNext/>
        <w:rPr>
          <w:rFonts w:ascii="Times New Roman" w:hAnsi="Times New Roman"/>
          <w:b/>
          <w:sz w:val="22"/>
          <w:szCs w:val="22"/>
          <w:lang w:val="sk-SK"/>
        </w:rPr>
      </w:pPr>
    </w:p>
    <w:p w14:paraId="01E4186D" w14:textId="209EADA0" w:rsidR="005E3545" w:rsidRPr="004022D3" w:rsidRDefault="005E3545" w:rsidP="005E3545">
      <w:pPr>
        <w:pStyle w:val="Zkladntext"/>
        <w:rPr>
          <w:rFonts w:ascii="Times New Roman" w:hAnsi="Times New Roman"/>
          <w:sz w:val="22"/>
          <w:szCs w:val="22"/>
        </w:rPr>
      </w:pPr>
      <w:r w:rsidRPr="00FA6C54">
        <w:rPr>
          <w:rFonts w:ascii="Times New Roman" w:hAnsi="Times New Roman"/>
          <w:sz w:val="22"/>
          <w:szCs w:val="22"/>
        </w:rPr>
        <w:t xml:space="preserve">Pri predávkovaní </w:t>
      </w:r>
      <w:r w:rsidR="00313015" w:rsidRPr="00FA6C54">
        <w:rPr>
          <w:rFonts w:ascii="Times New Roman" w:hAnsi="Times New Roman"/>
          <w:sz w:val="22"/>
          <w:szCs w:val="22"/>
        </w:rPr>
        <w:t>fexofenadínium</w:t>
      </w:r>
      <w:r w:rsidR="00E5737F">
        <w:rPr>
          <w:rFonts w:ascii="Times New Roman" w:hAnsi="Times New Roman"/>
          <w:sz w:val="22"/>
          <w:szCs w:val="22"/>
        </w:rPr>
        <w:t>-</w:t>
      </w:r>
      <w:r w:rsidR="00313015" w:rsidRPr="00FA6C54">
        <w:rPr>
          <w:rFonts w:ascii="Times New Roman" w:hAnsi="Times New Roman"/>
          <w:sz w:val="22"/>
          <w:szCs w:val="22"/>
        </w:rPr>
        <w:t xml:space="preserve">chloridom </w:t>
      </w:r>
      <w:r w:rsidRPr="004022D3">
        <w:rPr>
          <w:rFonts w:ascii="Times New Roman" w:hAnsi="Times New Roman"/>
          <w:sz w:val="22"/>
          <w:szCs w:val="22"/>
        </w:rPr>
        <w:t xml:space="preserve">sa zaznamenali: závrat, ospalosť, únava a sucho v ústach. </w:t>
      </w:r>
      <w:r w:rsidR="00640282" w:rsidRPr="004022D3">
        <w:rPr>
          <w:rFonts w:ascii="Times New Roman" w:hAnsi="Times New Roman"/>
          <w:sz w:val="22"/>
          <w:szCs w:val="22"/>
        </w:rPr>
        <w:t>Z</w:t>
      </w:r>
      <w:r w:rsidRPr="004022D3">
        <w:rPr>
          <w:rFonts w:ascii="Times New Roman" w:hAnsi="Times New Roman"/>
          <w:sz w:val="22"/>
          <w:szCs w:val="22"/>
        </w:rPr>
        <w:t xml:space="preserve">dravým </w:t>
      </w:r>
      <w:r w:rsidR="005A727D" w:rsidRPr="004022D3">
        <w:rPr>
          <w:rFonts w:ascii="Times New Roman" w:hAnsi="Times New Roman"/>
          <w:sz w:val="22"/>
          <w:szCs w:val="22"/>
        </w:rPr>
        <w:t>dospelým</w:t>
      </w:r>
      <w:r w:rsidRPr="004022D3">
        <w:rPr>
          <w:rFonts w:ascii="Times New Roman" w:hAnsi="Times New Roman"/>
          <w:sz w:val="22"/>
          <w:szCs w:val="22"/>
        </w:rPr>
        <w:t xml:space="preserve"> sa podávali jednorazové dávky do 800 mg </w:t>
      </w:r>
      <w:r w:rsidR="005A727D" w:rsidRPr="004022D3">
        <w:rPr>
          <w:rFonts w:ascii="Times New Roman" w:hAnsi="Times New Roman"/>
          <w:sz w:val="22"/>
          <w:szCs w:val="22"/>
        </w:rPr>
        <w:t xml:space="preserve">jedenkrát denne </w:t>
      </w:r>
      <w:r w:rsidRPr="004022D3">
        <w:rPr>
          <w:rFonts w:ascii="Times New Roman" w:hAnsi="Times New Roman"/>
          <w:sz w:val="22"/>
          <w:szCs w:val="22"/>
        </w:rPr>
        <w:t xml:space="preserve">a dávky do 690 mg dvakrát denne </w:t>
      </w:r>
      <w:r w:rsidR="00313015" w:rsidRPr="004022D3">
        <w:rPr>
          <w:rFonts w:ascii="Times New Roman" w:hAnsi="Times New Roman"/>
          <w:sz w:val="22"/>
          <w:szCs w:val="22"/>
        </w:rPr>
        <w:t>počas</w:t>
      </w:r>
      <w:r w:rsidRPr="004022D3">
        <w:rPr>
          <w:rFonts w:ascii="Times New Roman" w:hAnsi="Times New Roman"/>
          <w:sz w:val="22"/>
          <w:szCs w:val="22"/>
        </w:rPr>
        <w:t xml:space="preserve"> 1 mesiaca alebo 240 mg raz denne </w:t>
      </w:r>
      <w:r w:rsidR="00313015" w:rsidRPr="004022D3">
        <w:rPr>
          <w:rFonts w:ascii="Times New Roman" w:hAnsi="Times New Roman"/>
          <w:sz w:val="22"/>
          <w:szCs w:val="22"/>
        </w:rPr>
        <w:t>počas</w:t>
      </w:r>
      <w:r w:rsidRPr="004022D3">
        <w:rPr>
          <w:rFonts w:ascii="Times New Roman" w:hAnsi="Times New Roman"/>
          <w:sz w:val="22"/>
          <w:szCs w:val="22"/>
        </w:rPr>
        <w:t xml:space="preserve"> 1 roka bez toho, </w:t>
      </w:r>
      <w:r w:rsidR="00531224" w:rsidRPr="004022D3">
        <w:rPr>
          <w:rFonts w:ascii="Times New Roman" w:hAnsi="Times New Roman"/>
          <w:sz w:val="22"/>
          <w:szCs w:val="22"/>
        </w:rPr>
        <w:t>aby</w:t>
      </w:r>
      <w:r w:rsidRPr="004022D3">
        <w:rPr>
          <w:rFonts w:ascii="Times New Roman" w:hAnsi="Times New Roman"/>
          <w:sz w:val="22"/>
          <w:szCs w:val="22"/>
        </w:rPr>
        <w:t xml:space="preserve"> sa rozvinuli klinicky signifikantné nežiaduce </w:t>
      </w:r>
      <w:r w:rsidR="00313015" w:rsidRPr="004022D3">
        <w:rPr>
          <w:rFonts w:ascii="Times New Roman" w:hAnsi="Times New Roman"/>
          <w:sz w:val="22"/>
          <w:szCs w:val="22"/>
        </w:rPr>
        <w:t xml:space="preserve">účinky </w:t>
      </w:r>
      <w:r w:rsidRPr="004022D3">
        <w:rPr>
          <w:rFonts w:ascii="Times New Roman" w:hAnsi="Times New Roman"/>
          <w:sz w:val="22"/>
          <w:szCs w:val="22"/>
        </w:rPr>
        <w:t xml:space="preserve">v porovnaní s placebom. Maximálna tolerovaná dávka </w:t>
      </w:r>
      <w:r w:rsidR="00313015" w:rsidRPr="004022D3">
        <w:rPr>
          <w:rFonts w:ascii="Times New Roman" w:hAnsi="Times New Roman"/>
          <w:sz w:val="22"/>
          <w:szCs w:val="22"/>
        </w:rPr>
        <w:t>fexofenadínium</w:t>
      </w:r>
      <w:r w:rsidR="00E5737F">
        <w:rPr>
          <w:rFonts w:ascii="Times New Roman" w:hAnsi="Times New Roman"/>
          <w:sz w:val="22"/>
          <w:szCs w:val="22"/>
        </w:rPr>
        <w:t>-</w:t>
      </w:r>
      <w:r w:rsidR="00313015" w:rsidRPr="004022D3">
        <w:rPr>
          <w:rFonts w:ascii="Times New Roman" w:hAnsi="Times New Roman"/>
          <w:sz w:val="22"/>
          <w:szCs w:val="22"/>
        </w:rPr>
        <w:t xml:space="preserve">chloridu </w:t>
      </w:r>
      <w:r w:rsidRPr="004022D3">
        <w:rPr>
          <w:rFonts w:ascii="Times New Roman" w:hAnsi="Times New Roman"/>
          <w:sz w:val="22"/>
          <w:szCs w:val="22"/>
        </w:rPr>
        <w:t xml:space="preserve">sa nestanovila. </w:t>
      </w:r>
    </w:p>
    <w:p w14:paraId="2689C4AC" w14:textId="77777777" w:rsidR="005E3545" w:rsidRPr="004022D3" w:rsidRDefault="005E3545" w:rsidP="005E3545">
      <w:pPr>
        <w:pStyle w:val="Zkladntext"/>
        <w:rPr>
          <w:rFonts w:ascii="Times New Roman" w:hAnsi="Times New Roman"/>
          <w:sz w:val="22"/>
          <w:szCs w:val="22"/>
        </w:rPr>
      </w:pPr>
    </w:p>
    <w:p w14:paraId="0E4AC15F" w14:textId="02779584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Na odstránenie neabsorbovaného lieku </w:t>
      </w:r>
      <w:r w:rsidR="00585EF6" w:rsidRPr="004022D3">
        <w:rPr>
          <w:rFonts w:ascii="Times New Roman" w:hAnsi="Times New Roman"/>
          <w:sz w:val="22"/>
          <w:szCs w:val="22"/>
          <w:lang w:val="sk-SK"/>
        </w:rPr>
        <w:t xml:space="preserve">je potrebné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použiť obvyklé opatrenia. Odporúča sa symptomatická a podporná liečba. Hemodialýza nie je účinná na odstránenie 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chloridu </w:t>
      </w:r>
      <w:r w:rsidRPr="004022D3">
        <w:rPr>
          <w:rFonts w:ascii="Times New Roman" w:hAnsi="Times New Roman"/>
          <w:sz w:val="22"/>
          <w:szCs w:val="22"/>
          <w:lang w:val="sk-SK"/>
        </w:rPr>
        <w:t>z krvi.</w:t>
      </w:r>
    </w:p>
    <w:p w14:paraId="64E91D8B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5E1F5B00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73F2F25A" w14:textId="77777777"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5.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FARMAKOLOGICKÉ VLASTNOSTI</w:t>
      </w:r>
    </w:p>
    <w:p w14:paraId="4A48615A" w14:textId="77777777" w:rsidR="005E3545" w:rsidRPr="004022D3" w:rsidRDefault="005E3545" w:rsidP="007649D1">
      <w:pPr>
        <w:keepNext/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14:paraId="55CBA0DF" w14:textId="77777777"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5.1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Farmakodynamické vlastnosti</w:t>
      </w:r>
    </w:p>
    <w:p w14:paraId="7FE7696B" w14:textId="77777777" w:rsidR="005E3545" w:rsidRPr="004022D3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14:paraId="6BC428FA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Farmakoterapeutická skupina: antihistaminiká na systémové použitie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>;</w:t>
      </w:r>
      <w:r w:rsidR="004555E4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ATC kód: R06AX26</w:t>
      </w:r>
    </w:p>
    <w:p w14:paraId="5F64E971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3D5C802C" w14:textId="77777777" w:rsidR="009B00F2" w:rsidRPr="004022D3" w:rsidRDefault="009B00F2" w:rsidP="007649D1">
      <w:pPr>
        <w:keepNext/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14:paraId="20ADF5F2" w14:textId="40AFA562" w:rsidR="005E3545" w:rsidRPr="004022D3" w:rsidRDefault="0031301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chlorid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je netlmiv</w:t>
      </w:r>
      <w:r w:rsidR="003823AD" w:rsidRPr="004022D3">
        <w:rPr>
          <w:rFonts w:ascii="Times New Roman" w:hAnsi="Times New Roman"/>
          <w:sz w:val="22"/>
          <w:szCs w:val="22"/>
          <w:lang w:val="sk-SK"/>
        </w:rPr>
        <w:t>é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H</w:t>
      </w:r>
      <w:r w:rsidR="005E3545" w:rsidRPr="004022D3">
        <w:rPr>
          <w:rFonts w:ascii="Times New Roman" w:hAnsi="Times New Roman"/>
          <w:sz w:val="22"/>
          <w:szCs w:val="22"/>
          <w:vertAlign w:val="subscript"/>
          <w:lang w:val="sk-SK"/>
        </w:rPr>
        <w:t>1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antihistaminikum. Fexofenadín je farmakologicky aktívny metabolit terfenadínu.</w:t>
      </w:r>
    </w:p>
    <w:p w14:paraId="4CC11636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267DF288" w14:textId="77777777" w:rsidR="009B00F2" w:rsidRPr="004022D3" w:rsidRDefault="009B00F2" w:rsidP="007649D1">
      <w:pPr>
        <w:keepNext/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Klinická účinnosť a bezpečnosť</w:t>
      </w:r>
    </w:p>
    <w:p w14:paraId="48CE07E0" w14:textId="2D687A2F" w:rsidR="005E3545" w:rsidRPr="004022D3" w:rsidRDefault="002E3E9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H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istamínové štúdie pupencov a sčervenenia kože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u ľudí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po užití 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>chloridu jedenkrát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alebo dvakrát denne dokazujú, že liek má antihistamínový účinok, ktorý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 sa prejaví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do jednej hodiny, maximum dosahuje za 6 hodín a trvá 24 hodín. Po 28 dňoch dávkovania sa nedokázal vznik tolerancie. Pozitívna odpoveď sa zistila v rozpätí perorálnych dávok od 10 mg do 130 mg. Zistilo sa, že pri tomto type antihistamínového účinku 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je potrebné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na dosiahnutie stabilného 24-hodinového účinku dávku najmenej 130 mg. Maximálny útlm kožných pupencov a sčervenenia bol väčší než 80%. Klinické štúdie zamerané na sezónnu alergickú rinitídu ukázali, že dávka 120 mg postačuje na 24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>-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hodinový účinok.</w:t>
      </w:r>
    </w:p>
    <w:p w14:paraId="2310E642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5A5E2933" w14:textId="1F80344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U pacientov so sezónnou alergickou rinitídou, ktorí užívali 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chlorid </w:t>
      </w:r>
      <w:r w:rsidRPr="004022D3">
        <w:rPr>
          <w:rFonts w:ascii="Times New Roman" w:hAnsi="Times New Roman"/>
          <w:sz w:val="22"/>
          <w:szCs w:val="22"/>
          <w:lang w:val="sk-SK"/>
        </w:rPr>
        <w:t>dva týždne v dávkach do 240 mg dvakrát denne, sa v porov</w:t>
      </w:r>
      <w:r w:rsidR="00CA284B" w:rsidRPr="004022D3">
        <w:rPr>
          <w:rFonts w:ascii="Times New Roman" w:hAnsi="Times New Roman"/>
          <w:sz w:val="22"/>
          <w:szCs w:val="22"/>
          <w:lang w:val="sk-SK"/>
        </w:rPr>
        <w:t>n</w:t>
      </w:r>
      <w:r w:rsidRPr="004022D3">
        <w:rPr>
          <w:rFonts w:ascii="Times New Roman" w:hAnsi="Times New Roman"/>
          <w:sz w:val="22"/>
          <w:szCs w:val="22"/>
          <w:lang w:val="sk-SK"/>
        </w:rPr>
        <w:t>aní s placebom nepozorovali žiadne výrazné zmeny intervalov QT</w:t>
      </w:r>
      <w:r w:rsidRPr="004022D3">
        <w:rPr>
          <w:rFonts w:ascii="Times New Roman" w:hAnsi="Times New Roman"/>
          <w:sz w:val="22"/>
          <w:szCs w:val="22"/>
          <w:vertAlign w:val="subscript"/>
          <w:lang w:val="sk-SK"/>
        </w:rPr>
        <w:t>c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. Ani u zdravých jedincov, ktorí užívali </w:t>
      </w:r>
      <w:r w:rsidR="00BC310A">
        <w:rPr>
          <w:rFonts w:ascii="Times New Roman" w:hAnsi="Times New Roman"/>
          <w:sz w:val="22"/>
          <w:szCs w:val="22"/>
          <w:lang w:val="sk-SK"/>
        </w:rPr>
        <w:t>fexofenadínium-chlorid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v dávkach do 60 mg dvakrát denne počas 6 mesiacov, 400 mg dvakrát denne počas 6,5 d</w:t>
      </w:r>
      <w:r w:rsidR="004022D3" w:rsidRPr="004022D3">
        <w:rPr>
          <w:rFonts w:ascii="Times New Roman" w:hAnsi="Times New Roman"/>
          <w:sz w:val="22"/>
          <w:szCs w:val="22"/>
          <w:lang w:val="sk-SK"/>
        </w:rPr>
        <w:t>ňa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 240 mg </w:t>
      </w:r>
      <w:r w:rsidR="00CA284B" w:rsidRPr="004022D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Pr="004022D3">
        <w:rPr>
          <w:rFonts w:ascii="Times New Roman" w:hAnsi="Times New Roman"/>
          <w:sz w:val="22"/>
          <w:szCs w:val="22"/>
          <w:lang w:val="sk-SK"/>
        </w:rPr>
        <w:t>denne počas jedného roka, sa nepozorovali v porovnaní s placebom žiadne výrazné zmeny intervalov QT</w:t>
      </w:r>
      <w:r w:rsidRPr="004022D3">
        <w:rPr>
          <w:rFonts w:ascii="Times New Roman" w:hAnsi="Times New Roman"/>
          <w:sz w:val="22"/>
          <w:szCs w:val="22"/>
          <w:vertAlign w:val="subscript"/>
          <w:lang w:val="sk-SK"/>
        </w:rPr>
        <w:t>c</w:t>
      </w:r>
      <w:r w:rsidRPr="004022D3">
        <w:rPr>
          <w:rFonts w:ascii="Times New Roman" w:hAnsi="Times New Roman"/>
          <w:sz w:val="22"/>
          <w:szCs w:val="22"/>
          <w:lang w:val="sk-SK"/>
        </w:rPr>
        <w:t>. Fexofenadín v koncentráciách 32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>-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krát väčších ako terapeutická koncentrácia u ľudí nemal žiadny účinok na 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>oneskorený napriamovač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K</w:t>
      </w:r>
      <w:r w:rsidR="00B531A9" w:rsidRPr="004022D3">
        <w:rPr>
          <w:rFonts w:ascii="Times New Roman" w:hAnsi="Times New Roman"/>
          <w:sz w:val="22"/>
          <w:szCs w:val="22"/>
          <w:vertAlign w:val="superscript"/>
          <w:lang w:val="sk-SK"/>
        </w:rPr>
        <w:t>+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kanál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 (delayed rectifier K</w:t>
      </w:r>
      <w:r w:rsidR="00B531A9" w:rsidRPr="004022D3">
        <w:rPr>
          <w:rFonts w:ascii="Times New Roman" w:hAnsi="Times New Roman"/>
          <w:sz w:val="22"/>
          <w:szCs w:val="22"/>
          <w:vertAlign w:val="superscript"/>
          <w:lang w:val="sk-SK"/>
        </w:rPr>
        <w:t xml:space="preserve">+ 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>channel</w:t>
      </w:r>
      <w:r w:rsidR="002A36CA" w:rsidRPr="004022D3">
        <w:rPr>
          <w:rFonts w:ascii="Times New Roman" w:hAnsi="Times New Roman"/>
          <w:sz w:val="22"/>
          <w:szCs w:val="22"/>
          <w:lang w:val="sk-SK"/>
        </w:rPr>
        <w:t>)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klonovaný z ľudského srdca.</w:t>
      </w:r>
    </w:p>
    <w:p w14:paraId="695F5E58" w14:textId="77777777" w:rsidR="00D01FA9" w:rsidRPr="004022D3" w:rsidRDefault="00D01FA9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0AB3477D" w14:textId="300BB258" w:rsidR="005E3545" w:rsidRPr="004022D3" w:rsidRDefault="00D01FA9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Pr="004022D3">
        <w:rPr>
          <w:rFonts w:ascii="Times New Roman" w:hAnsi="Times New Roman"/>
          <w:sz w:val="22"/>
          <w:szCs w:val="22"/>
          <w:lang w:val="sk-SK"/>
        </w:rPr>
        <w:t>chlorid</w:t>
      </w:r>
      <w:r w:rsidRPr="004022D3" w:rsidDel="00D01FA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(5 </w:t>
      </w:r>
      <w:r w:rsidR="00B23AD9" w:rsidRPr="004022D3">
        <w:rPr>
          <w:rFonts w:ascii="Times New Roman" w:hAnsi="Times New Roman"/>
          <w:sz w:val="22"/>
          <w:szCs w:val="22"/>
          <w:lang w:val="sk-SK"/>
        </w:rPr>
        <w:t>-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10 mg/kg perorálne) inhiboval u citlivých morských prasiatok antigén spôsobujúci bronchospazmus a uvoľňovanie histamínu z peritoneálnych žírnych buniek pri supraterapeutických koncentráciách (10 </w:t>
      </w:r>
      <w:r w:rsidR="00B23AD9" w:rsidRPr="004022D3">
        <w:rPr>
          <w:rFonts w:ascii="Times New Roman" w:hAnsi="Times New Roman"/>
          <w:sz w:val="22"/>
          <w:szCs w:val="22"/>
          <w:lang w:val="sk-SK"/>
        </w:rPr>
        <w:t>-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100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sym w:font="Symbol" w:char="F06D"/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mol/l). </w:t>
      </w:r>
    </w:p>
    <w:p w14:paraId="1ACA4102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5C2C9ED9" w14:textId="77777777"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lastRenderedPageBreak/>
        <w:t>5.2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Farmakokinetické vlastnosti</w:t>
      </w:r>
    </w:p>
    <w:p w14:paraId="36D6E2B8" w14:textId="77777777" w:rsidR="005E3545" w:rsidRPr="00FA6C54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14:paraId="6CC4784B" w14:textId="77777777" w:rsidR="00B23AD9" w:rsidRPr="00850A72" w:rsidRDefault="00B23AD9" w:rsidP="007649D1">
      <w:pPr>
        <w:pStyle w:val="Zarkazkladnhotextu"/>
        <w:keepNext/>
        <w:ind w:left="0"/>
        <w:rPr>
          <w:rFonts w:ascii="Times New Roman" w:hAnsi="Times New Roman"/>
          <w:sz w:val="22"/>
          <w:szCs w:val="22"/>
          <w:u w:val="single"/>
        </w:rPr>
      </w:pPr>
      <w:r w:rsidRPr="00850A72">
        <w:rPr>
          <w:rFonts w:ascii="Times New Roman" w:hAnsi="Times New Roman"/>
          <w:sz w:val="22"/>
          <w:szCs w:val="22"/>
          <w:u w:val="single"/>
        </w:rPr>
        <w:t>Absorpcia</w:t>
      </w:r>
    </w:p>
    <w:p w14:paraId="4847D214" w14:textId="4BC59696"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022D3">
        <w:rPr>
          <w:rFonts w:ascii="Times New Roman" w:hAnsi="Times New Roman"/>
          <w:sz w:val="22"/>
          <w:szCs w:val="22"/>
        </w:rPr>
        <w:t xml:space="preserve">Po perorálnom užití sa </w:t>
      </w:r>
      <w:r w:rsidR="00D01FA9" w:rsidRPr="004022D3">
        <w:rPr>
          <w:rFonts w:ascii="Times New Roman" w:hAnsi="Times New Roman"/>
          <w:sz w:val="22"/>
          <w:szCs w:val="22"/>
        </w:rPr>
        <w:t>fexofenadínium</w:t>
      </w:r>
      <w:r w:rsidR="00E5737F">
        <w:rPr>
          <w:rFonts w:ascii="Times New Roman" w:hAnsi="Times New Roman"/>
          <w:sz w:val="22"/>
          <w:szCs w:val="22"/>
        </w:rPr>
        <w:t>-</w:t>
      </w:r>
      <w:r w:rsidR="00D01FA9" w:rsidRPr="004022D3">
        <w:rPr>
          <w:rFonts w:ascii="Times New Roman" w:hAnsi="Times New Roman"/>
          <w:sz w:val="22"/>
          <w:szCs w:val="22"/>
        </w:rPr>
        <w:t xml:space="preserve">chlorid </w:t>
      </w:r>
      <w:r w:rsidRPr="004022D3">
        <w:rPr>
          <w:rFonts w:ascii="Times New Roman" w:hAnsi="Times New Roman"/>
          <w:sz w:val="22"/>
          <w:szCs w:val="22"/>
        </w:rPr>
        <w:t xml:space="preserve">rýchlo vstrebáva do organizmu, </w:t>
      </w:r>
      <w:r w:rsidR="00D01FA9" w:rsidRPr="004022D3">
        <w:rPr>
          <w:rFonts w:ascii="Times New Roman" w:hAnsi="Times New Roman"/>
          <w:sz w:val="22"/>
          <w:szCs w:val="22"/>
        </w:rPr>
        <w:t>t</w:t>
      </w:r>
      <w:r w:rsidRPr="004022D3">
        <w:rPr>
          <w:rFonts w:ascii="Times New Roman" w:hAnsi="Times New Roman"/>
          <w:sz w:val="22"/>
          <w:szCs w:val="22"/>
          <w:vertAlign w:val="subscript"/>
        </w:rPr>
        <w:t xml:space="preserve">max </w:t>
      </w:r>
      <w:r w:rsidRPr="004022D3">
        <w:rPr>
          <w:rFonts w:ascii="Times New Roman" w:hAnsi="Times New Roman"/>
          <w:sz w:val="22"/>
          <w:szCs w:val="22"/>
        </w:rPr>
        <w:t xml:space="preserve">sa dosahuje približne 1 </w:t>
      </w:r>
      <w:r w:rsidR="00B23AD9" w:rsidRPr="004022D3">
        <w:rPr>
          <w:rFonts w:ascii="Times New Roman" w:hAnsi="Times New Roman"/>
          <w:sz w:val="22"/>
          <w:szCs w:val="22"/>
        </w:rPr>
        <w:t>-</w:t>
      </w:r>
      <w:r w:rsidRPr="004022D3">
        <w:rPr>
          <w:rFonts w:ascii="Times New Roman" w:hAnsi="Times New Roman"/>
          <w:sz w:val="22"/>
          <w:szCs w:val="22"/>
        </w:rPr>
        <w:t xml:space="preserve"> 3 hodiny po podaní. Pri dávkach 1</w:t>
      </w:r>
      <w:r w:rsidR="00DA0A35" w:rsidRPr="004022D3">
        <w:rPr>
          <w:rFonts w:ascii="Times New Roman" w:hAnsi="Times New Roman"/>
          <w:sz w:val="22"/>
          <w:szCs w:val="22"/>
        </w:rPr>
        <w:t>2</w:t>
      </w:r>
      <w:r w:rsidRPr="004022D3">
        <w:rPr>
          <w:rFonts w:ascii="Times New Roman" w:hAnsi="Times New Roman"/>
          <w:sz w:val="22"/>
          <w:szCs w:val="22"/>
        </w:rPr>
        <w:t>0 mg raz denne bola priemerná hodnota C</w:t>
      </w:r>
      <w:r w:rsidRPr="004022D3">
        <w:rPr>
          <w:rFonts w:ascii="Times New Roman" w:hAnsi="Times New Roman"/>
          <w:sz w:val="22"/>
          <w:szCs w:val="22"/>
          <w:vertAlign w:val="subscript"/>
        </w:rPr>
        <w:t xml:space="preserve">max </w:t>
      </w:r>
      <w:r w:rsidRPr="004022D3">
        <w:rPr>
          <w:rFonts w:ascii="Times New Roman" w:hAnsi="Times New Roman"/>
          <w:sz w:val="22"/>
          <w:szCs w:val="22"/>
        </w:rPr>
        <w:t>približne 4</w:t>
      </w:r>
      <w:r w:rsidR="00DA0A35" w:rsidRPr="004022D3">
        <w:rPr>
          <w:rFonts w:ascii="Times New Roman" w:hAnsi="Times New Roman"/>
          <w:sz w:val="22"/>
          <w:szCs w:val="22"/>
        </w:rPr>
        <w:t>27</w:t>
      </w:r>
      <w:r w:rsidRPr="004022D3">
        <w:rPr>
          <w:rFonts w:ascii="Times New Roman" w:hAnsi="Times New Roman"/>
          <w:sz w:val="22"/>
          <w:szCs w:val="22"/>
        </w:rPr>
        <w:t> ng/ml.</w:t>
      </w:r>
    </w:p>
    <w:p w14:paraId="0653146C" w14:textId="77777777"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3C432DD4" w14:textId="77777777" w:rsidR="00B23AD9" w:rsidRPr="004022D3" w:rsidRDefault="00B23AD9" w:rsidP="007649D1">
      <w:pPr>
        <w:pStyle w:val="Zarkazkladnhotextu"/>
        <w:keepNext/>
        <w:ind w:left="0"/>
        <w:rPr>
          <w:rFonts w:ascii="Times New Roman" w:hAnsi="Times New Roman"/>
          <w:sz w:val="22"/>
          <w:szCs w:val="22"/>
          <w:u w:val="single"/>
        </w:rPr>
      </w:pPr>
      <w:r w:rsidRPr="004022D3">
        <w:rPr>
          <w:rFonts w:ascii="Times New Roman" w:hAnsi="Times New Roman"/>
          <w:sz w:val="22"/>
          <w:szCs w:val="22"/>
          <w:u w:val="single"/>
        </w:rPr>
        <w:t>Distribúcia</w:t>
      </w:r>
    </w:p>
    <w:p w14:paraId="7841F980" w14:textId="77777777" w:rsidR="00B23AD9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022D3">
        <w:rPr>
          <w:rFonts w:ascii="Times New Roman" w:hAnsi="Times New Roman"/>
          <w:sz w:val="22"/>
          <w:szCs w:val="22"/>
        </w:rPr>
        <w:t xml:space="preserve">60 </w:t>
      </w:r>
      <w:r w:rsidR="00B23AD9" w:rsidRPr="004022D3">
        <w:rPr>
          <w:rFonts w:ascii="Times New Roman" w:hAnsi="Times New Roman"/>
          <w:sz w:val="22"/>
          <w:szCs w:val="22"/>
        </w:rPr>
        <w:t>-</w:t>
      </w:r>
      <w:r w:rsidRPr="004022D3">
        <w:rPr>
          <w:rFonts w:ascii="Times New Roman" w:hAnsi="Times New Roman"/>
          <w:sz w:val="22"/>
          <w:szCs w:val="22"/>
        </w:rPr>
        <w:t xml:space="preserve"> 70 % fexofenadínu sa viaže na </w:t>
      </w:r>
      <w:r w:rsidR="00BD449A" w:rsidRPr="004022D3">
        <w:rPr>
          <w:rFonts w:ascii="Times New Roman" w:hAnsi="Times New Roman"/>
          <w:sz w:val="22"/>
          <w:szCs w:val="22"/>
        </w:rPr>
        <w:t>plazmatick</w:t>
      </w:r>
      <w:r w:rsidR="00D01FA9" w:rsidRPr="004022D3">
        <w:rPr>
          <w:rFonts w:ascii="Times New Roman" w:hAnsi="Times New Roman"/>
          <w:sz w:val="22"/>
          <w:szCs w:val="22"/>
        </w:rPr>
        <w:t>é</w:t>
      </w:r>
      <w:r w:rsidR="00BD449A" w:rsidRPr="004022D3">
        <w:rPr>
          <w:rFonts w:ascii="Times New Roman" w:hAnsi="Times New Roman"/>
          <w:sz w:val="22"/>
          <w:szCs w:val="22"/>
        </w:rPr>
        <w:t xml:space="preserve"> proteín</w:t>
      </w:r>
      <w:r w:rsidR="00D01FA9" w:rsidRPr="004022D3">
        <w:rPr>
          <w:rFonts w:ascii="Times New Roman" w:hAnsi="Times New Roman"/>
          <w:sz w:val="22"/>
          <w:szCs w:val="22"/>
        </w:rPr>
        <w:t>y</w:t>
      </w:r>
      <w:r w:rsidRPr="004022D3">
        <w:rPr>
          <w:rFonts w:ascii="Times New Roman" w:hAnsi="Times New Roman"/>
          <w:sz w:val="22"/>
          <w:szCs w:val="22"/>
        </w:rPr>
        <w:t xml:space="preserve">. </w:t>
      </w:r>
    </w:p>
    <w:p w14:paraId="160D9B63" w14:textId="77777777" w:rsidR="00B23AD9" w:rsidRPr="004022D3" w:rsidRDefault="00B23AD9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230EF06B" w14:textId="77777777" w:rsidR="00B23AD9" w:rsidRPr="004022D3" w:rsidRDefault="00B23AD9" w:rsidP="007649D1">
      <w:pPr>
        <w:pStyle w:val="Zarkazkladnhotextu"/>
        <w:keepNext/>
        <w:ind w:left="0"/>
        <w:rPr>
          <w:rFonts w:ascii="Times New Roman" w:hAnsi="Times New Roman"/>
          <w:sz w:val="22"/>
          <w:szCs w:val="22"/>
          <w:u w:val="single"/>
        </w:rPr>
      </w:pPr>
      <w:r w:rsidRPr="004022D3">
        <w:rPr>
          <w:rFonts w:ascii="Times New Roman" w:hAnsi="Times New Roman"/>
          <w:sz w:val="22"/>
          <w:szCs w:val="22"/>
          <w:u w:val="single"/>
        </w:rPr>
        <w:t>Biotransformácia a eliminácia</w:t>
      </w:r>
    </w:p>
    <w:p w14:paraId="0F2A0F57" w14:textId="77777777"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022D3">
        <w:rPr>
          <w:rFonts w:ascii="Times New Roman" w:hAnsi="Times New Roman"/>
          <w:sz w:val="22"/>
          <w:szCs w:val="22"/>
        </w:rPr>
        <w:t>Fexofenadín sa metabolizuje (</w:t>
      </w:r>
      <w:r w:rsidR="00BD449A" w:rsidRPr="004022D3">
        <w:rPr>
          <w:rFonts w:ascii="Times New Roman" w:hAnsi="Times New Roman"/>
          <w:sz w:val="22"/>
          <w:szCs w:val="22"/>
        </w:rPr>
        <w:t>hepatálne</w:t>
      </w:r>
      <w:r w:rsidRPr="004022D3">
        <w:rPr>
          <w:rFonts w:ascii="Times New Roman" w:hAnsi="Times New Roman"/>
          <w:sz w:val="22"/>
          <w:szCs w:val="22"/>
        </w:rPr>
        <w:t xml:space="preserve"> alebo </w:t>
      </w:r>
      <w:r w:rsidR="00C11814" w:rsidRPr="004022D3">
        <w:rPr>
          <w:rFonts w:ascii="Times New Roman" w:hAnsi="Times New Roman"/>
          <w:sz w:val="22"/>
          <w:szCs w:val="22"/>
        </w:rPr>
        <w:t>mimo</w:t>
      </w:r>
      <w:r w:rsidR="00AD7077" w:rsidRPr="004022D3">
        <w:rPr>
          <w:rFonts w:ascii="Times New Roman" w:hAnsi="Times New Roman"/>
          <w:sz w:val="22"/>
          <w:szCs w:val="22"/>
        </w:rPr>
        <w:t>hepatálne</w:t>
      </w:r>
      <w:r w:rsidRPr="004022D3">
        <w:rPr>
          <w:rFonts w:ascii="Times New Roman" w:hAnsi="Times New Roman"/>
          <w:sz w:val="22"/>
          <w:szCs w:val="22"/>
        </w:rPr>
        <w:t xml:space="preserve">) len zanedbateľne, pretože v moči a v stolici zvierat a ľudí sa identifikovala len </w:t>
      </w:r>
      <w:r w:rsidR="002A36CA" w:rsidRPr="004022D3">
        <w:rPr>
          <w:rFonts w:ascii="Times New Roman" w:hAnsi="Times New Roman"/>
          <w:sz w:val="22"/>
          <w:szCs w:val="22"/>
        </w:rPr>
        <w:t>nezm</w:t>
      </w:r>
      <w:r w:rsidR="004C32D1" w:rsidRPr="004022D3">
        <w:rPr>
          <w:rFonts w:ascii="Times New Roman" w:hAnsi="Times New Roman"/>
          <w:sz w:val="22"/>
          <w:szCs w:val="22"/>
        </w:rPr>
        <w:t xml:space="preserve">enená </w:t>
      </w:r>
      <w:r w:rsidRPr="004022D3">
        <w:rPr>
          <w:rFonts w:ascii="Times New Roman" w:hAnsi="Times New Roman"/>
          <w:sz w:val="22"/>
          <w:szCs w:val="22"/>
        </w:rPr>
        <w:t xml:space="preserve">látka. Profil plazmatickej koncentrácie fexofenadínu pri viacnásobnom dávkovaní má biexponenciálny pokles s polčasom terminálnej eliminácie v rozpätí 11 až 15 hodín. Farmakokinetika fexofenadínu pri perorálnom podaní jednorazovej dávky alebo opakovaných dávok do 120 mg </w:t>
      </w:r>
      <w:r w:rsidR="004C32D1" w:rsidRPr="004022D3">
        <w:rPr>
          <w:rFonts w:ascii="Times New Roman" w:hAnsi="Times New Roman"/>
          <w:sz w:val="22"/>
          <w:szCs w:val="22"/>
        </w:rPr>
        <w:t>dvakrát</w:t>
      </w:r>
      <w:r w:rsidRPr="004022D3">
        <w:rPr>
          <w:rFonts w:ascii="Times New Roman" w:hAnsi="Times New Roman"/>
          <w:sz w:val="22"/>
          <w:szCs w:val="22"/>
        </w:rPr>
        <w:t xml:space="preserve"> denne je lineárna. Dávka 240 mg </w:t>
      </w:r>
      <w:r w:rsidR="00D01FA9" w:rsidRPr="004022D3">
        <w:rPr>
          <w:rFonts w:ascii="Times New Roman" w:hAnsi="Times New Roman"/>
          <w:sz w:val="22"/>
          <w:szCs w:val="22"/>
        </w:rPr>
        <w:t>dvakrát</w:t>
      </w:r>
      <w:r w:rsidRPr="004022D3">
        <w:rPr>
          <w:rFonts w:ascii="Times New Roman" w:hAnsi="Times New Roman"/>
          <w:sz w:val="22"/>
          <w:szCs w:val="22"/>
        </w:rPr>
        <w:t xml:space="preserve"> denne spôsobí o niečo väčšie než proporcionálne zväčšenie (8,8%) </w:t>
      </w:r>
      <w:r w:rsidR="004022D3" w:rsidRPr="004022D3">
        <w:rPr>
          <w:rFonts w:ascii="Times New Roman" w:hAnsi="Times New Roman"/>
          <w:sz w:val="22"/>
          <w:szCs w:val="22"/>
        </w:rPr>
        <w:t>plochy pod krivkou v rovnovážnom stave</w:t>
      </w:r>
      <w:r w:rsidRPr="004022D3">
        <w:rPr>
          <w:rFonts w:ascii="Times New Roman" w:hAnsi="Times New Roman"/>
          <w:sz w:val="22"/>
          <w:szCs w:val="22"/>
        </w:rPr>
        <w:t>, čo znamená, že farmakokinetika fexofenadínu je pri dávkach v rozpätí od 40 mg do 240 mg užívaných denne prakticky lineárna. Biliárna exkrécia sa považuje za hlavný spôsob vylučovania, zatiaľ čo 10% užitej dávky sa vylučuje močom bez zmeny.</w:t>
      </w:r>
    </w:p>
    <w:p w14:paraId="5B9B479B" w14:textId="77777777"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6F16FEB1" w14:textId="77777777"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5.3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Predklinické údaje o bezpečnosti</w:t>
      </w:r>
    </w:p>
    <w:p w14:paraId="6035B007" w14:textId="77777777"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06AEF3C2" w14:textId="77777777" w:rsidR="005E3545" w:rsidRPr="004022D3" w:rsidRDefault="004C32D1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022D3">
        <w:rPr>
          <w:rFonts w:ascii="Times New Roman" w:hAnsi="Times New Roman"/>
          <w:sz w:val="22"/>
          <w:szCs w:val="22"/>
        </w:rPr>
        <w:t xml:space="preserve">Psy </w:t>
      </w:r>
      <w:r w:rsidR="005E3545" w:rsidRPr="004022D3">
        <w:rPr>
          <w:rFonts w:ascii="Times New Roman" w:hAnsi="Times New Roman"/>
          <w:sz w:val="22"/>
          <w:szCs w:val="22"/>
        </w:rPr>
        <w:t xml:space="preserve">tolerujú množstvo 450 mg/kg podávané dvakrát denne počas šiestich mesiacov bez prejavov toxicity okrem príležitostného </w:t>
      </w:r>
      <w:r w:rsidR="004022D3" w:rsidRPr="004022D3">
        <w:rPr>
          <w:rFonts w:ascii="Times New Roman" w:hAnsi="Times New Roman"/>
          <w:sz w:val="22"/>
          <w:szCs w:val="22"/>
        </w:rPr>
        <w:t>vracania</w:t>
      </w:r>
      <w:r w:rsidR="005E3545" w:rsidRPr="004022D3">
        <w:rPr>
          <w:rFonts w:ascii="Times New Roman" w:hAnsi="Times New Roman"/>
          <w:sz w:val="22"/>
          <w:szCs w:val="22"/>
        </w:rPr>
        <w:t>. V štúdiách na psoch a</w:t>
      </w:r>
      <w:r w:rsidRPr="004022D3">
        <w:rPr>
          <w:rFonts w:ascii="Times New Roman" w:hAnsi="Times New Roman"/>
          <w:sz w:val="22"/>
          <w:szCs w:val="22"/>
        </w:rPr>
        <w:t xml:space="preserve"> na</w:t>
      </w:r>
      <w:r w:rsidR="005E3545" w:rsidRPr="004022D3">
        <w:rPr>
          <w:rFonts w:ascii="Times New Roman" w:hAnsi="Times New Roman"/>
          <w:sz w:val="22"/>
          <w:szCs w:val="22"/>
        </w:rPr>
        <w:t xml:space="preserve"> hlodavcoch po jednorazovej dávke sa pri pitve nepozorovali makroskopické nálezy súvisiace s liečbou.</w:t>
      </w:r>
    </w:p>
    <w:p w14:paraId="00CA0C95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62515EF5" w14:textId="146255A5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Distribučné štúdie </w:t>
      </w:r>
      <w:r w:rsidR="00AD7077" w:rsidRPr="004022D3">
        <w:rPr>
          <w:rFonts w:ascii="Times New Roman" w:hAnsi="Times New Roman"/>
          <w:sz w:val="22"/>
          <w:szCs w:val="22"/>
          <w:lang w:val="sk-SK"/>
        </w:rPr>
        <w:t>izotopom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označeného </w:t>
      </w:r>
      <w:r w:rsidR="00BC310A">
        <w:rPr>
          <w:rFonts w:ascii="Times New Roman" w:hAnsi="Times New Roman"/>
          <w:sz w:val="22"/>
          <w:szCs w:val="22"/>
          <w:lang w:val="sk-SK"/>
        </w:rPr>
        <w:t>fexofenadínium-chlorid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4022D3">
        <w:rPr>
          <w:rFonts w:ascii="Times New Roman" w:hAnsi="Times New Roman"/>
          <w:sz w:val="22"/>
          <w:szCs w:val="22"/>
          <w:lang w:val="sk-SK"/>
        </w:rPr>
        <w:t>v tkanivách potkanov ukazujú, že fexofenadín neprechádza cez hematoencefalickú bariéru.</w:t>
      </w:r>
    </w:p>
    <w:p w14:paraId="66B4CAFF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40DC96D1" w14:textId="1B7C6A38" w:rsidR="005E3545" w:rsidRPr="004022D3" w:rsidRDefault="00031D5F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Viacerými </w:t>
      </w:r>
      <w:r w:rsidRPr="004022D3">
        <w:rPr>
          <w:rFonts w:ascii="Times New Roman" w:hAnsi="Times New Roman"/>
          <w:i/>
          <w:iCs/>
          <w:sz w:val="22"/>
          <w:szCs w:val="22"/>
          <w:lang w:val="sk-SK"/>
        </w:rPr>
        <w:t>in vitro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 </w:t>
      </w:r>
      <w:r w:rsidRPr="004022D3">
        <w:rPr>
          <w:rFonts w:ascii="Times New Roman" w:hAnsi="Times New Roman"/>
          <w:i/>
          <w:iCs/>
          <w:sz w:val="22"/>
          <w:szCs w:val="22"/>
          <w:lang w:val="sk-SK"/>
        </w:rPr>
        <w:t>in vivo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t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estami na mutagenitu sa zistilo, že </w:t>
      </w:r>
      <w:r w:rsidR="00BC310A">
        <w:rPr>
          <w:rFonts w:ascii="Times New Roman" w:hAnsi="Times New Roman"/>
          <w:sz w:val="22"/>
          <w:szCs w:val="22"/>
          <w:lang w:val="sk-SK"/>
        </w:rPr>
        <w:t>fexofenadínium-chlorid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nie je mutagénny.</w:t>
      </w:r>
    </w:p>
    <w:p w14:paraId="6992A544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39DB1DA3" w14:textId="0F03A091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Karcinogénny potenciál 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chloridu</w:t>
      </w:r>
      <w:r w:rsidR="00031D5F" w:rsidRPr="004022D3" w:rsidDel="00031D5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sa posudzoval na základe </w:t>
      </w:r>
      <w:r w:rsidR="00086AAC">
        <w:rPr>
          <w:rFonts w:ascii="Times New Roman" w:hAnsi="Times New Roman"/>
          <w:sz w:val="22"/>
          <w:szCs w:val="22"/>
          <w:lang w:val="sk-SK"/>
        </w:rPr>
        <w:t xml:space="preserve">testov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s terfenadínom a podporných farmakokinetických štúdií preukazujúcich expozíciu </w:t>
      </w:r>
      <w:r w:rsidR="00BC310A">
        <w:rPr>
          <w:rFonts w:ascii="Times New Roman" w:hAnsi="Times New Roman"/>
          <w:sz w:val="22"/>
          <w:szCs w:val="22"/>
          <w:lang w:val="sk-SK"/>
        </w:rPr>
        <w:t>fexofenadínium-chlorid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u</w:t>
      </w:r>
      <w:r w:rsidR="00031D5F" w:rsidRPr="004022D3" w:rsidDel="00031D5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(sledovaním hodnôt AUC). U myší a potkanov sa po užívaní terfenadínu (do 150 mg/kg/deň) nezistili žiadne dôkazy karcinogenity.</w:t>
      </w:r>
    </w:p>
    <w:p w14:paraId="260CBA54" w14:textId="77777777" w:rsidR="005E3545" w:rsidRPr="004022D3" w:rsidRDefault="005E3545" w:rsidP="005E3545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5154E043" w14:textId="7CFA3C0A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V </w:t>
      </w:r>
      <w:r w:rsidR="00086AAC">
        <w:rPr>
          <w:rFonts w:ascii="Times New Roman" w:hAnsi="Times New Roman"/>
          <w:sz w:val="22"/>
          <w:szCs w:val="22"/>
          <w:lang w:val="sk-SK"/>
        </w:rPr>
        <w:t>testoch</w:t>
      </w:r>
      <w:r w:rsidR="00086AAC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reprodukčnej toxicity 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fexofenadínium</w:t>
      </w:r>
      <w:r w:rsidR="00E5737F">
        <w:rPr>
          <w:rFonts w:ascii="Times New Roman" w:hAnsi="Times New Roman"/>
          <w:sz w:val="22"/>
          <w:szCs w:val="22"/>
          <w:lang w:val="sk-SK"/>
        </w:rPr>
        <w:t>-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 xml:space="preserve">chlorid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u myší nezhoršoval fertilitu, nebol teratogénny a nepoškodzoval 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prenatálny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 postnatálny vývoj.</w:t>
      </w:r>
    </w:p>
    <w:p w14:paraId="402C4993" w14:textId="77777777"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7E0F6111" w14:textId="77777777" w:rsidR="000C6833" w:rsidRPr="004022D3" w:rsidRDefault="000C6833" w:rsidP="005E3545">
      <w:pPr>
        <w:rPr>
          <w:rFonts w:ascii="Times New Roman" w:hAnsi="Times New Roman"/>
          <w:sz w:val="22"/>
          <w:szCs w:val="22"/>
          <w:lang w:val="sk-SK"/>
        </w:rPr>
      </w:pPr>
    </w:p>
    <w:p w14:paraId="2F0BD31F" w14:textId="77777777"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FARMACEUTICKÉ INFORMÁCIE</w:t>
      </w:r>
    </w:p>
    <w:p w14:paraId="73AF0F2B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1DE5ECB1" w14:textId="77777777"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6.1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Zoznam pomocných látok</w:t>
      </w:r>
    </w:p>
    <w:p w14:paraId="18B616BF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1C936C10" w14:textId="77777777" w:rsidR="00A63E55" w:rsidRPr="004022D3" w:rsidRDefault="00A63E55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Jadro tablety:</w:t>
      </w:r>
    </w:p>
    <w:p w14:paraId="5EA57103" w14:textId="77777777"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m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ikrokryštalická celulóza</w:t>
      </w:r>
    </w:p>
    <w:p w14:paraId="0BED59B5" w14:textId="77777777" w:rsidR="00F60750" w:rsidRPr="004022D3" w:rsidRDefault="00DE315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kukuričný škrob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, predželatínovaný</w:t>
      </w:r>
    </w:p>
    <w:p w14:paraId="2B973186" w14:textId="77777777" w:rsidR="00F60750" w:rsidRPr="004022D3" w:rsidRDefault="005C0113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kros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karmelóz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a, sodná soľ</w:t>
      </w:r>
    </w:p>
    <w:p w14:paraId="6253A111" w14:textId="77777777" w:rsidR="00A63E55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m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agn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éziumstearát</w:t>
      </w:r>
    </w:p>
    <w:p w14:paraId="3D56FCA4" w14:textId="77777777" w:rsidR="00A63E55" w:rsidRPr="004022D3" w:rsidRDefault="00A63E55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4D26F5E5" w14:textId="77777777" w:rsidR="00A63E55" w:rsidRPr="004022D3" w:rsidRDefault="00A63E55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Filmová vrstva:</w:t>
      </w:r>
    </w:p>
    <w:p w14:paraId="6AB4359E" w14:textId="77777777"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h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yprome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lóza</w:t>
      </w:r>
    </w:p>
    <w:p w14:paraId="46F9F929" w14:textId="6AA796EA"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p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ovid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>ón</w:t>
      </w:r>
      <w:r w:rsidR="00084A0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o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>xid titaničitý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(E171)</w:t>
      </w:r>
    </w:p>
    <w:p w14:paraId="7ED871B5" w14:textId="7CF41859" w:rsidR="00F60750" w:rsidRPr="004022D3" w:rsidRDefault="00A456D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lastRenderedPageBreak/>
        <w:t>oxid kremičitý</w:t>
      </w:r>
      <w:r w:rsidR="00A01117">
        <w:rPr>
          <w:rFonts w:ascii="Times New Roman" w:hAnsi="Times New Roman"/>
          <w:sz w:val="22"/>
          <w:szCs w:val="22"/>
          <w:lang w:val="sk-SK"/>
        </w:rPr>
        <w:t>, koloidný,</w:t>
      </w:r>
      <w:r w:rsidR="00A01117" w:rsidRPr="00A0111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01117" w:rsidRPr="004022D3">
        <w:rPr>
          <w:rFonts w:ascii="Times New Roman" w:hAnsi="Times New Roman"/>
          <w:sz w:val="22"/>
          <w:szCs w:val="22"/>
          <w:lang w:val="sk-SK"/>
        </w:rPr>
        <w:t>bezvodý</w:t>
      </w:r>
    </w:p>
    <w:p w14:paraId="508F2876" w14:textId="77777777" w:rsidR="001A3A31" w:rsidRDefault="00031D5F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m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 xml:space="preserve">akrogol </w:t>
      </w:r>
    </w:p>
    <w:p w14:paraId="45BCC8AB" w14:textId="77777777" w:rsidR="00A63E55" w:rsidRDefault="00084A0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červený 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o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>xid želez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F60750" w:rsidRPr="004022D3">
        <w:rPr>
          <w:rFonts w:ascii="Times New Roman" w:hAnsi="Times New Roman"/>
          <w:sz w:val="22"/>
          <w:szCs w:val="22"/>
          <w:lang w:val="sk-SK"/>
        </w:rPr>
        <w:t xml:space="preserve"> (E172)</w:t>
      </w:r>
    </w:p>
    <w:p w14:paraId="766B221B" w14:textId="77777777" w:rsidR="00084A00" w:rsidRPr="004022D3" w:rsidRDefault="00084A0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žltý oxid železa (E172)</w:t>
      </w:r>
    </w:p>
    <w:p w14:paraId="07086BC9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691BA8CD" w14:textId="77777777" w:rsidR="00A63E55" w:rsidRPr="004022D3" w:rsidRDefault="00A63E55" w:rsidP="00664F6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6.2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Inkompatibility</w:t>
      </w:r>
    </w:p>
    <w:p w14:paraId="6527B5CF" w14:textId="77777777" w:rsidR="00A63E55" w:rsidRPr="004022D3" w:rsidRDefault="00A63E55" w:rsidP="00664F61">
      <w:pPr>
        <w:keepNext/>
        <w:rPr>
          <w:rFonts w:ascii="Times New Roman" w:hAnsi="Times New Roman"/>
          <w:sz w:val="22"/>
          <w:szCs w:val="22"/>
          <w:lang w:val="sk-SK"/>
        </w:rPr>
      </w:pPr>
    </w:p>
    <w:p w14:paraId="3F76B146" w14:textId="77777777" w:rsidR="00A63E55" w:rsidRPr="004022D3" w:rsidRDefault="00A456DE" w:rsidP="00664F61">
      <w:pPr>
        <w:keepNext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Neaplikovateľné.</w:t>
      </w:r>
    </w:p>
    <w:p w14:paraId="477B938F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6AD8B993" w14:textId="77777777" w:rsidR="00A63E55" w:rsidRPr="004022D3" w:rsidRDefault="00A63E5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6.3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Čas použiteľnosti</w:t>
      </w:r>
    </w:p>
    <w:p w14:paraId="17543A6F" w14:textId="77777777" w:rsidR="00A63E55" w:rsidRPr="004022D3" w:rsidRDefault="00A63E5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14:paraId="15527BE2" w14:textId="77777777" w:rsidR="00A456DE" w:rsidRPr="004022D3" w:rsidRDefault="00A456D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3 roky</w:t>
      </w:r>
    </w:p>
    <w:p w14:paraId="1867527D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4ED44087" w14:textId="77777777" w:rsidR="00A63E55" w:rsidRPr="004022D3" w:rsidRDefault="00A63E5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6.4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Špeciálne u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pozornenia na 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uchovávanie</w:t>
      </w:r>
    </w:p>
    <w:p w14:paraId="3FBC60F2" w14:textId="77777777" w:rsidR="00A63E55" w:rsidRPr="004022D3" w:rsidRDefault="00A63E5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14:paraId="38DFFEF4" w14:textId="77777777" w:rsidR="00A63E55" w:rsidRPr="004022D3" w:rsidRDefault="00A456D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Tento liek nevyžaduje zvláštne podmienky na uchovávanie.</w:t>
      </w:r>
    </w:p>
    <w:p w14:paraId="0444A4B8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586FE4A9" w14:textId="77777777" w:rsidR="00A63E55" w:rsidRPr="004022D3" w:rsidRDefault="00A63E5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6.5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Druh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obalu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a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obsah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balenia</w:t>
      </w:r>
    </w:p>
    <w:p w14:paraId="57A3FB9D" w14:textId="77777777" w:rsidR="00A63E55" w:rsidRPr="004022D3" w:rsidRDefault="00A63E5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14:paraId="48F8962B" w14:textId="77777777" w:rsidR="004022D3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PVC/PE/PVDC/A1</w:t>
      </w:r>
      <w:r w:rsidR="006D565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07BFF" w:rsidRPr="004022D3">
        <w:rPr>
          <w:rFonts w:ascii="Times New Roman" w:hAnsi="Times New Roman"/>
          <w:sz w:val="22"/>
          <w:szCs w:val="22"/>
          <w:lang w:val="sk-SK"/>
        </w:rPr>
        <w:t xml:space="preserve">alebo PVC/PVDC/Al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blistre v papierových </w:t>
      </w:r>
      <w:r w:rsidR="004022D3" w:rsidRPr="004022D3">
        <w:rPr>
          <w:rFonts w:ascii="Times New Roman" w:hAnsi="Times New Roman"/>
          <w:sz w:val="22"/>
          <w:szCs w:val="22"/>
          <w:lang w:val="sk-SK"/>
        </w:rPr>
        <w:t>škatuľkách</w:t>
      </w:r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14:paraId="03A5CB30" w14:textId="77777777" w:rsidR="00A63E55" w:rsidRPr="004022D3" w:rsidRDefault="000C6833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2 (iba vzorka), 7, 10, 15, 20, 30, 50, 100 a 200 (ako 10 x 20) tabliet v balení.</w:t>
      </w:r>
    </w:p>
    <w:p w14:paraId="0A70A291" w14:textId="77777777" w:rsidR="00A456DE" w:rsidRPr="004022D3" w:rsidRDefault="00A456D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N</w:t>
      </w:r>
      <w:r w:rsidR="00F60750" w:rsidRPr="004022D3">
        <w:rPr>
          <w:rFonts w:ascii="Times New Roman" w:hAnsi="Times New Roman"/>
          <w:sz w:val="22"/>
          <w:szCs w:val="22"/>
          <w:lang w:val="sk-SK"/>
        </w:rPr>
        <w:t>a trh nemusia byť uvedené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všetky veľkosti balenia.</w:t>
      </w:r>
    </w:p>
    <w:p w14:paraId="1E195C03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4DEB8F91" w14:textId="77777777" w:rsidR="000C3373" w:rsidRPr="004022D3" w:rsidRDefault="000C3373" w:rsidP="000C3373">
      <w:pPr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noProof/>
          <w:sz w:val="22"/>
          <w:szCs w:val="22"/>
          <w:lang w:val="sk-SK"/>
        </w:rPr>
        <w:t>6.6</w:t>
      </w:r>
      <w:r w:rsidRPr="004022D3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4022D3">
        <w:rPr>
          <w:rFonts w:ascii="Times New Roman" w:hAnsi="Times New Roman"/>
          <w:b/>
          <w:bCs/>
          <w:noProof/>
          <w:sz w:val="22"/>
          <w:szCs w:val="22"/>
          <w:lang w:val="sk-SK"/>
        </w:rPr>
        <w:t>Špeciálne opatrenia na likvidáciu a iné zaobchádzanie s liekom</w:t>
      </w:r>
    </w:p>
    <w:p w14:paraId="60EF9B85" w14:textId="77777777" w:rsidR="000C3373" w:rsidRPr="004022D3" w:rsidRDefault="000C3373" w:rsidP="000C3373">
      <w:pPr>
        <w:rPr>
          <w:rFonts w:ascii="Times New Roman" w:hAnsi="Times New Roman"/>
          <w:noProof/>
          <w:sz w:val="22"/>
          <w:szCs w:val="22"/>
          <w:lang w:val="sk-SK"/>
        </w:rPr>
      </w:pPr>
    </w:p>
    <w:p w14:paraId="632E2218" w14:textId="77777777" w:rsidR="000C3373" w:rsidRPr="004022D3" w:rsidRDefault="000C3373" w:rsidP="000C3373">
      <w:pPr>
        <w:rPr>
          <w:rFonts w:ascii="Times New Roman" w:hAnsi="Times New Roman"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lang w:val="sk-SK"/>
        </w:rPr>
        <w:t>Žiadne zvláštne požiadavky.</w:t>
      </w:r>
    </w:p>
    <w:p w14:paraId="7BDED851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2F1DA751" w14:textId="77777777" w:rsidR="00C920C8" w:rsidRPr="004022D3" w:rsidRDefault="00C920C8">
      <w:pPr>
        <w:rPr>
          <w:rFonts w:ascii="Times New Roman" w:hAnsi="Times New Roman"/>
          <w:sz w:val="22"/>
          <w:szCs w:val="22"/>
          <w:lang w:val="sk-SK"/>
        </w:rPr>
      </w:pPr>
    </w:p>
    <w:p w14:paraId="1FA8AD10" w14:textId="77777777" w:rsidR="00A63E55" w:rsidRPr="004022D3" w:rsidRDefault="00A63E55">
      <w:pPr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>7.</w:t>
      </w: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ab/>
        <w:t>Držiteľ rozhodnutia O registrÁCII</w:t>
      </w:r>
    </w:p>
    <w:p w14:paraId="2504021A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25D15745" w14:textId="77777777" w:rsidR="00A63E55" w:rsidRPr="004022D3" w:rsidRDefault="000C3373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sanofi-a</w:t>
      </w:r>
      <w:r w:rsidR="00182769" w:rsidRPr="004022D3">
        <w:rPr>
          <w:rFonts w:ascii="Times New Roman" w:hAnsi="Times New Roman"/>
          <w:sz w:val="22"/>
          <w:szCs w:val="22"/>
          <w:lang w:val="sk-SK"/>
        </w:rPr>
        <w:t>ventis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Slovakia s.r.o., </w:t>
      </w:r>
      <w:r w:rsidR="000C6833" w:rsidRPr="004022D3">
        <w:rPr>
          <w:rFonts w:ascii="Times New Roman" w:hAnsi="Times New Roman"/>
          <w:sz w:val="22"/>
          <w:szCs w:val="22"/>
          <w:lang w:val="sk-SK"/>
        </w:rPr>
        <w:t>Einsteinova 24, 851</w:t>
      </w:r>
      <w:r w:rsidR="00D0794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C6833" w:rsidRPr="004022D3">
        <w:rPr>
          <w:rFonts w:ascii="Times New Roman" w:hAnsi="Times New Roman"/>
          <w:sz w:val="22"/>
          <w:szCs w:val="22"/>
          <w:lang w:val="sk-SK"/>
        </w:rPr>
        <w:t xml:space="preserve">01 </w:t>
      </w:r>
      <w:r w:rsidRPr="004022D3">
        <w:rPr>
          <w:rFonts w:ascii="Times New Roman" w:hAnsi="Times New Roman"/>
          <w:sz w:val="22"/>
          <w:szCs w:val="22"/>
          <w:lang w:val="sk-SK"/>
        </w:rPr>
        <w:t>Bratislava, Slovenská republika</w:t>
      </w:r>
    </w:p>
    <w:p w14:paraId="6B0DB1E7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076EE1D5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43DA660C" w14:textId="77777777"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8.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REGISTRAČNÉ ČÍSLO</w:t>
      </w:r>
    </w:p>
    <w:p w14:paraId="2C89A0A5" w14:textId="77777777" w:rsidR="00F23C8F" w:rsidRDefault="00F23C8F" w:rsidP="00F23C8F">
      <w:pPr>
        <w:rPr>
          <w:rFonts w:ascii="Times New Roman" w:hAnsi="Times New Roman"/>
          <w:sz w:val="22"/>
          <w:szCs w:val="22"/>
          <w:lang w:val="sk-SK"/>
        </w:rPr>
      </w:pPr>
    </w:p>
    <w:p w14:paraId="36E49BF4" w14:textId="77777777" w:rsidR="00F23C8F" w:rsidRDefault="00F23C8F" w:rsidP="00F23C8F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24/0473/15-S</w:t>
      </w:r>
    </w:p>
    <w:p w14:paraId="7B3FBA73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56E0D3AC" w14:textId="77777777" w:rsidR="00890639" w:rsidRPr="004022D3" w:rsidRDefault="00890639">
      <w:pPr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0A255E1B" w14:textId="77777777"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9.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 xml:space="preserve">DÁTUM </w:t>
      </w:r>
      <w:r w:rsidR="0053182B"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PRVEJ 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REGISTRÁCIE</w:t>
      </w:r>
      <w:r w:rsidR="00890639" w:rsidRPr="004022D3">
        <w:rPr>
          <w:rFonts w:ascii="Times New Roman" w:hAnsi="Times New Roman"/>
          <w:b/>
          <w:bCs/>
          <w:sz w:val="22"/>
          <w:szCs w:val="22"/>
          <w:lang w:val="sk-SK"/>
        </w:rPr>
        <w:t>/PREDĹŽENIA REGISTRÁCIE</w:t>
      </w:r>
    </w:p>
    <w:p w14:paraId="5697E582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1C4C92CE" w14:textId="77777777" w:rsidR="0088204F" w:rsidRPr="007F175D" w:rsidRDefault="00E70789">
      <w:pPr>
        <w:pStyle w:val="Hoechs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75D">
        <w:rPr>
          <w:rFonts w:ascii="Times New Roman" w:hAnsi="Times New Roman"/>
          <w:color w:val="000000"/>
          <w:sz w:val="22"/>
          <w:szCs w:val="22"/>
          <w:lang w:val="sk-SK"/>
        </w:rPr>
        <w:t xml:space="preserve">Dátum prvej registrácie: </w:t>
      </w:r>
      <w:r w:rsidR="00532A3C">
        <w:rPr>
          <w:rFonts w:ascii="Times New Roman" w:hAnsi="Times New Roman"/>
          <w:color w:val="000000"/>
          <w:sz w:val="22"/>
          <w:szCs w:val="22"/>
          <w:lang w:val="sk-SK"/>
        </w:rPr>
        <w:t>26. novembra 2015</w:t>
      </w:r>
    </w:p>
    <w:p w14:paraId="40A8B5DD" w14:textId="77777777" w:rsidR="00A63E55" w:rsidRPr="004022D3" w:rsidRDefault="00E70789">
      <w:pPr>
        <w:pStyle w:val="Hoechst"/>
        <w:rPr>
          <w:rFonts w:ascii="Times New Roman" w:hAnsi="Times New Roman"/>
          <w:sz w:val="22"/>
          <w:szCs w:val="22"/>
          <w:lang w:val="sk-SK"/>
        </w:rPr>
      </w:pPr>
      <w:r w:rsidRPr="007F175D">
        <w:rPr>
          <w:rFonts w:ascii="Times New Roman" w:hAnsi="Times New Roman"/>
          <w:color w:val="000000"/>
          <w:sz w:val="22"/>
          <w:szCs w:val="22"/>
          <w:lang w:val="sk-SK"/>
        </w:rPr>
        <w:t xml:space="preserve">Dátum </w:t>
      </w:r>
      <w:r w:rsidR="005C0394" w:rsidRPr="007F175D">
        <w:rPr>
          <w:rFonts w:ascii="Times New Roman" w:hAnsi="Times New Roman"/>
          <w:color w:val="000000"/>
          <w:sz w:val="22"/>
          <w:szCs w:val="22"/>
          <w:lang w:val="sk-SK"/>
        </w:rPr>
        <w:t xml:space="preserve">posledného </w:t>
      </w:r>
      <w:r w:rsidRPr="007F175D">
        <w:rPr>
          <w:rFonts w:ascii="Times New Roman" w:hAnsi="Times New Roman"/>
          <w:color w:val="000000"/>
          <w:sz w:val="22"/>
          <w:szCs w:val="22"/>
          <w:lang w:val="sk-SK"/>
        </w:rPr>
        <w:t>predĺženia registrácie:</w:t>
      </w:r>
      <w:r w:rsidRPr="007F175D">
        <w:rPr>
          <w:color w:val="000000"/>
          <w:sz w:val="22"/>
          <w:szCs w:val="22"/>
          <w:lang w:val="sk-SK"/>
        </w:rPr>
        <w:t xml:space="preserve"> </w:t>
      </w:r>
    </w:p>
    <w:p w14:paraId="2355AEA3" w14:textId="77777777"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14:paraId="29196467" w14:textId="77777777" w:rsidR="000C3373" w:rsidRPr="004022D3" w:rsidRDefault="000C3373">
      <w:pPr>
        <w:rPr>
          <w:rFonts w:ascii="Times New Roman" w:hAnsi="Times New Roman"/>
          <w:sz w:val="22"/>
          <w:szCs w:val="22"/>
          <w:lang w:val="sk-SK"/>
        </w:rPr>
      </w:pPr>
    </w:p>
    <w:p w14:paraId="4E2D9E4E" w14:textId="77777777" w:rsidR="00A63E55" w:rsidRPr="00FA6C54" w:rsidRDefault="00A63E55" w:rsidP="007649D1">
      <w:pPr>
        <w:keepNext/>
        <w:numPr>
          <w:ilvl w:val="0"/>
          <w:numId w:val="12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FA6C54">
        <w:rPr>
          <w:rFonts w:ascii="Times New Roman" w:hAnsi="Times New Roman"/>
          <w:b/>
          <w:bCs/>
          <w:sz w:val="22"/>
          <w:szCs w:val="22"/>
          <w:lang w:val="sk-SK"/>
        </w:rPr>
        <w:t>DÁTUM REVÍZIE TEXTU</w:t>
      </w:r>
    </w:p>
    <w:p w14:paraId="471EFCD6" w14:textId="77777777" w:rsidR="00890639" w:rsidRPr="00850A72" w:rsidRDefault="00890639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0AD68A2B" w14:textId="178D3BA8" w:rsidR="00712F78" w:rsidRPr="004022D3" w:rsidRDefault="00362870" w:rsidP="00A456DE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Jún 2020</w:t>
      </w:r>
    </w:p>
    <w:sectPr w:rsidR="00712F78" w:rsidRPr="004022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5438A8" w16cid:durableId="227BA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A9A4C" w14:textId="77777777" w:rsidR="00F13454" w:rsidRDefault="00F13454">
      <w:r>
        <w:separator/>
      </w:r>
    </w:p>
  </w:endnote>
  <w:endnote w:type="continuationSeparator" w:id="0">
    <w:p w14:paraId="1E7EA645" w14:textId="77777777" w:rsidR="00F13454" w:rsidRDefault="00F1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Garamond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7454C" w14:textId="77777777" w:rsidR="007E0B6B" w:rsidRDefault="007E0B6B" w:rsidP="006C678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2A50B2" w14:textId="77777777" w:rsidR="007E0B6B" w:rsidRDefault="007E0B6B" w:rsidP="009605B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474E3" w14:textId="77777777" w:rsidR="007E0B6B" w:rsidRDefault="007E0B6B" w:rsidP="006C678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85C53">
      <w:rPr>
        <w:rStyle w:val="slostrany"/>
        <w:noProof/>
      </w:rPr>
      <w:t>1</w:t>
    </w:r>
    <w:r>
      <w:rPr>
        <w:rStyle w:val="slostrany"/>
      </w:rPr>
      <w:fldChar w:fldCharType="end"/>
    </w:r>
  </w:p>
  <w:p w14:paraId="370501EE" w14:textId="77777777" w:rsidR="007E0B6B" w:rsidRDefault="007E0B6B" w:rsidP="009605BB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B50E9" w14:textId="77777777" w:rsidR="00185C53" w:rsidRDefault="00185C5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13BB7" w14:textId="77777777" w:rsidR="00F13454" w:rsidRDefault="00F13454">
      <w:r>
        <w:separator/>
      </w:r>
    </w:p>
  </w:footnote>
  <w:footnote w:type="continuationSeparator" w:id="0">
    <w:p w14:paraId="1FF48571" w14:textId="77777777" w:rsidR="00F13454" w:rsidRDefault="00F13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30671" w14:textId="77777777" w:rsidR="00185C53" w:rsidRDefault="00185C5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26808" w14:textId="7C3BD827" w:rsidR="002433F9" w:rsidRDefault="000A6EA0">
    <w:pPr>
      <w:pStyle w:val="Hlavika"/>
    </w:pPr>
    <w:r>
      <w:rPr>
        <w:sz w:val="18"/>
        <w:szCs w:val="18"/>
        <w:lang w:eastAsia="sk-SK"/>
      </w:rPr>
      <w:t>Schválený text k rozhodnutiu o predĺžení, ev. č.</w:t>
    </w:r>
    <w:r w:rsidR="00185C53">
      <w:rPr>
        <w:sz w:val="18"/>
        <w:szCs w:val="18"/>
        <w:lang w:eastAsia="sk-SK"/>
      </w:rPr>
      <w:t>:</w:t>
    </w:r>
    <w:bookmarkStart w:id="0" w:name="_GoBack"/>
    <w:bookmarkEnd w:id="0"/>
    <w:r>
      <w:rPr>
        <w:sz w:val="18"/>
        <w:szCs w:val="18"/>
        <w:lang w:eastAsia="sk-SK"/>
      </w:rPr>
      <w:t xml:space="preserve"> 2019/06139-PRE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9AE79" w14:textId="77777777" w:rsidR="00185C53" w:rsidRDefault="00185C5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4241"/>
    <w:multiLevelType w:val="singleLevel"/>
    <w:tmpl w:val="18CEE892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13B35C23"/>
    <w:multiLevelType w:val="multilevel"/>
    <w:tmpl w:val="041E51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2" w15:restartNumberingAfterBreak="0">
    <w:nsid w:val="15104799"/>
    <w:multiLevelType w:val="multilevel"/>
    <w:tmpl w:val="0ADE3080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60"/>
        </w:tabs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2520"/>
      </w:pPr>
      <w:rPr>
        <w:rFonts w:hint="default"/>
      </w:rPr>
    </w:lvl>
  </w:abstractNum>
  <w:abstractNum w:abstractNumId="3" w15:restartNumberingAfterBreak="0">
    <w:nsid w:val="16876B22"/>
    <w:multiLevelType w:val="hybridMultilevel"/>
    <w:tmpl w:val="7444EC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66E5"/>
    <w:multiLevelType w:val="multilevel"/>
    <w:tmpl w:val="5B34754C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5" w15:restartNumberingAfterBreak="0">
    <w:nsid w:val="21CC4899"/>
    <w:multiLevelType w:val="multilevel"/>
    <w:tmpl w:val="2A8ED3F2"/>
    <w:lvl w:ilvl="0">
      <w:start w:val="2"/>
      <w:numFmt w:val="decimal"/>
      <w:pStyle w:val="Nadpis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281C7404"/>
    <w:multiLevelType w:val="multilevel"/>
    <w:tmpl w:val="023ADDD4"/>
    <w:lvl w:ilvl="0">
      <w:start w:val="6"/>
      <w:numFmt w:val="decimal"/>
      <w:pStyle w:val="Nadpis5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</w:rPr>
    </w:lvl>
  </w:abstractNum>
  <w:abstractNum w:abstractNumId="7" w15:restartNumberingAfterBreak="0">
    <w:nsid w:val="350D6656"/>
    <w:multiLevelType w:val="multilevel"/>
    <w:tmpl w:val="79F6492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65"/>
        </w:tabs>
        <w:ind w:left="436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520"/>
      </w:pPr>
      <w:rPr>
        <w:rFonts w:hint="default"/>
      </w:rPr>
    </w:lvl>
  </w:abstractNum>
  <w:abstractNum w:abstractNumId="8" w15:restartNumberingAfterBreak="0">
    <w:nsid w:val="41C97D9B"/>
    <w:multiLevelType w:val="hybridMultilevel"/>
    <w:tmpl w:val="66B6D88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9B743A"/>
    <w:multiLevelType w:val="hybridMultilevel"/>
    <w:tmpl w:val="5554CF8E"/>
    <w:lvl w:ilvl="0" w:tplc="F94A230A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A07D06"/>
    <w:multiLevelType w:val="hybridMultilevel"/>
    <w:tmpl w:val="07046880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2E6896"/>
    <w:multiLevelType w:val="multilevel"/>
    <w:tmpl w:val="16D2DFE6"/>
    <w:lvl w:ilvl="0">
      <w:start w:val="5"/>
      <w:numFmt w:val="decimal"/>
      <w:pStyle w:val="Nadpis4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5"/>
        </w:tabs>
        <w:ind w:left="47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520"/>
      </w:pPr>
      <w:rPr>
        <w:rFonts w:hint="default"/>
      </w:rPr>
    </w:lvl>
  </w:abstractNum>
  <w:abstractNum w:abstractNumId="12" w15:restartNumberingAfterBreak="0">
    <w:nsid w:val="5E756ACD"/>
    <w:multiLevelType w:val="hybridMultilevel"/>
    <w:tmpl w:val="F4DA0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70532"/>
    <w:multiLevelType w:val="multilevel"/>
    <w:tmpl w:val="021657B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75"/>
        </w:tabs>
        <w:ind w:left="36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5"/>
        </w:tabs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5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45"/>
    <w:rsid w:val="00006FA0"/>
    <w:rsid w:val="00007BFF"/>
    <w:rsid w:val="00021810"/>
    <w:rsid w:val="00031AB7"/>
    <w:rsid w:val="00031D5F"/>
    <w:rsid w:val="00037DE8"/>
    <w:rsid w:val="0004385D"/>
    <w:rsid w:val="00054C2B"/>
    <w:rsid w:val="00073E8C"/>
    <w:rsid w:val="00084A00"/>
    <w:rsid w:val="00086AAC"/>
    <w:rsid w:val="00095F43"/>
    <w:rsid w:val="000A260D"/>
    <w:rsid w:val="000A6CD6"/>
    <w:rsid w:val="000A6EA0"/>
    <w:rsid w:val="000C3373"/>
    <w:rsid w:val="000C6833"/>
    <w:rsid w:val="000E0B78"/>
    <w:rsid w:val="000E596E"/>
    <w:rsid w:val="0012748A"/>
    <w:rsid w:val="00133BBC"/>
    <w:rsid w:val="00135F70"/>
    <w:rsid w:val="00136E3A"/>
    <w:rsid w:val="00151282"/>
    <w:rsid w:val="00174EA8"/>
    <w:rsid w:val="00182769"/>
    <w:rsid w:val="00185C53"/>
    <w:rsid w:val="001A3A31"/>
    <w:rsid w:val="001A7F38"/>
    <w:rsid w:val="001F22E2"/>
    <w:rsid w:val="0020446E"/>
    <w:rsid w:val="00206CC8"/>
    <w:rsid w:val="00230592"/>
    <w:rsid w:val="002433F9"/>
    <w:rsid w:val="00252127"/>
    <w:rsid w:val="002652E8"/>
    <w:rsid w:val="00272685"/>
    <w:rsid w:val="00283EED"/>
    <w:rsid w:val="002A36CA"/>
    <w:rsid w:val="002A7C91"/>
    <w:rsid w:val="002E3E95"/>
    <w:rsid w:val="0031049B"/>
    <w:rsid w:val="00313015"/>
    <w:rsid w:val="00315B2D"/>
    <w:rsid w:val="003203C6"/>
    <w:rsid w:val="00322D92"/>
    <w:rsid w:val="0033199B"/>
    <w:rsid w:val="00362870"/>
    <w:rsid w:val="00380532"/>
    <w:rsid w:val="003823AD"/>
    <w:rsid w:val="00397DAB"/>
    <w:rsid w:val="003D5DB3"/>
    <w:rsid w:val="003E6024"/>
    <w:rsid w:val="00401FAF"/>
    <w:rsid w:val="004022D3"/>
    <w:rsid w:val="00413E7B"/>
    <w:rsid w:val="00426FAF"/>
    <w:rsid w:val="004555E4"/>
    <w:rsid w:val="00464877"/>
    <w:rsid w:val="00465A1C"/>
    <w:rsid w:val="0048320D"/>
    <w:rsid w:val="00484B37"/>
    <w:rsid w:val="004853F9"/>
    <w:rsid w:val="00486261"/>
    <w:rsid w:val="00490E7B"/>
    <w:rsid w:val="00494D3F"/>
    <w:rsid w:val="00496BF9"/>
    <w:rsid w:val="004A40C4"/>
    <w:rsid w:val="004A4553"/>
    <w:rsid w:val="004C32D1"/>
    <w:rsid w:val="004D423A"/>
    <w:rsid w:val="004E2AF8"/>
    <w:rsid w:val="005005E7"/>
    <w:rsid w:val="00506B29"/>
    <w:rsid w:val="005246F4"/>
    <w:rsid w:val="00531224"/>
    <w:rsid w:val="0053182B"/>
    <w:rsid w:val="00532A3C"/>
    <w:rsid w:val="005356CA"/>
    <w:rsid w:val="0055063D"/>
    <w:rsid w:val="00566B9C"/>
    <w:rsid w:val="00566E06"/>
    <w:rsid w:val="005853DB"/>
    <w:rsid w:val="00585EF6"/>
    <w:rsid w:val="005A727D"/>
    <w:rsid w:val="005B1923"/>
    <w:rsid w:val="005B73B5"/>
    <w:rsid w:val="005C0113"/>
    <w:rsid w:val="005C0394"/>
    <w:rsid w:val="005E3545"/>
    <w:rsid w:val="005E5A4D"/>
    <w:rsid w:val="005E758E"/>
    <w:rsid w:val="005F2F02"/>
    <w:rsid w:val="005F71FC"/>
    <w:rsid w:val="00640282"/>
    <w:rsid w:val="0064693B"/>
    <w:rsid w:val="00663C96"/>
    <w:rsid w:val="00664F61"/>
    <w:rsid w:val="006710E8"/>
    <w:rsid w:val="00680675"/>
    <w:rsid w:val="006833D8"/>
    <w:rsid w:val="00691784"/>
    <w:rsid w:val="00692C78"/>
    <w:rsid w:val="00695481"/>
    <w:rsid w:val="006A5647"/>
    <w:rsid w:val="006C1A3D"/>
    <w:rsid w:val="006C6781"/>
    <w:rsid w:val="006D425B"/>
    <w:rsid w:val="006D565D"/>
    <w:rsid w:val="006E5D92"/>
    <w:rsid w:val="006F4F8A"/>
    <w:rsid w:val="006F618E"/>
    <w:rsid w:val="00700137"/>
    <w:rsid w:val="00712F78"/>
    <w:rsid w:val="0071670D"/>
    <w:rsid w:val="007176B4"/>
    <w:rsid w:val="007247F5"/>
    <w:rsid w:val="00734424"/>
    <w:rsid w:val="00744EB6"/>
    <w:rsid w:val="00745DD9"/>
    <w:rsid w:val="007469B0"/>
    <w:rsid w:val="007649D1"/>
    <w:rsid w:val="007742D8"/>
    <w:rsid w:val="007771A0"/>
    <w:rsid w:val="00781BF2"/>
    <w:rsid w:val="0079174C"/>
    <w:rsid w:val="007D0B30"/>
    <w:rsid w:val="007E0B6B"/>
    <w:rsid w:val="007E3B74"/>
    <w:rsid w:val="007F1522"/>
    <w:rsid w:val="007F175D"/>
    <w:rsid w:val="007F6A77"/>
    <w:rsid w:val="0080087E"/>
    <w:rsid w:val="00850A72"/>
    <w:rsid w:val="008772E2"/>
    <w:rsid w:val="0088204F"/>
    <w:rsid w:val="00890639"/>
    <w:rsid w:val="008E3DB6"/>
    <w:rsid w:val="008E4FA9"/>
    <w:rsid w:val="0091373E"/>
    <w:rsid w:val="00913F35"/>
    <w:rsid w:val="00915582"/>
    <w:rsid w:val="009369E7"/>
    <w:rsid w:val="0094176D"/>
    <w:rsid w:val="00957380"/>
    <w:rsid w:val="009605BB"/>
    <w:rsid w:val="00971170"/>
    <w:rsid w:val="0099108C"/>
    <w:rsid w:val="00992E91"/>
    <w:rsid w:val="009A2FCC"/>
    <w:rsid w:val="009B00F2"/>
    <w:rsid w:val="009B0C1A"/>
    <w:rsid w:val="009C2445"/>
    <w:rsid w:val="009C4722"/>
    <w:rsid w:val="009E5392"/>
    <w:rsid w:val="00A01117"/>
    <w:rsid w:val="00A16517"/>
    <w:rsid w:val="00A456DE"/>
    <w:rsid w:val="00A551AD"/>
    <w:rsid w:val="00A63E55"/>
    <w:rsid w:val="00A81A62"/>
    <w:rsid w:val="00A85279"/>
    <w:rsid w:val="00A90996"/>
    <w:rsid w:val="00A93869"/>
    <w:rsid w:val="00AB437F"/>
    <w:rsid w:val="00AC2626"/>
    <w:rsid w:val="00AD7077"/>
    <w:rsid w:val="00AF1723"/>
    <w:rsid w:val="00AF18F1"/>
    <w:rsid w:val="00B001C2"/>
    <w:rsid w:val="00B132D5"/>
    <w:rsid w:val="00B144D9"/>
    <w:rsid w:val="00B23AD9"/>
    <w:rsid w:val="00B32A1F"/>
    <w:rsid w:val="00B37A84"/>
    <w:rsid w:val="00B531A9"/>
    <w:rsid w:val="00B60FD5"/>
    <w:rsid w:val="00B74936"/>
    <w:rsid w:val="00B818B5"/>
    <w:rsid w:val="00B927BA"/>
    <w:rsid w:val="00B93086"/>
    <w:rsid w:val="00B940D3"/>
    <w:rsid w:val="00BB7E20"/>
    <w:rsid w:val="00BC310A"/>
    <w:rsid w:val="00BD449A"/>
    <w:rsid w:val="00BE1263"/>
    <w:rsid w:val="00BE1E8B"/>
    <w:rsid w:val="00C11814"/>
    <w:rsid w:val="00C216D0"/>
    <w:rsid w:val="00C27BA1"/>
    <w:rsid w:val="00C434E2"/>
    <w:rsid w:val="00C44CA8"/>
    <w:rsid w:val="00C57FC5"/>
    <w:rsid w:val="00C6551C"/>
    <w:rsid w:val="00C920C8"/>
    <w:rsid w:val="00CA284B"/>
    <w:rsid w:val="00CD6AD0"/>
    <w:rsid w:val="00D01FA9"/>
    <w:rsid w:val="00D0794B"/>
    <w:rsid w:val="00D14635"/>
    <w:rsid w:val="00D20A30"/>
    <w:rsid w:val="00D2640C"/>
    <w:rsid w:val="00D32950"/>
    <w:rsid w:val="00D560E9"/>
    <w:rsid w:val="00D61E74"/>
    <w:rsid w:val="00D64BF2"/>
    <w:rsid w:val="00D70AC4"/>
    <w:rsid w:val="00D809ED"/>
    <w:rsid w:val="00D816C6"/>
    <w:rsid w:val="00DA0A35"/>
    <w:rsid w:val="00DA6FE4"/>
    <w:rsid w:val="00DD6F75"/>
    <w:rsid w:val="00DE315E"/>
    <w:rsid w:val="00DE6520"/>
    <w:rsid w:val="00DE6D9A"/>
    <w:rsid w:val="00E00664"/>
    <w:rsid w:val="00E013A4"/>
    <w:rsid w:val="00E0388C"/>
    <w:rsid w:val="00E25B1A"/>
    <w:rsid w:val="00E42171"/>
    <w:rsid w:val="00E539EA"/>
    <w:rsid w:val="00E5737F"/>
    <w:rsid w:val="00E7014C"/>
    <w:rsid w:val="00E70789"/>
    <w:rsid w:val="00E76980"/>
    <w:rsid w:val="00E905F1"/>
    <w:rsid w:val="00E96BDD"/>
    <w:rsid w:val="00EC5B6C"/>
    <w:rsid w:val="00EC5EF7"/>
    <w:rsid w:val="00F13454"/>
    <w:rsid w:val="00F14249"/>
    <w:rsid w:val="00F23C8F"/>
    <w:rsid w:val="00F3197B"/>
    <w:rsid w:val="00F34FA4"/>
    <w:rsid w:val="00F42FAE"/>
    <w:rsid w:val="00F51372"/>
    <w:rsid w:val="00F60750"/>
    <w:rsid w:val="00F70D51"/>
    <w:rsid w:val="00F81314"/>
    <w:rsid w:val="00F81F64"/>
    <w:rsid w:val="00FA6C54"/>
    <w:rsid w:val="00FB0494"/>
    <w:rsid w:val="00FE7678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45D89"/>
  <w15:docId w15:val="{D755BD00-2F54-4478-A55A-09ECFFD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ITC Garamond Bk AT" w:hAnsi="ITC Garamond Bk AT"/>
      <w:sz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  <w:lang w:val="sk-SK"/>
    </w:rPr>
  </w:style>
  <w:style w:type="paragraph" w:styleId="Nadpis2">
    <w:name w:val="heading 2"/>
    <w:basedOn w:val="Normlny"/>
    <w:next w:val="Normlny"/>
    <w:qFormat/>
    <w:pPr>
      <w:keepNext/>
      <w:tabs>
        <w:tab w:val="num" w:pos="360"/>
      </w:tabs>
      <w:ind w:left="360" w:hanging="360"/>
      <w:outlineLvl w:val="1"/>
    </w:pPr>
    <w:rPr>
      <w:b/>
      <w:lang w:val="sk-SK"/>
    </w:rPr>
  </w:style>
  <w:style w:type="paragraph" w:styleId="Nadpis3">
    <w:name w:val="heading 3"/>
    <w:basedOn w:val="Normlny"/>
    <w:next w:val="Normlny"/>
    <w:qFormat/>
    <w:pPr>
      <w:keepNext/>
      <w:ind w:left="1080"/>
      <w:outlineLvl w:val="2"/>
    </w:pPr>
    <w:rPr>
      <w:u w:val="single"/>
      <w:lang w:val="sk-SK"/>
    </w:rPr>
  </w:style>
  <w:style w:type="paragraph" w:styleId="Nadpis4">
    <w:name w:val="heading 4"/>
    <w:basedOn w:val="Normlny"/>
    <w:next w:val="Normlny"/>
    <w:qFormat/>
    <w:pPr>
      <w:keepNext/>
      <w:numPr>
        <w:numId w:val="6"/>
      </w:numPr>
      <w:outlineLvl w:val="3"/>
    </w:pPr>
    <w:rPr>
      <w:b/>
      <w:lang w:val="sk-SK"/>
    </w:rPr>
  </w:style>
  <w:style w:type="paragraph" w:styleId="Nadpis5">
    <w:name w:val="heading 5"/>
    <w:basedOn w:val="Normlny"/>
    <w:next w:val="Normlny"/>
    <w:qFormat/>
    <w:pPr>
      <w:keepNext/>
      <w:numPr>
        <w:numId w:val="8"/>
      </w:numPr>
      <w:outlineLvl w:val="4"/>
    </w:pPr>
    <w:rPr>
      <w:b/>
      <w:lang w:val="sk-SK"/>
    </w:rPr>
  </w:style>
  <w:style w:type="paragraph" w:styleId="Nadpis6">
    <w:name w:val="heading 6"/>
    <w:basedOn w:val="Normlny"/>
    <w:next w:val="Normlny"/>
    <w:qFormat/>
    <w:pPr>
      <w:keepNext/>
      <w:numPr>
        <w:numId w:val="1"/>
      </w:numPr>
      <w:outlineLvl w:val="5"/>
    </w:pPr>
    <w:rPr>
      <w:rFonts w:ascii="Arial" w:hAnsi="Arial" w:cs="Arial"/>
      <w:b/>
      <w:caps/>
      <w:sz w:val="20"/>
      <w:lang w:val="sk-SK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Arial" w:hAnsi="Arial" w:cs="Arial"/>
      <w:b/>
      <w:bCs/>
      <w:sz w:val="20"/>
      <w:lang w:val="sk-SK"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ostrana">
    <w:name w:val="normostrana"/>
    <w:basedOn w:val="Normlny"/>
    <w:pPr>
      <w:spacing w:line="348" w:lineRule="auto"/>
      <w:jc w:val="both"/>
    </w:pPr>
    <w:rPr>
      <w:spacing w:val="30"/>
      <w:sz w:val="28"/>
      <w:lang w:val="cs-CZ"/>
    </w:rPr>
  </w:style>
  <w:style w:type="paragraph" w:customStyle="1" w:styleId="Hoechst">
    <w:name w:val="Hoechst"/>
    <w:rPr>
      <w:rFonts w:ascii="ITC Garamond Bk AT" w:hAnsi="ITC Garamond Bk AT"/>
      <w:noProof/>
      <w:sz w:val="24"/>
      <w:lang w:val="en-US" w:eastAsia="en-US"/>
    </w:rPr>
  </w:style>
  <w:style w:type="paragraph" w:styleId="Zarkazkladnhotextu">
    <w:name w:val="Body Text Indent"/>
    <w:basedOn w:val="Normlny"/>
    <w:pPr>
      <w:ind w:left="900"/>
    </w:pPr>
    <w:rPr>
      <w:lang w:val="sk-SK"/>
    </w:rPr>
  </w:style>
  <w:style w:type="paragraph" w:styleId="Zkladntext">
    <w:name w:val="Body Text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val="sk-SK"/>
    </w:rPr>
  </w:style>
  <w:style w:type="paragraph" w:styleId="Zkladntext2">
    <w:name w:val="Body Text 2"/>
    <w:basedOn w:val="Normlny"/>
    <w:rPr>
      <w:rFonts w:ascii="Times New Roman" w:hAnsi="Times New Roman"/>
      <w:sz w:val="22"/>
    </w:rPr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lang w:val="sk-SK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sk-SK"/>
    </w:rPr>
  </w:style>
  <w:style w:type="paragraph" w:styleId="Textbubliny">
    <w:name w:val="Balloon Text"/>
    <w:basedOn w:val="Normlny"/>
    <w:semiHidden/>
    <w:rsid w:val="005E3545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9605B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605BB"/>
  </w:style>
  <w:style w:type="character" w:styleId="Hypertextovprepojenie">
    <w:name w:val="Hyperlink"/>
    <w:rsid w:val="00F81314"/>
    <w:rPr>
      <w:color w:val="0000FF"/>
      <w:u w:val="single"/>
    </w:rPr>
  </w:style>
  <w:style w:type="character" w:styleId="Odkaznakomentr">
    <w:name w:val="annotation reference"/>
    <w:rsid w:val="00C44CA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44CA8"/>
    <w:rPr>
      <w:sz w:val="20"/>
    </w:rPr>
  </w:style>
  <w:style w:type="character" w:customStyle="1" w:styleId="TextkomentraChar">
    <w:name w:val="Text komentára Char"/>
    <w:link w:val="Textkomentra"/>
    <w:rsid w:val="00C44CA8"/>
    <w:rPr>
      <w:rFonts w:ascii="ITC Garamond Bk AT" w:hAnsi="ITC Garamond Bk AT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44CA8"/>
    <w:rPr>
      <w:b/>
      <w:bCs/>
    </w:rPr>
  </w:style>
  <w:style w:type="character" w:customStyle="1" w:styleId="PredmetkomentraChar">
    <w:name w:val="Predmet komentára Char"/>
    <w:link w:val="Predmetkomentra"/>
    <w:rsid w:val="00C44CA8"/>
    <w:rPr>
      <w:rFonts w:ascii="ITC Garamond Bk AT" w:hAnsi="ITC Garamond Bk AT"/>
      <w:b/>
      <w:bCs/>
      <w:lang w:val="en-US" w:eastAsia="en-US"/>
    </w:rPr>
  </w:style>
  <w:style w:type="character" w:customStyle="1" w:styleId="HlavikaChar">
    <w:name w:val="Hlavička Char"/>
    <w:basedOn w:val="Predvolenpsmoodseku"/>
    <w:link w:val="Hlavika"/>
    <w:rsid w:val="00037DE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39BBE-0B3F-47A5-967C-8E20F955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1867</Words>
  <Characters>10645</Characters>
  <Application>Microsoft Office Word</Application>
  <DocSecurity>0</DocSecurity>
  <Lines>88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Aktuálny súhrn charakteristických vlastností  prípravku</vt:lpstr>
      <vt:lpstr>Aktuálny súhrn charakteristických vlastností  prípravku</vt:lpstr>
      <vt:lpstr>Aktuálny súhrn charakteristických vlastností  prípravku</vt:lpstr>
    </vt:vector>
  </TitlesOfParts>
  <Company>sanofi-aventis</Company>
  <LinksUpToDate>false</LinksUpToDate>
  <CharactersWithSpaces>12488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Aktuálny súhrn charakteristických vlastností  prípravku</dc:title>
  <dc:creator>aaa</dc:creator>
  <cp:lastModifiedBy>ME</cp:lastModifiedBy>
  <cp:revision>5</cp:revision>
  <cp:lastPrinted>2015-03-02T07:21:00Z</cp:lastPrinted>
  <dcterms:created xsi:type="dcterms:W3CDTF">2020-05-29T13:33:00Z</dcterms:created>
  <dcterms:modified xsi:type="dcterms:W3CDTF">2020-06-01T06:22:00Z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